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0DB" w:rsidRDefault="000320DB" w:rsidP="000320DB">
      <w:pPr>
        <w:jc w:val="center"/>
      </w:pPr>
      <w:bookmarkStart w:id="0" w:name="_Hlk11683953"/>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320DB" w:rsidRDefault="000320DB" w:rsidP="000320DB">
      <w:pPr>
        <w:jc w:val="center"/>
        <w:rPr>
          <w:rFonts w:ascii="Arial" w:hAnsi="Arial"/>
        </w:rPr>
      </w:pPr>
      <w:r>
        <w:rPr>
          <w:rFonts w:ascii="Arial" w:hAnsi="Arial"/>
        </w:rPr>
        <w:t>Australian Capital Territory</w:t>
      </w:r>
    </w:p>
    <w:p w:rsidR="000320DB" w:rsidRDefault="00546A8E" w:rsidP="000320DB">
      <w:pPr>
        <w:pStyle w:val="Billname1"/>
      </w:pPr>
      <w:r>
        <w:fldChar w:fldCharType="begin"/>
      </w:r>
      <w:r>
        <w:instrText xml:space="preserve"> REF Citation \*charformat </w:instrText>
      </w:r>
      <w:r>
        <w:fldChar w:fldCharType="separate"/>
      </w:r>
      <w:r w:rsidR="00A26A46">
        <w:t>Evidence Act 2011</w:t>
      </w:r>
      <w:r>
        <w:fldChar w:fldCharType="end"/>
      </w:r>
      <w:r w:rsidR="000320DB">
        <w:t xml:space="preserve">    </w:t>
      </w:r>
    </w:p>
    <w:p w:rsidR="000320DB" w:rsidRDefault="00FC4A24" w:rsidP="000320DB">
      <w:pPr>
        <w:pStyle w:val="ActNo"/>
      </w:pPr>
      <w:bookmarkStart w:id="2" w:name="LawNo"/>
      <w:r>
        <w:t>A2011-12</w:t>
      </w:r>
      <w:bookmarkEnd w:id="2"/>
    </w:p>
    <w:p w:rsidR="000320DB" w:rsidRDefault="000320DB" w:rsidP="000320DB">
      <w:pPr>
        <w:pStyle w:val="RepubNo"/>
      </w:pPr>
      <w:r>
        <w:t xml:space="preserve">Republication No </w:t>
      </w:r>
      <w:bookmarkStart w:id="3" w:name="RepubNo"/>
      <w:r w:rsidR="00FC4A24">
        <w:t>9</w:t>
      </w:r>
      <w:bookmarkEnd w:id="3"/>
    </w:p>
    <w:p w:rsidR="000320DB" w:rsidRDefault="000320DB" w:rsidP="000320DB">
      <w:pPr>
        <w:pStyle w:val="EffectiveDate"/>
      </w:pPr>
      <w:r>
        <w:t xml:space="preserve">Effective:  </w:t>
      </w:r>
      <w:bookmarkStart w:id="4" w:name="EffectiveDate"/>
      <w:r w:rsidR="00FC4A24">
        <w:t>21 June 2019</w:t>
      </w:r>
      <w:bookmarkEnd w:id="4"/>
      <w:r w:rsidR="00FC4A24">
        <w:t xml:space="preserve"> – </w:t>
      </w:r>
      <w:bookmarkStart w:id="5" w:name="EndEffDate"/>
      <w:r w:rsidR="00FC4A24">
        <w:t>8 March 2020</w:t>
      </w:r>
      <w:bookmarkEnd w:id="5"/>
    </w:p>
    <w:p w:rsidR="000320DB" w:rsidRDefault="000320DB" w:rsidP="000320DB">
      <w:pPr>
        <w:pStyle w:val="CoverInForce"/>
      </w:pPr>
      <w:r>
        <w:t xml:space="preserve">Republication date: </w:t>
      </w:r>
      <w:bookmarkStart w:id="6" w:name="InForceDate"/>
      <w:r w:rsidR="00FC4A24">
        <w:t>21 June 2019</w:t>
      </w:r>
      <w:bookmarkEnd w:id="6"/>
    </w:p>
    <w:p w:rsidR="000320DB" w:rsidRDefault="000320DB" w:rsidP="000320DB">
      <w:pPr>
        <w:pStyle w:val="CoverInForce"/>
      </w:pPr>
      <w:r>
        <w:t xml:space="preserve">Last amendment made by </w:t>
      </w:r>
      <w:bookmarkStart w:id="7" w:name="LastAmdt"/>
      <w:r w:rsidRPr="000320DB">
        <w:rPr>
          <w:rStyle w:val="charCitHyperlinkAbbrev"/>
        </w:rPr>
        <w:fldChar w:fldCharType="begin"/>
      </w:r>
      <w:r w:rsidR="00FC4A24">
        <w:rPr>
          <w:rStyle w:val="charCitHyperlinkAbbrev"/>
        </w:rPr>
        <w:instrText>HYPERLINK "http://www.legislation.act.gov.au/a/2019-17/" \o "Justice and Community Safety Legislation Amendment Act 2019"</w:instrText>
      </w:r>
      <w:r w:rsidRPr="000320DB">
        <w:rPr>
          <w:rStyle w:val="charCitHyperlinkAbbrev"/>
        </w:rPr>
        <w:fldChar w:fldCharType="separate"/>
      </w:r>
      <w:r w:rsidR="00FC4A24">
        <w:rPr>
          <w:rStyle w:val="charCitHyperlinkAbbrev"/>
        </w:rPr>
        <w:t>A2019</w:t>
      </w:r>
      <w:r w:rsidR="00FC4A24">
        <w:rPr>
          <w:rStyle w:val="charCitHyperlinkAbbrev"/>
        </w:rPr>
        <w:noBreakHyphen/>
        <w:t>17</w:t>
      </w:r>
      <w:r w:rsidRPr="000320DB">
        <w:rPr>
          <w:rStyle w:val="charCitHyperlinkAbbrev"/>
        </w:rPr>
        <w:fldChar w:fldCharType="end"/>
      </w:r>
      <w:bookmarkEnd w:id="7"/>
    </w:p>
    <w:p w:rsidR="000320DB" w:rsidRDefault="000320DB" w:rsidP="000320DB"/>
    <w:p w:rsidR="000320DB" w:rsidRDefault="000320DB" w:rsidP="000320DB"/>
    <w:p w:rsidR="000320DB" w:rsidRDefault="000320DB" w:rsidP="000320DB"/>
    <w:p w:rsidR="000320DB" w:rsidRDefault="000320DB" w:rsidP="000320DB"/>
    <w:p w:rsidR="000320DB" w:rsidRDefault="000320DB" w:rsidP="000320DB"/>
    <w:p w:rsidR="000320DB" w:rsidRDefault="000320DB" w:rsidP="000320DB">
      <w:pPr>
        <w:spacing w:after="240"/>
        <w:rPr>
          <w:rFonts w:ascii="Arial" w:hAnsi="Arial"/>
        </w:rPr>
      </w:pPr>
    </w:p>
    <w:p w:rsidR="000320DB" w:rsidRPr="00101B4C" w:rsidRDefault="000320DB" w:rsidP="000320DB">
      <w:pPr>
        <w:pStyle w:val="PageBreak"/>
      </w:pPr>
      <w:r w:rsidRPr="00101B4C">
        <w:br w:type="page"/>
      </w:r>
    </w:p>
    <w:bookmarkEnd w:id="0"/>
    <w:p w:rsidR="000320DB" w:rsidRDefault="000320DB" w:rsidP="000320DB">
      <w:pPr>
        <w:pStyle w:val="CoverHeading"/>
      </w:pPr>
      <w:r>
        <w:lastRenderedPageBreak/>
        <w:t>About this republication</w:t>
      </w:r>
    </w:p>
    <w:p w:rsidR="000320DB" w:rsidRDefault="000320DB" w:rsidP="000320DB">
      <w:pPr>
        <w:pStyle w:val="CoverSubHdg"/>
      </w:pPr>
      <w:r>
        <w:t>The republished law</w:t>
      </w:r>
    </w:p>
    <w:p w:rsidR="000320DB" w:rsidRDefault="000320DB" w:rsidP="000320DB">
      <w:pPr>
        <w:pStyle w:val="CoverText"/>
      </w:pPr>
      <w:r>
        <w:t xml:space="preserve">This is a republication of the </w:t>
      </w:r>
      <w:r w:rsidRPr="00FC4A24">
        <w:rPr>
          <w:i/>
        </w:rPr>
        <w:fldChar w:fldCharType="begin"/>
      </w:r>
      <w:r w:rsidRPr="00FC4A24">
        <w:rPr>
          <w:i/>
        </w:rPr>
        <w:instrText xml:space="preserve"> REF citation *\charformat  \* MERGEFORMAT </w:instrText>
      </w:r>
      <w:r w:rsidRPr="00FC4A24">
        <w:rPr>
          <w:i/>
        </w:rPr>
        <w:fldChar w:fldCharType="separate"/>
      </w:r>
      <w:r w:rsidR="00A26A46" w:rsidRPr="00A26A46">
        <w:rPr>
          <w:i/>
        </w:rPr>
        <w:t>Evidence Act 2011</w:t>
      </w:r>
      <w:r w:rsidRPr="00FC4A2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546A8E">
        <w:fldChar w:fldCharType="begin"/>
      </w:r>
      <w:r w:rsidR="00546A8E">
        <w:instrText xml:space="preserve"> REF InF</w:instrText>
      </w:r>
      <w:r w:rsidR="00546A8E">
        <w:instrText xml:space="preserve">orceDate *\charformat </w:instrText>
      </w:r>
      <w:r w:rsidR="00546A8E">
        <w:fldChar w:fldCharType="separate"/>
      </w:r>
      <w:r w:rsidR="00A26A46">
        <w:t>21 June 2019</w:t>
      </w:r>
      <w:r w:rsidR="00546A8E">
        <w:fldChar w:fldCharType="end"/>
      </w:r>
      <w:r w:rsidRPr="0074598E">
        <w:rPr>
          <w:rStyle w:val="charItals"/>
        </w:rPr>
        <w:t xml:space="preserve">.  </w:t>
      </w:r>
      <w:r>
        <w:t xml:space="preserve">It also includes any commencement, amendment, repeal or expiry affecting this republished law to </w:t>
      </w:r>
      <w:r w:rsidR="00546A8E">
        <w:fldChar w:fldCharType="begin"/>
      </w:r>
      <w:r w:rsidR="00546A8E">
        <w:instrText xml:space="preserve"> REF EffectiveDate *\charformat </w:instrText>
      </w:r>
      <w:r w:rsidR="00546A8E">
        <w:fldChar w:fldCharType="separate"/>
      </w:r>
      <w:r w:rsidR="00A26A46">
        <w:t>21 June 2019</w:t>
      </w:r>
      <w:r w:rsidR="00546A8E">
        <w:fldChar w:fldCharType="end"/>
      </w:r>
      <w:r>
        <w:t xml:space="preserve">.  </w:t>
      </w:r>
    </w:p>
    <w:p w:rsidR="000320DB" w:rsidRDefault="000320DB" w:rsidP="000320DB">
      <w:pPr>
        <w:pStyle w:val="CoverText"/>
      </w:pPr>
      <w:r>
        <w:t xml:space="preserve">The legislation history and amendment history of the republished law are set out in endnotes 3 and 4. </w:t>
      </w:r>
    </w:p>
    <w:p w:rsidR="000320DB" w:rsidRDefault="000320DB" w:rsidP="000320DB">
      <w:pPr>
        <w:pStyle w:val="CoverSubHdg"/>
      </w:pPr>
      <w:r>
        <w:t>Kinds of republications</w:t>
      </w:r>
    </w:p>
    <w:p w:rsidR="000320DB" w:rsidRDefault="000320DB" w:rsidP="000320D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0320DB" w:rsidRDefault="000320DB" w:rsidP="000320DB">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0320DB" w:rsidRDefault="000320DB" w:rsidP="000320DB">
      <w:pPr>
        <w:pStyle w:val="CoverTextBullet"/>
        <w:tabs>
          <w:tab w:val="clear" w:pos="0"/>
        </w:tabs>
        <w:ind w:left="357" w:hanging="357"/>
      </w:pPr>
      <w:r>
        <w:t>unauthorised republications.</w:t>
      </w:r>
    </w:p>
    <w:p w:rsidR="000320DB" w:rsidRDefault="000320DB" w:rsidP="000320DB">
      <w:pPr>
        <w:pStyle w:val="CoverText"/>
      </w:pPr>
      <w:r>
        <w:t>The status of this republication appears on the bottom of each page.</w:t>
      </w:r>
    </w:p>
    <w:p w:rsidR="000320DB" w:rsidRDefault="000320DB" w:rsidP="000320DB">
      <w:pPr>
        <w:pStyle w:val="CoverSubHdg"/>
      </w:pPr>
      <w:r>
        <w:t>Editorial changes</w:t>
      </w:r>
    </w:p>
    <w:p w:rsidR="000320DB" w:rsidRDefault="000320DB" w:rsidP="000320D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320DB" w:rsidRPr="000320DB" w:rsidRDefault="000320DB" w:rsidP="000320DB">
      <w:pPr>
        <w:pStyle w:val="CoverText"/>
      </w:pPr>
      <w:r w:rsidRPr="000320DB">
        <w:t>This republication include</w:t>
      </w:r>
      <w:r w:rsidR="008F2C52">
        <w:t>s</w:t>
      </w:r>
      <w:r w:rsidRPr="000320DB">
        <w:t xml:space="preserve"> amendments made under part 11.3 (see endnote 1).</w:t>
      </w:r>
    </w:p>
    <w:p w:rsidR="000320DB" w:rsidRDefault="000320DB" w:rsidP="000320DB">
      <w:pPr>
        <w:pStyle w:val="CoverSubHdg"/>
      </w:pPr>
      <w:r>
        <w:t>Uncommenced provisions and amendments</w:t>
      </w:r>
    </w:p>
    <w:p w:rsidR="000320DB" w:rsidRDefault="000320DB" w:rsidP="000320D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0320DB" w:rsidRDefault="000320DB" w:rsidP="000320DB">
      <w:pPr>
        <w:pStyle w:val="CoverSubHdg"/>
      </w:pPr>
      <w:r>
        <w:t>Modifications</w:t>
      </w:r>
    </w:p>
    <w:p w:rsidR="000320DB" w:rsidRDefault="000320DB" w:rsidP="000320D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0320DB" w:rsidRDefault="000320DB" w:rsidP="000320DB">
      <w:pPr>
        <w:pStyle w:val="CoverSubHdg"/>
      </w:pPr>
      <w:r>
        <w:t>Penalties</w:t>
      </w:r>
    </w:p>
    <w:p w:rsidR="000320DB" w:rsidRPr="003765DF" w:rsidRDefault="000320DB" w:rsidP="000320DB">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0320DB" w:rsidRDefault="000320DB" w:rsidP="000320DB">
      <w:pPr>
        <w:pStyle w:val="00SigningPage"/>
        <w:sectPr w:rsidR="000320DB" w:rsidSect="000320D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0320DB" w:rsidRDefault="000320DB" w:rsidP="000320DB">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320DB" w:rsidRDefault="000320DB" w:rsidP="000320DB">
      <w:pPr>
        <w:jc w:val="center"/>
        <w:rPr>
          <w:rFonts w:ascii="Arial" w:hAnsi="Arial"/>
        </w:rPr>
      </w:pPr>
      <w:r>
        <w:rPr>
          <w:rFonts w:ascii="Arial" w:hAnsi="Arial"/>
        </w:rPr>
        <w:t>Australian Capital Territory</w:t>
      </w:r>
    </w:p>
    <w:p w:rsidR="000320DB" w:rsidRDefault="00546A8E" w:rsidP="000320DB">
      <w:pPr>
        <w:pStyle w:val="Billname"/>
      </w:pPr>
      <w:r>
        <w:fldChar w:fldCharType="begin"/>
      </w:r>
      <w:r>
        <w:instrText xml:space="preserve"> REF Citation \*charformat  \* MERGEFORMAT </w:instrText>
      </w:r>
      <w:r>
        <w:fldChar w:fldCharType="separate"/>
      </w:r>
      <w:r w:rsidR="00A26A46">
        <w:t>Evidence Act 2011</w:t>
      </w:r>
      <w:r>
        <w:fldChar w:fldCharType="end"/>
      </w:r>
    </w:p>
    <w:p w:rsidR="000320DB" w:rsidRDefault="000320DB" w:rsidP="000320DB">
      <w:pPr>
        <w:pStyle w:val="ActNo"/>
      </w:pPr>
    </w:p>
    <w:p w:rsidR="000320DB" w:rsidRDefault="000320DB" w:rsidP="000320DB">
      <w:pPr>
        <w:pStyle w:val="Placeholder"/>
      </w:pPr>
      <w:r>
        <w:rPr>
          <w:rStyle w:val="charContents"/>
          <w:sz w:val="16"/>
        </w:rPr>
        <w:t xml:space="preserve">  </w:t>
      </w:r>
      <w:r>
        <w:rPr>
          <w:rStyle w:val="charPage"/>
        </w:rPr>
        <w:t xml:space="preserve">  </w:t>
      </w:r>
    </w:p>
    <w:p w:rsidR="000320DB" w:rsidRDefault="000320DB" w:rsidP="000320DB">
      <w:pPr>
        <w:pStyle w:val="N-TOCheading"/>
      </w:pPr>
      <w:r>
        <w:rPr>
          <w:rStyle w:val="charContents"/>
        </w:rPr>
        <w:t>Contents</w:t>
      </w:r>
    </w:p>
    <w:p w:rsidR="000320DB" w:rsidRDefault="000320DB" w:rsidP="000320DB">
      <w:pPr>
        <w:pStyle w:val="N-9pt"/>
      </w:pPr>
      <w:r>
        <w:tab/>
      </w:r>
      <w:r>
        <w:rPr>
          <w:rStyle w:val="charPage"/>
        </w:rPr>
        <w:t>Page</w:t>
      </w:r>
    </w:p>
    <w:p w:rsidR="00696CEB" w:rsidRDefault="00696CEB">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748364" w:history="1">
        <w:r w:rsidRPr="00EB4515">
          <w:t xml:space="preserve">Chapter 1 </w:t>
        </w:r>
        <w:r>
          <w:rPr>
            <w:rFonts w:asciiTheme="minorHAnsi" w:eastAsiaTheme="minorEastAsia" w:hAnsiTheme="minorHAnsi" w:cstheme="minorBidi"/>
            <w:b w:val="0"/>
            <w:sz w:val="22"/>
            <w:szCs w:val="22"/>
            <w:lang w:eastAsia="en-AU"/>
          </w:rPr>
          <w:tab/>
        </w:r>
        <w:r w:rsidRPr="00EB4515">
          <w:t>Preliminary</w:t>
        </w:r>
        <w:r w:rsidRPr="00696CEB">
          <w:rPr>
            <w:vanish/>
          </w:rPr>
          <w:tab/>
        </w:r>
        <w:r w:rsidRPr="00696CEB">
          <w:rPr>
            <w:vanish/>
          </w:rPr>
          <w:fldChar w:fldCharType="begin"/>
        </w:r>
        <w:r w:rsidRPr="00696CEB">
          <w:rPr>
            <w:vanish/>
          </w:rPr>
          <w:instrText xml:space="preserve"> PAGEREF _Toc11748364 \h </w:instrText>
        </w:r>
        <w:r w:rsidRPr="00696CEB">
          <w:rPr>
            <w:vanish/>
          </w:rPr>
        </w:r>
        <w:r w:rsidRPr="00696CEB">
          <w:rPr>
            <w:vanish/>
          </w:rPr>
          <w:fldChar w:fldCharType="separate"/>
        </w:r>
        <w:r w:rsidR="00A26A46">
          <w:rPr>
            <w:vanish/>
          </w:rPr>
          <w:t>2</w:t>
        </w:r>
        <w:r w:rsidRPr="00696CEB">
          <w:rPr>
            <w:vanish/>
          </w:rP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365" w:history="1">
        <w:r w:rsidR="00696CEB" w:rsidRPr="00EB4515">
          <w:t>Part 1.1</w:t>
        </w:r>
        <w:r w:rsidR="00696CEB">
          <w:rPr>
            <w:rFonts w:asciiTheme="minorHAnsi" w:eastAsiaTheme="minorEastAsia" w:hAnsiTheme="minorHAnsi" w:cstheme="minorBidi"/>
            <w:b w:val="0"/>
            <w:sz w:val="22"/>
            <w:szCs w:val="22"/>
            <w:lang w:eastAsia="en-AU"/>
          </w:rPr>
          <w:tab/>
        </w:r>
        <w:r w:rsidR="00696CEB" w:rsidRPr="00EB4515">
          <w:t>Formal matters</w:t>
        </w:r>
        <w:r w:rsidR="00696CEB" w:rsidRPr="00696CEB">
          <w:rPr>
            <w:vanish/>
          </w:rPr>
          <w:tab/>
        </w:r>
        <w:r w:rsidR="00696CEB" w:rsidRPr="00696CEB">
          <w:rPr>
            <w:vanish/>
          </w:rPr>
          <w:fldChar w:fldCharType="begin"/>
        </w:r>
        <w:r w:rsidR="00696CEB" w:rsidRPr="00696CEB">
          <w:rPr>
            <w:vanish/>
          </w:rPr>
          <w:instrText xml:space="preserve"> PAGEREF _Toc11748365 \h </w:instrText>
        </w:r>
        <w:r w:rsidR="00696CEB" w:rsidRPr="00696CEB">
          <w:rPr>
            <w:vanish/>
          </w:rPr>
        </w:r>
        <w:r w:rsidR="00696CEB" w:rsidRPr="00696CEB">
          <w:rPr>
            <w:vanish/>
          </w:rPr>
          <w:fldChar w:fldCharType="separate"/>
        </w:r>
        <w:r w:rsidR="00A26A46">
          <w:rPr>
            <w:vanish/>
          </w:rPr>
          <w:t>2</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66" w:history="1">
        <w:r w:rsidRPr="00EB4515">
          <w:t>1</w:t>
        </w:r>
        <w:r>
          <w:rPr>
            <w:rFonts w:asciiTheme="minorHAnsi" w:eastAsiaTheme="minorEastAsia" w:hAnsiTheme="minorHAnsi" w:cstheme="minorBidi"/>
            <w:sz w:val="22"/>
            <w:szCs w:val="22"/>
            <w:lang w:eastAsia="en-AU"/>
          </w:rPr>
          <w:tab/>
        </w:r>
        <w:r w:rsidRPr="00EB4515">
          <w:t>Name of Act</w:t>
        </w:r>
        <w:r>
          <w:tab/>
        </w:r>
        <w:r>
          <w:fldChar w:fldCharType="begin"/>
        </w:r>
        <w:r>
          <w:instrText xml:space="preserve"> PAGEREF _Toc11748366 \h </w:instrText>
        </w:r>
        <w:r>
          <w:fldChar w:fldCharType="separate"/>
        </w:r>
        <w:r w:rsidR="00A26A46">
          <w:t>2</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67" w:history="1">
        <w:r w:rsidRPr="00EB4515">
          <w:t>3</w:t>
        </w:r>
        <w:r>
          <w:rPr>
            <w:rFonts w:asciiTheme="minorHAnsi" w:eastAsiaTheme="minorEastAsia" w:hAnsiTheme="minorHAnsi" w:cstheme="minorBidi"/>
            <w:sz w:val="22"/>
            <w:szCs w:val="22"/>
            <w:lang w:eastAsia="en-AU"/>
          </w:rPr>
          <w:tab/>
        </w:r>
        <w:r w:rsidRPr="00EB4515">
          <w:t>Dictionary</w:t>
        </w:r>
        <w:r>
          <w:tab/>
        </w:r>
        <w:r>
          <w:fldChar w:fldCharType="begin"/>
        </w:r>
        <w:r>
          <w:instrText xml:space="preserve"> PAGEREF _Toc11748367 \h </w:instrText>
        </w:r>
        <w:r>
          <w:fldChar w:fldCharType="separate"/>
        </w:r>
        <w:r w:rsidR="00A26A46">
          <w:t>2</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68" w:history="1">
        <w:r w:rsidRPr="00EB4515">
          <w:t>3A</w:t>
        </w:r>
        <w:r>
          <w:rPr>
            <w:rFonts w:asciiTheme="minorHAnsi" w:eastAsiaTheme="minorEastAsia" w:hAnsiTheme="minorHAnsi" w:cstheme="minorBidi"/>
            <w:sz w:val="22"/>
            <w:szCs w:val="22"/>
            <w:lang w:eastAsia="en-AU"/>
          </w:rPr>
          <w:tab/>
        </w:r>
        <w:r w:rsidRPr="00EB4515">
          <w:t>Numbering</w:t>
        </w:r>
        <w:r>
          <w:tab/>
        </w:r>
        <w:r>
          <w:fldChar w:fldCharType="begin"/>
        </w:r>
        <w:r>
          <w:instrText xml:space="preserve"> PAGEREF _Toc11748368 \h </w:instrText>
        </w:r>
        <w:r>
          <w:fldChar w:fldCharType="separate"/>
        </w:r>
        <w:r w:rsidR="00A26A46">
          <w:t>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69" w:history="1">
        <w:r w:rsidRPr="00EB4515">
          <w:t>3B</w:t>
        </w:r>
        <w:r>
          <w:rPr>
            <w:rFonts w:asciiTheme="minorHAnsi" w:eastAsiaTheme="minorEastAsia" w:hAnsiTheme="minorHAnsi" w:cstheme="minorBidi"/>
            <w:sz w:val="22"/>
            <w:szCs w:val="22"/>
            <w:lang w:eastAsia="en-AU"/>
          </w:rPr>
          <w:tab/>
        </w:r>
        <w:r w:rsidRPr="00EB4515">
          <w:t>Notes</w:t>
        </w:r>
        <w:r>
          <w:tab/>
        </w:r>
        <w:r>
          <w:fldChar w:fldCharType="begin"/>
        </w:r>
        <w:r>
          <w:instrText xml:space="preserve"> PAGEREF _Toc11748369 \h </w:instrText>
        </w:r>
        <w:r>
          <w:fldChar w:fldCharType="separate"/>
        </w:r>
        <w:r w:rsidR="00A26A46">
          <w:t>3</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370" w:history="1">
        <w:r w:rsidR="00696CEB" w:rsidRPr="00EB4515">
          <w:t>Part 1.2</w:t>
        </w:r>
        <w:r w:rsidR="00696CEB">
          <w:rPr>
            <w:rFonts w:asciiTheme="minorHAnsi" w:eastAsiaTheme="minorEastAsia" w:hAnsiTheme="minorHAnsi" w:cstheme="minorBidi"/>
            <w:b w:val="0"/>
            <w:sz w:val="22"/>
            <w:szCs w:val="22"/>
            <w:lang w:eastAsia="en-AU"/>
          </w:rPr>
          <w:tab/>
        </w:r>
        <w:r w:rsidR="00696CEB" w:rsidRPr="00EB4515">
          <w:t>Application of this Act</w:t>
        </w:r>
        <w:r w:rsidR="00696CEB" w:rsidRPr="00696CEB">
          <w:rPr>
            <w:vanish/>
          </w:rPr>
          <w:tab/>
        </w:r>
        <w:r w:rsidR="00696CEB" w:rsidRPr="00696CEB">
          <w:rPr>
            <w:vanish/>
          </w:rPr>
          <w:fldChar w:fldCharType="begin"/>
        </w:r>
        <w:r w:rsidR="00696CEB" w:rsidRPr="00696CEB">
          <w:rPr>
            <w:vanish/>
          </w:rPr>
          <w:instrText xml:space="preserve"> PAGEREF _Toc11748370 \h </w:instrText>
        </w:r>
        <w:r w:rsidR="00696CEB" w:rsidRPr="00696CEB">
          <w:rPr>
            <w:vanish/>
          </w:rPr>
        </w:r>
        <w:r w:rsidR="00696CEB" w:rsidRPr="00696CEB">
          <w:rPr>
            <w:vanish/>
          </w:rPr>
          <w:fldChar w:fldCharType="separate"/>
        </w:r>
        <w:r w:rsidR="00A26A46">
          <w:rPr>
            <w:vanish/>
          </w:rPr>
          <w:t>4</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71" w:history="1">
        <w:r w:rsidRPr="00EB4515">
          <w:t>4</w:t>
        </w:r>
        <w:r>
          <w:rPr>
            <w:rFonts w:asciiTheme="minorHAnsi" w:eastAsiaTheme="minorEastAsia" w:hAnsiTheme="minorHAnsi" w:cstheme="minorBidi"/>
            <w:sz w:val="22"/>
            <w:szCs w:val="22"/>
            <w:lang w:eastAsia="en-AU"/>
          </w:rPr>
          <w:tab/>
        </w:r>
        <w:r w:rsidRPr="00EB4515">
          <w:t>Courts and proceedings to which Act applies</w:t>
        </w:r>
        <w:r>
          <w:tab/>
        </w:r>
        <w:r>
          <w:fldChar w:fldCharType="begin"/>
        </w:r>
        <w:r>
          <w:instrText xml:space="preserve"> PAGEREF _Toc11748371 \h </w:instrText>
        </w:r>
        <w:r>
          <w:fldChar w:fldCharType="separate"/>
        </w:r>
        <w:r w:rsidR="00A26A46">
          <w:t>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72" w:history="1">
        <w:r w:rsidRPr="00EB4515">
          <w:t>5</w:t>
        </w:r>
        <w:r>
          <w:rPr>
            <w:rFonts w:asciiTheme="minorHAnsi" w:eastAsiaTheme="minorEastAsia" w:hAnsiTheme="minorHAnsi" w:cstheme="minorBidi"/>
            <w:sz w:val="22"/>
            <w:szCs w:val="22"/>
            <w:lang w:eastAsia="en-AU"/>
          </w:rPr>
          <w:tab/>
        </w:r>
        <w:r w:rsidRPr="00EB4515">
          <w:t>Extended application of certain provisions</w:t>
        </w:r>
        <w:r>
          <w:tab/>
        </w:r>
        <w:r>
          <w:fldChar w:fldCharType="begin"/>
        </w:r>
        <w:r>
          <w:instrText xml:space="preserve"> PAGEREF _Toc11748372 \h </w:instrText>
        </w:r>
        <w:r>
          <w:fldChar w:fldCharType="separate"/>
        </w:r>
        <w:r w:rsidR="00A26A46">
          <w:t>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73" w:history="1">
        <w:r w:rsidRPr="00EB4515">
          <w:t>6</w:t>
        </w:r>
        <w:r>
          <w:rPr>
            <w:rFonts w:asciiTheme="minorHAnsi" w:eastAsiaTheme="minorEastAsia" w:hAnsiTheme="minorHAnsi" w:cstheme="minorBidi"/>
            <w:sz w:val="22"/>
            <w:szCs w:val="22"/>
            <w:lang w:eastAsia="en-AU"/>
          </w:rPr>
          <w:tab/>
        </w:r>
        <w:r w:rsidRPr="00EB4515">
          <w:t>Territories</w:t>
        </w:r>
        <w:r>
          <w:tab/>
        </w:r>
        <w:r>
          <w:fldChar w:fldCharType="begin"/>
        </w:r>
        <w:r>
          <w:instrText xml:space="preserve"> PAGEREF _Toc11748373 \h </w:instrText>
        </w:r>
        <w:r>
          <w:fldChar w:fldCharType="separate"/>
        </w:r>
        <w:r w:rsidR="00A26A46">
          <w:t>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74" w:history="1">
        <w:r w:rsidRPr="00EB4515">
          <w:t>7</w:t>
        </w:r>
        <w:r>
          <w:rPr>
            <w:rFonts w:asciiTheme="minorHAnsi" w:eastAsiaTheme="minorEastAsia" w:hAnsiTheme="minorHAnsi" w:cstheme="minorBidi"/>
            <w:sz w:val="22"/>
            <w:szCs w:val="22"/>
            <w:lang w:eastAsia="en-AU"/>
          </w:rPr>
          <w:tab/>
        </w:r>
        <w:r w:rsidRPr="00EB4515">
          <w:t>Act binds Crown</w:t>
        </w:r>
        <w:r>
          <w:tab/>
        </w:r>
        <w:r>
          <w:fldChar w:fldCharType="begin"/>
        </w:r>
        <w:r>
          <w:instrText xml:space="preserve"> PAGEREF _Toc11748374 \h </w:instrText>
        </w:r>
        <w:r>
          <w:fldChar w:fldCharType="separate"/>
        </w:r>
        <w:r w:rsidR="00A26A46">
          <w:t>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75" w:history="1">
        <w:r w:rsidRPr="00EB4515">
          <w:t>8</w:t>
        </w:r>
        <w:r>
          <w:rPr>
            <w:rFonts w:asciiTheme="minorHAnsi" w:eastAsiaTheme="minorEastAsia" w:hAnsiTheme="minorHAnsi" w:cstheme="minorBidi"/>
            <w:sz w:val="22"/>
            <w:szCs w:val="22"/>
            <w:lang w:eastAsia="en-AU"/>
          </w:rPr>
          <w:tab/>
        </w:r>
        <w:r w:rsidRPr="00EB4515">
          <w:t>Operation of other Acts</w:t>
        </w:r>
        <w:r>
          <w:tab/>
        </w:r>
        <w:r>
          <w:fldChar w:fldCharType="begin"/>
        </w:r>
        <w:r>
          <w:instrText xml:space="preserve"> PAGEREF _Toc11748375 \h </w:instrText>
        </w:r>
        <w:r>
          <w:fldChar w:fldCharType="separate"/>
        </w:r>
        <w:r w:rsidR="00A26A46">
          <w:t>5</w:t>
        </w:r>
        <w:r>
          <w:fldChar w:fldCharType="end"/>
        </w:r>
      </w:hyperlink>
    </w:p>
    <w:p w:rsidR="00696CEB" w:rsidRDefault="00696CEB">
      <w:pPr>
        <w:pStyle w:val="TOC5"/>
        <w:rPr>
          <w:rFonts w:asciiTheme="minorHAnsi" w:eastAsiaTheme="minorEastAsia" w:hAnsiTheme="minorHAnsi" w:cstheme="minorBidi"/>
          <w:sz w:val="22"/>
          <w:szCs w:val="22"/>
          <w:lang w:eastAsia="en-AU"/>
        </w:rPr>
      </w:pPr>
      <w:r>
        <w:lastRenderedPageBreak/>
        <w:tab/>
      </w:r>
      <w:hyperlink w:anchor="_Toc11748376" w:history="1">
        <w:r w:rsidRPr="00EB4515">
          <w:t>8A</w:t>
        </w:r>
        <w:r>
          <w:rPr>
            <w:rFonts w:asciiTheme="minorHAnsi" w:eastAsiaTheme="minorEastAsia" w:hAnsiTheme="minorHAnsi" w:cstheme="minorBidi"/>
            <w:sz w:val="22"/>
            <w:szCs w:val="22"/>
            <w:lang w:eastAsia="en-AU"/>
          </w:rPr>
          <w:tab/>
        </w:r>
        <w:r w:rsidRPr="00EB4515">
          <w:t>Offences against Act—application of Criminal Code etc</w:t>
        </w:r>
        <w:r>
          <w:tab/>
        </w:r>
        <w:r>
          <w:fldChar w:fldCharType="begin"/>
        </w:r>
        <w:r>
          <w:instrText xml:space="preserve"> PAGEREF _Toc11748376 \h </w:instrText>
        </w:r>
        <w:r>
          <w:fldChar w:fldCharType="separate"/>
        </w:r>
        <w:r w:rsidR="00A26A46">
          <w:t>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77" w:history="1">
        <w:r w:rsidRPr="00EB4515">
          <w:t>9</w:t>
        </w:r>
        <w:r>
          <w:rPr>
            <w:rFonts w:asciiTheme="minorHAnsi" w:eastAsiaTheme="minorEastAsia" w:hAnsiTheme="minorHAnsi" w:cstheme="minorBidi"/>
            <w:sz w:val="22"/>
            <w:szCs w:val="22"/>
            <w:lang w:eastAsia="en-AU"/>
          </w:rPr>
          <w:tab/>
        </w:r>
        <w:r w:rsidRPr="00EB4515">
          <w:t>Application of common law and equity</w:t>
        </w:r>
        <w:r>
          <w:tab/>
        </w:r>
        <w:r>
          <w:fldChar w:fldCharType="begin"/>
        </w:r>
        <w:r>
          <w:instrText xml:space="preserve"> PAGEREF _Toc11748377 \h </w:instrText>
        </w:r>
        <w:r>
          <w:fldChar w:fldCharType="separate"/>
        </w:r>
        <w:r w:rsidR="00A26A46">
          <w:t>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78" w:history="1">
        <w:r w:rsidRPr="00EB4515">
          <w:t>10</w:t>
        </w:r>
        <w:r>
          <w:rPr>
            <w:rFonts w:asciiTheme="minorHAnsi" w:eastAsiaTheme="minorEastAsia" w:hAnsiTheme="minorHAnsi" w:cstheme="minorBidi"/>
            <w:sz w:val="22"/>
            <w:szCs w:val="22"/>
            <w:lang w:eastAsia="en-AU"/>
          </w:rPr>
          <w:tab/>
        </w:r>
        <w:r w:rsidRPr="00EB4515">
          <w:t>Parliamentary privilege preserved</w:t>
        </w:r>
        <w:r>
          <w:tab/>
        </w:r>
        <w:r>
          <w:fldChar w:fldCharType="begin"/>
        </w:r>
        <w:r>
          <w:instrText xml:space="preserve"> PAGEREF _Toc11748378 \h </w:instrText>
        </w:r>
        <w:r>
          <w:fldChar w:fldCharType="separate"/>
        </w:r>
        <w:r w:rsidR="00A26A46">
          <w:t>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79" w:history="1">
        <w:r w:rsidRPr="00EB4515">
          <w:t>11</w:t>
        </w:r>
        <w:r>
          <w:rPr>
            <w:rFonts w:asciiTheme="minorHAnsi" w:eastAsiaTheme="minorEastAsia" w:hAnsiTheme="minorHAnsi" w:cstheme="minorBidi"/>
            <w:sz w:val="22"/>
            <w:szCs w:val="22"/>
            <w:lang w:eastAsia="en-AU"/>
          </w:rPr>
          <w:tab/>
        </w:r>
        <w:r w:rsidRPr="00EB4515">
          <w:t>General powers of a court</w:t>
        </w:r>
        <w:r>
          <w:tab/>
        </w:r>
        <w:r>
          <w:fldChar w:fldCharType="begin"/>
        </w:r>
        <w:r>
          <w:instrText xml:space="preserve"> PAGEREF _Toc11748379 \h </w:instrText>
        </w:r>
        <w:r>
          <w:fldChar w:fldCharType="separate"/>
        </w:r>
        <w:r w:rsidR="00A26A46">
          <w:t>7</w:t>
        </w:r>
        <w:r>
          <w:fldChar w:fldCharType="end"/>
        </w:r>
      </w:hyperlink>
    </w:p>
    <w:p w:rsidR="00696CEB" w:rsidRDefault="00546A8E">
      <w:pPr>
        <w:pStyle w:val="TOC1"/>
        <w:rPr>
          <w:rFonts w:asciiTheme="minorHAnsi" w:eastAsiaTheme="minorEastAsia" w:hAnsiTheme="minorHAnsi" w:cstheme="minorBidi"/>
          <w:b w:val="0"/>
          <w:sz w:val="22"/>
          <w:szCs w:val="22"/>
          <w:lang w:eastAsia="en-AU"/>
        </w:rPr>
      </w:pPr>
      <w:hyperlink w:anchor="_Toc11748380" w:history="1">
        <w:r w:rsidR="00696CEB" w:rsidRPr="00EB4515">
          <w:t>Chapter 2</w:t>
        </w:r>
        <w:r w:rsidR="00696CEB">
          <w:rPr>
            <w:rFonts w:asciiTheme="minorHAnsi" w:eastAsiaTheme="minorEastAsia" w:hAnsiTheme="minorHAnsi" w:cstheme="minorBidi"/>
            <w:b w:val="0"/>
            <w:sz w:val="22"/>
            <w:szCs w:val="22"/>
            <w:lang w:eastAsia="en-AU"/>
          </w:rPr>
          <w:tab/>
        </w:r>
        <w:r w:rsidR="00696CEB" w:rsidRPr="00EB4515">
          <w:t>Giving and presenting evidence</w:t>
        </w:r>
        <w:r w:rsidR="00696CEB" w:rsidRPr="00696CEB">
          <w:rPr>
            <w:vanish/>
          </w:rPr>
          <w:tab/>
        </w:r>
        <w:r w:rsidR="00696CEB" w:rsidRPr="00696CEB">
          <w:rPr>
            <w:vanish/>
          </w:rPr>
          <w:fldChar w:fldCharType="begin"/>
        </w:r>
        <w:r w:rsidR="00696CEB" w:rsidRPr="00696CEB">
          <w:rPr>
            <w:vanish/>
          </w:rPr>
          <w:instrText xml:space="preserve"> PAGEREF _Toc11748380 \h </w:instrText>
        </w:r>
        <w:r w:rsidR="00696CEB" w:rsidRPr="00696CEB">
          <w:rPr>
            <w:vanish/>
          </w:rPr>
        </w:r>
        <w:r w:rsidR="00696CEB" w:rsidRPr="00696CEB">
          <w:rPr>
            <w:vanish/>
          </w:rPr>
          <w:fldChar w:fldCharType="separate"/>
        </w:r>
        <w:r w:rsidR="00A26A46">
          <w:rPr>
            <w:vanish/>
          </w:rPr>
          <w:t>8</w:t>
        </w:r>
        <w:r w:rsidR="00696CEB" w:rsidRPr="00696CEB">
          <w:rPr>
            <w:vanish/>
          </w:rP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381" w:history="1">
        <w:r w:rsidR="00696CEB" w:rsidRPr="00EB4515">
          <w:t>Part 2.1</w:t>
        </w:r>
        <w:r w:rsidR="00696CEB">
          <w:rPr>
            <w:rFonts w:asciiTheme="minorHAnsi" w:eastAsiaTheme="minorEastAsia" w:hAnsiTheme="minorHAnsi" w:cstheme="minorBidi"/>
            <w:b w:val="0"/>
            <w:sz w:val="22"/>
            <w:szCs w:val="22"/>
            <w:lang w:eastAsia="en-AU"/>
          </w:rPr>
          <w:tab/>
        </w:r>
        <w:r w:rsidR="00696CEB" w:rsidRPr="00EB4515">
          <w:t>Witnesses</w:t>
        </w:r>
        <w:r w:rsidR="00696CEB" w:rsidRPr="00696CEB">
          <w:rPr>
            <w:vanish/>
          </w:rPr>
          <w:tab/>
        </w:r>
        <w:r w:rsidR="00696CEB" w:rsidRPr="00696CEB">
          <w:rPr>
            <w:vanish/>
          </w:rPr>
          <w:fldChar w:fldCharType="begin"/>
        </w:r>
        <w:r w:rsidR="00696CEB" w:rsidRPr="00696CEB">
          <w:rPr>
            <w:vanish/>
          </w:rPr>
          <w:instrText xml:space="preserve"> PAGEREF _Toc11748381 \h </w:instrText>
        </w:r>
        <w:r w:rsidR="00696CEB" w:rsidRPr="00696CEB">
          <w:rPr>
            <w:vanish/>
          </w:rPr>
        </w:r>
        <w:r w:rsidR="00696CEB" w:rsidRPr="00696CEB">
          <w:rPr>
            <w:vanish/>
          </w:rPr>
          <w:fldChar w:fldCharType="separate"/>
        </w:r>
        <w:r w:rsidR="00A26A46">
          <w:rPr>
            <w:vanish/>
          </w:rPr>
          <w:t>8</w:t>
        </w:r>
        <w:r w:rsidR="00696CEB" w:rsidRPr="00696CEB">
          <w:rPr>
            <w:vanish/>
          </w:rP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382" w:history="1">
        <w:r w:rsidR="00696CEB" w:rsidRPr="00EB4515">
          <w:t>Division 2.1.1</w:t>
        </w:r>
        <w:r w:rsidR="00696CEB">
          <w:rPr>
            <w:rFonts w:asciiTheme="minorHAnsi" w:eastAsiaTheme="minorEastAsia" w:hAnsiTheme="minorHAnsi" w:cstheme="minorBidi"/>
            <w:b w:val="0"/>
            <w:sz w:val="22"/>
            <w:szCs w:val="22"/>
            <w:lang w:eastAsia="en-AU"/>
          </w:rPr>
          <w:tab/>
        </w:r>
        <w:r w:rsidR="00696CEB" w:rsidRPr="00EB4515">
          <w:t>Competence and compellability of witnesses</w:t>
        </w:r>
        <w:r w:rsidR="00696CEB" w:rsidRPr="00696CEB">
          <w:rPr>
            <w:vanish/>
          </w:rPr>
          <w:tab/>
        </w:r>
        <w:r w:rsidR="00696CEB" w:rsidRPr="00696CEB">
          <w:rPr>
            <w:vanish/>
          </w:rPr>
          <w:fldChar w:fldCharType="begin"/>
        </w:r>
        <w:r w:rsidR="00696CEB" w:rsidRPr="00696CEB">
          <w:rPr>
            <w:vanish/>
          </w:rPr>
          <w:instrText xml:space="preserve"> PAGEREF _Toc11748382 \h </w:instrText>
        </w:r>
        <w:r w:rsidR="00696CEB" w:rsidRPr="00696CEB">
          <w:rPr>
            <w:vanish/>
          </w:rPr>
        </w:r>
        <w:r w:rsidR="00696CEB" w:rsidRPr="00696CEB">
          <w:rPr>
            <w:vanish/>
          </w:rPr>
          <w:fldChar w:fldCharType="separate"/>
        </w:r>
        <w:r w:rsidR="00A26A46">
          <w:rPr>
            <w:vanish/>
          </w:rPr>
          <w:t>8</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83" w:history="1">
        <w:r w:rsidRPr="00EB4515">
          <w:t>12</w:t>
        </w:r>
        <w:r>
          <w:rPr>
            <w:rFonts w:asciiTheme="minorHAnsi" w:eastAsiaTheme="minorEastAsia" w:hAnsiTheme="minorHAnsi" w:cstheme="minorBidi"/>
            <w:sz w:val="22"/>
            <w:szCs w:val="22"/>
            <w:lang w:eastAsia="en-AU"/>
          </w:rPr>
          <w:tab/>
        </w:r>
        <w:r w:rsidRPr="00EB4515">
          <w:t>Competence and compellability</w:t>
        </w:r>
        <w:r>
          <w:tab/>
        </w:r>
        <w:r>
          <w:fldChar w:fldCharType="begin"/>
        </w:r>
        <w:r>
          <w:instrText xml:space="preserve"> PAGEREF _Toc11748383 \h </w:instrText>
        </w:r>
        <w:r>
          <w:fldChar w:fldCharType="separate"/>
        </w:r>
        <w:r w:rsidR="00A26A46">
          <w:t>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84" w:history="1">
        <w:r w:rsidRPr="00EB4515">
          <w:t>13</w:t>
        </w:r>
        <w:r>
          <w:rPr>
            <w:rFonts w:asciiTheme="minorHAnsi" w:eastAsiaTheme="minorEastAsia" w:hAnsiTheme="minorHAnsi" w:cstheme="minorBidi"/>
            <w:sz w:val="22"/>
            <w:szCs w:val="22"/>
            <w:lang w:eastAsia="en-AU"/>
          </w:rPr>
          <w:tab/>
        </w:r>
        <w:r w:rsidRPr="00EB4515">
          <w:t>Competence—lack of capacity</w:t>
        </w:r>
        <w:r>
          <w:tab/>
        </w:r>
        <w:r>
          <w:fldChar w:fldCharType="begin"/>
        </w:r>
        <w:r>
          <w:instrText xml:space="preserve"> PAGEREF _Toc11748384 \h </w:instrText>
        </w:r>
        <w:r>
          <w:fldChar w:fldCharType="separate"/>
        </w:r>
        <w:r w:rsidR="00A26A46">
          <w:t>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85" w:history="1">
        <w:r w:rsidRPr="00EB4515">
          <w:t>14</w:t>
        </w:r>
        <w:r>
          <w:rPr>
            <w:rFonts w:asciiTheme="minorHAnsi" w:eastAsiaTheme="minorEastAsia" w:hAnsiTheme="minorHAnsi" w:cstheme="minorBidi"/>
            <w:sz w:val="22"/>
            <w:szCs w:val="22"/>
            <w:lang w:eastAsia="en-AU"/>
          </w:rPr>
          <w:tab/>
        </w:r>
        <w:r w:rsidRPr="00EB4515">
          <w:t>Compellability—reduced capacity</w:t>
        </w:r>
        <w:r>
          <w:tab/>
        </w:r>
        <w:r>
          <w:fldChar w:fldCharType="begin"/>
        </w:r>
        <w:r>
          <w:instrText xml:space="preserve"> PAGEREF _Toc11748385 \h </w:instrText>
        </w:r>
        <w:r>
          <w:fldChar w:fldCharType="separate"/>
        </w:r>
        <w:r w:rsidR="00A26A46">
          <w:t>10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86" w:history="1">
        <w:r w:rsidRPr="00EB4515">
          <w:t>15</w:t>
        </w:r>
        <w:r>
          <w:rPr>
            <w:rFonts w:asciiTheme="minorHAnsi" w:eastAsiaTheme="minorEastAsia" w:hAnsiTheme="minorHAnsi" w:cstheme="minorBidi"/>
            <w:sz w:val="22"/>
            <w:szCs w:val="22"/>
            <w:lang w:eastAsia="en-AU"/>
          </w:rPr>
          <w:tab/>
        </w:r>
        <w:r w:rsidRPr="00EB4515">
          <w:t>Compellability—Sovereign and others</w:t>
        </w:r>
        <w:r>
          <w:tab/>
        </w:r>
        <w:r>
          <w:fldChar w:fldCharType="begin"/>
        </w:r>
        <w:r>
          <w:instrText xml:space="preserve"> PAGEREF _Toc11748386 \h </w:instrText>
        </w:r>
        <w:r>
          <w:fldChar w:fldCharType="separate"/>
        </w:r>
        <w:r w:rsidR="00A26A46">
          <w:t>10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87" w:history="1">
        <w:r w:rsidRPr="00EB4515">
          <w:t>16</w:t>
        </w:r>
        <w:r>
          <w:rPr>
            <w:rFonts w:asciiTheme="minorHAnsi" w:eastAsiaTheme="minorEastAsia" w:hAnsiTheme="minorHAnsi" w:cstheme="minorBidi"/>
            <w:sz w:val="22"/>
            <w:szCs w:val="22"/>
            <w:lang w:eastAsia="en-AU"/>
          </w:rPr>
          <w:tab/>
        </w:r>
        <w:r w:rsidRPr="00EB4515">
          <w:t>Competence and compellability—judges and jurors</w:t>
        </w:r>
        <w:r>
          <w:tab/>
        </w:r>
        <w:r>
          <w:fldChar w:fldCharType="begin"/>
        </w:r>
        <w:r>
          <w:instrText xml:space="preserve"> PAGEREF _Toc11748387 \h </w:instrText>
        </w:r>
        <w:r>
          <w:fldChar w:fldCharType="separate"/>
        </w:r>
        <w:r w:rsidR="00A26A46">
          <w:t>11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88" w:history="1">
        <w:r w:rsidRPr="00EB4515">
          <w:t>17</w:t>
        </w:r>
        <w:r>
          <w:rPr>
            <w:rFonts w:asciiTheme="minorHAnsi" w:eastAsiaTheme="minorEastAsia" w:hAnsiTheme="minorHAnsi" w:cstheme="minorBidi"/>
            <w:sz w:val="22"/>
            <w:szCs w:val="22"/>
            <w:lang w:eastAsia="en-AU"/>
          </w:rPr>
          <w:tab/>
        </w:r>
        <w:r w:rsidRPr="00EB4515">
          <w:t>Competence and compellability—defendants in criminal proceedings</w:t>
        </w:r>
        <w:r>
          <w:tab/>
        </w:r>
        <w:r>
          <w:fldChar w:fldCharType="begin"/>
        </w:r>
        <w:r>
          <w:instrText xml:space="preserve"> PAGEREF _Toc11748388 \h </w:instrText>
        </w:r>
        <w:r>
          <w:fldChar w:fldCharType="separate"/>
        </w:r>
        <w:r w:rsidR="00A26A46">
          <w:t>11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89" w:history="1">
        <w:r w:rsidRPr="00EB4515">
          <w:t>18</w:t>
        </w:r>
        <w:r>
          <w:rPr>
            <w:rFonts w:asciiTheme="minorHAnsi" w:eastAsiaTheme="minorEastAsia" w:hAnsiTheme="minorHAnsi" w:cstheme="minorBidi"/>
            <w:sz w:val="22"/>
            <w:szCs w:val="22"/>
            <w:lang w:eastAsia="en-AU"/>
          </w:rPr>
          <w:tab/>
        </w:r>
        <w:r w:rsidRPr="00EB4515">
          <w:t>Compellability of domestic partners and others in criminal proceedings generally</w:t>
        </w:r>
        <w:r>
          <w:tab/>
        </w:r>
        <w:r>
          <w:fldChar w:fldCharType="begin"/>
        </w:r>
        <w:r>
          <w:instrText xml:space="preserve"> PAGEREF _Toc11748389 \h </w:instrText>
        </w:r>
        <w:r>
          <w:fldChar w:fldCharType="separate"/>
        </w:r>
        <w:r w:rsidR="00A26A46">
          <w:t>12</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90" w:history="1">
        <w:r w:rsidRPr="00EB4515">
          <w:t>19</w:t>
        </w:r>
        <w:r>
          <w:rPr>
            <w:rFonts w:asciiTheme="minorHAnsi" w:eastAsiaTheme="minorEastAsia" w:hAnsiTheme="minorHAnsi" w:cstheme="minorBidi"/>
            <w:sz w:val="22"/>
            <w:szCs w:val="22"/>
            <w:lang w:eastAsia="en-AU"/>
          </w:rPr>
          <w:tab/>
        </w:r>
        <w:r w:rsidRPr="00EB4515">
          <w:t>Compellability of domestic partners and others in certain criminal proceedings</w:t>
        </w:r>
        <w:r>
          <w:tab/>
        </w:r>
        <w:r>
          <w:fldChar w:fldCharType="begin"/>
        </w:r>
        <w:r>
          <w:instrText xml:space="preserve"> PAGEREF _Toc11748390 \h </w:instrText>
        </w:r>
        <w:r>
          <w:fldChar w:fldCharType="separate"/>
        </w:r>
        <w:r w:rsidR="00A26A46">
          <w:t>13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91" w:history="1">
        <w:r w:rsidRPr="00EB4515">
          <w:t>20</w:t>
        </w:r>
        <w:r>
          <w:rPr>
            <w:rFonts w:asciiTheme="minorHAnsi" w:eastAsiaTheme="minorEastAsia" w:hAnsiTheme="minorHAnsi" w:cstheme="minorBidi"/>
            <w:sz w:val="22"/>
            <w:szCs w:val="22"/>
            <w:lang w:eastAsia="en-AU"/>
          </w:rPr>
          <w:tab/>
        </w:r>
        <w:r w:rsidRPr="00EB4515">
          <w:t>Comment on failure to give evidence</w:t>
        </w:r>
        <w:r>
          <w:tab/>
        </w:r>
        <w:r>
          <w:fldChar w:fldCharType="begin"/>
        </w:r>
        <w:r>
          <w:instrText xml:space="preserve"> PAGEREF _Toc11748391 \h </w:instrText>
        </w:r>
        <w:r>
          <w:fldChar w:fldCharType="separate"/>
        </w:r>
        <w:r w:rsidR="00A26A46">
          <w:t>14</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392" w:history="1">
        <w:r w:rsidR="00696CEB" w:rsidRPr="00EB4515">
          <w:t>Division 2.1.2</w:t>
        </w:r>
        <w:r w:rsidR="00696CEB">
          <w:rPr>
            <w:rFonts w:asciiTheme="minorHAnsi" w:eastAsiaTheme="minorEastAsia" w:hAnsiTheme="minorHAnsi" w:cstheme="minorBidi"/>
            <w:b w:val="0"/>
            <w:sz w:val="22"/>
            <w:szCs w:val="22"/>
            <w:lang w:eastAsia="en-AU"/>
          </w:rPr>
          <w:tab/>
        </w:r>
        <w:r w:rsidR="00696CEB" w:rsidRPr="00EB4515">
          <w:t>Oaths and affirmations</w:t>
        </w:r>
        <w:r w:rsidR="00696CEB" w:rsidRPr="00696CEB">
          <w:rPr>
            <w:vanish/>
          </w:rPr>
          <w:tab/>
        </w:r>
        <w:r w:rsidR="00696CEB" w:rsidRPr="00696CEB">
          <w:rPr>
            <w:vanish/>
          </w:rPr>
          <w:fldChar w:fldCharType="begin"/>
        </w:r>
        <w:r w:rsidR="00696CEB" w:rsidRPr="00696CEB">
          <w:rPr>
            <w:vanish/>
          </w:rPr>
          <w:instrText xml:space="preserve"> PAGEREF _Toc11748392 \h </w:instrText>
        </w:r>
        <w:r w:rsidR="00696CEB" w:rsidRPr="00696CEB">
          <w:rPr>
            <w:vanish/>
          </w:rPr>
        </w:r>
        <w:r w:rsidR="00696CEB" w:rsidRPr="00696CEB">
          <w:rPr>
            <w:vanish/>
          </w:rPr>
          <w:fldChar w:fldCharType="separate"/>
        </w:r>
        <w:r w:rsidR="00A26A46">
          <w:rPr>
            <w:vanish/>
          </w:rPr>
          <w:t>15</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93" w:history="1">
        <w:r w:rsidRPr="00EB4515">
          <w:t>21</w:t>
        </w:r>
        <w:r>
          <w:rPr>
            <w:rFonts w:asciiTheme="minorHAnsi" w:eastAsiaTheme="minorEastAsia" w:hAnsiTheme="minorHAnsi" w:cstheme="minorBidi"/>
            <w:sz w:val="22"/>
            <w:szCs w:val="22"/>
            <w:lang w:eastAsia="en-AU"/>
          </w:rPr>
          <w:tab/>
        </w:r>
        <w:r w:rsidRPr="00EB4515">
          <w:t>Sworn evidence of witnesses to be on oath or affirmation</w:t>
        </w:r>
        <w:r>
          <w:tab/>
        </w:r>
        <w:r>
          <w:fldChar w:fldCharType="begin"/>
        </w:r>
        <w:r>
          <w:instrText xml:space="preserve"> PAGEREF _Toc11748393 \h </w:instrText>
        </w:r>
        <w:r>
          <w:fldChar w:fldCharType="separate"/>
        </w:r>
        <w:r w:rsidR="00A26A46">
          <w:t>15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94" w:history="1">
        <w:r w:rsidRPr="00EB4515">
          <w:t>22</w:t>
        </w:r>
        <w:r>
          <w:rPr>
            <w:rFonts w:asciiTheme="minorHAnsi" w:eastAsiaTheme="minorEastAsia" w:hAnsiTheme="minorHAnsi" w:cstheme="minorBidi"/>
            <w:sz w:val="22"/>
            <w:szCs w:val="22"/>
            <w:lang w:eastAsia="en-AU"/>
          </w:rPr>
          <w:tab/>
        </w:r>
        <w:r w:rsidRPr="00EB4515">
          <w:t>Interpreters to act on oath or affirmation</w:t>
        </w:r>
        <w:r>
          <w:tab/>
        </w:r>
        <w:r>
          <w:fldChar w:fldCharType="begin"/>
        </w:r>
        <w:r>
          <w:instrText xml:space="preserve"> PAGEREF _Toc11748394 \h </w:instrText>
        </w:r>
        <w:r>
          <w:fldChar w:fldCharType="separate"/>
        </w:r>
        <w:r w:rsidR="00A26A46">
          <w:t>16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95" w:history="1">
        <w:r w:rsidRPr="00EB4515">
          <w:t>23</w:t>
        </w:r>
        <w:r>
          <w:rPr>
            <w:rFonts w:asciiTheme="minorHAnsi" w:eastAsiaTheme="minorEastAsia" w:hAnsiTheme="minorHAnsi" w:cstheme="minorBidi"/>
            <w:sz w:val="22"/>
            <w:szCs w:val="22"/>
            <w:lang w:eastAsia="en-AU"/>
          </w:rPr>
          <w:tab/>
        </w:r>
        <w:r w:rsidRPr="00EB4515">
          <w:t>Choice of oath or affirmation</w:t>
        </w:r>
        <w:r>
          <w:tab/>
        </w:r>
        <w:r>
          <w:fldChar w:fldCharType="begin"/>
        </w:r>
        <w:r>
          <w:instrText xml:space="preserve"> PAGEREF _Toc11748395 \h </w:instrText>
        </w:r>
        <w:r>
          <w:fldChar w:fldCharType="separate"/>
        </w:r>
        <w:r w:rsidR="00A26A46">
          <w:t>16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96" w:history="1">
        <w:r w:rsidRPr="00EB4515">
          <w:t>24</w:t>
        </w:r>
        <w:r>
          <w:rPr>
            <w:rFonts w:asciiTheme="minorHAnsi" w:eastAsiaTheme="minorEastAsia" w:hAnsiTheme="minorHAnsi" w:cstheme="minorBidi"/>
            <w:sz w:val="22"/>
            <w:szCs w:val="22"/>
            <w:lang w:eastAsia="en-AU"/>
          </w:rPr>
          <w:tab/>
        </w:r>
        <w:r w:rsidRPr="00EB4515">
          <w:t>Requirements for oaths</w:t>
        </w:r>
        <w:r>
          <w:tab/>
        </w:r>
        <w:r>
          <w:fldChar w:fldCharType="begin"/>
        </w:r>
        <w:r>
          <w:instrText xml:space="preserve"> PAGEREF _Toc11748396 \h </w:instrText>
        </w:r>
        <w:r>
          <w:fldChar w:fldCharType="separate"/>
        </w:r>
        <w:r w:rsidR="00A26A46">
          <w:t>17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97" w:history="1">
        <w:r w:rsidRPr="00EB4515">
          <w:t>24A</w:t>
        </w:r>
        <w:r>
          <w:rPr>
            <w:rFonts w:asciiTheme="minorHAnsi" w:eastAsiaTheme="minorEastAsia" w:hAnsiTheme="minorHAnsi" w:cstheme="minorBidi"/>
            <w:sz w:val="22"/>
            <w:szCs w:val="22"/>
            <w:lang w:eastAsia="en-AU"/>
          </w:rPr>
          <w:tab/>
        </w:r>
        <w:r w:rsidRPr="00EB4515">
          <w:t>Alternative oath</w:t>
        </w:r>
        <w:r>
          <w:tab/>
        </w:r>
        <w:r>
          <w:fldChar w:fldCharType="begin"/>
        </w:r>
        <w:r>
          <w:instrText xml:space="preserve"> PAGEREF _Toc11748397 \h </w:instrText>
        </w:r>
        <w:r>
          <w:fldChar w:fldCharType="separate"/>
        </w:r>
        <w:r w:rsidR="00A26A46">
          <w:t>17</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398" w:history="1">
        <w:r w:rsidR="00696CEB" w:rsidRPr="00EB4515">
          <w:t>Division 2.1.3</w:t>
        </w:r>
        <w:r w:rsidR="00696CEB">
          <w:rPr>
            <w:rFonts w:asciiTheme="minorHAnsi" w:eastAsiaTheme="minorEastAsia" w:hAnsiTheme="minorHAnsi" w:cstheme="minorBidi"/>
            <w:b w:val="0"/>
            <w:sz w:val="22"/>
            <w:szCs w:val="22"/>
            <w:lang w:eastAsia="en-AU"/>
          </w:rPr>
          <w:tab/>
        </w:r>
        <w:r w:rsidR="00696CEB" w:rsidRPr="00EB4515">
          <w:t>General rules about giving evidence</w:t>
        </w:r>
        <w:r w:rsidR="00696CEB" w:rsidRPr="00696CEB">
          <w:rPr>
            <w:vanish/>
          </w:rPr>
          <w:tab/>
        </w:r>
        <w:r w:rsidR="00696CEB" w:rsidRPr="00696CEB">
          <w:rPr>
            <w:vanish/>
          </w:rPr>
          <w:fldChar w:fldCharType="begin"/>
        </w:r>
        <w:r w:rsidR="00696CEB" w:rsidRPr="00696CEB">
          <w:rPr>
            <w:vanish/>
          </w:rPr>
          <w:instrText xml:space="preserve"> PAGEREF _Toc11748398 \h </w:instrText>
        </w:r>
        <w:r w:rsidR="00696CEB" w:rsidRPr="00696CEB">
          <w:rPr>
            <w:vanish/>
          </w:rPr>
        </w:r>
        <w:r w:rsidR="00696CEB" w:rsidRPr="00696CEB">
          <w:rPr>
            <w:vanish/>
          </w:rPr>
          <w:fldChar w:fldCharType="separate"/>
        </w:r>
        <w:r w:rsidR="00A26A46">
          <w:rPr>
            <w:vanish/>
          </w:rPr>
          <w:t>17</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399" w:history="1">
        <w:r w:rsidRPr="00EB4515">
          <w:t>26</w:t>
        </w:r>
        <w:r>
          <w:rPr>
            <w:rFonts w:asciiTheme="minorHAnsi" w:eastAsiaTheme="minorEastAsia" w:hAnsiTheme="minorHAnsi" w:cstheme="minorBidi"/>
            <w:sz w:val="22"/>
            <w:szCs w:val="22"/>
            <w:lang w:eastAsia="en-AU"/>
          </w:rPr>
          <w:tab/>
        </w:r>
        <w:r w:rsidRPr="00EB4515">
          <w:t>Court’s control over questioning of witnesses</w:t>
        </w:r>
        <w:r>
          <w:tab/>
        </w:r>
        <w:r>
          <w:fldChar w:fldCharType="begin"/>
        </w:r>
        <w:r>
          <w:instrText xml:space="preserve"> PAGEREF _Toc11748399 \h </w:instrText>
        </w:r>
        <w:r>
          <w:fldChar w:fldCharType="separate"/>
        </w:r>
        <w:r w:rsidR="00A26A46">
          <w:t>17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00" w:history="1">
        <w:r w:rsidRPr="00EB4515">
          <w:t>27</w:t>
        </w:r>
        <w:r>
          <w:rPr>
            <w:rFonts w:asciiTheme="minorHAnsi" w:eastAsiaTheme="minorEastAsia" w:hAnsiTheme="minorHAnsi" w:cstheme="minorBidi"/>
            <w:sz w:val="22"/>
            <w:szCs w:val="22"/>
            <w:lang w:eastAsia="en-AU"/>
          </w:rPr>
          <w:tab/>
        </w:r>
        <w:r w:rsidRPr="00EB4515">
          <w:t>Parties may question witnesses</w:t>
        </w:r>
        <w:r>
          <w:tab/>
        </w:r>
        <w:r>
          <w:fldChar w:fldCharType="begin"/>
        </w:r>
        <w:r>
          <w:instrText xml:space="preserve"> PAGEREF _Toc11748400 \h </w:instrText>
        </w:r>
        <w:r>
          <w:fldChar w:fldCharType="separate"/>
        </w:r>
        <w:r w:rsidR="00A26A46">
          <w:t>18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01" w:history="1">
        <w:r w:rsidRPr="00EB4515">
          <w:t>28</w:t>
        </w:r>
        <w:r>
          <w:rPr>
            <w:rFonts w:asciiTheme="minorHAnsi" w:eastAsiaTheme="minorEastAsia" w:hAnsiTheme="minorHAnsi" w:cstheme="minorBidi"/>
            <w:sz w:val="22"/>
            <w:szCs w:val="22"/>
            <w:lang w:eastAsia="en-AU"/>
          </w:rPr>
          <w:tab/>
        </w:r>
        <w:r w:rsidRPr="00EB4515">
          <w:t>Order of examination-in-chief, cross-examination and re</w:t>
        </w:r>
        <w:r w:rsidRPr="00EB4515">
          <w:noBreakHyphen/>
          <w:t>examination</w:t>
        </w:r>
        <w:r>
          <w:tab/>
        </w:r>
        <w:r>
          <w:fldChar w:fldCharType="begin"/>
        </w:r>
        <w:r>
          <w:instrText xml:space="preserve"> PAGEREF _Toc11748401 \h </w:instrText>
        </w:r>
        <w:r>
          <w:fldChar w:fldCharType="separate"/>
        </w:r>
        <w:r w:rsidR="00A26A46">
          <w:t>18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02" w:history="1">
        <w:r w:rsidRPr="00EB4515">
          <w:t>29</w:t>
        </w:r>
        <w:r>
          <w:rPr>
            <w:rFonts w:asciiTheme="minorHAnsi" w:eastAsiaTheme="minorEastAsia" w:hAnsiTheme="minorHAnsi" w:cstheme="minorBidi"/>
            <w:sz w:val="22"/>
            <w:szCs w:val="22"/>
            <w:lang w:eastAsia="en-AU"/>
          </w:rPr>
          <w:tab/>
        </w:r>
        <w:r w:rsidRPr="00EB4515">
          <w:t>Manner and form of questioning witnesses and their responses</w:t>
        </w:r>
        <w:r>
          <w:tab/>
        </w:r>
        <w:r>
          <w:fldChar w:fldCharType="begin"/>
        </w:r>
        <w:r>
          <w:instrText xml:space="preserve"> PAGEREF _Toc11748402 \h </w:instrText>
        </w:r>
        <w:r>
          <w:fldChar w:fldCharType="separate"/>
        </w:r>
        <w:r w:rsidR="00A26A46">
          <w:t>18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03" w:history="1">
        <w:r w:rsidRPr="00EB4515">
          <w:t>30</w:t>
        </w:r>
        <w:r>
          <w:rPr>
            <w:rFonts w:asciiTheme="minorHAnsi" w:eastAsiaTheme="minorEastAsia" w:hAnsiTheme="minorHAnsi" w:cstheme="minorBidi"/>
            <w:sz w:val="22"/>
            <w:szCs w:val="22"/>
            <w:lang w:eastAsia="en-AU"/>
          </w:rPr>
          <w:tab/>
        </w:r>
        <w:r w:rsidRPr="00EB4515">
          <w:t>Interpreters</w:t>
        </w:r>
        <w:r>
          <w:tab/>
        </w:r>
        <w:r>
          <w:fldChar w:fldCharType="begin"/>
        </w:r>
        <w:r>
          <w:instrText xml:space="preserve"> PAGEREF _Toc11748403 \h </w:instrText>
        </w:r>
        <w:r>
          <w:fldChar w:fldCharType="separate"/>
        </w:r>
        <w:r w:rsidR="00A26A46">
          <w:t>18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04" w:history="1">
        <w:r w:rsidRPr="00EB4515">
          <w:t>31</w:t>
        </w:r>
        <w:r>
          <w:rPr>
            <w:rFonts w:asciiTheme="minorHAnsi" w:eastAsiaTheme="minorEastAsia" w:hAnsiTheme="minorHAnsi" w:cstheme="minorBidi"/>
            <w:sz w:val="22"/>
            <w:szCs w:val="22"/>
            <w:lang w:eastAsia="en-AU"/>
          </w:rPr>
          <w:tab/>
        </w:r>
        <w:r w:rsidRPr="00EB4515">
          <w:t>Deaf and mute witnesses</w:t>
        </w:r>
        <w:r>
          <w:tab/>
        </w:r>
        <w:r>
          <w:fldChar w:fldCharType="begin"/>
        </w:r>
        <w:r>
          <w:instrText xml:space="preserve"> PAGEREF _Toc11748404 \h </w:instrText>
        </w:r>
        <w:r>
          <w:fldChar w:fldCharType="separate"/>
        </w:r>
        <w:r w:rsidR="00A26A46">
          <w:t>19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05" w:history="1">
        <w:r w:rsidRPr="00EB4515">
          <w:t>32</w:t>
        </w:r>
        <w:r>
          <w:rPr>
            <w:rFonts w:asciiTheme="minorHAnsi" w:eastAsiaTheme="minorEastAsia" w:hAnsiTheme="minorHAnsi" w:cstheme="minorBidi"/>
            <w:sz w:val="22"/>
            <w:szCs w:val="22"/>
            <w:lang w:eastAsia="en-AU"/>
          </w:rPr>
          <w:tab/>
        </w:r>
        <w:r w:rsidRPr="00EB4515">
          <w:t>Attempts to revive memory in court</w:t>
        </w:r>
        <w:r>
          <w:tab/>
        </w:r>
        <w:r>
          <w:fldChar w:fldCharType="begin"/>
        </w:r>
        <w:r>
          <w:instrText xml:space="preserve"> PAGEREF _Toc11748405 \h </w:instrText>
        </w:r>
        <w:r>
          <w:fldChar w:fldCharType="separate"/>
        </w:r>
        <w:r w:rsidR="00A26A46">
          <w:t>19</w:t>
        </w:r>
        <w:r>
          <w:fldChar w:fldCharType="end"/>
        </w:r>
      </w:hyperlink>
    </w:p>
    <w:p w:rsidR="00696CEB" w:rsidRDefault="00696CEB">
      <w:pPr>
        <w:pStyle w:val="TOC5"/>
        <w:rPr>
          <w:rFonts w:asciiTheme="minorHAnsi" w:eastAsiaTheme="minorEastAsia" w:hAnsiTheme="minorHAnsi" w:cstheme="minorBidi"/>
          <w:sz w:val="22"/>
          <w:szCs w:val="22"/>
          <w:lang w:eastAsia="en-AU"/>
        </w:rPr>
      </w:pPr>
      <w:r>
        <w:lastRenderedPageBreak/>
        <w:tab/>
      </w:r>
      <w:hyperlink w:anchor="_Toc11748406" w:history="1">
        <w:r w:rsidRPr="00EB4515">
          <w:t>33</w:t>
        </w:r>
        <w:r>
          <w:rPr>
            <w:rFonts w:asciiTheme="minorHAnsi" w:eastAsiaTheme="minorEastAsia" w:hAnsiTheme="minorHAnsi" w:cstheme="minorBidi"/>
            <w:sz w:val="22"/>
            <w:szCs w:val="22"/>
            <w:lang w:eastAsia="en-AU"/>
          </w:rPr>
          <w:tab/>
        </w:r>
        <w:r w:rsidRPr="00EB4515">
          <w:t>Evidence given by police officers</w:t>
        </w:r>
        <w:r>
          <w:tab/>
        </w:r>
        <w:r>
          <w:fldChar w:fldCharType="begin"/>
        </w:r>
        <w:r>
          <w:instrText xml:space="preserve"> PAGEREF _Toc11748406 \h </w:instrText>
        </w:r>
        <w:r>
          <w:fldChar w:fldCharType="separate"/>
        </w:r>
        <w:r w:rsidR="00A26A46">
          <w:t>20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07" w:history="1">
        <w:r w:rsidRPr="00EB4515">
          <w:t>34</w:t>
        </w:r>
        <w:r>
          <w:rPr>
            <w:rFonts w:asciiTheme="minorHAnsi" w:eastAsiaTheme="minorEastAsia" w:hAnsiTheme="minorHAnsi" w:cstheme="minorBidi"/>
            <w:sz w:val="22"/>
            <w:szCs w:val="22"/>
            <w:lang w:eastAsia="en-AU"/>
          </w:rPr>
          <w:tab/>
        </w:r>
        <w:r w:rsidRPr="00EB4515">
          <w:t>Attempts to revive memory out of court</w:t>
        </w:r>
        <w:r>
          <w:tab/>
        </w:r>
        <w:r>
          <w:fldChar w:fldCharType="begin"/>
        </w:r>
        <w:r>
          <w:instrText xml:space="preserve"> PAGEREF _Toc11748407 \h </w:instrText>
        </w:r>
        <w:r>
          <w:fldChar w:fldCharType="separate"/>
        </w:r>
        <w:r w:rsidR="00A26A46">
          <w:t>21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08" w:history="1">
        <w:r w:rsidRPr="00EB4515">
          <w:t>35</w:t>
        </w:r>
        <w:r>
          <w:rPr>
            <w:rFonts w:asciiTheme="minorHAnsi" w:eastAsiaTheme="minorEastAsia" w:hAnsiTheme="minorHAnsi" w:cstheme="minorBidi"/>
            <w:sz w:val="22"/>
            <w:szCs w:val="22"/>
            <w:lang w:eastAsia="en-AU"/>
          </w:rPr>
          <w:tab/>
        </w:r>
        <w:r w:rsidRPr="00EB4515">
          <w:t>Effect of calling for production of documents</w:t>
        </w:r>
        <w:r>
          <w:tab/>
        </w:r>
        <w:r>
          <w:fldChar w:fldCharType="begin"/>
        </w:r>
        <w:r>
          <w:instrText xml:space="preserve"> PAGEREF _Toc11748408 \h </w:instrText>
        </w:r>
        <w:r>
          <w:fldChar w:fldCharType="separate"/>
        </w:r>
        <w:r w:rsidR="00A26A46">
          <w:t>21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09" w:history="1">
        <w:r w:rsidRPr="00EB4515">
          <w:t>36</w:t>
        </w:r>
        <w:r>
          <w:rPr>
            <w:rFonts w:asciiTheme="minorHAnsi" w:eastAsiaTheme="minorEastAsia" w:hAnsiTheme="minorHAnsi" w:cstheme="minorBidi"/>
            <w:sz w:val="22"/>
            <w:szCs w:val="22"/>
            <w:lang w:eastAsia="en-AU"/>
          </w:rPr>
          <w:tab/>
        </w:r>
        <w:r w:rsidRPr="00EB4515">
          <w:t>Person may be examined without subpoena or other process</w:t>
        </w:r>
        <w:r>
          <w:tab/>
        </w:r>
        <w:r>
          <w:fldChar w:fldCharType="begin"/>
        </w:r>
        <w:r>
          <w:instrText xml:space="preserve"> PAGEREF _Toc11748409 \h </w:instrText>
        </w:r>
        <w:r>
          <w:fldChar w:fldCharType="separate"/>
        </w:r>
        <w:r w:rsidR="00A26A46">
          <w:t>21</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410" w:history="1">
        <w:r w:rsidR="00696CEB" w:rsidRPr="00EB4515">
          <w:t>Division 2.1.4</w:t>
        </w:r>
        <w:r w:rsidR="00696CEB">
          <w:rPr>
            <w:rFonts w:asciiTheme="minorHAnsi" w:eastAsiaTheme="minorEastAsia" w:hAnsiTheme="minorHAnsi" w:cstheme="minorBidi"/>
            <w:b w:val="0"/>
            <w:sz w:val="22"/>
            <w:szCs w:val="22"/>
            <w:lang w:eastAsia="en-AU"/>
          </w:rPr>
          <w:tab/>
        </w:r>
        <w:r w:rsidR="00696CEB" w:rsidRPr="00EB4515">
          <w:t>Examination-in-chief and re</w:t>
        </w:r>
        <w:r w:rsidR="00696CEB" w:rsidRPr="00EB4515">
          <w:noBreakHyphen/>
          <w:t>examination</w:t>
        </w:r>
        <w:r w:rsidR="00696CEB" w:rsidRPr="00696CEB">
          <w:rPr>
            <w:vanish/>
          </w:rPr>
          <w:tab/>
        </w:r>
        <w:r w:rsidR="00696CEB" w:rsidRPr="00696CEB">
          <w:rPr>
            <w:vanish/>
          </w:rPr>
          <w:fldChar w:fldCharType="begin"/>
        </w:r>
        <w:r w:rsidR="00696CEB" w:rsidRPr="00696CEB">
          <w:rPr>
            <w:vanish/>
          </w:rPr>
          <w:instrText xml:space="preserve"> PAGEREF _Toc11748410 \h </w:instrText>
        </w:r>
        <w:r w:rsidR="00696CEB" w:rsidRPr="00696CEB">
          <w:rPr>
            <w:vanish/>
          </w:rPr>
        </w:r>
        <w:r w:rsidR="00696CEB" w:rsidRPr="00696CEB">
          <w:rPr>
            <w:vanish/>
          </w:rPr>
          <w:fldChar w:fldCharType="separate"/>
        </w:r>
        <w:r w:rsidR="00A26A46">
          <w:rPr>
            <w:vanish/>
          </w:rPr>
          <w:t>22</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11" w:history="1">
        <w:r w:rsidRPr="00EB4515">
          <w:t>37</w:t>
        </w:r>
        <w:r>
          <w:rPr>
            <w:rFonts w:asciiTheme="minorHAnsi" w:eastAsiaTheme="minorEastAsia" w:hAnsiTheme="minorHAnsi" w:cstheme="minorBidi"/>
            <w:sz w:val="22"/>
            <w:szCs w:val="22"/>
            <w:lang w:eastAsia="en-AU"/>
          </w:rPr>
          <w:tab/>
        </w:r>
        <w:r w:rsidRPr="00EB4515">
          <w:t>Leading questions</w:t>
        </w:r>
        <w:r>
          <w:tab/>
        </w:r>
        <w:r>
          <w:fldChar w:fldCharType="begin"/>
        </w:r>
        <w:r>
          <w:instrText xml:space="preserve"> PAGEREF _Toc11748411 \h </w:instrText>
        </w:r>
        <w:r>
          <w:fldChar w:fldCharType="separate"/>
        </w:r>
        <w:r w:rsidR="00A26A46">
          <w:t>22</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12" w:history="1">
        <w:r w:rsidRPr="00EB4515">
          <w:t>38</w:t>
        </w:r>
        <w:r>
          <w:rPr>
            <w:rFonts w:asciiTheme="minorHAnsi" w:eastAsiaTheme="minorEastAsia" w:hAnsiTheme="minorHAnsi" w:cstheme="minorBidi"/>
            <w:sz w:val="22"/>
            <w:szCs w:val="22"/>
            <w:lang w:eastAsia="en-AU"/>
          </w:rPr>
          <w:tab/>
        </w:r>
        <w:r w:rsidRPr="00EB4515">
          <w:t>Unfavourable witnesses</w:t>
        </w:r>
        <w:r>
          <w:tab/>
        </w:r>
        <w:r>
          <w:fldChar w:fldCharType="begin"/>
        </w:r>
        <w:r>
          <w:instrText xml:space="preserve"> PAGEREF _Toc11748412 \h </w:instrText>
        </w:r>
        <w:r>
          <w:fldChar w:fldCharType="separate"/>
        </w:r>
        <w:r w:rsidR="00A26A46">
          <w:t>23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13" w:history="1">
        <w:r w:rsidRPr="00EB4515">
          <w:t>39</w:t>
        </w:r>
        <w:r>
          <w:rPr>
            <w:rFonts w:asciiTheme="minorHAnsi" w:eastAsiaTheme="minorEastAsia" w:hAnsiTheme="minorHAnsi" w:cstheme="minorBidi"/>
            <w:sz w:val="22"/>
            <w:szCs w:val="22"/>
            <w:lang w:eastAsia="en-AU"/>
          </w:rPr>
          <w:tab/>
        </w:r>
        <w:r w:rsidRPr="00EB4515">
          <w:t>Limits on re-examination</w:t>
        </w:r>
        <w:r>
          <w:tab/>
        </w:r>
        <w:r>
          <w:fldChar w:fldCharType="begin"/>
        </w:r>
        <w:r>
          <w:instrText xml:space="preserve"> PAGEREF _Toc11748413 \h </w:instrText>
        </w:r>
        <w:r>
          <w:fldChar w:fldCharType="separate"/>
        </w:r>
        <w:r w:rsidR="00A26A46">
          <w:t>24</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414" w:history="1">
        <w:r w:rsidR="00696CEB" w:rsidRPr="00EB4515">
          <w:t>Division 2.1.5</w:t>
        </w:r>
        <w:r w:rsidR="00696CEB">
          <w:rPr>
            <w:rFonts w:asciiTheme="minorHAnsi" w:eastAsiaTheme="minorEastAsia" w:hAnsiTheme="minorHAnsi" w:cstheme="minorBidi"/>
            <w:b w:val="0"/>
            <w:sz w:val="22"/>
            <w:szCs w:val="22"/>
            <w:lang w:eastAsia="en-AU"/>
          </w:rPr>
          <w:tab/>
        </w:r>
        <w:r w:rsidR="00696CEB" w:rsidRPr="00EB4515">
          <w:t>Cross-examination</w:t>
        </w:r>
        <w:r w:rsidR="00696CEB" w:rsidRPr="00696CEB">
          <w:rPr>
            <w:vanish/>
          </w:rPr>
          <w:tab/>
        </w:r>
        <w:r w:rsidR="00696CEB" w:rsidRPr="00696CEB">
          <w:rPr>
            <w:vanish/>
          </w:rPr>
          <w:fldChar w:fldCharType="begin"/>
        </w:r>
        <w:r w:rsidR="00696CEB" w:rsidRPr="00696CEB">
          <w:rPr>
            <w:vanish/>
          </w:rPr>
          <w:instrText xml:space="preserve"> PAGEREF _Toc11748414 \h </w:instrText>
        </w:r>
        <w:r w:rsidR="00696CEB" w:rsidRPr="00696CEB">
          <w:rPr>
            <w:vanish/>
          </w:rPr>
        </w:r>
        <w:r w:rsidR="00696CEB" w:rsidRPr="00696CEB">
          <w:rPr>
            <w:vanish/>
          </w:rPr>
          <w:fldChar w:fldCharType="separate"/>
        </w:r>
        <w:r w:rsidR="00A26A46">
          <w:rPr>
            <w:vanish/>
          </w:rPr>
          <w:t>25</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15" w:history="1">
        <w:r w:rsidRPr="00EB4515">
          <w:t>40</w:t>
        </w:r>
        <w:r>
          <w:rPr>
            <w:rFonts w:asciiTheme="minorHAnsi" w:eastAsiaTheme="minorEastAsia" w:hAnsiTheme="minorHAnsi" w:cstheme="minorBidi"/>
            <w:sz w:val="22"/>
            <w:szCs w:val="22"/>
            <w:lang w:eastAsia="en-AU"/>
          </w:rPr>
          <w:tab/>
        </w:r>
        <w:r w:rsidRPr="00EB4515">
          <w:t>Witness called in error</w:t>
        </w:r>
        <w:r>
          <w:tab/>
        </w:r>
        <w:r>
          <w:fldChar w:fldCharType="begin"/>
        </w:r>
        <w:r>
          <w:instrText xml:space="preserve"> PAGEREF _Toc11748415 \h </w:instrText>
        </w:r>
        <w:r>
          <w:fldChar w:fldCharType="separate"/>
        </w:r>
        <w:r w:rsidR="00A26A46">
          <w:t>25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16" w:history="1">
        <w:r w:rsidRPr="00EB4515">
          <w:t>41</w:t>
        </w:r>
        <w:r>
          <w:rPr>
            <w:rFonts w:asciiTheme="minorHAnsi" w:eastAsiaTheme="minorEastAsia" w:hAnsiTheme="minorHAnsi" w:cstheme="minorBidi"/>
            <w:sz w:val="22"/>
            <w:szCs w:val="22"/>
            <w:lang w:eastAsia="en-AU"/>
          </w:rPr>
          <w:tab/>
        </w:r>
        <w:r w:rsidRPr="00EB4515">
          <w:t>Improper questions</w:t>
        </w:r>
        <w:r>
          <w:tab/>
        </w:r>
        <w:r>
          <w:fldChar w:fldCharType="begin"/>
        </w:r>
        <w:r>
          <w:instrText xml:space="preserve"> PAGEREF _Toc11748416 \h </w:instrText>
        </w:r>
        <w:r>
          <w:fldChar w:fldCharType="separate"/>
        </w:r>
        <w:r w:rsidR="00A26A46">
          <w:t>25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17" w:history="1">
        <w:r w:rsidRPr="00EB4515">
          <w:t>42</w:t>
        </w:r>
        <w:r>
          <w:rPr>
            <w:rFonts w:asciiTheme="minorHAnsi" w:eastAsiaTheme="minorEastAsia" w:hAnsiTheme="minorHAnsi" w:cstheme="minorBidi"/>
            <w:sz w:val="22"/>
            <w:szCs w:val="22"/>
            <w:lang w:eastAsia="en-AU"/>
          </w:rPr>
          <w:tab/>
        </w:r>
        <w:r w:rsidRPr="00EB4515">
          <w:t>Leading questions</w:t>
        </w:r>
        <w:r>
          <w:tab/>
        </w:r>
        <w:r>
          <w:fldChar w:fldCharType="begin"/>
        </w:r>
        <w:r>
          <w:instrText xml:space="preserve"> PAGEREF _Toc11748417 \h </w:instrText>
        </w:r>
        <w:r>
          <w:fldChar w:fldCharType="separate"/>
        </w:r>
        <w:r w:rsidR="00A26A46">
          <w:t>27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18" w:history="1">
        <w:r w:rsidRPr="00EB4515">
          <w:t>43</w:t>
        </w:r>
        <w:r>
          <w:rPr>
            <w:rFonts w:asciiTheme="minorHAnsi" w:eastAsiaTheme="minorEastAsia" w:hAnsiTheme="minorHAnsi" w:cstheme="minorBidi"/>
            <w:sz w:val="22"/>
            <w:szCs w:val="22"/>
            <w:lang w:eastAsia="en-AU"/>
          </w:rPr>
          <w:tab/>
        </w:r>
        <w:r w:rsidRPr="00EB4515">
          <w:t>Prior inconsistent statements of witnesses</w:t>
        </w:r>
        <w:r>
          <w:tab/>
        </w:r>
        <w:r>
          <w:fldChar w:fldCharType="begin"/>
        </w:r>
        <w:r>
          <w:instrText xml:space="preserve"> PAGEREF _Toc11748418 \h </w:instrText>
        </w:r>
        <w:r>
          <w:fldChar w:fldCharType="separate"/>
        </w:r>
        <w:r w:rsidR="00A26A46">
          <w:t>28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19" w:history="1">
        <w:r w:rsidRPr="00EB4515">
          <w:t>44</w:t>
        </w:r>
        <w:r>
          <w:rPr>
            <w:rFonts w:asciiTheme="minorHAnsi" w:eastAsiaTheme="minorEastAsia" w:hAnsiTheme="minorHAnsi" w:cstheme="minorBidi"/>
            <w:sz w:val="22"/>
            <w:szCs w:val="22"/>
            <w:lang w:eastAsia="en-AU"/>
          </w:rPr>
          <w:tab/>
        </w:r>
        <w:r w:rsidRPr="00EB4515">
          <w:t>Previous representations of other people</w:t>
        </w:r>
        <w:r>
          <w:tab/>
        </w:r>
        <w:r>
          <w:fldChar w:fldCharType="begin"/>
        </w:r>
        <w:r>
          <w:instrText xml:space="preserve"> PAGEREF _Toc11748419 \h </w:instrText>
        </w:r>
        <w:r>
          <w:fldChar w:fldCharType="separate"/>
        </w:r>
        <w:r w:rsidR="00A26A46">
          <w:t>28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20" w:history="1">
        <w:r w:rsidRPr="00EB4515">
          <w:t>45</w:t>
        </w:r>
        <w:r>
          <w:rPr>
            <w:rFonts w:asciiTheme="minorHAnsi" w:eastAsiaTheme="minorEastAsia" w:hAnsiTheme="minorHAnsi" w:cstheme="minorBidi"/>
            <w:sz w:val="22"/>
            <w:szCs w:val="22"/>
            <w:lang w:eastAsia="en-AU"/>
          </w:rPr>
          <w:tab/>
        </w:r>
        <w:r w:rsidRPr="00EB4515">
          <w:t>Production of documents</w:t>
        </w:r>
        <w:r>
          <w:tab/>
        </w:r>
        <w:r>
          <w:fldChar w:fldCharType="begin"/>
        </w:r>
        <w:r>
          <w:instrText xml:space="preserve"> PAGEREF _Toc11748420 \h </w:instrText>
        </w:r>
        <w:r>
          <w:fldChar w:fldCharType="separate"/>
        </w:r>
        <w:r w:rsidR="00A26A46">
          <w:t>29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21" w:history="1">
        <w:r w:rsidRPr="00EB4515">
          <w:t>46</w:t>
        </w:r>
        <w:r>
          <w:rPr>
            <w:rFonts w:asciiTheme="minorHAnsi" w:eastAsiaTheme="minorEastAsia" w:hAnsiTheme="minorHAnsi" w:cstheme="minorBidi"/>
            <w:sz w:val="22"/>
            <w:szCs w:val="22"/>
            <w:lang w:eastAsia="en-AU"/>
          </w:rPr>
          <w:tab/>
        </w:r>
        <w:r w:rsidRPr="00EB4515">
          <w:t>Leave to recall witnesses</w:t>
        </w:r>
        <w:r>
          <w:tab/>
        </w:r>
        <w:r>
          <w:fldChar w:fldCharType="begin"/>
        </w:r>
        <w:r>
          <w:instrText xml:space="preserve"> PAGEREF _Toc11748421 \h </w:instrText>
        </w:r>
        <w:r>
          <w:fldChar w:fldCharType="separate"/>
        </w:r>
        <w:r w:rsidR="00A26A46">
          <w:t>30</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422" w:history="1">
        <w:r w:rsidR="00696CEB" w:rsidRPr="00EB4515">
          <w:t>Part 2.2</w:t>
        </w:r>
        <w:r w:rsidR="00696CEB">
          <w:rPr>
            <w:rFonts w:asciiTheme="minorHAnsi" w:eastAsiaTheme="minorEastAsia" w:hAnsiTheme="minorHAnsi" w:cstheme="minorBidi"/>
            <w:b w:val="0"/>
            <w:sz w:val="22"/>
            <w:szCs w:val="22"/>
            <w:lang w:eastAsia="en-AU"/>
          </w:rPr>
          <w:tab/>
        </w:r>
        <w:r w:rsidR="00696CEB" w:rsidRPr="00EB4515">
          <w:t>Documents</w:t>
        </w:r>
        <w:r w:rsidR="00696CEB" w:rsidRPr="00696CEB">
          <w:rPr>
            <w:vanish/>
          </w:rPr>
          <w:tab/>
        </w:r>
        <w:r w:rsidR="00696CEB" w:rsidRPr="00696CEB">
          <w:rPr>
            <w:vanish/>
          </w:rPr>
          <w:fldChar w:fldCharType="begin"/>
        </w:r>
        <w:r w:rsidR="00696CEB" w:rsidRPr="00696CEB">
          <w:rPr>
            <w:vanish/>
          </w:rPr>
          <w:instrText xml:space="preserve"> PAGEREF _Toc11748422 \h </w:instrText>
        </w:r>
        <w:r w:rsidR="00696CEB" w:rsidRPr="00696CEB">
          <w:rPr>
            <w:vanish/>
          </w:rPr>
        </w:r>
        <w:r w:rsidR="00696CEB" w:rsidRPr="00696CEB">
          <w:rPr>
            <w:vanish/>
          </w:rPr>
          <w:fldChar w:fldCharType="separate"/>
        </w:r>
        <w:r w:rsidR="00A26A46">
          <w:rPr>
            <w:vanish/>
          </w:rPr>
          <w:t>31</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23" w:history="1">
        <w:r w:rsidRPr="00EB4515">
          <w:t>47</w:t>
        </w:r>
        <w:r>
          <w:rPr>
            <w:rFonts w:asciiTheme="minorHAnsi" w:eastAsiaTheme="minorEastAsia" w:hAnsiTheme="minorHAnsi" w:cstheme="minorBidi"/>
            <w:sz w:val="22"/>
            <w:szCs w:val="22"/>
            <w:lang w:eastAsia="en-AU"/>
          </w:rPr>
          <w:tab/>
        </w:r>
        <w:r w:rsidRPr="00EB4515">
          <w:t>Definitions—pt 2.2</w:t>
        </w:r>
        <w:r>
          <w:tab/>
        </w:r>
        <w:r>
          <w:fldChar w:fldCharType="begin"/>
        </w:r>
        <w:r>
          <w:instrText xml:space="preserve"> PAGEREF _Toc11748423 \h </w:instrText>
        </w:r>
        <w:r>
          <w:fldChar w:fldCharType="separate"/>
        </w:r>
        <w:r w:rsidR="00A26A46">
          <w:t>31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24" w:history="1">
        <w:r w:rsidRPr="00EB4515">
          <w:t>48</w:t>
        </w:r>
        <w:r>
          <w:rPr>
            <w:rFonts w:asciiTheme="minorHAnsi" w:eastAsiaTheme="minorEastAsia" w:hAnsiTheme="minorHAnsi" w:cstheme="minorBidi"/>
            <w:sz w:val="22"/>
            <w:szCs w:val="22"/>
            <w:lang w:eastAsia="en-AU"/>
          </w:rPr>
          <w:tab/>
        </w:r>
        <w:r w:rsidRPr="00EB4515">
          <w:t>Proof of contents of documents</w:t>
        </w:r>
        <w:r>
          <w:tab/>
        </w:r>
        <w:r>
          <w:fldChar w:fldCharType="begin"/>
        </w:r>
        <w:r>
          <w:instrText xml:space="preserve"> PAGEREF _Toc11748424 \h </w:instrText>
        </w:r>
        <w:r>
          <w:fldChar w:fldCharType="separate"/>
        </w:r>
        <w:r w:rsidR="00A26A46">
          <w:t>31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25" w:history="1">
        <w:r w:rsidRPr="00EB4515">
          <w:t>49</w:t>
        </w:r>
        <w:r>
          <w:rPr>
            <w:rFonts w:asciiTheme="minorHAnsi" w:eastAsiaTheme="minorEastAsia" w:hAnsiTheme="minorHAnsi" w:cstheme="minorBidi"/>
            <w:sz w:val="22"/>
            <w:szCs w:val="22"/>
            <w:lang w:eastAsia="en-AU"/>
          </w:rPr>
          <w:tab/>
        </w:r>
        <w:r w:rsidRPr="00EB4515">
          <w:t>Documents in foreign countries</w:t>
        </w:r>
        <w:r>
          <w:tab/>
        </w:r>
        <w:r>
          <w:fldChar w:fldCharType="begin"/>
        </w:r>
        <w:r>
          <w:instrText xml:space="preserve"> PAGEREF _Toc11748425 \h </w:instrText>
        </w:r>
        <w:r>
          <w:fldChar w:fldCharType="separate"/>
        </w:r>
        <w:r w:rsidR="00A26A46">
          <w:t>33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26" w:history="1">
        <w:r w:rsidRPr="00EB4515">
          <w:t>50</w:t>
        </w:r>
        <w:r>
          <w:rPr>
            <w:rFonts w:asciiTheme="minorHAnsi" w:eastAsiaTheme="minorEastAsia" w:hAnsiTheme="minorHAnsi" w:cstheme="minorBidi"/>
            <w:sz w:val="22"/>
            <w:szCs w:val="22"/>
            <w:lang w:eastAsia="en-AU"/>
          </w:rPr>
          <w:tab/>
        </w:r>
        <w:r w:rsidRPr="00EB4515">
          <w:t>Proof of voluminous or complex documents</w:t>
        </w:r>
        <w:r>
          <w:tab/>
        </w:r>
        <w:r>
          <w:fldChar w:fldCharType="begin"/>
        </w:r>
        <w:r>
          <w:instrText xml:space="preserve"> PAGEREF _Toc11748426 \h </w:instrText>
        </w:r>
        <w:r>
          <w:fldChar w:fldCharType="separate"/>
        </w:r>
        <w:r w:rsidR="00A26A46">
          <w:t>34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27" w:history="1">
        <w:r w:rsidRPr="00EB4515">
          <w:t>51</w:t>
        </w:r>
        <w:r>
          <w:rPr>
            <w:rFonts w:asciiTheme="minorHAnsi" w:eastAsiaTheme="minorEastAsia" w:hAnsiTheme="minorHAnsi" w:cstheme="minorBidi"/>
            <w:sz w:val="22"/>
            <w:szCs w:val="22"/>
            <w:lang w:eastAsia="en-AU"/>
          </w:rPr>
          <w:tab/>
        </w:r>
        <w:r w:rsidRPr="00EB4515">
          <w:t>Original document rule abolished</w:t>
        </w:r>
        <w:r>
          <w:tab/>
        </w:r>
        <w:r>
          <w:fldChar w:fldCharType="begin"/>
        </w:r>
        <w:r>
          <w:instrText xml:space="preserve"> PAGEREF _Toc11748427 \h </w:instrText>
        </w:r>
        <w:r>
          <w:fldChar w:fldCharType="separate"/>
        </w:r>
        <w:r w:rsidR="00A26A46">
          <w:t>34</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428" w:history="1">
        <w:r w:rsidR="00696CEB" w:rsidRPr="00EB4515">
          <w:t>Part 2.3</w:t>
        </w:r>
        <w:r w:rsidR="00696CEB">
          <w:rPr>
            <w:rFonts w:asciiTheme="minorHAnsi" w:eastAsiaTheme="minorEastAsia" w:hAnsiTheme="minorHAnsi" w:cstheme="minorBidi"/>
            <w:b w:val="0"/>
            <w:sz w:val="22"/>
            <w:szCs w:val="22"/>
            <w:lang w:eastAsia="en-AU"/>
          </w:rPr>
          <w:tab/>
        </w:r>
        <w:r w:rsidR="00696CEB" w:rsidRPr="00EB4515">
          <w:t>Other evidence</w:t>
        </w:r>
        <w:r w:rsidR="00696CEB" w:rsidRPr="00696CEB">
          <w:rPr>
            <w:vanish/>
          </w:rPr>
          <w:tab/>
        </w:r>
        <w:r w:rsidR="00696CEB" w:rsidRPr="00696CEB">
          <w:rPr>
            <w:vanish/>
          </w:rPr>
          <w:fldChar w:fldCharType="begin"/>
        </w:r>
        <w:r w:rsidR="00696CEB" w:rsidRPr="00696CEB">
          <w:rPr>
            <w:vanish/>
          </w:rPr>
          <w:instrText xml:space="preserve"> PAGEREF _Toc11748428 \h </w:instrText>
        </w:r>
        <w:r w:rsidR="00696CEB" w:rsidRPr="00696CEB">
          <w:rPr>
            <w:vanish/>
          </w:rPr>
        </w:r>
        <w:r w:rsidR="00696CEB" w:rsidRPr="00696CEB">
          <w:rPr>
            <w:vanish/>
          </w:rPr>
          <w:fldChar w:fldCharType="separate"/>
        </w:r>
        <w:r w:rsidR="00A26A46">
          <w:rPr>
            <w:vanish/>
          </w:rPr>
          <w:t>35</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29" w:history="1">
        <w:r w:rsidRPr="00EB4515">
          <w:t>52</w:t>
        </w:r>
        <w:r>
          <w:rPr>
            <w:rFonts w:asciiTheme="minorHAnsi" w:eastAsiaTheme="minorEastAsia" w:hAnsiTheme="minorHAnsi" w:cstheme="minorBidi"/>
            <w:sz w:val="22"/>
            <w:szCs w:val="22"/>
            <w:lang w:eastAsia="en-AU"/>
          </w:rPr>
          <w:tab/>
        </w:r>
        <w:r w:rsidRPr="00EB4515">
          <w:t>Presenting of other evidence not affected</w:t>
        </w:r>
        <w:r>
          <w:tab/>
        </w:r>
        <w:r>
          <w:fldChar w:fldCharType="begin"/>
        </w:r>
        <w:r>
          <w:instrText xml:space="preserve"> PAGEREF _Toc11748429 \h </w:instrText>
        </w:r>
        <w:r>
          <w:fldChar w:fldCharType="separate"/>
        </w:r>
        <w:r w:rsidR="00A26A46">
          <w:t>35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30" w:history="1">
        <w:r w:rsidRPr="00EB4515">
          <w:t>53</w:t>
        </w:r>
        <w:r>
          <w:rPr>
            <w:rFonts w:asciiTheme="minorHAnsi" w:eastAsiaTheme="minorEastAsia" w:hAnsiTheme="minorHAnsi" w:cstheme="minorBidi"/>
            <w:sz w:val="22"/>
            <w:szCs w:val="22"/>
            <w:lang w:eastAsia="en-AU"/>
          </w:rPr>
          <w:tab/>
        </w:r>
        <w:r w:rsidRPr="00EB4515">
          <w:t>Views</w:t>
        </w:r>
        <w:r>
          <w:tab/>
        </w:r>
        <w:r>
          <w:fldChar w:fldCharType="begin"/>
        </w:r>
        <w:r>
          <w:instrText xml:space="preserve"> PAGEREF _Toc11748430 \h </w:instrText>
        </w:r>
        <w:r>
          <w:fldChar w:fldCharType="separate"/>
        </w:r>
        <w:r w:rsidR="00A26A46">
          <w:t>35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31" w:history="1">
        <w:r w:rsidRPr="00EB4515">
          <w:t>54</w:t>
        </w:r>
        <w:r>
          <w:rPr>
            <w:rFonts w:asciiTheme="minorHAnsi" w:eastAsiaTheme="minorEastAsia" w:hAnsiTheme="minorHAnsi" w:cstheme="minorBidi"/>
            <w:sz w:val="22"/>
            <w:szCs w:val="22"/>
            <w:lang w:eastAsia="en-AU"/>
          </w:rPr>
          <w:tab/>
        </w:r>
        <w:r w:rsidRPr="00EB4515">
          <w:t>Views to be evidence</w:t>
        </w:r>
        <w:r>
          <w:tab/>
        </w:r>
        <w:r>
          <w:fldChar w:fldCharType="begin"/>
        </w:r>
        <w:r>
          <w:instrText xml:space="preserve"> PAGEREF _Toc11748431 \h </w:instrText>
        </w:r>
        <w:r>
          <w:fldChar w:fldCharType="separate"/>
        </w:r>
        <w:r w:rsidR="00A26A46">
          <w:t>36</w:t>
        </w:r>
        <w:r>
          <w:fldChar w:fldCharType="end"/>
        </w:r>
      </w:hyperlink>
    </w:p>
    <w:p w:rsidR="00696CEB" w:rsidRDefault="00546A8E">
      <w:pPr>
        <w:pStyle w:val="TOC1"/>
        <w:rPr>
          <w:rFonts w:asciiTheme="minorHAnsi" w:eastAsiaTheme="minorEastAsia" w:hAnsiTheme="minorHAnsi" w:cstheme="minorBidi"/>
          <w:b w:val="0"/>
          <w:sz w:val="22"/>
          <w:szCs w:val="22"/>
          <w:lang w:eastAsia="en-AU"/>
        </w:rPr>
      </w:pPr>
      <w:hyperlink w:anchor="_Toc11748432" w:history="1">
        <w:r w:rsidR="00696CEB" w:rsidRPr="00EB4515">
          <w:t>Chapter 3</w:t>
        </w:r>
        <w:r w:rsidR="00696CEB">
          <w:rPr>
            <w:rFonts w:asciiTheme="minorHAnsi" w:eastAsiaTheme="minorEastAsia" w:hAnsiTheme="minorHAnsi" w:cstheme="minorBidi"/>
            <w:b w:val="0"/>
            <w:sz w:val="22"/>
            <w:szCs w:val="22"/>
            <w:lang w:eastAsia="en-AU"/>
          </w:rPr>
          <w:tab/>
        </w:r>
        <w:r w:rsidR="00696CEB" w:rsidRPr="00EB4515">
          <w:t>Admissibility of evidence</w:t>
        </w:r>
        <w:r w:rsidR="00696CEB" w:rsidRPr="00696CEB">
          <w:rPr>
            <w:vanish/>
          </w:rPr>
          <w:tab/>
        </w:r>
        <w:r w:rsidR="00696CEB" w:rsidRPr="00696CEB">
          <w:rPr>
            <w:vanish/>
          </w:rPr>
          <w:fldChar w:fldCharType="begin"/>
        </w:r>
        <w:r w:rsidR="00696CEB" w:rsidRPr="00696CEB">
          <w:rPr>
            <w:vanish/>
          </w:rPr>
          <w:instrText xml:space="preserve"> PAGEREF _Toc11748432 \h </w:instrText>
        </w:r>
        <w:r w:rsidR="00696CEB" w:rsidRPr="00696CEB">
          <w:rPr>
            <w:vanish/>
          </w:rPr>
        </w:r>
        <w:r w:rsidR="00696CEB" w:rsidRPr="00696CEB">
          <w:rPr>
            <w:vanish/>
          </w:rPr>
          <w:fldChar w:fldCharType="separate"/>
        </w:r>
        <w:r w:rsidR="00A26A46">
          <w:rPr>
            <w:vanish/>
          </w:rPr>
          <w:t>37</w:t>
        </w:r>
        <w:r w:rsidR="00696CEB" w:rsidRPr="00696CEB">
          <w:rPr>
            <w:vanish/>
          </w:rP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433" w:history="1">
        <w:r w:rsidR="00696CEB" w:rsidRPr="00EB4515">
          <w:t>Part 3.1</w:t>
        </w:r>
        <w:r w:rsidR="00696CEB">
          <w:rPr>
            <w:rFonts w:asciiTheme="minorHAnsi" w:eastAsiaTheme="minorEastAsia" w:hAnsiTheme="minorHAnsi" w:cstheme="minorBidi"/>
            <w:b w:val="0"/>
            <w:sz w:val="22"/>
            <w:szCs w:val="22"/>
            <w:lang w:eastAsia="en-AU"/>
          </w:rPr>
          <w:tab/>
        </w:r>
        <w:r w:rsidR="00696CEB" w:rsidRPr="00EB4515">
          <w:t>Relevance</w:t>
        </w:r>
        <w:r w:rsidR="00696CEB" w:rsidRPr="00696CEB">
          <w:rPr>
            <w:vanish/>
          </w:rPr>
          <w:tab/>
        </w:r>
        <w:r w:rsidR="00696CEB" w:rsidRPr="00696CEB">
          <w:rPr>
            <w:vanish/>
          </w:rPr>
          <w:fldChar w:fldCharType="begin"/>
        </w:r>
        <w:r w:rsidR="00696CEB" w:rsidRPr="00696CEB">
          <w:rPr>
            <w:vanish/>
          </w:rPr>
          <w:instrText xml:space="preserve"> PAGEREF _Toc11748433 \h </w:instrText>
        </w:r>
        <w:r w:rsidR="00696CEB" w:rsidRPr="00696CEB">
          <w:rPr>
            <w:vanish/>
          </w:rPr>
        </w:r>
        <w:r w:rsidR="00696CEB" w:rsidRPr="00696CEB">
          <w:rPr>
            <w:vanish/>
          </w:rPr>
          <w:fldChar w:fldCharType="separate"/>
        </w:r>
        <w:r w:rsidR="00A26A46">
          <w:rPr>
            <w:vanish/>
          </w:rPr>
          <w:t>39</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34" w:history="1">
        <w:r w:rsidRPr="00EB4515">
          <w:t>55</w:t>
        </w:r>
        <w:r>
          <w:rPr>
            <w:rFonts w:asciiTheme="minorHAnsi" w:eastAsiaTheme="minorEastAsia" w:hAnsiTheme="minorHAnsi" w:cstheme="minorBidi"/>
            <w:sz w:val="22"/>
            <w:szCs w:val="22"/>
            <w:lang w:eastAsia="en-AU"/>
          </w:rPr>
          <w:tab/>
        </w:r>
        <w:r w:rsidRPr="00EB4515">
          <w:t>Relevant evidence</w:t>
        </w:r>
        <w:r>
          <w:tab/>
        </w:r>
        <w:r>
          <w:fldChar w:fldCharType="begin"/>
        </w:r>
        <w:r>
          <w:instrText xml:space="preserve"> PAGEREF _Toc11748434 \h </w:instrText>
        </w:r>
        <w:r>
          <w:fldChar w:fldCharType="separate"/>
        </w:r>
        <w:r w:rsidR="00A26A46">
          <w:t>39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35" w:history="1">
        <w:r w:rsidRPr="00EB4515">
          <w:t>56</w:t>
        </w:r>
        <w:r>
          <w:rPr>
            <w:rFonts w:asciiTheme="minorHAnsi" w:eastAsiaTheme="minorEastAsia" w:hAnsiTheme="minorHAnsi" w:cstheme="minorBidi"/>
            <w:sz w:val="22"/>
            <w:szCs w:val="22"/>
            <w:lang w:eastAsia="en-AU"/>
          </w:rPr>
          <w:tab/>
        </w:r>
        <w:r w:rsidRPr="00EB4515">
          <w:t>Relevant evidence to be admissible</w:t>
        </w:r>
        <w:r>
          <w:tab/>
        </w:r>
        <w:r>
          <w:fldChar w:fldCharType="begin"/>
        </w:r>
        <w:r>
          <w:instrText xml:space="preserve"> PAGEREF _Toc11748435 \h </w:instrText>
        </w:r>
        <w:r>
          <w:fldChar w:fldCharType="separate"/>
        </w:r>
        <w:r w:rsidR="00A26A46">
          <w:t>39</w:t>
        </w:r>
        <w:r>
          <w:fldChar w:fldCharType="end"/>
        </w:r>
      </w:hyperlink>
    </w:p>
    <w:p w:rsidR="00696CEB" w:rsidRDefault="00696CEB">
      <w:pPr>
        <w:pStyle w:val="TOC5"/>
        <w:rPr>
          <w:rFonts w:asciiTheme="minorHAnsi" w:eastAsiaTheme="minorEastAsia" w:hAnsiTheme="minorHAnsi" w:cstheme="minorBidi"/>
          <w:sz w:val="22"/>
          <w:szCs w:val="22"/>
          <w:lang w:eastAsia="en-AU"/>
        </w:rPr>
      </w:pPr>
      <w:r>
        <w:lastRenderedPageBreak/>
        <w:tab/>
      </w:r>
      <w:hyperlink w:anchor="_Toc11748436" w:history="1">
        <w:r w:rsidRPr="00EB4515">
          <w:t>57</w:t>
        </w:r>
        <w:r>
          <w:rPr>
            <w:rFonts w:asciiTheme="minorHAnsi" w:eastAsiaTheme="minorEastAsia" w:hAnsiTheme="minorHAnsi" w:cstheme="minorBidi"/>
            <w:sz w:val="22"/>
            <w:szCs w:val="22"/>
            <w:lang w:eastAsia="en-AU"/>
          </w:rPr>
          <w:tab/>
        </w:r>
        <w:r w:rsidRPr="00EB4515">
          <w:t>Provisional relevance</w:t>
        </w:r>
        <w:r>
          <w:tab/>
        </w:r>
        <w:r>
          <w:fldChar w:fldCharType="begin"/>
        </w:r>
        <w:r>
          <w:instrText xml:space="preserve"> PAGEREF _Toc11748436 \h </w:instrText>
        </w:r>
        <w:r>
          <w:fldChar w:fldCharType="separate"/>
        </w:r>
        <w:r w:rsidR="00A26A46">
          <w:t>39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37" w:history="1">
        <w:r w:rsidRPr="00EB4515">
          <w:t>58</w:t>
        </w:r>
        <w:r>
          <w:rPr>
            <w:rFonts w:asciiTheme="minorHAnsi" w:eastAsiaTheme="minorEastAsia" w:hAnsiTheme="minorHAnsi" w:cstheme="minorBidi"/>
            <w:sz w:val="22"/>
            <w:szCs w:val="22"/>
            <w:lang w:eastAsia="en-AU"/>
          </w:rPr>
          <w:tab/>
        </w:r>
        <w:r w:rsidRPr="00EB4515">
          <w:t>Inferences as to relevance</w:t>
        </w:r>
        <w:r>
          <w:tab/>
        </w:r>
        <w:r>
          <w:fldChar w:fldCharType="begin"/>
        </w:r>
        <w:r>
          <w:instrText xml:space="preserve"> PAGEREF _Toc11748437 \h </w:instrText>
        </w:r>
        <w:r>
          <w:fldChar w:fldCharType="separate"/>
        </w:r>
        <w:r w:rsidR="00A26A46">
          <w:t>40</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438" w:history="1">
        <w:r w:rsidR="00696CEB" w:rsidRPr="00EB4515">
          <w:t>Part 3.2</w:t>
        </w:r>
        <w:r w:rsidR="00696CEB">
          <w:rPr>
            <w:rFonts w:asciiTheme="minorHAnsi" w:eastAsiaTheme="minorEastAsia" w:hAnsiTheme="minorHAnsi" w:cstheme="minorBidi"/>
            <w:b w:val="0"/>
            <w:sz w:val="22"/>
            <w:szCs w:val="22"/>
            <w:lang w:eastAsia="en-AU"/>
          </w:rPr>
          <w:tab/>
        </w:r>
        <w:r w:rsidR="00696CEB" w:rsidRPr="00EB4515">
          <w:t>Hearsay</w:t>
        </w:r>
        <w:r w:rsidR="00696CEB" w:rsidRPr="00696CEB">
          <w:rPr>
            <w:vanish/>
          </w:rPr>
          <w:tab/>
        </w:r>
        <w:r w:rsidR="00696CEB" w:rsidRPr="00696CEB">
          <w:rPr>
            <w:vanish/>
          </w:rPr>
          <w:fldChar w:fldCharType="begin"/>
        </w:r>
        <w:r w:rsidR="00696CEB" w:rsidRPr="00696CEB">
          <w:rPr>
            <w:vanish/>
          </w:rPr>
          <w:instrText xml:space="preserve"> PAGEREF _Toc11748438 \h </w:instrText>
        </w:r>
        <w:r w:rsidR="00696CEB" w:rsidRPr="00696CEB">
          <w:rPr>
            <w:vanish/>
          </w:rPr>
        </w:r>
        <w:r w:rsidR="00696CEB" w:rsidRPr="00696CEB">
          <w:rPr>
            <w:vanish/>
          </w:rPr>
          <w:fldChar w:fldCharType="separate"/>
        </w:r>
        <w:r w:rsidR="00A26A46">
          <w:rPr>
            <w:vanish/>
          </w:rPr>
          <w:t>41</w:t>
        </w:r>
        <w:r w:rsidR="00696CEB" w:rsidRPr="00696CEB">
          <w:rPr>
            <w:vanish/>
          </w:rP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439" w:history="1">
        <w:r w:rsidR="00696CEB" w:rsidRPr="00EB4515">
          <w:t>Division 3.2.1</w:t>
        </w:r>
        <w:r w:rsidR="00696CEB">
          <w:rPr>
            <w:rFonts w:asciiTheme="minorHAnsi" w:eastAsiaTheme="minorEastAsia" w:hAnsiTheme="minorHAnsi" w:cstheme="minorBidi"/>
            <w:b w:val="0"/>
            <w:sz w:val="22"/>
            <w:szCs w:val="22"/>
            <w:lang w:eastAsia="en-AU"/>
          </w:rPr>
          <w:tab/>
        </w:r>
        <w:r w:rsidR="00696CEB" w:rsidRPr="00EB4515">
          <w:t>The hearsay rule</w:t>
        </w:r>
        <w:r w:rsidR="00696CEB" w:rsidRPr="00696CEB">
          <w:rPr>
            <w:vanish/>
          </w:rPr>
          <w:tab/>
        </w:r>
        <w:r w:rsidR="00696CEB" w:rsidRPr="00696CEB">
          <w:rPr>
            <w:vanish/>
          </w:rPr>
          <w:fldChar w:fldCharType="begin"/>
        </w:r>
        <w:r w:rsidR="00696CEB" w:rsidRPr="00696CEB">
          <w:rPr>
            <w:vanish/>
          </w:rPr>
          <w:instrText xml:space="preserve"> PAGEREF _Toc11748439 \h </w:instrText>
        </w:r>
        <w:r w:rsidR="00696CEB" w:rsidRPr="00696CEB">
          <w:rPr>
            <w:vanish/>
          </w:rPr>
        </w:r>
        <w:r w:rsidR="00696CEB" w:rsidRPr="00696CEB">
          <w:rPr>
            <w:vanish/>
          </w:rPr>
          <w:fldChar w:fldCharType="separate"/>
        </w:r>
        <w:r w:rsidR="00A26A46">
          <w:rPr>
            <w:vanish/>
          </w:rPr>
          <w:t>41</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40" w:history="1">
        <w:r w:rsidRPr="00EB4515">
          <w:t>59</w:t>
        </w:r>
        <w:r>
          <w:rPr>
            <w:rFonts w:asciiTheme="minorHAnsi" w:eastAsiaTheme="minorEastAsia" w:hAnsiTheme="minorHAnsi" w:cstheme="minorBidi"/>
            <w:sz w:val="22"/>
            <w:szCs w:val="22"/>
            <w:lang w:eastAsia="en-AU"/>
          </w:rPr>
          <w:tab/>
        </w:r>
        <w:r w:rsidRPr="00EB4515">
          <w:t>The hearsay rule—exclusion of hearsay evidence</w:t>
        </w:r>
        <w:r>
          <w:tab/>
        </w:r>
        <w:r>
          <w:fldChar w:fldCharType="begin"/>
        </w:r>
        <w:r>
          <w:instrText xml:space="preserve"> PAGEREF _Toc11748440 \h </w:instrText>
        </w:r>
        <w:r>
          <w:fldChar w:fldCharType="separate"/>
        </w:r>
        <w:r w:rsidR="00A26A46">
          <w:t>41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41" w:history="1">
        <w:r w:rsidRPr="00EB4515">
          <w:t>60</w:t>
        </w:r>
        <w:r>
          <w:rPr>
            <w:rFonts w:asciiTheme="minorHAnsi" w:eastAsiaTheme="minorEastAsia" w:hAnsiTheme="minorHAnsi" w:cstheme="minorBidi"/>
            <w:sz w:val="22"/>
            <w:szCs w:val="22"/>
            <w:lang w:eastAsia="en-AU"/>
          </w:rPr>
          <w:tab/>
        </w:r>
        <w:r w:rsidRPr="00EB4515">
          <w:t>Exception—evidence relevant for a non-hearsay purpose</w:t>
        </w:r>
        <w:r>
          <w:tab/>
        </w:r>
        <w:r>
          <w:fldChar w:fldCharType="begin"/>
        </w:r>
        <w:r>
          <w:instrText xml:space="preserve"> PAGEREF _Toc11748441 \h </w:instrText>
        </w:r>
        <w:r>
          <w:fldChar w:fldCharType="separate"/>
        </w:r>
        <w:r w:rsidR="00A26A46">
          <w:t>43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42" w:history="1">
        <w:r w:rsidRPr="00EB4515">
          <w:t>61</w:t>
        </w:r>
        <w:r>
          <w:rPr>
            <w:rFonts w:asciiTheme="minorHAnsi" w:eastAsiaTheme="minorEastAsia" w:hAnsiTheme="minorHAnsi" w:cstheme="minorBidi"/>
            <w:sz w:val="22"/>
            <w:szCs w:val="22"/>
            <w:lang w:eastAsia="en-AU"/>
          </w:rPr>
          <w:tab/>
        </w:r>
        <w:r w:rsidRPr="00EB4515">
          <w:t>Exceptions to the hearsay rule dependent on competency</w:t>
        </w:r>
        <w:r>
          <w:tab/>
        </w:r>
        <w:r>
          <w:fldChar w:fldCharType="begin"/>
        </w:r>
        <w:r>
          <w:instrText xml:space="preserve"> PAGEREF _Toc11748442 \h </w:instrText>
        </w:r>
        <w:r>
          <w:fldChar w:fldCharType="separate"/>
        </w:r>
        <w:r w:rsidR="00A26A46">
          <w:t>43</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443" w:history="1">
        <w:r w:rsidR="00696CEB" w:rsidRPr="00EB4515">
          <w:t>Division 3.2.2</w:t>
        </w:r>
        <w:r w:rsidR="00696CEB">
          <w:rPr>
            <w:rFonts w:asciiTheme="minorHAnsi" w:eastAsiaTheme="minorEastAsia" w:hAnsiTheme="minorHAnsi" w:cstheme="minorBidi"/>
            <w:b w:val="0"/>
            <w:sz w:val="22"/>
            <w:szCs w:val="22"/>
            <w:lang w:eastAsia="en-AU"/>
          </w:rPr>
          <w:tab/>
        </w:r>
        <w:r w:rsidR="00696CEB" w:rsidRPr="00EB4515">
          <w:t>First-hand hearsay</w:t>
        </w:r>
        <w:r w:rsidR="00696CEB" w:rsidRPr="00696CEB">
          <w:rPr>
            <w:vanish/>
          </w:rPr>
          <w:tab/>
        </w:r>
        <w:r w:rsidR="00696CEB" w:rsidRPr="00696CEB">
          <w:rPr>
            <w:vanish/>
          </w:rPr>
          <w:fldChar w:fldCharType="begin"/>
        </w:r>
        <w:r w:rsidR="00696CEB" w:rsidRPr="00696CEB">
          <w:rPr>
            <w:vanish/>
          </w:rPr>
          <w:instrText xml:space="preserve"> PAGEREF _Toc11748443 \h </w:instrText>
        </w:r>
        <w:r w:rsidR="00696CEB" w:rsidRPr="00696CEB">
          <w:rPr>
            <w:vanish/>
          </w:rPr>
        </w:r>
        <w:r w:rsidR="00696CEB" w:rsidRPr="00696CEB">
          <w:rPr>
            <w:vanish/>
          </w:rPr>
          <w:fldChar w:fldCharType="separate"/>
        </w:r>
        <w:r w:rsidR="00A26A46">
          <w:rPr>
            <w:vanish/>
          </w:rPr>
          <w:t>44</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44" w:history="1">
        <w:r w:rsidRPr="00EB4515">
          <w:t>62</w:t>
        </w:r>
        <w:r>
          <w:rPr>
            <w:rFonts w:asciiTheme="minorHAnsi" w:eastAsiaTheme="minorEastAsia" w:hAnsiTheme="minorHAnsi" w:cstheme="minorBidi"/>
            <w:sz w:val="22"/>
            <w:szCs w:val="22"/>
            <w:lang w:eastAsia="en-AU"/>
          </w:rPr>
          <w:tab/>
        </w:r>
        <w:r w:rsidRPr="00EB4515">
          <w:t xml:space="preserve">Restriction to </w:t>
        </w:r>
        <w:r w:rsidRPr="00EB4515">
          <w:rPr>
            <w:iCs/>
          </w:rPr>
          <w:t xml:space="preserve">first-hand </w:t>
        </w:r>
        <w:r w:rsidRPr="00EB4515">
          <w:t>hearsay</w:t>
        </w:r>
        <w:r>
          <w:tab/>
        </w:r>
        <w:r>
          <w:fldChar w:fldCharType="begin"/>
        </w:r>
        <w:r>
          <w:instrText xml:space="preserve"> PAGEREF _Toc11748444 \h </w:instrText>
        </w:r>
        <w:r>
          <w:fldChar w:fldCharType="separate"/>
        </w:r>
        <w:r w:rsidR="00A26A46">
          <w:t>44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45" w:history="1">
        <w:r w:rsidRPr="00EB4515">
          <w:t>63</w:t>
        </w:r>
        <w:r>
          <w:rPr>
            <w:rFonts w:asciiTheme="minorHAnsi" w:eastAsiaTheme="minorEastAsia" w:hAnsiTheme="minorHAnsi" w:cstheme="minorBidi"/>
            <w:sz w:val="22"/>
            <w:szCs w:val="22"/>
            <w:lang w:eastAsia="en-AU"/>
          </w:rPr>
          <w:tab/>
        </w:r>
        <w:r w:rsidRPr="00EB4515">
          <w:t>Exception—civil proceedings if maker not available</w:t>
        </w:r>
        <w:r>
          <w:tab/>
        </w:r>
        <w:r>
          <w:fldChar w:fldCharType="begin"/>
        </w:r>
        <w:r>
          <w:instrText xml:space="preserve"> PAGEREF _Toc11748445 \h </w:instrText>
        </w:r>
        <w:r>
          <w:fldChar w:fldCharType="separate"/>
        </w:r>
        <w:r w:rsidR="00A26A46">
          <w:t>44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46" w:history="1">
        <w:r w:rsidRPr="00EB4515">
          <w:t>64</w:t>
        </w:r>
        <w:r>
          <w:rPr>
            <w:rFonts w:asciiTheme="minorHAnsi" w:eastAsiaTheme="minorEastAsia" w:hAnsiTheme="minorHAnsi" w:cstheme="minorBidi"/>
            <w:sz w:val="22"/>
            <w:szCs w:val="22"/>
            <w:lang w:eastAsia="en-AU"/>
          </w:rPr>
          <w:tab/>
        </w:r>
        <w:r w:rsidRPr="00EB4515">
          <w:t>Exception—civil proceedings if maker available</w:t>
        </w:r>
        <w:r>
          <w:tab/>
        </w:r>
        <w:r>
          <w:fldChar w:fldCharType="begin"/>
        </w:r>
        <w:r>
          <w:instrText xml:space="preserve"> PAGEREF _Toc11748446 \h </w:instrText>
        </w:r>
        <w:r>
          <w:fldChar w:fldCharType="separate"/>
        </w:r>
        <w:r w:rsidR="00A26A46">
          <w:t>45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47" w:history="1">
        <w:r w:rsidRPr="00EB4515">
          <w:t>65</w:t>
        </w:r>
        <w:r>
          <w:rPr>
            <w:rFonts w:asciiTheme="minorHAnsi" w:eastAsiaTheme="minorEastAsia" w:hAnsiTheme="minorHAnsi" w:cstheme="minorBidi"/>
            <w:sz w:val="22"/>
            <w:szCs w:val="22"/>
            <w:lang w:eastAsia="en-AU"/>
          </w:rPr>
          <w:tab/>
        </w:r>
        <w:r w:rsidRPr="00EB4515">
          <w:t>Exception—criminal proceedings if maker not available</w:t>
        </w:r>
        <w:r>
          <w:tab/>
        </w:r>
        <w:r>
          <w:fldChar w:fldCharType="begin"/>
        </w:r>
        <w:r>
          <w:instrText xml:space="preserve"> PAGEREF _Toc11748447 \h </w:instrText>
        </w:r>
        <w:r>
          <w:fldChar w:fldCharType="separate"/>
        </w:r>
        <w:r w:rsidR="00A26A46">
          <w:t>46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48" w:history="1">
        <w:r w:rsidRPr="00EB4515">
          <w:t>66</w:t>
        </w:r>
        <w:r>
          <w:rPr>
            <w:rFonts w:asciiTheme="minorHAnsi" w:eastAsiaTheme="minorEastAsia" w:hAnsiTheme="minorHAnsi" w:cstheme="minorBidi"/>
            <w:sz w:val="22"/>
            <w:szCs w:val="22"/>
            <w:lang w:eastAsia="en-AU"/>
          </w:rPr>
          <w:tab/>
        </w:r>
        <w:r w:rsidRPr="00EB4515">
          <w:t>Exception—criminal proceedings if maker available</w:t>
        </w:r>
        <w:r>
          <w:tab/>
        </w:r>
        <w:r>
          <w:fldChar w:fldCharType="begin"/>
        </w:r>
        <w:r>
          <w:instrText xml:space="preserve"> PAGEREF _Toc11748448 \h </w:instrText>
        </w:r>
        <w:r>
          <w:fldChar w:fldCharType="separate"/>
        </w:r>
        <w:r w:rsidR="00A26A46">
          <w:t>49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49" w:history="1">
        <w:r w:rsidRPr="00EB4515">
          <w:t>66A</w:t>
        </w:r>
        <w:r>
          <w:rPr>
            <w:rFonts w:asciiTheme="minorHAnsi" w:eastAsiaTheme="minorEastAsia" w:hAnsiTheme="minorHAnsi" w:cstheme="minorBidi"/>
            <w:sz w:val="22"/>
            <w:szCs w:val="22"/>
            <w:lang w:eastAsia="en-AU"/>
          </w:rPr>
          <w:tab/>
        </w:r>
        <w:r w:rsidRPr="00EB4515">
          <w:rPr>
            <w:lang w:eastAsia="en-AU"/>
          </w:rPr>
          <w:t>Exception—contemporaneous statements about a person’s health etc</w:t>
        </w:r>
        <w:r>
          <w:tab/>
        </w:r>
        <w:r>
          <w:fldChar w:fldCharType="begin"/>
        </w:r>
        <w:r>
          <w:instrText xml:space="preserve"> PAGEREF _Toc11748449 \h </w:instrText>
        </w:r>
        <w:r>
          <w:fldChar w:fldCharType="separate"/>
        </w:r>
        <w:r w:rsidR="00A26A46">
          <w:t>50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50" w:history="1">
        <w:r w:rsidRPr="00EB4515">
          <w:t>67</w:t>
        </w:r>
        <w:r>
          <w:rPr>
            <w:rFonts w:asciiTheme="minorHAnsi" w:eastAsiaTheme="minorEastAsia" w:hAnsiTheme="minorHAnsi" w:cstheme="minorBidi"/>
            <w:sz w:val="22"/>
            <w:szCs w:val="22"/>
            <w:lang w:eastAsia="en-AU"/>
          </w:rPr>
          <w:tab/>
        </w:r>
        <w:r w:rsidRPr="00EB4515">
          <w:t>Notice to be given</w:t>
        </w:r>
        <w:r>
          <w:tab/>
        </w:r>
        <w:r>
          <w:fldChar w:fldCharType="begin"/>
        </w:r>
        <w:r>
          <w:instrText xml:space="preserve"> PAGEREF _Toc11748450 \h </w:instrText>
        </w:r>
        <w:r>
          <w:fldChar w:fldCharType="separate"/>
        </w:r>
        <w:r w:rsidR="00A26A46">
          <w:t>50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51" w:history="1">
        <w:r w:rsidRPr="00EB4515">
          <w:t>68</w:t>
        </w:r>
        <w:r>
          <w:rPr>
            <w:rFonts w:asciiTheme="minorHAnsi" w:eastAsiaTheme="minorEastAsia" w:hAnsiTheme="minorHAnsi" w:cstheme="minorBidi"/>
            <w:sz w:val="22"/>
            <w:szCs w:val="22"/>
            <w:lang w:eastAsia="en-AU"/>
          </w:rPr>
          <w:tab/>
        </w:r>
        <w:r w:rsidRPr="00EB4515">
          <w:t>Objections to tender of hearsay evidence in civil proceedings if maker available</w:t>
        </w:r>
        <w:r>
          <w:tab/>
        </w:r>
        <w:r>
          <w:fldChar w:fldCharType="begin"/>
        </w:r>
        <w:r>
          <w:instrText xml:space="preserve"> PAGEREF _Toc11748451 \h </w:instrText>
        </w:r>
        <w:r>
          <w:fldChar w:fldCharType="separate"/>
        </w:r>
        <w:r w:rsidR="00A26A46">
          <w:t>51</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452" w:history="1">
        <w:r w:rsidR="00696CEB" w:rsidRPr="00EB4515">
          <w:t>Division 3.2.3</w:t>
        </w:r>
        <w:r w:rsidR="00696CEB">
          <w:rPr>
            <w:rFonts w:asciiTheme="minorHAnsi" w:eastAsiaTheme="minorEastAsia" w:hAnsiTheme="minorHAnsi" w:cstheme="minorBidi"/>
            <w:b w:val="0"/>
            <w:sz w:val="22"/>
            <w:szCs w:val="22"/>
            <w:lang w:eastAsia="en-AU"/>
          </w:rPr>
          <w:tab/>
        </w:r>
        <w:r w:rsidR="00696CEB" w:rsidRPr="00EB4515">
          <w:t>Other exceptions to the hearsay rule</w:t>
        </w:r>
        <w:r w:rsidR="00696CEB" w:rsidRPr="00696CEB">
          <w:rPr>
            <w:vanish/>
          </w:rPr>
          <w:tab/>
        </w:r>
        <w:r w:rsidR="00696CEB" w:rsidRPr="00696CEB">
          <w:rPr>
            <w:vanish/>
          </w:rPr>
          <w:fldChar w:fldCharType="begin"/>
        </w:r>
        <w:r w:rsidR="00696CEB" w:rsidRPr="00696CEB">
          <w:rPr>
            <w:vanish/>
          </w:rPr>
          <w:instrText xml:space="preserve"> PAGEREF _Toc11748452 \h </w:instrText>
        </w:r>
        <w:r w:rsidR="00696CEB" w:rsidRPr="00696CEB">
          <w:rPr>
            <w:vanish/>
          </w:rPr>
        </w:r>
        <w:r w:rsidR="00696CEB" w:rsidRPr="00696CEB">
          <w:rPr>
            <w:vanish/>
          </w:rPr>
          <w:fldChar w:fldCharType="separate"/>
        </w:r>
        <w:r w:rsidR="00A26A46">
          <w:rPr>
            <w:vanish/>
          </w:rPr>
          <w:t>52</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53" w:history="1">
        <w:r w:rsidRPr="00EB4515">
          <w:t>69</w:t>
        </w:r>
        <w:r>
          <w:rPr>
            <w:rFonts w:asciiTheme="minorHAnsi" w:eastAsiaTheme="minorEastAsia" w:hAnsiTheme="minorHAnsi" w:cstheme="minorBidi"/>
            <w:sz w:val="22"/>
            <w:szCs w:val="22"/>
            <w:lang w:eastAsia="en-AU"/>
          </w:rPr>
          <w:tab/>
        </w:r>
        <w:r w:rsidRPr="00EB4515">
          <w:t>Exception—business records</w:t>
        </w:r>
        <w:r>
          <w:tab/>
        </w:r>
        <w:r>
          <w:fldChar w:fldCharType="begin"/>
        </w:r>
        <w:r>
          <w:instrText xml:space="preserve"> PAGEREF _Toc11748453 \h </w:instrText>
        </w:r>
        <w:r>
          <w:fldChar w:fldCharType="separate"/>
        </w:r>
        <w:r w:rsidR="00A26A46">
          <w:t>52</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54" w:history="1">
        <w:r w:rsidRPr="00EB4515">
          <w:t>70</w:t>
        </w:r>
        <w:r>
          <w:rPr>
            <w:rFonts w:asciiTheme="minorHAnsi" w:eastAsiaTheme="minorEastAsia" w:hAnsiTheme="minorHAnsi" w:cstheme="minorBidi"/>
            <w:sz w:val="22"/>
            <w:szCs w:val="22"/>
            <w:lang w:eastAsia="en-AU"/>
          </w:rPr>
          <w:tab/>
        </w:r>
        <w:r w:rsidRPr="00EB4515">
          <w:t>Exception—contents of tags, labels and writing</w:t>
        </w:r>
        <w:r>
          <w:tab/>
        </w:r>
        <w:r>
          <w:fldChar w:fldCharType="begin"/>
        </w:r>
        <w:r>
          <w:instrText xml:space="preserve"> PAGEREF _Toc11748454 \h </w:instrText>
        </w:r>
        <w:r>
          <w:fldChar w:fldCharType="separate"/>
        </w:r>
        <w:r w:rsidR="00A26A46">
          <w:t>54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55" w:history="1">
        <w:r w:rsidRPr="00EB4515">
          <w:t>71</w:t>
        </w:r>
        <w:r>
          <w:rPr>
            <w:rFonts w:asciiTheme="minorHAnsi" w:eastAsiaTheme="minorEastAsia" w:hAnsiTheme="minorHAnsi" w:cstheme="minorBidi"/>
            <w:sz w:val="22"/>
            <w:szCs w:val="22"/>
            <w:lang w:eastAsia="en-AU"/>
          </w:rPr>
          <w:tab/>
        </w:r>
        <w:r w:rsidRPr="00EB4515">
          <w:t>Exception—electronic communications</w:t>
        </w:r>
        <w:r>
          <w:tab/>
        </w:r>
        <w:r>
          <w:fldChar w:fldCharType="begin"/>
        </w:r>
        <w:r>
          <w:instrText xml:space="preserve"> PAGEREF _Toc11748455 \h </w:instrText>
        </w:r>
        <w:r>
          <w:fldChar w:fldCharType="separate"/>
        </w:r>
        <w:r w:rsidR="00A26A46">
          <w:t>54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56" w:history="1">
        <w:r w:rsidRPr="00EB4515">
          <w:t>72</w:t>
        </w:r>
        <w:r>
          <w:rPr>
            <w:rFonts w:asciiTheme="minorHAnsi" w:eastAsiaTheme="minorEastAsia" w:hAnsiTheme="minorHAnsi" w:cstheme="minorBidi"/>
            <w:sz w:val="22"/>
            <w:szCs w:val="22"/>
            <w:lang w:eastAsia="en-AU"/>
          </w:rPr>
          <w:tab/>
        </w:r>
        <w:r w:rsidRPr="00EB4515">
          <w:rPr>
            <w:lang w:eastAsia="en-AU"/>
          </w:rPr>
          <w:t>Exception—Aboriginal and Torres Strait Islander traditional laws and customs</w:t>
        </w:r>
        <w:r>
          <w:tab/>
        </w:r>
        <w:r>
          <w:fldChar w:fldCharType="begin"/>
        </w:r>
        <w:r>
          <w:instrText xml:space="preserve"> PAGEREF _Toc11748456 \h </w:instrText>
        </w:r>
        <w:r>
          <w:fldChar w:fldCharType="separate"/>
        </w:r>
        <w:r w:rsidR="00A26A46">
          <w:t>55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57" w:history="1">
        <w:r w:rsidRPr="00EB4515">
          <w:t>73</w:t>
        </w:r>
        <w:r>
          <w:rPr>
            <w:rFonts w:asciiTheme="minorHAnsi" w:eastAsiaTheme="minorEastAsia" w:hAnsiTheme="minorHAnsi" w:cstheme="minorBidi"/>
            <w:sz w:val="22"/>
            <w:szCs w:val="22"/>
            <w:lang w:eastAsia="en-AU"/>
          </w:rPr>
          <w:tab/>
        </w:r>
        <w:r w:rsidRPr="00EB4515">
          <w:t>Exception—reputation as to relationships and age</w:t>
        </w:r>
        <w:r>
          <w:tab/>
        </w:r>
        <w:r>
          <w:fldChar w:fldCharType="begin"/>
        </w:r>
        <w:r>
          <w:instrText xml:space="preserve"> PAGEREF _Toc11748457 \h </w:instrText>
        </w:r>
        <w:r>
          <w:fldChar w:fldCharType="separate"/>
        </w:r>
        <w:r w:rsidR="00A26A46">
          <w:t>55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58" w:history="1">
        <w:r w:rsidRPr="00EB4515">
          <w:t>74</w:t>
        </w:r>
        <w:r>
          <w:rPr>
            <w:rFonts w:asciiTheme="minorHAnsi" w:eastAsiaTheme="minorEastAsia" w:hAnsiTheme="minorHAnsi" w:cstheme="minorBidi"/>
            <w:sz w:val="22"/>
            <w:szCs w:val="22"/>
            <w:lang w:eastAsia="en-AU"/>
          </w:rPr>
          <w:tab/>
        </w:r>
        <w:r w:rsidRPr="00EB4515">
          <w:t>Exception—reputation of public or general rights</w:t>
        </w:r>
        <w:r>
          <w:tab/>
        </w:r>
        <w:r>
          <w:fldChar w:fldCharType="begin"/>
        </w:r>
        <w:r>
          <w:instrText xml:space="preserve"> PAGEREF _Toc11748458 \h </w:instrText>
        </w:r>
        <w:r>
          <w:fldChar w:fldCharType="separate"/>
        </w:r>
        <w:r w:rsidR="00A26A46">
          <w:t>56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59" w:history="1">
        <w:r w:rsidRPr="00EB4515">
          <w:t>75</w:t>
        </w:r>
        <w:r>
          <w:rPr>
            <w:rFonts w:asciiTheme="minorHAnsi" w:eastAsiaTheme="minorEastAsia" w:hAnsiTheme="minorHAnsi" w:cstheme="minorBidi"/>
            <w:sz w:val="22"/>
            <w:szCs w:val="22"/>
            <w:lang w:eastAsia="en-AU"/>
          </w:rPr>
          <w:tab/>
        </w:r>
        <w:r w:rsidRPr="00EB4515">
          <w:t>Exception—interlocutory proceedings</w:t>
        </w:r>
        <w:r>
          <w:tab/>
        </w:r>
        <w:r>
          <w:fldChar w:fldCharType="begin"/>
        </w:r>
        <w:r>
          <w:instrText xml:space="preserve"> PAGEREF _Toc11748459 \h </w:instrText>
        </w:r>
        <w:r>
          <w:fldChar w:fldCharType="separate"/>
        </w:r>
        <w:r w:rsidR="00A26A46">
          <w:t>56</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460" w:history="1">
        <w:r w:rsidR="00696CEB" w:rsidRPr="00EB4515">
          <w:t>Part 3.3</w:t>
        </w:r>
        <w:r w:rsidR="00696CEB">
          <w:rPr>
            <w:rFonts w:asciiTheme="minorHAnsi" w:eastAsiaTheme="minorEastAsia" w:hAnsiTheme="minorHAnsi" w:cstheme="minorBidi"/>
            <w:b w:val="0"/>
            <w:sz w:val="22"/>
            <w:szCs w:val="22"/>
            <w:lang w:eastAsia="en-AU"/>
          </w:rPr>
          <w:tab/>
        </w:r>
        <w:r w:rsidR="00696CEB" w:rsidRPr="00EB4515">
          <w:t>Opinion</w:t>
        </w:r>
        <w:r w:rsidR="00696CEB" w:rsidRPr="00696CEB">
          <w:rPr>
            <w:vanish/>
          </w:rPr>
          <w:tab/>
        </w:r>
        <w:r w:rsidR="00696CEB" w:rsidRPr="00696CEB">
          <w:rPr>
            <w:vanish/>
          </w:rPr>
          <w:fldChar w:fldCharType="begin"/>
        </w:r>
        <w:r w:rsidR="00696CEB" w:rsidRPr="00696CEB">
          <w:rPr>
            <w:vanish/>
          </w:rPr>
          <w:instrText xml:space="preserve"> PAGEREF _Toc11748460 \h </w:instrText>
        </w:r>
        <w:r w:rsidR="00696CEB" w:rsidRPr="00696CEB">
          <w:rPr>
            <w:vanish/>
          </w:rPr>
        </w:r>
        <w:r w:rsidR="00696CEB" w:rsidRPr="00696CEB">
          <w:rPr>
            <w:vanish/>
          </w:rPr>
          <w:fldChar w:fldCharType="separate"/>
        </w:r>
        <w:r w:rsidR="00A26A46">
          <w:rPr>
            <w:vanish/>
          </w:rPr>
          <w:t>57</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61" w:history="1">
        <w:r w:rsidRPr="00EB4515">
          <w:t>76</w:t>
        </w:r>
        <w:r>
          <w:rPr>
            <w:rFonts w:asciiTheme="minorHAnsi" w:eastAsiaTheme="minorEastAsia" w:hAnsiTheme="minorHAnsi" w:cstheme="minorBidi"/>
            <w:sz w:val="22"/>
            <w:szCs w:val="22"/>
            <w:lang w:eastAsia="en-AU"/>
          </w:rPr>
          <w:tab/>
        </w:r>
        <w:r w:rsidRPr="00EB4515">
          <w:t>The opinion rule</w:t>
        </w:r>
        <w:r>
          <w:tab/>
        </w:r>
        <w:r>
          <w:fldChar w:fldCharType="begin"/>
        </w:r>
        <w:r>
          <w:instrText xml:space="preserve"> PAGEREF _Toc11748461 \h </w:instrText>
        </w:r>
        <w:r>
          <w:fldChar w:fldCharType="separate"/>
        </w:r>
        <w:r w:rsidR="00A26A46">
          <w:t>57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62" w:history="1">
        <w:r w:rsidRPr="00EB4515">
          <w:t>77</w:t>
        </w:r>
        <w:r>
          <w:rPr>
            <w:rFonts w:asciiTheme="minorHAnsi" w:eastAsiaTheme="minorEastAsia" w:hAnsiTheme="minorHAnsi" w:cstheme="minorBidi"/>
            <w:sz w:val="22"/>
            <w:szCs w:val="22"/>
            <w:lang w:eastAsia="en-AU"/>
          </w:rPr>
          <w:tab/>
        </w:r>
        <w:r w:rsidRPr="00EB4515">
          <w:t>Exception—evidence relevant otherwise than as opinion evidence</w:t>
        </w:r>
        <w:r>
          <w:tab/>
        </w:r>
        <w:r>
          <w:fldChar w:fldCharType="begin"/>
        </w:r>
        <w:r>
          <w:instrText xml:space="preserve"> PAGEREF _Toc11748462 \h </w:instrText>
        </w:r>
        <w:r>
          <w:fldChar w:fldCharType="separate"/>
        </w:r>
        <w:r w:rsidR="00A26A46">
          <w:t>58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63" w:history="1">
        <w:r w:rsidRPr="00EB4515">
          <w:t>78</w:t>
        </w:r>
        <w:r>
          <w:rPr>
            <w:rFonts w:asciiTheme="minorHAnsi" w:eastAsiaTheme="minorEastAsia" w:hAnsiTheme="minorHAnsi" w:cstheme="minorBidi"/>
            <w:sz w:val="22"/>
            <w:szCs w:val="22"/>
            <w:lang w:eastAsia="en-AU"/>
          </w:rPr>
          <w:tab/>
        </w:r>
        <w:r w:rsidRPr="00EB4515">
          <w:t>Exception—lay opinions</w:t>
        </w:r>
        <w:r>
          <w:tab/>
        </w:r>
        <w:r>
          <w:fldChar w:fldCharType="begin"/>
        </w:r>
        <w:r>
          <w:instrText xml:space="preserve"> PAGEREF _Toc11748463 \h </w:instrText>
        </w:r>
        <w:r>
          <w:fldChar w:fldCharType="separate"/>
        </w:r>
        <w:r w:rsidR="00A26A46">
          <w:t>58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64" w:history="1">
        <w:r w:rsidRPr="00EB4515">
          <w:t>78A</w:t>
        </w:r>
        <w:r>
          <w:rPr>
            <w:rFonts w:asciiTheme="minorHAnsi" w:eastAsiaTheme="minorEastAsia" w:hAnsiTheme="minorHAnsi" w:cstheme="minorBidi"/>
            <w:sz w:val="22"/>
            <w:szCs w:val="22"/>
            <w:lang w:eastAsia="en-AU"/>
          </w:rPr>
          <w:tab/>
        </w:r>
        <w:r w:rsidRPr="00EB4515">
          <w:rPr>
            <w:lang w:eastAsia="en-AU"/>
          </w:rPr>
          <w:t>Exception—Aboriginal and Torres Strait Islander traditional laws and customs</w:t>
        </w:r>
        <w:r>
          <w:tab/>
        </w:r>
        <w:r>
          <w:fldChar w:fldCharType="begin"/>
        </w:r>
        <w:r>
          <w:instrText xml:space="preserve"> PAGEREF _Toc11748464 \h </w:instrText>
        </w:r>
        <w:r>
          <w:fldChar w:fldCharType="separate"/>
        </w:r>
        <w:r w:rsidR="00A26A46">
          <w:t>58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65" w:history="1">
        <w:r w:rsidRPr="00EB4515">
          <w:t>79</w:t>
        </w:r>
        <w:r>
          <w:rPr>
            <w:rFonts w:asciiTheme="minorHAnsi" w:eastAsiaTheme="minorEastAsia" w:hAnsiTheme="minorHAnsi" w:cstheme="minorBidi"/>
            <w:sz w:val="22"/>
            <w:szCs w:val="22"/>
            <w:lang w:eastAsia="en-AU"/>
          </w:rPr>
          <w:tab/>
        </w:r>
        <w:r w:rsidRPr="00EB4515">
          <w:t>Exception—opinions based on specialised knowledge</w:t>
        </w:r>
        <w:r>
          <w:tab/>
        </w:r>
        <w:r>
          <w:fldChar w:fldCharType="begin"/>
        </w:r>
        <w:r>
          <w:instrText xml:space="preserve"> PAGEREF _Toc11748465 \h </w:instrText>
        </w:r>
        <w:r>
          <w:fldChar w:fldCharType="separate"/>
        </w:r>
        <w:r w:rsidR="00A26A46">
          <w:t>59</w:t>
        </w:r>
        <w:r>
          <w:fldChar w:fldCharType="end"/>
        </w:r>
      </w:hyperlink>
    </w:p>
    <w:p w:rsidR="00696CEB" w:rsidRDefault="00696CEB">
      <w:pPr>
        <w:pStyle w:val="TOC5"/>
        <w:rPr>
          <w:rFonts w:asciiTheme="minorHAnsi" w:eastAsiaTheme="minorEastAsia" w:hAnsiTheme="minorHAnsi" w:cstheme="minorBidi"/>
          <w:sz w:val="22"/>
          <w:szCs w:val="22"/>
          <w:lang w:eastAsia="en-AU"/>
        </w:rPr>
      </w:pPr>
      <w:r>
        <w:lastRenderedPageBreak/>
        <w:tab/>
      </w:r>
      <w:hyperlink w:anchor="_Toc11748466" w:history="1">
        <w:r w:rsidRPr="00EB4515">
          <w:t>80</w:t>
        </w:r>
        <w:r>
          <w:rPr>
            <w:rFonts w:asciiTheme="minorHAnsi" w:eastAsiaTheme="minorEastAsia" w:hAnsiTheme="minorHAnsi" w:cstheme="minorBidi"/>
            <w:sz w:val="22"/>
            <w:szCs w:val="22"/>
            <w:lang w:eastAsia="en-AU"/>
          </w:rPr>
          <w:tab/>
        </w:r>
        <w:r w:rsidRPr="00EB4515">
          <w:t>Ultimate issue and common knowledge rules abolished</w:t>
        </w:r>
        <w:r>
          <w:tab/>
        </w:r>
        <w:r>
          <w:fldChar w:fldCharType="begin"/>
        </w:r>
        <w:r>
          <w:instrText xml:space="preserve"> PAGEREF _Toc11748466 \h </w:instrText>
        </w:r>
        <w:r>
          <w:fldChar w:fldCharType="separate"/>
        </w:r>
        <w:r w:rsidR="00A26A46">
          <w:t>59</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467" w:history="1">
        <w:r w:rsidR="00696CEB" w:rsidRPr="00EB4515">
          <w:t>Part 3.4</w:t>
        </w:r>
        <w:r w:rsidR="00696CEB">
          <w:rPr>
            <w:rFonts w:asciiTheme="minorHAnsi" w:eastAsiaTheme="minorEastAsia" w:hAnsiTheme="minorHAnsi" w:cstheme="minorBidi"/>
            <w:b w:val="0"/>
            <w:sz w:val="22"/>
            <w:szCs w:val="22"/>
            <w:lang w:eastAsia="en-AU"/>
          </w:rPr>
          <w:tab/>
        </w:r>
        <w:r w:rsidR="00696CEB" w:rsidRPr="00EB4515">
          <w:t>Admissions</w:t>
        </w:r>
        <w:r w:rsidR="00696CEB" w:rsidRPr="00696CEB">
          <w:rPr>
            <w:vanish/>
          </w:rPr>
          <w:tab/>
        </w:r>
        <w:r w:rsidR="00696CEB" w:rsidRPr="00696CEB">
          <w:rPr>
            <w:vanish/>
          </w:rPr>
          <w:fldChar w:fldCharType="begin"/>
        </w:r>
        <w:r w:rsidR="00696CEB" w:rsidRPr="00696CEB">
          <w:rPr>
            <w:vanish/>
          </w:rPr>
          <w:instrText xml:space="preserve"> PAGEREF _Toc11748467 \h </w:instrText>
        </w:r>
        <w:r w:rsidR="00696CEB" w:rsidRPr="00696CEB">
          <w:rPr>
            <w:vanish/>
          </w:rPr>
        </w:r>
        <w:r w:rsidR="00696CEB" w:rsidRPr="00696CEB">
          <w:rPr>
            <w:vanish/>
          </w:rPr>
          <w:fldChar w:fldCharType="separate"/>
        </w:r>
        <w:r w:rsidR="00A26A46">
          <w:rPr>
            <w:vanish/>
          </w:rPr>
          <w:t>60</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68" w:history="1">
        <w:r w:rsidRPr="00EB4515">
          <w:t>81</w:t>
        </w:r>
        <w:r>
          <w:rPr>
            <w:rFonts w:asciiTheme="minorHAnsi" w:eastAsiaTheme="minorEastAsia" w:hAnsiTheme="minorHAnsi" w:cstheme="minorBidi"/>
            <w:sz w:val="22"/>
            <w:szCs w:val="22"/>
            <w:lang w:eastAsia="en-AU"/>
          </w:rPr>
          <w:tab/>
        </w:r>
        <w:r w:rsidRPr="00EB4515">
          <w:t>Hearsay and opinion rules—exception for admissions and related representations</w:t>
        </w:r>
        <w:r>
          <w:tab/>
        </w:r>
        <w:r>
          <w:fldChar w:fldCharType="begin"/>
        </w:r>
        <w:r>
          <w:instrText xml:space="preserve"> PAGEREF _Toc11748468 \h </w:instrText>
        </w:r>
        <w:r>
          <w:fldChar w:fldCharType="separate"/>
        </w:r>
        <w:r w:rsidR="00A26A46">
          <w:t>60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69" w:history="1">
        <w:r w:rsidRPr="00EB4515">
          <w:t>82</w:t>
        </w:r>
        <w:r>
          <w:rPr>
            <w:rFonts w:asciiTheme="minorHAnsi" w:eastAsiaTheme="minorEastAsia" w:hAnsiTheme="minorHAnsi" w:cstheme="minorBidi"/>
            <w:sz w:val="22"/>
            <w:szCs w:val="22"/>
            <w:lang w:eastAsia="en-AU"/>
          </w:rPr>
          <w:tab/>
        </w:r>
        <w:r w:rsidRPr="00EB4515">
          <w:t>Exclusion of evidence of admissions that is not first</w:t>
        </w:r>
        <w:r w:rsidRPr="00EB4515">
          <w:noBreakHyphen/>
          <w:t>hand</w:t>
        </w:r>
        <w:r>
          <w:tab/>
        </w:r>
        <w:r>
          <w:fldChar w:fldCharType="begin"/>
        </w:r>
        <w:r>
          <w:instrText xml:space="preserve"> PAGEREF _Toc11748469 \h </w:instrText>
        </w:r>
        <w:r>
          <w:fldChar w:fldCharType="separate"/>
        </w:r>
        <w:r w:rsidR="00A26A46">
          <w:t>61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70" w:history="1">
        <w:r w:rsidRPr="00EB4515">
          <w:t>83</w:t>
        </w:r>
        <w:r>
          <w:rPr>
            <w:rFonts w:asciiTheme="minorHAnsi" w:eastAsiaTheme="minorEastAsia" w:hAnsiTheme="minorHAnsi" w:cstheme="minorBidi"/>
            <w:sz w:val="22"/>
            <w:szCs w:val="22"/>
            <w:lang w:eastAsia="en-AU"/>
          </w:rPr>
          <w:tab/>
        </w:r>
        <w:r w:rsidRPr="00EB4515">
          <w:t>Exclusion of evidence of admissions as against third parties</w:t>
        </w:r>
        <w:r>
          <w:tab/>
        </w:r>
        <w:r>
          <w:fldChar w:fldCharType="begin"/>
        </w:r>
        <w:r>
          <w:instrText xml:space="preserve"> PAGEREF _Toc11748470 \h </w:instrText>
        </w:r>
        <w:r>
          <w:fldChar w:fldCharType="separate"/>
        </w:r>
        <w:r w:rsidR="00A26A46">
          <w:t>61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71" w:history="1">
        <w:r w:rsidRPr="00EB4515">
          <w:t>84</w:t>
        </w:r>
        <w:r>
          <w:rPr>
            <w:rFonts w:asciiTheme="minorHAnsi" w:eastAsiaTheme="minorEastAsia" w:hAnsiTheme="minorHAnsi" w:cstheme="minorBidi"/>
            <w:sz w:val="22"/>
            <w:szCs w:val="22"/>
            <w:lang w:eastAsia="en-AU"/>
          </w:rPr>
          <w:tab/>
        </w:r>
        <w:r w:rsidRPr="00EB4515">
          <w:t>Exclusion of admissions influenced by violence and certain other conduct</w:t>
        </w:r>
        <w:r>
          <w:tab/>
        </w:r>
        <w:r>
          <w:fldChar w:fldCharType="begin"/>
        </w:r>
        <w:r>
          <w:instrText xml:space="preserve"> PAGEREF _Toc11748471 \h </w:instrText>
        </w:r>
        <w:r>
          <w:fldChar w:fldCharType="separate"/>
        </w:r>
        <w:r w:rsidR="00A26A46">
          <w:t>62</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72" w:history="1">
        <w:r w:rsidRPr="00EB4515">
          <w:t>85</w:t>
        </w:r>
        <w:r>
          <w:rPr>
            <w:rFonts w:asciiTheme="minorHAnsi" w:eastAsiaTheme="minorEastAsia" w:hAnsiTheme="minorHAnsi" w:cstheme="minorBidi"/>
            <w:sz w:val="22"/>
            <w:szCs w:val="22"/>
            <w:lang w:eastAsia="en-AU"/>
          </w:rPr>
          <w:tab/>
        </w:r>
        <w:r w:rsidRPr="00EB4515">
          <w:t>Criminal proceedings—reliability of admissions by defendants</w:t>
        </w:r>
        <w:r>
          <w:tab/>
        </w:r>
        <w:r>
          <w:fldChar w:fldCharType="begin"/>
        </w:r>
        <w:r>
          <w:instrText xml:space="preserve"> PAGEREF _Toc11748472 \h </w:instrText>
        </w:r>
        <w:r>
          <w:fldChar w:fldCharType="separate"/>
        </w:r>
        <w:r w:rsidR="00A26A46">
          <w:t>62</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73" w:history="1">
        <w:r w:rsidRPr="00EB4515">
          <w:t>86</w:t>
        </w:r>
        <w:r>
          <w:rPr>
            <w:rFonts w:asciiTheme="minorHAnsi" w:eastAsiaTheme="minorEastAsia" w:hAnsiTheme="minorHAnsi" w:cstheme="minorBidi"/>
            <w:sz w:val="22"/>
            <w:szCs w:val="22"/>
            <w:lang w:eastAsia="en-AU"/>
          </w:rPr>
          <w:tab/>
        </w:r>
        <w:r w:rsidRPr="00EB4515">
          <w:t>Exclusion of records of oral questioning</w:t>
        </w:r>
        <w:r>
          <w:tab/>
        </w:r>
        <w:r>
          <w:fldChar w:fldCharType="begin"/>
        </w:r>
        <w:r>
          <w:instrText xml:space="preserve"> PAGEREF _Toc11748473 \h </w:instrText>
        </w:r>
        <w:r>
          <w:fldChar w:fldCharType="separate"/>
        </w:r>
        <w:r w:rsidR="00A26A46">
          <w:t>63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74" w:history="1">
        <w:r w:rsidRPr="00EB4515">
          <w:t>87</w:t>
        </w:r>
        <w:r>
          <w:rPr>
            <w:rFonts w:asciiTheme="minorHAnsi" w:eastAsiaTheme="minorEastAsia" w:hAnsiTheme="minorHAnsi" w:cstheme="minorBidi"/>
            <w:sz w:val="22"/>
            <w:szCs w:val="22"/>
            <w:lang w:eastAsia="en-AU"/>
          </w:rPr>
          <w:tab/>
        </w:r>
        <w:r w:rsidRPr="00EB4515">
          <w:t>Admissions made with authority</w:t>
        </w:r>
        <w:r>
          <w:tab/>
        </w:r>
        <w:r>
          <w:fldChar w:fldCharType="begin"/>
        </w:r>
        <w:r>
          <w:instrText xml:space="preserve"> PAGEREF _Toc11748474 \h </w:instrText>
        </w:r>
        <w:r>
          <w:fldChar w:fldCharType="separate"/>
        </w:r>
        <w:r w:rsidR="00A26A46">
          <w:t>64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75" w:history="1">
        <w:r w:rsidRPr="00EB4515">
          <w:t>88</w:t>
        </w:r>
        <w:r>
          <w:rPr>
            <w:rFonts w:asciiTheme="minorHAnsi" w:eastAsiaTheme="minorEastAsia" w:hAnsiTheme="minorHAnsi" w:cstheme="minorBidi"/>
            <w:sz w:val="22"/>
            <w:szCs w:val="22"/>
            <w:lang w:eastAsia="en-AU"/>
          </w:rPr>
          <w:tab/>
        </w:r>
        <w:r w:rsidRPr="00EB4515">
          <w:t>Proof of admissions</w:t>
        </w:r>
        <w:r>
          <w:tab/>
        </w:r>
        <w:r>
          <w:fldChar w:fldCharType="begin"/>
        </w:r>
        <w:r>
          <w:instrText xml:space="preserve"> PAGEREF _Toc11748475 \h </w:instrText>
        </w:r>
        <w:r>
          <w:fldChar w:fldCharType="separate"/>
        </w:r>
        <w:r w:rsidR="00A26A46">
          <w:t>64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76" w:history="1">
        <w:r w:rsidRPr="00EB4515">
          <w:t>89</w:t>
        </w:r>
        <w:r>
          <w:rPr>
            <w:rFonts w:asciiTheme="minorHAnsi" w:eastAsiaTheme="minorEastAsia" w:hAnsiTheme="minorHAnsi" w:cstheme="minorBidi"/>
            <w:sz w:val="22"/>
            <w:szCs w:val="22"/>
            <w:lang w:eastAsia="en-AU"/>
          </w:rPr>
          <w:tab/>
        </w:r>
        <w:r w:rsidRPr="00EB4515">
          <w:t>Evidence of silence</w:t>
        </w:r>
        <w:r>
          <w:tab/>
        </w:r>
        <w:r>
          <w:fldChar w:fldCharType="begin"/>
        </w:r>
        <w:r>
          <w:instrText xml:space="preserve"> PAGEREF _Toc11748476 \h </w:instrText>
        </w:r>
        <w:r>
          <w:fldChar w:fldCharType="separate"/>
        </w:r>
        <w:r w:rsidR="00A26A46">
          <w:t>65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77" w:history="1">
        <w:r w:rsidRPr="00EB4515">
          <w:t>90</w:t>
        </w:r>
        <w:r>
          <w:rPr>
            <w:rFonts w:asciiTheme="minorHAnsi" w:eastAsiaTheme="minorEastAsia" w:hAnsiTheme="minorHAnsi" w:cstheme="minorBidi"/>
            <w:sz w:val="22"/>
            <w:szCs w:val="22"/>
            <w:lang w:eastAsia="en-AU"/>
          </w:rPr>
          <w:tab/>
        </w:r>
        <w:r w:rsidRPr="00EB4515">
          <w:t>Discretion to exclude admissions</w:t>
        </w:r>
        <w:r>
          <w:tab/>
        </w:r>
        <w:r>
          <w:fldChar w:fldCharType="begin"/>
        </w:r>
        <w:r>
          <w:instrText xml:space="preserve"> PAGEREF _Toc11748477 \h </w:instrText>
        </w:r>
        <w:r>
          <w:fldChar w:fldCharType="separate"/>
        </w:r>
        <w:r w:rsidR="00A26A46">
          <w:t>65</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478" w:history="1">
        <w:r w:rsidR="00696CEB" w:rsidRPr="00EB4515">
          <w:t>Part 3.5</w:t>
        </w:r>
        <w:r w:rsidR="00696CEB">
          <w:rPr>
            <w:rFonts w:asciiTheme="minorHAnsi" w:eastAsiaTheme="minorEastAsia" w:hAnsiTheme="minorHAnsi" w:cstheme="minorBidi"/>
            <w:b w:val="0"/>
            <w:sz w:val="22"/>
            <w:szCs w:val="22"/>
            <w:lang w:eastAsia="en-AU"/>
          </w:rPr>
          <w:tab/>
        </w:r>
        <w:r w:rsidR="00696CEB" w:rsidRPr="00EB4515">
          <w:t>Evidence of judgments and convictions</w:t>
        </w:r>
        <w:r w:rsidR="00696CEB" w:rsidRPr="00696CEB">
          <w:rPr>
            <w:vanish/>
          </w:rPr>
          <w:tab/>
        </w:r>
        <w:r w:rsidR="00696CEB" w:rsidRPr="00696CEB">
          <w:rPr>
            <w:vanish/>
          </w:rPr>
          <w:fldChar w:fldCharType="begin"/>
        </w:r>
        <w:r w:rsidR="00696CEB" w:rsidRPr="00696CEB">
          <w:rPr>
            <w:vanish/>
          </w:rPr>
          <w:instrText xml:space="preserve"> PAGEREF _Toc11748478 \h </w:instrText>
        </w:r>
        <w:r w:rsidR="00696CEB" w:rsidRPr="00696CEB">
          <w:rPr>
            <w:vanish/>
          </w:rPr>
        </w:r>
        <w:r w:rsidR="00696CEB" w:rsidRPr="00696CEB">
          <w:rPr>
            <w:vanish/>
          </w:rPr>
          <w:fldChar w:fldCharType="separate"/>
        </w:r>
        <w:r w:rsidR="00A26A46">
          <w:rPr>
            <w:vanish/>
          </w:rPr>
          <w:t>66</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79" w:history="1">
        <w:r w:rsidRPr="00EB4515">
          <w:t>91</w:t>
        </w:r>
        <w:r>
          <w:rPr>
            <w:rFonts w:asciiTheme="minorHAnsi" w:eastAsiaTheme="minorEastAsia" w:hAnsiTheme="minorHAnsi" w:cstheme="minorBidi"/>
            <w:sz w:val="22"/>
            <w:szCs w:val="22"/>
            <w:lang w:eastAsia="en-AU"/>
          </w:rPr>
          <w:tab/>
        </w:r>
        <w:r w:rsidRPr="00EB4515">
          <w:t>Exclusion of evidence of judgments and convictions</w:t>
        </w:r>
        <w:r>
          <w:tab/>
        </w:r>
        <w:r>
          <w:fldChar w:fldCharType="begin"/>
        </w:r>
        <w:r>
          <w:instrText xml:space="preserve"> PAGEREF _Toc11748479 \h </w:instrText>
        </w:r>
        <w:r>
          <w:fldChar w:fldCharType="separate"/>
        </w:r>
        <w:r w:rsidR="00A26A46">
          <w:t>66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80" w:history="1">
        <w:r w:rsidRPr="00EB4515">
          <w:t>92</w:t>
        </w:r>
        <w:r>
          <w:rPr>
            <w:rFonts w:asciiTheme="minorHAnsi" w:eastAsiaTheme="minorEastAsia" w:hAnsiTheme="minorHAnsi" w:cstheme="minorBidi"/>
            <w:sz w:val="22"/>
            <w:szCs w:val="22"/>
            <w:lang w:eastAsia="en-AU"/>
          </w:rPr>
          <w:tab/>
        </w:r>
        <w:r w:rsidRPr="00EB4515">
          <w:t>Exceptions</w:t>
        </w:r>
        <w:r>
          <w:tab/>
        </w:r>
        <w:r>
          <w:fldChar w:fldCharType="begin"/>
        </w:r>
        <w:r>
          <w:instrText xml:space="preserve"> PAGEREF _Toc11748480 \h </w:instrText>
        </w:r>
        <w:r>
          <w:fldChar w:fldCharType="separate"/>
        </w:r>
        <w:r w:rsidR="00A26A46">
          <w:t>66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81" w:history="1">
        <w:r w:rsidRPr="00EB4515">
          <w:t>93</w:t>
        </w:r>
        <w:r>
          <w:rPr>
            <w:rFonts w:asciiTheme="minorHAnsi" w:eastAsiaTheme="minorEastAsia" w:hAnsiTheme="minorHAnsi" w:cstheme="minorBidi"/>
            <w:sz w:val="22"/>
            <w:szCs w:val="22"/>
            <w:lang w:eastAsia="en-AU"/>
          </w:rPr>
          <w:tab/>
        </w:r>
        <w:r w:rsidRPr="00EB4515">
          <w:t>Savings</w:t>
        </w:r>
        <w:r>
          <w:tab/>
        </w:r>
        <w:r>
          <w:fldChar w:fldCharType="begin"/>
        </w:r>
        <w:r>
          <w:instrText xml:space="preserve"> PAGEREF _Toc11748481 \h </w:instrText>
        </w:r>
        <w:r>
          <w:fldChar w:fldCharType="separate"/>
        </w:r>
        <w:r w:rsidR="00A26A46">
          <w:t>67</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482" w:history="1">
        <w:r w:rsidR="00696CEB" w:rsidRPr="00EB4515">
          <w:t>Part 3.6</w:t>
        </w:r>
        <w:r w:rsidR="00696CEB">
          <w:rPr>
            <w:rFonts w:asciiTheme="minorHAnsi" w:eastAsiaTheme="minorEastAsia" w:hAnsiTheme="minorHAnsi" w:cstheme="minorBidi"/>
            <w:b w:val="0"/>
            <w:sz w:val="22"/>
            <w:szCs w:val="22"/>
            <w:lang w:eastAsia="en-AU"/>
          </w:rPr>
          <w:tab/>
        </w:r>
        <w:r w:rsidR="00696CEB" w:rsidRPr="00EB4515">
          <w:t>Tendency and coincidence</w:t>
        </w:r>
        <w:r w:rsidR="00696CEB" w:rsidRPr="00696CEB">
          <w:rPr>
            <w:vanish/>
          </w:rPr>
          <w:tab/>
        </w:r>
        <w:r w:rsidR="00696CEB" w:rsidRPr="00696CEB">
          <w:rPr>
            <w:vanish/>
          </w:rPr>
          <w:fldChar w:fldCharType="begin"/>
        </w:r>
        <w:r w:rsidR="00696CEB" w:rsidRPr="00696CEB">
          <w:rPr>
            <w:vanish/>
          </w:rPr>
          <w:instrText xml:space="preserve"> PAGEREF _Toc11748482 \h </w:instrText>
        </w:r>
        <w:r w:rsidR="00696CEB" w:rsidRPr="00696CEB">
          <w:rPr>
            <w:vanish/>
          </w:rPr>
        </w:r>
        <w:r w:rsidR="00696CEB" w:rsidRPr="00696CEB">
          <w:rPr>
            <w:vanish/>
          </w:rPr>
          <w:fldChar w:fldCharType="separate"/>
        </w:r>
        <w:r w:rsidR="00A26A46">
          <w:rPr>
            <w:vanish/>
          </w:rPr>
          <w:t>68</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83" w:history="1">
        <w:r w:rsidRPr="00EB4515">
          <w:t>94</w:t>
        </w:r>
        <w:r>
          <w:rPr>
            <w:rFonts w:asciiTheme="minorHAnsi" w:eastAsiaTheme="minorEastAsia" w:hAnsiTheme="minorHAnsi" w:cstheme="minorBidi"/>
            <w:sz w:val="22"/>
            <w:szCs w:val="22"/>
            <w:lang w:eastAsia="en-AU"/>
          </w:rPr>
          <w:tab/>
        </w:r>
        <w:r w:rsidRPr="00EB4515">
          <w:t>Application—pt 3.6</w:t>
        </w:r>
        <w:r>
          <w:tab/>
        </w:r>
        <w:r>
          <w:fldChar w:fldCharType="begin"/>
        </w:r>
        <w:r>
          <w:instrText xml:space="preserve"> PAGEREF _Toc11748483 \h </w:instrText>
        </w:r>
        <w:r>
          <w:fldChar w:fldCharType="separate"/>
        </w:r>
        <w:r w:rsidR="00A26A46">
          <w:t>68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84" w:history="1">
        <w:r w:rsidRPr="00EB4515">
          <w:t>95</w:t>
        </w:r>
        <w:r>
          <w:rPr>
            <w:rFonts w:asciiTheme="minorHAnsi" w:eastAsiaTheme="minorEastAsia" w:hAnsiTheme="minorHAnsi" w:cstheme="minorBidi"/>
            <w:sz w:val="22"/>
            <w:szCs w:val="22"/>
            <w:lang w:eastAsia="en-AU"/>
          </w:rPr>
          <w:tab/>
        </w:r>
        <w:r w:rsidRPr="00EB4515">
          <w:t>Use of evidence for other purposes</w:t>
        </w:r>
        <w:r>
          <w:tab/>
        </w:r>
        <w:r>
          <w:fldChar w:fldCharType="begin"/>
        </w:r>
        <w:r>
          <w:instrText xml:space="preserve"> PAGEREF _Toc11748484 \h </w:instrText>
        </w:r>
        <w:r>
          <w:fldChar w:fldCharType="separate"/>
        </w:r>
        <w:r w:rsidR="00A26A46">
          <w:t>68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85" w:history="1">
        <w:r w:rsidRPr="00EB4515">
          <w:t>96</w:t>
        </w:r>
        <w:r>
          <w:rPr>
            <w:rFonts w:asciiTheme="minorHAnsi" w:eastAsiaTheme="minorEastAsia" w:hAnsiTheme="minorHAnsi" w:cstheme="minorBidi"/>
            <w:sz w:val="22"/>
            <w:szCs w:val="22"/>
            <w:lang w:eastAsia="en-AU"/>
          </w:rPr>
          <w:tab/>
        </w:r>
        <w:r w:rsidRPr="00EB4515">
          <w:t>Failure to act</w:t>
        </w:r>
        <w:r>
          <w:tab/>
        </w:r>
        <w:r>
          <w:fldChar w:fldCharType="begin"/>
        </w:r>
        <w:r>
          <w:instrText xml:space="preserve"> PAGEREF _Toc11748485 \h </w:instrText>
        </w:r>
        <w:r>
          <w:fldChar w:fldCharType="separate"/>
        </w:r>
        <w:r w:rsidR="00A26A46">
          <w:t>68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86" w:history="1">
        <w:r w:rsidRPr="00EB4515">
          <w:t>97</w:t>
        </w:r>
        <w:r>
          <w:rPr>
            <w:rFonts w:asciiTheme="minorHAnsi" w:eastAsiaTheme="minorEastAsia" w:hAnsiTheme="minorHAnsi" w:cstheme="minorBidi"/>
            <w:sz w:val="22"/>
            <w:szCs w:val="22"/>
            <w:lang w:eastAsia="en-AU"/>
          </w:rPr>
          <w:tab/>
        </w:r>
        <w:r w:rsidRPr="00EB4515">
          <w:t>The tendency rule</w:t>
        </w:r>
        <w:r>
          <w:tab/>
        </w:r>
        <w:r>
          <w:fldChar w:fldCharType="begin"/>
        </w:r>
        <w:r>
          <w:instrText xml:space="preserve"> PAGEREF _Toc11748486 \h </w:instrText>
        </w:r>
        <w:r>
          <w:fldChar w:fldCharType="separate"/>
        </w:r>
        <w:r w:rsidR="00A26A46">
          <w:t>69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87" w:history="1">
        <w:r w:rsidRPr="00EB4515">
          <w:t>98</w:t>
        </w:r>
        <w:r>
          <w:rPr>
            <w:rFonts w:asciiTheme="minorHAnsi" w:eastAsiaTheme="minorEastAsia" w:hAnsiTheme="minorHAnsi" w:cstheme="minorBidi"/>
            <w:sz w:val="22"/>
            <w:szCs w:val="22"/>
            <w:lang w:eastAsia="en-AU"/>
          </w:rPr>
          <w:tab/>
        </w:r>
        <w:r w:rsidRPr="00EB4515">
          <w:t>The coincidence rule</w:t>
        </w:r>
        <w:r>
          <w:tab/>
        </w:r>
        <w:r>
          <w:fldChar w:fldCharType="begin"/>
        </w:r>
        <w:r>
          <w:instrText xml:space="preserve"> PAGEREF _Toc11748487 \h </w:instrText>
        </w:r>
        <w:r>
          <w:fldChar w:fldCharType="separate"/>
        </w:r>
        <w:r w:rsidR="00A26A46">
          <w:t>70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88" w:history="1">
        <w:r w:rsidRPr="00EB4515">
          <w:t>99</w:t>
        </w:r>
        <w:r>
          <w:rPr>
            <w:rFonts w:asciiTheme="minorHAnsi" w:eastAsiaTheme="minorEastAsia" w:hAnsiTheme="minorHAnsi" w:cstheme="minorBidi"/>
            <w:sz w:val="22"/>
            <w:szCs w:val="22"/>
            <w:lang w:eastAsia="en-AU"/>
          </w:rPr>
          <w:tab/>
        </w:r>
        <w:r w:rsidRPr="00EB4515">
          <w:t>Requirements for notices</w:t>
        </w:r>
        <w:r>
          <w:tab/>
        </w:r>
        <w:r>
          <w:fldChar w:fldCharType="begin"/>
        </w:r>
        <w:r>
          <w:instrText xml:space="preserve"> PAGEREF _Toc11748488 \h </w:instrText>
        </w:r>
        <w:r>
          <w:fldChar w:fldCharType="separate"/>
        </w:r>
        <w:r w:rsidR="00A26A46">
          <w:t>70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89" w:history="1">
        <w:r w:rsidRPr="00EB4515">
          <w:t>100</w:t>
        </w:r>
        <w:r>
          <w:rPr>
            <w:rFonts w:asciiTheme="minorHAnsi" w:eastAsiaTheme="minorEastAsia" w:hAnsiTheme="minorHAnsi" w:cstheme="minorBidi"/>
            <w:sz w:val="22"/>
            <w:szCs w:val="22"/>
            <w:lang w:eastAsia="en-AU"/>
          </w:rPr>
          <w:tab/>
        </w:r>
        <w:r w:rsidRPr="00EB4515">
          <w:t>Court may dispense with notice requirements</w:t>
        </w:r>
        <w:r>
          <w:tab/>
        </w:r>
        <w:r>
          <w:fldChar w:fldCharType="begin"/>
        </w:r>
        <w:r>
          <w:instrText xml:space="preserve"> PAGEREF _Toc11748489 \h </w:instrText>
        </w:r>
        <w:r>
          <w:fldChar w:fldCharType="separate"/>
        </w:r>
        <w:r w:rsidR="00A26A46">
          <w:t>71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90" w:history="1">
        <w:r w:rsidRPr="00EB4515">
          <w:t>101</w:t>
        </w:r>
        <w:r>
          <w:rPr>
            <w:rFonts w:asciiTheme="minorHAnsi" w:eastAsiaTheme="minorEastAsia" w:hAnsiTheme="minorHAnsi" w:cstheme="minorBidi"/>
            <w:sz w:val="22"/>
            <w:szCs w:val="22"/>
            <w:lang w:eastAsia="en-AU"/>
          </w:rPr>
          <w:tab/>
        </w:r>
        <w:r w:rsidRPr="00EB4515">
          <w:t>Further restrictions on tendency evidence and coincidence evidence presented by prosecution</w:t>
        </w:r>
        <w:r>
          <w:tab/>
        </w:r>
        <w:r>
          <w:fldChar w:fldCharType="begin"/>
        </w:r>
        <w:r>
          <w:instrText xml:space="preserve"> PAGEREF _Toc11748490 \h </w:instrText>
        </w:r>
        <w:r>
          <w:fldChar w:fldCharType="separate"/>
        </w:r>
        <w:r w:rsidR="00A26A46">
          <w:t>72</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491" w:history="1">
        <w:r w:rsidR="00696CEB" w:rsidRPr="00EB4515">
          <w:t>Part 3.7</w:t>
        </w:r>
        <w:r w:rsidR="00696CEB">
          <w:rPr>
            <w:rFonts w:asciiTheme="minorHAnsi" w:eastAsiaTheme="minorEastAsia" w:hAnsiTheme="minorHAnsi" w:cstheme="minorBidi"/>
            <w:b w:val="0"/>
            <w:sz w:val="22"/>
            <w:szCs w:val="22"/>
            <w:lang w:eastAsia="en-AU"/>
          </w:rPr>
          <w:tab/>
        </w:r>
        <w:r w:rsidR="00696CEB" w:rsidRPr="00EB4515">
          <w:t>Credibility</w:t>
        </w:r>
        <w:r w:rsidR="00696CEB" w:rsidRPr="00696CEB">
          <w:rPr>
            <w:vanish/>
          </w:rPr>
          <w:tab/>
        </w:r>
        <w:r w:rsidR="00696CEB" w:rsidRPr="00696CEB">
          <w:rPr>
            <w:vanish/>
          </w:rPr>
          <w:fldChar w:fldCharType="begin"/>
        </w:r>
        <w:r w:rsidR="00696CEB" w:rsidRPr="00696CEB">
          <w:rPr>
            <w:vanish/>
          </w:rPr>
          <w:instrText xml:space="preserve"> PAGEREF _Toc11748491 \h </w:instrText>
        </w:r>
        <w:r w:rsidR="00696CEB" w:rsidRPr="00696CEB">
          <w:rPr>
            <w:vanish/>
          </w:rPr>
        </w:r>
        <w:r w:rsidR="00696CEB" w:rsidRPr="00696CEB">
          <w:rPr>
            <w:vanish/>
          </w:rPr>
          <w:fldChar w:fldCharType="separate"/>
        </w:r>
        <w:r w:rsidR="00A26A46">
          <w:rPr>
            <w:vanish/>
          </w:rPr>
          <w:t>73</w:t>
        </w:r>
        <w:r w:rsidR="00696CEB" w:rsidRPr="00696CEB">
          <w:rPr>
            <w:vanish/>
          </w:rP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492" w:history="1">
        <w:r w:rsidR="00696CEB" w:rsidRPr="00EB4515">
          <w:t>Division 3.7.1</w:t>
        </w:r>
        <w:r w:rsidR="00696CEB">
          <w:rPr>
            <w:rFonts w:asciiTheme="minorHAnsi" w:eastAsiaTheme="minorEastAsia" w:hAnsiTheme="minorHAnsi" w:cstheme="minorBidi"/>
            <w:b w:val="0"/>
            <w:sz w:val="22"/>
            <w:szCs w:val="22"/>
            <w:lang w:eastAsia="en-AU"/>
          </w:rPr>
          <w:tab/>
        </w:r>
        <w:r w:rsidR="00696CEB" w:rsidRPr="00EB4515">
          <w:t>Credibility evidence</w:t>
        </w:r>
        <w:r w:rsidR="00696CEB" w:rsidRPr="00696CEB">
          <w:rPr>
            <w:vanish/>
          </w:rPr>
          <w:tab/>
        </w:r>
        <w:r w:rsidR="00696CEB" w:rsidRPr="00696CEB">
          <w:rPr>
            <w:vanish/>
          </w:rPr>
          <w:fldChar w:fldCharType="begin"/>
        </w:r>
        <w:r w:rsidR="00696CEB" w:rsidRPr="00696CEB">
          <w:rPr>
            <w:vanish/>
          </w:rPr>
          <w:instrText xml:space="preserve"> PAGEREF _Toc11748492 \h </w:instrText>
        </w:r>
        <w:r w:rsidR="00696CEB" w:rsidRPr="00696CEB">
          <w:rPr>
            <w:vanish/>
          </w:rPr>
        </w:r>
        <w:r w:rsidR="00696CEB" w:rsidRPr="00696CEB">
          <w:rPr>
            <w:vanish/>
          </w:rPr>
          <w:fldChar w:fldCharType="separate"/>
        </w:r>
        <w:r w:rsidR="00A26A46">
          <w:rPr>
            <w:vanish/>
          </w:rPr>
          <w:t>73</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93" w:history="1">
        <w:r w:rsidRPr="00EB4515">
          <w:t>101A</w:t>
        </w:r>
        <w:r>
          <w:rPr>
            <w:rFonts w:asciiTheme="minorHAnsi" w:eastAsiaTheme="minorEastAsia" w:hAnsiTheme="minorHAnsi" w:cstheme="minorBidi"/>
            <w:sz w:val="22"/>
            <w:szCs w:val="22"/>
            <w:lang w:eastAsia="en-AU"/>
          </w:rPr>
          <w:tab/>
        </w:r>
        <w:r w:rsidRPr="00EB4515">
          <w:rPr>
            <w:lang w:eastAsia="en-AU"/>
          </w:rPr>
          <w:t>Credibility evidence</w:t>
        </w:r>
        <w:r>
          <w:tab/>
        </w:r>
        <w:r>
          <w:fldChar w:fldCharType="begin"/>
        </w:r>
        <w:r>
          <w:instrText xml:space="preserve"> PAGEREF _Toc11748493 \h </w:instrText>
        </w:r>
        <w:r>
          <w:fldChar w:fldCharType="separate"/>
        </w:r>
        <w:r w:rsidR="00A26A46">
          <w:t>73</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494" w:history="1">
        <w:r w:rsidR="00696CEB" w:rsidRPr="00EB4515">
          <w:t>Division 3.7.2</w:t>
        </w:r>
        <w:r w:rsidR="00696CEB">
          <w:rPr>
            <w:rFonts w:asciiTheme="minorHAnsi" w:eastAsiaTheme="minorEastAsia" w:hAnsiTheme="minorHAnsi" w:cstheme="minorBidi"/>
            <w:b w:val="0"/>
            <w:sz w:val="22"/>
            <w:szCs w:val="22"/>
            <w:lang w:eastAsia="en-AU"/>
          </w:rPr>
          <w:tab/>
        </w:r>
        <w:r w:rsidR="00696CEB" w:rsidRPr="00EB4515">
          <w:t>Credibility of witnesses</w:t>
        </w:r>
        <w:r w:rsidR="00696CEB" w:rsidRPr="00696CEB">
          <w:rPr>
            <w:vanish/>
          </w:rPr>
          <w:tab/>
        </w:r>
        <w:r w:rsidR="00696CEB" w:rsidRPr="00696CEB">
          <w:rPr>
            <w:vanish/>
          </w:rPr>
          <w:fldChar w:fldCharType="begin"/>
        </w:r>
        <w:r w:rsidR="00696CEB" w:rsidRPr="00696CEB">
          <w:rPr>
            <w:vanish/>
          </w:rPr>
          <w:instrText xml:space="preserve"> PAGEREF _Toc11748494 \h </w:instrText>
        </w:r>
        <w:r w:rsidR="00696CEB" w:rsidRPr="00696CEB">
          <w:rPr>
            <w:vanish/>
          </w:rPr>
        </w:r>
        <w:r w:rsidR="00696CEB" w:rsidRPr="00696CEB">
          <w:rPr>
            <w:vanish/>
          </w:rPr>
          <w:fldChar w:fldCharType="separate"/>
        </w:r>
        <w:r w:rsidR="00A26A46">
          <w:rPr>
            <w:vanish/>
          </w:rPr>
          <w:t>74</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95" w:history="1">
        <w:r w:rsidRPr="00EB4515">
          <w:t>102</w:t>
        </w:r>
        <w:r>
          <w:rPr>
            <w:rFonts w:asciiTheme="minorHAnsi" w:eastAsiaTheme="minorEastAsia" w:hAnsiTheme="minorHAnsi" w:cstheme="minorBidi"/>
            <w:sz w:val="22"/>
            <w:szCs w:val="22"/>
            <w:lang w:eastAsia="en-AU"/>
          </w:rPr>
          <w:tab/>
        </w:r>
        <w:r w:rsidRPr="00EB4515">
          <w:t>The credibility rule</w:t>
        </w:r>
        <w:r>
          <w:tab/>
        </w:r>
        <w:r>
          <w:fldChar w:fldCharType="begin"/>
        </w:r>
        <w:r>
          <w:instrText xml:space="preserve"> PAGEREF _Toc11748495 \h </w:instrText>
        </w:r>
        <w:r>
          <w:fldChar w:fldCharType="separate"/>
        </w:r>
        <w:r w:rsidR="00A26A46">
          <w:t>74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96" w:history="1">
        <w:r w:rsidRPr="00EB4515">
          <w:t>103</w:t>
        </w:r>
        <w:r>
          <w:rPr>
            <w:rFonts w:asciiTheme="minorHAnsi" w:eastAsiaTheme="minorEastAsia" w:hAnsiTheme="minorHAnsi" w:cstheme="minorBidi"/>
            <w:sz w:val="22"/>
            <w:szCs w:val="22"/>
            <w:lang w:eastAsia="en-AU"/>
          </w:rPr>
          <w:tab/>
        </w:r>
        <w:r w:rsidRPr="00EB4515">
          <w:t>Exception—cross</w:t>
        </w:r>
        <w:r w:rsidRPr="00EB4515">
          <w:noBreakHyphen/>
          <w:t>examination as to credibility</w:t>
        </w:r>
        <w:r>
          <w:tab/>
        </w:r>
        <w:r>
          <w:fldChar w:fldCharType="begin"/>
        </w:r>
        <w:r>
          <w:instrText xml:space="preserve"> PAGEREF _Toc11748496 \h </w:instrText>
        </w:r>
        <w:r>
          <w:fldChar w:fldCharType="separate"/>
        </w:r>
        <w:r w:rsidR="00A26A46">
          <w:t>74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97" w:history="1">
        <w:r w:rsidRPr="00EB4515">
          <w:t>104</w:t>
        </w:r>
        <w:r>
          <w:rPr>
            <w:rFonts w:asciiTheme="minorHAnsi" w:eastAsiaTheme="minorEastAsia" w:hAnsiTheme="minorHAnsi" w:cstheme="minorBidi"/>
            <w:sz w:val="22"/>
            <w:szCs w:val="22"/>
            <w:lang w:eastAsia="en-AU"/>
          </w:rPr>
          <w:tab/>
        </w:r>
        <w:r w:rsidRPr="00EB4515">
          <w:t>Further protections—cross</w:t>
        </w:r>
        <w:r w:rsidRPr="00EB4515">
          <w:noBreakHyphen/>
          <w:t>examination as to credibility</w:t>
        </w:r>
        <w:r>
          <w:tab/>
        </w:r>
        <w:r>
          <w:fldChar w:fldCharType="begin"/>
        </w:r>
        <w:r>
          <w:instrText xml:space="preserve"> PAGEREF _Toc11748497 \h </w:instrText>
        </w:r>
        <w:r>
          <w:fldChar w:fldCharType="separate"/>
        </w:r>
        <w:r w:rsidR="00A26A46">
          <w:t>75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98" w:history="1">
        <w:r w:rsidRPr="00EB4515">
          <w:t>106</w:t>
        </w:r>
        <w:r>
          <w:rPr>
            <w:rFonts w:asciiTheme="minorHAnsi" w:eastAsiaTheme="minorEastAsia" w:hAnsiTheme="minorHAnsi" w:cstheme="minorBidi"/>
            <w:sz w:val="22"/>
            <w:szCs w:val="22"/>
            <w:lang w:eastAsia="en-AU"/>
          </w:rPr>
          <w:tab/>
        </w:r>
        <w:r w:rsidRPr="00EB4515">
          <w:t>Exception—rebutting denials by other evidence</w:t>
        </w:r>
        <w:r>
          <w:tab/>
        </w:r>
        <w:r>
          <w:fldChar w:fldCharType="begin"/>
        </w:r>
        <w:r>
          <w:instrText xml:space="preserve"> PAGEREF _Toc11748498 \h </w:instrText>
        </w:r>
        <w:r>
          <w:fldChar w:fldCharType="separate"/>
        </w:r>
        <w:r w:rsidR="00A26A46">
          <w:t>76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499" w:history="1">
        <w:r w:rsidRPr="00EB4515">
          <w:t>108</w:t>
        </w:r>
        <w:r>
          <w:rPr>
            <w:rFonts w:asciiTheme="minorHAnsi" w:eastAsiaTheme="minorEastAsia" w:hAnsiTheme="minorHAnsi" w:cstheme="minorBidi"/>
            <w:sz w:val="22"/>
            <w:szCs w:val="22"/>
            <w:lang w:eastAsia="en-AU"/>
          </w:rPr>
          <w:tab/>
        </w:r>
        <w:r w:rsidRPr="00EB4515">
          <w:t>Exception—re</w:t>
        </w:r>
        <w:r w:rsidRPr="00EB4515">
          <w:noBreakHyphen/>
          <w:t>establishing credibility</w:t>
        </w:r>
        <w:r>
          <w:tab/>
        </w:r>
        <w:r>
          <w:fldChar w:fldCharType="begin"/>
        </w:r>
        <w:r>
          <w:instrText xml:space="preserve"> PAGEREF _Toc11748499 \h </w:instrText>
        </w:r>
        <w:r>
          <w:fldChar w:fldCharType="separate"/>
        </w:r>
        <w:r w:rsidR="00A26A46">
          <w:t>77</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500" w:history="1">
        <w:r w:rsidR="00696CEB" w:rsidRPr="00EB4515">
          <w:t>Division 3.7.3</w:t>
        </w:r>
        <w:r w:rsidR="00696CEB">
          <w:rPr>
            <w:rFonts w:asciiTheme="minorHAnsi" w:eastAsiaTheme="minorEastAsia" w:hAnsiTheme="minorHAnsi" w:cstheme="minorBidi"/>
            <w:b w:val="0"/>
            <w:sz w:val="22"/>
            <w:szCs w:val="22"/>
            <w:lang w:eastAsia="en-AU"/>
          </w:rPr>
          <w:tab/>
        </w:r>
        <w:r w:rsidR="00696CEB" w:rsidRPr="00EB4515">
          <w:t>Credibility of people who are not witnesses</w:t>
        </w:r>
        <w:r w:rsidR="00696CEB" w:rsidRPr="00696CEB">
          <w:rPr>
            <w:vanish/>
          </w:rPr>
          <w:tab/>
        </w:r>
        <w:r w:rsidR="00696CEB" w:rsidRPr="00696CEB">
          <w:rPr>
            <w:vanish/>
          </w:rPr>
          <w:fldChar w:fldCharType="begin"/>
        </w:r>
        <w:r w:rsidR="00696CEB" w:rsidRPr="00696CEB">
          <w:rPr>
            <w:vanish/>
          </w:rPr>
          <w:instrText xml:space="preserve"> PAGEREF _Toc11748500 \h </w:instrText>
        </w:r>
        <w:r w:rsidR="00696CEB" w:rsidRPr="00696CEB">
          <w:rPr>
            <w:vanish/>
          </w:rPr>
        </w:r>
        <w:r w:rsidR="00696CEB" w:rsidRPr="00696CEB">
          <w:rPr>
            <w:vanish/>
          </w:rPr>
          <w:fldChar w:fldCharType="separate"/>
        </w:r>
        <w:r w:rsidR="00A26A46">
          <w:rPr>
            <w:vanish/>
          </w:rPr>
          <w:t>77</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01" w:history="1">
        <w:r w:rsidRPr="00EB4515">
          <w:t>108A</w:t>
        </w:r>
        <w:r>
          <w:rPr>
            <w:rFonts w:asciiTheme="minorHAnsi" w:eastAsiaTheme="minorEastAsia" w:hAnsiTheme="minorHAnsi" w:cstheme="minorBidi"/>
            <w:sz w:val="22"/>
            <w:szCs w:val="22"/>
            <w:lang w:eastAsia="en-AU"/>
          </w:rPr>
          <w:tab/>
        </w:r>
        <w:r w:rsidRPr="00EB4515">
          <w:t>Admissibility of evidence of credibility of person who has made a previous representation</w:t>
        </w:r>
        <w:r>
          <w:tab/>
        </w:r>
        <w:r>
          <w:fldChar w:fldCharType="begin"/>
        </w:r>
        <w:r>
          <w:instrText xml:space="preserve"> PAGEREF _Toc11748501 \h </w:instrText>
        </w:r>
        <w:r>
          <w:fldChar w:fldCharType="separate"/>
        </w:r>
        <w:r w:rsidR="00A26A46">
          <w:t>77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02" w:history="1">
        <w:r w:rsidRPr="00EB4515">
          <w:t>108B</w:t>
        </w:r>
        <w:r>
          <w:rPr>
            <w:rFonts w:asciiTheme="minorHAnsi" w:eastAsiaTheme="minorEastAsia" w:hAnsiTheme="minorHAnsi" w:cstheme="minorBidi"/>
            <w:sz w:val="22"/>
            <w:szCs w:val="22"/>
            <w:lang w:eastAsia="en-AU"/>
          </w:rPr>
          <w:tab/>
        </w:r>
        <w:r w:rsidRPr="00EB4515">
          <w:rPr>
            <w:lang w:eastAsia="en-AU"/>
          </w:rPr>
          <w:t>Further protections—previous representations of an accused who is not a witness</w:t>
        </w:r>
        <w:r>
          <w:tab/>
        </w:r>
        <w:r>
          <w:fldChar w:fldCharType="begin"/>
        </w:r>
        <w:r>
          <w:instrText xml:space="preserve"> PAGEREF _Toc11748502 \h </w:instrText>
        </w:r>
        <w:r>
          <w:fldChar w:fldCharType="separate"/>
        </w:r>
        <w:r w:rsidR="00A26A46">
          <w:t>78</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503" w:history="1">
        <w:r w:rsidR="00696CEB" w:rsidRPr="00EB4515">
          <w:t>Division 3.7.4</w:t>
        </w:r>
        <w:r w:rsidR="00696CEB">
          <w:rPr>
            <w:rFonts w:asciiTheme="minorHAnsi" w:eastAsiaTheme="minorEastAsia" w:hAnsiTheme="minorHAnsi" w:cstheme="minorBidi"/>
            <w:b w:val="0"/>
            <w:sz w:val="22"/>
            <w:szCs w:val="22"/>
            <w:lang w:eastAsia="en-AU"/>
          </w:rPr>
          <w:tab/>
        </w:r>
        <w:r w:rsidR="00696CEB" w:rsidRPr="00EB4515">
          <w:t>People with specialised knowledge</w:t>
        </w:r>
        <w:r w:rsidR="00696CEB" w:rsidRPr="00696CEB">
          <w:rPr>
            <w:vanish/>
          </w:rPr>
          <w:tab/>
        </w:r>
        <w:r w:rsidR="00696CEB" w:rsidRPr="00696CEB">
          <w:rPr>
            <w:vanish/>
          </w:rPr>
          <w:fldChar w:fldCharType="begin"/>
        </w:r>
        <w:r w:rsidR="00696CEB" w:rsidRPr="00696CEB">
          <w:rPr>
            <w:vanish/>
          </w:rPr>
          <w:instrText xml:space="preserve"> PAGEREF _Toc11748503 \h </w:instrText>
        </w:r>
        <w:r w:rsidR="00696CEB" w:rsidRPr="00696CEB">
          <w:rPr>
            <w:vanish/>
          </w:rPr>
        </w:r>
        <w:r w:rsidR="00696CEB" w:rsidRPr="00696CEB">
          <w:rPr>
            <w:vanish/>
          </w:rPr>
          <w:fldChar w:fldCharType="separate"/>
        </w:r>
        <w:r w:rsidR="00A26A46">
          <w:rPr>
            <w:vanish/>
          </w:rPr>
          <w:t>79</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04" w:history="1">
        <w:r w:rsidRPr="00EB4515">
          <w:t>108C</w:t>
        </w:r>
        <w:r>
          <w:rPr>
            <w:rFonts w:asciiTheme="minorHAnsi" w:eastAsiaTheme="minorEastAsia" w:hAnsiTheme="minorHAnsi" w:cstheme="minorBidi"/>
            <w:sz w:val="22"/>
            <w:szCs w:val="22"/>
            <w:lang w:eastAsia="en-AU"/>
          </w:rPr>
          <w:tab/>
        </w:r>
        <w:r w:rsidRPr="00EB4515">
          <w:rPr>
            <w:lang w:eastAsia="en-AU"/>
          </w:rPr>
          <w:t>Exception—evidence of people with specialised knowledge</w:t>
        </w:r>
        <w:r>
          <w:tab/>
        </w:r>
        <w:r>
          <w:fldChar w:fldCharType="begin"/>
        </w:r>
        <w:r>
          <w:instrText xml:space="preserve"> PAGEREF _Toc11748504 \h </w:instrText>
        </w:r>
        <w:r>
          <w:fldChar w:fldCharType="separate"/>
        </w:r>
        <w:r w:rsidR="00A26A46">
          <w:t>79</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505" w:history="1">
        <w:r w:rsidR="00696CEB" w:rsidRPr="00EB4515">
          <w:t>Part 3.8</w:t>
        </w:r>
        <w:r w:rsidR="00696CEB">
          <w:rPr>
            <w:rFonts w:asciiTheme="minorHAnsi" w:eastAsiaTheme="minorEastAsia" w:hAnsiTheme="minorHAnsi" w:cstheme="minorBidi"/>
            <w:b w:val="0"/>
            <w:sz w:val="22"/>
            <w:szCs w:val="22"/>
            <w:lang w:eastAsia="en-AU"/>
          </w:rPr>
          <w:tab/>
        </w:r>
        <w:r w:rsidR="00696CEB" w:rsidRPr="00EB4515">
          <w:t>Character</w:t>
        </w:r>
        <w:r w:rsidR="00696CEB" w:rsidRPr="00696CEB">
          <w:rPr>
            <w:vanish/>
          </w:rPr>
          <w:tab/>
        </w:r>
        <w:r w:rsidR="00696CEB" w:rsidRPr="00696CEB">
          <w:rPr>
            <w:vanish/>
          </w:rPr>
          <w:fldChar w:fldCharType="begin"/>
        </w:r>
        <w:r w:rsidR="00696CEB" w:rsidRPr="00696CEB">
          <w:rPr>
            <w:vanish/>
          </w:rPr>
          <w:instrText xml:space="preserve"> PAGEREF _Toc11748505 \h </w:instrText>
        </w:r>
        <w:r w:rsidR="00696CEB" w:rsidRPr="00696CEB">
          <w:rPr>
            <w:vanish/>
          </w:rPr>
        </w:r>
        <w:r w:rsidR="00696CEB" w:rsidRPr="00696CEB">
          <w:rPr>
            <w:vanish/>
          </w:rPr>
          <w:fldChar w:fldCharType="separate"/>
        </w:r>
        <w:r w:rsidR="00A26A46">
          <w:rPr>
            <w:vanish/>
          </w:rPr>
          <w:t>81</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06" w:history="1">
        <w:r w:rsidRPr="00EB4515">
          <w:t>109</w:t>
        </w:r>
        <w:r>
          <w:rPr>
            <w:rFonts w:asciiTheme="minorHAnsi" w:eastAsiaTheme="minorEastAsia" w:hAnsiTheme="minorHAnsi" w:cstheme="minorBidi"/>
            <w:sz w:val="22"/>
            <w:szCs w:val="22"/>
            <w:lang w:eastAsia="en-AU"/>
          </w:rPr>
          <w:tab/>
        </w:r>
        <w:r w:rsidRPr="00EB4515">
          <w:t>Application—pt 3.8</w:t>
        </w:r>
        <w:r>
          <w:tab/>
        </w:r>
        <w:r>
          <w:fldChar w:fldCharType="begin"/>
        </w:r>
        <w:r>
          <w:instrText xml:space="preserve"> PAGEREF _Toc11748506 \h </w:instrText>
        </w:r>
        <w:r>
          <w:fldChar w:fldCharType="separate"/>
        </w:r>
        <w:r w:rsidR="00A26A46">
          <w:t>81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07" w:history="1">
        <w:r w:rsidRPr="00EB4515">
          <w:t>110</w:t>
        </w:r>
        <w:r>
          <w:rPr>
            <w:rFonts w:asciiTheme="minorHAnsi" w:eastAsiaTheme="minorEastAsia" w:hAnsiTheme="minorHAnsi" w:cstheme="minorBidi"/>
            <w:sz w:val="22"/>
            <w:szCs w:val="22"/>
            <w:lang w:eastAsia="en-AU"/>
          </w:rPr>
          <w:tab/>
        </w:r>
        <w:r w:rsidRPr="00EB4515">
          <w:t>Evidence about character of accused people</w:t>
        </w:r>
        <w:r>
          <w:tab/>
        </w:r>
        <w:r>
          <w:fldChar w:fldCharType="begin"/>
        </w:r>
        <w:r>
          <w:instrText xml:space="preserve"> PAGEREF _Toc11748507 \h </w:instrText>
        </w:r>
        <w:r>
          <w:fldChar w:fldCharType="separate"/>
        </w:r>
        <w:r w:rsidR="00A26A46">
          <w:t>81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08" w:history="1">
        <w:r w:rsidRPr="00EB4515">
          <w:t>111</w:t>
        </w:r>
        <w:r>
          <w:rPr>
            <w:rFonts w:asciiTheme="minorHAnsi" w:eastAsiaTheme="minorEastAsia" w:hAnsiTheme="minorHAnsi" w:cstheme="minorBidi"/>
            <w:sz w:val="22"/>
            <w:szCs w:val="22"/>
            <w:lang w:eastAsia="en-AU"/>
          </w:rPr>
          <w:tab/>
        </w:r>
        <w:r w:rsidRPr="00EB4515">
          <w:t>Evidence about character of co-accused</w:t>
        </w:r>
        <w:r>
          <w:tab/>
        </w:r>
        <w:r>
          <w:fldChar w:fldCharType="begin"/>
        </w:r>
        <w:r>
          <w:instrText xml:space="preserve"> PAGEREF _Toc11748508 \h </w:instrText>
        </w:r>
        <w:r>
          <w:fldChar w:fldCharType="separate"/>
        </w:r>
        <w:r w:rsidR="00A26A46">
          <w:t>81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09" w:history="1">
        <w:r w:rsidRPr="00EB4515">
          <w:t>112</w:t>
        </w:r>
        <w:r>
          <w:rPr>
            <w:rFonts w:asciiTheme="minorHAnsi" w:eastAsiaTheme="minorEastAsia" w:hAnsiTheme="minorHAnsi" w:cstheme="minorBidi"/>
            <w:sz w:val="22"/>
            <w:szCs w:val="22"/>
            <w:lang w:eastAsia="en-AU"/>
          </w:rPr>
          <w:tab/>
        </w:r>
        <w:r w:rsidRPr="00EB4515">
          <w:t>Leave required to cross-examine about character of accused or co-accused</w:t>
        </w:r>
        <w:r>
          <w:tab/>
        </w:r>
        <w:r>
          <w:fldChar w:fldCharType="begin"/>
        </w:r>
        <w:r>
          <w:instrText xml:space="preserve"> PAGEREF _Toc11748509 \h </w:instrText>
        </w:r>
        <w:r>
          <w:fldChar w:fldCharType="separate"/>
        </w:r>
        <w:r w:rsidR="00A26A46">
          <w:t>82</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510" w:history="1">
        <w:r w:rsidR="00696CEB" w:rsidRPr="00EB4515">
          <w:t>Part 3.9</w:t>
        </w:r>
        <w:r w:rsidR="00696CEB">
          <w:rPr>
            <w:rFonts w:asciiTheme="minorHAnsi" w:eastAsiaTheme="minorEastAsia" w:hAnsiTheme="minorHAnsi" w:cstheme="minorBidi"/>
            <w:b w:val="0"/>
            <w:sz w:val="22"/>
            <w:szCs w:val="22"/>
            <w:lang w:eastAsia="en-AU"/>
          </w:rPr>
          <w:tab/>
        </w:r>
        <w:r w:rsidR="00696CEB" w:rsidRPr="00EB4515">
          <w:t>Identification evidence</w:t>
        </w:r>
        <w:r w:rsidR="00696CEB" w:rsidRPr="00696CEB">
          <w:rPr>
            <w:vanish/>
          </w:rPr>
          <w:tab/>
        </w:r>
        <w:r w:rsidR="00696CEB" w:rsidRPr="00696CEB">
          <w:rPr>
            <w:vanish/>
          </w:rPr>
          <w:fldChar w:fldCharType="begin"/>
        </w:r>
        <w:r w:rsidR="00696CEB" w:rsidRPr="00696CEB">
          <w:rPr>
            <w:vanish/>
          </w:rPr>
          <w:instrText xml:space="preserve"> PAGEREF _Toc11748510 \h </w:instrText>
        </w:r>
        <w:r w:rsidR="00696CEB" w:rsidRPr="00696CEB">
          <w:rPr>
            <w:vanish/>
          </w:rPr>
        </w:r>
        <w:r w:rsidR="00696CEB" w:rsidRPr="00696CEB">
          <w:rPr>
            <w:vanish/>
          </w:rPr>
          <w:fldChar w:fldCharType="separate"/>
        </w:r>
        <w:r w:rsidR="00A26A46">
          <w:rPr>
            <w:vanish/>
          </w:rPr>
          <w:t>83</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11" w:history="1">
        <w:r w:rsidRPr="00EB4515">
          <w:t>113</w:t>
        </w:r>
        <w:r>
          <w:rPr>
            <w:rFonts w:asciiTheme="minorHAnsi" w:eastAsiaTheme="minorEastAsia" w:hAnsiTheme="minorHAnsi" w:cstheme="minorBidi"/>
            <w:sz w:val="22"/>
            <w:szCs w:val="22"/>
            <w:lang w:eastAsia="en-AU"/>
          </w:rPr>
          <w:tab/>
        </w:r>
        <w:r w:rsidRPr="00EB4515">
          <w:t>Application—pt 3.9</w:t>
        </w:r>
        <w:r>
          <w:tab/>
        </w:r>
        <w:r>
          <w:fldChar w:fldCharType="begin"/>
        </w:r>
        <w:r>
          <w:instrText xml:space="preserve"> PAGEREF _Toc11748511 \h </w:instrText>
        </w:r>
        <w:r>
          <w:fldChar w:fldCharType="separate"/>
        </w:r>
        <w:r w:rsidR="00A26A46">
          <w:t>83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12" w:history="1">
        <w:r w:rsidRPr="00EB4515">
          <w:t>114</w:t>
        </w:r>
        <w:r>
          <w:rPr>
            <w:rFonts w:asciiTheme="minorHAnsi" w:eastAsiaTheme="minorEastAsia" w:hAnsiTheme="minorHAnsi" w:cstheme="minorBidi"/>
            <w:sz w:val="22"/>
            <w:szCs w:val="22"/>
            <w:lang w:eastAsia="en-AU"/>
          </w:rPr>
          <w:tab/>
        </w:r>
        <w:r w:rsidRPr="00EB4515">
          <w:t>Exclusion of visual identification evidence</w:t>
        </w:r>
        <w:r>
          <w:tab/>
        </w:r>
        <w:r>
          <w:fldChar w:fldCharType="begin"/>
        </w:r>
        <w:r>
          <w:instrText xml:space="preserve"> PAGEREF _Toc11748512 \h </w:instrText>
        </w:r>
        <w:r>
          <w:fldChar w:fldCharType="separate"/>
        </w:r>
        <w:r w:rsidR="00A26A46">
          <w:t>83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13" w:history="1">
        <w:r w:rsidRPr="00EB4515">
          <w:t>115</w:t>
        </w:r>
        <w:r>
          <w:rPr>
            <w:rFonts w:asciiTheme="minorHAnsi" w:eastAsiaTheme="minorEastAsia" w:hAnsiTheme="minorHAnsi" w:cstheme="minorBidi"/>
            <w:sz w:val="22"/>
            <w:szCs w:val="22"/>
            <w:lang w:eastAsia="en-AU"/>
          </w:rPr>
          <w:tab/>
        </w:r>
        <w:r w:rsidRPr="00EB4515">
          <w:t>Exclusion of evidence of identification by pictures</w:t>
        </w:r>
        <w:r>
          <w:tab/>
        </w:r>
        <w:r>
          <w:fldChar w:fldCharType="begin"/>
        </w:r>
        <w:r>
          <w:instrText xml:space="preserve"> PAGEREF _Toc11748513 \h </w:instrText>
        </w:r>
        <w:r>
          <w:fldChar w:fldCharType="separate"/>
        </w:r>
        <w:r w:rsidR="00A26A46">
          <w:t>85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14" w:history="1">
        <w:r w:rsidRPr="00EB4515">
          <w:t>116</w:t>
        </w:r>
        <w:r>
          <w:rPr>
            <w:rFonts w:asciiTheme="minorHAnsi" w:eastAsiaTheme="minorEastAsia" w:hAnsiTheme="minorHAnsi" w:cstheme="minorBidi"/>
            <w:sz w:val="22"/>
            <w:szCs w:val="22"/>
            <w:lang w:eastAsia="en-AU"/>
          </w:rPr>
          <w:tab/>
        </w:r>
        <w:r w:rsidRPr="00EB4515">
          <w:t>Directions to jury</w:t>
        </w:r>
        <w:r>
          <w:tab/>
        </w:r>
        <w:r>
          <w:fldChar w:fldCharType="begin"/>
        </w:r>
        <w:r>
          <w:instrText xml:space="preserve"> PAGEREF _Toc11748514 \h </w:instrText>
        </w:r>
        <w:r>
          <w:fldChar w:fldCharType="separate"/>
        </w:r>
        <w:r w:rsidR="00A26A46">
          <w:t>87</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515" w:history="1">
        <w:r w:rsidR="00696CEB" w:rsidRPr="00EB4515">
          <w:t>Part 3.10</w:t>
        </w:r>
        <w:r w:rsidR="00696CEB">
          <w:rPr>
            <w:rFonts w:asciiTheme="minorHAnsi" w:eastAsiaTheme="minorEastAsia" w:hAnsiTheme="minorHAnsi" w:cstheme="minorBidi"/>
            <w:b w:val="0"/>
            <w:sz w:val="22"/>
            <w:szCs w:val="22"/>
            <w:lang w:eastAsia="en-AU"/>
          </w:rPr>
          <w:tab/>
        </w:r>
        <w:r w:rsidR="00696CEB" w:rsidRPr="00EB4515">
          <w:t>Privileges</w:t>
        </w:r>
        <w:r w:rsidR="00696CEB" w:rsidRPr="00696CEB">
          <w:rPr>
            <w:vanish/>
          </w:rPr>
          <w:tab/>
        </w:r>
        <w:r w:rsidR="00696CEB" w:rsidRPr="00696CEB">
          <w:rPr>
            <w:vanish/>
          </w:rPr>
          <w:fldChar w:fldCharType="begin"/>
        </w:r>
        <w:r w:rsidR="00696CEB" w:rsidRPr="00696CEB">
          <w:rPr>
            <w:vanish/>
          </w:rPr>
          <w:instrText xml:space="preserve"> PAGEREF _Toc11748515 \h </w:instrText>
        </w:r>
        <w:r w:rsidR="00696CEB" w:rsidRPr="00696CEB">
          <w:rPr>
            <w:vanish/>
          </w:rPr>
        </w:r>
        <w:r w:rsidR="00696CEB" w:rsidRPr="00696CEB">
          <w:rPr>
            <w:vanish/>
          </w:rPr>
          <w:fldChar w:fldCharType="separate"/>
        </w:r>
        <w:r w:rsidR="00A26A46">
          <w:rPr>
            <w:vanish/>
          </w:rPr>
          <w:t>88</w:t>
        </w:r>
        <w:r w:rsidR="00696CEB" w:rsidRPr="00696CEB">
          <w:rPr>
            <w:vanish/>
          </w:rP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516" w:history="1">
        <w:r w:rsidR="00696CEB" w:rsidRPr="00EB4515">
          <w:t>Division 3.10.1</w:t>
        </w:r>
        <w:r w:rsidR="00696CEB">
          <w:rPr>
            <w:rFonts w:asciiTheme="minorHAnsi" w:eastAsiaTheme="minorEastAsia" w:hAnsiTheme="minorHAnsi" w:cstheme="minorBidi"/>
            <w:b w:val="0"/>
            <w:sz w:val="22"/>
            <w:szCs w:val="22"/>
            <w:lang w:eastAsia="en-AU"/>
          </w:rPr>
          <w:tab/>
        </w:r>
        <w:r w:rsidR="00696CEB" w:rsidRPr="00EB4515">
          <w:t>Client legal privilege</w:t>
        </w:r>
        <w:r w:rsidR="00696CEB" w:rsidRPr="00696CEB">
          <w:rPr>
            <w:vanish/>
          </w:rPr>
          <w:tab/>
        </w:r>
        <w:r w:rsidR="00696CEB" w:rsidRPr="00696CEB">
          <w:rPr>
            <w:vanish/>
          </w:rPr>
          <w:fldChar w:fldCharType="begin"/>
        </w:r>
        <w:r w:rsidR="00696CEB" w:rsidRPr="00696CEB">
          <w:rPr>
            <w:vanish/>
          </w:rPr>
          <w:instrText xml:space="preserve"> PAGEREF _Toc11748516 \h </w:instrText>
        </w:r>
        <w:r w:rsidR="00696CEB" w:rsidRPr="00696CEB">
          <w:rPr>
            <w:vanish/>
          </w:rPr>
        </w:r>
        <w:r w:rsidR="00696CEB" w:rsidRPr="00696CEB">
          <w:rPr>
            <w:vanish/>
          </w:rPr>
          <w:fldChar w:fldCharType="separate"/>
        </w:r>
        <w:r w:rsidR="00A26A46">
          <w:rPr>
            <w:vanish/>
          </w:rPr>
          <w:t>88</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17" w:history="1">
        <w:r w:rsidRPr="00EB4515">
          <w:t>117</w:t>
        </w:r>
        <w:r>
          <w:rPr>
            <w:rFonts w:asciiTheme="minorHAnsi" w:eastAsiaTheme="minorEastAsia" w:hAnsiTheme="minorHAnsi" w:cstheme="minorBidi"/>
            <w:sz w:val="22"/>
            <w:szCs w:val="22"/>
            <w:lang w:eastAsia="en-AU"/>
          </w:rPr>
          <w:tab/>
        </w:r>
        <w:r w:rsidRPr="00EB4515">
          <w:t>Definitions—div 3.10.1</w:t>
        </w:r>
        <w:r>
          <w:tab/>
        </w:r>
        <w:r>
          <w:fldChar w:fldCharType="begin"/>
        </w:r>
        <w:r>
          <w:instrText xml:space="preserve"> PAGEREF _Toc11748517 \h </w:instrText>
        </w:r>
        <w:r>
          <w:fldChar w:fldCharType="separate"/>
        </w:r>
        <w:r w:rsidR="00A26A46">
          <w:t>88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18" w:history="1">
        <w:r w:rsidRPr="00EB4515">
          <w:t>118</w:t>
        </w:r>
        <w:r>
          <w:rPr>
            <w:rFonts w:asciiTheme="minorHAnsi" w:eastAsiaTheme="minorEastAsia" w:hAnsiTheme="minorHAnsi" w:cstheme="minorBidi"/>
            <w:sz w:val="22"/>
            <w:szCs w:val="22"/>
            <w:lang w:eastAsia="en-AU"/>
          </w:rPr>
          <w:tab/>
        </w:r>
        <w:r w:rsidRPr="00EB4515">
          <w:t>Legal advice</w:t>
        </w:r>
        <w:r>
          <w:tab/>
        </w:r>
        <w:r>
          <w:fldChar w:fldCharType="begin"/>
        </w:r>
        <w:r>
          <w:instrText xml:space="preserve"> PAGEREF _Toc11748518 \h </w:instrText>
        </w:r>
        <w:r>
          <w:fldChar w:fldCharType="separate"/>
        </w:r>
        <w:r w:rsidR="00A26A46">
          <w:t>90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19" w:history="1">
        <w:r w:rsidRPr="00EB4515">
          <w:t>119</w:t>
        </w:r>
        <w:r>
          <w:rPr>
            <w:rFonts w:asciiTheme="minorHAnsi" w:eastAsiaTheme="minorEastAsia" w:hAnsiTheme="minorHAnsi" w:cstheme="minorBidi"/>
            <w:sz w:val="22"/>
            <w:szCs w:val="22"/>
            <w:lang w:eastAsia="en-AU"/>
          </w:rPr>
          <w:tab/>
        </w:r>
        <w:r w:rsidRPr="00EB4515">
          <w:t>Litigation</w:t>
        </w:r>
        <w:r>
          <w:tab/>
        </w:r>
        <w:r>
          <w:fldChar w:fldCharType="begin"/>
        </w:r>
        <w:r>
          <w:instrText xml:space="preserve"> PAGEREF _Toc11748519 \h </w:instrText>
        </w:r>
        <w:r>
          <w:fldChar w:fldCharType="separate"/>
        </w:r>
        <w:r w:rsidR="00A26A46">
          <w:t>90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20" w:history="1">
        <w:r w:rsidRPr="00EB4515">
          <w:t>120</w:t>
        </w:r>
        <w:r>
          <w:rPr>
            <w:rFonts w:asciiTheme="minorHAnsi" w:eastAsiaTheme="minorEastAsia" w:hAnsiTheme="minorHAnsi" w:cstheme="minorBidi"/>
            <w:sz w:val="22"/>
            <w:szCs w:val="22"/>
            <w:lang w:eastAsia="en-AU"/>
          </w:rPr>
          <w:tab/>
        </w:r>
        <w:r w:rsidRPr="00EB4515">
          <w:t>Unrepresented parties</w:t>
        </w:r>
        <w:r>
          <w:tab/>
        </w:r>
        <w:r>
          <w:fldChar w:fldCharType="begin"/>
        </w:r>
        <w:r>
          <w:instrText xml:space="preserve"> PAGEREF _Toc11748520 \h </w:instrText>
        </w:r>
        <w:r>
          <w:fldChar w:fldCharType="separate"/>
        </w:r>
        <w:r w:rsidR="00A26A46">
          <w:t>91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21" w:history="1">
        <w:r w:rsidRPr="00EB4515">
          <w:t>121</w:t>
        </w:r>
        <w:r>
          <w:rPr>
            <w:rFonts w:asciiTheme="minorHAnsi" w:eastAsiaTheme="minorEastAsia" w:hAnsiTheme="minorHAnsi" w:cstheme="minorBidi"/>
            <w:sz w:val="22"/>
            <w:szCs w:val="22"/>
            <w:lang w:eastAsia="en-AU"/>
          </w:rPr>
          <w:tab/>
        </w:r>
        <w:r w:rsidRPr="00EB4515">
          <w:t>Loss of client legal privilege—generally</w:t>
        </w:r>
        <w:r>
          <w:tab/>
        </w:r>
        <w:r>
          <w:fldChar w:fldCharType="begin"/>
        </w:r>
        <w:r>
          <w:instrText xml:space="preserve"> PAGEREF _Toc11748521 \h </w:instrText>
        </w:r>
        <w:r>
          <w:fldChar w:fldCharType="separate"/>
        </w:r>
        <w:r w:rsidR="00A26A46">
          <w:t>91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22" w:history="1">
        <w:r w:rsidRPr="00EB4515">
          <w:t>122</w:t>
        </w:r>
        <w:r>
          <w:rPr>
            <w:rFonts w:asciiTheme="minorHAnsi" w:eastAsiaTheme="minorEastAsia" w:hAnsiTheme="minorHAnsi" w:cstheme="minorBidi"/>
            <w:sz w:val="22"/>
            <w:szCs w:val="22"/>
            <w:lang w:eastAsia="en-AU"/>
          </w:rPr>
          <w:tab/>
        </w:r>
        <w:r w:rsidRPr="00EB4515">
          <w:t>Loss of client legal privilege—consent and related matters</w:t>
        </w:r>
        <w:r>
          <w:tab/>
        </w:r>
        <w:r>
          <w:fldChar w:fldCharType="begin"/>
        </w:r>
        <w:r>
          <w:instrText xml:space="preserve"> PAGEREF _Toc11748522 \h </w:instrText>
        </w:r>
        <w:r>
          <w:fldChar w:fldCharType="separate"/>
        </w:r>
        <w:r w:rsidR="00A26A46">
          <w:t>92</w:t>
        </w:r>
        <w:r>
          <w:fldChar w:fldCharType="end"/>
        </w:r>
      </w:hyperlink>
    </w:p>
    <w:p w:rsidR="00696CEB" w:rsidRDefault="00696CEB">
      <w:pPr>
        <w:pStyle w:val="TOC5"/>
        <w:rPr>
          <w:rFonts w:asciiTheme="minorHAnsi" w:eastAsiaTheme="minorEastAsia" w:hAnsiTheme="minorHAnsi" w:cstheme="minorBidi"/>
          <w:sz w:val="22"/>
          <w:szCs w:val="22"/>
          <w:lang w:eastAsia="en-AU"/>
        </w:rPr>
      </w:pPr>
      <w:r>
        <w:lastRenderedPageBreak/>
        <w:tab/>
      </w:r>
      <w:hyperlink w:anchor="_Toc11748523" w:history="1">
        <w:r w:rsidRPr="00EB4515">
          <w:t>123</w:t>
        </w:r>
        <w:r>
          <w:rPr>
            <w:rFonts w:asciiTheme="minorHAnsi" w:eastAsiaTheme="minorEastAsia" w:hAnsiTheme="minorHAnsi" w:cstheme="minorBidi"/>
            <w:sz w:val="22"/>
            <w:szCs w:val="22"/>
            <w:lang w:eastAsia="en-AU"/>
          </w:rPr>
          <w:tab/>
        </w:r>
        <w:r w:rsidRPr="00EB4515">
          <w:t>Loss of client legal privilege—defendants</w:t>
        </w:r>
        <w:r>
          <w:tab/>
        </w:r>
        <w:r>
          <w:fldChar w:fldCharType="begin"/>
        </w:r>
        <w:r>
          <w:instrText xml:space="preserve"> PAGEREF _Toc11748523 \h </w:instrText>
        </w:r>
        <w:r>
          <w:fldChar w:fldCharType="separate"/>
        </w:r>
        <w:r w:rsidR="00A26A46">
          <w:t>93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24" w:history="1">
        <w:r w:rsidRPr="00EB4515">
          <w:t>124</w:t>
        </w:r>
        <w:r>
          <w:rPr>
            <w:rFonts w:asciiTheme="minorHAnsi" w:eastAsiaTheme="minorEastAsia" w:hAnsiTheme="minorHAnsi" w:cstheme="minorBidi"/>
            <w:sz w:val="22"/>
            <w:szCs w:val="22"/>
            <w:lang w:eastAsia="en-AU"/>
          </w:rPr>
          <w:tab/>
        </w:r>
        <w:r w:rsidRPr="00EB4515">
          <w:t>Loss of client legal privilege—joint clients</w:t>
        </w:r>
        <w:r>
          <w:tab/>
        </w:r>
        <w:r>
          <w:fldChar w:fldCharType="begin"/>
        </w:r>
        <w:r>
          <w:instrText xml:space="preserve"> PAGEREF _Toc11748524 \h </w:instrText>
        </w:r>
        <w:r>
          <w:fldChar w:fldCharType="separate"/>
        </w:r>
        <w:r w:rsidR="00A26A46">
          <w:t>94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25" w:history="1">
        <w:r w:rsidRPr="00EB4515">
          <w:t>125</w:t>
        </w:r>
        <w:r>
          <w:rPr>
            <w:rFonts w:asciiTheme="minorHAnsi" w:eastAsiaTheme="minorEastAsia" w:hAnsiTheme="minorHAnsi" w:cstheme="minorBidi"/>
            <w:sz w:val="22"/>
            <w:szCs w:val="22"/>
            <w:lang w:eastAsia="en-AU"/>
          </w:rPr>
          <w:tab/>
        </w:r>
        <w:r w:rsidRPr="00EB4515">
          <w:t>Loss of client legal privilege—misconduct</w:t>
        </w:r>
        <w:r>
          <w:tab/>
        </w:r>
        <w:r>
          <w:fldChar w:fldCharType="begin"/>
        </w:r>
        <w:r>
          <w:instrText xml:space="preserve"> PAGEREF _Toc11748525 \h </w:instrText>
        </w:r>
        <w:r>
          <w:fldChar w:fldCharType="separate"/>
        </w:r>
        <w:r w:rsidR="00A26A46">
          <w:t>94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26" w:history="1">
        <w:r w:rsidRPr="00EB4515">
          <w:t>126</w:t>
        </w:r>
        <w:r>
          <w:rPr>
            <w:rFonts w:asciiTheme="minorHAnsi" w:eastAsiaTheme="minorEastAsia" w:hAnsiTheme="minorHAnsi" w:cstheme="minorBidi"/>
            <w:sz w:val="22"/>
            <w:szCs w:val="22"/>
            <w:lang w:eastAsia="en-AU"/>
          </w:rPr>
          <w:tab/>
        </w:r>
        <w:r w:rsidRPr="00EB4515">
          <w:t>Loss of client legal privilege—related communications and documents</w:t>
        </w:r>
        <w:r>
          <w:tab/>
        </w:r>
        <w:r>
          <w:fldChar w:fldCharType="begin"/>
        </w:r>
        <w:r>
          <w:instrText xml:space="preserve"> PAGEREF _Toc11748526 \h </w:instrText>
        </w:r>
        <w:r>
          <w:fldChar w:fldCharType="separate"/>
        </w:r>
        <w:r w:rsidR="00A26A46">
          <w:t>95</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527" w:history="1">
        <w:r w:rsidR="00696CEB" w:rsidRPr="00EB4515">
          <w:t>Division 3.10.1A</w:t>
        </w:r>
        <w:r w:rsidR="00696CEB">
          <w:rPr>
            <w:rFonts w:asciiTheme="minorHAnsi" w:eastAsiaTheme="minorEastAsia" w:hAnsiTheme="minorHAnsi" w:cstheme="minorBidi"/>
            <w:b w:val="0"/>
            <w:sz w:val="22"/>
            <w:szCs w:val="22"/>
            <w:lang w:eastAsia="en-AU"/>
          </w:rPr>
          <w:tab/>
        </w:r>
        <w:r w:rsidR="00696CEB" w:rsidRPr="00EB4515">
          <w:t>Professional confidential relationship privilege</w:t>
        </w:r>
        <w:r w:rsidR="00696CEB" w:rsidRPr="00696CEB">
          <w:rPr>
            <w:vanish/>
          </w:rPr>
          <w:tab/>
        </w:r>
        <w:r w:rsidR="00696CEB" w:rsidRPr="00696CEB">
          <w:rPr>
            <w:vanish/>
          </w:rPr>
          <w:fldChar w:fldCharType="begin"/>
        </w:r>
        <w:r w:rsidR="00696CEB" w:rsidRPr="00696CEB">
          <w:rPr>
            <w:vanish/>
          </w:rPr>
          <w:instrText xml:space="preserve"> PAGEREF _Toc11748527 \h </w:instrText>
        </w:r>
        <w:r w:rsidR="00696CEB" w:rsidRPr="00696CEB">
          <w:rPr>
            <w:vanish/>
          </w:rPr>
        </w:r>
        <w:r w:rsidR="00696CEB" w:rsidRPr="00696CEB">
          <w:rPr>
            <w:vanish/>
          </w:rPr>
          <w:fldChar w:fldCharType="separate"/>
        </w:r>
        <w:r w:rsidR="00A26A46">
          <w:rPr>
            <w:vanish/>
          </w:rPr>
          <w:t>96</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28" w:history="1">
        <w:r w:rsidRPr="00EB4515">
          <w:t>126A</w:t>
        </w:r>
        <w:r>
          <w:rPr>
            <w:rFonts w:asciiTheme="minorHAnsi" w:eastAsiaTheme="minorEastAsia" w:hAnsiTheme="minorHAnsi" w:cstheme="minorBidi"/>
            <w:sz w:val="22"/>
            <w:szCs w:val="22"/>
            <w:lang w:eastAsia="en-AU"/>
          </w:rPr>
          <w:tab/>
        </w:r>
        <w:r w:rsidRPr="00EB4515">
          <w:rPr>
            <w:lang w:eastAsia="en-AU"/>
          </w:rPr>
          <w:t>Definitions—div 3.10.1A</w:t>
        </w:r>
        <w:r>
          <w:tab/>
        </w:r>
        <w:r>
          <w:fldChar w:fldCharType="begin"/>
        </w:r>
        <w:r>
          <w:instrText xml:space="preserve"> PAGEREF _Toc11748528 \h </w:instrText>
        </w:r>
        <w:r>
          <w:fldChar w:fldCharType="separate"/>
        </w:r>
        <w:r w:rsidR="00A26A46">
          <w:t>96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29" w:history="1">
        <w:r w:rsidRPr="00EB4515">
          <w:t>126B</w:t>
        </w:r>
        <w:r>
          <w:rPr>
            <w:rFonts w:asciiTheme="minorHAnsi" w:eastAsiaTheme="minorEastAsia" w:hAnsiTheme="minorHAnsi" w:cstheme="minorBidi"/>
            <w:sz w:val="22"/>
            <w:szCs w:val="22"/>
            <w:lang w:eastAsia="en-AU"/>
          </w:rPr>
          <w:tab/>
        </w:r>
        <w:r w:rsidRPr="00EB4515">
          <w:rPr>
            <w:lang w:eastAsia="en-AU"/>
          </w:rPr>
          <w:t>Exclusion of evidence of protected confidences</w:t>
        </w:r>
        <w:r>
          <w:tab/>
        </w:r>
        <w:r>
          <w:fldChar w:fldCharType="begin"/>
        </w:r>
        <w:r>
          <w:instrText xml:space="preserve"> PAGEREF _Toc11748529 \h </w:instrText>
        </w:r>
        <w:r>
          <w:fldChar w:fldCharType="separate"/>
        </w:r>
        <w:r w:rsidR="00A26A46">
          <w:t>97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30" w:history="1">
        <w:r w:rsidRPr="00EB4515">
          <w:t>126C</w:t>
        </w:r>
        <w:r>
          <w:rPr>
            <w:rFonts w:asciiTheme="minorHAnsi" w:eastAsiaTheme="minorEastAsia" w:hAnsiTheme="minorHAnsi" w:cstheme="minorBidi"/>
            <w:sz w:val="22"/>
            <w:szCs w:val="22"/>
            <w:lang w:eastAsia="en-AU"/>
          </w:rPr>
          <w:tab/>
        </w:r>
        <w:r w:rsidRPr="00EB4515">
          <w:rPr>
            <w:lang w:eastAsia="en-AU"/>
          </w:rPr>
          <w:t>Loss of professional confidential relationship privilege—consent</w:t>
        </w:r>
        <w:r>
          <w:tab/>
        </w:r>
        <w:r>
          <w:fldChar w:fldCharType="begin"/>
        </w:r>
        <w:r>
          <w:instrText xml:space="preserve"> PAGEREF _Toc11748530 \h </w:instrText>
        </w:r>
        <w:r>
          <w:fldChar w:fldCharType="separate"/>
        </w:r>
        <w:r w:rsidR="00A26A46">
          <w:t>99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31" w:history="1">
        <w:r w:rsidRPr="00EB4515">
          <w:t>126D</w:t>
        </w:r>
        <w:r>
          <w:rPr>
            <w:rFonts w:asciiTheme="minorHAnsi" w:eastAsiaTheme="minorEastAsia" w:hAnsiTheme="minorHAnsi" w:cstheme="minorBidi"/>
            <w:sz w:val="22"/>
            <w:szCs w:val="22"/>
            <w:lang w:eastAsia="en-AU"/>
          </w:rPr>
          <w:tab/>
        </w:r>
        <w:r w:rsidRPr="00EB4515">
          <w:rPr>
            <w:lang w:eastAsia="en-AU"/>
          </w:rPr>
          <w:t>Loss of professional confidential relationship privilege—misconduct</w:t>
        </w:r>
        <w:r>
          <w:tab/>
        </w:r>
        <w:r>
          <w:fldChar w:fldCharType="begin"/>
        </w:r>
        <w:r>
          <w:instrText xml:space="preserve"> PAGEREF _Toc11748531 \h </w:instrText>
        </w:r>
        <w:r>
          <w:fldChar w:fldCharType="separate"/>
        </w:r>
        <w:r w:rsidR="00A26A46">
          <w:t>99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32" w:history="1">
        <w:r w:rsidRPr="00EB4515">
          <w:t>126E</w:t>
        </w:r>
        <w:r>
          <w:rPr>
            <w:rFonts w:asciiTheme="minorHAnsi" w:eastAsiaTheme="minorEastAsia" w:hAnsiTheme="minorHAnsi" w:cstheme="minorBidi"/>
            <w:sz w:val="22"/>
            <w:szCs w:val="22"/>
            <w:lang w:eastAsia="en-AU"/>
          </w:rPr>
          <w:tab/>
        </w:r>
        <w:r w:rsidRPr="00EB4515">
          <w:rPr>
            <w:lang w:eastAsia="en-AU"/>
          </w:rPr>
          <w:t>Ancillary orders</w:t>
        </w:r>
        <w:r>
          <w:tab/>
        </w:r>
        <w:r>
          <w:fldChar w:fldCharType="begin"/>
        </w:r>
        <w:r>
          <w:instrText xml:space="preserve"> PAGEREF _Toc11748532 \h </w:instrText>
        </w:r>
        <w:r>
          <w:fldChar w:fldCharType="separate"/>
        </w:r>
        <w:r w:rsidR="00A26A46">
          <w:t>99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33" w:history="1">
        <w:r w:rsidRPr="00EB4515">
          <w:t>126F</w:t>
        </w:r>
        <w:r>
          <w:rPr>
            <w:rFonts w:asciiTheme="minorHAnsi" w:eastAsiaTheme="minorEastAsia" w:hAnsiTheme="minorHAnsi" w:cstheme="minorBidi"/>
            <w:sz w:val="22"/>
            <w:szCs w:val="22"/>
            <w:lang w:eastAsia="en-AU"/>
          </w:rPr>
          <w:tab/>
        </w:r>
        <w:r w:rsidRPr="00EB4515">
          <w:rPr>
            <w:lang w:eastAsia="en-AU"/>
          </w:rPr>
          <w:t>Application—div 3.10.1A</w:t>
        </w:r>
        <w:r>
          <w:tab/>
        </w:r>
        <w:r>
          <w:fldChar w:fldCharType="begin"/>
        </w:r>
        <w:r>
          <w:instrText xml:space="preserve"> PAGEREF _Toc11748533 \h </w:instrText>
        </w:r>
        <w:r>
          <w:fldChar w:fldCharType="separate"/>
        </w:r>
        <w:r w:rsidR="00A26A46">
          <w:t>100</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534" w:history="1">
        <w:r w:rsidR="00696CEB" w:rsidRPr="00EB4515">
          <w:t>Division 3.10.1C</w:t>
        </w:r>
        <w:r w:rsidR="00696CEB">
          <w:rPr>
            <w:rFonts w:asciiTheme="minorHAnsi" w:eastAsiaTheme="minorEastAsia" w:hAnsiTheme="minorHAnsi" w:cstheme="minorBidi"/>
            <w:b w:val="0"/>
            <w:sz w:val="22"/>
            <w:szCs w:val="22"/>
            <w:lang w:eastAsia="en-AU"/>
          </w:rPr>
          <w:tab/>
        </w:r>
        <w:r w:rsidR="00696CEB" w:rsidRPr="00EB4515">
          <w:t>Journalist privilege</w:t>
        </w:r>
        <w:r w:rsidR="00696CEB" w:rsidRPr="00696CEB">
          <w:rPr>
            <w:vanish/>
          </w:rPr>
          <w:tab/>
        </w:r>
        <w:r w:rsidR="00696CEB" w:rsidRPr="00696CEB">
          <w:rPr>
            <w:vanish/>
          </w:rPr>
          <w:fldChar w:fldCharType="begin"/>
        </w:r>
        <w:r w:rsidR="00696CEB" w:rsidRPr="00696CEB">
          <w:rPr>
            <w:vanish/>
          </w:rPr>
          <w:instrText xml:space="preserve"> PAGEREF _Toc11748534 \h </w:instrText>
        </w:r>
        <w:r w:rsidR="00696CEB" w:rsidRPr="00696CEB">
          <w:rPr>
            <w:vanish/>
          </w:rPr>
        </w:r>
        <w:r w:rsidR="00696CEB" w:rsidRPr="00696CEB">
          <w:rPr>
            <w:vanish/>
          </w:rPr>
          <w:fldChar w:fldCharType="separate"/>
        </w:r>
        <w:r w:rsidR="00A26A46">
          <w:rPr>
            <w:vanish/>
          </w:rPr>
          <w:t>101</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35" w:history="1">
        <w:r w:rsidRPr="00EB4515">
          <w:t>126J</w:t>
        </w:r>
        <w:r>
          <w:rPr>
            <w:rFonts w:asciiTheme="minorHAnsi" w:eastAsiaTheme="minorEastAsia" w:hAnsiTheme="minorHAnsi" w:cstheme="minorBidi"/>
            <w:sz w:val="22"/>
            <w:szCs w:val="22"/>
            <w:lang w:eastAsia="en-AU"/>
          </w:rPr>
          <w:tab/>
        </w:r>
        <w:r w:rsidRPr="00EB4515">
          <w:rPr>
            <w:lang w:eastAsia="en-AU"/>
          </w:rPr>
          <w:t>Definitions—div 3.10.1C</w:t>
        </w:r>
        <w:r>
          <w:tab/>
        </w:r>
        <w:r>
          <w:fldChar w:fldCharType="begin"/>
        </w:r>
        <w:r>
          <w:instrText xml:space="preserve"> PAGEREF _Toc11748535 \h </w:instrText>
        </w:r>
        <w:r>
          <w:fldChar w:fldCharType="separate"/>
        </w:r>
        <w:r w:rsidR="00A26A46">
          <w:t>101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36" w:history="1">
        <w:r w:rsidRPr="00EB4515">
          <w:t>126K</w:t>
        </w:r>
        <w:r>
          <w:rPr>
            <w:rFonts w:asciiTheme="minorHAnsi" w:eastAsiaTheme="minorEastAsia" w:hAnsiTheme="minorHAnsi" w:cstheme="minorBidi"/>
            <w:sz w:val="22"/>
            <w:szCs w:val="22"/>
            <w:lang w:eastAsia="en-AU"/>
          </w:rPr>
          <w:tab/>
        </w:r>
        <w:r w:rsidRPr="00EB4515">
          <w:t>Journalist privilege relating to informant’s identity</w:t>
        </w:r>
        <w:r>
          <w:tab/>
        </w:r>
        <w:r>
          <w:fldChar w:fldCharType="begin"/>
        </w:r>
        <w:r>
          <w:instrText xml:space="preserve"> PAGEREF _Toc11748536 \h </w:instrText>
        </w:r>
        <w:r>
          <w:fldChar w:fldCharType="separate"/>
        </w:r>
        <w:r w:rsidR="00A26A46">
          <w:t>101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37" w:history="1">
        <w:r w:rsidRPr="00EB4515">
          <w:t>126L</w:t>
        </w:r>
        <w:r>
          <w:rPr>
            <w:rFonts w:asciiTheme="minorHAnsi" w:eastAsiaTheme="minorEastAsia" w:hAnsiTheme="minorHAnsi" w:cstheme="minorBidi"/>
            <w:sz w:val="22"/>
            <w:szCs w:val="22"/>
            <w:lang w:eastAsia="en-AU"/>
          </w:rPr>
          <w:tab/>
        </w:r>
        <w:r w:rsidRPr="00EB4515">
          <w:rPr>
            <w:lang w:eastAsia="en-AU"/>
          </w:rPr>
          <w:t>Application—div 3.10.1C</w:t>
        </w:r>
        <w:r>
          <w:tab/>
        </w:r>
        <w:r>
          <w:fldChar w:fldCharType="begin"/>
        </w:r>
        <w:r>
          <w:instrText xml:space="preserve"> PAGEREF _Toc11748537 \h </w:instrText>
        </w:r>
        <w:r>
          <w:fldChar w:fldCharType="separate"/>
        </w:r>
        <w:r w:rsidR="00A26A46">
          <w:t>102</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538" w:history="1">
        <w:r w:rsidR="00696CEB" w:rsidRPr="00EB4515">
          <w:t>Division 3.10.2</w:t>
        </w:r>
        <w:r w:rsidR="00696CEB">
          <w:rPr>
            <w:rFonts w:asciiTheme="minorHAnsi" w:eastAsiaTheme="minorEastAsia" w:hAnsiTheme="minorHAnsi" w:cstheme="minorBidi"/>
            <w:b w:val="0"/>
            <w:sz w:val="22"/>
            <w:szCs w:val="22"/>
            <w:lang w:eastAsia="en-AU"/>
          </w:rPr>
          <w:tab/>
        </w:r>
        <w:r w:rsidR="00696CEB" w:rsidRPr="00EB4515">
          <w:t>Other privileges</w:t>
        </w:r>
        <w:r w:rsidR="00696CEB" w:rsidRPr="00696CEB">
          <w:rPr>
            <w:vanish/>
          </w:rPr>
          <w:tab/>
        </w:r>
        <w:r w:rsidR="00696CEB" w:rsidRPr="00696CEB">
          <w:rPr>
            <w:vanish/>
          </w:rPr>
          <w:fldChar w:fldCharType="begin"/>
        </w:r>
        <w:r w:rsidR="00696CEB" w:rsidRPr="00696CEB">
          <w:rPr>
            <w:vanish/>
          </w:rPr>
          <w:instrText xml:space="preserve"> PAGEREF _Toc11748538 \h </w:instrText>
        </w:r>
        <w:r w:rsidR="00696CEB" w:rsidRPr="00696CEB">
          <w:rPr>
            <w:vanish/>
          </w:rPr>
        </w:r>
        <w:r w:rsidR="00696CEB" w:rsidRPr="00696CEB">
          <w:rPr>
            <w:vanish/>
          </w:rPr>
          <w:fldChar w:fldCharType="separate"/>
        </w:r>
        <w:r w:rsidR="00A26A46">
          <w:rPr>
            <w:vanish/>
          </w:rPr>
          <w:t>103</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39" w:history="1">
        <w:r w:rsidRPr="00EB4515">
          <w:t>127</w:t>
        </w:r>
        <w:r>
          <w:rPr>
            <w:rFonts w:asciiTheme="minorHAnsi" w:eastAsiaTheme="minorEastAsia" w:hAnsiTheme="minorHAnsi" w:cstheme="minorBidi"/>
            <w:sz w:val="22"/>
            <w:szCs w:val="22"/>
            <w:lang w:eastAsia="en-AU"/>
          </w:rPr>
          <w:tab/>
        </w:r>
        <w:r w:rsidRPr="00EB4515">
          <w:t>Religious confessions</w:t>
        </w:r>
        <w:r>
          <w:tab/>
        </w:r>
        <w:r>
          <w:fldChar w:fldCharType="begin"/>
        </w:r>
        <w:r>
          <w:instrText xml:space="preserve"> PAGEREF _Toc11748539 \h </w:instrText>
        </w:r>
        <w:r>
          <w:fldChar w:fldCharType="separate"/>
        </w:r>
        <w:r w:rsidR="00A26A46">
          <w:t>103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40" w:history="1">
        <w:r w:rsidRPr="00EB4515">
          <w:t>128</w:t>
        </w:r>
        <w:r>
          <w:rPr>
            <w:rFonts w:asciiTheme="minorHAnsi" w:eastAsiaTheme="minorEastAsia" w:hAnsiTheme="minorHAnsi" w:cstheme="minorBidi"/>
            <w:sz w:val="22"/>
            <w:szCs w:val="22"/>
            <w:lang w:eastAsia="en-AU"/>
          </w:rPr>
          <w:tab/>
        </w:r>
        <w:r w:rsidRPr="00EB4515">
          <w:t>Privilege in relation to self-incrimination in other proceedings</w:t>
        </w:r>
        <w:r>
          <w:tab/>
        </w:r>
        <w:r>
          <w:fldChar w:fldCharType="begin"/>
        </w:r>
        <w:r>
          <w:instrText xml:space="preserve"> PAGEREF _Toc11748540 \h </w:instrText>
        </w:r>
        <w:r>
          <w:fldChar w:fldCharType="separate"/>
        </w:r>
        <w:r w:rsidR="00A26A46">
          <w:t>103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41" w:history="1">
        <w:r w:rsidRPr="00EB4515">
          <w:t>128A</w:t>
        </w:r>
        <w:r>
          <w:rPr>
            <w:rFonts w:asciiTheme="minorHAnsi" w:eastAsiaTheme="minorEastAsia" w:hAnsiTheme="minorHAnsi" w:cstheme="minorBidi"/>
            <w:sz w:val="22"/>
            <w:szCs w:val="22"/>
            <w:lang w:eastAsia="en-AU"/>
          </w:rPr>
          <w:tab/>
        </w:r>
        <w:r w:rsidRPr="00EB4515">
          <w:rPr>
            <w:lang w:eastAsia="en-AU"/>
          </w:rPr>
          <w:t>Privilege in relation to self-incrimination—exception for certain orders etc</w:t>
        </w:r>
        <w:r>
          <w:tab/>
        </w:r>
        <w:r>
          <w:fldChar w:fldCharType="begin"/>
        </w:r>
        <w:r>
          <w:instrText xml:space="preserve"> PAGEREF _Toc11748541 \h </w:instrText>
        </w:r>
        <w:r>
          <w:fldChar w:fldCharType="separate"/>
        </w:r>
        <w:r w:rsidR="00A26A46">
          <w:t>107</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542" w:history="1">
        <w:r w:rsidR="00696CEB" w:rsidRPr="00EB4515">
          <w:t>Division 3.10.3</w:t>
        </w:r>
        <w:r w:rsidR="00696CEB">
          <w:rPr>
            <w:rFonts w:asciiTheme="minorHAnsi" w:eastAsiaTheme="minorEastAsia" w:hAnsiTheme="minorHAnsi" w:cstheme="minorBidi"/>
            <w:b w:val="0"/>
            <w:sz w:val="22"/>
            <w:szCs w:val="22"/>
            <w:lang w:eastAsia="en-AU"/>
          </w:rPr>
          <w:tab/>
        </w:r>
        <w:r w:rsidR="00696CEB" w:rsidRPr="00EB4515">
          <w:t>Evidence excluded in the public interest</w:t>
        </w:r>
        <w:r w:rsidR="00696CEB" w:rsidRPr="00696CEB">
          <w:rPr>
            <w:vanish/>
          </w:rPr>
          <w:tab/>
        </w:r>
        <w:r w:rsidR="00696CEB" w:rsidRPr="00696CEB">
          <w:rPr>
            <w:vanish/>
          </w:rPr>
          <w:fldChar w:fldCharType="begin"/>
        </w:r>
        <w:r w:rsidR="00696CEB" w:rsidRPr="00696CEB">
          <w:rPr>
            <w:vanish/>
          </w:rPr>
          <w:instrText xml:space="preserve"> PAGEREF _Toc11748542 \h </w:instrText>
        </w:r>
        <w:r w:rsidR="00696CEB" w:rsidRPr="00696CEB">
          <w:rPr>
            <w:vanish/>
          </w:rPr>
        </w:r>
        <w:r w:rsidR="00696CEB" w:rsidRPr="00696CEB">
          <w:rPr>
            <w:vanish/>
          </w:rPr>
          <w:fldChar w:fldCharType="separate"/>
        </w:r>
        <w:r w:rsidR="00A26A46">
          <w:rPr>
            <w:vanish/>
          </w:rPr>
          <w:t>110</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43" w:history="1">
        <w:r w:rsidRPr="00EB4515">
          <w:t>129</w:t>
        </w:r>
        <w:r>
          <w:rPr>
            <w:rFonts w:asciiTheme="minorHAnsi" w:eastAsiaTheme="minorEastAsia" w:hAnsiTheme="minorHAnsi" w:cstheme="minorBidi"/>
            <w:sz w:val="22"/>
            <w:szCs w:val="22"/>
            <w:lang w:eastAsia="en-AU"/>
          </w:rPr>
          <w:tab/>
        </w:r>
        <w:r w:rsidRPr="00EB4515">
          <w:t>Exclusion of evidence of reasons for judicial etc decisions</w:t>
        </w:r>
        <w:r>
          <w:tab/>
        </w:r>
        <w:r>
          <w:fldChar w:fldCharType="begin"/>
        </w:r>
        <w:r>
          <w:instrText xml:space="preserve"> PAGEREF _Toc11748543 \h </w:instrText>
        </w:r>
        <w:r>
          <w:fldChar w:fldCharType="separate"/>
        </w:r>
        <w:r w:rsidR="00A26A46">
          <w:t>110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44" w:history="1">
        <w:r w:rsidRPr="00EB4515">
          <w:t>130</w:t>
        </w:r>
        <w:r>
          <w:rPr>
            <w:rFonts w:asciiTheme="minorHAnsi" w:eastAsiaTheme="minorEastAsia" w:hAnsiTheme="minorHAnsi" w:cstheme="minorBidi"/>
            <w:sz w:val="22"/>
            <w:szCs w:val="22"/>
            <w:lang w:eastAsia="en-AU"/>
          </w:rPr>
          <w:tab/>
        </w:r>
        <w:r w:rsidRPr="00EB4515">
          <w:t>Exclusion of evidence of matters of state</w:t>
        </w:r>
        <w:r>
          <w:tab/>
        </w:r>
        <w:r>
          <w:fldChar w:fldCharType="begin"/>
        </w:r>
        <w:r>
          <w:instrText xml:space="preserve"> PAGEREF _Toc11748544 \h </w:instrText>
        </w:r>
        <w:r>
          <w:fldChar w:fldCharType="separate"/>
        </w:r>
        <w:r w:rsidR="00A26A46">
          <w:t>111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45" w:history="1">
        <w:r w:rsidRPr="00EB4515">
          <w:t>131</w:t>
        </w:r>
        <w:r>
          <w:rPr>
            <w:rFonts w:asciiTheme="minorHAnsi" w:eastAsiaTheme="minorEastAsia" w:hAnsiTheme="minorHAnsi" w:cstheme="minorBidi"/>
            <w:sz w:val="22"/>
            <w:szCs w:val="22"/>
            <w:lang w:eastAsia="en-AU"/>
          </w:rPr>
          <w:tab/>
        </w:r>
        <w:r w:rsidRPr="00EB4515">
          <w:t>Exclusion of evidence of settlement negotiations</w:t>
        </w:r>
        <w:r>
          <w:tab/>
        </w:r>
        <w:r>
          <w:fldChar w:fldCharType="begin"/>
        </w:r>
        <w:r>
          <w:instrText xml:space="preserve"> PAGEREF _Toc11748545 \h </w:instrText>
        </w:r>
        <w:r>
          <w:fldChar w:fldCharType="separate"/>
        </w:r>
        <w:r w:rsidR="00A26A46">
          <w:t>113</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546" w:history="1">
        <w:r w:rsidR="00696CEB" w:rsidRPr="00EB4515">
          <w:t>Division 3.10.4</w:t>
        </w:r>
        <w:r w:rsidR="00696CEB">
          <w:rPr>
            <w:rFonts w:asciiTheme="minorHAnsi" w:eastAsiaTheme="minorEastAsia" w:hAnsiTheme="minorHAnsi" w:cstheme="minorBidi"/>
            <w:b w:val="0"/>
            <w:sz w:val="22"/>
            <w:szCs w:val="22"/>
            <w:lang w:eastAsia="en-AU"/>
          </w:rPr>
          <w:tab/>
        </w:r>
        <w:r w:rsidR="00696CEB" w:rsidRPr="00EB4515">
          <w:t>General</w:t>
        </w:r>
        <w:r w:rsidR="00696CEB" w:rsidRPr="00696CEB">
          <w:rPr>
            <w:vanish/>
          </w:rPr>
          <w:tab/>
        </w:r>
        <w:r w:rsidR="00696CEB" w:rsidRPr="00696CEB">
          <w:rPr>
            <w:vanish/>
          </w:rPr>
          <w:fldChar w:fldCharType="begin"/>
        </w:r>
        <w:r w:rsidR="00696CEB" w:rsidRPr="00696CEB">
          <w:rPr>
            <w:vanish/>
          </w:rPr>
          <w:instrText xml:space="preserve"> PAGEREF _Toc11748546 \h </w:instrText>
        </w:r>
        <w:r w:rsidR="00696CEB" w:rsidRPr="00696CEB">
          <w:rPr>
            <w:vanish/>
          </w:rPr>
        </w:r>
        <w:r w:rsidR="00696CEB" w:rsidRPr="00696CEB">
          <w:rPr>
            <w:vanish/>
          </w:rPr>
          <w:fldChar w:fldCharType="separate"/>
        </w:r>
        <w:r w:rsidR="00A26A46">
          <w:rPr>
            <w:vanish/>
          </w:rPr>
          <w:t>116</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47" w:history="1">
        <w:r w:rsidRPr="00EB4515">
          <w:t>131A</w:t>
        </w:r>
        <w:r>
          <w:rPr>
            <w:rFonts w:asciiTheme="minorHAnsi" w:eastAsiaTheme="minorEastAsia" w:hAnsiTheme="minorHAnsi" w:cstheme="minorBidi"/>
            <w:sz w:val="22"/>
            <w:szCs w:val="22"/>
            <w:lang w:eastAsia="en-AU"/>
          </w:rPr>
          <w:tab/>
        </w:r>
        <w:r w:rsidRPr="00EB4515">
          <w:rPr>
            <w:lang w:eastAsia="en-AU"/>
          </w:rPr>
          <w:t>Application of div 3.10.4 to preliminary proceedings of courts</w:t>
        </w:r>
        <w:r>
          <w:tab/>
        </w:r>
        <w:r>
          <w:fldChar w:fldCharType="begin"/>
        </w:r>
        <w:r>
          <w:instrText xml:space="preserve"> PAGEREF _Toc11748547 \h </w:instrText>
        </w:r>
        <w:r>
          <w:fldChar w:fldCharType="separate"/>
        </w:r>
        <w:r w:rsidR="00A26A46">
          <w:t>116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48" w:history="1">
        <w:r w:rsidRPr="00EB4515">
          <w:t>132</w:t>
        </w:r>
        <w:r>
          <w:rPr>
            <w:rFonts w:asciiTheme="minorHAnsi" w:eastAsiaTheme="minorEastAsia" w:hAnsiTheme="minorHAnsi" w:cstheme="minorBidi"/>
            <w:sz w:val="22"/>
            <w:szCs w:val="22"/>
            <w:lang w:eastAsia="en-AU"/>
          </w:rPr>
          <w:tab/>
        </w:r>
        <w:r w:rsidRPr="00EB4515">
          <w:t>Court to inform of rights to make applications and objections</w:t>
        </w:r>
        <w:r>
          <w:tab/>
        </w:r>
        <w:r>
          <w:fldChar w:fldCharType="begin"/>
        </w:r>
        <w:r>
          <w:instrText xml:space="preserve"> PAGEREF _Toc11748548 \h </w:instrText>
        </w:r>
        <w:r>
          <w:fldChar w:fldCharType="separate"/>
        </w:r>
        <w:r w:rsidR="00A26A46">
          <w:t>117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49" w:history="1">
        <w:r w:rsidRPr="00EB4515">
          <w:t>133</w:t>
        </w:r>
        <w:r>
          <w:rPr>
            <w:rFonts w:asciiTheme="minorHAnsi" w:eastAsiaTheme="minorEastAsia" w:hAnsiTheme="minorHAnsi" w:cstheme="minorBidi"/>
            <w:sz w:val="22"/>
            <w:szCs w:val="22"/>
            <w:lang w:eastAsia="en-AU"/>
          </w:rPr>
          <w:tab/>
        </w:r>
        <w:r w:rsidRPr="00EB4515">
          <w:t>Court may inspect etc documents</w:t>
        </w:r>
        <w:r>
          <w:tab/>
        </w:r>
        <w:r>
          <w:fldChar w:fldCharType="begin"/>
        </w:r>
        <w:r>
          <w:instrText xml:space="preserve"> PAGEREF _Toc11748549 \h </w:instrText>
        </w:r>
        <w:r>
          <w:fldChar w:fldCharType="separate"/>
        </w:r>
        <w:r w:rsidR="00A26A46">
          <w:t>117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50" w:history="1">
        <w:r w:rsidRPr="00EB4515">
          <w:t>134</w:t>
        </w:r>
        <w:r>
          <w:rPr>
            <w:rFonts w:asciiTheme="minorHAnsi" w:eastAsiaTheme="minorEastAsia" w:hAnsiTheme="minorHAnsi" w:cstheme="minorBidi"/>
            <w:sz w:val="22"/>
            <w:szCs w:val="22"/>
            <w:lang w:eastAsia="en-AU"/>
          </w:rPr>
          <w:tab/>
        </w:r>
        <w:r w:rsidRPr="00EB4515">
          <w:t>Inadmissibility of evidence that must not be presented or given</w:t>
        </w:r>
        <w:r>
          <w:tab/>
        </w:r>
        <w:r>
          <w:fldChar w:fldCharType="begin"/>
        </w:r>
        <w:r>
          <w:instrText xml:space="preserve"> PAGEREF _Toc11748550 \h </w:instrText>
        </w:r>
        <w:r>
          <w:fldChar w:fldCharType="separate"/>
        </w:r>
        <w:r w:rsidR="00A26A46">
          <w:t>118</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551" w:history="1">
        <w:r w:rsidR="00696CEB" w:rsidRPr="00EB4515">
          <w:t>Part 3.11</w:t>
        </w:r>
        <w:r w:rsidR="00696CEB">
          <w:rPr>
            <w:rFonts w:asciiTheme="minorHAnsi" w:eastAsiaTheme="minorEastAsia" w:hAnsiTheme="minorHAnsi" w:cstheme="minorBidi"/>
            <w:b w:val="0"/>
            <w:sz w:val="22"/>
            <w:szCs w:val="22"/>
            <w:lang w:eastAsia="en-AU"/>
          </w:rPr>
          <w:tab/>
        </w:r>
        <w:r w:rsidR="00696CEB" w:rsidRPr="00EB4515">
          <w:t>Discretionary and mandatory exclusions</w:t>
        </w:r>
        <w:r w:rsidR="00696CEB" w:rsidRPr="00696CEB">
          <w:rPr>
            <w:vanish/>
          </w:rPr>
          <w:tab/>
        </w:r>
        <w:r w:rsidR="00696CEB" w:rsidRPr="00696CEB">
          <w:rPr>
            <w:vanish/>
          </w:rPr>
          <w:fldChar w:fldCharType="begin"/>
        </w:r>
        <w:r w:rsidR="00696CEB" w:rsidRPr="00696CEB">
          <w:rPr>
            <w:vanish/>
          </w:rPr>
          <w:instrText xml:space="preserve"> PAGEREF _Toc11748551 \h </w:instrText>
        </w:r>
        <w:r w:rsidR="00696CEB" w:rsidRPr="00696CEB">
          <w:rPr>
            <w:vanish/>
          </w:rPr>
        </w:r>
        <w:r w:rsidR="00696CEB" w:rsidRPr="00696CEB">
          <w:rPr>
            <w:vanish/>
          </w:rPr>
          <w:fldChar w:fldCharType="separate"/>
        </w:r>
        <w:r w:rsidR="00A26A46">
          <w:rPr>
            <w:vanish/>
          </w:rPr>
          <w:t>119</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52" w:history="1">
        <w:r w:rsidRPr="00EB4515">
          <w:t>135</w:t>
        </w:r>
        <w:r>
          <w:rPr>
            <w:rFonts w:asciiTheme="minorHAnsi" w:eastAsiaTheme="minorEastAsia" w:hAnsiTheme="minorHAnsi" w:cstheme="minorBidi"/>
            <w:sz w:val="22"/>
            <w:szCs w:val="22"/>
            <w:lang w:eastAsia="en-AU"/>
          </w:rPr>
          <w:tab/>
        </w:r>
        <w:r w:rsidRPr="00EB4515">
          <w:t>General discretion to exclude evidence</w:t>
        </w:r>
        <w:r>
          <w:tab/>
        </w:r>
        <w:r>
          <w:fldChar w:fldCharType="begin"/>
        </w:r>
        <w:r>
          <w:instrText xml:space="preserve"> PAGEREF _Toc11748552 \h </w:instrText>
        </w:r>
        <w:r>
          <w:fldChar w:fldCharType="separate"/>
        </w:r>
        <w:r w:rsidR="00A26A46">
          <w:t>119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53" w:history="1">
        <w:r w:rsidRPr="00EB4515">
          <w:t>136</w:t>
        </w:r>
        <w:r>
          <w:rPr>
            <w:rFonts w:asciiTheme="minorHAnsi" w:eastAsiaTheme="minorEastAsia" w:hAnsiTheme="minorHAnsi" w:cstheme="minorBidi"/>
            <w:sz w:val="22"/>
            <w:szCs w:val="22"/>
            <w:lang w:eastAsia="en-AU"/>
          </w:rPr>
          <w:tab/>
        </w:r>
        <w:r w:rsidRPr="00EB4515">
          <w:t>General discretion to limit use of evidence</w:t>
        </w:r>
        <w:r>
          <w:tab/>
        </w:r>
        <w:r>
          <w:fldChar w:fldCharType="begin"/>
        </w:r>
        <w:r>
          <w:instrText xml:space="preserve"> PAGEREF _Toc11748553 \h </w:instrText>
        </w:r>
        <w:r>
          <w:fldChar w:fldCharType="separate"/>
        </w:r>
        <w:r w:rsidR="00A26A46">
          <w:t>119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54" w:history="1">
        <w:r w:rsidRPr="00EB4515">
          <w:t>137</w:t>
        </w:r>
        <w:r>
          <w:rPr>
            <w:rFonts w:asciiTheme="minorHAnsi" w:eastAsiaTheme="minorEastAsia" w:hAnsiTheme="minorHAnsi" w:cstheme="minorBidi"/>
            <w:sz w:val="22"/>
            <w:szCs w:val="22"/>
            <w:lang w:eastAsia="en-AU"/>
          </w:rPr>
          <w:tab/>
        </w:r>
        <w:r w:rsidRPr="00EB4515">
          <w:t>Exclusion of prejudicial evidence in criminal proceedings</w:t>
        </w:r>
        <w:r>
          <w:tab/>
        </w:r>
        <w:r>
          <w:fldChar w:fldCharType="begin"/>
        </w:r>
        <w:r>
          <w:instrText xml:space="preserve"> PAGEREF _Toc11748554 \h </w:instrText>
        </w:r>
        <w:r>
          <w:fldChar w:fldCharType="separate"/>
        </w:r>
        <w:r w:rsidR="00A26A46">
          <w:t>119</w:t>
        </w:r>
        <w:r>
          <w:fldChar w:fldCharType="end"/>
        </w:r>
      </w:hyperlink>
    </w:p>
    <w:p w:rsidR="00696CEB" w:rsidRDefault="00696CEB">
      <w:pPr>
        <w:pStyle w:val="TOC5"/>
        <w:rPr>
          <w:rFonts w:asciiTheme="minorHAnsi" w:eastAsiaTheme="minorEastAsia" w:hAnsiTheme="minorHAnsi" w:cstheme="minorBidi"/>
          <w:sz w:val="22"/>
          <w:szCs w:val="22"/>
          <w:lang w:eastAsia="en-AU"/>
        </w:rPr>
      </w:pPr>
      <w:r>
        <w:lastRenderedPageBreak/>
        <w:tab/>
      </w:r>
      <w:hyperlink w:anchor="_Toc11748555" w:history="1">
        <w:r w:rsidRPr="00EB4515">
          <w:t>138</w:t>
        </w:r>
        <w:r>
          <w:rPr>
            <w:rFonts w:asciiTheme="minorHAnsi" w:eastAsiaTheme="minorEastAsia" w:hAnsiTheme="minorHAnsi" w:cstheme="minorBidi"/>
            <w:sz w:val="22"/>
            <w:szCs w:val="22"/>
            <w:lang w:eastAsia="en-AU"/>
          </w:rPr>
          <w:tab/>
        </w:r>
        <w:r w:rsidRPr="00EB4515">
          <w:t>Exclusion of improperly or illegally obtained evidence</w:t>
        </w:r>
        <w:r>
          <w:tab/>
        </w:r>
        <w:r>
          <w:fldChar w:fldCharType="begin"/>
        </w:r>
        <w:r>
          <w:instrText xml:space="preserve"> PAGEREF _Toc11748555 \h </w:instrText>
        </w:r>
        <w:r>
          <w:fldChar w:fldCharType="separate"/>
        </w:r>
        <w:r w:rsidR="00A26A46">
          <w:t>119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56" w:history="1">
        <w:r w:rsidRPr="00EB4515">
          <w:t>139</w:t>
        </w:r>
        <w:r>
          <w:rPr>
            <w:rFonts w:asciiTheme="minorHAnsi" w:eastAsiaTheme="minorEastAsia" w:hAnsiTheme="minorHAnsi" w:cstheme="minorBidi"/>
            <w:sz w:val="22"/>
            <w:szCs w:val="22"/>
            <w:lang w:eastAsia="en-AU"/>
          </w:rPr>
          <w:tab/>
        </w:r>
        <w:r w:rsidRPr="00EB4515">
          <w:t>Cautioning of people</w:t>
        </w:r>
        <w:r>
          <w:tab/>
        </w:r>
        <w:r>
          <w:fldChar w:fldCharType="begin"/>
        </w:r>
        <w:r>
          <w:instrText xml:space="preserve"> PAGEREF _Toc11748556 \h </w:instrText>
        </w:r>
        <w:r>
          <w:fldChar w:fldCharType="separate"/>
        </w:r>
        <w:r w:rsidR="00A26A46">
          <w:t>121</w:t>
        </w:r>
        <w:r>
          <w:fldChar w:fldCharType="end"/>
        </w:r>
      </w:hyperlink>
    </w:p>
    <w:p w:rsidR="00696CEB" w:rsidRDefault="00546A8E">
      <w:pPr>
        <w:pStyle w:val="TOC1"/>
        <w:rPr>
          <w:rFonts w:asciiTheme="minorHAnsi" w:eastAsiaTheme="minorEastAsia" w:hAnsiTheme="minorHAnsi" w:cstheme="minorBidi"/>
          <w:b w:val="0"/>
          <w:sz w:val="22"/>
          <w:szCs w:val="22"/>
          <w:lang w:eastAsia="en-AU"/>
        </w:rPr>
      </w:pPr>
      <w:hyperlink w:anchor="_Toc11748557" w:history="1">
        <w:r w:rsidR="00696CEB" w:rsidRPr="00EB4515">
          <w:t>Chapter 4</w:t>
        </w:r>
        <w:r w:rsidR="00696CEB">
          <w:rPr>
            <w:rFonts w:asciiTheme="minorHAnsi" w:eastAsiaTheme="minorEastAsia" w:hAnsiTheme="minorHAnsi" w:cstheme="minorBidi"/>
            <w:b w:val="0"/>
            <w:sz w:val="22"/>
            <w:szCs w:val="22"/>
            <w:lang w:eastAsia="en-AU"/>
          </w:rPr>
          <w:tab/>
        </w:r>
        <w:r w:rsidR="00696CEB" w:rsidRPr="00EB4515">
          <w:t>Proof</w:t>
        </w:r>
        <w:r w:rsidR="00696CEB" w:rsidRPr="00696CEB">
          <w:rPr>
            <w:vanish/>
          </w:rPr>
          <w:tab/>
        </w:r>
        <w:r w:rsidR="00696CEB" w:rsidRPr="00696CEB">
          <w:rPr>
            <w:vanish/>
          </w:rPr>
          <w:fldChar w:fldCharType="begin"/>
        </w:r>
        <w:r w:rsidR="00696CEB" w:rsidRPr="00696CEB">
          <w:rPr>
            <w:vanish/>
          </w:rPr>
          <w:instrText xml:space="preserve"> PAGEREF _Toc11748557 \h </w:instrText>
        </w:r>
        <w:r w:rsidR="00696CEB" w:rsidRPr="00696CEB">
          <w:rPr>
            <w:vanish/>
          </w:rPr>
        </w:r>
        <w:r w:rsidR="00696CEB" w:rsidRPr="00696CEB">
          <w:rPr>
            <w:vanish/>
          </w:rPr>
          <w:fldChar w:fldCharType="separate"/>
        </w:r>
        <w:r w:rsidR="00A26A46">
          <w:rPr>
            <w:vanish/>
          </w:rPr>
          <w:t>123</w:t>
        </w:r>
        <w:r w:rsidR="00696CEB" w:rsidRPr="00696CEB">
          <w:rPr>
            <w:vanish/>
          </w:rP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558" w:history="1">
        <w:r w:rsidR="00696CEB" w:rsidRPr="00EB4515">
          <w:t>Part 4.1</w:t>
        </w:r>
        <w:r w:rsidR="00696CEB">
          <w:rPr>
            <w:rFonts w:asciiTheme="minorHAnsi" w:eastAsiaTheme="minorEastAsia" w:hAnsiTheme="minorHAnsi" w:cstheme="minorBidi"/>
            <w:b w:val="0"/>
            <w:sz w:val="22"/>
            <w:szCs w:val="22"/>
            <w:lang w:eastAsia="en-AU"/>
          </w:rPr>
          <w:tab/>
        </w:r>
        <w:r w:rsidR="00696CEB" w:rsidRPr="00EB4515">
          <w:t>Standard of proof</w:t>
        </w:r>
        <w:r w:rsidR="00696CEB" w:rsidRPr="00696CEB">
          <w:rPr>
            <w:vanish/>
          </w:rPr>
          <w:tab/>
        </w:r>
        <w:r w:rsidR="00696CEB" w:rsidRPr="00696CEB">
          <w:rPr>
            <w:vanish/>
          </w:rPr>
          <w:fldChar w:fldCharType="begin"/>
        </w:r>
        <w:r w:rsidR="00696CEB" w:rsidRPr="00696CEB">
          <w:rPr>
            <w:vanish/>
          </w:rPr>
          <w:instrText xml:space="preserve"> PAGEREF _Toc11748558 \h </w:instrText>
        </w:r>
        <w:r w:rsidR="00696CEB" w:rsidRPr="00696CEB">
          <w:rPr>
            <w:vanish/>
          </w:rPr>
        </w:r>
        <w:r w:rsidR="00696CEB" w:rsidRPr="00696CEB">
          <w:rPr>
            <w:vanish/>
          </w:rPr>
          <w:fldChar w:fldCharType="separate"/>
        </w:r>
        <w:r w:rsidR="00A26A46">
          <w:rPr>
            <w:vanish/>
          </w:rPr>
          <w:t>123</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59" w:history="1">
        <w:r w:rsidRPr="00EB4515">
          <w:t>140</w:t>
        </w:r>
        <w:r>
          <w:rPr>
            <w:rFonts w:asciiTheme="minorHAnsi" w:eastAsiaTheme="minorEastAsia" w:hAnsiTheme="minorHAnsi" w:cstheme="minorBidi"/>
            <w:sz w:val="22"/>
            <w:szCs w:val="22"/>
            <w:lang w:eastAsia="en-AU"/>
          </w:rPr>
          <w:tab/>
        </w:r>
        <w:r w:rsidRPr="00EB4515">
          <w:t>Civil proceedings—standard of proof</w:t>
        </w:r>
        <w:r>
          <w:tab/>
        </w:r>
        <w:r>
          <w:fldChar w:fldCharType="begin"/>
        </w:r>
        <w:r>
          <w:instrText xml:space="preserve"> PAGEREF _Toc11748559 \h </w:instrText>
        </w:r>
        <w:r>
          <w:fldChar w:fldCharType="separate"/>
        </w:r>
        <w:r w:rsidR="00A26A46">
          <w:t>123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60" w:history="1">
        <w:r w:rsidRPr="00EB4515">
          <w:t>141</w:t>
        </w:r>
        <w:r>
          <w:rPr>
            <w:rFonts w:asciiTheme="minorHAnsi" w:eastAsiaTheme="minorEastAsia" w:hAnsiTheme="minorHAnsi" w:cstheme="minorBidi"/>
            <w:sz w:val="22"/>
            <w:szCs w:val="22"/>
            <w:lang w:eastAsia="en-AU"/>
          </w:rPr>
          <w:tab/>
        </w:r>
        <w:r w:rsidRPr="00EB4515">
          <w:t>Criminal proceedings—standard of proof</w:t>
        </w:r>
        <w:r>
          <w:tab/>
        </w:r>
        <w:r>
          <w:fldChar w:fldCharType="begin"/>
        </w:r>
        <w:r>
          <w:instrText xml:space="preserve"> PAGEREF _Toc11748560 \h </w:instrText>
        </w:r>
        <w:r>
          <w:fldChar w:fldCharType="separate"/>
        </w:r>
        <w:r w:rsidR="00A26A46">
          <w:t>123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61" w:history="1">
        <w:r w:rsidRPr="00EB4515">
          <w:t>142</w:t>
        </w:r>
        <w:r>
          <w:rPr>
            <w:rFonts w:asciiTheme="minorHAnsi" w:eastAsiaTheme="minorEastAsia" w:hAnsiTheme="minorHAnsi" w:cstheme="minorBidi"/>
            <w:sz w:val="22"/>
            <w:szCs w:val="22"/>
            <w:lang w:eastAsia="en-AU"/>
          </w:rPr>
          <w:tab/>
        </w:r>
        <w:r w:rsidRPr="00EB4515">
          <w:t>Admissibility of evidence—standard of proof</w:t>
        </w:r>
        <w:r>
          <w:tab/>
        </w:r>
        <w:r>
          <w:fldChar w:fldCharType="begin"/>
        </w:r>
        <w:r>
          <w:instrText xml:space="preserve"> PAGEREF _Toc11748561 \h </w:instrText>
        </w:r>
        <w:r>
          <w:fldChar w:fldCharType="separate"/>
        </w:r>
        <w:r w:rsidR="00A26A46">
          <w:t>124</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562" w:history="1">
        <w:r w:rsidR="00696CEB" w:rsidRPr="00EB4515">
          <w:t>Part 4.2</w:t>
        </w:r>
        <w:r w:rsidR="00696CEB">
          <w:rPr>
            <w:rFonts w:asciiTheme="minorHAnsi" w:eastAsiaTheme="minorEastAsia" w:hAnsiTheme="minorHAnsi" w:cstheme="minorBidi"/>
            <w:b w:val="0"/>
            <w:sz w:val="22"/>
            <w:szCs w:val="22"/>
            <w:lang w:eastAsia="en-AU"/>
          </w:rPr>
          <w:tab/>
        </w:r>
        <w:r w:rsidR="00696CEB" w:rsidRPr="00EB4515">
          <w:t>Judicial notice</w:t>
        </w:r>
        <w:r w:rsidR="00696CEB" w:rsidRPr="00696CEB">
          <w:rPr>
            <w:vanish/>
          </w:rPr>
          <w:tab/>
        </w:r>
        <w:r w:rsidR="00696CEB" w:rsidRPr="00696CEB">
          <w:rPr>
            <w:vanish/>
          </w:rPr>
          <w:fldChar w:fldCharType="begin"/>
        </w:r>
        <w:r w:rsidR="00696CEB" w:rsidRPr="00696CEB">
          <w:rPr>
            <w:vanish/>
          </w:rPr>
          <w:instrText xml:space="preserve"> PAGEREF _Toc11748562 \h </w:instrText>
        </w:r>
        <w:r w:rsidR="00696CEB" w:rsidRPr="00696CEB">
          <w:rPr>
            <w:vanish/>
          </w:rPr>
        </w:r>
        <w:r w:rsidR="00696CEB" w:rsidRPr="00696CEB">
          <w:rPr>
            <w:vanish/>
          </w:rPr>
          <w:fldChar w:fldCharType="separate"/>
        </w:r>
        <w:r w:rsidR="00A26A46">
          <w:rPr>
            <w:vanish/>
          </w:rPr>
          <w:t>125</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63" w:history="1">
        <w:r w:rsidRPr="00EB4515">
          <w:t>143</w:t>
        </w:r>
        <w:r>
          <w:rPr>
            <w:rFonts w:asciiTheme="minorHAnsi" w:eastAsiaTheme="minorEastAsia" w:hAnsiTheme="minorHAnsi" w:cstheme="minorBidi"/>
            <w:sz w:val="22"/>
            <w:szCs w:val="22"/>
            <w:lang w:eastAsia="en-AU"/>
          </w:rPr>
          <w:tab/>
        </w:r>
        <w:r w:rsidRPr="00EB4515">
          <w:t>Matters of law</w:t>
        </w:r>
        <w:r>
          <w:tab/>
        </w:r>
        <w:r>
          <w:fldChar w:fldCharType="begin"/>
        </w:r>
        <w:r>
          <w:instrText xml:space="preserve"> PAGEREF _Toc11748563 \h </w:instrText>
        </w:r>
        <w:r>
          <w:fldChar w:fldCharType="separate"/>
        </w:r>
        <w:r w:rsidR="00A26A46">
          <w:t>125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64" w:history="1">
        <w:r w:rsidRPr="00EB4515">
          <w:t>144</w:t>
        </w:r>
        <w:r>
          <w:rPr>
            <w:rFonts w:asciiTheme="minorHAnsi" w:eastAsiaTheme="minorEastAsia" w:hAnsiTheme="minorHAnsi" w:cstheme="minorBidi"/>
            <w:sz w:val="22"/>
            <w:szCs w:val="22"/>
            <w:lang w:eastAsia="en-AU"/>
          </w:rPr>
          <w:tab/>
        </w:r>
        <w:r w:rsidRPr="00EB4515">
          <w:t>Matters of common knowledge</w:t>
        </w:r>
        <w:r>
          <w:tab/>
        </w:r>
        <w:r>
          <w:fldChar w:fldCharType="begin"/>
        </w:r>
        <w:r>
          <w:instrText xml:space="preserve"> PAGEREF _Toc11748564 \h </w:instrText>
        </w:r>
        <w:r>
          <w:fldChar w:fldCharType="separate"/>
        </w:r>
        <w:r w:rsidR="00A26A46">
          <w:t>126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65" w:history="1">
        <w:r w:rsidRPr="00EB4515">
          <w:t>145</w:t>
        </w:r>
        <w:r>
          <w:rPr>
            <w:rFonts w:asciiTheme="minorHAnsi" w:eastAsiaTheme="minorEastAsia" w:hAnsiTheme="minorHAnsi" w:cstheme="minorBidi"/>
            <w:sz w:val="22"/>
            <w:szCs w:val="22"/>
            <w:lang w:eastAsia="en-AU"/>
          </w:rPr>
          <w:tab/>
        </w:r>
        <w:r w:rsidRPr="00EB4515">
          <w:t>Certain Crown certificates</w:t>
        </w:r>
        <w:r>
          <w:tab/>
        </w:r>
        <w:r>
          <w:fldChar w:fldCharType="begin"/>
        </w:r>
        <w:r>
          <w:instrText xml:space="preserve"> PAGEREF _Toc11748565 \h </w:instrText>
        </w:r>
        <w:r>
          <w:fldChar w:fldCharType="separate"/>
        </w:r>
        <w:r w:rsidR="00A26A46">
          <w:t>126</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566" w:history="1">
        <w:r w:rsidR="00696CEB" w:rsidRPr="00EB4515">
          <w:t>Part 4.3</w:t>
        </w:r>
        <w:r w:rsidR="00696CEB">
          <w:rPr>
            <w:rFonts w:asciiTheme="minorHAnsi" w:eastAsiaTheme="minorEastAsia" w:hAnsiTheme="minorHAnsi" w:cstheme="minorBidi"/>
            <w:b w:val="0"/>
            <w:sz w:val="22"/>
            <w:szCs w:val="22"/>
            <w:lang w:eastAsia="en-AU"/>
          </w:rPr>
          <w:tab/>
        </w:r>
        <w:r w:rsidR="00696CEB" w:rsidRPr="00EB4515">
          <w:t>Facilitation of proof</w:t>
        </w:r>
        <w:r w:rsidR="00696CEB" w:rsidRPr="00696CEB">
          <w:rPr>
            <w:vanish/>
          </w:rPr>
          <w:tab/>
        </w:r>
        <w:r w:rsidR="00696CEB" w:rsidRPr="00696CEB">
          <w:rPr>
            <w:vanish/>
          </w:rPr>
          <w:fldChar w:fldCharType="begin"/>
        </w:r>
        <w:r w:rsidR="00696CEB" w:rsidRPr="00696CEB">
          <w:rPr>
            <w:vanish/>
          </w:rPr>
          <w:instrText xml:space="preserve"> PAGEREF _Toc11748566 \h </w:instrText>
        </w:r>
        <w:r w:rsidR="00696CEB" w:rsidRPr="00696CEB">
          <w:rPr>
            <w:vanish/>
          </w:rPr>
        </w:r>
        <w:r w:rsidR="00696CEB" w:rsidRPr="00696CEB">
          <w:rPr>
            <w:vanish/>
          </w:rPr>
          <w:fldChar w:fldCharType="separate"/>
        </w:r>
        <w:r w:rsidR="00A26A46">
          <w:rPr>
            <w:vanish/>
          </w:rPr>
          <w:t>127</w:t>
        </w:r>
        <w:r w:rsidR="00696CEB" w:rsidRPr="00696CEB">
          <w:rPr>
            <w:vanish/>
          </w:rP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567" w:history="1">
        <w:r w:rsidR="00696CEB" w:rsidRPr="00EB4515">
          <w:t>Division 4.3.1</w:t>
        </w:r>
        <w:r w:rsidR="00696CEB">
          <w:rPr>
            <w:rFonts w:asciiTheme="minorHAnsi" w:eastAsiaTheme="minorEastAsia" w:hAnsiTheme="minorHAnsi" w:cstheme="minorBidi"/>
            <w:b w:val="0"/>
            <w:sz w:val="22"/>
            <w:szCs w:val="22"/>
            <w:lang w:eastAsia="en-AU"/>
          </w:rPr>
          <w:tab/>
        </w:r>
        <w:r w:rsidR="00696CEB" w:rsidRPr="00EB4515">
          <w:t>General</w:t>
        </w:r>
        <w:r w:rsidR="00696CEB" w:rsidRPr="00696CEB">
          <w:rPr>
            <w:vanish/>
          </w:rPr>
          <w:tab/>
        </w:r>
        <w:r w:rsidR="00696CEB" w:rsidRPr="00696CEB">
          <w:rPr>
            <w:vanish/>
          </w:rPr>
          <w:fldChar w:fldCharType="begin"/>
        </w:r>
        <w:r w:rsidR="00696CEB" w:rsidRPr="00696CEB">
          <w:rPr>
            <w:vanish/>
          </w:rPr>
          <w:instrText xml:space="preserve"> PAGEREF _Toc11748567 \h </w:instrText>
        </w:r>
        <w:r w:rsidR="00696CEB" w:rsidRPr="00696CEB">
          <w:rPr>
            <w:vanish/>
          </w:rPr>
        </w:r>
        <w:r w:rsidR="00696CEB" w:rsidRPr="00696CEB">
          <w:rPr>
            <w:vanish/>
          </w:rPr>
          <w:fldChar w:fldCharType="separate"/>
        </w:r>
        <w:r w:rsidR="00A26A46">
          <w:rPr>
            <w:vanish/>
          </w:rPr>
          <w:t>127</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68" w:history="1">
        <w:r w:rsidRPr="00EB4515">
          <w:t>146</w:t>
        </w:r>
        <w:r>
          <w:rPr>
            <w:rFonts w:asciiTheme="minorHAnsi" w:eastAsiaTheme="minorEastAsia" w:hAnsiTheme="minorHAnsi" w:cstheme="minorBidi"/>
            <w:sz w:val="22"/>
            <w:szCs w:val="22"/>
            <w:lang w:eastAsia="en-AU"/>
          </w:rPr>
          <w:tab/>
        </w:r>
        <w:r w:rsidRPr="00EB4515">
          <w:t>Evidence produced by processes, machines and other devices</w:t>
        </w:r>
        <w:r>
          <w:tab/>
        </w:r>
        <w:r>
          <w:fldChar w:fldCharType="begin"/>
        </w:r>
        <w:r>
          <w:instrText xml:space="preserve"> PAGEREF _Toc11748568 \h </w:instrText>
        </w:r>
        <w:r>
          <w:fldChar w:fldCharType="separate"/>
        </w:r>
        <w:r w:rsidR="00A26A46">
          <w:t>127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69" w:history="1">
        <w:r w:rsidRPr="00EB4515">
          <w:t>147</w:t>
        </w:r>
        <w:r>
          <w:rPr>
            <w:rFonts w:asciiTheme="minorHAnsi" w:eastAsiaTheme="minorEastAsia" w:hAnsiTheme="minorHAnsi" w:cstheme="minorBidi"/>
            <w:sz w:val="22"/>
            <w:szCs w:val="22"/>
            <w:lang w:eastAsia="en-AU"/>
          </w:rPr>
          <w:tab/>
        </w:r>
        <w:r w:rsidRPr="00EB4515">
          <w:t>Documents produced by processes, machines and other devices in the course of business</w:t>
        </w:r>
        <w:r>
          <w:tab/>
        </w:r>
        <w:r>
          <w:fldChar w:fldCharType="begin"/>
        </w:r>
        <w:r>
          <w:instrText xml:space="preserve"> PAGEREF _Toc11748569 \h </w:instrText>
        </w:r>
        <w:r>
          <w:fldChar w:fldCharType="separate"/>
        </w:r>
        <w:r w:rsidR="00A26A46">
          <w:t>127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70" w:history="1">
        <w:r w:rsidRPr="00EB4515">
          <w:t>148</w:t>
        </w:r>
        <w:r>
          <w:rPr>
            <w:rFonts w:asciiTheme="minorHAnsi" w:eastAsiaTheme="minorEastAsia" w:hAnsiTheme="minorHAnsi" w:cstheme="minorBidi"/>
            <w:sz w:val="22"/>
            <w:szCs w:val="22"/>
            <w:lang w:eastAsia="en-AU"/>
          </w:rPr>
          <w:tab/>
        </w:r>
        <w:r w:rsidRPr="00EB4515">
          <w:t>Evidence of certain acts of justices, Australian lawyers and notaries public</w:t>
        </w:r>
        <w:r>
          <w:tab/>
        </w:r>
        <w:r>
          <w:fldChar w:fldCharType="begin"/>
        </w:r>
        <w:r>
          <w:instrText xml:space="preserve"> PAGEREF _Toc11748570 \h </w:instrText>
        </w:r>
        <w:r>
          <w:fldChar w:fldCharType="separate"/>
        </w:r>
        <w:r w:rsidR="00A26A46">
          <w:t>128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71" w:history="1">
        <w:r w:rsidRPr="00EB4515">
          <w:t>149</w:t>
        </w:r>
        <w:r>
          <w:rPr>
            <w:rFonts w:asciiTheme="minorHAnsi" w:eastAsiaTheme="minorEastAsia" w:hAnsiTheme="minorHAnsi" w:cstheme="minorBidi"/>
            <w:sz w:val="22"/>
            <w:szCs w:val="22"/>
            <w:lang w:eastAsia="en-AU"/>
          </w:rPr>
          <w:tab/>
        </w:r>
        <w:r w:rsidRPr="00EB4515">
          <w:t>Attestation of documents</w:t>
        </w:r>
        <w:r>
          <w:tab/>
        </w:r>
        <w:r>
          <w:fldChar w:fldCharType="begin"/>
        </w:r>
        <w:r>
          <w:instrText xml:space="preserve"> PAGEREF _Toc11748571 \h </w:instrText>
        </w:r>
        <w:r>
          <w:fldChar w:fldCharType="separate"/>
        </w:r>
        <w:r w:rsidR="00A26A46">
          <w:t>129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72" w:history="1">
        <w:r w:rsidRPr="00EB4515">
          <w:t>150</w:t>
        </w:r>
        <w:r>
          <w:rPr>
            <w:rFonts w:asciiTheme="minorHAnsi" w:eastAsiaTheme="minorEastAsia" w:hAnsiTheme="minorHAnsi" w:cstheme="minorBidi"/>
            <w:sz w:val="22"/>
            <w:szCs w:val="22"/>
            <w:lang w:eastAsia="en-AU"/>
          </w:rPr>
          <w:tab/>
        </w:r>
        <w:r w:rsidRPr="00EB4515">
          <w:t>Seals and signatures</w:t>
        </w:r>
        <w:r>
          <w:tab/>
        </w:r>
        <w:r>
          <w:fldChar w:fldCharType="begin"/>
        </w:r>
        <w:r>
          <w:instrText xml:space="preserve"> PAGEREF _Toc11748572 \h </w:instrText>
        </w:r>
        <w:r>
          <w:fldChar w:fldCharType="separate"/>
        </w:r>
        <w:r w:rsidR="00A26A46">
          <w:t>129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73" w:history="1">
        <w:r w:rsidRPr="00EB4515">
          <w:t>151</w:t>
        </w:r>
        <w:r>
          <w:rPr>
            <w:rFonts w:asciiTheme="minorHAnsi" w:eastAsiaTheme="minorEastAsia" w:hAnsiTheme="minorHAnsi" w:cstheme="minorBidi"/>
            <w:sz w:val="22"/>
            <w:szCs w:val="22"/>
            <w:lang w:eastAsia="en-AU"/>
          </w:rPr>
          <w:tab/>
        </w:r>
        <w:r w:rsidRPr="00EB4515">
          <w:t>Seals of bodies established under State law</w:t>
        </w:r>
        <w:r>
          <w:tab/>
        </w:r>
        <w:r>
          <w:fldChar w:fldCharType="begin"/>
        </w:r>
        <w:r>
          <w:instrText xml:space="preserve"> PAGEREF _Toc11748573 \h </w:instrText>
        </w:r>
        <w:r>
          <w:fldChar w:fldCharType="separate"/>
        </w:r>
        <w:r w:rsidR="00A26A46">
          <w:t>131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74" w:history="1">
        <w:r w:rsidRPr="00EB4515">
          <w:t>152</w:t>
        </w:r>
        <w:r>
          <w:rPr>
            <w:rFonts w:asciiTheme="minorHAnsi" w:eastAsiaTheme="minorEastAsia" w:hAnsiTheme="minorHAnsi" w:cstheme="minorBidi"/>
            <w:sz w:val="22"/>
            <w:szCs w:val="22"/>
            <w:lang w:eastAsia="en-AU"/>
          </w:rPr>
          <w:tab/>
        </w:r>
        <w:r w:rsidRPr="00EB4515">
          <w:t>Documents produced from proper custody</w:t>
        </w:r>
        <w:r>
          <w:tab/>
        </w:r>
        <w:r>
          <w:fldChar w:fldCharType="begin"/>
        </w:r>
        <w:r>
          <w:instrText xml:space="preserve"> PAGEREF _Toc11748574 \h </w:instrText>
        </w:r>
        <w:r>
          <w:fldChar w:fldCharType="separate"/>
        </w:r>
        <w:r w:rsidR="00A26A46">
          <w:t>131</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575" w:history="1">
        <w:r w:rsidR="00696CEB" w:rsidRPr="00EB4515">
          <w:t>Division 4.3.2</w:t>
        </w:r>
        <w:r w:rsidR="00696CEB">
          <w:rPr>
            <w:rFonts w:asciiTheme="minorHAnsi" w:eastAsiaTheme="minorEastAsia" w:hAnsiTheme="minorHAnsi" w:cstheme="minorBidi"/>
            <w:b w:val="0"/>
            <w:sz w:val="22"/>
            <w:szCs w:val="22"/>
            <w:lang w:eastAsia="en-AU"/>
          </w:rPr>
          <w:tab/>
        </w:r>
        <w:r w:rsidR="00696CEB" w:rsidRPr="00EB4515">
          <w:t>Matters of official record</w:t>
        </w:r>
        <w:r w:rsidR="00696CEB" w:rsidRPr="00696CEB">
          <w:rPr>
            <w:vanish/>
          </w:rPr>
          <w:tab/>
        </w:r>
        <w:r w:rsidR="00696CEB" w:rsidRPr="00696CEB">
          <w:rPr>
            <w:vanish/>
          </w:rPr>
          <w:fldChar w:fldCharType="begin"/>
        </w:r>
        <w:r w:rsidR="00696CEB" w:rsidRPr="00696CEB">
          <w:rPr>
            <w:vanish/>
          </w:rPr>
          <w:instrText xml:space="preserve"> PAGEREF _Toc11748575 \h </w:instrText>
        </w:r>
        <w:r w:rsidR="00696CEB" w:rsidRPr="00696CEB">
          <w:rPr>
            <w:vanish/>
          </w:rPr>
        </w:r>
        <w:r w:rsidR="00696CEB" w:rsidRPr="00696CEB">
          <w:rPr>
            <w:vanish/>
          </w:rPr>
          <w:fldChar w:fldCharType="separate"/>
        </w:r>
        <w:r w:rsidR="00A26A46">
          <w:rPr>
            <w:vanish/>
          </w:rPr>
          <w:t>131</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76" w:history="1">
        <w:r w:rsidRPr="00EB4515">
          <w:t>153</w:t>
        </w:r>
        <w:r>
          <w:rPr>
            <w:rFonts w:asciiTheme="minorHAnsi" w:eastAsiaTheme="minorEastAsia" w:hAnsiTheme="minorHAnsi" w:cstheme="minorBidi"/>
            <w:sz w:val="22"/>
            <w:szCs w:val="22"/>
            <w:lang w:eastAsia="en-AU"/>
          </w:rPr>
          <w:tab/>
        </w:r>
        <w:r w:rsidRPr="00EB4515">
          <w:t>Gazettes and other official documents</w:t>
        </w:r>
        <w:r>
          <w:tab/>
        </w:r>
        <w:r>
          <w:fldChar w:fldCharType="begin"/>
        </w:r>
        <w:r>
          <w:instrText xml:space="preserve"> PAGEREF _Toc11748576 \h </w:instrText>
        </w:r>
        <w:r>
          <w:fldChar w:fldCharType="separate"/>
        </w:r>
        <w:r w:rsidR="00A26A46">
          <w:t>131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77" w:history="1">
        <w:r w:rsidRPr="00EB4515">
          <w:t>154</w:t>
        </w:r>
        <w:r>
          <w:rPr>
            <w:rFonts w:asciiTheme="minorHAnsi" w:eastAsiaTheme="minorEastAsia" w:hAnsiTheme="minorHAnsi" w:cstheme="minorBidi"/>
            <w:sz w:val="22"/>
            <w:szCs w:val="22"/>
            <w:lang w:eastAsia="en-AU"/>
          </w:rPr>
          <w:tab/>
        </w:r>
        <w:r w:rsidRPr="00EB4515">
          <w:t>Documents published by authority of Parliaments etc</w:t>
        </w:r>
        <w:r>
          <w:tab/>
        </w:r>
        <w:r>
          <w:fldChar w:fldCharType="begin"/>
        </w:r>
        <w:r>
          <w:instrText xml:space="preserve"> PAGEREF _Toc11748577 \h </w:instrText>
        </w:r>
        <w:r>
          <w:fldChar w:fldCharType="separate"/>
        </w:r>
        <w:r w:rsidR="00A26A46">
          <w:t>133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78" w:history="1">
        <w:r w:rsidRPr="00EB4515">
          <w:t>155</w:t>
        </w:r>
        <w:r>
          <w:rPr>
            <w:rFonts w:asciiTheme="minorHAnsi" w:eastAsiaTheme="minorEastAsia" w:hAnsiTheme="minorHAnsi" w:cstheme="minorBidi"/>
            <w:sz w:val="22"/>
            <w:szCs w:val="22"/>
            <w:lang w:eastAsia="en-AU"/>
          </w:rPr>
          <w:tab/>
        </w:r>
        <w:r w:rsidRPr="00EB4515">
          <w:t>Evidence of official records</w:t>
        </w:r>
        <w:r>
          <w:tab/>
        </w:r>
        <w:r>
          <w:fldChar w:fldCharType="begin"/>
        </w:r>
        <w:r>
          <w:instrText xml:space="preserve"> PAGEREF _Toc11748578 \h </w:instrText>
        </w:r>
        <w:r>
          <w:fldChar w:fldCharType="separate"/>
        </w:r>
        <w:r w:rsidR="00A26A46">
          <w:t>133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79" w:history="1">
        <w:r w:rsidRPr="00EB4515">
          <w:t>155A</w:t>
        </w:r>
        <w:r>
          <w:rPr>
            <w:rFonts w:asciiTheme="minorHAnsi" w:eastAsiaTheme="minorEastAsia" w:hAnsiTheme="minorHAnsi" w:cstheme="minorBidi"/>
            <w:sz w:val="22"/>
            <w:szCs w:val="22"/>
            <w:lang w:eastAsia="en-AU"/>
          </w:rPr>
          <w:tab/>
        </w:r>
        <w:r w:rsidRPr="00EB4515">
          <w:t>Evidence of Commonwealth documents</w:t>
        </w:r>
        <w:r>
          <w:tab/>
        </w:r>
        <w:r>
          <w:fldChar w:fldCharType="begin"/>
        </w:r>
        <w:r>
          <w:instrText xml:space="preserve"> PAGEREF _Toc11748579 \h </w:instrText>
        </w:r>
        <w:r>
          <w:fldChar w:fldCharType="separate"/>
        </w:r>
        <w:r w:rsidR="00A26A46">
          <w:t>134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80" w:history="1">
        <w:r w:rsidRPr="00EB4515">
          <w:t>156</w:t>
        </w:r>
        <w:r>
          <w:rPr>
            <w:rFonts w:asciiTheme="minorHAnsi" w:eastAsiaTheme="minorEastAsia" w:hAnsiTheme="minorHAnsi" w:cstheme="minorBidi"/>
            <w:sz w:val="22"/>
            <w:szCs w:val="22"/>
            <w:lang w:eastAsia="en-AU"/>
          </w:rPr>
          <w:tab/>
        </w:r>
        <w:r w:rsidRPr="00EB4515">
          <w:t>Public documents</w:t>
        </w:r>
        <w:r>
          <w:tab/>
        </w:r>
        <w:r>
          <w:fldChar w:fldCharType="begin"/>
        </w:r>
        <w:r>
          <w:instrText xml:space="preserve"> PAGEREF _Toc11748580 \h </w:instrText>
        </w:r>
        <w:r>
          <w:fldChar w:fldCharType="separate"/>
        </w:r>
        <w:r w:rsidR="00A26A46">
          <w:t>134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81" w:history="1">
        <w:r w:rsidRPr="00EB4515">
          <w:t>157</w:t>
        </w:r>
        <w:r>
          <w:rPr>
            <w:rFonts w:asciiTheme="minorHAnsi" w:eastAsiaTheme="minorEastAsia" w:hAnsiTheme="minorHAnsi" w:cstheme="minorBidi"/>
            <w:sz w:val="22"/>
            <w:szCs w:val="22"/>
            <w:lang w:eastAsia="en-AU"/>
          </w:rPr>
          <w:tab/>
        </w:r>
        <w:r w:rsidRPr="00EB4515">
          <w:t>Public documents relating to court processes</w:t>
        </w:r>
        <w:r>
          <w:tab/>
        </w:r>
        <w:r>
          <w:fldChar w:fldCharType="begin"/>
        </w:r>
        <w:r>
          <w:instrText xml:space="preserve"> PAGEREF _Toc11748581 \h </w:instrText>
        </w:r>
        <w:r>
          <w:fldChar w:fldCharType="separate"/>
        </w:r>
        <w:r w:rsidR="00A26A46">
          <w:t>135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82" w:history="1">
        <w:r w:rsidRPr="00EB4515">
          <w:t>158</w:t>
        </w:r>
        <w:r>
          <w:rPr>
            <w:rFonts w:asciiTheme="minorHAnsi" w:eastAsiaTheme="minorEastAsia" w:hAnsiTheme="minorHAnsi" w:cstheme="minorBidi"/>
            <w:sz w:val="22"/>
            <w:szCs w:val="22"/>
            <w:lang w:eastAsia="en-AU"/>
          </w:rPr>
          <w:tab/>
        </w:r>
        <w:r w:rsidRPr="00EB4515">
          <w:t>Evidence of certain public documents</w:t>
        </w:r>
        <w:r>
          <w:tab/>
        </w:r>
        <w:r>
          <w:fldChar w:fldCharType="begin"/>
        </w:r>
        <w:r>
          <w:instrText xml:space="preserve"> PAGEREF _Toc11748582 \h </w:instrText>
        </w:r>
        <w:r>
          <w:fldChar w:fldCharType="separate"/>
        </w:r>
        <w:r w:rsidR="00A26A46">
          <w:t>136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83" w:history="1">
        <w:r w:rsidRPr="00EB4515">
          <w:t>159</w:t>
        </w:r>
        <w:r>
          <w:rPr>
            <w:rFonts w:asciiTheme="minorHAnsi" w:eastAsiaTheme="minorEastAsia" w:hAnsiTheme="minorHAnsi" w:cstheme="minorBidi"/>
            <w:sz w:val="22"/>
            <w:szCs w:val="22"/>
            <w:lang w:eastAsia="en-AU"/>
          </w:rPr>
          <w:tab/>
        </w:r>
        <w:r w:rsidRPr="00EB4515">
          <w:t>Official statistics</w:t>
        </w:r>
        <w:r>
          <w:tab/>
        </w:r>
        <w:r>
          <w:fldChar w:fldCharType="begin"/>
        </w:r>
        <w:r>
          <w:instrText xml:space="preserve"> PAGEREF _Toc11748583 \h </w:instrText>
        </w:r>
        <w:r>
          <w:fldChar w:fldCharType="separate"/>
        </w:r>
        <w:r w:rsidR="00A26A46">
          <w:t>137</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584" w:history="1">
        <w:r w:rsidR="00696CEB" w:rsidRPr="00EB4515">
          <w:t>Division 4.3.3</w:t>
        </w:r>
        <w:r w:rsidR="00696CEB">
          <w:rPr>
            <w:rFonts w:asciiTheme="minorHAnsi" w:eastAsiaTheme="minorEastAsia" w:hAnsiTheme="minorHAnsi" w:cstheme="minorBidi"/>
            <w:b w:val="0"/>
            <w:sz w:val="22"/>
            <w:szCs w:val="22"/>
            <w:lang w:eastAsia="en-AU"/>
          </w:rPr>
          <w:tab/>
        </w:r>
        <w:r w:rsidR="00696CEB" w:rsidRPr="00EB4515">
          <w:t>Matters relating to post and communications</w:t>
        </w:r>
        <w:r w:rsidR="00696CEB" w:rsidRPr="00696CEB">
          <w:rPr>
            <w:vanish/>
          </w:rPr>
          <w:tab/>
        </w:r>
        <w:r w:rsidR="00696CEB" w:rsidRPr="00696CEB">
          <w:rPr>
            <w:vanish/>
          </w:rPr>
          <w:fldChar w:fldCharType="begin"/>
        </w:r>
        <w:r w:rsidR="00696CEB" w:rsidRPr="00696CEB">
          <w:rPr>
            <w:vanish/>
          </w:rPr>
          <w:instrText xml:space="preserve"> PAGEREF _Toc11748584 \h </w:instrText>
        </w:r>
        <w:r w:rsidR="00696CEB" w:rsidRPr="00696CEB">
          <w:rPr>
            <w:vanish/>
          </w:rPr>
        </w:r>
        <w:r w:rsidR="00696CEB" w:rsidRPr="00696CEB">
          <w:rPr>
            <w:vanish/>
          </w:rPr>
          <w:fldChar w:fldCharType="separate"/>
        </w:r>
        <w:r w:rsidR="00A26A46">
          <w:rPr>
            <w:vanish/>
          </w:rPr>
          <w:t>137</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85" w:history="1">
        <w:r w:rsidRPr="00EB4515">
          <w:t>160</w:t>
        </w:r>
        <w:r>
          <w:rPr>
            <w:rFonts w:asciiTheme="minorHAnsi" w:eastAsiaTheme="minorEastAsia" w:hAnsiTheme="minorHAnsi" w:cstheme="minorBidi"/>
            <w:sz w:val="22"/>
            <w:szCs w:val="22"/>
            <w:lang w:eastAsia="en-AU"/>
          </w:rPr>
          <w:tab/>
        </w:r>
        <w:r w:rsidRPr="00EB4515">
          <w:t>Postal articles</w:t>
        </w:r>
        <w:r>
          <w:tab/>
        </w:r>
        <w:r>
          <w:fldChar w:fldCharType="begin"/>
        </w:r>
        <w:r>
          <w:instrText xml:space="preserve"> PAGEREF _Toc11748585 \h </w:instrText>
        </w:r>
        <w:r>
          <w:fldChar w:fldCharType="separate"/>
        </w:r>
        <w:r w:rsidR="00A26A46">
          <w:t>137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86" w:history="1">
        <w:r w:rsidRPr="00EB4515">
          <w:t>161</w:t>
        </w:r>
        <w:r>
          <w:rPr>
            <w:rFonts w:asciiTheme="minorHAnsi" w:eastAsiaTheme="minorEastAsia" w:hAnsiTheme="minorHAnsi" w:cstheme="minorBidi"/>
            <w:sz w:val="22"/>
            <w:szCs w:val="22"/>
            <w:lang w:eastAsia="en-AU"/>
          </w:rPr>
          <w:tab/>
        </w:r>
        <w:r w:rsidRPr="00EB4515">
          <w:t>Electronic communications</w:t>
        </w:r>
        <w:r>
          <w:tab/>
        </w:r>
        <w:r>
          <w:fldChar w:fldCharType="begin"/>
        </w:r>
        <w:r>
          <w:instrText xml:space="preserve"> PAGEREF _Toc11748586 \h </w:instrText>
        </w:r>
        <w:r>
          <w:fldChar w:fldCharType="separate"/>
        </w:r>
        <w:r w:rsidR="00A26A46">
          <w:t>138</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87" w:history="1">
        <w:r w:rsidRPr="00EB4515">
          <w:t>162</w:t>
        </w:r>
        <w:r>
          <w:rPr>
            <w:rFonts w:asciiTheme="minorHAnsi" w:eastAsiaTheme="minorEastAsia" w:hAnsiTheme="minorHAnsi" w:cstheme="minorBidi"/>
            <w:sz w:val="22"/>
            <w:szCs w:val="22"/>
            <w:lang w:eastAsia="en-AU"/>
          </w:rPr>
          <w:tab/>
        </w:r>
        <w:r w:rsidRPr="00EB4515">
          <w:t>Lettergrams and telegrams</w:t>
        </w:r>
        <w:r>
          <w:tab/>
        </w:r>
        <w:r>
          <w:fldChar w:fldCharType="begin"/>
        </w:r>
        <w:r>
          <w:instrText xml:space="preserve"> PAGEREF _Toc11748587 \h </w:instrText>
        </w:r>
        <w:r>
          <w:fldChar w:fldCharType="separate"/>
        </w:r>
        <w:r w:rsidR="00A26A46">
          <w:t>139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88" w:history="1">
        <w:r w:rsidRPr="00EB4515">
          <w:t>163</w:t>
        </w:r>
        <w:r>
          <w:rPr>
            <w:rFonts w:asciiTheme="minorHAnsi" w:eastAsiaTheme="minorEastAsia" w:hAnsiTheme="minorHAnsi" w:cstheme="minorBidi"/>
            <w:sz w:val="22"/>
            <w:szCs w:val="22"/>
            <w:lang w:eastAsia="en-AU"/>
          </w:rPr>
          <w:tab/>
        </w:r>
        <w:r w:rsidRPr="00EB4515">
          <w:t>Proof of letters having been sent by Commonwealth agencies</w:t>
        </w:r>
        <w:r>
          <w:tab/>
        </w:r>
        <w:r>
          <w:fldChar w:fldCharType="begin"/>
        </w:r>
        <w:r>
          <w:instrText xml:space="preserve"> PAGEREF _Toc11748588 \h </w:instrText>
        </w:r>
        <w:r>
          <w:fldChar w:fldCharType="separate"/>
        </w:r>
        <w:r w:rsidR="00A26A46">
          <w:t>139</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589" w:history="1">
        <w:r w:rsidR="00696CEB" w:rsidRPr="00EB4515">
          <w:t>Part 4.4</w:t>
        </w:r>
        <w:r w:rsidR="00696CEB">
          <w:rPr>
            <w:rFonts w:asciiTheme="minorHAnsi" w:eastAsiaTheme="minorEastAsia" w:hAnsiTheme="minorHAnsi" w:cstheme="minorBidi"/>
            <w:b w:val="0"/>
            <w:sz w:val="22"/>
            <w:szCs w:val="22"/>
            <w:lang w:eastAsia="en-AU"/>
          </w:rPr>
          <w:tab/>
        </w:r>
        <w:r w:rsidR="00696CEB" w:rsidRPr="00EB4515">
          <w:t>Corroboration</w:t>
        </w:r>
        <w:r w:rsidR="00696CEB" w:rsidRPr="00696CEB">
          <w:rPr>
            <w:vanish/>
          </w:rPr>
          <w:tab/>
        </w:r>
        <w:r w:rsidR="00696CEB" w:rsidRPr="00696CEB">
          <w:rPr>
            <w:vanish/>
          </w:rPr>
          <w:fldChar w:fldCharType="begin"/>
        </w:r>
        <w:r w:rsidR="00696CEB" w:rsidRPr="00696CEB">
          <w:rPr>
            <w:vanish/>
          </w:rPr>
          <w:instrText xml:space="preserve"> PAGEREF _Toc11748589 \h </w:instrText>
        </w:r>
        <w:r w:rsidR="00696CEB" w:rsidRPr="00696CEB">
          <w:rPr>
            <w:vanish/>
          </w:rPr>
        </w:r>
        <w:r w:rsidR="00696CEB" w:rsidRPr="00696CEB">
          <w:rPr>
            <w:vanish/>
          </w:rPr>
          <w:fldChar w:fldCharType="separate"/>
        </w:r>
        <w:r w:rsidR="00A26A46">
          <w:rPr>
            <w:vanish/>
          </w:rPr>
          <w:t>140</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90" w:history="1">
        <w:r w:rsidRPr="00EB4515">
          <w:t>164</w:t>
        </w:r>
        <w:r>
          <w:rPr>
            <w:rFonts w:asciiTheme="minorHAnsi" w:eastAsiaTheme="minorEastAsia" w:hAnsiTheme="minorHAnsi" w:cstheme="minorBidi"/>
            <w:sz w:val="22"/>
            <w:szCs w:val="22"/>
            <w:lang w:eastAsia="en-AU"/>
          </w:rPr>
          <w:tab/>
        </w:r>
        <w:r w:rsidRPr="00EB4515">
          <w:t>Corroboration requirements abolished</w:t>
        </w:r>
        <w:r>
          <w:tab/>
        </w:r>
        <w:r>
          <w:fldChar w:fldCharType="begin"/>
        </w:r>
        <w:r>
          <w:instrText xml:space="preserve"> PAGEREF _Toc11748590 \h </w:instrText>
        </w:r>
        <w:r>
          <w:fldChar w:fldCharType="separate"/>
        </w:r>
        <w:r w:rsidR="00A26A46">
          <w:t>140</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591" w:history="1">
        <w:r w:rsidR="00696CEB" w:rsidRPr="00EB4515">
          <w:t>Part 4.5</w:t>
        </w:r>
        <w:r w:rsidR="00696CEB">
          <w:rPr>
            <w:rFonts w:asciiTheme="minorHAnsi" w:eastAsiaTheme="minorEastAsia" w:hAnsiTheme="minorHAnsi" w:cstheme="minorBidi"/>
            <w:b w:val="0"/>
            <w:sz w:val="22"/>
            <w:szCs w:val="22"/>
            <w:lang w:eastAsia="en-AU"/>
          </w:rPr>
          <w:tab/>
        </w:r>
        <w:r w:rsidR="00696CEB" w:rsidRPr="00EB4515">
          <w:t>Warnings and information</w:t>
        </w:r>
        <w:r w:rsidR="00696CEB" w:rsidRPr="00696CEB">
          <w:rPr>
            <w:vanish/>
          </w:rPr>
          <w:tab/>
        </w:r>
        <w:r w:rsidR="00696CEB" w:rsidRPr="00696CEB">
          <w:rPr>
            <w:vanish/>
          </w:rPr>
          <w:fldChar w:fldCharType="begin"/>
        </w:r>
        <w:r w:rsidR="00696CEB" w:rsidRPr="00696CEB">
          <w:rPr>
            <w:vanish/>
          </w:rPr>
          <w:instrText xml:space="preserve"> PAGEREF _Toc11748591 \h </w:instrText>
        </w:r>
        <w:r w:rsidR="00696CEB" w:rsidRPr="00696CEB">
          <w:rPr>
            <w:vanish/>
          </w:rPr>
        </w:r>
        <w:r w:rsidR="00696CEB" w:rsidRPr="00696CEB">
          <w:rPr>
            <w:vanish/>
          </w:rPr>
          <w:fldChar w:fldCharType="separate"/>
        </w:r>
        <w:r w:rsidR="00A26A46">
          <w:rPr>
            <w:vanish/>
          </w:rPr>
          <w:t>141</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92" w:history="1">
        <w:r w:rsidRPr="00EB4515">
          <w:t>165</w:t>
        </w:r>
        <w:r>
          <w:rPr>
            <w:rFonts w:asciiTheme="minorHAnsi" w:eastAsiaTheme="minorEastAsia" w:hAnsiTheme="minorHAnsi" w:cstheme="minorBidi"/>
            <w:sz w:val="22"/>
            <w:szCs w:val="22"/>
            <w:lang w:eastAsia="en-AU"/>
          </w:rPr>
          <w:tab/>
        </w:r>
        <w:r w:rsidRPr="00EB4515">
          <w:t>Unreliable evidence</w:t>
        </w:r>
        <w:r>
          <w:tab/>
        </w:r>
        <w:r>
          <w:fldChar w:fldCharType="begin"/>
        </w:r>
        <w:r>
          <w:instrText xml:space="preserve"> PAGEREF _Toc11748592 \h </w:instrText>
        </w:r>
        <w:r>
          <w:fldChar w:fldCharType="separate"/>
        </w:r>
        <w:r w:rsidR="00A26A46">
          <w:t>141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93" w:history="1">
        <w:r w:rsidRPr="00EB4515">
          <w:t>165A</w:t>
        </w:r>
        <w:r>
          <w:rPr>
            <w:rFonts w:asciiTheme="minorHAnsi" w:eastAsiaTheme="minorEastAsia" w:hAnsiTheme="minorHAnsi" w:cstheme="minorBidi"/>
            <w:sz w:val="22"/>
            <w:szCs w:val="22"/>
            <w:lang w:eastAsia="en-AU"/>
          </w:rPr>
          <w:tab/>
        </w:r>
        <w:r w:rsidRPr="00EB4515">
          <w:t>Warnings in relation to children’s evidence</w:t>
        </w:r>
        <w:r>
          <w:tab/>
        </w:r>
        <w:r>
          <w:fldChar w:fldCharType="begin"/>
        </w:r>
        <w:r>
          <w:instrText xml:space="preserve"> PAGEREF _Toc11748593 \h </w:instrText>
        </w:r>
        <w:r>
          <w:fldChar w:fldCharType="separate"/>
        </w:r>
        <w:r w:rsidR="00A26A46">
          <w:t>142</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94" w:history="1">
        <w:r w:rsidRPr="00EB4515">
          <w:t>165B</w:t>
        </w:r>
        <w:r>
          <w:rPr>
            <w:rFonts w:asciiTheme="minorHAnsi" w:eastAsiaTheme="minorEastAsia" w:hAnsiTheme="minorHAnsi" w:cstheme="minorBidi"/>
            <w:sz w:val="22"/>
            <w:szCs w:val="22"/>
            <w:lang w:eastAsia="en-AU"/>
          </w:rPr>
          <w:tab/>
        </w:r>
        <w:r w:rsidRPr="00EB4515">
          <w:t>Delay in prosecution</w:t>
        </w:r>
        <w:r>
          <w:tab/>
        </w:r>
        <w:r>
          <w:fldChar w:fldCharType="begin"/>
        </w:r>
        <w:r>
          <w:instrText xml:space="preserve"> PAGEREF _Toc11748594 \h </w:instrText>
        </w:r>
        <w:r>
          <w:fldChar w:fldCharType="separate"/>
        </w:r>
        <w:r w:rsidR="00A26A46">
          <w:t>143</w:t>
        </w:r>
        <w:r>
          <w:fldChar w:fldCharType="end"/>
        </w:r>
      </w:hyperlink>
    </w:p>
    <w:p w:rsidR="00696CEB" w:rsidRDefault="00546A8E">
      <w:pPr>
        <w:pStyle w:val="TOC2"/>
        <w:rPr>
          <w:rFonts w:asciiTheme="minorHAnsi" w:eastAsiaTheme="minorEastAsia" w:hAnsiTheme="minorHAnsi" w:cstheme="minorBidi"/>
          <w:b w:val="0"/>
          <w:sz w:val="22"/>
          <w:szCs w:val="22"/>
          <w:lang w:eastAsia="en-AU"/>
        </w:rPr>
      </w:pPr>
      <w:hyperlink w:anchor="_Toc11748595" w:history="1">
        <w:r w:rsidR="00696CEB" w:rsidRPr="00EB4515">
          <w:t>Part 4.6</w:t>
        </w:r>
        <w:r w:rsidR="00696CEB">
          <w:rPr>
            <w:rFonts w:asciiTheme="minorHAnsi" w:eastAsiaTheme="minorEastAsia" w:hAnsiTheme="minorHAnsi" w:cstheme="minorBidi"/>
            <w:b w:val="0"/>
            <w:sz w:val="22"/>
            <w:szCs w:val="22"/>
            <w:lang w:eastAsia="en-AU"/>
          </w:rPr>
          <w:tab/>
        </w:r>
        <w:r w:rsidR="00696CEB" w:rsidRPr="00EB4515">
          <w:t>Ancillary provisions</w:t>
        </w:r>
        <w:r w:rsidR="00696CEB" w:rsidRPr="00696CEB">
          <w:rPr>
            <w:vanish/>
          </w:rPr>
          <w:tab/>
        </w:r>
        <w:r w:rsidR="00696CEB" w:rsidRPr="00696CEB">
          <w:rPr>
            <w:vanish/>
          </w:rPr>
          <w:fldChar w:fldCharType="begin"/>
        </w:r>
        <w:r w:rsidR="00696CEB" w:rsidRPr="00696CEB">
          <w:rPr>
            <w:vanish/>
          </w:rPr>
          <w:instrText xml:space="preserve"> PAGEREF _Toc11748595 \h </w:instrText>
        </w:r>
        <w:r w:rsidR="00696CEB" w:rsidRPr="00696CEB">
          <w:rPr>
            <w:vanish/>
          </w:rPr>
        </w:r>
        <w:r w:rsidR="00696CEB" w:rsidRPr="00696CEB">
          <w:rPr>
            <w:vanish/>
          </w:rPr>
          <w:fldChar w:fldCharType="separate"/>
        </w:r>
        <w:r w:rsidR="00A26A46">
          <w:rPr>
            <w:vanish/>
          </w:rPr>
          <w:t>145</w:t>
        </w:r>
        <w:r w:rsidR="00696CEB" w:rsidRPr="00696CEB">
          <w:rPr>
            <w:vanish/>
          </w:rP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596" w:history="1">
        <w:r w:rsidR="00696CEB" w:rsidRPr="00EB4515">
          <w:t>Division 4.6.1</w:t>
        </w:r>
        <w:r w:rsidR="00696CEB">
          <w:rPr>
            <w:rFonts w:asciiTheme="minorHAnsi" w:eastAsiaTheme="minorEastAsia" w:hAnsiTheme="minorHAnsi" w:cstheme="minorBidi"/>
            <w:b w:val="0"/>
            <w:sz w:val="22"/>
            <w:szCs w:val="22"/>
            <w:lang w:eastAsia="en-AU"/>
          </w:rPr>
          <w:tab/>
        </w:r>
        <w:r w:rsidR="00696CEB" w:rsidRPr="00EB4515">
          <w:t>Requests to produce documents or call witnesses</w:t>
        </w:r>
        <w:r w:rsidR="00696CEB" w:rsidRPr="00696CEB">
          <w:rPr>
            <w:vanish/>
          </w:rPr>
          <w:tab/>
        </w:r>
        <w:r w:rsidR="00696CEB" w:rsidRPr="00696CEB">
          <w:rPr>
            <w:vanish/>
          </w:rPr>
          <w:fldChar w:fldCharType="begin"/>
        </w:r>
        <w:r w:rsidR="00696CEB" w:rsidRPr="00696CEB">
          <w:rPr>
            <w:vanish/>
          </w:rPr>
          <w:instrText xml:space="preserve"> PAGEREF _Toc11748596 \h </w:instrText>
        </w:r>
        <w:r w:rsidR="00696CEB" w:rsidRPr="00696CEB">
          <w:rPr>
            <w:vanish/>
          </w:rPr>
        </w:r>
        <w:r w:rsidR="00696CEB" w:rsidRPr="00696CEB">
          <w:rPr>
            <w:vanish/>
          </w:rPr>
          <w:fldChar w:fldCharType="separate"/>
        </w:r>
        <w:r w:rsidR="00A26A46">
          <w:rPr>
            <w:vanish/>
          </w:rPr>
          <w:t>145</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97" w:history="1">
        <w:r w:rsidRPr="00EB4515">
          <w:t>166</w:t>
        </w:r>
        <w:r>
          <w:rPr>
            <w:rFonts w:asciiTheme="minorHAnsi" w:eastAsiaTheme="minorEastAsia" w:hAnsiTheme="minorHAnsi" w:cstheme="minorBidi"/>
            <w:sz w:val="22"/>
            <w:szCs w:val="22"/>
            <w:lang w:eastAsia="en-AU"/>
          </w:rPr>
          <w:tab/>
        </w:r>
        <w:r w:rsidRPr="00EB4515">
          <w:t xml:space="preserve">Meaning of </w:t>
        </w:r>
        <w:r w:rsidRPr="00EB4515">
          <w:rPr>
            <w:i/>
          </w:rPr>
          <w:t>request</w:t>
        </w:r>
        <w:r w:rsidRPr="00EB4515">
          <w:rPr>
            <w:iCs/>
          </w:rPr>
          <w:t>—div 4.6.1</w:t>
        </w:r>
        <w:r>
          <w:tab/>
        </w:r>
        <w:r>
          <w:fldChar w:fldCharType="begin"/>
        </w:r>
        <w:r>
          <w:instrText xml:space="preserve"> PAGEREF _Toc11748597 \h </w:instrText>
        </w:r>
        <w:r>
          <w:fldChar w:fldCharType="separate"/>
        </w:r>
        <w:r w:rsidR="00A26A46">
          <w:t>145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98" w:history="1">
        <w:r w:rsidRPr="00EB4515">
          <w:t>167</w:t>
        </w:r>
        <w:r>
          <w:rPr>
            <w:rFonts w:asciiTheme="minorHAnsi" w:eastAsiaTheme="minorEastAsia" w:hAnsiTheme="minorHAnsi" w:cstheme="minorBidi"/>
            <w:sz w:val="22"/>
            <w:szCs w:val="22"/>
            <w:lang w:eastAsia="en-AU"/>
          </w:rPr>
          <w:tab/>
        </w:r>
        <w:r w:rsidRPr="00EB4515">
          <w:t>Requests may be made about certain matters</w:t>
        </w:r>
        <w:r>
          <w:tab/>
        </w:r>
        <w:r>
          <w:fldChar w:fldCharType="begin"/>
        </w:r>
        <w:r>
          <w:instrText xml:space="preserve"> PAGEREF _Toc11748598 \h </w:instrText>
        </w:r>
        <w:r>
          <w:fldChar w:fldCharType="separate"/>
        </w:r>
        <w:r w:rsidR="00A26A46">
          <w:t>146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599" w:history="1">
        <w:r w:rsidRPr="00EB4515">
          <w:t>168</w:t>
        </w:r>
        <w:r>
          <w:rPr>
            <w:rFonts w:asciiTheme="minorHAnsi" w:eastAsiaTheme="minorEastAsia" w:hAnsiTheme="minorHAnsi" w:cstheme="minorBidi"/>
            <w:sz w:val="22"/>
            <w:szCs w:val="22"/>
            <w:lang w:eastAsia="en-AU"/>
          </w:rPr>
          <w:tab/>
        </w:r>
        <w:r w:rsidRPr="00EB4515">
          <w:t>Time limits for making certain requests</w:t>
        </w:r>
        <w:r>
          <w:tab/>
        </w:r>
        <w:r>
          <w:fldChar w:fldCharType="begin"/>
        </w:r>
        <w:r>
          <w:instrText xml:space="preserve"> PAGEREF _Toc11748599 \h </w:instrText>
        </w:r>
        <w:r>
          <w:fldChar w:fldCharType="separate"/>
        </w:r>
        <w:r w:rsidR="00A26A46">
          <w:t>146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00" w:history="1">
        <w:r w:rsidRPr="00EB4515">
          <w:t>169</w:t>
        </w:r>
        <w:r>
          <w:rPr>
            <w:rFonts w:asciiTheme="minorHAnsi" w:eastAsiaTheme="minorEastAsia" w:hAnsiTheme="minorHAnsi" w:cstheme="minorBidi"/>
            <w:sz w:val="22"/>
            <w:szCs w:val="22"/>
            <w:lang w:eastAsia="en-AU"/>
          </w:rPr>
          <w:tab/>
        </w:r>
        <w:r w:rsidRPr="00EB4515">
          <w:t>Failure to comply with requests</w:t>
        </w:r>
        <w:r>
          <w:tab/>
        </w:r>
        <w:r>
          <w:fldChar w:fldCharType="begin"/>
        </w:r>
        <w:r>
          <w:instrText xml:space="preserve"> PAGEREF _Toc11748600 \h </w:instrText>
        </w:r>
        <w:r>
          <w:fldChar w:fldCharType="separate"/>
        </w:r>
        <w:r w:rsidR="00A26A46">
          <w:t>147</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601" w:history="1">
        <w:r w:rsidR="00696CEB" w:rsidRPr="00EB4515">
          <w:t>Division 4.6.2</w:t>
        </w:r>
        <w:r w:rsidR="00696CEB">
          <w:rPr>
            <w:rFonts w:asciiTheme="minorHAnsi" w:eastAsiaTheme="minorEastAsia" w:hAnsiTheme="minorHAnsi" w:cstheme="minorBidi"/>
            <w:b w:val="0"/>
            <w:sz w:val="22"/>
            <w:szCs w:val="22"/>
            <w:lang w:eastAsia="en-AU"/>
          </w:rPr>
          <w:tab/>
        </w:r>
        <w:r w:rsidR="00696CEB" w:rsidRPr="00EB4515">
          <w:t>Proof of certain matters by affidavits or written statements</w:t>
        </w:r>
        <w:r w:rsidR="00696CEB" w:rsidRPr="00696CEB">
          <w:rPr>
            <w:vanish/>
          </w:rPr>
          <w:tab/>
        </w:r>
        <w:r w:rsidR="00696CEB" w:rsidRPr="00696CEB">
          <w:rPr>
            <w:vanish/>
          </w:rPr>
          <w:fldChar w:fldCharType="begin"/>
        </w:r>
        <w:r w:rsidR="00696CEB" w:rsidRPr="00696CEB">
          <w:rPr>
            <w:vanish/>
          </w:rPr>
          <w:instrText xml:space="preserve"> PAGEREF _Toc11748601 \h </w:instrText>
        </w:r>
        <w:r w:rsidR="00696CEB" w:rsidRPr="00696CEB">
          <w:rPr>
            <w:vanish/>
          </w:rPr>
        </w:r>
        <w:r w:rsidR="00696CEB" w:rsidRPr="00696CEB">
          <w:rPr>
            <w:vanish/>
          </w:rPr>
          <w:fldChar w:fldCharType="separate"/>
        </w:r>
        <w:r w:rsidR="00A26A46">
          <w:rPr>
            <w:vanish/>
          </w:rPr>
          <w:t>150</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02" w:history="1">
        <w:r w:rsidRPr="00EB4515">
          <w:t>170</w:t>
        </w:r>
        <w:r>
          <w:rPr>
            <w:rFonts w:asciiTheme="minorHAnsi" w:eastAsiaTheme="minorEastAsia" w:hAnsiTheme="minorHAnsi" w:cstheme="minorBidi"/>
            <w:sz w:val="22"/>
            <w:szCs w:val="22"/>
            <w:lang w:eastAsia="en-AU"/>
          </w:rPr>
          <w:tab/>
        </w:r>
        <w:r w:rsidRPr="00EB4515">
          <w:t>Evidence relating to certain matters</w:t>
        </w:r>
        <w:r>
          <w:tab/>
        </w:r>
        <w:r>
          <w:fldChar w:fldCharType="begin"/>
        </w:r>
        <w:r>
          <w:instrText xml:space="preserve"> PAGEREF _Toc11748602 \h </w:instrText>
        </w:r>
        <w:r>
          <w:fldChar w:fldCharType="separate"/>
        </w:r>
        <w:r w:rsidR="00A26A46">
          <w:t>150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03" w:history="1">
        <w:r w:rsidRPr="00EB4515">
          <w:t>171</w:t>
        </w:r>
        <w:r>
          <w:rPr>
            <w:rFonts w:asciiTheme="minorHAnsi" w:eastAsiaTheme="minorEastAsia" w:hAnsiTheme="minorHAnsi" w:cstheme="minorBidi"/>
            <w:sz w:val="22"/>
            <w:szCs w:val="22"/>
            <w:lang w:eastAsia="en-AU"/>
          </w:rPr>
          <w:tab/>
        </w:r>
        <w:r w:rsidRPr="00EB4515">
          <w:t>People who may give evidence mentioned in s 170</w:t>
        </w:r>
        <w:r>
          <w:tab/>
        </w:r>
        <w:r>
          <w:fldChar w:fldCharType="begin"/>
        </w:r>
        <w:r>
          <w:instrText xml:space="preserve"> PAGEREF _Toc11748603 \h </w:instrText>
        </w:r>
        <w:r>
          <w:fldChar w:fldCharType="separate"/>
        </w:r>
        <w:r w:rsidR="00A26A46">
          <w:t>151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04" w:history="1">
        <w:r w:rsidRPr="00EB4515">
          <w:t>172</w:t>
        </w:r>
        <w:r>
          <w:rPr>
            <w:rFonts w:asciiTheme="minorHAnsi" w:eastAsiaTheme="minorEastAsia" w:hAnsiTheme="minorHAnsi" w:cstheme="minorBidi"/>
            <w:sz w:val="22"/>
            <w:szCs w:val="22"/>
            <w:lang w:eastAsia="en-AU"/>
          </w:rPr>
          <w:tab/>
        </w:r>
        <w:r w:rsidRPr="00EB4515">
          <w:t>Evidence based on knowledge, belief or information</w:t>
        </w:r>
        <w:r>
          <w:tab/>
        </w:r>
        <w:r>
          <w:fldChar w:fldCharType="begin"/>
        </w:r>
        <w:r>
          <w:instrText xml:space="preserve"> PAGEREF _Toc11748604 \h </w:instrText>
        </w:r>
        <w:r>
          <w:fldChar w:fldCharType="separate"/>
        </w:r>
        <w:r w:rsidR="00A26A46">
          <w:t>152</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05" w:history="1">
        <w:r w:rsidRPr="00EB4515">
          <w:t>173</w:t>
        </w:r>
        <w:r>
          <w:rPr>
            <w:rFonts w:asciiTheme="minorHAnsi" w:eastAsiaTheme="minorEastAsia" w:hAnsiTheme="minorHAnsi" w:cstheme="minorBidi"/>
            <w:sz w:val="22"/>
            <w:szCs w:val="22"/>
            <w:lang w:eastAsia="en-AU"/>
          </w:rPr>
          <w:tab/>
        </w:r>
        <w:r w:rsidRPr="00EB4515">
          <w:t>Notification of other parties</w:t>
        </w:r>
        <w:r>
          <w:tab/>
        </w:r>
        <w:r>
          <w:fldChar w:fldCharType="begin"/>
        </w:r>
        <w:r>
          <w:instrText xml:space="preserve"> PAGEREF _Toc11748605 \h </w:instrText>
        </w:r>
        <w:r>
          <w:fldChar w:fldCharType="separate"/>
        </w:r>
        <w:r w:rsidR="00A26A46">
          <w:t>152</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606" w:history="1">
        <w:r w:rsidR="00696CEB" w:rsidRPr="00EB4515">
          <w:t>Division 4.6.3</w:t>
        </w:r>
        <w:r w:rsidR="00696CEB">
          <w:rPr>
            <w:rFonts w:asciiTheme="minorHAnsi" w:eastAsiaTheme="minorEastAsia" w:hAnsiTheme="minorHAnsi" w:cstheme="minorBidi"/>
            <w:b w:val="0"/>
            <w:sz w:val="22"/>
            <w:szCs w:val="22"/>
            <w:lang w:eastAsia="en-AU"/>
          </w:rPr>
          <w:tab/>
        </w:r>
        <w:r w:rsidR="00696CEB" w:rsidRPr="00EB4515">
          <w:t>Foreign law</w:t>
        </w:r>
        <w:r w:rsidR="00696CEB" w:rsidRPr="00696CEB">
          <w:rPr>
            <w:vanish/>
          </w:rPr>
          <w:tab/>
        </w:r>
        <w:r w:rsidR="00696CEB" w:rsidRPr="00696CEB">
          <w:rPr>
            <w:vanish/>
          </w:rPr>
          <w:fldChar w:fldCharType="begin"/>
        </w:r>
        <w:r w:rsidR="00696CEB" w:rsidRPr="00696CEB">
          <w:rPr>
            <w:vanish/>
          </w:rPr>
          <w:instrText xml:space="preserve"> PAGEREF _Toc11748606 \h </w:instrText>
        </w:r>
        <w:r w:rsidR="00696CEB" w:rsidRPr="00696CEB">
          <w:rPr>
            <w:vanish/>
          </w:rPr>
        </w:r>
        <w:r w:rsidR="00696CEB" w:rsidRPr="00696CEB">
          <w:rPr>
            <w:vanish/>
          </w:rPr>
          <w:fldChar w:fldCharType="separate"/>
        </w:r>
        <w:r w:rsidR="00A26A46">
          <w:rPr>
            <w:vanish/>
          </w:rPr>
          <w:t>153</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07" w:history="1">
        <w:r w:rsidRPr="00EB4515">
          <w:t>174</w:t>
        </w:r>
        <w:r>
          <w:rPr>
            <w:rFonts w:asciiTheme="minorHAnsi" w:eastAsiaTheme="minorEastAsia" w:hAnsiTheme="minorHAnsi" w:cstheme="minorBidi"/>
            <w:sz w:val="22"/>
            <w:szCs w:val="22"/>
            <w:lang w:eastAsia="en-AU"/>
          </w:rPr>
          <w:tab/>
        </w:r>
        <w:r w:rsidRPr="00EB4515">
          <w:t>Evidence of foreign law</w:t>
        </w:r>
        <w:r>
          <w:tab/>
        </w:r>
        <w:r>
          <w:fldChar w:fldCharType="begin"/>
        </w:r>
        <w:r>
          <w:instrText xml:space="preserve"> PAGEREF _Toc11748607 \h </w:instrText>
        </w:r>
        <w:r>
          <w:fldChar w:fldCharType="separate"/>
        </w:r>
        <w:r w:rsidR="00A26A46">
          <w:t>153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08" w:history="1">
        <w:r w:rsidRPr="00EB4515">
          <w:t>175</w:t>
        </w:r>
        <w:r>
          <w:rPr>
            <w:rFonts w:asciiTheme="minorHAnsi" w:eastAsiaTheme="minorEastAsia" w:hAnsiTheme="minorHAnsi" w:cstheme="minorBidi"/>
            <w:sz w:val="22"/>
            <w:szCs w:val="22"/>
            <w:lang w:eastAsia="en-AU"/>
          </w:rPr>
          <w:tab/>
        </w:r>
        <w:r w:rsidRPr="00EB4515">
          <w:t>Evidence of law reports of foreign countries</w:t>
        </w:r>
        <w:r>
          <w:tab/>
        </w:r>
        <w:r>
          <w:fldChar w:fldCharType="begin"/>
        </w:r>
        <w:r>
          <w:instrText xml:space="preserve"> PAGEREF _Toc11748608 \h </w:instrText>
        </w:r>
        <w:r>
          <w:fldChar w:fldCharType="separate"/>
        </w:r>
        <w:r w:rsidR="00A26A46">
          <w:t>153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09" w:history="1">
        <w:r w:rsidRPr="00EB4515">
          <w:t>176</w:t>
        </w:r>
        <w:r>
          <w:rPr>
            <w:rFonts w:asciiTheme="minorHAnsi" w:eastAsiaTheme="minorEastAsia" w:hAnsiTheme="minorHAnsi" w:cstheme="minorBidi"/>
            <w:sz w:val="22"/>
            <w:szCs w:val="22"/>
            <w:lang w:eastAsia="en-AU"/>
          </w:rPr>
          <w:tab/>
        </w:r>
        <w:r w:rsidRPr="00EB4515">
          <w:t>Questions of foreign law to be decided by judge</w:t>
        </w:r>
        <w:r>
          <w:tab/>
        </w:r>
        <w:r>
          <w:fldChar w:fldCharType="begin"/>
        </w:r>
        <w:r>
          <w:instrText xml:space="preserve"> PAGEREF _Toc11748609 \h </w:instrText>
        </w:r>
        <w:r>
          <w:fldChar w:fldCharType="separate"/>
        </w:r>
        <w:r w:rsidR="00A26A46">
          <w:t>154</w:t>
        </w:r>
        <w:r>
          <w:fldChar w:fldCharType="end"/>
        </w:r>
      </w:hyperlink>
    </w:p>
    <w:p w:rsidR="00696CEB" w:rsidRDefault="00546A8E">
      <w:pPr>
        <w:pStyle w:val="TOC3"/>
        <w:rPr>
          <w:rFonts w:asciiTheme="minorHAnsi" w:eastAsiaTheme="minorEastAsia" w:hAnsiTheme="minorHAnsi" w:cstheme="minorBidi"/>
          <w:b w:val="0"/>
          <w:sz w:val="22"/>
          <w:szCs w:val="22"/>
          <w:lang w:eastAsia="en-AU"/>
        </w:rPr>
      </w:pPr>
      <w:hyperlink w:anchor="_Toc11748610" w:history="1">
        <w:r w:rsidR="00696CEB" w:rsidRPr="00EB4515">
          <w:t>Division 4.6.4</w:t>
        </w:r>
        <w:r w:rsidR="00696CEB">
          <w:rPr>
            <w:rFonts w:asciiTheme="minorHAnsi" w:eastAsiaTheme="minorEastAsia" w:hAnsiTheme="minorHAnsi" w:cstheme="minorBidi"/>
            <w:b w:val="0"/>
            <w:sz w:val="22"/>
            <w:szCs w:val="22"/>
            <w:lang w:eastAsia="en-AU"/>
          </w:rPr>
          <w:tab/>
        </w:r>
        <w:r w:rsidR="00696CEB" w:rsidRPr="00EB4515">
          <w:t>Procedures for proving other matters</w:t>
        </w:r>
        <w:r w:rsidR="00696CEB" w:rsidRPr="00696CEB">
          <w:rPr>
            <w:vanish/>
          </w:rPr>
          <w:tab/>
        </w:r>
        <w:r w:rsidR="00696CEB" w:rsidRPr="00696CEB">
          <w:rPr>
            <w:vanish/>
          </w:rPr>
          <w:fldChar w:fldCharType="begin"/>
        </w:r>
        <w:r w:rsidR="00696CEB" w:rsidRPr="00696CEB">
          <w:rPr>
            <w:vanish/>
          </w:rPr>
          <w:instrText xml:space="preserve"> PAGEREF _Toc11748610 \h </w:instrText>
        </w:r>
        <w:r w:rsidR="00696CEB" w:rsidRPr="00696CEB">
          <w:rPr>
            <w:vanish/>
          </w:rPr>
        </w:r>
        <w:r w:rsidR="00696CEB" w:rsidRPr="00696CEB">
          <w:rPr>
            <w:vanish/>
          </w:rPr>
          <w:fldChar w:fldCharType="separate"/>
        </w:r>
        <w:r w:rsidR="00A26A46">
          <w:rPr>
            <w:vanish/>
          </w:rPr>
          <w:t>154</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11" w:history="1">
        <w:r w:rsidRPr="00EB4515">
          <w:t>177</w:t>
        </w:r>
        <w:r>
          <w:rPr>
            <w:rFonts w:asciiTheme="minorHAnsi" w:eastAsiaTheme="minorEastAsia" w:hAnsiTheme="minorHAnsi" w:cstheme="minorBidi"/>
            <w:sz w:val="22"/>
            <w:szCs w:val="22"/>
            <w:lang w:eastAsia="en-AU"/>
          </w:rPr>
          <w:tab/>
        </w:r>
        <w:r w:rsidRPr="00EB4515">
          <w:t>Certificates of expert evidence</w:t>
        </w:r>
        <w:r>
          <w:tab/>
        </w:r>
        <w:r>
          <w:fldChar w:fldCharType="begin"/>
        </w:r>
        <w:r>
          <w:instrText xml:space="preserve"> PAGEREF _Toc11748611 \h </w:instrText>
        </w:r>
        <w:r>
          <w:fldChar w:fldCharType="separate"/>
        </w:r>
        <w:r w:rsidR="00A26A46">
          <w:t>154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12" w:history="1">
        <w:r w:rsidRPr="00EB4515">
          <w:t>178</w:t>
        </w:r>
        <w:r>
          <w:rPr>
            <w:rFonts w:asciiTheme="minorHAnsi" w:eastAsiaTheme="minorEastAsia" w:hAnsiTheme="minorHAnsi" w:cstheme="minorBidi"/>
            <w:sz w:val="22"/>
            <w:szCs w:val="22"/>
            <w:lang w:eastAsia="en-AU"/>
          </w:rPr>
          <w:tab/>
        </w:r>
        <w:r w:rsidRPr="00EB4515">
          <w:t>Convictions, acquittals and other judicial proceedings</w:t>
        </w:r>
        <w:r>
          <w:tab/>
        </w:r>
        <w:r>
          <w:fldChar w:fldCharType="begin"/>
        </w:r>
        <w:r>
          <w:instrText xml:space="preserve"> PAGEREF _Toc11748612 \h </w:instrText>
        </w:r>
        <w:r>
          <w:fldChar w:fldCharType="separate"/>
        </w:r>
        <w:r w:rsidR="00A26A46">
          <w:t>155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13" w:history="1">
        <w:r w:rsidRPr="00EB4515">
          <w:t>179</w:t>
        </w:r>
        <w:r>
          <w:rPr>
            <w:rFonts w:asciiTheme="minorHAnsi" w:eastAsiaTheme="minorEastAsia" w:hAnsiTheme="minorHAnsi" w:cstheme="minorBidi"/>
            <w:sz w:val="22"/>
            <w:szCs w:val="22"/>
            <w:lang w:eastAsia="en-AU"/>
          </w:rPr>
          <w:tab/>
        </w:r>
        <w:r w:rsidRPr="00EB4515">
          <w:t>Proof of identity of convicted people—affidavits by members of State or Territory police forces</w:t>
        </w:r>
        <w:r>
          <w:tab/>
        </w:r>
        <w:r>
          <w:fldChar w:fldCharType="begin"/>
        </w:r>
        <w:r>
          <w:instrText xml:space="preserve"> PAGEREF _Toc11748613 \h </w:instrText>
        </w:r>
        <w:r>
          <w:fldChar w:fldCharType="separate"/>
        </w:r>
        <w:r w:rsidR="00A26A46">
          <w:t>156</w:t>
        </w:r>
        <w:r>
          <w:fldChar w:fldCharType="end"/>
        </w:r>
      </w:hyperlink>
    </w:p>
    <w:p w:rsidR="00696CEB" w:rsidRDefault="00696CEB">
      <w:pPr>
        <w:pStyle w:val="TOC5"/>
        <w:rPr>
          <w:rFonts w:asciiTheme="minorHAnsi" w:eastAsiaTheme="minorEastAsia" w:hAnsiTheme="minorHAnsi" w:cstheme="minorBidi"/>
          <w:sz w:val="22"/>
          <w:szCs w:val="22"/>
          <w:lang w:eastAsia="en-AU"/>
        </w:rPr>
      </w:pPr>
      <w:r>
        <w:lastRenderedPageBreak/>
        <w:tab/>
      </w:r>
      <w:hyperlink w:anchor="_Toc11748614" w:history="1">
        <w:r w:rsidRPr="00EB4515">
          <w:t>180</w:t>
        </w:r>
        <w:r>
          <w:rPr>
            <w:rFonts w:asciiTheme="minorHAnsi" w:eastAsiaTheme="minorEastAsia" w:hAnsiTheme="minorHAnsi" w:cstheme="minorBidi"/>
            <w:sz w:val="22"/>
            <w:szCs w:val="22"/>
            <w:lang w:eastAsia="en-AU"/>
          </w:rPr>
          <w:tab/>
        </w:r>
        <w:r w:rsidRPr="00EB4515">
          <w:t>Proof of identity of convicted people—affidavits by members of Australian Federal Police</w:t>
        </w:r>
        <w:r>
          <w:tab/>
        </w:r>
        <w:r>
          <w:fldChar w:fldCharType="begin"/>
        </w:r>
        <w:r>
          <w:instrText xml:space="preserve"> PAGEREF _Toc11748614 \h </w:instrText>
        </w:r>
        <w:r>
          <w:fldChar w:fldCharType="separate"/>
        </w:r>
        <w:r w:rsidR="00A26A46">
          <w:t>157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15" w:history="1">
        <w:r w:rsidRPr="00EB4515">
          <w:t>181</w:t>
        </w:r>
        <w:r>
          <w:rPr>
            <w:rFonts w:asciiTheme="minorHAnsi" w:eastAsiaTheme="minorEastAsia" w:hAnsiTheme="minorHAnsi" w:cstheme="minorBidi"/>
            <w:sz w:val="22"/>
            <w:szCs w:val="22"/>
            <w:lang w:eastAsia="en-AU"/>
          </w:rPr>
          <w:tab/>
        </w:r>
        <w:r w:rsidRPr="00EB4515">
          <w:t>Proof of service of statutory notifications, notices, orders and directions</w:t>
        </w:r>
        <w:r>
          <w:tab/>
        </w:r>
        <w:r>
          <w:fldChar w:fldCharType="begin"/>
        </w:r>
        <w:r>
          <w:instrText xml:space="preserve"> PAGEREF _Toc11748615 \h </w:instrText>
        </w:r>
        <w:r>
          <w:fldChar w:fldCharType="separate"/>
        </w:r>
        <w:r w:rsidR="00A26A46">
          <w:t>158</w:t>
        </w:r>
        <w:r>
          <w:fldChar w:fldCharType="end"/>
        </w:r>
      </w:hyperlink>
    </w:p>
    <w:p w:rsidR="00696CEB" w:rsidRDefault="00546A8E">
      <w:pPr>
        <w:pStyle w:val="TOC1"/>
        <w:rPr>
          <w:rFonts w:asciiTheme="minorHAnsi" w:eastAsiaTheme="minorEastAsia" w:hAnsiTheme="minorHAnsi" w:cstheme="minorBidi"/>
          <w:b w:val="0"/>
          <w:sz w:val="22"/>
          <w:szCs w:val="22"/>
          <w:lang w:eastAsia="en-AU"/>
        </w:rPr>
      </w:pPr>
      <w:hyperlink w:anchor="_Toc11748616" w:history="1">
        <w:r w:rsidR="00696CEB" w:rsidRPr="00EB4515">
          <w:t>Chapter 5</w:t>
        </w:r>
        <w:r w:rsidR="00696CEB">
          <w:rPr>
            <w:rFonts w:asciiTheme="minorHAnsi" w:eastAsiaTheme="minorEastAsia" w:hAnsiTheme="minorHAnsi" w:cstheme="minorBidi"/>
            <w:b w:val="0"/>
            <w:sz w:val="22"/>
            <w:szCs w:val="22"/>
            <w:lang w:eastAsia="en-AU"/>
          </w:rPr>
          <w:tab/>
        </w:r>
        <w:r w:rsidR="00696CEB" w:rsidRPr="00EB4515">
          <w:t>Miscellaneous</w:t>
        </w:r>
        <w:r w:rsidR="00696CEB" w:rsidRPr="00696CEB">
          <w:rPr>
            <w:vanish/>
          </w:rPr>
          <w:tab/>
        </w:r>
        <w:r w:rsidR="00696CEB" w:rsidRPr="00696CEB">
          <w:rPr>
            <w:vanish/>
          </w:rPr>
          <w:fldChar w:fldCharType="begin"/>
        </w:r>
        <w:r w:rsidR="00696CEB" w:rsidRPr="00696CEB">
          <w:rPr>
            <w:vanish/>
          </w:rPr>
          <w:instrText xml:space="preserve"> PAGEREF _Toc11748616 \h </w:instrText>
        </w:r>
        <w:r w:rsidR="00696CEB" w:rsidRPr="00696CEB">
          <w:rPr>
            <w:vanish/>
          </w:rPr>
        </w:r>
        <w:r w:rsidR="00696CEB" w:rsidRPr="00696CEB">
          <w:rPr>
            <w:vanish/>
          </w:rPr>
          <w:fldChar w:fldCharType="separate"/>
        </w:r>
        <w:r w:rsidR="00A26A46">
          <w:rPr>
            <w:vanish/>
          </w:rPr>
          <w:t>159</w:t>
        </w:r>
        <w:r w:rsidR="00696CEB" w:rsidRPr="00696CEB">
          <w:rPr>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17" w:history="1">
        <w:r w:rsidRPr="00EB4515">
          <w:t>182</w:t>
        </w:r>
        <w:r>
          <w:rPr>
            <w:rFonts w:asciiTheme="minorHAnsi" w:eastAsiaTheme="minorEastAsia" w:hAnsiTheme="minorHAnsi" w:cstheme="minorBidi"/>
            <w:sz w:val="22"/>
            <w:szCs w:val="22"/>
            <w:lang w:eastAsia="en-AU"/>
          </w:rPr>
          <w:tab/>
        </w:r>
        <w:r w:rsidRPr="00EB4515">
          <w:t>Application of certain sections in relation to Commonwealth records</w:t>
        </w:r>
        <w:r>
          <w:tab/>
        </w:r>
        <w:r>
          <w:fldChar w:fldCharType="begin"/>
        </w:r>
        <w:r>
          <w:instrText xml:space="preserve"> PAGEREF _Toc11748617 \h </w:instrText>
        </w:r>
        <w:r>
          <w:fldChar w:fldCharType="separate"/>
        </w:r>
        <w:r w:rsidR="00A26A46">
          <w:t>159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18" w:history="1">
        <w:r w:rsidRPr="00EB4515">
          <w:t>183</w:t>
        </w:r>
        <w:r>
          <w:rPr>
            <w:rFonts w:asciiTheme="minorHAnsi" w:eastAsiaTheme="minorEastAsia" w:hAnsiTheme="minorHAnsi" w:cstheme="minorBidi"/>
            <w:sz w:val="22"/>
            <w:szCs w:val="22"/>
            <w:lang w:eastAsia="en-AU"/>
          </w:rPr>
          <w:tab/>
        </w:r>
        <w:r w:rsidRPr="00EB4515">
          <w:t>Inferences</w:t>
        </w:r>
        <w:r>
          <w:tab/>
        </w:r>
        <w:r>
          <w:fldChar w:fldCharType="begin"/>
        </w:r>
        <w:r>
          <w:instrText xml:space="preserve"> PAGEREF _Toc11748618 \h </w:instrText>
        </w:r>
        <w:r>
          <w:fldChar w:fldCharType="separate"/>
        </w:r>
        <w:r w:rsidR="00A26A46">
          <w:t>159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19" w:history="1">
        <w:r w:rsidRPr="00EB4515">
          <w:t>184</w:t>
        </w:r>
        <w:r>
          <w:rPr>
            <w:rFonts w:asciiTheme="minorHAnsi" w:eastAsiaTheme="minorEastAsia" w:hAnsiTheme="minorHAnsi" w:cstheme="minorBidi"/>
            <w:sz w:val="22"/>
            <w:szCs w:val="22"/>
            <w:lang w:eastAsia="en-AU"/>
          </w:rPr>
          <w:tab/>
        </w:r>
        <w:r w:rsidRPr="00EB4515">
          <w:t>Accused may admit matters and give consents</w:t>
        </w:r>
        <w:r>
          <w:tab/>
        </w:r>
        <w:r>
          <w:fldChar w:fldCharType="begin"/>
        </w:r>
        <w:r>
          <w:instrText xml:space="preserve"> PAGEREF _Toc11748619 \h </w:instrText>
        </w:r>
        <w:r>
          <w:fldChar w:fldCharType="separate"/>
        </w:r>
        <w:r w:rsidR="00A26A46">
          <w:t>159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20" w:history="1">
        <w:r w:rsidRPr="00EB4515">
          <w:t>185</w:t>
        </w:r>
        <w:r>
          <w:rPr>
            <w:rFonts w:asciiTheme="minorHAnsi" w:eastAsiaTheme="minorEastAsia" w:hAnsiTheme="minorHAnsi" w:cstheme="minorBidi"/>
            <w:sz w:val="22"/>
            <w:szCs w:val="22"/>
            <w:lang w:eastAsia="en-AU"/>
          </w:rPr>
          <w:tab/>
        </w:r>
        <w:r w:rsidRPr="00EB4515">
          <w:t>Faith and credit to be given to documents properly authenticated</w:t>
        </w:r>
        <w:r>
          <w:tab/>
        </w:r>
        <w:r>
          <w:fldChar w:fldCharType="begin"/>
        </w:r>
        <w:r>
          <w:instrText xml:space="preserve"> PAGEREF _Toc11748620 \h </w:instrText>
        </w:r>
        <w:r>
          <w:fldChar w:fldCharType="separate"/>
        </w:r>
        <w:r w:rsidR="00A26A46">
          <w:t>160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21" w:history="1">
        <w:r w:rsidRPr="00EB4515">
          <w:t>186</w:t>
        </w:r>
        <w:r>
          <w:rPr>
            <w:rFonts w:asciiTheme="minorHAnsi" w:eastAsiaTheme="minorEastAsia" w:hAnsiTheme="minorHAnsi" w:cstheme="minorBidi"/>
            <w:sz w:val="22"/>
            <w:szCs w:val="22"/>
            <w:lang w:eastAsia="en-AU"/>
          </w:rPr>
          <w:tab/>
        </w:r>
        <w:r w:rsidRPr="00EB4515">
          <w:t>Swearing of affidavits before justices of the peace, notaries public and lawyers</w:t>
        </w:r>
        <w:r>
          <w:tab/>
        </w:r>
        <w:r>
          <w:fldChar w:fldCharType="begin"/>
        </w:r>
        <w:r>
          <w:instrText xml:space="preserve"> PAGEREF _Toc11748621 \h </w:instrText>
        </w:r>
        <w:r>
          <w:fldChar w:fldCharType="separate"/>
        </w:r>
        <w:r w:rsidR="00A26A46">
          <w:t>160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22" w:history="1">
        <w:r w:rsidRPr="00EB4515">
          <w:t>187</w:t>
        </w:r>
        <w:r>
          <w:rPr>
            <w:rFonts w:asciiTheme="minorHAnsi" w:eastAsiaTheme="minorEastAsia" w:hAnsiTheme="minorHAnsi" w:cstheme="minorBidi"/>
            <w:sz w:val="22"/>
            <w:szCs w:val="22"/>
            <w:lang w:eastAsia="en-AU"/>
          </w:rPr>
          <w:tab/>
        </w:r>
        <w:r w:rsidRPr="00EB4515">
          <w:t>No privilege against self-incrimination for bodies corporate</w:t>
        </w:r>
        <w:r>
          <w:tab/>
        </w:r>
        <w:r>
          <w:fldChar w:fldCharType="begin"/>
        </w:r>
        <w:r>
          <w:instrText xml:space="preserve"> PAGEREF _Toc11748622 \h </w:instrText>
        </w:r>
        <w:r>
          <w:fldChar w:fldCharType="separate"/>
        </w:r>
        <w:r w:rsidR="00A26A46">
          <w:t>160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23" w:history="1">
        <w:r w:rsidRPr="00EB4515">
          <w:t>188</w:t>
        </w:r>
        <w:r>
          <w:rPr>
            <w:rFonts w:asciiTheme="minorHAnsi" w:eastAsiaTheme="minorEastAsia" w:hAnsiTheme="minorHAnsi" w:cstheme="minorBidi"/>
            <w:sz w:val="22"/>
            <w:szCs w:val="22"/>
            <w:lang w:eastAsia="en-AU"/>
          </w:rPr>
          <w:tab/>
        </w:r>
        <w:r w:rsidRPr="00EB4515">
          <w:t>Impounding documents</w:t>
        </w:r>
        <w:r>
          <w:tab/>
        </w:r>
        <w:r>
          <w:fldChar w:fldCharType="begin"/>
        </w:r>
        <w:r>
          <w:instrText xml:space="preserve"> PAGEREF _Toc11748623 \h </w:instrText>
        </w:r>
        <w:r>
          <w:fldChar w:fldCharType="separate"/>
        </w:r>
        <w:r w:rsidR="00A26A46">
          <w:t>161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24" w:history="1">
        <w:r w:rsidRPr="00EB4515">
          <w:t>189</w:t>
        </w:r>
        <w:r>
          <w:rPr>
            <w:rFonts w:asciiTheme="minorHAnsi" w:eastAsiaTheme="minorEastAsia" w:hAnsiTheme="minorHAnsi" w:cstheme="minorBidi"/>
            <w:sz w:val="22"/>
            <w:szCs w:val="22"/>
            <w:lang w:eastAsia="en-AU"/>
          </w:rPr>
          <w:tab/>
        </w:r>
        <w:r w:rsidRPr="00EB4515">
          <w:t xml:space="preserve">The </w:t>
        </w:r>
        <w:r w:rsidRPr="00EB4515">
          <w:rPr>
            <w:i/>
          </w:rPr>
          <w:t>voir dire</w:t>
        </w:r>
        <w:r>
          <w:tab/>
        </w:r>
        <w:r>
          <w:fldChar w:fldCharType="begin"/>
        </w:r>
        <w:r>
          <w:instrText xml:space="preserve"> PAGEREF _Toc11748624 \h </w:instrText>
        </w:r>
        <w:r>
          <w:fldChar w:fldCharType="separate"/>
        </w:r>
        <w:r w:rsidR="00A26A46">
          <w:t>161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25" w:history="1">
        <w:r w:rsidRPr="00EB4515">
          <w:t>190</w:t>
        </w:r>
        <w:r>
          <w:rPr>
            <w:rFonts w:asciiTheme="minorHAnsi" w:eastAsiaTheme="minorEastAsia" w:hAnsiTheme="minorHAnsi" w:cstheme="minorBidi"/>
            <w:sz w:val="22"/>
            <w:szCs w:val="22"/>
            <w:lang w:eastAsia="en-AU"/>
          </w:rPr>
          <w:tab/>
        </w:r>
        <w:r w:rsidRPr="00EB4515">
          <w:t>Waiver of rules of evidence</w:t>
        </w:r>
        <w:r>
          <w:tab/>
        </w:r>
        <w:r>
          <w:fldChar w:fldCharType="begin"/>
        </w:r>
        <w:r>
          <w:instrText xml:space="preserve"> PAGEREF _Toc11748625 \h </w:instrText>
        </w:r>
        <w:r>
          <w:fldChar w:fldCharType="separate"/>
        </w:r>
        <w:r w:rsidR="00A26A46">
          <w:t>163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26" w:history="1">
        <w:r w:rsidRPr="00EB4515">
          <w:t>191</w:t>
        </w:r>
        <w:r>
          <w:rPr>
            <w:rFonts w:asciiTheme="minorHAnsi" w:eastAsiaTheme="minorEastAsia" w:hAnsiTheme="minorHAnsi" w:cstheme="minorBidi"/>
            <w:sz w:val="22"/>
            <w:szCs w:val="22"/>
            <w:lang w:eastAsia="en-AU"/>
          </w:rPr>
          <w:tab/>
        </w:r>
        <w:r w:rsidRPr="00EB4515">
          <w:t>Agreements as to facts</w:t>
        </w:r>
        <w:r>
          <w:tab/>
        </w:r>
        <w:r>
          <w:fldChar w:fldCharType="begin"/>
        </w:r>
        <w:r>
          <w:instrText xml:space="preserve"> PAGEREF _Toc11748626 \h </w:instrText>
        </w:r>
        <w:r>
          <w:fldChar w:fldCharType="separate"/>
        </w:r>
        <w:r w:rsidR="00A26A46">
          <w:t>164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27" w:history="1">
        <w:r w:rsidRPr="00EB4515">
          <w:t>192</w:t>
        </w:r>
        <w:r>
          <w:rPr>
            <w:rFonts w:asciiTheme="minorHAnsi" w:eastAsiaTheme="minorEastAsia" w:hAnsiTheme="minorHAnsi" w:cstheme="minorBidi"/>
            <w:sz w:val="22"/>
            <w:szCs w:val="22"/>
            <w:lang w:eastAsia="en-AU"/>
          </w:rPr>
          <w:tab/>
        </w:r>
        <w:r w:rsidRPr="00EB4515">
          <w:t>Leave, permission or direction may be given on conditions</w:t>
        </w:r>
        <w:r>
          <w:tab/>
        </w:r>
        <w:r>
          <w:fldChar w:fldCharType="begin"/>
        </w:r>
        <w:r>
          <w:instrText xml:space="preserve"> PAGEREF _Toc11748627 \h </w:instrText>
        </w:r>
        <w:r>
          <w:fldChar w:fldCharType="separate"/>
        </w:r>
        <w:r w:rsidR="00A26A46">
          <w:t>165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28" w:history="1">
        <w:r w:rsidRPr="00EB4515">
          <w:t>192A</w:t>
        </w:r>
        <w:r>
          <w:rPr>
            <w:rFonts w:asciiTheme="minorHAnsi" w:eastAsiaTheme="minorEastAsia" w:hAnsiTheme="minorHAnsi" w:cstheme="minorBidi"/>
            <w:sz w:val="22"/>
            <w:szCs w:val="22"/>
            <w:lang w:eastAsia="en-AU"/>
          </w:rPr>
          <w:tab/>
        </w:r>
        <w:r w:rsidRPr="00EB4515">
          <w:t>Advance rulings and findings</w:t>
        </w:r>
        <w:r>
          <w:tab/>
        </w:r>
        <w:r>
          <w:fldChar w:fldCharType="begin"/>
        </w:r>
        <w:r>
          <w:instrText xml:space="preserve"> PAGEREF _Toc11748628 \h </w:instrText>
        </w:r>
        <w:r>
          <w:fldChar w:fldCharType="separate"/>
        </w:r>
        <w:r w:rsidR="00A26A46">
          <w:t>165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29" w:history="1">
        <w:r w:rsidRPr="00EB4515">
          <w:t>193</w:t>
        </w:r>
        <w:r>
          <w:rPr>
            <w:rFonts w:asciiTheme="minorHAnsi" w:eastAsiaTheme="minorEastAsia" w:hAnsiTheme="minorHAnsi" w:cstheme="minorBidi"/>
            <w:sz w:val="22"/>
            <w:szCs w:val="22"/>
            <w:lang w:eastAsia="en-AU"/>
          </w:rPr>
          <w:tab/>
        </w:r>
        <w:r w:rsidRPr="00EB4515">
          <w:t>Additional powers</w:t>
        </w:r>
        <w:r>
          <w:tab/>
        </w:r>
        <w:r>
          <w:fldChar w:fldCharType="begin"/>
        </w:r>
        <w:r>
          <w:instrText xml:space="preserve"> PAGEREF _Toc11748629 \h </w:instrText>
        </w:r>
        <w:r>
          <w:fldChar w:fldCharType="separate"/>
        </w:r>
        <w:r w:rsidR="00A26A46">
          <w:t>166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30" w:history="1">
        <w:r w:rsidRPr="00EB4515">
          <w:t>194</w:t>
        </w:r>
        <w:r>
          <w:rPr>
            <w:rFonts w:asciiTheme="minorHAnsi" w:eastAsiaTheme="minorEastAsia" w:hAnsiTheme="minorHAnsi" w:cstheme="minorBidi"/>
            <w:sz w:val="22"/>
            <w:szCs w:val="22"/>
            <w:lang w:eastAsia="en-AU"/>
          </w:rPr>
          <w:tab/>
        </w:r>
        <w:r w:rsidRPr="00EB4515">
          <w:t>Witnesses failing to attend proceedings</w:t>
        </w:r>
        <w:r>
          <w:tab/>
        </w:r>
        <w:r>
          <w:fldChar w:fldCharType="begin"/>
        </w:r>
        <w:r>
          <w:instrText xml:space="preserve"> PAGEREF _Toc11748630 \h </w:instrText>
        </w:r>
        <w:r>
          <w:fldChar w:fldCharType="separate"/>
        </w:r>
        <w:r w:rsidR="00A26A46">
          <w:t>167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31" w:history="1">
        <w:r w:rsidRPr="00EB4515">
          <w:t>195</w:t>
        </w:r>
        <w:r>
          <w:rPr>
            <w:rFonts w:asciiTheme="minorHAnsi" w:eastAsiaTheme="minorEastAsia" w:hAnsiTheme="minorHAnsi" w:cstheme="minorBidi"/>
            <w:sz w:val="22"/>
            <w:szCs w:val="22"/>
            <w:lang w:eastAsia="en-AU"/>
          </w:rPr>
          <w:tab/>
        </w:r>
        <w:r w:rsidRPr="00EB4515">
          <w:t>Prohibited question not to be published</w:t>
        </w:r>
        <w:r>
          <w:tab/>
        </w:r>
        <w:r>
          <w:fldChar w:fldCharType="begin"/>
        </w:r>
        <w:r>
          <w:instrText xml:space="preserve"> PAGEREF _Toc11748631 \h </w:instrText>
        </w:r>
        <w:r>
          <w:fldChar w:fldCharType="separate"/>
        </w:r>
        <w:r w:rsidR="00A26A46">
          <w:t>167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32" w:history="1">
        <w:r w:rsidRPr="00EB4515">
          <w:t>196</w:t>
        </w:r>
        <w:r>
          <w:rPr>
            <w:rFonts w:asciiTheme="minorHAnsi" w:eastAsiaTheme="minorEastAsia" w:hAnsiTheme="minorHAnsi" w:cstheme="minorBidi"/>
            <w:sz w:val="22"/>
            <w:szCs w:val="22"/>
            <w:lang w:eastAsia="en-AU"/>
          </w:rPr>
          <w:tab/>
        </w:r>
        <w:r w:rsidRPr="00EB4515">
          <w:t>Proceedings for offences</w:t>
        </w:r>
        <w:r>
          <w:tab/>
        </w:r>
        <w:r>
          <w:fldChar w:fldCharType="begin"/>
        </w:r>
        <w:r>
          <w:instrText xml:space="preserve"> PAGEREF _Toc11748632 \h </w:instrText>
        </w:r>
        <w:r>
          <w:fldChar w:fldCharType="separate"/>
        </w:r>
        <w:r w:rsidR="00A26A46">
          <w:t>167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33" w:history="1">
        <w:r w:rsidRPr="00EB4515">
          <w:t>197</w:t>
        </w:r>
        <w:r>
          <w:rPr>
            <w:rFonts w:asciiTheme="minorHAnsi" w:eastAsiaTheme="minorEastAsia" w:hAnsiTheme="minorHAnsi" w:cstheme="minorBidi"/>
            <w:sz w:val="22"/>
            <w:szCs w:val="22"/>
            <w:lang w:eastAsia="en-AU"/>
          </w:rPr>
          <w:tab/>
        </w:r>
        <w:r w:rsidRPr="00EB4515">
          <w:t>Regulation-making power</w:t>
        </w:r>
        <w:r>
          <w:tab/>
        </w:r>
        <w:r>
          <w:fldChar w:fldCharType="begin"/>
        </w:r>
        <w:r>
          <w:instrText xml:space="preserve"> PAGEREF _Toc11748633 \h </w:instrText>
        </w:r>
        <w:r>
          <w:fldChar w:fldCharType="separate"/>
        </w:r>
        <w:r w:rsidR="00A26A46">
          <w:t>167</w:t>
        </w:r>
        <w:r>
          <w:fldChar w:fldCharType="end"/>
        </w:r>
      </w:hyperlink>
    </w:p>
    <w:p w:rsidR="00696CEB" w:rsidRDefault="00546A8E">
      <w:pPr>
        <w:pStyle w:val="TOC6"/>
        <w:rPr>
          <w:rFonts w:asciiTheme="minorHAnsi" w:eastAsiaTheme="minorEastAsia" w:hAnsiTheme="minorHAnsi" w:cstheme="minorBidi"/>
          <w:b w:val="0"/>
          <w:sz w:val="22"/>
          <w:szCs w:val="22"/>
          <w:lang w:eastAsia="en-AU"/>
        </w:rPr>
      </w:pPr>
      <w:hyperlink w:anchor="_Toc11748634" w:history="1">
        <w:r w:rsidR="00696CEB" w:rsidRPr="00EB4515">
          <w:t>Schedule 1</w:t>
        </w:r>
        <w:r w:rsidR="00696CEB">
          <w:rPr>
            <w:rFonts w:asciiTheme="minorHAnsi" w:eastAsiaTheme="minorEastAsia" w:hAnsiTheme="minorHAnsi" w:cstheme="minorBidi"/>
            <w:b w:val="0"/>
            <w:sz w:val="22"/>
            <w:szCs w:val="22"/>
            <w:lang w:eastAsia="en-AU"/>
          </w:rPr>
          <w:tab/>
        </w:r>
        <w:r w:rsidR="00696CEB" w:rsidRPr="00EB4515">
          <w:t>Oaths and affirmations</w:t>
        </w:r>
        <w:r w:rsidR="00696CEB">
          <w:tab/>
        </w:r>
        <w:r w:rsidR="00696CEB" w:rsidRPr="00696CEB">
          <w:rPr>
            <w:b w:val="0"/>
            <w:sz w:val="20"/>
          </w:rPr>
          <w:fldChar w:fldCharType="begin"/>
        </w:r>
        <w:r w:rsidR="00696CEB" w:rsidRPr="00696CEB">
          <w:rPr>
            <w:b w:val="0"/>
            <w:sz w:val="20"/>
          </w:rPr>
          <w:instrText xml:space="preserve"> PAGEREF _Toc11748634 \h </w:instrText>
        </w:r>
        <w:r w:rsidR="00696CEB" w:rsidRPr="00696CEB">
          <w:rPr>
            <w:b w:val="0"/>
            <w:sz w:val="20"/>
          </w:rPr>
        </w:r>
        <w:r w:rsidR="00696CEB" w:rsidRPr="00696CEB">
          <w:rPr>
            <w:b w:val="0"/>
            <w:sz w:val="20"/>
          </w:rPr>
          <w:fldChar w:fldCharType="separate"/>
        </w:r>
        <w:r w:rsidR="00A26A46">
          <w:rPr>
            <w:b w:val="0"/>
            <w:sz w:val="20"/>
          </w:rPr>
          <w:t>168</w:t>
        </w:r>
        <w:r w:rsidR="00696CEB" w:rsidRPr="00696CEB">
          <w:rPr>
            <w:b w:val="0"/>
            <w:sz w:val="20"/>
          </w:rPr>
          <w:fldChar w:fldCharType="end"/>
        </w:r>
      </w:hyperlink>
    </w:p>
    <w:p w:rsidR="00696CEB" w:rsidRDefault="00546A8E">
      <w:pPr>
        <w:pStyle w:val="TOC6"/>
        <w:rPr>
          <w:rFonts w:asciiTheme="minorHAnsi" w:eastAsiaTheme="minorEastAsia" w:hAnsiTheme="minorHAnsi" w:cstheme="minorBidi"/>
          <w:b w:val="0"/>
          <w:sz w:val="22"/>
          <w:szCs w:val="22"/>
          <w:lang w:eastAsia="en-AU"/>
        </w:rPr>
      </w:pPr>
      <w:hyperlink w:anchor="_Toc11748635" w:history="1">
        <w:r w:rsidR="00696CEB" w:rsidRPr="00EB4515">
          <w:t>Dictionary</w:t>
        </w:r>
        <w:r w:rsidR="00696CEB">
          <w:tab/>
        </w:r>
        <w:r w:rsidR="00696CEB">
          <w:tab/>
        </w:r>
        <w:r w:rsidR="00696CEB" w:rsidRPr="00696CEB">
          <w:rPr>
            <w:b w:val="0"/>
            <w:sz w:val="20"/>
          </w:rPr>
          <w:fldChar w:fldCharType="begin"/>
        </w:r>
        <w:r w:rsidR="00696CEB" w:rsidRPr="00696CEB">
          <w:rPr>
            <w:b w:val="0"/>
            <w:sz w:val="20"/>
          </w:rPr>
          <w:instrText xml:space="preserve"> PAGEREF _Toc11748635 \h </w:instrText>
        </w:r>
        <w:r w:rsidR="00696CEB" w:rsidRPr="00696CEB">
          <w:rPr>
            <w:b w:val="0"/>
            <w:sz w:val="20"/>
          </w:rPr>
        </w:r>
        <w:r w:rsidR="00696CEB" w:rsidRPr="00696CEB">
          <w:rPr>
            <w:b w:val="0"/>
            <w:sz w:val="20"/>
          </w:rPr>
          <w:fldChar w:fldCharType="separate"/>
        </w:r>
        <w:r w:rsidR="00A26A46">
          <w:rPr>
            <w:b w:val="0"/>
            <w:sz w:val="20"/>
          </w:rPr>
          <w:t>169</w:t>
        </w:r>
        <w:r w:rsidR="00696CEB" w:rsidRPr="00696CEB">
          <w:rPr>
            <w:b w:val="0"/>
            <w:sz w:val="20"/>
          </w:rPr>
          <w:fldChar w:fldCharType="end"/>
        </w:r>
      </w:hyperlink>
    </w:p>
    <w:p w:rsidR="00696CEB" w:rsidRDefault="00546A8E">
      <w:pPr>
        <w:pStyle w:val="TOC7"/>
        <w:rPr>
          <w:rFonts w:asciiTheme="minorHAnsi" w:eastAsiaTheme="minorEastAsia" w:hAnsiTheme="minorHAnsi" w:cstheme="minorBidi"/>
          <w:b w:val="0"/>
          <w:sz w:val="22"/>
          <w:szCs w:val="22"/>
          <w:lang w:eastAsia="en-AU"/>
        </w:rPr>
      </w:pPr>
      <w:hyperlink w:anchor="_Toc11748636" w:history="1">
        <w:r w:rsidR="00696CEB" w:rsidRPr="00EB4515">
          <w:t>Part 1</w:t>
        </w:r>
        <w:r w:rsidR="00696CEB">
          <w:rPr>
            <w:rFonts w:asciiTheme="minorHAnsi" w:eastAsiaTheme="minorEastAsia" w:hAnsiTheme="minorHAnsi" w:cstheme="minorBidi"/>
            <w:b w:val="0"/>
            <w:sz w:val="22"/>
            <w:szCs w:val="22"/>
            <w:lang w:eastAsia="en-AU"/>
          </w:rPr>
          <w:tab/>
        </w:r>
        <w:r w:rsidR="00696CEB" w:rsidRPr="00EB4515">
          <w:t>Definitions</w:t>
        </w:r>
        <w:r w:rsidR="00696CEB">
          <w:tab/>
        </w:r>
        <w:r w:rsidR="00696CEB" w:rsidRPr="00696CEB">
          <w:rPr>
            <w:b w:val="0"/>
          </w:rPr>
          <w:fldChar w:fldCharType="begin"/>
        </w:r>
        <w:r w:rsidR="00696CEB" w:rsidRPr="00696CEB">
          <w:rPr>
            <w:b w:val="0"/>
          </w:rPr>
          <w:instrText xml:space="preserve"> PAGEREF _Toc11748636 \h </w:instrText>
        </w:r>
        <w:r w:rsidR="00696CEB" w:rsidRPr="00696CEB">
          <w:rPr>
            <w:b w:val="0"/>
          </w:rPr>
        </w:r>
        <w:r w:rsidR="00696CEB" w:rsidRPr="00696CEB">
          <w:rPr>
            <w:b w:val="0"/>
          </w:rPr>
          <w:fldChar w:fldCharType="separate"/>
        </w:r>
        <w:r w:rsidR="00A26A46">
          <w:rPr>
            <w:b w:val="0"/>
          </w:rPr>
          <w:t>169</w:t>
        </w:r>
        <w:r w:rsidR="00696CEB" w:rsidRPr="00696CEB">
          <w:rPr>
            <w:b w:val="0"/>
          </w:rPr>
          <w:fldChar w:fldCharType="end"/>
        </w:r>
      </w:hyperlink>
    </w:p>
    <w:p w:rsidR="00696CEB" w:rsidRDefault="00546A8E">
      <w:pPr>
        <w:pStyle w:val="TOC7"/>
        <w:rPr>
          <w:rFonts w:asciiTheme="minorHAnsi" w:eastAsiaTheme="minorEastAsia" w:hAnsiTheme="minorHAnsi" w:cstheme="minorBidi"/>
          <w:b w:val="0"/>
          <w:sz w:val="22"/>
          <w:szCs w:val="22"/>
          <w:lang w:eastAsia="en-AU"/>
        </w:rPr>
      </w:pPr>
      <w:hyperlink w:anchor="_Toc11748637" w:history="1">
        <w:r w:rsidR="00696CEB" w:rsidRPr="00EB4515">
          <w:t>Part 2</w:t>
        </w:r>
        <w:r w:rsidR="00696CEB">
          <w:rPr>
            <w:rFonts w:asciiTheme="minorHAnsi" w:eastAsiaTheme="minorEastAsia" w:hAnsiTheme="minorHAnsi" w:cstheme="minorBidi"/>
            <w:b w:val="0"/>
            <w:sz w:val="22"/>
            <w:szCs w:val="22"/>
            <w:lang w:eastAsia="en-AU"/>
          </w:rPr>
          <w:tab/>
        </w:r>
        <w:r w:rsidR="00696CEB" w:rsidRPr="00EB4515">
          <w:t>Other expressions</w:t>
        </w:r>
        <w:r w:rsidR="00696CEB">
          <w:tab/>
        </w:r>
        <w:r w:rsidR="00696CEB" w:rsidRPr="00696CEB">
          <w:rPr>
            <w:b w:val="0"/>
          </w:rPr>
          <w:fldChar w:fldCharType="begin"/>
        </w:r>
        <w:r w:rsidR="00696CEB" w:rsidRPr="00696CEB">
          <w:rPr>
            <w:b w:val="0"/>
          </w:rPr>
          <w:instrText xml:space="preserve"> PAGEREF _Toc11748637 \h </w:instrText>
        </w:r>
        <w:r w:rsidR="00696CEB" w:rsidRPr="00696CEB">
          <w:rPr>
            <w:b w:val="0"/>
          </w:rPr>
        </w:r>
        <w:r w:rsidR="00696CEB" w:rsidRPr="00696CEB">
          <w:rPr>
            <w:b w:val="0"/>
          </w:rPr>
          <w:fldChar w:fldCharType="separate"/>
        </w:r>
        <w:r w:rsidR="00A26A46">
          <w:rPr>
            <w:b w:val="0"/>
          </w:rPr>
          <w:t>180</w:t>
        </w:r>
        <w:r w:rsidR="00696CEB" w:rsidRPr="00696CEB">
          <w:rPr>
            <w:b w:val="0"/>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38" w:history="1">
        <w:r w:rsidRPr="00EB4515">
          <w:t>1</w:t>
        </w:r>
        <w:r>
          <w:rPr>
            <w:rFonts w:asciiTheme="minorHAnsi" w:eastAsiaTheme="minorEastAsia" w:hAnsiTheme="minorHAnsi" w:cstheme="minorBidi"/>
            <w:sz w:val="22"/>
            <w:szCs w:val="22"/>
            <w:lang w:eastAsia="en-AU"/>
          </w:rPr>
          <w:tab/>
        </w:r>
        <w:r w:rsidRPr="00EB4515">
          <w:t xml:space="preserve">References to </w:t>
        </w:r>
        <w:r w:rsidRPr="00EB4515">
          <w:rPr>
            <w:i/>
          </w:rPr>
          <w:t>business</w:t>
        </w:r>
        <w:r>
          <w:tab/>
        </w:r>
        <w:r>
          <w:fldChar w:fldCharType="begin"/>
        </w:r>
        <w:r>
          <w:instrText xml:space="preserve"> PAGEREF _Toc11748638 \h </w:instrText>
        </w:r>
        <w:r>
          <w:fldChar w:fldCharType="separate"/>
        </w:r>
        <w:r w:rsidR="00A26A46">
          <w:t>180</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39" w:history="1">
        <w:r w:rsidRPr="00EB4515">
          <w:t>2</w:t>
        </w:r>
        <w:r>
          <w:rPr>
            <w:rFonts w:asciiTheme="minorHAnsi" w:eastAsiaTheme="minorEastAsia" w:hAnsiTheme="minorHAnsi" w:cstheme="minorBidi"/>
            <w:sz w:val="22"/>
            <w:szCs w:val="22"/>
            <w:lang w:eastAsia="en-AU"/>
          </w:rPr>
          <w:tab/>
        </w:r>
        <w:r w:rsidRPr="00EB4515">
          <w:t xml:space="preserve">References to </w:t>
        </w:r>
        <w:r w:rsidRPr="00EB4515">
          <w:rPr>
            <w:i/>
          </w:rPr>
          <w:t>examination-in-chief</w:t>
        </w:r>
        <w:r w:rsidRPr="00EB4515">
          <w:rPr>
            <w:iCs/>
          </w:rPr>
          <w:t>,</w:t>
        </w:r>
        <w:r w:rsidRPr="00EB4515">
          <w:t xml:space="preserve"> </w:t>
        </w:r>
        <w:r w:rsidRPr="00EB4515">
          <w:rPr>
            <w:i/>
          </w:rPr>
          <w:t>cross-examination</w:t>
        </w:r>
        <w:r w:rsidRPr="00EB4515">
          <w:t xml:space="preserve"> and </w:t>
        </w:r>
        <w:r w:rsidRPr="00EB4515">
          <w:rPr>
            <w:i/>
          </w:rPr>
          <w:t>re-examination</w:t>
        </w:r>
        <w:r>
          <w:tab/>
        </w:r>
        <w:r>
          <w:fldChar w:fldCharType="begin"/>
        </w:r>
        <w:r>
          <w:instrText xml:space="preserve"> PAGEREF _Toc11748639 \h </w:instrText>
        </w:r>
        <w:r>
          <w:fldChar w:fldCharType="separate"/>
        </w:r>
        <w:r w:rsidR="00A26A46">
          <w:t>181</w:t>
        </w:r>
        <w:r>
          <w:fldChar w:fldCharType="end"/>
        </w:r>
      </w:hyperlink>
    </w:p>
    <w:p w:rsidR="00696CEB" w:rsidRDefault="00696CEB">
      <w:pPr>
        <w:pStyle w:val="TOC5"/>
        <w:rPr>
          <w:rFonts w:asciiTheme="minorHAnsi" w:eastAsiaTheme="minorEastAsia" w:hAnsiTheme="minorHAnsi" w:cstheme="minorBidi"/>
          <w:sz w:val="22"/>
          <w:szCs w:val="22"/>
          <w:lang w:eastAsia="en-AU"/>
        </w:rPr>
      </w:pPr>
      <w:r>
        <w:lastRenderedPageBreak/>
        <w:tab/>
      </w:r>
      <w:hyperlink w:anchor="_Toc11748640" w:history="1">
        <w:r w:rsidRPr="00EB4515">
          <w:t>3</w:t>
        </w:r>
        <w:r>
          <w:rPr>
            <w:rFonts w:asciiTheme="minorHAnsi" w:eastAsiaTheme="minorEastAsia" w:hAnsiTheme="minorHAnsi" w:cstheme="minorBidi"/>
            <w:sz w:val="22"/>
            <w:szCs w:val="22"/>
            <w:lang w:eastAsia="en-AU"/>
          </w:rPr>
          <w:tab/>
        </w:r>
        <w:r w:rsidRPr="00EB4515">
          <w:t>References to civil penalties</w:t>
        </w:r>
        <w:r>
          <w:tab/>
        </w:r>
        <w:r>
          <w:fldChar w:fldCharType="begin"/>
        </w:r>
        <w:r>
          <w:instrText xml:space="preserve"> PAGEREF _Toc11748640 \h </w:instrText>
        </w:r>
        <w:r>
          <w:fldChar w:fldCharType="separate"/>
        </w:r>
        <w:r w:rsidR="00A26A46">
          <w:t>181</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41" w:history="1">
        <w:r w:rsidRPr="00EB4515">
          <w:t>4</w:t>
        </w:r>
        <w:r>
          <w:rPr>
            <w:rFonts w:asciiTheme="minorHAnsi" w:eastAsiaTheme="minorEastAsia" w:hAnsiTheme="minorHAnsi" w:cstheme="minorBidi"/>
            <w:sz w:val="22"/>
            <w:szCs w:val="22"/>
            <w:lang w:eastAsia="en-AU"/>
          </w:rPr>
          <w:tab/>
        </w:r>
        <w:r w:rsidRPr="00EB4515">
          <w:t>Unavailability of people</w:t>
        </w:r>
        <w:r>
          <w:tab/>
        </w:r>
        <w:r>
          <w:fldChar w:fldCharType="begin"/>
        </w:r>
        <w:r>
          <w:instrText xml:space="preserve"> PAGEREF _Toc11748641 \h </w:instrText>
        </w:r>
        <w:r>
          <w:fldChar w:fldCharType="separate"/>
        </w:r>
        <w:r w:rsidR="00A26A46">
          <w:t>182</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42" w:history="1">
        <w:r w:rsidRPr="00EB4515">
          <w:t>5</w:t>
        </w:r>
        <w:r>
          <w:rPr>
            <w:rFonts w:asciiTheme="minorHAnsi" w:eastAsiaTheme="minorEastAsia" w:hAnsiTheme="minorHAnsi" w:cstheme="minorBidi"/>
            <w:sz w:val="22"/>
            <w:szCs w:val="22"/>
            <w:lang w:eastAsia="en-AU"/>
          </w:rPr>
          <w:tab/>
        </w:r>
        <w:r w:rsidRPr="00EB4515">
          <w:t>Unavailability of documents and things</w:t>
        </w:r>
        <w:r>
          <w:tab/>
        </w:r>
        <w:r>
          <w:fldChar w:fldCharType="begin"/>
        </w:r>
        <w:r>
          <w:instrText xml:space="preserve"> PAGEREF _Toc11748642 \h </w:instrText>
        </w:r>
        <w:r>
          <w:fldChar w:fldCharType="separate"/>
        </w:r>
        <w:r w:rsidR="00A26A46">
          <w:t>182</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43" w:history="1">
        <w:r w:rsidRPr="00EB4515">
          <w:t>6</w:t>
        </w:r>
        <w:r>
          <w:rPr>
            <w:rFonts w:asciiTheme="minorHAnsi" w:eastAsiaTheme="minorEastAsia" w:hAnsiTheme="minorHAnsi" w:cstheme="minorBidi"/>
            <w:sz w:val="22"/>
            <w:szCs w:val="22"/>
            <w:lang w:eastAsia="en-AU"/>
          </w:rPr>
          <w:tab/>
        </w:r>
        <w:r w:rsidRPr="00EB4515">
          <w:t>Representations in documents</w:t>
        </w:r>
        <w:r>
          <w:tab/>
        </w:r>
        <w:r>
          <w:fldChar w:fldCharType="begin"/>
        </w:r>
        <w:r>
          <w:instrText xml:space="preserve"> PAGEREF _Toc11748643 \h </w:instrText>
        </w:r>
        <w:r>
          <w:fldChar w:fldCharType="separate"/>
        </w:r>
        <w:r w:rsidR="00A26A46">
          <w:t>183</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44" w:history="1">
        <w:r w:rsidRPr="00EB4515">
          <w:t>7</w:t>
        </w:r>
        <w:r>
          <w:rPr>
            <w:rFonts w:asciiTheme="minorHAnsi" w:eastAsiaTheme="minorEastAsia" w:hAnsiTheme="minorHAnsi" w:cstheme="minorBidi"/>
            <w:sz w:val="22"/>
            <w:szCs w:val="22"/>
            <w:lang w:eastAsia="en-AU"/>
          </w:rPr>
          <w:tab/>
        </w:r>
        <w:r w:rsidRPr="00EB4515">
          <w:t>Witnesses</w:t>
        </w:r>
        <w:r>
          <w:tab/>
        </w:r>
        <w:r>
          <w:fldChar w:fldCharType="begin"/>
        </w:r>
        <w:r>
          <w:instrText xml:space="preserve"> PAGEREF _Toc11748644 \h </w:instrText>
        </w:r>
        <w:r>
          <w:fldChar w:fldCharType="separate"/>
        </w:r>
        <w:r w:rsidR="00A26A46">
          <w:t>184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45" w:history="1">
        <w:r w:rsidRPr="00EB4515">
          <w:t>8</w:t>
        </w:r>
        <w:r>
          <w:rPr>
            <w:rFonts w:asciiTheme="minorHAnsi" w:eastAsiaTheme="minorEastAsia" w:hAnsiTheme="minorHAnsi" w:cstheme="minorBidi"/>
            <w:sz w:val="22"/>
            <w:szCs w:val="22"/>
            <w:lang w:eastAsia="en-AU"/>
          </w:rPr>
          <w:tab/>
        </w:r>
        <w:r w:rsidRPr="00EB4515">
          <w:t>References to documents</w:t>
        </w:r>
        <w:r>
          <w:tab/>
        </w:r>
        <w:r>
          <w:fldChar w:fldCharType="begin"/>
        </w:r>
        <w:r>
          <w:instrText xml:space="preserve"> PAGEREF _Toc11748645 \h </w:instrText>
        </w:r>
        <w:r>
          <w:fldChar w:fldCharType="separate"/>
        </w:r>
        <w:r w:rsidR="00A26A46">
          <w:t>184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46" w:history="1">
        <w:r w:rsidRPr="00EB4515">
          <w:t>8A</w:t>
        </w:r>
        <w:r>
          <w:rPr>
            <w:rFonts w:asciiTheme="minorHAnsi" w:eastAsiaTheme="minorEastAsia" w:hAnsiTheme="minorHAnsi" w:cstheme="minorBidi"/>
            <w:sz w:val="22"/>
            <w:szCs w:val="22"/>
            <w:lang w:eastAsia="en-AU"/>
          </w:rPr>
          <w:tab/>
        </w:r>
        <w:r w:rsidRPr="00EB4515">
          <w:t>References to offices etc</w:t>
        </w:r>
        <w:r>
          <w:tab/>
        </w:r>
        <w:r>
          <w:fldChar w:fldCharType="begin"/>
        </w:r>
        <w:r>
          <w:instrText xml:space="preserve"> PAGEREF _Toc11748646 \h </w:instrText>
        </w:r>
        <w:r>
          <w:fldChar w:fldCharType="separate"/>
        </w:r>
        <w:r w:rsidR="00A26A46">
          <w:t>184</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47" w:history="1">
        <w:r w:rsidRPr="00EB4515">
          <w:t>9</w:t>
        </w:r>
        <w:r>
          <w:rPr>
            <w:rFonts w:asciiTheme="minorHAnsi" w:eastAsiaTheme="minorEastAsia" w:hAnsiTheme="minorHAnsi" w:cstheme="minorBidi"/>
            <w:sz w:val="22"/>
            <w:szCs w:val="22"/>
            <w:lang w:eastAsia="en-AU"/>
          </w:rPr>
          <w:tab/>
        </w:r>
        <w:r w:rsidRPr="00EB4515">
          <w:t>References to laws</w:t>
        </w:r>
        <w:r>
          <w:tab/>
        </w:r>
        <w:r>
          <w:fldChar w:fldCharType="begin"/>
        </w:r>
        <w:r>
          <w:instrText xml:space="preserve"> PAGEREF _Toc11748647 \h </w:instrText>
        </w:r>
        <w:r>
          <w:fldChar w:fldCharType="separate"/>
        </w:r>
        <w:r w:rsidR="00A26A46">
          <w:t>185</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48" w:history="1">
        <w:r w:rsidRPr="00EB4515">
          <w:t>10</w:t>
        </w:r>
        <w:r>
          <w:rPr>
            <w:rFonts w:asciiTheme="minorHAnsi" w:eastAsiaTheme="minorEastAsia" w:hAnsiTheme="minorHAnsi" w:cstheme="minorBidi"/>
            <w:sz w:val="22"/>
            <w:szCs w:val="22"/>
            <w:lang w:eastAsia="en-AU"/>
          </w:rPr>
          <w:tab/>
        </w:r>
        <w:r w:rsidRPr="00EB4515">
          <w:t xml:space="preserve">References to </w:t>
        </w:r>
        <w:r w:rsidRPr="00EB4515">
          <w:rPr>
            <w:i/>
          </w:rPr>
          <w:t>children</w:t>
        </w:r>
        <w:r w:rsidRPr="00EB4515">
          <w:t xml:space="preserve"> and </w:t>
        </w:r>
        <w:r w:rsidRPr="00EB4515">
          <w:rPr>
            <w:i/>
          </w:rPr>
          <w:t>parents</w:t>
        </w:r>
        <w:r>
          <w:tab/>
        </w:r>
        <w:r>
          <w:fldChar w:fldCharType="begin"/>
        </w:r>
        <w:r>
          <w:instrText xml:space="preserve"> PAGEREF _Toc11748648 \h </w:instrText>
        </w:r>
        <w:r>
          <w:fldChar w:fldCharType="separate"/>
        </w:r>
        <w:r w:rsidR="00A26A46">
          <w:t>185</w:t>
        </w:r>
        <w:r>
          <w:fldChar w:fldCharType="end"/>
        </w:r>
      </w:hyperlink>
    </w:p>
    <w:p w:rsidR="00696CEB" w:rsidRDefault="00546A8E" w:rsidP="00696CEB">
      <w:pPr>
        <w:pStyle w:val="TOC7"/>
        <w:spacing w:before="480"/>
        <w:rPr>
          <w:rFonts w:asciiTheme="minorHAnsi" w:eastAsiaTheme="minorEastAsia" w:hAnsiTheme="minorHAnsi" w:cstheme="minorBidi"/>
          <w:b w:val="0"/>
          <w:sz w:val="22"/>
          <w:szCs w:val="22"/>
          <w:lang w:eastAsia="en-AU"/>
        </w:rPr>
      </w:pPr>
      <w:hyperlink w:anchor="_Toc11748649" w:history="1">
        <w:r w:rsidR="00696CEB">
          <w:t>Endnotes</w:t>
        </w:r>
        <w:r w:rsidR="00696CEB" w:rsidRPr="00696CEB">
          <w:rPr>
            <w:vanish/>
          </w:rPr>
          <w:tab/>
        </w:r>
        <w:r w:rsidR="00696CEB">
          <w:rPr>
            <w:vanish/>
          </w:rPr>
          <w:tab/>
        </w:r>
        <w:r w:rsidR="00696CEB" w:rsidRPr="00696CEB">
          <w:rPr>
            <w:b w:val="0"/>
            <w:vanish/>
          </w:rPr>
          <w:fldChar w:fldCharType="begin"/>
        </w:r>
        <w:r w:rsidR="00696CEB" w:rsidRPr="00696CEB">
          <w:rPr>
            <w:b w:val="0"/>
            <w:vanish/>
          </w:rPr>
          <w:instrText xml:space="preserve"> PAGEREF _Toc11748649 \h </w:instrText>
        </w:r>
        <w:r w:rsidR="00696CEB" w:rsidRPr="00696CEB">
          <w:rPr>
            <w:b w:val="0"/>
            <w:vanish/>
          </w:rPr>
        </w:r>
        <w:r w:rsidR="00696CEB" w:rsidRPr="00696CEB">
          <w:rPr>
            <w:b w:val="0"/>
            <w:vanish/>
          </w:rPr>
          <w:fldChar w:fldCharType="separate"/>
        </w:r>
        <w:r w:rsidR="00A26A46">
          <w:rPr>
            <w:b w:val="0"/>
            <w:vanish/>
          </w:rPr>
          <w:t>186</w:t>
        </w:r>
        <w:r w:rsidR="00696CEB" w:rsidRPr="00696CEB">
          <w:rPr>
            <w:b w:val="0"/>
            <w:vanish/>
          </w:rP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50" w:history="1">
        <w:r w:rsidRPr="00EB4515">
          <w:t>1</w:t>
        </w:r>
        <w:r>
          <w:rPr>
            <w:rFonts w:asciiTheme="minorHAnsi" w:eastAsiaTheme="minorEastAsia" w:hAnsiTheme="minorHAnsi" w:cstheme="minorBidi"/>
            <w:sz w:val="22"/>
            <w:szCs w:val="22"/>
            <w:lang w:eastAsia="en-AU"/>
          </w:rPr>
          <w:tab/>
        </w:r>
        <w:r w:rsidRPr="00EB4515">
          <w:t>About the endnotes</w:t>
        </w:r>
        <w:r>
          <w:tab/>
        </w:r>
        <w:r>
          <w:fldChar w:fldCharType="begin"/>
        </w:r>
        <w:r>
          <w:instrText xml:space="preserve"> PAGEREF _Toc11748650 \h </w:instrText>
        </w:r>
        <w:r>
          <w:fldChar w:fldCharType="separate"/>
        </w:r>
        <w:r w:rsidR="00A26A46">
          <w:t>186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51" w:history="1">
        <w:r w:rsidRPr="00EB4515">
          <w:t>2</w:t>
        </w:r>
        <w:r>
          <w:rPr>
            <w:rFonts w:asciiTheme="minorHAnsi" w:eastAsiaTheme="minorEastAsia" w:hAnsiTheme="minorHAnsi" w:cstheme="minorBidi"/>
            <w:sz w:val="22"/>
            <w:szCs w:val="22"/>
            <w:lang w:eastAsia="en-AU"/>
          </w:rPr>
          <w:tab/>
        </w:r>
        <w:r w:rsidRPr="00EB4515">
          <w:t>Abbreviation key</w:t>
        </w:r>
        <w:r>
          <w:tab/>
        </w:r>
        <w:r>
          <w:fldChar w:fldCharType="begin"/>
        </w:r>
        <w:r>
          <w:instrText xml:space="preserve"> PAGEREF _Toc11748651 \h </w:instrText>
        </w:r>
        <w:r>
          <w:fldChar w:fldCharType="separate"/>
        </w:r>
        <w:r w:rsidR="00A26A46">
          <w:t>186</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52" w:history="1">
        <w:r w:rsidRPr="00EB4515">
          <w:t>3</w:t>
        </w:r>
        <w:r>
          <w:rPr>
            <w:rFonts w:asciiTheme="minorHAnsi" w:eastAsiaTheme="minorEastAsia" w:hAnsiTheme="minorHAnsi" w:cstheme="minorBidi"/>
            <w:sz w:val="22"/>
            <w:szCs w:val="22"/>
            <w:lang w:eastAsia="en-AU"/>
          </w:rPr>
          <w:tab/>
        </w:r>
        <w:r w:rsidRPr="00EB4515">
          <w:t>Legislation history</w:t>
        </w:r>
        <w:r>
          <w:tab/>
        </w:r>
        <w:r>
          <w:fldChar w:fldCharType="begin"/>
        </w:r>
        <w:r>
          <w:instrText xml:space="preserve"> PAGEREF _Toc11748652 \h </w:instrText>
        </w:r>
        <w:r>
          <w:fldChar w:fldCharType="separate"/>
        </w:r>
        <w:r w:rsidR="00A26A46">
          <w:t>187</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53" w:history="1">
        <w:r w:rsidRPr="00EB4515">
          <w:t>4</w:t>
        </w:r>
        <w:r>
          <w:rPr>
            <w:rFonts w:asciiTheme="minorHAnsi" w:eastAsiaTheme="minorEastAsia" w:hAnsiTheme="minorHAnsi" w:cstheme="minorBidi"/>
            <w:sz w:val="22"/>
            <w:szCs w:val="22"/>
            <w:lang w:eastAsia="en-AU"/>
          </w:rPr>
          <w:tab/>
        </w:r>
        <w:r w:rsidRPr="00EB4515">
          <w:t>Amendment history</w:t>
        </w:r>
        <w:r>
          <w:tab/>
        </w:r>
        <w:r>
          <w:fldChar w:fldCharType="begin"/>
        </w:r>
        <w:r>
          <w:instrText xml:space="preserve"> PAGEREF _Toc11748653 \h </w:instrText>
        </w:r>
        <w:r>
          <w:fldChar w:fldCharType="separate"/>
        </w:r>
        <w:r w:rsidR="00A26A46">
          <w:t>189</w:t>
        </w:r>
        <w:r>
          <w:fldChar w:fldCharType="end"/>
        </w:r>
      </w:hyperlink>
    </w:p>
    <w:p w:rsidR="00696CEB" w:rsidRDefault="00696CEB">
      <w:pPr>
        <w:pStyle w:val="TOC5"/>
        <w:rPr>
          <w:rFonts w:asciiTheme="minorHAnsi" w:eastAsiaTheme="minorEastAsia" w:hAnsiTheme="minorHAnsi" w:cstheme="minorBidi"/>
          <w:sz w:val="22"/>
          <w:szCs w:val="22"/>
          <w:lang w:eastAsia="en-AU"/>
        </w:rPr>
      </w:pPr>
      <w:r>
        <w:tab/>
      </w:r>
      <w:hyperlink w:anchor="_Toc11748654" w:history="1">
        <w:r w:rsidRPr="00EB4515">
          <w:t>5</w:t>
        </w:r>
        <w:r>
          <w:rPr>
            <w:rFonts w:asciiTheme="minorHAnsi" w:eastAsiaTheme="minorEastAsia" w:hAnsiTheme="minorHAnsi" w:cstheme="minorBidi"/>
            <w:sz w:val="22"/>
            <w:szCs w:val="22"/>
            <w:lang w:eastAsia="en-AU"/>
          </w:rPr>
          <w:tab/>
        </w:r>
        <w:r w:rsidRPr="00EB4515">
          <w:t>Earlier republications</w:t>
        </w:r>
        <w:r>
          <w:tab/>
        </w:r>
        <w:r>
          <w:fldChar w:fldCharType="begin"/>
        </w:r>
        <w:r>
          <w:instrText xml:space="preserve"> PAGEREF _Toc11748654 \h </w:instrText>
        </w:r>
        <w:r>
          <w:fldChar w:fldCharType="separate"/>
        </w:r>
        <w:r w:rsidR="00A26A46">
          <w:t>191</w:t>
        </w:r>
        <w:r>
          <w:fldChar w:fldCharType="end"/>
        </w:r>
      </w:hyperlink>
    </w:p>
    <w:p w:rsidR="000320DB" w:rsidRDefault="00696CEB" w:rsidP="000320DB">
      <w:pPr>
        <w:pStyle w:val="BillBasic"/>
      </w:pPr>
      <w:r>
        <w:fldChar w:fldCharType="end"/>
      </w:r>
    </w:p>
    <w:p w:rsidR="000320DB" w:rsidRDefault="000320DB" w:rsidP="000320DB">
      <w:pPr>
        <w:pStyle w:val="01Contents"/>
        <w:sectPr w:rsidR="000320D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0320DB" w:rsidRDefault="000320DB" w:rsidP="000320DB">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320DB" w:rsidRDefault="000320DB" w:rsidP="000320DB">
      <w:pPr>
        <w:jc w:val="center"/>
        <w:rPr>
          <w:rFonts w:ascii="Arial" w:hAnsi="Arial"/>
        </w:rPr>
      </w:pPr>
      <w:r>
        <w:rPr>
          <w:rFonts w:ascii="Arial" w:hAnsi="Arial"/>
        </w:rPr>
        <w:t>Australian Capital Territory</w:t>
      </w:r>
    </w:p>
    <w:p w:rsidR="000320DB" w:rsidRDefault="00FC4A24" w:rsidP="000320DB">
      <w:pPr>
        <w:pStyle w:val="Billname"/>
      </w:pPr>
      <w:bookmarkStart w:id="8" w:name="Citation"/>
      <w:r>
        <w:t>Evidence Act 2011</w:t>
      </w:r>
      <w:bookmarkEnd w:id="8"/>
    </w:p>
    <w:p w:rsidR="000320DB" w:rsidRDefault="000320DB" w:rsidP="000320DB">
      <w:pPr>
        <w:pStyle w:val="ActNo"/>
      </w:pPr>
    </w:p>
    <w:p w:rsidR="000320DB" w:rsidRDefault="000320DB" w:rsidP="000320DB">
      <w:pPr>
        <w:pStyle w:val="N-line3"/>
      </w:pPr>
    </w:p>
    <w:p w:rsidR="000320DB" w:rsidRDefault="000320DB" w:rsidP="000320DB">
      <w:pPr>
        <w:pStyle w:val="LongTitle"/>
      </w:pPr>
      <w:r>
        <w:t>An Act about the law of evidence</w:t>
      </w:r>
    </w:p>
    <w:p w:rsidR="000320DB" w:rsidRDefault="000320DB" w:rsidP="000320DB">
      <w:pPr>
        <w:pStyle w:val="N-line3"/>
      </w:pPr>
    </w:p>
    <w:p w:rsidR="000320DB" w:rsidRDefault="000320DB" w:rsidP="000320DB">
      <w:pPr>
        <w:pStyle w:val="Placeholder"/>
      </w:pPr>
      <w:r>
        <w:rPr>
          <w:rStyle w:val="charContents"/>
          <w:sz w:val="16"/>
        </w:rPr>
        <w:t xml:space="preserve">  </w:t>
      </w:r>
      <w:r>
        <w:rPr>
          <w:rStyle w:val="charPage"/>
        </w:rPr>
        <w:t xml:space="preserve">  </w:t>
      </w:r>
    </w:p>
    <w:p w:rsidR="000320DB" w:rsidRDefault="000320DB" w:rsidP="000320DB">
      <w:pPr>
        <w:pStyle w:val="Placeholder"/>
      </w:pPr>
      <w:r>
        <w:rPr>
          <w:rStyle w:val="CharChapNo"/>
        </w:rPr>
        <w:t xml:space="preserve">  </w:t>
      </w:r>
      <w:r>
        <w:rPr>
          <w:rStyle w:val="CharChapText"/>
        </w:rPr>
        <w:t xml:space="preserve">  </w:t>
      </w:r>
    </w:p>
    <w:p w:rsidR="000320DB" w:rsidRDefault="000320DB" w:rsidP="000320DB">
      <w:pPr>
        <w:pStyle w:val="Placeholder"/>
      </w:pPr>
      <w:r>
        <w:rPr>
          <w:rStyle w:val="CharPartNo"/>
        </w:rPr>
        <w:t xml:space="preserve">  </w:t>
      </w:r>
      <w:r>
        <w:rPr>
          <w:rStyle w:val="CharPartText"/>
        </w:rPr>
        <w:t xml:space="preserve">  </w:t>
      </w:r>
    </w:p>
    <w:p w:rsidR="000320DB" w:rsidRDefault="000320DB" w:rsidP="000320DB">
      <w:pPr>
        <w:pStyle w:val="Placeholder"/>
      </w:pPr>
      <w:r>
        <w:rPr>
          <w:rStyle w:val="CharDivNo"/>
        </w:rPr>
        <w:t xml:space="preserve">  </w:t>
      </w:r>
      <w:r>
        <w:rPr>
          <w:rStyle w:val="CharDivText"/>
        </w:rPr>
        <w:t xml:space="preserve">  </w:t>
      </w:r>
    </w:p>
    <w:p w:rsidR="000320DB" w:rsidRPr="00CA74E4" w:rsidRDefault="000320DB" w:rsidP="000320DB">
      <w:pPr>
        <w:pStyle w:val="PageBreak"/>
      </w:pPr>
      <w:r w:rsidRPr="00CA74E4">
        <w:br w:type="page"/>
      </w:r>
    </w:p>
    <w:p w:rsidR="00F8610E" w:rsidRPr="003925E1" w:rsidRDefault="00F8610E" w:rsidP="005D1BC5">
      <w:pPr>
        <w:pStyle w:val="AH1Chapter"/>
        <w:ind w:left="0" w:firstLine="0"/>
      </w:pPr>
      <w:bookmarkStart w:id="9" w:name="_Toc11748364"/>
      <w:r w:rsidRPr="003925E1">
        <w:rPr>
          <w:rStyle w:val="CharChapNo"/>
        </w:rPr>
        <w:lastRenderedPageBreak/>
        <w:t xml:space="preserve">Chapter 1 </w:t>
      </w:r>
      <w:r w:rsidRPr="00A060B6">
        <w:tab/>
      </w:r>
      <w:r w:rsidRPr="003925E1">
        <w:rPr>
          <w:rStyle w:val="CharChapText"/>
        </w:rPr>
        <w:t>Preliminary</w:t>
      </w:r>
      <w:bookmarkEnd w:id="9"/>
    </w:p>
    <w:p w:rsidR="00F8610E" w:rsidRPr="005D1BC5" w:rsidRDefault="00F8610E" w:rsidP="00C23C3D">
      <w:pPr>
        <w:pStyle w:val="aNote"/>
        <w:keepNext/>
        <w:ind w:hanging="766"/>
        <w:rPr>
          <w:rStyle w:val="charItals"/>
        </w:rPr>
      </w:pPr>
      <w:r w:rsidRPr="005D1BC5">
        <w:rPr>
          <w:rStyle w:val="charItals"/>
        </w:rPr>
        <w:t>Note 1</w:t>
      </w:r>
      <w:r w:rsidRPr="005D1BC5">
        <w:rPr>
          <w:rStyle w:val="charItals"/>
        </w:rPr>
        <w:tab/>
        <w:t>Introductory note</w:t>
      </w:r>
    </w:p>
    <w:p w:rsidR="00F8610E" w:rsidRPr="00A060B6" w:rsidRDefault="00F8610E" w:rsidP="008A05D1">
      <w:pPr>
        <w:pStyle w:val="aNote"/>
        <w:ind w:left="1904" w:firstLine="0"/>
      </w:pPr>
      <w:r w:rsidRPr="00A060B6">
        <w:t>This Act sets out the Territory rules of evidence. Generally speaking, the Act applies to proceedings in ACT courts and before other people or bodies required to apply the laws of evidence (see s 4).</w:t>
      </w:r>
    </w:p>
    <w:p w:rsidR="00F8610E" w:rsidRPr="005D1BC5" w:rsidRDefault="00F8610E" w:rsidP="00C23C3D">
      <w:pPr>
        <w:pStyle w:val="aNote"/>
        <w:keepNext/>
        <w:ind w:hanging="766"/>
        <w:rPr>
          <w:rStyle w:val="charItals"/>
        </w:rPr>
      </w:pPr>
      <w:r w:rsidRPr="005D1BC5">
        <w:rPr>
          <w:rStyle w:val="charItals"/>
        </w:rPr>
        <w:t>Note 2</w:t>
      </w:r>
      <w:r w:rsidRPr="005D1BC5">
        <w:rPr>
          <w:rStyle w:val="charItals"/>
        </w:rPr>
        <w:tab/>
        <w:t>Related legislation</w:t>
      </w:r>
    </w:p>
    <w:p w:rsidR="00F8610E" w:rsidRPr="00A060B6" w:rsidRDefault="00F8610E" w:rsidP="008A05D1">
      <w:pPr>
        <w:pStyle w:val="aNote"/>
        <w:ind w:left="1904" w:firstLine="0"/>
      </w:pPr>
      <w:r w:rsidRPr="00A060B6">
        <w:t xml:space="preserve">This Act is in most respects uniform with the </w:t>
      </w:r>
      <w:hyperlink r:id="rId27" w:tooltip="Act 1995 No 2 (Cwlth)" w:history="1">
        <w:r w:rsidR="001D1BCB" w:rsidRPr="001D1BCB">
          <w:rPr>
            <w:rStyle w:val="charCitHyperlinkItal"/>
          </w:rPr>
          <w:t>Evidence Act 1995</w:t>
        </w:r>
      </w:hyperlink>
      <w:r w:rsidRPr="00A060B6">
        <w:t xml:space="preserve"> (Cwlth) (the </w:t>
      </w:r>
      <w:r w:rsidRPr="005D1BC5">
        <w:rPr>
          <w:rStyle w:val="charBoldItals"/>
        </w:rPr>
        <w:t>Commonwealth Act</w:t>
      </w:r>
      <w:r w:rsidRPr="00A060B6">
        <w:t xml:space="preserve">) and the </w:t>
      </w:r>
      <w:hyperlink r:id="rId28" w:tooltip="Act 1995 No 25 (NSW)" w:history="1">
        <w:r w:rsidR="0087340E" w:rsidRPr="0087340E">
          <w:rPr>
            <w:rStyle w:val="charCitHyperlinkItal"/>
          </w:rPr>
          <w:t>Evidence Act 1995</w:t>
        </w:r>
      </w:hyperlink>
      <w:r w:rsidRPr="00A060B6">
        <w:t xml:space="preserve"> (NSW) (the </w:t>
      </w:r>
      <w:r w:rsidRPr="005D1BC5">
        <w:rPr>
          <w:rStyle w:val="charBoldItals"/>
        </w:rPr>
        <w:t>NSW Act</w:t>
      </w:r>
      <w:r w:rsidRPr="00A060B6">
        <w:t>).  The Acts are drafted in identical terms except so far as differences are identified by appropriate annotations to the texts, and except so far as minor drafting variations are required to accord with the drafting style of each jurisdiction.</w:t>
      </w:r>
    </w:p>
    <w:p w:rsidR="00F8610E" w:rsidRPr="003925E1" w:rsidRDefault="00F8610E" w:rsidP="00486F06">
      <w:pPr>
        <w:pStyle w:val="AH2Part"/>
      </w:pPr>
      <w:bookmarkStart w:id="10" w:name="_Toc11748365"/>
      <w:r w:rsidRPr="003925E1">
        <w:rPr>
          <w:rStyle w:val="CharPartNo"/>
        </w:rPr>
        <w:t>Part 1.1</w:t>
      </w:r>
      <w:r w:rsidRPr="00A060B6">
        <w:tab/>
      </w:r>
      <w:r w:rsidRPr="003925E1">
        <w:rPr>
          <w:rStyle w:val="CharPartText"/>
        </w:rPr>
        <w:t>Formal matters</w:t>
      </w:r>
      <w:bookmarkEnd w:id="10"/>
    </w:p>
    <w:p w:rsidR="00F8610E" w:rsidRPr="00A060B6" w:rsidRDefault="00F8610E" w:rsidP="005D1BC5">
      <w:pPr>
        <w:pStyle w:val="AH5Sec"/>
      </w:pPr>
      <w:bookmarkStart w:id="11" w:name="_Toc11748366"/>
      <w:r w:rsidRPr="003925E1">
        <w:rPr>
          <w:rStyle w:val="CharSectNo"/>
        </w:rPr>
        <w:t>1</w:t>
      </w:r>
      <w:r w:rsidRPr="00A060B6">
        <w:tab/>
        <w:t>Name of Act</w:t>
      </w:r>
      <w:bookmarkEnd w:id="11"/>
    </w:p>
    <w:p w:rsidR="00F8610E" w:rsidRPr="00A060B6" w:rsidRDefault="00F8610E">
      <w:pPr>
        <w:pStyle w:val="Amainreturn"/>
      </w:pPr>
      <w:r w:rsidRPr="00A060B6">
        <w:t xml:space="preserve">This Act is the </w:t>
      </w:r>
      <w:r w:rsidRPr="005D1BC5">
        <w:rPr>
          <w:rStyle w:val="charItals"/>
        </w:rPr>
        <w:t>Evidence Act 2011</w:t>
      </w:r>
      <w:r w:rsidRPr="00A060B6">
        <w:t>.</w:t>
      </w:r>
    </w:p>
    <w:p w:rsidR="00F8610E" w:rsidRPr="00A060B6" w:rsidRDefault="00F8610E" w:rsidP="005D1BC5">
      <w:pPr>
        <w:pStyle w:val="AH5Sec"/>
      </w:pPr>
      <w:bookmarkStart w:id="12" w:name="_Toc11748367"/>
      <w:r w:rsidRPr="003925E1">
        <w:rPr>
          <w:rStyle w:val="CharSectNo"/>
        </w:rPr>
        <w:t>3</w:t>
      </w:r>
      <w:r w:rsidRPr="00A060B6">
        <w:tab/>
        <w:t>Dictionary</w:t>
      </w:r>
      <w:bookmarkEnd w:id="12"/>
    </w:p>
    <w:p w:rsidR="00F8610E" w:rsidRPr="00A060B6" w:rsidRDefault="00F8610E" w:rsidP="00C23C3D">
      <w:pPr>
        <w:pStyle w:val="Amainreturn"/>
        <w:keepNext/>
      </w:pPr>
      <w:r w:rsidRPr="00A060B6">
        <w:t>The dictionary at the end of this Act is part of this Act.</w:t>
      </w:r>
    </w:p>
    <w:p w:rsidR="00F8610E" w:rsidRPr="00A060B6" w:rsidRDefault="00F8610E">
      <w:pPr>
        <w:pStyle w:val="aNote"/>
      </w:pPr>
      <w:r w:rsidRPr="005D1BC5">
        <w:rPr>
          <w:rStyle w:val="charItals"/>
        </w:rPr>
        <w:t>Note 1</w:t>
      </w:r>
      <w:r w:rsidRPr="00A060B6">
        <w:tab/>
        <w:t>The dictionary at the end of this Act defines certain terms used in this Act, and includes references (</w:t>
      </w:r>
      <w:r w:rsidRPr="005D1BC5">
        <w:rPr>
          <w:rStyle w:val="charBoldItals"/>
        </w:rPr>
        <w:t>signpost definitions</w:t>
      </w:r>
      <w:r w:rsidRPr="00A060B6">
        <w:t>) to other terms defined elsewhere.</w:t>
      </w:r>
    </w:p>
    <w:p w:rsidR="00F8610E" w:rsidRPr="00A060B6" w:rsidRDefault="00F8610E" w:rsidP="00C23C3D">
      <w:pPr>
        <w:pStyle w:val="aNoteTextss"/>
        <w:keepNext/>
      </w:pPr>
      <w:r w:rsidRPr="00A060B6">
        <w:t>For example, the signpost definition ‘</w:t>
      </w:r>
      <w:r w:rsidRPr="005D1BC5">
        <w:rPr>
          <w:rStyle w:val="charBoldItals"/>
        </w:rPr>
        <w:t>Commonwealth record</w:t>
      </w:r>
      <w:r w:rsidRPr="00A060B6">
        <w:t xml:space="preserve">—see the </w:t>
      </w:r>
      <w:hyperlink r:id="rId29" w:tooltip="Act 1995 No 2 (Cwlth)" w:history="1">
        <w:r w:rsidR="001D1BCB" w:rsidRPr="001D1BCB">
          <w:rPr>
            <w:rStyle w:val="charCitHyperlinkItal"/>
          </w:rPr>
          <w:t>Evidence Act 1995</w:t>
        </w:r>
      </w:hyperlink>
      <w:r w:rsidRPr="005D1BC5">
        <w:rPr>
          <w:rStyle w:val="charItals"/>
        </w:rPr>
        <w:t xml:space="preserve"> </w:t>
      </w:r>
      <w:r w:rsidRPr="00A060B6">
        <w:t>(Cwlth), dictionary.’ means that the term ‘Commonwealth record’ is defined in that dictionary and the definition applies to this Act.</w:t>
      </w:r>
    </w:p>
    <w:p w:rsidR="00F8610E" w:rsidRPr="00A060B6" w:rsidRDefault="00F8610E" w:rsidP="00C23C3D">
      <w:pPr>
        <w:pStyle w:val="aNote"/>
        <w:keepNext/>
      </w:pPr>
      <w:r w:rsidRPr="005D1BC5">
        <w:rPr>
          <w:rStyle w:val="charItals"/>
        </w:rPr>
        <w:t>Note 2</w:t>
      </w:r>
      <w:r w:rsidRPr="00A060B6">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AF17FE" w:rsidRPr="00AF17FE">
          <w:rPr>
            <w:rStyle w:val="charCitHyperlinkAbbrev"/>
          </w:rPr>
          <w:t>Legislation Act</w:t>
        </w:r>
      </w:hyperlink>
      <w:r w:rsidRPr="00A060B6">
        <w:t>, s 155 and s 156 (1)).</w:t>
      </w:r>
    </w:p>
    <w:p w:rsidR="00F8610E" w:rsidRPr="00A060B6" w:rsidRDefault="00F8610E" w:rsidP="00D6772B">
      <w:pPr>
        <w:pStyle w:val="aNote"/>
      </w:pPr>
      <w:r w:rsidRPr="005D1BC5">
        <w:rPr>
          <w:rStyle w:val="charItals"/>
        </w:rPr>
        <w:t>Note 3</w:t>
      </w:r>
      <w:r w:rsidRPr="00A060B6">
        <w:tab/>
        <w:t xml:space="preserve">This section differs from the </w:t>
      </w:r>
      <w:hyperlink r:id="rId31" w:tooltip="Evidence Act 1995" w:history="1">
        <w:r w:rsidR="00506E3A" w:rsidRPr="001D1BCB">
          <w:rPr>
            <w:rStyle w:val="charCitHyperlinkAbbrev"/>
          </w:rPr>
          <w:t>Commonwealth Act</w:t>
        </w:r>
      </w:hyperlink>
      <w:r w:rsidRPr="00A060B6">
        <w:t xml:space="preserve"> and </w:t>
      </w:r>
      <w:hyperlink r:id="rId32" w:tooltip="Act 1995 No 25 (NSW)" w:history="1">
        <w:r w:rsidR="00506E3A" w:rsidRPr="00506E3A">
          <w:rPr>
            <w:rStyle w:val="charCitHyperlinkAbbrev"/>
          </w:rPr>
          <w:t>NSW Act</w:t>
        </w:r>
      </w:hyperlink>
      <w:r w:rsidRPr="00A060B6">
        <w:t>.</w:t>
      </w:r>
    </w:p>
    <w:p w:rsidR="00F8610E" w:rsidRPr="00A060B6" w:rsidRDefault="00F8610E" w:rsidP="00486F06">
      <w:pPr>
        <w:pStyle w:val="AH5Sec"/>
      </w:pPr>
      <w:bookmarkStart w:id="13" w:name="_Toc11748368"/>
      <w:r w:rsidRPr="003925E1">
        <w:rPr>
          <w:rStyle w:val="CharSectNo"/>
        </w:rPr>
        <w:lastRenderedPageBreak/>
        <w:t>3A</w:t>
      </w:r>
      <w:r w:rsidRPr="00A060B6">
        <w:tab/>
        <w:t>Numbering</w:t>
      </w:r>
      <w:bookmarkEnd w:id="13"/>
    </w:p>
    <w:p w:rsidR="00F8610E" w:rsidRPr="00A060B6" w:rsidRDefault="00F8610E" w:rsidP="00486F06">
      <w:pPr>
        <w:pStyle w:val="Amain"/>
      </w:pPr>
      <w:r w:rsidRPr="00A060B6">
        <w:rPr>
          <w:rFonts w:ascii="Tms Rmn" w:hAnsi="Tms Rmn"/>
        </w:rPr>
        <w:tab/>
        <w:t>(1)</w:t>
      </w:r>
      <w:r w:rsidRPr="00A060B6">
        <w:rPr>
          <w:rFonts w:ascii="Tms Rmn" w:hAnsi="Tms Rmn"/>
        </w:rPr>
        <w:tab/>
      </w:r>
      <w:r w:rsidRPr="00A060B6">
        <w:t xml:space="preserve">To maintain consistent section numbering between this Act and the </w:t>
      </w:r>
      <w:hyperlink r:id="rId33" w:tooltip="Evidence Act 1995" w:history="1">
        <w:r w:rsidR="00506E3A" w:rsidRPr="001D1BCB">
          <w:rPr>
            <w:rStyle w:val="charCitHyperlinkAbbrev"/>
          </w:rPr>
          <w:t>Commonwealth Act</w:t>
        </w:r>
      </w:hyperlink>
      <w:r w:rsidRPr="00A060B6">
        <w:t>—</w:t>
      </w:r>
    </w:p>
    <w:p w:rsidR="00F8610E" w:rsidRPr="00A060B6" w:rsidRDefault="00F8610E" w:rsidP="00486F06">
      <w:pPr>
        <w:pStyle w:val="Apara"/>
      </w:pPr>
      <w:r w:rsidRPr="00A060B6">
        <w:rPr>
          <w:rFonts w:ascii="Tms Rmn" w:hAnsi="Tms Rmn"/>
        </w:rPr>
        <w:tab/>
        <w:t>(a)</w:t>
      </w:r>
      <w:r w:rsidRPr="00A060B6">
        <w:rPr>
          <w:rFonts w:ascii="Tms Rmn" w:hAnsi="Tms Rmn"/>
        </w:rPr>
        <w:tab/>
      </w:r>
      <w:r w:rsidRPr="00A060B6">
        <w:t xml:space="preserve">if the </w:t>
      </w:r>
      <w:hyperlink r:id="rId34" w:tooltip="Evidence Act 1995" w:history="1">
        <w:r w:rsidR="00506E3A" w:rsidRPr="001D1BCB">
          <w:rPr>
            <w:rStyle w:val="charCitHyperlinkAbbrev"/>
          </w:rPr>
          <w:t>Commonwealth Act</w:t>
        </w:r>
      </w:hyperlink>
      <w:r w:rsidRPr="00A060B6">
        <w:t xml:space="preserve"> contains a section that is not included in this Act—the section number and heading appearing in the </w:t>
      </w:r>
      <w:hyperlink r:id="rId35" w:tooltip="Evidence Act 1995" w:history="1">
        <w:r w:rsidR="00506E3A" w:rsidRPr="001D1BCB">
          <w:rPr>
            <w:rStyle w:val="charCitHyperlinkAbbrev"/>
          </w:rPr>
          <w:t>Commonwealth Act</w:t>
        </w:r>
      </w:hyperlink>
      <w:r w:rsidRPr="00A060B6">
        <w:t xml:space="preserve"> are included in this Act despite the omission of the body of the section; and</w:t>
      </w:r>
    </w:p>
    <w:p w:rsidR="00F8610E" w:rsidRPr="00A060B6" w:rsidRDefault="00F8610E" w:rsidP="00486F06">
      <w:pPr>
        <w:pStyle w:val="Apara"/>
      </w:pPr>
      <w:r w:rsidRPr="00A060B6">
        <w:tab/>
        <w:t>(b)</w:t>
      </w:r>
      <w:r w:rsidRPr="00A060B6">
        <w:tab/>
        <w:t xml:space="preserve">if this Act contains a section that is not included in the </w:t>
      </w:r>
      <w:hyperlink r:id="rId36" w:tooltip="Evidence Act 1995" w:history="1">
        <w:r w:rsidR="00506E3A" w:rsidRPr="001D1BCB">
          <w:rPr>
            <w:rStyle w:val="charCitHyperlinkAbbrev"/>
          </w:rPr>
          <w:t>Commonwealth Act</w:t>
        </w:r>
      </w:hyperlink>
      <w:r w:rsidRPr="00A060B6">
        <w:t>—the section is numbered so as to maintain consistency in numbering between sections common to both Acts.</w:t>
      </w:r>
    </w:p>
    <w:p w:rsidR="00F8610E" w:rsidRPr="00A060B6" w:rsidRDefault="00F8610E" w:rsidP="00486F06">
      <w:pPr>
        <w:pStyle w:val="Amain"/>
      </w:pPr>
      <w:r w:rsidRPr="00A060B6">
        <w:rPr>
          <w:rFonts w:ascii="Tms Rmn" w:hAnsi="Tms Rmn"/>
        </w:rPr>
        <w:tab/>
        <w:t>(2)</w:t>
      </w:r>
      <w:r w:rsidRPr="00A060B6">
        <w:rPr>
          <w:rFonts w:ascii="Tms Rmn" w:hAnsi="Tms Rmn"/>
        </w:rPr>
        <w:tab/>
      </w:r>
      <w:r w:rsidRPr="00A060B6">
        <w:t>A section number and heading mentioned in subsection (1) (a) form part of this Act.</w:t>
      </w:r>
    </w:p>
    <w:p w:rsidR="00F8610E" w:rsidRPr="00A060B6" w:rsidRDefault="00F8610E" w:rsidP="006B2C07">
      <w:pPr>
        <w:pStyle w:val="Amain"/>
        <w:keepNext/>
      </w:pPr>
      <w:r w:rsidRPr="00A060B6">
        <w:tab/>
        <w:t>(3)</w:t>
      </w:r>
      <w:r w:rsidRPr="00A060B6">
        <w:tab/>
        <w:t xml:space="preserve">If a provision of this Act (other than a section) is numbered differently from the equivalent provision of the </w:t>
      </w:r>
      <w:hyperlink r:id="rId37" w:tooltip="Evidence Act 1995" w:history="1">
        <w:r w:rsidR="00506E3A" w:rsidRPr="001D1BCB">
          <w:rPr>
            <w:rStyle w:val="charCitHyperlinkAbbrev"/>
          </w:rPr>
          <w:t>Commonwealth Act</w:t>
        </w:r>
      </w:hyperlink>
      <w:r w:rsidRPr="00A060B6">
        <w:t xml:space="preserve">, the provision of this Act may be referred to using the number of the equivalent provision of the </w:t>
      </w:r>
      <w:hyperlink r:id="rId38" w:tooltip="Evidence Act 1995" w:history="1">
        <w:r w:rsidR="00506E3A" w:rsidRPr="001D1BCB">
          <w:rPr>
            <w:rStyle w:val="charCitHyperlinkAbbrev"/>
          </w:rPr>
          <w:t>Commonwealth Act</w:t>
        </w:r>
      </w:hyperlink>
      <w:r w:rsidRPr="00A060B6">
        <w:t>.</w:t>
      </w:r>
    </w:p>
    <w:p w:rsidR="00F8610E" w:rsidRPr="00A060B6" w:rsidRDefault="00F8610E" w:rsidP="00D6772B">
      <w:pPr>
        <w:pStyle w:val="aNote"/>
        <w:keepNext/>
      </w:pPr>
      <w:r w:rsidRPr="005D1BC5">
        <w:rPr>
          <w:rStyle w:val="charItals"/>
        </w:rPr>
        <w:t>Note 1</w:t>
      </w:r>
      <w:r w:rsidRPr="00A060B6">
        <w:tab/>
        <w:t xml:space="preserve">A note appears under each heading mentioned in s (1) (a) describing the omitted section of the </w:t>
      </w:r>
      <w:hyperlink r:id="rId39" w:tooltip="Evidence Act 1995" w:history="1">
        <w:r w:rsidR="00506E3A" w:rsidRPr="001D1BCB">
          <w:rPr>
            <w:rStyle w:val="charCitHyperlinkAbbrev"/>
          </w:rPr>
          <w:t>Commonwealth Act</w:t>
        </w:r>
      </w:hyperlink>
      <w:r w:rsidRPr="00A060B6">
        <w:t>.</w:t>
      </w:r>
    </w:p>
    <w:p w:rsidR="00F8610E" w:rsidRPr="00A060B6" w:rsidRDefault="00F8610E" w:rsidP="00C23C3D">
      <w:pPr>
        <w:pStyle w:val="aNote"/>
        <w:keepNext/>
      </w:pPr>
      <w:r w:rsidRPr="005D1BC5">
        <w:rPr>
          <w:rStyle w:val="charItals"/>
        </w:rPr>
        <w:t>Note 2</w:t>
      </w:r>
      <w:r w:rsidRPr="005D1BC5">
        <w:rPr>
          <w:rStyle w:val="charItals"/>
        </w:rPr>
        <w:tab/>
      </w:r>
      <w:r w:rsidRPr="00A060B6">
        <w:t xml:space="preserve">A note appears under each section mentioned in s (1) (b) highlighting the non-appearance of an equivalent section in the </w:t>
      </w:r>
      <w:hyperlink r:id="rId40" w:tooltip="Evidence Act 1995" w:history="1">
        <w:r w:rsidR="00506E3A" w:rsidRPr="001D1BCB">
          <w:rPr>
            <w:rStyle w:val="charCitHyperlinkAbbrev"/>
          </w:rPr>
          <w:t>Commonwealth Act</w:t>
        </w:r>
      </w:hyperlink>
      <w:r w:rsidRPr="00A060B6">
        <w:t>.</w:t>
      </w:r>
    </w:p>
    <w:p w:rsidR="00F8610E" w:rsidRPr="00A060B6" w:rsidRDefault="00F8610E" w:rsidP="00D6772B">
      <w:pPr>
        <w:pStyle w:val="aNote"/>
      </w:pPr>
      <w:r w:rsidRPr="005D1BC5">
        <w:rPr>
          <w:rStyle w:val="charItals"/>
        </w:rPr>
        <w:t>Note 3</w:t>
      </w:r>
      <w:r w:rsidRPr="00A060B6">
        <w:tab/>
        <w:t xml:space="preserve">The </w:t>
      </w:r>
      <w:hyperlink r:id="rId41" w:tooltip="Evidence Act 1995" w:history="1">
        <w:r w:rsidR="00506E3A" w:rsidRPr="001D1BCB">
          <w:rPr>
            <w:rStyle w:val="charCitHyperlinkAbbrev"/>
          </w:rPr>
          <w:t>Commonwealth Act</w:t>
        </w:r>
      </w:hyperlink>
      <w:r w:rsidRPr="00A060B6">
        <w:t xml:space="preserve"> and </w:t>
      </w:r>
      <w:hyperlink r:id="rId42" w:tooltip="Act 1995 No 25 (NSW)" w:history="1">
        <w:r w:rsidR="00506E3A" w:rsidRPr="00506E3A">
          <w:rPr>
            <w:rStyle w:val="charCitHyperlinkAbbrev"/>
          </w:rPr>
          <w:t>NSW Act</w:t>
        </w:r>
      </w:hyperlink>
      <w:r w:rsidRPr="00A060B6">
        <w:t xml:space="preserve"> do not include this section.</w:t>
      </w:r>
    </w:p>
    <w:p w:rsidR="00F8610E" w:rsidRPr="00A060B6" w:rsidRDefault="00F8610E" w:rsidP="00486F06">
      <w:pPr>
        <w:pStyle w:val="AH5Sec"/>
      </w:pPr>
      <w:bookmarkStart w:id="14" w:name="_Toc11748369"/>
      <w:r w:rsidRPr="003925E1">
        <w:rPr>
          <w:rStyle w:val="CharSectNo"/>
        </w:rPr>
        <w:t>3B</w:t>
      </w:r>
      <w:r w:rsidRPr="00A060B6">
        <w:tab/>
        <w:t>Notes</w:t>
      </w:r>
      <w:bookmarkEnd w:id="14"/>
    </w:p>
    <w:p w:rsidR="00F8610E" w:rsidRPr="00A060B6" w:rsidRDefault="00F8610E" w:rsidP="00C23C3D">
      <w:pPr>
        <w:pStyle w:val="Amainreturn"/>
        <w:keepNext/>
      </w:pPr>
      <w:r w:rsidRPr="00A060B6">
        <w:t>A note included in this Act is explanatory and is not part of this Act.</w:t>
      </w:r>
    </w:p>
    <w:p w:rsidR="00F8610E" w:rsidRPr="00A060B6" w:rsidRDefault="00F8610E" w:rsidP="00C23C3D">
      <w:pPr>
        <w:pStyle w:val="aNote"/>
        <w:keepNext/>
      </w:pPr>
      <w:r w:rsidRPr="005D1BC5">
        <w:rPr>
          <w:rStyle w:val="charItals"/>
        </w:rPr>
        <w:t>Note 1</w:t>
      </w:r>
      <w:r w:rsidRPr="005D1BC5">
        <w:rPr>
          <w:rStyle w:val="charItals"/>
        </w:rPr>
        <w:tab/>
      </w:r>
      <w:r w:rsidRPr="00A060B6">
        <w:t xml:space="preserve">See the </w:t>
      </w:r>
      <w:hyperlink r:id="rId43" w:tooltip="A2001-14" w:history="1">
        <w:r w:rsidR="00AF17FE" w:rsidRPr="00AF17FE">
          <w:rPr>
            <w:rStyle w:val="charCitHyperlinkAbbrev"/>
          </w:rPr>
          <w:t>Legislation Act</w:t>
        </w:r>
      </w:hyperlink>
      <w:r w:rsidRPr="00A060B6">
        <w:t>, s 127 (1), (4) and (5) for the legal status of notes.</w:t>
      </w:r>
    </w:p>
    <w:p w:rsidR="00F8610E" w:rsidRPr="00A060B6" w:rsidRDefault="00F8610E" w:rsidP="00D6772B">
      <w:pPr>
        <w:pStyle w:val="aNote"/>
      </w:pPr>
      <w:r w:rsidRPr="005D1BC5">
        <w:rPr>
          <w:rStyle w:val="charItals"/>
        </w:rPr>
        <w:t>Note 2</w:t>
      </w:r>
      <w:r w:rsidRPr="00A060B6">
        <w:tab/>
        <w:t xml:space="preserve">The </w:t>
      </w:r>
      <w:hyperlink r:id="rId44" w:tooltip="Evidence Act 1995" w:history="1">
        <w:r w:rsidR="00506E3A" w:rsidRPr="001D1BCB">
          <w:rPr>
            <w:rStyle w:val="charCitHyperlinkAbbrev"/>
          </w:rPr>
          <w:t>Commonwealth Act</w:t>
        </w:r>
      </w:hyperlink>
      <w:r w:rsidRPr="00A060B6">
        <w:t xml:space="preserve"> and </w:t>
      </w:r>
      <w:hyperlink r:id="rId45" w:tooltip="Act 1995 No 25 (NSW)" w:history="1">
        <w:r w:rsidR="00506E3A" w:rsidRPr="00506E3A">
          <w:rPr>
            <w:rStyle w:val="charCitHyperlinkAbbrev"/>
          </w:rPr>
          <w:t>NSW Act</w:t>
        </w:r>
      </w:hyperlink>
      <w:r w:rsidRPr="00A060B6">
        <w:t xml:space="preserve"> do not include this section.</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15" w:name="_Toc11748370"/>
      <w:r w:rsidRPr="003925E1">
        <w:rPr>
          <w:rStyle w:val="CharPartNo"/>
        </w:rPr>
        <w:lastRenderedPageBreak/>
        <w:t>Part 1.2</w:t>
      </w:r>
      <w:r w:rsidRPr="00A060B6">
        <w:tab/>
      </w:r>
      <w:r w:rsidRPr="003925E1">
        <w:rPr>
          <w:rStyle w:val="CharPartText"/>
        </w:rPr>
        <w:t>Application of this Act</w:t>
      </w:r>
      <w:bookmarkEnd w:id="15"/>
    </w:p>
    <w:p w:rsidR="00F8610E" w:rsidRPr="00A060B6" w:rsidRDefault="00F8610E" w:rsidP="00486F06">
      <w:pPr>
        <w:pStyle w:val="AH5Sec"/>
      </w:pPr>
      <w:bookmarkStart w:id="16" w:name="_Toc11748371"/>
      <w:r w:rsidRPr="003925E1">
        <w:rPr>
          <w:rStyle w:val="CharSectNo"/>
        </w:rPr>
        <w:t>4</w:t>
      </w:r>
      <w:r w:rsidRPr="00A060B6">
        <w:tab/>
        <w:t>Courts and proceedings to which Act applies</w:t>
      </w:r>
      <w:bookmarkEnd w:id="16"/>
    </w:p>
    <w:p w:rsidR="00F8610E" w:rsidRPr="00A060B6" w:rsidRDefault="00F8610E" w:rsidP="00486F06">
      <w:pPr>
        <w:pStyle w:val="Amain"/>
      </w:pPr>
      <w:r w:rsidRPr="00A060B6">
        <w:tab/>
        <w:t>(1)</w:t>
      </w:r>
      <w:r w:rsidRPr="00A060B6">
        <w:tab/>
        <w:t>This Act applies to all proceedings in an ACT court, including proceedings that—</w:t>
      </w:r>
    </w:p>
    <w:p w:rsidR="00F8610E" w:rsidRPr="00A060B6" w:rsidRDefault="00F8610E" w:rsidP="00486F06">
      <w:pPr>
        <w:pStyle w:val="Apara"/>
      </w:pPr>
      <w:r w:rsidRPr="00A060B6">
        <w:tab/>
        <w:t>(a)</w:t>
      </w:r>
      <w:r w:rsidRPr="00A060B6">
        <w:tab/>
        <w:t>relate to bail; or</w:t>
      </w:r>
    </w:p>
    <w:p w:rsidR="00F8610E" w:rsidRPr="00A060B6" w:rsidRDefault="00F8610E" w:rsidP="00486F06">
      <w:pPr>
        <w:pStyle w:val="Apara"/>
      </w:pPr>
      <w:r w:rsidRPr="00A060B6">
        <w:tab/>
        <w:t>(b)</w:t>
      </w:r>
      <w:r w:rsidRPr="00A060B6">
        <w:tab/>
        <w:t>are interlocutory proceedings or proceedings of a similar kind; or</w:t>
      </w:r>
    </w:p>
    <w:p w:rsidR="00F8610E" w:rsidRPr="00A060B6" w:rsidRDefault="00F8610E" w:rsidP="00486F06">
      <w:pPr>
        <w:pStyle w:val="Apara"/>
      </w:pPr>
      <w:r w:rsidRPr="00A060B6">
        <w:tab/>
        <w:t>(c)</w:t>
      </w:r>
      <w:r w:rsidRPr="00A060B6">
        <w:tab/>
        <w:t>are heard in chambers; or</w:t>
      </w:r>
    </w:p>
    <w:p w:rsidR="00F8610E" w:rsidRPr="00A060B6" w:rsidRDefault="00F8610E" w:rsidP="00486F06">
      <w:pPr>
        <w:pStyle w:val="Apara"/>
      </w:pPr>
      <w:r w:rsidRPr="00A060B6">
        <w:tab/>
        <w:t>(d)</w:t>
      </w:r>
      <w:r w:rsidRPr="00A060B6">
        <w:tab/>
        <w:t>subject to subsection (2), relate to sentencing.</w:t>
      </w:r>
    </w:p>
    <w:p w:rsidR="00F8610E" w:rsidRPr="00A060B6" w:rsidRDefault="00F8610E" w:rsidP="00486F06">
      <w:pPr>
        <w:pStyle w:val="Amain"/>
      </w:pPr>
      <w:r w:rsidRPr="00A060B6">
        <w:tab/>
        <w:t>(2)</w:t>
      </w:r>
      <w:r w:rsidRPr="00A060B6">
        <w:tab/>
        <w:t>If a proceeding relates to sentencing—</w:t>
      </w:r>
    </w:p>
    <w:p w:rsidR="00F8610E" w:rsidRPr="00A060B6" w:rsidRDefault="00F8610E" w:rsidP="00486F06">
      <w:pPr>
        <w:pStyle w:val="Apara"/>
      </w:pPr>
      <w:r w:rsidRPr="00A060B6">
        <w:tab/>
        <w:t>(a)</w:t>
      </w:r>
      <w:r w:rsidRPr="00A060B6">
        <w:tab/>
        <w:t>this Act applies only if the court directs that the law of evidence applies in the proceeding; and</w:t>
      </w:r>
    </w:p>
    <w:p w:rsidR="00F8610E" w:rsidRPr="00A060B6" w:rsidRDefault="00F8610E" w:rsidP="00486F06">
      <w:pPr>
        <w:pStyle w:val="Apara"/>
      </w:pPr>
      <w:r w:rsidRPr="00A060B6">
        <w:tab/>
        <w:t>(b)</w:t>
      </w:r>
      <w:r w:rsidRPr="00A060B6">
        <w:tab/>
        <w:t>if the court states in the direction that the law of evidence applies only in relation to stated matters—the direction has effect accordingly.</w:t>
      </w:r>
    </w:p>
    <w:p w:rsidR="00F8610E" w:rsidRPr="00A060B6" w:rsidRDefault="00F8610E" w:rsidP="00486F06">
      <w:pPr>
        <w:pStyle w:val="Amain"/>
      </w:pPr>
      <w:r w:rsidRPr="00A060B6">
        <w:tab/>
        <w:t>(3)</w:t>
      </w:r>
      <w:r w:rsidRPr="00A060B6">
        <w:tab/>
        <w:t>The court must make a direction under this section if—</w:t>
      </w:r>
    </w:p>
    <w:p w:rsidR="00F8610E" w:rsidRPr="00A060B6" w:rsidRDefault="00F8610E" w:rsidP="00486F06">
      <w:pPr>
        <w:pStyle w:val="Apara"/>
      </w:pPr>
      <w:r w:rsidRPr="00A060B6">
        <w:tab/>
        <w:t>(a)</w:t>
      </w:r>
      <w:r w:rsidRPr="00A060B6">
        <w:tab/>
        <w:t>a party to the proceeding applies for the direction in relation to the proof of a fact; and</w:t>
      </w:r>
    </w:p>
    <w:p w:rsidR="00F8610E" w:rsidRPr="00A060B6" w:rsidRDefault="00F8610E" w:rsidP="00486F06">
      <w:pPr>
        <w:pStyle w:val="Apara"/>
      </w:pPr>
      <w:r w:rsidRPr="00A060B6">
        <w:tab/>
        <w:t>(b)</w:t>
      </w:r>
      <w:r w:rsidRPr="00A060B6">
        <w:tab/>
        <w:t>in the court’s opinion, the proceeding involves proof of the fact, and the fact is or will be significant in deciding a sentence to be imposed in the proceeding.</w:t>
      </w:r>
    </w:p>
    <w:p w:rsidR="00F8610E" w:rsidRPr="00A060B6" w:rsidRDefault="00F8610E" w:rsidP="00486F06">
      <w:pPr>
        <w:pStyle w:val="Amain"/>
      </w:pPr>
      <w:r w:rsidRPr="00A060B6">
        <w:tab/>
        <w:t>(4)</w:t>
      </w:r>
      <w:r w:rsidRPr="00A060B6">
        <w:tab/>
        <w:t>The court must make a direction under this section if the court considers it appropriate in the interests of justice.</w:t>
      </w:r>
    </w:p>
    <w:p w:rsidR="00F8610E" w:rsidRPr="00A060B6" w:rsidRDefault="00F8610E" w:rsidP="006B2C07">
      <w:pPr>
        <w:pStyle w:val="aNote"/>
        <w:rPr>
          <w:rFonts w:ascii="Arial" w:hAnsi="Arial" w:cs="Arial"/>
          <w:lang w:eastAsia="en-AU"/>
        </w:rPr>
      </w:pPr>
      <w:r w:rsidRPr="005D1BC5">
        <w:rPr>
          <w:rStyle w:val="charItals"/>
        </w:rPr>
        <w:t xml:space="preserve">Note </w:t>
      </w:r>
      <w:r w:rsidRPr="005D1BC5">
        <w:rPr>
          <w:rStyle w:val="charItals"/>
        </w:rPr>
        <w:tab/>
      </w:r>
      <w:r w:rsidRPr="00A060B6">
        <w:t xml:space="preserve">This section differs from the </w:t>
      </w:r>
      <w:hyperlink r:id="rId46" w:tooltip="Evidence Act 1995" w:history="1">
        <w:r w:rsidR="007F2560" w:rsidRPr="001D1BCB">
          <w:rPr>
            <w:rStyle w:val="charCitHyperlinkAbbrev"/>
          </w:rPr>
          <w:t>Commonwealth Act</w:t>
        </w:r>
      </w:hyperlink>
      <w:r w:rsidRPr="00A060B6">
        <w:t>, s 4.</w:t>
      </w:r>
    </w:p>
    <w:p w:rsidR="00F8610E" w:rsidRPr="00A060B6" w:rsidRDefault="00F8610E" w:rsidP="00486F06">
      <w:pPr>
        <w:pStyle w:val="AH5Sec"/>
      </w:pPr>
      <w:bookmarkStart w:id="17" w:name="_Toc11748372"/>
      <w:r w:rsidRPr="003925E1">
        <w:rPr>
          <w:rStyle w:val="CharSectNo"/>
        </w:rPr>
        <w:lastRenderedPageBreak/>
        <w:t>5</w:t>
      </w:r>
      <w:r w:rsidRPr="00A060B6">
        <w:tab/>
        <w:t>Extended application of certain provisions</w:t>
      </w:r>
      <w:bookmarkEnd w:id="17"/>
    </w:p>
    <w:p w:rsidR="00F8610E" w:rsidRPr="00A060B6" w:rsidRDefault="00F8610E" w:rsidP="00E51812">
      <w:pPr>
        <w:pStyle w:val="aNote"/>
      </w:pPr>
      <w:r w:rsidRPr="005D1BC5">
        <w:rPr>
          <w:rStyle w:val="charItals"/>
        </w:rPr>
        <w:t>Note</w:t>
      </w:r>
      <w:r w:rsidRPr="005D1BC5">
        <w:rPr>
          <w:rStyle w:val="charItals"/>
        </w:rPr>
        <w:tab/>
      </w:r>
      <w:r w:rsidRPr="00A060B6">
        <w:t xml:space="preserve">The </w:t>
      </w:r>
      <w:hyperlink r:id="rId47" w:tooltip="Evidence Act 1995" w:history="1">
        <w:r w:rsidR="00506E3A" w:rsidRPr="001D1BCB">
          <w:rPr>
            <w:rStyle w:val="charCitHyperlinkAbbrev"/>
          </w:rPr>
          <w:t>Commonwealth Act</w:t>
        </w:r>
      </w:hyperlink>
      <w:r w:rsidRPr="00A060B6">
        <w:t xml:space="preserve"> includes a provision extending the application of stated provisions of the </w:t>
      </w:r>
      <w:hyperlink r:id="rId48" w:tooltip="Evidence Act 1995" w:history="1">
        <w:r w:rsidR="00506E3A" w:rsidRPr="001D1BCB">
          <w:rPr>
            <w:rStyle w:val="charCitHyperlinkAbbrev"/>
          </w:rPr>
          <w:t>Commonwealth Act</w:t>
        </w:r>
      </w:hyperlink>
      <w:r w:rsidRPr="00A060B6">
        <w:t xml:space="preserve"> to proceedings in all Australian courts.</w:t>
      </w:r>
    </w:p>
    <w:p w:rsidR="00F8610E" w:rsidRPr="00A060B6" w:rsidRDefault="00F8610E" w:rsidP="00486F06">
      <w:pPr>
        <w:pStyle w:val="AH5Sec"/>
      </w:pPr>
      <w:bookmarkStart w:id="18" w:name="_Toc11748373"/>
      <w:r w:rsidRPr="003925E1">
        <w:rPr>
          <w:rStyle w:val="CharSectNo"/>
        </w:rPr>
        <w:t>6</w:t>
      </w:r>
      <w:r w:rsidRPr="00A060B6">
        <w:tab/>
        <w:t>Territories</w:t>
      </w:r>
      <w:bookmarkEnd w:id="18"/>
    </w:p>
    <w:p w:rsidR="00F8610E" w:rsidRPr="00A060B6" w:rsidRDefault="00F8610E" w:rsidP="00E51812">
      <w:pPr>
        <w:pStyle w:val="aNote"/>
      </w:pPr>
      <w:r w:rsidRPr="005D1BC5">
        <w:rPr>
          <w:rStyle w:val="charItals"/>
        </w:rPr>
        <w:t>Note</w:t>
      </w:r>
      <w:r w:rsidRPr="005D1BC5">
        <w:rPr>
          <w:rStyle w:val="charItals"/>
        </w:rPr>
        <w:tab/>
      </w:r>
      <w:r w:rsidRPr="00A060B6">
        <w:t xml:space="preserve">The </w:t>
      </w:r>
      <w:hyperlink r:id="rId49" w:tooltip="Evidence Act 1995" w:history="1">
        <w:r w:rsidR="00506E3A" w:rsidRPr="001D1BCB">
          <w:rPr>
            <w:rStyle w:val="charCitHyperlinkAbbrev"/>
          </w:rPr>
          <w:t>Commonwealth Act</w:t>
        </w:r>
      </w:hyperlink>
      <w:r w:rsidRPr="00A060B6">
        <w:t xml:space="preserve"> includes a provision extending that Act to each external territory.</w:t>
      </w:r>
    </w:p>
    <w:p w:rsidR="00F8610E" w:rsidRPr="00A060B6" w:rsidRDefault="00F8610E" w:rsidP="00486F06">
      <w:pPr>
        <w:pStyle w:val="AH5Sec"/>
      </w:pPr>
      <w:bookmarkStart w:id="19" w:name="_Toc11748374"/>
      <w:r w:rsidRPr="003925E1">
        <w:rPr>
          <w:rStyle w:val="CharSectNo"/>
        </w:rPr>
        <w:t>7</w:t>
      </w:r>
      <w:r w:rsidRPr="00A060B6">
        <w:tab/>
        <w:t>Act binds Crown</w:t>
      </w:r>
      <w:bookmarkEnd w:id="19"/>
    </w:p>
    <w:p w:rsidR="00F8610E" w:rsidRPr="00A060B6" w:rsidRDefault="00F8610E" w:rsidP="00E51812">
      <w:pPr>
        <w:pStyle w:val="aNote"/>
      </w:pPr>
      <w:r w:rsidRPr="005D1BC5">
        <w:rPr>
          <w:rStyle w:val="charItals"/>
        </w:rPr>
        <w:t>Note</w:t>
      </w:r>
      <w:r w:rsidRPr="005D1BC5">
        <w:rPr>
          <w:rStyle w:val="charItals"/>
        </w:rPr>
        <w:tab/>
      </w:r>
      <w:r w:rsidRPr="00A060B6">
        <w:t xml:space="preserve">The </w:t>
      </w:r>
      <w:hyperlink r:id="rId50" w:tooltip="Evidence Act 1995" w:history="1">
        <w:r w:rsidR="00506E3A" w:rsidRPr="001D1BCB">
          <w:rPr>
            <w:rStyle w:val="charCitHyperlinkAbbrev"/>
          </w:rPr>
          <w:t>Commonwealth Act</w:t>
        </w:r>
      </w:hyperlink>
      <w:r w:rsidRPr="00A060B6">
        <w:t xml:space="preserve"> and </w:t>
      </w:r>
      <w:hyperlink r:id="rId51" w:tooltip="Act 1995 No 25 (NSW)" w:history="1">
        <w:r w:rsidR="00506E3A" w:rsidRPr="00506E3A">
          <w:rPr>
            <w:rStyle w:val="charCitHyperlinkAbbrev"/>
          </w:rPr>
          <w:t>NSW Act</w:t>
        </w:r>
      </w:hyperlink>
      <w:r w:rsidRPr="00A060B6">
        <w:t xml:space="preserve"> include a provision binding the Crown. The provision is unnecessary in the ACT (see </w:t>
      </w:r>
      <w:hyperlink r:id="rId52" w:tooltip="A2001-14" w:history="1">
        <w:r w:rsidR="00AF17FE" w:rsidRPr="00AF17FE">
          <w:rPr>
            <w:rStyle w:val="charCitHyperlinkAbbrev"/>
          </w:rPr>
          <w:t>Legislation Act</w:t>
        </w:r>
      </w:hyperlink>
      <w:r w:rsidRPr="00A060B6">
        <w:t>, s 121).</w:t>
      </w:r>
    </w:p>
    <w:p w:rsidR="00F8610E" w:rsidRPr="00A060B6" w:rsidRDefault="00F8610E" w:rsidP="00486F06">
      <w:pPr>
        <w:pStyle w:val="AH5Sec"/>
      </w:pPr>
      <w:bookmarkStart w:id="20" w:name="_Toc11748375"/>
      <w:r w:rsidRPr="003925E1">
        <w:rPr>
          <w:rStyle w:val="CharSectNo"/>
        </w:rPr>
        <w:t>8</w:t>
      </w:r>
      <w:r w:rsidRPr="00A060B6">
        <w:tab/>
        <w:t>Operation of other Acts</w:t>
      </w:r>
      <w:bookmarkEnd w:id="20"/>
    </w:p>
    <w:p w:rsidR="00F8610E" w:rsidRPr="00A060B6" w:rsidRDefault="00F8610E" w:rsidP="00C23C3D">
      <w:pPr>
        <w:pStyle w:val="Amainreturn"/>
        <w:keepNext/>
      </w:pPr>
      <w:r w:rsidRPr="00A060B6">
        <w:t>This Act does not affect the operation of the provisions of any other Act.</w:t>
      </w:r>
    </w:p>
    <w:p w:rsidR="005C0040" w:rsidRPr="00171361" w:rsidRDefault="005C0040" w:rsidP="005C0040">
      <w:pPr>
        <w:pStyle w:val="aExamHdgss"/>
      </w:pPr>
      <w:r w:rsidRPr="00171361">
        <w:t>Examples</w:t>
      </w:r>
    </w:p>
    <w:p w:rsidR="005C0040" w:rsidRPr="00171361" w:rsidRDefault="005C0040" w:rsidP="005C0040">
      <w:pPr>
        <w:pStyle w:val="aExamINumss"/>
      </w:pPr>
      <w:r w:rsidRPr="00171361">
        <w:t>1</w:t>
      </w:r>
      <w:r w:rsidRPr="00171361">
        <w:tab/>
      </w:r>
      <w:hyperlink r:id="rId53" w:tooltip="A1992-8" w:history="1">
        <w:r w:rsidR="00AF17FE" w:rsidRPr="00AF17FE">
          <w:rPr>
            <w:rStyle w:val="charCitHyperlinkItal"/>
          </w:rPr>
          <w:t>Bail Act 1992</w:t>
        </w:r>
      </w:hyperlink>
      <w:r w:rsidRPr="00171361">
        <w:t>, s 19 (2)</w:t>
      </w:r>
    </w:p>
    <w:p w:rsidR="005C0040" w:rsidRPr="00171361" w:rsidRDefault="005C0040" w:rsidP="005C0040">
      <w:pPr>
        <w:pStyle w:val="aExamINumss"/>
      </w:pPr>
      <w:r w:rsidRPr="00171361">
        <w:t>2</w:t>
      </w:r>
      <w:r w:rsidRPr="00171361">
        <w:tab/>
      </w:r>
      <w:hyperlink r:id="rId54" w:tooltip="A1991-34" w:history="1">
        <w:r w:rsidR="00AF17FE" w:rsidRPr="00AF17FE">
          <w:rPr>
            <w:rStyle w:val="charCitHyperlinkItal"/>
          </w:rPr>
          <w:t>Evidence (Miscellaneous Provisions) Act 1991</w:t>
        </w:r>
      </w:hyperlink>
      <w:r w:rsidR="00C0683E">
        <w:t>, ch 5</w:t>
      </w:r>
    </w:p>
    <w:p w:rsidR="00F8610E" w:rsidRDefault="005C0040" w:rsidP="00E51812">
      <w:pPr>
        <w:pStyle w:val="aNote"/>
      </w:pPr>
      <w:r>
        <w:rPr>
          <w:rStyle w:val="charItals"/>
        </w:rPr>
        <w:t>Note</w:t>
      </w:r>
      <w:r w:rsidR="00F8610E" w:rsidRPr="005D1BC5">
        <w:rPr>
          <w:rStyle w:val="charItals"/>
        </w:rPr>
        <w:tab/>
      </w:r>
      <w:r w:rsidR="00F8610E" w:rsidRPr="00AF17FE">
        <w:t xml:space="preserve">This section differs from the </w:t>
      </w:r>
      <w:hyperlink r:id="rId55" w:tooltip="Evidence Act 1995" w:history="1">
        <w:r w:rsidR="007F2560" w:rsidRPr="001D1BCB">
          <w:rPr>
            <w:rStyle w:val="charCitHyperlinkAbbrev"/>
          </w:rPr>
          <w:t>Commonwealth Act</w:t>
        </w:r>
      </w:hyperlink>
      <w:r w:rsidR="00F8610E" w:rsidRPr="00AF17FE">
        <w:t xml:space="preserve">, s 8. Differences include </w:t>
      </w:r>
      <w:r w:rsidR="00F8610E" w:rsidRPr="00A060B6">
        <w:t xml:space="preserve">additional subsections relating to the operation of the </w:t>
      </w:r>
      <w:hyperlink r:id="rId56" w:tooltip="Act 2001 No 50 (Cwlth)" w:history="1">
        <w:r w:rsidR="00AF17FE" w:rsidRPr="00AF17FE">
          <w:rPr>
            <w:rStyle w:val="charCitHyperlinkAbbrev"/>
          </w:rPr>
          <w:t>Corporations Act</w:t>
        </w:r>
      </w:hyperlink>
      <w:r w:rsidR="00F8610E" w:rsidRPr="00A060B6">
        <w:t xml:space="preserve"> and the </w:t>
      </w:r>
      <w:hyperlink r:id="rId57" w:tooltip="Act 2001 No 51 (Cwlth)" w:history="1">
        <w:r w:rsidR="0087340E" w:rsidRPr="00D16082">
          <w:rPr>
            <w:rStyle w:val="charCitHyperlinkItal"/>
          </w:rPr>
          <w:t>Australian Securities and Investments Commission Act 2001</w:t>
        </w:r>
      </w:hyperlink>
      <w:r w:rsidR="00F8610E" w:rsidRPr="00A060B6">
        <w:t xml:space="preserve"> (Cwlth). </w:t>
      </w:r>
    </w:p>
    <w:p w:rsidR="00F8610E" w:rsidRPr="00A060B6" w:rsidRDefault="00F8610E" w:rsidP="00486F06">
      <w:pPr>
        <w:pStyle w:val="AH5Sec"/>
      </w:pPr>
      <w:bookmarkStart w:id="21" w:name="_Toc11748376"/>
      <w:r w:rsidRPr="003925E1">
        <w:rPr>
          <w:rStyle w:val="CharSectNo"/>
        </w:rPr>
        <w:lastRenderedPageBreak/>
        <w:t>8A</w:t>
      </w:r>
      <w:r w:rsidRPr="00A060B6">
        <w:tab/>
        <w:t>Offences against Act—application of Criminal Code etc</w:t>
      </w:r>
      <w:bookmarkEnd w:id="21"/>
    </w:p>
    <w:p w:rsidR="00F8610E" w:rsidRPr="00A060B6" w:rsidRDefault="00F8610E" w:rsidP="00C23C3D">
      <w:pPr>
        <w:pStyle w:val="Amainreturn"/>
        <w:keepNext/>
      </w:pPr>
      <w:r w:rsidRPr="00A060B6">
        <w:t>Other legislation applies in relation to offences against this Act.</w:t>
      </w:r>
    </w:p>
    <w:p w:rsidR="00F8610E" w:rsidRPr="00A060B6" w:rsidRDefault="00F8610E" w:rsidP="00C23C3D">
      <w:pPr>
        <w:pStyle w:val="aNote"/>
        <w:keepNext/>
      </w:pPr>
      <w:r w:rsidRPr="005D1BC5">
        <w:rPr>
          <w:rStyle w:val="charItals"/>
        </w:rPr>
        <w:t>Note 1</w:t>
      </w:r>
      <w:r w:rsidRPr="00A060B6">
        <w:tab/>
      </w:r>
      <w:r w:rsidRPr="005D1BC5">
        <w:rPr>
          <w:rStyle w:val="charItals"/>
        </w:rPr>
        <w:t>Criminal Code</w:t>
      </w:r>
    </w:p>
    <w:p w:rsidR="00F8610E" w:rsidRPr="00A060B6" w:rsidRDefault="00F8610E" w:rsidP="006B2C07">
      <w:pPr>
        <w:pStyle w:val="aNote"/>
        <w:keepNext/>
        <w:spacing w:before="20"/>
        <w:ind w:firstLine="0"/>
      </w:pPr>
      <w:r w:rsidRPr="00A060B6">
        <w:t xml:space="preserve">The </w:t>
      </w:r>
      <w:hyperlink r:id="rId58" w:tooltip="A2002-51" w:history="1">
        <w:r w:rsidR="00AF17FE" w:rsidRPr="00AF17FE">
          <w:rPr>
            <w:rStyle w:val="charCitHyperlinkAbbrev"/>
          </w:rPr>
          <w:t>Criminal Code</w:t>
        </w:r>
      </w:hyperlink>
      <w:r w:rsidRPr="00A060B6">
        <w:t xml:space="preserve">, ch 2 applies to all offences against this Act (see Code, pt 2.1).  </w:t>
      </w:r>
    </w:p>
    <w:p w:rsidR="00F8610E" w:rsidRPr="00A060B6" w:rsidRDefault="00F8610E" w:rsidP="003B32E6">
      <w:pPr>
        <w:pStyle w:val="aNoteText"/>
        <w:keepNext/>
        <w:keepLines/>
      </w:pPr>
      <w:r w:rsidRPr="00A060B6">
        <w:t>The chapter sets out the general principles of criminal responsibility (including burdens of proof and general defences), and defines terms used for offences to which the Code applies (eg </w:t>
      </w:r>
      <w:r w:rsidRPr="005D1BC5">
        <w:rPr>
          <w:rStyle w:val="charBoldItals"/>
        </w:rPr>
        <w:t>conduct</w:t>
      </w:r>
      <w:r w:rsidRPr="00A060B6">
        <w:t xml:space="preserve">, </w:t>
      </w:r>
      <w:r w:rsidRPr="005D1BC5">
        <w:rPr>
          <w:rStyle w:val="charBoldItals"/>
        </w:rPr>
        <w:t>intention</w:t>
      </w:r>
      <w:r w:rsidRPr="00A060B6">
        <w:t xml:space="preserve">, </w:t>
      </w:r>
      <w:r w:rsidRPr="005D1BC5">
        <w:rPr>
          <w:rStyle w:val="charBoldItals"/>
        </w:rPr>
        <w:t>recklessness</w:t>
      </w:r>
      <w:r w:rsidRPr="00A060B6">
        <w:t xml:space="preserve"> and </w:t>
      </w:r>
      <w:r w:rsidRPr="005D1BC5">
        <w:rPr>
          <w:rStyle w:val="charBoldItals"/>
        </w:rPr>
        <w:t>strict liability</w:t>
      </w:r>
      <w:r w:rsidRPr="00A060B6">
        <w:t>).</w:t>
      </w:r>
    </w:p>
    <w:p w:rsidR="00F8610E" w:rsidRPr="005D1BC5" w:rsidRDefault="00F8610E" w:rsidP="006B2C07">
      <w:pPr>
        <w:pStyle w:val="aNote"/>
        <w:keepNext/>
        <w:rPr>
          <w:rStyle w:val="charItals"/>
        </w:rPr>
      </w:pPr>
      <w:r w:rsidRPr="005D1BC5">
        <w:rPr>
          <w:rStyle w:val="charItals"/>
        </w:rPr>
        <w:t>Note 2</w:t>
      </w:r>
      <w:r w:rsidRPr="005D1BC5">
        <w:rPr>
          <w:rStyle w:val="charItals"/>
        </w:rPr>
        <w:tab/>
        <w:t>Penalty units</w:t>
      </w:r>
    </w:p>
    <w:p w:rsidR="00F8610E" w:rsidRPr="00A060B6" w:rsidRDefault="00F8610E" w:rsidP="00C23C3D">
      <w:pPr>
        <w:pStyle w:val="aNoteText"/>
        <w:keepNext/>
      </w:pPr>
      <w:r w:rsidRPr="00A060B6">
        <w:t xml:space="preserve">The </w:t>
      </w:r>
      <w:hyperlink r:id="rId59" w:tooltip="A2001-14" w:history="1">
        <w:r w:rsidR="00AF17FE" w:rsidRPr="00AF17FE">
          <w:rPr>
            <w:rStyle w:val="charCitHyperlinkAbbrev"/>
          </w:rPr>
          <w:t>Legislation Act</w:t>
        </w:r>
      </w:hyperlink>
      <w:r w:rsidRPr="00A060B6">
        <w:t>, s 133 deals with the meaning of offence penalties that are expressed in penalty units.</w:t>
      </w:r>
    </w:p>
    <w:p w:rsidR="00F8610E" w:rsidRPr="00A060B6" w:rsidRDefault="00F8610E" w:rsidP="00E51812">
      <w:pPr>
        <w:pStyle w:val="aNote"/>
      </w:pPr>
      <w:r w:rsidRPr="005D1BC5">
        <w:rPr>
          <w:rStyle w:val="charItals"/>
        </w:rPr>
        <w:t>Note 3</w:t>
      </w:r>
      <w:r w:rsidRPr="00A060B6">
        <w:tab/>
        <w:t xml:space="preserve">This section differs from the </w:t>
      </w:r>
      <w:hyperlink r:id="rId60" w:tooltip="Evidence Act 1995" w:history="1">
        <w:r w:rsidR="007F2560" w:rsidRPr="001D1BCB">
          <w:rPr>
            <w:rStyle w:val="charCitHyperlinkAbbrev"/>
          </w:rPr>
          <w:t>Commonwealth Act</w:t>
        </w:r>
      </w:hyperlink>
      <w:r w:rsidRPr="00A060B6">
        <w:t>, s 8A.</w:t>
      </w:r>
    </w:p>
    <w:p w:rsidR="00F8610E" w:rsidRPr="00A060B6" w:rsidRDefault="00F8610E" w:rsidP="00486F06">
      <w:pPr>
        <w:pStyle w:val="AH5Sec"/>
      </w:pPr>
      <w:bookmarkStart w:id="22" w:name="_Toc11748377"/>
      <w:r w:rsidRPr="003925E1">
        <w:rPr>
          <w:rStyle w:val="CharSectNo"/>
        </w:rPr>
        <w:t>9</w:t>
      </w:r>
      <w:r w:rsidRPr="00A060B6">
        <w:tab/>
        <w:t>Application of common law and equity</w:t>
      </w:r>
      <w:bookmarkEnd w:id="22"/>
    </w:p>
    <w:p w:rsidR="00F8610E" w:rsidRPr="00A060B6" w:rsidRDefault="00F8610E" w:rsidP="00486F06">
      <w:pPr>
        <w:pStyle w:val="Amain"/>
      </w:pPr>
      <w:r w:rsidRPr="00A060B6">
        <w:tab/>
        <w:t>(1)</w:t>
      </w:r>
      <w:r w:rsidRPr="00A060B6">
        <w:tab/>
        <w:t>This Act does not affect the operation of a principle or rule of common law or equity in relation to evidence in a proceeding to which this Act applies, except so far as this Act provides otherwise expressly or by necessary intendment.</w:t>
      </w:r>
    </w:p>
    <w:p w:rsidR="00F8610E" w:rsidRPr="00A060B6" w:rsidRDefault="00F8610E" w:rsidP="00486F06">
      <w:pPr>
        <w:pStyle w:val="Amain"/>
      </w:pPr>
      <w:r w:rsidRPr="00A060B6">
        <w:tab/>
        <w:t>(2)</w:t>
      </w:r>
      <w:r w:rsidRPr="00A060B6">
        <w:tab/>
        <w:t>Without limiting subsection (1), this Act does not affect the operation of a principle or rule mentioned in subsection (1) so far as it relates to any of the following:</w:t>
      </w:r>
    </w:p>
    <w:p w:rsidR="00F8610E" w:rsidRPr="00A060B6" w:rsidRDefault="00F8610E" w:rsidP="00C23C3D">
      <w:pPr>
        <w:pStyle w:val="Apara"/>
      </w:pPr>
      <w:r>
        <w:tab/>
      </w:r>
      <w:r w:rsidRPr="00A060B6">
        <w:t>(a)</w:t>
      </w:r>
      <w:r w:rsidRPr="00A060B6">
        <w:tab/>
        <w:t xml:space="preserve">admission or use of evidence of reasons for a decision of a member of a jury, or of the deliberations of a member of a jury in relation to the decision, in a proceeding by way of appeal from a judgment, decree, order or sentence of a court; </w:t>
      </w:r>
    </w:p>
    <w:p w:rsidR="00F8610E" w:rsidRPr="00A060B6" w:rsidRDefault="00F8610E" w:rsidP="00C23C3D">
      <w:pPr>
        <w:pStyle w:val="Apara"/>
      </w:pPr>
      <w:r>
        <w:tab/>
      </w:r>
      <w:r w:rsidRPr="00A060B6">
        <w:t>(b)</w:t>
      </w:r>
      <w:r w:rsidRPr="00A060B6">
        <w:tab/>
        <w:t>the operation of a legal or evidential presumption that is not inconsistent with this Act;</w:t>
      </w:r>
    </w:p>
    <w:p w:rsidR="00F8610E" w:rsidRPr="00A060B6" w:rsidRDefault="00F8610E" w:rsidP="00C23C3D">
      <w:pPr>
        <w:pStyle w:val="Apara"/>
        <w:keepNext/>
      </w:pPr>
      <w:r>
        <w:lastRenderedPageBreak/>
        <w:tab/>
      </w:r>
      <w:r w:rsidRPr="00A060B6">
        <w:t>(c)</w:t>
      </w:r>
      <w:r w:rsidRPr="00A060B6">
        <w:tab/>
        <w:t>a court’s power to dispense with the operation of a rule of evidence or procedure in an interlocutory proceeding.</w:t>
      </w:r>
    </w:p>
    <w:p w:rsidR="00F8610E" w:rsidRPr="00A060B6" w:rsidRDefault="00F8610E" w:rsidP="00A80A94">
      <w:pPr>
        <w:pStyle w:val="aNote"/>
      </w:pPr>
      <w:r w:rsidRPr="005D1BC5">
        <w:rPr>
          <w:rStyle w:val="charItals"/>
        </w:rPr>
        <w:t>Note</w:t>
      </w:r>
      <w:r w:rsidRPr="005D1BC5">
        <w:rPr>
          <w:rStyle w:val="charItals"/>
        </w:rPr>
        <w:tab/>
      </w:r>
      <w:r w:rsidRPr="00A060B6">
        <w:t xml:space="preserve">This section differs from the </w:t>
      </w:r>
      <w:hyperlink r:id="rId61" w:tooltip="Evidence Act 1995" w:history="1">
        <w:r w:rsidR="007F2560" w:rsidRPr="001D1BCB">
          <w:rPr>
            <w:rStyle w:val="charCitHyperlinkAbbrev"/>
          </w:rPr>
          <w:t>Commonwealth Act</w:t>
        </w:r>
      </w:hyperlink>
      <w:r w:rsidRPr="00A060B6">
        <w:t>, s 9. That section preserves the written and unwritten laws of States and Territories in relation to certain matters.</w:t>
      </w:r>
    </w:p>
    <w:p w:rsidR="00F8610E" w:rsidRPr="00A060B6" w:rsidRDefault="00F8610E" w:rsidP="00486F06">
      <w:pPr>
        <w:pStyle w:val="AH5Sec"/>
      </w:pPr>
      <w:bookmarkStart w:id="23" w:name="_Toc11748378"/>
      <w:r w:rsidRPr="003925E1">
        <w:rPr>
          <w:rStyle w:val="CharSectNo"/>
        </w:rPr>
        <w:t>10</w:t>
      </w:r>
      <w:r w:rsidRPr="00A060B6">
        <w:tab/>
        <w:t>Parliamentary privilege preserved</w:t>
      </w:r>
      <w:bookmarkEnd w:id="23"/>
    </w:p>
    <w:p w:rsidR="00F8610E" w:rsidRPr="00A060B6" w:rsidRDefault="00F8610E" w:rsidP="00486F06">
      <w:pPr>
        <w:pStyle w:val="Amain"/>
      </w:pPr>
      <w:r w:rsidRPr="00A060B6">
        <w:tab/>
        <w:t>(1)</w:t>
      </w:r>
      <w:r w:rsidRPr="00A060B6">
        <w:tab/>
        <w:t>This Act does not affect the law relating to the privileges of any Australian Parliament or any house of any Australian Parliament.</w:t>
      </w:r>
    </w:p>
    <w:p w:rsidR="00F8610E" w:rsidRPr="00A060B6" w:rsidRDefault="00F8610E" w:rsidP="00486F06">
      <w:pPr>
        <w:pStyle w:val="Amain"/>
      </w:pPr>
      <w:r w:rsidRPr="00A060B6">
        <w:tab/>
        <w:t>(2)</w:t>
      </w:r>
      <w:r w:rsidRPr="00A060B6">
        <w:tab/>
        <w:t>In particular, section 15 (2) (Compellability—Sovereign and others) does not affect, and is in addition to, the law relating to those privileges.</w:t>
      </w:r>
    </w:p>
    <w:p w:rsidR="00F8610E" w:rsidRPr="00A060B6" w:rsidRDefault="00F8610E" w:rsidP="00486F06">
      <w:pPr>
        <w:pStyle w:val="AH5Sec"/>
      </w:pPr>
      <w:bookmarkStart w:id="24" w:name="_Toc11748379"/>
      <w:r w:rsidRPr="003925E1">
        <w:rPr>
          <w:rStyle w:val="CharSectNo"/>
        </w:rPr>
        <w:t>11</w:t>
      </w:r>
      <w:r w:rsidRPr="00A060B6">
        <w:tab/>
        <w:t>General powers of a court</w:t>
      </w:r>
      <w:bookmarkEnd w:id="24"/>
    </w:p>
    <w:p w:rsidR="00F8610E" w:rsidRPr="00A060B6" w:rsidRDefault="00F8610E" w:rsidP="00486F06">
      <w:pPr>
        <w:pStyle w:val="Amain"/>
      </w:pPr>
      <w:r w:rsidRPr="00A060B6">
        <w:tab/>
        <w:t>(1)</w:t>
      </w:r>
      <w:r w:rsidRPr="00A060B6">
        <w:tab/>
        <w:t>The power of a court to control the conduct of a proceeding is not affected by this Act, except so far as this Act provides otherwise expressly or by necessary intendment.</w:t>
      </w:r>
    </w:p>
    <w:p w:rsidR="00F8610E" w:rsidRPr="00A060B6" w:rsidRDefault="00F8610E" w:rsidP="00486F06">
      <w:pPr>
        <w:pStyle w:val="Amain"/>
      </w:pPr>
      <w:r w:rsidRPr="00A060B6">
        <w:tab/>
        <w:t>(2)</w:t>
      </w:r>
      <w:r w:rsidRPr="00A060B6">
        <w:tab/>
        <w:t>In particular, the powers of a court in relation to abuse of process in a proceeding are not affected.</w:t>
      </w:r>
    </w:p>
    <w:p w:rsidR="00F8610E" w:rsidRPr="00A060B6" w:rsidRDefault="00F8610E" w:rsidP="000E543D">
      <w:pPr>
        <w:pStyle w:val="PageBreak"/>
        <w:suppressLineNumbers/>
      </w:pPr>
      <w:r w:rsidRPr="00A060B6">
        <w:br w:type="page"/>
      </w:r>
    </w:p>
    <w:p w:rsidR="00F8610E" w:rsidRPr="003925E1" w:rsidRDefault="00F8610E" w:rsidP="00486F06">
      <w:pPr>
        <w:pStyle w:val="AH1Chapter"/>
      </w:pPr>
      <w:bookmarkStart w:id="25" w:name="_Toc11748380"/>
      <w:r w:rsidRPr="003925E1">
        <w:rPr>
          <w:rStyle w:val="CharChapNo"/>
        </w:rPr>
        <w:lastRenderedPageBreak/>
        <w:t>Chapter 2</w:t>
      </w:r>
      <w:r w:rsidRPr="00A060B6">
        <w:tab/>
      </w:r>
      <w:r w:rsidRPr="003925E1">
        <w:rPr>
          <w:rStyle w:val="CharChapText"/>
        </w:rPr>
        <w:t>Giving and presenting evidence</w:t>
      </w:r>
      <w:bookmarkEnd w:id="25"/>
    </w:p>
    <w:p w:rsidR="00F8610E" w:rsidRPr="00A060B6" w:rsidRDefault="00F8610E" w:rsidP="00B25582">
      <w:pPr>
        <w:pStyle w:val="aNote"/>
      </w:pPr>
      <w:r w:rsidRPr="005D1BC5">
        <w:rPr>
          <w:rStyle w:val="charItals"/>
        </w:rPr>
        <w:t>Note</w:t>
      </w:r>
      <w:r w:rsidRPr="005D1BC5">
        <w:rPr>
          <w:rStyle w:val="charItals"/>
        </w:rPr>
        <w:tab/>
      </w:r>
      <w:r w:rsidRPr="00A060B6">
        <w:t>This chapter is about ways in which evidence is given and presented.</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2.1 is about evidence from witnesses.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2.2 is about documentary evidence.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Pt 2.3 is about other forms of evidence.</w:t>
      </w:r>
    </w:p>
    <w:p w:rsidR="00F8610E" w:rsidRPr="003925E1" w:rsidRDefault="00F8610E" w:rsidP="00486F06">
      <w:pPr>
        <w:pStyle w:val="AH2Part"/>
      </w:pPr>
      <w:bookmarkStart w:id="26" w:name="_Toc11748381"/>
      <w:r w:rsidRPr="003925E1">
        <w:rPr>
          <w:rStyle w:val="CharPartNo"/>
        </w:rPr>
        <w:t>Part 2.1</w:t>
      </w:r>
      <w:r w:rsidRPr="00A060B6">
        <w:tab/>
      </w:r>
      <w:r w:rsidRPr="003925E1">
        <w:rPr>
          <w:rStyle w:val="CharPartText"/>
        </w:rPr>
        <w:t>Witnesses</w:t>
      </w:r>
      <w:bookmarkEnd w:id="26"/>
    </w:p>
    <w:p w:rsidR="00F8610E" w:rsidRPr="003925E1" w:rsidRDefault="00F8610E" w:rsidP="00486F06">
      <w:pPr>
        <w:pStyle w:val="AH3Div"/>
      </w:pPr>
      <w:bookmarkStart w:id="27" w:name="_Toc11748382"/>
      <w:r w:rsidRPr="003925E1">
        <w:rPr>
          <w:rStyle w:val="CharDivNo"/>
        </w:rPr>
        <w:t>Division 2.1.1</w:t>
      </w:r>
      <w:r w:rsidRPr="00A060B6">
        <w:tab/>
      </w:r>
      <w:r w:rsidRPr="003925E1">
        <w:rPr>
          <w:rStyle w:val="CharDivText"/>
        </w:rPr>
        <w:t>Competence and compellability of witnesses</w:t>
      </w:r>
      <w:bookmarkEnd w:id="27"/>
    </w:p>
    <w:p w:rsidR="00F8610E" w:rsidRPr="00A060B6" w:rsidRDefault="00F8610E" w:rsidP="00486F06">
      <w:pPr>
        <w:pStyle w:val="AH5Sec"/>
      </w:pPr>
      <w:bookmarkStart w:id="28" w:name="_Toc11748383"/>
      <w:r w:rsidRPr="003925E1">
        <w:rPr>
          <w:rStyle w:val="CharSectNo"/>
        </w:rPr>
        <w:t>12</w:t>
      </w:r>
      <w:r w:rsidRPr="00A060B6">
        <w:tab/>
        <w:t>Competence and compellability</w:t>
      </w:r>
      <w:bookmarkEnd w:id="28"/>
    </w:p>
    <w:p w:rsidR="00F8610E" w:rsidRPr="00A060B6" w:rsidRDefault="00F8610E" w:rsidP="00E51812">
      <w:pPr>
        <w:pStyle w:val="Amainreturn"/>
        <w:keepNext/>
      </w:pPr>
      <w:r w:rsidRPr="00A060B6">
        <w:t>Except as otherwise provided by this Act—</w:t>
      </w:r>
    </w:p>
    <w:p w:rsidR="00F8610E" w:rsidRPr="00A060B6" w:rsidRDefault="00F8610E" w:rsidP="00486F06">
      <w:pPr>
        <w:pStyle w:val="Apara"/>
      </w:pPr>
      <w:r w:rsidRPr="00A060B6">
        <w:tab/>
        <w:t>(a)</w:t>
      </w:r>
      <w:r w:rsidRPr="00A060B6">
        <w:tab/>
        <w:t>every person is competent to give evidence; and</w:t>
      </w:r>
    </w:p>
    <w:p w:rsidR="00F8610E" w:rsidRPr="00A060B6" w:rsidRDefault="00F8610E" w:rsidP="00486F06">
      <w:pPr>
        <w:pStyle w:val="Apara"/>
      </w:pPr>
      <w:r w:rsidRPr="00A060B6">
        <w:tab/>
        <w:t>(b)</w:t>
      </w:r>
      <w:r w:rsidRPr="00A060B6">
        <w:tab/>
        <w:t>a person who is competent to give evidence about a fact is compellable to give that evidence.</w:t>
      </w:r>
    </w:p>
    <w:p w:rsidR="00F8610E" w:rsidRPr="00A060B6" w:rsidRDefault="00F8610E" w:rsidP="00486F06">
      <w:pPr>
        <w:pStyle w:val="AH5Sec"/>
      </w:pPr>
      <w:bookmarkStart w:id="29" w:name="_Toc11748384"/>
      <w:r w:rsidRPr="003925E1">
        <w:rPr>
          <w:rStyle w:val="CharSectNo"/>
        </w:rPr>
        <w:t>13</w:t>
      </w:r>
      <w:r w:rsidRPr="00A060B6">
        <w:tab/>
        <w:t>Competence—lack of capacity</w:t>
      </w:r>
      <w:bookmarkEnd w:id="29"/>
    </w:p>
    <w:p w:rsidR="00F8610E" w:rsidRPr="00A060B6" w:rsidRDefault="00F8610E" w:rsidP="00486F06">
      <w:pPr>
        <w:pStyle w:val="Amain"/>
        <w:rPr>
          <w:lang w:eastAsia="en-AU"/>
        </w:rPr>
      </w:pPr>
      <w:r w:rsidRPr="00A060B6">
        <w:rPr>
          <w:lang w:eastAsia="en-AU"/>
        </w:rPr>
        <w:tab/>
        <w:t>(1)</w:t>
      </w:r>
      <w:r w:rsidRPr="00A060B6">
        <w:rPr>
          <w:lang w:eastAsia="en-AU"/>
        </w:rPr>
        <w:tab/>
        <w:t xml:space="preserve">A person is not competent to give evidence about a fact if, for any reason (including a mental, intellectual or physical disability)— </w:t>
      </w:r>
    </w:p>
    <w:p w:rsidR="00F8610E" w:rsidRPr="00A060B6" w:rsidRDefault="00F8610E" w:rsidP="00486F06">
      <w:pPr>
        <w:pStyle w:val="Apara"/>
        <w:rPr>
          <w:lang w:eastAsia="en-AU"/>
        </w:rPr>
      </w:pPr>
      <w:r w:rsidRPr="00A060B6">
        <w:rPr>
          <w:lang w:eastAsia="en-AU"/>
        </w:rPr>
        <w:tab/>
        <w:t>(a)</w:t>
      </w:r>
      <w:r w:rsidRPr="00A060B6">
        <w:rPr>
          <w:lang w:eastAsia="en-AU"/>
        </w:rPr>
        <w:tab/>
        <w:t>the person does not have the capacity to understand a question about the fact; or</w:t>
      </w:r>
    </w:p>
    <w:p w:rsidR="00F8610E" w:rsidRPr="00A060B6" w:rsidRDefault="00F8610E" w:rsidP="00486F06">
      <w:pPr>
        <w:pStyle w:val="Apara"/>
        <w:rPr>
          <w:lang w:eastAsia="en-AU"/>
        </w:rPr>
      </w:pPr>
      <w:r w:rsidRPr="00A060B6">
        <w:rPr>
          <w:lang w:eastAsia="en-AU"/>
        </w:rPr>
        <w:tab/>
        <w:t>(b)</w:t>
      </w:r>
      <w:r w:rsidRPr="00A060B6">
        <w:rPr>
          <w:lang w:eastAsia="en-AU"/>
        </w:rPr>
        <w:tab/>
        <w:t>the person does not have the capacity to give an answer that can be understood to a question about the fact;</w:t>
      </w:r>
    </w:p>
    <w:p w:rsidR="00F8610E" w:rsidRPr="00A060B6" w:rsidRDefault="00F8610E" w:rsidP="00C23C3D">
      <w:pPr>
        <w:pStyle w:val="Amainreturn"/>
        <w:keepNext/>
        <w:rPr>
          <w:lang w:eastAsia="en-AU"/>
        </w:rPr>
      </w:pPr>
      <w:r w:rsidRPr="00A060B6">
        <w:rPr>
          <w:lang w:eastAsia="en-AU"/>
        </w:rPr>
        <w:t xml:space="preserve">and that incapacity cannot be overcome. </w:t>
      </w:r>
    </w:p>
    <w:p w:rsidR="00F8610E" w:rsidRPr="00A060B6" w:rsidRDefault="00F8610E" w:rsidP="00325BD7">
      <w:pPr>
        <w:pStyle w:val="aNote"/>
        <w:rPr>
          <w:lang w:eastAsia="en-AU"/>
        </w:rPr>
      </w:pPr>
      <w:r w:rsidRPr="005D1BC5">
        <w:rPr>
          <w:rStyle w:val="charItals"/>
        </w:rPr>
        <w:t>Note</w:t>
      </w:r>
      <w:r w:rsidRPr="005D1BC5">
        <w:rPr>
          <w:rStyle w:val="charItals"/>
        </w:rPr>
        <w:tab/>
      </w:r>
      <w:r w:rsidRPr="00A060B6">
        <w:rPr>
          <w:lang w:eastAsia="en-AU"/>
        </w:rPr>
        <w:t>See s 30 and s 31 for examples of assistance that may be provided to enable witnesses to overcome disabilities.</w:t>
      </w:r>
    </w:p>
    <w:p w:rsidR="00F8610E" w:rsidRPr="00A060B6" w:rsidRDefault="00F8610E" w:rsidP="00486F06">
      <w:pPr>
        <w:pStyle w:val="Amain"/>
        <w:rPr>
          <w:lang w:eastAsia="en-AU"/>
        </w:rPr>
      </w:pPr>
      <w:r w:rsidRPr="00A060B6">
        <w:rPr>
          <w:lang w:eastAsia="en-AU"/>
        </w:rPr>
        <w:lastRenderedPageBreak/>
        <w:tab/>
        <w:t>(2)</w:t>
      </w:r>
      <w:r w:rsidRPr="00A060B6">
        <w:rPr>
          <w:lang w:eastAsia="en-AU"/>
        </w:rPr>
        <w:tab/>
        <w:t>A person who, because of subsection (1), is not competent to give evidence about a fact may be competent to give evidence about other facts.</w:t>
      </w:r>
    </w:p>
    <w:p w:rsidR="00F8610E" w:rsidRPr="00A060B6" w:rsidRDefault="00F8610E" w:rsidP="00486F06">
      <w:pPr>
        <w:pStyle w:val="Amain"/>
        <w:rPr>
          <w:lang w:eastAsia="en-AU"/>
        </w:rPr>
      </w:pPr>
      <w:r w:rsidRPr="00A060B6">
        <w:rPr>
          <w:lang w:eastAsia="en-AU"/>
        </w:rPr>
        <w:tab/>
        <w:t>(3)</w:t>
      </w:r>
      <w:r w:rsidRPr="00A060B6">
        <w:rPr>
          <w:lang w:eastAsia="en-AU"/>
        </w:rPr>
        <w:tab/>
        <w:t>A person who is competent to give evidence about a fact is not competent to give sworn evidence about the fact if the person does not have the capacity to understand that, in giving evidence, the person is under an obligation to give truthful evidence.</w:t>
      </w:r>
    </w:p>
    <w:p w:rsidR="00F8610E" w:rsidRPr="00A060B6" w:rsidRDefault="00F8610E" w:rsidP="00486F06">
      <w:pPr>
        <w:pStyle w:val="Amain"/>
        <w:rPr>
          <w:lang w:eastAsia="en-AU"/>
        </w:rPr>
      </w:pPr>
      <w:r w:rsidRPr="00A060B6">
        <w:rPr>
          <w:lang w:eastAsia="en-AU"/>
        </w:rPr>
        <w:tab/>
        <w:t>(4)</w:t>
      </w:r>
      <w:r w:rsidRPr="00A060B6">
        <w:rPr>
          <w:lang w:eastAsia="en-AU"/>
        </w:rPr>
        <w:tab/>
        <w:t>A person who is not competent to give sworn evidence about a fact may, subject to subsection (5), be competent to give unsworn evidence about the fact.</w:t>
      </w:r>
    </w:p>
    <w:p w:rsidR="00F8610E" w:rsidRPr="00A060B6" w:rsidRDefault="00F8610E" w:rsidP="00486F06">
      <w:pPr>
        <w:pStyle w:val="Amain"/>
        <w:rPr>
          <w:lang w:eastAsia="en-AU"/>
        </w:rPr>
      </w:pPr>
      <w:r w:rsidRPr="00A060B6">
        <w:rPr>
          <w:lang w:eastAsia="en-AU"/>
        </w:rPr>
        <w:tab/>
        <w:t>(5)</w:t>
      </w:r>
      <w:r w:rsidRPr="00A060B6">
        <w:rPr>
          <w:lang w:eastAsia="en-AU"/>
        </w:rPr>
        <w:tab/>
        <w:t xml:space="preserve">A person who, because of subsection (3), is not competent to give sworn evidence is competent to give unsworn evidence if the court has told the person that— </w:t>
      </w:r>
    </w:p>
    <w:p w:rsidR="00F8610E" w:rsidRPr="00A060B6" w:rsidRDefault="00F8610E" w:rsidP="00486F06">
      <w:pPr>
        <w:pStyle w:val="Apara"/>
        <w:rPr>
          <w:lang w:eastAsia="en-AU"/>
        </w:rPr>
      </w:pPr>
      <w:r w:rsidRPr="00A060B6">
        <w:rPr>
          <w:lang w:eastAsia="en-AU"/>
        </w:rPr>
        <w:tab/>
        <w:t>(a)</w:t>
      </w:r>
      <w:r w:rsidRPr="00A060B6">
        <w:rPr>
          <w:lang w:eastAsia="en-AU"/>
        </w:rPr>
        <w:tab/>
        <w:t>it is important to tell the truth; and</w:t>
      </w:r>
    </w:p>
    <w:p w:rsidR="00F8610E" w:rsidRPr="00A060B6" w:rsidRDefault="00F8610E" w:rsidP="00486F06">
      <w:pPr>
        <w:pStyle w:val="Apara"/>
        <w:rPr>
          <w:lang w:eastAsia="en-AU"/>
        </w:rPr>
      </w:pPr>
      <w:r w:rsidRPr="00A060B6">
        <w:rPr>
          <w:lang w:eastAsia="en-AU"/>
        </w:rPr>
        <w:tab/>
        <w:t>(b)</w:t>
      </w:r>
      <w:r w:rsidRPr="00A060B6">
        <w:rPr>
          <w:lang w:eastAsia="en-AU"/>
        </w:rPr>
        <w:tab/>
        <w:t>the person may be asked questions that the person does not know, or cannot remember, the answer to, and that the person should tell the court if this happens; and</w:t>
      </w:r>
    </w:p>
    <w:p w:rsidR="00F8610E" w:rsidRPr="00A060B6" w:rsidRDefault="00F8610E" w:rsidP="00486F06">
      <w:pPr>
        <w:pStyle w:val="Apara"/>
        <w:rPr>
          <w:lang w:eastAsia="en-AU"/>
        </w:rPr>
      </w:pPr>
      <w:r w:rsidRPr="00A060B6">
        <w:rPr>
          <w:lang w:eastAsia="en-AU"/>
        </w:rPr>
        <w:tab/>
        <w:t>(c)</w:t>
      </w:r>
      <w:r w:rsidRPr="00A060B6">
        <w:rPr>
          <w:lang w:eastAsia="en-AU"/>
        </w:rPr>
        <w:tab/>
        <w:t>the person may be asked questions that suggest certain statements are true or untrue and that the person should agree with the statements that the person believes are true and should feel no pressure to agree with statements that the person believes are untrue.</w:t>
      </w:r>
    </w:p>
    <w:p w:rsidR="00F8610E" w:rsidRPr="00A060B6" w:rsidRDefault="00F8610E" w:rsidP="00486F06">
      <w:pPr>
        <w:pStyle w:val="Amain"/>
      </w:pPr>
      <w:r w:rsidRPr="00A060B6">
        <w:tab/>
        <w:t>(6)</w:t>
      </w:r>
      <w:r w:rsidRPr="00A060B6">
        <w:tab/>
        <w:t>It is presumed, unless the contrary is proved, that a person is not incompetent because of this section.</w:t>
      </w:r>
    </w:p>
    <w:p w:rsidR="00F8610E" w:rsidRPr="00A060B6" w:rsidRDefault="00F8610E" w:rsidP="00486F06">
      <w:pPr>
        <w:pStyle w:val="Amain"/>
      </w:pPr>
      <w:r w:rsidRPr="00A060B6">
        <w:tab/>
        <w:t>(7)</w:t>
      </w:r>
      <w:r w:rsidRPr="00A060B6">
        <w:tab/>
        <w:t>Evidence that has been given by a witness does not become inadmissible only because, before the witness finishes giving evidence, the witness dies or ceases to be competent to give evidence.</w:t>
      </w:r>
    </w:p>
    <w:p w:rsidR="00F8610E" w:rsidRPr="00A060B6" w:rsidRDefault="00F8610E" w:rsidP="00182C51">
      <w:pPr>
        <w:pStyle w:val="Amain"/>
        <w:keepNext/>
        <w:keepLines/>
      </w:pPr>
      <w:r w:rsidRPr="00A060B6">
        <w:lastRenderedPageBreak/>
        <w:tab/>
        <w:t>(8)</w:t>
      </w:r>
      <w:r w:rsidRPr="00A060B6">
        <w:tab/>
        <w:t>For the purpose of deciding a question arising under this section, the court may inform itself as it thinks fit, including by obtaining information from a person who has relevant specialised knowledge based on the person’s training, study or experience.</w:t>
      </w:r>
    </w:p>
    <w:p w:rsidR="00F8610E" w:rsidRPr="00A060B6" w:rsidRDefault="00F8610E" w:rsidP="00486F06">
      <w:pPr>
        <w:pStyle w:val="AH5Sec"/>
      </w:pPr>
      <w:bookmarkStart w:id="30" w:name="_Toc11748385"/>
      <w:r w:rsidRPr="003925E1">
        <w:rPr>
          <w:rStyle w:val="CharSectNo"/>
        </w:rPr>
        <w:t>14</w:t>
      </w:r>
      <w:r w:rsidRPr="00A060B6">
        <w:tab/>
        <w:t>Compellability—reduced capacity</w:t>
      </w:r>
      <w:bookmarkEnd w:id="30"/>
    </w:p>
    <w:p w:rsidR="00F8610E" w:rsidRPr="00A060B6" w:rsidRDefault="00F8610E" w:rsidP="00E51812">
      <w:pPr>
        <w:pStyle w:val="Amainreturn"/>
        <w:keepNext/>
      </w:pPr>
      <w:r w:rsidRPr="00A060B6">
        <w:t>A person is not compellable to give evidence on a particular matter if the court is satisfied that—</w:t>
      </w:r>
    </w:p>
    <w:p w:rsidR="00F8610E" w:rsidRPr="00A060B6" w:rsidRDefault="00F8610E" w:rsidP="00486F06">
      <w:pPr>
        <w:pStyle w:val="Apara"/>
      </w:pPr>
      <w:r w:rsidRPr="00A060B6">
        <w:tab/>
        <w:t>(a)</w:t>
      </w:r>
      <w:r w:rsidRPr="00A060B6">
        <w:tab/>
        <w:t>substantial cost or delay would be incurred in ensuring that the person would have the capacity to understand a question about the matter or to give an answer that can be understood to a question about the matter; and</w:t>
      </w:r>
    </w:p>
    <w:p w:rsidR="00F8610E" w:rsidRPr="00A060B6" w:rsidRDefault="00F8610E" w:rsidP="00486F06">
      <w:pPr>
        <w:pStyle w:val="Apara"/>
      </w:pPr>
      <w:r w:rsidRPr="00A060B6">
        <w:tab/>
        <w:t>(b)</w:t>
      </w:r>
      <w:r w:rsidRPr="00A060B6">
        <w:tab/>
        <w:t>adequate evidence on the matter has been given, or will be able to be given, from 1 or more other people or sources.</w:t>
      </w:r>
    </w:p>
    <w:p w:rsidR="00F8610E" w:rsidRPr="00A060B6" w:rsidRDefault="00F8610E" w:rsidP="00486F06">
      <w:pPr>
        <w:pStyle w:val="AH5Sec"/>
      </w:pPr>
      <w:bookmarkStart w:id="31" w:name="_Toc11748386"/>
      <w:r w:rsidRPr="003925E1">
        <w:rPr>
          <w:rStyle w:val="CharSectNo"/>
        </w:rPr>
        <w:t>15</w:t>
      </w:r>
      <w:r w:rsidRPr="00A060B6">
        <w:tab/>
        <w:t>Compellability—Sovereign and others</w:t>
      </w:r>
      <w:bookmarkEnd w:id="31"/>
    </w:p>
    <w:p w:rsidR="00F8610E" w:rsidRPr="00A060B6" w:rsidRDefault="00F8610E" w:rsidP="00486F06">
      <w:pPr>
        <w:pStyle w:val="Amain"/>
      </w:pPr>
      <w:r w:rsidRPr="00A060B6">
        <w:tab/>
        <w:t>(1)</w:t>
      </w:r>
      <w:r w:rsidRPr="00A060B6">
        <w:tab/>
        <w:t>None of the following is compellable to give evidence:</w:t>
      </w:r>
    </w:p>
    <w:p w:rsidR="00F8610E" w:rsidRPr="00A060B6" w:rsidRDefault="00F8610E" w:rsidP="00486F06">
      <w:pPr>
        <w:pStyle w:val="Apara"/>
      </w:pPr>
      <w:r w:rsidRPr="00A060B6">
        <w:tab/>
        <w:t>(a)</w:t>
      </w:r>
      <w:r w:rsidRPr="00A060B6">
        <w:tab/>
        <w:t>the Sovereign;</w:t>
      </w:r>
    </w:p>
    <w:p w:rsidR="00F8610E" w:rsidRPr="00A060B6" w:rsidRDefault="00F8610E" w:rsidP="00486F06">
      <w:pPr>
        <w:pStyle w:val="Apara"/>
      </w:pPr>
      <w:r w:rsidRPr="00A060B6">
        <w:tab/>
        <w:t>(b)</w:t>
      </w:r>
      <w:r w:rsidRPr="00A060B6">
        <w:tab/>
        <w:t>the Governor</w:t>
      </w:r>
      <w:r w:rsidRPr="00A060B6">
        <w:noBreakHyphen/>
        <w:t>General;</w:t>
      </w:r>
    </w:p>
    <w:p w:rsidR="00F8610E" w:rsidRPr="00A060B6" w:rsidRDefault="00F8610E" w:rsidP="00486F06">
      <w:pPr>
        <w:pStyle w:val="Apara"/>
      </w:pPr>
      <w:r w:rsidRPr="00A060B6">
        <w:tab/>
        <w:t>(c)</w:t>
      </w:r>
      <w:r w:rsidRPr="00A060B6">
        <w:tab/>
        <w:t>the Governor of a State;</w:t>
      </w:r>
    </w:p>
    <w:p w:rsidR="00F8610E" w:rsidRPr="00A060B6" w:rsidRDefault="00F8610E" w:rsidP="00486F06">
      <w:pPr>
        <w:pStyle w:val="Apara"/>
      </w:pPr>
      <w:r w:rsidRPr="00A060B6">
        <w:tab/>
        <w:t>(d)</w:t>
      </w:r>
      <w:r w:rsidRPr="00A060B6">
        <w:tab/>
        <w:t>the Administrator of a Territory;</w:t>
      </w:r>
    </w:p>
    <w:p w:rsidR="00F8610E" w:rsidRPr="00A060B6" w:rsidRDefault="00F8610E" w:rsidP="00486F06">
      <w:pPr>
        <w:pStyle w:val="Apara"/>
      </w:pPr>
      <w:r w:rsidRPr="00A060B6">
        <w:tab/>
        <w:t>(e)</w:t>
      </w:r>
      <w:r w:rsidRPr="00A060B6">
        <w:tab/>
        <w:t>a foreign sovereign or the Head of State of a foreign country.</w:t>
      </w:r>
    </w:p>
    <w:p w:rsidR="00F8610E" w:rsidRPr="00A060B6" w:rsidRDefault="00F8610E" w:rsidP="00486F06">
      <w:pPr>
        <w:pStyle w:val="Amain"/>
      </w:pPr>
      <w:r w:rsidRPr="00A060B6">
        <w:tab/>
        <w:t>(2)</w:t>
      </w:r>
      <w:r w:rsidRPr="00A060B6">
        <w:tab/>
        <w:t>A member of a house of an Australian Parliament is not compellable to give evidence if the member would, if compelled to give evidence, be prevented from attending—</w:t>
      </w:r>
    </w:p>
    <w:p w:rsidR="00F8610E" w:rsidRPr="00A060B6" w:rsidRDefault="00F8610E" w:rsidP="00486F06">
      <w:pPr>
        <w:pStyle w:val="Apara"/>
      </w:pPr>
      <w:r w:rsidRPr="00A060B6">
        <w:tab/>
        <w:t>(a)</w:t>
      </w:r>
      <w:r w:rsidRPr="00A060B6">
        <w:tab/>
        <w:t>a sitting of the house or a joint sitting of the Parliament; or</w:t>
      </w:r>
    </w:p>
    <w:p w:rsidR="00F8610E" w:rsidRPr="00A060B6" w:rsidRDefault="00F8610E" w:rsidP="00486F06">
      <w:pPr>
        <w:pStyle w:val="Apara"/>
      </w:pPr>
      <w:r w:rsidRPr="00A060B6">
        <w:tab/>
        <w:t>(b)</w:t>
      </w:r>
      <w:r w:rsidRPr="00A060B6">
        <w:tab/>
        <w:t>if the member is a member of a committee of the house or the Parliament—a meeting of the committee.</w:t>
      </w:r>
    </w:p>
    <w:p w:rsidR="00F8610E" w:rsidRPr="00A060B6" w:rsidRDefault="00F8610E" w:rsidP="00486F06">
      <w:pPr>
        <w:pStyle w:val="AH5Sec"/>
      </w:pPr>
      <w:bookmarkStart w:id="32" w:name="_Toc11748387"/>
      <w:r w:rsidRPr="003925E1">
        <w:rPr>
          <w:rStyle w:val="CharSectNo"/>
        </w:rPr>
        <w:lastRenderedPageBreak/>
        <w:t>16</w:t>
      </w:r>
      <w:r w:rsidRPr="00A060B6">
        <w:tab/>
        <w:t>Competence and compellability—judges and jurors</w:t>
      </w:r>
      <w:bookmarkEnd w:id="32"/>
    </w:p>
    <w:p w:rsidR="00F8610E" w:rsidRPr="00A060B6" w:rsidRDefault="00F8610E" w:rsidP="00486F06">
      <w:pPr>
        <w:pStyle w:val="Amain"/>
      </w:pPr>
      <w:r w:rsidRPr="00A060B6">
        <w:tab/>
        <w:t>(1)</w:t>
      </w:r>
      <w:r w:rsidRPr="00A060B6">
        <w:tab/>
        <w:t>A person who is a judge or juror in a proceeding is not competent to give evidence in the proceeding.</w:t>
      </w:r>
    </w:p>
    <w:p w:rsidR="00F8610E" w:rsidRPr="00A060B6" w:rsidRDefault="00F8610E" w:rsidP="00486F06">
      <w:pPr>
        <w:pStyle w:val="Amain"/>
      </w:pPr>
      <w:r w:rsidRPr="00A060B6">
        <w:tab/>
        <w:t>(2)</w:t>
      </w:r>
      <w:r w:rsidRPr="00A060B6">
        <w:tab/>
        <w:t>However, a juror is competent to give evidence in the proceeding about matters affecting conduct of the proceeding.</w:t>
      </w:r>
    </w:p>
    <w:p w:rsidR="00F8610E" w:rsidRPr="00A060B6" w:rsidRDefault="00F8610E" w:rsidP="00486F06">
      <w:pPr>
        <w:pStyle w:val="Amain"/>
      </w:pPr>
      <w:r w:rsidRPr="00A060B6">
        <w:tab/>
        <w:t>(3)</w:t>
      </w:r>
      <w:r w:rsidRPr="00A060B6">
        <w:tab/>
        <w:t>A person who is or was a judge in an Australian or overseas proceeding is not compellable to give evidence about the proceeding unless the court gives leave.</w:t>
      </w:r>
    </w:p>
    <w:p w:rsidR="00F8610E" w:rsidRPr="00A060B6" w:rsidRDefault="00F8610E" w:rsidP="00486F06">
      <w:pPr>
        <w:pStyle w:val="AH5Sec"/>
      </w:pPr>
      <w:bookmarkStart w:id="33" w:name="_Toc11748388"/>
      <w:r w:rsidRPr="003925E1">
        <w:rPr>
          <w:rStyle w:val="CharSectNo"/>
        </w:rPr>
        <w:t>17</w:t>
      </w:r>
      <w:r w:rsidRPr="00A060B6">
        <w:tab/>
        <w:t>Competence and compellability—defendants in criminal proceedings</w:t>
      </w:r>
      <w:bookmarkEnd w:id="33"/>
    </w:p>
    <w:p w:rsidR="00F8610E" w:rsidRPr="00A060B6" w:rsidRDefault="00F8610E" w:rsidP="00486F06">
      <w:pPr>
        <w:pStyle w:val="Amain"/>
      </w:pPr>
      <w:r w:rsidRPr="00A060B6">
        <w:tab/>
        <w:t>(1)</w:t>
      </w:r>
      <w:r w:rsidRPr="00A060B6">
        <w:tab/>
        <w:t>This section applies only in a criminal proceeding.</w:t>
      </w:r>
    </w:p>
    <w:p w:rsidR="00F8610E" w:rsidRPr="00A060B6" w:rsidRDefault="00F8610E" w:rsidP="00486F06">
      <w:pPr>
        <w:pStyle w:val="Amain"/>
      </w:pPr>
      <w:r w:rsidRPr="00A060B6">
        <w:tab/>
        <w:t>(2)</w:t>
      </w:r>
      <w:r w:rsidRPr="00A060B6">
        <w:tab/>
        <w:t>A defendant is not competent to give evidence as a witness for the prosecution.</w:t>
      </w:r>
    </w:p>
    <w:p w:rsidR="00F8610E" w:rsidRPr="00A060B6" w:rsidRDefault="00F8610E" w:rsidP="00486F06">
      <w:pPr>
        <w:pStyle w:val="Amain"/>
      </w:pPr>
      <w:r w:rsidRPr="00A060B6">
        <w:tab/>
        <w:t>(3)</w:t>
      </w:r>
      <w:r w:rsidRPr="00A060B6">
        <w:tab/>
        <w:t>An associated defendant is not compellable to give evidence for or against a defendant in a criminal proceeding unless the associated defendant is being tried separately from the defendant.</w:t>
      </w:r>
    </w:p>
    <w:p w:rsidR="00F8610E" w:rsidRPr="00A060B6" w:rsidRDefault="00F8610E" w:rsidP="00486F06">
      <w:pPr>
        <w:pStyle w:val="Amain"/>
      </w:pPr>
      <w:r w:rsidRPr="00A060B6">
        <w:tab/>
        <w:t>(4)</w:t>
      </w:r>
      <w:r w:rsidRPr="00A060B6">
        <w:tab/>
        <w:t>If a witness is an associated defendant who is being tried jointly with the defendant in the proceeding, the court must satisfy itself (if there is a jury, in the jury’s absence) that the witness is aware of the effect of subsection (3).</w:t>
      </w:r>
    </w:p>
    <w:p w:rsidR="00F8610E" w:rsidRPr="00A060B6" w:rsidRDefault="00F8610E" w:rsidP="00E51812">
      <w:pPr>
        <w:pStyle w:val="aNote"/>
      </w:pPr>
      <w:r w:rsidRPr="005D1BC5">
        <w:rPr>
          <w:rStyle w:val="charItals"/>
        </w:rPr>
        <w:t>Note</w:t>
      </w:r>
      <w:r w:rsidRPr="005D1BC5">
        <w:rPr>
          <w:rStyle w:val="charItals"/>
        </w:rPr>
        <w:tab/>
      </w:r>
      <w:r w:rsidRPr="005D1BC5">
        <w:rPr>
          <w:rStyle w:val="charBoldItals"/>
        </w:rPr>
        <w:t>Associated defendant</w:t>
      </w:r>
      <w:r w:rsidRPr="00A060B6">
        <w:t>—see the dictionary.</w:t>
      </w:r>
    </w:p>
    <w:p w:rsidR="00F8610E" w:rsidRPr="00A060B6" w:rsidRDefault="00F8610E" w:rsidP="003925E1">
      <w:pPr>
        <w:pStyle w:val="AH5Sec"/>
      </w:pPr>
      <w:bookmarkStart w:id="34" w:name="_Toc11748389"/>
      <w:r w:rsidRPr="003925E1">
        <w:rPr>
          <w:rStyle w:val="CharSectNo"/>
        </w:rPr>
        <w:lastRenderedPageBreak/>
        <w:t>18</w:t>
      </w:r>
      <w:r w:rsidRPr="00A060B6">
        <w:tab/>
        <w:t>Compellability of domestic partners and others in criminal proceedings generally</w:t>
      </w:r>
      <w:bookmarkEnd w:id="34"/>
    </w:p>
    <w:p w:rsidR="00F8610E" w:rsidRPr="00A060B6" w:rsidRDefault="00F8610E" w:rsidP="003925E1">
      <w:pPr>
        <w:pStyle w:val="Amain"/>
        <w:keepNext/>
      </w:pPr>
      <w:r w:rsidRPr="00A060B6">
        <w:tab/>
        <w:t>(1)</w:t>
      </w:r>
      <w:r w:rsidRPr="00A060B6">
        <w:tab/>
        <w:t>This section applies only in a criminal proceeding.</w:t>
      </w:r>
    </w:p>
    <w:p w:rsidR="00F8610E" w:rsidRPr="00A060B6" w:rsidRDefault="00F8610E" w:rsidP="003925E1">
      <w:pPr>
        <w:pStyle w:val="Amain"/>
        <w:keepNext/>
      </w:pPr>
      <w:r w:rsidRPr="00A060B6">
        <w:tab/>
        <w:t>(2)</w:t>
      </w:r>
      <w:r w:rsidRPr="00A060B6">
        <w:tab/>
        <w:t>A person who, when required to give evidence, is the domestic partner, parent or child of a defendant may object to being required—</w:t>
      </w:r>
    </w:p>
    <w:p w:rsidR="00F8610E" w:rsidRPr="00A060B6" w:rsidRDefault="00F8610E" w:rsidP="003925E1">
      <w:pPr>
        <w:pStyle w:val="Apara"/>
        <w:keepNext/>
      </w:pPr>
      <w:r w:rsidRPr="00A060B6">
        <w:tab/>
        <w:t>(a)</w:t>
      </w:r>
      <w:r w:rsidRPr="00A060B6">
        <w:tab/>
        <w:t>to give evidence; or</w:t>
      </w:r>
    </w:p>
    <w:p w:rsidR="00F8610E" w:rsidRPr="00A060B6" w:rsidRDefault="00F8610E" w:rsidP="00486F06">
      <w:pPr>
        <w:pStyle w:val="Apara"/>
      </w:pPr>
      <w:r w:rsidRPr="00A060B6">
        <w:tab/>
        <w:t>(b)</w:t>
      </w:r>
      <w:r w:rsidRPr="00A060B6">
        <w:tab/>
        <w:t>to give evidence of a communication between the person and the defendant;</w:t>
      </w:r>
    </w:p>
    <w:p w:rsidR="00F8610E" w:rsidRPr="00A060B6" w:rsidRDefault="00F8610E" w:rsidP="00E51812">
      <w:pPr>
        <w:pStyle w:val="Amainreturn"/>
      </w:pPr>
      <w:r w:rsidRPr="00A060B6">
        <w:t>as a witness for the prosecution.</w:t>
      </w:r>
    </w:p>
    <w:p w:rsidR="00F8610E" w:rsidRPr="00A060B6" w:rsidRDefault="00F8610E" w:rsidP="00486F06">
      <w:pPr>
        <w:pStyle w:val="Amain"/>
      </w:pPr>
      <w:r w:rsidRPr="00A060B6">
        <w:tab/>
        <w:t>(3)</w:t>
      </w:r>
      <w:r w:rsidRPr="00A060B6">
        <w:tab/>
        <w:t>The objection must be made before the person gives the evidence or as soon as practicable after the person becomes aware of the right to object, whichever is the later.</w:t>
      </w:r>
    </w:p>
    <w:p w:rsidR="00F8610E" w:rsidRPr="00A060B6" w:rsidRDefault="00F8610E" w:rsidP="00486F06">
      <w:pPr>
        <w:pStyle w:val="Amain"/>
      </w:pPr>
      <w:r w:rsidRPr="00A060B6">
        <w:tab/>
        <w:t>(4)</w:t>
      </w:r>
      <w:r w:rsidRPr="00A060B6">
        <w:tab/>
        <w:t>If it appears to the court that a person may have a right to make an objection under this section, the court must satisfy itself that the person is aware of the effect of this section as it may apply to the person.</w:t>
      </w:r>
    </w:p>
    <w:p w:rsidR="00F8610E" w:rsidRPr="00A060B6" w:rsidRDefault="00F8610E" w:rsidP="00486F06">
      <w:pPr>
        <w:pStyle w:val="Amain"/>
      </w:pPr>
      <w:r w:rsidRPr="00A060B6">
        <w:tab/>
        <w:t>(5)</w:t>
      </w:r>
      <w:r w:rsidRPr="00A060B6">
        <w:tab/>
        <w:t>If there is a jury, the court must hear and decide any objection under this section in the jury’s absence.</w:t>
      </w:r>
    </w:p>
    <w:p w:rsidR="00F8610E" w:rsidRPr="00A060B6" w:rsidRDefault="00F8610E" w:rsidP="00486F06">
      <w:pPr>
        <w:pStyle w:val="Amain"/>
      </w:pPr>
      <w:r w:rsidRPr="00A060B6">
        <w:tab/>
        <w:t>(6)</w:t>
      </w:r>
      <w:r w:rsidRPr="00A060B6">
        <w:tab/>
        <w:t>A person who makes an objection under this section to giving evidence or giving evidence of a communication must not be required to give the evidence if the court finds that—</w:t>
      </w:r>
    </w:p>
    <w:p w:rsidR="00F8610E" w:rsidRPr="00A060B6" w:rsidRDefault="00F8610E" w:rsidP="00486F06">
      <w:pPr>
        <w:pStyle w:val="Apara"/>
      </w:pPr>
      <w:r w:rsidRPr="00A060B6">
        <w:tab/>
        <w:t>(a)</w:t>
      </w:r>
      <w:r w:rsidRPr="00A060B6">
        <w:tab/>
        <w:t>there is a likelihood that harm would or might be caused (whether directly or indirectly) to the person, or to the relationship between the person and the defendant, if the person gives the evidence; and</w:t>
      </w:r>
    </w:p>
    <w:p w:rsidR="00F8610E" w:rsidRPr="00A060B6" w:rsidRDefault="00F8610E" w:rsidP="00486F06">
      <w:pPr>
        <w:pStyle w:val="Apara"/>
      </w:pPr>
      <w:r w:rsidRPr="00A060B6">
        <w:tab/>
        <w:t>(b)</w:t>
      </w:r>
      <w:r w:rsidRPr="00A060B6">
        <w:tab/>
        <w:t>the nature and extent of that harm outweighs the desirability of having the evidence given.</w:t>
      </w:r>
    </w:p>
    <w:p w:rsidR="00F8610E" w:rsidRPr="00A060B6" w:rsidRDefault="00F8610E" w:rsidP="003925E1">
      <w:pPr>
        <w:pStyle w:val="Amain"/>
        <w:keepNext/>
      </w:pPr>
      <w:r w:rsidRPr="00A060B6">
        <w:lastRenderedPageBreak/>
        <w:tab/>
        <w:t>(7)</w:t>
      </w:r>
      <w:r w:rsidRPr="00A060B6">
        <w:tab/>
        <w:t>Without limiting the matters that may be taken into account by the court for subsection (6), it must take into account the following:</w:t>
      </w:r>
    </w:p>
    <w:p w:rsidR="00F8610E" w:rsidRPr="00A060B6" w:rsidRDefault="00F8610E" w:rsidP="00486F06">
      <w:pPr>
        <w:pStyle w:val="Apara"/>
      </w:pPr>
      <w:r w:rsidRPr="00A060B6">
        <w:tab/>
        <w:t>(a)</w:t>
      </w:r>
      <w:r w:rsidRPr="00A060B6">
        <w:tab/>
        <w:t>the nature and gravity of the offence for which the defendant is being prosecuted;</w:t>
      </w:r>
    </w:p>
    <w:p w:rsidR="00F8610E" w:rsidRPr="00A060B6" w:rsidRDefault="00F8610E" w:rsidP="00486F06">
      <w:pPr>
        <w:pStyle w:val="Apara"/>
      </w:pPr>
      <w:r w:rsidRPr="00A060B6">
        <w:tab/>
        <w:t>(b)</w:t>
      </w:r>
      <w:r w:rsidRPr="00A060B6">
        <w:tab/>
        <w:t>the substance and importance of any evidence that the person might give and the weight that is likely to be attached to it;</w:t>
      </w:r>
    </w:p>
    <w:p w:rsidR="00F8610E" w:rsidRPr="00A060B6" w:rsidRDefault="00F8610E" w:rsidP="00486F06">
      <w:pPr>
        <w:pStyle w:val="Apara"/>
      </w:pPr>
      <w:r w:rsidRPr="00A060B6">
        <w:tab/>
        <w:t>(c)</w:t>
      </w:r>
      <w:r w:rsidRPr="00A060B6">
        <w:tab/>
        <w:t>whether any other evidence about the matters to which the evidence of the person would relate is reasonably available to the prosecutor;</w:t>
      </w:r>
    </w:p>
    <w:p w:rsidR="00F8610E" w:rsidRPr="00A060B6" w:rsidRDefault="00F8610E" w:rsidP="00486F06">
      <w:pPr>
        <w:pStyle w:val="Apara"/>
      </w:pPr>
      <w:r w:rsidRPr="00A060B6">
        <w:tab/>
        <w:t>(d)</w:t>
      </w:r>
      <w:r w:rsidRPr="00A060B6">
        <w:tab/>
        <w:t>the nature of the relationship between the defendant and the person;</w:t>
      </w:r>
    </w:p>
    <w:p w:rsidR="00F8610E" w:rsidRPr="00A060B6" w:rsidRDefault="00F8610E" w:rsidP="00486F06">
      <w:pPr>
        <w:pStyle w:val="Apara"/>
      </w:pPr>
      <w:r w:rsidRPr="00A060B6">
        <w:tab/>
        <w:t>(e)</w:t>
      </w:r>
      <w:r w:rsidRPr="00A060B6">
        <w:tab/>
        <w:t>whether, in giving the evidence, the person would have to disclose matter that was received by the person in confidence from the defendant.</w:t>
      </w:r>
    </w:p>
    <w:p w:rsidR="00F8610E" w:rsidRPr="00A060B6" w:rsidRDefault="00F8610E" w:rsidP="00486F06">
      <w:pPr>
        <w:pStyle w:val="Amain"/>
      </w:pPr>
      <w:r w:rsidRPr="00A060B6">
        <w:tab/>
        <w:t>(8)</w:t>
      </w:r>
      <w:r w:rsidRPr="00A060B6">
        <w:tab/>
        <w:t>If an objection under this section has been decided, the prosecutor may not comment on—</w:t>
      </w:r>
    </w:p>
    <w:p w:rsidR="00F8610E" w:rsidRPr="00A060B6" w:rsidRDefault="00F8610E" w:rsidP="00486F06">
      <w:pPr>
        <w:pStyle w:val="Apara"/>
      </w:pPr>
      <w:r w:rsidRPr="00A060B6">
        <w:tab/>
        <w:t>(a)</w:t>
      </w:r>
      <w:r w:rsidRPr="00A060B6">
        <w:tab/>
        <w:t>the objection; or</w:t>
      </w:r>
    </w:p>
    <w:p w:rsidR="00F8610E" w:rsidRPr="00A060B6" w:rsidRDefault="00F8610E" w:rsidP="00486F06">
      <w:pPr>
        <w:pStyle w:val="Apara"/>
      </w:pPr>
      <w:r w:rsidRPr="00A060B6">
        <w:tab/>
        <w:t>(b)</w:t>
      </w:r>
      <w:r w:rsidRPr="00A060B6">
        <w:tab/>
        <w:t>the decision of the court in relation to the objection; or</w:t>
      </w:r>
    </w:p>
    <w:p w:rsidR="00F8610E" w:rsidRPr="00A060B6" w:rsidRDefault="00F8610E" w:rsidP="00486F06">
      <w:pPr>
        <w:pStyle w:val="Apara"/>
      </w:pPr>
      <w:r w:rsidRPr="00A060B6">
        <w:tab/>
        <w:t>(c)</w:t>
      </w:r>
      <w:r w:rsidRPr="00A060B6">
        <w:tab/>
        <w:t>the failure of the person to give evidence.</w:t>
      </w:r>
    </w:p>
    <w:p w:rsidR="00F8610E" w:rsidRPr="00A060B6" w:rsidRDefault="00F8610E" w:rsidP="00486F06">
      <w:pPr>
        <w:pStyle w:val="AH5Sec"/>
      </w:pPr>
      <w:bookmarkStart w:id="35" w:name="_Toc11748390"/>
      <w:r w:rsidRPr="003925E1">
        <w:rPr>
          <w:rStyle w:val="CharSectNo"/>
        </w:rPr>
        <w:t>19</w:t>
      </w:r>
      <w:r w:rsidRPr="00A060B6">
        <w:tab/>
        <w:t>Compellability of domestic partners and others in certain criminal proceedings</w:t>
      </w:r>
      <w:bookmarkEnd w:id="35"/>
    </w:p>
    <w:p w:rsidR="00F8610E" w:rsidRPr="00A060B6" w:rsidRDefault="00F8610E" w:rsidP="00C23C3D">
      <w:pPr>
        <w:pStyle w:val="Amainreturn"/>
        <w:keepNext/>
      </w:pPr>
      <w:r w:rsidRPr="00A060B6">
        <w:t>Section 18 does not apply in a proceeding for an offence against or mentioned in the following provisions:</w:t>
      </w:r>
    </w:p>
    <w:p w:rsidR="00F8610E" w:rsidRPr="00A060B6" w:rsidRDefault="00F8610E" w:rsidP="00486F06">
      <w:pPr>
        <w:pStyle w:val="Apara"/>
      </w:pPr>
      <w:r w:rsidRPr="00A060B6">
        <w:tab/>
        <w:t>(a)</w:t>
      </w:r>
      <w:r w:rsidRPr="00A060B6">
        <w:tab/>
        <w:t xml:space="preserve">an offence against the </w:t>
      </w:r>
      <w:hyperlink r:id="rId62" w:tooltip="A1900-40" w:history="1">
        <w:r w:rsidR="00AF17FE" w:rsidRPr="00AF17FE">
          <w:rPr>
            <w:rStyle w:val="charCitHyperlinkItal"/>
          </w:rPr>
          <w:t>Crimes Act 1900</w:t>
        </w:r>
      </w:hyperlink>
      <w:r w:rsidRPr="00A060B6">
        <w:t>, parts 2 to 5, that is an offence against a person under 16 years old;</w:t>
      </w:r>
    </w:p>
    <w:p w:rsidR="00F8610E" w:rsidRPr="00A060B6" w:rsidRDefault="00F8610E" w:rsidP="003925E1">
      <w:pPr>
        <w:pStyle w:val="Apara"/>
        <w:keepNext/>
      </w:pPr>
      <w:r w:rsidRPr="00A060B6">
        <w:lastRenderedPageBreak/>
        <w:tab/>
        <w:t>(b)</w:t>
      </w:r>
      <w:r w:rsidRPr="00A060B6">
        <w:tab/>
        <w:t xml:space="preserve">an offence against the following provisions of the </w:t>
      </w:r>
      <w:hyperlink r:id="rId63" w:tooltip="A2008-19" w:history="1">
        <w:r w:rsidR="00AF17FE" w:rsidRPr="00AF17FE">
          <w:rPr>
            <w:rStyle w:val="charCitHyperlinkItal"/>
          </w:rPr>
          <w:t>Children and Young People Act 2008</w:t>
        </w:r>
      </w:hyperlink>
      <w:r w:rsidRPr="00A060B6">
        <w:t>:</w:t>
      </w:r>
    </w:p>
    <w:p w:rsidR="00F8610E" w:rsidRPr="00A060B6" w:rsidRDefault="00F8610E" w:rsidP="00486F06">
      <w:pPr>
        <w:pStyle w:val="Asubpara"/>
      </w:pPr>
      <w:r w:rsidRPr="00A060B6">
        <w:tab/>
        <w:t>(i)</w:t>
      </w:r>
      <w:r w:rsidRPr="00A060B6">
        <w:tab/>
        <w:t>section 423 (Offence—contravene care and protection order);</w:t>
      </w:r>
    </w:p>
    <w:p w:rsidR="00F8610E" w:rsidRPr="00A060B6" w:rsidRDefault="00F8610E" w:rsidP="00486F06">
      <w:pPr>
        <w:pStyle w:val="Asubpara"/>
      </w:pPr>
      <w:r w:rsidRPr="00A060B6">
        <w:tab/>
        <w:t>(ii)</w:t>
      </w:r>
      <w:r w:rsidRPr="00A060B6">
        <w:tab/>
        <w:t>section 789 (Offence—contravene employment prohibition notice);</w:t>
      </w:r>
    </w:p>
    <w:p w:rsidR="00F8610E" w:rsidRPr="00A060B6" w:rsidRDefault="00F8610E" w:rsidP="00486F06">
      <w:pPr>
        <w:pStyle w:val="Asubpara"/>
      </w:pPr>
      <w:r w:rsidRPr="00A060B6">
        <w:tab/>
        <w:t>(iii)</w:t>
      </w:r>
      <w:r w:rsidRPr="00A060B6">
        <w:tab/>
        <w:t>section 791 (Offence—contravene employment conditions notice);</w:t>
      </w:r>
    </w:p>
    <w:p w:rsidR="00F8610E" w:rsidRPr="00A060B6" w:rsidRDefault="00F8610E" w:rsidP="00486F06">
      <w:pPr>
        <w:pStyle w:val="Asubpara"/>
      </w:pPr>
      <w:r w:rsidRPr="00A060B6">
        <w:tab/>
        <w:t>(iv)</w:t>
      </w:r>
      <w:r w:rsidRPr="00A060B6">
        <w:tab/>
        <w:t>section 803 (Offence—employment of child or young person under 15 years old in high risk employment);</w:t>
      </w:r>
    </w:p>
    <w:p w:rsidR="00F8610E" w:rsidRPr="00A060B6" w:rsidRDefault="00F8610E" w:rsidP="00486F06">
      <w:pPr>
        <w:pStyle w:val="Asubpara"/>
      </w:pPr>
      <w:r w:rsidRPr="00A060B6">
        <w:tab/>
        <w:t>(v)</w:t>
      </w:r>
      <w:r w:rsidRPr="00A060B6">
        <w:tab/>
        <w:t>section 804 (Offence—contravene condition of permit);</w:t>
      </w:r>
    </w:p>
    <w:p w:rsidR="00E53DBE" w:rsidRPr="004573C3" w:rsidRDefault="00E53DBE" w:rsidP="00E53DBE">
      <w:pPr>
        <w:pStyle w:val="Apara"/>
      </w:pPr>
      <w:r w:rsidRPr="004573C3">
        <w:tab/>
        <w:t>(c)</w:t>
      </w:r>
      <w:r w:rsidRPr="004573C3">
        <w:tab/>
        <w:t xml:space="preserve">an offence if the conduct making up the offence is family violence under the </w:t>
      </w:r>
      <w:hyperlink r:id="rId64" w:tooltip="A2016-42" w:history="1">
        <w:r w:rsidRPr="00765BC7">
          <w:rPr>
            <w:rStyle w:val="charCitHyperlinkItal"/>
          </w:rPr>
          <w:t>Family Violence Act 2016</w:t>
        </w:r>
      </w:hyperlink>
      <w:r w:rsidRPr="004573C3">
        <w:t>.</w:t>
      </w:r>
    </w:p>
    <w:p w:rsidR="00F8610E" w:rsidRPr="00A060B6" w:rsidRDefault="00F8610E" w:rsidP="00E51812">
      <w:pPr>
        <w:pStyle w:val="aNote"/>
      </w:pPr>
      <w:r w:rsidRPr="005D1BC5">
        <w:rPr>
          <w:rStyle w:val="charItals"/>
        </w:rPr>
        <w:t>Note</w:t>
      </w:r>
      <w:r w:rsidRPr="005D1BC5">
        <w:rPr>
          <w:rStyle w:val="charItals"/>
        </w:rPr>
        <w:tab/>
      </w:r>
      <w:r w:rsidRPr="00A060B6">
        <w:t xml:space="preserve">This section differs from the </w:t>
      </w:r>
      <w:hyperlink r:id="rId65" w:tooltip="Evidence Act 1995" w:history="1">
        <w:r w:rsidR="007F2560" w:rsidRPr="001D1BCB">
          <w:rPr>
            <w:rStyle w:val="charCitHyperlinkAbbrev"/>
          </w:rPr>
          <w:t>Commonwealth Act</w:t>
        </w:r>
      </w:hyperlink>
      <w:r w:rsidRPr="00A060B6">
        <w:t xml:space="preserve"> and </w:t>
      </w:r>
      <w:hyperlink r:id="rId66" w:tooltip="Act 1995 No 25 (NSW)" w:history="1">
        <w:r w:rsidR="00506E3A" w:rsidRPr="00506E3A">
          <w:rPr>
            <w:rStyle w:val="charCitHyperlinkAbbrev"/>
          </w:rPr>
          <w:t>NSW Act</w:t>
        </w:r>
      </w:hyperlink>
      <w:r w:rsidRPr="00A060B6">
        <w:t>, s 19.</w:t>
      </w:r>
    </w:p>
    <w:p w:rsidR="00F8610E" w:rsidRPr="00A060B6" w:rsidRDefault="00F8610E" w:rsidP="00486F06">
      <w:pPr>
        <w:pStyle w:val="AH5Sec"/>
      </w:pPr>
      <w:bookmarkStart w:id="36" w:name="_Toc11748391"/>
      <w:r w:rsidRPr="003925E1">
        <w:rPr>
          <w:rStyle w:val="CharSectNo"/>
        </w:rPr>
        <w:t>20</w:t>
      </w:r>
      <w:r w:rsidRPr="00A060B6">
        <w:tab/>
        <w:t>Comment on failure to give evidence</w:t>
      </w:r>
      <w:bookmarkEnd w:id="36"/>
    </w:p>
    <w:p w:rsidR="00F8610E" w:rsidRPr="00A060B6" w:rsidRDefault="00F8610E" w:rsidP="00486F06">
      <w:pPr>
        <w:pStyle w:val="Amain"/>
      </w:pPr>
      <w:r w:rsidRPr="00A060B6">
        <w:tab/>
        <w:t>(1)</w:t>
      </w:r>
      <w:r w:rsidRPr="00A060B6">
        <w:tab/>
        <w:t>This section applies only in a criminal proceeding for an indictable offence.</w:t>
      </w:r>
    </w:p>
    <w:p w:rsidR="00F8610E" w:rsidRPr="00A060B6" w:rsidRDefault="00F8610E" w:rsidP="00486F06">
      <w:pPr>
        <w:pStyle w:val="Amain"/>
      </w:pPr>
      <w:r w:rsidRPr="00A060B6">
        <w:tab/>
        <w:t>(2)</w:t>
      </w:r>
      <w:r w:rsidRPr="00A060B6">
        <w:tab/>
        <w:t>The judge or any party (other than the prosecutor) may comment on a failure of a defendant to give evidence.</w:t>
      </w:r>
    </w:p>
    <w:p w:rsidR="00F8610E" w:rsidRPr="00A060B6" w:rsidRDefault="00F8610E" w:rsidP="00486F06">
      <w:pPr>
        <w:pStyle w:val="Amain"/>
      </w:pPr>
      <w:r w:rsidRPr="00A060B6">
        <w:tab/>
        <w:t>(3)</w:t>
      </w:r>
      <w:r w:rsidRPr="00A060B6">
        <w:tab/>
        <w:t>However, unless the comment is made by another defendant in the proceeding, the comment must not suggest that the defendant failed to give evidence because the defendant was, or believed that the defendant was, guilty of the offence.</w:t>
      </w:r>
    </w:p>
    <w:p w:rsidR="00F8610E" w:rsidRPr="00A060B6" w:rsidRDefault="00F8610E" w:rsidP="00486F06">
      <w:pPr>
        <w:pStyle w:val="Amain"/>
      </w:pPr>
      <w:r w:rsidRPr="00A060B6">
        <w:tab/>
        <w:t>(4)</w:t>
      </w:r>
      <w:r w:rsidRPr="00A060B6">
        <w:tab/>
        <w:t>The judge or any party (other than the prosecutor) may comment on a failure to give evidence by a person who, at the time of the failure, was—</w:t>
      </w:r>
    </w:p>
    <w:p w:rsidR="00F8610E" w:rsidRPr="00A060B6" w:rsidRDefault="00F8610E" w:rsidP="00486F06">
      <w:pPr>
        <w:pStyle w:val="Apara"/>
      </w:pPr>
      <w:r w:rsidRPr="00A060B6">
        <w:tab/>
        <w:t>(a)</w:t>
      </w:r>
      <w:r w:rsidRPr="00A060B6">
        <w:tab/>
        <w:t>the defendant’s domestic partner; or</w:t>
      </w:r>
    </w:p>
    <w:p w:rsidR="00F8610E" w:rsidRPr="00A060B6" w:rsidRDefault="00F8610E" w:rsidP="00486F06">
      <w:pPr>
        <w:pStyle w:val="Apara"/>
      </w:pPr>
      <w:r w:rsidRPr="00A060B6">
        <w:tab/>
        <w:t>(b)</w:t>
      </w:r>
      <w:r w:rsidRPr="00A060B6">
        <w:tab/>
        <w:t>a parent or child of the defendant.</w:t>
      </w:r>
    </w:p>
    <w:p w:rsidR="00F8610E" w:rsidRPr="00A060B6" w:rsidRDefault="00F8610E" w:rsidP="00486F06">
      <w:pPr>
        <w:pStyle w:val="Amain"/>
      </w:pPr>
      <w:r w:rsidRPr="00A060B6">
        <w:lastRenderedPageBreak/>
        <w:tab/>
        <w:t>(5)</w:t>
      </w:r>
      <w:r w:rsidRPr="00A060B6">
        <w:tab/>
        <w:t>However, unless the comment is made by another defendant in the proceeding, a comment mentioned in subsection (4) must not suggest that the domestic partner, parent or child failed to give evidence because—</w:t>
      </w:r>
    </w:p>
    <w:p w:rsidR="00F8610E" w:rsidRPr="00A060B6" w:rsidRDefault="00F8610E" w:rsidP="00486F06">
      <w:pPr>
        <w:pStyle w:val="Apara"/>
      </w:pPr>
      <w:r w:rsidRPr="00A060B6">
        <w:tab/>
        <w:t>(a)</w:t>
      </w:r>
      <w:r w:rsidRPr="00A060B6">
        <w:tab/>
        <w:t>the defendant was guilty of the offence; or</w:t>
      </w:r>
    </w:p>
    <w:p w:rsidR="00F8610E" w:rsidRPr="00A060B6" w:rsidRDefault="00F8610E" w:rsidP="00486F06">
      <w:pPr>
        <w:pStyle w:val="Apara"/>
      </w:pPr>
      <w:r w:rsidRPr="00A060B6">
        <w:tab/>
        <w:t>(b)</w:t>
      </w:r>
      <w:r w:rsidRPr="00A060B6">
        <w:tab/>
        <w:t>the domestic partner, parent or child believed that the defendant was guilty of the offence.</w:t>
      </w:r>
    </w:p>
    <w:p w:rsidR="00F8610E" w:rsidRPr="00A060B6" w:rsidRDefault="00F8610E" w:rsidP="00486F06">
      <w:pPr>
        <w:pStyle w:val="Amain"/>
      </w:pPr>
      <w:r w:rsidRPr="00A060B6">
        <w:tab/>
        <w:t>(6)</w:t>
      </w:r>
      <w:r w:rsidRPr="00A060B6">
        <w:tab/>
        <w:t>If—</w:t>
      </w:r>
    </w:p>
    <w:p w:rsidR="00F8610E" w:rsidRPr="00A060B6" w:rsidRDefault="00F8610E" w:rsidP="00486F06">
      <w:pPr>
        <w:pStyle w:val="Apara"/>
      </w:pPr>
      <w:r w:rsidRPr="00A060B6">
        <w:tab/>
        <w:t>(a)</w:t>
      </w:r>
      <w:r w:rsidRPr="00A060B6">
        <w:tab/>
        <w:t>2 or more people are being tried together for an indictable offence; and</w:t>
      </w:r>
    </w:p>
    <w:p w:rsidR="00F8610E" w:rsidRPr="00A060B6" w:rsidRDefault="00F8610E" w:rsidP="00486F06">
      <w:pPr>
        <w:pStyle w:val="Apara"/>
      </w:pPr>
      <w:r w:rsidRPr="00A060B6">
        <w:tab/>
        <w:t>(b)</w:t>
      </w:r>
      <w:r w:rsidRPr="00A060B6">
        <w:tab/>
        <w:t>comment is made by any of them on the failure of any of them or of the domestic partner, or a parent or child, of any of them to give evidence;</w:t>
      </w:r>
    </w:p>
    <w:p w:rsidR="00F8610E" w:rsidRPr="00A060B6" w:rsidRDefault="00F8610E" w:rsidP="00E51812">
      <w:pPr>
        <w:pStyle w:val="Amainreturn"/>
      </w:pPr>
      <w:r w:rsidRPr="00A060B6">
        <w:t>the judge may, in addition to commenting on the failure to give evidence, comment on any comment mentioned in paragraph (b).</w:t>
      </w:r>
    </w:p>
    <w:p w:rsidR="00F8610E" w:rsidRPr="003925E1" w:rsidRDefault="00F8610E" w:rsidP="00486F06">
      <w:pPr>
        <w:pStyle w:val="AH3Div"/>
      </w:pPr>
      <w:bookmarkStart w:id="37" w:name="_Toc11748392"/>
      <w:r w:rsidRPr="003925E1">
        <w:rPr>
          <w:rStyle w:val="CharDivNo"/>
        </w:rPr>
        <w:t>Division 2.1.2</w:t>
      </w:r>
      <w:r w:rsidRPr="00A060B6">
        <w:tab/>
      </w:r>
      <w:r w:rsidRPr="003925E1">
        <w:rPr>
          <w:rStyle w:val="CharDivText"/>
        </w:rPr>
        <w:t>Oaths and affirmations</w:t>
      </w:r>
      <w:bookmarkEnd w:id="37"/>
    </w:p>
    <w:p w:rsidR="00F8610E" w:rsidRPr="00A060B6" w:rsidRDefault="00F8610E" w:rsidP="00486F06">
      <w:pPr>
        <w:pStyle w:val="AH5Sec"/>
      </w:pPr>
      <w:bookmarkStart w:id="38" w:name="_Toc11748393"/>
      <w:r w:rsidRPr="003925E1">
        <w:rPr>
          <w:rStyle w:val="CharSectNo"/>
        </w:rPr>
        <w:t>21</w:t>
      </w:r>
      <w:r w:rsidRPr="00A060B6">
        <w:tab/>
        <w:t>Sworn evidence of witnesses to be on oath or affirmation</w:t>
      </w:r>
      <w:bookmarkEnd w:id="38"/>
    </w:p>
    <w:p w:rsidR="00F8610E" w:rsidRPr="00A060B6" w:rsidRDefault="00F8610E" w:rsidP="00486F06">
      <w:pPr>
        <w:pStyle w:val="Amain"/>
      </w:pPr>
      <w:r w:rsidRPr="00A060B6">
        <w:tab/>
        <w:t>(1)</w:t>
      </w:r>
      <w:r w:rsidRPr="00A060B6">
        <w:tab/>
        <w:t>A witness in a proceeding must take an oath or make an affirmation before giving evidence.</w:t>
      </w:r>
    </w:p>
    <w:p w:rsidR="00F8610E" w:rsidRPr="00A060B6" w:rsidRDefault="00F8610E" w:rsidP="00486F06">
      <w:pPr>
        <w:pStyle w:val="Amain"/>
      </w:pPr>
      <w:r w:rsidRPr="00A060B6">
        <w:tab/>
        <w:t>(2)</w:t>
      </w:r>
      <w:r w:rsidRPr="00A060B6">
        <w:tab/>
        <w:t>Subsection (1) does not apply to a person who gives unsworn evidence under section 13 (Competence—lack of capacity).</w:t>
      </w:r>
    </w:p>
    <w:p w:rsidR="00F8610E" w:rsidRPr="00A060B6" w:rsidRDefault="00F8610E" w:rsidP="00486F06">
      <w:pPr>
        <w:pStyle w:val="Amain"/>
      </w:pPr>
      <w:r w:rsidRPr="00A060B6">
        <w:tab/>
        <w:t>(3)</w:t>
      </w:r>
      <w:r w:rsidRPr="00A060B6">
        <w:tab/>
        <w:t>A person who is called only to produce a document or thing to the court need not take an oath or make an affirmation before doing so.</w:t>
      </w:r>
    </w:p>
    <w:p w:rsidR="00F8610E" w:rsidRPr="00A060B6" w:rsidRDefault="00F8610E" w:rsidP="00486F06">
      <w:pPr>
        <w:pStyle w:val="Amain"/>
      </w:pPr>
      <w:r w:rsidRPr="00A060B6">
        <w:tab/>
        <w:t>(4)</w:t>
      </w:r>
      <w:r w:rsidRPr="00A060B6">
        <w:tab/>
        <w:t>The witness must take the oath, or make the affirmation, in accordance with the appropriate form in schedule 1 or in a similar form.</w:t>
      </w:r>
    </w:p>
    <w:p w:rsidR="00F8610E" w:rsidRPr="00A060B6" w:rsidRDefault="00F8610E" w:rsidP="00486F06">
      <w:pPr>
        <w:pStyle w:val="Amain"/>
      </w:pPr>
      <w:r w:rsidRPr="00A060B6">
        <w:tab/>
        <w:t>(5)</w:t>
      </w:r>
      <w:r w:rsidRPr="00A060B6">
        <w:tab/>
        <w:t>An affirmation has the same effect for all purposes as an oath.</w:t>
      </w:r>
    </w:p>
    <w:p w:rsidR="00F8610E" w:rsidRPr="00A060B6" w:rsidRDefault="00F8610E" w:rsidP="00486F06">
      <w:pPr>
        <w:pStyle w:val="AH5Sec"/>
      </w:pPr>
      <w:bookmarkStart w:id="39" w:name="_Toc11748394"/>
      <w:r w:rsidRPr="003925E1">
        <w:rPr>
          <w:rStyle w:val="CharSectNo"/>
        </w:rPr>
        <w:lastRenderedPageBreak/>
        <w:t>22</w:t>
      </w:r>
      <w:r w:rsidRPr="00A060B6">
        <w:tab/>
        <w:t>Interpreters to act on oath or affirmation</w:t>
      </w:r>
      <w:bookmarkEnd w:id="39"/>
    </w:p>
    <w:p w:rsidR="00F8610E" w:rsidRPr="00A060B6" w:rsidRDefault="00F8610E" w:rsidP="00486F06">
      <w:pPr>
        <w:pStyle w:val="Amain"/>
      </w:pPr>
      <w:r w:rsidRPr="00A060B6">
        <w:tab/>
        <w:t>(1)</w:t>
      </w:r>
      <w:r w:rsidRPr="00A060B6">
        <w:tab/>
        <w:t>A person must take an oath or make an affirmation before acting as an interpreter in a proceeding.</w:t>
      </w:r>
    </w:p>
    <w:p w:rsidR="00F8610E" w:rsidRPr="00A060B6" w:rsidRDefault="00F8610E" w:rsidP="00486F06">
      <w:pPr>
        <w:pStyle w:val="Amain"/>
      </w:pPr>
      <w:r w:rsidRPr="00A060B6">
        <w:tab/>
        <w:t>(2)</w:t>
      </w:r>
      <w:r w:rsidRPr="00A060B6">
        <w:tab/>
        <w:t>An oath taken, or an affirmation made, by a person before acting as an interpreter on a day is taken for subsection (1) to be an oath taken or affirmation made by the person for the purposes of any subsequent proceeding in the court on the day the person acts as an interpreter.</w:t>
      </w:r>
    </w:p>
    <w:p w:rsidR="00F8610E" w:rsidRPr="00A060B6" w:rsidRDefault="00F8610E" w:rsidP="00486F06">
      <w:pPr>
        <w:pStyle w:val="Amain"/>
      </w:pPr>
      <w:r w:rsidRPr="00A060B6">
        <w:tab/>
        <w:t>(3)</w:t>
      </w:r>
      <w:r w:rsidRPr="00A060B6">
        <w:tab/>
        <w:t>The person must take the oath, or make the affirmation, in accordance with the appropriate form in schedule 1 or in a similar form.</w:t>
      </w:r>
    </w:p>
    <w:p w:rsidR="00F8610E" w:rsidRPr="00A060B6" w:rsidRDefault="00F8610E" w:rsidP="00D926E5">
      <w:pPr>
        <w:pStyle w:val="Amain"/>
        <w:keepNext/>
      </w:pPr>
      <w:r w:rsidRPr="00A060B6">
        <w:tab/>
        <w:t>(4)</w:t>
      </w:r>
      <w:r w:rsidRPr="00A060B6">
        <w:tab/>
        <w:t>An affirmation has the same effect for all purposes as an oath.</w:t>
      </w:r>
    </w:p>
    <w:p w:rsidR="00F8610E" w:rsidRPr="00A060B6" w:rsidRDefault="00F8610E" w:rsidP="00A971E4">
      <w:pPr>
        <w:pStyle w:val="aNote"/>
      </w:pPr>
      <w:r w:rsidRPr="005D1BC5">
        <w:rPr>
          <w:rStyle w:val="charItals"/>
        </w:rPr>
        <w:t>Note</w:t>
      </w:r>
      <w:r w:rsidRPr="005D1BC5">
        <w:rPr>
          <w:rStyle w:val="charItals"/>
        </w:rPr>
        <w:tab/>
      </w:r>
      <w:r w:rsidRPr="00A060B6">
        <w:t xml:space="preserve">The </w:t>
      </w:r>
      <w:hyperlink r:id="rId67" w:tooltip="Evidence Act 1995" w:history="1">
        <w:r w:rsidR="00506E3A" w:rsidRPr="001D1BCB">
          <w:rPr>
            <w:rStyle w:val="charCitHyperlinkAbbrev"/>
          </w:rPr>
          <w:t>Commonwealth Act</w:t>
        </w:r>
      </w:hyperlink>
      <w:r w:rsidRPr="00A060B6">
        <w:t xml:space="preserve"> does not include s (2).</w:t>
      </w:r>
    </w:p>
    <w:p w:rsidR="00F8610E" w:rsidRPr="00A060B6" w:rsidRDefault="00F8610E" w:rsidP="00486F06">
      <w:pPr>
        <w:pStyle w:val="AH5Sec"/>
      </w:pPr>
      <w:bookmarkStart w:id="40" w:name="_Toc11748395"/>
      <w:r w:rsidRPr="003925E1">
        <w:rPr>
          <w:rStyle w:val="CharSectNo"/>
        </w:rPr>
        <w:t>23</w:t>
      </w:r>
      <w:r w:rsidRPr="00A060B6">
        <w:tab/>
        <w:t>Choice of oath or affirmation</w:t>
      </w:r>
      <w:bookmarkEnd w:id="40"/>
    </w:p>
    <w:p w:rsidR="00F8610E" w:rsidRPr="00A060B6" w:rsidRDefault="00F8610E" w:rsidP="00486F06">
      <w:pPr>
        <w:pStyle w:val="Amain"/>
      </w:pPr>
      <w:r w:rsidRPr="00A060B6">
        <w:tab/>
        <w:t>(1)</w:t>
      </w:r>
      <w:r w:rsidRPr="00A060B6">
        <w:tab/>
        <w:t>A person who is to be a witness or act as an interpreter in a proceeding may choose whether to take an oath or make an affirmation.</w:t>
      </w:r>
    </w:p>
    <w:p w:rsidR="00F8610E" w:rsidRPr="00A060B6" w:rsidRDefault="00F8610E" w:rsidP="00486F06">
      <w:pPr>
        <w:pStyle w:val="Amain"/>
      </w:pPr>
      <w:r w:rsidRPr="00A060B6">
        <w:tab/>
        <w:t>(2)</w:t>
      </w:r>
      <w:r w:rsidRPr="00A060B6">
        <w:tab/>
        <w:t>The court must tell the person that the person has this choice, unless the court is satisfied that the person has already been told or knows about having the choice.</w:t>
      </w:r>
    </w:p>
    <w:p w:rsidR="00F8610E" w:rsidRPr="00A060B6" w:rsidRDefault="00F8610E" w:rsidP="00486F06">
      <w:pPr>
        <w:pStyle w:val="Amain"/>
      </w:pPr>
      <w:r w:rsidRPr="00A060B6">
        <w:tab/>
        <w:t>(3)</w:t>
      </w:r>
      <w:r w:rsidRPr="00A060B6">
        <w:tab/>
        <w:t>The court may direct a person who is to be a witness to make an affirmation if—</w:t>
      </w:r>
    </w:p>
    <w:p w:rsidR="00F8610E" w:rsidRPr="00A060B6" w:rsidRDefault="00F8610E" w:rsidP="00486F06">
      <w:pPr>
        <w:pStyle w:val="Apara"/>
      </w:pPr>
      <w:r w:rsidRPr="00A060B6">
        <w:tab/>
        <w:t>(a)</w:t>
      </w:r>
      <w:r w:rsidRPr="00A060B6">
        <w:tab/>
        <w:t>the person refuses to choose whether to take an oath or make an affirmation; or</w:t>
      </w:r>
    </w:p>
    <w:p w:rsidR="00F8610E" w:rsidRPr="00A060B6" w:rsidRDefault="00F8610E" w:rsidP="00486F06">
      <w:pPr>
        <w:pStyle w:val="Apara"/>
      </w:pPr>
      <w:r w:rsidRPr="00A060B6">
        <w:tab/>
        <w:t>(b)</w:t>
      </w:r>
      <w:r w:rsidRPr="00A060B6">
        <w:tab/>
        <w:t>it is not reasonably practicable for the person to take an appropriate oath.</w:t>
      </w:r>
    </w:p>
    <w:p w:rsidR="00F8610E" w:rsidRPr="00A060B6" w:rsidRDefault="00F8610E" w:rsidP="00E01943">
      <w:pPr>
        <w:pStyle w:val="aNote"/>
      </w:pPr>
      <w:r w:rsidRPr="005D1BC5">
        <w:rPr>
          <w:rStyle w:val="charItals"/>
        </w:rPr>
        <w:t>Note</w:t>
      </w:r>
      <w:r w:rsidRPr="005D1BC5">
        <w:rPr>
          <w:rStyle w:val="charItals"/>
        </w:rPr>
        <w:tab/>
      </w:r>
      <w:r w:rsidRPr="00A060B6">
        <w:t xml:space="preserve">Subsection (2) differs from the </w:t>
      </w:r>
      <w:hyperlink r:id="rId68" w:tooltip="Evidence Act 1995" w:history="1">
        <w:r w:rsidR="007F2560" w:rsidRPr="001D1BCB">
          <w:rPr>
            <w:rStyle w:val="charCitHyperlinkAbbrev"/>
          </w:rPr>
          <w:t>Commonwealth Act</w:t>
        </w:r>
      </w:hyperlink>
      <w:r w:rsidRPr="00A060B6">
        <w:t>, s 23.</w:t>
      </w:r>
    </w:p>
    <w:p w:rsidR="00F8610E" w:rsidRPr="00A060B6" w:rsidRDefault="00F8610E" w:rsidP="003925E1">
      <w:pPr>
        <w:pStyle w:val="AH5Sec"/>
      </w:pPr>
      <w:bookmarkStart w:id="41" w:name="_Toc11748396"/>
      <w:r w:rsidRPr="003925E1">
        <w:rPr>
          <w:rStyle w:val="CharSectNo"/>
        </w:rPr>
        <w:lastRenderedPageBreak/>
        <w:t>24</w:t>
      </w:r>
      <w:r w:rsidRPr="00A060B6">
        <w:tab/>
        <w:t>Requirements for oaths</w:t>
      </w:r>
      <w:bookmarkEnd w:id="41"/>
    </w:p>
    <w:p w:rsidR="00F8610E" w:rsidRPr="00A060B6" w:rsidRDefault="00F8610E" w:rsidP="003925E1">
      <w:pPr>
        <w:pStyle w:val="Amain"/>
        <w:keepNext/>
      </w:pPr>
      <w:r w:rsidRPr="00A060B6">
        <w:tab/>
        <w:t>(1)</w:t>
      </w:r>
      <w:r w:rsidRPr="00A060B6">
        <w:tab/>
        <w:t>It is not necessary that a religious text be used in taking an oath.</w:t>
      </w:r>
    </w:p>
    <w:p w:rsidR="00F8610E" w:rsidRPr="00A060B6" w:rsidRDefault="00F8610E" w:rsidP="003925E1">
      <w:pPr>
        <w:pStyle w:val="Amain"/>
        <w:keepNext/>
      </w:pPr>
      <w:r w:rsidRPr="00A060B6">
        <w:tab/>
        <w:t>(2)</w:t>
      </w:r>
      <w:r w:rsidRPr="00A060B6">
        <w:tab/>
        <w:t>An oath is effective for this division even if the person who took it—</w:t>
      </w:r>
    </w:p>
    <w:p w:rsidR="00F8610E" w:rsidRPr="00A060B6" w:rsidRDefault="00F8610E" w:rsidP="00486F06">
      <w:pPr>
        <w:pStyle w:val="Apara"/>
      </w:pPr>
      <w:r w:rsidRPr="00A060B6">
        <w:tab/>
        <w:t>(a)</w:t>
      </w:r>
      <w:r w:rsidRPr="00A060B6">
        <w:tab/>
        <w:t>did not have a religious belief or did not have a religious belief of a particular kind; or</w:t>
      </w:r>
    </w:p>
    <w:p w:rsidR="00F8610E" w:rsidRPr="00A060B6" w:rsidRDefault="00F8610E" w:rsidP="00486F06">
      <w:pPr>
        <w:pStyle w:val="Apara"/>
      </w:pPr>
      <w:r w:rsidRPr="00A060B6">
        <w:tab/>
        <w:t>(b)</w:t>
      </w:r>
      <w:r w:rsidRPr="00A060B6">
        <w:tab/>
        <w:t>did not understand the nature and consequences of the oath.</w:t>
      </w:r>
    </w:p>
    <w:p w:rsidR="00F8610E" w:rsidRPr="00A060B6" w:rsidRDefault="00F8610E" w:rsidP="00486F06">
      <w:pPr>
        <w:pStyle w:val="AH5Sec"/>
      </w:pPr>
      <w:bookmarkStart w:id="42" w:name="_Toc11748397"/>
      <w:r w:rsidRPr="003925E1">
        <w:rPr>
          <w:rStyle w:val="CharSectNo"/>
        </w:rPr>
        <w:t>24A</w:t>
      </w:r>
      <w:r w:rsidRPr="00A060B6">
        <w:tab/>
        <w:t>Alternative oath</w:t>
      </w:r>
      <w:bookmarkEnd w:id="42"/>
    </w:p>
    <w:p w:rsidR="00F8610E" w:rsidRPr="00A060B6" w:rsidRDefault="00F8610E" w:rsidP="00182C51">
      <w:pPr>
        <w:pStyle w:val="Amain"/>
        <w:keepNext/>
        <w:rPr>
          <w:lang w:eastAsia="en-AU"/>
        </w:rPr>
      </w:pPr>
      <w:r w:rsidRPr="00A060B6">
        <w:rPr>
          <w:lang w:eastAsia="en-AU"/>
        </w:rPr>
        <w:tab/>
        <w:t>(1)</w:t>
      </w:r>
      <w:r w:rsidRPr="00A060B6">
        <w:rPr>
          <w:lang w:eastAsia="en-AU"/>
        </w:rPr>
        <w:tab/>
        <w:t>A person may take an oath even if the person’s religious or spiritual beliefs do not include a belief in the existence of a god.</w:t>
      </w:r>
    </w:p>
    <w:p w:rsidR="00F8610E" w:rsidRPr="00A060B6" w:rsidRDefault="00F8610E" w:rsidP="00D926E5">
      <w:pPr>
        <w:pStyle w:val="Amain"/>
        <w:keepNext/>
        <w:rPr>
          <w:lang w:eastAsia="en-AU"/>
        </w:rPr>
      </w:pPr>
      <w:r w:rsidRPr="00A060B6">
        <w:rPr>
          <w:lang w:eastAsia="en-AU"/>
        </w:rPr>
        <w:tab/>
        <w:t>(2)</w:t>
      </w:r>
      <w:r w:rsidRPr="00A060B6">
        <w:rPr>
          <w:lang w:eastAsia="en-AU"/>
        </w:rPr>
        <w:tab/>
        <w:t xml:space="preserve">Despite anything to the contrary in this Act, the </w:t>
      </w:r>
      <w:r w:rsidR="00D926E5">
        <w:rPr>
          <w:lang w:eastAsia="en-AU"/>
        </w:rPr>
        <w:t>form of oath taken by a person—</w:t>
      </w:r>
    </w:p>
    <w:p w:rsidR="00F8610E" w:rsidRPr="00A060B6" w:rsidRDefault="00F8610E" w:rsidP="00486F06">
      <w:pPr>
        <w:pStyle w:val="Apara"/>
        <w:rPr>
          <w:lang w:eastAsia="en-AU"/>
        </w:rPr>
      </w:pPr>
      <w:r w:rsidRPr="00A060B6">
        <w:rPr>
          <w:lang w:eastAsia="en-AU"/>
        </w:rPr>
        <w:tab/>
        <w:t>(a)</w:t>
      </w:r>
      <w:r w:rsidRPr="00A060B6">
        <w:rPr>
          <w:lang w:eastAsia="en-AU"/>
        </w:rPr>
        <w:tab/>
        <w:t>need not include a reference to a god; and</w:t>
      </w:r>
    </w:p>
    <w:p w:rsidR="00F8610E" w:rsidRPr="00A060B6" w:rsidRDefault="00F8610E" w:rsidP="00486F06">
      <w:pPr>
        <w:pStyle w:val="Apara"/>
        <w:rPr>
          <w:lang w:eastAsia="en-AU"/>
        </w:rPr>
      </w:pPr>
      <w:r w:rsidRPr="00A060B6">
        <w:rPr>
          <w:lang w:eastAsia="en-AU"/>
        </w:rPr>
        <w:tab/>
        <w:t>(b)</w:t>
      </w:r>
      <w:r w:rsidRPr="00A060B6">
        <w:rPr>
          <w:lang w:eastAsia="en-AU"/>
        </w:rPr>
        <w:tab/>
        <w:t>may instead refer to the basis of the person’s beliefs in accordance with a form prescribed by regulation.</w:t>
      </w:r>
    </w:p>
    <w:p w:rsidR="00F8610E" w:rsidRPr="00A060B6" w:rsidRDefault="00F8610E" w:rsidP="008E2DF0">
      <w:pPr>
        <w:pStyle w:val="aNote"/>
        <w:rPr>
          <w:lang w:eastAsia="en-AU"/>
        </w:rPr>
      </w:pPr>
      <w:r w:rsidRPr="005D1BC5">
        <w:rPr>
          <w:rStyle w:val="charItals"/>
        </w:rPr>
        <w:t>Note</w:t>
      </w:r>
      <w:r w:rsidRPr="005D1BC5">
        <w:rPr>
          <w:rStyle w:val="charItals"/>
        </w:rPr>
        <w:tab/>
      </w:r>
      <w:r w:rsidRPr="00A060B6">
        <w:rPr>
          <w:lang w:eastAsia="en-AU"/>
        </w:rPr>
        <w:t xml:space="preserve">The </w:t>
      </w:r>
      <w:hyperlink r:id="rId69" w:tooltip="Evidence Act 1995" w:history="1">
        <w:r w:rsidR="00506E3A" w:rsidRPr="001D1BCB">
          <w:rPr>
            <w:rStyle w:val="charCitHyperlinkAbbrev"/>
          </w:rPr>
          <w:t>Commonwealth Act</w:t>
        </w:r>
      </w:hyperlink>
      <w:r w:rsidRPr="00A060B6">
        <w:rPr>
          <w:lang w:eastAsia="en-AU"/>
        </w:rPr>
        <w:t xml:space="preserve"> does not include an equivalent provision to s 24A.</w:t>
      </w:r>
    </w:p>
    <w:p w:rsidR="00F8610E" w:rsidRPr="003925E1" w:rsidRDefault="00F8610E" w:rsidP="00486F06">
      <w:pPr>
        <w:pStyle w:val="AH3Div"/>
      </w:pPr>
      <w:bookmarkStart w:id="43" w:name="_Toc11748398"/>
      <w:r w:rsidRPr="003925E1">
        <w:rPr>
          <w:rStyle w:val="CharDivNo"/>
        </w:rPr>
        <w:t>Division 2.1.3</w:t>
      </w:r>
      <w:r w:rsidRPr="00A060B6">
        <w:tab/>
      </w:r>
      <w:r w:rsidRPr="003925E1">
        <w:rPr>
          <w:rStyle w:val="CharDivText"/>
        </w:rPr>
        <w:t>General rules about giving evidence</w:t>
      </w:r>
      <w:bookmarkEnd w:id="43"/>
    </w:p>
    <w:p w:rsidR="00F8610E" w:rsidRPr="00A060B6" w:rsidRDefault="00F8610E" w:rsidP="00486F06">
      <w:pPr>
        <w:pStyle w:val="AH5Sec"/>
      </w:pPr>
      <w:bookmarkStart w:id="44" w:name="_Toc11748399"/>
      <w:r w:rsidRPr="003925E1">
        <w:rPr>
          <w:rStyle w:val="CharSectNo"/>
        </w:rPr>
        <w:t>26</w:t>
      </w:r>
      <w:r w:rsidRPr="00A060B6">
        <w:tab/>
        <w:t>Court’s control over questioning of witnesses</w:t>
      </w:r>
      <w:bookmarkEnd w:id="44"/>
    </w:p>
    <w:p w:rsidR="00F8610E" w:rsidRPr="00A060B6" w:rsidRDefault="00F8610E" w:rsidP="00E51812">
      <w:pPr>
        <w:pStyle w:val="Amainreturn"/>
        <w:keepNext/>
      </w:pPr>
      <w:r w:rsidRPr="00A060B6">
        <w:t>The court may make the orders it considers just in relation to—</w:t>
      </w:r>
    </w:p>
    <w:p w:rsidR="00F8610E" w:rsidRPr="00A060B6" w:rsidRDefault="00F8610E" w:rsidP="00486F06">
      <w:pPr>
        <w:pStyle w:val="Apara"/>
      </w:pPr>
      <w:r w:rsidRPr="00A060B6">
        <w:tab/>
        <w:t>(a)</w:t>
      </w:r>
      <w:r w:rsidRPr="00A060B6">
        <w:tab/>
        <w:t>the way in which witnesses are to be questioned; and</w:t>
      </w:r>
    </w:p>
    <w:p w:rsidR="00F8610E" w:rsidRPr="00A060B6" w:rsidRDefault="00F8610E" w:rsidP="00486F06">
      <w:pPr>
        <w:pStyle w:val="Apara"/>
      </w:pPr>
      <w:r w:rsidRPr="00A060B6">
        <w:tab/>
        <w:t>(b)</w:t>
      </w:r>
      <w:r w:rsidRPr="00A060B6">
        <w:tab/>
        <w:t>the production and use of documents and things in connection with the questioning of witnesses; and</w:t>
      </w:r>
    </w:p>
    <w:p w:rsidR="00F8610E" w:rsidRPr="00A060B6" w:rsidRDefault="00F8610E" w:rsidP="00486F06">
      <w:pPr>
        <w:pStyle w:val="Apara"/>
      </w:pPr>
      <w:r w:rsidRPr="00A060B6">
        <w:tab/>
        <w:t>(c)</w:t>
      </w:r>
      <w:r w:rsidRPr="00A060B6">
        <w:tab/>
        <w:t>the order in which parties may question a witness; and</w:t>
      </w:r>
    </w:p>
    <w:p w:rsidR="00F8610E" w:rsidRPr="00A060B6" w:rsidRDefault="00F8610E" w:rsidP="00486F06">
      <w:pPr>
        <w:pStyle w:val="Apara"/>
      </w:pPr>
      <w:r w:rsidRPr="00A060B6">
        <w:tab/>
        <w:t>(d)</w:t>
      </w:r>
      <w:r w:rsidRPr="00A060B6">
        <w:tab/>
        <w:t>the presence and behaviour of any person in connection with the questioning of witnesses.</w:t>
      </w:r>
    </w:p>
    <w:p w:rsidR="00F8610E" w:rsidRPr="00A060B6" w:rsidRDefault="00F8610E" w:rsidP="00486F06">
      <w:pPr>
        <w:pStyle w:val="AH5Sec"/>
      </w:pPr>
      <w:bookmarkStart w:id="45" w:name="_Toc11748400"/>
      <w:r w:rsidRPr="003925E1">
        <w:rPr>
          <w:rStyle w:val="CharSectNo"/>
        </w:rPr>
        <w:lastRenderedPageBreak/>
        <w:t>27</w:t>
      </w:r>
      <w:r w:rsidRPr="00A060B6">
        <w:tab/>
        <w:t>Parties may question witnesses</w:t>
      </w:r>
      <w:bookmarkEnd w:id="45"/>
    </w:p>
    <w:p w:rsidR="00F8610E" w:rsidRPr="00A060B6" w:rsidRDefault="00F8610E" w:rsidP="00E51812">
      <w:pPr>
        <w:pStyle w:val="Amainreturn"/>
      </w:pPr>
      <w:r w:rsidRPr="00A060B6">
        <w:t>Except as provided by this Act, a party may question any witness.</w:t>
      </w:r>
    </w:p>
    <w:p w:rsidR="00F8610E" w:rsidRPr="00A060B6" w:rsidRDefault="00F8610E" w:rsidP="00486F06">
      <w:pPr>
        <w:pStyle w:val="AH5Sec"/>
      </w:pPr>
      <w:bookmarkStart w:id="46" w:name="_Toc11748401"/>
      <w:r w:rsidRPr="003925E1">
        <w:rPr>
          <w:rStyle w:val="CharSectNo"/>
        </w:rPr>
        <w:t>28</w:t>
      </w:r>
      <w:r w:rsidRPr="00A060B6">
        <w:tab/>
        <w:t>Order of examination-in-chief, cross-examination and re</w:t>
      </w:r>
      <w:r w:rsidRPr="00A060B6">
        <w:noBreakHyphen/>
        <w:t>examination</w:t>
      </w:r>
      <w:bookmarkEnd w:id="46"/>
    </w:p>
    <w:p w:rsidR="00F8610E" w:rsidRPr="00A060B6" w:rsidRDefault="00F8610E" w:rsidP="00E51812">
      <w:pPr>
        <w:pStyle w:val="Amainreturn"/>
        <w:keepNext/>
      </w:pPr>
      <w:r w:rsidRPr="00A060B6">
        <w:t>Unless the court otherwise directs—</w:t>
      </w:r>
    </w:p>
    <w:p w:rsidR="00F8610E" w:rsidRPr="00A060B6" w:rsidRDefault="00F8610E" w:rsidP="00486F06">
      <w:pPr>
        <w:pStyle w:val="Apara"/>
      </w:pPr>
      <w:r w:rsidRPr="00A060B6">
        <w:tab/>
        <w:t>(a)</w:t>
      </w:r>
      <w:r w:rsidRPr="00A060B6">
        <w:tab/>
        <w:t>cross-examination of a witness must not take place before the examination-in-chief of the witness; and</w:t>
      </w:r>
    </w:p>
    <w:p w:rsidR="00F8610E" w:rsidRPr="00A060B6" w:rsidRDefault="00F8610E" w:rsidP="00486F06">
      <w:pPr>
        <w:pStyle w:val="Apara"/>
      </w:pPr>
      <w:r w:rsidRPr="00A060B6">
        <w:tab/>
        <w:t>(b)</w:t>
      </w:r>
      <w:r w:rsidRPr="00A060B6">
        <w:tab/>
        <w:t>re-examination of a witness must not take place before all other parties who wish to do so have cross-examined the witness.</w:t>
      </w:r>
    </w:p>
    <w:p w:rsidR="00F8610E" w:rsidRPr="00A060B6" w:rsidRDefault="00F8610E" w:rsidP="00486F06">
      <w:pPr>
        <w:pStyle w:val="AH5Sec"/>
      </w:pPr>
      <w:bookmarkStart w:id="47" w:name="_Toc11748402"/>
      <w:r w:rsidRPr="003925E1">
        <w:rPr>
          <w:rStyle w:val="CharSectNo"/>
        </w:rPr>
        <w:t>29</w:t>
      </w:r>
      <w:r w:rsidRPr="00A060B6">
        <w:tab/>
        <w:t>Manner and form of questioning witnesses and their responses</w:t>
      </w:r>
      <w:bookmarkEnd w:id="47"/>
    </w:p>
    <w:p w:rsidR="00F8610E" w:rsidRPr="00A060B6" w:rsidRDefault="00F8610E" w:rsidP="00486F06">
      <w:pPr>
        <w:pStyle w:val="Amain"/>
      </w:pPr>
      <w:r w:rsidRPr="00A060B6">
        <w:tab/>
        <w:t>(1)</w:t>
      </w:r>
      <w:r w:rsidRPr="00A060B6">
        <w:tab/>
        <w:t>A party may question a witness in any way the party thinks fit, except as provided by this chapter or as directed by the court.</w:t>
      </w:r>
    </w:p>
    <w:p w:rsidR="00F8610E" w:rsidRPr="00A060B6" w:rsidRDefault="00F8610E" w:rsidP="00486F06">
      <w:pPr>
        <w:pStyle w:val="Amain"/>
      </w:pPr>
      <w:r w:rsidRPr="00A060B6">
        <w:tab/>
        <w:t>(2)</w:t>
      </w:r>
      <w:r w:rsidRPr="00A060B6">
        <w:tab/>
        <w:t>The court may, on its own motion or on the application of the party that called the witness, direct that the witness give evidence completely or partly in narrative form.</w:t>
      </w:r>
    </w:p>
    <w:p w:rsidR="00F8610E" w:rsidRPr="00A060B6" w:rsidRDefault="00F8610E" w:rsidP="00486F06">
      <w:pPr>
        <w:pStyle w:val="Amain"/>
      </w:pPr>
      <w:r w:rsidRPr="00A060B6">
        <w:tab/>
        <w:t>(3)</w:t>
      </w:r>
      <w:r w:rsidRPr="00A060B6">
        <w:tab/>
        <w:t>The direction may include directions about the way in which evidence is to be given in that form.</w:t>
      </w:r>
    </w:p>
    <w:p w:rsidR="00F8610E" w:rsidRPr="00A060B6" w:rsidRDefault="00F8610E" w:rsidP="00486F06">
      <w:pPr>
        <w:pStyle w:val="Amain"/>
      </w:pPr>
      <w:r w:rsidRPr="00A060B6">
        <w:tab/>
        <w:t>(4)</w:t>
      </w:r>
      <w:r w:rsidRPr="00A060B6">
        <w:tab/>
        <w:t>Evidence may be given in the form of charts, summaries or other explanatory material if it appears to the court that the material would be likely to aid its comprehension of other evidence that has been given or is to be given.</w:t>
      </w:r>
    </w:p>
    <w:p w:rsidR="00F8610E" w:rsidRPr="00A060B6" w:rsidRDefault="00F8610E" w:rsidP="00486F06">
      <w:pPr>
        <w:pStyle w:val="AH5Sec"/>
      </w:pPr>
      <w:bookmarkStart w:id="48" w:name="_Toc11748403"/>
      <w:r w:rsidRPr="003925E1">
        <w:rPr>
          <w:rStyle w:val="CharSectNo"/>
        </w:rPr>
        <w:t>30</w:t>
      </w:r>
      <w:r w:rsidRPr="00A060B6">
        <w:tab/>
        <w:t>Interpreters</w:t>
      </w:r>
      <w:bookmarkEnd w:id="48"/>
    </w:p>
    <w:p w:rsidR="00F8610E" w:rsidRPr="00A060B6" w:rsidRDefault="00F8610E" w:rsidP="00E51812">
      <w:pPr>
        <w:pStyle w:val="Amainreturn"/>
      </w:pPr>
      <w:r w:rsidRPr="00A060B6">
        <w:t>A witness may give evidence about a fact through an interpreter unless the witness can understand and speak the English language sufficiently to enable the witness to understand, and to make an adequate reply to, questions that may be put about the fact.</w:t>
      </w:r>
    </w:p>
    <w:p w:rsidR="00F8610E" w:rsidRPr="00A060B6" w:rsidRDefault="00F8610E" w:rsidP="00486F06">
      <w:pPr>
        <w:pStyle w:val="AH5Sec"/>
      </w:pPr>
      <w:bookmarkStart w:id="49" w:name="_Toc11748404"/>
      <w:r w:rsidRPr="003925E1">
        <w:rPr>
          <w:rStyle w:val="CharSectNo"/>
        </w:rPr>
        <w:lastRenderedPageBreak/>
        <w:t>31</w:t>
      </w:r>
      <w:r w:rsidRPr="00A060B6">
        <w:tab/>
        <w:t>Deaf and mute witnesses</w:t>
      </w:r>
      <w:bookmarkEnd w:id="49"/>
    </w:p>
    <w:p w:rsidR="00F8610E" w:rsidRPr="00A060B6" w:rsidRDefault="00F8610E" w:rsidP="00182C51">
      <w:pPr>
        <w:pStyle w:val="Amain"/>
        <w:keepNext/>
      </w:pPr>
      <w:r w:rsidRPr="00A060B6">
        <w:tab/>
        <w:t>(1)</w:t>
      </w:r>
      <w:r w:rsidRPr="00A060B6">
        <w:tab/>
        <w:t>A witness who cannot hear adequately may be questioned in any appropriate way.</w:t>
      </w:r>
    </w:p>
    <w:p w:rsidR="00F8610E" w:rsidRPr="00A060B6" w:rsidRDefault="00F8610E" w:rsidP="00486F06">
      <w:pPr>
        <w:pStyle w:val="Amain"/>
      </w:pPr>
      <w:r w:rsidRPr="00A060B6">
        <w:tab/>
        <w:t>(2)</w:t>
      </w:r>
      <w:r w:rsidRPr="00A060B6">
        <w:tab/>
        <w:t>A witness who cannot speak adequately may give evidence by any appropriate means.</w:t>
      </w:r>
    </w:p>
    <w:p w:rsidR="00F8610E" w:rsidRPr="00A060B6" w:rsidRDefault="00F8610E" w:rsidP="00486F06">
      <w:pPr>
        <w:pStyle w:val="Amain"/>
      </w:pPr>
      <w:r w:rsidRPr="00A060B6">
        <w:tab/>
        <w:t>(3)</w:t>
      </w:r>
      <w:r w:rsidRPr="00A060B6">
        <w:tab/>
        <w:t>The court may give directions about either or both of the following:</w:t>
      </w:r>
    </w:p>
    <w:p w:rsidR="00F8610E" w:rsidRPr="00A060B6" w:rsidRDefault="00F8610E" w:rsidP="00486F06">
      <w:pPr>
        <w:pStyle w:val="Apara"/>
      </w:pPr>
      <w:r w:rsidRPr="00A060B6">
        <w:tab/>
        <w:t>(a)</w:t>
      </w:r>
      <w:r w:rsidRPr="00A060B6">
        <w:tab/>
        <w:t>the way in which a witness may be questioned under subsection (1);</w:t>
      </w:r>
    </w:p>
    <w:p w:rsidR="00F8610E" w:rsidRPr="00A060B6" w:rsidRDefault="00F8610E" w:rsidP="00486F06">
      <w:pPr>
        <w:pStyle w:val="Apara"/>
      </w:pPr>
      <w:r w:rsidRPr="00A060B6">
        <w:tab/>
        <w:t>(b)</w:t>
      </w:r>
      <w:r w:rsidRPr="00A060B6">
        <w:tab/>
        <w:t>the means by which a witness may give evidence under subsection (2).</w:t>
      </w:r>
    </w:p>
    <w:p w:rsidR="00F8610E" w:rsidRPr="00A060B6" w:rsidRDefault="00F8610E" w:rsidP="00486F06">
      <w:pPr>
        <w:pStyle w:val="Amain"/>
      </w:pPr>
      <w:r w:rsidRPr="00A060B6">
        <w:tab/>
        <w:t>(4)</w:t>
      </w:r>
      <w:r w:rsidRPr="00A060B6">
        <w:tab/>
        <w:t>This section does not affect the right of a witness to whom this section applies to give evidence about a fact through an interpreter under section 30.</w:t>
      </w:r>
    </w:p>
    <w:p w:rsidR="00F8610E" w:rsidRPr="00A060B6" w:rsidRDefault="00F8610E" w:rsidP="00486F06">
      <w:pPr>
        <w:pStyle w:val="AH5Sec"/>
      </w:pPr>
      <w:bookmarkStart w:id="50" w:name="_Toc11748405"/>
      <w:r w:rsidRPr="003925E1">
        <w:rPr>
          <w:rStyle w:val="CharSectNo"/>
        </w:rPr>
        <w:t>32</w:t>
      </w:r>
      <w:r w:rsidRPr="00A060B6">
        <w:tab/>
        <w:t>Attempts to revive memory in court</w:t>
      </w:r>
      <w:bookmarkEnd w:id="50"/>
    </w:p>
    <w:p w:rsidR="00F8610E" w:rsidRPr="00A060B6" w:rsidRDefault="00F8610E" w:rsidP="00486F06">
      <w:pPr>
        <w:pStyle w:val="Amain"/>
      </w:pPr>
      <w:r w:rsidRPr="00A060B6">
        <w:tab/>
        <w:t>(1)</w:t>
      </w:r>
      <w:r w:rsidRPr="00A060B6">
        <w:tab/>
        <w:t>A witness must not, in the course of giving evidence, use a document to try to revive the witness’s memory about a fact or opinion unless the court gives leave.</w:t>
      </w:r>
    </w:p>
    <w:p w:rsidR="00F8610E" w:rsidRPr="00A060B6" w:rsidRDefault="00F8610E" w:rsidP="00486F06">
      <w:pPr>
        <w:pStyle w:val="Amain"/>
      </w:pPr>
      <w:r w:rsidRPr="00A060B6">
        <w:tab/>
        <w:t>(2)</w:t>
      </w:r>
      <w:r w:rsidRPr="00A060B6">
        <w:tab/>
        <w:t>Without limiting the matters that the court may take into account in deciding whether to give leave, it must take into account—</w:t>
      </w:r>
    </w:p>
    <w:p w:rsidR="00F8610E" w:rsidRPr="00A060B6" w:rsidRDefault="00F8610E" w:rsidP="00486F06">
      <w:pPr>
        <w:pStyle w:val="Apara"/>
      </w:pPr>
      <w:r w:rsidRPr="00A060B6">
        <w:tab/>
        <w:t>(a)</w:t>
      </w:r>
      <w:r w:rsidRPr="00A060B6">
        <w:tab/>
        <w:t>whether the witness will be able to recall the fact or opinion adequately without using the document; and</w:t>
      </w:r>
    </w:p>
    <w:p w:rsidR="00F8610E" w:rsidRPr="00A060B6" w:rsidRDefault="00F8610E" w:rsidP="00486F06">
      <w:pPr>
        <w:pStyle w:val="Apara"/>
      </w:pPr>
      <w:r w:rsidRPr="00A060B6">
        <w:tab/>
        <w:t>(b)</w:t>
      </w:r>
      <w:r w:rsidRPr="00A060B6">
        <w:tab/>
        <w:t>whether the part of the document that the witness proposes to use is, or is a copy of, a document that—</w:t>
      </w:r>
    </w:p>
    <w:p w:rsidR="00F8610E" w:rsidRPr="00A060B6" w:rsidRDefault="00F8610E" w:rsidP="00486F06">
      <w:pPr>
        <w:pStyle w:val="Asubpara"/>
      </w:pPr>
      <w:r w:rsidRPr="00A060B6">
        <w:tab/>
        <w:t>(i)</w:t>
      </w:r>
      <w:r w:rsidRPr="00A060B6">
        <w:tab/>
        <w:t>was written or made by the witness when the events recorded in it were fresh in the witness’s memory; or</w:t>
      </w:r>
    </w:p>
    <w:p w:rsidR="00F8610E" w:rsidRPr="00A060B6" w:rsidRDefault="00F8610E" w:rsidP="00486F06">
      <w:pPr>
        <w:pStyle w:val="Asubpara"/>
      </w:pPr>
      <w:r w:rsidRPr="00A060B6">
        <w:tab/>
        <w:t>(ii)</w:t>
      </w:r>
      <w:r w:rsidRPr="00A060B6">
        <w:tab/>
        <w:t>was, at that time, found by the witness to be accurate.</w:t>
      </w:r>
    </w:p>
    <w:p w:rsidR="00F8610E" w:rsidRPr="00A060B6" w:rsidRDefault="00F8610E" w:rsidP="00182C51">
      <w:pPr>
        <w:pStyle w:val="Amain"/>
        <w:keepLines/>
      </w:pPr>
      <w:r w:rsidRPr="00A060B6">
        <w:lastRenderedPageBreak/>
        <w:tab/>
        <w:t>(3)</w:t>
      </w:r>
      <w:r w:rsidRPr="00A060B6">
        <w:tab/>
        <w:t>If a witness has, while giving evidence, used a document to try to revive the witness’s memory about a fact or opinion, the witness may, with the leave of the court, read aloud, as part of the witness’s evidence, the part of the document that relates to the fact or opinion.</w:t>
      </w:r>
    </w:p>
    <w:p w:rsidR="00F8610E" w:rsidRPr="00A060B6" w:rsidRDefault="00F8610E" w:rsidP="00486F06">
      <w:pPr>
        <w:pStyle w:val="Amain"/>
      </w:pPr>
      <w:r w:rsidRPr="00A060B6">
        <w:tab/>
        <w:t>(4)</w:t>
      </w:r>
      <w:r w:rsidRPr="00A060B6">
        <w:tab/>
        <w:t>The court must, on the request of a party, give the directions the court thinks fit to ensure that the part of the document that relates to the proceeding is produced to the party.</w:t>
      </w:r>
    </w:p>
    <w:p w:rsidR="00F8610E" w:rsidRPr="00A060B6" w:rsidRDefault="00F8610E" w:rsidP="00486F06">
      <w:pPr>
        <w:pStyle w:val="AH5Sec"/>
      </w:pPr>
      <w:bookmarkStart w:id="51" w:name="_Toc11748406"/>
      <w:r w:rsidRPr="003925E1">
        <w:rPr>
          <w:rStyle w:val="CharSectNo"/>
        </w:rPr>
        <w:t>33</w:t>
      </w:r>
      <w:r w:rsidRPr="00A060B6">
        <w:tab/>
        <w:t>Evidence given by police officers</w:t>
      </w:r>
      <w:bookmarkEnd w:id="51"/>
    </w:p>
    <w:p w:rsidR="00F8610E" w:rsidRPr="00A060B6" w:rsidRDefault="00F8610E" w:rsidP="00486F06">
      <w:pPr>
        <w:pStyle w:val="Amain"/>
      </w:pPr>
      <w:r w:rsidRPr="00A060B6">
        <w:tab/>
        <w:t>(1)</w:t>
      </w:r>
      <w:r w:rsidRPr="00A060B6">
        <w:tab/>
        <w:t>Despite section 32, in a criminal proceeding, a police officer may give evidence-in-chief for the prosecution by reading or being led through a written statement previously made by the police officer.</w:t>
      </w:r>
    </w:p>
    <w:p w:rsidR="00F8610E" w:rsidRPr="00A060B6" w:rsidRDefault="00F8610E" w:rsidP="00486F06">
      <w:pPr>
        <w:pStyle w:val="Amain"/>
      </w:pPr>
      <w:r w:rsidRPr="00A060B6">
        <w:tab/>
        <w:t>(2)</w:t>
      </w:r>
      <w:r w:rsidRPr="00A060B6">
        <w:tab/>
        <w:t>Evidence may not be given in that way unless—</w:t>
      </w:r>
    </w:p>
    <w:p w:rsidR="00F8610E" w:rsidRPr="00A060B6" w:rsidRDefault="00F8610E" w:rsidP="00486F06">
      <w:pPr>
        <w:pStyle w:val="Apara"/>
      </w:pPr>
      <w:r w:rsidRPr="00A060B6">
        <w:tab/>
        <w:t>(a)</w:t>
      </w:r>
      <w:r w:rsidRPr="00A060B6">
        <w:tab/>
        <w:t>the statement was made by the police officer at the time of or soon after the events mentioned in the statement happened; and</w:t>
      </w:r>
    </w:p>
    <w:p w:rsidR="00F8610E" w:rsidRPr="00A060B6" w:rsidRDefault="00F8610E" w:rsidP="00486F06">
      <w:pPr>
        <w:pStyle w:val="Apara"/>
      </w:pPr>
      <w:r w:rsidRPr="00A060B6">
        <w:tab/>
        <w:t>(b)</w:t>
      </w:r>
      <w:r w:rsidRPr="00A060B6">
        <w:tab/>
        <w:t>the police officer signed the statement when it was made; and</w:t>
      </w:r>
    </w:p>
    <w:p w:rsidR="00F8610E" w:rsidRPr="00A060B6" w:rsidRDefault="00F8610E" w:rsidP="00486F06">
      <w:pPr>
        <w:pStyle w:val="Apara"/>
      </w:pPr>
      <w:r w:rsidRPr="00A060B6">
        <w:tab/>
        <w:t>(c)</w:t>
      </w:r>
      <w:r w:rsidRPr="00A060B6">
        <w:tab/>
        <w:t>a copy of the statement had been given to the person charged or to the person’s Australian legal practitioner or legal counsel a reasonable time before the hearing of the evidence for the prosecution.</w:t>
      </w:r>
    </w:p>
    <w:p w:rsidR="00F8610E" w:rsidRPr="00A060B6" w:rsidRDefault="00F8610E" w:rsidP="00486F06">
      <w:pPr>
        <w:pStyle w:val="Amain"/>
      </w:pPr>
      <w:r w:rsidRPr="00A060B6">
        <w:tab/>
        <w:t>(3)</w:t>
      </w:r>
      <w:r w:rsidRPr="00A060B6">
        <w:tab/>
        <w:t>A reference in this section to a police officer includes a reference to a person who was a police officer at the time the statement was made.</w:t>
      </w:r>
    </w:p>
    <w:p w:rsidR="00F8610E" w:rsidRPr="00A060B6" w:rsidRDefault="00F8610E" w:rsidP="003925E1">
      <w:pPr>
        <w:pStyle w:val="AH5Sec"/>
        <w:keepLines/>
      </w:pPr>
      <w:bookmarkStart w:id="52" w:name="_Toc11748407"/>
      <w:r w:rsidRPr="003925E1">
        <w:rPr>
          <w:rStyle w:val="CharSectNo"/>
        </w:rPr>
        <w:lastRenderedPageBreak/>
        <w:t>34</w:t>
      </w:r>
      <w:r w:rsidRPr="00A060B6">
        <w:tab/>
        <w:t>Attempts to revive memory out of court</w:t>
      </w:r>
      <w:bookmarkEnd w:id="52"/>
    </w:p>
    <w:p w:rsidR="00F8610E" w:rsidRPr="00A060B6" w:rsidRDefault="00F8610E" w:rsidP="003925E1">
      <w:pPr>
        <w:pStyle w:val="Amain"/>
        <w:keepNext/>
        <w:keepLines/>
      </w:pPr>
      <w:r w:rsidRPr="00A060B6">
        <w:tab/>
        <w:t>(1)</w:t>
      </w:r>
      <w:r w:rsidRPr="00A060B6">
        <w:tab/>
        <w:t>The court may, on the request of a party, give the directions that are appropriate to ensure that stated documents and things used by a witness otherwise than while giving evidence to try to revive the witness’s memory are produced to the party for the purposes of the proceeding.</w:t>
      </w:r>
    </w:p>
    <w:p w:rsidR="00F8610E" w:rsidRPr="00A060B6" w:rsidRDefault="00F8610E" w:rsidP="00D926E5">
      <w:pPr>
        <w:pStyle w:val="Amain"/>
        <w:keepLines/>
      </w:pPr>
      <w:r w:rsidRPr="00A060B6">
        <w:tab/>
        <w:t>(2)</w:t>
      </w:r>
      <w:r w:rsidRPr="00A060B6">
        <w:tab/>
        <w:t>The court may refuse to admit the evidence given by the witness so far as it concerns a fact about which the witness tried to revive the witness’s memory if, without reasonable excuse, the directions have not been complied with.</w:t>
      </w:r>
    </w:p>
    <w:p w:rsidR="00F8610E" w:rsidRPr="00A060B6" w:rsidRDefault="00F8610E" w:rsidP="00486F06">
      <w:pPr>
        <w:pStyle w:val="AH5Sec"/>
      </w:pPr>
      <w:bookmarkStart w:id="53" w:name="_Toc11748408"/>
      <w:r w:rsidRPr="003925E1">
        <w:rPr>
          <w:rStyle w:val="CharSectNo"/>
        </w:rPr>
        <w:t>35</w:t>
      </w:r>
      <w:r w:rsidRPr="00A060B6">
        <w:tab/>
        <w:t>Effect of calling for production of documents</w:t>
      </w:r>
      <w:bookmarkEnd w:id="53"/>
    </w:p>
    <w:p w:rsidR="00F8610E" w:rsidRPr="00A060B6" w:rsidRDefault="00F8610E" w:rsidP="00486F06">
      <w:pPr>
        <w:pStyle w:val="Amain"/>
      </w:pPr>
      <w:r w:rsidRPr="00A060B6">
        <w:tab/>
        <w:t>(1)</w:t>
      </w:r>
      <w:r w:rsidRPr="00A060B6">
        <w:tab/>
        <w:t>A party must not be required to tender a document only because the party, whether under this Act or otherwise—</w:t>
      </w:r>
    </w:p>
    <w:p w:rsidR="00F8610E" w:rsidRPr="00A060B6" w:rsidRDefault="00F8610E" w:rsidP="00486F06">
      <w:pPr>
        <w:pStyle w:val="Apara"/>
      </w:pPr>
      <w:r w:rsidRPr="00A060B6">
        <w:tab/>
        <w:t>(a)</w:t>
      </w:r>
      <w:r w:rsidRPr="00A060B6">
        <w:tab/>
        <w:t>called for the document to be produced to the party; or</w:t>
      </w:r>
    </w:p>
    <w:p w:rsidR="00F8610E" w:rsidRPr="00A060B6" w:rsidRDefault="00F8610E" w:rsidP="00486F06">
      <w:pPr>
        <w:pStyle w:val="Apara"/>
      </w:pPr>
      <w:r w:rsidRPr="00A060B6">
        <w:tab/>
        <w:t>(b)</w:t>
      </w:r>
      <w:r w:rsidRPr="00A060B6">
        <w:tab/>
        <w:t>inspected it when it was produced.</w:t>
      </w:r>
    </w:p>
    <w:p w:rsidR="00F8610E" w:rsidRPr="00A060B6" w:rsidRDefault="00F8610E" w:rsidP="00486F06">
      <w:pPr>
        <w:pStyle w:val="Amain"/>
      </w:pPr>
      <w:r w:rsidRPr="00A060B6">
        <w:tab/>
        <w:t>(2)</w:t>
      </w:r>
      <w:r w:rsidRPr="00A060B6">
        <w:tab/>
        <w:t>The party who produces a document called for is not entitled to tender it only because the party to whom it was produced, or who inspected it, fails to tender it.</w:t>
      </w:r>
    </w:p>
    <w:p w:rsidR="00F8610E" w:rsidRPr="00A060B6" w:rsidRDefault="00F8610E" w:rsidP="00486F06">
      <w:pPr>
        <w:pStyle w:val="AH5Sec"/>
      </w:pPr>
      <w:bookmarkStart w:id="54" w:name="_Toc11748409"/>
      <w:r w:rsidRPr="003925E1">
        <w:rPr>
          <w:rStyle w:val="CharSectNo"/>
        </w:rPr>
        <w:t>36</w:t>
      </w:r>
      <w:r w:rsidRPr="00A060B6">
        <w:tab/>
        <w:t>Person may be examined without subpoena or other process</w:t>
      </w:r>
      <w:bookmarkEnd w:id="54"/>
    </w:p>
    <w:p w:rsidR="00F8610E" w:rsidRPr="00A060B6" w:rsidRDefault="00F8610E" w:rsidP="00486F06">
      <w:pPr>
        <w:pStyle w:val="Amain"/>
      </w:pPr>
      <w:r w:rsidRPr="00A060B6">
        <w:tab/>
        <w:t>(1)</w:t>
      </w:r>
      <w:r w:rsidRPr="00A060B6">
        <w:tab/>
        <w:t>The court may order a person who—</w:t>
      </w:r>
    </w:p>
    <w:p w:rsidR="00F8610E" w:rsidRPr="00A060B6" w:rsidRDefault="00F8610E" w:rsidP="00486F06">
      <w:pPr>
        <w:pStyle w:val="Apara"/>
      </w:pPr>
      <w:r w:rsidRPr="00A060B6">
        <w:tab/>
        <w:t>(a)</w:t>
      </w:r>
      <w:r w:rsidRPr="00A060B6">
        <w:tab/>
        <w:t>is present at the hearing of a proceeding; and</w:t>
      </w:r>
    </w:p>
    <w:p w:rsidR="00F8610E" w:rsidRPr="00A060B6" w:rsidRDefault="00F8610E" w:rsidP="00486F06">
      <w:pPr>
        <w:pStyle w:val="Apara"/>
      </w:pPr>
      <w:r w:rsidRPr="00A060B6">
        <w:tab/>
        <w:t>(b)</w:t>
      </w:r>
      <w:r w:rsidRPr="00A060B6">
        <w:tab/>
        <w:t>is compellable to give evidence in the proceeding;</w:t>
      </w:r>
    </w:p>
    <w:p w:rsidR="00F8610E" w:rsidRPr="00A060B6" w:rsidRDefault="00F8610E" w:rsidP="00E51812">
      <w:pPr>
        <w:pStyle w:val="Amainreturn"/>
      </w:pPr>
      <w:r w:rsidRPr="00A060B6">
        <w:t>to give evidence and to produce documents or things even if a subpoena or other process requiring the person to attend for that purpose has not been served on the person.</w:t>
      </w:r>
    </w:p>
    <w:p w:rsidR="00F8610E" w:rsidRPr="00A060B6" w:rsidRDefault="00F8610E" w:rsidP="00486F06">
      <w:pPr>
        <w:pStyle w:val="Amain"/>
      </w:pPr>
      <w:r w:rsidRPr="00A060B6">
        <w:lastRenderedPageBreak/>
        <w:tab/>
        <w:t>(2)</w:t>
      </w:r>
      <w:r w:rsidRPr="00A060B6">
        <w:tab/>
        <w:t>A person ordered to give evidence or to produce documents or things is subject to the same penalties and liabilities as if the person had been served with a subpoena or other process.</w:t>
      </w:r>
    </w:p>
    <w:p w:rsidR="00F8610E" w:rsidRPr="00A060B6" w:rsidRDefault="00F8610E" w:rsidP="00486F06">
      <w:pPr>
        <w:pStyle w:val="Amain"/>
      </w:pPr>
      <w:r w:rsidRPr="00A060B6">
        <w:tab/>
        <w:t>(3)</w:t>
      </w:r>
      <w:r w:rsidRPr="00A060B6">
        <w:tab/>
        <w:t>A party who inspects a document or thing produced to the court because of subsection (1) need not use the document in evidence.</w:t>
      </w:r>
    </w:p>
    <w:p w:rsidR="00F8610E" w:rsidRPr="003925E1" w:rsidRDefault="00F8610E" w:rsidP="00486F06">
      <w:pPr>
        <w:pStyle w:val="AH3Div"/>
      </w:pPr>
      <w:bookmarkStart w:id="55" w:name="_Toc11748410"/>
      <w:r w:rsidRPr="003925E1">
        <w:rPr>
          <w:rStyle w:val="CharDivNo"/>
        </w:rPr>
        <w:t>Division 2.1.4</w:t>
      </w:r>
      <w:r w:rsidRPr="00A060B6">
        <w:tab/>
      </w:r>
      <w:r w:rsidRPr="003925E1">
        <w:rPr>
          <w:rStyle w:val="CharDivText"/>
        </w:rPr>
        <w:t>Examination-in-chief and re</w:t>
      </w:r>
      <w:r w:rsidRPr="003925E1">
        <w:rPr>
          <w:rStyle w:val="CharDivText"/>
        </w:rPr>
        <w:noBreakHyphen/>
        <w:t>examination</w:t>
      </w:r>
      <w:bookmarkEnd w:id="55"/>
    </w:p>
    <w:p w:rsidR="00F8610E" w:rsidRPr="00A060B6" w:rsidRDefault="00F8610E" w:rsidP="00486F06">
      <w:pPr>
        <w:pStyle w:val="AH5Sec"/>
      </w:pPr>
      <w:bookmarkStart w:id="56" w:name="_Toc11748411"/>
      <w:r w:rsidRPr="003925E1">
        <w:rPr>
          <w:rStyle w:val="CharSectNo"/>
        </w:rPr>
        <w:t>37</w:t>
      </w:r>
      <w:r w:rsidRPr="00A060B6">
        <w:tab/>
        <w:t>Leading questions</w:t>
      </w:r>
      <w:bookmarkEnd w:id="56"/>
    </w:p>
    <w:p w:rsidR="00F8610E" w:rsidRPr="00A060B6" w:rsidRDefault="00F8610E" w:rsidP="00486F06">
      <w:pPr>
        <w:pStyle w:val="Amain"/>
      </w:pPr>
      <w:r w:rsidRPr="00A060B6">
        <w:tab/>
        <w:t>(1)</w:t>
      </w:r>
      <w:r w:rsidRPr="00A060B6">
        <w:tab/>
        <w:t>A leading question must not be put to a witness in examination</w:t>
      </w:r>
      <w:r w:rsidRPr="00A060B6">
        <w:noBreakHyphen/>
        <w:t>in</w:t>
      </w:r>
      <w:r w:rsidRPr="00A060B6">
        <w:noBreakHyphen/>
        <w:t>chief or in re-examination unless—</w:t>
      </w:r>
    </w:p>
    <w:p w:rsidR="00F8610E" w:rsidRPr="00A060B6" w:rsidRDefault="00F8610E" w:rsidP="00486F06">
      <w:pPr>
        <w:pStyle w:val="Apara"/>
      </w:pPr>
      <w:r w:rsidRPr="00A060B6">
        <w:tab/>
        <w:t>(a)</w:t>
      </w:r>
      <w:r w:rsidRPr="00A060B6">
        <w:tab/>
        <w:t>the court gives leave; or</w:t>
      </w:r>
    </w:p>
    <w:p w:rsidR="00F8610E" w:rsidRPr="00A060B6" w:rsidRDefault="00F8610E" w:rsidP="00486F06">
      <w:pPr>
        <w:pStyle w:val="Apara"/>
      </w:pPr>
      <w:r w:rsidRPr="00A060B6">
        <w:tab/>
        <w:t>(b)</w:t>
      </w:r>
      <w:r w:rsidRPr="00A060B6">
        <w:tab/>
        <w:t>the question relates to a matter introductory to the witness’s evidence; or</w:t>
      </w:r>
    </w:p>
    <w:p w:rsidR="00F8610E" w:rsidRPr="00A060B6" w:rsidRDefault="00F8610E" w:rsidP="00486F06">
      <w:pPr>
        <w:pStyle w:val="Apara"/>
      </w:pPr>
      <w:r w:rsidRPr="00A060B6">
        <w:tab/>
        <w:t>(c)</w:t>
      </w:r>
      <w:r w:rsidRPr="00A060B6">
        <w:tab/>
        <w:t>no objection is made to the question and (leaving aside the party conducting the examination-in-chief or re-examination) each other party to the proceeding is represented by an Australian legal practitioner, legal counsel or prosecutor; or</w:t>
      </w:r>
    </w:p>
    <w:p w:rsidR="00F8610E" w:rsidRPr="00A060B6" w:rsidRDefault="00F8610E" w:rsidP="00486F06">
      <w:pPr>
        <w:pStyle w:val="Apara"/>
      </w:pPr>
      <w:r w:rsidRPr="00A060B6">
        <w:tab/>
        <w:t>(d)</w:t>
      </w:r>
      <w:r w:rsidRPr="00A060B6">
        <w:tab/>
        <w:t>the question relates to a matter that is not in dispute; or</w:t>
      </w:r>
    </w:p>
    <w:p w:rsidR="00F8610E" w:rsidRPr="00A060B6" w:rsidRDefault="00F8610E" w:rsidP="00486F06">
      <w:pPr>
        <w:pStyle w:val="Apara"/>
      </w:pPr>
      <w:r w:rsidRPr="00A060B6">
        <w:tab/>
        <w:t>(e)</w:t>
      </w:r>
      <w:r w:rsidRPr="00A060B6">
        <w:tab/>
        <w:t>if the witness has specialised knowledge based on the witness’s training, study or experience—the question is asked for the purpose of obtaining the witness’s opinion about a hypothetical statement of facts about which evidence has been, or is intended to be, given.</w:t>
      </w:r>
    </w:p>
    <w:p w:rsidR="00F8610E" w:rsidRPr="00A060B6" w:rsidRDefault="00F8610E" w:rsidP="00486F06">
      <w:pPr>
        <w:pStyle w:val="Amain"/>
      </w:pPr>
      <w:r w:rsidRPr="00A060B6">
        <w:tab/>
        <w:t>(2)</w:t>
      </w:r>
      <w:r w:rsidRPr="00A060B6">
        <w:tab/>
        <w:t>Unless the court otherwise directs, subsection (1) does not apply in a civil proceeding to a question that relates to an investigation, inspection or report that the witness made in the course of carrying out public or official duties.</w:t>
      </w:r>
    </w:p>
    <w:p w:rsidR="00F8610E" w:rsidRPr="00A060B6" w:rsidRDefault="00F8610E" w:rsidP="00305154">
      <w:pPr>
        <w:pStyle w:val="Amain"/>
        <w:keepNext/>
      </w:pPr>
      <w:r w:rsidRPr="00A060B6">
        <w:lastRenderedPageBreak/>
        <w:tab/>
        <w:t>(3)</w:t>
      </w:r>
      <w:r w:rsidRPr="00A060B6">
        <w:tab/>
        <w:t>Subsection (1) does not prevent the court from exercising power under rules of court to allow a written statement or report to be tendered or treated as evidence-in-chief of its maker.</w:t>
      </w:r>
    </w:p>
    <w:p w:rsidR="00F8610E" w:rsidRPr="00A060B6" w:rsidRDefault="00F8610E" w:rsidP="00E51812">
      <w:pPr>
        <w:pStyle w:val="aNote"/>
      </w:pPr>
      <w:r w:rsidRPr="005D1BC5">
        <w:rPr>
          <w:rStyle w:val="charItals"/>
        </w:rPr>
        <w:t>Note</w:t>
      </w:r>
      <w:r w:rsidRPr="005D1BC5">
        <w:rPr>
          <w:rStyle w:val="charItals"/>
        </w:rPr>
        <w:tab/>
      </w:r>
      <w:r w:rsidRPr="005D1BC5">
        <w:rPr>
          <w:rStyle w:val="charBoldItals"/>
        </w:rPr>
        <w:t>Leading question</w:t>
      </w:r>
      <w:r w:rsidRPr="00A060B6">
        <w:t>—see the dictionary.</w:t>
      </w:r>
    </w:p>
    <w:p w:rsidR="00F8610E" w:rsidRPr="00A060B6" w:rsidRDefault="00F8610E" w:rsidP="00486F06">
      <w:pPr>
        <w:pStyle w:val="AH5Sec"/>
      </w:pPr>
      <w:bookmarkStart w:id="57" w:name="_Toc11748412"/>
      <w:r w:rsidRPr="003925E1">
        <w:rPr>
          <w:rStyle w:val="CharSectNo"/>
        </w:rPr>
        <w:t>38</w:t>
      </w:r>
      <w:r w:rsidRPr="00A060B6">
        <w:tab/>
        <w:t>Unfavourable witnesses</w:t>
      </w:r>
      <w:bookmarkEnd w:id="57"/>
    </w:p>
    <w:p w:rsidR="00F8610E" w:rsidRPr="00A060B6" w:rsidRDefault="00F8610E" w:rsidP="00486F06">
      <w:pPr>
        <w:pStyle w:val="Amain"/>
      </w:pPr>
      <w:r w:rsidRPr="00A060B6">
        <w:tab/>
        <w:t>(1)</w:t>
      </w:r>
      <w:r w:rsidRPr="00A060B6">
        <w:tab/>
        <w:t>A party who called a witness may, with the leave of the court, question the witness, as though the party were cross-examining the witness, about—</w:t>
      </w:r>
    </w:p>
    <w:p w:rsidR="00F8610E" w:rsidRPr="00A060B6" w:rsidRDefault="00F8610E" w:rsidP="00486F06">
      <w:pPr>
        <w:pStyle w:val="Apara"/>
      </w:pPr>
      <w:r w:rsidRPr="00A060B6">
        <w:tab/>
        <w:t>(a)</w:t>
      </w:r>
      <w:r w:rsidRPr="00A060B6">
        <w:tab/>
        <w:t>evidence given by the witness that is unfavourable to the party; or</w:t>
      </w:r>
    </w:p>
    <w:p w:rsidR="00F8610E" w:rsidRPr="00A060B6" w:rsidRDefault="00F8610E" w:rsidP="00486F06">
      <w:pPr>
        <w:pStyle w:val="Apara"/>
      </w:pPr>
      <w:r w:rsidRPr="00A060B6">
        <w:tab/>
        <w:t>(b)</w:t>
      </w:r>
      <w:r w:rsidRPr="00A060B6">
        <w:tab/>
        <w:t>a matter of which the witness may reasonably be supposed to have knowledge and about which it appears to the court the witness is not, in examination-in-chief, making a genuine attempt to give evidence; or</w:t>
      </w:r>
    </w:p>
    <w:p w:rsidR="00F8610E" w:rsidRPr="00A060B6" w:rsidRDefault="00F8610E" w:rsidP="00486F06">
      <w:pPr>
        <w:pStyle w:val="Apara"/>
      </w:pPr>
      <w:r w:rsidRPr="00A060B6">
        <w:tab/>
        <w:t>(c)</w:t>
      </w:r>
      <w:r w:rsidRPr="00A060B6">
        <w:tab/>
        <w:t>whether the witness has, at any time, made a prior inconsistent statement.</w:t>
      </w:r>
    </w:p>
    <w:p w:rsidR="00F8610E" w:rsidRPr="00A060B6" w:rsidRDefault="00F8610E" w:rsidP="00486F06">
      <w:pPr>
        <w:pStyle w:val="Amain"/>
      </w:pPr>
      <w:r w:rsidRPr="00A060B6">
        <w:tab/>
        <w:t>(2)</w:t>
      </w:r>
      <w:r w:rsidRPr="00A060B6">
        <w:tab/>
        <w:t>Questioning a witness under this section is taken to be cross</w:t>
      </w:r>
      <w:r w:rsidRPr="00A060B6">
        <w:noBreakHyphen/>
        <w:t>examination for this Act (other than section 39 (Limits on re</w:t>
      </w:r>
      <w:r w:rsidRPr="00A060B6">
        <w:noBreakHyphen/>
        <w:t>examination)).</w:t>
      </w:r>
    </w:p>
    <w:p w:rsidR="00F8610E" w:rsidRPr="00A060B6" w:rsidRDefault="00F8610E" w:rsidP="00486F06">
      <w:pPr>
        <w:pStyle w:val="Amain"/>
      </w:pPr>
      <w:r w:rsidRPr="00A060B6">
        <w:tab/>
        <w:t>(3)</w:t>
      </w:r>
      <w:r w:rsidRPr="00A060B6">
        <w:tab/>
        <w:t>The party questioning the witness under this section may, with the leave of the court, question the witness about matters relevant only to the witness’s credibility.</w:t>
      </w:r>
    </w:p>
    <w:p w:rsidR="00F8610E" w:rsidRPr="00A060B6" w:rsidRDefault="00F8610E" w:rsidP="00E51812">
      <w:pPr>
        <w:pStyle w:val="aNote"/>
      </w:pPr>
      <w:r w:rsidRPr="005D1BC5">
        <w:rPr>
          <w:rStyle w:val="charItals"/>
        </w:rPr>
        <w:t>Note</w:t>
      </w:r>
      <w:r w:rsidRPr="005D1BC5">
        <w:rPr>
          <w:rStyle w:val="charItals"/>
        </w:rPr>
        <w:tab/>
      </w:r>
      <w:r w:rsidRPr="00A060B6">
        <w:t>The rules about admissibility of evidence relevant only to credibility are set out in pt 3.7.</w:t>
      </w:r>
    </w:p>
    <w:p w:rsidR="00F8610E" w:rsidRPr="00A060B6" w:rsidRDefault="00F8610E" w:rsidP="00486F06">
      <w:pPr>
        <w:pStyle w:val="Amain"/>
      </w:pPr>
      <w:r w:rsidRPr="00A060B6">
        <w:tab/>
        <w:t>(4)</w:t>
      </w:r>
      <w:r w:rsidRPr="00A060B6">
        <w:tab/>
        <w:t>Questioning under this section must take place before the other parties cross-examine the witness, unless the court otherwise directs.</w:t>
      </w:r>
    </w:p>
    <w:p w:rsidR="00F8610E" w:rsidRPr="00A060B6" w:rsidRDefault="00F8610E" w:rsidP="00486F06">
      <w:pPr>
        <w:pStyle w:val="Amain"/>
      </w:pPr>
      <w:r w:rsidRPr="00A060B6">
        <w:tab/>
        <w:t>(5)</w:t>
      </w:r>
      <w:r w:rsidRPr="00A060B6">
        <w:tab/>
        <w:t>If the court gives a direction under subsection (4), the order in which the parties question the witness must be as the court directs.</w:t>
      </w:r>
    </w:p>
    <w:p w:rsidR="00F8610E" w:rsidRPr="00A060B6" w:rsidRDefault="00F8610E" w:rsidP="00486F06">
      <w:pPr>
        <w:pStyle w:val="Amain"/>
      </w:pPr>
      <w:r w:rsidRPr="00A060B6">
        <w:lastRenderedPageBreak/>
        <w:tab/>
        <w:t>(6)</w:t>
      </w:r>
      <w:r w:rsidRPr="00A060B6">
        <w:tab/>
        <w:t>Without limiting the matters that the court may take into account in deciding whether to give leave or a direction under this section, it must take into account—</w:t>
      </w:r>
    </w:p>
    <w:p w:rsidR="00F8610E" w:rsidRPr="00A060B6" w:rsidRDefault="00F8610E" w:rsidP="00486F06">
      <w:pPr>
        <w:pStyle w:val="Apara"/>
      </w:pPr>
      <w:r w:rsidRPr="00A060B6">
        <w:tab/>
        <w:t>(a)</w:t>
      </w:r>
      <w:r w:rsidRPr="00A060B6">
        <w:tab/>
        <w:t>whether the party gave notice at the earliest opportunity of the party’s intention to seek leave; and</w:t>
      </w:r>
    </w:p>
    <w:p w:rsidR="00F8610E" w:rsidRPr="00A060B6" w:rsidRDefault="00F8610E" w:rsidP="00486F06">
      <w:pPr>
        <w:pStyle w:val="Apara"/>
      </w:pPr>
      <w:r w:rsidRPr="00A060B6">
        <w:tab/>
        <w:t>(b)</w:t>
      </w:r>
      <w:r w:rsidRPr="00A060B6">
        <w:tab/>
        <w:t>the matters on which, and the extent to which, the witness has been, or is likely to be, questioned by another party.</w:t>
      </w:r>
    </w:p>
    <w:p w:rsidR="00F8610E" w:rsidRPr="00A060B6" w:rsidRDefault="00F8610E" w:rsidP="00486F06">
      <w:pPr>
        <w:pStyle w:val="Amain"/>
      </w:pPr>
      <w:r w:rsidRPr="00A060B6">
        <w:tab/>
        <w:t>(7)</w:t>
      </w:r>
      <w:r w:rsidRPr="00A060B6">
        <w:tab/>
        <w:t>A party is subject to the same liability to be cross-examined under this section as any other witness if—</w:t>
      </w:r>
    </w:p>
    <w:p w:rsidR="00F8610E" w:rsidRPr="00A060B6" w:rsidRDefault="00F8610E" w:rsidP="00486F06">
      <w:pPr>
        <w:pStyle w:val="Apara"/>
      </w:pPr>
      <w:r w:rsidRPr="00A060B6">
        <w:tab/>
        <w:t>(a)</w:t>
      </w:r>
      <w:r w:rsidRPr="00A060B6">
        <w:tab/>
        <w:t>a proceeding is being conducted in the name of the party by or on behalf of an insurer or someone else; and</w:t>
      </w:r>
    </w:p>
    <w:p w:rsidR="00F8610E" w:rsidRPr="00A060B6" w:rsidRDefault="00F8610E" w:rsidP="00486F06">
      <w:pPr>
        <w:pStyle w:val="Apara"/>
      </w:pPr>
      <w:r w:rsidRPr="00A060B6">
        <w:tab/>
        <w:t>(b)</w:t>
      </w:r>
      <w:r w:rsidRPr="00A060B6">
        <w:tab/>
        <w:t>the party is a witness in the proceeding.</w:t>
      </w:r>
    </w:p>
    <w:p w:rsidR="00F8610E" w:rsidRPr="00A060B6" w:rsidRDefault="00F8610E" w:rsidP="00486F06">
      <w:pPr>
        <w:pStyle w:val="AH5Sec"/>
      </w:pPr>
      <w:bookmarkStart w:id="58" w:name="_Toc11748413"/>
      <w:r w:rsidRPr="003925E1">
        <w:rPr>
          <w:rStyle w:val="CharSectNo"/>
        </w:rPr>
        <w:t>39</w:t>
      </w:r>
      <w:r w:rsidRPr="00A060B6">
        <w:tab/>
        <w:t>Limits on re-examination</w:t>
      </w:r>
      <w:bookmarkEnd w:id="58"/>
    </w:p>
    <w:p w:rsidR="00F8610E" w:rsidRPr="00A060B6" w:rsidRDefault="00F8610E" w:rsidP="00E51812">
      <w:pPr>
        <w:pStyle w:val="Amainreturn"/>
        <w:keepNext/>
      </w:pPr>
      <w:r w:rsidRPr="00A060B6">
        <w:t>On re-examination—</w:t>
      </w:r>
    </w:p>
    <w:p w:rsidR="00F8610E" w:rsidRPr="00A060B6" w:rsidRDefault="00F8610E" w:rsidP="00486F06">
      <w:pPr>
        <w:pStyle w:val="Apara"/>
      </w:pPr>
      <w:r w:rsidRPr="00A060B6">
        <w:tab/>
        <w:t>(a)</w:t>
      </w:r>
      <w:r w:rsidRPr="00A060B6">
        <w:tab/>
        <w:t>a witness may be questioned about matters arising out of evidence given by the witness in cross-examination; and</w:t>
      </w:r>
    </w:p>
    <w:p w:rsidR="00F8610E" w:rsidRPr="00A060B6" w:rsidRDefault="00F8610E" w:rsidP="00486F06">
      <w:pPr>
        <w:pStyle w:val="Apara"/>
      </w:pPr>
      <w:r w:rsidRPr="00A060B6">
        <w:tab/>
        <w:t>(b)</w:t>
      </w:r>
      <w:r w:rsidRPr="00A060B6">
        <w:tab/>
        <w:t>other questions may not be put to the witness unless the court gives leave.</w:t>
      </w:r>
    </w:p>
    <w:p w:rsidR="00F8610E" w:rsidRPr="003925E1" w:rsidRDefault="00F8610E" w:rsidP="003925E1">
      <w:pPr>
        <w:pStyle w:val="AH3Div"/>
      </w:pPr>
      <w:bookmarkStart w:id="59" w:name="_Toc11748414"/>
      <w:r w:rsidRPr="003925E1">
        <w:rPr>
          <w:rStyle w:val="CharDivNo"/>
        </w:rPr>
        <w:lastRenderedPageBreak/>
        <w:t>Division 2.1.5</w:t>
      </w:r>
      <w:r w:rsidRPr="00A060B6">
        <w:tab/>
      </w:r>
      <w:r w:rsidRPr="003925E1">
        <w:rPr>
          <w:rStyle w:val="CharDivText"/>
        </w:rPr>
        <w:t>Cross-examination</w:t>
      </w:r>
      <w:bookmarkEnd w:id="59"/>
    </w:p>
    <w:p w:rsidR="00F8610E" w:rsidRPr="00A060B6" w:rsidRDefault="00F8610E" w:rsidP="003925E1">
      <w:pPr>
        <w:pStyle w:val="AH5Sec"/>
      </w:pPr>
      <w:bookmarkStart w:id="60" w:name="_Toc11748415"/>
      <w:r w:rsidRPr="003925E1">
        <w:rPr>
          <w:rStyle w:val="CharSectNo"/>
        </w:rPr>
        <w:t>40</w:t>
      </w:r>
      <w:r w:rsidRPr="00A060B6">
        <w:tab/>
        <w:t>Witness called in error</w:t>
      </w:r>
      <w:bookmarkEnd w:id="60"/>
    </w:p>
    <w:p w:rsidR="00F8610E" w:rsidRPr="00A060B6" w:rsidRDefault="00F8610E" w:rsidP="003925E1">
      <w:pPr>
        <w:pStyle w:val="Amainreturn"/>
        <w:keepNext/>
      </w:pPr>
      <w:r w:rsidRPr="00A060B6">
        <w:t>A party must not cross-examine a witness who has been called in error by another party and has not been questioned by the other party about a matter relevant to a question to be decided in the proceeding.</w:t>
      </w:r>
    </w:p>
    <w:p w:rsidR="00F8610E" w:rsidRPr="00A060B6" w:rsidRDefault="00F8610E" w:rsidP="003925E1">
      <w:pPr>
        <w:pStyle w:val="AH5Sec"/>
        <w:keepLines/>
      </w:pPr>
      <w:bookmarkStart w:id="61" w:name="_Toc11748416"/>
      <w:r w:rsidRPr="003925E1">
        <w:rPr>
          <w:rStyle w:val="CharSectNo"/>
        </w:rPr>
        <w:t>41</w:t>
      </w:r>
      <w:r w:rsidRPr="00A060B6">
        <w:tab/>
        <w:t>Improper questions</w:t>
      </w:r>
      <w:bookmarkEnd w:id="61"/>
    </w:p>
    <w:p w:rsidR="00F8610E" w:rsidRPr="00A060B6" w:rsidRDefault="00F8610E" w:rsidP="003925E1">
      <w:pPr>
        <w:pStyle w:val="Amain"/>
        <w:keepNext/>
        <w:keepLines/>
      </w:pPr>
      <w:r w:rsidRPr="00A060B6">
        <w:tab/>
        <w:t>(1)</w:t>
      </w:r>
      <w:r w:rsidRPr="00A060B6">
        <w:tab/>
        <w:t>The court must disallow a question put to a witness in cross</w:t>
      </w:r>
      <w:r w:rsidRPr="00A060B6">
        <w:noBreakHyphen/>
        <w:t xml:space="preserve">examination, or tell the witness that it need not be answered, if the court is of the opinion that the question (a </w:t>
      </w:r>
      <w:r w:rsidRPr="005D1BC5">
        <w:rPr>
          <w:rStyle w:val="charBoldItals"/>
        </w:rPr>
        <w:t>disallowable question</w:t>
      </w:r>
      <w:r w:rsidRPr="00A060B6">
        <w:t>)—</w:t>
      </w:r>
    </w:p>
    <w:p w:rsidR="00F8610E" w:rsidRPr="00A060B6" w:rsidRDefault="00F8610E" w:rsidP="00486F06">
      <w:pPr>
        <w:pStyle w:val="Apara"/>
      </w:pPr>
      <w:r w:rsidRPr="00A060B6">
        <w:tab/>
        <w:t>(a)</w:t>
      </w:r>
      <w:r w:rsidRPr="00A060B6">
        <w:tab/>
        <w:t>is misleading or confusing; or</w:t>
      </w:r>
    </w:p>
    <w:p w:rsidR="00F8610E" w:rsidRPr="00A060B6" w:rsidRDefault="00F8610E" w:rsidP="00486F06">
      <w:pPr>
        <w:pStyle w:val="Apara"/>
      </w:pPr>
      <w:r w:rsidRPr="00A060B6">
        <w:tab/>
        <w:t>(b)</w:t>
      </w:r>
      <w:r w:rsidRPr="00A060B6">
        <w:tab/>
        <w:t>is unduly annoying, harassing, intimidating, offensive, oppressive, humiliating or repetitive; or</w:t>
      </w:r>
    </w:p>
    <w:p w:rsidR="00F8610E" w:rsidRPr="00A060B6" w:rsidRDefault="00F8610E" w:rsidP="00486F06">
      <w:pPr>
        <w:pStyle w:val="Apara"/>
        <w:rPr>
          <w:lang w:eastAsia="en-AU"/>
        </w:rPr>
      </w:pPr>
      <w:r w:rsidRPr="00A060B6">
        <w:rPr>
          <w:lang w:eastAsia="en-AU"/>
        </w:rPr>
        <w:tab/>
        <w:t>(c)</w:t>
      </w:r>
      <w:r w:rsidRPr="00A060B6">
        <w:rPr>
          <w:lang w:eastAsia="en-AU"/>
        </w:rPr>
        <w:tab/>
        <w:t>is put to the witness in a manner or tone that is belittling, insulting or otherwise inappropriate; or</w:t>
      </w:r>
    </w:p>
    <w:p w:rsidR="00F8610E" w:rsidRPr="00A060B6" w:rsidRDefault="00F8610E" w:rsidP="00486F06">
      <w:pPr>
        <w:pStyle w:val="Apara"/>
        <w:rPr>
          <w:lang w:eastAsia="en-AU"/>
        </w:rPr>
      </w:pPr>
      <w:r w:rsidRPr="00A060B6">
        <w:rPr>
          <w:lang w:eastAsia="en-AU"/>
        </w:rPr>
        <w:tab/>
        <w:t>(d)</w:t>
      </w:r>
      <w:r w:rsidRPr="00A060B6">
        <w:rPr>
          <w:lang w:eastAsia="en-AU"/>
        </w:rPr>
        <w:tab/>
        <w:t>has no basis other than a stereotype (for example, a stereotype based on the witness’s sex, race, culture, ethnicity, age or mental, intellectual or physical disability).</w:t>
      </w:r>
    </w:p>
    <w:p w:rsidR="00F8610E" w:rsidRPr="00A060B6" w:rsidRDefault="00F8610E" w:rsidP="00486F06">
      <w:pPr>
        <w:pStyle w:val="Amain"/>
      </w:pPr>
      <w:r w:rsidRPr="00A060B6">
        <w:tab/>
        <w:t>(2)</w:t>
      </w:r>
      <w:r w:rsidRPr="00A060B6">
        <w:tab/>
        <w:t>Without limiting the matters the court may take into account for subsection (1), it must take into account—</w:t>
      </w:r>
    </w:p>
    <w:p w:rsidR="00F8610E" w:rsidRPr="00A060B6" w:rsidRDefault="00F8610E" w:rsidP="00486F06">
      <w:pPr>
        <w:pStyle w:val="Apara"/>
      </w:pPr>
      <w:r w:rsidRPr="00A060B6">
        <w:tab/>
        <w:t>(a)</w:t>
      </w:r>
      <w:r w:rsidRPr="00A060B6">
        <w:tab/>
        <w:t>any relevant condition or characteristic of the witness of which the court is, or is made, aware, including age, education, ethnic and cultural background, gender, language background and skills, level of maturity and understanding and personality; and</w:t>
      </w:r>
    </w:p>
    <w:p w:rsidR="00F8610E" w:rsidRPr="00A060B6" w:rsidRDefault="00F8610E" w:rsidP="00486F06">
      <w:pPr>
        <w:pStyle w:val="Apara"/>
      </w:pPr>
      <w:r w:rsidRPr="00A060B6">
        <w:tab/>
        <w:t>(b)</w:t>
      </w:r>
      <w:r w:rsidRPr="00A060B6">
        <w:tab/>
        <w:t>any mental, intellectual or physical disability of which the court is, or is made, aware and to which the witness is, or appears to be, subject; and</w:t>
      </w:r>
    </w:p>
    <w:p w:rsidR="00F8610E" w:rsidRPr="00A060B6" w:rsidRDefault="00F8610E" w:rsidP="00D1392E">
      <w:pPr>
        <w:pStyle w:val="Apara"/>
        <w:keepNext/>
        <w:rPr>
          <w:lang w:eastAsia="en-AU"/>
        </w:rPr>
      </w:pPr>
      <w:r w:rsidRPr="00A060B6">
        <w:rPr>
          <w:lang w:eastAsia="en-AU"/>
        </w:rPr>
        <w:lastRenderedPageBreak/>
        <w:tab/>
        <w:t>(c)</w:t>
      </w:r>
      <w:r w:rsidRPr="00A060B6">
        <w:rPr>
          <w:lang w:eastAsia="en-AU"/>
        </w:rPr>
        <w:tab/>
        <w:t xml:space="preserve">the context in which the question is put, including— </w:t>
      </w:r>
    </w:p>
    <w:p w:rsidR="00F8610E" w:rsidRPr="00A060B6" w:rsidRDefault="00F8610E" w:rsidP="00486F06">
      <w:pPr>
        <w:pStyle w:val="Asubpara"/>
        <w:rPr>
          <w:lang w:eastAsia="en-AU"/>
        </w:rPr>
      </w:pPr>
      <w:r w:rsidRPr="00A060B6">
        <w:rPr>
          <w:lang w:eastAsia="en-AU"/>
        </w:rPr>
        <w:tab/>
        <w:t>(i)</w:t>
      </w:r>
      <w:r w:rsidRPr="00A060B6">
        <w:rPr>
          <w:lang w:eastAsia="en-AU"/>
        </w:rPr>
        <w:tab/>
        <w:t>the nature of the proceeding; and</w:t>
      </w:r>
    </w:p>
    <w:p w:rsidR="00F8610E" w:rsidRPr="00A060B6" w:rsidRDefault="00F8610E" w:rsidP="00486F06">
      <w:pPr>
        <w:pStyle w:val="Asubpara"/>
        <w:rPr>
          <w:lang w:eastAsia="en-AU"/>
        </w:rPr>
      </w:pPr>
      <w:r w:rsidRPr="00A060B6">
        <w:rPr>
          <w:lang w:eastAsia="en-AU"/>
        </w:rPr>
        <w:tab/>
        <w:t>(ii)</w:t>
      </w:r>
      <w:r w:rsidRPr="00A060B6">
        <w:rPr>
          <w:lang w:eastAsia="en-AU"/>
        </w:rPr>
        <w:tab/>
        <w:t>in a criminal proceeding—the nature of the offence to which the proceeding relates; and</w:t>
      </w:r>
    </w:p>
    <w:p w:rsidR="00F8610E" w:rsidRPr="00A060B6" w:rsidRDefault="00F8610E" w:rsidP="00486F06">
      <w:pPr>
        <w:pStyle w:val="Asubpara"/>
        <w:rPr>
          <w:lang w:eastAsia="en-AU"/>
        </w:rPr>
      </w:pPr>
      <w:r w:rsidRPr="00A060B6">
        <w:rPr>
          <w:lang w:eastAsia="en-AU"/>
        </w:rPr>
        <w:tab/>
        <w:t>(iii)</w:t>
      </w:r>
      <w:r w:rsidRPr="00A060B6">
        <w:rPr>
          <w:lang w:eastAsia="en-AU"/>
        </w:rPr>
        <w:tab/>
        <w:t>the relationship (if any) between the witness and any other party to the proceeding.</w:t>
      </w:r>
    </w:p>
    <w:p w:rsidR="00F8610E" w:rsidRPr="00A060B6" w:rsidRDefault="00F8610E" w:rsidP="00486F06">
      <w:pPr>
        <w:pStyle w:val="Amain"/>
        <w:rPr>
          <w:lang w:eastAsia="en-AU"/>
        </w:rPr>
      </w:pPr>
      <w:r w:rsidRPr="00A060B6">
        <w:rPr>
          <w:lang w:eastAsia="en-AU"/>
        </w:rPr>
        <w:tab/>
        <w:t>(3)</w:t>
      </w:r>
      <w:r w:rsidRPr="00A060B6">
        <w:rPr>
          <w:lang w:eastAsia="en-AU"/>
        </w:rPr>
        <w:tab/>
        <w:t xml:space="preserve">A question is not a disallowable question only because— </w:t>
      </w:r>
    </w:p>
    <w:p w:rsidR="00F8610E" w:rsidRPr="00A060B6" w:rsidRDefault="00F8610E" w:rsidP="00486F06">
      <w:pPr>
        <w:pStyle w:val="Apara"/>
        <w:rPr>
          <w:lang w:eastAsia="en-AU"/>
        </w:rPr>
      </w:pPr>
      <w:r w:rsidRPr="00A060B6">
        <w:rPr>
          <w:lang w:eastAsia="en-AU"/>
        </w:rPr>
        <w:tab/>
        <w:t>(a)</w:t>
      </w:r>
      <w:r w:rsidRPr="00A060B6">
        <w:rPr>
          <w:lang w:eastAsia="en-AU"/>
        </w:rPr>
        <w:tab/>
        <w:t>the question challenges the truthfulness of the witness or the consistency or accuracy of any statement made by the witness; or</w:t>
      </w:r>
    </w:p>
    <w:p w:rsidR="00F8610E" w:rsidRPr="00A060B6" w:rsidRDefault="00F8610E" w:rsidP="00486F06">
      <w:pPr>
        <w:pStyle w:val="Apara"/>
        <w:rPr>
          <w:lang w:eastAsia="en-AU"/>
        </w:rPr>
      </w:pPr>
      <w:r w:rsidRPr="00A060B6">
        <w:rPr>
          <w:lang w:eastAsia="en-AU"/>
        </w:rPr>
        <w:tab/>
        <w:t>(b)</w:t>
      </w:r>
      <w:r w:rsidRPr="00A060B6">
        <w:rPr>
          <w:lang w:eastAsia="en-AU"/>
        </w:rPr>
        <w:tab/>
        <w:t>the question requires the witness to discuss a subject that could be considered distasteful to, or private by, the witness.</w:t>
      </w:r>
    </w:p>
    <w:p w:rsidR="00F8610E" w:rsidRPr="00A060B6" w:rsidRDefault="00F8610E" w:rsidP="00486F06">
      <w:pPr>
        <w:pStyle w:val="Amain"/>
        <w:rPr>
          <w:lang w:eastAsia="en-AU"/>
        </w:rPr>
      </w:pPr>
      <w:r w:rsidRPr="00A060B6">
        <w:rPr>
          <w:lang w:eastAsia="en-AU"/>
        </w:rPr>
        <w:tab/>
        <w:t>(4)</w:t>
      </w:r>
      <w:r w:rsidRPr="00A060B6">
        <w:rPr>
          <w:lang w:eastAsia="en-AU"/>
        </w:rPr>
        <w:tab/>
        <w:t>A party may object to a question put to a witness on the ground that it is a disallowable question.</w:t>
      </w:r>
    </w:p>
    <w:p w:rsidR="00F8610E" w:rsidRPr="00A060B6" w:rsidRDefault="00F8610E" w:rsidP="00486F06">
      <w:pPr>
        <w:pStyle w:val="Amain"/>
        <w:rPr>
          <w:lang w:eastAsia="en-AU"/>
        </w:rPr>
      </w:pPr>
      <w:r w:rsidRPr="00A060B6">
        <w:rPr>
          <w:lang w:eastAsia="en-AU"/>
        </w:rPr>
        <w:tab/>
        <w:t>(5)</w:t>
      </w:r>
      <w:r w:rsidRPr="00A060B6">
        <w:rPr>
          <w:lang w:eastAsia="en-AU"/>
        </w:rPr>
        <w:tab/>
        <w:t>However, the duty imposed on the court by this section applies whether or not an objection is raised to a particular question.</w:t>
      </w:r>
    </w:p>
    <w:p w:rsidR="00F8610E" w:rsidRPr="00A060B6" w:rsidRDefault="00F8610E" w:rsidP="00486F06">
      <w:pPr>
        <w:pStyle w:val="Amain"/>
        <w:rPr>
          <w:lang w:eastAsia="en-AU"/>
        </w:rPr>
      </w:pPr>
      <w:r w:rsidRPr="00A060B6">
        <w:rPr>
          <w:lang w:eastAsia="en-AU"/>
        </w:rPr>
        <w:tab/>
        <w:t>(6)</w:t>
      </w:r>
      <w:r w:rsidRPr="00A060B6">
        <w:rPr>
          <w:lang w:eastAsia="en-AU"/>
        </w:rPr>
        <w:tab/>
        <w:t>A failure by the court to disallow a question under this section, or to tell the witness that it need not be answered, does not affect the admissibility in evidence of any answer given by the witness in response to the question.</w:t>
      </w:r>
    </w:p>
    <w:p w:rsidR="00F8610E" w:rsidRPr="00A060B6" w:rsidRDefault="00F8610E" w:rsidP="00ED6737">
      <w:pPr>
        <w:pStyle w:val="aNote"/>
        <w:rPr>
          <w:lang w:eastAsia="en-AU"/>
        </w:rPr>
      </w:pPr>
      <w:r w:rsidRPr="005D1BC5">
        <w:rPr>
          <w:rStyle w:val="charItals"/>
        </w:rPr>
        <w:t>Note</w:t>
      </w:r>
      <w:r w:rsidRPr="005D1BC5">
        <w:rPr>
          <w:rStyle w:val="charItals"/>
        </w:rPr>
        <w:tab/>
      </w:r>
      <w:r w:rsidRPr="00A060B6">
        <w:rPr>
          <w:lang w:eastAsia="en-AU"/>
        </w:rPr>
        <w:t>A person must not, without the express permission of the court, print or publish any question that the court has disallowed under this section (see s 195).</w:t>
      </w:r>
    </w:p>
    <w:p w:rsidR="00F8610E" w:rsidRPr="00A060B6" w:rsidRDefault="00F8610E" w:rsidP="00D1392E">
      <w:pPr>
        <w:pStyle w:val="AH5Sec"/>
      </w:pPr>
      <w:bookmarkStart w:id="62" w:name="_Toc11748417"/>
      <w:r w:rsidRPr="003925E1">
        <w:rPr>
          <w:rStyle w:val="CharSectNo"/>
        </w:rPr>
        <w:lastRenderedPageBreak/>
        <w:t>42</w:t>
      </w:r>
      <w:r w:rsidRPr="00A060B6">
        <w:tab/>
        <w:t>Leading questions</w:t>
      </w:r>
      <w:bookmarkEnd w:id="62"/>
    </w:p>
    <w:p w:rsidR="00F8610E" w:rsidRPr="00A060B6" w:rsidRDefault="00F8610E" w:rsidP="00D1392E">
      <w:pPr>
        <w:pStyle w:val="Amain"/>
        <w:keepNext/>
      </w:pPr>
      <w:r w:rsidRPr="00A060B6">
        <w:tab/>
        <w:t>(1)</w:t>
      </w:r>
      <w:r w:rsidRPr="00A060B6">
        <w:tab/>
        <w:t>A party may put a leading question to a witness in cross</w:t>
      </w:r>
      <w:r w:rsidRPr="00A060B6">
        <w:noBreakHyphen/>
        <w:t>examination unless the court disallows the question or directs the witness not to answer it.</w:t>
      </w:r>
    </w:p>
    <w:p w:rsidR="00F8610E" w:rsidRPr="00A060B6" w:rsidRDefault="00F8610E" w:rsidP="00486F06">
      <w:pPr>
        <w:pStyle w:val="Amain"/>
      </w:pPr>
      <w:r w:rsidRPr="00A060B6">
        <w:tab/>
        <w:t>(2)</w:t>
      </w:r>
      <w:r w:rsidRPr="00A060B6">
        <w:tab/>
        <w:t>Without limiting the matters that the court may take into account in deciding whether to disallow the question or give a direction, it must take into account the extent to which—</w:t>
      </w:r>
    </w:p>
    <w:p w:rsidR="00F8610E" w:rsidRPr="00A060B6" w:rsidRDefault="00F8610E" w:rsidP="00486F06">
      <w:pPr>
        <w:pStyle w:val="Apara"/>
      </w:pPr>
      <w:r w:rsidRPr="00A060B6">
        <w:tab/>
        <w:t>(a)</w:t>
      </w:r>
      <w:r w:rsidRPr="00A060B6">
        <w:tab/>
        <w:t>evidence that has been given by the witness in examination</w:t>
      </w:r>
      <w:r w:rsidRPr="00A060B6">
        <w:noBreakHyphen/>
        <w:t>in</w:t>
      </w:r>
      <w:r w:rsidRPr="00A060B6">
        <w:noBreakHyphen/>
        <w:t>chief is unfavourable to the party who called the witness; and</w:t>
      </w:r>
    </w:p>
    <w:p w:rsidR="00F8610E" w:rsidRPr="00A060B6" w:rsidRDefault="00F8610E" w:rsidP="00486F06">
      <w:pPr>
        <w:pStyle w:val="Apara"/>
      </w:pPr>
      <w:r w:rsidRPr="00A060B6">
        <w:tab/>
        <w:t>(b)</w:t>
      </w:r>
      <w:r w:rsidRPr="00A060B6">
        <w:tab/>
        <w:t>the witness has an interest consistent with an interest of the cross-examiner; and</w:t>
      </w:r>
    </w:p>
    <w:p w:rsidR="00F8610E" w:rsidRPr="00A060B6" w:rsidRDefault="00F8610E" w:rsidP="00486F06">
      <w:pPr>
        <w:pStyle w:val="Apara"/>
      </w:pPr>
      <w:r w:rsidRPr="00A060B6">
        <w:tab/>
        <w:t>(c)</w:t>
      </w:r>
      <w:r w:rsidRPr="00A060B6">
        <w:tab/>
        <w:t>the witness is sympathetic to the party conducting the cross</w:t>
      </w:r>
      <w:r w:rsidRPr="00A060B6">
        <w:noBreakHyphen/>
        <w:t>examination, either generally or about a particular matter; and</w:t>
      </w:r>
    </w:p>
    <w:p w:rsidR="00F8610E" w:rsidRPr="00A060B6" w:rsidRDefault="00F8610E" w:rsidP="00486F06">
      <w:pPr>
        <w:pStyle w:val="Apara"/>
      </w:pPr>
      <w:r w:rsidRPr="00A060B6">
        <w:tab/>
        <w:t>(d)</w:t>
      </w:r>
      <w:r w:rsidRPr="00A060B6">
        <w:tab/>
        <w:t>the witness’s age, or any mental, intellectual or physical disability to which the witness is subject, may affect the witness’s answers.</w:t>
      </w:r>
    </w:p>
    <w:p w:rsidR="00F8610E" w:rsidRPr="00A060B6" w:rsidRDefault="00F8610E" w:rsidP="00486F06">
      <w:pPr>
        <w:pStyle w:val="Amain"/>
      </w:pPr>
      <w:r w:rsidRPr="00A060B6">
        <w:tab/>
        <w:t>(3)</w:t>
      </w:r>
      <w:r w:rsidRPr="00A060B6">
        <w:tab/>
        <w:t>The court must disallow the question, or direct the witness not to answer it, if the court is satisfied that the facts would be better ascertained if leading questions were not used.</w:t>
      </w:r>
    </w:p>
    <w:p w:rsidR="00F8610E" w:rsidRPr="00A060B6" w:rsidRDefault="00F8610E" w:rsidP="00486F06">
      <w:pPr>
        <w:pStyle w:val="Amain"/>
      </w:pPr>
      <w:r w:rsidRPr="00A060B6">
        <w:tab/>
        <w:t>(4)</w:t>
      </w:r>
      <w:r w:rsidRPr="00A060B6">
        <w:tab/>
        <w:t>This section does not limit the court’s power to control leading questions.</w:t>
      </w:r>
    </w:p>
    <w:p w:rsidR="00F8610E" w:rsidRPr="00A060B6" w:rsidRDefault="00F8610E" w:rsidP="00E51812">
      <w:pPr>
        <w:pStyle w:val="aNote"/>
      </w:pPr>
      <w:r w:rsidRPr="005D1BC5">
        <w:rPr>
          <w:rStyle w:val="charItals"/>
        </w:rPr>
        <w:t>Note</w:t>
      </w:r>
      <w:r w:rsidRPr="005D1BC5">
        <w:rPr>
          <w:rStyle w:val="charItals"/>
        </w:rPr>
        <w:tab/>
      </w:r>
      <w:r w:rsidRPr="005D1BC5">
        <w:rPr>
          <w:rStyle w:val="charBoldItals"/>
        </w:rPr>
        <w:t>Leading question</w:t>
      </w:r>
      <w:r w:rsidRPr="00A060B6">
        <w:t>—see the dictionary.</w:t>
      </w:r>
    </w:p>
    <w:p w:rsidR="00F8610E" w:rsidRPr="00A060B6" w:rsidRDefault="00F8610E" w:rsidP="00D1392E">
      <w:pPr>
        <w:pStyle w:val="AH5Sec"/>
      </w:pPr>
      <w:bookmarkStart w:id="63" w:name="_Toc11748418"/>
      <w:r w:rsidRPr="003925E1">
        <w:rPr>
          <w:rStyle w:val="CharSectNo"/>
        </w:rPr>
        <w:lastRenderedPageBreak/>
        <w:t>43</w:t>
      </w:r>
      <w:r w:rsidRPr="00A060B6">
        <w:tab/>
        <w:t>Prior inconsistent statements of witnesses</w:t>
      </w:r>
      <w:bookmarkEnd w:id="63"/>
    </w:p>
    <w:p w:rsidR="00F8610E" w:rsidRPr="00A060B6" w:rsidRDefault="00F8610E" w:rsidP="00D1392E">
      <w:pPr>
        <w:pStyle w:val="Amain"/>
        <w:keepNext/>
      </w:pPr>
      <w:r w:rsidRPr="00A060B6">
        <w:tab/>
        <w:t>(1)</w:t>
      </w:r>
      <w:r w:rsidRPr="00A060B6">
        <w:tab/>
        <w:t>A witness may be cross-examined about a prior inconsistent statement alleged to have been made by the witness whether or not—</w:t>
      </w:r>
    </w:p>
    <w:p w:rsidR="00F8610E" w:rsidRPr="00A060B6" w:rsidRDefault="00F8610E" w:rsidP="00D1392E">
      <w:pPr>
        <w:pStyle w:val="Apara"/>
        <w:keepNext/>
      </w:pPr>
      <w:r w:rsidRPr="00A060B6">
        <w:tab/>
        <w:t>(a)</w:t>
      </w:r>
      <w:r w:rsidRPr="00A060B6">
        <w:tab/>
        <w:t>complete particulars of the statement have been given to the witness; or</w:t>
      </w:r>
    </w:p>
    <w:p w:rsidR="00F8610E" w:rsidRPr="00A060B6" w:rsidRDefault="00F8610E" w:rsidP="00486F06">
      <w:pPr>
        <w:pStyle w:val="Apara"/>
      </w:pPr>
      <w:r w:rsidRPr="00A060B6">
        <w:tab/>
        <w:t>(b)</w:t>
      </w:r>
      <w:r w:rsidRPr="00A060B6">
        <w:tab/>
        <w:t>a document containing a record of the statement has been shown to the witness.</w:t>
      </w:r>
    </w:p>
    <w:p w:rsidR="00F8610E" w:rsidRPr="00A060B6" w:rsidRDefault="00F8610E" w:rsidP="00486F06">
      <w:pPr>
        <w:pStyle w:val="Amain"/>
      </w:pPr>
      <w:r w:rsidRPr="00A060B6">
        <w:tab/>
        <w:t>(2)</w:t>
      </w:r>
      <w:r w:rsidRPr="00A060B6">
        <w:tab/>
        <w:t>If, in cross-examination, a witness does not admit that the witness has made a prior inconsistent statement, the cross-examiner must not present evidence of the statement otherwise than from the witness unless, in the cross-examination, the cross-examiner—</w:t>
      </w:r>
    </w:p>
    <w:p w:rsidR="00F8610E" w:rsidRPr="00A060B6" w:rsidRDefault="00F8610E" w:rsidP="00486F06">
      <w:pPr>
        <w:pStyle w:val="Apara"/>
      </w:pPr>
      <w:r w:rsidRPr="00A060B6">
        <w:tab/>
        <w:t>(a)</w:t>
      </w:r>
      <w:r w:rsidRPr="00A060B6">
        <w:tab/>
        <w:t>told the witness enough of the circumstances of the making of the statement to enable the witness to identify the statement; and</w:t>
      </w:r>
    </w:p>
    <w:p w:rsidR="00F8610E" w:rsidRPr="00A060B6" w:rsidRDefault="00F8610E" w:rsidP="00486F06">
      <w:pPr>
        <w:pStyle w:val="Apara"/>
      </w:pPr>
      <w:r w:rsidRPr="00A060B6">
        <w:tab/>
        <w:t>(b)</w:t>
      </w:r>
      <w:r w:rsidRPr="00A060B6">
        <w:tab/>
        <w:t>drew the witness’s attention to the part of the statement that is inconsistent with the witness’s evidence.</w:t>
      </w:r>
    </w:p>
    <w:p w:rsidR="00F8610E" w:rsidRPr="00A060B6" w:rsidRDefault="00F8610E" w:rsidP="00486F06">
      <w:pPr>
        <w:pStyle w:val="Amain"/>
      </w:pPr>
      <w:r w:rsidRPr="00A060B6">
        <w:tab/>
        <w:t>(3)</w:t>
      </w:r>
      <w:r w:rsidRPr="00A060B6">
        <w:tab/>
        <w:t>For the purpose of presenting evidence of the statement, a party may re-open the party’s case.</w:t>
      </w:r>
    </w:p>
    <w:p w:rsidR="00F8610E" w:rsidRPr="00A060B6" w:rsidRDefault="00F8610E" w:rsidP="00486F06">
      <w:pPr>
        <w:pStyle w:val="AH5Sec"/>
      </w:pPr>
      <w:bookmarkStart w:id="64" w:name="_Toc11748419"/>
      <w:r w:rsidRPr="003925E1">
        <w:rPr>
          <w:rStyle w:val="CharSectNo"/>
        </w:rPr>
        <w:t>44</w:t>
      </w:r>
      <w:r w:rsidRPr="00A060B6">
        <w:tab/>
        <w:t>Previous representations of other people</w:t>
      </w:r>
      <w:bookmarkEnd w:id="64"/>
    </w:p>
    <w:p w:rsidR="00F8610E" w:rsidRPr="00A060B6" w:rsidRDefault="00F8610E" w:rsidP="00182C51">
      <w:pPr>
        <w:pStyle w:val="Amain"/>
        <w:keepNext/>
      </w:pPr>
      <w:r w:rsidRPr="00A060B6">
        <w:tab/>
        <w:t>(1)</w:t>
      </w:r>
      <w:r w:rsidRPr="00A060B6">
        <w:tab/>
        <w:t>Except as provided by this section, a cross-examiner must not question a witness about a previous representation alleged to have been made by a person other than the witness.</w:t>
      </w:r>
    </w:p>
    <w:p w:rsidR="00F8610E" w:rsidRPr="00A060B6" w:rsidRDefault="00F8610E" w:rsidP="00486F06">
      <w:pPr>
        <w:pStyle w:val="Amain"/>
      </w:pPr>
      <w:r w:rsidRPr="00A060B6">
        <w:tab/>
        <w:t>(2)</w:t>
      </w:r>
      <w:r w:rsidRPr="00A060B6">
        <w:tab/>
        <w:t>A cross-examiner may question a witness about the representation and its contents if—</w:t>
      </w:r>
    </w:p>
    <w:p w:rsidR="00F8610E" w:rsidRPr="00A060B6" w:rsidRDefault="00F8610E" w:rsidP="00486F06">
      <w:pPr>
        <w:pStyle w:val="Apara"/>
      </w:pPr>
      <w:r w:rsidRPr="00A060B6">
        <w:tab/>
        <w:t>(a)</w:t>
      </w:r>
      <w:r w:rsidRPr="00A060B6">
        <w:tab/>
        <w:t>evidence of the representation has been admitted; or</w:t>
      </w:r>
    </w:p>
    <w:p w:rsidR="00F8610E" w:rsidRPr="00A060B6" w:rsidRDefault="00F8610E" w:rsidP="00486F06">
      <w:pPr>
        <w:pStyle w:val="Apara"/>
      </w:pPr>
      <w:r w:rsidRPr="00A060B6">
        <w:tab/>
        <w:t>(b)</w:t>
      </w:r>
      <w:r w:rsidRPr="00A060B6">
        <w:tab/>
        <w:t>the court is satisfied that it will be admitted.</w:t>
      </w:r>
    </w:p>
    <w:p w:rsidR="00F8610E" w:rsidRPr="00A060B6" w:rsidRDefault="00F8610E" w:rsidP="00D1392E">
      <w:pPr>
        <w:pStyle w:val="Amain"/>
        <w:keepNext/>
      </w:pPr>
      <w:r w:rsidRPr="00A060B6">
        <w:lastRenderedPageBreak/>
        <w:tab/>
        <w:t>(3)</w:t>
      </w:r>
      <w:r w:rsidRPr="00A060B6">
        <w:tab/>
        <w:t>If subsection (2) does not apply and the representation is contained in a document, the document may only be used to question a witness as follows:</w:t>
      </w:r>
    </w:p>
    <w:p w:rsidR="00F8610E" w:rsidRPr="00A060B6" w:rsidRDefault="00F8610E" w:rsidP="00486F06">
      <w:pPr>
        <w:pStyle w:val="Apara"/>
      </w:pPr>
      <w:r w:rsidRPr="00A060B6">
        <w:tab/>
        <w:t>(a)</w:t>
      </w:r>
      <w:r w:rsidRPr="00A060B6">
        <w:tab/>
        <w:t>the document must be produced to the witness;</w:t>
      </w:r>
    </w:p>
    <w:p w:rsidR="00F8610E" w:rsidRPr="00A060B6" w:rsidRDefault="00F8610E" w:rsidP="00486F06">
      <w:pPr>
        <w:pStyle w:val="Apara"/>
      </w:pPr>
      <w:r w:rsidRPr="00A060B6">
        <w:tab/>
        <w:t>(b)</w:t>
      </w:r>
      <w:r w:rsidRPr="00A060B6">
        <w:tab/>
        <w:t>if the document is a tape recording, or any other kind of document from which sounds are reproduced—the witness must be provided with the means (for example, headphones) to listen to the contents of the document without other people present at the cross-examination hearing the contents;</w:t>
      </w:r>
    </w:p>
    <w:p w:rsidR="00F8610E" w:rsidRPr="00A060B6" w:rsidRDefault="00F8610E" w:rsidP="00486F06">
      <w:pPr>
        <w:pStyle w:val="Apara"/>
      </w:pPr>
      <w:r w:rsidRPr="00A060B6">
        <w:tab/>
        <w:t>(c)</w:t>
      </w:r>
      <w:r w:rsidRPr="00A060B6">
        <w:tab/>
        <w:t>the witness must be asked whether, having examined (or heard) the contents of the document, the witness stands by the evidence that the witness has given;</w:t>
      </w:r>
    </w:p>
    <w:p w:rsidR="00F8610E" w:rsidRPr="00A060B6" w:rsidRDefault="00F8610E" w:rsidP="00486F06">
      <w:pPr>
        <w:pStyle w:val="Apara"/>
      </w:pPr>
      <w:r w:rsidRPr="00A060B6">
        <w:tab/>
        <w:t>(d)</w:t>
      </w:r>
      <w:r w:rsidRPr="00A060B6">
        <w:tab/>
        <w:t>neither the cross-examiner nor the witness may identify the document or disclose any of its contents.</w:t>
      </w:r>
    </w:p>
    <w:p w:rsidR="00F8610E" w:rsidRPr="00A060B6" w:rsidRDefault="00F8610E" w:rsidP="00486F06">
      <w:pPr>
        <w:pStyle w:val="Amain"/>
      </w:pPr>
      <w:r w:rsidRPr="00A060B6">
        <w:tab/>
        <w:t>(4)</w:t>
      </w:r>
      <w:r w:rsidRPr="00A060B6">
        <w:tab/>
        <w:t>A document used in a way mentioned in subsection (3) may be marked for identification.</w:t>
      </w:r>
    </w:p>
    <w:p w:rsidR="00F8610E" w:rsidRPr="00A060B6" w:rsidRDefault="00F8610E" w:rsidP="00486F06">
      <w:pPr>
        <w:pStyle w:val="AH5Sec"/>
      </w:pPr>
      <w:bookmarkStart w:id="65" w:name="_Toc11748420"/>
      <w:r w:rsidRPr="003925E1">
        <w:rPr>
          <w:rStyle w:val="CharSectNo"/>
        </w:rPr>
        <w:t>45</w:t>
      </w:r>
      <w:r w:rsidRPr="00A060B6">
        <w:tab/>
        <w:t>Production of documents</w:t>
      </w:r>
      <w:bookmarkEnd w:id="65"/>
    </w:p>
    <w:p w:rsidR="00F8610E" w:rsidRPr="00A060B6" w:rsidRDefault="00F8610E" w:rsidP="00486F06">
      <w:pPr>
        <w:pStyle w:val="Amain"/>
      </w:pPr>
      <w:r w:rsidRPr="00A060B6">
        <w:tab/>
        <w:t>(1)</w:t>
      </w:r>
      <w:r w:rsidRPr="00A060B6">
        <w:tab/>
        <w:t>This section applies if a party is cross-examining or has cross</w:t>
      </w:r>
      <w:r w:rsidRPr="00A060B6">
        <w:noBreakHyphen/>
        <w:t>examined a witness about—</w:t>
      </w:r>
    </w:p>
    <w:p w:rsidR="00F8610E" w:rsidRPr="00A060B6" w:rsidRDefault="00F8610E" w:rsidP="00486F06">
      <w:pPr>
        <w:pStyle w:val="Apara"/>
      </w:pPr>
      <w:r w:rsidRPr="00A060B6">
        <w:tab/>
        <w:t>(a)</w:t>
      </w:r>
      <w:r w:rsidRPr="00A060B6">
        <w:tab/>
        <w:t>a prior inconsistent statement alleged to have been made by the witness that is recorded in a document; or</w:t>
      </w:r>
    </w:p>
    <w:p w:rsidR="00F8610E" w:rsidRPr="00A060B6" w:rsidRDefault="00F8610E" w:rsidP="00486F06">
      <w:pPr>
        <w:pStyle w:val="Apara"/>
      </w:pPr>
      <w:r w:rsidRPr="00A060B6">
        <w:tab/>
        <w:t>(b)</w:t>
      </w:r>
      <w:r w:rsidRPr="00A060B6">
        <w:tab/>
        <w:t>a previous representation alleged to have been made by someone else that is recorded in a document.</w:t>
      </w:r>
    </w:p>
    <w:p w:rsidR="00F8610E" w:rsidRPr="00A060B6" w:rsidRDefault="00F8610E" w:rsidP="00486F06">
      <w:pPr>
        <w:pStyle w:val="Amain"/>
      </w:pPr>
      <w:r w:rsidRPr="00A060B6">
        <w:tab/>
        <w:t>(2)</w:t>
      </w:r>
      <w:r w:rsidRPr="00A060B6">
        <w:tab/>
        <w:t>If the court orders or if another party requires, the party must produce to the court or to the other party—</w:t>
      </w:r>
    </w:p>
    <w:p w:rsidR="00F8610E" w:rsidRPr="00A060B6" w:rsidRDefault="00F8610E" w:rsidP="00486F06">
      <w:pPr>
        <w:pStyle w:val="Apara"/>
      </w:pPr>
      <w:r w:rsidRPr="00A060B6">
        <w:tab/>
        <w:t>(a)</w:t>
      </w:r>
      <w:r w:rsidRPr="00A060B6">
        <w:tab/>
        <w:t>the document; or</w:t>
      </w:r>
    </w:p>
    <w:p w:rsidR="00F8610E" w:rsidRPr="00A060B6" w:rsidRDefault="00F8610E" w:rsidP="00486F06">
      <w:pPr>
        <w:pStyle w:val="Apara"/>
      </w:pPr>
      <w:r w:rsidRPr="00A060B6">
        <w:tab/>
        <w:t>(b)</w:t>
      </w:r>
      <w:r w:rsidRPr="00A060B6">
        <w:tab/>
        <w:t>evidence of the contents of the document that is available to the party.</w:t>
      </w:r>
    </w:p>
    <w:p w:rsidR="00F8610E" w:rsidRPr="00A060B6" w:rsidRDefault="00F8610E" w:rsidP="00486F06">
      <w:pPr>
        <w:pStyle w:val="Amain"/>
      </w:pPr>
      <w:r w:rsidRPr="00A060B6">
        <w:lastRenderedPageBreak/>
        <w:tab/>
        <w:t>(3)</w:t>
      </w:r>
      <w:r w:rsidRPr="00A060B6">
        <w:tab/>
        <w:t>The court may—</w:t>
      </w:r>
    </w:p>
    <w:p w:rsidR="00F8610E" w:rsidRPr="00A060B6" w:rsidRDefault="00F8610E" w:rsidP="00486F06">
      <w:pPr>
        <w:pStyle w:val="Apara"/>
      </w:pPr>
      <w:r w:rsidRPr="00A060B6">
        <w:tab/>
        <w:t>(a)</w:t>
      </w:r>
      <w:r w:rsidRPr="00A060B6">
        <w:tab/>
        <w:t>examine a document or evidence that has been produced under subsection (2); and</w:t>
      </w:r>
    </w:p>
    <w:p w:rsidR="00F8610E" w:rsidRPr="00A060B6" w:rsidRDefault="00F8610E" w:rsidP="00486F06">
      <w:pPr>
        <w:pStyle w:val="Apara"/>
      </w:pPr>
      <w:r w:rsidRPr="00A060B6">
        <w:tab/>
        <w:t>(b)</w:t>
      </w:r>
      <w:r w:rsidRPr="00A060B6">
        <w:tab/>
        <w:t>give directions as to its use; and</w:t>
      </w:r>
    </w:p>
    <w:p w:rsidR="00F8610E" w:rsidRPr="00A060B6" w:rsidRDefault="00F8610E" w:rsidP="00486F06">
      <w:pPr>
        <w:pStyle w:val="Apara"/>
      </w:pPr>
      <w:r w:rsidRPr="00A060B6">
        <w:tab/>
        <w:t>(c)</w:t>
      </w:r>
      <w:r w:rsidRPr="00A060B6">
        <w:tab/>
        <w:t>admit it even if it has not been tendered by a party.</w:t>
      </w:r>
    </w:p>
    <w:p w:rsidR="00F8610E" w:rsidRPr="00A060B6" w:rsidRDefault="00F8610E" w:rsidP="00486F06">
      <w:pPr>
        <w:pStyle w:val="Amain"/>
      </w:pPr>
      <w:r w:rsidRPr="00A060B6">
        <w:tab/>
        <w:t>(4)</w:t>
      </w:r>
      <w:r w:rsidRPr="00A060B6">
        <w:tab/>
        <w:t>Subsection (3) does not permit the court to admit a document or evidence that is not admissible because of chapter 3.</w:t>
      </w:r>
    </w:p>
    <w:p w:rsidR="00F8610E" w:rsidRPr="00A060B6" w:rsidRDefault="00F8610E" w:rsidP="00486F06">
      <w:pPr>
        <w:pStyle w:val="Amain"/>
      </w:pPr>
      <w:r w:rsidRPr="00A060B6">
        <w:tab/>
        <w:t>(5)</w:t>
      </w:r>
      <w:r w:rsidRPr="00A060B6">
        <w:tab/>
        <w:t>The mere production of a document to a witness who is being cross</w:t>
      </w:r>
      <w:r w:rsidRPr="00A060B6">
        <w:noBreakHyphen/>
        <w:t>examined does not give rise to a requirement that the cross</w:t>
      </w:r>
      <w:r w:rsidRPr="00A060B6">
        <w:noBreakHyphen/>
        <w:t>examiner tender the document.</w:t>
      </w:r>
    </w:p>
    <w:p w:rsidR="00F8610E" w:rsidRPr="00A060B6" w:rsidRDefault="00F8610E" w:rsidP="00486F06">
      <w:pPr>
        <w:pStyle w:val="AH5Sec"/>
      </w:pPr>
      <w:bookmarkStart w:id="66" w:name="_Toc11748421"/>
      <w:r w:rsidRPr="003925E1">
        <w:rPr>
          <w:rStyle w:val="CharSectNo"/>
        </w:rPr>
        <w:t>46</w:t>
      </w:r>
      <w:r w:rsidRPr="00A060B6">
        <w:tab/>
        <w:t>Leave to recall witnesses</w:t>
      </w:r>
      <w:bookmarkEnd w:id="66"/>
    </w:p>
    <w:p w:rsidR="00F8610E" w:rsidRPr="00A060B6" w:rsidRDefault="00F8610E" w:rsidP="0061678D">
      <w:pPr>
        <w:pStyle w:val="Amain"/>
        <w:keepNext/>
        <w:keepLines/>
      </w:pPr>
      <w:r w:rsidRPr="00A060B6">
        <w:tab/>
        <w:t>(1)</w:t>
      </w:r>
      <w:r w:rsidRPr="00A060B6">
        <w:tab/>
        <w:t>The court may give leave to a party to recall a witness to give evidence about a matter raised by evidence presented by another party, and on which the witness was not cross-examined, if the evidence has been admitted and—</w:t>
      </w:r>
    </w:p>
    <w:p w:rsidR="00F8610E" w:rsidRPr="00A060B6" w:rsidRDefault="00F8610E" w:rsidP="00486F06">
      <w:pPr>
        <w:pStyle w:val="Apara"/>
      </w:pPr>
      <w:r w:rsidRPr="00A060B6">
        <w:tab/>
        <w:t>(a)</w:t>
      </w:r>
      <w:r w:rsidRPr="00A060B6">
        <w:tab/>
        <w:t>it contradicts evidence about the matter given by the witness in examination-in-chief; or</w:t>
      </w:r>
    </w:p>
    <w:p w:rsidR="00F8610E" w:rsidRPr="00A060B6" w:rsidRDefault="00F8610E" w:rsidP="00486F06">
      <w:pPr>
        <w:pStyle w:val="Apara"/>
      </w:pPr>
      <w:r w:rsidRPr="00A060B6">
        <w:tab/>
        <w:t>(b)</w:t>
      </w:r>
      <w:r w:rsidRPr="00A060B6">
        <w:tab/>
        <w:t>the witness could have given evidence about the matter in examination-in-chief.</w:t>
      </w:r>
    </w:p>
    <w:p w:rsidR="00F8610E" w:rsidRPr="00A060B6" w:rsidRDefault="00F8610E" w:rsidP="00486F06">
      <w:pPr>
        <w:pStyle w:val="Amain"/>
      </w:pPr>
      <w:r w:rsidRPr="00A060B6">
        <w:tab/>
        <w:t>(2)</w:t>
      </w:r>
      <w:r w:rsidRPr="00A060B6">
        <w:tab/>
        <w:t>A reference in this section to a matter raised by evidence presented by another party includes a reference to an inference drawn from, or that the party intends to draw from, the evidence.</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67" w:name="_Toc11748422"/>
      <w:r w:rsidRPr="003925E1">
        <w:rPr>
          <w:rStyle w:val="CharPartNo"/>
        </w:rPr>
        <w:lastRenderedPageBreak/>
        <w:t>Part 2.2</w:t>
      </w:r>
      <w:r w:rsidRPr="00A060B6">
        <w:tab/>
      </w:r>
      <w:r w:rsidRPr="003925E1">
        <w:rPr>
          <w:rStyle w:val="CharPartText"/>
        </w:rPr>
        <w:t>Documents</w:t>
      </w:r>
      <w:bookmarkEnd w:id="67"/>
    </w:p>
    <w:p w:rsidR="00F8610E" w:rsidRPr="00A060B6" w:rsidRDefault="00F8610E" w:rsidP="000E543D">
      <w:pPr>
        <w:pStyle w:val="Placeholder"/>
        <w:suppressLineNumbers/>
      </w:pPr>
      <w:r w:rsidRPr="00A060B6">
        <w:rPr>
          <w:rStyle w:val="CharDivNo"/>
        </w:rPr>
        <w:t xml:space="preserve">  </w:t>
      </w:r>
      <w:r w:rsidRPr="00A060B6">
        <w:rPr>
          <w:rStyle w:val="CharDivText"/>
        </w:rPr>
        <w:t xml:space="preserve">  </w:t>
      </w:r>
    </w:p>
    <w:p w:rsidR="00F8610E" w:rsidRPr="00A060B6" w:rsidRDefault="00F8610E" w:rsidP="00486F06">
      <w:pPr>
        <w:pStyle w:val="AH5Sec"/>
      </w:pPr>
      <w:bookmarkStart w:id="68" w:name="_Toc11748423"/>
      <w:r w:rsidRPr="003925E1">
        <w:rPr>
          <w:rStyle w:val="CharSectNo"/>
        </w:rPr>
        <w:t>47</w:t>
      </w:r>
      <w:r w:rsidRPr="00A060B6">
        <w:tab/>
        <w:t>Definitions—pt 2.2</w:t>
      </w:r>
      <w:bookmarkEnd w:id="68"/>
    </w:p>
    <w:p w:rsidR="00F8610E" w:rsidRPr="00A060B6" w:rsidRDefault="00F8610E" w:rsidP="00486F06">
      <w:pPr>
        <w:pStyle w:val="Amain"/>
      </w:pPr>
      <w:r w:rsidRPr="00A060B6">
        <w:tab/>
        <w:t>(1)</w:t>
      </w:r>
      <w:r w:rsidRPr="00A060B6">
        <w:tab/>
        <w:t xml:space="preserve">For this part, a </w:t>
      </w:r>
      <w:r w:rsidRPr="005D1BC5">
        <w:rPr>
          <w:rStyle w:val="charBoldItals"/>
        </w:rPr>
        <w:t>document in question</w:t>
      </w:r>
      <w:r w:rsidRPr="00A060B6">
        <w:t xml:space="preserve"> is a document as to the contents of which it is sought to present evidence.</w:t>
      </w:r>
    </w:p>
    <w:p w:rsidR="00F8610E" w:rsidRPr="00A060B6" w:rsidRDefault="00F8610E" w:rsidP="00486F06">
      <w:pPr>
        <w:pStyle w:val="Amain"/>
      </w:pPr>
      <w:r w:rsidRPr="00A060B6">
        <w:tab/>
        <w:t>(2)</w:t>
      </w:r>
      <w:r w:rsidRPr="00A060B6">
        <w:tab/>
        <w:t>For this part, a reference to a copy of a document in question includes a reference to a document that is not an exact copy of the document in question but that is identical to the document in question in all relevant respects.</w:t>
      </w:r>
    </w:p>
    <w:p w:rsidR="00F8610E" w:rsidRPr="00A060B6" w:rsidRDefault="00F8610E" w:rsidP="00486F06">
      <w:pPr>
        <w:pStyle w:val="AH5Sec"/>
      </w:pPr>
      <w:bookmarkStart w:id="69" w:name="_Toc11748424"/>
      <w:r w:rsidRPr="003925E1">
        <w:rPr>
          <w:rStyle w:val="CharSectNo"/>
        </w:rPr>
        <w:t>48</w:t>
      </w:r>
      <w:r w:rsidRPr="00A060B6">
        <w:tab/>
        <w:t>Proof of contents of documents</w:t>
      </w:r>
      <w:bookmarkEnd w:id="69"/>
    </w:p>
    <w:p w:rsidR="00F8610E" w:rsidRPr="00A060B6" w:rsidRDefault="00F8610E" w:rsidP="00486F06">
      <w:pPr>
        <w:pStyle w:val="Amain"/>
      </w:pPr>
      <w:r w:rsidRPr="00A060B6">
        <w:tab/>
        <w:t>(1)</w:t>
      </w:r>
      <w:r w:rsidRPr="00A060B6">
        <w:tab/>
        <w:t>A party may present evidence of the contents of a document in question by tendering the document in question or by any 1 or more of the following methods:</w:t>
      </w:r>
    </w:p>
    <w:p w:rsidR="00F8610E" w:rsidRPr="00A060B6" w:rsidRDefault="00F8610E" w:rsidP="00486F06">
      <w:pPr>
        <w:pStyle w:val="Apara"/>
      </w:pPr>
      <w:r w:rsidRPr="00A060B6">
        <w:tab/>
        <w:t>(a)</w:t>
      </w:r>
      <w:r w:rsidRPr="00A060B6">
        <w:tab/>
        <w:t>presenting evidence of an admission made by another party to the proceeding as to the contents of the document in question;</w:t>
      </w:r>
    </w:p>
    <w:p w:rsidR="00F8610E" w:rsidRPr="00A060B6" w:rsidRDefault="00F8610E" w:rsidP="00486F06">
      <w:pPr>
        <w:pStyle w:val="Apara"/>
      </w:pPr>
      <w:r w:rsidRPr="00A060B6">
        <w:tab/>
        <w:t>(b)</w:t>
      </w:r>
      <w:r w:rsidRPr="00A060B6">
        <w:tab/>
        <w:t>tendering a document that—</w:t>
      </w:r>
    </w:p>
    <w:p w:rsidR="00F8610E" w:rsidRPr="00A060B6" w:rsidRDefault="00F8610E" w:rsidP="00486F06">
      <w:pPr>
        <w:pStyle w:val="Asubpara"/>
      </w:pPr>
      <w:r w:rsidRPr="00A060B6">
        <w:tab/>
        <w:t>(i)</w:t>
      </w:r>
      <w:r w:rsidRPr="00A060B6">
        <w:tab/>
        <w:t>is or purports to be a copy of the document in question; and</w:t>
      </w:r>
    </w:p>
    <w:p w:rsidR="00F8610E" w:rsidRPr="00A060B6" w:rsidRDefault="00F8610E" w:rsidP="00486F06">
      <w:pPr>
        <w:pStyle w:val="Asubpara"/>
      </w:pPr>
      <w:r w:rsidRPr="00A060B6">
        <w:tab/>
        <w:t>(ii)</w:t>
      </w:r>
      <w:r w:rsidRPr="00A060B6">
        <w:tab/>
        <w:t>has been produced, or purports to have been produced, by a device that reproduces the contents of documents;</w:t>
      </w:r>
    </w:p>
    <w:p w:rsidR="00F8610E" w:rsidRPr="00A060B6" w:rsidRDefault="00F8610E" w:rsidP="00486F06">
      <w:pPr>
        <w:pStyle w:val="Apara"/>
      </w:pPr>
      <w:r w:rsidRPr="00A060B6">
        <w:tab/>
        <w:t>(c)</w:t>
      </w:r>
      <w:r w:rsidRPr="00A060B6">
        <w:tab/>
        <w:t>if the document in question is an article or thing by which words are recorded in a way as to be capable of being reproduced as sound, or in which words are recorded in a code (including shorthand writing)—tendering a document that is or purports to be a transcript of the words;</w:t>
      </w:r>
    </w:p>
    <w:p w:rsidR="00F8610E" w:rsidRPr="00A060B6" w:rsidRDefault="00F8610E" w:rsidP="00182C51">
      <w:pPr>
        <w:pStyle w:val="Apara"/>
        <w:keepLines/>
      </w:pPr>
      <w:r w:rsidRPr="00A060B6">
        <w:tab/>
        <w:t>(d)</w:t>
      </w:r>
      <w:r w:rsidRPr="00A060B6">
        <w:tab/>
        <w:t>if the document in question is an article or thing on or in which information is stored in a way that it cannot be used by the court unless a device is used to retrieve, produce or collate it—tendering a document that was or purports to have been produced by use of the device;</w:t>
      </w:r>
    </w:p>
    <w:p w:rsidR="00F8610E" w:rsidRPr="00A060B6" w:rsidRDefault="00F8610E" w:rsidP="00486F06">
      <w:pPr>
        <w:pStyle w:val="Apara"/>
      </w:pPr>
      <w:r w:rsidRPr="00A060B6">
        <w:lastRenderedPageBreak/>
        <w:tab/>
        <w:t>(e)</w:t>
      </w:r>
      <w:r w:rsidRPr="00A060B6">
        <w:tab/>
        <w:t>tendering a document that—</w:t>
      </w:r>
    </w:p>
    <w:p w:rsidR="00F8610E" w:rsidRPr="00A060B6" w:rsidRDefault="00F8610E" w:rsidP="00486F06">
      <w:pPr>
        <w:pStyle w:val="Asubpara"/>
      </w:pPr>
      <w:r w:rsidRPr="00A060B6">
        <w:tab/>
        <w:t>(i)</w:t>
      </w:r>
      <w:r w:rsidRPr="00A060B6">
        <w:tab/>
        <w:t>forms part of the records of or kept by a business (whether or not the business is still in existence); and</w:t>
      </w:r>
    </w:p>
    <w:p w:rsidR="00F8610E" w:rsidRPr="00A060B6" w:rsidRDefault="00F8610E" w:rsidP="00486F06">
      <w:pPr>
        <w:pStyle w:val="Asubpara"/>
      </w:pPr>
      <w:r w:rsidRPr="00A060B6">
        <w:tab/>
        <w:t>(ii)</w:t>
      </w:r>
      <w:r w:rsidRPr="00A060B6">
        <w:tab/>
        <w:t>is or purports to be a copy of, or an extract from or a summary of, the document in question, or is or purports to be a copy of the extract or summary;</w:t>
      </w:r>
    </w:p>
    <w:p w:rsidR="00F8610E" w:rsidRPr="00A060B6" w:rsidRDefault="00F8610E" w:rsidP="00486F06">
      <w:pPr>
        <w:pStyle w:val="Apara"/>
      </w:pPr>
      <w:r w:rsidRPr="00A060B6">
        <w:tab/>
        <w:t>(f)</w:t>
      </w:r>
      <w:r w:rsidRPr="00A060B6">
        <w:tab/>
        <w:t>if the document in question is a public document—tendering a document that is or purports to be a copy of the document in question and that is or purports to have been printed—</w:t>
      </w:r>
    </w:p>
    <w:p w:rsidR="00F8610E" w:rsidRPr="00A060B6" w:rsidRDefault="00F8610E" w:rsidP="00486F06">
      <w:pPr>
        <w:pStyle w:val="Asubpara"/>
      </w:pPr>
      <w:r w:rsidRPr="00A060B6">
        <w:tab/>
        <w:t>(i)</w:t>
      </w:r>
      <w:r w:rsidRPr="00A060B6">
        <w:tab/>
        <w:t>by the government printer or the government or official printer of the Commonwealth, a State or another Territory; or</w:t>
      </w:r>
    </w:p>
    <w:p w:rsidR="00F8610E" w:rsidRPr="00A060B6" w:rsidRDefault="00F8610E" w:rsidP="00486F06">
      <w:pPr>
        <w:pStyle w:val="Asubpara"/>
      </w:pPr>
      <w:r w:rsidRPr="00A060B6">
        <w:tab/>
        <w:t>(ii)</w:t>
      </w:r>
      <w:r w:rsidRPr="00A060B6">
        <w:tab/>
        <w:t>by authority of the government of the Territory, the Commonwealth, a State, another Territory or a foreign country; or</w:t>
      </w:r>
    </w:p>
    <w:p w:rsidR="00F8610E" w:rsidRPr="00A060B6" w:rsidRDefault="00F8610E" w:rsidP="00486F06">
      <w:pPr>
        <w:pStyle w:val="Asubpara"/>
      </w:pPr>
      <w:r w:rsidRPr="00A060B6">
        <w:tab/>
        <w:t>(iii)</w:t>
      </w:r>
      <w:r w:rsidRPr="00A060B6">
        <w:tab/>
        <w:t>by authority of an Australian Parliament, a house of an Australian Parliament or a committee of an Australian Parliament or of a house of an Australian Parliament.</w:t>
      </w:r>
    </w:p>
    <w:p w:rsidR="00F8610E" w:rsidRPr="00A060B6" w:rsidRDefault="00F8610E" w:rsidP="00486F06">
      <w:pPr>
        <w:pStyle w:val="Amain"/>
      </w:pPr>
      <w:r w:rsidRPr="00A060B6">
        <w:tab/>
        <w:t>(2)</w:t>
      </w:r>
      <w:r w:rsidRPr="00A060B6">
        <w:tab/>
        <w:t>Subsection (1) applies to a document in question whether the document in question is available to the party or not.</w:t>
      </w:r>
    </w:p>
    <w:p w:rsidR="00F8610E" w:rsidRPr="00A060B6" w:rsidRDefault="00F8610E" w:rsidP="00486F06">
      <w:pPr>
        <w:pStyle w:val="Amain"/>
      </w:pPr>
      <w:r w:rsidRPr="00A060B6">
        <w:tab/>
        <w:t>(3)</w:t>
      </w:r>
      <w:r w:rsidRPr="00A060B6">
        <w:tab/>
        <w:t>If the party presents evidence of the contents of a document under subsection (1) (a), the evidence may only be used—</w:t>
      </w:r>
    </w:p>
    <w:p w:rsidR="00F8610E" w:rsidRPr="00A060B6" w:rsidRDefault="00F8610E" w:rsidP="00486F06">
      <w:pPr>
        <w:pStyle w:val="Apara"/>
      </w:pPr>
      <w:r w:rsidRPr="00A060B6">
        <w:tab/>
        <w:t>(a)</w:t>
      </w:r>
      <w:r w:rsidRPr="00A060B6">
        <w:tab/>
        <w:t>in relation to the party’s case against the other party who made the admission; or</w:t>
      </w:r>
    </w:p>
    <w:p w:rsidR="00F8610E" w:rsidRPr="00A060B6" w:rsidRDefault="00F8610E" w:rsidP="00486F06">
      <w:pPr>
        <w:pStyle w:val="Apara"/>
      </w:pPr>
      <w:r w:rsidRPr="00A060B6">
        <w:tab/>
        <w:t>(b)</w:t>
      </w:r>
      <w:r w:rsidRPr="00A060B6">
        <w:tab/>
        <w:t>in relation to the other party’s case against the party who presented the evidence in that way.</w:t>
      </w:r>
    </w:p>
    <w:p w:rsidR="00F8610E" w:rsidRPr="00A060B6" w:rsidRDefault="00F8610E" w:rsidP="0061678D">
      <w:pPr>
        <w:pStyle w:val="Amain"/>
        <w:keepNext/>
      </w:pPr>
      <w:r w:rsidRPr="00A060B6">
        <w:lastRenderedPageBreak/>
        <w:tab/>
        <w:t>(4)</w:t>
      </w:r>
      <w:r w:rsidRPr="00A060B6">
        <w:tab/>
        <w:t>A party may present evidence of the contents of a document in question that is not available to the party, or the existence and contents of which are not in issue in the proceeding, by—</w:t>
      </w:r>
    </w:p>
    <w:p w:rsidR="00F8610E" w:rsidRPr="00A060B6" w:rsidRDefault="00F8610E" w:rsidP="00486F06">
      <w:pPr>
        <w:pStyle w:val="Apara"/>
      </w:pPr>
      <w:r w:rsidRPr="00A060B6">
        <w:tab/>
        <w:t>(a)</w:t>
      </w:r>
      <w:r w:rsidRPr="00A060B6">
        <w:tab/>
        <w:t>tendering a document that is a copy of, or an extract from or summary of, the document in question; or</w:t>
      </w:r>
    </w:p>
    <w:p w:rsidR="00F8610E" w:rsidRPr="00A060B6" w:rsidRDefault="00F8610E" w:rsidP="00486F06">
      <w:pPr>
        <w:pStyle w:val="Apara"/>
      </w:pPr>
      <w:r w:rsidRPr="00A060B6">
        <w:tab/>
        <w:t>(b)</w:t>
      </w:r>
      <w:r w:rsidRPr="00A060B6">
        <w:tab/>
        <w:t>presenting evidence from a witness of the contents of the document in question.</w:t>
      </w:r>
    </w:p>
    <w:p w:rsidR="00F8610E" w:rsidRPr="00A060B6" w:rsidRDefault="00F8610E" w:rsidP="00C23C3D">
      <w:pPr>
        <w:pStyle w:val="aNote"/>
        <w:keepNext/>
      </w:pPr>
      <w:r w:rsidRPr="005D1BC5">
        <w:rPr>
          <w:rStyle w:val="charItals"/>
        </w:rPr>
        <w:t>Note 1</w:t>
      </w:r>
      <w:r w:rsidRPr="005D1BC5">
        <w:rPr>
          <w:rStyle w:val="charItals"/>
        </w:rPr>
        <w:tab/>
      </w:r>
      <w:r w:rsidRPr="00A060B6">
        <w:rPr>
          <w:iCs/>
        </w:rPr>
        <w:t>The dictionary, pt 2, s 5</w:t>
      </w:r>
      <w:r w:rsidRPr="00A060B6">
        <w:t xml:space="preserve"> is about the availability of documents.</w:t>
      </w:r>
    </w:p>
    <w:p w:rsidR="00F8610E" w:rsidRPr="00A060B6" w:rsidRDefault="00F8610E" w:rsidP="00645AE1">
      <w:pPr>
        <w:pStyle w:val="aNote"/>
      </w:pPr>
      <w:r w:rsidRPr="005D1BC5">
        <w:rPr>
          <w:rStyle w:val="charItals"/>
        </w:rPr>
        <w:t>Note 2</w:t>
      </w:r>
      <w:r w:rsidRPr="005D1BC5">
        <w:rPr>
          <w:rStyle w:val="charItals"/>
        </w:rPr>
        <w:tab/>
      </w:r>
      <w:r w:rsidRPr="00A060B6">
        <w:t xml:space="preserve">The </w:t>
      </w:r>
      <w:hyperlink r:id="rId70" w:tooltip="Evidence Act 1995" w:history="1">
        <w:r w:rsidR="007F2560" w:rsidRPr="001D1BCB">
          <w:rPr>
            <w:rStyle w:val="charCitHyperlinkAbbrev"/>
          </w:rPr>
          <w:t>Commonwealth Act</w:t>
        </w:r>
      </w:hyperlink>
      <w:r w:rsidRPr="00A060B6">
        <w:t xml:space="preserve">, s 182 gives the </w:t>
      </w:r>
      <w:hyperlink r:id="rId71" w:tooltip="Evidence Act 1995" w:history="1">
        <w:r w:rsidR="007F2560" w:rsidRPr="001D1BCB">
          <w:rPr>
            <w:rStyle w:val="charCitHyperlinkAbbrev"/>
          </w:rPr>
          <w:t>Commonwealth Act</w:t>
        </w:r>
      </w:hyperlink>
      <w:r w:rsidRPr="00A060B6">
        <w:t>, s 48 a wider application in relation to Commonwealth records and certain Commonwealth documents.</w:t>
      </w:r>
    </w:p>
    <w:p w:rsidR="00F8610E" w:rsidRPr="00A060B6" w:rsidRDefault="00F8610E" w:rsidP="00486F06">
      <w:pPr>
        <w:pStyle w:val="AH5Sec"/>
      </w:pPr>
      <w:bookmarkStart w:id="70" w:name="_Toc11748425"/>
      <w:r w:rsidRPr="003925E1">
        <w:rPr>
          <w:rStyle w:val="CharSectNo"/>
        </w:rPr>
        <w:t>49</w:t>
      </w:r>
      <w:r w:rsidRPr="00A060B6">
        <w:tab/>
        <w:t>Documents in foreign countries</w:t>
      </w:r>
      <w:bookmarkEnd w:id="70"/>
    </w:p>
    <w:p w:rsidR="00F8610E" w:rsidRPr="00A060B6" w:rsidRDefault="00F8610E" w:rsidP="00E51812">
      <w:pPr>
        <w:pStyle w:val="Amainreturn"/>
        <w:keepNext/>
      </w:pPr>
      <w:r w:rsidRPr="00A060B6">
        <w:t>No paragraph of section 48 (1) (other than paragraph (a)) applies to a document that is in a foreign country unless—</w:t>
      </w:r>
    </w:p>
    <w:p w:rsidR="00F8610E" w:rsidRPr="00A060B6" w:rsidRDefault="00F8610E" w:rsidP="00486F06">
      <w:pPr>
        <w:pStyle w:val="Apara"/>
      </w:pPr>
      <w:r w:rsidRPr="00A060B6">
        <w:tab/>
        <w:t>(a)</w:t>
      </w:r>
      <w:r w:rsidRPr="00A060B6">
        <w:tab/>
        <w:t>the party who presents evidence of the contents of the document in question has, not less than 28 days (or any other period prescribed by regulation or by rules of court) before the day on which the evidence is presented, served on each other party a copy of the document proposed to be tendered; or</w:t>
      </w:r>
    </w:p>
    <w:p w:rsidR="00F8610E" w:rsidRPr="00A060B6" w:rsidRDefault="00F8610E" w:rsidP="00486F06">
      <w:pPr>
        <w:pStyle w:val="Apara"/>
      </w:pPr>
      <w:r w:rsidRPr="00A060B6">
        <w:tab/>
        <w:t>(b)</w:t>
      </w:r>
      <w:r w:rsidRPr="00A060B6">
        <w:tab/>
        <w:t>the court directs that it must apply.</w:t>
      </w:r>
    </w:p>
    <w:p w:rsidR="00F8610E" w:rsidRPr="00A060B6" w:rsidRDefault="00F8610E" w:rsidP="00646AA4">
      <w:pPr>
        <w:pStyle w:val="aNote"/>
      </w:pPr>
      <w:r w:rsidRPr="005D1BC5">
        <w:rPr>
          <w:rStyle w:val="charItals"/>
        </w:rPr>
        <w:t>Note</w:t>
      </w:r>
      <w:r w:rsidRPr="005D1BC5">
        <w:rPr>
          <w:rStyle w:val="charItals"/>
        </w:rPr>
        <w:tab/>
      </w:r>
      <w:r w:rsidRPr="00A060B6">
        <w:t xml:space="preserve">The </w:t>
      </w:r>
      <w:hyperlink r:id="rId72" w:tooltip="Evidence Act 1995" w:history="1">
        <w:r w:rsidR="007F2560" w:rsidRPr="001D1BCB">
          <w:rPr>
            <w:rStyle w:val="charCitHyperlinkAbbrev"/>
          </w:rPr>
          <w:t>Commonwealth Act</w:t>
        </w:r>
      </w:hyperlink>
      <w:r w:rsidRPr="00A060B6">
        <w:t xml:space="preserve">, s 182 gives the </w:t>
      </w:r>
      <w:hyperlink r:id="rId73" w:tooltip="Evidence Act 1995" w:history="1">
        <w:r w:rsidR="007F2560" w:rsidRPr="001D1BCB">
          <w:rPr>
            <w:rStyle w:val="charCitHyperlinkAbbrev"/>
          </w:rPr>
          <w:t>Commonwealth Act</w:t>
        </w:r>
      </w:hyperlink>
      <w:r w:rsidRPr="00A060B6">
        <w:t>, s 49 a wider application in relation to Commonwealth records and certain Commonwealth documents.</w:t>
      </w:r>
    </w:p>
    <w:p w:rsidR="00F8610E" w:rsidRPr="00A060B6" w:rsidRDefault="00F8610E" w:rsidP="00486F06">
      <w:pPr>
        <w:pStyle w:val="AH5Sec"/>
      </w:pPr>
      <w:bookmarkStart w:id="71" w:name="_Toc11748426"/>
      <w:r w:rsidRPr="003925E1">
        <w:rPr>
          <w:rStyle w:val="CharSectNo"/>
        </w:rPr>
        <w:lastRenderedPageBreak/>
        <w:t>50</w:t>
      </w:r>
      <w:r w:rsidRPr="00A060B6">
        <w:tab/>
        <w:t>Proof of voluminous or complex documents</w:t>
      </w:r>
      <w:bookmarkEnd w:id="71"/>
    </w:p>
    <w:p w:rsidR="00F8610E" w:rsidRPr="00A060B6" w:rsidRDefault="00F8610E" w:rsidP="003B32E6">
      <w:pPr>
        <w:pStyle w:val="Amain"/>
        <w:keepNext/>
        <w:keepLines/>
      </w:pPr>
      <w:r w:rsidRPr="00A060B6">
        <w:tab/>
        <w:t>(1)</w:t>
      </w:r>
      <w:r w:rsidRPr="00A060B6">
        <w:tab/>
        <w:t>The court may, on the application of a party, direct that the party may present evidence of the contents of 2 or more documents in question in the form of a summary if the court is satisfied that it would not otherwise be possible conveniently to examine the evidence because of the volume or complexity of the documents in question.</w:t>
      </w:r>
    </w:p>
    <w:p w:rsidR="00F8610E" w:rsidRPr="00A060B6" w:rsidRDefault="00F8610E" w:rsidP="00486F06">
      <w:pPr>
        <w:pStyle w:val="Amain"/>
      </w:pPr>
      <w:r w:rsidRPr="00A060B6">
        <w:tab/>
        <w:t>(2)</w:t>
      </w:r>
      <w:r w:rsidRPr="00A060B6">
        <w:tab/>
        <w:t>The court may only make a direction under subsection (1) if the party seeking to present the evidence in the form of a summary has—</w:t>
      </w:r>
    </w:p>
    <w:p w:rsidR="00F8610E" w:rsidRPr="00A060B6" w:rsidRDefault="00F8610E" w:rsidP="00486F06">
      <w:pPr>
        <w:pStyle w:val="Apara"/>
      </w:pPr>
      <w:r w:rsidRPr="00A060B6">
        <w:tab/>
        <w:t>(a)</w:t>
      </w:r>
      <w:r w:rsidRPr="00A060B6">
        <w:tab/>
        <w:t>served on each other party a copy of the summary that discloses the name and address of the person who prepared the summary; and</w:t>
      </w:r>
    </w:p>
    <w:p w:rsidR="00F8610E" w:rsidRPr="00A060B6" w:rsidRDefault="00F8610E" w:rsidP="00486F06">
      <w:pPr>
        <w:pStyle w:val="Apara"/>
      </w:pPr>
      <w:r w:rsidRPr="00A060B6">
        <w:tab/>
        <w:t>(b)</w:t>
      </w:r>
      <w:r w:rsidRPr="00A060B6">
        <w:tab/>
        <w:t>given each other party a reasonable opportunity to examine or copy the documents in question.</w:t>
      </w:r>
    </w:p>
    <w:p w:rsidR="00F8610E" w:rsidRPr="00A060B6" w:rsidRDefault="00F8610E" w:rsidP="00486F06">
      <w:pPr>
        <w:pStyle w:val="Amain"/>
      </w:pPr>
      <w:r w:rsidRPr="00A060B6">
        <w:tab/>
        <w:t>(3)</w:t>
      </w:r>
      <w:r w:rsidRPr="00A060B6">
        <w:tab/>
        <w:t>The opinion rule does not apply to evidence presented in accordance with a direction under this section.</w:t>
      </w:r>
    </w:p>
    <w:p w:rsidR="00F8610E" w:rsidRPr="00A060B6" w:rsidRDefault="00F8610E" w:rsidP="00486F06">
      <w:pPr>
        <w:pStyle w:val="AH5Sec"/>
      </w:pPr>
      <w:bookmarkStart w:id="72" w:name="_Toc11748427"/>
      <w:r w:rsidRPr="003925E1">
        <w:rPr>
          <w:rStyle w:val="CharSectNo"/>
        </w:rPr>
        <w:t>51</w:t>
      </w:r>
      <w:r w:rsidRPr="00A060B6">
        <w:tab/>
        <w:t>Original document rule abolished</w:t>
      </w:r>
      <w:bookmarkEnd w:id="72"/>
    </w:p>
    <w:p w:rsidR="00F8610E" w:rsidRPr="00A060B6" w:rsidRDefault="00F8610E" w:rsidP="00E51812">
      <w:pPr>
        <w:pStyle w:val="Amainreturn"/>
        <w:keepNext/>
      </w:pPr>
      <w:r w:rsidRPr="00A060B6">
        <w:t>The principles and rules of common law that relate to the means of proving the contents of documents are abolished.</w:t>
      </w:r>
    </w:p>
    <w:p w:rsidR="00F8610E" w:rsidRPr="00A060B6" w:rsidRDefault="00F8610E" w:rsidP="006C5302">
      <w:pPr>
        <w:pStyle w:val="aNote"/>
      </w:pPr>
      <w:r w:rsidRPr="005D1BC5">
        <w:rPr>
          <w:rStyle w:val="charItals"/>
        </w:rPr>
        <w:t>Note</w:t>
      </w:r>
      <w:r w:rsidRPr="005D1BC5">
        <w:rPr>
          <w:rStyle w:val="charItals"/>
        </w:rPr>
        <w:tab/>
      </w:r>
      <w:r w:rsidRPr="00A060B6">
        <w:t xml:space="preserve">The </w:t>
      </w:r>
      <w:hyperlink r:id="rId74" w:tooltip="Evidence Act 1995" w:history="1">
        <w:r w:rsidR="007F2560" w:rsidRPr="001D1BCB">
          <w:rPr>
            <w:rStyle w:val="charCitHyperlinkAbbrev"/>
          </w:rPr>
          <w:t>Commonwealth Act</w:t>
        </w:r>
      </w:hyperlink>
      <w:r w:rsidRPr="00A060B6">
        <w:t xml:space="preserve">, s 182 gives the provisions of the </w:t>
      </w:r>
      <w:hyperlink r:id="rId75" w:tooltip="Evidence Act 1995" w:history="1">
        <w:r w:rsidR="007F2560" w:rsidRPr="001D1BCB">
          <w:rPr>
            <w:rStyle w:val="charCitHyperlinkAbbrev"/>
          </w:rPr>
          <w:t>Commonwealth Act</w:t>
        </w:r>
      </w:hyperlink>
      <w:r w:rsidRPr="00A060B6">
        <w:t>, pt 2.2 a wider application in relation to Commonwealth records and certain Commonwealth documents.</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73" w:name="_Toc11748428"/>
      <w:r w:rsidRPr="003925E1">
        <w:rPr>
          <w:rStyle w:val="CharPartNo"/>
        </w:rPr>
        <w:lastRenderedPageBreak/>
        <w:t>Part 2.3</w:t>
      </w:r>
      <w:r w:rsidRPr="00A060B6">
        <w:tab/>
      </w:r>
      <w:r w:rsidRPr="003925E1">
        <w:rPr>
          <w:rStyle w:val="CharPartText"/>
        </w:rPr>
        <w:t>Other evidence</w:t>
      </w:r>
      <w:bookmarkEnd w:id="73"/>
    </w:p>
    <w:p w:rsidR="00F8610E" w:rsidRPr="00A060B6" w:rsidRDefault="00F8610E" w:rsidP="00486F06">
      <w:pPr>
        <w:pStyle w:val="AH5Sec"/>
      </w:pPr>
      <w:bookmarkStart w:id="74" w:name="_Toc11748429"/>
      <w:r w:rsidRPr="003925E1">
        <w:rPr>
          <w:rStyle w:val="CharSectNo"/>
        </w:rPr>
        <w:t>52</w:t>
      </w:r>
      <w:r w:rsidRPr="00A060B6">
        <w:tab/>
        <w:t>Presenting of other evidence not affected</w:t>
      </w:r>
      <w:bookmarkEnd w:id="74"/>
    </w:p>
    <w:p w:rsidR="00F8610E" w:rsidRPr="00A060B6" w:rsidRDefault="00F8610E" w:rsidP="00E51812">
      <w:pPr>
        <w:pStyle w:val="Amainreturn"/>
      </w:pPr>
      <w:r w:rsidRPr="00A060B6">
        <w:t>This Act (other than this part) does not affect the operation of any Australian law or rule of practice so far as it permits evidence to be presented in a way other than by witnesses giving evidence or documents being tendered in evidence.</w:t>
      </w:r>
    </w:p>
    <w:p w:rsidR="00F8610E" w:rsidRPr="00A060B6" w:rsidRDefault="00F8610E" w:rsidP="00486F06">
      <w:pPr>
        <w:pStyle w:val="AH5Sec"/>
      </w:pPr>
      <w:bookmarkStart w:id="75" w:name="_Toc11748430"/>
      <w:r w:rsidRPr="003925E1">
        <w:rPr>
          <w:rStyle w:val="CharSectNo"/>
        </w:rPr>
        <w:t>53</w:t>
      </w:r>
      <w:r w:rsidRPr="00A060B6">
        <w:tab/>
        <w:t>Views</w:t>
      </w:r>
      <w:bookmarkEnd w:id="75"/>
    </w:p>
    <w:p w:rsidR="00F8610E" w:rsidRPr="00A060B6" w:rsidRDefault="00F8610E" w:rsidP="00486F06">
      <w:pPr>
        <w:pStyle w:val="Amain"/>
      </w:pPr>
      <w:r w:rsidRPr="00A060B6">
        <w:tab/>
        <w:t>(1)</w:t>
      </w:r>
      <w:r w:rsidRPr="00A060B6">
        <w:tab/>
        <w:t>A judge may, on application, order that a demonstration, experiment or inspection be held.</w:t>
      </w:r>
    </w:p>
    <w:p w:rsidR="00F8610E" w:rsidRPr="00A060B6" w:rsidRDefault="00F8610E" w:rsidP="00486F06">
      <w:pPr>
        <w:pStyle w:val="Amain"/>
      </w:pPr>
      <w:r w:rsidRPr="00A060B6">
        <w:tab/>
        <w:t>(2)</w:t>
      </w:r>
      <w:r w:rsidRPr="00A060B6">
        <w:tab/>
        <w:t>A judge must not make an order unless satisfied that—</w:t>
      </w:r>
    </w:p>
    <w:p w:rsidR="00F8610E" w:rsidRPr="00A060B6" w:rsidRDefault="00F8610E" w:rsidP="00486F06">
      <w:pPr>
        <w:pStyle w:val="Apara"/>
      </w:pPr>
      <w:r w:rsidRPr="00A060B6">
        <w:tab/>
        <w:t>(a)</w:t>
      </w:r>
      <w:r w:rsidRPr="00A060B6">
        <w:tab/>
        <w:t>the parties will be given a reasonable opportunity to be present; and</w:t>
      </w:r>
    </w:p>
    <w:p w:rsidR="00F8610E" w:rsidRPr="00A060B6" w:rsidRDefault="00F8610E" w:rsidP="00486F06">
      <w:pPr>
        <w:pStyle w:val="Apara"/>
      </w:pPr>
      <w:r w:rsidRPr="00A060B6">
        <w:tab/>
        <w:t>(b)</w:t>
      </w:r>
      <w:r w:rsidRPr="00A060B6">
        <w:tab/>
        <w:t>the judge and, if there is a jury, the jury will be present.</w:t>
      </w:r>
    </w:p>
    <w:p w:rsidR="00F8610E" w:rsidRPr="00A060B6" w:rsidRDefault="00F8610E" w:rsidP="00486F06">
      <w:pPr>
        <w:pStyle w:val="Amain"/>
      </w:pPr>
      <w:r w:rsidRPr="00A060B6">
        <w:tab/>
        <w:t>(3)</w:t>
      </w:r>
      <w:r w:rsidRPr="00A060B6">
        <w:tab/>
        <w:t>Without limiting the matters that the judge may take into account in deciding whether to make an order, the judge must take into account the following:</w:t>
      </w:r>
    </w:p>
    <w:p w:rsidR="00F8610E" w:rsidRPr="00A060B6" w:rsidRDefault="00F8610E" w:rsidP="00486F06">
      <w:pPr>
        <w:pStyle w:val="Apara"/>
      </w:pPr>
      <w:r w:rsidRPr="00A060B6">
        <w:tab/>
        <w:t>(a)</w:t>
      </w:r>
      <w:r w:rsidRPr="00A060B6">
        <w:tab/>
        <w:t>whether the parties will be present;</w:t>
      </w:r>
    </w:p>
    <w:p w:rsidR="00F8610E" w:rsidRPr="00A060B6" w:rsidRDefault="00F8610E" w:rsidP="00486F06">
      <w:pPr>
        <w:pStyle w:val="Apara"/>
      </w:pPr>
      <w:r w:rsidRPr="00A060B6">
        <w:tab/>
        <w:t>(b)</w:t>
      </w:r>
      <w:r w:rsidRPr="00A060B6">
        <w:tab/>
        <w:t>whether the demonstration, experiment or inspection will, in the court’s opinion, assist the court in resolving issues of fact or understanding the evidence;</w:t>
      </w:r>
    </w:p>
    <w:p w:rsidR="00F8610E" w:rsidRPr="00A060B6" w:rsidRDefault="00F8610E" w:rsidP="00486F06">
      <w:pPr>
        <w:pStyle w:val="Apara"/>
      </w:pPr>
      <w:r w:rsidRPr="00A060B6">
        <w:tab/>
        <w:t>(c)</w:t>
      </w:r>
      <w:r w:rsidRPr="00A060B6">
        <w:tab/>
        <w:t>the danger that the demonstration, experiment or inspection might be unfairly prejudicial, might be misleading or confusing or might cause or result in undue waste of time;</w:t>
      </w:r>
    </w:p>
    <w:p w:rsidR="00F8610E" w:rsidRPr="00A060B6" w:rsidRDefault="00F8610E" w:rsidP="00486F06">
      <w:pPr>
        <w:pStyle w:val="Apara"/>
      </w:pPr>
      <w:r w:rsidRPr="00A060B6">
        <w:tab/>
        <w:t>(d)</w:t>
      </w:r>
      <w:r w:rsidRPr="00A060B6">
        <w:tab/>
        <w:t>in the case of a demonstration—the extent to which the demonstration will properly reproduce the conduct or event to be demonstrated;</w:t>
      </w:r>
    </w:p>
    <w:p w:rsidR="00F8610E" w:rsidRPr="00A060B6" w:rsidRDefault="00F8610E" w:rsidP="00486F06">
      <w:pPr>
        <w:pStyle w:val="Apara"/>
      </w:pPr>
      <w:r w:rsidRPr="00A060B6">
        <w:tab/>
        <w:t>(e)</w:t>
      </w:r>
      <w:r w:rsidRPr="00A060B6">
        <w:tab/>
        <w:t>in the case of an inspection—the extent to which the place or thing to be inspected has materially altered.</w:t>
      </w:r>
    </w:p>
    <w:p w:rsidR="00F8610E" w:rsidRPr="00A060B6" w:rsidRDefault="00F8610E" w:rsidP="00486F06">
      <w:pPr>
        <w:pStyle w:val="Amain"/>
      </w:pPr>
      <w:r w:rsidRPr="00A060B6">
        <w:lastRenderedPageBreak/>
        <w:tab/>
        <w:t>(4)</w:t>
      </w:r>
      <w:r w:rsidRPr="00A060B6">
        <w:tab/>
        <w:t>The court (including, if there is a jury, the jury) must not conduct an experiment in the course of its deliberations.</w:t>
      </w:r>
    </w:p>
    <w:p w:rsidR="00F8610E" w:rsidRPr="00A060B6" w:rsidRDefault="00F8610E" w:rsidP="00486F06">
      <w:pPr>
        <w:pStyle w:val="Amain"/>
      </w:pPr>
      <w:r w:rsidRPr="00A060B6">
        <w:tab/>
        <w:t>(5)</w:t>
      </w:r>
      <w:r w:rsidRPr="00A060B6">
        <w:tab/>
        <w:t>This section does not apply in relation to the inspection of an exhibit by the court or, if there is a jury, by the jury.</w:t>
      </w:r>
    </w:p>
    <w:p w:rsidR="00F8610E" w:rsidRPr="00A060B6" w:rsidRDefault="00F8610E" w:rsidP="00486F06">
      <w:pPr>
        <w:pStyle w:val="AH5Sec"/>
      </w:pPr>
      <w:bookmarkStart w:id="76" w:name="_Toc11748431"/>
      <w:r w:rsidRPr="003925E1">
        <w:rPr>
          <w:rStyle w:val="CharSectNo"/>
        </w:rPr>
        <w:t>54</w:t>
      </w:r>
      <w:r w:rsidRPr="00A060B6">
        <w:tab/>
        <w:t>Views to be evidence</w:t>
      </w:r>
      <w:bookmarkEnd w:id="76"/>
    </w:p>
    <w:p w:rsidR="00F8610E" w:rsidRDefault="00F8610E" w:rsidP="00E51812">
      <w:pPr>
        <w:pStyle w:val="Amainreturn"/>
      </w:pPr>
      <w:r w:rsidRPr="00A060B6">
        <w:t>The court (including, if there is a jury, the jury) may draw any reasonable inference from what it sees, hears or otherwise notices during a demonstration, experiment or inspection.</w:t>
      </w:r>
    </w:p>
    <w:p w:rsidR="009A09D9" w:rsidRDefault="009A09D9" w:rsidP="002C1B1A">
      <w:pPr>
        <w:pStyle w:val="02Text"/>
        <w:sectPr w:rsidR="009A09D9">
          <w:headerReference w:type="even" r:id="rId76"/>
          <w:headerReference w:type="default" r:id="rId77"/>
          <w:footerReference w:type="even" r:id="rId78"/>
          <w:footerReference w:type="default" r:id="rId79"/>
          <w:footerReference w:type="first" r:id="rId80"/>
          <w:pgSz w:w="11907" w:h="16839" w:code="9"/>
          <w:pgMar w:top="3880" w:right="1900" w:bottom="3100" w:left="2300" w:header="1800" w:footer="1760" w:gutter="0"/>
          <w:pgNumType w:start="1"/>
          <w:cols w:space="720"/>
          <w:titlePg/>
          <w:docGrid w:linePitch="254"/>
        </w:sectPr>
      </w:pPr>
    </w:p>
    <w:p w:rsidR="00F8610E" w:rsidRPr="00A060B6" w:rsidRDefault="00F8610E" w:rsidP="000E543D">
      <w:pPr>
        <w:pStyle w:val="PageBreak"/>
        <w:suppressLineNumbers/>
      </w:pPr>
    </w:p>
    <w:p w:rsidR="00F8610E" w:rsidRPr="003925E1" w:rsidRDefault="00F8610E" w:rsidP="00486F06">
      <w:pPr>
        <w:pStyle w:val="AH1Chapter"/>
      </w:pPr>
      <w:bookmarkStart w:id="77" w:name="_Toc11748432"/>
      <w:r w:rsidRPr="003925E1">
        <w:rPr>
          <w:rStyle w:val="CharChapNo"/>
        </w:rPr>
        <w:t>Chapter 3</w:t>
      </w:r>
      <w:r w:rsidRPr="00A060B6">
        <w:tab/>
      </w:r>
      <w:r w:rsidRPr="003925E1">
        <w:rPr>
          <w:rStyle w:val="CharChapText"/>
        </w:rPr>
        <w:t>Admissibility of evidence</w:t>
      </w:r>
      <w:bookmarkEnd w:id="77"/>
    </w:p>
    <w:p w:rsidR="00F8610E" w:rsidRPr="00A060B6" w:rsidRDefault="00F8610E" w:rsidP="000E543D">
      <w:pPr>
        <w:pStyle w:val="Placeholder"/>
        <w:keepNext/>
        <w:suppressLineNumbers/>
      </w:pPr>
      <w:r w:rsidRPr="00A060B6">
        <w:rPr>
          <w:rStyle w:val="CharPartNo"/>
        </w:rPr>
        <w:t xml:space="preserve">  </w:t>
      </w:r>
      <w:r w:rsidRPr="00A060B6">
        <w:rPr>
          <w:rStyle w:val="CharPartText"/>
        </w:rPr>
        <w:t xml:space="preserve">  </w:t>
      </w:r>
    </w:p>
    <w:p w:rsidR="00F8610E" w:rsidRPr="00A060B6" w:rsidRDefault="00F8610E" w:rsidP="000E543D">
      <w:pPr>
        <w:pStyle w:val="Placeholder"/>
        <w:keepNext/>
        <w:suppressLineNumbers/>
      </w:pPr>
      <w:r w:rsidRPr="00A060B6">
        <w:rPr>
          <w:rStyle w:val="CharSectNo"/>
        </w:rPr>
        <w:t xml:space="preserve">  </w:t>
      </w:r>
    </w:p>
    <w:p w:rsidR="00F8610E" w:rsidRPr="00A060B6" w:rsidRDefault="00F8610E" w:rsidP="00D91EF4">
      <w:pPr>
        <w:pStyle w:val="aNote"/>
      </w:pPr>
      <w:r w:rsidRPr="005D1BC5">
        <w:rPr>
          <w:rStyle w:val="charItals"/>
        </w:rPr>
        <w:t>Note</w:t>
      </w:r>
      <w:r w:rsidRPr="005D1BC5">
        <w:rPr>
          <w:rStyle w:val="charItals"/>
        </w:rPr>
        <w:tab/>
      </w:r>
      <w:r w:rsidRPr="00A060B6">
        <w:t xml:space="preserve">This chapter is about whether evidence presented in a proceeding is admissible.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3.1 sets out the general inclusionary rule that relevant evidence is admissible.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3.2 is about the exclusion of hearsay evidence, and exceptions to the hearsay rule.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3.3 is about exclusion of opinion evidence, and exceptions to the opinion rule.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3.4 is about admissions and the extent to which they are admissible as exceptions to the hearsay rule and the opinion rule.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3.5 is about exclusion of certain evidence of judgments and convictions.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3.6 is about exclusion of evidence of tendency or coincidence, and exceptions to the tendency rule and the coincidence rule.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3.7 is about exclusion of evidence relevant only to credibility, and exceptions to the credibility rule.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3.8 is about character evidence and the extent to which it is admissible as exceptions to the hearsay rule, the opinion rule, the tendency rule and the credibility rule.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3.9 is about the requirements that must be satisfied before identification evidence is admissible.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3.10 is about the various categories of privilege that may prevent evidence being presented.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3.11 provides for the discretionary and mandatory exclusion of evidence even if it would otherwise be admissible. </w:t>
      </w:r>
    </w:p>
    <w:p w:rsidR="00F8610E" w:rsidRPr="00A060B6" w:rsidRDefault="00F8610E" w:rsidP="00AD129A">
      <w:pPr>
        <w:pStyle w:val="aNoteTextss"/>
      </w:pPr>
      <w:r w:rsidRPr="00A060B6">
        <w:t>The following diagram shows how this chapter applies to particular evidence: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985"/>
        <w:gridCol w:w="1275"/>
        <w:gridCol w:w="1984"/>
      </w:tblGrid>
      <w:tr w:rsidR="00F8610E" w:rsidRPr="00A060B6" w:rsidTr="00641552">
        <w:trPr>
          <w:trHeight w:val="173"/>
        </w:trPr>
        <w:tc>
          <w:tcPr>
            <w:tcW w:w="3970" w:type="dxa"/>
            <w:gridSpan w:val="2"/>
            <w:vMerge w:val="restart"/>
          </w:tcPr>
          <w:p w:rsidR="00F8610E" w:rsidRPr="00A060B6" w:rsidRDefault="00F8610E" w:rsidP="00641552">
            <w:pPr>
              <w:pStyle w:val="TableText10"/>
              <w:keepNext/>
            </w:pPr>
            <w:r w:rsidRPr="00A060B6">
              <w:lastRenderedPageBreak/>
              <w:br w:type="page"/>
              <w:t>Is the evidence relevant? (See pt 3.1).</w:t>
            </w:r>
          </w:p>
        </w:tc>
        <w:tc>
          <w:tcPr>
            <w:tcW w:w="1275" w:type="dxa"/>
            <w:tcBorders>
              <w:top w:val="nil"/>
            </w:tcBorders>
            <w:vAlign w:val="bottom"/>
          </w:tcPr>
          <w:p w:rsidR="00F8610E" w:rsidRPr="00641552" w:rsidRDefault="00621DA3" w:rsidP="00641552">
            <w:pPr>
              <w:keepNext/>
              <w:rPr>
                <w:sz w:val="20"/>
              </w:rPr>
            </w:pPr>
            <w:r>
              <w:rPr>
                <w:noProof/>
                <w:lang w:eastAsia="en-AU"/>
              </w:rPr>
              <mc:AlternateContent>
                <mc:Choice Requires="wps">
                  <w:drawing>
                    <wp:anchor distT="0" distB="0" distL="114300" distR="114300" simplePos="0" relativeHeight="251660288" behindDoc="1" locked="0" layoutInCell="1" allowOverlap="1">
                      <wp:simplePos x="0" y="0"/>
                      <wp:positionH relativeFrom="column">
                        <wp:posOffset>188595</wp:posOffset>
                      </wp:positionH>
                      <wp:positionV relativeFrom="paragraph">
                        <wp:posOffset>45085</wp:posOffset>
                      </wp:positionV>
                      <wp:extent cx="278130" cy="197485"/>
                      <wp:effectExtent l="0" t="635" r="0" b="19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3B15C2" w:rsidRDefault="00563EEA"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85pt;margin-top:3.55pt;width:21.9pt;height:1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f4gQIAAA8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" stroked="f">
                      <v:textbox>
                        <w:txbxContent>
                          <w:p w:rsidR="00563EEA" w:rsidRPr="003B15C2" w:rsidRDefault="00563EEA" w:rsidP="00665957">
                            <w:pPr>
                              <w:rPr>
                                <w:sz w:val="16"/>
                                <w:szCs w:val="16"/>
                              </w:rPr>
                            </w:pPr>
                            <w:r w:rsidRPr="003B15C2">
                              <w:rPr>
                                <w:sz w:val="16"/>
                                <w:szCs w:val="16"/>
                              </w:rPr>
                              <w:t>►</w:t>
                            </w:r>
                          </w:p>
                        </w:txbxContent>
                      </v:textbox>
                    </v:shape>
                  </w:pict>
                </mc:Fallback>
              </mc:AlternateContent>
            </w:r>
          </w:p>
        </w:tc>
        <w:tc>
          <w:tcPr>
            <w:tcW w:w="1984" w:type="dxa"/>
            <w:vMerge w:val="restart"/>
            <w:vAlign w:val="center"/>
          </w:tcPr>
          <w:p w:rsidR="00F8610E" w:rsidRPr="00A060B6" w:rsidRDefault="00F8610E" w:rsidP="00641552">
            <w:pPr>
              <w:pStyle w:val="TableText10"/>
              <w:keepNext/>
              <w:jc w:val="center"/>
            </w:pPr>
            <w:r w:rsidRPr="00A060B6">
              <w:t>THE</w:t>
            </w:r>
            <w:r w:rsidRPr="00A060B6">
              <w:br/>
              <w:t>EVIDENCE IS</w:t>
            </w:r>
            <w:r w:rsidRPr="00A060B6">
              <w:br/>
            </w:r>
            <w:r w:rsidRPr="00641552">
              <w:rPr>
                <w:b/>
              </w:rPr>
              <w:t>NOT</w:t>
            </w:r>
            <w:r w:rsidRPr="00641552">
              <w:rPr>
                <w:b/>
              </w:rPr>
              <w:br/>
            </w:r>
            <w:r w:rsidRPr="00A060B6">
              <w:t>ADMISSIBLE</w:t>
            </w:r>
          </w:p>
        </w:tc>
      </w:tr>
      <w:tr w:rsidR="00F8610E" w:rsidRPr="00A060B6" w:rsidTr="00641552">
        <w:trPr>
          <w:trHeight w:val="234"/>
        </w:trPr>
        <w:tc>
          <w:tcPr>
            <w:tcW w:w="3970" w:type="dxa"/>
            <w:gridSpan w:val="2"/>
            <w:vMerge/>
          </w:tcPr>
          <w:p w:rsidR="00F8610E" w:rsidRPr="00A060B6" w:rsidRDefault="00F8610E" w:rsidP="00641552">
            <w:pPr>
              <w:pStyle w:val="TableText10"/>
              <w:keepNext/>
            </w:pPr>
          </w:p>
        </w:tc>
        <w:tc>
          <w:tcPr>
            <w:tcW w:w="1275" w:type="dxa"/>
            <w:tcBorders>
              <w:bottom w:val="nil"/>
            </w:tcBorders>
            <w:vAlign w:val="bottom"/>
          </w:tcPr>
          <w:p w:rsidR="00F8610E" w:rsidRPr="00641552" w:rsidRDefault="00F8610E" w:rsidP="00641552">
            <w:pPr>
              <w:keepNext/>
              <w:rPr>
                <w:sz w:val="20"/>
              </w:rPr>
            </w:pPr>
            <w:r w:rsidRPr="00641552">
              <w:rPr>
                <w:sz w:val="20"/>
              </w:rPr>
              <w:t>No</w:t>
            </w:r>
          </w:p>
        </w:tc>
        <w:tc>
          <w:tcPr>
            <w:tcW w:w="1984" w:type="dxa"/>
            <w:vMerge/>
            <w:vAlign w:val="center"/>
          </w:tcPr>
          <w:p w:rsidR="00F8610E" w:rsidRPr="00A060B6" w:rsidRDefault="00F8610E" w:rsidP="00641552">
            <w:pPr>
              <w:pStyle w:val="TableText10"/>
              <w:keepNext/>
              <w:jc w:val="center"/>
            </w:pPr>
          </w:p>
        </w:tc>
      </w:tr>
      <w:tr w:rsidR="00F8610E" w:rsidRPr="00A060B6" w:rsidTr="00641552">
        <w:tc>
          <w:tcPr>
            <w:tcW w:w="1985" w:type="dxa"/>
            <w:tcBorders>
              <w:left w:val="nil"/>
            </w:tcBorders>
          </w:tcPr>
          <w:p w:rsidR="00F8610E" w:rsidRPr="00A060B6" w:rsidRDefault="00621DA3" w:rsidP="00641552">
            <w:pPr>
              <w:pStyle w:val="TableText10"/>
              <w:keepNext/>
              <w:jc w:val="center"/>
            </w:pPr>
            <w:r>
              <w:rPr>
                <w:noProof/>
                <w:lang w:eastAsia="en-AU"/>
              </w:rPr>
              <mc:AlternateContent>
                <mc:Choice Requires="wps">
                  <w:drawing>
                    <wp:anchor distT="0" distB="0" distL="114300" distR="114300" simplePos="0" relativeHeight="251623424" behindDoc="1" locked="0" layoutInCell="1" allowOverlap="1">
                      <wp:simplePos x="0" y="0"/>
                      <wp:positionH relativeFrom="column">
                        <wp:posOffset>1046480</wp:posOffset>
                      </wp:positionH>
                      <wp:positionV relativeFrom="paragraph">
                        <wp:posOffset>-5080</wp:posOffset>
                      </wp:positionV>
                      <wp:extent cx="200025" cy="209550"/>
                      <wp:effectExtent l="3175" t="635"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6C15F1" w:rsidRDefault="00563EEA" w:rsidP="00665957">
                                  <w:pPr>
                                    <w:jc w:val="both"/>
                                    <w:rPr>
                                      <w:sz w:val="16"/>
                                      <w:szCs w:val="16"/>
                                    </w:rPr>
                                  </w:pPr>
                                  <w:r w:rsidRPr="006C15F1">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2.4pt;margin-top:-.4pt;width:15.7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" stroked="f">
                      <v:textbox>
                        <w:txbxContent>
                          <w:p w:rsidR="00563EEA" w:rsidRPr="006C15F1" w:rsidRDefault="00563EEA" w:rsidP="00665957">
                            <w:pPr>
                              <w:jc w:val="both"/>
                              <w:rPr>
                                <w:sz w:val="16"/>
                                <w:szCs w:val="16"/>
                              </w:rPr>
                            </w:pPr>
                            <w:r w:rsidRPr="006C15F1">
                              <w:rPr>
                                <w:sz w:val="16"/>
                                <w:szCs w:val="16"/>
                              </w:rPr>
                              <w:t>▼</w:t>
                            </w:r>
                          </w:p>
                        </w:txbxContent>
                      </v:textbox>
                    </v:shape>
                  </w:pict>
                </mc:Fallback>
              </mc:AlternateContent>
            </w:r>
          </w:p>
        </w:tc>
        <w:tc>
          <w:tcPr>
            <w:tcW w:w="1985" w:type="dxa"/>
            <w:tcBorders>
              <w:right w:val="nil"/>
            </w:tcBorders>
          </w:tcPr>
          <w:p w:rsidR="00F8610E" w:rsidRPr="00A060B6" w:rsidRDefault="00F8610E" w:rsidP="00641552">
            <w:pPr>
              <w:pStyle w:val="TableText10"/>
              <w:keepNext/>
            </w:pPr>
            <w:r w:rsidRPr="00A060B6">
              <w:t>Yes</w:t>
            </w:r>
          </w:p>
        </w:tc>
        <w:tc>
          <w:tcPr>
            <w:tcW w:w="1275" w:type="dxa"/>
            <w:tcBorders>
              <w:top w:val="nil"/>
              <w:left w:val="nil"/>
              <w:bottom w:val="nil"/>
            </w:tcBorders>
            <w:vAlign w:val="bottom"/>
          </w:tcPr>
          <w:p w:rsidR="00F8610E" w:rsidRPr="00641552" w:rsidRDefault="00F8610E" w:rsidP="00641552">
            <w:pPr>
              <w:keepNext/>
              <w:rPr>
                <w:sz w:val="20"/>
              </w:rPr>
            </w:pPr>
          </w:p>
        </w:tc>
        <w:tc>
          <w:tcPr>
            <w:tcW w:w="1984" w:type="dxa"/>
            <w:vMerge/>
          </w:tcPr>
          <w:p w:rsidR="00F8610E" w:rsidRPr="00A060B6" w:rsidRDefault="00F8610E" w:rsidP="00641552">
            <w:pPr>
              <w:pStyle w:val="TableText10"/>
              <w:keepNext/>
            </w:pPr>
          </w:p>
        </w:tc>
      </w:tr>
      <w:tr w:rsidR="00F8610E" w:rsidRPr="00A060B6" w:rsidTr="00641552">
        <w:trPr>
          <w:trHeight w:val="405"/>
        </w:trPr>
        <w:tc>
          <w:tcPr>
            <w:tcW w:w="3970" w:type="dxa"/>
            <w:gridSpan w:val="2"/>
            <w:vMerge w:val="restart"/>
          </w:tcPr>
          <w:p w:rsidR="00F8610E" w:rsidRPr="00A060B6" w:rsidRDefault="00F8610E" w:rsidP="00641552">
            <w:pPr>
              <w:pStyle w:val="TableText10"/>
              <w:keepNext/>
            </w:pPr>
            <w:r w:rsidRPr="00A060B6">
              <w:t>Does the hearsay rule apply? (See pt 3.2. See also pt 3.4 on admissions and pt 3.8 on character evidence.)</w:t>
            </w:r>
          </w:p>
        </w:tc>
        <w:tc>
          <w:tcPr>
            <w:tcW w:w="1275" w:type="dxa"/>
            <w:tcBorders>
              <w:top w:val="nil"/>
            </w:tcBorders>
            <w:vAlign w:val="bottom"/>
          </w:tcPr>
          <w:p w:rsidR="00F8610E" w:rsidRPr="00641552" w:rsidRDefault="00621DA3" w:rsidP="00641552">
            <w:pPr>
              <w:keepNext/>
              <w:rPr>
                <w:sz w:val="20"/>
              </w:rPr>
            </w:pPr>
            <w:r>
              <w:rPr>
                <w:noProof/>
                <w:lang w:eastAsia="en-AU"/>
              </w:rPr>
              <mc:AlternateContent>
                <mc:Choice Requires="wps">
                  <w:drawing>
                    <wp:anchor distT="0" distB="0" distL="114300" distR="114300" simplePos="0" relativeHeight="251664384" behindDoc="1" locked="0" layoutInCell="1" allowOverlap="1">
                      <wp:simplePos x="0" y="0"/>
                      <wp:positionH relativeFrom="column">
                        <wp:posOffset>213360</wp:posOffset>
                      </wp:positionH>
                      <wp:positionV relativeFrom="paragraph">
                        <wp:posOffset>154305</wp:posOffset>
                      </wp:positionV>
                      <wp:extent cx="278130" cy="197485"/>
                      <wp:effectExtent l="0" t="0" r="2540" b="444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3B15C2" w:rsidRDefault="00563EEA"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6.8pt;margin-top:12.15pt;width:21.9pt;height:1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EEgwIAABY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" stroked="f">
                      <v:textbox>
                        <w:txbxContent>
                          <w:p w:rsidR="00563EEA" w:rsidRPr="003B15C2" w:rsidRDefault="00563EEA" w:rsidP="00665957">
                            <w:pPr>
                              <w:rPr>
                                <w:sz w:val="16"/>
                                <w:szCs w:val="16"/>
                              </w:rPr>
                            </w:pPr>
                            <w:r w:rsidRPr="003B15C2">
                              <w:rPr>
                                <w:sz w:val="16"/>
                                <w:szCs w:val="16"/>
                              </w:rPr>
                              <w:t>►</w:t>
                            </w:r>
                          </w:p>
                        </w:txbxContent>
                      </v:textbox>
                    </v:shape>
                  </w:pict>
                </mc:Fallback>
              </mc:AlternateContent>
            </w:r>
          </w:p>
        </w:tc>
        <w:tc>
          <w:tcPr>
            <w:tcW w:w="1984" w:type="dxa"/>
            <w:vMerge/>
          </w:tcPr>
          <w:p w:rsidR="00F8610E" w:rsidRPr="00A060B6" w:rsidRDefault="00F8610E" w:rsidP="00641552">
            <w:pPr>
              <w:pStyle w:val="TableText10"/>
              <w:keepNext/>
            </w:pPr>
          </w:p>
        </w:tc>
      </w:tr>
      <w:tr w:rsidR="00F8610E" w:rsidRPr="00A060B6" w:rsidTr="00641552">
        <w:trPr>
          <w:trHeight w:val="405"/>
        </w:trPr>
        <w:tc>
          <w:tcPr>
            <w:tcW w:w="3970" w:type="dxa"/>
            <w:gridSpan w:val="2"/>
            <w:vMerge/>
          </w:tcPr>
          <w:p w:rsidR="00F8610E" w:rsidRPr="00A060B6" w:rsidRDefault="00F8610E" w:rsidP="00665957">
            <w:pPr>
              <w:pStyle w:val="TableText10"/>
            </w:pPr>
          </w:p>
        </w:tc>
        <w:tc>
          <w:tcPr>
            <w:tcW w:w="1275" w:type="dxa"/>
            <w:tcBorders>
              <w:bottom w:val="nil"/>
            </w:tcBorders>
            <w:vAlign w:val="bottom"/>
          </w:tcPr>
          <w:p w:rsidR="00F8610E" w:rsidRPr="00641552" w:rsidRDefault="00F8610E" w:rsidP="00665957">
            <w:pPr>
              <w:rPr>
                <w:sz w:val="20"/>
              </w:rPr>
            </w:pPr>
            <w:r w:rsidRPr="00641552">
              <w:rPr>
                <w:sz w:val="20"/>
              </w:rPr>
              <w:t>Yes</w:t>
            </w:r>
          </w:p>
        </w:tc>
        <w:tc>
          <w:tcPr>
            <w:tcW w:w="1984" w:type="dxa"/>
            <w:vMerge/>
          </w:tcPr>
          <w:p w:rsidR="00F8610E" w:rsidRPr="00A060B6" w:rsidRDefault="00F8610E" w:rsidP="00665957">
            <w:pPr>
              <w:pStyle w:val="TableText10"/>
            </w:pPr>
          </w:p>
        </w:tc>
      </w:tr>
      <w:tr w:rsidR="00F8610E" w:rsidRPr="00A060B6" w:rsidTr="00641552">
        <w:tc>
          <w:tcPr>
            <w:tcW w:w="1985" w:type="dxa"/>
            <w:tcBorders>
              <w:left w:val="nil"/>
            </w:tcBorders>
          </w:tcPr>
          <w:p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27520" behindDoc="1" locked="0" layoutInCell="1" allowOverlap="1">
                      <wp:simplePos x="0" y="0"/>
                      <wp:positionH relativeFrom="column">
                        <wp:posOffset>1046480</wp:posOffset>
                      </wp:positionH>
                      <wp:positionV relativeFrom="paragraph">
                        <wp:posOffset>23495</wp:posOffset>
                      </wp:positionV>
                      <wp:extent cx="314325" cy="266700"/>
                      <wp:effectExtent l="3175" t="381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973A06" w:rsidRDefault="00563EEA"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82.4pt;margin-top:1.85pt;width:24.7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V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" stroked="f">
                      <v:textbox>
                        <w:txbxContent>
                          <w:p w:rsidR="00563EEA" w:rsidRPr="00973A06" w:rsidRDefault="00563EEA" w:rsidP="00665957">
                            <w:pPr>
                              <w:rPr>
                                <w:sz w:val="16"/>
                                <w:szCs w:val="16"/>
                              </w:rPr>
                            </w:pPr>
                            <w:r w:rsidRPr="00973A06">
                              <w:rPr>
                                <w:sz w:val="16"/>
                                <w:szCs w:val="16"/>
                              </w:rPr>
                              <w:t>▼</w:t>
                            </w:r>
                          </w:p>
                        </w:txbxContent>
                      </v:textbox>
                    </v:shape>
                  </w:pict>
                </mc:Fallback>
              </mc:AlternateContent>
            </w:r>
          </w:p>
        </w:tc>
        <w:tc>
          <w:tcPr>
            <w:tcW w:w="1985" w:type="dxa"/>
            <w:tcBorders>
              <w:right w:val="nil"/>
            </w:tcBorders>
          </w:tcPr>
          <w:p w:rsidR="00F8610E" w:rsidRPr="00A060B6" w:rsidRDefault="00F8610E" w:rsidP="00665957">
            <w:pPr>
              <w:pStyle w:val="TableText10"/>
            </w:pPr>
            <w:r w:rsidRPr="00A060B6">
              <w:t>No</w:t>
            </w:r>
          </w:p>
        </w:tc>
        <w:tc>
          <w:tcPr>
            <w:tcW w:w="1275" w:type="dxa"/>
            <w:tcBorders>
              <w:top w:val="nil"/>
              <w:left w:val="nil"/>
              <w:bottom w:val="nil"/>
            </w:tcBorders>
            <w:vAlign w:val="bottom"/>
          </w:tcPr>
          <w:p w:rsidR="00F8610E" w:rsidRPr="00641552" w:rsidRDefault="00F8610E" w:rsidP="00665957">
            <w:pPr>
              <w:rPr>
                <w:sz w:val="20"/>
              </w:rPr>
            </w:pPr>
          </w:p>
        </w:tc>
        <w:tc>
          <w:tcPr>
            <w:tcW w:w="1984" w:type="dxa"/>
            <w:vMerge/>
          </w:tcPr>
          <w:p w:rsidR="00F8610E" w:rsidRPr="00A060B6" w:rsidRDefault="00F8610E" w:rsidP="00665957">
            <w:pPr>
              <w:pStyle w:val="TableText10"/>
            </w:pPr>
          </w:p>
        </w:tc>
      </w:tr>
      <w:tr w:rsidR="00F8610E" w:rsidRPr="00A060B6" w:rsidTr="00641552">
        <w:trPr>
          <w:trHeight w:val="401"/>
        </w:trPr>
        <w:tc>
          <w:tcPr>
            <w:tcW w:w="3970" w:type="dxa"/>
            <w:gridSpan w:val="2"/>
            <w:vMerge w:val="restart"/>
          </w:tcPr>
          <w:p w:rsidR="00F8610E" w:rsidRPr="00A060B6" w:rsidRDefault="00F8610E" w:rsidP="00665957">
            <w:pPr>
              <w:pStyle w:val="TableText10"/>
            </w:pPr>
            <w:r w:rsidRPr="00A060B6">
              <w:t>Does the opinion rule apply? (See pt 3.3.</w:t>
            </w:r>
            <w:r w:rsidRPr="00A060B6">
              <w:br/>
              <w:t>See also pt 3.4 on admissions and pt 3.8 on character evidence.)</w:t>
            </w:r>
          </w:p>
        </w:tc>
        <w:tc>
          <w:tcPr>
            <w:tcW w:w="1275" w:type="dxa"/>
            <w:tcBorders>
              <w:top w:val="nil"/>
            </w:tcBorders>
            <w:vAlign w:val="bottom"/>
          </w:tcPr>
          <w:p w:rsidR="00F8610E" w:rsidRPr="00641552" w:rsidRDefault="00621DA3" w:rsidP="00665957">
            <w:pPr>
              <w:rPr>
                <w:sz w:val="20"/>
              </w:rPr>
            </w:pPr>
            <w:r>
              <w:rPr>
                <w:noProof/>
                <w:lang w:eastAsia="en-AU"/>
              </w:rPr>
              <mc:AlternateContent>
                <mc:Choice Requires="wps">
                  <w:drawing>
                    <wp:anchor distT="0" distB="0" distL="114300" distR="114300" simplePos="0" relativeHeight="251668480" behindDoc="1" locked="0" layoutInCell="1" allowOverlap="1">
                      <wp:simplePos x="0" y="0"/>
                      <wp:positionH relativeFrom="column">
                        <wp:posOffset>203200</wp:posOffset>
                      </wp:positionH>
                      <wp:positionV relativeFrom="paragraph">
                        <wp:posOffset>158115</wp:posOffset>
                      </wp:positionV>
                      <wp:extent cx="278130" cy="197485"/>
                      <wp:effectExtent l="4445" t="0" r="3175"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3B15C2" w:rsidRDefault="00563EEA"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6pt;margin-top:12.45pt;width:21.9pt;height:15.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IBhAIAABY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" stroked="f">
                      <v:textbox>
                        <w:txbxContent>
                          <w:p w:rsidR="00563EEA" w:rsidRPr="003B15C2" w:rsidRDefault="00563EEA" w:rsidP="00665957">
                            <w:pPr>
                              <w:rPr>
                                <w:sz w:val="16"/>
                                <w:szCs w:val="16"/>
                              </w:rPr>
                            </w:pPr>
                            <w:r w:rsidRPr="003B15C2">
                              <w:rPr>
                                <w:sz w:val="16"/>
                                <w:szCs w:val="16"/>
                              </w:rPr>
                              <w:t>►</w:t>
                            </w:r>
                          </w:p>
                        </w:txbxContent>
                      </v:textbox>
                    </v:shape>
                  </w:pict>
                </mc:Fallback>
              </mc:AlternateContent>
            </w:r>
          </w:p>
        </w:tc>
        <w:tc>
          <w:tcPr>
            <w:tcW w:w="1984" w:type="dxa"/>
            <w:vMerge/>
          </w:tcPr>
          <w:p w:rsidR="00F8610E" w:rsidRPr="00A060B6" w:rsidRDefault="00F8610E" w:rsidP="00665957">
            <w:pPr>
              <w:pStyle w:val="TableText10"/>
            </w:pPr>
          </w:p>
        </w:tc>
      </w:tr>
      <w:tr w:rsidR="00F8610E" w:rsidRPr="00A060B6" w:rsidTr="00641552">
        <w:trPr>
          <w:trHeight w:val="405"/>
        </w:trPr>
        <w:tc>
          <w:tcPr>
            <w:tcW w:w="3970" w:type="dxa"/>
            <w:gridSpan w:val="2"/>
            <w:vMerge/>
          </w:tcPr>
          <w:p w:rsidR="00F8610E" w:rsidRPr="00A060B6" w:rsidRDefault="00F8610E" w:rsidP="00665957">
            <w:pPr>
              <w:pStyle w:val="TableText10"/>
            </w:pPr>
          </w:p>
        </w:tc>
        <w:tc>
          <w:tcPr>
            <w:tcW w:w="1275" w:type="dxa"/>
            <w:tcBorders>
              <w:bottom w:val="nil"/>
            </w:tcBorders>
            <w:vAlign w:val="bottom"/>
          </w:tcPr>
          <w:p w:rsidR="00F8610E" w:rsidRPr="00641552" w:rsidRDefault="00F8610E" w:rsidP="00665957">
            <w:pPr>
              <w:rPr>
                <w:sz w:val="20"/>
              </w:rPr>
            </w:pPr>
            <w:r w:rsidRPr="00641552">
              <w:rPr>
                <w:sz w:val="20"/>
              </w:rPr>
              <w:t>Yes</w:t>
            </w:r>
          </w:p>
        </w:tc>
        <w:tc>
          <w:tcPr>
            <w:tcW w:w="1984" w:type="dxa"/>
            <w:vMerge/>
          </w:tcPr>
          <w:p w:rsidR="00F8610E" w:rsidRPr="00A060B6" w:rsidRDefault="00F8610E" w:rsidP="00665957">
            <w:pPr>
              <w:pStyle w:val="TableText10"/>
            </w:pPr>
          </w:p>
        </w:tc>
      </w:tr>
      <w:tr w:rsidR="00F8610E" w:rsidRPr="00A060B6" w:rsidTr="00641552">
        <w:tc>
          <w:tcPr>
            <w:tcW w:w="1985" w:type="dxa"/>
            <w:tcBorders>
              <w:left w:val="nil"/>
            </w:tcBorders>
          </w:tcPr>
          <w:p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31616" behindDoc="1" locked="0" layoutInCell="1" allowOverlap="1">
                      <wp:simplePos x="0" y="0"/>
                      <wp:positionH relativeFrom="column">
                        <wp:posOffset>1046480</wp:posOffset>
                      </wp:positionH>
                      <wp:positionV relativeFrom="paragraph">
                        <wp:posOffset>6350</wp:posOffset>
                      </wp:positionV>
                      <wp:extent cx="314325" cy="266700"/>
                      <wp:effectExtent l="3175" t="0" r="0" b="317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973A06" w:rsidRDefault="00563EEA"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82.4pt;margin-top:.5pt;width:24.7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BQ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" stroked="f">
                      <v:textbox>
                        <w:txbxContent>
                          <w:p w:rsidR="00563EEA" w:rsidRPr="00973A06" w:rsidRDefault="00563EEA" w:rsidP="00665957">
                            <w:pPr>
                              <w:rPr>
                                <w:sz w:val="16"/>
                                <w:szCs w:val="16"/>
                              </w:rPr>
                            </w:pPr>
                            <w:r w:rsidRPr="00973A06">
                              <w:rPr>
                                <w:sz w:val="16"/>
                                <w:szCs w:val="16"/>
                              </w:rPr>
                              <w:t>▼</w:t>
                            </w:r>
                          </w:p>
                        </w:txbxContent>
                      </v:textbox>
                    </v:shape>
                  </w:pict>
                </mc:Fallback>
              </mc:AlternateContent>
            </w:r>
          </w:p>
        </w:tc>
        <w:tc>
          <w:tcPr>
            <w:tcW w:w="1985" w:type="dxa"/>
            <w:tcBorders>
              <w:right w:val="nil"/>
            </w:tcBorders>
          </w:tcPr>
          <w:p w:rsidR="00F8610E" w:rsidRPr="00A060B6" w:rsidRDefault="00F8610E" w:rsidP="00665957">
            <w:pPr>
              <w:pStyle w:val="TableText10"/>
            </w:pPr>
            <w:r w:rsidRPr="00A060B6">
              <w:t>No</w:t>
            </w:r>
          </w:p>
        </w:tc>
        <w:tc>
          <w:tcPr>
            <w:tcW w:w="1275" w:type="dxa"/>
            <w:tcBorders>
              <w:top w:val="nil"/>
              <w:left w:val="nil"/>
              <w:bottom w:val="nil"/>
            </w:tcBorders>
            <w:vAlign w:val="bottom"/>
          </w:tcPr>
          <w:p w:rsidR="00F8610E" w:rsidRPr="00641552" w:rsidRDefault="00F8610E" w:rsidP="00665957">
            <w:pPr>
              <w:rPr>
                <w:sz w:val="20"/>
              </w:rPr>
            </w:pPr>
          </w:p>
        </w:tc>
        <w:tc>
          <w:tcPr>
            <w:tcW w:w="1984" w:type="dxa"/>
            <w:vMerge/>
          </w:tcPr>
          <w:p w:rsidR="00F8610E" w:rsidRPr="00A060B6" w:rsidRDefault="00F8610E" w:rsidP="00665957">
            <w:pPr>
              <w:pStyle w:val="TableText10"/>
            </w:pPr>
          </w:p>
        </w:tc>
      </w:tr>
      <w:tr w:rsidR="00F8610E" w:rsidRPr="00A060B6" w:rsidTr="00641552">
        <w:trPr>
          <w:trHeight w:val="405"/>
        </w:trPr>
        <w:tc>
          <w:tcPr>
            <w:tcW w:w="3970" w:type="dxa"/>
            <w:gridSpan w:val="2"/>
            <w:vMerge w:val="restart"/>
          </w:tcPr>
          <w:p w:rsidR="00F8610E" w:rsidRPr="00A060B6" w:rsidRDefault="00F8610E" w:rsidP="00665957">
            <w:pPr>
              <w:pStyle w:val="TableText10"/>
            </w:pPr>
            <w:r w:rsidRPr="00A060B6">
              <w:t>Does the evidence contravene the rule about evidence of judgments and convictions? (See pt 3.5.)</w:t>
            </w:r>
          </w:p>
        </w:tc>
        <w:tc>
          <w:tcPr>
            <w:tcW w:w="1275" w:type="dxa"/>
            <w:tcBorders>
              <w:top w:val="nil"/>
            </w:tcBorders>
            <w:vAlign w:val="bottom"/>
          </w:tcPr>
          <w:p w:rsidR="00F8610E" w:rsidRPr="00641552" w:rsidRDefault="00621DA3" w:rsidP="00665957">
            <w:pPr>
              <w:rPr>
                <w:sz w:val="20"/>
              </w:rPr>
            </w:pPr>
            <w:r>
              <w:rPr>
                <w:noProof/>
                <w:lang w:eastAsia="en-AU"/>
              </w:rPr>
              <mc:AlternateContent>
                <mc:Choice Requires="wps">
                  <w:drawing>
                    <wp:anchor distT="0" distB="0" distL="114300" distR="114300" simplePos="0" relativeHeight="251672576" behindDoc="1" locked="0" layoutInCell="1" allowOverlap="1">
                      <wp:simplePos x="0" y="0"/>
                      <wp:positionH relativeFrom="column">
                        <wp:posOffset>201295</wp:posOffset>
                      </wp:positionH>
                      <wp:positionV relativeFrom="paragraph">
                        <wp:posOffset>160020</wp:posOffset>
                      </wp:positionV>
                      <wp:extent cx="278130" cy="197485"/>
                      <wp:effectExtent l="2540" t="0" r="0" b="444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3B15C2" w:rsidRDefault="00563EEA"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5.85pt;margin-top:12.6pt;width:21.9pt;height:1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" stroked="f">
                      <v:textbox>
                        <w:txbxContent>
                          <w:p w:rsidR="00563EEA" w:rsidRPr="003B15C2" w:rsidRDefault="00563EEA" w:rsidP="00665957">
                            <w:pPr>
                              <w:rPr>
                                <w:sz w:val="16"/>
                                <w:szCs w:val="16"/>
                              </w:rPr>
                            </w:pPr>
                            <w:r w:rsidRPr="003B15C2">
                              <w:rPr>
                                <w:sz w:val="16"/>
                                <w:szCs w:val="16"/>
                              </w:rPr>
                              <w:t>►</w:t>
                            </w:r>
                          </w:p>
                        </w:txbxContent>
                      </v:textbox>
                    </v:shape>
                  </w:pict>
                </mc:Fallback>
              </mc:AlternateContent>
            </w:r>
          </w:p>
        </w:tc>
        <w:tc>
          <w:tcPr>
            <w:tcW w:w="1984" w:type="dxa"/>
            <w:vMerge/>
          </w:tcPr>
          <w:p w:rsidR="00F8610E" w:rsidRPr="00A060B6" w:rsidRDefault="00F8610E" w:rsidP="00665957">
            <w:pPr>
              <w:pStyle w:val="TableText10"/>
            </w:pPr>
          </w:p>
        </w:tc>
      </w:tr>
      <w:tr w:rsidR="00F8610E" w:rsidRPr="00A060B6" w:rsidTr="00641552">
        <w:trPr>
          <w:trHeight w:val="405"/>
        </w:trPr>
        <w:tc>
          <w:tcPr>
            <w:tcW w:w="3970" w:type="dxa"/>
            <w:gridSpan w:val="2"/>
            <w:vMerge/>
          </w:tcPr>
          <w:p w:rsidR="00F8610E" w:rsidRPr="00A060B6" w:rsidRDefault="00F8610E" w:rsidP="00665957">
            <w:pPr>
              <w:pStyle w:val="TableText10"/>
            </w:pPr>
          </w:p>
        </w:tc>
        <w:tc>
          <w:tcPr>
            <w:tcW w:w="1275" w:type="dxa"/>
            <w:tcBorders>
              <w:bottom w:val="nil"/>
            </w:tcBorders>
            <w:vAlign w:val="bottom"/>
          </w:tcPr>
          <w:p w:rsidR="00F8610E" w:rsidRPr="00641552" w:rsidRDefault="00F8610E" w:rsidP="00665957">
            <w:pPr>
              <w:rPr>
                <w:sz w:val="20"/>
              </w:rPr>
            </w:pPr>
            <w:r w:rsidRPr="00641552">
              <w:rPr>
                <w:sz w:val="20"/>
              </w:rPr>
              <w:t>Yes</w:t>
            </w:r>
          </w:p>
        </w:tc>
        <w:tc>
          <w:tcPr>
            <w:tcW w:w="1984" w:type="dxa"/>
            <w:vMerge/>
          </w:tcPr>
          <w:p w:rsidR="00F8610E" w:rsidRPr="00A060B6" w:rsidRDefault="00F8610E" w:rsidP="00665957">
            <w:pPr>
              <w:pStyle w:val="TableText10"/>
            </w:pPr>
          </w:p>
        </w:tc>
      </w:tr>
      <w:tr w:rsidR="00F8610E" w:rsidRPr="00A060B6" w:rsidTr="00641552">
        <w:tc>
          <w:tcPr>
            <w:tcW w:w="1985" w:type="dxa"/>
            <w:tcBorders>
              <w:left w:val="nil"/>
            </w:tcBorders>
          </w:tcPr>
          <w:p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35712" behindDoc="1" locked="0" layoutInCell="1" allowOverlap="1">
                      <wp:simplePos x="0" y="0"/>
                      <wp:positionH relativeFrom="column">
                        <wp:posOffset>1046480</wp:posOffset>
                      </wp:positionH>
                      <wp:positionV relativeFrom="paragraph">
                        <wp:posOffset>11430</wp:posOffset>
                      </wp:positionV>
                      <wp:extent cx="314325" cy="266700"/>
                      <wp:effectExtent l="3175" t="0" r="0" b="444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973A06" w:rsidRDefault="00563EEA"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82.4pt;margin-top:.9pt;width:24.7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Hd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" stroked="f">
                      <v:textbox>
                        <w:txbxContent>
                          <w:p w:rsidR="00563EEA" w:rsidRPr="00973A06" w:rsidRDefault="00563EEA" w:rsidP="00665957">
                            <w:pPr>
                              <w:rPr>
                                <w:sz w:val="16"/>
                                <w:szCs w:val="16"/>
                              </w:rPr>
                            </w:pPr>
                            <w:r w:rsidRPr="00973A06">
                              <w:rPr>
                                <w:sz w:val="16"/>
                                <w:szCs w:val="16"/>
                              </w:rPr>
                              <w:t>▼</w:t>
                            </w:r>
                          </w:p>
                        </w:txbxContent>
                      </v:textbox>
                    </v:shape>
                  </w:pict>
                </mc:Fallback>
              </mc:AlternateContent>
            </w:r>
          </w:p>
        </w:tc>
        <w:tc>
          <w:tcPr>
            <w:tcW w:w="1985" w:type="dxa"/>
            <w:tcBorders>
              <w:right w:val="nil"/>
            </w:tcBorders>
          </w:tcPr>
          <w:p w:rsidR="00F8610E" w:rsidRPr="00A060B6" w:rsidRDefault="00F8610E" w:rsidP="00665957">
            <w:pPr>
              <w:pStyle w:val="TableText10"/>
            </w:pPr>
            <w:r w:rsidRPr="00A060B6">
              <w:t>No</w:t>
            </w:r>
          </w:p>
        </w:tc>
        <w:tc>
          <w:tcPr>
            <w:tcW w:w="1275" w:type="dxa"/>
            <w:tcBorders>
              <w:top w:val="nil"/>
              <w:left w:val="nil"/>
              <w:bottom w:val="nil"/>
            </w:tcBorders>
            <w:vAlign w:val="bottom"/>
          </w:tcPr>
          <w:p w:rsidR="00F8610E" w:rsidRPr="00641552" w:rsidRDefault="00F8610E" w:rsidP="00665957">
            <w:pPr>
              <w:rPr>
                <w:sz w:val="20"/>
              </w:rPr>
            </w:pPr>
          </w:p>
        </w:tc>
        <w:tc>
          <w:tcPr>
            <w:tcW w:w="1984" w:type="dxa"/>
            <w:vMerge/>
          </w:tcPr>
          <w:p w:rsidR="00F8610E" w:rsidRPr="00A060B6" w:rsidRDefault="00F8610E" w:rsidP="00665957">
            <w:pPr>
              <w:pStyle w:val="TableText10"/>
            </w:pPr>
          </w:p>
        </w:tc>
      </w:tr>
      <w:tr w:rsidR="00F8610E" w:rsidRPr="00A060B6" w:rsidTr="00641552">
        <w:trPr>
          <w:trHeight w:val="405"/>
        </w:trPr>
        <w:tc>
          <w:tcPr>
            <w:tcW w:w="3970" w:type="dxa"/>
            <w:gridSpan w:val="2"/>
            <w:vMerge w:val="restart"/>
          </w:tcPr>
          <w:p w:rsidR="00F8610E" w:rsidRPr="00A060B6" w:rsidRDefault="00F8610E" w:rsidP="00665957">
            <w:pPr>
              <w:pStyle w:val="TableText10"/>
            </w:pPr>
            <w:r w:rsidRPr="00A060B6">
              <w:t>Does the tendency rule or the coincidence rule apply? (See pt 3.6. See also pt 3.8 on character evidence.)</w:t>
            </w:r>
          </w:p>
        </w:tc>
        <w:tc>
          <w:tcPr>
            <w:tcW w:w="1275" w:type="dxa"/>
            <w:tcBorders>
              <w:top w:val="nil"/>
            </w:tcBorders>
            <w:vAlign w:val="bottom"/>
          </w:tcPr>
          <w:p w:rsidR="00F8610E" w:rsidRPr="00641552" w:rsidRDefault="00621DA3" w:rsidP="00665957">
            <w:pPr>
              <w:rPr>
                <w:sz w:val="20"/>
              </w:rPr>
            </w:pPr>
            <w:r>
              <w:rPr>
                <w:noProof/>
                <w:lang w:eastAsia="en-AU"/>
              </w:rPr>
              <mc:AlternateContent>
                <mc:Choice Requires="wps">
                  <w:drawing>
                    <wp:anchor distT="0" distB="0" distL="114300" distR="114300" simplePos="0" relativeHeight="251676672" behindDoc="1" locked="0" layoutInCell="1" allowOverlap="1">
                      <wp:simplePos x="0" y="0"/>
                      <wp:positionH relativeFrom="column">
                        <wp:posOffset>212090</wp:posOffset>
                      </wp:positionH>
                      <wp:positionV relativeFrom="paragraph">
                        <wp:posOffset>156210</wp:posOffset>
                      </wp:positionV>
                      <wp:extent cx="278130" cy="197485"/>
                      <wp:effectExtent l="3810" t="0" r="381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3B15C2" w:rsidRDefault="00563EEA"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16.7pt;margin-top:12.3pt;width:21.9pt;height:15.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" stroked="f">
                      <v:textbox>
                        <w:txbxContent>
                          <w:p w:rsidR="00563EEA" w:rsidRPr="003B15C2" w:rsidRDefault="00563EEA" w:rsidP="00665957">
                            <w:pPr>
                              <w:rPr>
                                <w:sz w:val="16"/>
                                <w:szCs w:val="16"/>
                              </w:rPr>
                            </w:pPr>
                            <w:r w:rsidRPr="003B15C2">
                              <w:rPr>
                                <w:sz w:val="16"/>
                                <w:szCs w:val="16"/>
                              </w:rPr>
                              <w:t>►</w:t>
                            </w:r>
                          </w:p>
                        </w:txbxContent>
                      </v:textbox>
                    </v:shape>
                  </w:pict>
                </mc:Fallback>
              </mc:AlternateContent>
            </w:r>
          </w:p>
        </w:tc>
        <w:tc>
          <w:tcPr>
            <w:tcW w:w="1984" w:type="dxa"/>
            <w:vMerge/>
          </w:tcPr>
          <w:p w:rsidR="00F8610E" w:rsidRPr="00A060B6" w:rsidRDefault="00F8610E" w:rsidP="00665957">
            <w:pPr>
              <w:pStyle w:val="TableText10"/>
            </w:pPr>
          </w:p>
        </w:tc>
      </w:tr>
      <w:tr w:rsidR="00F8610E" w:rsidRPr="00A060B6" w:rsidTr="00641552">
        <w:trPr>
          <w:trHeight w:val="405"/>
        </w:trPr>
        <w:tc>
          <w:tcPr>
            <w:tcW w:w="3970" w:type="dxa"/>
            <w:gridSpan w:val="2"/>
            <w:vMerge/>
          </w:tcPr>
          <w:p w:rsidR="00F8610E" w:rsidRPr="00A060B6" w:rsidRDefault="00F8610E" w:rsidP="00665957">
            <w:pPr>
              <w:pStyle w:val="TableText10"/>
            </w:pPr>
          </w:p>
        </w:tc>
        <w:tc>
          <w:tcPr>
            <w:tcW w:w="1275" w:type="dxa"/>
            <w:tcBorders>
              <w:bottom w:val="nil"/>
            </w:tcBorders>
            <w:vAlign w:val="bottom"/>
          </w:tcPr>
          <w:p w:rsidR="00F8610E" w:rsidRPr="00641552" w:rsidRDefault="00F8610E" w:rsidP="00665957">
            <w:pPr>
              <w:rPr>
                <w:sz w:val="20"/>
              </w:rPr>
            </w:pPr>
            <w:r w:rsidRPr="00641552">
              <w:rPr>
                <w:sz w:val="20"/>
              </w:rPr>
              <w:t>Yes</w:t>
            </w:r>
          </w:p>
        </w:tc>
        <w:tc>
          <w:tcPr>
            <w:tcW w:w="1984" w:type="dxa"/>
            <w:vMerge/>
          </w:tcPr>
          <w:p w:rsidR="00F8610E" w:rsidRPr="00A060B6" w:rsidRDefault="00F8610E" w:rsidP="00665957">
            <w:pPr>
              <w:pStyle w:val="TableText10"/>
            </w:pPr>
          </w:p>
        </w:tc>
      </w:tr>
      <w:tr w:rsidR="00F8610E" w:rsidRPr="00A060B6" w:rsidTr="00641552">
        <w:tc>
          <w:tcPr>
            <w:tcW w:w="1985" w:type="dxa"/>
            <w:tcBorders>
              <w:left w:val="nil"/>
            </w:tcBorders>
          </w:tcPr>
          <w:p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39808" behindDoc="1" locked="0" layoutInCell="1" allowOverlap="1">
                      <wp:simplePos x="0" y="0"/>
                      <wp:positionH relativeFrom="column">
                        <wp:posOffset>1046480</wp:posOffset>
                      </wp:positionH>
                      <wp:positionV relativeFrom="paragraph">
                        <wp:posOffset>16510</wp:posOffset>
                      </wp:positionV>
                      <wp:extent cx="314325" cy="266700"/>
                      <wp:effectExtent l="3175" t="381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973A06" w:rsidRDefault="00563EEA"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82.4pt;margin-top:1.3pt;width:24.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" stroked="f">
                      <v:textbox>
                        <w:txbxContent>
                          <w:p w:rsidR="00563EEA" w:rsidRPr="00973A06" w:rsidRDefault="00563EEA" w:rsidP="00665957">
                            <w:pPr>
                              <w:rPr>
                                <w:sz w:val="16"/>
                                <w:szCs w:val="16"/>
                              </w:rPr>
                            </w:pPr>
                            <w:r w:rsidRPr="00973A06">
                              <w:rPr>
                                <w:sz w:val="16"/>
                                <w:szCs w:val="16"/>
                              </w:rPr>
                              <w:t>▼</w:t>
                            </w:r>
                          </w:p>
                        </w:txbxContent>
                      </v:textbox>
                    </v:shape>
                  </w:pict>
                </mc:Fallback>
              </mc:AlternateContent>
            </w:r>
          </w:p>
        </w:tc>
        <w:tc>
          <w:tcPr>
            <w:tcW w:w="1985" w:type="dxa"/>
            <w:tcBorders>
              <w:right w:val="nil"/>
            </w:tcBorders>
          </w:tcPr>
          <w:p w:rsidR="00F8610E" w:rsidRPr="00A060B6" w:rsidRDefault="00F8610E" w:rsidP="00665957">
            <w:pPr>
              <w:pStyle w:val="TableText10"/>
            </w:pPr>
            <w:r w:rsidRPr="00A060B6">
              <w:t>No</w:t>
            </w:r>
          </w:p>
        </w:tc>
        <w:tc>
          <w:tcPr>
            <w:tcW w:w="1275" w:type="dxa"/>
            <w:tcBorders>
              <w:top w:val="nil"/>
              <w:left w:val="nil"/>
              <w:bottom w:val="nil"/>
            </w:tcBorders>
            <w:vAlign w:val="bottom"/>
          </w:tcPr>
          <w:p w:rsidR="00F8610E" w:rsidRPr="00641552" w:rsidRDefault="00F8610E" w:rsidP="00665957">
            <w:pPr>
              <w:rPr>
                <w:sz w:val="20"/>
              </w:rPr>
            </w:pPr>
          </w:p>
        </w:tc>
        <w:tc>
          <w:tcPr>
            <w:tcW w:w="1984" w:type="dxa"/>
            <w:vMerge/>
          </w:tcPr>
          <w:p w:rsidR="00F8610E" w:rsidRPr="00A060B6" w:rsidRDefault="00F8610E" w:rsidP="00665957">
            <w:pPr>
              <w:pStyle w:val="TableText10"/>
            </w:pPr>
          </w:p>
        </w:tc>
      </w:tr>
      <w:tr w:rsidR="00F8610E" w:rsidRPr="00A060B6" w:rsidTr="00641552">
        <w:trPr>
          <w:trHeight w:val="293"/>
        </w:trPr>
        <w:tc>
          <w:tcPr>
            <w:tcW w:w="3970" w:type="dxa"/>
            <w:gridSpan w:val="2"/>
            <w:vMerge w:val="restart"/>
          </w:tcPr>
          <w:p w:rsidR="00F8610E" w:rsidRPr="00A060B6" w:rsidRDefault="00F8610E" w:rsidP="00665957">
            <w:pPr>
              <w:pStyle w:val="TableText10"/>
            </w:pPr>
            <w:r w:rsidRPr="00A060B6">
              <w:t>Does the credibility rule apply? (See pt 3.7. See also pt 3.8 on character evidence.)</w:t>
            </w:r>
          </w:p>
        </w:tc>
        <w:tc>
          <w:tcPr>
            <w:tcW w:w="1275" w:type="dxa"/>
            <w:tcBorders>
              <w:top w:val="nil"/>
            </w:tcBorders>
            <w:vAlign w:val="bottom"/>
          </w:tcPr>
          <w:p w:rsidR="00F8610E" w:rsidRPr="00641552" w:rsidRDefault="00621DA3" w:rsidP="00665957">
            <w:pPr>
              <w:rPr>
                <w:sz w:val="20"/>
              </w:rPr>
            </w:pPr>
            <w:r>
              <w:rPr>
                <w:noProof/>
                <w:lang w:eastAsia="en-AU"/>
              </w:rPr>
              <mc:AlternateContent>
                <mc:Choice Requires="wps">
                  <w:drawing>
                    <wp:anchor distT="0" distB="0" distL="114300" distR="114300" simplePos="0" relativeHeight="251680768" behindDoc="1" locked="0" layoutInCell="1" allowOverlap="1">
                      <wp:simplePos x="0" y="0"/>
                      <wp:positionH relativeFrom="column">
                        <wp:posOffset>207645</wp:posOffset>
                      </wp:positionH>
                      <wp:positionV relativeFrom="paragraph">
                        <wp:posOffset>86995</wp:posOffset>
                      </wp:positionV>
                      <wp:extent cx="278130" cy="197485"/>
                      <wp:effectExtent l="0" t="0" r="0" b="444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3B15C2" w:rsidRDefault="00563EEA"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16.35pt;margin-top:6.85pt;width:21.9pt;height:15.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4R4hAIAABg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" stroked="f">
                      <v:textbox>
                        <w:txbxContent>
                          <w:p w:rsidR="00563EEA" w:rsidRPr="003B15C2" w:rsidRDefault="00563EEA" w:rsidP="00665957">
                            <w:pPr>
                              <w:rPr>
                                <w:sz w:val="16"/>
                                <w:szCs w:val="16"/>
                              </w:rPr>
                            </w:pPr>
                            <w:r w:rsidRPr="003B15C2">
                              <w:rPr>
                                <w:sz w:val="16"/>
                                <w:szCs w:val="16"/>
                              </w:rPr>
                              <w:t>►</w:t>
                            </w:r>
                          </w:p>
                        </w:txbxContent>
                      </v:textbox>
                    </v:shape>
                  </w:pict>
                </mc:Fallback>
              </mc:AlternateContent>
            </w:r>
          </w:p>
        </w:tc>
        <w:tc>
          <w:tcPr>
            <w:tcW w:w="1984" w:type="dxa"/>
            <w:vMerge/>
          </w:tcPr>
          <w:p w:rsidR="00F8610E" w:rsidRPr="00A060B6" w:rsidRDefault="00F8610E" w:rsidP="00665957">
            <w:pPr>
              <w:pStyle w:val="TableText10"/>
            </w:pPr>
          </w:p>
        </w:tc>
      </w:tr>
      <w:tr w:rsidR="00F8610E" w:rsidRPr="00A060B6" w:rsidTr="00641552">
        <w:trPr>
          <w:trHeight w:val="292"/>
        </w:trPr>
        <w:tc>
          <w:tcPr>
            <w:tcW w:w="3970" w:type="dxa"/>
            <w:gridSpan w:val="2"/>
            <w:vMerge/>
          </w:tcPr>
          <w:p w:rsidR="00F8610E" w:rsidRPr="00A060B6" w:rsidRDefault="00F8610E" w:rsidP="00665957">
            <w:pPr>
              <w:pStyle w:val="TableText10"/>
            </w:pPr>
          </w:p>
        </w:tc>
        <w:tc>
          <w:tcPr>
            <w:tcW w:w="1275" w:type="dxa"/>
            <w:tcBorders>
              <w:top w:val="nil"/>
              <w:bottom w:val="nil"/>
            </w:tcBorders>
            <w:vAlign w:val="bottom"/>
          </w:tcPr>
          <w:p w:rsidR="00F8610E" w:rsidRPr="00641552" w:rsidRDefault="00F8610E" w:rsidP="00665957">
            <w:pPr>
              <w:rPr>
                <w:sz w:val="20"/>
              </w:rPr>
            </w:pPr>
            <w:r w:rsidRPr="00641552">
              <w:rPr>
                <w:sz w:val="20"/>
              </w:rPr>
              <w:t>Yes</w:t>
            </w:r>
          </w:p>
        </w:tc>
        <w:tc>
          <w:tcPr>
            <w:tcW w:w="1984" w:type="dxa"/>
            <w:vMerge/>
          </w:tcPr>
          <w:p w:rsidR="00F8610E" w:rsidRPr="00A060B6" w:rsidRDefault="00F8610E" w:rsidP="00665957">
            <w:pPr>
              <w:pStyle w:val="TableText10"/>
            </w:pPr>
          </w:p>
        </w:tc>
      </w:tr>
      <w:tr w:rsidR="00F8610E" w:rsidRPr="00A060B6" w:rsidTr="00641552">
        <w:tc>
          <w:tcPr>
            <w:tcW w:w="1985" w:type="dxa"/>
            <w:tcBorders>
              <w:left w:val="nil"/>
            </w:tcBorders>
          </w:tcPr>
          <w:p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43904" behindDoc="1" locked="0" layoutInCell="1" allowOverlap="1">
                      <wp:simplePos x="0" y="0"/>
                      <wp:positionH relativeFrom="column">
                        <wp:posOffset>1046480</wp:posOffset>
                      </wp:positionH>
                      <wp:positionV relativeFrom="paragraph">
                        <wp:posOffset>18415</wp:posOffset>
                      </wp:positionV>
                      <wp:extent cx="314325" cy="266700"/>
                      <wp:effectExtent l="3175" t="0" r="0" b="63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973A06" w:rsidRDefault="00563EEA"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82.4pt;margin-top:1.45pt;width:24.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dshgIAABg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" stroked="f">
                      <v:textbox>
                        <w:txbxContent>
                          <w:p w:rsidR="00563EEA" w:rsidRPr="00973A06" w:rsidRDefault="00563EEA" w:rsidP="00665957">
                            <w:pPr>
                              <w:rPr>
                                <w:sz w:val="16"/>
                                <w:szCs w:val="16"/>
                              </w:rPr>
                            </w:pPr>
                            <w:r w:rsidRPr="00973A06">
                              <w:rPr>
                                <w:sz w:val="16"/>
                                <w:szCs w:val="16"/>
                              </w:rPr>
                              <w:t>▼</w:t>
                            </w:r>
                          </w:p>
                        </w:txbxContent>
                      </v:textbox>
                    </v:shape>
                  </w:pict>
                </mc:Fallback>
              </mc:AlternateContent>
            </w:r>
          </w:p>
        </w:tc>
        <w:tc>
          <w:tcPr>
            <w:tcW w:w="1985" w:type="dxa"/>
            <w:tcBorders>
              <w:right w:val="nil"/>
            </w:tcBorders>
          </w:tcPr>
          <w:p w:rsidR="00F8610E" w:rsidRPr="00A060B6" w:rsidRDefault="00F8610E" w:rsidP="00665957">
            <w:pPr>
              <w:pStyle w:val="TableText10"/>
            </w:pPr>
            <w:r w:rsidRPr="00A060B6">
              <w:t>No</w:t>
            </w:r>
          </w:p>
        </w:tc>
        <w:tc>
          <w:tcPr>
            <w:tcW w:w="1275" w:type="dxa"/>
            <w:tcBorders>
              <w:top w:val="nil"/>
              <w:left w:val="nil"/>
              <w:bottom w:val="nil"/>
            </w:tcBorders>
            <w:vAlign w:val="bottom"/>
          </w:tcPr>
          <w:p w:rsidR="00F8610E" w:rsidRPr="00641552" w:rsidRDefault="00F8610E" w:rsidP="00665957">
            <w:pPr>
              <w:rPr>
                <w:sz w:val="20"/>
              </w:rPr>
            </w:pPr>
          </w:p>
        </w:tc>
        <w:tc>
          <w:tcPr>
            <w:tcW w:w="1984" w:type="dxa"/>
            <w:vMerge/>
          </w:tcPr>
          <w:p w:rsidR="00F8610E" w:rsidRPr="00A060B6" w:rsidRDefault="00F8610E" w:rsidP="00665957">
            <w:pPr>
              <w:pStyle w:val="TableText10"/>
            </w:pPr>
          </w:p>
        </w:tc>
      </w:tr>
      <w:tr w:rsidR="00F8610E" w:rsidRPr="00A060B6" w:rsidTr="00641552">
        <w:trPr>
          <w:trHeight w:val="293"/>
        </w:trPr>
        <w:tc>
          <w:tcPr>
            <w:tcW w:w="3970" w:type="dxa"/>
            <w:gridSpan w:val="2"/>
            <w:vMerge w:val="restart"/>
          </w:tcPr>
          <w:p w:rsidR="00F8610E" w:rsidRPr="00A060B6" w:rsidRDefault="00F8610E" w:rsidP="00665957">
            <w:pPr>
              <w:pStyle w:val="TableText10"/>
            </w:pPr>
            <w:r w:rsidRPr="00A060B6">
              <w:t>Does the evidence contravene the rules about identification evidence? (See pt 3.9.)</w:t>
            </w:r>
          </w:p>
        </w:tc>
        <w:tc>
          <w:tcPr>
            <w:tcW w:w="1275" w:type="dxa"/>
            <w:tcBorders>
              <w:top w:val="nil"/>
            </w:tcBorders>
            <w:vAlign w:val="bottom"/>
          </w:tcPr>
          <w:p w:rsidR="00F8610E" w:rsidRPr="00641552" w:rsidRDefault="00621DA3" w:rsidP="00665957">
            <w:pPr>
              <w:rPr>
                <w:sz w:val="20"/>
              </w:rPr>
            </w:pPr>
            <w:r>
              <w:rPr>
                <w:noProof/>
                <w:lang w:eastAsia="en-AU"/>
              </w:rPr>
              <mc:AlternateContent>
                <mc:Choice Requires="wps">
                  <w:drawing>
                    <wp:anchor distT="0" distB="0" distL="114300" distR="114300" simplePos="0" relativeHeight="251684864" behindDoc="1" locked="0" layoutInCell="1" allowOverlap="1">
                      <wp:simplePos x="0" y="0"/>
                      <wp:positionH relativeFrom="column">
                        <wp:posOffset>201295</wp:posOffset>
                      </wp:positionH>
                      <wp:positionV relativeFrom="paragraph">
                        <wp:posOffset>91440</wp:posOffset>
                      </wp:positionV>
                      <wp:extent cx="278130" cy="197485"/>
                      <wp:effectExtent l="254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3B15C2" w:rsidRDefault="00563EEA"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15.85pt;margin-top:7.2pt;width:21.9pt;height:15.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KOhAIAABc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" stroked="f">
                      <v:textbox>
                        <w:txbxContent>
                          <w:p w:rsidR="00563EEA" w:rsidRPr="003B15C2" w:rsidRDefault="00563EEA" w:rsidP="00665957">
                            <w:pPr>
                              <w:rPr>
                                <w:sz w:val="16"/>
                                <w:szCs w:val="16"/>
                              </w:rPr>
                            </w:pPr>
                            <w:r w:rsidRPr="003B15C2">
                              <w:rPr>
                                <w:sz w:val="16"/>
                                <w:szCs w:val="16"/>
                              </w:rPr>
                              <w:t>►</w:t>
                            </w:r>
                          </w:p>
                        </w:txbxContent>
                      </v:textbox>
                    </v:shape>
                  </w:pict>
                </mc:Fallback>
              </mc:AlternateContent>
            </w:r>
          </w:p>
        </w:tc>
        <w:tc>
          <w:tcPr>
            <w:tcW w:w="1984" w:type="dxa"/>
            <w:vMerge/>
          </w:tcPr>
          <w:p w:rsidR="00F8610E" w:rsidRPr="00A060B6" w:rsidRDefault="00F8610E" w:rsidP="00665957">
            <w:pPr>
              <w:pStyle w:val="TableText10"/>
            </w:pPr>
          </w:p>
        </w:tc>
      </w:tr>
      <w:tr w:rsidR="00F8610E" w:rsidRPr="00A060B6" w:rsidTr="00641552">
        <w:trPr>
          <w:trHeight w:val="292"/>
        </w:trPr>
        <w:tc>
          <w:tcPr>
            <w:tcW w:w="3970" w:type="dxa"/>
            <w:gridSpan w:val="2"/>
            <w:vMerge/>
          </w:tcPr>
          <w:p w:rsidR="00F8610E" w:rsidRPr="00A060B6" w:rsidRDefault="00F8610E" w:rsidP="00665957">
            <w:pPr>
              <w:pStyle w:val="TableText10"/>
            </w:pPr>
          </w:p>
        </w:tc>
        <w:tc>
          <w:tcPr>
            <w:tcW w:w="1275" w:type="dxa"/>
            <w:tcBorders>
              <w:top w:val="nil"/>
              <w:bottom w:val="nil"/>
            </w:tcBorders>
            <w:vAlign w:val="bottom"/>
          </w:tcPr>
          <w:p w:rsidR="00F8610E" w:rsidRPr="00641552" w:rsidRDefault="00F8610E" w:rsidP="00665957">
            <w:pPr>
              <w:rPr>
                <w:sz w:val="20"/>
              </w:rPr>
            </w:pPr>
            <w:r w:rsidRPr="00641552">
              <w:rPr>
                <w:sz w:val="20"/>
              </w:rPr>
              <w:t>Yes</w:t>
            </w:r>
          </w:p>
        </w:tc>
        <w:tc>
          <w:tcPr>
            <w:tcW w:w="1984" w:type="dxa"/>
            <w:vMerge/>
          </w:tcPr>
          <w:p w:rsidR="00F8610E" w:rsidRPr="00A060B6" w:rsidRDefault="00F8610E" w:rsidP="00665957">
            <w:pPr>
              <w:pStyle w:val="TableText10"/>
            </w:pPr>
          </w:p>
        </w:tc>
      </w:tr>
      <w:tr w:rsidR="00F8610E" w:rsidRPr="00A060B6" w:rsidTr="00641552">
        <w:tc>
          <w:tcPr>
            <w:tcW w:w="1985" w:type="dxa"/>
            <w:tcBorders>
              <w:left w:val="nil"/>
            </w:tcBorders>
          </w:tcPr>
          <w:p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48000" behindDoc="1" locked="0" layoutInCell="1" allowOverlap="1">
                      <wp:simplePos x="0" y="0"/>
                      <wp:positionH relativeFrom="column">
                        <wp:posOffset>1046480</wp:posOffset>
                      </wp:positionH>
                      <wp:positionV relativeFrom="paragraph">
                        <wp:posOffset>24130</wp:posOffset>
                      </wp:positionV>
                      <wp:extent cx="314325" cy="266700"/>
                      <wp:effectExtent l="3175" t="0" r="0" b="127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973A06" w:rsidRDefault="00563EEA"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left:0;text-align:left;margin-left:82.4pt;margin-top:1.9pt;width:24.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" stroked="f">
                      <v:textbox>
                        <w:txbxContent>
                          <w:p w:rsidR="00563EEA" w:rsidRPr="00973A06" w:rsidRDefault="00563EEA" w:rsidP="00665957">
                            <w:pPr>
                              <w:rPr>
                                <w:sz w:val="16"/>
                                <w:szCs w:val="16"/>
                              </w:rPr>
                            </w:pPr>
                            <w:r w:rsidRPr="00973A06">
                              <w:rPr>
                                <w:sz w:val="16"/>
                                <w:szCs w:val="16"/>
                              </w:rPr>
                              <w:t>▼</w:t>
                            </w:r>
                          </w:p>
                        </w:txbxContent>
                      </v:textbox>
                    </v:shape>
                  </w:pict>
                </mc:Fallback>
              </mc:AlternateContent>
            </w:r>
          </w:p>
        </w:tc>
        <w:tc>
          <w:tcPr>
            <w:tcW w:w="1985" w:type="dxa"/>
            <w:tcBorders>
              <w:right w:val="nil"/>
            </w:tcBorders>
          </w:tcPr>
          <w:p w:rsidR="00F8610E" w:rsidRPr="00A060B6" w:rsidRDefault="00F8610E" w:rsidP="00665957">
            <w:pPr>
              <w:pStyle w:val="TableText10"/>
            </w:pPr>
            <w:r w:rsidRPr="00A060B6">
              <w:t>No</w:t>
            </w:r>
          </w:p>
        </w:tc>
        <w:tc>
          <w:tcPr>
            <w:tcW w:w="1275" w:type="dxa"/>
            <w:tcBorders>
              <w:top w:val="nil"/>
              <w:left w:val="nil"/>
              <w:bottom w:val="nil"/>
            </w:tcBorders>
            <w:vAlign w:val="bottom"/>
          </w:tcPr>
          <w:p w:rsidR="00F8610E" w:rsidRPr="00641552" w:rsidRDefault="00F8610E" w:rsidP="00665957">
            <w:pPr>
              <w:rPr>
                <w:sz w:val="20"/>
              </w:rPr>
            </w:pPr>
          </w:p>
        </w:tc>
        <w:tc>
          <w:tcPr>
            <w:tcW w:w="1984" w:type="dxa"/>
            <w:vMerge/>
          </w:tcPr>
          <w:p w:rsidR="00F8610E" w:rsidRPr="00A060B6" w:rsidRDefault="00F8610E" w:rsidP="00665957">
            <w:pPr>
              <w:pStyle w:val="TableText10"/>
            </w:pPr>
          </w:p>
        </w:tc>
      </w:tr>
      <w:tr w:rsidR="00F8610E" w:rsidRPr="00A060B6" w:rsidTr="00641552">
        <w:trPr>
          <w:trHeight w:val="173"/>
        </w:trPr>
        <w:tc>
          <w:tcPr>
            <w:tcW w:w="3970" w:type="dxa"/>
            <w:gridSpan w:val="2"/>
            <w:vMerge w:val="restart"/>
          </w:tcPr>
          <w:p w:rsidR="00F8610E" w:rsidRPr="00A060B6" w:rsidRDefault="00F8610E" w:rsidP="00665957">
            <w:pPr>
              <w:pStyle w:val="TableText10"/>
            </w:pPr>
            <w:r w:rsidRPr="00A060B6">
              <w:t>Does a privilege apply? (See pt 3.10.)</w:t>
            </w:r>
          </w:p>
        </w:tc>
        <w:tc>
          <w:tcPr>
            <w:tcW w:w="1275" w:type="dxa"/>
            <w:tcBorders>
              <w:top w:val="nil"/>
            </w:tcBorders>
            <w:vAlign w:val="bottom"/>
          </w:tcPr>
          <w:p w:rsidR="00F8610E" w:rsidRPr="00641552" w:rsidRDefault="00621DA3" w:rsidP="00665957">
            <w:pPr>
              <w:rPr>
                <w:sz w:val="20"/>
              </w:rPr>
            </w:pPr>
            <w:r>
              <w:rPr>
                <w:noProof/>
                <w:lang w:eastAsia="en-AU"/>
              </w:rPr>
              <mc:AlternateContent>
                <mc:Choice Requires="wps">
                  <w:drawing>
                    <wp:anchor distT="0" distB="0" distL="114300" distR="114300" simplePos="0" relativeHeight="251693056" behindDoc="1" locked="0" layoutInCell="1" allowOverlap="1">
                      <wp:simplePos x="0" y="0"/>
                      <wp:positionH relativeFrom="column">
                        <wp:posOffset>217170</wp:posOffset>
                      </wp:positionH>
                      <wp:positionV relativeFrom="paragraph">
                        <wp:posOffset>48895</wp:posOffset>
                      </wp:positionV>
                      <wp:extent cx="278130" cy="197485"/>
                      <wp:effectExtent l="0" t="4445"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3B15C2" w:rsidRDefault="00563EEA"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17.1pt;margin-top:3.85pt;width:21.9pt;height:15.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JBhQ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" stroked="f">
                      <v:textbox>
                        <w:txbxContent>
                          <w:p w:rsidR="00563EEA" w:rsidRPr="003B15C2" w:rsidRDefault="00563EEA" w:rsidP="00665957">
                            <w:pPr>
                              <w:rPr>
                                <w:sz w:val="16"/>
                                <w:szCs w:val="16"/>
                              </w:rPr>
                            </w:pPr>
                            <w:r w:rsidRPr="003B15C2">
                              <w:rPr>
                                <w:sz w:val="16"/>
                                <w:szCs w:val="16"/>
                              </w:rPr>
                              <w:t>►</w:t>
                            </w:r>
                          </w:p>
                        </w:txbxContent>
                      </v:textbox>
                    </v:shape>
                  </w:pict>
                </mc:Fallback>
              </mc:AlternateContent>
            </w:r>
          </w:p>
        </w:tc>
        <w:tc>
          <w:tcPr>
            <w:tcW w:w="1984" w:type="dxa"/>
            <w:vMerge/>
          </w:tcPr>
          <w:p w:rsidR="00F8610E" w:rsidRPr="00A060B6" w:rsidRDefault="00F8610E" w:rsidP="00665957">
            <w:pPr>
              <w:pStyle w:val="TableText10"/>
            </w:pPr>
          </w:p>
        </w:tc>
      </w:tr>
      <w:tr w:rsidR="00F8610E" w:rsidRPr="00A060B6" w:rsidTr="00641552">
        <w:trPr>
          <w:trHeight w:val="172"/>
        </w:trPr>
        <w:tc>
          <w:tcPr>
            <w:tcW w:w="3970" w:type="dxa"/>
            <w:gridSpan w:val="2"/>
            <w:vMerge/>
          </w:tcPr>
          <w:p w:rsidR="00F8610E" w:rsidRPr="00A060B6" w:rsidRDefault="00F8610E" w:rsidP="00665957">
            <w:pPr>
              <w:pStyle w:val="TableText10"/>
            </w:pPr>
          </w:p>
        </w:tc>
        <w:tc>
          <w:tcPr>
            <w:tcW w:w="1275" w:type="dxa"/>
            <w:tcBorders>
              <w:bottom w:val="nil"/>
            </w:tcBorders>
            <w:vAlign w:val="bottom"/>
          </w:tcPr>
          <w:p w:rsidR="00F8610E" w:rsidRPr="00641552" w:rsidRDefault="00F8610E" w:rsidP="00665957">
            <w:pPr>
              <w:rPr>
                <w:sz w:val="20"/>
              </w:rPr>
            </w:pPr>
            <w:r w:rsidRPr="00641552">
              <w:rPr>
                <w:sz w:val="20"/>
              </w:rPr>
              <w:t>Yes</w:t>
            </w:r>
          </w:p>
        </w:tc>
        <w:tc>
          <w:tcPr>
            <w:tcW w:w="1984" w:type="dxa"/>
            <w:vMerge/>
          </w:tcPr>
          <w:p w:rsidR="00F8610E" w:rsidRPr="00A060B6" w:rsidRDefault="00F8610E" w:rsidP="00665957">
            <w:pPr>
              <w:pStyle w:val="TableText10"/>
            </w:pPr>
          </w:p>
        </w:tc>
      </w:tr>
      <w:tr w:rsidR="00F8610E" w:rsidRPr="00A060B6" w:rsidTr="00641552">
        <w:tc>
          <w:tcPr>
            <w:tcW w:w="1985" w:type="dxa"/>
            <w:tcBorders>
              <w:left w:val="nil"/>
            </w:tcBorders>
          </w:tcPr>
          <w:p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52096" behindDoc="1" locked="0" layoutInCell="1" allowOverlap="1">
                      <wp:simplePos x="0" y="0"/>
                      <wp:positionH relativeFrom="column">
                        <wp:posOffset>1046480</wp:posOffset>
                      </wp:positionH>
                      <wp:positionV relativeFrom="paragraph">
                        <wp:posOffset>13335</wp:posOffset>
                      </wp:positionV>
                      <wp:extent cx="314325" cy="266700"/>
                      <wp:effectExtent l="3175" t="0" r="0" b="254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973A06" w:rsidRDefault="00563EEA"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82.4pt;margin-top:1.05pt;width:24.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AEhw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" stroked="f">
                      <v:textbox>
                        <w:txbxContent>
                          <w:p w:rsidR="00563EEA" w:rsidRPr="00973A06" w:rsidRDefault="00563EEA" w:rsidP="00665957">
                            <w:pPr>
                              <w:rPr>
                                <w:sz w:val="16"/>
                                <w:szCs w:val="16"/>
                              </w:rPr>
                            </w:pPr>
                            <w:r w:rsidRPr="00973A06">
                              <w:rPr>
                                <w:sz w:val="16"/>
                                <w:szCs w:val="16"/>
                              </w:rPr>
                              <w:t>▼</w:t>
                            </w:r>
                          </w:p>
                        </w:txbxContent>
                      </v:textbox>
                    </v:shape>
                  </w:pict>
                </mc:Fallback>
              </mc:AlternateContent>
            </w:r>
          </w:p>
        </w:tc>
        <w:tc>
          <w:tcPr>
            <w:tcW w:w="1985" w:type="dxa"/>
            <w:tcBorders>
              <w:right w:val="nil"/>
            </w:tcBorders>
          </w:tcPr>
          <w:p w:rsidR="00F8610E" w:rsidRPr="00A060B6" w:rsidRDefault="00F8610E" w:rsidP="00665957">
            <w:pPr>
              <w:pStyle w:val="TableText10"/>
            </w:pPr>
            <w:r w:rsidRPr="00A060B6">
              <w:t>No</w:t>
            </w:r>
          </w:p>
        </w:tc>
        <w:tc>
          <w:tcPr>
            <w:tcW w:w="1275" w:type="dxa"/>
            <w:tcBorders>
              <w:top w:val="nil"/>
              <w:left w:val="nil"/>
              <w:bottom w:val="nil"/>
            </w:tcBorders>
            <w:vAlign w:val="bottom"/>
          </w:tcPr>
          <w:p w:rsidR="00F8610E" w:rsidRPr="00641552" w:rsidRDefault="00F8610E" w:rsidP="00665957">
            <w:pPr>
              <w:rPr>
                <w:sz w:val="20"/>
              </w:rPr>
            </w:pPr>
          </w:p>
        </w:tc>
        <w:tc>
          <w:tcPr>
            <w:tcW w:w="1984" w:type="dxa"/>
            <w:vMerge/>
          </w:tcPr>
          <w:p w:rsidR="00F8610E" w:rsidRPr="00A060B6" w:rsidRDefault="00F8610E" w:rsidP="00665957">
            <w:pPr>
              <w:pStyle w:val="TableText10"/>
            </w:pPr>
          </w:p>
        </w:tc>
      </w:tr>
      <w:tr w:rsidR="00F8610E" w:rsidRPr="00A060B6" w:rsidTr="00641552">
        <w:trPr>
          <w:trHeight w:val="293"/>
        </w:trPr>
        <w:tc>
          <w:tcPr>
            <w:tcW w:w="3970" w:type="dxa"/>
            <w:gridSpan w:val="2"/>
            <w:vMerge w:val="restart"/>
          </w:tcPr>
          <w:p w:rsidR="00F8610E" w:rsidRPr="00A060B6" w:rsidRDefault="00621DA3" w:rsidP="00665957">
            <w:pPr>
              <w:pStyle w:val="TableText10"/>
            </w:pPr>
            <w:r>
              <w:rPr>
                <w:noProof/>
                <w:lang w:eastAsia="en-AU"/>
              </w:rPr>
              <mc:AlternateContent>
                <mc:Choice Requires="wps">
                  <w:drawing>
                    <wp:anchor distT="0" distB="0" distL="114300" distR="114300" simplePos="0" relativeHeight="251657216" behindDoc="1" locked="0" layoutInCell="1" allowOverlap="1">
                      <wp:simplePos x="0" y="0"/>
                      <wp:positionH relativeFrom="column">
                        <wp:posOffset>1046480</wp:posOffset>
                      </wp:positionH>
                      <wp:positionV relativeFrom="paragraph">
                        <wp:posOffset>372745</wp:posOffset>
                      </wp:positionV>
                      <wp:extent cx="314325" cy="266700"/>
                      <wp:effectExtent l="3175" t="4445"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973A06" w:rsidRDefault="00563EEA"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82.4pt;margin-top:29.35pt;width:24.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kJhw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" stroked="f">
                      <v:textbox>
                        <w:txbxContent>
                          <w:p w:rsidR="00563EEA" w:rsidRPr="00973A06" w:rsidRDefault="00563EEA" w:rsidP="00665957">
                            <w:pPr>
                              <w:rPr>
                                <w:sz w:val="16"/>
                                <w:szCs w:val="16"/>
                              </w:rPr>
                            </w:pPr>
                            <w:r w:rsidRPr="00973A06">
                              <w:rPr>
                                <w:sz w:val="16"/>
                                <w:szCs w:val="16"/>
                              </w:rPr>
                              <w:t>▼</w:t>
                            </w:r>
                          </w:p>
                        </w:txbxContent>
                      </v:textbox>
                    </v:shape>
                  </w:pict>
                </mc:Fallback>
              </mc:AlternateContent>
            </w:r>
            <w:r w:rsidR="00F8610E" w:rsidRPr="00A060B6">
              <w:t>Should the evidence be excluded or must it be excluded? (See pt 3.11.)</w:t>
            </w:r>
          </w:p>
        </w:tc>
        <w:tc>
          <w:tcPr>
            <w:tcW w:w="1275" w:type="dxa"/>
            <w:tcBorders>
              <w:top w:val="nil"/>
            </w:tcBorders>
            <w:vAlign w:val="bottom"/>
          </w:tcPr>
          <w:p w:rsidR="00F8610E" w:rsidRPr="00641552" w:rsidRDefault="00621DA3" w:rsidP="00665957">
            <w:pPr>
              <w:rPr>
                <w:sz w:val="20"/>
              </w:rPr>
            </w:pPr>
            <w:r>
              <w:rPr>
                <w:noProof/>
                <w:lang w:eastAsia="en-AU"/>
              </w:rPr>
              <mc:AlternateContent>
                <mc:Choice Requires="wps">
                  <w:drawing>
                    <wp:anchor distT="0" distB="0" distL="114300" distR="114300" simplePos="0" relativeHeight="251688960" behindDoc="1" locked="0" layoutInCell="1" allowOverlap="1">
                      <wp:simplePos x="0" y="0"/>
                      <wp:positionH relativeFrom="column">
                        <wp:posOffset>204470</wp:posOffset>
                      </wp:positionH>
                      <wp:positionV relativeFrom="paragraph">
                        <wp:posOffset>90170</wp:posOffset>
                      </wp:positionV>
                      <wp:extent cx="278130" cy="197485"/>
                      <wp:effectExtent l="0" t="0" r="1905" b="444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EEA" w:rsidRPr="003B15C2" w:rsidRDefault="00563EEA"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16.1pt;margin-top:7.1pt;width:21.9pt;height:15.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pQhgIAABc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" stroked="f">
                      <v:textbox>
                        <w:txbxContent>
                          <w:p w:rsidR="00563EEA" w:rsidRPr="003B15C2" w:rsidRDefault="00563EEA" w:rsidP="00665957">
                            <w:pPr>
                              <w:rPr>
                                <w:sz w:val="16"/>
                                <w:szCs w:val="16"/>
                              </w:rPr>
                            </w:pPr>
                            <w:r w:rsidRPr="003B15C2">
                              <w:rPr>
                                <w:sz w:val="16"/>
                                <w:szCs w:val="16"/>
                              </w:rPr>
                              <w:t>►</w:t>
                            </w:r>
                          </w:p>
                        </w:txbxContent>
                      </v:textbox>
                    </v:shape>
                  </w:pict>
                </mc:Fallback>
              </mc:AlternateContent>
            </w:r>
          </w:p>
        </w:tc>
        <w:tc>
          <w:tcPr>
            <w:tcW w:w="1984" w:type="dxa"/>
            <w:vMerge/>
          </w:tcPr>
          <w:p w:rsidR="00F8610E" w:rsidRPr="00A060B6" w:rsidRDefault="00F8610E" w:rsidP="00665957">
            <w:pPr>
              <w:pStyle w:val="TableText10"/>
            </w:pPr>
          </w:p>
        </w:tc>
      </w:tr>
      <w:tr w:rsidR="00F8610E" w:rsidRPr="00A060B6" w:rsidTr="00641552">
        <w:trPr>
          <w:trHeight w:val="292"/>
        </w:trPr>
        <w:tc>
          <w:tcPr>
            <w:tcW w:w="3970" w:type="dxa"/>
            <w:gridSpan w:val="2"/>
            <w:vMerge/>
          </w:tcPr>
          <w:p w:rsidR="00F8610E" w:rsidRPr="00A060B6" w:rsidRDefault="00F8610E" w:rsidP="00665957">
            <w:pPr>
              <w:pStyle w:val="TableText10"/>
            </w:pPr>
          </w:p>
        </w:tc>
        <w:tc>
          <w:tcPr>
            <w:tcW w:w="1275" w:type="dxa"/>
            <w:tcBorders>
              <w:top w:val="nil"/>
              <w:bottom w:val="nil"/>
            </w:tcBorders>
            <w:vAlign w:val="bottom"/>
          </w:tcPr>
          <w:p w:rsidR="00F8610E" w:rsidRPr="00641552" w:rsidRDefault="00F8610E" w:rsidP="00665957">
            <w:pPr>
              <w:rPr>
                <w:sz w:val="20"/>
              </w:rPr>
            </w:pPr>
            <w:r w:rsidRPr="00641552">
              <w:rPr>
                <w:sz w:val="20"/>
              </w:rPr>
              <w:t>Yes</w:t>
            </w:r>
          </w:p>
        </w:tc>
        <w:tc>
          <w:tcPr>
            <w:tcW w:w="1984" w:type="dxa"/>
            <w:vMerge/>
          </w:tcPr>
          <w:p w:rsidR="00F8610E" w:rsidRPr="00A060B6" w:rsidRDefault="00F8610E" w:rsidP="00665957">
            <w:pPr>
              <w:pStyle w:val="TableText10"/>
            </w:pPr>
          </w:p>
        </w:tc>
      </w:tr>
      <w:tr w:rsidR="00F8610E" w:rsidRPr="00A060B6" w:rsidTr="00641552">
        <w:tc>
          <w:tcPr>
            <w:tcW w:w="1985" w:type="dxa"/>
            <w:tcBorders>
              <w:left w:val="nil"/>
            </w:tcBorders>
          </w:tcPr>
          <w:p w:rsidR="00F8610E" w:rsidRPr="00A060B6" w:rsidRDefault="00F8610E" w:rsidP="00641552">
            <w:pPr>
              <w:pStyle w:val="TableText10"/>
              <w:jc w:val="center"/>
            </w:pPr>
          </w:p>
        </w:tc>
        <w:tc>
          <w:tcPr>
            <w:tcW w:w="1985" w:type="dxa"/>
            <w:tcBorders>
              <w:right w:val="nil"/>
            </w:tcBorders>
          </w:tcPr>
          <w:p w:rsidR="00F8610E" w:rsidRPr="00A060B6" w:rsidRDefault="00F8610E" w:rsidP="00665957">
            <w:pPr>
              <w:pStyle w:val="TableText10"/>
            </w:pPr>
            <w:r w:rsidRPr="00A060B6">
              <w:t>No</w:t>
            </w:r>
          </w:p>
        </w:tc>
        <w:tc>
          <w:tcPr>
            <w:tcW w:w="1275" w:type="dxa"/>
            <w:tcBorders>
              <w:top w:val="nil"/>
              <w:left w:val="nil"/>
              <w:bottom w:val="nil"/>
              <w:right w:val="nil"/>
            </w:tcBorders>
          </w:tcPr>
          <w:p w:rsidR="00F8610E" w:rsidRPr="00641552" w:rsidRDefault="00F8610E" w:rsidP="00665957">
            <w:pPr>
              <w:rPr>
                <w:sz w:val="20"/>
              </w:rPr>
            </w:pPr>
          </w:p>
        </w:tc>
        <w:tc>
          <w:tcPr>
            <w:tcW w:w="1984" w:type="dxa"/>
            <w:tcBorders>
              <w:left w:val="nil"/>
              <w:bottom w:val="nil"/>
              <w:right w:val="nil"/>
            </w:tcBorders>
          </w:tcPr>
          <w:p w:rsidR="00F8610E" w:rsidRPr="00A060B6" w:rsidRDefault="00F8610E" w:rsidP="00665957">
            <w:pPr>
              <w:pStyle w:val="TableText10"/>
            </w:pPr>
          </w:p>
        </w:tc>
      </w:tr>
      <w:tr w:rsidR="00F8610E" w:rsidRPr="00A060B6" w:rsidTr="00641552">
        <w:tc>
          <w:tcPr>
            <w:tcW w:w="3970" w:type="dxa"/>
            <w:gridSpan w:val="2"/>
          </w:tcPr>
          <w:p w:rsidR="00F8610E" w:rsidRPr="00A060B6" w:rsidRDefault="00F8610E" w:rsidP="00641552">
            <w:pPr>
              <w:pStyle w:val="TableText10"/>
              <w:jc w:val="center"/>
            </w:pPr>
            <w:r w:rsidRPr="00A060B6">
              <w:t>THE EVIDENCE IS ADMISSIBLE</w:t>
            </w:r>
          </w:p>
        </w:tc>
        <w:tc>
          <w:tcPr>
            <w:tcW w:w="1275" w:type="dxa"/>
            <w:tcBorders>
              <w:top w:val="nil"/>
              <w:bottom w:val="nil"/>
              <w:right w:val="nil"/>
            </w:tcBorders>
          </w:tcPr>
          <w:p w:rsidR="00F8610E" w:rsidRPr="00641552" w:rsidRDefault="00F8610E" w:rsidP="00665957">
            <w:pPr>
              <w:rPr>
                <w:sz w:val="20"/>
              </w:rPr>
            </w:pPr>
          </w:p>
        </w:tc>
        <w:tc>
          <w:tcPr>
            <w:tcW w:w="1984" w:type="dxa"/>
            <w:tcBorders>
              <w:top w:val="nil"/>
              <w:left w:val="nil"/>
              <w:bottom w:val="nil"/>
              <w:right w:val="nil"/>
            </w:tcBorders>
          </w:tcPr>
          <w:p w:rsidR="00F8610E" w:rsidRPr="00A060B6" w:rsidRDefault="00F8610E" w:rsidP="00665957">
            <w:pPr>
              <w:pStyle w:val="TableText10"/>
            </w:pPr>
          </w:p>
        </w:tc>
      </w:tr>
    </w:tbl>
    <w:p w:rsidR="00F8610E" w:rsidRPr="00A060B6" w:rsidRDefault="00F8610E" w:rsidP="000E543D">
      <w:pPr>
        <w:pStyle w:val="PageBreak"/>
        <w:suppressLineNumbers/>
      </w:pPr>
    </w:p>
    <w:p w:rsidR="00F8610E" w:rsidRDefault="00F8610E">
      <w:pPr>
        <w:pStyle w:val="02Text"/>
        <w:sectPr w:rsidR="00F8610E" w:rsidSect="00A84E3C">
          <w:headerReference w:type="even" r:id="rId81"/>
          <w:headerReference w:type="default" r:id="rId82"/>
          <w:footerReference w:type="even" r:id="rId83"/>
          <w:footerReference w:type="default" r:id="rId84"/>
          <w:footerReference w:type="first" r:id="rId85"/>
          <w:pgSz w:w="11907" w:h="16839" w:code="9"/>
          <w:pgMar w:top="3880" w:right="1900" w:bottom="3100" w:left="2300" w:header="1920" w:footer="1760" w:gutter="0"/>
          <w:cols w:space="720"/>
          <w:docGrid w:linePitch="326"/>
        </w:sectPr>
      </w:pPr>
    </w:p>
    <w:p w:rsidR="00F8610E" w:rsidRPr="003925E1" w:rsidRDefault="00F8610E" w:rsidP="00486F06">
      <w:pPr>
        <w:pStyle w:val="AH2Part"/>
      </w:pPr>
      <w:bookmarkStart w:id="78" w:name="_Toc11748433"/>
      <w:r w:rsidRPr="003925E1">
        <w:rPr>
          <w:rStyle w:val="CharPartNo"/>
        </w:rPr>
        <w:lastRenderedPageBreak/>
        <w:t>Part 3.1</w:t>
      </w:r>
      <w:r w:rsidRPr="00A060B6">
        <w:tab/>
      </w:r>
      <w:r w:rsidRPr="003925E1">
        <w:rPr>
          <w:rStyle w:val="CharPartText"/>
        </w:rPr>
        <w:t>Relevance</w:t>
      </w:r>
      <w:bookmarkEnd w:id="78"/>
    </w:p>
    <w:p w:rsidR="00F8610E" w:rsidRPr="00A060B6" w:rsidRDefault="00F8610E" w:rsidP="00486F06">
      <w:pPr>
        <w:pStyle w:val="AH5Sec"/>
      </w:pPr>
      <w:bookmarkStart w:id="79" w:name="_Toc11748434"/>
      <w:r w:rsidRPr="003925E1">
        <w:rPr>
          <w:rStyle w:val="CharSectNo"/>
        </w:rPr>
        <w:t>55</w:t>
      </w:r>
      <w:r w:rsidRPr="00A060B6">
        <w:tab/>
        <w:t>Relevant evidence</w:t>
      </w:r>
      <w:bookmarkEnd w:id="79"/>
    </w:p>
    <w:p w:rsidR="00F8610E" w:rsidRPr="00A060B6" w:rsidRDefault="00F8610E" w:rsidP="00486F06">
      <w:pPr>
        <w:pStyle w:val="Amain"/>
      </w:pPr>
      <w:r w:rsidRPr="00A060B6">
        <w:tab/>
        <w:t>(1)</w:t>
      </w:r>
      <w:r w:rsidRPr="00A060B6">
        <w:tab/>
        <w:t>The evidence that is relevant in a proceeding is evidence that, if it were accepted, could rationally affect (directly or indirectly) the assessment of the probability of the existence of a fact in issue in the proceeding.</w:t>
      </w:r>
    </w:p>
    <w:p w:rsidR="00F8610E" w:rsidRPr="00A060B6" w:rsidRDefault="00F8610E" w:rsidP="00486F06">
      <w:pPr>
        <w:pStyle w:val="Amain"/>
      </w:pPr>
      <w:r w:rsidRPr="00A060B6">
        <w:tab/>
        <w:t>(2)</w:t>
      </w:r>
      <w:r w:rsidRPr="00A060B6">
        <w:tab/>
        <w:t>In particular, evidence is not taken to be irrelevant only because it relates only to—</w:t>
      </w:r>
    </w:p>
    <w:p w:rsidR="00F8610E" w:rsidRPr="00A060B6" w:rsidRDefault="00F8610E" w:rsidP="00486F06">
      <w:pPr>
        <w:pStyle w:val="Apara"/>
      </w:pPr>
      <w:r w:rsidRPr="00A060B6">
        <w:tab/>
        <w:t>(a)</w:t>
      </w:r>
      <w:r w:rsidRPr="00A060B6">
        <w:tab/>
        <w:t>the credibility of a witness; or</w:t>
      </w:r>
    </w:p>
    <w:p w:rsidR="00F8610E" w:rsidRPr="00A060B6" w:rsidRDefault="00F8610E" w:rsidP="00486F06">
      <w:pPr>
        <w:pStyle w:val="Apara"/>
      </w:pPr>
      <w:r w:rsidRPr="00A060B6">
        <w:tab/>
        <w:t>(b)</w:t>
      </w:r>
      <w:r w:rsidRPr="00A060B6">
        <w:tab/>
        <w:t>the admissibility of other evidence; or</w:t>
      </w:r>
    </w:p>
    <w:p w:rsidR="00F8610E" w:rsidRPr="00A060B6" w:rsidRDefault="00F8610E" w:rsidP="00486F06">
      <w:pPr>
        <w:pStyle w:val="Apara"/>
      </w:pPr>
      <w:r w:rsidRPr="00A060B6">
        <w:tab/>
        <w:t>(c)</w:t>
      </w:r>
      <w:r w:rsidRPr="00A060B6">
        <w:tab/>
        <w:t>a failure to present evidence.</w:t>
      </w:r>
    </w:p>
    <w:p w:rsidR="00F8610E" w:rsidRPr="00A060B6" w:rsidRDefault="00F8610E" w:rsidP="00486F06">
      <w:pPr>
        <w:pStyle w:val="AH5Sec"/>
      </w:pPr>
      <w:bookmarkStart w:id="80" w:name="_Toc11748435"/>
      <w:r w:rsidRPr="003925E1">
        <w:rPr>
          <w:rStyle w:val="CharSectNo"/>
        </w:rPr>
        <w:t>56</w:t>
      </w:r>
      <w:r w:rsidRPr="00A060B6">
        <w:tab/>
        <w:t>Relevant evidence to be admissible</w:t>
      </w:r>
      <w:bookmarkEnd w:id="80"/>
    </w:p>
    <w:p w:rsidR="00F8610E" w:rsidRPr="00A060B6" w:rsidRDefault="00F8610E" w:rsidP="00486F06">
      <w:pPr>
        <w:pStyle w:val="Amain"/>
      </w:pPr>
      <w:r w:rsidRPr="00A060B6">
        <w:tab/>
        <w:t>(1)</w:t>
      </w:r>
      <w:r w:rsidRPr="00A060B6">
        <w:tab/>
        <w:t>Except as otherwise provided by this Act, evidence that is relevant in a proceeding is admissible in the proceeding.</w:t>
      </w:r>
    </w:p>
    <w:p w:rsidR="00F8610E" w:rsidRPr="00A060B6" w:rsidRDefault="00F8610E" w:rsidP="00486F06">
      <w:pPr>
        <w:pStyle w:val="Amain"/>
      </w:pPr>
      <w:r w:rsidRPr="00A060B6">
        <w:tab/>
        <w:t>(2)</w:t>
      </w:r>
      <w:r w:rsidRPr="00A060B6">
        <w:tab/>
        <w:t>Evidence that is not relevant in the proceeding is not admissible.</w:t>
      </w:r>
    </w:p>
    <w:p w:rsidR="00F8610E" w:rsidRPr="00A060B6" w:rsidRDefault="00F8610E" w:rsidP="00486F06">
      <w:pPr>
        <w:pStyle w:val="AH5Sec"/>
      </w:pPr>
      <w:bookmarkStart w:id="81" w:name="_Toc11748436"/>
      <w:r w:rsidRPr="003925E1">
        <w:rPr>
          <w:rStyle w:val="CharSectNo"/>
        </w:rPr>
        <w:t>57</w:t>
      </w:r>
      <w:r w:rsidRPr="00A060B6">
        <w:tab/>
        <w:t>Provisional relevance</w:t>
      </w:r>
      <w:bookmarkEnd w:id="81"/>
    </w:p>
    <w:p w:rsidR="00F8610E" w:rsidRPr="00A060B6" w:rsidRDefault="00F8610E" w:rsidP="00486F06">
      <w:pPr>
        <w:pStyle w:val="Amain"/>
      </w:pPr>
      <w:r w:rsidRPr="00A060B6">
        <w:tab/>
        <w:t>(1)</w:t>
      </w:r>
      <w:r w:rsidRPr="00A060B6">
        <w:tab/>
        <w:t>If the decision about the question whether evidence presented by a party is relevant depends on the court making another finding (including a finding that the evidence is what the party claims it to be), the court may find that the evidence is relevant—</w:t>
      </w:r>
    </w:p>
    <w:p w:rsidR="00F8610E" w:rsidRPr="00A060B6" w:rsidRDefault="00F8610E" w:rsidP="00486F06">
      <w:pPr>
        <w:pStyle w:val="Apara"/>
      </w:pPr>
      <w:r w:rsidRPr="00A060B6">
        <w:tab/>
        <w:t>(a)</w:t>
      </w:r>
      <w:r w:rsidRPr="00A060B6">
        <w:tab/>
        <w:t>if it is reasonably open to make the finding; or</w:t>
      </w:r>
    </w:p>
    <w:p w:rsidR="00F8610E" w:rsidRPr="00A060B6" w:rsidRDefault="00F8610E" w:rsidP="00486F06">
      <w:pPr>
        <w:pStyle w:val="Apara"/>
      </w:pPr>
      <w:r w:rsidRPr="00A060B6">
        <w:tab/>
        <w:t>(b)</w:t>
      </w:r>
      <w:r w:rsidRPr="00A060B6">
        <w:tab/>
        <w:t>subject to further evidence being admitted at a later stage of the proceeding that will make it reasonably open to make the finding.</w:t>
      </w:r>
    </w:p>
    <w:p w:rsidR="00F8610E" w:rsidRPr="00A060B6" w:rsidRDefault="00F8610E" w:rsidP="00AD129A">
      <w:pPr>
        <w:pStyle w:val="Amain"/>
        <w:keepLines/>
      </w:pPr>
      <w:r w:rsidRPr="00A060B6">
        <w:lastRenderedPageBreak/>
        <w:tab/>
        <w:t>(2)</w:t>
      </w:r>
      <w:r w:rsidRPr="00A060B6">
        <w:tab/>
        <w:t>Without limiting subsection (1), if the relevance of evidence of an act done by a person depends on the court making a finding that the person and 1 or more other people had, or were acting in furtherance of, a common purpose (whether to effect an unlawful conspiracy or otherwise), the court may use the evidence itself in deciding whether the common purpose existed.</w:t>
      </w:r>
    </w:p>
    <w:p w:rsidR="00F8610E" w:rsidRPr="00A060B6" w:rsidRDefault="00F8610E" w:rsidP="00486F06">
      <w:pPr>
        <w:pStyle w:val="AH5Sec"/>
      </w:pPr>
      <w:bookmarkStart w:id="82" w:name="_Toc11748437"/>
      <w:r w:rsidRPr="003925E1">
        <w:rPr>
          <w:rStyle w:val="CharSectNo"/>
        </w:rPr>
        <w:t>58</w:t>
      </w:r>
      <w:r w:rsidRPr="00A060B6">
        <w:tab/>
        <w:t>Inferences as to relevance</w:t>
      </w:r>
      <w:bookmarkEnd w:id="82"/>
    </w:p>
    <w:p w:rsidR="00F8610E" w:rsidRPr="00A060B6" w:rsidRDefault="00F8610E" w:rsidP="00486F06">
      <w:pPr>
        <w:pStyle w:val="Amain"/>
      </w:pPr>
      <w:r w:rsidRPr="00A060B6">
        <w:tab/>
        <w:t>(1)</w:t>
      </w:r>
      <w:r w:rsidRPr="00A060B6">
        <w:tab/>
        <w:t>If a question arises as to the relevance of a document or thing, the court may examine it and may draw any reasonable inference from it, including an inference as to its authenticity or identity.</w:t>
      </w:r>
    </w:p>
    <w:p w:rsidR="00F8610E" w:rsidRPr="00A060B6" w:rsidRDefault="00F8610E" w:rsidP="00486F06">
      <w:pPr>
        <w:pStyle w:val="Amain"/>
      </w:pPr>
      <w:r w:rsidRPr="00A060B6">
        <w:tab/>
        <w:t>(2)</w:t>
      </w:r>
      <w:r w:rsidRPr="00A060B6">
        <w:tab/>
        <w:t>Subsection (1) does not limit the matters from which inferences may properly be drawn.</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83" w:name="_Toc11748438"/>
      <w:r w:rsidRPr="003925E1">
        <w:rPr>
          <w:rStyle w:val="CharPartNo"/>
        </w:rPr>
        <w:lastRenderedPageBreak/>
        <w:t>Part 3.2</w:t>
      </w:r>
      <w:r w:rsidRPr="00A060B6">
        <w:tab/>
      </w:r>
      <w:r w:rsidRPr="003925E1">
        <w:rPr>
          <w:rStyle w:val="CharPartText"/>
        </w:rPr>
        <w:t>Hearsay</w:t>
      </w:r>
      <w:bookmarkEnd w:id="83"/>
    </w:p>
    <w:p w:rsidR="00F8610E" w:rsidRPr="003925E1" w:rsidRDefault="00F8610E" w:rsidP="00486F06">
      <w:pPr>
        <w:pStyle w:val="AH3Div"/>
      </w:pPr>
      <w:bookmarkStart w:id="84" w:name="_Toc11748439"/>
      <w:r w:rsidRPr="003925E1">
        <w:rPr>
          <w:rStyle w:val="CharDivNo"/>
        </w:rPr>
        <w:t>Division 3.2.1</w:t>
      </w:r>
      <w:r w:rsidRPr="00A060B6">
        <w:tab/>
      </w:r>
      <w:r w:rsidRPr="003925E1">
        <w:rPr>
          <w:rStyle w:val="CharDivText"/>
        </w:rPr>
        <w:t>The hearsay rule</w:t>
      </w:r>
      <w:bookmarkEnd w:id="84"/>
    </w:p>
    <w:p w:rsidR="00F8610E" w:rsidRPr="00A060B6" w:rsidRDefault="00F8610E" w:rsidP="00486F06">
      <w:pPr>
        <w:pStyle w:val="AH5Sec"/>
      </w:pPr>
      <w:bookmarkStart w:id="85" w:name="_Toc11748440"/>
      <w:r w:rsidRPr="003925E1">
        <w:rPr>
          <w:rStyle w:val="CharSectNo"/>
        </w:rPr>
        <w:t>59</w:t>
      </w:r>
      <w:r w:rsidRPr="00A060B6">
        <w:tab/>
        <w:t>The hearsay rule—exclusion of hearsay evidence</w:t>
      </w:r>
      <w:bookmarkEnd w:id="85"/>
    </w:p>
    <w:p w:rsidR="00F8610E" w:rsidRPr="00A060B6" w:rsidRDefault="00F8610E" w:rsidP="00486F06">
      <w:pPr>
        <w:pStyle w:val="Amain"/>
      </w:pPr>
      <w:r w:rsidRPr="00A060B6">
        <w:tab/>
        <w:t>(1)</w:t>
      </w:r>
      <w:r w:rsidRPr="00A060B6">
        <w:tab/>
        <w:t>Evidence of a previous representation made by a person is not admissible to prove the existence of a fact that it can reasonably be supposed that the person intended to assert by the representation.</w:t>
      </w:r>
    </w:p>
    <w:p w:rsidR="00F8610E" w:rsidRPr="00A060B6" w:rsidRDefault="00F8610E" w:rsidP="00486F06">
      <w:pPr>
        <w:pStyle w:val="Amain"/>
      </w:pPr>
      <w:r w:rsidRPr="00A060B6">
        <w:tab/>
        <w:t>(2)</w:t>
      </w:r>
      <w:r w:rsidRPr="00A060B6">
        <w:tab/>
        <w:t xml:space="preserve">For this part, a fact mentioned in subsection (1) is an </w:t>
      </w:r>
      <w:r w:rsidRPr="005D1BC5">
        <w:rPr>
          <w:rStyle w:val="charBoldItals"/>
        </w:rPr>
        <w:t>asserted fact</w:t>
      </w:r>
      <w:r w:rsidRPr="00A060B6">
        <w:t>.</w:t>
      </w:r>
    </w:p>
    <w:p w:rsidR="00F8610E" w:rsidRPr="00A060B6" w:rsidRDefault="00F8610E" w:rsidP="00486F06">
      <w:pPr>
        <w:pStyle w:val="Amain"/>
        <w:rPr>
          <w:lang w:eastAsia="en-AU"/>
        </w:rPr>
      </w:pPr>
      <w:r w:rsidRPr="00A060B6">
        <w:rPr>
          <w:lang w:eastAsia="en-AU"/>
        </w:rPr>
        <w:tab/>
        <w:t>(3)</w:t>
      </w:r>
      <w:r w:rsidRPr="00A060B6">
        <w:rPr>
          <w:lang w:eastAsia="en-AU"/>
        </w:rPr>
        <w:tab/>
        <w:t xml:space="preserve">For the purposes of deciding under subsection (1) whether it can reasonably be supposed that the person intended to assert a particular fact by the representation, the court may have regard to the circumstances in which the representation was made. </w:t>
      </w:r>
    </w:p>
    <w:p w:rsidR="00F8610E" w:rsidRPr="00A060B6" w:rsidRDefault="00F8610E" w:rsidP="001569F5">
      <w:pPr>
        <w:pStyle w:val="aNote"/>
        <w:rPr>
          <w:lang w:eastAsia="en-AU"/>
        </w:rPr>
      </w:pPr>
      <w:r w:rsidRPr="005D1BC5">
        <w:rPr>
          <w:rStyle w:val="charItals"/>
        </w:rPr>
        <w:t>Note</w:t>
      </w:r>
      <w:r w:rsidRPr="00AF17FE">
        <w:tab/>
      </w:r>
      <w:r w:rsidRPr="00A060B6">
        <w:rPr>
          <w:lang w:eastAsia="en-AU"/>
        </w:rPr>
        <w:t xml:space="preserve">Subsection (3) was inserted as a response to the decision of the NSW Supreme Court in </w:t>
      </w:r>
      <w:r w:rsidRPr="005D1BC5">
        <w:rPr>
          <w:rStyle w:val="charItals"/>
        </w:rPr>
        <w:t>R v Hannes</w:t>
      </w:r>
      <w:r w:rsidRPr="00A060B6">
        <w:rPr>
          <w:lang w:eastAsia="en-AU"/>
        </w:rPr>
        <w:t xml:space="preserve"> (2000) 158 FLR 359.</w:t>
      </w:r>
    </w:p>
    <w:p w:rsidR="00F8610E" w:rsidRPr="00A060B6" w:rsidRDefault="00F8610E" w:rsidP="00486F06">
      <w:pPr>
        <w:pStyle w:val="Amain"/>
      </w:pPr>
      <w:r w:rsidRPr="00A060B6">
        <w:tab/>
        <w:t>(4)</w:t>
      </w:r>
      <w:r w:rsidRPr="00A060B6">
        <w:tab/>
        <w:t>Subsection (1) does not apply to evidence of a representation contained in a certificate or other document given or made under a regulation made under an Act other than this Act to the extent to which the regulation provides that the certificate or other document has evidentiary effect.</w:t>
      </w:r>
    </w:p>
    <w:p w:rsidR="00F8610E" w:rsidRPr="00A060B6" w:rsidRDefault="00F8610E" w:rsidP="00C23C3D">
      <w:pPr>
        <w:pStyle w:val="aNote"/>
        <w:keepNext/>
      </w:pPr>
      <w:r w:rsidRPr="005D1BC5">
        <w:rPr>
          <w:rStyle w:val="charItals"/>
        </w:rPr>
        <w:t>Note</w:t>
      </w:r>
      <w:r w:rsidRPr="005D1BC5">
        <w:rPr>
          <w:rStyle w:val="charItals"/>
        </w:rPr>
        <w:tab/>
      </w:r>
      <w:r w:rsidRPr="00A060B6">
        <w:t xml:space="preserve">Specific exceptions to the hearsay rule are as follows: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evidence relevant for a non-hearsay purpose (s 60) </w:t>
      </w:r>
    </w:p>
    <w:p w:rsidR="00F8610E" w:rsidRPr="00A060B6" w:rsidRDefault="00F8610E" w:rsidP="00C23C3D">
      <w:pPr>
        <w:pStyle w:val="aNoteBulletss"/>
        <w:keepNext/>
        <w:tabs>
          <w:tab w:val="left" w:pos="2300"/>
        </w:tabs>
      </w:pPr>
      <w:r w:rsidRPr="00A060B6">
        <w:rPr>
          <w:rFonts w:ascii="Symbol" w:hAnsi="Symbol"/>
        </w:rPr>
        <w:t></w:t>
      </w:r>
      <w:r w:rsidRPr="00A060B6">
        <w:rPr>
          <w:rFonts w:ascii="Symbol" w:hAnsi="Symbol"/>
        </w:rPr>
        <w:tab/>
      </w:r>
      <w:r w:rsidRPr="00A060B6">
        <w:t xml:space="preserve">first-hand hearsay: </w:t>
      </w:r>
    </w:p>
    <w:p w:rsidR="00F8610E" w:rsidRPr="00A060B6" w:rsidRDefault="00F8610E" w:rsidP="00937D33">
      <w:pPr>
        <w:pStyle w:val="aNoteTextss"/>
        <w:ind w:left="2552" w:hanging="284"/>
      </w:pPr>
      <w:r w:rsidRPr="00A060B6">
        <w:t>–</w:t>
      </w:r>
      <w:r w:rsidRPr="00A060B6">
        <w:tab/>
        <w:t>civil proceedings, if the maker of the representation is unavailable (s 63) or available (s 64)</w:t>
      </w:r>
    </w:p>
    <w:p w:rsidR="00F8610E" w:rsidRPr="00A060B6" w:rsidRDefault="00F8610E" w:rsidP="00937D33">
      <w:pPr>
        <w:pStyle w:val="aNoteTextss"/>
        <w:ind w:left="2552" w:hanging="284"/>
      </w:pPr>
      <w:r w:rsidRPr="00A060B6">
        <w:t>–</w:t>
      </w:r>
      <w:r w:rsidRPr="00A060B6">
        <w:tab/>
        <w:t xml:space="preserve">criminal proceedings, if the maker of the representation is unavailable (s 65) or available (s 66)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contemporaneous statements about a person’s health etc (s 66A)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business records (s 69)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tags and labels (s 70)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electronic communications (s 71) </w:t>
      </w:r>
    </w:p>
    <w:p w:rsidR="00F8610E" w:rsidRPr="00A060B6" w:rsidRDefault="00F8610E" w:rsidP="005D1BC5">
      <w:pPr>
        <w:pStyle w:val="aNoteBulletss"/>
        <w:tabs>
          <w:tab w:val="left" w:pos="2300"/>
        </w:tabs>
      </w:pPr>
      <w:r w:rsidRPr="00A060B6">
        <w:rPr>
          <w:rFonts w:ascii="Symbol" w:hAnsi="Symbol"/>
        </w:rPr>
        <w:lastRenderedPageBreak/>
        <w:t></w:t>
      </w:r>
      <w:r w:rsidRPr="00A060B6">
        <w:rPr>
          <w:rFonts w:ascii="Symbol" w:hAnsi="Symbol"/>
        </w:rPr>
        <w:tab/>
      </w:r>
      <w:r w:rsidRPr="00A060B6">
        <w:t>Aboriginal and Torres Strait Islander traditional laws and customs (s 72)</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marriage, family history or family relationships (s 73)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public or general rights (s 74)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use of evidence in interlocutory proceedings (s 75)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admissions (s 81)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representations about employment or authority (s 87 (2))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exceptions to the rule excluding evidence of judgments and convictions (s 92 (3))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character of and expert opinion about accused people (s 110 and s 111). </w:t>
      </w:r>
    </w:p>
    <w:p w:rsidR="00F8610E" w:rsidRPr="00A060B6" w:rsidRDefault="00F8610E" w:rsidP="00E51812">
      <w:pPr>
        <w:pStyle w:val="aNoteTextss"/>
      </w:pPr>
      <w:r w:rsidRPr="00A060B6">
        <w:t>Other provisions of this Act, or of other laws, may operate as further exceptions.</w:t>
      </w:r>
    </w:p>
    <w:p w:rsidR="00F8610E" w:rsidRPr="00A060B6" w:rsidRDefault="00F8610E" w:rsidP="00E51812">
      <w:pPr>
        <w:pStyle w:val="aExamHdgss"/>
      </w:pPr>
      <w:r w:rsidRPr="00A060B6">
        <w:t>Examples</w:t>
      </w:r>
    </w:p>
    <w:p w:rsidR="00F8610E" w:rsidRPr="00A060B6" w:rsidRDefault="00F8610E" w:rsidP="00E51812">
      <w:pPr>
        <w:pStyle w:val="aExamINum"/>
      </w:pPr>
      <w:r w:rsidRPr="00A060B6">
        <w:t>1</w:t>
      </w:r>
      <w:r w:rsidRPr="00A060B6">
        <w:tab/>
        <w:t>D is the defendant in a sexual assault trial. W has made a statement to the police that X told W that X had seen D leave a night club with the victim shortly before the sexual assault is alleged to have happened. Unless an exception to the hearsay rule applies, evidence of what X told W cannot be given at the trial.</w:t>
      </w:r>
    </w:p>
    <w:p w:rsidR="00F8610E" w:rsidRPr="00A060B6" w:rsidRDefault="00F8610E" w:rsidP="00E51812">
      <w:pPr>
        <w:pStyle w:val="aExamINum"/>
      </w:pPr>
      <w:r w:rsidRPr="00A060B6">
        <w:t>2</w:t>
      </w:r>
      <w:r w:rsidRPr="00A060B6">
        <w:tab/>
        <w:t>P had told W that the handbrake on W’s car did not work. Unless an exception to the hearsay rule applies, evidence of that statement cannot be given by P, W or anyone else to prove that the handbrake was defective.</w:t>
      </w:r>
    </w:p>
    <w:p w:rsidR="00F8610E" w:rsidRPr="00A060B6" w:rsidRDefault="00F8610E" w:rsidP="00D1392E">
      <w:pPr>
        <w:pStyle w:val="aExamINum"/>
      </w:pPr>
      <w:r w:rsidRPr="00A060B6">
        <w:t>3</w:t>
      </w:r>
      <w:r w:rsidRPr="00A060B6">
        <w:tab/>
        <w:t>W had bought a video cassette recorder and written down its serial number on a document. Unless an exception to the hearsay rule applies, the document is inadmissible to prove that a video cassette recorder later found in D’s possession was the video cassette recorder bought by W.</w:t>
      </w:r>
    </w:p>
    <w:p w:rsidR="00F8610E" w:rsidRPr="00A060B6" w:rsidRDefault="00F8610E" w:rsidP="00D1392E">
      <w:pPr>
        <w:pStyle w:val="AH5Sec"/>
      </w:pPr>
      <w:bookmarkStart w:id="86" w:name="_Toc11748441"/>
      <w:r w:rsidRPr="003925E1">
        <w:rPr>
          <w:rStyle w:val="CharSectNo"/>
        </w:rPr>
        <w:lastRenderedPageBreak/>
        <w:t>60</w:t>
      </w:r>
      <w:r w:rsidRPr="00A060B6">
        <w:tab/>
        <w:t>Exception—evidence relevant for a non-hearsay purpose</w:t>
      </w:r>
      <w:bookmarkEnd w:id="86"/>
    </w:p>
    <w:p w:rsidR="00F8610E" w:rsidRPr="00A060B6" w:rsidRDefault="00F8610E" w:rsidP="00D1392E">
      <w:pPr>
        <w:pStyle w:val="Amain"/>
        <w:keepNext/>
      </w:pPr>
      <w:r w:rsidRPr="00A060B6">
        <w:tab/>
        <w:t>(1)</w:t>
      </w:r>
      <w:r w:rsidRPr="00A060B6">
        <w:tab/>
        <w:t>The hearsay rule does not apply to evidence of a previous representation that is admitted because it is relevant for a purpose other than proof of an asserted fact.</w:t>
      </w:r>
    </w:p>
    <w:p w:rsidR="00F8610E" w:rsidRPr="00A060B6" w:rsidRDefault="00F8610E" w:rsidP="00D1392E">
      <w:pPr>
        <w:pStyle w:val="Amain"/>
        <w:keepNext/>
        <w:rPr>
          <w:lang w:eastAsia="en-AU"/>
        </w:rPr>
      </w:pPr>
      <w:r w:rsidRPr="00A060B6">
        <w:rPr>
          <w:lang w:eastAsia="en-AU"/>
        </w:rPr>
        <w:tab/>
        <w:t>(2)</w:t>
      </w:r>
      <w:r w:rsidRPr="00A060B6">
        <w:rPr>
          <w:lang w:eastAsia="en-AU"/>
        </w:rPr>
        <w:tab/>
        <w:t>This section applies whether or not the person who made the representation had personal knowledge of the asserted fact (within the meaning of section 62 (2) (</w:t>
      </w:r>
      <w:r w:rsidRPr="00A060B6">
        <w:t xml:space="preserve">Restriction to </w:t>
      </w:r>
      <w:r w:rsidRPr="00A060B6">
        <w:rPr>
          <w:iCs/>
        </w:rPr>
        <w:t xml:space="preserve">first-hand </w:t>
      </w:r>
      <w:r w:rsidRPr="00A060B6">
        <w:t>hearsay)</w:t>
      </w:r>
      <w:r w:rsidRPr="00A060B6">
        <w:rPr>
          <w:lang w:eastAsia="en-AU"/>
        </w:rPr>
        <w:t xml:space="preserve">). </w:t>
      </w:r>
    </w:p>
    <w:p w:rsidR="00F8610E" w:rsidRPr="00A060B6" w:rsidRDefault="00F8610E" w:rsidP="009355F8">
      <w:pPr>
        <w:pStyle w:val="aNote"/>
        <w:rPr>
          <w:lang w:eastAsia="en-AU"/>
        </w:rPr>
      </w:pPr>
      <w:r w:rsidRPr="005D1BC5">
        <w:rPr>
          <w:rStyle w:val="charItals"/>
        </w:rPr>
        <w:t>Note</w:t>
      </w:r>
      <w:r w:rsidRPr="00AF17FE">
        <w:tab/>
      </w:r>
      <w:r w:rsidRPr="00A060B6">
        <w:rPr>
          <w:lang w:eastAsia="en-AU"/>
        </w:rPr>
        <w:t xml:space="preserve">Subsection (2) was inserted as a response to the decision of the High Court in </w:t>
      </w:r>
      <w:r w:rsidRPr="005D1BC5">
        <w:rPr>
          <w:rStyle w:val="charItals"/>
        </w:rPr>
        <w:t>Lee v The Queen</w:t>
      </w:r>
      <w:r w:rsidRPr="00A060B6">
        <w:rPr>
          <w:lang w:eastAsia="en-AU"/>
        </w:rPr>
        <w:t xml:space="preserve"> (1998) 195 CLR 594.</w:t>
      </w:r>
    </w:p>
    <w:p w:rsidR="00F8610E" w:rsidRPr="00A060B6" w:rsidRDefault="00F8610E" w:rsidP="00486F06">
      <w:pPr>
        <w:pStyle w:val="Amain"/>
        <w:rPr>
          <w:lang w:eastAsia="en-AU"/>
        </w:rPr>
      </w:pPr>
      <w:r w:rsidRPr="00A060B6">
        <w:rPr>
          <w:lang w:eastAsia="en-AU"/>
        </w:rPr>
        <w:tab/>
        <w:t>(3)</w:t>
      </w:r>
      <w:r w:rsidRPr="00A060B6">
        <w:rPr>
          <w:lang w:eastAsia="en-AU"/>
        </w:rPr>
        <w:tab/>
        <w:t xml:space="preserve">However, this section does not apply in a criminal proceeding to evidence of an admission. </w:t>
      </w:r>
    </w:p>
    <w:p w:rsidR="00F8610E" w:rsidRPr="00A060B6" w:rsidRDefault="00F8610E" w:rsidP="009355F8">
      <w:pPr>
        <w:pStyle w:val="aNote"/>
        <w:rPr>
          <w:lang w:eastAsia="en-AU"/>
        </w:rPr>
      </w:pPr>
      <w:r w:rsidRPr="005D1BC5">
        <w:rPr>
          <w:rStyle w:val="charItals"/>
        </w:rPr>
        <w:t>Note</w:t>
      </w:r>
      <w:r w:rsidRPr="00AF17FE">
        <w:tab/>
      </w:r>
      <w:r w:rsidRPr="00A060B6">
        <w:rPr>
          <w:lang w:eastAsia="en-AU"/>
        </w:rPr>
        <w:t>The admission might still be admissible under s 81 as an exception to the hearsay rule if it is first-hand hearsay—see s 82.</w:t>
      </w:r>
    </w:p>
    <w:p w:rsidR="00F8610E" w:rsidRPr="00A060B6" w:rsidRDefault="00F8610E" w:rsidP="00486F06">
      <w:pPr>
        <w:pStyle w:val="AH5Sec"/>
      </w:pPr>
      <w:bookmarkStart w:id="87" w:name="_Toc11748442"/>
      <w:r w:rsidRPr="003925E1">
        <w:rPr>
          <w:rStyle w:val="CharSectNo"/>
        </w:rPr>
        <w:t>61</w:t>
      </w:r>
      <w:r w:rsidRPr="00A060B6">
        <w:tab/>
        <w:t>Exceptions to the hearsay rule dependent on competency</w:t>
      </w:r>
      <w:bookmarkEnd w:id="87"/>
    </w:p>
    <w:p w:rsidR="00F8610E" w:rsidRPr="00A060B6" w:rsidRDefault="00F8610E" w:rsidP="00486F06">
      <w:pPr>
        <w:pStyle w:val="Amain"/>
      </w:pPr>
      <w:r w:rsidRPr="00A060B6">
        <w:tab/>
        <w:t>(1)</w:t>
      </w:r>
      <w:r w:rsidRPr="00A060B6">
        <w:tab/>
        <w:t>This part does not enable use of a previous representation to prove the existence of an asserted fact if, when the representation was made, the person who made it was not competent to give evidence about the fact because of section 13 (1) (Competence—lack of capacity).</w:t>
      </w:r>
    </w:p>
    <w:p w:rsidR="00F8610E" w:rsidRPr="00A060B6" w:rsidRDefault="00F8610E" w:rsidP="00486F06">
      <w:pPr>
        <w:pStyle w:val="Amain"/>
      </w:pPr>
      <w:r w:rsidRPr="00A060B6">
        <w:tab/>
        <w:t>(2)</w:t>
      </w:r>
      <w:r w:rsidRPr="00A060B6">
        <w:tab/>
        <w:t>This section does not apply to a contemporaneous representation made by a person about the person’s health, feelings, sensations, intention, knowledge or state of mind.</w:t>
      </w:r>
    </w:p>
    <w:p w:rsidR="00F8610E" w:rsidRPr="00A060B6" w:rsidRDefault="00F8610E" w:rsidP="00E51812">
      <w:pPr>
        <w:pStyle w:val="aNote"/>
      </w:pPr>
      <w:r w:rsidRPr="005D1BC5">
        <w:rPr>
          <w:rStyle w:val="charItals"/>
        </w:rPr>
        <w:t>Note</w:t>
      </w:r>
      <w:r w:rsidRPr="005D1BC5">
        <w:rPr>
          <w:rStyle w:val="charItals"/>
        </w:rPr>
        <w:tab/>
      </w:r>
      <w:r w:rsidRPr="00A060B6">
        <w:t>For the admissibility of contemporaneous representations, see s 66A.</w:t>
      </w:r>
    </w:p>
    <w:p w:rsidR="00F8610E" w:rsidRPr="00A060B6" w:rsidRDefault="00F8610E" w:rsidP="00486F06">
      <w:pPr>
        <w:pStyle w:val="Amain"/>
      </w:pPr>
      <w:r w:rsidRPr="00A060B6">
        <w:tab/>
        <w:t>(3)</w:t>
      </w:r>
      <w:r w:rsidRPr="00A060B6">
        <w:tab/>
        <w:t>For this section, it is presumed, unless the contrary is proved, that when the representation was made the person who made it was competent to give evidence about the asserted fact.</w:t>
      </w:r>
    </w:p>
    <w:p w:rsidR="00F8610E" w:rsidRPr="003925E1" w:rsidRDefault="00F8610E" w:rsidP="00486F06">
      <w:pPr>
        <w:pStyle w:val="AH3Div"/>
      </w:pPr>
      <w:bookmarkStart w:id="88" w:name="_Toc11748443"/>
      <w:r w:rsidRPr="003925E1">
        <w:rPr>
          <w:rStyle w:val="CharDivNo"/>
        </w:rPr>
        <w:lastRenderedPageBreak/>
        <w:t>Division 3.2.2</w:t>
      </w:r>
      <w:r w:rsidRPr="00A060B6">
        <w:tab/>
      </w:r>
      <w:r w:rsidRPr="003925E1">
        <w:rPr>
          <w:rStyle w:val="CharDivText"/>
        </w:rPr>
        <w:t>First-hand hearsay</w:t>
      </w:r>
      <w:bookmarkEnd w:id="88"/>
    </w:p>
    <w:p w:rsidR="00F8610E" w:rsidRPr="00A060B6" w:rsidRDefault="00F8610E" w:rsidP="00486F06">
      <w:pPr>
        <w:pStyle w:val="AH5Sec"/>
      </w:pPr>
      <w:bookmarkStart w:id="89" w:name="_Toc11748444"/>
      <w:r w:rsidRPr="003925E1">
        <w:rPr>
          <w:rStyle w:val="CharSectNo"/>
        </w:rPr>
        <w:t>62</w:t>
      </w:r>
      <w:r w:rsidRPr="00A060B6">
        <w:tab/>
        <w:t xml:space="preserve">Restriction to </w:t>
      </w:r>
      <w:r w:rsidRPr="00A060B6">
        <w:rPr>
          <w:iCs/>
        </w:rPr>
        <w:t xml:space="preserve">first-hand </w:t>
      </w:r>
      <w:r w:rsidRPr="00A060B6">
        <w:t>hearsay</w:t>
      </w:r>
      <w:bookmarkEnd w:id="89"/>
    </w:p>
    <w:p w:rsidR="00F8610E" w:rsidRPr="00A060B6" w:rsidRDefault="00F8610E" w:rsidP="00486F06">
      <w:pPr>
        <w:pStyle w:val="Amain"/>
      </w:pPr>
      <w:r w:rsidRPr="00A060B6">
        <w:tab/>
        <w:t>(1)</w:t>
      </w:r>
      <w:r w:rsidRPr="00A060B6">
        <w:tab/>
        <w:t xml:space="preserve">For this division (other than in subsection (2)), a </w:t>
      </w:r>
      <w:r w:rsidRPr="005D1BC5">
        <w:rPr>
          <w:rStyle w:val="charBoldItals"/>
        </w:rPr>
        <w:t>previous representation</w:t>
      </w:r>
      <w:r w:rsidRPr="00A060B6">
        <w:t xml:space="preserve"> is a previous representation that was made by a person who had personal knowledge of an asserted fact.</w:t>
      </w:r>
    </w:p>
    <w:p w:rsidR="00F8610E" w:rsidRPr="00A060B6" w:rsidRDefault="00F8610E" w:rsidP="00486F06">
      <w:pPr>
        <w:pStyle w:val="Amain"/>
      </w:pPr>
      <w:r w:rsidRPr="00A060B6">
        <w:tab/>
        <w:t>(2)</w:t>
      </w:r>
      <w:r w:rsidRPr="00A060B6">
        <w:tab/>
        <w:t>A person has personal knowledge of an asserted fact if the person’s knowledge of the fact was, or might reasonably be supposed to have been, based on something that the person saw, heard or otherwise perceived, other than a previous representation made by someone else about the fact.</w:t>
      </w:r>
    </w:p>
    <w:p w:rsidR="00F8610E" w:rsidRPr="00A060B6" w:rsidRDefault="00F8610E" w:rsidP="00486F06">
      <w:pPr>
        <w:pStyle w:val="Amain"/>
      </w:pPr>
      <w:r w:rsidRPr="00A060B6">
        <w:tab/>
        <w:t>(3)</w:t>
      </w:r>
      <w:r w:rsidRPr="00A060B6">
        <w:tab/>
        <w:t>For section 66A (</w:t>
      </w:r>
      <w:r w:rsidRPr="00A060B6">
        <w:rPr>
          <w:lang w:eastAsia="en-AU"/>
        </w:rPr>
        <w:t>Exception—contemporaneous statements about a person’s health etc)</w:t>
      </w:r>
      <w:r w:rsidRPr="00A060B6">
        <w:t>, a person has personal knowledge of the asserted fact if it is a fact about the person’s health, feelings, sensations, intention, knowledge or state of mind at the time the representation mentioned in the section was made.</w:t>
      </w:r>
    </w:p>
    <w:p w:rsidR="00F8610E" w:rsidRPr="00A060B6" w:rsidRDefault="00F8610E" w:rsidP="00486F06">
      <w:pPr>
        <w:pStyle w:val="AH5Sec"/>
      </w:pPr>
      <w:bookmarkStart w:id="90" w:name="_Toc11748445"/>
      <w:r w:rsidRPr="003925E1">
        <w:rPr>
          <w:rStyle w:val="CharSectNo"/>
        </w:rPr>
        <w:t>63</w:t>
      </w:r>
      <w:r w:rsidRPr="00A060B6">
        <w:tab/>
        <w:t>Exception—civil proceedings if maker not available</w:t>
      </w:r>
      <w:bookmarkEnd w:id="90"/>
    </w:p>
    <w:p w:rsidR="00F8610E" w:rsidRPr="00A060B6" w:rsidRDefault="00F8610E" w:rsidP="00486F06">
      <w:pPr>
        <w:pStyle w:val="Amain"/>
      </w:pPr>
      <w:r w:rsidRPr="00A060B6">
        <w:tab/>
        <w:t>(1)</w:t>
      </w:r>
      <w:r w:rsidRPr="00A060B6">
        <w:tab/>
        <w:t>This section applies in a civil proceeding if a person who made a previous representation is not available to give evidence about an asserted fact.</w:t>
      </w:r>
    </w:p>
    <w:p w:rsidR="00F8610E" w:rsidRPr="00A060B6" w:rsidRDefault="00F8610E" w:rsidP="00486F06">
      <w:pPr>
        <w:pStyle w:val="Amain"/>
      </w:pPr>
      <w:r w:rsidRPr="00A060B6">
        <w:tab/>
        <w:t>(2)</w:t>
      </w:r>
      <w:r w:rsidRPr="00A060B6">
        <w:tab/>
        <w:t>The hearsay rule does not apply to—</w:t>
      </w:r>
    </w:p>
    <w:p w:rsidR="00F8610E" w:rsidRPr="00A060B6" w:rsidRDefault="00F8610E" w:rsidP="00486F06">
      <w:pPr>
        <w:pStyle w:val="Apara"/>
      </w:pPr>
      <w:r w:rsidRPr="00A060B6">
        <w:tab/>
        <w:t>(a)</w:t>
      </w:r>
      <w:r w:rsidRPr="00A060B6">
        <w:tab/>
        <w:t>evidence of the representation that is given by a person who saw, heard or otherwise perceived the representation being made; or</w:t>
      </w:r>
    </w:p>
    <w:p w:rsidR="00F8610E" w:rsidRPr="00A060B6" w:rsidRDefault="00F8610E" w:rsidP="00486F06">
      <w:pPr>
        <w:pStyle w:val="Apara"/>
      </w:pPr>
      <w:r w:rsidRPr="00A060B6">
        <w:tab/>
        <w:t>(b)</w:t>
      </w:r>
      <w:r w:rsidRPr="00A060B6">
        <w:tab/>
        <w:t>a document so far as it contains the representation, or another representation to which it is reasonably necessary to refer in order to understand the representation.</w:t>
      </w:r>
    </w:p>
    <w:p w:rsidR="00F8610E" w:rsidRPr="00A060B6" w:rsidRDefault="00F8610E" w:rsidP="00C23C3D">
      <w:pPr>
        <w:pStyle w:val="aNote"/>
        <w:keepNext/>
      </w:pPr>
      <w:r w:rsidRPr="005D1BC5">
        <w:rPr>
          <w:rStyle w:val="charItals"/>
        </w:rPr>
        <w:t>Note 1</w:t>
      </w:r>
      <w:r w:rsidRPr="005D1BC5">
        <w:rPr>
          <w:rStyle w:val="charItals"/>
        </w:rPr>
        <w:tab/>
      </w:r>
      <w:r w:rsidRPr="00A060B6">
        <w:t>Section 67 imposes notice requirements relating to this subsection.</w:t>
      </w:r>
    </w:p>
    <w:p w:rsidR="00F8610E" w:rsidRPr="00A060B6" w:rsidRDefault="00F8610E" w:rsidP="00E51812">
      <w:pPr>
        <w:pStyle w:val="aNote"/>
      </w:pPr>
      <w:r w:rsidRPr="005D1BC5">
        <w:rPr>
          <w:rStyle w:val="charItals"/>
        </w:rPr>
        <w:t>Note 2</w:t>
      </w:r>
      <w:r w:rsidRPr="005D1BC5">
        <w:rPr>
          <w:rStyle w:val="charItals"/>
        </w:rPr>
        <w:tab/>
      </w:r>
      <w:r w:rsidRPr="00A060B6">
        <w:rPr>
          <w:iCs/>
        </w:rPr>
        <w:t>The dictionary, pt 2, s 4</w:t>
      </w:r>
      <w:r w:rsidRPr="00A060B6">
        <w:t xml:space="preserve"> is about the availability of people.</w:t>
      </w:r>
    </w:p>
    <w:p w:rsidR="00F8610E" w:rsidRPr="00A060B6" w:rsidRDefault="00F8610E" w:rsidP="00486F06">
      <w:pPr>
        <w:pStyle w:val="AH5Sec"/>
      </w:pPr>
      <w:bookmarkStart w:id="91" w:name="_Toc11748446"/>
      <w:r w:rsidRPr="003925E1">
        <w:rPr>
          <w:rStyle w:val="CharSectNo"/>
        </w:rPr>
        <w:lastRenderedPageBreak/>
        <w:t>64</w:t>
      </w:r>
      <w:r w:rsidRPr="00A060B6">
        <w:tab/>
        <w:t>Exception—civil proceedings if maker available</w:t>
      </w:r>
      <w:bookmarkEnd w:id="91"/>
    </w:p>
    <w:p w:rsidR="00F8610E" w:rsidRPr="00A060B6" w:rsidRDefault="00F8610E" w:rsidP="00486F06">
      <w:pPr>
        <w:pStyle w:val="Amain"/>
      </w:pPr>
      <w:r w:rsidRPr="00A060B6">
        <w:tab/>
        <w:t>(1)</w:t>
      </w:r>
      <w:r w:rsidRPr="00A060B6">
        <w:tab/>
        <w:t>This section applies in a civil proceeding if a person who made a previous representation is available to give evidence about an asserted fact.</w:t>
      </w:r>
    </w:p>
    <w:p w:rsidR="00F8610E" w:rsidRPr="00A060B6" w:rsidRDefault="00F8610E" w:rsidP="00486F06">
      <w:pPr>
        <w:pStyle w:val="Amain"/>
      </w:pPr>
      <w:r w:rsidRPr="00A060B6">
        <w:tab/>
        <w:t>(2)</w:t>
      </w:r>
      <w:r w:rsidRPr="00A060B6">
        <w:tab/>
        <w:t>The hearsay rule does not apply to—</w:t>
      </w:r>
    </w:p>
    <w:p w:rsidR="00F8610E" w:rsidRPr="00A060B6" w:rsidRDefault="00F8610E" w:rsidP="00486F06">
      <w:pPr>
        <w:pStyle w:val="Apara"/>
      </w:pPr>
      <w:r w:rsidRPr="00A060B6">
        <w:tab/>
        <w:t>(a)</w:t>
      </w:r>
      <w:r w:rsidRPr="00A060B6">
        <w:tab/>
        <w:t>evidence of the representation that is given by a person who saw, heard or otherwise perceived the representation being made; or</w:t>
      </w:r>
    </w:p>
    <w:p w:rsidR="00F8610E" w:rsidRPr="00A060B6" w:rsidRDefault="00F8610E" w:rsidP="00486F06">
      <w:pPr>
        <w:pStyle w:val="Apara"/>
      </w:pPr>
      <w:r w:rsidRPr="00A060B6">
        <w:tab/>
        <w:t>(b)</w:t>
      </w:r>
      <w:r w:rsidRPr="00A060B6">
        <w:tab/>
        <w:t>a document so far as it contains the representation, or another representation to which it is reasonably necessary to refer in order to understand the representation;</w:t>
      </w:r>
    </w:p>
    <w:p w:rsidR="00F8610E" w:rsidRPr="00A060B6" w:rsidRDefault="00F8610E" w:rsidP="00E51812">
      <w:pPr>
        <w:pStyle w:val="Amainreturn"/>
        <w:keepNext/>
      </w:pPr>
      <w:r w:rsidRPr="00A060B6">
        <w:t>if it would cause undue expense or undue delay, or would not be reasonably practicable, to call the person who made the representation to give evidence.</w:t>
      </w:r>
    </w:p>
    <w:p w:rsidR="00F8610E" w:rsidRPr="00A060B6" w:rsidRDefault="00F8610E" w:rsidP="00C23C3D">
      <w:pPr>
        <w:pStyle w:val="aNote"/>
        <w:keepNext/>
      </w:pPr>
      <w:r w:rsidRPr="005D1BC5">
        <w:rPr>
          <w:rStyle w:val="charItals"/>
        </w:rPr>
        <w:t>Note 1</w:t>
      </w:r>
      <w:r w:rsidRPr="005D1BC5">
        <w:rPr>
          <w:rStyle w:val="charItals"/>
        </w:rPr>
        <w:tab/>
      </w:r>
      <w:r w:rsidRPr="00A060B6">
        <w:t>Section 67 imposes notice requirements relating to this subsection.</w:t>
      </w:r>
    </w:p>
    <w:p w:rsidR="00F8610E" w:rsidRPr="00A060B6" w:rsidRDefault="00F8610E" w:rsidP="00A203CE">
      <w:pPr>
        <w:pStyle w:val="aNote"/>
      </w:pPr>
      <w:r w:rsidRPr="005D1BC5">
        <w:rPr>
          <w:rStyle w:val="charItals"/>
        </w:rPr>
        <w:t>Note 2</w:t>
      </w:r>
      <w:r w:rsidRPr="005D1BC5">
        <w:rPr>
          <w:rStyle w:val="charItals"/>
        </w:rPr>
        <w:tab/>
      </w:r>
      <w:r w:rsidRPr="00A060B6">
        <w:t>Section 68 is about objections to notices that relate to this subsection.</w:t>
      </w:r>
    </w:p>
    <w:p w:rsidR="00F8610E" w:rsidRPr="00A060B6" w:rsidRDefault="00F8610E" w:rsidP="00486F06">
      <w:pPr>
        <w:pStyle w:val="Amain"/>
      </w:pPr>
      <w:r w:rsidRPr="00A060B6">
        <w:tab/>
        <w:t>(3)</w:t>
      </w:r>
      <w:r w:rsidRPr="00A060B6">
        <w:tab/>
        <w:t>If the person who made the representation has been or is to be called to give evidence, the hearsay rule does not apply to evidence of the representation that is given by—</w:t>
      </w:r>
    </w:p>
    <w:p w:rsidR="00F8610E" w:rsidRPr="00A060B6" w:rsidRDefault="00F8610E" w:rsidP="00486F06">
      <w:pPr>
        <w:pStyle w:val="Apara"/>
      </w:pPr>
      <w:r w:rsidRPr="00A060B6">
        <w:tab/>
        <w:t>(a)</w:t>
      </w:r>
      <w:r w:rsidRPr="00A060B6">
        <w:tab/>
        <w:t>the person; or</w:t>
      </w:r>
    </w:p>
    <w:p w:rsidR="00F8610E" w:rsidRPr="00A060B6" w:rsidRDefault="00F8610E" w:rsidP="00486F06">
      <w:pPr>
        <w:pStyle w:val="Apara"/>
      </w:pPr>
      <w:r w:rsidRPr="00A060B6">
        <w:tab/>
        <w:t>(b)</w:t>
      </w:r>
      <w:r w:rsidRPr="00A060B6">
        <w:tab/>
        <w:t>a person who saw, heard or otherwise perceived the representation being made.</w:t>
      </w:r>
    </w:p>
    <w:p w:rsidR="00F8610E" w:rsidRPr="00A060B6" w:rsidRDefault="00F8610E" w:rsidP="00486F06">
      <w:pPr>
        <w:pStyle w:val="Amain"/>
      </w:pPr>
      <w:r w:rsidRPr="00A060B6">
        <w:tab/>
        <w:t>(4)</w:t>
      </w:r>
      <w:r w:rsidRPr="00A060B6">
        <w:tab/>
        <w:t>A document containing a representation to which subsection (3) applies must not be tendered before the conclusion of the examination-in-chief of the person who made the representation, unless the court gives leave.</w:t>
      </w:r>
    </w:p>
    <w:p w:rsidR="00F8610E" w:rsidRPr="00A060B6" w:rsidRDefault="00F8610E" w:rsidP="00E51812">
      <w:pPr>
        <w:pStyle w:val="aNote"/>
      </w:pPr>
      <w:r w:rsidRPr="005D1BC5">
        <w:rPr>
          <w:rStyle w:val="charItals"/>
        </w:rPr>
        <w:t>Note</w:t>
      </w:r>
      <w:r w:rsidRPr="005D1BC5">
        <w:rPr>
          <w:rStyle w:val="charItals"/>
        </w:rPr>
        <w:tab/>
      </w:r>
      <w:r w:rsidRPr="00A060B6">
        <w:rPr>
          <w:iCs/>
        </w:rPr>
        <w:t>The dictionary, pt 2, s 4</w:t>
      </w:r>
      <w:r w:rsidRPr="00A060B6">
        <w:t xml:space="preserve"> is about the availability of people.</w:t>
      </w:r>
    </w:p>
    <w:p w:rsidR="00F8610E" w:rsidRPr="00A060B6" w:rsidRDefault="00F8610E" w:rsidP="00486F06">
      <w:pPr>
        <w:pStyle w:val="AH5Sec"/>
      </w:pPr>
      <w:bookmarkStart w:id="92" w:name="_Toc11748447"/>
      <w:r w:rsidRPr="003925E1">
        <w:rPr>
          <w:rStyle w:val="CharSectNo"/>
        </w:rPr>
        <w:lastRenderedPageBreak/>
        <w:t>65</w:t>
      </w:r>
      <w:r w:rsidRPr="00A060B6">
        <w:tab/>
        <w:t>Exception—criminal proceedings if maker not available</w:t>
      </w:r>
      <w:bookmarkEnd w:id="92"/>
    </w:p>
    <w:p w:rsidR="00F8610E" w:rsidRPr="00A060B6" w:rsidRDefault="00F8610E" w:rsidP="00486F06">
      <w:pPr>
        <w:pStyle w:val="Amain"/>
      </w:pPr>
      <w:r w:rsidRPr="00A060B6">
        <w:tab/>
        <w:t>(1)</w:t>
      </w:r>
      <w:r w:rsidRPr="00A060B6">
        <w:tab/>
        <w:t>This section applies in a criminal proceeding if a person who made a previous representation is not available to give evidence about an asserted fact.</w:t>
      </w:r>
    </w:p>
    <w:p w:rsidR="00F8610E" w:rsidRPr="00A060B6" w:rsidRDefault="00F8610E" w:rsidP="00486F06">
      <w:pPr>
        <w:pStyle w:val="Amain"/>
      </w:pPr>
      <w:r w:rsidRPr="00A060B6">
        <w:tab/>
        <w:t>(2)</w:t>
      </w:r>
      <w:r w:rsidRPr="00A060B6">
        <w:tab/>
        <w:t>The hearsay rule does not apply to evidence of a previous representation that is given by a person who saw, heard or otherwise perceived the representation being made, if the representation—</w:t>
      </w:r>
    </w:p>
    <w:p w:rsidR="00F8610E" w:rsidRPr="00A060B6" w:rsidRDefault="00F8610E" w:rsidP="00486F06">
      <w:pPr>
        <w:pStyle w:val="Apara"/>
      </w:pPr>
      <w:r w:rsidRPr="00A060B6">
        <w:tab/>
        <w:t>(a)</w:t>
      </w:r>
      <w:r w:rsidRPr="00A060B6">
        <w:tab/>
        <w:t>was made under a duty to make that representation or to make representations of that kind; or</w:t>
      </w:r>
    </w:p>
    <w:p w:rsidR="00F8610E" w:rsidRPr="00A060B6" w:rsidRDefault="00F8610E" w:rsidP="00486F06">
      <w:pPr>
        <w:pStyle w:val="Apara"/>
      </w:pPr>
      <w:r w:rsidRPr="00A060B6">
        <w:tab/>
        <w:t>(b)</w:t>
      </w:r>
      <w:r w:rsidRPr="00A060B6">
        <w:tab/>
        <w:t>was made when or shortly after the asserted fact happened and in circumstances that make it unlikely that the representation is a fabrication; or</w:t>
      </w:r>
    </w:p>
    <w:p w:rsidR="00F8610E" w:rsidRPr="00A060B6" w:rsidRDefault="00F8610E" w:rsidP="00486F06">
      <w:pPr>
        <w:pStyle w:val="Apara"/>
      </w:pPr>
      <w:r w:rsidRPr="00A060B6">
        <w:tab/>
        <w:t>(c)</w:t>
      </w:r>
      <w:r w:rsidRPr="00A060B6">
        <w:tab/>
        <w:t>was made in circumstances that make it highly probable that the representation is reliable; or</w:t>
      </w:r>
    </w:p>
    <w:p w:rsidR="00F8610E" w:rsidRPr="00A060B6" w:rsidRDefault="00F8610E" w:rsidP="00486F06">
      <w:pPr>
        <w:pStyle w:val="Apara"/>
      </w:pPr>
      <w:r w:rsidRPr="00A060B6">
        <w:tab/>
        <w:t>(d)</w:t>
      </w:r>
      <w:r w:rsidRPr="00A060B6">
        <w:tab/>
        <w:t>was—</w:t>
      </w:r>
    </w:p>
    <w:p w:rsidR="00F8610E" w:rsidRPr="00A060B6" w:rsidRDefault="00F8610E" w:rsidP="00486F06">
      <w:pPr>
        <w:pStyle w:val="Asubpara"/>
      </w:pPr>
      <w:r w:rsidRPr="00A060B6">
        <w:tab/>
        <w:t>(i)</w:t>
      </w:r>
      <w:r w:rsidRPr="00A060B6">
        <w:tab/>
        <w:t>against the interests of the person who made it at the time it was made; and</w:t>
      </w:r>
    </w:p>
    <w:p w:rsidR="00F8610E" w:rsidRPr="00A060B6" w:rsidRDefault="00F8610E" w:rsidP="00486F06">
      <w:pPr>
        <w:pStyle w:val="Asubpara"/>
      </w:pPr>
      <w:r w:rsidRPr="00A060B6">
        <w:tab/>
        <w:t>(ii)</w:t>
      </w:r>
      <w:r w:rsidRPr="00A060B6">
        <w:tab/>
        <w:t>made in circumstances that make it likely that the representation is reliable.</w:t>
      </w:r>
    </w:p>
    <w:p w:rsidR="00F8610E" w:rsidRPr="00A060B6" w:rsidRDefault="00F8610E" w:rsidP="00E51812">
      <w:pPr>
        <w:pStyle w:val="aNote"/>
      </w:pPr>
      <w:r w:rsidRPr="005D1BC5">
        <w:rPr>
          <w:rStyle w:val="charItals"/>
        </w:rPr>
        <w:t>Note</w:t>
      </w:r>
      <w:r w:rsidRPr="005D1BC5">
        <w:rPr>
          <w:rStyle w:val="charItals"/>
        </w:rPr>
        <w:tab/>
      </w:r>
      <w:r w:rsidRPr="00A060B6">
        <w:t>Section 67 imposes notice requirements relating to this subsection.</w:t>
      </w:r>
    </w:p>
    <w:p w:rsidR="00F8610E" w:rsidRPr="00A060B6" w:rsidRDefault="00F8610E" w:rsidP="00486F06">
      <w:pPr>
        <w:pStyle w:val="Amain"/>
      </w:pPr>
      <w:r w:rsidRPr="00A060B6">
        <w:tab/>
        <w:t>(3)</w:t>
      </w:r>
      <w:r w:rsidRPr="00A060B6">
        <w:tab/>
        <w:t>The hearsay rule does not apply to evidence of a previous representation made in the course of giving evidence in an Australian or overseas proceeding if, in the proceeding, the defendant in the proceeding to which this section is being applied—</w:t>
      </w:r>
    </w:p>
    <w:p w:rsidR="00F8610E" w:rsidRPr="00A060B6" w:rsidRDefault="00F8610E" w:rsidP="00486F06">
      <w:pPr>
        <w:pStyle w:val="Apara"/>
      </w:pPr>
      <w:r w:rsidRPr="00A060B6">
        <w:tab/>
        <w:t>(a)</w:t>
      </w:r>
      <w:r w:rsidRPr="00A060B6">
        <w:tab/>
        <w:t>cross-examined the person who made the representation about it; or</w:t>
      </w:r>
    </w:p>
    <w:p w:rsidR="00F8610E" w:rsidRPr="00A060B6" w:rsidRDefault="00F8610E" w:rsidP="00305154">
      <w:pPr>
        <w:pStyle w:val="Apara"/>
        <w:keepNext/>
      </w:pPr>
      <w:r w:rsidRPr="00A060B6">
        <w:tab/>
        <w:t>(b)</w:t>
      </w:r>
      <w:r w:rsidRPr="00A060B6">
        <w:tab/>
        <w:t>had a reasonable opportunity to cross-examine the person who made the representation about it.</w:t>
      </w:r>
    </w:p>
    <w:p w:rsidR="00F8610E" w:rsidRPr="00A060B6" w:rsidRDefault="00F8610E" w:rsidP="00E51812">
      <w:pPr>
        <w:pStyle w:val="aNote"/>
      </w:pPr>
      <w:r w:rsidRPr="005D1BC5">
        <w:rPr>
          <w:rStyle w:val="charItals"/>
        </w:rPr>
        <w:t>Note</w:t>
      </w:r>
      <w:r w:rsidRPr="005D1BC5">
        <w:rPr>
          <w:rStyle w:val="charItals"/>
        </w:rPr>
        <w:tab/>
      </w:r>
      <w:r w:rsidRPr="00A060B6">
        <w:t>Section 67 imposes notice requirements relating to this subsection.</w:t>
      </w:r>
    </w:p>
    <w:p w:rsidR="00F8610E" w:rsidRPr="00A060B6" w:rsidRDefault="00F8610E" w:rsidP="00486F06">
      <w:pPr>
        <w:pStyle w:val="Amain"/>
      </w:pPr>
      <w:r w:rsidRPr="00A060B6">
        <w:lastRenderedPageBreak/>
        <w:tab/>
        <w:t>(4)</w:t>
      </w:r>
      <w:r w:rsidRPr="00A060B6">
        <w:tab/>
        <w:t>If there is more than 1 defendant in the criminal proceeding, evidence of a previous representation that—</w:t>
      </w:r>
    </w:p>
    <w:p w:rsidR="00F8610E" w:rsidRPr="00A060B6" w:rsidRDefault="00F8610E" w:rsidP="00486F06">
      <w:pPr>
        <w:pStyle w:val="Apara"/>
      </w:pPr>
      <w:r w:rsidRPr="00A060B6">
        <w:tab/>
        <w:t>(a)</w:t>
      </w:r>
      <w:r w:rsidRPr="00A060B6">
        <w:tab/>
        <w:t>is given in an Australian or overseas proceeding; and</w:t>
      </w:r>
    </w:p>
    <w:p w:rsidR="00F8610E" w:rsidRPr="00A060B6" w:rsidRDefault="00F8610E" w:rsidP="00486F06">
      <w:pPr>
        <w:pStyle w:val="Apara"/>
      </w:pPr>
      <w:r w:rsidRPr="00A060B6">
        <w:tab/>
        <w:t>(b)</w:t>
      </w:r>
      <w:r w:rsidRPr="00A060B6">
        <w:tab/>
        <w:t>is admitted into evidence in the criminal proceeding because of subsection (3);</w:t>
      </w:r>
    </w:p>
    <w:p w:rsidR="00F8610E" w:rsidRPr="00A060B6" w:rsidRDefault="00F8610E" w:rsidP="00E51812">
      <w:pPr>
        <w:pStyle w:val="Amainreturn"/>
      </w:pPr>
      <w:r w:rsidRPr="00A060B6">
        <w:t>cannot be used against a defendant who did not cross-examine, and did not have a reasonable opportunity to cross-examine, the person about the representation.</w:t>
      </w:r>
    </w:p>
    <w:p w:rsidR="00F8610E" w:rsidRPr="00A060B6" w:rsidRDefault="00F8610E" w:rsidP="00486F06">
      <w:pPr>
        <w:pStyle w:val="Amain"/>
      </w:pPr>
      <w:r w:rsidRPr="00A060B6">
        <w:tab/>
        <w:t>(5)</w:t>
      </w:r>
      <w:r w:rsidRPr="00A060B6">
        <w:tab/>
        <w:t>For subsection (3) and subsection (4), a defendant is taken to have had a reasonable opportunity to cross-examine a person if the defendant was not present at a time when the cross-examination of a person might have been conducted but—</w:t>
      </w:r>
    </w:p>
    <w:p w:rsidR="00F8610E" w:rsidRPr="00A060B6" w:rsidRDefault="00F8610E" w:rsidP="00486F06">
      <w:pPr>
        <w:pStyle w:val="Apara"/>
      </w:pPr>
      <w:r w:rsidRPr="00A060B6">
        <w:tab/>
        <w:t>(a)</w:t>
      </w:r>
      <w:r w:rsidRPr="00A060B6">
        <w:tab/>
        <w:t>could reasonably have been present at the time; and</w:t>
      </w:r>
    </w:p>
    <w:p w:rsidR="00F8610E" w:rsidRPr="00A060B6" w:rsidRDefault="00F8610E" w:rsidP="00486F06">
      <w:pPr>
        <w:pStyle w:val="Apara"/>
      </w:pPr>
      <w:r w:rsidRPr="00A060B6">
        <w:tab/>
        <w:t>(b)</w:t>
      </w:r>
      <w:r w:rsidRPr="00A060B6">
        <w:tab/>
        <w:t>if present could have cross-examined the person.</w:t>
      </w:r>
    </w:p>
    <w:p w:rsidR="00F8610E" w:rsidRPr="00A060B6" w:rsidRDefault="00F8610E" w:rsidP="00486F06">
      <w:pPr>
        <w:pStyle w:val="Amain"/>
      </w:pPr>
      <w:r w:rsidRPr="00A060B6">
        <w:tab/>
        <w:t>(6)</w:t>
      </w:r>
      <w:r w:rsidRPr="00A060B6">
        <w:tab/>
        <w:t>Evidence of the making of a representation to which subsection (3) applies may be presented by producing a transcript, or a recording, of the representation that is authenticated by—</w:t>
      </w:r>
    </w:p>
    <w:p w:rsidR="00F8610E" w:rsidRPr="00A060B6" w:rsidRDefault="00F8610E" w:rsidP="00486F06">
      <w:pPr>
        <w:pStyle w:val="Apara"/>
      </w:pPr>
      <w:r w:rsidRPr="00A060B6">
        <w:tab/>
        <w:t>(a)</w:t>
      </w:r>
      <w:r w:rsidRPr="00A060B6">
        <w:tab/>
        <w:t>the person to whom, or the court or other body to which, the representation was made; or</w:t>
      </w:r>
    </w:p>
    <w:p w:rsidR="00F8610E" w:rsidRPr="00A060B6" w:rsidRDefault="00F8610E" w:rsidP="00486F06">
      <w:pPr>
        <w:pStyle w:val="Apara"/>
      </w:pPr>
      <w:r w:rsidRPr="00A060B6">
        <w:tab/>
        <w:t>(b)</w:t>
      </w:r>
      <w:r w:rsidRPr="00A060B6">
        <w:tab/>
        <w:t>if applicable, the registrar or other proper officer of the court or other body to which the representation was made; or</w:t>
      </w:r>
    </w:p>
    <w:p w:rsidR="00F8610E" w:rsidRPr="00A060B6" w:rsidRDefault="00F8610E" w:rsidP="00486F06">
      <w:pPr>
        <w:pStyle w:val="Apara"/>
      </w:pPr>
      <w:r w:rsidRPr="00A060B6">
        <w:tab/>
        <w:t>(c)</w:t>
      </w:r>
      <w:r w:rsidRPr="00A060B6">
        <w:tab/>
        <w:t>the entity responsible for producing the transcript or recording.</w:t>
      </w:r>
    </w:p>
    <w:p w:rsidR="00F8610E" w:rsidRPr="00A060B6" w:rsidRDefault="00F8610E" w:rsidP="00D06B46">
      <w:pPr>
        <w:pStyle w:val="Amain"/>
        <w:keepNext/>
      </w:pPr>
      <w:r w:rsidRPr="00A060B6">
        <w:lastRenderedPageBreak/>
        <w:tab/>
        <w:t>(7)</w:t>
      </w:r>
      <w:r w:rsidRPr="00A060B6">
        <w:tab/>
        <w:t>Without limiting subsection (2) (d), a representation is taken for subsection (2) (d) to be against the interests of the person who made it if it tends—</w:t>
      </w:r>
    </w:p>
    <w:p w:rsidR="00F8610E" w:rsidRPr="00A060B6" w:rsidRDefault="00F8610E" w:rsidP="00D06B46">
      <w:pPr>
        <w:pStyle w:val="Apara"/>
        <w:keepNext/>
      </w:pPr>
      <w:r w:rsidRPr="00A060B6">
        <w:tab/>
        <w:t>(a)</w:t>
      </w:r>
      <w:r w:rsidRPr="00A060B6">
        <w:tab/>
        <w:t>to damage the person’s reputation; or</w:t>
      </w:r>
    </w:p>
    <w:p w:rsidR="00F8610E" w:rsidRPr="00A060B6" w:rsidRDefault="00F8610E" w:rsidP="00D06B46">
      <w:pPr>
        <w:pStyle w:val="Apara"/>
        <w:keepNext/>
      </w:pPr>
      <w:r w:rsidRPr="00A060B6">
        <w:tab/>
        <w:t>(b)</w:t>
      </w:r>
      <w:r w:rsidRPr="00A060B6">
        <w:tab/>
        <w:t>to show that the person has committed an offence for which the person has not been convicted; or</w:t>
      </w:r>
    </w:p>
    <w:p w:rsidR="00F8610E" w:rsidRPr="00A060B6" w:rsidRDefault="00F8610E" w:rsidP="00486F06">
      <w:pPr>
        <w:pStyle w:val="Apara"/>
      </w:pPr>
      <w:r w:rsidRPr="00A060B6">
        <w:tab/>
        <w:t>(c)</w:t>
      </w:r>
      <w:r w:rsidRPr="00A060B6">
        <w:tab/>
        <w:t>to show that the person is liable in an action for damages.</w:t>
      </w:r>
    </w:p>
    <w:p w:rsidR="00F8610E" w:rsidRPr="00A060B6" w:rsidRDefault="00F8610E" w:rsidP="00486F06">
      <w:pPr>
        <w:pStyle w:val="Amain"/>
      </w:pPr>
      <w:r w:rsidRPr="00A060B6">
        <w:tab/>
        <w:t>(8)</w:t>
      </w:r>
      <w:r w:rsidRPr="00A060B6">
        <w:tab/>
        <w:t>The hearsay rule does not apply to—</w:t>
      </w:r>
    </w:p>
    <w:p w:rsidR="00F8610E" w:rsidRPr="00A060B6" w:rsidRDefault="00F8610E" w:rsidP="00486F06">
      <w:pPr>
        <w:pStyle w:val="Apara"/>
      </w:pPr>
      <w:r w:rsidRPr="00A060B6">
        <w:tab/>
        <w:t>(a)</w:t>
      </w:r>
      <w:r w:rsidRPr="00A060B6">
        <w:tab/>
        <w:t>evidence of a previous representation presented by a defendant if the evidence is given by a person who saw, heard or otherwise perceived the representation being made; or</w:t>
      </w:r>
    </w:p>
    <w:p w:rsidR="00F8610E" w:rsidRPr="00A060B6" w:rsidRDefault="00F8610E" w:rsidP="00486F06">
      <w:pPr>
        <w:pStyle w:val="Apara"/>
      </w:pPr>
      <w:r w:rsidRPr="00A060B6">
        <w:tab/>
        <w:t>(b)</w:t>
      </w:r>
      <w:r w:rsidRPr="00A060B6">
        <w:tab/>
        <w:t>a document tendered as evidence by a defendant so far as it contains a previous representation, or another representation to which it is reasonably necessary to refer in order to understand the representation.</w:t>
      </w:r>
    </w:p>
    <w:p w:rsidR="00F8610E" w:rsidRPr="00A060B6" w:rsidRDefault="00F8610E" w:rsidP="00E51812">
      <w:pPr>
        <w:pStyle w:val="aNote"/>
      </w:pPr>
      <w:r w:rsidRPr="005D1BC5">
        <w:rPr>
          <w:rStyle w:val="charItals"/>
        </w:rPr>
        <w:t>Note</w:t>
      </w:r>
      <w:r w:rsidRPr="005D1BC5">
        <w:rPr>
          <w:rStyle w:val="charItals"/>
        </w:rPr>
        <w:tab/>
      </w:r>
      <w:r w:rsidRPr="00A060B6">
        <w:t>Section 67 imposes notice requirements relating to this subsection.</w:t>
      </w:r>
    </w:p>
    <w:p w:rsidR="00F8610E" w:rsidRPr="00A060B6" w:rsidRDefault="00F8610E" w:rsidP="00486F06">
      <w:pPr>
        <w:pStyle w:val="Amain"/>
      </w:pPr>
      <w:r w:rsidRPr="00A060B6">
        <w:tab/>
        <w:t>(9)</w:t>
      </w:r>
      <w:r w:rsidRPr="00A060B6">
        <w:tab/>
        <w:t>If evidence of a previous representation about a matter has been presented by a defendant and has been admitted, the hearsay rule does not apply to evidence of another representation about the matter that—</w:t>
      </w:r>
    </w:p>
    <w:p w:rsidR="00F8610E" w:rsidRPr="00A060B6" w:rsidRDefault="00F8610E" w:rsidP="00486F06">
      <w:pPr>
        <w:pStyle w:val="Apara"/>
      </w:pPr>
      <w:r w:rsidRPr="00A060B6">
        <w:tab/>
        <w:t>(a)</w:t>
      </w:r>
      <w:r w:rsidRPr="00A060B6">
        <w:tab/>
        <w:t>is presented by another party; and</w:t>
      </w:r>
    </w:p>
    <w:p w:rsidR="00F8610E" w:rsidRPr="00A060B6" w:rsidRDefault="00F8610E" w:rsidP="00486F06">
      <w:pPr>
        <w:pStyle w:val="Apara"/>
      </w:pPr>
      <w:r w:rsidRPr="00A060B6">
        <w:tab/>
        <w:t>(b)</w:t>
      </w:r>
      <w:r w:rsidRPr="00A060B6">
        <w:tab/>
        <w:t>is given by a person who saw, heard or otherwise perceived the other representation being made.</w:t>
      </w:r>
    </w:p>
    <w:p w:rsidR="00F8610E" w:rsidRPr="00A060B6" w:rsidRDefault="00F8610E" w:rsidP="00E51812">
      <w:pPr>
        <w:pStyle w:val="aNote"/>
      </w:pPr>
      <w:r w:rsidRPr="005D1BC5">
        <w:rPr>
          <w:rStyle w:val="charItals"/>
        </w:rPr>
        <w:t>Note</w:t>
      </w:r>
      <w:r w:rsidRPr="005D1BC5">
        <w:rPr>
          <w:rStyle w:val="charItals"/>
        </w:rPr>
        <w:tab/>
      </w:r>
      <w:r w:rsidRPr="00A060B6">
        <w:rPr>
          <w:iCs/>
        </w:rPr>
        <w:t>The dictionary, pt 2, s 4</w:t>
      </w:r>
      <w:r w:rsidRPr="00A060B6">
        <w:t xml:space="preserve"> is about the availability of people.</w:t>
      </w:r>
    </w:p>
    <w:p w:rsidR="00F8610E" w:rsidRPr="00A060B6" w:rsidRDefault="00F8610E" w:rsidP="00D06B46">
      <w:pPr>
        <w:pStyle w:val="AH5Sec"/>
      </w:pPr>
      <w:bookmarkStart w:id="93" w:name="_Toc11748448"/>
      <w:r w:rsidRPr="003925E1">
        <w:rPr>
          <w:rStyle w:val="CharSectNo"/>
        </w:rPr>
        <w:lastRenderedPageBreak/>
        <w:t>66</w:t>
      </w:r>
      <w:r w:rsidRPr="00A060B6">
        <w:tab/>
        <w:t>Exception—criminal proceedings if maker available</w:t>
      </w:r>
      <w:bookmarkEnd w:id="93"/>
    </w:p>
    <w:p w:rsidR="00F8610E" w:rsidRPr="00A060B6" w:rsidRDefault="00F8610E" w:rsidP="00D06B46">
      <w:pPr>
        <w:pStyle w:val="Amain"/>
        <w:keepNext/>
      </w:pPr>
      <w:r w:rsidRPr="00A060B6">
        <w:tab/>
        <w:t>(1)</w:t>
      </w:r>
      <w:r w:rsidRPr="00A060B6">
        <w:tab/>
        <w:t>This section applies in a criminal proceeding if a person who made a previous representation is available to give evidence about an asserted fact.</w:t>
      </w:r>
    </w:p>
    <w:p w:rsidR="00F8610E" w:rsidRPr="00A060B6" w:rsidRDefault="00F8610E" w:rsidP="00486F06">
      <w:pPr>
        <w:pStyle w:val="Amain"/>
      </w:pPr>
      <w:r w:rsidRPr="00A060B6">
        <w:tab/>
        <w:t>(2)</w:t>
      </w:r>
      <w:r w:rsidRPr="00A060B6">
        <w:tab/>
        <w:t>If the person has been or is to be called to give evidence, the hearsay rule does not apply to evidence of the representation that is given by—</w:t>
      </w:r>
    </w:p>
    <w:p w:rsidR="00F8610E" w:rsidRPr="00A060B6" w:rsidRDefault="00F8610E" w:rsidP="00486F06">
      <w:pPr>
        <w:pStyle w:val="Apara"/>
      </w:pPr>
      <w:r w:rsidRPr="00A060B6">
        <w:tab/>
        <w:t>(a)</w:t>
      </w:r>
      <w:r w:rsidRPr="00A060B6">
        <w:tab/>
        <w:t>the person; or</w:t>
      </w:r>
    </w:p>
    <w:p w:rsidR="00F8610E" w:rsidRPr="00A060B6" w:rsidRDefault="00F8610E" w:rsidP="00946FEC">
      <w:pPr>
        <w:pStyle w:val="Apara"/>
        <w:keepNext/>
      </w:pPr>
      <w:r w:rsidRPr="00A060B6">
        <w:tab/>
        <w:t>(b)</w:t>
      </w:r>
      <w:r w:rsidRPr="00A060B6">
        <w:tab/>
        <w:t>a person who saw, heard or otherwise perceived the representation being made;</w:t>
      </w:r>
    </w:p>
    <w:p w:rsidR="00F8610E" w:rsidRPr="00A060B6" w:rsidRDefault="00F8610E" w:rsidP="00E51812">
      <w:pPr>
        <w:pStyle w:val="Amainreturn"/>
      </w:pPr>
      <w:r w:rsidRPr="00A060B6">
        <w:t>if, when the representation was made, the happening of the asserted fact was fresh in the memory of the person who made the representation.</w:t>
      </w:r>
    </w:p>
    <w:p w:rsidR="00F8610E" w:rsidRPr="00A060B6" w:rsidRDefault="00F8610E" w:rsidP="00486F06">
      <w:pPr>
        <w:pStyle w:val="Amain"/>
        <w:rPr>
          <w:lang w:eastAsia="en-AU"/>
        </w:rPr>
      </w:pPr>
      <w:r w:rsidRPr="00A060B6">
        <w:rPr>
          <w:lang w:eastAsia="en-AU"/>
        </w:rPr>
        <w:tab/>
        <w:t>(3)</w:t>
      </w:r>
      <w:r w:rsidRPr="00A060B6">
        <w:rPr>
          <w:lang w:eastAsia="en-AU"/>
        </w:rPr>
        <w:tab/>
        <w:t xml:space="preserve">In deciding whether the happening of the asserted fact was fresh in the memory of a person, the court may take into account all matters that it considers are relevant to the question, including— </w:t>
      </w:r>
    </w:p>
    <w:p w:rsidR="00F8610E" w:rsidRPr="00A060B6" w:rsidRDefault="00F8610E" w:rsidP="00486F06">
      <w:pPr>
        <w:pStyle w:val="Apara"/>
        <w:rPr>
          <w:lang w:eastAsia="en-AU"/>
        </w:rPr>
      </w:pPr>
      <w:r w:rsidRPr="00A060B6">
        <w:rPr>
          <w:lang w:eastAsia="en-AU"/>
        </w:rPr>
        <w:tab/>
        <w:t>(a)</w:t>
      </w:r>
      <w:r w:rsidRPr="00A060B6">
        <w:rPr>
          <w:lang w:eastAsia="en-AU"/>
        </w:rPr>
        <w:tab/>
        <w:t>the nature of the event concerned; and</w:t>
      </w:r>
    </w:p>
    <w:p w:rsidR="00F8610E" w:rsidRPr="00A060B6" w:rsidRDefault="00F8610E" w:rsidP="00486F06">
      <w:pPr>
        <w:pStyle w:val="Apara"/>
        <w:rPr>
          <w:lang w:eastAsia="en-AU"/>
        </w:rPr>
      </w:pPr>
      <w:r w:rsidRPr="00A060B6">
        <w:rPr>
          <w:lang w:eastAsia="en-AU"/>
        </w:rPr>
        <w:tab/>
        <w:t>(b)</w:t>
      </w:r>
      <w:r w:rsidRPr="00A060B6">
        <w:rPr>
          <w:lang w:eastAsia="en-AU"/>
        </w:rPr>
        <w:tab/>
        <w:t>the age and health of the person; and</w:t>
      </w:r>
    </w:p>
    <w:p w:rsidR="00F8610E" w:rsidRPr="00A060B6" w:rsidRDefault="00F8610E" w:rsidP="00486F06">
      <w:pPr>
        <w:pStyle w:val="Apara"/>
        <w:rPr>
          <w:lang w:eastAsia="en-AU"/>
        </w:rPr>
      </w:pPr>
      <w:r w:rsidRPr="00A060B6">
        <w:rPr>
          <w:lang w:eastAsia="en-AU"/>
        </w:rPr>
        <w:tab/>
        <w:t>(c)</w:t>
      </w:r>
      <w:r w:rsidRPr="00A060B6">
        <w:rPr>
          <w:lang w:eastAsia="en-AU"/>
        </w:rPr>
        <w:tab/>
        <w:t>the time between the happening of the asserted fact and the making of the representation.</w:t>
      </w:r>
    </w:p>
    <w:p w:rsidR="00F8610E" w:rsidRPr="00A060B6" w:rsidRDefault="00F8610E" w:rsidP="00DA749D">
      <w:pPr>
        <w:pStyle w:val="aNote"/>
        <w:rPr>
          <w:lang w:eastAsia="en-AU"/>
        </w:rPr>
      </w:pPr>
      <w:r w:rsidRPr="005D1BC5">
        <w:rPr>
          <w:rStyle w:val="charItals"/>
        </w:rPr>
        <w:t>Note</w:t>
      </w:r>
      <w:r w:rsidRPr="00AF17FE">
        <w:tab/>
      </w:r>
      <w:r w:rsidRPr="00A060B6">
        <w:rPr>
          <w:lang w:eastAsia="en-AU"/>
        </w:rPr>
        <w:t xml:space="preserve">Subsection (3) was inserted as a response to the decision of the High Court  in </w:t>
      </w:r>
      <w:r w:rsidRPr="005D1BC5">
        <w:rPr>
          <w:rStyle w:val="charItals"/>
        </w:rPr>
        <w:t>Graham v The Queen</w:t>
      </w:r>
      <w:r w:rsidRPr="00A060B6">
        <w:rPr>
          <w:lang w:eastAsia="en-AU"/>
        </w:rPr>
        <w:t xml:space="preserve"> (1998) 195 CLR 606.</w:t>
      </w:r>
    </w:p>
    <w:p w:rsidR="00F8610E" w:rsidRPr="00A060B6" w:rsidRDefault="00F8610E" w:rsidP="00486F06">
      <w:pPr>
        <w:pStyle w:val="Amain"/>
      </w:pPr>
      <w:r w:rsidRPr="00A060B6">
        <w:tab/>
        <w:t>(4)</w:t>
      </w:r>
      <w:r w:rsidRPr="00A060B6">
        <w:tab/>
        <w:t>If a representation was made for the purpose of indicating the evidence that the person who made it would be able to give in an Australian or overseas proceeding, subsection (2) does not apply to evidence presented by the prosecutor of the representation unless the representation is about the identity of a person, place or thing.</w:t>
      </w:r>
    </w:p>
    <w:p w:rsidR="00F8610E" w:rsidRPr="00A060B6" w:rsidRDefault="00F8610E" w:rsidP="00D06B46">
      <w:pPr>
        <w:pStyle w:val="Amain"/>
        <w:keepLines/>
      </w:pPr>
      <w:r w:rsidRPr="00A060B6">
        <w:lastRenderedPageBreak/>
        <w:tab/>
        <w:t>(5)</w:t>
      </w:r>
      <w:r w:rsidRPr="00A060B6">
        <w:tab/>
        <w:t>A document containing a representation to which subsection (2) applies must not be tendered before the conclusion of the examination-in-chief of the person who made the representation, unless the court gives leave.</w:t>
      </w:r>
    </w:p>
    <w:p w:rsidR="00F8610E" w:rsidRPr="00A060B6" w:rsidRDefault="00F8610E" w:rsidP="00E51812">
      <w:pPr>
        <w:pStyle w:val="aNote"/>
      </w:pPr>
      <w:r w:rsidRPr="005D1BC5">
        <w:rPr>
          <w:rStyle w:val="charItals"/>
        </w:rPr>
        <w:t>Note</w:t>
      </w:r>
      <w:r w:rsidRPr="005D1BC5">
        <w:rPr>
          <w:rStyle w:val="charItals"/>
        </w:rPr>
        <w:tab/>
      </w:r>
      <w:r w:rsidRPr="00A060B6">
        <w:rPr>
          <w:iCs/>
        </w:rPr>
        <w:t>The dictionary, pt 2, s 4</w:t>
      </w:r>
      <w:r w:rsidRPr="00A060B6">
        <w:t xml:space="preserve"> is about the availability of people.</w:t>
      </w:r>
    </w:p>
    <w:p w:rsidR="00F8610E" w:rsidRPr="00A060B6" w:rsidRDefault="00F8610E" w:rsidP="00486F06">
      <w:pPr>
        <w:pStyle w:val="AH5Sec"/>
        <w:rPr>
          <w:lang w:eastAsia="en-AU"/>
        </w:rPr>
      </w:pPr>
      <w:bookmarkStart w:id="94" w:name="_Toc11748449"/>
      <w:r w:rsidRPr="003925E1">
        <w:rPr>
          <w:rStyle w:val="CharSectNo"/>
        </w:rPr>
        <w:t>66A</w:t>
      </w:r>
      <w:r w:rsidRPr="00A060B6">
        <w:rPr>
          <w:lang w:eastAsia="en-AU"/>
        </w:rPr>
        <w:tab/>
        <w:t>Exception—contemporaneous statements about a person’s health etc</w:t>
      </w:r>
      <w:bookmarkEnd w:id="94"/>
    </w:p>
    <w:p w:rsidR="00F8610E" w:rsidRPr="00A060B6" w:rsidRDefault="00F8610E" w:rsidP="00DA749D">
      <w:pPr>
        <w:pStyle w:val="Amainreturn"/>
        <w:rPr>
          <w:lang w:eastAsia="en-AU"/>
        </w:rPr>
      </w:pPr>
      <w:r w:rsidRPr="00A060B6">
        <w:rPr>
          <w:lang w:eastAsia="en-AU"/>
        </w:rPr>
        <w:t>The hearsay rule does not apply to evidence of a previous representation made by a person if the representation was a contemporaneous representation about the person’s health, feelings, sensations, intention, knowledge or state of mind.</w:t>
      </w:r>
    </w:p>
    <w:p w:rsidR="00F8610E" w:rsidRPr="00A060B6" w:rsidRDefault="00F8610E" w:rsidP="00486F06">
      <w:pPr>
        <w:pStyle w:val="AH5Sec"/>
      </w:pPr>
      <w:bookmarkStart w:id="95" w:name="_Toc11748450"/>
      <w:r w:rsidRPr="003925E1">
        <w:rPr>
          <w:rStyle w:val="CharSectNo"/>
        </w:rPr>
        <w:t>67</w:t>
      </w:r>
      <w:r w:rsidRPr="00A060B6">
        <w:tab/>
        <w:t>Notice to be given</w:t>
      </w:r>
      <w:bookmarkEnd w:id="95"/>
    </w:p>
    <w:p w:rsidR="00F8610E" w:rsidRPr="00A060B6" w:rsidRDefault="00F8610E" w:rsidP="00486F06">
      <w:pPr>
        <w:pStyle w:val="Amain"/>
      </w:pPr>
      <w:r w:rsidRPr="00A060B6">
        <w:tab/>
        <w:t>(1)</w:t>
      </w:r>
      <w:r w:rsidRPr="00A060B6">
        <w:tab/>
        <w:t>A relevant exception does not apply to evidence presented by a party unless the party has given reasonable notice in writing to each other party of the party’s intention to present the evidence.</w:t>
      </w:r>
    </w:p>
    <w:p w:rsidR="00F8610E" w:rsidRPr="00A060B6" w:rsidRDefault="00F8610E" w:rsidP="00486F06">
      <w:pPr>
        <w:pStyle w:val="Amain"/>
      </w:pPr>
      <w:r w:rsidRPr="00A060B6">
        <w:tab/>
        <w:t>(2)</w:t>
      </w:r>
      <w:r w:rsidRPr="00A060B6">
        <w:tab/>
        <w:t>A notice given under subsection (1) must be given in accordance with any regulation or rules of court made for this section.</w:t>
      </w:r>
    </w:p>
    <w:p w:rsidR="00F8610E" w:rsidRPr="00A060B6" w:rsidRDefault="00F8610E" w:rsidP="00486F06">
      <w:pPr>
        <w:pStyle w:val="Amain"/>
      </w:pPr>
      <w:r w:rsidRPr="00A060B6">
        <w:tab/>
        <w:t>(3)</w:t>
      </w:r>
      <w:r w:rsidRPr="00A060B6">
        <w:tab/>
        <w:t>The notice must state—</w:t>
      </w:r>
    </w:p>
    <w:p w:rsidR="00F8610E" w:rsidRPr="00A060B6" w:rsidRDefault="00F8610E" w:rsidP="00486F06">
      <w:pPr>
        <w:pStyle w:val="Apara"/>
      </w:pPr>
      <w:r w:rsidRPr="00A060B6">
        <w:tab/>
        <w:t>(a)</w:t>
      </w:r>
      <w:r w:rsidRPr="00A060B6">
        <w:tab/>
        <w:t>each relevant exception on which the party intends to rely in arguing that the hearsay rule does not apply to the evidence; and</w:t>
      </w:r>
    </w:p>
    <w:p w:rsidR="00F8610E" w:rsidRPr="00A060B6" w:rsidRDefault="00F8610E" w:rsidP="00486F06">
      <w:pPr>
        <w:pStyle w:val="Apara"/>
      </w:pPr>
      <w:r w:rsidRPr="00A060B6">
        <w:tab/>
        <w:t>(b)</w:t>
      </w:r>
      <w:r w:rsidRPr="00A060B6">
        <w:tab/>
        <w:t>if section 64 (2) (Exception—civil proceedings if maker available) is to be relied on—the grounds, stated in the section, on which the party intends to rely.</w:t>
      </w:r>
    </w:p>
    <w:p w:rsidR="00F8610E" w:rsidRPr="00A060B6" w:rsidRDefault="00F8610E" w:rsidP="00486F06">
      <w:pPr>
        <w:pStyle w:val="Amain"/>
      </w:pPr>
      <w:r w:rsidRPr="00A060B6">
        <w:tab/>
        <w:t>(4)</w:t>
      </w:r>
      <w:r w:rsidRPr="00A060B6">
        <w:tab/>
        <w:t>Despite subsection (1), if notice has not been given, the court may, on the application of a party, direct that 1 or more relevant exceptions apply despite the party’s failure to give notice.</w:t>
      </w:r>
    </w:p>
    <w:p w:rsidR="00F8610E" w:rsidRPr="00A060B6" w:rsidRDefault="00F8610E" w:rsidP="00D06B46">
      <w:pPr>
        <w:pStyle w:val="Amain"/>
        <w:keepNext/>
      </w:pPr>
      <w:r w:rsidRPr="00A060B6">
        <w:lastRenderedPageBreak/>
        <w:tab/>
        <w:t>(5)</w:t>
      </w:r>
      <w:r w:rsidRPr="00A060B6">
        <w:tab/>
        <w:t>The direction—</w:t>
      </w:r>
    </w:p>
    <w:p w:rsidR="00F8610E" w:rsidRPr="00A060B6" w:rsidRDefault="00F8610E" w:rsidP="00D06B46">
      <w:pPr>
        <w:pStyle w:val="Apara"/>
        <w:keepNext/>
      </w:pPr>
      <w:r w:rsidRPr="00A060B6">
        <w:tab/>
        <w:t>(a)</w:t>
      </w:r>
      <w:r w:rsidRPr="00A060B6">
        <w:tab/>
        <w:t>is subject to the conditions (if any) the court thinks fit; and</w:t>
      </w:r>
    </w:p>
    <w:p w:rsidR="00F8610E" w:rsidRPr="00A060B6" w:rsidRDefault="00F8610E" w:rsidP="00486F06">
      <w:pPr>
        <w:pStyle w:val="Apara"/>
      </w:pPr>
      <w:r w:rsidRPr="00A060B6">
        <w:tab/>
        <w:t>(b)</w:t>
      </w:r>
      <w:r w:rsidRPr="00A060B6">
        <w:tab/>
        <w:t>in particular, may provide that, in relation to stated evidence, 1 or more relevant exceptions apply with the modifications the court states.</w:t>
      </w:r>
    </w:p>
    <w:p w:rsidR="00F8610E" w:rsidRPr="00A060B6" w:rsidRDefault="00F8610E" w:rsidP="00486F06">
      <w:pPr>
        <w:pStyle w:val="Amain"/>
      </w:pPr>
      <w:r w:rsidRPr="00A060B6">
        <w:tab/>
        <w:t>(6)</w:t>
      </w:r>
      <w:r w:rsidRPr="00A060B6">
        <w:tab/>
        <w:t>In this section:</w:t>
      </w:r>
    </w:p>
    <w:p w:rsidR="00F8610E" w:rsidRPr="00A060B6" w:rsidRDefault="00F8610E" w:rsidP="005D1BC5">
      <w:pPr>
        <w:pStyle w:val="aDef"/>
      </w:pPr>
      <w:r w:rsidRPr="005D1BC5">
        <w:rPr>
          <w:rStyle w:val="charBoldItals"/>
        </w:rPr>
        <w:t>relevant exception</w:t>
      </w:r>
      <w:r w:rsidRPr="00A060B6">
        <w:t xml:space="preserve"> means—</w:t>
      </w:r>
    </w:p>
    <w:p w:rsidR="00F8610E" w:rsidRPr="00A060B6" w:rsidRDefault="00F8610E" w:rsidP="00486F06">
      <w:pPr>
        <w:pStyle w:val="aDefpara"/>
      </w:pPr>
      <w:r w:rsidRPr="00A060B6">
        <w:tab/>
        <w:t>(a)</w:t>
      </w:r>
      <w:r w:rsidRPr="00A060B6">
        <w:tab/>
        <w:t>section 63 (2) (Exception—civil proceedings if maker not available); or</w:t>
      </w:r>
    </w:p>
    <w:p w:rsidR="00F8610E" w:rsidRPr="00A060B6" w:rsidRDefault="00F8610E" w:rsidP="00486F06">
      <w:pPr>
        <w:pStyle w:val="aDefpara"/>
      </w:pPr>
      <w:r w:rsidRPr="00A060B6">
        <w:tab/>
        <w:t>(b)</w:t>
      </w:r>
      <w:r w:rsidRPr="00A060B6">
        <w:tab/>
        <w:t>section 64 (2) (Exception—civil proceedings if maker available); or</w:t>
      </w:r>
    </w:p>
    <w:p w:rsidR="00F8610E" w:rsidRPr="00A060B6" w:rsidRDefault="00F8610E" w:rsidP="00486F06">
      <w:pPr>
        <w:pStyle w:val="aDefpara"/>
      </w:pPr>
      <w:r w:rsidRPr="00A060B6">
        <w:tab/>
        <w:t>(c)</w:t>
      </w:r>
      <w:r w:rsidRPr="00A060B6">
        <w:tab/>
        <w:t>section 65 (2), (3) and (8) (Exception—criminal proceedings if maker not available).</w:t>
      </w:r>
    </w:p>
    <w:p w:rsidR="00F8610E" w:rsidRPr="00A060B6" w:rsidRDefault="00F8610E" w:rsidP="00486F06">
      <w:pPr>
        <w:pStyle w:val="AH5Sec"/>
      </w:pPr>
      <w:bookmarkStart w:id="96" w:name="_Toc11748451"/>
      <w:r w:rsidRPr="003925E1">
        <w:rPr>
          <w:rStyle w:val="CharSectNo"/>
        </w:rPr>
        <w:t>68</w:t>
      </w:r>
      <w:r w:rsidRPr="00A060B6">
        <w:tab/>
        <w:t>Objections to tender of hearsay evidence in civil proceedings if maker available</w:t>
      </w:r>
      <w:bookmarkEnd w:id="96"/>
    </w:p>
    <w:p w:rsidR="00F8610E" w:rsidRPr="00A060B6" w:rsidRDefault="00F8610E" w:rsidP="00486F06">
      <w:pPr>
        <w:pStyle w:val="Amain"/>
      </w:pPr>
      <w:r w:rsidRPr="00A060B6">
        <w:tab/>
        <w:t>(1)</w:t>
      </w:r>
      <w:r w:rsidRPr="00A060B6">
        <w:tab/>
        <w:t>In a civil proceeding, if the notice discloses that it is not intended to call the person who made the previous representation because it—</w:t>
      </w:r>
    </w:p>
    <w:p w:rsidR="00F8610E" w:rsidRPr="00A060B6" w:rsidRDefault="00F8610E" w:rsidP="00486F06">
      <w:pPr>
        <w:pStyle w:val="Apara"/>
      </w:pPr>
      <w:r w:rsidRPr="00A060B6">
        <w:tab/>
        <w:t>(a)</w:t>
      </w:r>
      <w:r w:rsidRPr="00A060B6">
        <w:tab/>
        <w:t>would cause undue expense or undue delay; or</w:t>
      </w:r>
    </w:p>
    <w:p w:rsidR="00F8610E" w:rsidRPr="00A060B6" w:rsidRDefault="00F8610E" w:rsidP="00486F06">
      <w:pPr>
        <w:pStyle w:val="Apara"/>
      </w:pPr>
      <w:r w:rsidRPr="00A060B6">
        <w:tab/>
        <w:t>(b)</w:t>
      </w:r>
      <w:r w:rsidRPr="00A060B6">
        <w:tab/>
        <w:t>would not be reasonably practicable;</w:t>
      </w:r>
    </w:p>
    <w:p w:rsidR="00F8610E" w:rsidRPr="00A060B6" w:rsidRDefault="00F8610E" w:rsidP="00E51812">
      <w:pPr>
        <w:pStyle w:val="Amainreturn"/>
      </w:pPr>
      <w:r w:rsidRPr="00A060B6">
        <w:t>a party may, not later than 21 days after the day notice has been given, object to the tender of the evidence, or of a stated part of the evidence.</w:t>
      </w:r>
    </w:p>
    <w:p w:rsidR="00F8610E" w:rsidRPr="00A060B6" w:rsidRDefault="00F8610E" w:rsidP="00486F06">
      <w:pPr>
        <w:pStyle w:val="Amain"/>
      </w:pPr>
      <w:r w:rsidRPr="00A060B6">
        <w:tab/>
        <w:t>(2)</w:t>
      </w:r>
      <w:r w:rsidRPr="00A060B6">
        <w:tab/>
        <w:t>The objection must be made by giving to each other party a written notice setting out the grounds on which the objection is made.</w:t>
      </w:r>
    </w:p>
    <w:p w:rsidR="00F8610E" w:rsidRPr="00A060B6" w:rsidRDefault="00F8610E" w:rsidP="00486F06">
      <w:pPr>
        <w:pStyle w:val="Amain"/>
      </w:pPr>
      <w:r w:rsidRPr="00A060B6">
        <w:tab/>
        <w:t>(3)</w:t>
      </w:r>
      <w:r w:rsidRPr="00A060B6">
        <w:tab/>
        <w:t>The court may, on the application of a party, decide the objection at or before the hearing.</w:t>
      </w:r>
    </w:p>
    <w:p w:rsidR="00F8610E" w:rsidRPr="00A060B6" w:rsidRDefault="00F8610E" w:rsidP="00486F06">
      <w:pPr>
        <w:pStyle w:val="Amain"/>
      </w:pPr>
      <w:r w:rsidRPr="00A060B6">
        <w:lastRenderedPageBreak/>
        <w:tab/>
        <w:t>(4)</w:t>
      </w:r>
      <w:r w:rsidRPr="00A060B6">
        <w:tab/>
        <w:t>If the objection is unreasonable, the court may order that, in any event, the party objecting must bear the costs incurred by another party—</w:t>
      </w:r>
    </w:p>
    <w:p w:rsidR="00F8610E" w:rsidRPr="00A060B6" w:rsidRDefault="00F8610E" w:rsidP="00486F06">
      <w:pPr>
        <w:pStyle w:val="Apara"/>
      </w:pPr>
      <w:r w:rsidRPr="00A060B6">
        <w:tab/>
        <w:t>(a)</w:t>
      </w:r>
      <w:r w:rsidRPr="00A060B6">
        <w:tab/>
        <w:t>in relation to the objection; and</w:t>
      </w:r>
    </w:p>
    <w:p w:rsidR="00F8610E" w:rsidRPr="00A060B6" w:rsidRDefault="00F8610E" w:rsidP="00486F06">
      <w:pPr>
        <w:pStyle w:val="Apara"/>
      </w:pPr>
      <w:r w:rsidRPr="00A060B6">
        <w:tab/>
        <w:t>(b)</w:t>
      </w:r>
      <w:r w:rsidRPr="00A060B6">
        <w:tab/>
        <w:t>in calling the person who made the representation to give evidence.</w:t>
      </w:r>
    </w:p>
    <w:p w:rsidR="00F8610E" w:rsidRPr="00A060B6" w:rsidRDefault="00F8610E" w:rsidP="00E51812">
      <w:pPr>
        <w:pStyle w:val="aNote"/>
      </w:pPr>
      <w:r w:rsidRPr="005D1BC5">
        <w:rPr>
          <w:rStyle w:val="charItals"/>
        </w:rPr>
        <w:t>Note</w:t>
      </w:r>
      <w:r w:rsidRPr="005D1BC5">
        <w:rPr>
          <w:rStyle w:val="charItals"/>
        </w:rPr>
        <w:tab/>
      </w:r>
      <w:r w:rsidRPr="00A060B6">
        <w:t xml:space="preserve">Subsection (4) differs from the </w:t>
      </w:r>
      <w:hyperlink r:id="rId86" w:tooltip="Evidence Act 1995" w:history="1">
        <w:r w:rsidR="007F2560" w:rsidRPr="001D1BCB">
          <w:rPr>
            <w:rStyle w:val="charCitHyperlinkAbbrev"/>
          </w:rPr>
          <w:t>Commonwealth Act</w:t>
        </w:r>
      </w:hyperlink>
      <w:r w:rsidRPr="00A060B6">
        <w:t>, s 68 (4) because of the different way costs are worked out by ACT courts.</w:t>
      </w:r>
    </w:p>
    <w:p w:rsidR="00F8610E" w:rsidRPr="003925E1" w:rsidRDefault="00F8610E" w:rsidP="00486F06">
      <w:pPr>
        <w:pStyle w:val="AH3Div"/>
      </w:pPr>
      <w:bookmarkStart w:id="97" w:name="_Toc11748452"/>
      <w:r w:rsidRPr="003925E1">
        <w:rPr>
          <w:rStyle w:val="CharDivNo"/>
        </w:rPr>
        <w:t>Division 3.2.3</w:t>
      </w:r>
      <w:r w:rsidRPr="00A060B6">
        <w:tab/>
      </w:r>
      <w:r w:rsidRPr="003925E1">
        <w:rPr>
          <w:rStyle w:val="CharDivText"/>
        </w:rPr>
        <w:t>Other exceptions to the hearsay rule</w:t>
      </w:r>
      <w:bookmarkEnd w:id="97"/>
    </w:p>
    <w:p w:rsidR="00F8610E" w:rsidRPr="00A060B6" w:rsidRDefault="00F8610E" w:rsidP="00486F06">
      <w:pPr>
        <w:pStyle w:val="AH5Sec"/>
      </w:pPr>
      <w:bookmarkStart w:id="98" w:name="_Toc11748453"/>
      <w:r w:rsidRPr="003925E1">
        <w:rPr>
          <w:rStyle w:val="CharSectNo"/>
        </w:rPr>
        <w:t>69</w:t>
      </w:r>
      <w:r w:rsidRPr="00A060B6">
        <w:tab/>
        <w:t>Exception—business records</w:t>
      </w:r>
      <w:bookmarkEnd w:id="98"/>
    </w:p>
    <w:p w:rsidR="00F8610E" w:rsidRPr="00A060B6" w:rsidRDefault="00F8610E" w:rsidP="00155916">
      <w:pPr>
        <w:pStyle w:val="Amain"/>
        <w:keepNext/>
      </w:pPr>
      <w:r w:rsidRPr="00A060B6">
        <w:tab/>
        <w:t>(1)</w:t>
      </w:r>
      <w:r w:rsidRPr="00A060B6">
        <w:tab/>
        <w:t>This section applies to a document that—</w:t>
      </w:r>
    </w:p>
    <w:p w:rsidR="00F8610E" w:rsidRPr="00A060B6" w:rsidRDefault="00F8610E" w:rsidP="00155916">
      <w:pPr>
        <w:pStyle w:val="Apara"/>
        <w:keepNext/>
      </w:pPr>
      <w:r w:rsidRPr="00A060B6">
        <w:tab/>
        <w:t>(a)</w:t>
      </w:r>
      <w:r w:rsidRPr="00A060B6">
        <w:tab/>
        <w:t>either—</w:t>
      </w:r>
    </w:p>
    <w:p w:rsidR="00F8610E" w:rsidRPr="00A060B6" w:rsidRDefault="00F8610E" w:rsidP="00486F06">
      <w:pPr>
        <w:pStyle w:val="Asubpara"/>
      </w:pPr>
      <w:r w:rsidRPr="00A060B6">
        <w:tab/>
        <w:t>(i)</w:t>
      </w:r>
      <w:r w:rsidRPr="00A060B6">
        <w:tab/>
        <w:t>is or forms part of a record belonging to or kept by an entity in the course of, or for the purposes of, a business; or</w:t>
      </w:r>
    </w:p>
    <w:p w:rsidR="00F8610E" w:rsidRPr="00A060B6" w:rsidRDefault="00F8610E" w:rsidP="00486F06">
      <w:pPr>
        <w:pStyle w:val="Asubpara"/>
      </w:pPr>
      <w:r w:rsidRPr="00A060B6">
        <w:tab/>
        <w:t>(ii)</w:t>
      </w:r>
      <w:r w:rsidRPr="00A060B6">
        <w:tab/>
        <w:t>at any time was or formed part of the record; and</w:t>
      </w:r>
    </w:p>
    <w:p w:rsidR="00F8610E" w:rsidRPr="00A060B6" w:rsidRDefault="00F8610E" w:rsidP="00486F06">
      <w:pPr>
        <w:pStyle w:val="Apara"/>
      </w:pPr>
      <w:r w:rsidRPr="00A060B6">
        <w:tab/>
        <w:t>(b)</w:t>
      </w:r>
      <w:r w:rsidRPr="00A060B6">
        <w:tab/>
        <w:t>contains a previous representation made or recorded in the document in the course of, or for the purposes of, the business.</w:t>
      </w:r>
    </w:p>
    <w:p w:rsidR="00F8610E" w:rsidRPr="00A060B6" w:rsidRDefault="00F8610E" w:rsidP="00486F06">
      <w:pPr>
        <w:pStyle w:val="Amain"/>
      </w:pPr>
      <w:r w:rsidRPr="00A060B6">
        <w:tab/>
        <w:t>(2)</w:t>
      </w:r>
      <w:r w:rsidRPr="00A060B6">
        <w:tab/>
        <w:t>The hearsay rule does not apply to the document (so far as it contains the representation) if the representation was made—</w:t>
      </w:r>
    </w:p>
    <w:p w:rsidR="00F8610E" w:rsidRPr="00A060B6" w:rsidRDefault="00F8610E" w:rsidP="00486F06">
      <w:pPr>
        <w:pStyle w:val="Apara"/>
      </w:pPr>
      <w:r w:rsidRPr="00A060B6">
        <w:tab/>
        <w:t>(a)</w:t>
      </w:r>
      <w:r w:rsidRPr="00A060B6">
        <w:tab/>
        <w:t>by a person who had or might reasonably be supposed to have had personal knowledge of the asserted fact; or</w:t>
      </w:r>
    </w:p>
    <w:p w:rsidR="00F8610E" w:rsidRPr="00A060B6" w:rsidRDefault="00F8610E" w:rsidP="00486F06">
      <w:pPr>
        <w:pStyle w:val="Apara"/>
      </w:pPr>
      <w:r w:rsidRPr="00A060B6">
        <w:tab/>
        <w:t>(b)</w:t>
      </w:r>
      <w:r w:rsidRPr="00A060B6">
        <w:tab/>
        <w:t>on the basis of information directly or indirectly supplied by a person who had or might reasonably be supposed to have had personal knowledge of the asserted fact.</w:t>
      </w:r>
    </w:p>
    <w:p w:rsidR="00F8610E" w:rsidRPr="00A060B6" w:rsidRDefault="00F8610E" w:rsidP="00D06B46">
      <w:pPr>
        <w:pStyle w:val="Amain"/>
        <w:keepNext/>
      </w:pPr>
      <w:r w:rsidRPr="00A060B6">
        <w:lastRenderedPageBreak/>
        <w:tab/>
        <w:t>(3)</w:t>
      </w:r>
      <w:r w:rsidRPr="00A060B6">
        <w:tab/>
        <w:t>Subsection (2) does not apply if the representation—</w:t>
      </w:r>
    </w:p>
    <w:p w:rsidR="00F8610E" w:rsidRPr="00A060B6" w:rsidRDefault="00F8610E" w:rsidP="00486F06">
      <w:pPr>
        <w:pStyle w:val="Apara"/>
      </w:pPr>
      <w:r w:rsidRPr="00A060B6">
        <w:tab/>
        <w:t>(a)</w:t>
      </w:r>
      <w:r w:rsidRPr="00A060B6">
        <w:tab/>
        <w:t>was prepared or obtained for the purpose of conducting, or for or in contemplation of or in connection with, an Australian or overseas proceeding; or</w:t>
      </w:r>
    </w:p>
    <w:p w:rsidR="00F8610E" w:rsidRPr="00A060B6" w:rsidRDefault="00F8610E" w:rsidP="00486F06">
      <w:pPr>
        <w:pStyle w:val="Apara"/>
      </w:pPr>
      <w:r w:rsidRPr="00A060B6">
        <w:tab/>
        <w:t>(b)</w:t>
      </w:r>
      <w:r w:rsidRPr="00A060B6">
        <w:tab/>
        <w:t>was made in connection with an investigation relating or leading to a criminal proceeding.</w:t>
      </w:r>
    </w:p>
    <w:p w:rsidR="00F8610E" w:rsidRPr="00A060B6" w:rsidRDefault="00F8610E" w:rsidP="00486F06">
      <w:pPr>
        <w:pStyle w:val="Amain"/>
      </w:pPr>
      <w:r w:rsidRPr="00A060B6">
        <w:tab/>
        <w:t>(4)</w:t>
      </w:r>
      <w:r w:rsidRPr="00A060B6">
        <w:tab/>
        <w:t>If—</w:t>
      </w:r>
    </w:p>
    <w:p w:rsidR="00F8610E" w:rsidRPr="00A060B6" w:rsidRDefault="00F8610E" w:rsidP="00486F06">
      <w:pPr>
        <w:pStyle w:val="Apara"/>
      </w:pPr>
      <w:r w:rsidRPr="00A060B6">
        <w:tab/>
        <w:t>(a)</w:t>
      </w:r>
      <w:r w:rsidRPr="00A060B6">
        <w:tab/>
        <w:t>the happening of an event of a particular kind is in question; and</w:t>
      </w:r>
    </w:p>
    <w:p w:rsidR="00F8610E" w:rsidRPr="00A060B6" w:rsidRDefault="00F8610E" w:rsidP="00486F06">
      <w:pPr>
        <w:pStyle w:val="Apara"/>
      </w:pPr>
      <w:r w:rsidRPr="00A060B6">
        <w:tab/>
        <w:t>(b)</w:t>
      </w:r>
      <w:r w:rsidRPr="00A060B6">
        <w:tab/>
        <w:t>in the course of a business, a system has been followed of making and keeping a record of the happening of all events of that kind;</w:t>
      </w:r>
    </w:p>
    <w:p w:rsidR="00F8610E" w:rsidRPr="00A060B6" w:rsidRDefault="00F8610E" w:rsidP="00E51812">
      <w:pPr>
        <w:pStyle w:val="Amainreturn"/>
      </w:pPr>
      <w:r w:rsidRPr="00A060B6">
        <w:t>the hearsay rule does not apply to evidence that tends to prove that there is no record kept, in accordance with the system, of the happening of the event.</w:t>
      </w:r>
    </w:p>
    <w:p w:rsidR="00F8610E" w:rsidRPr="00A060B6" w:rsidRDefault="00F8610E" w:rsidP="0061678D">
      <w:pPr>
        <w:pStyle w:val="Amain"/>
        <w:keepNext/>
        <w:keepLines/>
      </w:pPr>
      <w:r w:rsidRPr="00A060B6">
        <w:tab/>
        <w:t>(5)</w:t>
      </w:r>
      <w:r w:rsidRPr="00A060B6">
        <w:tab/>
        <w:t>For this section, a person is taken to have had personal knowledge of a fact if the person’s knowledge of the fact was or might reasonably be supposed to have been based on what the person saw, heard or otherwise perceived (other than a previous representation made by a person about the fact).</w:t>
      </w:r>
    </w:p>
    <w:p w:rsidR="00F8610E" w:rsidRPr="00A060B6" w:rsidRDefault="00F8610E" w:rsidP="00C23C3D">
      <w:pPr>
        <w:pStyle w:val="aNote"/>
        <w:keepNext/>
      </w:pPr>
      <w:r w:rsidRPr="005D1BC5">
        <w:rPr>
          <w:rStyle w:val="charItals"/>
        </w:rPr>
        <w:t>Note 1</w:t>
      </w:r>
      <w:r w:rsidRPr="005D1BC5">
        <w:rPr>
          <w:rStyle w:val="charItals"/>
        </w:rPr>
        <w:tab/>
      </w:r>
      <w:r w:rsidRPr="00A060B6">
        <w:t>Sections 48, 49, 50, 146, 147 and 150 (1) are relevant to the mode of proof, and authentication, of business records.</w:t>
      </w:r>
    </w:p>
    <w:p w:rsidR="00F8610E" w:rsidRPr="00A060B6" w:rsidRDefault="00F8610E" w:rsidP="00094140">
      <w:pPr>
        <w:pStyle w:val="aNote"/>
      </w:pPr>
      <w:r w:rsidRPr="005D1BC5">
        <w:rPr>
          <w:rStyle w:val="charItals"/>
        </w:rPr>
        <w:t>Note 2</w:t>
      </w:r>
      <w:r w:rsidRPr="005D1BC5">
        <w:rPr>
          <w:rStyle w:val="charItals"/>
        </w:rPr>
        <w:tab/>
      </w:r>
      <w:r w:rsidRPr="00A060B6">
        <w:t xml:space="preserve">The </w:t>
      </w:r>
      <w:hyperlink r:id="rId87" w:tooltip="Evidence Act 1995" w:history="1">
        <w:r w:rsidR="007F2560" w:rsidRPr="001D1BCB">
          <w:rPr>
            <w:rStyle w:val="charCitHyperlinkAbbrev"/>
          </w:rPr>
          <w:t>Commonwealth Act</w:t>
        </w:r>
      </w:hyperlink>
      <w:r w:rsidRPr="00A060B6">
        <w:t xml:space="preserve">, s 182 gives the </w:t>
      </w:r>
      <w:hyperlink r:id="rId88" w:tooltip="Evidence Act 1995" w:history="1">
        <w:r w:rsidR="007F2560" w:rsidRPr="001D1BCB">
          <w:rPr>
            <w:rStyle w:val="charCitHyperlinkAbbrev"/>
          </w:rPr>
          <w:t>Commonwealth Act</w:t>
        </w:r>
      </w:hyperlink>
      <w:r w:rsidRPr="00A060B6">
        <w:t>, s 69 a wider application in relation to Commonwealth records.</w:t>
      </w:r>
    </w:p>
    <w:p w:rsidR="00F8610E" w:rsidRPr="00A060B6" w:rsidRDefault="00F8610E" w:rsidP="00D06B46">
      <w:pPr>
        <w:pStyle w:val="AH5Sec"/>
        <w:keepLines/>
      </w:pPr>
      <w:bookmarkStart w:id="99" w:name="_Toc11748454"/>
      <w:r w:rsidRPr="003925E1">
        <w:rPr>
          <w:rStyle w:val="CharSectNo"/>
        </w:rPr>
        <w:lastRenderedPageBreak/>
        <w:t>70</w:t>
      </w:r>
      <w:r w:rsidRPr="00A060B6">
        <w:tab/>
        <w:t>Exception—contents of tags, labels and writing</w:t>
      </w:r>
      <w:bookmarkEnd w:id="99"/>
    </w:p>
    <w:p w:rsidR="00F8610E" w:rsidRPr="00A060B6" w:rsidRDefault="00F8610E" w:rsidP="00D06B46">
      <w:pPr>
        <w:pStyle w:val="Amainreturn"/>
        <w:keepNext/>
        <w:keepLines/>
      </w:pPr>
      <w:r w:rsidRPr="00A060B6">
        <w:t>The hearsay rule does not apply to a tag or label attached to, or writing placed on, an object (including a document) if the tag or label or writing may reasonably be supposed to have been attached or placed—</w:t>
      </w:r>
    </w:p>
    <w:p w:rsidR="00F8610E" w:rsidRPr="00A060B6" w:rsidRDefault="00F8610E" w:rsidP="00D06B46">
      <w:pPr>
        <w:pStyle w:val="Apara"/>
        <w:keepNext/>
        <w:keepLines/>
      </w:pPr>
      <w:r w:rsidRPr="00A060B6">
        <w:tab/>
        <w:t>(a)</w:t>
      </w:r>
      <w:r w:rsidRPr="00A060B6">
        <w:tab/>
        <w:t>in the course of a business; and</w:t>
      </w:r>
    </w:p>
    <w:p w:rsidR="00F8610E" w:rsidRPr="00A060B6" w:rsidRDefault="00F8610E" w:rsidP="00486F06">
      <w:pPr>
        <w:pStyle w:val="Apara"/>
      </w:pPr>
      <w:r w:rsidRPr="00A060B6">
        <w:tab/>
        <w:t>(b)</w:t>
      </w:r>
      <w:r w:rsidRPr="00A060B6">
        <w:tab/>
        <w:t>for the purpose of describing or stating the identity, nature, ownership, destination, origin or weight of the object, or of the contents (if any) of the object.</w:t>
      </w:r>
    </w:p>
    <w:p w:rsidR="00F8610E" w:rsidRPr="00A060B6" w:rsidRDefault="00F8610E" w:rsidP="006E7AAE">
      <w:pPr>
        <w:pStyle w:val="aNote"/>
      </w:pPr>
      <w:r w:rsidRPr="005D1BC5">
        <w:rPr>
          <w:rStyle w:val="charItals"/>
        </w:rPr>
        <w:t xml:space="preserve">Note </w:t>
      </w:r>
      <w:r w:rsidRPr="005D1BC5">
        <w:rPr>
          <w:rStyle w:val="charItals"/>
        </w:rPr>
        <w:tab/>
      </w:r>
      <w:r w:rsidRPr="00A060B6">
        <w:rPr>
          <w:iCs/>
        </w:rPr>
        <w:t xml:space="preserve">The </w:t>
      </w:r>
      <w:hyperlink r:id="rId89" w:tooltip="Evidence Act 1995" w:history="1">
        <w:r w:rsidR="007F2560" w:rsidRPr="001D1BCB">
          <w:rPr>
            <w:rStyle w:val="charCitHyperlinkAbbrev"/>
          </w:rPr>
          <w:t>Commonwealth Act</w:t>
        </w:r>
      </w:hyperlink>
      <w:r w:rsidRPr="00A060B6">
        <w:rPr>
          <w:iCs/>
        </w:rPr>
        <w:t xml:space="preserve">, s 70 includes an additional subsection providing that the exception does not apply to customs and excise prosecutions.  </w:t>
      </w:r>
      <w:r w:rsidRPr="00A060B6">
        <w:t xml:space="preserve">The </w:t>
      </w:r>
      <w:hyperlink r:id="rId90" w:tooltip="Evidence Act 1995" w:history="1">
        <w:r w:rsidR="001D1BCB" w:rsidRPr="001D1BCB">
          <w:rPr>
            <w:rStyle w:val="charCitHyperlinkAbbrev"/>
          </w:rPr>
          <w:t>Commonwealth Act</w:t>
        </w:r>
      </w:hyperlink>
      <w:r w:rsidRPr="00A060B6">
        <w:t>, s 5 extends the application of the subsection to proceedings in all Australian courts.</w:t>
      </w:r>
    </w:p>
    <w:p w:rsidR="00F8610E" w:rsidRPr="00A060B6" w:rsidRDefault="00F8610E" w:rsidP="00486F06">
      <w:pPr>
        <w:pStyle w:val="AH5Sec"/>
      </w:pPr>
      <w:bookmarkStart w:id="100" w:name="_Toc11748455"/>
      <w:r w:rsidRPr="003925E1">
        <w:rPr>
          <w:rStyle w:val="CharSectNo"/>
        </w:rPr>
        <w:t>71</w:t>
      </w:r>
      <w:r w:rsidRPr="00A060B6">
        <w:tab/>
        <w:t>Exception—electronic communications</w:t>
      </w:r>
      <w:bookmarkEnd w:id="100"/>
    </w:p>
    <w:p w:rsidR="00F8610E" w:rsidRPr="00A060B6" w:rsidRDefault="00F8610E" w:rsidP="00E51812">
      <w:pPr>
        <w:pStyle w:val="Amainreturn"/>
        <w:keepNext/>
      </w:pPr>
      <w:r w:rsidRPr="00A060B6">
        <w:t>The hearsay rule does not apply to a representation contained in a document recording an electronic communication so far as the representation is a representation as to—</w:t>
      </w:r>
    </w:p>
    <w:p w:rsidR="00F8610E" w:rsidRPr="00A060B6" w:rsidRDefault="00F8610E" w:rsidP="00486F06">
      <w:pPr>
        <w:pStyle w:val="Apara"/>
      </w:pPr>
      <w:r w:rsidRPr="00A060B6">
        <w:tab/>
        <w:t>(a)</w:t>
      </w:r>
      <w:r w:rsidRPr="00A060B6">
        <w:tab/>
        <w:t>the identity of the person from whom or on whose behalf the communication was sent; or</w:t>
      </w:r>
    </w:p>
    <w:p w:rsidR="00F8610E" w:rsidRPr="00A060B6" w:rsidRDefault="00F8610E" w:rsidP="00486F06">
      <w:pPr>
        <w:pStyle w:val="Apara"/>
      </w:pPr>
      <w:r w:rsidRPr="00A060B6">
        <w:tab/>
        <w:t>(b)</w:t>
      </w:r>
      <w:r w:rsidRPr="00A060B6">
        <w:tab/>
        <w:t>the date or time when the communication was sent; or</w:t>
      </w:r>
    </w:p>
    <w:p w:rsidR="00F8610E" w:rsidRPr="00A060B6" w:rsidRDefault="00F8610E" w:rsidP="00486F06">
      <w:pPr>
        <w:pStyle w:val="Apara"/>
      </w:pPr>
      <w:r w:rsidRPr="00A060B6">
        <w:tab/>
        <w:t>(c)</w:t>
      </w:r>
      <w:r w:rsidRPr="00A060B6">
        <w:tab/>
        <w:t>the communication’s destination or the identity of the person to whom the communication was addressed.</w:t>
      </w:r>
    </w:p>
    <w:p w:rsidR="00F8610E" w:rsidRPr="00A060B6" w:rsidRDefault="00F8610E" w:rsidP="00C23C3D">
      <w:pPr>
        <w:pStyle w:val="aNote"/>
        <w:keepNext/>
      </w:pPr>
      <w:r w:rsidRPr="005D1BC5">
        <w:rPr>
          <w:rStyle w:val="charItals"/>
        </w:rPr>
        <w:t>Note 1</w:t>
      </w:r>
      <w:r w:rsidRPr="005D1BC5">
        <w:rPr>
          <w:rStyle w:val="charItals"/>
        </w:rPr>
        <w:tab/>
      </w:r>
      <w:r w:rsidRPr="00A060B6">
        <w:rPr>
          <w:iCs/>
        </w:rPr>
        <w:t xml:space="preserve">Div </w:t>
      </w:r>
      <w:r w:rsidRPr="00A060B6">
        <w:t>4.3.3 contains presumptions about electronic communications.</w:t>
      </w:r>
    </w:p>
    <w:p w:rsidR="00F8610E" w:rsidRPr="00A060B6" w:rsidRDefault="00F8610E" w:rsidP="00C23C3D">
      <w:pPr>
        <w:pStyle w:val="aNote"/>
        <w:keepNext/>
      </w:pPr>
      <w:r w:rsidRPr="005D1BC5">
        <w:rPr>
          <w:rStyle w:val="charItals"/>
        </w:rPr>
        <w:t>Note 2</w:t>
      </w:r>
      <w:r w:rsidRPr="005D1BC5">
        <w:rPr>
          <w:rStyle w:val="charItals"/>
        </w:rPr>
        <w:tab/>
      </w:r>
      <w:r w:rsidRPr="00A060B6">
        <w:t xml:space="preserve">The </w:t>
      </w:r>
      <w:hyperlink r:id="rId91" w:tooltip="Evidence Act 1995" w:history="1">
        <w:r w:rsidR="001D1BCB" w:rsidRPr="001D1BCB">
          <w:rPr>
            <w:rStyle w:val="charCitHyperlinkAbbrev"/>
          </w:rPr>
          <w:t>Commonwealth Act</w:t>
        </w:r>
      </w:hyperlink>
      <w:r w:rsidRPr="00A060B6">
        <w:t xml:space="preserve">, s 182 gives the </w:t>
      </w:r>
      <w:hyperlink r:id="rId92" w:tooltip="Evidence Act 1995" w:history="1">
        <w:r w:rsidR="001D1BCB" w:rsidRPr="001D1BCB">
          <w:rPr>
            <w:rStyle w:val="charCitHyperlinkAbbrev"/>
          </w:rPr>
          <w:t>Commonwealth Act</w:t>
        </w:r>
      </w:hyperlink>
      <w:r w:rsidRPr="00A060B6">
        <w:t>, s 71 a wider application in relation to Commonwealth records.</w:t>
      </w:r>
    </w:p>
    <w:p w:rsidR="00F8610E" w:rsidRPr="00A060B6" w:rsidRDefault="00F8610E" w:rsidP="00AA541C">
      <w:pPr>
        <w:pStyle w:val="aNote"/>
      </w:pPr>
      <w:r w:rsidRPr="005D1BC5">
        <w:rPr>
          <w:rStyle w:val="charItals"/>
        </w:rPr>
        <w:t>Note</w:t>
      </w:r>
      <w:r w:rsidRPr="00AF17FE">
        <w:t xml:space="preserve"> </w:t>
      </w:r>
      <w:r w:rsidRPr="005D1BC5">
        <w:rPr>
          <w:rStyle w:val="charItals"/>
        </w:rPr>
        <w:t>3</w:t>
      </w:r>
      <w:r w:rsidRPr="005D1BC5">
        <w:rPr>
          <w:rStyle w:val="charBoldItals"/>
        </w:rPr>
        <w:tab/>
        <w:t>Electronic communication</w:t>
      </w:r>
      <w:r w:rsidRPr="00A060B6">
        <w:t>—see the dictionary.</w:t>
      </w:r>
    </w:p>
    <w:p w:rsidR="00F8610E" w:rsidRPr="00A060B6" w:rsidRDefault="00F8610E" w:rsidP="00486F06">
      <w:pPr>
        <w:pStyle w:val="AH5Sec"/>
        <w:rPr>
          <w:lang w:eastAsia="en-AU"/>
        </w:rPr>
      </w:pPr>
      <w:bookmarkStart w:id="101" w:name="_Toc11748456"/>
      <w:r w:rsidRPr="003925E1">
        <w:rPr>
          <w:rStyle w:val="CharSectNo"/>
        </w:rPr>
        <w:lastRenderedPageBreak/>
        <w:t>72</w:t>
      </w:r>
      <w:r w:rsidRPr="00A060B6">
        <w:rPr>
          <w:lang w:eastAsia="en-AU"/>
        </w:rPr>
        <w:tab/>
        <w:t>Exception—Aboriginal and Torres Strait Islander traditional laws and customs</w:t>
      </w:r>
      <w:bookmarkEnd w:id="101"/>
    </w:p>
    <w:p w:rsidR="00F8610E" w:rsidRPr="00A060B6" w:rsidRDefault="00F8610E" w:rsidP="002E7905">
      <w:pPr>
        <w:pStyle w:val="Amainreturn"/>
        <w:rPr>
          <w:lang w:eastAsia="en-AU"/>
        </w:rPr>
      </w:pPr>
      <w:r w:rsidRPr="00A060B6">
        <w:rPr>
          <w:lang w:eastAsia="en-AU"/>
        </w:rPr>
        <w:t>The hearsay rule does not apply to evidence of a representation about the existence or non-existence, or the content, of the traditional laws and customs of an Aboriginal or Torres Strait Islander group.</w:t>
      </w:r>
    </w:p>
    <w:p w:rsidR="00F8610E" w:rsidRPr="00A060B6" w:rsidRDefault="00F8610E" w:rsidP="00486F06">
      <w:pPr>
        <w:pStyle w:val="AH5Sec"/>
      </w:pPr>
      <w:bookmarkStart w:id="102" w:name="_Toc11748457"/>
      <w:r w:rsidRPr="003925E1">
        <w:rPr>
          <w:rStyle w:val="CharSectNo"/>
        </w:rPr>
        <w:t>73</w:t>
      </w:r>
      <w:r w:rsidRPr="00A060B6">
        <w:tab/>
        <w:t>Exception—reputation as to relationships and age</w:t>
      </w:r>
      <w:bookmarkEnd w:id="102"/>
    </w:p>
    <w:p w:rsidR="00F8610E" w:rsidRPr="00A060B6" w:rsidRDefault="00F8610E" w:rsidP="00486F06">
      <w:pPr>
        <w:pStyle w:val="Amain"/>
      </w:pPr>
      <w:r w:rsidRPr="00A060B6">
        <w:tab/>
        <w:t>(1)</w:t>
      </w:r>
      <w:r w:rsidRPr="00A060B6">
        <w:tab/>
        <w:t>The hearsay rule does not apply to evidence of reputation about—</w:t>
      </w:r>
    </w:p>
    <w:p w:rsidR="00F8610E" w:rsidRPr="00A060B6" w:rsidRDefault="00F8610E" w:rsidP="00486F06">
      <w:pPr>
        <w:pStyle w:val="Apara"/>
      </w:pPr>
      <w:r w:rsidRPr="00A060B6">
        <w:tab/>
        <w:t>(a)</w:t>
      </w:r>
      <w:r w:rsidRPr="00A060B6">
        <w:tab/>
        <w:t>whether a person was, at a particular time or at any time, a married person; or</w:t>
      </w:r>
    </w:p>
    <w:p w:rsidR="002D6054" w:rsidRPr="00A060B6" w:rsidRDefault="002D6054" w:rsidP="002D6054">
      <w:pPr>
        <w:pStyle w:val="Apara"/>
      </w:pPr>
      <w:r w:rsidRPr="00A060B6">
        <w:tab/>
      </w:r>
      <w:r w:rsidR="00011C21" w:rsidRPr="00B669BF">
        <w:t>(b)</w:t>
      </w:r>
      <w:r w:rsidR="00011C21" w:rsidRPr="00B669BF">
        <w:tab/>
        <w:t>whether 2 people cohabiting at a particular time were married to each other at the time; or</w:t>
      </w:r>
    </w:p>
    <w:p w:rsidR="00F8610E" w:rsidRPr="00A060B6" w:rsidRDefault="00F8610E" w:rsidP="00486F06">
      <w:pPr>
        <w:pStyle w:val="Apara"/>
      </w:pPr>
      <w:r w:rsidRPr="00A060B6">
        <w:tab/>
        <w:t>(c)</w:t>
      </w:r>
      <w:r w:rsidRPr="00A060B6">
        <w:tab/>
        <w:t>a person’s age; or</w:t>
      </w:r>
    </w:p>
    <w:p w:rsidR="00F8610E" w:rsidRPr="00A060B6" w:rsidRDefault="00F8610E" w:rsidP="00486F06">
      <w:pPr>
        <w:pStyle w:val="Apara"/>
      </w:pPr>
      <w:r w:rsidRPr="00A060B6">
        <w:tab/>
        <w:t>(d)</w:t>
      </w:r>
      <w:r w:rsidRPr="00A060B6">
        <w:tab/>
        <w:t>family history or a family relationship.</w:t>
      </w:r>
    </w:p>
    <w:p w:rsidR="00F8610E" w:rsidRPr="00A060B6" w:rsidRDefault="00F8610E" w:rsidP="00486F06">
      <w:pPr>
        <w:pStyle w:val="Amain"/>
      </w:pPr>
      <w:r w:rsidRPr="00A060B6">
        <w:tab/>
        <w:t>(2)</w:t>
      </w:r>
      <w:r w:rsidRPr="00A060B6">
        <w:tab/>
        <w:t>In a criminal proceeding, subsection (1) does not apply to evidence presented by a defendant unless—</w:t>
      </w:r>
    </w:p>
    <w:p w:rsidR="00F8610E" w:rsidRPr="00A060B6" w:rsidRDefault="00F8610E" w:rsidP="00486F06">
      <w:pPr>
        <w:pStyle w:val="Apara"/>
      </w:pPr>
      <w:r w:rsidRPr="00A060B6">
        <w:tab/>
        <w:t>(a)</w:t>
      </w:r>
      <w:r w:rsidRPr="00A060B6">
        <w:tab/>
        <w:t>it tends to contradict evidence mentioned in subsection (1) that has been admitted; or</w:t>
      </w:r>
    </w:p>
    <w:p w:rsidR="00F8610E" w:rsidRPr="00A060B6" w:rsidRDefault="00F8610E" w:rsidP="00486F06">
      <w:pPr>
        <w:pStyle w:val="Apara"/>
      </w:pPr>
      <w:r w:rsidRPr="00A060B6">
        <w:tab/>
        <w:t>(b)</w:t>
      </w:r>
      <w:r w:rsidRPr="00A060B6">
        <w:tab/>
        <w:t>the defendant has given reasonable notice in writing to each other party of the defendant’s intention to present the evidence.</w:t>
      </w:r>
    </w:p>
    <w:p w:rsidR="00F8610E" w:rsidRPr="00A060B6" w:rsidRDefault="00F8610E" w:rsidP="00486F06">
      <w:pPr>
        <w:pStyle w:val="Amain"/>
      </w:pPr>
      <w:r w:rsidRPr="00A060B6">
        <w:tab/>
        <w:t>(3)</w:t>
      </w:r>
      <w:r w:rsidRPr="00A060B6">
        <w:tab/>
        <w:t>In a criminal proceeding, subsection (1) does not apply to evidence presented by the prosecutor unless it tends to contradict evidence mentioned in subsection (1) that has been admitted.</w:t>
      </w:r>
    </w:p>
    <w:p w:rsidR="00F8610E" w:rsidRPr="00A060B6" w:rsidRDefault="00F8610E" w:rsidP="00D06B46">
      <w:pPr>
        <w:pStyle w:val="AH5Sec"/>
      </w:pPr>
      <w:bookmarkStart w:id="103" w:name="_Toc11748458"/>
      <w:r w:rsidRPr="003925E1">
        <w:rPr>
          <w:rStyle w:val="CharSectNo"/>
        </w:rPr>
        <w:lastRenderedPageBreak/>
        <w:t>74</w:t>
      </w:r>
      <w:r w:rsidRPr="00A060B6">
        <w:tab/>
        <w:t>Exception—reputation of public or general rights</w:t>
      </w:r>
      <w:bookmarkEnd w:id="103"/>
    </w:p>
    <w:p w:rsidR="00F8610E" w:rsidRPr="00A060B6" w:rsidRDefault="00F8610E" w:rsidP="00D06B46">
      <w:pPr>
        <w:pStyle w:val="Amain"/>
        <w:keepNext/>
      </w:pPr>
      <w:r w:rsidRPr="00A060B6">
        <w:tab/>
        <w:t>(1)</w:t>
      </w:r>
      <w:r w:rsidRPr="00A060B6">
        <w:tab/>
        <w:t>The hearsay rule does not apply to evidence of reputation about the existence, nature or extent of a public or general right.</w:t>
      </w:r>
    </w:p>
    <w:p w:rsidR="00F8610E" w:rsidRPr="00A060B6" w:rsidRDefault="00F8610E" w:rsidP="00486F06">
      <w:pPr>
        <w:pStyle w:val="Amain"/>
      </w:pPr>
      <w:r w:rsidRPr="00A060B6">
        <w:tab/>
        <w:t>(2)</w:t>
      </w:r>
      <w:r w:rsidRPr="00A060B6">
        <w:tab/>
        <w:t>In a criminal proceeding, subsection (1) does not apply to evidence presented by the prosecutor unless it tends to contradict evidence mentioned in subsection (1) that has been admitted.</w:t>
      </w:r>
    </w:p>
    <w:p w:rsidR="00F8610E" w:rsidRPr="00A060B6" w:rsidRDefault="00F8610E" w:rsidP="00486F06">
      <w:pPr>
        <w:pStyle w:val="AH5Sec"/>
      </w:pPr>
      <w:bookmarkStart w:id="104" w:name="_Toc11748459"/>
      <w:r w:rsidRPr="003925E1">
        <w:rPr>
          <w:rStyle w:val="CharSectNo"/>
        </w:rPr>
        <w:t>75</w:t>
      </w:r>
      <w:r w:rsidRPr="00A060B6">
        <w:tab/>
        <w:t>Exception—interlocutory proceedings</w:t>
      </w:r>
      <w:bookmarkEnd w:id="104"/>
    </w:p>
    <w:p w:rsidR="00F8610E" w:rsidRPr="00A060B6" w:rsidRDefault="00F8610E" w:rsidP="00E51812">
      <w:pPr>
        <w:pStyle w:val="Amainreturn"/>
      </w:pPr>
      <w:r w:rsidRPr="00A060B6">
        <w:t>In an interlocutory proceeding, the hearsay rule does not apply to evidence if the party who presents it also presents evidence of its source.</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105" w:name="_Toc11748460"/>
      <w:r w:rsidRPr="003925E1">
        <w:rPr>
          <w:rStyle w:val="CharPartNo"/>
        </w:rPr>
        <w:lastRenderedPageBreak/>
        <w:t>Part 3.3</w:t>
      </w:r>
      <w:r w:rsidRPr="00A060B6">
        <w:tab/>
      </w:r>
      <w:r w:rsidRPr="003925E1">
        <w:rPr>
          <w:rStyle w:val="CharPartText"/>
        </w:rPr>
        <w:t>Opinion</w:t>
      </w:r>
      <w:bookmarkEnd w:id="105"/>
    </w:p>
    <w:p w:rsidR="00F8610E" w:rsidRPr="00A060B6" w:rsidRDefault="00F8610E" w:rsidP="000E543D">
      <w:pPr>
        <w:pStyle w:val="Placeholder"/>
        <w:suppressLineNumbers/>
      </w:pPr>
      <w:r w:rsidRPr="00A060B6">
        <w:rPr>
          <w:rStyle w:val="CharDivNo"/>
        </w:rPr>
        <w:t xml:space="preserve">  </w:t>
      </w:r>
      <w:r w:rsidRPr="00A060B6">
        <w:rPr>
          <w:rStyle w:val="CharDivText"/>
        </w:rPr>
        <w:t xml:space="preserve">  </w:t>
      </w:r>
    </w:p>
    <w:p w:rsidR="00F8610E" w:rsidRPr="00A060B6" w:rsidRDefault="00F8610E" w:rsidP="00486F06">
      <w:pPr>
        <w:pStyle w:val="AH5Sec"/>
      </w:pPr>
      <w:bookmarkStart w:id="106" w:name="_Toc11748461"/>
      <w:r w:rsidRPr="003925E1">
        <w:rPr>
          <w:rStyle w:val="CharSectNo"/>
        </w:rPr>
        <w:t>76</w:t>
      </w:r>
      <w:r w:rsidRPr="00A060B6">
        <w:tab/>
        <w:t>The opinion rule</w:t>
      </w:r>
      <w:bookmarkEnd w:id="106"/>
    </w:p>
    <w:p w:rsidR="00F8610E" w:rsidRPr="00A060B6" w:rsidRDefault="00F8610E" w:rsidP="00486F06">
      <w:pPr>
        <w:pStyle w:val="Amain"/>
      </w:pPr>
      <w:r w:rsidRPr="00A060B6">
        <w:tab/>
        <w:t>(1)</w:t>
      </w:r>
      <w:r w:rsidRPr="00A060B6">
        <w:tab/>
        <w:t>Evidence of an opinion is not admissible to prove the existence of a fact about the existence of which the opinion was expressed.</w:t>
      </w:r>
    </w:p>
    <w:p w:rsidR="00F8610E" w:rsidRPr="00A060B6" w:rsidRDefault="00F8610E" w:rsidP="00486F06">
      <w:pPr>
        <w:pStyle w:val="Amain"/>
      </w:pPr>
      <w:r w:rsidRPr="00A060B6">
        <w:tab/>
        <w:t>(2)</w:t>
      </w:r>
      <w:r w:rsidRPr="00A060B6">
        <w:tab/>
        <w:t>Subsection (1) does not apply to evidence of an opinion contained in a certificate or other document given or made under a regulation made under an Act other than this Act to the extent to which the regulation provides that the certificate or other document has evidentiary effect.</w:t>
      </w:r>
    </w:p>
    <w:p w:rsidR="00F8610E" w:rsidRPr="00A060B6" w:rsidRDefault="00F8610E" w:rsidP="00C23C3D">
      <w:pPr>
        <w:pStyle w:val="aNote"/>
        <w:keepNext/>
      </w:pPr>
      <w:r w:rsidRPr="005D1BC5">
        <w:rPr>
          <w:rStyle w:val="charItals"/>
        </w:rPr>
        <w:t>Note</w:t>
      </w:r>
      <w:r w:rsidRPr="005D1BC5">
        <w:rPr>
          <w:rStyle w:val="charItals"/>
        </w:rPr>
        <w:tab/>
      </w:r>
      <w:r w:rsidRPr="00A060B6">
        <w:t xml:space="preserve">Specific exceptions to the opinion rule are as follows: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summaries of voluminous or complex documents (s 50 (3))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evidence relevant otherwise than as opinion evidence (s 77)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lay opinion (s 78)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Aboriginal and Torres Strait Islander traditional laws and customs (s 78A)</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expert opinion (s 79)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admissions (s 81)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exceptions to the rule excluding evidence of judgments and convictions (s 92 (3))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character of and expert opinion about accused people (s 110 and s 111).</w:t>
      </w:r>
    </w:p>
    <w:p w:rsidR="00F8610E" w:rsidRPr="00A060B6" w:rsidRDefault="00F8610E" w:rsidP="00E51812">
      <w:pPr>
        <w:pStyle w:val="aNoteTextss"/>
      </w:pPr>
      <w:r w:rsidRPr="00A060B6">
        <w:t>Other provisions of this Act, or of other laws, may operate as further exceptions.</w:t>
      </w:r>
    </w:p>
    <w:p w:rsidR="00F8610E" w:rsidRPr="00A060B6" w:rsidRDefault="00F8610E" w:rsidP="00E51812">
      <w:pPr>
        <w:pStyle w:val="aExamHdgss"/>
      </w:pPr>
      <w:r w:rsidRPr="00A060B6">
        <w:t>Examples</w:t>
      </w:r>
    </w:p>
    <w:p w:rsidR="00F8610E" w:rsidRPr="00A060B6" w:rsidRDefault="00F8610E" w:rsidP="00E51812">
      <w:pPr>
        <w:pStyle w:val="aExamINum"/>
      </w:pPr>
      <w:r w:rsidRPr="00A060B6">
        <w:t>1</w:t>
      </w:r>
      <w:r w:rsidRPr="00A060B6">
        <w:tab/>
        <w:t>P sues D, her doctor, for the negligent performance of a surgical operation. Unless an exception to the opinion rule applies, P’s neighbour, W, who had the same operation, cannot give evidence of his opinion that D had not performed the operation as well as his own.</w:t>
      </w:r>
    </w:p>
    <w:p w:rsidR="00F8610E" w:rsidRPr="00A060B6" w:rsidRDefault="00F8610E" w:rsidP="00155916">
      <w:pPr>
        <w:pStyle w:val="aExamINum"/>
        <w:keepNext/>
        <w:keepLines/>
      </w:pPr>
      <w:r w:rsidRPr="00A060B6">
        <w:lastRenderedPageBreak/>
        <w:t>2</w:t>
      </w:r>
      <w:r w:rsidRPr="00A060B6">
        <w:tab/>
        <w:t>P considers that electrical work that D, an electrician, has done for her is unsatisfactory. Unless an exception to the opinion rule applies, P cannot give evidence of her opinion that D does not have the necessary skills to do electrical work.</w:t>
      </w:r>
    </w:p>
    <w:p w:rsidR="00F8610E" w:rsidRPr="00A060B6" w:rsidRDefault="00F8610E" w:rsidP="00486F06">
      <w:pPr>
        <w:pStyle w:val="AH5Sec"/>
      </w:pPr>
      <w:bookmarkStart w:id="107" w:name="_Toc11748462"/>
      <w:r w:rsidRPr="003925E1">
        <w:rPr>
          <w:rStyle w:val="CharSectNo"/>
        </w:rPr>
        <w:t>77</w:t>
      </w:r>
      <w:r w:rsidRPr="00A060B6">
        <w:tab/>
        <w:t>Exception—evidence relevant otherwise than as opinion evidence</w:t>
      </w:r>
      <w:bookmarkEnd w:id="107"/>
    </w:p>
    <w:p w:rsidR="00F8610E" w:rsidRPr="00A060B6" w:rsidRDefault="00F8610E" w:rsidP="00E51812">
      <w:pPr>
        <w:pStyle w:val="Amainreturn"/>
      </w:pPr>
      <w:r w:rsidRPr="00A060B6">
        <w:t>The opinion rule does not apply to evidence of an opinion that is admitted because it is relevant for a purpose other than proof of the existence of a fact about the existence of which the opinion was expressed.</w:t>
      </w:r>
    </w:p>
    <w:p w:rsidR="00F8610E" w:rsidRPr="00A060B6" w:rsidRDefault="00F8610E" w:rsidP="00486F06">
      <w:pPr>
        <w:pStyle w:val="AH5Sec"/>
      </w:pPr>
      <w:bookmarkStart w:id="108" w:name="_Toc11748463"/>
      <w:r w:rsidRPr="003925E1">
        <w:rPr>
          <w:rStyle w:val="CharSectNo"/>
        </w:rPr>
        <w:t>78</w:t>
      </w:r>
      <w:r w:rsidRPr="00A060B6">
        <w:tab/>
        <w:t>Exception—lay opinions</w:t>
      </w:r>
      <w:bookmarkEnd w:id="108"/>
    </w:p>
    <w:p w:rsidR="00F8610E" w:rsidRPr="00A060B6" w:rsidRDefault="00F8610E" w:rsidP="00E51812">
      <w:pPr>
        <w:pStyle w:val="Amainreturn"/>
        <w:keepNext/>
      </w:pPr>
      <w:r w:rsidRPr="00A060B6">
        <w:t>The opinion rule does not apply to evidence of an opinion expressed by a person if—</w:t>
      </w:r>
    </w:p>
    <w:p w:rsidR="00F8610E" w:rsidRPr="00A060B6" w:rsidRDefault="00F8610E" w:rsidP="00486F06">
      <w:pPr>
        <w:pStyle w:val="Apara"/>
      </w:pPr>
      <w:r w:rsidRPr="00A060B6">
        <w:tab/>
        <w:t>(a)</w:t>
      </w:r>
      <w:r w:rsidRPr="00A060B6">
        <w:tab/>
        <w:t>the opinion is based on what the person saw, heard or otherwise perceived about a matter or event; and</w:t>
      </w:r>
    </w:p>
    <w:p w:rsidR="00F8610E" w:rsidRPr="00A060B6" w:rsidRDefault="00F8610E" w:rsidP="00486F06">
      <w:pPr>
        <w:pStyle w:val="Apara"/>
      </w:pPr>
      <w:r w:rsidRPr="00A060B6">
        <w:tab/>
        <w:t>(b)</w:t>
      </w:r>
      <w:r w:rsidRPr="00A060B6">
        <w:tab/>
        <w:t>evidence of the opinion is necessary to obtain an adequate account or understanding of the person’s perception of the matter or event.</w:t>
      </w:r>
    </w:p>
    <w:p w:rsidR="00F8610E" w:rsidRPr="00A060B6" w:rsidRDefault="00F8610E" w:rsidP="00486F06">
      <w:pPr>
        <w:pStyle w:val="AH5Sec"/>
        <w:rPr>
          <w:lang w:eastAsia="en-AU"/>
        </w:rPr>
      </w:pPr>
      <w:bookmarkStart w:id="109" w:name="_Toc11748464"/>
      <w:r w:rsidRPr="003925E1">
        <w:rPr>
          <w:rStyle w:val="CharSectNo"/>
        </w:rPr>
        <w:t>78A</w:t>
      </w:r>
      <w:r w:rsidRPr="00A060B6">
        <w:rPr>
          <w:lang w:eastAsia="en-AU"/>
        </w:rPr>
        <w:tab/>
        <w:t>Exception—Aboriginal and Torres Strait Islander traditional laws and customs</w:t>
      </w:r>
      <w:bookmarkEnd w:id="109"/>
    </w:p>
    <w:p w:rsidR="00F8610E" w:rsidRPr="00A060B6" w:rsidRDefault="00F8610E" w:rsidP="00DE7E93">
      <w:pPr>
        <w:pStyle w:val="Amainreturn"/>
        <w:rPr>
          <w:lang w:eastAsia="en-AU"/>
        </w:rPr>
      </w:pPr>
      <w:r w:rsidRPr="00A060B6">
        <w:rPr>
          <w:lang w:eastAsia="en-AU"/>
        </w:rPr>
        <w:t>The opinion rule does not apply to evidence of an opinion expressed by a member of an Aboriginal or Torres Strait Islander group about the existence or non-existence, or the content, of the traditional laws and customs of the group.</w:t>
      </w:r>
    </w:p>
    <w:p w:rsidR="00F8610E" w:rsidRPr="00A060B6" w:rsidRDefault="00F8610E" w:rsidP="00D06B46">
      <w:pPr>
        <w:pStyle w:val="AH5Sec"/>
        <w:keepLines/>
      </w:pPr>
      <w:bookmarkStart w:id="110" w:name="_Toc11748465"/>
      <w:r w:rsidRPr="003925E1">
        <w:rPr>
          <w:rStyle w:val="CharSectNo"/>
        </w:rPr>
        <w:lastRenderedPageBreak/>
        <w:t>79</w:t>
      </w:r>
      <w:r w:rsidRPr="00A060B6">
        <w:tab/>
        <w:t>Exception—opinions based on specialised knowledge</w:t>
      </w:r>
      <w:bookmarkEnd w:id="110"/>
    </w:p>
    <w:p w:rsidR="00F8610E" w:rsidRPr="00A060B6" w:rsidRDefault="00F8610E" w:rsidP="00D06B46">
      <w:pPr>
        <w:pStyle w:val="Amain"/>
        <w:keepNext/>
        <w:keepLines/>
      </w:pPr>
      <w:r w:rsidRPr="00A060B6">
        <w:tab/>
        <w:t>(1)</w:t>
      </w:r>
      <w:r w:rsidRPr="00A060B6">
        <w:tab/>
        <w:t>If a person has specialised knowledge based on the person’s training, study or experience, the opinion rule does not apply to evidence of the person’s opinion that is completely or substantially based on that knowledge.</w:t>
      </w:r>
    </w:p>
    <w:p w:rsidR="00F8610E" w:rsidRPr="00A060B6" w:rsidRDefault="00F8610E" w:rsidP="00486F06">
      <w:pPr>
        <w:pStyle w:val="Amain"/>
        <w:rPr>
          <w:lang w:eastAsia="en-AU"/>
        </w:rPr>
      </w:pPr>
      <w:r w:rsidRPr="00A060B6">
        <w:rPr>
          <w:lang w:eastAsia="en-AU"/>
        </w:rPr>
        <w:tab/>
        <w:t>(2)</w:t>
      </w:r>
      <w:r w:rsidRPr="00A060B6">
        <w:rPr>
          <w:lang w:eastAsia="en-AU"/>
        </w:rPr>
        <w:tab/>
        <w:t xml:space="preserve">To remove any doubt, and without limiting subsection (1)— </w:t>
      </w:r>
    </w:p>
    <w:p w:rsidR="00F8610E" w:rsidRPr="00A060B6" w:rsidRDefault="00F8610E" w:rsidP="00486F06">
      <w:pPr>
        <w:pStyle w:val="Apara"/>
        <w:rPr>
          <w:lang w:eastAsia="en-AU"/>
        </w:rPr>
      </w:pPr>
      <w:r w:rsidRPr="00A060B6">
        <w:rPr>
          <w:lang w:eastAsia="en-AU"/>
        </w:rPr>
        <w:tab/>
        <w:t>(a)</w:t>
      </w:r>
      <w:r w:rsidRPr="00A060B6">
        <w:rPr>
          <w:lang w:eastAsia="en-AU"/>
        </w:rPr>
        <w:tab/>
        <w:t>a reference in that subsection to specialised knowledge includes a reference to specialised knowledge of child development and child behaviour (including specialised knowledge of the impact of sexual abuse on children and their development and behaviour during and following the abuse); and</w:t>
      </w:r>
    </w:p>
    <w:p w:rsidR="00F8610E" w:rsidRPr="00A060B6" w:rsidRDefault="00F8610E" w:rsidP="00486F06">
      <w:pPr>
        <w:pStyle w:val="Apara"/>
        <w:rPr>
          <w:lang w:eastAsia="en-AU"/>
        </w:rPr>
      </w:pPr>
      <w:r w:rsidRPr="00A060B6">
        <w:rPr>
          <w:lang w:eastAsia="en-AU"/>
        </w:rPr>
        <w:tab/>
        <w:t>(b)</w:t>
      </w:r>
      <w:r w:rsidRPr="00A060B6">
        <w:rPr>
          <w:lang w:eastAsia="en-AU"/>
        </w:rPr>
        <w:tab/>
        <w:t xml:space="preserve">a reference in that subsection to an opinion of a person includes, if the person has specialised knowledge mentioned in paragraph (a), a reference to an opinion relating to either or both of the following: </w:t>
      </w:r>
    </w:p>
    <w:p w:rsidR="00F8610E" w:rsidRPr="00A060B6" w:rsidRDefault="00F8610E" w:rsidP="00486F06">
      <w:pPr>
        <w:pStyle w:val="Asubpara"/>
        <w:rPr>
          <w:lang w:eastAsia="en-AU"/>
        </w:rPr>
      </w:pPr>
      <w:r w:rsidRPr="00A060B6">
        <w:rPr>
          <w:lang w:eastAsia="en-AU"/>
        </w:rPr>
        <w:tab/>
        <w:t>(i)</w:t>
      </w:r>
      <w:r w:rsidRPr="00A060B6">
        <w:rPr>
          <w:lang w:eastAsia="en-AU"/>
        </w:rPr>
        <w:tab/>
        <w:t>the development and behaviour of children generally;</w:t>
      </w:r>
    </w:p>
    <w:p w:rsidR="00F8610E" w:rsidRPr="00A060B6" w:rsidRDefault="00F8610E" w:rsidP="00486F06">
      <w:pPr>
        <w:pStyle w:val="Asubpara"/>
        <w:rPr>
          <w:lang w:eastAsia="en-AU"/>
        </w:rPr>
      </w:pPr>
      <w:r w:rsidRPr="00A060B6">
        <w:rPr>
          <w:lang w:eastAsia="en-AU"/>
        </w:rPr>
        <w:tab/>
        <w:t>(ii)</w:t>
      </w:r>
      <w:r w:rsidRPr="00A060B6">
        <w:rPr>
          <w:lang w:eastAsia="en-AU"/>
        </w:rPr>
        <w:tab/>
        <w:t>the development and behaviour of children who have been victims of sexual offences, or offences similar to sexual offences.</w:t>
      </w:r>
    </w:p>
    <w:p w:rsidR="00F8610E" w:rsidRPr="00A060B6" w:rsidRDefault="00F8610E" w:rsidP="00486F06">
      <w:pPr>
        <w:pStyle w:val="AH5Sec"/>
      </w:pPr>
      <w:bookmarkStart w:id="111" w:name="_Toc11748466"/>
      <w:r w:rsidRPr="003925E1">
        <w:rPr>
          <w:rStyle w:val="CharSectNo"/>
        </w:rPr>
        <w:t>80</w:t>
      </w:r>
      <w:r w:rsidRPr="00A060B6">
        <w:tab/>
        <w:t>Ultimate issue and common knowledge rules abolished</w:t>
      </w:r>
      <w:bookmarkEnd w:id="111"/>
    </w:p>
    <w:p w:rsidR="00F8610E" w:rsidRPr="00A060B6" w:rsidRDefault="00F8610E" w:rsidP="00E51812">
      <w:pPr>
        <w:pStyle w:val="Amainreturn"/>
        <w:keepNext/>
      </w:pPr>
      <w:r w:rsidRPr="00A060B6">
        <w:t>Evidence of an opinion is not inadmissible only because it is about—</w:t>
      </w:r>
    </w:p>
    <w:p w:rsidR="00F8610E" w:rsidRPr="00A060B6" w:rsidRDefault="00F8610E" w:rsidP="00486F06">
      <w:pPr>
        <w:pStyle w:val="Apara"/>
      </w:pPr>
      <w:r w:rsidRPr="00A060B6">
        <w:tab/>
        <w:t>(a)</w:t>
      </w:r>
      <w:r w:rsidRPr="00A060B6">
        <w:tab/>
        <w:t>a fact in issue or an ultimate issue; or</w:t>
      </w:r>
    </w:p>
    <w:p w:rsidR="00F8610E" w:rsidRPr="00A060B6" w:rsidRDefault="00F8610E" w:rsidP="00486F06">
      <w:pPr>
        <w:pStyle w:val="Apara"/>
      </w:pPr>
      <w:r w:rsidRPr="00A060B6">
        <w:tab/>
        <w:t>(b)</w:t>
      </w:r>
      <w:r w:rsidRPr="00A060B6">
        <w:tab/>
        <w:t>a matter of common knowledge.</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112" w:name="_Toc11748467"/>
      <w:r w:rsidRPr="003925E1">
        <w:rPr>
          <w:rStyle w:val="CharPartNo"/>
        </w:rPr>
        <w:lastRenderedPageBreak/>
        <w:t>Part 3.4</w:t>
      </w:r>
      <w:r w:rsidRPr="00A060B6">
        <w:tab/>
      </w:r>
      <w:r w:rsidRPr="003925E1">
        <w:rPr>
          <w:rStyle w:val="CharPartText"/>
        </w:rPr>
        <w:t>Admissions</w:t>
      </w:r>
      <w:bookmarkEnd w:id="112"/>
    </w:p>
    <w:p w:rsidR="00F8610E" w:rsidRPr="00A060B6" w:rsidRDefault="00F8610E" w:rsidP="00E51812">
      <w:pPr>
        <w:pStyle w:val="aNote"/>
      </w:pPr>
      <w:r w:rsidRPr="005D1BC5">
        <w:rPr>
          <w:rStyle w:val="charItals"/>
        </w:rPr>
        <w:t>Note</w:t>
      </w:r>
      <w:r w:rsidRPr="005D1BC5">
        <w:rPr>
          <w:rStyle w:val="charItals"/>
        </w:rPr>
        <w:tab/>
      </w:r>
      <w:r w:rsidRPr="005D1BC5">
        <w:rPr>
          <w:rStyle w:val="charBoldItals"/>
        </w:rPr>
        <w:t>Admission</w:t>
      </w:r>
      <w:r w:rsidRPr="00A060B6">
        <w:t>—see the dictionary.</w:t>
      </w:r>
    </w:p>
    <w:p w:rsidR="00F8610E" w:rsidRPr="00A060B6" w:rsidRDefault="00F8610E" w:rsidP="00486F06">
      <w:pPr>
        <w:pStyle w:val="AH5Sec"/>
      </w:pPr>
      <w:bookmarkStart w:id="113" w:name="_Toc11748468"/>
      <w:r w:rsidRPr="003925E1">
        <w:rPr>
          <w:rStyle w:val="CharSectNo"/>
        </w:rPr>
        <w:t>81</w:t>
      </w:r>
      <w:r w:rsidRPr="00A060B6">
        <w:tab/>
        <w:t>Hearsay and opinion rules—exception for admissions and related representations</w:t>
      </w:r>
      <w:bookmarkEnd w:id="113"/>
    </w:p>
    <w:p w:rsidR="00F8610E" w:rsidRPr="00A060B6" w:rsidRDefault="00F8610E" w:rsidP="00486F06">
      <w:pPr>
        <w:pStyle w:val="Amain"/>
      </w:pPr>
      <w:r w:rsidRPr="00A060B6">
        <w:tab/>
        <w:t>(1)</w:t>
      </w:r>
      <w:r w:rsidRPr="00A060B6">
        <w:tab/>
        <w:t>The hearsay rule and opinion rule do not apply to evidence of an admission.</w:t>
      </w:r>
    </w:p>
    <w:p w:rsidR="00F8610E" w:rsidRPr="00A060B6" w:rsidRDefault="00F8610E" w:rsidP="00486F06">
      <w:pPr>
        <w:pStyle w:val="Amain"/>
      </w:pPr>
      <w:r w:rsidRPr="00A060B6">
        <w:tab/>
        <w:t>(2)</w:t>
      </w:r>
      <w:r w:rsidRPr="00A060B6">
        <w:tab/>
        <w:t>The hearsay rule and opinion rule do not apply to evidence of a previous representation—</w:t>
      </w:r>
    </w:p>
    <w:p w:rsidR="00F8610E" w:rsidRPr="00A060B6" w:rsidRDefault="00F8610E" w:rsidP="00486F06">
      <w:pPr>
        <w:pStyle w:val="Apara"/>
      </w:pPr>
      <w:r w:rsidRPr="00A060B6">
        <w:tab/>
        <w:t>(a)</w:t>
      </w:r>
      <w:r w:rsidRPr="00A060B6">
        <w:tab/>
        <w:t>that was made in relation to an admission at the time the admission was made, or shortly before or after that time; and</w:t>
      </w:r>
    </w:p>
    <w:p w:rsidR="00F8610E" w:rsidRPr="00A060B6" w:rsidRDefault="00F8610E" w:rsidP="00486F06">
      <w:pPr>
        <w:pStyle w:val="Apara"/>
      </w:pPr>
      <w:r w:rsidRPr="00A060B6">
        <w:tab/>
        <w:t>(b)</w:t>
      </w:r>
      <w:r w:rsidRPr="00A060B6">
        <w:tab/>
        <w:t>to which it is reasonably necessary to refer in order to understand the admission.</w:t>
      </w:r>
    </w:p>
    <w:p w:rsidR="00F8610E" w:rsidRPr="00A060B6" w:rsidRDefault="00F8610E" w:rsidP="00C23C3D">
      <w:pPr>
        <w:pStyle w:val="aNote"/>
        <w:keepNext/>
      </w:pPr>
      <w:r w:rsidRPr="005D1BC5">
        <w:rPr>
          <w:rStyle w:val="charItals"/>
        </w:rPr>
        <w:t>Note</w:t>
      </w:r>
      <w:r w:rsidRPr="005D1BC5">
        <w:rPr>
          <w:rStyle w:val="charItals"/>
        </w:rPr>
        <w:tab/>
      </w:r>
      <w:r w:rsidRPr="00A060B6">
        <w:t xml:space="preserve">Specific exclusionary rules relating to admissions are as follows: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evidence of admissions that is not first</w:t>
      </w:r>
      <w:r w:rsidRPr="00A060B6">
        <w:noBreakHyphen/>
        <w:t xml:space="preserve">hand (s 82)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use of admissions against third parties (s 83)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admissions influenced by violence etc (s 84)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unreliable admissions of accused people (s 85)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records of oral questioning of accused people (s 86). </w:t>
      </w:r>
    </w:p>
    <w:p w:rsidR="00F8610E" w:rsidRPr="00A060B6" w:rsidRDefault="00F8610E" w:rsidP="00E51812">
      <w:pPr>
        <w:pStyle w:val="aExamHdgss"/>
      </w:pPr>
      <w:r w:rsidRPr="00A060B6">
        <w:t>Example</w:t>
      </w:r>
    </w:p>
    <w:p w:rsidR="00F8610E" w:rsidRPr="00A060B6" w:rsidRDefault="00F8610E" w:rsidP="00E51812">
      <w:pPr>
        <w:pStyle w:val="aExamINumss"/>
        <w:tabs>
          <w:tab w:val="clear" w:pos="1500"/>
          <w:tab w:val="left" w:pos="1140"/>
        </w:tabs>
        <w:ind w:left="1083" w:firstLine="17"/>
      </w:pPr>
      <w:r w:rsidRPr="00A060B6">
        <w:t>D admits to W, his best friend, that he sexually assaulted V. In D’s trial for the sexual assault, the prosecution may lead evidence from W—</w:t>
      </w:r>
    </w:p>
    <w:p w:rsidR="00F8610E" w:rsidRPr="00A060B6" w:rsidRDefault="00F8610E" w:rsidP="00E51812">
      <w:pPr>
        <w:pStyle w:val="aExamINumss"/>
      </w:pPr>
      <w:r w:rsidRPr="00A060B6">
        <w:t>(a)</w:t>
      </w:r>
      <w:r w:rsidRPr="00A060B6">
        <w:tab/>
        <w:t>that D made the admission to W as proof of the truth of the admission; and</w:t>
      </w:r>
    </w:p>
    <w:p w:rsidR="00F8610E" w:rsidRPr="00A060B6" w:rsidRDefault="00F8610E" w:rsidP="00D06B46">
      <w:pPr>
        <w:pStyle w:val="aExamINumss"/>
      </w:pPr>
      <w:r w:rsidRPr="00A060B6">
        <w:t>(b)</w:t>
      </w:r>
      <w:r w:rsidRPr="00A060B6">
        <w:tab/>
        <w:t>that W formed the opinion that D was sane when he made the admission.</w:t>
      </w:r>
    </w:p>
    <w:p w:rsidR="00F8610E" w:rsidRPr="00A060B6" w:rsidRDefault="00F8610E" w:rsidP="00D06B46">
      <w:pPr>
        <w:pStyle w:val="AH5Sec"/>
      </w:pPr>
      <w:bookmarkStart w:id="114" w:name="_Toc11748469"/>
      <w:r w:rsidRPr="003925E1">
        <w:rPr>
          <w:rStyle w:val="CharSectNo"/>
        </w:rPr>
        <w:lastRenderedPageBreak/>
        <w:t>82</w:t>
      </w:r>
      <w:r w:rsidRPr="00A060B6">
        <w:tab/>
        <w:t>Exclusion of evidence of admissions that is not first</w:t>
      </w:r>
      <w:r w:rsidRPr="00A060B6">
        <w:noBreakHyphen/>
        <w:t>hand</w:t>
      </w:r>
      <w:bookmarkEnd w:id="114"/>
    </w:p>
    <w:p w:rsidR="00F8610E" w:rsidRPr="00A060B6" w:rsidRDefault="00F8610E" w:rsidP="00D06B46">
      <w:pPr>
        <w:pStyle w:val="Amainreturn"/>
        <w:keepNext/>
      </w:pPr>
      <w:r w:rsidRPr="00A060B6">
        <w:t>Section 81 does not prevent the application of the hearsay rule to evidence of an admission unless—</w:t>
      </w:r>
    </w:p>
    <w:p w:rsidR="00F8610E" w:rsidRPr="00A060B6" w:rsidRDefault="00F8610E" w:rsidP="00D06B46">
      <w:pPr>
        <w:pStyle w:val="Apara"/>
        <w:keepNext/>
      </w:pPr>
      <w:r w:rsidRPr="00A060B6">
        <w:tab/>
        <w:t>(a)</w:t>
      </w:r>
      <w:r w:rsidRPr="00A060B6">
        <w:tab/>
        <w:t>it is given by a person who saw, heard or otherwise perceived the admission being made; or</w:t>
      </w:r>
    </w:p>
    <w:p w:rsidR="00F8610E" w:rsidRPr="00A060B6" w:rsidRDefault="00F8610E" w:rsidP="00486F06">
      <w:pPr>
        <w:pStyle w:val="Apara"/>
      </w:pPr>
      <w:r w:rsidRPr="00A060B6">
        <w:tab/>
        <w:t>(b)</w:t>
      </w:r>
      <w:r w:rsidRPr="00A060B6">
        <w:tab/>
        <w:t>it is a document in which the admission is made.</w:t>
      </w:r>
    </w:p>
    <w:p w:rsidR="00F8610E" w:rsidRPr="00A060B6" w:rsidRDefault="00F8610E" w:rsidP="000A7360">
      <w:pPr>
        <w:pStyle w:val="aNote"/>
      </w:pPr>
      <w:r w:rsidRPr="005D1BC5">
        <w:rPr>
          <w:rStyle w:val="charItals"/>
        </w:rPr>
        <w:t>Note</w:t>
      </w:r>
      <w:r w:rsidRPr="005D1BC5">
        <w:rPr>
          <w:rStyle w:val="charItals"/>
        </w:rPr>
        <w:tab/>
      </w:r>
      <w:r w:rsidRPr="00A060B6">
        <w:t>Section 60 (Exception—evidence relevant for a non-hearsay purpose) does not apply in a criminal proceeding to evidence of an admission.</w:t>
      </w:r>
    </w:p>
    <w:p w:rsidR="00F8610E" w:rsidRPr="00A060B6" w:rsidRDefault="00F8610E" w:rsidP="00486F06">
      <w:pPr>
        <w:pStyle w:val="AH5Sec"/>
      </w:pPr>
      <w:bookmarkStart w:id="115" w:name="_Toc11748470"/>
      <w:r w:rsidRPr="003925E1">
        <w:rPr>
          <w:rStyle w:val="CharSectNo"/>
        </w:rPr>
        <w:t>83</w:t>
      </w:r>
      <w:r w:rsidRPr="00A060B6">
        <w:tab/>
        <w:t>Exclusion of evidence of admissions as against third parties</w:t>
      </w:r>
      <w:bookmarkEnd w:id="115"/>
    </w:p>
    <w:p w:rsidR="00F8610E" w:rsidRPr="00A060B6" w:rsidRDefault="00F8610E" w:rsidP="00486F06">
      <w:pPr>
        <w:pStyle w:val="Amain"/>
      </w:pPr>
      <w:r w:rsidRPr="00A060B6">
        <w:tab/>
        <w:t>(1)</w:t>
      </w:r>
      <w:r w:rsidRPr="00A060B6">
        <w:tab/>
        <w:t>Section 81 does not prevent the application of the hearsay rule or opinion rule to evidence of an admission in relation to the case of a third party.</w:t>
      </w:r>
    </w:p>
    <w:p w:rsidR="00F8610E" w:rsidRPr="00A060B6" w:rsidRDefault="00F8610E" w:rsidP="00486F06">
      <w:pPr>
        <w:pStyle w:val="Amain"/>
      </w:pPr>
      <w:r w:rsidRPr="00A060B6">
        <w:tab/>
        <w:t>(2)</w:t>
      </w:r>
      <w:r w:rsidRPr="00A060B6">
        <w:tab/>
        <w:t>The evidence may be used in relation to the case of a third party if the third party consents.</w:t>
      </w:r>
    </w:p>
    <w:p w:rsidR="00F8610E" w:rsidRPr="00A060B6" w:rsidRDefault="00F8610E" w:rsidP="00486F06">
      <w:pPr>
        <w:pStyle w:val="Amain"/>
      </w:pPr>
      <w:r w:rsidRPr="00A060B6">
        <w:tab/>
        <w:t>(3)</w:t>
      </w:r>
      <w:r w:rsidRPr="00A060B6">
        <w:tab/>
        <w:t>Consent cannot be given in relation to part only of the evidence.</w:t>
      </w:r>
    </w:p>
    <w:p w:rsidR="00F8610E" w:rsidRPr="00A060B6" w:rsidRDefault="00F8610E" w:rsidP="00486F06">
      <w:pPr>
        <w:pStyle w:val="Amain"/>
      </w:pPr>
      <w:r w:rsidRPr="00A060B6">
        <w:tab/>
        <w:t>(4)</w:t>
      </w:r>
      <w:r w:rsidRPr="00A060B6">
        <w:tab/>
        <w:t>In this section:</w:t>
      </w:r>
    </w:p>
    <w:p w:rsidR="00F8610E" w:rsidRPr="00A060B6" w:rsidRDefault="00F8610E" w:rsidP="005D1BC5">
      <w:pPr>
        <w:pStyle w:val="aDef"/>
        <w:keepNext/>
      </w:pPr>
      <w:r w:rsidRPr="005D1BC5">
        <w:rPr>
          <w:rStyle w:val="charBoldItals"/>
        </w:rPr>
        <w:t>third party</w:t>
      </w:r>
      <w:r w:rsidRPr="00A060B6">
        <w:t xml:space="preserve"> means a party to the proceeding, other than the party who—</w:t>
      </w:r>
    </w:p>
    <w:p w:rsidR="00F8610E" w:rsidRPr="00A060B6" w:rsidRDefault="00F8610E" w:rsidP="00486F06">
      <w:pPr>
        <w:pStyle w:val="aDefpara"/>
      </w:pPr>
      <w:r w:rsidRPr="00A060B6">
        <w:tab/>
        <w:t>(a)</w:t>
      </w:r>
      <w:r w:rsidRPr="00A060B6">
        <w:tab/>
        <w:t>made the admission; or</w:t>
      </w:r>
    </w:p>
    <w:p w:rsidR="00F8610E" w:rsidRPr="00A060B6" w:rsidRDefault="00F8610E" w:rsidP="00486F06">
      <w:pPr>
        <w:pStyle w:val="aDefpara"/>
      </w:pPr>
      <w:r w:rsidRPr="00A060B6">
        <w:tab/>
        <w:t>(b)</w:t>
      </w:r>
      <w:r w:rsidRPr="00A060B6">
        <w:tab/>
        <w:t>presented the evidence.</w:t>
      </w:r>
    </w:p>
    <w:p w:rsidR="00F8610E" w:rsidRPr="00A060B6" w:rsidRDefault="00F8610E" w:rsidP="00486F06">
      <w:pPr>
        <w:pStyle w:val="AH5Sec"/>
      </w:pPr>
      <w:bookmarkStart w:id="116" w:name="_Toc11748471"/>
      <w:r w:rsidRPr="003925E1">
        <w:rPr>
          <w:rStyle w:val="CharSectNo"/>
        </w:rPr>
        <w:lastRenderedPageBreak/>
        <w:t>84</w:t>
      </w:r>
      <w:r w:rsidRPr="00A060B6">
        <w:tab/>
        <w:t>Exclusion of admissions influenced by violence and certain other conduct</w:t>
      </w:r>
      <w:bookmarkEnd w:id="116"/>
    </w:p>
    <w:p w:rsidR="00F8610E" w:rsidRPr="00A060B6" w:rsidRDefault="00F8610E" w:rsidP="00155916">
      <w:pPr>
        <w:pStyle w:val="Amain"/>
        <w:keepNext/>
      </w:pPr>
      <w:r w:rsidRPr="00A060B6">
        <w:tab/>
        <w:t>(1)</w:t>
      </w:r>
      <w:r w:rsidRPr="00A060B6">
        <w:tab/>
        <w:t>Evidence of an admission is not admissible unless the court is satisfied that the admission, and the making of the admission, were not influenced by—</w:t>
      </w:r>
    </w:p>
    <w:p w:rsidR="00F8610E" w:rsidRPr="00A060B6" w:rsidRDefault="00F8610E" w:rsidP="00486F06">
      <w:pPr>
        <w:pStyle w:val="Apara"/>
      </w:pPr>
      <w:r w:rsidRPr="00A060B6">
        <w:tab/>
        <w:t>(a)</w:t>
      </w:r>
      <w:r w:rsidRPr="00A060B6">
        <w:tab/>
        <w:t>violent, oppressive, inhuman or degrading conduct, whether towards the person who made the admission or towards someone else; or</w:t>
      </w:r>
    </w:p>
    <w:p w:rsidR="00F8610E" w:rsidRPr="00A060B6" w:rsidRDefault="00F8610E" w:rsidP="00486F06">
      <w:pPr>
        <w:pStyle w:val="Apara"/>
      </w:pPr>
      <w:r w:rsidRPr="00A060B6">
        <w:tab/>
        <w:t>(b)</w:t>
      </w:r>
      <w:r w:rsidRPr="00A060B6">
        <w:tab/>
        <w:t>a threat of conduct mentioned in paragraph (a).</w:t>
      </w:r>
    </w:p>
    <w:p w:rsidR="00F8610E" w:rsidRPr="00A060B6" w:rsidRDefault="00F8610E" w:rsidP="00486F06">
      <w:pPr>
        <w:pStyle w:val="Amain"/>
      </w:pPr>
      <w:r w:rsidRPr="00A060B6">
        <w:tab/>
        <w:t>(2)</w:t>
      </w:r>
      <w:r w:rsidRPr="00A060B6">
        <w:tab/>
        <w:t>Subsection (1) only applies if the party against whom evidence of the admission is presented has raised in the proceeding an issue about whether the admission or its making were influenced in a way mentioned in subsection (1).</w:t>
      </w:r>
    </w:p>
    <w:p w:rsidR="00F8610E" w:rsidRPr="00A060B6" w:rsidRDefault="00F8610E" w:rsidP="00486F06">
      <w:pPr>
        <w:pStyle w:val="AH5Sec"/>
      </w:pPr>
      <w:bookmarkStart w:id="117" w:name="_Toc11748472"/>
      <w:r w:rsidRPr="003925E1">
        <w:rPr>
          <w:rStyle w:val="CharSectNo"/>
        </w:rPr>
        <w:t>85</w:t>
      </w:r>
      <w:r w:rsidRPr="00A060B6">
        <w:tab/>
        <w:t>Criminal proceedings—reliability of admissions by defendants</w:t>
      </w:r>
      <w:bookmarkEnd w:id="117"/>
    </w:p>
    <w:p w:rsidR="00F8610E" w:rsidRPr="00A060B6" w:rsidRDefault="00F8610E" w:rsidP="00486F06">
      <w:pPr>
        <w:pStyle w:val="Amain"/>
      </w:pPr>
      <w:r w:rsidRPr="00A060B6">
        <w:tab/>
        <w:t>(1)</w:t>
      </w:r>
      <w:r w:rsidRPr="00A060B6">
        <w:tab/>
        <w:t>This section applies only in a criminal proceeding and only to evidence of an admission made by a defendant—</w:t>
      </w:r>
    </w:p>
    <w:p w:rsidR="00F8610E" w:rsidRPr="00A060B6" w:rsidRDefault="00F8610E" w:rsidP="00486F06">
      <w:pPr>
        <w:pStyle w:val="Apara"/>
        <w:rPr>
          <w:lang w:eastAsia="en-AU"/>
        </w:rPr>
      </w:pPr>
      <w:r w:rsidRPr="00A060B6">
        <w:rPr>
          <w:lang w:eastAsia="en-AU"/>
        </w:rPr>
        <w:tab/>
        <w:t>(a)</w:t>
      </w:r>
      <w:r w:rsidRPr="00A060B6">
        <w:rPr>
          <w:lang w:eastAsia="en-AU"/>
        </w:rPr>
        <w:tab/>
        <w:t>to, or in the presence of, an investigating official who at the time was exercising functions in connection with the investigation of the commission, or possible commission, of an offence; or</w:t>
      </w:r>
    </w:p>
    <w:p w:rsidR="00F8610E" w:rsidRPr="00A060B6" w:rsidRDefault="00F8610E" w:rsidP="00486F06">
      <w:pPr>
        <w:pStyle w:val="Apara"/>
        <w:rPr>
          <w:lang w:eastAsia="en-AU"/>
        </w:rPr>
      </w:pPr>
      <w:r w:rsidRPr="00A060B6">
        <w:rPr>
          <w:lang w:eastAsia="en-AU"/>
        </w:rPr>
        <w:tab/>
        <w:t>(b)</w:t>
      </w:r>
      <w:r w:rsidRPr="00A060B6">
        <w:rPr>
          <w:lang w:eastAsia="en-AU"/>
        </w:rPr>
        <w:tab/>
        <w:t>as a result of an act of someone else who was, and who the defendant knew or reasonably believed to be, capable of influencing the decision whether a prosecution of the defendant should be brought or should be continued.</w:t>
      </w:r>
    </w:p>
    <w:p w:rsidR="00F8610E" w:rsidRPr="00A060B6" w:rsidRDefault="00F8610E" w:rsidP="00E7670C">
      <w:pPr>
        <w:pStyle w:val="aNote"/>
        <w:rPr>
          <w:lang w:eastAsia="en-AU"/>
        </w:rPr>
      </w:pPr>
      <w:r w:rsidRPr="005D1BC5">
        <w:rPr>
          <w:rStyle w:val="charItals"/>
        </w:rPr>
        <w:t>Note</w:t>
      </w:r>
      <w:r w:rsidRPr="005D1BC5">
        <w:rPr>
          <w:rStyle w:val="charItals"/>
        </w:rPr>
        <w:tab/>
      </w:r>
      <w:r w:rsidRPr="00A060B6">
        <w:rPr>
          <w:lang w:eastAsia="en-AU"/>
        </w:rPr>
        <w:t xml:space="preserve">Subsection (1) was inserted as a response to the decision of the High Court of in </w:t>
      </w:r>
      <w:r w:rsidRPr="005D1BC5">
        <w:rPr>
          <w:rStyle w:val="charItals"/>
        </w:rPr>
        <w:t>Kelly v The Queen</w:t>
      </w:r>
      <w:r w:rsidRPr="00A060B6">
        <w:rPr>
          <w:lang w:eastAsia="en-AU"/>
        </w:rPr>
        <w:t xml:space="preserve"> (2004) 218 CLR 216.</w:t>
      </w:r>
    </w:p>
    <w:p w:rsidR="00F8610E" w:rsidRPr="00A060B6" w:rsidRDefault="00F8610E" w:rsidP="00486F06">
      <w:pPr>
        <w:pStyle w:val="Amain"/>
      </w:pPr>
      <w:r w:rsidRPr="00A060B6">
        <w:tab/>
        <w:t>(2)</w:t>
      </w:r>
      <w:r w:rsidRPr="00A060B6">
        <w:tab/>
        <w:t>Evidence of the admission is not admissible unless the circumstances in which the admission was made make it unlikely that the truth of the admission was adversely affected.</w:t>
      </w:r>
    </w:p>
    <w:p w:rsidR="00F8610E" w:rsidRPr="00A060B6" w:rsidRDefault="00F8610E" w:rsidP="00486F06">
      <w:pPr>
        <w:pStyle w:val="Amain"/>
      </w:pPr>
      <w:r w:rsidRPr="00A060B6">
        <w:lastRenderedPageBreak/>
        <w:tab/>
        <w:t>(3)</w:t>
      </w:r>
      <w:r w:rsidRPr="00A060B6">
        <w:tab/>
        <w:t>Without limiting the matters that the court may take into account for subsection (2), it must take into account—</w:t>
      </w:r>
    </w:p>
    <w:p w:rsidR="00F8610E" w:rsidRPr="00A060B6" w:rsidRDefault="00F8610E" w:rsidP="00486F06">
      <w:pPr>
        <w:pStyle w:val="Apara"/>
      </w:pPr>
      <w:r w:rsidRPr="00A060B6">
        <w:tab/>
        <w:t>(a)</w:t>
      </w:r>
      <w:r w:rsidRPr="00A060B6">
        <w:tab/>
        <w:t>any relevant condition or characteristic of the person who made the admission, including age, personality and education and any mental, intellectual or physical disability to which the person is or appears to be subject; and</w:t>
      </w:r>
    </w:p>
    <w:p w:rsidR="00F8610E" w:rsidRPr="00A060B6" w:rsidRDefault="00F8610E" w:rsidP="00486F06">
      <w:pPr>
        <w:pStyle w:val="Apara"/>
      </w:pPr>
      <w:r w:rsidRPr="00A060B6">
        <w:tab/>
        <w:t>(b)</w:t>
      </w:r>
      <w:r w:rsidRPr="00A060B6">
        <w:tab/>
        <w:t>if the admission was made in response to questioning—</w:t>
      </w:r>
    </w:p>
    <w:p w:rsidR="00F8610E" w:rsidRPr="00A060B6" w:rsidRDefault="00F8610E" w:rsidP="00486F06">
      <w:pPr>
        <w:pStyle w:val="Asubpara"/>
      </w:pPr>
      <w:r w:rsidRPr="00A060B6">
        <w:tab/>
        <w:t>(i)</w:t>
      </w:r>
      <w:r w:rsidRPr="00A060B6">
        <w:tab/>
        <w:t>the nature of the questions and the way in which they were put; and</w:t>
      </w:r>
    </w:p>
    <w:p w:rsidR="00F8610E" w:rsidRPr="00A060B6" w:rsidRDefault="00F8610E" w:rsidP="00486F06">
      <w:pPr>
        <w:pStyle w:val="Asubpara"/>
      </w:pPr>
      <w:r w:rsidRPr="00A060B6">
        <w:tab/>
        <w:t>(ii)</w:t>
      </w:r>
      <w:r w:rsidRPr="00A060B6">
        <w:tab/>
        <w:t>the nature of any threat, promise or other inducement made to the person questioned.</w:t>
      </w:r>
    </w:p>
    <w:p w:rsidR="00F8610E" w:rsidRPr="00A060B6" w:rsidRDefault="00F8610E" w:rsidP="00486F06">
      <w:pPr>
        <w:pStyle w:val="AH5Sec"/>
      </w:pPr>
      <w:bookmarkStart w:id="118" w:name="_Toc11748473"/>
      <w:r w:rsidRPr="003925E1">
        <w:rPr>
          <w:rStyle w:val="CharSectNo"/>
        </w:rPr>
        <w:t>86</w:t>
      </w:r>
      <w:r w:rsidRPr="00A060B6">
        <w:tab/>
        <w:t>Exclusion of records of oral questioning</w:t>
      </w:r>
      <w:bookmarkEnd w:id="118"/>
    </w:p>
    <w:p w:rsidR="00F8610E" w:rsidRPr="00A060B6" w:rsidRDefault="00F8610E" w:rsidP="00486F06">
      <w:pPr>
        <w:pStyle w:val="Amain"/>
      </w:pPr>
      <w:r w:rsidRPr="00A060B6">
        <w:tab/>
        <w:t>(1)</w:t>
      </w:r>
      <w:r w:rsidRPr="00A060B6">
        <w:tab/>
        <w:t>This section applies only in a criminal proceeding and only if an oral admission was made by a defendant to an investigating official in response to a question put or representation made by the official.</w:t>
      </w:r>
    </w:p>
    <w:p w:rsidR="00F8610E" w:rsidRPr="00A060B6" w:rsidRDefault="00F8610E" w:rsidP="00486F06">
      <w:pPr>
        <w:pStyle w:val="Amain"/>
      </w:pPr>
      <w:r w:rsidRPr="00A060B6">
        <w:tab/>
        <w:t>(2)</w:t>
      </w:r>
      <w:r w:rsidRPr="00A060B6">
        <w:tab/>
        <w:t>A document prepared by or on behalf of the official is not admissible to prove the contents of the question, representation or response unless the defendant has acknowledged that the document is a true record of the question, representation or response.</w:t>
      </w:r>
    </w:p>
    <w:p w:rsidR="00F8610E" w:rsidRPr="00A060B6" w:rsidRDefault="00F8610E" w:rsidP="00486F06">
      <w:pPr>
        <w:pStyle w:val="Amain"/>
      </w:pPr>
      <w:r w:rsidRPr="00A060B6">
        <w:tab/>
        <w:t>(3)</w:t>
      </w:r>
      <w:r w:rsidRPr="00A060B6">
        <w:tab/>
        <w:t>The acknowledgment must be made by signing, initialling or otherwise marking the document.</w:t>
      </w:r>
    </w:p>
    <w:p w:rsidR="00F8610E" w:rsidRPr="00A060B6" w:rsidRDefault="00F8610E" w:rsidP="00486F06">
      <w:pPr>
        <w:pStyle w:val="Amain"/>
      </w:pPr>
      <w:r w:rsidRPr="00A060B6">
        <w:tab/>
        <w:t>(4)</w:t>
      </w:r>
      <w:r w:rsidRPr="00A060B6">
        <w:tab/>
        <w:t>In this section:</w:t>
      </w:r>
    </w:p>
    <w:p w:rsidR="00F8610E" w:rsidRPr="00A060B6" w:rsidRDefault="00F8610E" w:rsidP="00C23C3D">
      <w:pPr>
        <w:pStyle w:val="aDef"/>
        <w:keepNext/>
      </w:pPr>
      <w:r w:rsidRPr="005D1BC5">
        <w:rPr>
          <w:rStyle w:val="charBoldItals"/>
        </w:rPr>
        <w:t>document</w:t>
      </w:r>
      <w:r w:rsidRPr="00A060B6">
        <w:t xml:space="preserve"> does not include the following:</w:t>
      </w:r>
    </w:p>
    <w:p w:rsidR="00F8610E" w:rsidRPr="00A060B6" w:rsidRDefault="00F8610E" w:rsidP="00486F06">
      <w:pPr>
        <w:pStyle w:val="aDefpara"/>
      </w:pPr>
      <w:r w:rsidRPr="00A060B6">
        <w:tab/>
        <w:t>(a)</w:t>
      </w:r>
      <w:r w:rsidRPr="00A060B6">
        <w:tab/>
        <w:t>a sound recording, or a transcript of a sound recording;</w:t>
      </w:r>
    </w:p>
    <w:p w:rsidR="00F8610E" w:rsidRPr="00A060B6" w:rsidRDefault="00F8610E" w:rsidP="00486F06">
      <w:pPr>
        <w:pStyle w:val="aDefpara"/>
      </w:pPr>
      <w:r w:rsidRPr="00A060B6">
        <w:tab/>
        <w:t>(b)</w:t>
      </w:r>
      <w:r w:rsidRPr="00A060B6">
        <w:tab/>
        <w:t>a recording of visual images and sounds, or a transcript of the recorded sounds.</w:t>
      </w:r>
    </w:p>
    <w:p w:rsidR="00F8610E" w:rsidRPr="00A060B6" w:rsidRDefault="00F8610E" w:rsidP="00486F06">
      <w:pPr>
        <w:pStyle w:val="AH5Sec"/>
      </w:pPr>
      <w:bookmarkStart w:id="119" w:name="_Toc11748474"/>
      <w:r w:rsidRPr="003925E1">
        <w:rPr>
          <w:rStyle w:val="CharSectNo"/>
        </w:rPr>
        <w:lastRenderedPageBreak/>
        <w:t>87</w:t>
      </w:r>
      <w:r w:rsidRPr="00A060B6">
        <w:tab/>
        <w:t>Admissions made with authority</w:t>
      </w:r>
      <w:bookmarkEnd w:id="119"/>
    </w:p>
    <w:p w:rsidR="00F8610E" w:rsidRPr="00A060B6" w:rsidRDefault="00F8610E" w:rsidP="00486F06">
      <w:pPr>
        <w:pStyle w:val="Amain"/>
      </w:pPr>
      <w:r w:rsidRPr="00A060B6">
        <w:tab/>
        <w:t>(1)</w:t>
      </w:r>
      <w:r w:rsidRPr="00A060B6">
        <w:tab/>
        <w:t>For the purpose of deciding whether a previous representation made by a person is also taken to be an admission by a party, the court must admit the representation if it is reasonably open to find that—</w:t>
      </w:r>
    </w:p>
    <w:p w:rsidR="00F8610E" w:rsidRPr="00A060B6" w:rsidRDefault="00F8610E" w:rsidP="00486F06">
      <w:pPr>
        <w:pStyle w:val="Apara"/>
      </w:pPr>
      <w:r w:rsidRPr="00A060B6">
        <w:tab/>
        <w:t>(a)</w:t>
      </w:r>
      <w:r w:rsidRPr="00A060B6">
        <w:tab/>
        <w:t>when the representation was made, the person had authority to make statements on behalf of the party in relation to the matter in relation to which the representation was made; or</w:t>
      </w:r>
    </w:p>
    <w:p w:rsidR="00F8610E" w:rsidRPr="00A060B6" w:rsidRDefault="00F8610E" w:rsidP="00486F06">
      <w:pPr>
        <w:pStyle w:val="Apara"/>
      </w:pPr>
      <w:r w:rsidRPr="00A060B6">
        <w:tab/>
        <w:t>(b)</w:t>
      </w:r>
      <w:r w:rsidRPr="00A060B6">
        <w:tab/>
        <w:t>when the representation was made, the person was an employee of the party, or had authority otherwise to act for the party, and the representation related to a matter within the scope of the person’s employment or authority; or</w:t>
      </w:r>
    </w:p>
    <w:p w:rsidR="00F8610E" w:rsidRPr="00A060B6" w:rsidRDefault="00F8610E" w:rsidP="00486F06">
      <w:pPr>
        <w:pStyle w:val="Apara"/>
      </w:pPr>
      <w:r w:rsidRPr="00A060B6">
        <w:tab/>
        <w:t>(c)</w:t>
      </w:r>
      <w:r w:rsidRPr="00A060B6">
        <w:tab/>
        <w:t>the representation was made by the person in furtherance of a common purpose (whether lawful or not) that the person had with the party or 1 or more people including the party.</w:t>
      </w:r>
    </w:p>
    <w:p w:rsidR="00F8610E" w:rsidRPr="00A060B6" w:rsidRDefault="00F8610E" w:rsidP="00486F06">
      <w:pPr>
        <w:pStyle w:val="Amain"/>
      </w:pPr>
      <w:r w:rsidRPr="00A060B6">
        <w:tab/>
        <w:t>(2)</w:t>
      </w:r>
      <w:r w:rsidRPr="00A060B6">
        <w:tab/>
        <w:t>For this section, the hearsay rule does not apply to a previous representation made by a person that tends to prove—</w:t>
      </w:r>
    </w:p>
    <w:p w:rsidR="00F8610E" w:rsidRPr="00A060B6" w:rsidRDefault="00F8610E" w:rsidP="00486F06">
      <w:pPr>
        <w:pStyle w:val="Apara"/>
      </w:pPr>
      <w:r w:rsidRPr="00A060B6">
        <w:tab/>
        <w:t>(a)</w:t>
      </w:r>
      <w:r w:rsidRPr="00A060B6">
        <w:tab/>
        <w:t>that the person had authority to make statements on behalf of someone else in relation to a matter; or</w:t>
      </w:r>
    </w:p>
    <w:p w:rsidR="00F8610E" w:rsidRPr="00A060B6" w:rsidRDefault="00F8610E" w:rsidP="00486F06">
      <w:pPr>
        <w:pStyle w:val="Apara"/>
      </w:pPr>
      <w:r w:rsidRPr="00A060B6">
        <w:tab/>
        <w:t>(b)</w:t>
      </w:r>
      <w:r w:rsidRPr="00A060B6">
        <w:tab/>
        <w:t>that the person was an employee of someone else or had authority otherwise to act for someone else; or</w:t>
      </w:r>
    </w:p>
    <w:p w:rsidR="00F8610E" w:rsidRPr="00A060B6" w:rsidRDefault="00F8610E" w:rsidP="00486F06">
      <w:pPr>
        <w:pStyle w:val="Apara"/>
      </w:pPr>
      <w:r w:rsidRPr="00A060B6">
        <w:tab/>
        <w:t>(c)</w:t>
      </w:r>
      <w:r w:rsidRPr="00A060B6">
        <w:tab/>
        <w:t>the scope of the person’s employment or authority.</w:t>
      </w:r>
    </w:p>
    <w:p w:rsidR="00F8610E" w:rsidRPr="00A060B6" w:rsidRDefault="00F8610E" w:rsidP="00486F06">
      <w:pPr>
        <w:pStyle w:val="AH5Sec"/>
      </w:pPr>
      <w:bookmarkStart w:id="120" w:name="_Toc11748475"/>
      <w:r w:rsidRPr="003925E1">
        <w:rPr>
          <w:rStyle w:val="CharSectNo"/>
        </w:rPr>
        <w:t>88</w:t>
      </w:r>
      <w:r w:rsidRPr="00A060B6">
        <w:tab/>
        <w:t>Proof of admissions</w:t>
      </w:r>
      <w:bookmarkEnd w:id="120"/>
    </w:p>
    <w:p w:rsidR="00F8610E" w:rsidRPr="00A060B6" w:rsidRDefault="00F8610E" w:rsidP="00E51812">
      <w:pPr>
        <w:pStyle w:val="Amainreturn"/>
      </w:pPr>
      <w:r w:rsidRPr="00A060B6">
        <w:t>For the purpose of deciding whether evidence of an admission is admissible, the court must find that a particular person made the admission if it is reasonably open to find that the person made the admission.</w:t>
      </w:r>
    </w:p>
    <w:p w:rsidR="00F8610E" w:rsidRPr="00A060B6" w:rsidRDefault="00F8610E" w:rsidP="00486F06">
      <w:pPr>
        <w:pStyle w:val="AH5Sec"/>
      </w:pPr>
      <w:bookmarkStart w:id="121" w:name="_Toc11748476"/>
      <w:r w:rsidRPr="003925E1">
        <w:rPr>
          <w:rStyle w:val="CharSectNo"/>
        </w:rPr>
        <w:lastRenderedPageBreak/>
        <w:t>89</w:t>
      </w:r>
      <w:r w:rsidRPr="00A060B6">
        <w:tab/>
        <w:t>Evidence of silence</w:t>
      </w:r>
      <w:bookmarkEnd w:id="121"/>
    </w:p>
    <w:p w:rsidR="00F8610E" w:rsidRPr="00A060B6" w:rsidRDefault="00F8610E" w:rsidP="00486F06">
      <w:pPr>
        <w:pStyle w:val="Amain"/>
      </w:pPr>
      <w:r w:rsidRPr="00A060B6">
        <w:tab/>
        <w:t>(1)</w:t>
      </w:r>
      <w:r w:rsidRPr="00A060B6">
        <w:tab/>
        <w:t>In a criminal proceeding, an inference unfavourable to a party must not be drawn from evidence that the party or someone else failed—</w:t>
      </w:r>
    </w:p>
    <w:p w:rsidR="00F8610E" w:rsidRPr="00A060B6" w:rsidRDefault="00F8610E" w:rsidP="00486F06">
      <w:pPr>
        <w:pStyle w:val="Apara"/>
      </w:pPr>
      <w:r w:rsidRPr="00A060B6">
        <w:tab/>
        <w:t>(a)</w:t>
      </w:r>
      <w:r w:rsidRPr="00A060B6">
        <w:tab/>
        <w:t>to answer 1 or more questions; or</w:t>
      </w:r>
    </w:p>
    <w:p w:rsidR="00F8610E" w:rsidRPr="00A060B6" w:rsidRDefault="00F8610E" w:rsidP="00486F06">
      <w:pPr>
        <w:pStyle w:val="Apara"/>
      </w:pPr>
      <w:r w:rsidRPr="00A060B6">
        <w:tab/>
        <w:t>(b)</w:t>
      </w:r>
      <w:r w:rsidRPr="00A060B6">
        <w:tab/>
        <w:t>to respond to a representation;</w:t>
      </w:r>
    </w:p>
    <w:p w:rsidR="00F8610E" w:rsidRPr="00A060B6" w:rsidRDefault="00F8610E" w:rsidP="00C23C3D">
      <w:pPr>
        <w:pStyle w:val="Amainreturn"/>
        <w:keepNext/>
      </w:pPr>
      <w:r w:rsidRPr="00A060B6">
        <w:t>put or made to the party or other person by an investigating official who at the time was exercising functions in connection with the investigation of the commission, or possible commission, of an offence.</w:t>
      </w:r>
    </w:p>
    <w:p w:rsidR="00F8610E" w:rsidRPr="00A060B6" w:rsidRDefault="00F8610E" w:rsidP="005368FF">
      <w:pPr>
        <w:pStyle w:val="aNote"/>
      </w:pPr>
      <w:r w:rsidRPr="005D1BC5">
        <w:rPr>
          <w:rStyle w:val="charItals"/>
        </w:rPr>
        <w:t>Note</w:t>
      </w:r>
      <w:r w:rsidRPr="005D1BC5">
        <w:rPr>
          <w:rStyle w:val="charItals"/>
        </w:rPr>
        <w:tab/>
      </w:r>
      <w:r w:rsidRPr="005D1BC5">
        <w:rPr>
          <w:rStyle w:val="charBoldItals"/>
        </w:rPr>
        <w:t>Fail</w:t>
      </w:r>
      <w:r w:rsidRPr="00A060B6">
        <w:t xml:space="preserve"> includes refuse (see </w:t>
      </w:r>
      <w:hyperlink r:id="rId93" w:tooltip="A2001-14" w:history="1">
        <w:r w:rsidR="00AF17FE" w:rsidRPr="00AF17FE">
          <w:rPr>
            <w:rStyle w:val="charCitHyperlinkAbbrev"/>
          </w:rPr>
          <w:t>Legislation Act</w:t>
        </w:r>
      </w:hyperlink>
      <w:r w:rsidRPr="00A060B6">
        <w:t>, dict, pt 1).</w:t>
      </w:r>
    </w:p>
    <w:p w:rsidR="00F8610E" w:rsidRPr="00A060B6" w:rsidRDefault="00F8610E" w:rsidP="00486F06">
      <w:pPr>
        <w:pStyle w:val="Amain"/>
      </w:pPr>
      <w:r w:rsidRPr="00A060B6">
        <w:tab/>
        <w:t>(2)</w:t>
      </w:r>
      <w:r w:rsidRPr="00A060B6">
        <w:tab/>
        <w:t>Evidence of that kind is not admissible if it can only be used to draw an inference mentioned in subsection (1).</w:t>
      </w:r>
    </w:p>
    <w:p w:rsidR="00F8610E" w:rsidRPr="00A060B6" w:rsidRDefault="00F8610E" w:rsidP="00486F06">
      <w:pPr>
        <w:pStyle w:val="Amain"/>
      </w:pPr>
      <w:r w:rsidRPr="00A060B6">
        <w:tab/>
        <w:t>(3)</w:t>
      </w:r>
      <w:r w:rsidRPr="00A060B6">
        <w:tab/>
        <w:t>Subsection (1) does not prevent use of the evidence to prove that the party or other person failed to answer the question or to respond to the representation if the failure is a fact in issue in the proceeding.</w:t>
      </w:r>
    </w:p>
    <w:p w:rsidR="00F8610E" w:rsidRPr="00A060B6" w:rsidRDefault="00F8610E" w:rsidP="00486F06">
      <w:pPr>
        <w:pStyle w:val="Amain"/>
      </w:pPr>
      <w:r w:rsidRPr="00A060B6">
        <w:tab/>
        <w:t>(4)</w:t>
      </w:r>
      <w:r w:rsidRPr="00A060B6">
        <w:tab/>
        <w:t>In this section:</w:t>
      </w:r>
    </w:p>
    <w:p w:rsidR="00F8610E" w:rsidRPr="00A060B6" w:rsidRDefault="00F8610E" w:rsidP="00C23C3D">
      <w:pPr>
        <w:pStyle w:val="aDef"/>
        <w:keepNext/>
      </w:pPr>
      <w:r w:rsidRPr="005D1BC5">
        <w:rPr>
          <w:rStyle w:val="charBoldItals"/>
        </w:rPr>
        <w:t>inference</w:t>
      </w:r>
      <w:r w:rsidRPr="00A060B6">
        <w:t xml:space="preserve"> includes the following:</w:t>
      </w:r>
    </w:p>
    <w:p w:rsidR="00F8610E" w:rsidRPr="00A060B6" w:rsidRDefault="00F8610E" w:rsidP="00486F06">
      <w:pPr>
        <w:pStyle w:val="aDefpara"/>
      </w:pPr>
      <w:r w:rsidRPr="00A060B6">
        <w:tab/>
        <w:t>(a)</w:t>
      </w:r>
      <w:r w:rsidRPr="00A060B6">
        <w:tab/>
        <w:t xml:space="preserve">an inference of consciousness of guilt; </w:t>
      </w:r>
    </w:p>
    <w:p w:rsidR="00F8610E" w:rsidRPr="00A060B6" w:rsidRDefault="00F8610E" w:rsidP="00486F06">
      <w:pPr>
        <w:pStyle w:val="aDefpara"/>
      </w:pPr>
      <w:r w:rsidRPr="00A060B6">
        <w:tab/>
        <w:t>(b)</w:t>
      </w:r>
      <w:r w:rsidRPr="00A060B6">
        <w:tab/>
        <w:t>an inference relevant to a party’s credibility.</w:t>
      </w:r>
    </w:p>
    <w:p w:rsidR="00F8610E" w:rsidRPr="00A060B6" w:rsidRDefault="00F8610E" w:rsidP="00486F06">
      <w:pPr>
        <w:pStyle w:val="AH5Sec"/>
      </w:pPr>
      <w:bookmarkStart w:id="122" w:name="_Toc11748477"/>
      <w:r w:rsidRPr="003925E1">
        <w:rPr>
          <w:rStyle w:val="CharSectNo"/>
        </w:rPr>
        <w:t>90</w:t>
      </w:r>
      <w:r w:rsidRPr="00A060B6">
        <w:tab/>
        <w:t>Discretion to exclude admissions</w:t>
      </w:r>
      <w:bookmarkEnd w:id="122"/>
    </w:p>
    <w:p w:rsidR="00F8610E" w:rsidRPr="00A060B6" w:rsidRDefault="00F8610E" w:rsidP="00E51812">
      <w:pPr>
        <w:pStyle w:val="Amainreturn"/>
        <w:keepNext/>
      </w:pPr>
      <w:r w:rsidRPr="00A060B6">
        <w:t>In a criminal proceeding, the court may refuse to admit evidence of an admission, or refuse to admit the evidence to prove a particular fact, if—</w:t>
      </w:r>
    </w:p>
    <w:p w:rsidR="00F8610E" w:rsidRPr="00A060B6" w:rsidRDefault="00F8610E" w:rsidP="00486F06">
      <w:pPr>
        <w:pStyle w:val="Apara"/>
      </w:pPr>
      <w:r w:rsidRPr="00A060B6">
        <w:tab/>
        <w:t>(a)</w:t>
      </w:r>
      <w:r w:rsidRPr="00A060B6">
        <w:tab/>
        <w:t>the evidence is presented by the prosecution; and</w:t>
      </w:r>
    </w:p>
    <w:p w:rsidR="00F8610E" w:rsidRPr="00A060B6" w:rsidRDefault="00F8610E" w:rsidP="00486F06">
      <w:pPr>
        <w:pStyle w:val="Apara"/>
      </w:pPr>
      <w:r w:rsidRPr="00A060B6">
        <w:tab/>
        <w:t>(b)</w:t>
      </w:r>
      <w:r w:rsidRPr="00A060B6">
        <w:tab/>
        <w:t>having regard to the circumstances in which the admission was made, it would be unfair to a defendant to use the evidence.</w:t>
      </w:r>
    </w:p>
    <w:p w:rsidR="00F8610E" w:rsidRPr="00A060B6" w:rsidRDefault="00F8610E" w:rsidP="00E51812">
      <w:pPr>
        <w:pStyle w:val="aNote"/>
      </w:pPr>
      <w:r w:rsidRPr="005D1BC5">
        <w:rPr>
          <w:rStyle w:val="charItals"/>
        </w:rPr>
        <w:t>Note</w:t>
      </w:r>
      <w:r w:rsidRPr="005D1BC5">
        <w:rPr>
          <w:rStyle w:val="charItals"/>
        </w:rPr>
        <w:tab/>
      </w:r>
      <w:r w:rsidRPr="00A060B6">
        <w:t>Pt 3.11 contains other exclusionary discretions that apply to admissions.</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123" w:name="_Toc11748478"/>
      <w:r w:rsidRPr="003925E1">
        <w:rPr>
          <w:rStyle w:val="CharPartNo"/>
        </w:rPr>
        <w:lastRenderedPageBreak/>
        <w:t>Part 3.5</w:t>
      </w:r>
      <w:r w:rsidRPr="00A060B6">
        <w:tab/>
      </w:r>
      <w:r w:rsidRPr="003925E1">
        <w:rPr>
          <w:rStyle w:val="CharPartText"/>
        </w:rPr>
        <w:t>Evidence of judgments and convictions</w:t>
      </w:r>
      <w:bookmarkEnd w:id="123"/>
    </w:p>
    <w:p w:rsidR="00F8610E" w:rsidRPr="00A060B6" w:rsidRDefault="00F8610E" w:rsidP="00486F06">
      <w:pPr>
        <w:pStyle w:val="AH5Sec"/>
      </w:pPr>
      <w:bookmarkStart w:id="124" w:name="_Toc11748479"/>
      <w:r w:rsidRPr="003925E1">
        <w:rPr>
          <w:rStyle w:val="CharSectNo"/>
        </w:rPr>
        <w:t>91</w:t>
      </w:r>
      <w:r w:rsidRPr="00A060B6">
        <w:tab/>
        <w:t>Exclusion of evidence of judgments and convictions</w:t>
      </w:r>
      <w:bookmarkEnd w:id="124"/>
    </w:p>
    <w:p w:rsidR="00F8610E" w:rsidRPr="00A060B6" w:rsidRDefault="00F8610E" w:rsidP="00486F06">
      <w:pPr>
        <w:pStyle w:val="Amain"/>
      </w:pPr>
      <w:r w:rsidRPr="00A060B6">
        <w:tab/>
        <w:t>(1)</w:t>
      </w:r>
      <w:r w:rsidRPr="00A060B6">
        <w:tab/>
        <w:t>Evidence of the decision, or of a finding of fact, in an Australian or overseas proceeding is not admissible to prove the existence of a fact that was in issue in the proceeding.</w:t>
      </w:r>
    </w:p>
    <w:p w:rsidR="00F8610E" w:rsidRPr="00A060B6" w:rsidRDefault="00F8610E" w:rsidP="00486F06">
      <w:pPr>
        <w:pStyle w:val="Amain"/>
      </w:pPr>
      <w:r w:rsidRPr="00A060B6">
        <w:tab/>
        <w:t>(2)</w:t>
      </w:r>
      <w:r w:rsidRPr="00A060B6">
        <w:tab/>
        <w:t>Evidence that, under this part, is not admissible to prove the existence of a fact may not be used to prove the fact even if it is relevant for another purpose.</w:t>
      </w:r>
    </w:p>
    <w:p w:rsidR="00F8610E" w:rsidRPr="00A060B6" w:rsidRDefault="00F8610E" w:rsidP="00E51812">
      <w:pPr>
        <w:pStyle w:val="aNote"/>
      </w:pPr>
      <w:r w:rsidRPr="005D1BC5">
        <w:rPr>
          <w:rStyle w:val="charItals"/>
        </w:rPr>
        <w:t>Note</w:t>
      </w:r>
      <w:r w:rsidRPr="005D1BC5">
        <w:rPr>
          <w:rStyle w:val="charItals"/>
        </w:rPr>
        <w:tab/>
      </w:r>
      <w:r w:rsidRPr="00A060B6">
        <w:t>Section 178 (Convictions, acquittals and other judicial proceedings) provides for certificate evidence of decisions.</w:t>
      </w:r>
    </w:p>
    <w:p w:rsidR="00F8610E" w:rsidRPr="00A060B6" w:rsidRDefault="00F8610E" w:rsidP="00486F06">
      <w:pPr>
        <w:pStyle w:val="AH5Sec"/>
      </w:pPr>
      <w:bookmarkStart w:id="125" w:name="_Toc11748480"/>
      <w:r w:rsidRPr="003925E1">
        <w:rPr>
          <w:rStyle w:val="CharSectNo"/>
        </w:rPr>
        <w:t>92</w:t>
      </w:r>
      <w:r w:rsidRPr="00A060B6">
        <w:tab/>
        <w:t>Exceptions</w:t>
      </w:r>
      <w:bookmarkEnd w:id="125"/>
    </w:p>
    <w:p w:rsidR="00F8610E" w:rsidRPr="00A060B6" w:rsidRDefault="00F8610E" w:rsidP="00486F06">
      <w:pPr>
        <w:pStyle w:val="Amain"/>
      </w:pPr>
      <w:r w:rsidRPr="00A060B6">
        <w:tab/>
        <w:t>(1)</w:t>
      </w:r>
      <w:r w:rsidRPr="00A060B6">
        <w:tab/>
        <w:t>Section 91 (1) does not prevent the admission or use of evidence of the grant of probate, letters of administration or a similar order of a court to prove—</w:t>
      </w:r>
    </w:p>
    <w:p w:rsidR="00F8610E" w:rsidRPr="00A060B6" w:rsidRDefault="00F8610E" w:rsidP="00486F06">
      <w:pPr>
        <w:pStyle w:val="Apara"/>
      </w:pPr>
      <w:r w:rsidRPr="00A060B6">
        <w:tab/>
        <w:t>(a)</w:t>
      </w:r>
      <w:r w:rsidRPr="00A060B6">
        <w:tab/>
        <w:t>the death, or date of death, of a person; or</w:t>
      </w:r>
    </w:p>
    <w:p w:rsidR="00F8610E" w:rsidRPr="00A060B6" w:rsidRDefault="00F8610E" w:rsidP="00486F06">
      <w:pPr>
        <w:pStyle w:val="Apara"/>
      </w:pPr>
      <w:r w:rsidRPr="00A060B6">
        <w:tab/>
        <w:t>(b)</w:t>
      </w:r>
      <w:r w:rsidRPr="00A060B6">
        <w:tab/>
        <w:t>the proper execution of a testamentary document.</w:t>
      </w:r>
    </w:p>
    <w:p w:rsidR="00F8610E" w:rsidRPr="00A060B6" w:rsidRDefault="00F8610E" w:rsidP="00486F06">
      <w:pPr>
        <w:pStyle w:val="Amain"/>
      </w:pPr>
      <w:r w:rsidRPr="00A060B6">
        <w:tab/>
        <w:t>(2)</w:t>
      </w:r>
      <w:r w:rsidRPr="00A060B6">
        <w:tab/>
        <w:t>In a civil proceeding, section 91 (1) does not prevent the admission or use of evidence that a party, or a person through or under whom a party claims, has been convicted of an offence, other than a conviction—</w:t>
      </w:r>
    </w:p>
    <w:p w:rsidR="00F8610E" w:rsidRPr="00A060B6" w:rsidRDefault="00F8610E" w:rsidP="00486F06">
      <w:pPr>
        <w:pStyle w:val="Apara"/>
      </w:pPr>
      <w:r w:rsidRPr="00A060B6">
        <w:tab/>
        <w:t>(a)</w:t>
      </w:r>
      <w:r w:rsidRPr="00A060B6">
        <w:tab/>
        <w:t>in relation to which a review or appeal (however described) has been started but not finally decided; or</w:t>
      </w:r>
    </w:p>
    <w:p w:rsidR="00F8610E" w:rsidRPr="00A060B6" w:rsidRDefault="00F8610E" w:rsidP="00486F06">
      <w:pPr>
        <w:pStyle w:val="Apara"/>
      </w:pPr>
      <w:r w:rsidRPr="00A060B6">
        <w:tab/>
        <w:t>(b)</w:t>
      </w:r>
      <w:r w:rsidRPr="00A060B6">
        <w:tab/>
        <w:t>that has been quashed or set aside; or</w:t>
      </w:r>
    </w:p>
    <w:p w:rsidR="00F8610E" w:rsidRPr="00A060B6" w:rsidRDefault="00F8610E" w:rsidP="00486F06">
      <w:pPr>
        <w:pStyle w:val="Apara"/>
      </w:pPr>
      <w:r w:rsidRPr="00A060B6">
        <w:tab/>
        <w:t>(c)</w:t>
      </w:r>
      <w:r w:rsidRPr="00A060B6">
        <w:tab/>
        <w:t>in relation to which a pardon has been given.</w:t>
      </w:r>
    </w:p>
    <w:p w:rsidR="00F8610E" w:rsidRPr="00A060B6" w:rsidRDefault="00F8610E" w:rsidP="00486F06">
      <w:pPr>
        <w:pStyle w:val="Amain"/>
      </w:pPr>
      <w:r w:rsidRPr="00A060B6">
        <w:tab/>
        <w:t>(3)</w:t>
      </w:r>
      <w:r w:rsidRPr="00A060B6">
        <w:tab/>
        <w:t>The hearsay rule and the opinion rule do not apply to evidence mentioned in this section.</w:t>
      </w:r>
    </w:p>
    <w:p w:rsidR="00F8610E" w:rsidRPr="00A060B6" w:rsidRDefault="00F8610E" w:rsidP="00486F06">
      <w:pPr>
        <w:pStyle w:val="AH5Sec"/>
      </w:pPr>
      <w:bookmarkStart w:id="126" w:name="_Toc11748481"/>
      <w:r w:rsidRPr="003925E1">
        <w:rPr>
          <w:rStyle w:val="CharSectNo"/>
        </w:rPr>
        <w:lastRenderedPageBreak/>
        <w:t>93</w:t>
      </w:r>
      <w:r w:rsidRPr="00A060B6">
        <w:tab/>
        <w:t>Savings</w:t>
      </w:r>
      <w:bookmarkEnd w:id="126"/>
    </w:p>
    <w:p w:rsidR="00F8610E" w:rsidRPr="00A060B6" w:rsidRDefault="00F8610E" w:rsidP="00E51812">
      <w:pPr>
        <w:pStyle w:val="Amainreturn"/>
        <w:keepNext/>
      </w:pPr>
      <w:r w:rsidRPr="00A060B6">
        <w:t>This part does not affect the operation of—</w:t>
      </w:r>
    </w:p>
    <w:p w:rsidR="00F8610E" w:rsidRPr="00A060B6" w:rsidRDefault="00F8610E" w:rsidP="00486F06">
      <w:pPr>
        <w:pStyle w:val="Apara"/>
      </w:pPr>
      <w:r w:rsidRPr="00A060B6">
        <w:tab/>
        <w:t>(a)</w:t>
      </w:r>
      <w:r w:rsidRPr="00A060B6">
        <w:tab/>
        <w:t>a law that relates to the admissibility or effect of evidence of a conviction tendered in a proceeding (including a criminal proceeding) for defamation; or</w:t>
      </w:r>
    </w:p>
    <w:p w:rsidR="00F8610E" w:rsidRPr="00A060B6" w:rsidRDefault="00F8610E" w:rsidP="00486F06">
      <w:pPr>
        <w:pStyle w:val="Apara"/>
      </w:pPr>
      <w:r w:rsidRPr="00A060B6">
        <w:tab/>
        <w:t>(b)</w:t>
      </w:r>
      <w:r w:rsidRPr="00A060B6">
        <w:tab/>
        <w:t xml:space="preserve">a judgment </w:t>
      </w:r>
      <w:r w:rsidRPr="005D1BC5">
        <w:rPr>
          <w:rStyle w:val="charItals"/>
        </w:rPr>
        <w:t>in rem</w:t>
      </w:r>
      <w:r w:rsidRPr="00A060B6">
        <w:t>; or</w:t>
      </w:r>
    </w:p>
    <w:p w:rsidR="00F8610E" w:rsidRPr="00A060B6" w:rsidRDefault="00F8610E" w:rsidP="00486F06">
      <w:pPr>
        <w:pStyle w:val="Apara"/>
      </w:pPr>
      <w:r w:rsidRPr="00A060B6">
        <w:tab/>
        <w:t>(c)</w:t>
      </w:r>
      <w:r w:rsidRPr="00A060B6">
        <w:tab/>
        <w:t xml:space="preserve">the law relating to </w:t>
      </w:r>
      <w:r w:rsidRPr="005D1BC5">
        <w:rPr>
          <w:rStyle w:val="charItals"/>
        </w:rPr>
        <w:t xml:space="preserve">res judicata </w:t>
      </w:r>
      <w:r w:rsidRPr="00A060B6">
        <w:t>or issue estoppel.</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127" w:name="_Toc11748482"/>
      <w:r w:rsidRPr="003925E1">
        <w:rPr>
          <w:rStyle w:val="CharPartNo"/>
        </w:rPr>
        <w:lastRenderedPageBreak/>
        <w:t>Part 3.6</w:t>
      </w:r>
      <w:r w:rsidRPr="00A060B6">
        <w:tab/>
      </w:r>
      <w:r w:rsidRPr="003925E1">
        <w:rPr>
          <w:rStyle w:val="CharPartText"/>
        </w:rPr>
        <w:t>Tendency and coincidence</w:t>
      </w:r>
      <w:bookmarkEnd w:id="127"/>
    </w:p>
    <w:p w:rsidR="00F8610E" w:rsidRPr="00A060B6" w:rsidRDefault="00F8610E" w:rsidP="00486F06">
      <w:pPr>
        <w:pStyle w:val="AH5Sec"/>
      </w:pPr>
      <w:bookmarkStart w:id="128" w:name="_Toc11748483"/>
      <w:r w:rsidRPr="003925E1">
        <w:rPr>
          <w:rStyle w:val="CharSectNo"/>
        </w:rPr>
        <w:t>94</w:t>
      </w:r>
      <w:r w:rsidRPr="00A060B6">
        <w:tab/>
        <w:t>Application—pt 3.6</w:t>
      </w:r>
      <w:bookmarkEnd w:id="128"/>
    </w:p>
    <w:p w:rsidR="00F8610E" w:rsidRPr="00A060B6" w:rsidRDefault="00F8610E" w:rsidP="00486F06">
      <w:pPr>
        <w:pStyle w:val="Amain"/>
      </w:pPr>
      <w:r w:rsidRPr="00A060B6">
        <w:tab/>
        <w:t>(1)</w:t>
      </w:r>
      <w:r w:rsidRPr="00A060B6">
        <w:tab/>
        <w:t>This part does not apply to evidence that relates only to the witness’s credibility.</w:t>
      </w:r>
    </w:p>
    <w:p w:rsidR="00F8610E" w:rsidRPr="00A060B6" w:rsidRDefault="00F8610E" w:rsidP="00486F06">
      <w:pPr>
        <w:pStyle w:val="Amain"/>
      </w:pPr>
      <w:r w:rsidRPr="00A060B6">
        <w:tab/>
        <w:t>(2)</w:t>
      </w:r>
      <w:r w:rsidRPr="00A060B6">
        <w:tab/>
        <w:t>This part does not apply so far as a proceeding relates to bail or sentencing.</w:t>
      </w:r>
    </w:p>
    <w:p w:rsidR="00F8610E" w:rsidRPr="00A060B6" w:rsidRDefault="00F8610E" w:rsidP="00486F06">
      <w:pPr>
        <w:pStyle w:val="Amain"/>
      </w:pPr>
      <w:r w:rsidRPr="00A060B6">
        <w:tab/>
        <w:t>(3)</w:t>
      </w:r>
      <w:r w:rsidRPr="00A060B6">
        <w:tab/>
        <w:t>This part does not apply to evidence of—</w:t>
      </w:r>
    </w:p>
    <w:p w:rsidR="00F8610E" w:rsidRPr="00A060B6" w:rsidRDefault="00F8610E" w:rsidP="00486F06">
      <w:pPr>
        <w:pStyle w:val="Apara"/>
      </w:pPr>
      <w:r w:rsidRPr="00A060B6">
        <w:tab/>
        <w:t>(a)</w:t>
      </w:r>
      <w:r w:rsidRPr="00A060B6">
        <w:tab/>
        <w:t>the character, reputation or conduct of a person; or</w:t>
      </w:r>
    </w:p>
    <w:p w:rsidR="00F8610E" w:rsidRPr="00A060B6" w:rsidRDefault="00F8610E" w:rsidP="00486F06">
      <w:pPr>
        <w:pStyle w:val="Apara"/>
      </w:pPr>
      <w:r w:rsidRPr="00A060B6">
        <w:tab/>
        <w:t>(b)</w:t>
      </w:r>
      <w:r w:rsidRPr="00A060B6">
        <w:tab/>
        <w:t>a tendency that a person has or had;</w:t>
      </w:r>
    </w:p>
    <w:p w:rsidR="00F8610E" w:rsidRPr="00A060B6" w:rsidRDefault="00F8610E" w:rsidP="00E51812">
      <w:pPr>
        <w:pStyle w:val="Amainreturn"/>
      </w:pPr>
      <w:r w:rsidRPr="00A060B6">
        <w:t>if that character, reputation, conduct or tendency is a fact in issue.</w:t>
      </w:r>
    </w:p>
    <w:p w:rsidR="00F8610E" w:rsidRPr="00A060B6" w:rsidRDefault="00F8610E" w:rsidP="00486F06">
      <w:pPr>
        <w:pStyle w:val="AH5Sec"/>
      </w:pPr>
      <w:bookmarkStart w:id="129" w:name="_Toc11748484"/>
      <w:r w:rsidRPr="003925E1">
        <w:rPr>
          <w:rStyle w:val="CharSectNo"/>
        </w:rPr>
        <w:t>95</w:t>
      </w:r>
      <w:r w:rsidRPr="00A060B6">
        <w:tab/>
        <w:t>Use of evidence for other purposes</w:t>
      </w:r>
      <w:bookmarkEnd w:id="129"/>
    </w:p>
    <w:p w:rsidR="00F8610E" w:rsidRPr="00A060B6" w:rsidRDefault="00F8610E" w:rsidP="00486F06">
      <w:pPr>
        <w:pStyle w:val="Amain"/>
      </w:pPr>
      <w:r w:rsidRPr="00A060B6">
        <w:tab/>
        <w:t>(1)</w:t>
      </w:r>
      <w:r w:rsidRPr="00A060B6">
        <w:tab/>
        <w:t>Evidence that under this part is not admissible to prove a particular matter must not be used to prove the matter even if it is relevant for another purpose.</w:t>
      </w:r>
    </w:p>
    <w:p w:rsidR="00F8610E" w:rsidRPr="00A060B6" w:rsidRDefault="00F8610E" w:rsidP="00486F06">
      <w:pPr>
        <w:pStyle w:val="Amain"/>
      </w:pPr>
      <w:r w:rsidRPr="00A060B6">
        <w:tab/>
        <w:t>(2)</w:t>
      </w:r>
      <w:r w:rsidRPr="00A060B6">
        <w:tab/>
        <w:t>Evidence that under this part cannot be used against a party to prove a particular matter must not be used against the party to prove the matter even if it is relevant for another purpose.</w:t>
      </w:r>
    </w:p>
    <w:p w:rsidR="00F8610E" w:rsidRPr="00A060B6" w:rsidRDefault="00F8610E" w:rsidP="00486F06">
      <w:pPr>
        <w:pStyle w:val="AH5Sec"/>
      </w:pPr>
      <w:bookmarkStart w:id="130" w:name="_Toc11748485"/>
      <w:r w:rsidRPr="003925E1">
        <w:rPr>
          <w:rStyle w:val="CharSectNo"/>
        </w:rPr>
        <w:t>96</w:t>
      </w:r>
      <w:r w:rsidRPr="00A060B6">
        <w:tab/>
        <w:t>Failure to act</w:t>
      </w:r>
      <w:bookmarkEnd w:id="130"/>
    </w:p>
    <w:p w:rsidR="00F8610E" w:rsidRPr="00A060B6" w:rsidRDefault="00F8610E" w:rsidP="00C23C3D">
      <w:pPr>
        <w:pStyle w:val="Amainreturn"/>
        <w:keepNext/>
      </w:pPr>
      <w:r w:rsidRPr="00A060B6">
        <w:t>A reference in this part to doing an act includes a reference to failing to do that act.</w:t>
      </w:r>
    </w:p>
    <w:p w:rsidR="00F8610E" w:rsidRPr="00A060B6" w:rsidRDefault="00F8610E" w:rsidP="00C476A8">
      <w:pPr>
        <w:pStyle w:val="aNote"/>
      </w:pPr>
      <w:r w:rsidRPr="005D1BC5">
        <w:rPr>
          <w:rStyle w:val="charItals"/>
        </w:rPr>
        <w:t>Note</w:t>
      </w:r>
      <w:r w:rsidRPr="005D1BC5">
        <w:rPr>
          <w:rStyle w:val="charItals"/>
        </w:rPr>
        <w:tab/>
      </w:r>
      <w:r w:rsidRPr="005D1BC5">
        <w:rPr>
          <w:rStyle w:val="charBoldItals"/>
        </w:rPr>
        <w:t>Fail</w:t>
      </w:r>
      <w:r w:rsidRPr="00A060B6">
        <w:t xml:space="preserve"> includes refuse (see </w:t>
      </w:r>
      <w:hyperlink r:id="rId94" w:tooltip="A2001-14" w:history="1">
        <w:r w:rsidR="00AF17FE" w:rsidRPr="00AF17FE">
          <w:rPr>
            <w:rStyle w:val="charCitHyperlinkAbbrev"/>
          </w:rPr>
          <w:t>Legislation Act</w:t>
        </w:r>
      </w:hyperlink>
      <w:r w:rsidRPr="00A060B6">
        <w:t>, dict, pt 1).</w:t>
      </w:r>
    </w:p>
    <w:p w:rsidR="00F8610E" w:rsidRPr="00A060B6" w:rsidRDefault="00F8610E" w:rsidP="00486F06">
      <w:pPr>
        <w:pStyle w:val="AH5Sec"/>
      </w:pPr>
      <w:bookmarkStart w:id="131" w:name="_Toc11748486"/>
      <w:r w:rsidRPr="003925E1">
        <w:rPr>
          <w:rStyle w:val="CharSectNo"/>
        </w:rPr>
        <w:lastRenderedPageBreak/>
        <w:t>97</w:t>
      </w:r>
      <w:r w:rsidRPr="00A060B6">
        <w:tab/>
        <w:t>The tendency rule</w:t>
      </w:r>
      <w:bookmarkEnd w:id="131"/>
    </w:p>
    <w:p w:rsidR="00F8610E" w:rsidRPr="00A060B6" w:rsidRDefault="00F8610E" w:rsidP="00155916">
      <w:pPr>
        <w:pStyle w:val="Amain"/>
        <w:keepLines/>
      </w:pPr>
      <w:r w:rsidRPr="00A060B6">
        <w:tab/>
        <w:t>(1)</w:t>
      </w:r>
      <w:r w:rsidRPr="00A060B6">
        <w:tab/>
        <w:t>Evidence of the character, reputation or conduct of a person, or a tendency that a person has or had, is not admissible to prove that a person has or had a tendency (whether because of the person’s character or otherwise) to act in a particular way, or to have a particular state of mind unless—</w:t>
      </w:r>
    </w:p>
    <w:p w:rsidR="00F8610E" w:rsidRPr="00A060B6" w:rsidRDefault="00F8610E" w:rsidP="00486F06">
      <w:pPr>
        <w:pStyle w:val="Apara"/>
      </w:pPr>
      <w:r w:rsidRPr="00A060B6">
        <w:tab/>
        <w:t>(a)</w:t>
      </w:r>
      <w:r w:rsidRPr="00A060B6">
        <w:tab/>
        <w:t>the party seeking to present the evidence gave reasonable notice in writing to each other party of the party’s intention to present the evidence; and</w:t>
      </w:r>
    </w:p>
    <w:p w:rsidR="00F8610E" w:rsidRPr="00A060B6" w:rsidRDefault="00F8610E" w:rsidP="00486F06">
      <w:pPr>
        <w:pStyle w:val="Apara"/>
      </w:pPr>
      <w:r w:rsidRPr="00A060B6">
        <w:tab/>
        <w:t>(b)</w:t>
      </w:r>
      <w:r w:rsidRPr="00A060B6">
        <w:tab/>
        <w:t>the court thinks that the evidence will, either by itself or having regard to other evidence presented or to be presented by the party seeking to present the evidence, have significant probative value.</w:t>
      </w:r>
    </w:p>
    <w:p w:rsidR="00F8610E" w:rsidRPr="00A060B6" w:rsidRDefault="00F8610E" w:rsidP="00486F06">
      <w:pPr>
        <w:pStyle w:val="Amain"/>
      </w:pPr>
      <w:r w:rsidRPr="00A060B6">
        <w:tab/>
        <w:t>(2)</w:t>
      </w:r>
      <w:r w:rsidRPr="00A060B6">
        <w:tab/>
        <w:t>Subsection (1) (a) does not apply if—</w:t>
      </w:r>
    </w:p>
    <w:p w:rsidR="00F8610E" w:rsidRPr="00A060B6" w:rsidRDefault="00F8610E" w:rsidP="00486F06">
      <w:pPr>
        <w:pStyle w:val="Apara"/>
      </w:pPr>
      <w:r w:rsidRPr="00A060B6">
        <w:tab/>
        <w:t>(a)</w:t>
      </w:r>
      <w:r w:rsidRPr="00A060B6">
        <w:tab/>
        <w:t>the evidence is presented in accordance with a direction made by the court under section 100 (Court may dispense with notice requirements); or</w:t>
      </w:r>
    </w:p>
    <w:p w:rsidR="00F8610E" w:rsidRPr="00A060B6" w:rsidRDefault="00F8610E" w:rsidP="00486F06">
      <w:pPr>
        <w:pStyle w:val="Apara"/>
      </w:pPr>
      <w:r w:rsidRPr="00A060B6">
        <w:tab/>
        <w:t>(b)</w:t>
      </w:r>
      <w:r w:rsidRPr="00A060B6">
        <w:tab/>
        <w:t>the evidence is presented to explain or contradict tendency evidence presented by another party.</w:t>
      </w:r>
    </w:p>
    <w:p w:rsidR="00F8610E" w:rsidRPr="00A060B6" w:rsidRDefault="00F8610E" w:rsidP="00E51812">
      <w:pPr>
        <w:pStyle w:val="aNote"/>
      </w:pPr>
      <w:r w:rsidRPr="005D1BC5">
        <w:rPr>
          <w:rStyle w:val="charItals"/>
        </w:rPr>
        <w:t>Note</w:t>
      </w:r>
      <w:r w:rsidRPr="005D1BC5">
        <w:rPr>
          <w:rStyle w:val="charItals"/>
        </w:rPr>
        <w:tab/>
      </w:r>
      <w:r w:rsidRPr="00A060B6">
        <w:t>The tendency rule is subject to specific exceptions about the character of and expert opinion about accused people (s 110 and s 111). Other provisions of this Act, or of other laws, may operate as further exceptions.</w:t>
      </w:r>
    </w:p>
    <w:p w:rsidR="00F8610E" w:rsidRPr="00A060B6" w:rsidRDefault="00F8610E" w:rsidP="00486F06">
      <w:pPr>
        <w:pStyle w:val="AH5Sec"/>
      </w:pPr>
      <w:bookmarkStart w:id="132" w:name="_Toc11748487"/>
      <w:r w:rsidRPr="003925E1">
        <w:rPr>
          <w:rStyle w:val="CharSectNo"/>
        </w:rPr>
        <w:lastRenderedPageBreak/>
        <w:t>98</w:t>
      </w:r>
      <w:r w:rsidRPr="00A060B6">
        <w:tab/>
        <w:t>The coincidence rule</w:t>
      </w:r>
      <w:bookmarkEnd w:id="132"/>
    </w:p>
    <w:p w:rsidR="00F8610E" w:rsidRPr="00A060B6" w:rsidRDefault="00F8610E" w:rsidP="0061678D">
      <w:pPr>
        <w:pStyle w:val="Amain"/>
        <w:keepNext/>
        <w:keepLines/>
      </w:pPr>
      <w:r w:rsidRPr="00A060B6">
        <w:tab/>
        <w:t>(1)</w:t>
      </w:r>
      <w:r w:rsidRPr="00A060B6">
        <w:tab/>
        <w:t>Evidence that 2 or more events happened is not admissible to prove that a person did a particular act or had a particular state of mind on the basis that, having regard to any similarities in the events or the circumstances in which they happened, or any similarities in both the events and the circumstances in which they happened, it is improbable that the events happened coincidentally unless—</w:t>
      </w:r>
    </w:p>
    <w:p w:rsidR="00F8610E" w:rsidRPr="00A060B6" w:rsidRDefault="00F8610E" w:rsidP="00486F06">
      <w:pPr>
        <w:pStyle w:val="Apara"/>
      </w:pPr>
      <w:r w:rsidRPr="00A060B6">
        <w:tab/>
        <w:t>(a)</w:t>
      </w:r>
      <w:r w:rsidRPr="00A060B6">
        <w:tab/>
        <w:t>the party seeking to present the evidence gave reasonable notice in writing to each other party of the party’s intention to present the evidence; and</w:t>
      </w:r>
    </w:p>
    <w:p w:rsidR="00F8610E" w:rsidRPr="00A060B6" w:rsidRDefault="00F8610E" w:rsidP="00486F06">
      <w:pPr>
        <w:pStyle w:val="Apara"/>
      </w:pPr>
      <w:r w:rsidRPr="00A060B6">
        <w:tab/>
        <w:t>(b)</w:t>
      </w:r>
      <w:r w:rsidRPr="00A060B6">
        <w:tab/>
        <w:t>the court thinks that the evidence will, either by itself or having regard to other evidence presented or to be presented by the party seeking to present the evidence, have significant probative value.</w:t>
      </w:r>
    </w:p>
    <w:p w:rsidR="00F8610E" w:rsidRPr="00A060B6" w:rsidRDefault="00F8610E" w:rsidP="00490FB8">
      <w:pPr>
        <w:pStyle w:val="aNote"/>
      </w:pPr>
      <w:r w:rsidRPr="005D1BC5">
        <w:rPr>
          <w:rStyle w:val="charItals"/>
        </w:rPr>
        <w:t>Note</w:t>
      </w:r>
      <w:r w:rsidRPr="005D1BC5">
        <w:rPr>
          <w:rStyle w:val="charItals"/>
        </w:rPr>
        <w:tab/>
      </w:r>
      <w:r w:rsidRPr="00A060B6">
        <w:t>One of the events referred to in s (1) may be an event the happening of which is a fact in issue in the proceeding.</w:t>
      </w:r>
    </w:p>
    <w:p w:rsidR="00F8610E" w:rsidRPr="00A060B6" w:rsidRDefault="00F8610E" w:rsidP="00486F06">
      <w:pPr>
        <w:pStyle w:val="Amain"/>
      </w:pPr>
      <w:r w:rsidRPr="00A060B6">
        <w:tab/>
        <w:t>(2)</w:t>
      </w:r>
      <w:r w:rsidRPr="00A060B6">
        <w:tab/>
        <w:t>Subsection (1) (a) does not apply if—</w:t>
      </w:r>
    </w:p>
    <w:p w:rsidR="00F8610E" w:rsidRPr="00A060B6" w:rsidRDefault="00F8610E" w:rsidP="00486F06">
      <w:pPr>
        <w:pStyle w:val="Apara"/>
      </w:pPr>
      <w:r w:rsidRPr="00A060B6">
        <w:tab/>
        <w:t>(a)</w:t>
      </w:r>
      <w:r w:rsidRPr="00A060B6">
        <w:tab/>
        <w:t>the evidence is presented in accordance with a direction made by the court under section 100 (Court may dispense with notice requirements); or</w:t>
      </w:r>
    </w:p>
    <w:p w:rsidR="00F8610E" w:rsidRPr="00A060B6" w:rsidRDefault="00F8610E" w:rsidP="00486F06">
      <w:pPr>
        <w:pStyle w:val="Apara"/>
      </w:pPr>
      <w:r w:rsidRPr="00A060B6">
        <w:tab/>
        <w:t>(b)</w:t>
      </w:r>
      <w:r w:rsidRPr="00A060B6">
        <w:tab/>
        <w:t>the evidence is presented to explain or contradict coincidence evidence presented by another party.</w:t>
      </w:r>
    </w:p>
    <w:p w:rsidR="00F8610E" w:rsidRPr="00A060B6" w:rsidRDefault="00F8610E" w:rsidP="00E51812">
      <w:pPr>
        <w:pStyle w:val="aNote"/>
      </w:pPr>
      <w:r w:rsidRPr="005D1BC5">
        <w:rPr>
          <w:rStyle w:val="charItals"/>
        </w:rPr>
        <w:t>Note</w:t>
      </w:r>
      <w:r w:rsidRPr="005D1BC5">
        <w:rPr>
          <w:rStyle w:val="charItals"/>
        </w:rPr>
        <w:tab/>
      </w:r>
      <w:r w:rsidRPr="00A060B6">
        <w:t>Other provisions of this Act, or of other laws, may operate as exceptions to the coincidence rule.</w:t>
      </w:r>
    </w:p>
    <w:p w:rsidR="00F8610E" w:rsidRPr="00A060B6" w:rsidRDefault="00F8610E" w:rsidP="00486F06">
      <w:pPr>
        <w:pStyle w:val="AH5Sec"/>
      </w:pPr>
      <w:bookmarkStart w:id="133" w:name="_Toc11748488"/>
      <w:r w:rsidRPr="003925E1">
        <w:rPr>
          <w:rStyle w:val="CharSectNo"/>
        </w:rPr>
        <w:t>99</w:t>
      </w:r>
      <w:r w:rsidRPr="00A060B6">
        <w:tab/>
        <w:t>Requirements for notices</w:t>
      </w:r>
      <w:bookmarkEnd w:id="133"/>
    </w:p>
    <w:p w:rsidR="00F8610E" w:rsidRPr="00A060B6" w:rsidRDefault="00F8610E" w:rsidP="00E51812">
      <w:pPr>
        <w:pStyle w:val="Amainreturn"/>
      </w:pPr>
      <w:r w:rsidRPr="00A060B6">
        <w:t>A notice given under section 97 (The tendency rule) or section 98 (The coincidence rule) must be given in accordance with any regulation or rules of court made for this section.</w:t>
      </w:r>
    </w:p>
    <w:p w:rsidR="00F8610E" w:rsidRPr="00A060B6" w:rsidRDefault="00F8610E" w:rsidP="00486F06">
      <w:pPr>
        <w:pStyle w:val="AH5Sec"/>
      </w:pPr>
      <w:bookmarkStart w:id="134" w:name="_Toc11748489"/>
      <w:r w:rsidRPr="003925E1">
        <w:rPr>
          <w:rStyle w:val="CharSectNo"/>
        </w:rPr>
        <w:lastRenderedPageBreak/>
        <w:t>100</w:t>
      </w:r>
      <w:r w:rsidRPr="00A060B6">
        <w:tab/>
        <w:t>Court may dispense with notice requirements</w:t>
      </w:r>
      <w:bookmarkEnd w:id="134"/>
    </w:p>
    <w:p w:rsidR="00F8610E" w:rsidRPr="00A060B6" w:rsidRDefault="00F8610E" w:rsidP="00486F06">
      <w:pPr>
        <w:pStyle w:val="Amain"/>
      </w:pPr>
      <w:r w:rsidRPr="00A060B6">
        <w:tab/>
        <w:t>(1)</w:t>
      </w:r>
      <w:r w:rsidRPr="00A060B6">
        <w:tab/>
        <w:t>The court may, on the application of a party, direct that the tendency rule is not to apply to particular tendency evidence despite the party’s failure to give notice under section 97 (The tendency rule).</w:t>
      </w:r>
    </w:p>
    <w:p w:rsidR="00F8610E" w:rsidRPr="00A060B6" w:rsidRDefault="00F8610E" w:rsidP="00486F06">
      <w:pPr>
        <w:pStyle w:val="Amain"/>
      </w:pPr>
      <w:r w:rsidRPr="00A060B6">
        <w:tab/>
        <w:t>(2)</w:t>
      </w:r>
      <w:r w:rsidRPr="00A060B6">
        <w:tab/>
        <w:t>The court may, on the application of a party, direct that the coincidence rule is not to apply to particular coincidence evidence despite the party’s failure to give notice under section 98 (The coincidence rule).</w:t>
      </w:r>
    </w:p>
    <w:p w:rsidR="00F8610E" w:rsidRPr="00A060B6" w:rsidRDefault="00F8610E" w:rsidP="00486F06">
      <w:pPr>
        <w:pStyle w:val="Amain"/>
      </w:pPr>
      <w:r w:rsidRPr="00A060B6">
        <w:tab/>
        <w:t>(3)</w:t>
      </w:r>
      <w:r w:rsidRPr="00A060B6">
        <w:tab/>
        <w:t>The application may be made either before or after the time by which the party would, apart from this section, be required to give, or to have given, the notice.</w:t>
      </w:r>
    </w:p>
    <w:p w:rsidR="00F8610E" w:rsidRPr="00A060B6" w:rsidRDefault="00F8610E" w:rsidP="00486F06">
      <w:pPr>
        <w:pStyle w:val="Amain"/>
      </w:pPr>
      <w:r w:rsidRPr="00A060B6">
        <w:tab/>
        <w:t>(4)</w:t>
      </w:r>
      <w:r w:rsidRPr="00A060B6">
        <w:tab/>
        <w:t>In a civil proceeding, the party’s application may be made without notice of it having been given to 1 or more of the other parties.</w:t>
      </w:r>
    </w:p>
    <w:p w:rsidR="00F8610E" w:rsidRPr="00A060B6" w:rsidRDefault="00F8610E" w:rsidP="00486F06">
      <w:pPr>
        <w:pStyle w:val="Amain"/>
      </w:pPr>
      <w:r w:rsidRPr="00A060B6">
        <w:tab/>
        <w:t>(5)</w:t>
      </w:r>
      <w:r w:rsidRPr="00A060B6">
        <w:tab/>
        <w:t>The direction—</w:t>
      </w:r>
    </w:p>
    <w:p w:rsidR="00F8610E" w:rsidRPr="00A060B6" w:rsidRDefault="00F8610E" w:rsidP="00486F06">
      <w:pPr>
        <w:pStyle w:val="Apara"/>
      </w:pPr>
      <w:r w:rsidRPr="00A060B6">
        <w:tab/>
        <w:t>(a)</w:t>
      </w:r>
      <w:r w:rsidRPr="00A060B6">
        <w:tab/>
        <w:t>is subject to the conditions (if any) the court thinks fit; and</w:t>
      </w:r>
    </w:p>
    <w:p w:rsidR="00F8610E" w:rsidRPr="00A060B6" w:rsidRDefault="00F8610E" w:rsidP="00486F06">
      <w:pPr>
        <w:pStyle w:val="Apara"/>
      </w:pPr>
      <w:r w:rsidRPr="00A060B6">
        <w:tab/>
        <w:t>(b)</w:t>
      </w:r>
      <w:r w:rsidRPr="00A060B6">
        <w:tab/>
        <w:t>may be given at or before the hearing.</w:t>
      </w:r>
    </w:p>
    <w:p w:rsidR="00F8610E" w:rsidRPr="00A060B6" w:rsidRDefault="00F8610E" w:rsidP="00486F06">
      <w:pPr>
        <w:pStyle w:val="Amain"/>
      </w:pPr>
      <w:r w:rsidRPr="00A060B6">
        <w:tab/>
        <w:t>(6)</w:t>
      </w:r>
      <w:r w:rsidRPr="00A060B6">
        <w:tab/>
        <w:t>Without limiting the court’s power to impose conditions under this section, the conditions may include 1 or more of the following:</w:t>
      </w:r>
    </w:p>
    <w:p w:rsidR="00F8610E" w:rsidRPr="00A060B6" w:rsidRDefault="00F8610E" w:rsidP="00486F06">
      <w:pPr>
        <w:pStyle w:val="Apara"/>
      </w:pPr>
      <w:r w:rsidRPr="00A060B6">
        <w:tab/>
        <w:t>(a)</w:t>
      </w:r>
      <w:r w:rsidRPr="00A060B6">
        <w:tab/>
        <w:t>a condition that the party give notice of its intention to present the evidence to a stated party, or to each party other than a stated party;</w:t>
      </w:r>
    </w:p>
    <w:p w:rsidR="00F8610E" w:rsidRPr="00A060B6" w:rsidRDefault="00F8610E" w:rsidP="00486F06">
      <w:pPr>
        <w:pStyle w:val="Apara"/>
      </w:pPr>
      <w:r w:rsidRPr="00A060B6">
        <w:tab/>
        <w:t>(b)</w:t>
      </w:r>
      <w:r w:rsidRPr="00A060B6">
        <w:tab/>
        <w:t>a condition that the party give the notice only in relation to stated tendency evidence, or all tendency evidence that the party intends to present other than stated tendency evidence;</w:t>
      </w:r>
    </w:p>
    <w:p w:rsidR="00F8610E" w:rsidRPr="00A060B6" w:rsidRDefault="00F8610E" w:rsidP="00486F06">
      <w:pPr>
        <w:pStyle w:val="Apara"/>
      </w:pPr>
      <w:r w:rsidRPr="00A060B6">
        <w:tab/>
        <w:t>(c)</w:t>
      </w:r>
      <w:r w:rsidRPr="00A060B6">
        <w:tab/>
        <w:t>a condition that the party give the notice only in relation to stated coincidence evidence, or all coincidence evidence that the party intends to present other than stated coincidence evidence.</w:t>
      </w:r>
    </w:p>
    <w:p w:rsidR="00F8610E" w:rsidRPr="00A060B6" w:rsidRDefault="00F8610E" w:rsidP="00486F06">
      <w:pPr>
        <w:pStyle w:val="AH5Sec"/>
      </w:pPr>
      <w:bookmarkStart w:id="135" w:name="_Toc11748490"/>
      <w:r w:rsidRPr="003925E1">
        <w:rPr>
          <w:rStyle w:val="CharSectNo"/>
        </w:rPr>
        <w:lastRenderedPageBreak/>
        <w:t>101</w:t>
      </w:r>
      <w:r w:rsidRPr="00A060B6">
        <w:tab/>
        <w:t>Further restrictions on tendency evidence and coincidence evidence presented by prosecution</w:t>
      </w:r>
      <w:bookmarkEnd w:id="135"/>
    </w:p>
    <w:p w:rsidR="00F8610E" w:rsidRPr="00A060B6" w:rsidRDefault="00F8610E" w:rsidP="00486F06">
      <w:pPr>
        <w:pStyle w:val="Amain"/>
      </w:pPr>
      <w:r w:rsidRPr="00A060B6">
        <w:tab/>
        <w:t>(1)</w:t>
      </w:r>
      <w:r w:rsidRPr="00A060B6">
        <w:tab/>
        <w:t>This section applies only in a criminal proceeding and applies in addition to section 97 (The tendency rule) and section 98 (The coincidence rule).</w:t>
      </w:r>
    </w:p>
    <w:p w:rsidR="00F8610E" w:rsidRPr="00A060B6" w:rsidRDefault="00F8610E" w:rsidP="00486F06">
      <w:pPr>
        <w:pStyle w:val="Amain"/>
      </w:pPr>
      <w:r w:rsidRPr="00A060B6">
        <w:tab/>
        <w:t>(2)</w:t>
      </w:r>
      <w:r w:rsidRPr="00A060B6">
        <w:tab/>
        <w:t>Tendency evidence about a defendant, or coincidence evidence about a defendant, that is presented by the prosecution cannot be used against the defendant unless the probative value of the evidence substantially outweighs any prejudicial effect it may have on the defendant.</w:t>
      </w:r>
    </w:p>
    <w:p w:rsidR="00F8610E" w:rsidRPr="00A060B6" w:rsidRDefault="00F8610E" w:rsidP="00486F06">
      <w:pPr>
        <w:pStyle w:val="Amain"/>
      </w:pPr>
      <w:r w:rsidRPr="00A060B6">
        <w:tab/>
        <w:t>(3)</w:t>
      </w:r>
      <w:r w:rsidRPr="00A060B6">
        <w:tab/>
        <w:t>This section does not apply to tendency evidence that the prosecution presents to explain or contradict tendency evidence presented by the defendant.</w:t>
      </w:r>
    </w:p>
    <w:p w:rsidR="00F8610E" w:rsidRPr="00A060B6" w:rsidRDefault="00F8610E" w:rsidP="00486F06">
      <w:pPr>
        <w:pStyle w:val="Amain"/>
      </w:pPr>
      <w:r w:rsidRPr="00A060B6">
        <w:tab/>
        <w:t>(4)</w:t>
      </w:r>
      <w:r w:rsidRPr="00A060B6">
        <w:tab/>
        <w:t>This section does not apply to coincidence evidence that the prosecution presents to explain or contradict coincidence evidence presented by the defendant.</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136" w:name="_Toc11748491"/>
      <w:r w:rsidRPr="003925E1">
        <w:rPr>
          <w:rStyle w:val="CharPartNo"/>
        </w:rPr>
        <w:lastRenderedPageBreak/>
        <w:t>Part 3.7</w:t>
      </w:r>
      <w:r w:rsidRPr="00A060B6">
        <w:tab/>
      </w:r>
      <w:r w:rsidRPr="003925E1">
        <w:rPr>
          <w:rStyle w:val="CharPartText"/>
        </w:rPr>
        <w:t>Credibility</w:t>
      </w:r>
      <w:bookmarkEnd w:id="136"/>
    </w:p>
    <w:p w:rsidR="00F8610E" w:rsidRPr="003925E1" w:rsidRDefault="00F8610E" w:rsidP="00486F06">
      <w:pPr>
        <w:pStyle w:val="AH3Div"/>
      </w:pPr>
      <w:bookmarkStart w:id="137" w:name="_Toc11748492"/>
      <w:r w:rsidRPr="003925E1">
        <w:rPr>
          <w:rStyle w:val="CharDivNo"/>
        </w:rPr>
        <w:t>Division 3.7.1</w:t>
      </w:r>
      <w:r w:rsidRPr="00A060B6">
        <w:tab/>
      </w:r>
      <w:r w:rsidRPr="003925E1">
        <w:rPr>
          <w:rStyle w:val="CharDivText"/>
        </w:rPr>
        <w:t>Credibility evidence</w:t>
      </w:r>
      <w:bookmarkEnd w:id="137"/>
    </w:p>
    <w:p w:rsidR="00F8610E" w:rsidRPr="00A060B6" w:rsidRDefault="00F8610E" w:rsidP="00486F06">
      <w:pPr>
        <w:pStyle w:val="AH5Sec"/>
        <w:rPr>
          <w:lang w:eastAsia="en-AU"/>
        </w:rPr>
      </w:pPr>
      <w:bookmarkStart w:id="138" w:name="_Toc11748493"/>
      <w:r w:rsidRPr="003925E1">
        <w:rPr>
          <w:rStyle w:val="CharSectNo"/>
        </w:rPr>
        <w:t>101A</w:t>
      </w:r>
      <w:r w:rsidRPr="00A060B6">
        <w:rPr>
          <w:lang w:eastAsia="en-AU"/>
        </w:rPr>
        <w:tab/>
        <w:t>Credibility evidence</w:t>
      </w:r>
      <w:bookmarkEnd w:id="138"/>
    </w:p>
    <w:p w:rsidR="00F8610E" w:rsidRPr="00A060B6" w:rsidRDefault="00F8610E" w:rsidP="00953556">
      <w:pPr>
        <w:pStyle w:val="Amainreturn"/>
        <w:rPr>
          <w:lang w:eastAsia="en-AU"/>
        </w:rPr>
      </w:pPr>
      <w:r w:rsidRPr="00A060B6">
        <w:rPr>
          <w:lang w:eastAsia="en-AU"/>
        </w:rPr>
        <w:t xml:space="preserve">Credibility evidence, in relation to a witness or someone else, is evidence relevant to the credibility of the witness or person that— </w:t>
      </w:r>
    </w:p>
    <w:p w:rsidR="00F8610E" w:rsidRPr="00A060B6" w:rsidRDefault="00F8610E" w:rsidP="00486F06">
      <w:pPr>
        <w:pStyle w:val="Apara"/>
        <w:rPr>
          <w:lang w:eastAsia="en-AU"/>
        </w:rPr>
      </w:pPr>
      <w:r w:rsidRPr="00A060B6">
        <w:rPr>
          <w:lang w:eastAsia="en-AU"/>
        </w:rPr>
        <w:tab/>
        <w:t>(a)</w:t>
      </w:r>
      <w:r w:rsidRPr="00A060B6">
        <w:rPr>
          <w:lang w:eastAsia="en-AU"/>
        </w:rPr>
        <w:tab/>
        <w:t>is relevant only because it affects the assessment of the credibility of the witness or person; or</w:t>
      </w:r>
    </w:p>
    <w:p w:rsidR="00F8610E" w:rsidRPr="00A060B6" w:rsidRDefault="00F8610E" w:rsidP="00486F06">
      <w:pPr>
        <w:pStyle w:val="Apara"/>
        <w:rPr>
          <w:lang w:eastAsia="en-AU"/>
        </w:rPr>
      </w:pPr>
      <w:r w:rsidRPr="00A060B6">
        <w:rPr>
          <w:lang w:eastAsia="en-AU"/>
        </w:rPr>
        <w:tab/>
        <w:t>(b)</w:t>
      </w:r>
      <w:r w:rsidRPr="00A060B6">
        <w:rPr>
          <w:lang w:eastAsia="en-AU"/>
        </w:rPr>
        <w:tab/>
        <w:t xml:space="preserve">is relevant— </w:t>
      </w:r>
    </w:p>
    <w:p w:rsidR="00F8610E" w:rsidRPr="00A060B6" w:rsidRDefault="00F8610E" w:rsidP="00486F06">
      <w:pPr>
        <w:pStyle w:val="Asubpara"/>
        <w:rPr>
          <w:lang w:eastAsia="en-AU"/>
        </w:rPr>
      </w:pPr>
      <w:r w:rsidRPr="00A060B6">
        <w:rPr>
          <w:lang w:eastAsia="en-AU"/>
        </w:rPr>
        <w:tab/>
        <w:t>(i)</w:t>
      </w:r>
      <w:r w:rsidRPr="00A060B6">
        <w:rPr>
          <w:lang w:eastAsia="en-AU"/>
        </w:rPr>
        <w:tab/>
        <w:t>because it affects the assessment of the credibility of the witness or person; and</w:t>
      </w:r>
    </w:p>
    <w:p w:rsidR="00F8610E" w:rsidRPr="00A060B6" w:rsidRDefault="00F8610E" w:rsidP="00486F06">
      <w:pPr>
        <w:pStyle w:val="Asubpara"/>
        <w:rPr>
          <w:lang w:eastAsia="en-AU"/>
        </w:rPr>
      </w:pPr>
      <w:r w:rsidRPr="00A060B6">
        <w:rPr>
          <w:lang w:eastAsia="en-AU"/>
        </w:rPr>
        <w:tab/>
        <w:t>(ii)</w:t>
      </w:r>
      <w:r w:rsidRPr="00A060B6">
        <w:rPr>
          <w:lang w:eastAsia="en-AU"/>
        </w:rPr>
        <w:tab/>
        <w:t>for some other purpose for which it is not admissible, or cannot be used, because of a provision of parts 3.2 to 3.6.</w:t>
      </w:r>
    </w:p>
    <w:p w:rsidR="00F8610E" w:rsidRPr="00A060B6" w:rsidRDefault="00F8610E" w:rsidP="00C23C3D">
      <w:pPr>
        <w:pStyle w:val="aNote"/>
        <w:keepNext/>
        <w:rPr>
          <w:lang w:eastAsia="en-AU"/>
        </w:rPr>
      </w:pPr>
      <w:r w:rsidRPr="005D1BC5">
        <w:rPr>
          <w:rStyle w:val="charItals"/>
        </w:rPr>
        <w:t>Note 1</w:t>
      </w:r>
      <w:r w:rsidRPr="005D1BC5">
        <w:rPr>
          <w:rStyle w:val="charItals"/>
        </w:rPr>
        <w:tab/>
      </w:r>
      <w:r w:rsidRPr="00A060B6">
        <w:rPr>
          <w:lang w:eastAsia="en-AU"/>
        </w:rPr>
        <w:t>Section 60 and s 77 will not affect the application of par (b), because they cannot apply to evidence that is yet to be admitted.</w:t>
      </w:r>
    </w:p>
    <w:p w:rsidR="00F8610E" w:rsidRPr="00A060B6" w:rsidRDefault="00F8610E" w:rsidP="00E328E3">
      <w:pPr>
        <w:pStyle w:val="aNote"/>
        <w:rPr>
          <w:lang w:eastAsia="en-AU"/>
        </w:rPr>
      </w:pPr>
      <w:r w:rsidRPr="005D1BC5">
        <w:rPr>
          <w:rStyle w:val="charItals"/>
        </w:rPr>
        <w:t>Note 2</w:t>
      </w:r>
      <w:r w:rsidRPr="005D1BC5">
        <w:rPr>
          <w:rStyle w:val="charItals"/>
        </w:rPr>
        <w:tab/>
      </w:r>
      <w:r w:rsidRPr="00A060B6">
        <w:rPr>
          <w:lang w:eastAsia="en-AU"/>
        </w:rPr>
        <w:t xml:space="preserve">Section 101A was inserted as a response to the decision of the High Court in </w:t>
      </w:r>
      <w:r w:rsidRPr="005D1BC5">
        <w:rPr>
          <w:rStyle w:val="charItals"/>
        </w:rPr>
        <w:t>Adam v The Queen</w:t>
      </w:r>
      <w:r w:rsidRPr="00A060B6">
        <w:rPr>
          <w:lang w:eastAsia="en-AU"/>
        </w:rPr>
        <w:t xml:space="preserve"> (2001) 207 CLR 96.</w:t>
      </w:r>
    </w:p>
    <w:p w:rsidR="00F8610E" w:rsidRPr="003925E1" w:rsidRDefault="00F8610E" w:rsidP="00486F06">
      <w:pPr>
        <w:pStyle w:val="AH3Div"/>
      </w:pPr>
      <w:bookmarkStart w:id="139" w:name="_Toc11748494"/>
      <w:r w:rsidRPr="003925E1">
        <w:rPr>
          <w:rStyle w:val="CharDivNo"/>
        </w:rPr>
        <w:lastRenderedPageBreak/>
        <w:t>Division 3.7.2</w:t>
      </w:r>
      <w:r w:rsidRPr="00A060B6">
        <w:tab/>
      </w:r>
      <w:r w:rsidRPr="003925E1">
        <w:rPr>
          <w:rStyle w:val="CharDivText"/>
        </w:rPr>
        <w:t>Credibility of witnesses</w:t>
      </w:r>
      <w:bookmarkEnd w:id="139"/>
    </w:p>
    <w:p w:rsidR="00F8610E" w:rsidRPr="00A060B6" w:rsidRDefault="00F8610E" w:rsidP="00486F06">
      <w:pPr>
        <w:pStyle w:val="AH5Sec"/>
      </w:pPr>
      <w:bookmarkStart w:id="140" w:name="_Toc11748495"/>
      <w:r w:rsidRPr="003925E1">
        <w:rPr>
          <w:rStyle w:val="CharSectNo"/>
        </w:rPr>
        <w:t>102</w:t>
      </w:r>
      <w:r w:rsidRPr="00A060B6">
        <w:tab/>
        <w:t>The credibility rule</w:t>
      </w:r>
      <w:bookmarkEnd w:id="140"/>
    </w:p>
    <w:p w:rsidR="00F8610E" w:rsidRPr="00A060B6" w:rsidRDefault="00F8610E" w:rsidP="00E51812">
      <w:pPr>
        <w:pStyle w:val="Amainreturn"/>
        <w:keepNext/>
      </w:pPr>
      <w:r w:rsidRPr="00A060B6">
        <w:t>Credibility evidence about a witness is not admissible.</w:t>
      </w:r>
    </w:p>
    <w:p w:rsidR="00F8610E" w:rsidRPr="00A060B6" w:rsidRDefault="00F8610E" w:rsidP="00C23C3D">
      <w:pPr>
        <w:pStyle w:val="aNote"/>
        <w:keepNext/>
      </w:pPr>
      <w:r w:rsidRPr="005D1BC5">
        <w:rPr>
          <w:rStyle w:val="charItals"/>
        </w:rPr>
        <w:t>Note 1</w:t>
      </w:r>
      <w:r w:rsidRPr="005D1BC5">
        <w:rPr>
          <w:rStyle w:val="charItals"/>
        </w:rPr>
        <w:tab/>
      </w:r>
      <w:r w:rsidRPr="00A060B6">
        <w:t xml:space="preserve">Specific exceptions to the credibility rule are as follows: </w:t>
      </w:r>
    </w:p>
    <w:p w:rsidR="00F8610E" w:rsidRPr="00A060B6" w:rsidRDefault="00F8610E" w:rsidP="00155916">
      <w:pPr>
        <w:pStyle w:val="aNoteBulletss"/>
        <w:keepNext/>
        <w:tabs>
          <w:tab w:val="left" w:pos="2300"/>
        </w:tabs>
      </w:pPr>
      <w:r w:rsidRPr="00A060B6">
        <w:rPr>
          <w:rFonts w:ascii="Symbol" w:hAnsi="Symbol"/>
        </w:rPr>
        <w:t></w:t>
      </w:r>
      <w:r w:rsidRPr="00A060B6">
        <w:rPr>
          <w:rFonts w:ascii="Symbol" w:hAnsi="Symbol"/>
        </w:rPr>
        <w:tab/>
      </w:r>
      <w:r w:rsidRPr="00A060B6">
        <w:t xml:space="preserve">evidence given in cross-examination (s 103 and s 104)  </w:t>
      </w:r>
    </w:p>
    <w:p w:rsidR="00F8610E" w:rsidRPr="00A060B6" w:rsidRDefault="00F8610E" w:rsidP="00155916">
      <w:pPr>
        <w:pStyle w:val="aNoteBulletss"/>
        <w:keepNext/>
        <w:tabs>
          <w:tab w:val="left" w:pos="2300"/>
        </w:tabs>
      </w:pPr>
      <w:r w:rsidRPr="00A060B6">
        <w:rPr>
          <w:rFonts w:ascii="Symbol" w:hAnsi="Symbol"/>
        </w:rPr>
        <w:t></w:t>
      </w:r>
      <w:r w:rsidRPr="00A060B6">
        <w:rPr>
          <w:rFonts w:ascii="Symbol" w:hAnsi="Symbol"/>
        </w:rPr>
        <w:tab/>
      </w:r>
      <w:r w:rsidRPr="00A060B6">
        <w:t xml:space="preserve">evidence in rebuttal of denials (s 106) </w:t>
      </w:r>
    </w:p>
    <w:p w:rsidR="00F8610E" w:rsidRPr="00A060B6" w:rsidRDefault="00F8610E" w:rsidP="00155916">
      <w:pPr>
        <w:pStyle w:val="aNoteBulletss"/>
        <w:keepNext/>
        <w:tabs>
          <w:tab w:val="left" w:pos="2300"/>
        </w:tabs>
      </w:pPr>
      <w:r w:rsidRPr="00A060B6">
        <w:rPr>
          <w:rFonts w:ascii="Symbol" w:hAnsi="Symbol"/>
        </w:rPr>
        <w:t></w:t>
      </w:r>
      <w:r w:rsidRPr="00A060B6">
        <w:rPr>
          <w:rFonts w:ascii="Symbol" w:hAnsi="Symbol"/>
        </w:rPr>
        <w:tab/>
      </w:r>
      <w:r w:rsidRPr="00A060B6">
        <w:t>evidence to re-establish credibility (s 108)</w:t>
      </w:r>
    </w:p>
    <w:p w:rsidR="00F8610E" w:rsidRPr="00A060B6" w:rsidRDefault="00F8610E" w:rsidP="00155916">
      <w:pPr>
        <w:pStyle w:val="aNoteBulletss"/>
        <w:keepNext/>
        <w:tabs>
          <w:tab w:val="left" w:pos="2300"/>
        </w:tabs>
      </w:pPr>
      <w:r w:rsidRPr="00A060B6">
        <w:rPr>
          <w:rFonts w:ascii="Symbol" w:hAnsi="Symbol"/>
        </w:rPr>
        <w:t></w:t>
      </w:r>
      <w:r w:rsidRPr="00A060B6">
        <w:rPr>
          <w:rFonts w:ascii="Symbol" w:hAnsi="Symbol"/>
        </w:rPr>
        <w:tab/>
      </w:r>
      <w:r w:rsidRPr="00A060B6">
        <w:t>evidence of people with specialised knowledge (s 108C)</w:t>
      </w:r>
    </w:p>
    <w:p w:rsidR="00F8610E" w:rsidRPr="00A060B6" w:rsidRDefault="00F8610E" w:rsidP="00155916">
      <w:pPr>
        <w:pStyle w:val="aNoteBulletss"/>
        <w:keepNext/>
        <w:tabs>
          <w:tab w:val="left" w:pos="2300"/>
        </w:tabs>
      </w:pPr>
      <w:r w:rsidRPr="00A060B6">
        <w:rPr>
          <w:rFonts w:ascii="Symbol" w:hAnsi="Symbol"/>
        </w:rPr>
        <w:t></w:t>
      </w:r>
      <w:r w:rsidRPr="00A060B6">
        <w:rPr>
          <w:rFonts w:ascii="Symbol" w:hAnsi="Symbol"/>
        </w:rPr>
        <w:tab/>
      </w:r>
      <w:r w:rsidRPr="00A060B6">
        <w:t xml:space="preserve">character of accused people (s 110). </w:t>
      </w:r>
    </w:p>
    <w:p w:rsidR="00F8610E" w:rsidRPr="00A060B6" w:rsidRDefault="00F8610E" w:rsidP="00E51812">
      <w:pPr>
        <w:pStyle w:val="aNoteTextss"/>
        <w:keepNext/>
      </w:pPr>
      <w:r w:rsidRPr="00A060B6">
        <w:t>Other provisions of this Act, or of other laws, may operate as further exceptions.</w:t>
      </w:r>
    </w:p>
    <w:p w:rsidR="00F8610E" w:rsidRPr="00A060B6" w:rsidRDefault="00F8610E" w:rsidP="00E51812">
      <w:pPr>
        <w:pStyle w:val="aNote"/>
      </w:pPr>
      <w:r w:rsidRPr="005D1BC5">
        <w:rPr>
          <w:rStyle w:val="charItals"/>
        </w:rPr>
        <w:t>Note 2</w:t>
      </w:r>
      <w:r w:rsidRPr="005D1BC5">
        <w:rPr>
          <w:rStyle w:val="charItals"/>
        </w:rPr>
        <w:tab/>
      </w:r>
      <w:r w:rsidRPr="00A060B6">
        <w:t>Section 108A and s 108B deal with the admission of credibility evidence about a person who has made a previous representation but is not a witness.</w:t>
      </w:r>
    </w:p>
    <w:p w:rsidR="00F8610E" w:rsidRPr="00A060B6" w:rsidRDefault="00F8610E" w:rsidP="00486F06">
      <w:pPr>
        <w:pStyle w:val="AH5Sec"/>
      </w:pPr>
      <w:bookmarkStart w:id="141" w:name="_Toc11748496"/>
      <w:r w:rsidRPr="003925E1">
        <w:rPr>
          <w:rStyle w:val="CharSectNo"/>
        </w:rPr>
        <w:t>103</w:t>
      </w:r>
      <w:r w:rsidRPr="00A060B6">
        <w:tab/>
        <w:t>Exception—cross</w:t>
      </w:r>
      <w:r w:rsidRPr="00A060B6">
        <w:noBreakHyphen/>
        <w:t>examination as to credibility</w:t>
      </w:r>
      <w:bookmarkEnd w:id="141"/>
    </w:p>
    <w:p w:rsidR="00F8610E" w:rsidRPr="00A060B6" w:rsidRDefault="00F8610E" w:rsidP="00486F06">
      <w:pPr>
        <w:pStyle w:val="Amain"/>
      </w:pPr>
      <w:r w:rsidRPr="00A060B6">
        <w:tab/>
        <w:t>(1)</w:t>
      </w:r>
      <w:r w:rsidRPr="00A060B6">
        <w:tab/>
        <w:t>The credibility rule does not apply to evidence given by a witness in cross</w:t>
      </w:r>
      <w:r w:rsidRPr="00A060B6">
        <w:noBreakHyphen/>
        <w:t>examination if the evidence could substantially affect the assessment of the witness’s credibility.</w:t>
      </w:r>
    </w:p>
    <w:p w:rsidR="00F8610E" w:rsidRPr="00A060B6" w:rsidRDefault="00F8610E" w:rsidP="00486F06">
      <w:pPr>
        <w:pStyle w:val="Amain"/>
      </w:pPr>
      <w:r w:rsidRPr="00A060B6">
        <w:tab/>
        <w:t>(2)</w:t>
      </w:r>
      <w:r w:rsidRPr="00A060B6">
        <w:tab/>
        <w:t>Without limiting the matters to which the court may have regard for subsection (1), it must have regard to—</w:t>
      </w:r>
    </w:p>
    <w:p w:rsidR="00F8610E" w:rsidRPr="00A060B6" w:rsidRDefault="00F8610E" w:rsidP="00486F06">
      <w:pPr>
        <w:pStyle w:val="Apara"/>
      </w:pPr>
      <w:r w:rsidRPr="00A060B6">
        <w:tab/>
        <w:t>(a)</w:t>
      </w:r>
      <w:r w:rsidRPr="00A060B6">
        <w:tab/>
        <w:t>whether the evidence tends to prove that the witness knowingly or recklessly made a false representation when the witness was under an obligation to tell the truth; and</w:t>
      </w:r>
    </w:p>
    <w:p w:rsidR="00F8610E" w:rsidRPr="00A060B6" w:rsidRDefault="00F8610E" w:rsidP="00486F06">
      <w:pPr>
        <w:pStyle w:val="Apara"/>
      </w:pPr>
      <w:r w:rsidRPr="00A060B6">
        <w:tab/>
        <w:t>(b)</w:t>
      </w:r>
      <w:r w:rsidRPr="00A060B6">
        <w:tab/>
        <w:t>the period that has elapsed since the acts or events to which the evidence relates were done or happened.</w:t>
      </w:r>
    </w:p>
    <w:p w:rsidR="00F8610E" w:rsidRPr="00A060B6" w:rsidRDefault="00F8610E" w:rsidP="00486F06">
      <w:pPr>
        <w:pStyle w:val="AH5Sec"/>
      </w:pPr>
      <w:bookmarkStart w:id="142" w:name="_Toc11748497"/>
      <w:r w:rsidRPr="003925E1">
        <w:rPr>
          <w:rStyle w:val="CharSectNo"/>
        </w:rPr>
        <w:lastRenderedPageBreak/>
        <w:t>104</w:t>
      </w:r>
      <w:r w:rsidRPr="00A060B6">
        <w:tab/>
        <w:t>Further protections—cross</w:t>
      </w:r>
      <w:r w:rsidRPr="00A060B6">
        <w:noBreakHyphen/>
        <w:t>examination as to credibility</w:t>
      </w:r>
      <w:bookmarkEnd w:id="142"/>
    </w:p>
    <w:p w:rsidR="00F8610E" w:rsidRPr="00A060B6" w:rsidRDefault="00F8610E" w:rsidP="00155916">
      <w:pPr>
        <w:pStyle w:val="Amain"/>
        <w:keepNext/>
      </w:pPr>
      <w:r w:rsidRPr="00A060B6">
        <w:tab/>
        <w:t>(1)</w:t>
      </w:r>
      <w:r w:rsidRPr="00A060B6">
        <w:tab/>
        <w:t>This section applies only to credibility evidence in a criminal proceeding and applies in addition to section 103.</w:t>
      </w:r>
    </w:p>
    <w:p w:rsidR="00F8610E" w:rsidRPr="00A060B6" w:rsidRDefault="00F8610E" w:rsidP="00486F06">
      <w:pPr>
        <w:pStyle w:val="Amain"/>
      </w:pPr>
      <w:r w:rsidRPr="00A060B6">
        <w:tab/>
        <w:t>(2)</w:t>
      </w:r>
      <w:r w:rsidRPr="00A060B6">
        <w:tab/>
        <w:t>A defendant must not be cross-examined about a matter that is relevant to the assessment of the defendant’s credibility, unless the court gives leave.</w:t>
      </w:r>
    </w:p>
    <w:p w:rsidR="00F8610E" w:rsidRPr="00A060B6" w:rsidRDefault="00F8610E" w:rsidP="00486F06">
      <w:pPr>
        <w:pStyle w:val="Amain"/>
      </w:pPr>
      <w:r w:rsidRPr="00A060B6">
        <w:tab/>
        <w:t>(3)</w:t>
      </w:r>
      <w:r w:rsidRPr="00A060B6">
        <w:tab/>
        <w:t>Despite subsection (2), leave is not required for cross-examination by the prosecutor about whether the defendant—</w:t>
      </w:r>
    </w:p>
    <w:p w:rsidR="00F8610E" w:rsidRPr="00A060B6" w:rsidRDefault="00F8610E" w:rsidP="00486F06">
      <w:pPr>
        <w:pStyle w:val="Apara"/>
      </w:pPr>
      <w:r w:rsidRPr="00A060B6">
        <w:tab/>
        <w:t>(a)</w:t>
      </w:r>
      <w:r w:rsidRPr="00A060B6">
        <w:tab/>
        <w:t>is biased or has a motive to be untruthful; or</w:t>
      </w:r>
    </w:p>
    <w:p w:rsidR="00F8610E" w:rsidRPr="00A060B6" w:rsidRDefault="00F8610E" w:rsidP="00486F06">
      <w:pPr>
        <w:pStyle w:val="Apara"/>
      </w:pPr>
      <w:r w:rsidRPr="00A060B6">
        <w:tab/>
        <w:t>(b)</w:t>
      </w:r>
      <w:r w:rsidRPr="00A060B6">
        <w:tab/>
        <w:t>is, or was, unable to be aware of or recall matters to which the defendant’s evidence relates; or</w:t>
      </w:r>
    </w:p>
    <w:p w:rsidR="00F8610E" w:rsidRPr="00A060B6" w:rsidRDefault="00F8610E" w:rsidP="00486F06">
      <w:pPr>
        <w:pStyle w:val="Apara"/>
      </w:pPr>
      <w:r w:rsidRPr="00A060B6">
        <w:tab/>
        <w:t>(c)</w:t>
      </w:r>
      <w:r w:rsidRPr="00A060B6">
        <w:tab/>
        <w:t>has made a prior inconsistent statement.</w:t>
      </w:r>
    </w:p>
    <w:p w:rsidR="00F8610E" w:rsidRPr="00A060B6" w:rsidRDefault="00F8610E" w:rsidP="00486F06">
      <w:pPr>
        <w:pStyle w:val="Amain"/>
        <w:rPr>
          <w:lang w:eastAsia="en-AU"/>
        </w:rPr>
      </w:pPr>
      <w:r w:rsidRPr="00A060B6">
        <w:rPr>
          <w:lang w:eastAsia="en-AU"/>
        </w:rPr>
        <w:tab/>
        <w:t>(4)</w:t>
      </w:r>
      <w:r w:rsidRPr="00A060B6">
        <w:rPr>
          <w:lang w:eastAsia="en-AU"/>
        </w:rPr>
        <w:tab/>
        <w:t xml:space="preserve">The prosecutor must not be given leave under subsection (2) unless evidence </w:t>
      </w:r>
      <w:r w:rsidRPr="00A060B6">
        <w:t xml:space="preserve">presented </w:t>
      </w:r>
      <w:r w:rsidRPr="00A060B6">
        <w:rPr>
          <w:lang w:eastAsia="en-AU"/>
        </w:rPr>
        <w:t xml:space="preserve">by the defendant has been admitted that— </w:t>
      </w:r>
    </w:p>
    <w:p w:rsidR="00F8610E" w:rsidRPr="00A060B6" w:rsidRDefault="00F8610E" w:rsidP="00486F06">
      <w:pPr>
        <w:pStyle w:val="Apara"/>
        <w:rPr>
          <w:lang w:eastAsia="en-AU"/>
        </w:rPr>
      </w:pPr>
      <w:r w:rsidRPr="00A060B6">
        <w:rPr>
          <w:lang w:eastAsia="en-AU"/>
        </w:rPr>
        <w:tab/>
        <w:t>(a)</w:t>
      </w:r>
      <w:r w:rsidRPr="00A060B6">
        <w:rPr>
          <w:lang w:eastAsia="en-AU"/>
        </w:rPr>
        <w:tab/>
        <w:t>tends to prove that a witness called by the prosecutor has a tendency to be untruthful; and</w:t>
      </w:r>
    </w:p>
    <w:p w:rsidR="00F8610E" w:rsidRPr="00A060B6" w:rsidRDefault="00F8610E" w:rsidP="00486F06">
      <w:pPr>
        <w:pStyle w:val="Apara"/>
        <w:rPr>
          <w:lang w:eastAsia="en-AU"/>
        </w:rPr>
      </w:pPr>
      <w:r w:rsidRPr="00A060B6">
        <w:rPr>
          <w:lang w:eastAsia="en-AU"/>
        </w:rPr>
        <w:tab/>
        <w:t>(b)</w:t>
      </w:r>
      <w:r w:rsidRPr="00A060B6">
        <w:rPr>
          <w:lang w:eastAsia="en-AU"/>
        </w:rPr>
        <w:tab/>
        <w:t>is relevant solely or mainly to the witness’s credibility.</w:t>
      </w:r>
    </w:p>
    <w:p w:rsidR="00F8610E" w:rsidRPr="00A060B6" w:rsidRDefault="00F8610E" w:rsidP="00486F06">
      <w:pPr>
        <w:pStyle w:val="Amain"/>
      </w:pPr>
      <w:r w:rsidRPr="00A060B6">
        <w:tab/>
        <w:t>(5)</w:t>
      </w:r>
      <w:r w:rsidRPr="00A060B6">
        <w:tab/>
        <w:t>A reference in subsection (4) to evidence does not include a reference to evidence of conduct in relation to—</w:t>
      </w:r>
    </w:p>
    <w:p w:rsidR="00F8610E" w:rsidRPr="00A060B6" w:rsidRDefault="00F8610E" w:rsidP="00486F06">
      <w:pPr>
        <w:pStyle w:val="Apara"/>
      </w:pPr>
      <w:r w:rsidRPr="00A060B6">
        <w:tab/>
        <w:t>(a)</w:t>
      </w:r>
      <w:r w:rsidRPr="00A060B6">
        <w:tab/>
        <w:t>the events in relation to which the defendant is being prosecuted; or</w:t>
      </w:r>
    </w:p>
    <w:p w:rsidR="00F8610E" w:rsidRPr="00A060B6" w:rsidRDefault="00F8610E" w:rsidP="00486F06">
      <w:pPr>
        <w:pStyle w:val="Apara"/>
      </w:pPr>
      <w:r w:rsidRPr="00A060B6">
        <w:tab/>
        <w:t>(b)</w:t>
      </w:r>
      <w:r w:rsidRPr="00A060B6">
        <w:tab/>
        <w:t>the investigation of the offence for which the defendant is being prosecuted.</w:t>
      </w:r>
    </w:p>
    <w:p w:rsidR="00F8610E" w:rsidRPr="00A060B6" w:rsidRDefault="00F8610E" w:rsidP="00CD0BBF">
      <w:pPr>
        <w:pStyle w:val="Amain"/>
        <w:keepNext/>
      </w:pPr>
      <w:r w:rsidRPr="00A060B6">
        <w:lastRenderedPageBreak/>
        <w:tab/>
        <w:t>(6)</w:t>
      </w:r>
      <w:r w:rsidRPr="00A060B6">
        <w:tab/>
        <w:t>Leave must not be given for cross-examination by another defendant unless—</w:t>
      </w:r>
    </w:p>
    <w:p w:rsidR="00F8610E" w:rsidRPr="00A060B6" w:rsidRDefault="00F8610E" w:rsidP="00CD0BBF">
      <w:pPr>
        <w:pStyle w:val="Apara"/>
        <w:keepNext/>
      </w:pPr>
      <w:r w:rsidRPr="00A060B6">
        <w:tab/>
        <w:t>(a)</w:t>
      </w:r>
      <w:r w:rsidRPr="00A060B6">
        <w:tab/>
        <w:t>the evidence that the defendant to be cross-examined has given includes evidence adverse to the defendant seeking leave to cross-examine; and</w:t>
      </w:r>
    </w:p>
    <w:p w:rsidR="00F8610E" w:rsidRPr="00A060B6" w:rsidRDefault="00F8610E" w:rsidP="00486F06">
      <w:pPr>
        <w:pStyle w:val="Apara"/>
      </w:pPr>
      <w:r w:rsidRPr="00A060B6">
        <w:tab/>
        <w:t>(b)</w:t>
      </w:r>
      <w:r w:rsidRPr="00A060B6">
        <w:tab/>
        <w:t>that evidence has been admitted.</w:t>
      </w:r>
    </w:p>
    <w:p w:rsidR="00F8610E" w:rsidRPr="00A060B6" w:rsidRDefault="00F8610E" w:rsidP="00486F06">
      <w:pPr>
        <w:pStyle w:val="AH5Sec"/>
      </w:pPr>
      <w:bookmarkStart w:id="143" w:name="_Toc11748498"/>
      <w:r w:rsidRPr="003925E1">
        <w:rPr>
          <w:rStyle w:val="CharSectNo"/>
        </w:rPr>
        <w:t>106</w:t>
      </w:r>
      <w:r w:rsidRPr="00A060B6">
        <w:tab/>
        <w:t>Exception—rebutting denials by other evidence</w:t>
      </w:r>
      <w:bookmarkEnd w:id="143"/>
    </w:p>
    <w:p w:rsidR="00F8610E" w:rsidRPr="00A060B6" w:rsidRDefault="00F8610E" w:rsidP="00486F06">
      <w:pPr>
        <w:pStyle w:val="Amain"/>
        <w:rPr>
          <w:lang w:eastAsia="en-AU"/>
        </w:rPr>
      </w:pPr>
      <w:r w:rsidRPr="00A060B6">
        <w:tab/>
        <w:t>(1)</w:t>
      </w:r>
      <w:r w:rsidRPr="00A060B6">
        <w:tab/>
        <w:t xml:space="preserve">The credibility rule does not apply to evidence that </w:t>
      </w:r>
      <w:r w:rsidRPr="00A060B6">
        <w:rPr>
          <w:lang w:eastAsia="en-AU"/>
        </w:rPr>
        <w:t xml:space="preserve">is relevant to a witness’s credibility and that is </w:t>
      </w:r>
      <w:r w:rsidRPr="00A060B6">
        <w:t xml:space="preserve">presented </w:t>
      </w:r>
      <w:r w:rsidRPr="00A060B6">
        <w:rPr>
          <w:lang w:eastAsia="en-AU"/>
        </w:rPr>
        <w:t>otherwise than from the witness if—</w:t>
      </w:r>
    </w:p>
    <w:p w:rsidR="00F8610E" w:rsidRPr="00A060B6" w:rsidRDefault="00F8610E" w:rsidP="00486F06">
      <w:pPr>
        <w:pStyle w:val="Apara"/>
        <w:rPr>
          <w:lang w:eastAsia="en-AU"/>
        </w:rPr>
      </w:pPr>
      <w:r w:rsidRPr="00A060B6">
        <w:rPr>
          <w:lang w:eastAsia="en-AU"/>
        </w:rPr>
        <w:tab/>
        <w:t>(a)</w:t>
      </w:r>
      <w:r w:rsidRPr="00A060B6">
        <w:rPr>
          <w:lang w:eastAsia="en-AU"/>
        </w:rPr>
        <w:tab/>
        <w:t xml:space="preserve">in cross-examination of the witness— </w:t>
      </w:r>
    </w:p>
    <w:p w:rsidR="00F8610E" w:rsidRPr="00A060B6" w:rsidRDefault="00F8610E" w:rsidP="00486F06">
      <w:pPr>
        <w:pStyle w:val="Asubpara"/>
        <w:rPr>
          <w:lang w:eastAsia="en-AU"/>
        </w:rPr>
      </w:pPr>
      <w:r w:rsidRPr="00A060B6">
        <w:rPr>
          <w:lang w:eastAsia="en-AU"/>
        </w:rPr>
        <w:tab/>
        <w:t>(i)</w:t>
      </w:r>
      <w:r w:rsidRPr="00A060B6">
        <w:rPr>
          <w:lang w:eastAsia="en-AU"/>
        </w:rPr>
        <w:tab/>
        <w:t>the substance of the evidence was put to the witness; and</w:t>
      </w:r>
    </w:p>
    <w:p w:rsidR="00F8610E" w:rsidRPr="00A060B6" w:rsidRDefault="00F8610E" w:rsidP="00486F06">
      <w:pPr>
        <w:pStyle w:val="Asubpara"/>
        <w:rPr>
          <w:lang w:eastAsia="en-AU"/>
        </w:rPr>
      </w:pPr>
      <w:r w:rsidRPr="00A060B6">
        <w:rPr>
          <w:lang w:eastAsia="en-AU"/>
        </w:rPr>
        <w:tab/>
        <w:t>(ii)</w:t>
      </w:r>
      <w:r w:rsidRPr="00A060B6">
        <w:rPr>
          <w:lang w:eastAsia="en-AU"/>
        </w:rPr>
        <w:tab/>
        <w:t>the witness denied, or did not admit or agree to, the substance of the evidence; and</w:t>
      </w:r>
    </w:p>
    <w:p w:rsidR="00F8610E" w:rsidRPr="00A060B6" w:rsidRDefault="00F8610E" w:rsidP="00486F06">
      <w:pPr>
        <w:pStyle w:val="Apara"/>
        <w:rPr>
          <w:lang w:eastAsia="en-AU"/>
        </w:rPr>
      </w:pPr>
      <w:r w:rsidRPr="00A060B6">
        <w:rPr>
          <w:lang w:eastAsia="en-AU"/>
        </w:rPr>
        <w:tab/>
        <w:t>(b)</w:t>
      </w:r>
      <w:r w:rsidRPr="00A060B6">
        <w:rPr>
          <w:lang w:eastAsia="en-AU"/>
        </w:rPr>
        <w:tab/>
        <w:t xml:space="preserve">the court gives leave to </w:t>
      </w:r>
      <w:r w:rsidRPr="00A060B6">
        <w:t xml:space="preserve">present </w:t>
      </w:r>
      <w:r w:rsidRPr="00A060B6">
        <w:rPr>
          <w:lang w:eastAsia="en-AU"/>
        </w:rPr>
        <w:t>the evidence.</w:t>
      </w:r>
    </w:p>
    <w:p w:rsidR="00F8610E" w:rsidRPr="00A060B6" w:rsidRDefault="00F8610E" w:rsidP="00486F06">
      <w:pPr>
        <w:pStyle w:val="Amain"/>
        <w:rPr>
          <w:lang w:eastAsia="en-AU"/>
        </w:rPr>
      </w:pPr>
      <w:r w:rsidRPr="00A060B6">
        <w:rPr>
          <w:lang w:eastAsia="en-AU"/>
        </w:rPr>
        <w:tab/>
        <w:t>(2)</w:t>
      </w:r>
      <w:r w:rsidRPr="00A060B6">
        <w:rPr>
          <w:lang w:eastAsia="en-AU"/>
        </w:rPr>
        <w:tab/>
        <w:t xml:space="preserve">Leave under subsection (1) (b) is not required if the evidence tends to prove that the witness— </w:t>
      </w:r>
    </w:p>
    <w:p w:rsidR="00F8610E" w:rsidRPr="00A060B6" w:rsidRDefault="00F8610E" w:rsidP="00486F06">
      <w:pPr>
        <w:pStyle w:val="Apara"/>
        <w:rPr>
          <w:lang w:eastAsia="en-AU"/>
        </w:rPr>
      </w:pPr>
      <w:r w:rsidRPr="00A060B6">
        <w:rPr>
          <w:lang w:eastAsia="en-AU"/>
        </w:rPr>
        <w:tab/>
        <w:t>(a)</w:t>
      </w:r>
      <w:r w:rsidRPr="00A060B6">
        <w:rPr>
          <w:lang w:eastAsia="en-AU"/>
        </w:rPr>
        <w:tab/>
        <w:t>is biased or has a motive for being untruthful; or</w:t>
      </w:r>
    </w:p>
    <w:p w:rsidR="00F8610E" w:rsidRPr="00A060B6" w:rsidRDefault="00F8610E" w:rsidP="00486F06">
      <w:pPr>
        <w:pStyle w:val="Apara"/>
        <w:rPr>
          <w:lang w:eastAsia="en-AU"/>
        </w:rPr>
      </w:pPr>
      <w:r w:rsidRPr="00A060B6">
        <w:rPr>
          <w:lang w:eastAsia="en-AU"/>
        </w:rPr>
        <w:tab/>
        <w:t>(b)</w:t>
      </w:r>
      <w:r w:rsidRPr="00A060B6">
        <w:rPr>
          <w:lang w:eastAsia="en-AU"/>
        </w:rPr>
        <w:tab/>
        <w:t>has been convicted of an offence, including an offence against the law of a foreign country; or</w:t>
      </w:r>
    </w:p>
    <w:p w:rsidR="00F8610E" w:rsidRPr="00A060B6" w:rsidRDefault="00F8610E" w:rsidP="00486F06">
      <w:pPr>
        <w:pStyle w:val="Apara"/>
        <w:rPr>
          <w:lang w:eastAsia="en-AU"/>
        </w:rPr>
      </w:pPr>
      <w:r w:rsidRPr="00A060B6">
        <w:rPr>
          <w:lang w:eastAsia="en-AU"/>
        </w:rPr>
        <w:tab/>
        <w:t>(c)</w:t>
      </w:r>
      <w:r w:rsidRPr="00A060B6">
        <w:rPr>
          <w:lang w:eastAsia="en-AU"/>
        </w:rPr>
        <w:tab/>
        <w:t>has made a prior inconsistent statement; or</w:t>
      </w:r>
    </w:p>
    <w:p w:rsidR="00F8610E" w:rsidRPr="00A060B6" w:rsidRDefault="00F8610E" w:rsidP="00486F06">
      <w:pPr>
        <w:pStyle w:val="Apara"/>
        <w:rPr>
          <w:lang w:eastAsia="en-AU"/>
        </w:rPr>
      </w:pPr>
      <w:r w:rsidRPr="00A060B6">
        <w:rPr>
          <w:lang w:eastAsia="en-AU"/>
        </w:rPr>
        <w:tab/>
        <w:t>(d)</w:t>
      </w:r>
      <w:r w:rsidRPr="00A060B6">
        <w:rPr>
          <w:lang w:eastAsia="en-AU"/>
        </w:rPr>
        <w:tab/>
        <w:t>is, or was, unable to be aware of matters to which the witness’s evidence relates; or</w:t>
      </w:r>
    </w:p>
    <w:p w:rsidR="00F8610E" w:rsidRPr="00A060B6" w:rsidRDefault="00F8610E" w:rsidP="00486F06">
      <w:pPr>
        <w:pStyle w:val="Apara"/>
        <w:rPr>
          <w:lang w:eastAsia="en-AU"/>
        </w:rPr>
      </w:pPr>
      <w:r w:rsidRPr="00A060B6">
        <w:rPr>
          <w:lang w:eastAsia="en-AU"/>
        </w:rPr>
        <w:tab/>
        <w:t>(e)</w:t>
      </w:r>
      <w:r w:rsidRPr="00A060B6">
        <w:rPr>
          <w:lang w:eastAsia="en-AU"/>
        </w:rPr>
        <w:tab/>
        <w:t>has knowingly or recklessly made a false representation while under an obligation, imposed by or under an Australian law or a law of a foreign country, to tell the truth.</w:t>
      </w:r>
    </w:p>
    <w:p w:rsidR="00F8610E" w:rsidRPr="00A060B6" w:rsidRDefault="00F8610E" w:rsidP="00486F06">
      <w:pPr>
        <w:pStyle w:val="AH5Sec"/>
      </w:pPr>
      <w:bookmarkStart w:id="144" w:name="_Toc11748499"/>
      <w:r w:rsidRPr="003925E1">
        <w:rPr>
          <w:rStyle w:val="CharSectNo"/>
        </w:rPr>
        <w:lastRenderedPageBreak/>
        <w:t>108</w:t>
      </w:r>
      <w:r w:rsidRPr="00A060B6">
        <w:tab/>
        <w:t>Exception—re</w:t>
      </w:r>
      <w:r w:rsidRPr="00A060B6">
        <w:noBreakHyphen/>
        <w:t>establishing credibility</w:t>
      </w:r>
      <w:bookmarkEnd w:id="144"/>
    </w:p>
    <w:p w:rsidR="00F8610E" w:rsidRPr="00A060B6" w:rsidRDefault="00F8610E" w:rsidP="00155916">
      <w:pPr>
        <w:pStyle w:val="Amain"/>
        <w:keepNext/>
      </w:pPr>
      <w:r w:rsidRPr="00A060B6">
        <w:tab/>
        <w:t>(1)</w:t>
      </w:r>
      <w:r w:rsidRPr="00A060B6">
        <w:tab/>
        <w:t>The credibility rule does not apply to evidence given by a witness in re</w:t>
      </w:r>
      <w:r w:rsidRPr="00A060B6">
        <w:noBreakHyphen/>
        <w:t>examination.</w:t>
      </w:r>
    </w:p>
    <w:p w:rsidR="00F8610E" w:rsidRPr="00A060B6" w:rsidRDefault="00F8610E" w:rsidP="00155916">
      <w:pPr>
        <w:pStyle w:val="Amain"/>
        <w:keepNext/>
      </w:pPr>
      <w:r w:rsidRPr="00A060B6">
        <w:tab/>
        <w:t>(2)</w:t>
      </w:r>
      <w:r w:rsidRPr="00A060B6">
        <w:tab/>
        <w:t>The credibility rule does not apply to evidence of a prior consistent statement of a witness if—</w:t>
      </w:r>
    </w:p>
    <w:p w:rsidR="00F8610E" w:rsidRPr="00A060B6" w:rsidRDefault="00F8610E" w:rsidP="00486F06">
      <w:pPr>
        <w:pStyle w:val="Apara"/>
      </w:pPr>
      <w:r w:rsidRPr="00A060B6">
        <w:tab/>
        <w:t>(a)</w:t>
      </w:r>
      <w:r w:rsidRPr="00A060B6">
        <w:tab/>
        <w:t>evidence of a prior inconsistent statement of the witness has been admitted; or</w:t>
      </w:r>
    </w:p>
    <w:p w:rsidR="00F8610E" w:rsidRPr="00A060B6" w:rsidRDefault="00F8610E" w:rsidP="00486F06">
      <w:pPr>
        <w:pStyle w:val="Apara"/>
      </w:pPr>
      <w:r w:rsidRPr="00A060B6">
        <w:tab/>
        <w:t>(b)</w:t>
      </w:r>
      <w:r w:rsidRPr="00A060B6">
        <w:tab/>
        <w:t>it is or will be suggested (either expressly or by implication) that evidence given by the witness has been fabricated or reconstructed (whether deliberately or otherwise) or is the result of a suggestion;</w:t>
      </w:r>
    </w:p>
    <w:p w:rsidR="00F8610E" w:rsidRPr="00A060B6" w:rsidRDefault="00F8610E" w:rsidP="00E51812">
      <w:pPr>
        <w:pStyle w:val="Amainreturn"/>
      </w:pPr>
      <w:r w:rsidRPr="00A060B6">
        <w:t>and the court gives leave to present the evidence of the prior consistent statement.</w:t>
      </w:r>
    </w:p>
    <w:p w:rsidR="00F8610E" w:rsidRPr="003925E1" w:rsidRDefault="00F8610E" w:rsidP="00486F06">
      <w:pPr>
        <w:pStyle w:val="AH3Div"/>
      </w:pPr>
      <w:bookmarkStart w:id="145" w:name="_Toc11748500"/>
      <w:r w:rsidRPr="003925E1">
        <w:rPr>
          <w:rStyle w:val="CharDivNo"/>
        </w:rPr>
        <w:t>Division 3.7.3</w:t>
      </w:r>
      <w:r w:rsidRPr="00A060B6">
        <w:tab/>
      </w:r>
      <w:r w:rsidRPr="003925E1">
        <w:rPr>
          <w:rStyle w:val="CharDivText"/>
        </w:rPr>
        <w:t>Credibility of people who are not witnesses</w:t>
      </w:r>
      <w:bookmarkEnd w:id="145"/>
    </w:p>
    <w:p w:rsidR="00F8610E" w:rsidRPr="00A060B6" w:rsidRDefault="00F8610E" w:rsidP="00486F06">
      <w:pPr>
        <w:pStyle w:val="AH5Sec"/>
      </w:pPr>
      <w:bookmarkStart w:id="146" w:name="_Toc11748501"/>
      <w:r w:rsidRPr="003925E1">
        <w:rPr>
          <w:rStyle w:val="CharSectNo"/>
        </w:rPr>
        <w:t>108A</w:t>
      </w:r>
      <w:r w:rsidRPr="00A060B6">
        <w:tab/>
        <w:t>Admissibility of evidence of credibility of person who has made a previous representation</w:t>
      </w:r>
      <w:bookmarkEnd w:id="146"/>
    </w:p>
    <w:p w:rsidR="00F8610E" w:rsidRPr="00A060B6" w:rsidRDefault="00F8610E" w:rsidP="00486F06">
      <w:pPr>
        <w:pStyle w:val="Amain"/>
      </w:pPr>
      <w:r w:rsidRPr="00A060B6">
        <w:tab/>
        <w:t>(1)</w:t>
      </w:r>
      <w:r w:rsidRPr="00A060B6">
        <w:tab/>
        <w:t>If—</w:t>
      </w:r>
    </w:p>
    <w:p w:rsidR="00F8610E" w:rsidRPr="00A060B6" w:rsidRDefault="00F8610E" w:rsidP="00486F06">
      <w:pPr>
        <w:pStyle w:val="Apara"/>
      </w:pPr>
      <w:r w:rsidRPr="00A060B6">
        <w:tab/>
        <w:t>(a)</w:t>
      </w:r>
      <w:r w:rsidRPr="00A060B6">
        <w:tab/>
        <w:t>evidence of a previous representation has been admitted in a proceeding; and</w:t>
      </w:r>
    </w:p>
    <w:p w:rsidR="00F8610E" w:rsidRPr="00A060B6" w:rsidRDefault="00F8610E" w:rsidP="00486F06">
      <w:pPr>
        <w:pStyle w:val="Apara"/>
      </w:pPr>
      <w:r w:rsidRPr="00A060B6">
        <w:tab/>
        <w:t>(b)</w:t>
      </w:r>
      <w:r w:rsidRPr="00A060B6">
        <w:tab/>
        <w:t>the person who made the representation has not been called, and will not be called, to give evidence in the proceeding;</w:t>
      </w:r>
    </w:p>
    <w:p w:rsidR="00F8610E" w:rsidRPr="00A060B6" w:rsidRDefault="00F8610E" w:rsidP="00E51812">
      <w:pPr>
        <w:pStyle w:val="Amainreturn"/>
      </w:pPr>
      <w:r w:rsidRPr="00A060B6">
        <w:t>credibility evidence about the person who made the representation is not admissible unless the evidence could substantially affect the assessment of the person’s credibility.</w:t>
      </w:r>
    </w:p>
    <w:p w:rsidR="00F8610E" w:rsidRPr="00A060B6" w:rsidRDefault="00F8610E" w:rsidP="00155916">
      <w:pPr>
        <w:pStyle w:val="Amain"/>
        <w:keepNext/>
      </w:pPr>
      <w:r w:rsidRPr="00A060B6">
        <w:lastRenderedPageBreak/>
        <w:tab/>
        <w:t>(2)</w:t>
      </w:r>
      <w:r w:rsidRPr="00A060B6">
        <w:tab/>
        <w:t>Without limiting the matters to which the court may have regard for subsection (1), it must have regard to—</w:t>
      </w:r>
    </w:p>
    <w:p w:rsidR="00F8610E" w:rsidRPr="00A060B6" w:rsidRDefault="00F8610E" w:rsidP="00486F06">
      <w:pPr>
        <w:pStyle w:val="Apara"/>
      </w:pPr>
      <w:r w:rsidRPr="00A060B6">
        <w:tab/>
        <w:t>(a)</w:t>
      </w:r>
      <w:r w:rsidRPr="00A060B6">
        <w:tab/>
        <w:t>whether the evidence tends to prove that the person who made the representation knowingly or recklessly made a false representation when the person was under an obligation to tell the truth; and</w:t>
      </w:r>
    </w:p>
    <w:p w:rsidR="00F8610E" w:rsidRPr="00A060B6" w:rsidRDefault="00F8610E" w:rsidP="00486F06">
      <w:pPr>
        <w:pStyle w:val="Apara"/>
      </w:pPr>
      <w:r w:rsidRPr="00A060B6">
        <w:tab/>
        <w:t>(b)</w:t>
      </w:r>
      <w:r w:rsidRPr="00A060B6">
        <w:tab/>
        <w:t>the period that elapsed between the doing of the acts or the happening of the events to which the representation related and the making of the representation.</w:t>
      </w:r>
    </w:p>
    <w:p w:rsidR="00F8610E" w:rsidRPr="00A060B6" w:rsidRDefault="00F8610E" w:rsidP="00486F06">
      <w:pPr>
        <w:pStyle w:val="AH5Sec"/>
        <w:rPr>
          <w:lang w:eastAsia="en-AU"/>
        </w:rPr>
      </w:pPr>
      <w:bookmarkStart w:id="147" w:name="_Toc11748502"/>
      <w:r w:rsidRPr="003925E1">
        <w:rPr>
          <w:rStyle w:val="CharSectNo"/>
        </w:rPr>
        <w:t>108B</w:t>
      </w:r>
      <w:r w:rsidRPr="00A060B6">
        <w:rPr>
          <w:lang w:eastAsia="en-AU"/>
        </w:rPr>
        <w:tab/>
        <w:t>Further protections—previous representations of an accused who is not a witness</w:t>
      </w:r>
      <w:bookmarkEnd w:id="147"/>
    </w:p>
    <w:p w:rsidR="00F8610E" w:rsidRPr="00A060B6" w:rsidRDefault="00F8610E" w:rsidP="00486F06">
      <w:pPr>
        <w:pStyle w:val="Amain"/>
        <w:rPr>
          <w:lang w:eastAsia="en-AU"/>
        </w:rPr>
      </w:pPr>
      <w:r w:rsidRPr="00A060B6">
        <w:rPr>
          <w:lang w:eastAsia="en-AU"/>
        </w:rPr>
        <w:tab/>
        <w:t>(1)</w:t>
      </w:r>
      <w:r w:rsidRPr="00A060B6">
        <w:rPr>
          <w:lang w:eastAsia="en-AU"/>
        </w:rPr>
        <w:tab/>
        <w:t>This section applies only in a criminal proceeding and applies in addition to section 108A.</w:t>
      </w:r>
    </w:p>
    <w:p w:rsidR="00F8610E" w:rsidRPr="00A060B6" w:rsidRDefault="00F8610E" w:rsidP="00486F06">
      <w:pPr>
        <w:pStyle w:val="Amain"/>
        <w:rPr>
          <w:lang w:eastAsia="en-AU"/>
        </w:rPr>
      </w:pPr>
      <w:r w:rsidRPr="00A060B6">
        <w:rPr>
          <w:lang w:eastAsia="en-AU"/>
        </w:rPr>
        <w:tab/>
        <w:t>(2)</w:t>
      </w:r>
      <w:r w:rsidRPr="00A060B6">
        <w:rPr>
          <w:lang w:eastAsia="en-AU"/>
        </w:rPr>
        <w:tab/>
        <w:t>If the person mentioned in section 108A is a defendant, the credibility evidence is not admissible unless the court gives leave.</w:t>
      </w:r>
    </w:p>
    <w:p w:rsidR="00F8610E" w:rsidRPr="00A060B6" w:rsidRDefault="00F8610E" w:rsidP="00486F06">
      <w:pPr>
        <w:pStyle w:val="Amain"/>
        <w:rPr>
          <w:lang w:eastAsia="en-AU"/>
        </w:rPr>
      </w:pPr>
      <w:r w:rsidRPr="00A060B6">
        <w:rPr>
          <w:lang w:eastAsia="en-AU"/>
        </w:rPr>
        <w:tab/>
        <w:t>(3)</w:t>
      </w:r>
      <w:r w:rsidRPr="00A060B6">
        <w:rPr>
          <w:lang w:eastAsia="en-AU"/>
        </w:rPr>
        <w:tab/>
        <w:t xml:space="preserve">Despite subsection (2), leave is not required if the evidence is about whether the defendant— </w:t>
      </w:r>
    </w:p>
    <w:p w:rsidR="00F8610E" w:rsidRPr="00A060B6" w:rsidRDefault="00F8610E" w:rsidP="00486F06">
      <w:pPr>
        <w:pStyle w:val="Apara"/>
        <w:rPr>
          <w:lang w:eastAsia="en-AU"/>
        </w:rPr>
      </w:pPr>
      <w:r w:rsidRPr="00A060B6">
        <w:rPr>
          <w:lang w:eastAsia="en-AU"/>
        </w:rPr>
        <w:tab/>
        <w:t>(a)</w:t>
      </w:r>
      <w:r w:rsidRPr="00A060B6">
        <w:rPr>
          <w:lang w:eastAsia="en-AU"/>
        </w:rPr>
        <w:tab/>
        <w:t>is biased or has a motive to be untruthful; or</w:t>
      </w:r>
    </w:p>
    <w:p w:rsidR="00F8610E" w:rsidRPr="00A060B6" w:rsidRDefault="00F8610E" w:rsidP="00486F06">
      <w:pPr>
        <w:pStyle w:val="Apara"/>
        <w:rPr>
          <w:lang w:eastAsia="en-AU"/>
        </w:rPr>
      </w:pPr>
      <w:r w:rsidRPr="00A060B6">
        <w:rPr>
          <w:lang w:eastAsia="en-AU"/>
        </w:rPr>
        <w:tab/>
        <w:t>(b)</w:t>
      </w:r>
      <w:r w:rsidRPr="00A060B6">
        <w:rPr>
          <w:lang w:eastAsia="en-AU"/>
        </w:rPr>
        <w:tab/>
        <w:t>is, or was, unable to be aware of or recall matters to which the defendant’s previous representation relates; or</w:t>
      </w:r>
    </w:p>
    <w:p w:rsidR="00F8610E" w:rsidRPr="00A060B6" w:rsidRDefault="00F8610E" w:rsidP="00486F06">
      <w:pPr>
        <w:pStyle w:val="Apara"/>
        <w:rPr>
          <w:lang w:eastAsia="en-AU"/>
        </w:rPr>
      </w:pPr>
      <w:r w:rsidRPr="00A060B6">
        <w:rPr>
          <w:lang w:eastAsia="en-AU"/>
        </w:rPr>
        <w:tab/>
        <w:t>(c)</w:t>
      </w:r>
      <w:r w:rsidRPr="00A060B6">
        <w:rPr>
          <w:lang w:eastAsia="en-AU"/>
        </w:rPr>
        <w:tab/>
        <w:t>has made a prior inconsistent statement.</w:t>
      </w:r>
    </w:p>
    <w:p w:rsidR="00F8610E" w:rsidRPr="00A060B6" w:rsidRDefault="00F8610E" w:rsidP="00486F06">
      <w:pPr>
        <w:pStyle w:val="Amain"/>
        <w:rPr>
          <w:lang w:eastAsia="en-AU"/>
        </w:rPr>
      </w:pPr>
      <w:r w:rsidRPr="00A060B6">
        <w:rPr>
          <w:lang w:eastAsia="en-AU"/>
        </w:rPr>
        <w:tab/>
        <w:t>(4)</w:t>
      </w:r>
      <w:r w:rsidRPr="00A060B6">
        <w:rPr>
          <w:lang w:eastAsia="en-AU"/>
        </w:rPr>
        <w:tab/>
        <w:t xml:space="preserve">The prosecution must not be given leave under subsection (2) unless evidence </w:t>
      </w:r>
      <w:r w:rsidRPr="00A060B6">
        <w:t xml:space="preserve">presented </w:t>
      </w:r>
      <w:r w:rsidRPr="00A060B6">
        <w:rPr>
          <w:lang w:eastAsia="en-AU"/>
        </w:rPr>
        <w:t xml:space="preserve">by the defendant has been admitted that— </w:t>
      </w:r>
    </w:p>
    <w:p w:rsidR="00F8610E" w:rsidRPr="00A060B6" w:rsidRDefault="00F8610E" w:rsidP="00486F06">
      <w:pPr>
        <w:pStyle w:val="Apara"/>
        <w:rPr>
          <w:lang w:eastAsia="en-AU"/>
        </w:rPr>
      </w:pPr>
      <w:r w:rsidRPr="00A060B6">
        <w:rPr>
          <w:lang w:eastAsia="en-AU"/>
        </w:rPr>
        <w:tab/>
        <w:t>(a)</w:t>
      </w:r>
      <w:r w:rsidRPr="00A060B6">
        <w:rPr>
          <w:lang w:eastAsia="en-AU"/>
        </w:rPr>
        <w:tab/>
        <w:t>tends to prove that a witness called by the prosecution has a tendency to be untruthful; and</w:t>
      </w:r>
    </w:p>
    <w:p w:rsidR="00F8610E" w:rsidRPr="00A060B6" w:rsidRDefault="00F8610E" w:rsidP="00486F06">
      <w:pPr>
        <w:pStyle w:val="Apara"/>
        <w:rPr>
          <w:lang w:eastAsia="en-AU"/>
        </w:rPr>
      </w:pPr>
      <w:r w:rsidRPr="00A060B6">
        <w:rPr>
          <w:lang w:eastAsia="en-AU"/>
        </w:rPr>
        <w:tab/>
        <w:t>(b)</w:t>
      </w:r>
      <w:r w:rsidRPr="00A060B6">
        <w:rPr>
          <w:lang w:eastAsia="en-AU"/>
        </w:rPr>
        <w:tab/>
        <w:t>is relevant solely or mainly to the witness’s credibility.</w:t>
      </w:r>
    </w:p>
    <w:p w:rsidR="00F8610E" w:rsidRPr="00A060B6" w:rsidRDefault="00F8610E" w:rsidP="00155916">
      <w:pPr>
        <w:pStyle w:val="Amain"/>
        <w:keepNext/>
        <w:rPr>
          <w:lang w:eastAsia="en-AU"/>
        </w:rPr>
      </w:pPr>
      <w:r w:rsidRPr="00A060B6">
        <w:rPr>
          <w:lang w:eastAsia="en-AU"/>
        </w:rPr>
        <w:lastRenderedPageBreak/>
        <w:tab/>
        <w:t>(5)</w:t>
      </w:r>
      <w:r w:rsidRPr="00A060B6">
        <w:rPr>
          <w:lang w:eastAsia="en-AU"/>
        </w:rPr>
        <w:tab/>
        <w:t xml:space="preserve">A reference in subsection (4) to evidence does not include a reference to evidence of conduct in relation to— </w:t>
      </w:r>
    </w:p>
    <w:p w:rsidR="00F8610E" w:rsidRPr="00A060B6" w:rsidRDefault="00F8610E" w:rsidP="00486F06">
      <w:pPr>
        <w:pStyle w:val="Apara"/>
        <w:rPr>
          <w:lang w:eastAsia="en-AU"/>
        </w:rPr>
      </w:pPr>
      <w:r w:rsidRPr="00A060B6">
        <w:rPr>
          <w:lang w:eastAsia="en-AU"/>
        </w:rPr>
        <w:tab/>
        <w:t>(a)</w:t>
      </w:r>
      <w:r w:rsidRPr="00A060B6">
        <w:rPr>
          <w:lang w:eastAsia="en-AU"/>
        </w:rPr>
        <w:tab/>
        <w:t>the events in relation to which the defendant is being prosecuted; or</w:t>
      </w:r>
    </w:p>
    <w:p w:rsidR="00F8610E" w:rsidRPr="00A060B6" w:rsidRDefault="00F8610E" w:rsidP="00486F06">
      <w:pPr>
        <w:pStyle w:val="Apara"/>
        <w:rPr>
          <w:lang w:eastAsia="en-AU"/>
        </w:rPr>
      </w:pPr>
      <w:r w:rsidRPr="00A060B6">
        <w:rPr>
          <w:lang w:eastAsia="en-AU"/>
        </w:rPr>
        <w:tab/>
        <w:t>(b)</w:t>
      </w:r>
      <w:r w:rsidRPr="00A060B6">
        <w:rPr>
          <w:lang w:eastAsia="en-AU"/>
        </w:rPr>
        <w:tab/>
        <w:t>the investigation of the offence for which the defendant is being prosecuted.</w:t>
      </w:r>
    </w:p>
    <w:p w:rsidR="00F8610E" w:rsidRPr="00A060B6" w:rsidRDefault="00F8610E" w:rsidP="00486F06">
      <w:pPr>
        <w:pStyle w:val="Amain"/>
        <w:rPr>
          <w:lang w:eastAsia="en-AU"/>
        </w:rPr>
      </w:pPr>
      <w:r w:rsidRPr="00A060B6">
        <w:rPr>
          <w:lang w:eastAsia="en-AU"/>
        </w:rPr>
        <w:tab/>
        <w:t>(6)</w:t>
      </w:r>
      <w:r w:rsidRPr="00A060B6">
        <w:rPr>
          <w:lang w:eastAsia="en-AU"/>
        </w:rPr>
        <w:tab/>
        <w:t>Another defendant must not be given leave under subsection (2) unless the previous representation of the defendant that has been admitted includes evidence adverse to the defendant seeking leave.</w:t>
      </w:r>
    </w:p>
    <w:p w:rsidR="00F8610E" w:rsidRPr="003925E1" w:rsidRDefault="00F8610E" w:rsidP="00486F06">
      <w:pPr>
        <w:pStyle w:val="AH3Div"/>
      </w:pPr>
      <w:bookmarkStart w:id="148" w:name="_Toc11748503"/>
      <w:r w:rsidRPr="003925E1">
        <w:rPr>
          <w:rStyle w:val="CharDivNo"/>
        </w:rPr>
        <w:t>Division 3.7.4</w:t>
      </w:r>
      <w:r w:rsidRPr="00A060B6">
        <w:tab/>
      </w:r>
      <w:r w:rsidRPr="003925E1">
        <w:rPr>
          <w:rStyle w:val="CharDivText"/>
        </w:rPr>
        <w:t>People with specialised knowledge</w:t>
      </w:r>
      <w:bookmarkEnd w:id="148"/>
    </w:p>
    <w:p w:rsidR="00F8610E" w:rsidRPr="00A060B6" w:rsidRDefault="00F8610E" w:rsidP="00486F06">
      <w:pPr>
        <w:pStyle w:val="AH5Sec"/>
        <w:rPr>
          <w:lang w:eastAsia="en-AU"/>
        </w:rPr>
      </w:pPr>
      <w:bookmarkStart w:id="149" w:name="_Toc11748504"/>
      <w:r w:rsidRPr="003925E1">
        <w:rPr>
          <w:rStyle w:val="CharSectNo"/>
        </w:rPr>
        <w:t>108C</w:t>
      </w:r>
      <w:r w:rsidRPr="00A060B6">
        <w:rPr>
          <w:lang w:eastAsia="en-AU"/>
        </w:rPr>
        <w:tab/>
        <w:t>Exception—evidence of people with specialised knowledge</w:t>
      </w:r>
      <w:bookmarkEnd w:id="149"/>
    </w:p>
    <w:p w:rsidR="00F8610E" w:rsidRPr="00A060B6" w:rsidRDefault="00F8610E" w:rsidP="00486F06">
      <w:pPr>
        <w:pStyle w:val="Amain"/>
        <w:rPr>
          <w:lang w:eastAsia="en-AU"/>
        </w:rPr>
      </w:pPr>
      <w:r w:rsidRPr="00A060B6">
        <w:rPr>
          <w:lang w:eastAsia="en-AU"/>
        </w:rPr>
        <w:tab/>
        <w:t>(1)</w:t>
      </w:r>
      <w:r w:rsidRPr="00A060B6">
        <w:rPr>
          <w:lang w:eastAsia="en-AU"/>
        </w:rPr>
        <w:tab/>
        <w:t xml:space="preserve">The credibility rule does not apply to evidence given by a person about the credibility of another witness if— </w:t>
      </w:r>
    </w:p>
    <w:p w:rsidR="00F8610E" w:rsidRPr="00A060B6" w:rsidRDefault="00F8610E" w:rsidP="00486F06">
      <w:pPr>
        <w:pStyle w:val="Apara"/>
        <w:rPr>
          <w:lang w:eastAsia="en-AU"/>
        </w:rPr>
      </w:pPr>
      <w:r w:rsidRPr="00A060B6">
        <w:rPr>
          <w:lang w:eastAsia="en-AU"/>
        </w:rPr>
        <w:tab/>
        <w:t>(a)</w:t>
      </w:r>
      <w:r w:rsidRPr="00A060B6">
        <w:rPr>
          <w:lang w:eastAsia="en-AU"/>
        </w:rPr>
        <w:tab/>
        <w:t>the person has specialised knowledge based on the person’s training, study or experience; and</w:t>
      </w:r>
    </w:p>
    <w:p w:rsidR="00F8610E" w:rsidRPr="00A060B6" w:rsidRDefault="00F8610E" w:rsidP="00486F06">
      <w:pPr>
        <w:pStyle w:val="Apara"/>
        <w:rPr>
          <w:lang w:eastAsia="en-AU"/>
        </w:rPr>
      </w:pPr>
      <w:r w:rsidRPr="00A060B6">
        <w:rPr>
          <w:lang w:eastAsia="en-AU"/>
        </w:rPr>
        <w:tab/>
        <w:t>(b)</w:t>
      </w:r>
      <w:r w:rsidRPr="00A060B6">
        <w:rPr>
          <w:lang w:eastAsia="en-AU"/>
        </w:rPr>
        <w:tab/>
        <w:t xml:space="preserve">the evidence is evidence of an opinion of the person that— </w:t>
      </w:r>
    </w:p>
    <w:p w:rsidR="00F8610E" w:rsidRPr="00A060B6" w:rsidRDefault="00F8610E" w:rsidP="00486F06">
      <w:pPr>
        <w:pStyle w:val="Asubpara"/>
        <w:rPr>
          <w:lang w:eastAsia="en-AU"/>
        </w:rPr>
      </w:pPr>
      <w:r w:rsidRPr="00A060B6">
        <w:rPr>
          <w:lang w:eastAsia="en-AU"/>
        </w:rPr>
        <w:tab/>
        <w:t>(i)</w:t>
      </w:r>
      <w:r w:rsidRPr="00A060B6">
        <w:rPr>
          <w:lang w:eastAsia="en-AU"/>
        </w:rPr>
        <w:tab/>
        <w:t>is completely or substantially based on that knowledge; and</w:t>
      </w:r>
    </w:p>
    <w:p w:rsidR="00F8610E" w:rsidRPr="00A060B6" w:rsidRDefault="00F8610E" w:rsidP="00486F06">
      <w:pPr>
        <w:pStyle w:val="Asubpara"/>
        <w:rPr>
          <w:lang w:eastAsia="en-AU"/>
        </w:rPr>
      </w:pPr>
      <w:r w:rsidRPr="00A060B6">
        <w:rPr>
          <w:lang w:eastAsia="en-AU"/>
        </w:rPr>
        <w:tab/>
        <w:t>(ii)</w:t>
      </w:r>
      <w:r w:rsidRPr="00A060B6">
        <w:rPr>
          <w:lang w:eastAsia="en-AU"/>
        </w:rPr>
        <w:tab/>
        <w:t>could substantially affect the assessment of the credibility of the witness; and</w:t>
      </w:r>
    </w:p>
    <w:p w:rsidR="00F8610E" w:rsidRPr="00A060B6" w:rsidRDefault="00F8610E" w:rsidP="00486F06">
      <w:pPr>
        <w:pStyle w:val="Apara"/>
        <w:rPr>
          <w:lang w:eastAsia="en-AU"/>
        </w:rPr>
      </w:pPr>
      <w:r w:rsidRPr="00A060B6">
        <w:rPr>
          <w:lang w:eastAsia="en-AU"/>
        </w:rPr>
        <w:tab/>
        <w:t>(c)</w:t>
      </w:r>
      <w:r w:rsidRPr="00A060B6">
        <w:rPr>
          <w:lang w:eastAsia="en-AU"/>
        </w:rPr>
        <w:tab/>
        <w:t xml:space="preserve">the court gives leave to </w:t>
      </w:r>
      <w:r w:rsidRPr="00A060B6">
        <w:t xml:space="preserve">present </w:t>
      </w:r>
      <w:r w:rsidRPr="00A060B6">
        <w:rPr>
          <w:lang w:eastAsia="en-AU"/>
        </w:rPr>
        <w:t>the evidence.</w:t>
      </w:r>
    </w:p>
    <w:p w:rsidR="00F8610E" w:rsidRPr="00A060B6" w:rsidRDefault="00F8610E" w:rsidP="00486F06">
      <w:pPr>
        <w:pStyle w:val="Amain"/>
        <w:rPr>
          <w:lang w:eastAsia="en-AU"/>
        </w:rPr>
      </w:pPr>
      <w:r w:rsidRPr="00A060B6">
        <w:rPr>
          <w:lang w:eastAsia="en-AU"/>
        </w:rPr>
        <w:tab/>
        <w:t>(2)</w:t>
      </w:r>
      <w:r w:rsidRPr="00A060B6">
        <w:rPr>
          <w:lang w:eastAsia="en-AU"/>
        </w:rPr>
        <w:tab/>
        <w:t xml:space="preserve">To remove any doubt, and without limiting subsection (1)— </w:t>
      </w:r>
    </w:p>
    <w:p w:rsidR="00F8610E" w:rsidRPr="00A060B6" w:rsidRDefault="00F8610E" w:rsidP="00486F06">
      <w:pPr>
        <w:pStyle w:val="Apara"/>
        <w:rPr>
          <w:lang w:eastAsia="en-AU"/>
        </w:rPr>
      </w:pPr>
      <w:r w:rsidRPr="00A060B6">
        <w:rPr>
          <w:lang w:eastAsia="en-AU"/>
        </w:rPr>
        <w:tab/>
        <w:t>(a)</w:t>
      </w:r>
      <w:r w:rsidRPr="00A060B6">
        <w:rPr>
          <w:lang w:eastAsia="en-AU"/>
        </w:rPr>
        <w:tab/>
        <w:t>a reference in that subsection to specialised knowledge includes a reference to specialised knowledge of child development and child behaviour (including specialised knowledge of the impact of sexual abuse on children and their behaviour during and following the abuse); and</w:t>
      </w:r>
    </w:p>
    <w:p w:rsidR="00F8610E" w:rsidRPr="00A060B6" w:rsidRDefault="00F8610E" w:rsidP="00486F06">
      <w:pPr>
        <w:pStyle w:val="Apara"/>
        <w:rPr>
          <w:lang w:eastAsia="en-AU"/>
        </w:rPr>
      </w:pPr>
      <w:r w:rsidRPr="00A060B6">
        <w:rPr>
          <w:lang w:eastAsia="en-AU"/>
        </w:rPr>
        <w:lastRenderedPageBreak/>
        <w:tab/>
        <w:t>(b)</w:t>
      </w:r>
      <w:r w:rsidRPr="00A060B6">
        <w:rPr>
          <w:lang w:eastAsia="en-AU"/>
        </w:rPr>
        <w:tab/>
        <w:t>a reference in that subsection to an opinion of a person includes, if the person has specialised knowledge mentioned in paragraph (a), a reference to an opinion relating to either or both of the following:</w:t>
      </w:r>
    </w:p>
    <w:p w:rsidR="00F8610E" w:rsidRPr="00A060B6" w:rsidRDefault="00F8610E" w:rsidP="00486F06">
      <w:pPr>
        <w:pStyle w:val="Asubpara"/>
        <w:rPr>
          <w:lang w:eastAsia="en-AU"/>
        </w:rPr>
      </w:pPr>
      <w:r w:rsidRPr="00A060B6">
        <w:rPr>
          <w:lang w:eastAsia="en-AU"/>
        </w:rPr>
        <w:tab/>
        <w:t>(i)</w:t>
      </w:r>
      <w:r w:rsidRPr="00A060B6">
        <w:rPr>
          <w:lang w:eastAsia="en-AU"/>
        </w:rPr>
        <w:tab/>
        <w:t>the development and behaviour of children generally;</w:t>
      </w:r>
    </w:p>
    <w:p w:rsidR="00F8610E" w:rsidRPr="00A060B6" w:rsidRDefault="00F8610E" w:rsidP="00486F06">
      <w:pPr>
        <w:pStyle w:val="Asubpara"/>
        <w:rPr>
          <w:lang w:eastAsia="en-AU"/>
        </w:rPr>
      </w:pPr>
      <w:r w:rsidRPr="00A060B6">
        <w:rPr>
          <w:lang w:eastAsia="en-AU"/>
        </w:rPr>
        <w:tab/>
        <w:t>(ii)</w:t>
      </w:r>
      <w:r w:rsidRPr="00A060B6">
        <w:rPr>
          <w:lang w:eastAsia="en-AU"/>
        </w:rPr>
        <w:tab/>
        <w:t>the development and behaviour of children who have been victims of sexual offences, or offences similar to sexual offences.</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150" w:name="_Toc11748505"/>
      <w:r w:rsidRPr="003925E1">
        <w:rPr>
          <w:rStyle w:val="CharPartNo"/>
        </w:rPr>
        <w:lastRenderedPageBreak/>
        <w:t>Part 3.8</w:t>
      </w:r>
      <w:r w:rsidRPr="00A060B6">
        <w:tab/>
      </w:r>
      <w:r w:rsidRPr="003925E1">
        <w:rPr>
          <w:rStyle w:val="CharPartText"/>
        </w:rPr>
        <w:t>Character</w:t>
      </w:r>
      <w:bookmarkEnd w:id="150"/>
    </w:p>
    <w:p w:rsidR="00F8610E" w:rsidRDefault="00F8610E" w:rsidP="000E543D">
      <w:pPr>
        <w:pStyle w:val="Placeholder"/>
        <w:suppressLineNumbers/>
      </w:pPr>
      <w:r>
        <w:rPr>
          <w:rStyle w:val="CharDivNo"/>
        </w:rPr>
        <w:t xml:space="preserve">  </w:t>
      </w:r>
      <w:r>
        <w:rPr>
          <w:rStyle w:val="CharDivText"/>
        </w:rPr>
        <w:t xml:space="preserve">  </w:t>
      </w:r>
    </w:p>
    <w:p w:rsidR="00F8610E" w:rsidRPr="00A060B6" w:rsidRDefault="00F8610E" w:rsidP="00486F06">
      <w:pPr>
        <w:pStyle w:val="AH5Sec"/>
      </w:pPr>
      <w:bookmarkStart w:id="151" w:name="_Toc11748506"/>
      <w:r w:rsidRPr="003925E1">
        <w:rPr>
          <w:rStyle w:val="CharSectNo"/>
        </w:rPr>
        <w:t>109</w:t>
      </w:r>
      <w:r w:rsidRPr="00A060B6">
        <w:tab/>
        <w:t>Application—pt 3.8</w:t>
      </w:r>
      <w:bookmarkEnd w:id="151"/>
    </w:p>
    <w:p w:rsidR="00F8610E" w:rsidRPr="00A060B6" w:rsidRDefault="00F8610E" w:rsidP="00E51812">
      <w:pPr>
        <w:pStyle w:val="Amainreturn"/>
      </w:pPr>
      <w:r w:rsidRPr="00A060B6">
        <w:t>This part applies only in a criminal proceeding.</w:t>
      </w:r>
    </w:p>
    <w:p w:rsidR="00F8610E" w:rsidRPr="00A060B6" w:rsidRDefault="00F8610E" w:rsidP="00486F06">
      <w:pPr>
        <w:pStyle w:val="AH5Sec"/>
      </w:pPr>
      <w:bookmarkStart w:id="152" w:name="_Toc11748507"/>
      <w:r w:rsidRPr="003925E1">
        <w:rPr>
          <w:rStyle w:val="CharSectNo"/>
        </w:rPr>
        <w:t>110</w:t>
      </w:r>
      <w:r w:rsidRPr="00A060B6">
        <w:tab/>
        <w:t>Evidence about character of accused people</w:t>
      </w:r>
      <w:bookmarkEnd w:id="152"/>
    </w:p>
    <w:p w:rsidR="00F8610E" w:rsidRPr="00A060B6" w:rsidRDefault="00F8610E" w:rsidP="00486F06">
      <w:pPr>
        <w:pStyle w:val="Amain"/>
      </w:pPr>
      <w:r w:rsidRPr="00A060B6">
        <w:tab/>
        <w:t>(1)</w:t>
      </w:r>
      <w:r w:rsidRPr="00A060B6">
        <w:tab/>
        <w:t>The hearsay rule, opinion rule, tendency rule and credibility rule do not apply to evidence presented by a defendant to prove (directly or by implication) that the defendant is, either generally or in a particular respect, a person of good character.</w:t>
      </w:r>
    </w:p>
    <w:p w:rsidR="00F8610E" w:rsidRPr="00A060B6" w:rsidRDefault="00F8610E" w:rsidP="00486F06">
      <w:pPr>
        <w:pStyle w:val="Amain"/>
      </w:pPr>
      <w:r w:rsidRPr="00A060B6">
        <w:tab/>
        <w:t>(2)</w:t>
      </w:r>
      <w:r w:rsidRPr="00A060B6">
        <w:tab/>
        <w:t>If evidence presented to prove (directly or by implication) that a defendant is generally a person of good character has been admitted, the hearsay rule, opinion rule, tendency rule and credibility rule do not apply to evidence presented to prove (directly or by implication) that the defendant is not generally a person of good character.</w:t>
      </w:r>
    </w:p>
    <w:p w:rsidR="00F8610E" w:rsidRPr="00A060B6" w:rsidRDefault="00F8610E" w:rsidP="00486F06">
      <w:pPr>
        <w:pStyle w:val="Amain"/>
      </w:pPr>
      <w:r w:rsidRPr="00A060B6">
        <w:tab/>
        <w:t>(3)</w:t>
      </w:r>
      <w:r w:rsidRPr="00A060B6">
        <w:tab/>
        <w:t>If evidence presented to prove (directly or by implication) that a defendant is a person of good character in a particular respect has been admitted, the hearsay rule, opinion rule, tendency rule and credibility rule do not apply to evidence presented to prove (directly or by implication) that the defendant is not a person of good character in that respect.</w:t>
      </w:r>
    </w:p>
    <w:p w:rsidR="00F8610E" w:rsidRPr="00A060B6" w:rsidRDefault="00F8610E" w:rsidP="00486F06">
      <w:pPr>
        <w:pStyle w:val="AH5Sec"/>
      </w:pPr>
      <w:bookmarkStart w:id="153" w:name="_Toc11748508"/>
      <w:r w:rsidRPr="003925E1">
        <w:rPr>
          <w:rStyle w:val="CharSectNo"/>
        </w:rPr>
        <w:t>111</w:t>
      </w:r>
      <w:r w:rsidRPr="00A060B6">
        <w:tab/>
        <w:t>Evidence about character of co-accused</w:t>
      </w:r>
      <w:bookmarkEnd w:id="153"/>
    </w:p>
    <w:p w:rsidR="00F8610E" w:rsidRPr="00A060B6" w:rsidRDefault="00F8610E" w:rsidP="00486F06">
      <w:pPr>
        <w:pStyle w:val="Amain"/>
      </w:pPr>
      <w:r w:rsidRPr="00A060B6">
        <w:tab/>
        <w:t>(1)</w:t>
      </w:r>
      <w:r w:rsidRPr="00A060B6">
        <w:tab/>
        <w:t>The hearsay rule and tendency rule do not apply to evidence of a defendant’s character if—</w:t>
      </w:r>
    </w:p>
    <w:p w:rsidR="00F8610E" w:rsidRPr="00A060B6" w:rsidRDefault="00F8610E" w:rsidP="00486F06">
      <w:pPr>
        <w:pStyle w:val="Apara"/>
      </w:pPr>
      <w:r w:rsidRPr="00A060B6">
        <w:tab/>
        <w:t>(a)</w:t>
      </w:r>
      <w:r w:rsidRPr="00A060B6">
        <w:tab/>
        <w:t>the evidence is evidence of an opinion about the defendant presented by another defendant; and</w:t>
      </w:r>
    </w:p>
    <w:p w:rsidR="00F8610E" w:rsidRPr="00A060B6" w:rsidRDefault="00F8610E" w:rsidP="00486F06">
      <w:pPr>
        <w:pStyle w:val="Apara"/>
      </w:pPr>
      <w:r w:rsidRPr="00A060B6">
        <w:tab/>
        <w:t>(b)</w:t>
      </w:r>
      <w:r w:rsidRPr="00A060B6">
        <w:tab/>
        <w:t>the person whose opinion it is has specialised knowledge based on the person’s training, study or experience; and</w:t>
      </w:r>
    </w:p>
    <w:p w:rsidR="00F8610E" w:rsidRPr="00A060B6" w:rsidRDefault="00F8610E" w:rsidP="00486F06">
      <w:pPr>
        <w:pStyle w:val="Apara"/>
      </w:pPr>
      <w:r w:rsidRPr="00A060B6">
        <w:tab/>
        <w:t>(c)</w:t>
      </w:r>
      <w:r w:rsidRPr="00A060B6">
        <w:tab/>
        <w:t>the opinion is completely or substantially based on that knowledge.</w:t>
      </w:r>
    </w:p>
    <w:p w:rsidR="00F8610E" w:rsidRPr="00A060B6" w:rsidRDefault="00F8610E" w:rsidP="00486F06">
      <w:pPr>
        <w:pStyle w:val="Amain"/>
      </w:pPr>
      <w:r w:rsidRPr="00A060B6">
        <w:lastRenderedPageBreak/>
        <w:tab/>
        <w:t>(2)</w:t>
      </w:r>
      <w:r w:rsidRPr="00A060B6">
        <w:tab/>
        <w:t>If evidence mentioned in subsection (1) has been admitted, the hearsay rule, opinion rule and tendency rule do not apply to evidence presented to prove that the evidence should not be accepted.</w:t>
      </w:r>
    </w:p>
    <w:p w:rsidR="00F8610E" w:rsidRPr="00A060B6" w:rsidRDefault="00F8610E" w:rsidP="00486F06">
      <w:pPr>
        <w:pStyle w:val="AH5Sec"/>
      </w:pPr>
      <w:bookmarkStart w:id="154" w:name="_Toc11748509"/>
      <w:r w:rsidRPr="003925E1">
        <w:rPr>
          <w:rStyle w:val="CharSectNo"/>
        </w:rPr>
        <w:t>112</w:t>
      </w:r>
      <w:r w:rsidRPr="00A060B6">
        <w:tab/>
        <w:t>Leave required to cross-examine about character of accused or co-accused</w:t>
      </w:r>
      <w:bookmarkEnd w:id="154"/>
    </w:p>
    <w:p w:rsidR="00F8610E" w:rsidRPr="00A060B6" w:rsidRDefault="00F8610E" w:rsidP="00E51812">
      <w:pPr>
        <w:pStyle w:val="Amainreturn"/>
      </w:pPr>
      <w:r w:rsidRPr="00A060B6">
        <w:t>A defendant must not be cross-examined about matters arising out of evidence mentioned in this part unless the court gives leave.</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155" w:name="_Toc11748510"/>
      <w:r w:rsidRPr="003925E1">
        <w:rPr>
          <w:rStyle w:val="CharPartNo"/>
        </w:rPr>
        <w:lastRenderedPageBreak/>
        <w:t>Part 3.9</w:t>
      </w:r>
      <w:r w:rsidRPr="00A060B6">
        <w:tab/>
      </w:r>
      <w:r w:rsidRPr="003925E1">
        <w:rPr>
          <w:rStyle w:val="CharPartText"/>
        </w:rPr>
        <w:t>Identification evidence</w:t>
      </w:r>
      <w:bookmarkEnd w:id="155"/>
    </w:p>
    <w:p w:rsidR="00F8610E" w:rsidRPr="00A060B6" w:rsidRDefault="00F8610E" w:rsidP="00E51812">
      <w:pPr>
        <w:pStyle w:val="aNote"/>
      </w:pPr>
      <w:r w:rsidRPr="005D1BC5">
        <w:rPr>
          <w:rStyle w:val="charItals"/>
        </w:rPr>
        <w:t>Note</w:t>
      </w:r>
      <w:r w:rsidRPr="00A060B6">
        <w:tab/>
      </w:r>
      <w:r w:rsidRPr="005D1BC5">
        <w:rPr>
          <w:rStyle w:val="charBoldItals"/>
        </w:rPr>
        <w:t>Identification evidence</w:t>
      </w:r>
      <w:r w:rsidRPr="00A060B6">
        <w:t>—see the dictionary.</w:t>
      </w:r>
    </w:p>
    <w:p w:rsidR="00F8610E" w:rsidRPr="00A060B6" w:rsidRDefault="00F8610E" w:rsidP="00486F06">
      <w:pPr>
        <w:pStyle w:val="AH5Sec"/>
      </w:pPr>
      <w:bookmarkStart w:id="156" w:name="_Toc11748511"/>
      <w:r w:rsidRPr="003925E1">
        <w:rPr>
          <w:rStyle w:val="CharSectNo"/>
        </w:rPr>
        <w:t>113</w:t>
      </w:r>
      <w:r w:rsidRPr="00A060B6">
        <w:tab/>
        <w:t>Application—pt 3.9</w:t>
      </w:r>
      <w:bookmarkEnd w:id="156"/>
    </w:p>
    <w:p w:rsidR="00F8610E" w:rsidRPr="00A060B6" w:rsidRDefault="00F8610E" w:rsidP="00E51812">
      <w:pPr>
        <w:pStyle w:val="Amainreturn"/>
      </w:pPr>
      <w:r w:rsidRPr="00A060B6">
        <w:t>This part applies only in a criminal proceeding.</w:t>
      </w:r>
    </w:p>
    <w:p w:rsidR="00F8610E" w:rsidRPr="00A060B6" w:rsidRDefault="00F8610E" w:rsidP="00486F06">
      <w:pPr>
        <w:pStyle w:val="AH5Sec"/>
      </w:pPr>
      <w:bookmarkStart w:id="157" w:name="_Toc11748512"/>
      <w:r w:rsidRPr="003925E1">
        <w:rPr>
          <w:rStyle w:val="CharSectNo"/>
        </w:rPr>
        <w:t>114</w:t>
      </w:r>
      <w:r w:rsidRPr="00A060B6">
        <w:tab/>
        <w:t>Exclusion of visual identification evidence</w:t>
      </w:r>
      <w:bookmarkEnd w:id="157"/>
    </w:p>
    <w:p w:rsidR="00F8610E" w:rsidRPr="00A060B6" w:rsidRDefault="00F8610E" w:rsidP="00486F06">
      <w:pPr>
        <w:pStyle w:val="Amain"/>
      </w:pPr>
      <w:r w:rsidRPr="00A060B6">
        <w:tab/>
        <w:t>(1)</w:t>
      </w:r>
      <w:r w:rsidRPr="00A060B6">
        <w:tab/>
        <w:t>In this section:</w:t>
      </w:r>
    </w:p>
    <w:p w:rsidR="00F8610E" w:rsidRPr="00A060B6" w:rsidRDefault="00F8610E" w:rsidP="005D1BC5">
      <w:pPr>
        <w:pStyle w:val="aDef"/>
      </w:pPr>
      <w:r w:rsidRPr="005D1BC5">
        <w:rPr>
          <w:rStyle w:val="charBoldItals"/>
        </w:rPr>
        <w:t>picture identification evidence</w:t>
      </w:r>
      <w:r w:rsidRPr="00A060B6">
        <w:t>—see section 115.</w:t>
      </w:r>
    </w:p>
    <w:p w:rsidR="00F8610E" w:rsidRPr="00A060B6" w:rsidRDefault="00F8610E" w:rsidP="005D1BC5">
      <w:pPr>
        <w:pStyle w:val="aDef"/>
      </w:pPr>
      <w:r w:rsidRPr="005D1BC5">
        <w:rPr>
          <w:rStyle w:val="charBoldItals"/>
        </w:rPr>
        <w:t>visual identification evidence</w:t>
      </w:r>
      <w:r w:rsidRPr="00A060B6">
        <w:t xml:space="preserve"> means identification evidence relating to an identification based completely or partly on what a person saw but does not include picture identification evidence.</w:t>
      </w:r>
    </w:p>
    <w:p w:rsidR="00F8610E" w:rsidRPr="00A060B6" w:rsidRDefault="00F8610E" w:rsidP="00486F06">
      <w:pPr>
        <w:pStyle w:val="Amain"/>
      </w:pPr>
      <w:r w:rsidRPr="00A060B6">
        <w:tab/>
        <w:t>(2)</w:t>
      </w:r>
      <w:r w:rsidRPr="00A060B6">
        <w:tab/>
        <w:t>Visual identification evidence presented by the prosecutor is not admissible unless—</w:t>
      </w:r>
    </w:p>
    <w:p w:rsidR="00F8610E" w:rsidRPr="00A060B6" w:rsidRDefault="00F8610E" w:rsidP="00486F06">
      <w:pPr>
        <w:pStyle w:val="Apara"/>
      </w:pPr>
      <w:r w:rsidRPr="00A060B6">
        <w:tab/>
        <w:t>(a)</w:t>
      </w:r>
      <w:r w:rsidRPr="00A060B6">
        <w:tab/>
        <w:t>an identification parade that included the defendant was held before the identification was made; or</w:t>
      </w:r>
    </w:p>
    <w:p w:rsidR="00F8610E" w:rsidRPr="00A060B6" w:rsidRDefault="00F8610E" w:rsidP="00486F06">
      <w:pPr>
        <w:pStyle w:val="Apara"/>
      </w:pPr>
      <w:r w:rsidRPr="00A060B6">
        <w:tab/>
        <w:t>(b)</w:t>
      </w:r>
      <w:r w:rsidRPr="00A060B6">
        <w:tab/>
        <w:t>it would not have been reasonable to have held the parade; or</w:t>
      </w:r>
    </w:p>
    <w:p w:rsidR="00F8610E" w:rsidRPr="00A060B6" w:rsidRDefault="00F8610E" w:rsidP="00486F06">
      <w:pPr>
        <w:pStyle w:val="Apara"/>
      </w:pPr>
      <w:r w:rsidRPr="00A060B6">
        <w:tab/>
        <w:t>(c)</w:t>
      </w:r>
      <w:r w:rsidRPr="00A060B6">
        <w:tab/>
        <w:t>the defendant refused to take part in the parade;</w:t>
      </w:r>
    </w:p>
    <w:p w:rsidR="00F8610E" w:rsidRPr="00A060B6" w:rsidRDefault="00F8610E" w:rsidP="00E51812">
      <w:pPr>
        <w:pStyle w:val="Amainreturn"/>
      </w:pPr>
      <w:r w:rsidRPr="00A060B6">
        <w:t>and the identification was made without the person who made it having been intentionally influenced to identify the defendant.</w:t>
      </w:r>
    </w:p>
    <w:p w:rsidR="00F8610E" w:rsidRPr="00A060B6" w:rsidRDefault="00F8610E" w:rsidP="00486F06">
      <w:pPr>
        <w:pStyle w:val="Amain"/>
      </w:pPr>
      <w:r w:rsidRPr="00A060B6">
        <w:tab/>
        <w:t>(3)</w:t>
      </w:r>
      <w:r w:rsidRPr="00A060B6">
        <w:tab/>
        <w:t>Without limiting the matters that may be taken into account by the court in deciding whether it was reasonable to hold an identification parade, it must take into account—</w:t>
      </w:r>
    </w:p>
    <w:p w:rsidR="00F8610E" w:rsidRPr="00A060B6" w:rsidRDefault="00F8610E" w:rsidP="00486F06">
      <w:pPr>
        <w:pStyle w:val="Apara"/>
      </w:pPr>
      <w:r w:rsidRPr="00A060B6">
        <w:tab/>
        <w:t>(a)</w:t>
      </w:r>
      <w:r w:rsidRPr="00A060B6">
        <w:tab/>
        <w:t>the kind of offence, and the gravity of the offence; and</w:t>
      </w:r>
    </w:p>
    <w:p w:rsidR="00F8610E" w:rsidRPr="00A060B6" w:rsidRDefault="00F8610E" w:rsidP="00486F06">
      <w:pPr>
        <w:pStyle w:val="Apara"/>
      </w:pPr>
      <w:r w:rsidRPr="00A060B6">
        <w:tab/>
        <w:t>(b)</w:t>
      </w:r>
      <w:r w:rsidRPr="00A060B6">
        <w:tab/>
        <w:t>the importance of the evidence; and</w:t>
      </w:r>
    </w:p>
    <w:p w:rsidR="00F8610E" w:rsidRPr="00A060B6" w:rsidRDefault="00F8610E" w:rsidP="001B6165">
      <w:pPr>
        <w:pStyle w:val="Apara"/>
        <w:keepNext/>
      </w:pPr>
      <w:r w:rsidRPr="00A060B6">
        <w:lastRenderedPageBreak/>
        <w:tab/>
        <w:t>(c)</w:t>
      </w:r>
      <w:r w:rsidRPr="00A060B6">
        <w:tab/>
        <w:t>the practicality of holding an identification parade having regard, among other things—</w:t>
      </w:r>
    </w:p>
    <w:p w:rsidR="00F8610E" w:rsidRPr="00A060B6" w:rsidRDefault="00F8610E" w:rsidP="00486F06">
      <w:pPr>
        <w:pStyle w:val="Asubpara"/>
      </w:pPr>
      <w:r w:rsidRPr="00A060B6">
        <w:tab/>
        <w:t>(i)</w:t>
      </w:r>
      <w:r w:rsidRPr="00A060B6">
        <w:tab/>
        <w:t>if the defendant failed to cooperate in the conduct of the parade—to the manner and extent of, and the reason (if any) for, the failure; and</w:t>
      </w:r>
    </w:p>
    <w:p w:rsidR="00F8610E" w:rsidRPr="00A060B6" w:rsidRDefault="00F8610E" w:rsidP="0014731F">
      <w:pPr>
        <w:pStyle w:val="aNotesubpar"/>
      </w:pPr>
      <w:r w:rsidRPr="005D1BC5">
        <w:rPr>
          <w:rStyle w:val="charItals"/>
        </w:rPr>
        <w:t>Note</w:t>
      </w:r>
      <w:r w:rsidRPr="005D1BC5">
        <w:rPr>
          <w:rStyle w:val="charItals"/>
        </w:rPr>
        <w:tab/>
      </w:r>
      <w:r w:rsidRPr="005D1BC5">
        <w:rPr>
          <w:rStyle w:val="charBoldItals"/>
        </w:rPr>
        <w:t>Fail</w:t>
      </w:r>
      <w:r w:rsidRPr="00A060B6">
        <w:t xml:space="preserve"> includes refuse (see </w:t>
      </w:r>
      <w:hyperlink r:id="rId95" w:tooltip="A2001-14" w:history="1">
        <w:r w:rsidR="00AF17FE" w:rsidRPr="00AF17FE">
          <w:rPr>
            <w:rStyle w:val="charCitHyperlinkAbbrev"/>
          </w:rPr>
          <w:t>Legislation Act</w:t>
        </w:r>
      </w:hyperlink>
      <w:r w:rsidRPr="00A060B6">
        <w:t>, dict, pt 1).</w:t>
      </w:r>
    </w:p>
    <w:p w:rsidR="00F8610E" w:rsidRPr="00A060B6" w:rsidRDefault="00F8610E" w:rsidP="00486F06">
      <w:pPr>
        <w:pStyle w:val="Asubpara"/>
      </w:pPr>
      <w:r w:rsidRPr="00A060B6">
        <w:tab/>
        <w:t>(ii)</w:t>
      </w:r>
      <w:r w:rsidRPr="00A060B6">
        <w:tab/>
        <w:t>in any case—to whether the identification was made at or about the time of the commission of the offence; and</w:t>
      </w:r>
    </w:p>
    <w:p w:rsidR="00F8610E" w:rsidRPr="00A060B6" w:rsidRDefault="00F8610E" w:rsidP="00486F06">
      <w:pPr>
        <w:pStyle w:val="Apara"/>
      </w:pPr>
      <w:r w:rsidRPr="00A060B6">
        <w:tab/>
        <w:t>(d)</w:t>
      </w:r>
      <w:r w:rsidRPr="00A060B6">
        <w:tab/>
        <w:t>the appropriateness of holding an identification parade having regard, among other things, to the relationship (if any) between the defendant and the person who made the identification.</w:t>
      </w:r>
    </w:p>
    <w:p w:rsidR="00F8610E" w:rsidRPr="00A060B6" w:rsidRDefault="00F8610E" w:rsidP="00486F06">
      <w:pPr>
        <w:pStyle w:val="Amain"/>
      </w:pPr>
      <w:r w:rsidRPr="00A060B6">
        <w:tab/>
        <w:t>(4)</w:t>
      </w:r>
      <w:r w:rsidRPr="00A060B6">
        <w:tab/>
        <w:t>It is presumed that it would not have been reasonable to have held an identification parade if it would have been unfair to the defendant for the parade to have been held.</w:t>
      </w:r>
    </w:p>
    <w:p w:rsidR="00F8610E" w:rsidRPr="00A060B6" w:rsidRDefault="00F8610E" w:rsidP="00486F06">
      <w:pPr>
        <w:pStyle w:val="Amain"/>
      </w:pPr>
      <w:r w:rsidRPr="00A060B6">
        <w:tab/>
        <w:t>(5)</w:t>
      </w:r>
      <w:r w:rsidRPr="00A060B6">
        <w:tab/>
        <w:t>If—</w:t>
      </w:r>
    </w:p>
    <w:p w:rsidR="00F8610E" w:rsidRPr="00A060B6" w:rsidRDefault="00F8610E" w:rsidP="00486F06">
      <w:pPr>
        <w:pStyle w:val="Apara"/>
      </w:pPr>
      <w:r w:rsidRPr="00A060B6">
        <w:tab/>
        <w:t>(a)</w:t>
      </w:r>
      <w:r w:rsidRPr="00A060B6">
        <w:tab/>
        <w:t>the defendant refused to take part in an identification parade unless an Australian legal practitioner or legal counsel acting for the defendant, or someone else chosen by the defendant, was present while it was being held; and</w:t>
      </w:r>
    </w:p>
    <w:p w:rsidR="00F8610E" w:rsidRPr="00A060B6" w:rsidRDefault="00F8610E" w:rsidP="00486F06">
      <w:pPr>
        <w:pStyle w:val="Apara"/>
      </w:pPr>
      <w:r w:rsidRPr="00A060B6">
        <w:tab/>
        <w:t>(b)</w:t>
      </w:r>
      <w:r w:rsidRPr="00A060B6">
        <w:tab/>
        <w:t>there were, at the time when the parade was to have been conducted, reasonable grounds to believe that it was not reasonably practicable for a person mentioned in paragraph (a) to be present;</w:t>
      </w:r>
    </w:p>
    <w:p w:rsidR="00F8610E" w:rsidRPr="00A060B6" w:rsidRDefault="00F8610E" w:rsidP="00E51812">
      <w:pPr>
        <w:pStyle w:val="Amainreturn"/>
      </w:pPr>
      <w:r w:rsidRPr="00A060B6">
        <w:t>it is presumed that it would not have been reasonable to have held an identification parade at that time.</w:t>
      </w:r>
    </w:p>
    <w:p w:rsidR="00F8610E" w:rsidRPr="00A060B6" w:rsidRDefault="00F8610E" w:rsidP="00486F06">
      <w:pPr>
        <w:pStyle w:val="Amain"/>
      </w:pPr>
      <w:r w:rsidRPr="00A060B6">
        <w:tab/>
        <w:t>(6)</w:t>
      </w:r>
      <w:r w:rsidRPr="00A060B6">
        <w:tab/>
        <w:t>In deciding whether it was reasonable to have held an identification parade, the court must not take into account the availability of pictures or photographs that could be used in making identifications.</w:t>
      </w:r>
    </w:p>
    <w:p w:rsidR="00F8610E" w:rsidRPr="00A060B6" w:rsidRDefault="00F8610E" w:rsidP="00486F06">
      <w:pPr>
        <w:pStyle w:val="AH5Sec"/>
      </w:pPr>
      <w:bookmarkStart w:id="158" w:name="_Toc11748513"/>
      <w:r w:rsidRPr="003925E1">
        <w:rPr>
          <w:rStyle w:val="CharSectNo"/>
        </w:rPr>
        <w:lastRenderedPageBreak/>
        <w:t>115</w:t>
      </w:r>
      <w:r w:rsidRPr="00A060B6">
        <w:tab/>
        <w:t>Exclusion of evidence of identification by pictures</w:t>
      </w:r>
      <w:bookmarkEnd w:id="158"/>
    </w:p>
    <w:p w:rsidR="00F8610E" w:rsidRPr="00A060B6" w:rsidRDefault="00F8610E" w:rsidP="00486F06">
      <w:pPr>
        <w:pStyle w:val="Amain"/>
      </w:pPr>
      <w:r w:rsidRPr="00A060B6">
        <w:tab/>
        <w:t>(1)</w:t>
      </w:r>
      <w:r w:rsidRPr="00A060B6">
        <w:tab/>
        <w:t>In this section:</w:t>
      </w:r>
    </w:p>
    <w:p w:rsidR="00F8610E" w:rsidRPr="00A060B6" w:rsidRDefault="00F8610E" w:rsidP="005D1BC5">
      <w:pPr>
        <w:pStyle w:val="aDef"/>
      </w:pPr>
      <w:r w:rsidRPr="005D1BC5">
        <w:rPr>
          <w:rStyle w:val="charBoldItals"/>
        </w:rPr>
        <w:t>picture identification evidence</w:t>
      </w:r>
      <w:r w:rsidRPr="00A060B6">
        <w:t xml:space="preserve"> means identification evidence relating to an identification made completely or partly by the person who made the identification examining pictures kept for the use of police officers.</w:t>
      </w:r>
    </w:p>
    <w:p w:rsidR="00F8610E" w:rsidRPr="00A060B6" w:rsidRDefault="00F8610E" w:rsidP="00486F06">
      <w:pPr>
        <w:pStyle w:val="Amain"/>
      </w:pPr>
      <w:r w:rsidRPr="00A060B6">
        <w:tab/>
        <w:t>(2)</w:t>
      </w:r>
      <w:r w:rsidRPr="00A060B6">
        <w:tab/>
        <w:t>Picture identification evidence presented by the prosecutor is not admissible if the pictures examined suggest that they are pictures of people in police custody.</w:t>
      </w:r>
    </w:p>
    <w:p w:rsidR="00F8610E" w:rsidRPr="00A060B6" w:rsidRDefault="00F8610E" w:rsidP="00486F06">
      <w:pPr>
        <w:pStyle w:val="Amain"/>
      </w:pPr>
      <w:r w:rsidRPr="00A060B6">
        <w:tab/>
        <w:t>(3)</w:t>
      </w:r>
      <w:r w:rsidRPr="00A060B6">
        <w:tab/>
        <w:t>Subject to subsection (4), picture identification evidence presented by the prosecutor is not admissible if—</w:t>
      </w:r>
    </w:p>
    <w:p w:rsidR="00F8610E" w:rsidRPr="00A060B6" w:rsidRDefault="00F8610E" w:rsidP="00486F06">
      <w:pPr>
        <w:pStyle w:val="Apara"/>
      </w:pPr>
      <w:r w:rsidRPr="00A060B6">
        <w:tab/>
        <w:t>(a)</w:t>
      </w:r>
      <w:r w:rsidRPr="00A060B6">
        <w:tab/>
        <w:t>when the pictures were examined, the defendant was in the custody of a police officer of the police force investigating the commission of the offence with which the defendant has been charged; and</w:t>
      </w:r>
    </w:p>
    <w:p w:rsidR="00F8610E" w:rsidRPr="00A060B6" w:rsidRDefault="00F8610E" w:rsidP="00486F06">
      <w:pPr>
        <w:pStyle w:val="Apara"/>
      </w:pPr>
      <w:r w:rsidRPr="00A060B6">
        <w:tab/>
        <w:t>(b)</w:t>
      </w:r>
      <w:r w:rsidRPr="00A060B6">
        <w:tab/>
        <w:t>the picture of the defendant that was examined was made before the defendant was taken into police custody.</w:t>
      </w:r>
    </w:p>
    <w:p w:rsidR="00F8610E" w:rsidRPr="00A060B6" w:rsidRDefault="00F8610E" w:rsidP="00486F06">
      <w:pPr>
        <w:pStyle w:val="Amain"/>
      </w:pPr>
      <w:r w:rsidRPr="00A060B6">
        <w:tab/>
        <w:t>(4)</w:t>
      </w:r>
      <w:r w:rsidRPr="00A060B6">
        <w:tab/>
        <w:t>Subsection (3) does not apply if—</w:t>
      </w:r>
    </w:p>
    <w:p w:rsidR="00F8610E" w:rsidRPr="00A060B6" w:rsidRDefault="00F8610E" w:rsidP="00486F06">
      <w:pPr>
        <w:pStyle w:val="Apara"/>
      </w:pPr>
      <w:r w:rsidRPr="00A060B6">
        <w:tab/>
        <w:t>(a)</w:t>
      </w:r>
      <w:r w:rsidRPr="00A060B6">
        <w:tab/>
        <w:t>the defendant’s appearance had changed significantly between the time the offence was committed and the time the defendant was taken into the custody; or</w:t>
      </w:r>
    </w:p>
    <w:p w:rsidR="00F8610E" w:rsidRPr="00A060B6" w:rsidRDefault="00F8610E" w:rsidP="00486F06">
      <w:pPr>
        <w:pStyle w:val="Apara"/>
      </w:pPr>
      <w:r w:rsidRPr="00A060B6">
        <w:tab/>
        <w:t>(b)</w:t>
      </w:r>
      <w:r w:rsidRPr="00A060B6">
        <w:tab/>
        <w:t>it was not reasonably practicable to make a picture of the defendant after the defendant was taken into the custody.</w:t>
      </w:r>
    </w:p>
    <w:p w:rsidR="00F8610E" w:rsidRPr="00A060B6" w:rsidRDefault="00F8610E" w:rsidP="0061678D">
      <w:pPr>
        <w:pStyle w:val="Amain"/>
        <w:keepNext/>
        <w:keepLines/>
      </w:pPr>
      <w:r w:rsidRPr="00A060B6">
        <w:lastRenderedPageBreak/>
        <w:tab/>
        <w:t>(5)</w:t>
      </w:r>
      <w:r w:rsidRPr="00A060B6">
        <w:tab/>
        <w:t>Picture identification evidence presented by the prosecutor is not admissible if, when the pictures were examined, the defendant was in the custody of a police officer of the police force investigating the commission of the offence with which the defendant has been charged, unless—</w:t>
      </w:r>
    </w:p>
    <w:p w:rsidR="00F8610E" w:rsidRPr="00A060B6" w:rsidRDefault="00F8610E" w:rsidP="001B6165">
      <w:pPr>
        <w:pStyle w:val="Apara"/>
        <w:keepNext/>
      </w:pPr>
      <w:r w:rsidRPr="00A060B6">
        <w:tab/>
        <w:t>(a)</w:t>
      </w:r>
      <w:r w:rsidRPr="00A060B6">
        <w:tab/>
        <w:t>the defendant refused to take part in an identification parade; or</w:t>
      </w:r>
    </w:p>
    <w:p w:rsidR="00F8610E" w:rsidRPr="00A060B6" w:rsidRDefault="00F8610E" w:rsidP="00486F06">
      <w:pPr>
        <w:pStyle w:val="Apara"/>
      </w:pPr>
      <w:r w:rsidRPr="00A060B6">
        <w:tab/>
        <w:t>(b)</w:t>
      </w:r>
      <w:r w:rsidRPr="00A060B6">
        <w:tab/>
        <w:t>the defendant’s appearance had changed significantly between the time the offence was committed and the time the defendant was taken into the custody; or</w:t>
      </w:r>
    </w:p>
    <w:p w:rsidR="00F8610E" w:rsidRPr="00A060B6" w:rsidRDefault="00F8610E" w:rsidP="00486F06">
      <w:pPr>
        <w:pStyle w:val="Apara"/>
      </w:pPr>
      <w:r w:rsidRPr="00A060B6">
        <w:tab/>
        <w:t>(c)</w:t>
      </w:r>
      <w:r w:rsidRPr="00A060B6">
        <w:tab/>
        <w:t>it would not have been reasonable to have held an identification parade that included the defendant.</w:t>
      </w:r>
    </w:p>
    <w:p w:rsidR="00F8610E" w:rsidRPr="00A060B6" w:rsidRDefault="00F8610E" w:rsidP="00486F06">
      <w:pPr>
        <w:pStyle w:val="Amain"/>
      </w:pPr>
      <w:r w:rsidRPr="00A060B6">
        <w:tab/>
        <w:t>(6)</w:t>
      </w:r>
      <w:r w:rsidRPr="00A060B6">
        <w:tab/>
        <w:t>Sections 114 (3) to (6) (Exclusion of visual identification evidence) apply in deciding, for subsection (5) (c), whether it would have been reasonable to have held an identification parade.</w:t>
      </w:r>
    </w:p>
    <w:p w:rsidR="00F8610E" w:rsidRPr="00A060B6" w:rsidRDefault="00F8610E" w:rsidP="00486F06">
      <w:pPr>
        <w:pStyle w:val="Amain"/>
      </w:pPr>
      <w:r w:rsidRPr="00A060B6">
        <w:tab/>
        <w:t>(7)</w:t>
      </w:r>
      <w:r w:rsidRPr="00A060B6">
        <w:tab/>
        <w:t>If picture identification evidence presented by the prosecutor is admitted into evidence, the judge must, on the defendant’s request—</w:t>
      </w:r>
    </w:p>
    <w:p w:rsidR="00F8610E" w:rsidRPr="00A060B6" w:rsidRDefault="00F8610E" w:rsidP="00486F06">
      <w:pPr>
        <w:pStyle w:val="Apara"/>
      </w:pPr>
      <w:r w:rsidRPr="00A060B6">
        <w:tab/>
        <w:t>(a)</w:t>
      </w:r>
      <w:r w:rsidRPr="00A060B6">
        <w:tab/>
        <w:t>if the picture of the defendant was made after the defendant was taken into the custody—tell the jury that the picture was made after the defendant was taken into the custody; or</w:t>
      </w:r>
    </w:p>
    <w:p w:rsidR="00F8610E" w:rsidRPr="00A060B6" w:rsidRDefault="00F8610E" w:rsidP="00486F06">
      <w:pPr>
        <w:pStyle w:val="Apara"/>
      </w:pPr>
      <w:r w:rsidRPr="00A060B6">
        <w:tab/>
        <w:t>(b)</w:t>
      </w:r>
      <w:r w:rsidRPr="00A060B6">
        <w:tab/>
        <w:t>otherwise—warn the jury that they must not assume that the defendant has a criminal record or has previously been charged with an offence.</w:t>
      </w:r>
    </w:p>
    <w:p w:rsidR="00F8610E" w:rsidRPr="00A060B6" w:rsidRDefault="00F8610E" w:rsidP="00D960D7">
      <w:pPr>
        <w:pStyle w:val="aNote"/>
        <w:spacing w:before="240"/>
      </w:pPr>
      <w:r w:rsidRPr="005D1BC5">
        <w:rPr>
          <w:rStyle w:val="charItals"/>
        </w:rPr>
        <w:t>Note</w:t>
      </w:r>
      <w:r w:rsidRPr="00A060B6">
        <w:tab/>
        <w:t>Section 116 (Directions to jury) and s 165 (Unreliable evidence) also deal with warnings about identification evidence.</w:t>
      </w:r>
    </w:p>
    <w:p w:rsidR="00F8610E" w:rsidRPr="00A060B6" w:rsidRDefault="00F8610E" w:rsidP="00486F06">
      <w:pPr>
        <w:pStyle w:val="Amain"/>
      </w:pPr>
      <w:r w:rsidRPr="00A060B6">
        <w:tab/>
        <w:t>(8)</w:t>
      </w:r>
      <w:r w:rsidRPr="00A060B6">
        <w:tab/>
        <w:t>This section does not render inadmissible picture identification evidence presented by the prosecutor that contradicts or qualifies picture identification evidence presented by the defendant.</w:t>
      </w:r>
    </w:p>
    <w:p w:rsidR="00F8610E" w:rsidRPr="00A060B6" w:rsidRDefault="00F8610E" w:rsidP="00486F06">
      <w:pPr>
        <w:pStyle w:val="Amain"/>
      </w:pPr>
      <w:r w:rsidRPr="00A060B6">
        <w:tab/>
        <w:t>(9)</w:t>
      </w:r>
      <w:r w:rsidRPr="00A060B6">
        <w:tab/>
        <w:t>This section applies in addition to section 114 (Exclusion of visual identification evidence).</w:t>
      </w:r>
    </w:p>
    <w:p w:rsidR="00F8610E" w:rsidRPr="00A060B6" w:rsidRDefault="00F8610E" w:rsidP="00BF022D">
      <w:pPr>
        <w:pStyle w:val="Amain"/>
        <w:keepNext/>
      </w:pPr>
      <w:r w:rsidRPr="00A060B6">
        <w:lastRenderedPageBreak/>
        <w:tab/>
        <w:t>(10)</w:t>
      </w:r>
      <w:r w:rsidRPr="00A060B6">
        <w:tab/>
        <w:t>In this section:</w:t>
      </w:r>
    </w:p>
    <w:p w:rsidR="00F8610E" w:rsidRPr="00A060B6" w:rsidRDefault="00F8610E" w:rsidP="00486F06">
      <w:pPr>
        <w:pStyle w:val="Apara"/>
      </w:pPr>
      <w:r w:rsidRPr="00A060B6">
        <w:tab/>
        <w:t>(a)</w:t>
      </w:r>
      <w:r w:rsidRPr="00A060B6">
        <w:tab/>
        <w:t>a reference to a picture includes a reference to a photograph; and</w:t>
      </w:r>
    </w:p>
    <w:p w:rsidR="00F8610E" w:rsidRPr="00A060B6" w:rsidRDefault="00F8610E" w:rsidP="00486F06">
      <w:pPr>
        <w:pStyle w:val="Apara"/>
      </w:pPr>
      <w:r w:rsidRPr="00A060B6">
        <w:tab/>
        <w:t>(b)</w:t>
      </w:r>
      <w:r w:rsidRPr="00A060B6">
        <w:tab/>
        <w:t>a reference to making a picture includes a reference to taking a photograph.</w:t>
      </w:r>
    </w:p>
    <w:p w:rsidR="00F8610E" w:rsidRPr="00A060B6" w:rsidRDefault="00F8610E" w:rsidP="00486F06">
      <w:pPr>
        <w:pStyle w:val="AH5Sec"/>
      </w:pPr>
      <w:bookmarkStart w:id="159" w:name="_Toc11748514"/>
      <w:r w:rsidRPr="003925E1">
        <w:rPr>
          <w:rStyle w:val="CharSectNo"/>
        </w:rPr>
        <w:t>116</w:t>
      </w:r>
      <w:r w:rsidRPr="00A060B6">
        <w:tab/>
        <w:t>Directions to jury</w:t>
      </w:r>
      <w:bookmarkEnd w:id="159"/>
    </w:p>
    <w:p w:rsidR="00F8610E" w:rsidRPr="00A060B6" w:rsidRDefault="00F8610E" w:rsidP="00486F06">
      <w:pPr>
        <w:pStyle w:val="Amain"/>
      </w:pPr>
      <w:r w:rsidRPr="00A060B6">
        <w:tab/>
        <w:t>(1)</w:t>
      </w:r>
      <w:r w:rsidRPr="00A060B6">
        <w:tab/>
        <w:t>If identification evidence has been admitted, the judge must tell the jury—</w:t>
      </w:r>
    </w:p>
    <w:p w:rsidR="00F8610E" w:rsidRPr="00A060B6" w:rsidRDefault="00F8610E" w:rsidP="00486F06">
      <w:pPr>
        <w:pStyle w:val="Apara"/>
      </w:pPr>
      <w:r w:rsidRPr="00A060B6">
        <w:tab/>
        <w:t>(a)</w:t>
      </w:r>
      <w:r w:rsidRPr="00A060B6">
        <w:tab/>
        <w:t>that there is a special need for caution before accepting identification evidence; and</w:t>
      </w:r>
    </w:p>
    <w:p w:rsidR="00F8610E" w:rsidRPr="00A060B6" w:rsidRDefault="00F8610E" w:rsidP="00486F06">
      <w:pPr>
        <w:pStyle w:val="Apara"/>
      </w:pPr>
      <w:r w:rsidRPr="00A060B6">
        <w:tab/>
        <w:t>(b)</w:t>
      </w:r>
      <w:r w:rsidRPr="00A060B6">
        <w:tab/>
        <w:t>of the reasons for the need for caution, both generally and in the circumstances of the case.</w:t>
      </w:r>
    </w:p>
    <w:p w:rsidR="00F8610E" w:rsidRPr="00A060B6" w:rsidRDefault="00F8610E" w:rsidP="00486F06">
      <w:pPr>
        <w:pStyle w:val="Amain"/>
      </w:pPr>
      <w:r w:rsidRPr="00A060B6">
        <w:tab/>
        <w:t>(2)</w:t>
      </w:r>
      <w:r w:rsidRPr="00A060B6">
        <w:tab/>
        <w:t>It is not necessary that a particular form of words be used in telling the jury.</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160" w:name="_Toc11748515"/>
      <w:r w:rsidRPr="003925E1">
        <w:rPr>
          <w:rStyle w:val="CharPartNo"/>
        </w:rPr>
        <w:lastRenderedPageBreak/>
        <w:t>Part 3.10</w:t>
      </w:r>
      <w:r w:rsidRPr="00A060B6">
        <w:tab/>
      </w:r>
      <w:r w:rsidRPr="003925E1">
        <w:rPr>
          <w:rStyle w:val="CharPartText"/>
        </w:rPr>
        <w:t>Privileges</w:t>
      </w:r>
      <w:bookmarkEnd w:id="160"/>
    </w:p>
    <w:p w:rsidR="00F8610E" w:rsidRPr="003925E1" w:rsidRDefault="00F8610E" w:rsidP="00486F06">
      <w:pPr>
        <w:pStyle w:val="AH3Div"/>
      </w:pPr>
      <w:bookmarkStart w:id="161" w:name="_Toc11748516"/>
      <w:r w:rsidRPr="003925E1">
        <w:rPr>
          <w:rStyle w:val="CharDivNo"/>
        </w:rPr>
        <w:t>Division 3.10.1</w:t>
      </w:r>
      <w:r w:rsidRPr="00A060B6">
        <w:tab/>
      </w:r>
      <w:r w:rsidRPr="003925E1">
        <w:rPr>
          <w:rStyle w:val="CharDivText"/>
        </w:rPr>
        <w:t>Client legal privilege</w:t>
      </w:r>
      <w:bookmarkEnd w:id="161"/>
    </w:p>
    <w:p w:rsidR="00F8610E" w:rsidRPr="00A060B6" w:rsidRDefault="00F8610E" w:rsidP="00486F06">
      <w:pPr>
        <w:pStyle w:val="AH5Sec"/>
      </w:pPr>
      <w:bookmarkStart w:id="162" w:name="_Toc11748517"/>
      <w:r w:rsidRPr="003925E1">
        <w:rPr>
          <w:rStyle w:val="CharSectNo"/>
        </w:rPr>
        <w:t>117</w:t>
      </w:r>
      <w:r w:rsidRPr="00A060B6">
        <w:tab/>
        <w:t>Definitions—div 3.10.1</w:t>
      </w:r>
      <w:bookmarkEnd w:id="162"/>
    </w:p>
    <w:p w:rsidR="00F8610E" w:rsidRPr="00A060B6" w:rsidRDefault="00F8610E" w:rsidP="00486F06">
      <w:pPr>
        <w:pStyle w:val="Amain"/>
      </w:pPr>
      <w:r w:rsidRPr="00A060B6">
        <w:tab/>
        <w:t>(1)</w:t>
      </w:r>
      <w:r w:rsidRPr="00A060B6">
        <w:tab/>
        <w:t>In this division:</w:t>
      </w:r>
    </w:p>
    <w:p w:rsidR="00F8610E" w:rsidRPr="00A060B6" w:rsidRDefault="00F8610E" w:rsidP="00C23C3D">
      <w:pPr>
        <w:pStyle w:val="aDef"/>
        <w:keepNext/>
      </w:pPr>
      <w:r w:rsidRPr="005D1BC5">
        <w:rPr>
          <w:rStyle w:val="charBoldItals"/>
        </w:rPr>
        <w:t>client</w:t>
      </w:r>
      <w:r w:rsidRPr="00A060B6">
        <w:t xml:space="preserve"> includes the following:</w:t>
      </w:r>
    </w:p>
    <w:p w:rsidR="00F8610E" w:rsidRPr="00A060B6" w:rsidRDefault="00F8610E" w:rsidP="00486F06">
      <w:pPr>
        <w:pStyle w:val="aDefpara"/>
      </w:pPr>
      <w:r w:rsidRPr="00A060B6">
        <w:tab/>
        <w:t>(a)</w:t>
      </w:r>
      <w:r w:rsidRPr="00A060B6">
        <w:tab/>
        <w:t>an entity that engages a lawyer to provide legal services or that employs a lawyer (including under a contract of service);</w:t>
      </w:r>
    </w:p>
    <w:p w:rsidR="00F8610E" w:rsidRPr="00A060B6" w:rsidRDefault="00F8610E" w:rsidP="00486F06">
      <w:pPr>
        <w:pStyle w:val="aDefpara"/>
      </w:pPr>
      <w:r w:rsidRPr="00A060B6">
        <w:tab/>
        <w:t>(b)</w:t>
      </w:r>
      <w:r w:rsidRPr="00A060B6">
        <w:tab/>
        <w:t>an employee or agent of a client;</w:t>
      </w:r>
    </w:p>
    <w:p w:rsidR="00F8610E" w:rsidRPr="00A060B6" w:rsidRDefault="00F8610E" w:rsidP="00486F06">
      <w:pPr>
        <w:pStyle w:val="aDefpara"/>
      </w:pPr>
      <w:r w:rsidRPr="00A060B6">
        <w:tab/>
        <w:t>(c)</w:t>
      </w:r>
      <w:r w:rsidRPr="00A060B6">
        <w:tab/>
        <w:t>an employer of a lawyer if the employer is—</w:t>
      </w:r>
    </w:p>
    <w:p w:rsidR="00F8610E" w:rsidRPr="00A060B6" w:rsidRDefault="00F8610E" w:rsidP="00486F06">
      <w:pPr>
        <w:pStyle w:val="aDefsubpara"/>
      </w:pPr>
      <w:r w:rsidRPr="00A060B6">
        <w:tab/>
        <w:t>(i)</w:t>
      </w:r>
      <w:r w:rsidRPr="00A060B6">
        <w:tab/>
        <w:t>the Commonwealth or a State or Territory; or</w:t>
      </w:r>
    </w:p>
    <w:p w:rsidR="00F8610E" w:rsidRPr="00A060B6" w:rsidRDefault="00F8610E" w:rsidP="00486F06">
      <w:pPr>
        <w:pStyle w:val="aDefsubpara"/>
      </w:pPr>
      <w:r w:rsidRPr="00A060B6">
        <w:tab/>
        <w:t>(ii)</w:t>
      </w:r>
      <w:r w:rsidRPr="00A060B6">
        <w:tab/>
        <w:t>a body established by a law of the Commonwealth or a State or Territory;</w:t>
      </w:r>
    </w:p>
    <w:p w:rsidR="00F8610E" w:rsidRPr="00A060B6" w:rsidRDefault="00F8610E" w:rsidP="00486F06">
      <w:pPr>
        <w:pStyle w:val="aDefpara"/>
      </w:pPr>
      <w:r w:rsidRPr="00A060B6">
        <w:tab/>
        <w:t>(d)</w:t>
      </w:r>
      <w:r w:rsidRPr="00A060B6">
        <w:tab/>
        <w:t>if, under a law of a State or Territory relating to people of unsound mind, a manager, committee or person (however described) is acting in relation to the person, estate or property of a client—the manager, committee or person;</w:t>
      </w:r>
    </w:p>
    <w:p w:rsidR="00F8610E" w:rsidRPr="00A060B6" w:rsidRDefault="00F8610E" w:rsidP="00486F06">
      <w:pPr>
        <w:pStyle w:val="aDefpara"/>
      </w:pPr>
      <w:r w:rsidRPr="00A060B6">
        <w:tab/>
        <w:t>(e)</w:t>
      </w:r>
      <w:r w:rsidRPr="00A060B6">
        <w:tab/>
        <w:t>if a client has died—the client’s personal representative;</w:t>
      </w:r>
    </w:p>
    <w:p w:rsidR="00F8610E" w:rsidRPr="00A060B6" w:rsidRDefault="00F8610E" w:rsidP="00486F06">
      <w:pPr>
        <w:pStyle w:val="aDefpara"/>
      </w:pPr>
      <w:r w:rsidRPr="00A060B6">
        <w:tab/>
        <w:t>(f)</w:t>
      </w:r>
      <w:r w:rsidRPr="00A060B6">
        <w:tab/>
        <w:t>a successor to the rights and obligations of a client, that are rights and obligations in relation to which a confidential communication was made.</w:t>
      </w:r>
    </w:p>
    <w:p w:rsidR="00F8610E" w:rsidRPr="00A060B6" w:rsidRDefault="00F8610E" w:rsidP="001B6165">
      <w:pPr>
        <w:pStyle w:val="aDef"/>
        <w:keepNext/>
      </w:pPr>
      <w:r w:rsidRPr="005D1BC5">
        <w:rPr>
          <w:rStyle w:val="charBoldItals"/>
        </w:rPr>
        <w:t>confidential communication</w:t>
      </w:r>
      <w:r w:rsidRPr="00A060B6">
        <w:t xml:space="preserve"> means a communication made in circumstances that, when it was made—</w:t>
      </w:r>
    </w:p>
    <w:p w:rsidR="00F8610E" w:rsidRPr="00A060B6" w:rsidRDefault="00F8610E" w:rsidP="001B6165">
      <w:pPr>
        <w:pStyle w:val="aDefpara"/>
        <w:keepNext/>
      </w:pPr>
      <w:r w:rsidRPr="00A060B6">
        <w:tab/>
        <w:t>(a)</w:t>
      </w:r>
      <w:r w:rsidRPr="00A060B6">
        <w:tab/>
        <w:t>the person who made it; or</w:t>
      </w:r>
    </w:p>
    <w:p w:rsidR="00F8610E" w:rsidRPr="00A060B6" w:rsidRDefault="00F8610E" w:rsidP="001B6165">
      <w:pPr>
        <w:pStyle w:val="aDefpara"/>
        <w:keepNext/>
      </w:pPr>
      <w:r w:rsidRPr="00A060B6">
        <w:tab/>
        <w:t>(b)</w:t>
      </w:r>
      <w:r w:rsidRPr="00A060B6">
        <w:tab/>
        <w:t>the person to whom it was made;</w:t>
      </w:r>
    </w:p>
    <w:p w:rsidR="00F8610E" w:rsidRPr="00A060B6" w:rsidRDefault="00F8610E" w:rsidP="00E51812">
      <w:pPr>
        <w:pStyle w:val="Amainreturn"/>
      </w:pPr>
      <w:r w:rsidRPr="00A060B6">
        <w:t>was under an express or implied obligation not to disclose its contents, whether or not the obligation arises under law.</w:t>
      </w:r>
    </w:p>
    <w:p w:rsidR="00F8610E" w:rsidRPr="00A060B6" w:rsidRDefault="00F8610E" w:rsidP="005D1BC5">
      <w:pPr>
        <w:pStyle w:val="aDef"/>
      </w:pPr>
      <w:r w:rsidRPr="005D1BC5">
        <w:rPr>
          <w:rStyle w:val="charBoldItals"/>
        </w:rPr>
        <w:lastRenderedPageBreak/>
        <w:t>confidential document</w:t>
      </w:r>
      <w:r w:rsidRPr="00A060B6">
        <w:t xml:space="preserve"> means a document prepared in circumstances that, when it was prepared—</w:t>
      </w:r>
    </w:p>
    <w:p w:rsidR="00F8610E" w:rsidRPr="00A060B6" w:rsidRDefault="00F8610E" w:rsidP="00486F06">
      <w:pPr>
        <w:pStyle w:val="aDefpara"/>
      </w:pPr>
      <w:r w:rsidRPr="00A060B6">
        <w:tab/>
        <w:t>(a)</w:t>
      </w:r>
      <w:r w:rsidRPr="00A060B6">
        <w:tab/>
        <w:t>the person who prepared it; or</w:t>
      </w:r>
    </w:p>
    <w:p w:rsidR="00F8610E" w:rsidRPr="00A060B6" w:rsidRDefault="00F8610E" w:rsidP="00486F06">
      <w:pPr>
        <w:pStyle w:val="aDefpara"/>
      </w:pPr>
      <w:r w:rsidRPr="00A060B6">
        <w:tab/>
        <w:t>(b)</w:t>
      </w:r>
      <w:r w:rsidRPr="00A060B6">
        <w:tab/>
        <w:t>the person for whom it was prepared;</w:t>
      </w:r>
    </w:p>
    <w:p w:rsidR="00F8610E" w:rsidRPr="00A060B6" w:rsidRDefault="00F8610E" w:rsidP="00E51812">
      <w:pPr>
        <w:pStyle w:val="Amainreturn"/>
      </w:pPr>
      <w:r w:rsidRPr="00A060B6">
        <w:t>was under an express or implied obligation not to disclose its contents, whether or not the obligation arises under law.</w:t>
      </w:r>
    </w:p>
    <w:p w:rsidR="00F8610E" w:rsidRPr="00A060B6" w:rsidRDefault="00F8610E" w:rsidP="005D1BC5">
      <w:pPr>
        <w:pStyle w:val="aDef"/>
      </w:pPr>
      <w:r w:rsidRPr="005D1BC5">
        <w:rPr>
          <w:rStyle w:val="charBoldItals"/>
        </w:rPr>
        <w:t>lawyer</w:t>
      </w:r>
      <w:r w:rsidRPr="00A060B6">
        <w:t xml:space="preserve"> means— </w:t>
      </w:r>
    </w:p>
    <w:p w:rsidR="00F8610E" w:rsidRPr="00A060B6" w:rsidRDefault="00F8610E" w:rsidP="00486F06">
      <w:pPr>
        <w:pStyle w:val="Apara"/>
        <w:rPr>
          <w:lang w:eastAsia="en-AU"/>
        </w:rPr>
      </w:pPr>
      <w:r w:rsidRPr="00A060B6">
        <w:rPr>
          <w:lang w:eastAsia="en-AU"/>
        </w:rPr>
        <w:tab/>
        <w:t>(a)</w:t>
      </w:r>
      <w:r w:rsidRPr="00A060B6">
        <w:rPr>
          <w:lang w:eastAsia="en-AU"/>
        </w:rPr>
        <w:tab/>
        <w:t>an Australian lawyer; and</w:t>
      </w:r>
    </w:p>
    <w:p w:rsidR="00F8610E" w:rsidRPr="00A060B6" w:rsidRDefault="00F8610E" w:rsidP="00486F06">
      <w:pPr>
        <w:pStyle w:val="Apara"/>
        <w:rPr>
          <w:lang w:eastAsia="en-AU"/>
        </w:rPr>
      </w:pPr>
      <w:r w:rsidRPr="00A060B6">
        <w:rPr>
          <w:lang w:eastAsia="en-AU"/>
        </w:rPr>
        <w:tab/>
        <w:t>(b)</w:t>
      </w:r>
      <w:r w:rsidRPr="00A060B6">
        <w:rPr>
          <w:lang w:eastAsia="en-AU"/>
        </w:rPr>
        <w:tab/>
        <w:t>an Australian-registered foreign lawyer; and</w:t>
      </w:r>
    </w:p>
    <w:p w:rsidR="00F8610E" w:rsidRPr="00A060B6" w:rsidRDefault="00F8610E" w:rsidP="00486F06">
      <w:pPr>
        <w:pStyle w:val="Apara"/>
        <w:rPr>
          <w:lang w:eastAsia="en-AU"/>
        </w:rPr>
      </w:pPr>
      <w:r w:rsidRPr="00A060B6">
        <w:rPr>
          <w:lang w:eastAsia="en-AU"/>
        </w:rPr>
        <w:tab/>
        <w:t>(c)</w:t>
      </w:r>
      <w:r w:rsidRPr="00A060B6">
        <w:rPr>
          <w:lang w:eastAsia="en-AU"/>
        </w:rPr>
        <w:tab/>
        <w:t>an overseas-registered foreign lawyer or an individual who, under the law of a foreign country, is permitted to engage in legal practice in that country; and</w:t>
      </w:r>
    </w:p>
    <w:p w:rsidR="00F8610E" w:rsidRPr="00A060B6" w:rsidRDefault="00F8610E" w:rsidP="00486F06">
      <w:pPr>
        <w:pStyle w:val="Apara"/>
        <w:rPr>
          <w:lang w:eastAsia="en-AU"/>
        </w:rPr>
      </w:pPr>
      <w:r w:rsidRPr="00A060B6">
        <w:rPr>
          <w:lang w:eastAsia="en-AU"/>
        </w:rPr>
        <w:tab/>
        <w:t>(d)</w:t>
      </w:r>
      <w:r w:rsidRPr="00A060B6">
        <w:rPr>
          <w:lang w:eastAsia="en-AU"/>
        </w:rPr>
        <w:tab/>
        <w:t>an employee or agent of a lawyer mentioned in paragraph (a), (b) or (c).</w:t>
      </w:r>
    </w:p>
    <w:p w:rsidR="00F8610E" w:rsidRPr="00A060B6" w:rsidRDefault="00F8610E" w:rsidP="001B6165">
      <w:pPr>
        <w:pStyle w:val="aDef"/>
        <w:keepNext/>
      </w:pPr>
      <w:r w:rsidRPr="005D1BC5">
        <w:rPr>
          <w:rStyle w:val="charBoldItals"/>
        </w:rPr>
        <w:t>party</w:t>
      </w:r>
      <w:r w:rsidRPr="00A060B6">
        <w:t xml:space="preserve"> includes the following:</w:t>
      </w:r>
    </w:p>
    <w:p w:rsidR="00F8610E" w:rsidRPr="00A060B6" w:rsidRDefault="00F8610E" w:rsidP="001B6165">
      <w:pPr>
        <w:pStyle w:val="aDefpara"/>
        <w:keepNext/>
      </w:pPr>
      <w:r w:rsidRPr="00A060B6">
        <w:tab/>
        <w:t>(a)</w:t>
      </w:r>
      <w:r w:rsidRPr="00A060B6">
        <w:tab/>
        <w:t>an employee or agent of a party;</w:t>
      </w:r>
    </w:p>
    <w:p w:rsidR="00F8610E" w:rsidRPr="00A060B6" w:rsidRDefault="00F8610E" w:rsidP="001B6165">
      <w:pPr>
        <w:pStyle w:val="aDefpara"/>
        <w:keepNext/>
      </w:pPr>
      <w:r w:rsidRPr="00A060B6">
        <w:tab/>
        <w:t>(b)</w:t>
      </w:r>
      <w:r w:rsidRPr="00A060B6">
        <w:tab/>
        <w:t>if, under a law of a State or Territory relating to people of unsound mind, a manager, committee or person (however described) is acting in relation to the person, estate or property of a party—the manager, committee or person;</w:t>
      </w:r>
    </w:p>
    <w:p w:rsidR="00F8610E" w:rsidRPr="00A060B6" w:rsidRDefault="00F8610E" w:rsidP="001B6165">
      <w:pPr>
        <w:pStyle w:val="aDefpara"/>
        <w:keepNext/>
      </w:pPr>
      <w:r w:rsidRPr="00A060B6">
        <w:tab/>
        <w:t>(c)</w:t>
      </w:r>
      <w:r w:rsidRPr="00A060B6">
        <w:tab/>
        <w:t>if a party has died—the party’s personal representative;</w:t>
      </w:r>
    </w:p>
    <w:p w:rsidR="00F8610E" w:rsidRPr="00A060B6" w:rsidRDefault="00F8610E" w:rsidP="00486F06">
      <w:pPr>
        <w:pStyle w:val="aDefpara"/>
      </w:pPr>
      <w:r w:rsidRPr="00A060B6">
        <w:tab/>
        <w:t>(d)</w:t>
      </w:r>
      <w:r w:rsidRPr="00A060B6">
        <w:tab/>
        <w:t>a successor to the rights and obligations of a party, that are rights and obligations in relation to which a confidential communication was made.</w:t>
      </w:r>
    </w:p>
    <w:p w:rsidR="00F8610E" w:rsidRPr="00A060B6" w:rsidRDefault="00F8610E" w:rsidP="00486F06">
      <w:pPr>
        <w:pStyle w:val="Amain"/>
      </w:pPr>
      <w:r w:rsidRPr="00A060B6">
        <w:tab/>
        <w:t>(2)</w:t>
      </w:r>
      <w:r w:rsidRPr="00A060B6">
        <w:tab/>
        <w:t>A reference in this division to the commission of an act includes a reference to a failure to act.</w:t>
      </w:r>
    </w:p>
    <w:p w:rsidR="00F8610E" w:rsidRPr="00A060B6" w:rsidRDefault="00F8610E" w:rsidP="00486F06">
      <w:pPr>
        <w:pStyle w:val="AH5Sec"/>
      </w:pPr>
      <w:bookmarkStart w:id="163" w:name="_Toc11748518"/>
      <w:r w:rsidRPr="003925E1">
        <w:rPr>
          <w:rStyle w:val="CharSectNo"/>
        </w:rPr>
        <w:lastRenderedPageBreak/>
        <w:t>118</w:t>
      </w:r>
      <w:r w:rsidRPr="00A060B6">
        <w:tab/>
        <w:t>Legal advice</w:t>
      </w:r>
      <w:bookmarkEnd w:id="163"/>
    </w:p>
    <w:p w:rsidR="00F8610E" w:rsidRPr="00A060B6" w:rsidRDefault="00F8610E" w:rsidP="00E51812">
      <w:pPr>
        <w:pStyle w:val="Amainreturn"/>
      </w:pPr>
      <w:r w:rsidRPr="00A060B6">
        <w:t>Evidence must not be presented if, on objection by a client, the court finds that presenting the evidence would result in disclosure of—</w:t>
      </w:r>
    </w:p>
    <w:p w:rsidR="00F8610E" w:rsidRPr="00A060B6" w:rsidRDefault="00F8610E" w:rsidP="00486F06">
      <w:pPr>
        <w:pStyle w:val="Apara"/>
      </w:pPr>
      <w:r w:rsidRPr="00A060B6">
        <w:tab/>
        <w:t>(a)</w:t>
      </w:r>
      <w:r w:rsidRPr="00A060B6">
        <w:tab/>
        <w:t>a confidential communication made between the client and a lawyer; or</w:t>
      </w:r>
    </w:p>
    <w:p w:rsidR="00F8610E" w:rsidRPr="00A060B6" w:rsidRDefault="00F8610E" w:rsidP="00486F06">
      <w:pPr>
        <w:pStyle w:val="Apara"/>
      </w:pPr>
      <w:r w:rsidRPr="00A060B6">
        <w:tab/>
        <w:t>(b)</w:t>
      </w:r>
      <w:r w:rsidRPr="00A060B6">
        <w:tab/>
        <w:t>a confidential communication made between 2 or more lawyers acting for the client; or</w:t>
      </w:r>
    </w:p>
    <w:p w:rsidR="00F8610E" w:rsidRPr="00A060B6" w:rsidRDefault="00F8610E" w:rsidP="00486F06">
      <w:pPr>
        <w:pStyle w:val="Apara"/>
      </w:pPr>
      <w:r w:rsidRPr="00A060B6">
        <w:tab/>
        <w:t>(c)</w:t>
      </w:r>
      <w:r w:rsidRPr="00A060B6">
        <w:tab/>
        <w:t>the contents of a confidential document (whether delivered or not) prepared by the client, lawyer or someone else;</w:t>
      </w:r>
    </w:p>
    <w:p w:rsidR="00F8610E" w:rsidRPr="00A060B6" w:rsidRDefault="00F8610E" w:rsidP="00E51812">
      <w:pPr>
        <w:pStyle w:val="Amainreturn"/>
      </w:pPr>
      <w:r w:rsidRPr="00A060B6">
        <w:t>for the dominant purpose of the lawyer, or 1 or more of the lawyers, providing legal advice to the client.</w:t>
      </w:r>
    </w:p>
    <w:p w:rsidR="00F8610E" w:rsidRPr="00A060B6" w:rsidRDefault="00F8610E" w:rsidP="00486F06">
      <w:pPr>
        <w:pStyle w:val="AH5Sec"/>
      </w:pPr>
      <w:bookmarkStart w:id="164" w:name="_Toc11748519"/>
      <w:r w:rsidRPr="003925E1">
        <w:rPr>
          <w:rStyle w:val="CharSectNo"/>
        </w:rPr>
        <w:t>119</w:t>
      </w:r>
      <w:r w:rsidRPr="00A060B6">
        <w:tab/>
        <w:t>Litigation</w:t>
      </w:r>
      <w:bookmarkEnd w:id="164"/>
    </w:p>
    <w:p w:rsidR="00F8610E" w:rsidRPr="00A060B6" w:rsidRDefault="00F8610E" w:rsidP="001B6165">
      <w:pPr>
        <w:pStyle w:val="Amainreturn"/>
        <w:keepNext/>
        <w:keepLines/>
      </w:pPr>
      <w:r w:rsidRPr="00A060B6">
        <w:t>Evidence must not be presented if, on objection by a client, the court finds that presenting the evidence would result in disclosure of—</w:t>
      </w:r>
    </w:p>
    <w:p w:rsidR="00F8610E" w:rsidRPr="00A060B6" w:rsidRDefault="00F8610E" w:rsidP="001B6165">
      <w:pPr>
        <w:pStyle w:val="Apara"/>
        <w:keepNext/>
        <w:keepLines/>
      </w:pPr>
      <w:r w:rsidRPr="00A060B6">
        <w:tab/>
        <w:t>(a)</w:t>
      </w:r>
      <w:r w:rsidRPr="00A060B6">
        <w:tab/>
        <w:t>a confidential communication between the client and someone else, or between a lawyer acting for the client and someone else, that was made; or</w:t>
      </w:r>
    </w:p>
    <w:p w:rsidR="00F8610E" w:rsidRPr="00A060B6" w:rsidRDefault="00F8610E" w:rsidP="001B6165">
      <w:pPr>
        <w:pStyle w:val="Apara"/>
        <w:keepNext/>
        <w:keepLines/>
      </w:pPr>
      <w:r w:rsidRPr="00A060B6">
        <w:tab/>
        <w:t>(b)</w:t>
      </w:r>
      <w:r w:rsidRPr="00A060B6">
        <w:tab/>
        <w:t>the contents of a confidential document (whether delivered or not) that was prepared;</w:t>
      </w:r>
    </w:p>
    <w:p w:rsidR="00F8610E" w:rsidRPr="00A060B6" w:rsidRDefault="00F8610E" w:rsidP="00F2594C">
      <w:pPr>
        <w:pStyle w:val="Amainreturn"/>
        <w:keepLines/>
      </w:pPr>
      <w:r w:rsidRPr="00A060B6">
        <w:t>for the dominant purpose of the client being provided with professional legal services relating to an Australian or overseas proceeding (including the proceeding before the court), or an anticipated or pending Australian or overseas proceeding, in which the client is or may be, or was or might have been, a party.</w:t>
      </w:r>
    </w:p>
    <w:p w:rsidR="00F8610E" w:rsidRPr="00A060B6" w:rsidRDefault="00F8610E" w:rsidP="00486F06">
      <w:pPr>
        <w:pStyle w:val="AH5Sec"/>
      </w:pPr>
      <w:bookmarkStart w:id="165" w:name="_Toc11748520"/>
      <w:r w:rsidRPr="003925E1">
        <w:rPr>
          <w:rStyle w:val="CharSectNo"/>
        </w:rPr>
        <w:lastRenderedPageBreak/>
        <w:t>120</w:t>
      </w:r>
      <w:r w:rsidRPr="00A060B6">
        <w:tab/>
        <w:t>Unrepresented parties</w:t>
      </w:r>
      <w:bookmarkEnd w:id="165"/>
    </w:p>
    <w:p w:rsidR="00F8610E" w:rsidRPr="00A060B6" w:rsidRDefault="00F8610E" w:rsidP="00F2594C">
      <w:pPr>
        <w:pStyle w:val="Amainreturn"/>
        <w:keepNext/>
      </w:pPr>
      <w:r w:rsidRPr="00A060B6">
        <w:t>Evidence must not be presented if, on objection by a party who is not represented in the proceeding by a lawyer, the court finds that presenting the evidence would result in disclosure of—</w:t>
      </w:r>
    </w:p>
    <w:p w:rsidR="00F8610E" w:rsidRPr="00A060B6" w:rsidRDefault="00F8610E" w:rsidP="00486F06">
      <w:pPr>
        <w:pStyle w:val="Apara"/>
      </w:pPr>
      <w:r w:rsidRPr="00A060B6">
        <w:tab/>
        <w:t>(a)</w:t>
      </w:r>
      <w:r w:rsidRPr="00A060B6">
        <w:tab/>
        <w:t>a confidential communication between the party and someone else; or</w:t>
      </w:r>
    </w:p>
    <w:p w:rsidR="00F8610E" w:rsidRPr="00A060B6" w:rsidRDefault="00F8610E" w:rsidP="00486F06">
      <w:pPr>
        <w:pStyle w:val="Apara"/>
      </w:pPr>
      <w:r w:rsidRPr="00A060B6">
        <w:tab/>
        <w:t>(b)</w:t>
      </w:r>
      <w:r w:rsidRPr="00A060B6">
        <w:tab/>
        <w:t>the contents of a confidential document (whether delivered or not) that was prepared by or at the direction or request of the party;</w:t>
      </w:r>
    </w:p>
    <w:p w:rsidR="00F8610E" w:rsidRPr="00A060B6" w:rsidRDefault="00F8610E" w:rsidP="00E51812">
      <w:pPr>
        <w:pStyle w:val="Amainreturn"/>
      </w:pPr>
      <w:r w:rsidRPr="00A060B6">
        <w:t>for the dominant purpose of preparing for or conducting the proceeding.</w:t>
      </w:r>
    </w:p>
    <w:p w:rsidR="00F8610E" w:rsidRPr="00A060B6" w:rsidRDefault="00F8610E" w:rsidP="00486F06">
      <w:pPr>
        <w:pStyle w:val="AH5Sec"/>
      </w:pPr>
      <w:bookmarkStart w:id="166" w:name="_Toc11748521"/>
      <w:r w:rsidRPr="003925E1">
        <w:rPr>
          <w:rStyle w:val="CharSectNo"/>
        </w:rPr>
        <w:t>121</w:t>
      </w:r>
      <w:r w:rsidRPr="00A060B6">
        <w:tab/>
        <w:t>Loss of client legal privilege—generally</w:t>
      </w:r>
      <w:bookmarkEnd w:id="166"/>
    </w:p>
    <w:p w:rsidR="00F8610E" w:rsidRPr="00A060B6" w:rsidRDefault="00F8610E" w:rsidP="001B6165">
      <w:pPr>
        <w:pStyle w:val="Amain"/>
        <w:keepNext/>
      </w:pPr>
      <w:r w:rsidRPr="00A060B6">
        <w:tab/>
        <w:t>(1)</w:t>
      </w:r>
      <w:r w:rsidRPr="00A060B6">
        <w:tab/>
        <w:t>This division does not prevent the presenting of evidence relevant to a question about the intentions, or competence in law, of a client or party who has died.</w:t>
      </w:r>
    </w:p>
    <w:p w:rsidR="00F8610E" w:rsidRPr="00A060B6" w:rsidRDefault="00F8610E" w:rsidP="00486F06">
      <w:pPr>
        <w:pStyle w:val="Amain"/>
      </w:pPr>
      <w:r w:rsidRPr="00A060B6">
        <w:tab/>
        <w:t>(2)</w:t>
      </w:r>
      <w:r w:rsidRPr="00A060B6">
        <w:tab/>
        <w:t>This division does not prevent the presenting of evidence if, were the evidence not presented, the court would be prevented, or it could reasonably be expected that the court would be prevented, from enforcing an order of an Australian court.</w:t>
      </w:r>
    </w:p>
    <w:p w:rsidR="00F8610E" w:rsidRPr="00A060B6" w:rsidRDefault="00F8610E" w:rsidP="00486F06">
      <w:pPr>
        <w:pStyle w:val="Amain"/>
      </w:pPr>
      <w:r w:rsidRPr="00A060B6">
        <w:tab/>
        <w:t>(3)</w:t>
      </w:r>
      <w:r w:rsidRPr="00A060B6">
        <w:tab/>
        <w:t>This division does not prevent the presenting of evidence of a communication or document that affects a right of a person.</w:t>
      </w:r>
    </w:p>
    <w:p w:rsidR="00F8610E" w:rsidRPr="00A060B6" w:rsidRDefault="00F8610E" w:rsidP="00CD0BBF">
      <w:pPr>
        <w:pStyle w:val="AH5Sec"/>
      </w:pPr>
      <w:bookmarkStart w:id="167" w:name="_Toc11748522"/>
      <w:r w:rsidRPr="003925E1">
        <w:rPr>
          <w:rStyle w:val="CharSectNo"/>
        </w:rPr>
        <w:lastRenderedPageBreak/>
        <w:t>122</w:t>
      </w:r>
      <w:r w:rsidRPr="00A060B6">
        <w:tab/>
        <w:t>Loss of client legal privilege—consent and related matters</w:t>
      </w:r>
      <w:bookmarkEnd w:id="167"/>
    </w:p>
    <w:p w:rsidR="00F8610E" w:rsidRPr="00A060B6" w:rsidRDefault="00F8610E" w:rsidP="00CD0BBF">
      <w:pPr>
        <w:pStyle w:val="Amain"/>
        <w:keepNext/>
      </w:pPr>
      <w:r w:rsidRPr="00A060B6">
        <w:tab/>
        <w:t>(1)</w:t>
      </w:r>
      <w:r w:rsidRPr="00A060B6">
        <w:tab/>
        <w:t>This division does not prevent the presenting of evidence given with the consent of the client or party.</w:t>
      </w:r>
    </w:p>
    <w:p w:rsidR="00F8610E" w:rsidRPr="00A060B6" w:rsidRDefault="00F8610E" w:rsidP="00BF022D">
      <w:pPr>
        <w:pStyle w:val="Amain"/>
        <w:keepLines/>
      </w:pPr>
      <w:r w:rsidRPr="00A060B6">
        <w:tab/>
        <w:t>(2)</w:t>
      </w:r>
      <w:r w:rsidRPr="00A060B6">
        <w:tab/>
        <w:t>Subject to subsection (5), this division does not prevent the presenting of evidence if the client or party has acted in a way that is inconsistent with the client or party objecting to the presenting of the evidence because it would result in a disclosure mentioned in section 118 (Legal advice), section 119 (Litigation) or section 120 (Unrepresented parties).</w:t>
      </w:r>
    </w:p>
    <w:p w:rsidR="00F8610E" w:rsidRPr="00A060B6" w:rsidRDefault="00F8610E" w:rsidP="00486F06">
      <w:pPr>
        <w:pStyle w:val="Amain"/>
        <w:rPr>
          <w:lang w:eastAsia="en-AU"/>
        </w:rPr>
      </w:pPr>
      <w:r w:rsidRPr="00A060B6">
        <w:rPr>
          <w:lang w:eastAsia="en-AU"/>
        </w:rPr>
        <w:tab/>
        <w:t>(3)</w:t>
      </w:r>
      <w:r w:rsidRPr="00A060B6">
        <w:rPr>
          <w:lang w:eastAsia="en-AU"/>
        </w:rPr>
        <w:tab/>
        <w:t xml:space="preserve">Without limiting subsection (2), the client or party is taken to have acted in the way mentioned in subsection (2) if— </w:t>
      </w:r>
    </w:p>
    <w:p w:rsidR="00F8610E" w:rsidRPr="00A060B6" w:rsidRDefault="00F8610E" w:rsidP="00486F06">
      <w:pPr>
        <w:pStyle w:val="Apara"/>
        <w:rPr>
          <w:lang w:eastAsia="en-AU"/>
        </w:rPr>
      </w:pPr>
      <w:r w:rsidRPr="00A060B6">
        <w:rPr>
          <w:lang w:eastAsia="en-AU"/>
        </w:rPr>
        <w:tab/>
        <w:t>(a)</w:t>
      </w:r>
      <w:r w:rsidRPr="00A060B6">
        <w:rPr>
          <w:lang w:eastAsia="en-AU"/>
        </w:rPr>
        <w:tab/>
        <w:t>the client or party knowingly and voluntarily disclosed the substance of the evidence to someone else; or</w:t>
      </w:r>
    </w:p>
    <w:p w:rsidR="00F8610E" w:rsidRPr="00A060B6" w:rsidRDefault="00F8610E" w:rsidP="00486F06">
      <w:pPr>
        <w:pStyle w:val="Apara"/>
        <w:rPr>
          <w:lang w:eastAsia="en-AU"/>
        </w:rPr>
      </w:pPr>
      <w:r w:rsidRPr="00A060B6">
        <w:rPr>
          <w:lang w:eastAsia="en-AU"/>
        </w:rPr>
        <w:tab/>
        <w:t>(b)</w:t>
      </w:r>
      <w:r w:rsidRPr="00A060B6">
        <w:rPr>
          <w:lang w:eastAsia="en-AU"/>
        </w:rPr>
        <w:tab/>
        <w:t>the substance of the evidence has been disclosed with the express or implied consent of the client or party.</w:t>
      </w:r>
    </w:p>
    <w:p w:rsidR="00F8610E" w:rsidRPr="00A060B6" w:rsidRDefault="00F8610E" w:rsidP="001B6165">
      <w:pPr>
        <w:pStyle w:val="Amain"/>
        <w:keepLines/>
      </w:pPr>
      <w:r w:rsidRPr="00A060B6">
        <w:tab/>
        <w:t>(4)</w:t>
      </w:r>
      <w:r w:rsidRPr="00A060B6">
        <w:tab/>
        <w:t>The reference in subsection (3) (a) to a knowing and voluntary disclosure does not include a reference to a disclosure by a person who was, at the time of the disclosure, an employee or agent of the client or party, or of a lawyer of the client or party, unless the employee or agent was authorised by the client, party or lawyer to make the disclosure.</w:t>
      </w:r>
    </w:p>
    <w:p w:rsidR="00F8610E" w:rsidRPr="00A060B6" w:rsidRDefault="00F8610E" w:rsidP="00486F06">
      <w:pPr>
        <w:pStyle w:val="Amain"/>
        <w:rPr>
          <w:lang w:eastAsia="en-AU"/>
        </w:rPr>
      </w:pPr>
      <w:r w:rsidRPr="00A060B6">
        <w:rPr>
          <w:lang w:eastAsia="en-AU"/>
        </w:rPr>
        <w:tab/>
        <w:t>(5)</w:t>
      </w:r>
      <w:r w:rsidRPr="00A060B6">
        <w:rPr>
          <w:lang w:eastAsia="en-AU"/>
        </w:rPr>
        <w:tab/>
        <w:t xml:space="preserve">A client or party is not taken to have acted in a way inconsistent with the client or party objecting to the presenting of the evidence only because— </w:t>
      </w:r>
    </w:p>
    <w:p w:rsidR="00F8610E" w:rsidRPr="00A060B6" w:rsidRDefault="00F8610E" w:rsidP="00486F06">
      <w:pPr>
        <w:pStyle w:val="Apara"/>
        <w:rPr>
          <w:lang w:eastAsia="en-AU"/>
        </w:rPr>
      </w:pPr>
      <w:r w:rsidRPr="00A060B6">
        <w:rPr>
          <w:lang w:eastAsia="en-AU"/>
        </w:rPr>
        <w:tab/>
        <w:t>(a)</w:t>
      </w:r>
      <w:r w:rsidRPr="00A060B6">
        <w:rPr>
          <w:lang w:eastAsia="en-AU"/>
        </w:rPr>
        <w:tab/>
        <w:t xml:space="preserve">the substance of the evidence has been disclosed— </w:t>
      </w:r>
    </w:p>
    <w:p w:rsidR="00F8610E" w:rsidRPr="00A060B6" w:rsidRDefault="00F8610E" w:rsidP="00486F06">
      <w:pPr>
        <w:pStyle w:val="Asubpara"/>
        <w:rPr>
          <w:lang w:eastAsia="en-AU"/>
        </w:rPr>
      </w:pPr>
      <w:r w:rsidRPr="00A060B6">
        <w:rPr>
          <w:lang w:eastAsia="en-AU"/>
        </w:rPr>
        <w:tab/>
        <w:t>(i)</w:t>
      </w:r>
      <w:r w:rsidRPr="00A060B6">
        <w:rPr>
          <w:lang w:eastAsia="en-AU"/>
        </w:rPr>
        <w:tab/>
        <w:t>in the course of making a confidential communication or preparing a confidential document; or</w:t>
      </w:r>
    </w:p>
    <w:p w:rsidR="00F8610E" w:rsidRPr="00A060B6" w:rsidRDefault="00F8610E" w:rsidP="00486F06">
      <w:pPr>
        <w:pStyle w:val="Asubpara"/>
        <w:rPr>
          <w:lang w:eastAsia="en-AU"/>
        </w:rPr>
      </w:pPr>
      <w:r w:rsidRPr="00A060B6">
        <w:rPr>
          <w:lang w:eastAsia="en-AU"/>
        </w:rPr>
        <w:tab/>
        <w:t>(ii)</w:t>
      </w:r>
      <w:r w:rsidRPr="00A060B6">
        <w:rPr>
          <w:lang w:eastAsia="en-AU"/>
        </w:rPr>
        <w:tab/>
        <w:t>as a result of duress or deception; or</w:t>
      </w:r>
    </w:p>
    <w:p w:rsidR="00F8610E" w:rsidRPr="00A060B6" w:rsidRDefault="00F8610E" w:rsidP="00486F06">
      <w:pPr>
        <w:pStyle w:val="Asubpara"/>
        <w:rPr>
          <w:lang w:eastAsia="en-AU"/>
        </w:rPr>
      </w:pPr>
      <w:r w:rsidRPr="00A060B6">
        <w:rPr>
          <w:lang w:eastAsia="en-AU"/>
        </w:rPr>
        <w:tab/>
        <w:t>(iii)</w:t>
      </w:r>
      <w:r w:rsidRPr="00A060B6">
        <w:rPr>
          <w:lang w:eastAsia="en-AU"/>
        </w:rPr>
        <w:tab/>
        <w:t>under compulsion of law; or</w:t>
      </w:r>
    </w:p>
    <w:p w:rsidR="00F8610E" w:rsidRPr="00A060B6" w:rsidRDefault="00F8610E" w:rsidP="00BF022D">
      <w:pPr>
        <w:pStyle w:val="Asubpara"/>
        <w:keepLines/>
        <w:rPr>
          <w:lang w:eastAsia="en-AU"/>
        </w:rPr>
      </w:pPr>
      <w:r w:rsidRPr="00A060B6">
        <w:rPr>
          <w:lang w:eastAsia="en-AU"/>
        </w:rPr>
        <w:lastRenderedPageBreak/>
        <w:tab/>
        <w:t>(iv)</w:t>
      </w:r>
      <w:r w:rsidRPr="00A060B6">
        <w:rPr>
          <w:lang w:eastAsia="en-AU"/>
        </w:rPr>
        <w:tab/>
        <w:t>if the client or party is a body established by, or a person holding an office under, an Australian law—to the Minister, or the Minister of the Commonwealth, the State or Territory, administering the law, or part of the law, under which the body is established or the office is held; or</w:t>
      </w:r>
    </w:p>
    <w:p w:rsidR="00F8610E" w:rsidRPr="00A060B6" w:rsidRDefault="00F8610E" w:rsidP="00486F06">
      <w:pPr>
        <w:pStyle w:val="Apara"/>
      </w:pPr>
      <w:r w:rsidRPr="00A060B6">
        <w:tab/>
        <w:t>(b)</w:t>
      </w:r>
      <w:r w:rsidRPr="00A060B6">
        <w:tab/>
        <w:t>of a disclosure by a client to someone else if the disclosure is about a matter in relation to which the same lawyer is providing, or is to provide, professional legal services to both the client and the other person; or</w:t>
      </w:r>
    </w:p>
    <w:p w:rsidR="00F8610E" w:rsidRPr="00A060B6" w:rsidRDefault="00F8610E" w:rsidP="00486F06">
      <w:pPr>
        <w:pStyle w:val="Apara"/>
      </w:pPr>
      <w:r w:rsidRPr="00A060B6">
        <w:tab/>
        <w:t>(c)</w:t>
      </w:r>
      <w:r w:rsidRPr="00A060B6">
        <w:tab/>
        <w:t>of a disclosure to a person with whom the client or party had, at the time of the disclosure, a common interest relating to the proceeding or an anticipated or pending Australian or overseas proceeding.</w:t>
      </w:r>
    </w:p>
    <w:p w:rsidR="00F8610E" w:rsidRPr="00A060B6" w:rsidRDefault="00F8610E" w:rsidP="001B6165">
      <w:pPr>
        <w:pStyle w:val="Amain"/>
        <w:keepNext/>
      </w:pPr>
      <w:r w:rsidRPr="00A060B6">
        <w:tab/>
        <w:t>(6)</w:t>
      </w:r>
      <w:r w:rsidRPr="00A060B6">
        <w:tab/>
        <w:t>This division does not prevent the presenting of evidence of a document that a witness has used—</w:t>
      </w:r>
    </w:p>
    <w:p w:rsidR="00F8610E" w:rsidRPr="00A060B6" w:rsidRDefault="00F8610E" w:rsidP="00486F06">
      <w:pPr>
        <w:pStyle w:val="Apara"/>
      </w:pPr>
      <w:r w:rsidRPr="00A060B6">
        <w:tab/>
        <w:t>(a)</w:t>
      </w:r>
      <w:r w:rsidRPr="00A060B6">
        <w:tab/>
        <w:t xml:space="preserve">to try to revive the witness’s memory about a fact or opinion; or </w:t>
      </w:r>
    </w:p>
    <w:p w:rsidR="00F8610E" w:rsidRPr="00A060B6" w:rsidRDefault="00F8610E" w:rsidP="00486F06">
      <w:pPr>
        <w:pStyle w:val="Apara"/>
      </w:pPr>
      <w:r w:rsidRPr="00A060B6">
        <w:tab/>
        <w:t>(b)</w:t>
      </w:r>
      <w:r w:rsidRPr="00A060B6">
        <w:tab/>
        <w:t>in a way mentioned in section 32 (Attempts to revive memory in court) or section 33 (Evidence given by police officers).</w:t>
      </w:r>
    </w:p>
    <w:p w:rsidR="00F8610E" w:rsidRPr="00A060B6" w:rsidRDefault="00F8610E" w:rsidP="00486F06">
      <w:pPr>
        <w:pStyle w:val="AH5Sec"/>
      </w:pPr>
      <w:bookmarkStart w:id="168" w:name="_Toc11748523"/>
      <w:r w:rsidRPr="003925E1">
        <w:rPr>
          <w:rStyle w:val="CharSectNo"/>
        </w:rPr>
        <w:t>123</w:t>
      </w:r>
      <w:r w:rsidRPr="00A060B6">
        <w:tab/>
        <w:t>Loss of client legal privilege—defendants</w:t>
      </w:r>
      <w:bookmarkEnd w:id="168"/>
    </w:p>
    <w:p w:rsidR="00F8610E" w:rsidRPr="00A060B6" w:rsidRDefault="00F8610E" w:rsidP="00E51812">
      <w:pPr>
        <w:pStyle w:val="Amainreturn"/>
      </w:pPr>
      <w:r w:rsidRPr="00A060B6">
        <w:t>In a criminal proceeding, this division does not prevent a defendant from presenting evidence unless it is evidence of—</w:t>
      </w:r>
    </w:p>
    <w:p w:rsidR="00F8610E" w:rsidRPr="00A060B6" w:rsidRDefault="00F8610E" w:rsidP="00486F06">
      <w:pPr>
        <w:pStyle w:val="Apara"/>
      </w:pPr>
      <w:r w:rsidRPr="00A060B6">
        <w:tab/>
        <w:t>(a)</w:t>
      </w:r>
      <w:r w:rsidRPr="00A060B6">
        <w:tab/>
        <w:t>a confidential communication made between an associated defendant and a lawyer acting for the associated defendant in connection with the prosecution of the associated defendant; or</w:t>
      </w:r>
    </w:p>
    <w:p w:rsidR="00F8610E" w:rsidRPr="00A060B6" w:rsidRDefault="00F8610E" w:rsidP="00BF022D">
      <w:pPr>
        <w:pStyle w:val="Apara"/>
        <w:keepNext/>
      </w:pPr>
      <w:r w:rsidRPr="00A060B6">
        <w:tab/>
        <w:t>(b)</w:t>
      </w:r>
      <w:r w:rsidRPr="00A060B6">
        <w:tab/>
        <w:t>the contents of a confidential document prepared by an associated defendant or by a lawyer acting for an associated defendant in connection with the prosecution of the associated defendant.</w:t>
      </w:r>
    </w:p>
    <w:p w:rsidR="00F8610E" w:rsidRPr="00A060B6" w:rsidRDefault="00F8610E" w:rsidP="00E51812">
      <w:pPr>
        <w:pStyle w:val="aNote"/>
      </w:pPr>
      <w:r w:rsidRPr="005D1BC5">
        <w:rPr>
          <w:rStyle w:val="charItals"/>
        </w:rPr>
        <w:t>Note</w:t>
      </w:r>
      <w:r w:rsidRPr="00A060B6">
        <w:tab/>
      </w:r>
      <w:r w:rsidRPr="005D1BC5">
        <w:rPr>
          <w:rStyle w:val="charBoldItals"/>
        </w:rPr>
        <w:t>Associated defendant</w:t>
      </w:r>
      <w:r w:rsidRPr="00A060B6">
        <w:t>—see the dictionary.</w:t>
      </w:r>
    </w:p>
    <w:p w:rsidR="00F8610E" w:rsidRPr="00A060B6" w:rsidRDefault="00F8610E" w:rsidP="00486F06">
      <w:pPr>
        <w:pStyle w:val="AH5Sec"/>
      </w:pPr>
      <w:bookmarkStart w:id="169" w:name="_Toc11748524"/>
      <w:r w:rsidRPr="003925E1">
        <w:rPr>
          <w:rStyle w:val="CharSectNo"/>
        </w:rPr>
        <w:lastRenderedPageBreak/>
        <w:t>124</w:t>
      </w:r>
      <w:r w:rsidRPr="00A060B6">
        <w:tab/>
        <w:t>Loss of client legal privilege—joint clients</w:t>
      </w:r>
      <w:bookmarkEnd w:id="169"/>
    </w:p>
    <w:p w:rsidR="00F8610E" w:rsidRPr="00A060B6" w:rsidRDefault="00F8610E" w:rsidP="00486F06">
      <w:pPr>
        <w:pStyle w:val="Amain"/>
      </w:pPr>
      <w:r w:rsidRPr="00A060B6">
        <w:tab/>
        <w:t>(1)</w:t>
      </w:r>
      <w:r w:rsidRPr="00A060B6">
        <w:tab/>
        <w:t>This section only applies to a civil proceeding in connection with which 2 or more parties have, before the start of the proceeding, jointly retained a lawyer in relation to the same matter.</w:t>
      </w:r>
    </w:p>
    <w:p w:rsidR="00F8610E" w:rsidRPr="00A060B6" w:rsidRDefault="00F8610E" w:rsidP="00F2594C">
      <w:pPr>
        <w:pStyle w:val="Amain"/>
        <w:keepNext/>
      </w:pPr>
      <w:r w:rsidRPr="00A060B6">
        <w:tab/>
        <w:t>(2)</w:t>
      </w:r>
      <w:r w:rsidRPr="00A060B6">
        <w:tab/>
        <w:t>This division does not prevent 1 of those parties from presenting evidence of—</w:t>
      </w:r>
    </w:p>
    <w:p w:rsidR="00F8610E" w:rsidRPr="00A060B6" w:rsidRDefault="00F8610E" w:rsidP="00486F06">
      <w:pPr>
        <w:pStyle w:val="Apara"/>
      </w:pPr>
      <w:r w:rsidRPr="00A060B6">
        <w:tab/>
        <w:t>(a)</w:t>
      </w:r>
      <w:r w:rsidRPr="00A060B6">
        <w:tab/>
        <w:t>a communication made by any 1 of them to the lawyer; or</w:t>
      </w:r>
    </w:p>
    <w:p w:rsidR="00F8610E" w:rsidRPr="00A060B6" w:rsidRDefault="00F8610E" w:rsidP="00486F06">
      <w:pPr>
        <w:pStyle w:val="Apara"/>
      </w:pPr>
      <w:r w:rsidRPr="00A060B6">
        <w:tab/>
        <w:t>(b)</w:t>
      </w:r>
      <w:r w:rsidRPr="00A060B6">
        <w:tab/>
        <w:t>the contents of a confidential document prepared by or at the direction or request of any 1 of them;</w:t>
      </w:r>
    </w:p>
    <w:p w:rsidR="00F8610E" w:rsidRPr="00A060B6" w:rsidRDefault="00F8610E" w:rsidP="00E51812">
      <w:pPr>
        <w:pStyle w:val="Amainreturn"/>
      </w:pPr>
      <w:r w:rsidRPr="00A060B6">
        <w:t>in connection with that matter.</w:t>
      </w:r>
    </w:p>
    <w:p w:rsidR="00F8610E" w:rsidRPr="00A060B6" w:rsidRDefault="00F8610E" w:rsidP="00486F06">
      <w:pPr>
        <w:pStyle w:val="AH5Sec"/>
      </w:pPr>
      <w:bookmarkStart w:id="170" w:name="_Toc11748525"/>
      <w:r w:rsidRPr="003925E1">
        <w:rPr>
          <w:rStyle w:val="CharSectNo"/>
        </w:rPr>
        <w:t>125</w:t>
      </w:r>
      <w:r w:rsidRPr="00A060B6">
        <w:tab/>
        <w:t>Loss of client legal privilege—misconduct</w:t>
      </w:r>
      <w:bookmarkEnd w:id="170"/>
    </w:p>
    <w:p w:rsidR="00F8610E" w:rsidRPr="00A060B6" w:rsidRDefault="00F8610E" w:rsidP="00486F06">
      <w:pPr>
        <w:pStyle w:val="Amain"/>
      </w:pPr>
      <w:r w:rsidRPr="00A060B6">
        <w:tab/>
        <w:t>(1)</w:t>
      </w:r>
      <w:r w:rsidRPr="00A060B6">
        <w:tab/>
        <w:t>This division does not prevent the presenting of evidence of—</w:t>
      </w:r>
    </w:p>
    <w:p w:rsidR="00F8610E" w:rsidRPr="00A060B6" w:rsidRDefault="00F8610E" w:rsidP="00486F06">
      <w:pPr>
        <w:pStyle w:val="Apara"/>
      </w:pPr>
      <w:r w:rsidRPr="00A060B6">
        <w:tab/>
        <w:t>(a)</w:t>
      </w:r>
      <w:r w:rsidRPr="00A060B6">
        <w:tab/>
        <w:t>a communication made or the contents of a document prepared by a client or lawyer (or both), or a party who is not represented in the proceeding by a lawyer, in furtherance of the commission of a fraud or an offence or the commission of an act that renders a person liable to a civil penalty; or</w:t>
      </w:r>
    </w:p>
    <w:p w:rsidR="00F8610E" w:rsidRPr="00A060B6" w:rsidRDefault="00F8610E" w:rsidP="00486F06">
      <w:pPr>
        <w:pStyle w:val="Apara"/>
      </w:pPr>
      <w:r w:rsidRPr="00A060B6">
        <w:tab/>
        <w:t>(b)</w:t>
      </w:r>
      <w:r w:rsidRPr="00A060B6">
        <w:tab/>
        <w:t>a communication or the contents of a document that the client or lawyer (or both), or the party, knew or ought reasonably to have known was made or prepared in furtherance of a deliberate abuse of a power.</w:t>
      </w:r>
    </w:p>
    <w:p w:rsidR="00F8610E" w:rsidRPr="00A060B6" w:rsidRDefault="00F8610E" w:rsidP="00CD0BBF">
      <w:pPr>
        <w:pStyle w:val="Amain"/>
        <w:keepNext/>
      </w:pPr>
      <w:r w:rsidRPr="00A060B6">
        <w:lastRenderedPageBreak/>
        <w:tab/>
        <w:t>(2)</w:t>
      </w:r>
      <w:r w:rsidRPr="00A060B6">
        <w:tab/>
        <w:t>For this section, if the commission of the fraud, offence or act, or the abuse of power, is a fact in issue and there are reasonable grounds for finding that—</w:t>
      </w:r>
    </w:p>
    <w:p w:rsidR="00F8610E" w:rsidRPr="00A060B6" w:rsidRDefault="00F8610E" w:rsidP="00CD0BBF">
      <w:pPr>
        <w:pStyle w:val="Apara"/>
        <w:keepNext/>
      </w:pPr>
      <w:r w:rsidRPr="00A060B6">
        <w:tab/>
        <w:t>(a)</w:t>
      </w:r>
      <w:r w:rsidRPr="00A060B6">
        <w:tab/>
        <w:t>the fraud, offence or act, or the abuse of power, was committed; and</w:t>
      </w:r>
    </w:p>
    <w:p w:rsidR="00F8610E" w:rsidRPr="00A060B6" w:rsidRDefault="00F8610E" w:rsidP="0061678D">
      <w:pPr>
        <w:pStyle w:val="Apara"/>
        <w:keepNext/>
        <w:keepLines/>
      </w:pPr>
      <w:r w:rsidRPr="00A060B6">
        <w:tab/>
        <w:t>(b)</w:t>
      </w:r>
      <w:r w:rsidRPr="00A060B6">
        <w:tab/>
        <w:t>a communication was made or document prepared in furtherance of the commission of the fraud, offence or act or the abuse of power;</w:t>
      </w:r>
    </w:p>
    <w:p w:rsidR="00F8610E" w:rsidRPr="00A060B6" w:rsidRDefault="00F8610E" w:rsidP="00E51812">
      <w:pPr>
        <w:pStyle w:val="Amainreturn"/>
      </w:pPr>
      <w:r w:rsidRPr="00A060B6">
        <w:t xml:space="preserve">the court may find that the communication was made or the document was prepared as mentioned in paragraph (b). </w:t>
      </w:r>
    </w:p>
    <w:p w:rsidR="00F8610E" w:rsidRPr="00A060B6" w:rsidRDefault="00F8610E" w:rsidP="00F2594C">
      <w:pPr>
        <w:pStyle w:val="Amain"/>
        <w:keepNext/>
      </w:pPr>
      <w:r w:rsidRPr="00A060B6">
        <w:tab/>
        <w:t>(3)</w:t>
      </w:r>
      <w:r w:rsidRPr="00A060B6">
        <w:tab/>
        <w:t>In this section:</w:t>
      </w:r>
    </w:p>
    <w:p w:rsidR="00F8610E" w:rsidRPr="00A060B6" w:rsidRDefault="00F8610E" w:rsidP="005D1BC5">
      <w:pPr>
        <w:pStyle w:val="aDef"/>
      </w:pPr>
      <w:r w:rsidRPr="005D1BC5">
        <w:rPr>
          <w:rStyle w:val="charBoldItals"/>
        </w:rPr>
        <w:t>power</w:t>
      </w:r>
      <w:r w:rsidRPr="00A060B6">
        <w:t xml:space="preserve"> means a power given by or under an Australian law.</w:t>
      </w:r>
    </w:p>
    <w:p w:rsidR="00F8610E" w:rsidRPr="00A060B6" w:rsidRDefault="00F8610E" w:rsidP="00486F06">
      <w:pPr>
        <w:pStyle w:val="AH5Sec"/>
      </w:pPr>
      <w:bookmarkStart w:id="171" w:name="_Toc11748526"/>
      <w:r w:rsidRPr="003925E1">
        <w:rPr>
          <w:rStyle w:val="CharSectNo"/>
        </w:rPr>
        <w:t>126</w:t>
      </w:r>
      <w:r w:rsidRPr="00A060B6">
        <w:tab/>
        <w:t>Loss of client legal privilege—related communications and documents</w:t>
      </w:r>
      <w:bookmarkEnd w:id="171"/>
    </w:p>
    <w:p w:rsidR="00F8610E" w:rsidRPr="00A060B6" w:rsidRDefault="00F8610E" w:rsidP="001B6165">
      <w:pPr>
        <w:pStyle w:val="Amain"/>
        <w:keepLines/>
      </w:pPr>
      <w:r w:rsidRPr="00A060B6">
        <w:tab/>
        <w:t>(1)</w:t>
      </w:r>
      <w:r w:rsidRPr="00A060B6">
        <w:tab/>
        <w:t>If, because of the application of a relevant section, this division does not prevent the presenting of evidence of a communication or the contents of a document, the relevant section does not prevent the presenting of evidence of another communication or document if it is reasonably necessary to enable a proper understanding of the communication or document.</w:t>
      </w:r>
    </w:p>
    <w:p w:rsidR="00F8610E" w:rsidRPr="00A060B6" w:rsidRDefault="00F8610E" w:rsidP="00E51812">
      <w:pPr>
        <w:pStyle w:val="aExamHdgss"/>
      </w:pPr>
      <w:r w:rsidRPr="00A060B6">
        <w:t>Example</w:t>
      </w:r>
    </w:p>
    <w:p w:rsidR="00F8610E" w:rsidRPr="00A060B6" w:rsidRDefault="00F8610E" w:rsidP="00CD0BBF">
      <w:pPr>
        <w:pStyle w:val="aExamss"/>
      </w:pPr>
      <w:r w:rsidRPr="00A060B6">
        <w:t>A lawyer advises his client to understate her income for the previous year to evade taxation because of her potential tax liability ‘as set out in my previous letter to you dated 11 August 1994’. In a proceeding against the taxpayer for tax evasion, evidence of the contents of the letter dated 11 August 1994 may be admissible (even if that letter would otherwise be privileged) to enable a proper understanding of the second letter.</w:t>
      </w:r>
    </w:p>
    <w:p w:rsidR="00F8610E" w:rsidRPr="00A060B6" w:rsidRDefault="00F8610E" w:rsidP="00CD0BBF">
      <w:pPr>
        <w:pStyle w:val="Amain"/>
        <w:keepNext/>
      </w:pPr>
      <w:r w:rsidRPr="00A060B6">
        <w:lastRenderedPageBreak/>
        <w:tab/>
        <w:t>(2)</w:t>
      </w:r>
      <w:r w:rsidRPr="00A060B6">
        <w:tab/>
        <w:t>In this section:</w:t>
      </w:r>
    </w:p>
    <w:p w:rsidR="00F8610E" w:rsidRPr="00A060B6" w:rsidRDefault="00F8610E" w:rsidP="00CD0BBF">
      <w:pPr>
        <w:pStyle w:val="aDef"/>
        <w:keepNext/>
      </w:pPr>
      <w:r w:rsidRPr="005D1BC5">
        <w:rPr>
          <w:rStyle w:val="charBoldItals"/>
        </w:rPr>
        <w:t>relevant section</w:t>
      </w:r>
      <w:r w:rsidRPr="00A060B6">
        <w:t xml:space="preserve"> means:</w:t>
      </w:r>
    </w:p>
    <w:p w:rsidR="00F8610E" w:rsidRPr="00A060B6" w:rsidRDefault="00F8610E" w:rsidP="00CD0BBF">
      <w:pPr>
        <w:pStyle w:val="aDefpara"/>
        <w:keepNext/>
      </w:pPr>
      <w:r w:rsidRPr="00A060B6">
        <w:tab/>
        <w:t>(a)</w:t>
      </w:r>
      <w:r w:rsidRPr="00A060B6">
        <w:tab/>
        <w:t>section 121 (Loss of client legal privilege—generally); or</w:t>
      </w:r>
    </w:p>
    <w:p w:rsidR="00F8610E" w:rsidRPr="00A060B6" w:rsidRDefault="00F8610E" w:rsidP="00486F06">
      <w:pPr>
        <w:pStyle w:val="aDefpara"/>
      </w:pPr>
      <w:r w:rsidRPr="00A060B6">
        <w:tab/>
        <w:t>(b)</w:t>
      </w:r>
      <w:r w:rsidRPr="00A060B6">
        <w:tab/>
        <w:t>section 122 (Loss of client legal privilege—consent and related matters); or</w:t>
      </w:r>
    </w:p>
    <w:p w:rsidR="00F8610E" w:rsidRPr="00A060B6" w:rsidRDefault="00F8610E" w:rsidP="00486F06">
      <w:pPr>
        <w:pStyle w:val="aDefpara"/>
      </w:pPr>
      <w:r w:rsidRPr="00A060B6">
        <w:tab/>
        <w:t>(c)</w:t>
      </w:r>
      <w:r w:rsidRPr="00A060B6">
        <w:tab/>
        <w:t xml:space="preserve">section 123 (Loss of client legal privilege—defendants); or </w:t>
      </w:r>
    </w:p>
    <w:p w:rsidR="00F8610E" w:rsidRPr="00A060B6" w:rsidRDefault="00F8610E" w:rsidP="00486F06">
      <w:pPr>
        <w:pStyle w:val="aDefpara"/>
      </w:pPr>
      <w:r w:rsidRPr="00A060B6">
        <w:tab/>
        <w:t>(d)</w:t>
      </w:r>
      <w:r w:rsidRPr="00A060B6">
        <w:tab/>
        <w:t xml:space="preserve">section 124 (Loss of client legal privilege—joint clients); or </w:t>
      </w:r>
    </w:p>
    <w:p w:rsidR="00F8610E" w:rsidRDefault="00F8610E" w:rsidP="00486F06">
      <w:pPr>
        <w:pStyle w:val="aDefpara"/>
      </w:pPr>
      <w:r w:rsidRPr="00A060B6">
        <w:tab/>
        <w:t>(e)</w:t>
      </w:r>
      <w:r w:rsidRPr="00A060B6">
        <w:tab/>
        <w:t>section 125 (Loss of client legal privilege—misconduct).</w:t>
      </w:r>
    </w:p>
    <w:p w:rsidR="00565EF3" w:rsidRPr="003925E1" w:rsidRDefault="00565EF3" w:rsidP="00565EF3">
      <w:pPr>
        <w:pStyle w:val="AH3Div"/>
      </w:pPr>
      <w:bookmarkStart w:id="172" w:name="_Toc11748527"/>
      <w:r w:rsidRPr="003925E1">
        <w:rPr>
          <w:rStyle w:val="CharDivNo"/>
        </w:rPr>
        <w:t>Division 3.10.1A</w:t>
      </w:r>
      <w:r w:rsidRPr="00F1390F">
        <w:tab/>
      </w:r>
      <w:r w:rsidRPr="003925E1">
        <w:rPr>
          <w:rStyle w:val="CharDivText"/>
        </w:rPr>
        <w:t>Professional confidential relationship privilege</w:t>
      </w:r>
      <w:bookmarkEnd w:id="172"/>
    </w:p>
    <w:p w:rsidR="00565EF3" w:rsidRPr="00F1390F" w:rsidRDefault="00565EF3" w:rsidP="00565EF3">
      <w:pPr>
        <w:pStyle w:val="AH5Sec"/>
        <w:rPr>
          <w:lang w:eastAsia="en-AU"/>
        </w:rPr>
      </w:pPr>
      <w:bookmarkStart w:id="173" w:name="_Toc11748528"/>
      <w:r w:rsidRPr="003925E1">
        <w:rPr>
          <w:rStyle w:val="CharSectNo"/>
        </w:rPr>
        <w:t>126A</w:t>
      </w:r>
      <w:r w:rsidRPr="00F1390F">
        <w:rPr>
          <w:lang w:eastAsia="en-AU"/>
        </w:rPr>
        <w:tab/>
        <w:t>Definitions—div 3.10.1A</w:t>
      </w:r>
      <w:bookmarkEnd w:id="173"/>
    </w:p>
    <w:p w:rsidR="00565EF3" w:rsidRPr="00F1390F" w:rsidRDefault="00565EF3" w:rsidP="00565EF3">
      <w:pPr>
        <w:pStyle w:val="Amain"/>
        <w:rPr>
          <w:lang w:eastAsia="en-AU"/>
        </w:rPr>
      </w:pPr>
      <w:r w:rsidRPr="00F1390F">
        <w:rPr>
          <w:lang w:eastAsia="en-AU"/>
        </w:rPr>
        <w:tab/>
        <w:t>(1)</w:t>
      </w:r>
      <w:r w:rsidRPr="00F1390F">
        <w:rPr>
          <w:lang w:eastAsia="en-AU"/>
        </w:rPr>
        <w:tab/>
        <w:t xml:space="preserve">In this division: </w:t>
      </w:r>
    </w:p>
    <w:p w:rsidR="00565EF3" w:rsidRPr="00F1390F" w:rsidRDefault="00565EF3" w:rsidP="00565EF3">
      <w:pPr>
        <w:pStyle w:val="aDef"/>
        <w:numPr>
          <w:ilvl w:val="5"/>
          <w:numId w:val="0"/>
        </w:numPr>
        <w:ind w:left="1100"/>
        <w:rPr>
          <w:lang w:eastAsia="en-AU"/>
        </w:rPr>
      </w:pPr>
      <w:r w:rsidRPr="00AF17FE">
        <w:rPr>
          <w:rStyle w:val="charBoldItals"/>
        </w:rPr>
        <w:t>confidant</w:t>
      </w:r>
      <w:r w:rsidRPr="00F1390F">
        <w:rPr>
          <w:lang w:eastAsia="en-AU"/>
        </w:rPr>
        <w:t xml:space="preserve">—see the definition of </w:t>
      </w:r>
      <w:r w:rsidRPr="00AF17FE">
        <w:rPr>
          <w:rStyle w:val="charBoldItals"/>
        </w:rPr>
        <w:t>protected confidence</w:t>
      </w:r>
      <w:r w:rsidRPr="00F1390F">
        <w:rPr>
          <w:lang w:eastAsia="en-AU"/>
        </w:rPr>
        <w:t>.</w:t>
      </w:r>
    </w:p>
    <w:p w:rsidR="00565EF3" w:rsidRPr="00F1390F" w:rsidRDefault="00565EF3" w:rsidP="00565EF3">
      <w:pPr>
        <w:pStyle w:val="aDef"/>
        <w:keepNext/>
        <w:numPr>
          <w:ilvl w:val="5"/>
          <w:numId w:val="0"/>
        </w:numPr>
        <w:ind w:left="1100"/>
        <w:rPr>
          <w:lang w:eastAsia="en-AU"/>
        </w:rPr>
      </w:pPr>
      <w:r w:rsidRPr="00AF17FE">
        <w:rPr>
          <w:rStyle w:val="charBoldItals"/>
        </w:rPr>
        <w:t>harm</w:t>
      </w:r>
      <w:r w:rsidRPr="00F1390F">
        <w:rPr>
          <w:lang w:eastAsia="en-AU"/>
        </w:rPr>
        <w:t xml:space="preserve"> includes actual physical bodily harm, financial loss, stress or shock, damage to reputation or emotional or psychological harm (for example, shame, humiliation and fear).</w:t>
      </w:r>
    </w:p>
    <w:p w:rsidR="00565EF3" w:rsidRPr="00F1390F" w:rsidRDefault="00565EF3" w:rsidP="00565EF3">
      <w:pPr>
        <w:pStyle w:val="aDef"/>
        <w:keepNext/>
        <w:numPr>
          <w:ilvl w:val="5"/>
          <w:numId w:val="0"/>
        </w:numPr>
        <w:ind w:left="1100"/>
        <w:rPr>
          <w:lang w:eastAsia="en-AU"/>
        </w:rPr>
      </w:pPr>
      <w:r w:rsidRPr="00AF17FE">
        <w:rPr>
          <w:rStyle w:val="charBoldItals"/>
        </w:rPr>
        <w:t>protected confidence</w:t>
      </w:r>
      <w:r w:rsidRPr="00F1390F">
        <w:rPr>
          <w:lang w:eastAsia="en-AU"/>
        </w:rPr>
        <w:t xml:space="preserve"> means a communication made by a person in confidence to someone else (the </w:t>
      </w:r>
      <w:r w:rsidRPr="00AF17FE">
        <w:rPr>
          <w:rStyle w:val="charBoldItals"/>
        </w:rPr>
        <w:t>confidant</w:t>
      </w:r>
      <w:r w:rsidRPr="00F1390F">
        <w:rPr>
          <w:lang w:eastAsia="en-AU"/>
        </w:rPr>
        <w:t>)—</w:t>
      </w:r>
    </w:p>
    <w:p w:rsidR="00565EF3" w:rsidRPr="00F1390F" w:rsidRDefault="00565EF3" w:rsidP="00565EF3">
      <w:pPr>
        <w:pStyle w:val="aDefpara"/>
        <w:rPr>
          <w:lang w:eastAsia="en-AU"/>
        </w:rPr>
      </w:pPr>
      <w:r w:rsidRPr="00F1390F">
        <w:rPr>
          <w:lang w:eastAsia="en-AU"/>
        </w:rPr>
        <w:tab/>
        <w:t>(a)</w:t>
      </w:r>
      <w:r w:rsidRPr="00F1390F">
        <w:rPr>
          <w:lang w:eastAsia="en-AU"/>
        </w:rPr>
        <w:tab/>
        <w:t>in the course of a relationship in which the confidant was acting in a professional capacity; and</w:t>
      </w:r>
    </w:p>
    <w:p w:rsidR="00565EF3" w:rsidRPr="00F1390F" w:rsidRDefault="00565EF3" w:rsidP="00565EF3">
      <w:pPr>
        <w:pStyle w:val="aDefpara"/>
        <w:rPr>
          <w:lang w:eastAsia="en-AU"/>
        </w:rPr>
      </w:pPr>
      <w:r w:rsidRPr="00F1390F">
        <w:rPr>
          <w:lang w:eastAsia="en-AU"/>
        </w:rPr>
        <w:tab/>
        <w:t>(b)</w:t>
      </w:r>
      <w:r w:rsidRPr="00F1390F">
        <w:rPr>
          <w:lang w:eastAsia="en-AU"/>
        </w:rPr>
        <w:tab/>
        <w:t>when the confidant was under an express or implied obligation not to disclose its contents, whether or not the obligation arises under law or can be inferred from the nature of the relationship between the person and the confidant.</w:t>
      </w:r>
    </w:p>
    <w:p w:rsidR="00565EF3" w:rsidRPr="00F1390F" w:rsidRDefault="00565EF3" w:rsidP="00CD0BBF">
      <w:pPr>
        <w:pStyle w:val="aDef"/>
        <w:keepNext/>
        <w:rPr>
          <w:lang w:eastAsia="en-AU"/>
        </w:rPr>
      </w:pPr>
      <w:r w:rsidRPr="00AF17FE">
        <w:rPr>
          <w:rStyle w:val="charBoldItals"/>
        </w:rPr>
        <w:lastRenderedPageBreak/>
        <w:t>protected confider</w:t>
      </w:r>
      <w:r w:rsidRPr="00F1390F">
        <w:rPr>
          <w:lang w:eastAsia="en-AU"/>
        </w:rPr>
        <w:t xml:space="preserve"> means a person who made a protected confidence.</w:t>
      </w:r>
    </w:p>
    <w:p w:rsidR="00565EF3" w:rsidRPr="00F1390F" w:rsidRDefault="00565EF3" w:rsidP="00565EF3">
      <w:pPr>
        <w:pStyle w:val="aDef"/>
        <w:numPr>
          <w:ilvl w:val="5"/>
          <w:numId w:val="0"/>
        </w:numPr>
        <w:ind w:left="1100"/>
        <w:rPr>
          <w:lang w:eastAsia="en-AU"/>
        </w:rPr>
      </w:pPr>
      <w:r w:rsidRPr="00AF17FE">
        <w:rPr>
          <w:rStyle w:val="charBoldItals"/>
        </w:rPr>
        <w:t>protected identity information</w:t>
      </w:r>
      <w:r w:rsidRPr="00F1390F">
        <w:rPr>
          <w:lang w:eastAsia="en-AU"/>
        </w:rPr>
        <w:t xml:space="preserve"> means information about, or enabling a person to ascertain, the identity of the person who made a protected confidence.</w:t>
      </w:r>
    </w:p>
    <w:p w:rsidR="00565EF3" w:rsidRPr="00F1390F" w:rsidRDefault="00565EF3" w:rsidP="00565EF3">
      <w:pPr>
        <w:pStyle w:val="Amain"/>
        <w:rPr>
          <w:lang w:eastAsia="en-AU"/>
        </w:rPr>
      </w:pPr>
      <w:r w:rsidRPr="00F1390F">
        <w:rPr>
          <w:lang w:eastAsia="en-AU"/>
        </w:rPr>
        <w:tab/>
        <w:t>(2)</w:t>
      </w:r>
      <w:r w:rsidRPr="00F1390F">
        <w:rPr>
          <w:lang w:eastAsia="en-AU"/>
        </w:rPr>
        <w:tab/>
        <w:t>For this division, a communication may be made in confidence even if it is made in the presence of a third party if the third party’s presence is necessary to facilitate communication.</w:t>
      </w:r>
    </w:p>
    <w:p w:rsidR="00565EF3" w:rsidRPr="00F1390F" w:rsidRDefault="00565EF3" w:rsidP="00565EF3">
      <w:pPr>
        <w:pStyle w:val="AH5Sec"/>
        <w:rPr>
          <w:lang w:eastAsia="en-AU"/>
        </w:rPr>
      </w:pPr>
      <w:bookmarkStart w:id="174" w:name="_Toc11748529"/>
      <w:r w:rsidRPr="003925E1">
        <w:rPr>
          <w:rStyle w:val="CharSectNo"/>
        </w:rPr>
        <w:t>126B</w:t>
      </w:r>
      <w:r w:rsidRPr="00F1390F">
        <w:rPr>
          <w:lang w:eastAsia="en-AU"/>
        </w:rPr>
        <w:tab/>
        <w:t>Exclusion of evidence of protected confidences</w:t>
      </w:r>
      <w:bookmarkEnd w:id="174"/>
    </w:p>
    <w:p w:rsidR="00565EF3" w:rsidRPr="00F1390F" w:rsidRDefault="00565EF3" w:rsidP="00565EF3">
      <w:pPr>
        <w:pStyle w:val="Amain"/>
        <w:rPr>
          <w:lang w:eastAsia="en-AU"/>
        </w:rPr>
      </w:pPr>
      <w:r w:rsidRPr="00F1390F">
        <w:rPr>
          <w:lang w:eastAsia="en-AU"/>
        </w:rPr>
        <w:tab/>
        <w:t>(1)</w:t>
      </w:r>
      <w:r w:rsidRPr="00F1390F">
        <w:rPr>
          <w:lang w:eastAsia="en-AU"/>
        </w:rPr>
        <w:tab/>
        <w:t xml:space="preserve">The court may direct that evidence not be </w:t>
      </w:r>
      <w:r w:rsidRPr="00F1390F">
        <w:t xml:space="preserve">presented </w:t>
      </w:r>
      <w:r w:rsidRPr="00F1390F">
        <w:rPr>
          <w:lang w:eastAsia="en-AU"/>
        </w:rPr>
        <w:t xml:space="preserve">in a proceeding if the court finds that </w:t>
      </w:r>
      <w:r w:rsidRPr="00F1390F">
        <w:t xml:space="preserve">presenting </w:t>
      </w:r>
      <w:r w:rsidRPr="00F1390F">
        <w:rPr>
          <w:lang w:eastAsia="en-AU"/>
        </w:rPr>
        <w:t xml:space="preserve">it would disclose— </w:t>
      </w:r>
    </w:p>
    <w:p w:rsidR="00565EF3" w:rsidRPr="00F1390F" w:rsidRDefault="00565EF3" w:rsidP="00565EF3">
      <w:pPr>
        <w:pStyle w:val="Apara"/>
        <w:rPr>
          <w:lang w:eastAsia="en-AU"/>
        </w:rPr>
      </w:pPr>
      <w:r w:rsidRPr="00F1390F">
        <w:rPr>
          <w:lang w:eastAsia="en-AU"/>
        </w:rPr>
        <w:tab/>
        <w:t>(a)</w:t>
      </w:r>
      <w:r w:rsidRPr="00F1390F">
        <w:rPr>
          <w:lang w:eastAsia="en-AU"/>
        </w:rPr>
        <w:tab/>
        <w:t>a protected confidence; or</w:t>
      </w:r>
    </w:p>
    <w:p w:rsidR="00565EF3" w:rsidRPr="00F1390F" w:rsidRDefault="00565EF3" w:rsidP="00565EF3">
      <w:pPr>
        <w:pStyle w:val="Apara"/>
        <w:rPr>
          <w:lang w:eastAsia="en-AU"/>
        </w:rPr>
      </w:pPr>
      <w:r w:rsidRPr="00F1390F">
        <w:rPr>
          <w:lang w:eastAsia="en-AU"/>
        </w:rPr>
        <w:tab/>
        <w:t>(b)</w:t>
      </w:r>
      <w:r w:rsidRPr="00F1390F">
        <w:rPr>
          <w:lang w:eastAsia="en-AU"/>
        </w:rPr>
        <w:tab/>
        <w:t>the contents of a document recording a protected confidence; or</w:t>
      </w:r>
    </w:p>
    <w:p w:rsidR="00565EF3" w:rsidRPr="00F1390F" w:rsidRDefault="00565EF3" w:rsidP="00565EF3">
      <w:pPr>
        <w:pStyle w:val="Apara"/>
        <w:rPr>
          <w:lang w:eastAsia="en-AU"/>
        </w:rPr>
      </w:pPr>
      <w:r w:rsidRPr="00F1390F">
        <w:rPr>
          <w:lang w:eastAsia="en-AU"/>
        </w:rPr>
        <w:tab/>
        <w:t>(c)</w:t>
      </w:r>
      <w:r w:rsidRPr="00F1390F">
        <w:rPr>
          <w:lang w:eastAsia="en-AU"/>
        </w:rPr>
        <w:tab/>
        <w:t>protected identity information.</w:t>
      </w:r>
    </w:p>
    <w:p w:rsidR="00565EF3" w:rsidRPr="00F1390F" w:rsidRDefault="00565EF3" w:rsidP="00565EF3">
      <w:pPr>
        <w:pStyle w:val="Amain"/>
        <w:rPr>
          <w:lang w:eastAsia="en-AU"/>
        </w:rPr>
      </w:pPr>
      <w:r w:rsidRPr="00F1390F">
        <w:rPr>
          <w:lang w:eastAsia="en-AU"/>
        </w:rPr>
        <w:tab/>
        <w:t>(2)</w:t>
      </w:r>
      <w:r w:rsidRPr="00F1390F">
        <w:rPr>
          <w:lang w:eastAsia="en-AU"/>
        </w:rPr>
        <w:tab/>
        <w:t xml:space="preserve">The court may give a direction under this section— </w:t>
      </w:r>
    </w:p>
    <w:p w:rsidR="00565EF3" w:rsidRPr="00F1390F" w:rsidRDefault="00565EF3" w:rsidP="00565EF3">
      <w:pPr>
        <w:pStyle w:val="Apara"/>
        <w:rPr>
          <w:lang w:eastAsia="en-AU"/>
        </w:rPr>
      </w:pPr>
      <w:r w:rsidRPr="00F1390F">
        <w:rPr>
          <w:lang w:eastAsia="en-AU"/>
        </w:rPr>
        <w:tab/>
        <w:t>(a)</w:t>
      </w:r>
      <w:r w:rsidRPr="00F1390F">
        <w:rPr>
          <w:lang w:eastAsia="en-AU"/>
        </w:rPr>
        <w:tab/>
        <w:t>on its own initiative; or</w:t>
      </w:r>
    </w:p>
    <w:p w:rsidR="00565EF3" w:rsidRPr="00F1390F" w:rsidRDefault="00565EF3" w:rsidP="00565EF3">
      <w:pPr>
        <w:pStyle w:val="Apara"/>
        <w:rPr>
          <w:lang w:eastAsia="en-AU"/>
        </w:rPr>
      </w:pPr>
      <w:r w:rsidRPr="00F1390F">
        <w:rPr>
          <w:lang w:eastAsia="en-AU"/>
        </w:rPr>
        <w:tab/>
        <w:t>(b)</w:t>
      </w:r>
      <w:r w:rsidRPr="00F1390F">
        <w:rPr>
          <w:lang w:eastAsia="en-AU"/>
        </w:rPr>
        <w:tab/>
        <w:t>on the application of the protected confider or confidant (whether or not either is a party).</w:t>
      </w:r>
    </w:p>
    <w:p w:rsidR="00565EF3" w:rsidRPr="00F1390F" w:rsidRDefault="00565EF3" w:rsidP="00565EF3">
      <w:pPr>
        <w:pStyle w:val="Amain"/>
        <w:rPr>
          <w:lang w:eastAsia="en-AU"/>
        </w:rPr>
      </w:pPr>
      <w:r w:rsidRPr="00F1390F">
        <w:rPr>
          <w:lang w:eastAsia="en-AU"/>
        </w:rPr>
        <w:tab/>
        <w:t>(3)</w:t>
      </w:r>
      <w:r w:rsidRPr="00F1390F">
        <w:rPr>
          <w:lang w:eastAsia="en-AU"/>
        </w:rPr>
        <w:tab/>
        <w:t xml:space="preserve">The court must give a direction under this section if it is satisfied that— </w:t>
      </w:r>
    </w:p>
    <w:p w:rsidR="00565EF3" w:rsidRPr="00F1390F" w:rsidRDefault="00565EF3" w:rsidP="00565EF3">
      <w:pPr>
        <w:pStyle w:val="Apara"/>
        <w:rPr>
          <w:lang w:eastAsia="en-AU"/>
        </w:rPr>
      </w:pPr>
      <w:r w:rsidRPr="00F1390F">
        <w:rPr>
          <w:lang w:eastAsia="en-AU"/>
        </w:rPr>
        <w:tab/>
        <w:t>(a)</w:t>
      </w:r>
      <w:r w:rsidRPr="00F1390F">
        <w:rPr>
          <w:lang w:eastAsia="en-AU"/>
        </w:rPr>
        <w:tab/>
        <w:t xml:space="preserve">it is likely that harm would or might be caused (whether directly or indirectly) to a protected confider if the evidence is </w:t>
      </w:r>
      <w:r w:rsidRPr="00F1390F">
        <w:t>presented</w:t>
      </w:r>
      <w:r w:rsidRPr="00F1390F">
        <w:rPr>
          <w:lang w:eastAsia="en-AU"/>
        </w:rPr>
        <w:t>; and</w:t>
      </w:r>
    </w:p>
    <w:p w:rsidR="00565EF3" w:rsidRPr="00F1390F" w:rsidRDefault="00565EF3" w:rsidP="00565EF3">
      <w:pPr>
        <w:pStyle w:val="Apara"/>
        <w:rPr>
          <w:lang w:eastAsia="en-AU"/>
        </w:rPr>
      </w:pPr>
      <w:r w:rsidRPr="00F1390F">
        <w:rPr>
          <w:lang w:eastAsia="en-AU"/>
        </w:rPr>
        <w:tab/>
        <w:t>(b)</w:t>
      </w:r>
      <w:r w:rsidRPr="00F1390F">
        <w:rPr>
          <w:lang w:eastAsia="en-AU"/>
        </w:rPr>
        <w:tab/>
        <w:t>the nature and extent of the harm outweighs the desirability of the evidence being presented.</w:t>
      </w:r>
    </w:p>
    <w:p w:rsidR="00565EF3" w:rsidRPr="00F1390F" w:rsidRDefault="00565EF3" w:rsidP="00CD0BBF">
      <w:pPr>
        <w:pStyle w:val="Amain"/>
        <w:keepNext/>
        <w:rPr>
          <w:lang w:eastAsia="en-AU"/>
        </w:rPr>
      </w:pPr>
      <w:r w:rsidRPr="00F1390F">
        <w:rPr>
          <w:lang w:eastAsia="en-AU"/>
        </w:rPr>
        <w:lastRenderedPageBreak/>
        <w:tab/>
        <w:t>(4)</w:t>
      </w:r>
      <w:r w:rsidRPr="00F1390F">
        <w:rPr>
          <w:lang w:eastAsia="en-AU"/>
        </w:rPr>
        <w:tab/>
        <w:t xml:space="preserve">Without limiting the matters that the court may take into account for this section, it must take into account the following matters: </w:t>
      </w:r>
    </w:p>
    <w:p w:rsidR="00565EF3" w:rsidRPr="00F1390F" w:rsidRDefault="00565EF3" w:rsidP="00CD0BBF">
      <w:pPr>
        <w:pStyle w:val="Apara"/>
        <w:keepNext/>
        <w:rPr>
          <w:lang w:eastAsia="en-AU"/>
        </w:rPr>
      </w:pPr>
      <w:r w:rsidRPr="00F1390F">
        <w:rPr>
          <w:lang w:eastAsia="en-AU"/>
        </w:rPr>
        <w:tab/>
        <w:t>(a)</w:t>
      </w:r>
      <w:r w:rsidRPr="00F1390F">
        <w:rPr>
          <w:lang w:eastAsia="en-AU"/>
        </w:rPr>
        <w:tab/>
        <w:t>the probative value of the evidence in the proceeding;</w:t>
      </w:r>
    </w:p>
    <w:p w:rsidR="00565EF3" w:rsidRPr="00F1390F" w:rsidRDefault="00565EF3" w:rsidP="00565EF3">
      <w:pPr>
        <w:pStyle w:val="Apara"/>
        <w:rPr>
          <w:lang w:eastAsia="en-AU"/>
        </w:rPr>
      </w:pPr>
      <w:r w:rsidRPr="00F1390F">
        <w:rPr>
          <w:lang w:eastAsia="en-AU"/>
        </w:rPr>
        <w:tab/>
        <w:t>(b)</w:t>
      </w:r>
      <w:r w:rsidRPr="00F1390F">
        <w:rPr>
          <w:lang w:eastAsia="en-AU"/>
        </w:rPr>
        <w:tab/>
        <w:t>the importance of the evidence in the proceeding;</w:t>
      </w:r>
    </w:p>
    <w:p w:rsidR="00565EF3" w:rsidRPr="00F1390F" w:rsidRDefault="00565EF3" w:rsidP="00565EF3">
      <w:pPr>
        <w:pStyle w:val="Apara"/>
        <w:rPr>
          <w:lang w:eastAsia="en-AU"/>
        </w:rPr>
      </w:pPr>
      <w:r w:rsidRPr="00F1390F">
        <w:rPr>
          <w:lang w:eastAsia="en-AU"/>
        </w:rPr>
        <w:tab/>
        <w:t>(c)</w:t>
      </w:r>
      <w:r w:rsidRPr="00F1390F">
        <w:rPr>
          <w:lang w:eastAsia="en-AU"/>
        </w:rPr>
        <w:tab/>
        <w:t>the nature and gravity of the offence, cause of action or defence and the nature of the subject matter of the proceeding;</w:t>
      </w:r>
    </w:p>
    <w:p w:rsidR="00565EF3" w:rsidRPr="00F1390F" w:rsidRDefault="00565EF3" w:rsidP="00565EF3">
      <w:pPr>
        <w:pStyle w:val="Apara"/>
        <w:rPr>
          <w:lang w:eastAsia="en-AU"/>
        </w:rPr>
      </w:pPr>
      <w:r w:rsidRPr="00F1390F">
        <w:rPr>
          <w:lang w:eastAsia="en-AU"/>
        </w:rPr>
        <w:tab/>
        <w:t>(d)</w:t>
      </w:r>
      <w:r w:rsidRPr="00F1390F">
        <w:rPr>
          <w:lang w:eastAsia="en-AU"/>
        </w:rPr>
        <w:tab/>
        <w:t>the availability of any other evidence relating to the matters to which the protected confidence or protected identity information relates;</w:t>
      </w:r>
    </w:p>
    <w:p w:rsidR="00565EF3" w:rsidRPr="00F1390F" w:rsidRDefault="00565EF3" w:rsidP="00565EF3">
      <w:pPr>
        <w:pStyle w:val="Apara"/>
        <w:rPr>
          <w:lang w:eastAsia="en-AU"/>
        </w:rPr>
      </w:pPr>
      <w:r w:rsidRPr="00F1390F">
        <w:rPr>
          <w:lang w:eastAsia="en-AU"/>
        </w:rPr>
        <w:tab/>
        <w:t>(e)</w:t>
      </w:r>
      <w:r w:rsidRPr="00F1390F">
        <w:rPr>
          <w:lang w:eastAsia="en-AU"/>
        </w:rPr>
        <w:tab/>
        <w:t xml:space="preserve">the likely effect of </w:t>
      </w:r>
      <w:r w:rsidRPr="00F1390F">
        <w:t xml:space="preserve">presenting </w:t>
      </w:r>
      <w:r w:rsidRPr="00F1390F">
        <w:rPr>
          <w:lang w:eastAsia="en-AU"/>
        </w:rPr>
        <w:t>evidence of the protected confidence or protected identity information, including the likelihood of harm, and the nature and extent of harm that would be caused to the protected confider;</w:t>
      </w:r>
    </w:p>
    <w:p w:rsidR="00565EF3" w:rsidRPr="00F1390F" w:rsidRDefault="00565EF3" w:rsidP="00565EF3">
      <w:pPr>
        <w:pStyle w:val="Apara"/>
        <w:rPr>
          <w:lang w:eastAsia="en-AU"/>
        </w:rPr>
      </w:pPr>
      <w:r w:rsidRPr="00F1390F">
        <w:rPr>
          <w:lang w:eastAsia="en-AU"/>
        </w:rPr>
        <w:tab/>
        <w:t>(f)</w:t>
      </w:r>
      <w:r w:rsidRPr="00F1390F">
        <w:rPr>
          <w:lang w:eastAsia="en-AU"/>
        </w:rPr>
        <w:tab/>
        <w:t>the means (including any ancillary orders that may be made under section 126E) available to the court to limit the harm or extent of the harm that is likely to be caused if evidence of the protected confidence or the protected identity information is disclosed;</w:t>
      </w:r>
    </w:p>
    <w:p w:rsidR="00565EF3" w:rsidRPr="00F1390F" w:rsidRDefault="00565EF3" w:rsidP="00565EF3">
      <w:pPr>
        <w:pStyle w:val="Apara"/>
        <w:rPr>
          <w:lang w:eastAsia="en-AU"/>
        </w:rPr>
      </w:pPr>
      <w:r w:rsidRPr="00F1390F">
        <w:rPr>
          <w:lang w:eastAsia="en-AU"/>
        </w:rPr>
        <w:tab/>
        <w:t>(g)</w:t>
      </w:r>
      <w:r w:rsidRPr="00F1390F">
        <w:rPr>
          <w:lang w:eastAsia="en-AU"/>
        </w:rPr>
        <w:tab/>
        <w:t xml:space="preserve">if the proceeding is a criminal proceeding—whether the party seeking to </w:t>
      </w:r>
      <w:r w:rsidRPr="00F1390F">
        <w:t xml:space="preserve">present </w:t>
      </w:r>
      <w:r w:rsidRPr="00F1390F">
        <w:rPr>
          <w:lang w:eastAsia="en-AU"/>
        </w:rPr>
        <w:t>evidence of the protected confidence or protected identity information is a defendant or the prosecutor;</w:t>
      </w:r>
    </w:p>
    <w:p w:rsidR="00565EF3" w:rsidRPr="00F1390F" w:rsidRDefault="00565EF3" w:rsidP="00565EF3">
      <w:pPr>
        <w:pStyle w:val="Apara"/>
        <w:rPr>
          <w:lang w:eastAsia="en-AU"/>
        </w:rPr>
      </w:pPr>
      <w:r w:rsidRPr="00F1390F">
        <w:rPr>
          <w:lang w:eastAsia="en-AU"/>
        </w:rPr>
        <w:tab/>
        <w:t>(h)</w:t>
      </w:r>
      <w:r w:rsidRPr="00F1390F">
        <w:rPr>
          <w:lang w:eastAsia="en-AU"/>
        </w:rPr>
        <w:tab/>
        <w:t>whether the substance of the protected confidence or the protected identity information has already been disclosed by the protected confider or someone else;</w:t>
      </w:r>
    </w:p>
    <w:p w:rsidR="00565EF3" w:rsidRPr="00F1390F" w:rsidRDefault="00565EF3" w:rsidP="00565EF3">
      <w:pPr>
        <w:pStyle w:val="Apara"/>
        <w:rPr>
          <w:lang w:eastAsia="en-AU"/>
        </w:rPr>
      </w:pPr>
      <w:r w:rsidRPr="00F1390F">
        <w:rPr>
          <w:lang w:eastAsia="en-AU"/>
        </w:rPr>
        <w:tab/>
        <w:t>(i)</w:t>
      </w:r>
      <w:r w:rsidRPr="00F1390F">
        <w:rPr>
          <w:lang w:eastAsia="en-AU"/>
        </w:rPr>
        <w:tab/>
        <w:t>the public interest in preserving the confidentiality of protected confidences;</w:t>
      </w:r>
    </w:p>
    <w:p w:rsidR="00565EF3" w:rsidRPr="00F1390F" w:rsidRDefault="00565EF3" w:rsidP="00565EF3">
      <w:pPr>
        <w:pStyle w:val="Apara"/>
        <w:rPr>
          <w:lang w:eastAsia="en-AU"/>
        </w:rPr>
      </w:pPr>
      <w:r w:rsidRPr="00F1390F">
        <w:rPr>
          <w:lang w:eastAsia="en-AU"/>
        </w:rPr>
        <w:tab/>
        <w:t>(j)</w:t>
      </w:r>
      <w:r w:rsidRPr="00F1390F">
        <w:rPr>
          <w:lang w:eastAsia="en-AU"/>
        </w:rPr>
        <w:tab/>
        <w:t>the public interest in preserving the confidentiality of protected identity information.</w:t>
      </w:r>
    </w:p>
    <w:p w:rsidR="00565EF3" w:rsidRPr="00F1390F" w:rsidRDefault="00565EF3" w:rsidP="00565EF3">
      <w:pPr>
        <w:pStyle w:val="Amain"/>
        <w:rPr>
          <w:lang w:eastAsia="en-AU"/>
        </w:rPr>
      </w:pPr>
      <w:r w:rsidRPr="00F1390F">
        <w:rPr>
          <w:lang w:eastAsia="en-AU"/>
        </w:rPr>
        <w:tab/>
        <w:t>(5)</w:t>
      </w:r>
      <w:r w:rsidRPr="00F1390F">
        <w:rPr>
          <w:lang w:eastAsia="en-AU"/>
        </w:rPr>
        <w:tab/>
        <w:t>The court must state its reasons for giving or refusing to give a direction under this section.</w:t>
      </w:r>
    </w:p>
    <w:p w:rsidR="00565EF3" w:rsidRPr="00F1390F" w:rsidRDefault="00565EF3" w:rsidP="00565EF3">
      <w:pPr>
        <w:pStyle w:val="AH5Sec"/>
        <w:rPr>
          <w:lang w:eastAsia="en-AU"/>
        </w:rPr>
      </w:pPr>
      <w:bookmarkStart w:id="175" w:name="_Toc11748530"/>
      <w:r w:rsidRPr="003925E1">
        <w:rPr>
          <w:rStyle w:val="CharSectNo"/>
        </w:rPr>
        <w:lastRenderedPageBreak/>
        <w:t>126C</w:t>
      </w:r>
      <w:r w:rsidRPr="00F1390F">
        <w:rPr>
          <w:lang w:eastAsia="en-AU"/>
        </w:rPr>
        <w:tab/>
        <w:t>Loss of professional confidential relationship privilege—consent</w:t>
      </w:r>
      <w:bookmarkEnd w:id="175"/>
    </w:p>
    <w:p w:rsidR="00565EF3" w:rsidRPr="00F1390F" w:rsidRDefault="00565EF3" w:rsidP="00565EF3">
      <w:pPr>
        <w:pStyle w:val="Amainreturn"/>
        <w:rPr>
          <w:lang w:eastAsia="en-AU"/>
        </w:rPr>
      </w:pPr>
      <w:r w:rsidRPr="00F1390F">
        <w:rPr>
          <w:lang w:eastAsia="en-AU"/>
        </w:rPr>
        <w:t xml:space="preserve">This division does not prevent the </w:t>
      </w:r>
      <w:r w:rsidRPr="00F1390F">
        <w:t xml:space="preserve">presenting </w:t>
      </w:r>
      <w:r w:rsidRPr="00F1390F">
        <w:rPr>
          <w:lang w:eastAsia="en-AU"/>
        </w:rPr>
        <w:t>of evidence with the protected confider’s consent.</w:t>
      </w:r>
    </w:p>
    <w:p w:rsidR="00565EF3" w:rsidRPr="00F1390F" w:rsidRDefault="00565EF3" w:rsidP="00565EF3">
      <w:pPr>
        <w:pStyle w:val="AH5Sec"/>
        <w:rPr>
          <w:lang w:eastAsia="en-AU"/>
        </w:rPr>
      </w:pPr>
      <w:bookmarkStart w:id="176" w:name="_Toc11748531"/>
      <w:r w:rsidRPr="003925E1">
        <w:rPr>
          <w:rStyle w:val="CharSectNo"/>
        </w:rPr>
        <w:t>126D</w:t>
      </w:r>
      <w:r w:rsidRPr="00F1390F">
        <w:rPr>
          <w:lang w:eastAsia="en-AU"/>
        </w:rPr>
        <w:tab/>
        <w:t>Loss of professional confidential relationship privilege—misconduct</w:t>
      </w:r>
      <w:bookmarkEnd w:id="176"/>
    </w:p>
    <w:p w:rsidR="00565EF3" w:rsidRPr="00F1390F" w:rsidRDefault="00565EF3" w:rsidP="00F2594C">
      <w:pPr>
        <w:pStyle w:val="Amain"/>
        <w:keepNext/>
        <w:keepLines/>
        <w:rPr>
          <w:lang w:eastAsia="en-AU"/>
        </w:rPr>
      </w:pPr>
      <w:r w:rsidRPr="00F1390F">
        <w:rPr>
          <w:lang w:eastAsia="en-AU"/>
        </w:rPr>
        <w:tab/>
        <w:t>(1)</w:t>
      </w:r>
      <w:r w:rsidRPr="00F1390F">
        <w:rPr>
          <w:lang w:eastAsia="en-AU"/>
        </w:rPr>
        <w:tab/>
        <w:t xml:space="preserve">This division does not prevent the </w:t>
      </w:r>
      <w:r w:rsidRPr="00F1390F">
        <w:t xml:space="preserve">presenting </w:t>
      </w:r>
      <w:r w:rsidRPr="00F1390F">
        <w:rPr>
          <w:lang w:eastAsia="en-AU"/>
        </w:rPr>
        <w:t>of evidence of a communication made or the contents of a document prepared in the furtherance of the commission of a fraud or an offence or the commission of an act that renders a person liable to a civil penalty.</w:t>
      </w:r>
    </w:p>
    <w:p w:rsidR="00565EF3" w:rsidRPr="00F1390F" w:rsidRDefault="00565EF3" w:rsidP="00565EF3">
      <w:pPr>
        <w:pStyle w:val="Amain"/>
        <w:rPr>
          <w:lang w:eastAsia="en-AU"/>
        </w:rPr>
      </w:pPr>
      <w:r w:rsidRPr="00F1390F">
        <w:rPr>
          <w:lang w:eastAsia="en-AU"/>
        </w:rPr>
        <w:tab/>
        <w:t>(2)</w:t>
      </w:r>
      <w:r w:rsidRPr="00F1390F">
        <w:rPr>
          <w:lang w:eastAsia="en-AU"/>
        </w:rPr>
        <w:tab/>
        <w:t xml:space="preserve">For this section, if the commission of the fraud, offence or act is a fact in issue and there are reasonable grounds for finding that— </w:t>
      </w:r>
    </w:p>
    <w:p w:rsidR="00565EF3" w:rsidRPr="00F1390F" w:rsidRDefault="00565EF3" w:rsidP="00565EF3">
      <w:pPr>
        <w:pStyle w:val="Apara"/>
        <w:rPr>
          <w:lang w:eastAsia="en-AU"/>
        </w:rPr>
      </w:pPr>
      <w:r w:rsidRPr="00F1390F">
        <w:rPr>
          <w:lang w:eastAsia="en-AU"/>
        </w:rPr>
        <w:tab/>
        <w:t>(a)</w:t>
      </w:r>
      <w:r w:rsidRPr="00F1390F">
        <w:rPr>
          <w:lang w:eastAsia="en-AU"/>
        </w:rPr>
        <w:tab/>
        <w:t>the fraud, offence or act was committed; and</w:t>
      </w:r>
    </w:p>
    <w:p w:rsidR="00565EF3" w:rsidRPr="00F1390F" w:rsidRDefault="00565EF3" w:rsidP="00565EF3">
      <w:pPr>
        <w:pStyle w:val="Apara"/>
        <w:rPr>
          <w:lang w:eastAsia="en-AU"/>
        </w:rPr>
      </w:pPr>
      <w:r w:rsidRPr="00F1390F">
        <w:rPr>
          <w:lang w:eastAsia="en-AU"/>
        </w:rPr>
        <w:tab/>
        <w:t>(b)</w:t>
      </w:r>
      <w:r w:rsidRPr="00F1390F">
        <w:rPr>
          <w:lang w:eastAsia="en-AU"/>
        </w:rPr>
        <w:tab/>
        <w:t>a communication was made or document prepared in furtherance of the commission of the fraud, offence or act;</w:t>
      </w:r>
    </w:p>
    <w:p w:rsidR="00565EF3" w:rsidRPr="00F1390F" w:rsidRDefault="00565EF3" w:rsidP="00565EF3">
      <w:pPr>
        <w:pStyle w:val="Amainreturn"/>
        <w:rPr>
          <w:lang w:eastAsia="en-AU"/>
        </w:rPr>
      </w:pPr>
      <w:r w:rsidRPr="00F1390F">
        <w:rPr>
          <w:lang w:eastAsia="en-AU"/>
        </w:rPr>
        <w:t>the court may find that the communication was made or the document was prepared as mentioned in paragraph (b).</w:t>
      </w:r>
    </w:p>
    <w:p w:rsidR="00565EF3" w:rsidRPr="00F1390F" w:rsidRDefault="00565EF3" w:rsidP="00565EF3">
      <w:pPr>
        <w:pStyle w:val="AH5Sec"/>
        <w:rPr>
          <w:lang w:eastAsia="en-AU"/>
        </w:rPr>
      </w:pPr>
      <w:bookmarkStart w:id="177" w:name="_Toc11748532"/>
      <w:r w:rsidRPr="003925E1">
        <w:rPr>
          <w:rStyle w:val="CharSectNo"/>
        </w:rPr>
        <w:t>126E</w:t>
      </w:r>
      <w:r w:rsidRPr="00F1390F">
        <w:rPr>
          <w:lang w:eastAsia="en-AU"/>
        </w:rPr>
        <w:tab/>
        <w:t>Ancillary orders</w:t>
      </w:r>
      <w:bookmarkEnd w:id="177"/>
    </w:p>
    <w:p w:rsidR="00565EF3" w:rsidRPr="00F1390F" w:rsidRDefault="00565EF3" w:rsidP="00565EF3">
      <w:pPr>
        <w:pStyle w:val="Amainreturn"/>
        <w:rPr>
          <w:lang w:eastAsia="en-AU"/>
        </w:rPr>
      </w:pPr>
      <w:r w:rsidRPr="00F1390F">
        <w:rPr>
          <w:lang w:eastAsia="en-AU"/>
        </w:rPr>
        <w:t>Without limiting any action the court may take to limit the possible harm, or extent of the harm, likely to be caused by the disclosure of evidence of a protected confidence or protected identity information, the court may—</w:t>
      </w:r>
    </w:p>
    <w:p w:rsidR="00565EF3" w:rsidRPr="00F1390F" w:rsidRDefault="00565EF3" w:rsidP="00565EF3">
      <w:pPr>
        <w:pStyle w:val="Apara"/>
        <w:rPr>
          <w:lang w:eastAsia="en-AU"/>
        </w:rPr>
      </w:pPr>
      <w:r w:rsidRPr="00F1390F">
        <w:rPr>
          <w:lang w:eastAsia="en-AU"/>
        </w:rPr>
        <w:tab/>
        <w:t>(a)</w:t>
      </w:r>
      <w:r w:rsidRPr="00F1390F">
        <w:rPr>
          <w:lang w:eastAsia="en-AU"/>
        </w:rPr>
        <w:tab/>
        <w:t>order that all or part of the evidence be heard in closed court; and</w:t>
      </w:r>
    </w:p>
    <w:p w:rsidR="00565EF3" w:rsidRPr="00F1390F" w:rsidRDefault="00565EF3" w:rsidP="00565EF3">
      <w:pPr>
        <w:pStyle w:val="Apara"/>
        <w:rPr>
          <w:lang w:eastAsia="en-AU"/>
        </w:rPr>
      </w:pPr>
      <w:r w:rsidRPr="00F1390F">
        <w:rPr>
          <w:lang w:eastAsia="en-AU"/>
        </w:rPr>
        <w:tab/>
        <w:t>(b)</w:t>
      </w:r>
      <w:r w:rsidRPr="00F1390F">
        <w:rPr>
          <w:lang w:eastAsia="en-AU"/>
        </w:rPr>
        <w:tab/>
        <w:t>make an order relating to the suppression of publication of all or part of the evidence given before the court as, in its opinion, is necessary to protect the safety and welfare of the protected confider.</w:t>
      </w:r>
    </w:p>
    <w:p w:rsidR="00565EF3" w:rsidRPr="00F1390F" w:rsidRDefault="00565EF3" w:rsidP="00565EF3">
      <w:pPr>
        <w:pStyle w:val="AH5Sec"/>
        <w:rPr>
          <w:lang w:eastAsia="en-AU"/>
        </w:rPr>
      </w:pPr>
      <w:bookmarkStart w:id="178" w:name="_Toc11748533"/>
      <w:r w:rsidRPr="003925E1">
        <w:rPr>
          <w:rStyle w:val="CharSectNo"/>
        </w:rPr>
        <w:lastRenderedPageBreak/>
        <w:t>126F</w:t>
      </w:r>
      <w:r w:rsidRPr="00F1390F">
        <w:rPr>
          <w:lang w:eastAsia="en-AU"/>
        </w:rPr>
        <w:tab/>
        <w:t>Application—div 3.10.1A</w:t>
      </w:r>
      <w:bookmarkEnd w:id="178"/>
    </w:p>
    <w:p w:rsidR="00565EF3" w:rsidRPr="00F1390F" w:rsidRDefault="00565EF3" w:rsidP="00F2594C">
      <w:pPr>
        <w:pStyle w:val="Amain"/>
        <w:keepNext/>
        <w:rPr>
          <w:lang w:eastAsia="en-AU"/>
        </w:rPr>
      </w:pPr>
      <w:r w:rsidRPr="00F1390F">
        <w:rPr>
          <w:lang w:eastAsia="en-AU"/>
        </w:rPr>
        <w:tab/>
        <w:t>(1)</w:t>
      </w:r>
      <w:r w:rsidRPr="00F1390F">
        <w:rPr>
          <w:lang w:eastAsia="en-AU"/>
        </w:rPr>
        <w:tab/>
        <w:t>This division extends to a protected confidence made before the commencement of this division.</w:t>
      </w:r>
    </w:p>
    <w:p w:rsidR="00565EF3" w:rsidRPr="00F1390F" w:rsidRDefault="00565EF3" w:rsidP="00565EF3">
      <w:pPr>
        <w:pStyle w:val="Amain"/>
        <w:rPr>
          <w:lang w:eastAsia="en-AU"/>
        </w:rPr>
      </w:pPr>
      <w:r w:rsidRPr="00F1390F">
        <w:rPr>
          <w:lang w:eastAsia="en-AU"/>
        </w:rPr>
        <w:tab/>
        <w:t>(2)</w:t>
      </w:r>
      <w:r w:rsidRPr="00F1390F">
        <w:rPr>
          <w:lang w:eastAsia="en-AU"/>
        </w:rPr>
        <w:tab/>
        <w:t>This division does not apply in relation to a proceeding the hearing of which began before the commencement of this division.</w:t>
      </w:r>
    </w:p>
    <w:p w:rsidR="003F1275" w:rsidRPr="00FE57B9" w:rsidRDefault="003F1275" w:rsidP="003F1275">
      <w:pPr>
        <w:pStyle w:val="Amain"/>
        <w:rPr>
          <w:lang w:eastAsia="en-AU"/>
        </w:rPr>
      </w:pPr>
      <w:r w:rsidRPr="00FE57B9">
        <w:rPr>
          <w:lang w:eastAsia="en-AU"/>
        </w:rPr>
        <w:tab/>
        <w:t>(3)</w:t>
      </w:r>
      <w:r w:rsidRPr="00FE57B9">
        <w:rPr>
          <w:lang w:eastAsia="en-AU"/>
        </w:rPr>
        <w:tab/>
        <w:t xml:space="preserve">This division does not apply in relation to a protected confidence within the meaning of the </w:t>
      </w:r>
      <w:hyperlink r:id="rId96" w:tooltip="A1991-34" w:history="1">
        <w:r w:rsidRPr="00FE57B9">
          <w:rPr>
            <w:rStyle w:val="charCitHyperlinkItal"/>
          </w:rPr>
          <w:t>Evidence (Miscellaneous Provisions) Act 1991</w:t>
        </w:r>
      </w:hyperlink>
      <w:r w:rsidRPr="00FE57B9">
        <w:rPr>
          <w:lang w:eastAsia="en-AU"/>
        </w:rPr>
        <w:t xml:space="preserve">, </w:t>
      </w:r>
      <w:r w:rsidRPr="00FE57B9">
        <w:t>division 4.4.3 (Sexual offence proceedings—protection of counselling communications)</w:t>
      </w:r>
      <w:r w:rsidRPr="00FE57B9">
        <w:rPr>
          <w:lang w:eastAsia="en-AU"/>
        </w:rPr>
        <w:t xml:space="preserve">. </w:t>
      </w:r>
    </w:p>
    <w:p w:rsidR="00565EF3" w:rsidRPr="00F1390F" w:rsidRDefault="00565EF3" w:rsidP="00565EF3">
      <w:pPr>
        <w:pStyle w:val="aNote"/>
        <w:rPr>
          <w:lang w:eastAsia="en-AU"/>
        </w:rPr>
      </w:pPr>
      <w:r w:rsidRPr="00AF17FE">
        <w:rPr>
          <w:rStyle w:val="charItals"/>
        </w:rPr>
        <w:t>Note</w:t>
      </w:r>
      <w:r w:rsidRPr="00AF17FE">
        <w:tab/>
      </w:r>
      <w:r w:rsidRPr="00F1390F">
        <w:rPr>
          <w:lang w:eastAsia="en-AU"/>
        </w:rPr>
        <w:t xml:space="preserve">The </w:t>
      </w:r>
      <w:hyperlink r:id="rId97" w:tooltip="Evidence Act 1995" w:history="1">
        <w:r w:rsidR="00506E3A" w:rsidRPr="001D1BCB">
          <w:rPr>
            <w:rStyle w:val="charCitHyperlinkAbbrev"/>
          </w:rPr>
          <w:t>Commonwealth Act</w:t>
        </w:r>
      </w:hyperlink>
      <w:r w:rsidRPr="00F1390F">
        <w:rPr>
          <w:lang w:eastAsia="en-AU"/>
        </w:rPr>
        <w:t xml:space="preserve"> does not include this subsection.</w:t>
      </w:r>
    </w:p>
    <w:p w:rsidR="00565EF3" w:rsidRPr="00F1390F" w:rsidRDefault="00565EF3" w:rsidP="00565EF3">
      <w:pPr>
        <w:pStyle w:val="Amain"/>
        <w:rPr>
          <w:lang w:eastAsia="en-AU"/>
        </w:rPr>
      </w:pPr>
      <w:r w:rsidRPr="00F1390F">
        <w:rPr>
          <w:lang w:eastAsia="en-AU"/>
        </w:rPr>
        <w:tab/>
        <w:t>(4)</w:t>
      </w:r>
      <w:r w:rsidRPr="00F1390F">
        <w:rPr>
          <w:lang w:eastAsia="en-AU"/>
        </w:rPr>
        <w:tab/>
        <w:t>The court may give a direction under this division in relation to a protected confidence or protected identity information whether or not the protected confidence or protected identity information is privileged under another section of this part or would be privileged except for a limitation or restriction imposed by that section.</w:t>
      </w:r>
    </w:p>
    <w:p w:rsidR="00565EF3" w:rsidRPr="00F1390F" w:rsidRDefault="00565EF3" w:rsidP="00842C5B">
      <w:pPr>
        <w:pStyle w:val="Amain"/>
        <w:keepNext/>
      </w:pPr>
      <w:r w:rsidRPr="00F1390F">
        <w:tab/>
        <w:t>(5)</w:t>
      </w:r>
      <w:r w:rsidRPr="00F1390F">
        <w:tab/>
        <w:t>For subsection (2), the hearing of a proceeding has begun if the court has begun to take oral or written evidence in the proceeding (other than in relation to bail or any other interlocutory matter).</w:t>
      </w:r>
    </w:p>
    <w:p w:rsidR="00565EF3" w:rsidRPr="00F1390F" w:rsidRDefault="00565EF3" w:rsidP="00565EF3">
      <w:pPr>
        <w:pStyle w:val="aNote"/>
        <w:rPr>
          <w:lang w:eastAsia="en-AU"/>
        </w:rPr>
      </w:pPr>
      <w:r w:rsidRPr="00AF17FE">
        <w:rPr>
          <w:rStyle w:val="charItals"/>
        </w:rPr>
        <w:t>Note</w:t>
      </w:r>
      <w:r w:rsidRPr="00AF17FE">
        <w:tab/>
      </w:r>
      <w:r w:rsidRPr="00F1390F">
        <w:rPr>
          <w:lang w:eastAsia="en-AU"/>
        </w:rPr>
        <w:t xml:space="preserve">The </w:t>
      </w:r>
      <w:hyperlink r:id="rId98" w:tooltip="Evidence Act 1995" w:history="1">
        <w:r w:rsidR="00506E3A" w:rsidRPr="001D1BCB">
          <w:rPr>
            <w:rStyle w:val="charCitHyperlinkAbbrev"/>
          </w:rPr>
          <w:t>Commonwealth Act</w:t>
        </w:r>
      </w:hyperlink>
      <w:r w:rsidRPr="00F1390F">
        <w:rPr>
          <w:lang w:eastAsia="en-AU"/>
        </w:rPr>
        <w:t xml:space="preserve"> and </w:t>
      </w:r>
      <w:hyperlink r:id="rId99" w:tooltip="Act 1995 No 25 (NSW)" w:history="1">
        <w:r w:rsidR="00506E3A" w:rsidRPr="00506E3A">
          <w:rPr>
            <w:rStyle w:val="charCitHyperlinkAbbrev"/>
          </w:rPr>
          <w:t>NSW Act</w:t>
        </w:r>
      </w:hyperlink>
      <w:r w:rsidRPr="00F1390F">
        <w:rPr>
          <w:lang w:eastAsia="en-AU"/>
        </w:rPr>
        <w:t xml:space="preserve"> do not include this subsection.</w:t>
      </w:r>
    </w:p>
    <w:p w:rsidR="00565EF3" w:rsidRPr="003925E1" w:rsidRDefault="00565EF3" w:rsidP="00CD0BBF">
      <w:pPr>
        <w:pStyle w:val="AH3Div"/>
        <w:keepLines/>
      </w:pPr>
      <w:bookmarkStart w:id="179" w:name="_Toc11748534"/>
      <w:r w:rsidRPr="003925E1">
        <w:rPr>
          <w:rStyle w:val="CharDivNo"/>
        </w:rPr>
        <w:lastRenderedPageBreak/>
        <w:t>Division 3.10.1C</w:t>
      </w:r>
      <w:r w:rsidRPr="00F1390F">
        <w:tab/>
      </w:r>
      <w:r w:rsidRPr="003925E1">
        <w:rPr>
          <w:rStyle w:val="CharDivText"/>
        </w:rPr>
        <w:t>Journalist privilege</w:t>
      </w:r>
      <w:bookmarkEnd w:id="179"/>
    </w:p>
    <w:p w:rsidR="00565EF3" w:rsidRPr="00F1390F" w:rsidRDefault="00565EF3" w:rsidP="00CD0BBF">
      <w:pPr>
        <w:pStyle w:val="AH5Sec"/>
        <w:keepLines/>
        <w:rPr>
          <w:lang w:eastAsia="en-AU"/>
        </w:rPr>
      </w:pPr>
      <w:bookmarkStart w:id="180" w:name="_Toc11748535"/>
      <w:r w:rsidRPr="003925E1">
        <w:rPr>
          <w:rStyle w:val="CharSectNo"/>
        </w:rPr>
        <w:t>126J</w:t>
      </w:r>
      <w:r w:rsidRPr="00F1390F">
        <w:rPr>
          <w:lang w:eastAsia="en-AU"/>
        </w:rPr>
        <w:tab/>
        <w:t>Definitions—div 3.10.1C</w:t>
      </w:r>
      <w:bookmarkEnd w:id="180"/>
    </w:p>
    <w:p w:rsidR="00565EF3" w:rsidRPr="00F1390F" w:rsidRDefault="00565EF3" w:rsidP="00CD0BBF">
      <w:pPr>
        <w:pStyle w:val="Amainreturn"/>
        <w:keepNext/>
        <w:keepLines/>
      </w:pPr>
      <w:r w:rsidRPr="00F1390F">
        <w:t>In this division:</w:t>
      </w:r>
    </w:p>
    <w:p w:rsidR="00565EF3" w:rsidRPr="00F1390F" w:rsidRDefault="00565EF3" w:rsidP="00CD0BBF">
      <w:pPr>
        <w:pStyle w:val="aDef"/>
        <w:keepNext/>
        <w:keepLines/>
      </w:pPr>
      <w:r w:rsidRPr="00AF17FE">
        <w:rPr>
          <w:rStyle w:val="charBoldItals"/>
        </w:rPr>
        <w:t>informant</w:t>
      </w:r>
      <w:r w:rsidRPr="00F1390F">
        <w:t xml:space="preserve"> means a person who gives information to a journalist in the normal course of the journalist’s work in the expectation that the information may be published in a news medium.</w:t>
      </w:r>
    </w:p>
    <w:p w:rsidR="00565EF3" w:rsidRPr="00F1390F" w:rsidRDefault="00565EF3" w:rsidP="00CD0BBF">
      <w:pPr>
        <w:pStyle w:val="aDef"/>
        <w:keepNext/>
        <w:keepLines/>
      </w:pPr>
      <w:r w:rsidRPr="00AF17FE">
        <w:rPr>
          <w:rStyle w:val="charBoldItals"/>
        </w:rPr>
        <w:t>journalist</w:t>
      </w:r>
      <w:r w:rsidRPr="00F1390F">
        <w:t xml:space="preserve"> means a person who is engaged and active in the publication of news and who may be given information by an informant in the expectation that the information may be published in a news medium.</w:t>
      </w:r>
    </w:p>
    <w:p w:rsidR="00565EF3" w:rsidRPr="00F1390F" w:rsidRDefault="00565EF3" w:rsidP="00565EF3">
      <w:pPr>
        <w:pStyle w:val="aDef"/>
      </w:pPr>
      <w:r w:rsidRPr="00AF17FE">
        <w:rPr>
          <w:rStyle w:val="charBoldItals"/>
        </w:rPr>
        <w:t>news medium</w:t>
      </w:r>
      <w:r w:rsidRPr="00F1390F">
        <w:t xml:space="preserve"> means a medium for the dissemination to the public or a section of the public of news and observations on news.</w:t>
      </w:r>
    </w:p>
    <w:p w:rsidR="00565EF3" w:rsidRPr="00F1390F" w:rsidRDefault="00565EF3" w:rsidP="00565EF3">
      <w:pPr>
        <w:pStyle w:val="AH5Sec"/>
      </w:pPr>
      <w:bookmarkStart w:id="181" w:name="_Toc11748536"/>
      <w:r w:rsidRPr="003925E1">
        <w:rPr>
          <w:rStyle w:val="CharSectNo"/>
        </w:rPr>
        <w:t>126K</w:t>
      </w:r>
      <w:r w:rsidRPr="00F1390F">
        <w:rPr>
          <w:rStyle w:val="CharSectno0"/>
        </w:rPr>
        <w:tab/>
      </w:r>
      <w:r w:rsidRPr="00F1390F">
        <w:t>Journalist privilege relating to informant’s identity</w:t>
      </w:r>
      <w:bookmarkEnd w:id="181"/>
    </w:p>
    <w:p w:rsidR="00565EF3" w:rsidRPr="00F1390F" w:rsidRDefault="00565EF3" w:rsidP="00565EF3">
      <w:pPr>
        <w:pStyle w:val="Amain"/>
      </w:pPr>
      <w:r w:rsidRPr="00F1390F">
        <w:tab/>
        <w:t>(1)</w:t>
      </w:r>
      <w:r w:rsidRPr="00F1390F">
        <w:tab/>
        <w:t>If a journalist has promised an informant not to disclose the informant’s identity, neither the journalist nor the journalist’s employer is compellable to answer any question or produce any document that would disclose the informant’s identity or enable that identity to be ascertained.</w:t>
      </w:r>
    </w:p>
    <w:p w:rsidR="00565EF3" w:rsidRPr="00F1390F" w:rsidRDefault="00565EF3" w:rsidP="00565EF3">
      <w:pPr>
        <w:pStyle w:val="Amain"/>
      </w:pPr>
      <w:r w:rsidRPr="00F1390F">
        <w:tab/>
        <w:t>(2)</w:t>
      </w:r>
      <w:r w:rsidRPr="00F1390F">
        <w:tab/>
        <w:t>The court may, on the application of a party, order that subsection (1) is not to apply if it is satisfied that, having regard to the issues to be decided in the proceeding, the public interest in the disclosure of the informant’s identity outweighs</w:t>
      </w:r>
      <w:r w:rsidRPr="00F1390F">
        <w:rPr>
          <w:lang w:eastAsia="en-AU"/>
        </w:rPr>
        <w:t>—</w:t>
      </w:r>
    </w:p>
    <w:p w:rsidR="00565EF3" w:rsidRPr="00F1390F" w:rsidRDefault="00565EF3" w:rsidP="00565EF3">
      <w:pPr>
        <w:pStyle w:val="Apara"/>
      </w:pPr>
      <w:r w:rsidRPr="00F1390F">
        <w:tab/>
        <w:t>(a)</w:t>
      </w:r>
      <w:r w:rsidRPr="00F1390F">
        <w:tab/>
        <w:t>any likely adverse effect of the disclosure on the informant or anyone else; and</w:t>
      </w:r>
    </w:p>
    <w:p w:rsidR="00565EF3" w:rsidRPr="00F1390F" w:rsidRDefault="00565EF3" w:rsidP="00565EF3">
      <w:pPr>
        <w:pStyle w:val="Apara"/>
      </w:pPr>
      <w:r w:rsidRPr="00F1390F">
        <w:tab/>
        <w:t>(b)</w:t>
      </w:r>
      <w:r w:rsidRPr="00F1390F">
        <w:tab/>
        <w:t>the public interest in the communication of facts and opinion to the public by the news media and, accordingly also, in the news media’s ability to access sources of facts.</w:t>
      </w:r>
    </w:p>
    <w:p w:rsidR="00565EF3" w:rsidRPr="00F1390F" w:rsidRDefault="00565EF3" w:rsidP="00CD0BBF">
      <w:pPr>
        <w:pStyle w:val="Amain"/>
        <w:keepNext/>
      </w:pPr>
      <w:r w:rsidRPr="00F1390F">
        <w:lastRenderedPageBreak/>
        <w:tab/>
        <w:t>(3)</w:t>
      </w:r>
      <w:r w:rsidRPr="00F1390F">
        <w:tab/>
        <w:t>An order under subsection (2) may be made subject to the conditions (if any) the court thinks fit.</w:t>
      </w:r>
    </w:p>
    <w:p w:rsidR="00565EF3" w:rsidRPr="00F1390F" w:rsidRDefault="00565EF3" w:rsidP="00565EF3">
      <w:pPr>
        <w:pStyle w:val="aNote"/>
        <w:rPr>
          <w:lang w:eastAsia="en-AU"/>
        </w:rPr>
      </w:pPr>
      <w:r w:rsidRPr="00AF17FE">
        <w:rPr>
          <w:rStyle w:val="charItals"/>
        </w:rPr>
        <w:t>Note</w:t>
      </w:r>
      <w:r w:rsidRPr="00AF17FE">
        <w:tab/>
      </w:r>
      <w:r w:rsidRPr="00F1390F">
        <w:rPr>
          <w:lang w:eastAsia="en-AU"/>
        </w:rPr>
        <w:t xml:space="preserve">The </w:t>
      </w:r>
      <w:hyperlink r:id="rId100" w:tooltip="Evidence Act 1995" w:history="1">
        <w:r w:rsidR="001D1BCB" w:rsidRPr="001D1BCB">
          <w:rPr>
            <w:rStyle w:val="charCitHyperlinkAbbrev"/>
          </w:rPr>
          <w:t>Commonwealth Act</w:t>
        </w:r>
      </w:hyperlink>
      <w:r w:rsidRPr="00F1390F">
        <w:rPr>
          <w:lang w:eastAsia="en-AU"/>
        </w:rPr>
        <w:t>, s 126H is equivalent to this section.</w:t>
      </w:r>
    </w:p>
    <w:p w:rsidR="00565EF3" w:rsidRPr="00F1390F" w:rsidRDefault="00565EF3" w:rsidP="00565EF3">
      <w:pPr>
        <w:pStyle w:val="AH5Sec"/>
        <w:rPr>
          <w:lang w:eastAsia="en-AU"/>
        </w:rPr>
      </w:pPr>
      <w:bookmarkStart w:id="182" w:name="_Toc11748537"/>
      <w:r w:rsidRPr="003925E1">
        <w:rPr>
          <w:rStyle w:val="CharSectNo"/>
        </w:rPr>
        <w:t>126L</w:t>
      </w:r>
      <w:r w:rsidRPr="00F1390F">
        <w:rPr>
          <w:lang w:eastAsia="en-AU"/>
        </w:rPr>
        <w:tab/>
        <w:t>Application—div 3.10.1C</w:t>
      </w:r>
      <w:bookmarkEnd w:id="182"/>
    </w:p>
    <w:p w:rsidR="00565EF3" w:rsidRPr="00F1390F" w:rsidRDefault="00565EF3" w:rsidP="00565EF3">
      <w:pPr>
        <w:pStyle w:val="Amain"/>
        <w:rPr>
          <w:lang w:eastAsia="en-AU"/>
        </w:rPr>
      </w:pPr>
      <w:r w:rsidRPr="00F1390F">
        <w:rPr>
          <w:rFonts w:eastAsia="TimesNewRoman"/>
          <w:lang w:eastAsia="en-AU"/>
        </w:rPr>
        <w:tab/>
        <w:t>(1)</w:t>
      </w:r>
      <w:r w:rsidRPr="00F1390F">
        <w:rPr>
          <w:rFonts w:eastAsia="TimesNewRoman"/>
          <w:lang w:eastAsia="en-AU"/>
        </w:rPr>
        <w:tab/>
      </w:r>
      <w:r w:rsidRPr="00F1390F">
        <w:rPr>
          <w:lang w:eastAsia="en-AU"/>
        </w:rPr>
        <w:t xml:space="preserve">This division extends to </w:t>
      </w:r>
      <w:r w:rsidRPr="00F1390F">
        <w:t xml:space="preserve">information given by an informant </w:t>
      </w:r>
      <w:r w:rsidRPr="00F1390F">
        <w:rPr>
          <w:lang w:eastAsia="en-AU"/>
        </w:rPr>
        <w:t>before the commencement of this division.</w:t>
      </w:r>
    </w:p>
    <w:p w:rsidR="00565EF3" w:rsidRPr="00F1390F" w:rsidRDefault="00565EF3" w:rsidP="00565EF3">
      <w:pPr>
        <w:pStyle w:val="Amain"/>
        <w:rPr>
          <w:rFonts w:eastAsia="TimesNewRoman"/>
          <w:lang w:eastAsia="en-AU"/>
        </w:rPr>
      </w:pPr>
      <w:r w:rsidRPr="00F1390F">
        <w:rPr>
          <w:lang w:eastAsia="en-AU"/>
        </w:rPr>
        <w:tab/>
        <w:t>(2)</w:t>
      </w:r>
      <w:r w:rsidRPr="00F1390F">
        <w:rPr>
          <w:lang w:eastAsia="en-AU"/>
        </w:rPr>
        <w:tab/>
      </w:r>
      <w:r w:rsidRPr="00F1390F">
        <w:rPr>
          <w:rFonts w:eastAsia="TimesNewRoman"/>
          <w:lang w:eastAsia="en-AU"/>
        </w:rPr>
        <w:t>This division does not apply in relation to a proceeding the hearing of which began before the commencement of this division.</w:t>
      </w:r>
    </w:p>
    <w:p w:rsidR="00565EF3" w:rsidRPr="00F1390F" w:rsidRDefault="00565EF3" w:rsidP="00565EF3">
      <w:pPr>
        <w:pStyle w:val="Amain"/>
        <w:rPr>
          <w:rFonts w:eastAsia="TimesNewRoman"/>
          <w:lang w:eastAsia="en-AU"/>
        </w:rPr>
      </w:pPr>
      <w:r w:rsidRPr="00F1390F">
        <w:rPr>
          <w:rFonts w:eastAsia="TimesNewRoman"/>
          <w:lang w:eastAsia="en-AU"/>
        </w:rPr>
        <w:tab/>
        <w:t>(3)</w:t>
      </w:r>
      <w:r w:rsidRPr="00F1390F">
        <w:rPr>
          <w:rFonts w:eastAsia="TimesNewRoman"/>
          <w:lang w:eastAsia="en-AU"/>
        </w:rPr>
        <w:tab/>
        <w:t>This division (as applied by section 131A) does not apply to a disclosure requirement mentioned in that section made before the commencement of this division.</w:t>
      </w:r>
    </w:p>
    <w:p w:rsidR="00565EF3" w:rsidRPr="00F1390F" w:rsidRDefault="00565EF3" w:rsidP="00565EF3">
      <w:pPr>
        <w:pStyle w:val="Amain"/>
      </w:pPr>
      <w:r w:rsidRPr="00F1390F">
        <w:tab/>
        <w:t>(4)</w:t>
      </w:r>
      <w:r w:rsidRPr="00F1390F">
        <w:tab/>
        <w:t>For subsection (2), the hearing of a proceeding has begun if the court has begun to take oral or written evidence in the proceeding (other than in relation to bail or any other interlocutory matter).</w:t>
      </w:r>
    </w:p>
    <w:p w:rsidR="00565EF3" w:rsidRPr="00F1390F" w:rsidRDefault="00565EF3" w:rsidP="00565EF3">
      <w:pPr>
        <w:pStyle w:val="aNote"/>
        <w:rPr>
          <w:lang w:eastAsia="en-AU"/>
        </w:rPr>
      </w:pPr>
      <w:r w:rsidRPr="00AF17FE">
        <w:rPr>
          <w:rStyle w:val="charItals"/>
        </w:rPr>
        <w:t>Note</w:t>
      </w:r>
      <w:r w:rsidRPr="00AF17FE">
        <w:tab/>
      </w:r>
      <w:r w:rsidRPr="00F1390F">
        <w:rPr>
          <w:lang w:eastAsia="en-AU"/>
        </w:rPr>
        <w:t xml:space="preserve">The </w:t>
      </w:r>
      <w:hyperlink r:id="rId101" w:tooltip="Act 1995 No 25 (NSW)" w:history="1">
        <w:r w:rsidR="00506E3A" w:rsidRPr="00506E3A">
          <w:rPr>
            <w:rStyle w:val="charCitHyperlinkAbbrev"/>
          </w:rPr>
          <w:t>NSW Act</w:t>
        </w:r>
      </w:hyperlink>
      <w:r w:rsidRPr="00F1390F">
        <w:rPr>
          <w:lang w:eastAsia="en-AU"/>
        </w:rPr>
        <w:t xml:space="preserve"> does not include this subsection and the </w:t>
      </w:r>
      <w:hyperlink r:id="rId102" w:tooltip="Evidence Act 1995" w:history="1">
        <w:r w:rsidR="00506E3A" w:rsidRPr="001D1BCB">
          <w:rPr>
            <w:rStyle w:val="charCitHyperlinkAbbrev"/>
          </w:rPr>
          <w:t>Commonwealth Act</w:t>
        </w:r>
      </w:hyperlink>
      <w:r w:rsidRPr="00F1390F">
        <w:rPr>
          <w:lang w:eastAsia="en-AU"/>
        </w:rPr>
        <w:t xml:space="preserve"> does not include this section.</w:t>
      </w:r>
    </w:p>
    <w:p w:rsidR="00F8610E" w:rsidRPr="003925E1" w:rsidRDefault="00F8610E" w:rsidP="00CD0BBF">
      <w:pPr>
        <w:pStyle w:val="AH3Div"/>
        <w:keepLines/>
      </w:pPr>
      <w:bookmarkStart w:id="183" w:name="_Toc11748538"/>
      <w:r w:rsidRPr="003925E1">
        <w:rPr>
          <w:rStyle w:val="CharDivNo"/>
        </w:rPr>
        <w:lastRenderedPageBreak/>
        <w:t>Division 3.10.2</w:t>
      </w:r>
      <w:r w:rsidRPr="00A060B6">
        <w:tab/>
      </w:r>
      <w:r w:rsidRPr="003925E1">
        <w:rPr>
          <w:rStyle w:val="CharDivText"/>
        </w:rPr>
        <w:t>Other privileges</w:t>
      </w:r>
      <w:bookmarkEnd w:id="183"/>
    </w:p>
    <w:p w:rsidR="00F8610E" w:rsidRPr="00A060B6" w:rsidRDefault="00F8610E" w:rsidP="00CD0BBF">
      <w:pPr>
        <w:pStyle w:val="AH5Sec"/>
        <w:keepLines/>
      </w:pPr>
      <w:bookmarkStart w:id="184" w:name="_Toc11748539"/>
      <w:r w:rsidRPr="003925E1">
        <w:rPr>
          <w:rStyle w:val="CharSectNo"/>
        </w:rPr>
        <w:t>127</w:t>
      </w:r>
      <w:r w:rsidRPr="00A060B6">
        <w:tab/>
        <w:t>Religious confessions</w:t>
      </w:r>
      <w:bookmarkEnd w:id="184"/>
    </w:p>
    <w:p w:rsidR="00F8610E" w:rsidRPr="00A060B6" w:rsidRDefault="00F8610E" w:rsidP="00CD0BBF">
      <w:pPr>
        <w:pStyle w:val="Amain"/>
        <w:keepNext/>
        <w:keepLines/>
        <w:rPr>
          <w:lang w:eastAsia="en-AU"/>
        </w:rPr>
      </w:pPr>
      <w:r w:rsidRPr="00A060B6">
        <w:rPr>
          <w:lang w:eastAsia="en-AU"/>
        </w:rPr>
        <w:tab/>
        <w:t>(1)</w:t>
      </w:r>
      <w:r w:rsidRPr="00A060B6">
        <w:rPr>
          <w:lang w:eastAsia="en-AU"/>
        </w:rPr>
        <w:tab/>
        <w:t>A person who is or was a member of the clergy of a church or religious denomination is entitled to refuse to divulge that a religious confession was made, or the contents of a religious confession made, to the person when a member of the clergy.</w:t>
      </w:r>
    </w:p>
    <w:p w:rsidR="00F8610E" w:rsidRPr="00A060B6" w:rsidRDefault="00F8610E" w:rsidP="00CD0BBF">
      <w:pPr>
        <w:pStyle w:val="Amain"/>
        <w:keepNext/>
        <w:keepLines/>
        <w:rPr>
          <w:lang w:eastAsia="en-AU"/>
        </w:rPr>
      </w:pPr>
      <w:r w:rsidRPr="00A060B6">
        <w:rPr>
          <w:lang w:eastAsia="en-AU"/>
        </w:rPr>
        <w:tab/>
        <w:t>(2)</w:t>
      </w:r>
      <w:r w:rsidRPr="00A060B6">
        <w:rPr>
          <w:lang w:eastAsia="en-AU"/>
        </w:rPr>
        <w:tab/>
        <w:t>Subsection (1) does not apply if the communication involved in the religious confession was made for a criminal purpose.</w:t>
      </w:r>
    </w:p>
    <w:p w:rsidR="00F8610E" w:rsidRPr="00A060B6" w:rsidRDefault="00F8610E" w:rsidP="00CD0BBF">
      <w:pPr>
        <w:pStyle w:val="Amain"/>
        <w:keepNext/>
        <w:rPr>
          <w:lang w:eastAsia="en-AU"/>
        </w:rPr>
      </w:pPr>
      <w:r w:rsidRPr="00A060B6">
        <w:rPr>
          <w:lang w:eastAsia="en-AU"/>
        </w:rPr>
        <w:tab/>
        <w:t>(3)</w:t>
      </w:r>
      <w:r w:rsidRPr="00A060B6">
        <w:rPr>
          <w:lang w:eastAsia="en-AU"/>
        </w:rPr>
        <w:tab/>
        <w:t xml:space="preserve">This section applies even if an Act provides— </w:t>
      </w:r>
    </w:p>
    <w:p w:rsidR="00F8610E" w:rsidRPr="00A060B6" w:rsidRDefault="00F8610E" w:rsidP="00CD0BBF">
      <w:pPr>
        <w:pStyle w:val="Apara"/>
        <w:keepNext/>
        <w:rPr>
          <w:lang w:eastAsia="en-AU"/>
        </w:rPr>
      </w:pPr>
      <w:r w:rsidRPr="00A060B6">
        <w:rPr>
          <w:lang w:eastAsia="en-AU"/>
        </w:rPr>
        <w:tab/>
        <w:t>(a)</w:t>
      </w:r>
      <w:r w:rsidRPr="00A060B6">
        <w:rPr>
          <w:lang w:eastAsia="en-AU"/>
        </w:rPr>
        <w:tab/>
        <w:t>that the rules of evidence do not apply or that an entity is not bound by the rules of evidence; or</w:t>
      </w:r>
    </w:p>
    <w:p w:rsidR="00F8610E" w:rsidRPr="00A060B6" w:rsidRDefault="00F8610E" w:rsidP="00486F06">
      <w:pPr>
        <w:pStyle w:val="Apara"/>
        <w:rPr>
          <w:lang w:eastAsia="en-AU"/>
        </w:rPr>
      </w:pPr>
      <w:r w:rsidRPr="00A060B6">
        <w:rPr>
          <w:lang w:eastAsia="en-AU"/>
        </w:rPr>
        <w:tab/>
        <w:t>(b)</w:t>
      </w:r>
      <w:r w:rsidRPr="00A060B6">
        <w:rPr>
          <w:lang w:eastAsia="en-AU"/>
        </w:rPr>
        <w:tab/>
        <w:t>that a person is not excused from answering a question or producing a document or other thing on the ground of privilege or any other ground.</w:t>
      </w:r>
    </w:p>
    <w:p w:rsidR="00F8610E" w:rsidRPr="00A060B6" w:rsidRDefault="00F8610E" w:rsidP="00486F06">
      <w:pPr>
        <w:pStyle w:val="Amain"/>
        <w:rPr>
          <w:lang w:eastAsia="en-AU"/>
        </w:rPr>
      </w:pPr>
      <w:r w:rsidRPr="00A060B6">
        <w:rPr>
          <w:lang w:eastAsia="en-AU"/>
        </w:rPr>
        <w:tab/>
        <w:t>(4)</w:t>
      </w:r>
      <w:r w:rsidRPr="00A060B6">
        <w:rPr>
          <w:lang w:eastAsia="en-AU"/>
        </w:rPr>
        <w:tab/>
        <w:t xml:space="preserve">In this section: </w:t>
      </w:r>
    </w:p>
    <w:p w:rsidR="00F8610E" w:rsidRPr="00A060B6" w:rsidRDefault="00F8610E" w:rsidP="00771CB7">
      <w:pPr>
        <w:pStyle w:val="Amainreturn"/>
        <w:rPr>
          <w:lang w:eastAsia="en-AU"/>
        </w:rPr>
      </w:pPr>
      <w:r w:rsidRPr="005D1BC5">
        <w:rPr>
          <w:rStyle w:val="charBoldItals"/>
        </w:rPr>
        <w:t>religious confession</w:t>
      </w:r>
      <w:r w:rsidRPr="00A060B6">
        <w:rPr>
          <w:lang w:eastAsia="en-AU"/>
        </w:rPr>
        <w:t xml:space="preserve"> means a confession made by a person to a member of the clergy in the member’s professional capacity according to the ritual of the member’s church or religious denomination.</w:t>
      </w:r>
    </w:p>
    <w:p w:rsidR="00F8610E" w:rsidRPr="00A060B6" w:rsidRDefault="00F8610E" w:rsidP="00486F06">
      <w:pPr>
        <w:pStyle w:val="AH5Sec"/>
      </w:pPr>
      <w:bookmarkStart w:id="185" w:name="_Toc11748540"/>
      <w:r w:rsidRPr="003925E1">
        <w:rPr>
          <w:rStyle w:val="CharSectNo"/>
        </w:rPr>
        <w:t>128</w:t>
      </w:r>
      <w:r w:rsidRPr="00A060B6">
        <w:tab/>
        <w:t>Privilege in relation to self</w:t>
      </w:r>
      <w:r w:rsidR="001C511B">
        <w:t>-</w:t>
      </w:r>
      <w:r w:rsidRPr="00A060B6">
        <w:t>incrimination in other proceedings</w:t>
      </w:r>
      <w:bookmarkEnd w:id="185"/>
    </w:p>
    <w:p w:rsidR="00F8610E" w:rsidRPr="00A060B6" w:rsidRDefault="00F8610E" w:rsidP="00486F06">
      <w:pPr>
        <w:pStyle w:val="Amain"/>
      </w:pPr>
      <w:r w:rsidRPr="00A060B6">
        <w:tab/>
        <w:t>(1)</w:t>
      </w:r>
      <w:r w:rsidRPr="00A060B6">
        <w:tab/>
        <w:t>This section applies if a witness objects to giving particular evidence, or evidence on a particular matter, on the ground that the evidence may tend to prove that the witness—</w:t>
      </w:r>
    </w:p>
    <w:p w:rsidR="00F8610E" w:rsidRPr="00A060B6" w:rsidRDefault="00F8610E" w:rsidP="00486F06">
      <w:pPr>
        <w:pStyle w:val="Apara"/>
      </w:pPr>
      <w:r w:rsidRPr="00A060B6">
        <w:tab/>
        <w:t>(a)</w:t>
      </w:r>
      <w:r w:rsidRPr="00A060B6">
        <w:tab/>
        <w:t>has committed an offence against or arising under an Australian law or a law of a foreign country; or</w:t>
      </w:r>
    </w:p>
    <w:p w:rsidR="00F8610E" w:rsidRPr="00A060B6" w:rsidRDefault="00F8610E" w:rsidP="00486F06">
      <w:pPr>
        <w:pStyle w:val="Apara"/>
      </w:pPr>
      <w:r w:rsidRPr="00A060B6">
        <w:tab/>
        <w:t>(b)</w:t>
      </w:r>
      <w:r w:rsidRPr="00A060B6">
        <w:tab/>
        <w:t>is liable to a civil penalty.</w:t>
      </w:r>
    </w:p>
    <w:p w:rsidR="00F8610E" w:rsidRPr="00A060B6" w:rsidRDefault="00F8610E" w:rsidP="00486F06">
      <w:pPr>
        <w:pStyle w:val="Amain"/>
      </w:pPr>
      <w:r w:rsidRPr="00A060B6">
        <w:lastRenderedPageBreak/>
        <w:tab/>
        <w:t>(2)</w:t>
      </w:r>
      <w:r w:rsidRPr="00A060B6">
        <w:tab/>
        <w:t>The court must decide whether or not there are reasonable grounds for the objection.</w:t>
      </w:r>
    </w:p>
    <w:p w:rsidR="003A17E3" w:rsidRPr="00F1390F" w:rsidRDefault="003A17E3" w:rsidP="00CD0BBF">
      <w:pPr>
        <w:pStyle w:val="Amain"/>
        <w:keepNext/>
      </w:pPr>
      <w:r w:rsidRPr="00F1390F">
        <w:tab/>
        <w:t>(3)</w:t>
      </w:r>
      <w:r w:rsidRPr="00F1390F">
        <w:tab/>
        <w:t>Subject to subsection (4), if the court decides that there are reasonable grounds for the objection, the court must not require the witness to give the evidence and must tell the witness—</w:t>
      </w:r>
    </w:p>
    <w:p w:rsidR="00F8610E" w:rsidRPr="00A060B6" w:rsidRDefault="00F8610E" w:rsidP="00CD0BBF">
      <w:pPr>
        <w:pStyle w:val="Apara"/>
        <w:keepNext/>
      </w:pPr>
      <w:r w:rsidRPr="00A060B6">
        <w:tab/>
        <w:t>(a)</w:t>
      </w:r>
      <w:r w:rsidRPr="00A060B6">
        <w:tab/>
        <w:t>that the witness need not give the evidence unless required by the court to do so under subsection (4); and</w:t>
      </w:r>
    </w:p>
    <w:p w:rsidR="00F8610E" w:rsidRPr="00A060B6" w:rsidRDefault="00F8610E" w:rsidP="00CD0BBF">
      <w:pPr>
        <w:pStyle w:val="Apara"/>
        <w:keepNext/>
      </w:pPr>
      <w:r w:rsidRPr="00A060B6">
        <w:tab/>
        <w:t>(b)</w:t>
      </w:r>
      <w:r w:rsidRPr="00A060B6">
        <w:tab/>
        <w:t>that the court will give a certificate under this section if—</w:t>
      </w:r>
    </w:p>
    <w:p w:rsidR="00F8610E" w:rsidRPr="00A060B6" w:rsidRDefault="00F8610E" w:rsidP="00486F06">
      <w:pPr>
        <w:pStyle w:val="Asubpara"/>
        <w:rPr>
          <w:lang w:eastAsia="en-AU"/>
        </w:rPr>
      </w:pPr>
      <w:r w:rsidRPr="00A060B6">
        <w:rPr>
          <w:lang w:eastAsia="en-AU"/>
        </w:rPr>
        <w:tab/>
        <w:t>(i)</w:t>
      </w:r>
      <w:r w:rsidRPr="00A060B6">
        <w:rPr>
          <w:lang w:eastAsia="en-AU"/>
        </w:rPr>
        <w:tab/>
        <w:t>the witness willingly gives the evidence without being required to do so under subsection (4); or</w:t>
      </w:r>
    </w:p>
    <w:p w:rsidR="00F8610E" w:rsidRPr="00A060B6" w:rsidRDefault="00F8610E" w:rsidP="00486F06">
      <w:pPr>
        <w:pStyle w:val="Asubpara"/>
        <w:rPr>
          <w:lang w:eastAsia="en-AU"/>
        </w:rPr>
      </w:pPr>
      <w:r w:rsidRPr="00A060B6">
        <w:rPr>
          <w:lang w:eastAsia="en-AU"/>
        </w:rPr>
        <w:tab/>
        <w:t>(ii)</w:t>
      </w:r>
      <w:r w:rsidRPr="00A060B6">
        <w:rPr>
          <w:lang w:eastAsia="en-AU"/>
        </w:rPr>
        <w:tab/>
        <w:t>the witness gives the evidence after being required to do so under subsection (4); and</w:t>
      </w:r>
    </w:p>
    <w:p w:rsidR="00F8610E" w:rsidRPr="00A060B6" w:rsidRDefault="00F8610E" w:rsidP="00486F06">
      <w:pPr>
        <w:pStyle w:val="Apara"/>
      </w:pPr>
      <w:r w:rsidRPr="00A060B6">
        <w:tab/>
        <w:t>(c)</w:t>
      </w:r>
      <w:r w:rsidRPr="00A060B6">
        <w:tab/>
        <w:t>of the effect of the certificate.</w:t>
      </w:r>
    </w:p>
    <w:p w:rsidR="00F8610E" w:rsidRPr="00A060B6" w:rsidRDefault="00F8610E" w:rsidP="00486F06">
      <w:pPr>
        <w:pStyle w:val="Amain"/>
        <w:rPr>
          <w:lang w:eastAsia="en-AU"/>
        </w:rPr>
      </w:pPr>
      <w:r w:rsidRPr="00A060B6">
        <w:rPr>
          <w:lang w:eastAsia="en-AU"/>
        </w:rPr>
        <w:tab/>
        <w:t>(4)</w:t>
      </w:r>
      <w:r w:rsidRPr="00A060B6">
        <w:rPr>
          <w:lang w:eastAsia="en-AU"/>
        </w:rPr>
        <w:tab/>
        <w:t xml:space="preserve">The court may require the witness to give the evidence if the court is satisfied that— </w:t>
      </w:r>
    </w:p>
    <w:p w:rsidR="00F8610E" w:rsidRPr="00A060B6" w:rsidRDefault="00F8610E" w:rsidP="00486F06">
      <w:pPr>
        <w:pStyle w:val="Apara"/>
        <w:rPr>
          <w:lang w:eastAsia="en-AU"/>
        </w:rPr>
      </w:pPr>
      <w:r w:rsidRPr="00A060B6">
        <w:rPr>
          <w:lang w:eastAsia="en-AU"/>
        </w:rPr>
        <w:tab/>
        <w:t>(a)</w:t>
      </w:r>
      <w:r w:rsidRPr="00A060B6">
        <w:rPr>
          <w:lang w:eastAsia="en-AU"/>
        </w:rPr>
        <w:tab/>
        <w:t>the evidence does not tend to prove that the witness has committed an offence against or arising under, or is liable to a civil penalty under, a law of a foreign country; and</w:t>
      </w:r>
    </w:p>
    <w:p w:rsidR="00F8610E" w:rsidRPr="00A060B6" w:rsidRDefault="00F8610E" w:rsidP="00486F06">
      <w:pPr>
        <w:pStyle w:val="Apara"/>
        <w:rPr>
          <w:lang w:eastAsia="en-AU"/>
        </w:rPr>
      </w:pPr>
      <w:r w:rsidRPr="00A060B6">
        <w:rPr>
          <w:lang w:eastAsia="en-AU"/>
        </w:rPr>
        <w:tab/>
        <w:t>(b)</w:t>
      </w:r>
      <w:r w:rsidRPr="00A060B6">
        <w:rPr>
          <w:lang w:eastAsia="en-AU"/>
        </w:rPr>
        <w:tab/>
        <w:t>the interests of justice require that the witness give the evidence.</w:t>
      </w:r>
    </w:p>
    <w:p w:rsidR="00F8610E" w:rsidRPr="00A060B6" w:rsidRDefault="00F8610E" w:rsidP="00486F06">
      <w:pPr>
        <w:pStyle w:val="Amain"/>
        <w:rPr>
          <w:lang w:eastAsia="en-AU"/>
        </w:rPr>
      </w:pPr>
      <w:r w:rsidRPr="00A060B6">
        <w:rPr>
          <w:lang w:eastAsia="en-AU"/>
        </w:rPr>
        <w:tab/>
        <w:t>(5)</w:t>
      </w:r>
      <w:r w:rsidRPr="00A060B6">
        <w:rPr>
          <w:lang w:eastAsia="en-AU"/>
        </w:rPr>
        <w:tab/>
      </w:r>
      <w:r w:rsidRPr="00A060B6">
        <w:t>If the witness either willingly gives the evidence without being required to do so under subsection (4), or gives it after being required to do so under that subsection, the court must give the witness a certificate under this section in relation to the evidence.</w:t>
      </w:r>
    </w:p>
    <w:p w:rsidR="00F8610E" w:rsidRPr="00A060B6" w:rsidRDefault="00F8610E" w:rsidP="00486F06">
      <w:pPr>
        <w:pStyle w:val="Amain"/>
      </w:pPr>
      <w:r w:rsidRPr="00A060B6">
        <w:tab/>
        <w:t>(6)</w:t>
      </w:r>
      <w:r w:rsidRPr="00A060B6">
        <w:tab/>
        <w:t>The court must also give a witness a certificate under this section if—</w:t>
      </w:r>
    </w:p>
    <w:p w:rsidR="00F8610E" w:rsidRPr="00A060B6" w:rsidRDefault="00F8610E" w:rsidP="00486F06">
      <w:pPr>
        <w:pStyle w:val="Apara"/>
      </w:pPr>
      <w:r w:rsidRPr="00A060B6">
        <w:tab/>
        <w:t>(a)</w:t>
      </w:r>
      <w:r w:rsidRPr="00A060B6">
        <w:tab/>
        <w:t>the objection has been overruled; and</w:t>
      </w:r>
    </w:p>
    <w:p w:rsidR="00F8610E" w:rsidRPr="00A060B6" w:rsidRDefault="00F8610E" w:rsidP="00486F06">
      <w:pPr>
        <w:pStyle w:val="Apara"/>
      </w:pPr>
      <w:r w:rsidRPr="00A060B6">
        <w:tab/>
        <w:t>(b)</w:t>
      </w:r>
      <w:r w:rsidRPr="00A060B6">
        <w:tab/>
        <w:t>after the evidence has been given, the court finds that there were reasonable grounds for the objection.</w:t>
      </w:r>
    </w:p>
    <w:p w:rsidR="00F8610E" w:rsidRPr="00A060B6" w:rsidRDefault="00F8610E" w:rsidP="00486F06">
      <w:pPr>
        <w:pStyle w:val="Amain"/>
      </w:pPr>
      <w:r w:rsidRPr="00A060B6">
        <w:lastRenderedPageBreak/>
        <w:tab/>
        <w:t>(7)</w:t>
      </w:r>
      <w:r w:rsidRPr="00A060B6">
        <w:tab/>
        <w:t xml:space="preserve">In any proceeding in an ACT court or before any entity authorised by a territory law, or by consent of parties, to hear, receive and </w:t>
      </w:r>
      <w:r w:rsidR="00337405" w:rsidRPr="00395778">
        <w:t>examine evidence—</w:t>
      </w:r>
    </w:p>
    <w:p w:rsidR="00F8610E" w:rsidRPr="00A060B6" w:rsidRDefault="00F8610E" w:rsidP="00486F06">
      <w:pPr>
        <w:pStyle w:val="Apara"/>
      </w:pPr>
      <w:r w:rsidRPr="00A060B6">
        <w:tab/>
        <w:t>(a)</w:t>
      </w:r>
      <w:r w:rsidRPr="00A060B6">
        <w:tab/>
        <w:t>evidence given by a person in relation to which a certificate under this section has been given; and</w:t>
      </w:r>
    </w:p>
    <w:p w:rsidR="00F8610E" w:rsidRPr="00A060B6" w:rsidRDefault="00F8610E" w:rsidP="00486F06">
      <w:pPr>
        <w:pStyle w:val="Apara"/>
      </w:pPr>
      <w:r w:rsidRPr="00A060B6">
        <w:tab/>
        <w:t>(b)</w:t>
      </w:r>
      <w:r w:rsidRPr="00A060B6">
        <w:tab/>
      </w:r>
      <w:r w:rsidR="00282E41">
        <w:t xml:space="preserve">evidence of </w:t>
      </w:r>
      <w:r w:rsidRPr="00A060B6">
        <w:t>any information, document or thing obtained as a direct or indirect consequence of the person having given evidence;</w:t>
      </w:r>
    </w:p>
    <w:p w:rsidR="00F8610E" w:rsidRPr="00A060B6" w:rsidRDefault="00F8610E" w:rsidP="00C23C3D">
      <w:pPr>
        <w:pStyle w:val="Amainreturn"/>
        <w:keepNext/>
      </w:pPr>
      <w:r w:rsidRPr="00A060B6">
        <w:t xml:space="preserve">cannot be used against the person. </w:t>
      </w:r>
    </w:p>
    <w:p w:rsidR="00F8610E" w:rsidRPr="00A060B6" w:rsidRDefault="00F8610E" w:rsidP="004A6605">
      <w:pPr>
        <w:pStyle w:val="aNote"/>
      </w:pPr>
      <w:r w:rsidRPr="005D1BC5">
        <w:rPr>
          <w:rStyle w:val="charItals"/>
        </w:rPr>
        <w:t>Note</w:t>
      </w:r>
      <w:r w:rsidRPr="005D1BC5">
        <w:rPr>
          <w:rStyle w:val="charItals"/>
        </w:rPr>
        <w:tab/>
      </w:r>
      <w:r w:rsidRPr="00A060B6">
        <w:t xml:space="preserve">This subsection differs from the </w:t>
      </w:r>
      <w:hyperlink r:id="rId103" w:tooltip="Evidence Act 1995" w:history="1">
        <w:r w:rsidR="001D1BCB" w:rsidRPr="001D1BCB">
          <w:rPr>
            <w:rStyle w:val="charCitHyperlinkAbbrev"/>
          </w:rPr>
          <w:t>Commonwealth Act</w:t>
        </w:r>
      </w:hyperlink>
      <w:r w:rsidRPr="00A060B6">
        <w:t>, s 128 (7). The Commonwealth provision refers to an ‘Australian court’ instead of an ‘ACT court’.</w:t>
      </w:r>
    </w:p>
    <w:p w:rsidR="00F8610E" w:rsidRPr="00A060B6" w:rsidRDefault="00F8610E" w:rsidP="00486F06">
      <w:pPr>
        <w:pStyle w:val="Amain"/>
      </w:pPr>
      <w:r w:rsidRPr="00A060B6">
        <w:tab/>
        <w:t>(8)</w:t>
      </w:r>
      <w:r w:rsidRPr="00A060B6">
        <w:tab/>
        <w:t>However, subsection (7) does not apply to a criminal proceeding in relation to the falsity of the evidence.</w:t>
      </w:r>
    </w:p>
    <w:p w:rsidR="00F8610E" w:rsidRPr="00A060B6" w:rsidRDefault="00F8610E" w:rsidP="00486F06">
      <w:pPr>
        <w:pStyle w:val="Amain"/>
      </w:pPr>
      <w:r w:rsidRPr="00A060B6">
        <w:tab/>
        <w:t>(9)</w:t>
      </w:r>
      <w:r w:rsidRPr="00A060B6">
        <w:tab/>
        <w:t>Subsection (7) has effect despite any challenge, review, quashing or calling into question on any ground of the decision to give, or the validity of, the certificate.</w:t>
      </w:r>
    </w:p>
    <w:p w:rsidR="00F8610E" w:rsidRPr="00A060B6" w:rsidRDefault="00F8610E" w:rsidP="00F2594C">
      <w:pPr>
        <w:pStyle w:val="Amain"/>
        <w:keepNext/>
        <w:keepLines/>
      </w:pPr>
      <w:r w:rsidRPr="00A060B6">
        <w:tab/>
        <w:t>(10)</w:t>
      </w:r>
      <w:r w:rsidRPr="00A060B6">
        <w:tab/>
        <w:t>If a defendant in a criminal proceeding for an offence is given a certificate under this section, subsection (7) does not apply in a proceeding that is a retrial of the defendant for the same offence or a trial of the defendant for an offence arising out of the same facts that gave rise to that offence.</w:t>
      </w:r>
    </w:p>
    <w:p w:rsidR="00F8610E" w:rsidRPr="00A060B6" w:rsidRDefault="00F8610E" w:rsidP="00486F06">
      <w:pPr>
        <w:pStyle w:val="Amain"/>
      </w:pPr>
      <w:r w:rsidRPr="00A060B6">
        <w:tab/>
        <w:t>(11)</w:t>
      </w:r>
      <w:r w:rsidRPr="00A060B6">
        <w:tab/>
        <w:t>In a criminal proceeding, this section does not apply in relation to the giving of evidence by a defendant, if the evidence is the defendant—</w:t>
      </w:r>
    </w:p>
    <w:p w:rsidR="00F8610E" w:rsidRPr="00A060B6" w:rsidRDefault="00F8610E" w:rsidP="00486F06">
      <w:pPr>
        <w:pStyle w:val="Apara"/>
      </w:pPr>
      <w:r w:rsidRPr="00A060B6">
        <w:tab/>
        <w:t>(a)</w:t>
      </w:r>
      <w:r w:rsidRPr="00A060B6">
        <w:tab/>
        <w:t>did an act the doing of which is a fact in issue; or</w:t>
      </w:r>
    </w:p>
    <w:p w:rsidR="00F8610E" w:rsidRPr="00A060B6" w:rsidRDefault="00F8610E" w:rsidP="00486F06">
      <w:pPr>
        <w:pStyle w:val="Apara"/>
      </w:pPr>
      <w:r w:rsidRPr="00A060B6">
        <w:tab/>
        <w:t>(b)</w:t>
      </w:r>
      <w:r w:rsidRPr="00A060B6">
        <w:tab/>
        <w:t>had a state of mind the existence of which is a fact in issue.</w:t>
      </w:r>
    </w:p>
    <w:p w:rsidR="00F8610E" w:rsidRPr="00A060B6" w:rsidRDefault="00F8610E" w:rsidP="00CD0BBF">
      <w:pPr>
        <w:pStyle w:val="Amain"/>
      </w:pPr>
      <w:r w:rsidRPr="00A060B6">
        <w:tab/>
        <w:t>(12)</w:t>
      </w:r>
      <w:r w:rsidRPr="00A060B6">
        <w:tab/>
        <w:t>A reference in this section to doing an act includes a reference to failing to act.</w:t>
      </w:r>
    </w:p>
    <w:p w:rsidR="00282E41" w:rsidRPr="00F1390F" w:rsidRDefault="00282E41" w:rsidP="00CD0BBF">
      <w:pPr>
        <w:pStyle w:val="Amain"/>
        <w:keepLines/>
      </w:pPr>
      <w:r w:rsidRPr="00F1390F">
        <w:lastRenderedPageBreak/>
        <w:tab/>
        <w:t>(13)</w:t>
      </w:r>
      <w:r w:rsidRPr="00F1390F">
        <w:tab/>
        <w:t>If a person has been given a certificate under a prescribed State or Territory provision in relation to evidence given by a person in a proceeding in a State or Territory court, the certificate has the same effect, in a proceeding to which this subsection applies, as if it had been given under this section.</w:t>
      </w:r>
    </w:p>
    <w:p w:rsidR="00282E41" w:rsidRPr="00F1390F" w:rsidRDefault="00282E41" w:rsidP="00282E41">
      <w:pPr>
        <w:pStyle w:val="Amain"/>
      </w:pPr>
      <w:r w:rsidRPr="00F1390F">
        <w:tab/>
        <w:t>(14)</w:t>
      </w:r>
      <w:r w:rsidRPr="00F1390F">
        <w:tab/>
        <w:t xml:space="preserve">For subsection (13), a </w:t>
      </w:r>
      <w:r w:rsidRPr="00AF17FE">
        <w:rPr>
          <w:rStyle w:val="charBoldItals"/>
        </w:rPr>
        <w:t>prescribed State or Territory provision</w:t>
      </w:r>
      <w:r w:rsidRPr="00F1390F">
        <w:t xml:space="preserve"> is a provision of a State or Territory law declared by regulation to be a prescribed State or Territory provision for that subsection.</w:t>
      </w:r>
    </w:p>
    <w:p w:rsidR="00282E41" w:rsidRPr="00F1390F" w:rsidRDefault="00282E41" w:rsidP="00532E65">
      <w:pPr>
        <w:pStyle w:val="Amain"/>
        <w:keepNext/>
      </w:pPr>
      <w:r w:rsidRPr="00F1390F">
        <w:tab/>
        <w:t>(15)</w:t>
      </w:r>
      <w:r w:rsidRPr="00F1390F">
        <w:tab/>
        <w:t>Subsection (13) applies to a proceeding in relation to which this Act applies because of section 4, other than a proceeding for an offence against a Commonwealth law or for the recovery of a civil penalty under a Commonwealth law.</w:t>
      </w:r>
    </w:p>
    <w:p w:rsidR="00282E41" w:rsidRPr="00F1390F" w:rsidRDefault="00282E41" w:rsidP="00282E41">
      <w:pPr>
        <w:pStyle w:val="aNote"/>
      </w:pPr>
      <w:r w:rsidRPr="00AF17FE">
        <w:rPr>
          <w:rStyle w:val="charItals"/>
        </w:rPr>
        <w:t>Note</w:t>
      </w:r>
      <w:r w:rsidR="008D020E" w:rsidRPr="00AF17FE">
        <w:rPr>
          <w:rStyle w:val="charItals"/>
        </w:rPr>
        <w:t xml:space="preserve"> 1</w:t>
      </w:r>
      <w:r w:rsidRPr="00AF17FE">
        <w:rPr>
          <w:rStyle w:val="charItals"/>
        </w:rPr>
        <w:tab/>
      </w:r>
      <w:r w:rsidRPr="00F1390F">
        <w:t xml:space="preserve">The </w:t>
      </w:r>
      <w:hyperlink r:id="rId104" w:tooltip="Evidence Act 1995" w:history="1">
        <w:r w:rsidR="001D1BCB" w:rsidRPr="001D1BCB">
          <w:rPr>
            <w:rStyle w:val="charCitHyperlinkAbbrev"/>
          </w:rPr>
          <w:t>Commonwealth Act</w:t>
        </w:r>
      </w:hyperlink>
      <w:r w:rsidRPr="00F1390F">
        <w:t>, s 128 (12) to (14) gives effect to certificates in relation to self-incriminating evidence under this Act in proceedings in federal courts and in prosecutions for Commonwealth offences.</w:t>
      </w:r>
    </w:p>
    <w:p w:rsidR="00F8610E" w:rsidRPr="00A060B6" w:rsidRDefault="00F8610E" w:rsidP="00C23C3D">
      <w:pPr>
        <w:pStyle w:val="aNote"/>
        <w:keepNext/>
      </w:pPr>
      <w:r w:rsidRPr="005D1BC5">
        <w:rPr>
          <w:rStyle w:val="charItals"/>
        </w:rPr>
        <w:t xml:space="preserve">Note </w:t>
      </w:r>
      <w:r w:rsidR="008D020E">
        <w:rPr>
          <w:rStyle w:val="charItals"/>
        </w:rPr>
        <w:t>2</w:t>
      </w:r>
      <w:r w:rsidRPr="00A060B6">
        <w:tab/>
        <w:t>Bodies corporate cannot claim this privilege—see s 187.</w:t>
      </w:r>
    </w:p>
    <w:p w:rsidR="00F8610E" w:rsidRPr="00A060B6" w:rsidRDefault="00F8610E" w:rsidP="00C23C3D">
      <w:pPr>
        <w:pStyle w:val="aNote"/>
        <w:keepNext/>
      </w:pPr>
      <w:r w:rsidRPr="005D1BC5">
        <w:rPr>
          <w:rStyle w:val="charItals"/>
        </w:rPr>
        <w:t xml:space="preserve">Note </w:t>
      </w:r>
      <w:r w:rsidR="008D020E">
        <w:rPr>
          <w:rStyle w:val="charItals"/>
        </w:rPr>
        <w:t>3</w:t>
      </w:r>
      <w:r w:rsidRPr="00A060B6">
        <w:tab/>
        <w:t>The dictionary, pt 2, s 3 sets out what is a civil penalty.</w:t>
      </w:r>
    </w:p>
    <w:p w:rsidR="00F8610E" w:rsidRPr="00A060B6" w:rsidRDefault="008D020E" w:rsidP="00C23C3D">
      <w:pPr>
        <w:pStyle w:val="aNote"/>
        <w:keepNext/>
      </w:pPr>
      <w:r>
        <w:rPr>
          <w:rStyle w:val="charItals"/>
        </w:rPr>
        <w:t>Note 4</w:t>
      </w:r>
      <w:r w:rsidR="00F8610E" w:rsidRPr="005D1BC5">
        <w:rPr>
          <w:rStyle w:val="charItals"/>
        </w:rPr>
        <w:tab/>
      </w:r>
      <w:r w:rsidR="00F8610E" w:rsidRPr="00A060B6">
        <w:t xml:space="preserve">The </w:t>
      </w:r>
      <w:hyperlink r:id="rId105" w:tooltip="Evidence Act 1995" w:history="1">
        <w:r w:rsidR="001D1BCB" w:rsidRPr="001D1BCB">
          <w:rPr>
            <w:rStyle w:val="charCitHyperlinkAbbrev"/>
          </w:rPr>
          <w:t>Commonwealth Act</w:t>
        </w:r>
      </w:hyperlink>
      <w:r w:rsidR="00F8610E" w:rsidRPr="00A060B6">
        <w:t>, s 128 (12) to (14) gives effect to certificates in relation to self-incriminating evidence under this Act in proceedings in federal courts and in prosecutions for Commonwealth offences.</w:t>
      </w:r>
    </w:p>
    <w:p w:rsidR="00F8610E" w:rsidRPr="00A060B6" w:rsidRDefault="008D020E" w:rsidP="003F4DCC">
      <w:pPr>
        <w:pStyle w:val="aNote"/>
      </w:pPr>
      <w:r>
        <w:rPr>
          <w:rStyle w:val="charItals"/>
        </w:rPr>
        <w:t>Note 5</w:t>
      </w:r>
      <w:r w:rsidR="00F8610E" w:rsidRPr="005D1BC5">
        <w:rPr>
          <w:rStyle w:val="charItals"/>
        </w:rPr>
        <w:tab/>
      </w:r>
      <w:r w:rsidR="00F8610E" w:rsidRPr="00A060B6">
        <w:t xml:space="preserve">Subsections (9) and (10) were inserted as a response to the decision of the High Court in </w:t>
      </w:r>
      <w:r w:rsidR="00F8610E" w:rsidRPr="005D1BC5">
        <w:rPr>
          <w:rStyle w:val="charItals"/>
        </w:rPr>
        <w:t>Cornwell v The Queen</w:t>
      </w:r>
      <w:r w:rsidR="00F8610E" w:rsidRPr="00A060B6">
        <w:t xml:space="preserve"> [2007] HCA 12 (22 March 2007).</w:t>
      </w:r>
    </w:p>
    <w:p w:rsidR="00F8610E" w:rsidRPr="00A060B6" w:rsidRDefault="00F8610E" w:rsidP="00CD0BBF">
      <w:pPr>
        <w:pStyle w:val="AH5Sec"/>
        <w:keepLines/>
        <w:rPr>
          <w:lang w:eastAsia="en-AU"/>
        </w:rPr>
      </w:pPr>
      <w:bookmarkStart w:id="186" w:name="_Toc11748541"/>
      <w:r w:rsidRPr="003925E1">
        <w:rPr>
          <w:rStyle w:val="CharSectNo"/>
        </w:rPr>
        <w:lastRenderedPageBreak/>
        <w:t>128A</w:t>
      </w:r>
      <w:r w:rsidRPr="00A060B6">
        <w:rPr>
          <w:lang w:eastAsia="en-AU"/>
        </w:rPr>
        <w:tab/>
        <w:t>Privilege in relation to self</w:t>
      </w:r>
      <w:r w:rsidR="001C511B">
        <w:rPr>
          <w:lang w:eastAsia="en-AU"/>
        </w:rPr>
        <w:t>-</w:t>
      </w:r>
      <w:r w:rsidRPr="00A060B6">
        <w:rPr>
          <w:lang w:eastAsia="en-AU"/>
        </w:rPr>
        <w:t>incrimination—exception for certain orders etc</w:t>
      </w:r>
      <w:bookmarkEnd w:id="186"/>
    </w:p>
    <w:p w:rsidR="00F8610E" w:rsidRPr="00A060B6" w:rsidRDefault="00F8610E" w:rsidP="00CD0BBF">
      <w:pPr>
        <w:pStyle w:val="Amain"/>
        <w:keepNext/>
        <w:keepLines/>
        <w:rPr>
          <w:lang w:eastAsia="en-AU"/>
        </w:rPr>
      </w:pPr>
      <w:r w:rsidRPr="00A060B6">
        <w:rPr>
          <w:lang w:eastAsia="en-AU"/>
        </w:rPr>
        <w:tab/>
        <w:t>(1)</w:t>
      </w:r>
      <w:r w:rsidRPr="00A060B6">
        <w:rPr>
          <w:lang w:eastAsia="en-AU"/>
        </w:rPr>
        <w:tab/>
        <w:t xml:space="preserve">In this section: </w:t>
      </w:r>
    </w:p>
    <w:p w:rsidR="00F8610E" w:rsidRPr="00A060B6" w:rsidRDefault="00F8610E" w:rsidP="00CD0BBF">
      <w:pPr>
        <w:pStyle w:val="aDef"/>
        <w:keepNext/>
        <w:keepLines/>
        <w:rPr>
          <w:lang w:eastAsia="en-AU"/>
        </w:rPr>
      </w:pPr>
      <w:r w:rsidRPr="005D1BC5">
        <w:rPr>
          <w:rStyle w:val="charBoldItals"/>
        </w:rPr>
        <w:t>disclosure order</w:t>
      </w:r>
      <w:r w:rsidRPr="00A060B6">
        <w:rPr>
          <w:lang w:eastAsia="en-AU"/>
        </w:rPr>
        <w:t xml:space="preserve"> means an order made by an ACT court in a civil proceeding requiring a person to disclose information as part of, or in connection with, a freezing, search or other order under the </w:t>
      </w:r>
      <w:hyperlink r:id="rId106" w:tooltip="SL2006-29" w:history="1">
        <w:r w:rsidR="00AF17FE" w:rsidRPr="00AF17FE">
          <w:rPr>
            <w:rStyle w:val="charCitHyperlinkItal"/>
          </w:rPr>
          <w:t>Court Procedures Rules 2006</w:t>
        </w:r>
      </w:hyperlink>
      <w:r w:rsidRPr="00A060B6">
        <w:rPr>
          <w:lang w:eastAsia="en-AU"/>
        </w:rPr>
        <w:t xml:space="preserve">, division 2.9.4 but does not include an order made by a court under the </w:t>
      </w:r>
      <w:hyperlink r:id="rId107" w:tooltip="Act 2002 No 85 (Cwlth)" w:history="1">
        <w:r w:rsidR="00612504" w:rsidRPr="00612504">
          <w:rPr>
            <w:rStyle w:val="charCitHyperlinkItal"/>
          </w:rPr>
          <w:t>Proceeds of Crime Act 2002</w:t>
        </w:r>
      </w:hyperlink>
      <w:r w:rsidRPr="00A060B6">
        <w:rPr>
          <w:lang w:eastAsia="en-AU"/>
        </w:rPr>
        <w:t xml:space="preserve"> (Cwlth) or the </w:t>
      </w:r>
      <w:hyperlink r:id="rId108" w:tooltip="A2003-8" w:history="1">
        <w:r w:rsidR="00AF17FE" w:rsidRPr="00AF17FE">
          <w:rPr>
            <w:rStyle w:val="charCitHyperlinkItal"/>
          </w:rPr>
          <w:t>Confiscation of Criminal Assets Act 2003</w:t>
        </w:r>
      </w:hyperlink>
      <w:r w:rsidRPr="00A060B6">
        <w:rPr>
          <w:lang w:eastAsia="en-AU"/>
        </w:rPr>
        <w:t>.</w:t>
      </w:r>
    </w:p>
    <w:p w:rsidR="00F8610E" w:rsidRPr="00A060B6" w:rsidRDefault="00F8610E" w:rsidP="005D1BC5">
      <w:pPr>
        <w:pStyle w:val="aDef"/>
        <w:rPr>
          <w:lang w:eastAsia="en-AU"/>
        </w:rPr>
      </w:pPr>
      <w:r w:rsidRPr="005D1BC5">
        <w:rPr>
          <w:rStyle w:val="charBoldItals"/>
        </w:rPr>
        <w:t>relevant person</w:t>
      </w:r>
      <w:r w:rsidRPr="00A060B6">
        <w:rPr>
          <w:lang w:eastAsia="en-AU"/>
        </w:rPr>
        <w:t xml:space="preserve"> means a person to whom a disclosure order is directed.</w:t>
      </w:r>
    </w:p>
    <w:p w:rsidR="00F8610E" w:rsidRPr="00A060B6" w:rsidRDefault="00F8610E" w:rsidP="00486F06">
      <w:pPr>
        <w:pStyle w:val="Amain"/>
        <w:rPr>
          <w:lang w:eastAsia="en-AU"/>
        </w:rPr>
      </w:pPr>
      <w:r w:rsidRPr="00A060B6">
        <w:rPr>
          <w:lang w:eastAsia="en-AU"/>
        </w:rPr>
        <w:tab/>
        <w:t>(2)</w:t>
      </w:r>
      <w:r w:rsidRPr="00A060B6">
        <w:rPr>
          <w:lang w:eastAsia="en-AU"/>
        </w:rPr>
        <w:tab/>
        <w:t xml:space="preserve">If a relevant person objects to complying with a disclosure order on the grounds that some or all of the information required to be disclosed may tend to prove that the person— </w:t>
      </w:r>
    </w:p>
    <w:p w:rsidR="00F8610E" w:rsidRPr="00A060B6" w:rsidRDefault="00F8610E" w:rsidP="00486F06">
      <w:pPr>
        <w:pStyle w:val="Apara"/>
        <w:rPr>
          <w:lang w:eastAsia="en-AU"/>
        </w:rPr>
      </w:pPr>
      <w:r w:rsidRPr="00A060B6">
        <w:rPr>
          <w:lang w:eastAsia="en-AU"/>
        </w:rPr>
        <w:tab/>
        <w:t>(a)</w:t>
      </w:r>
      <w:r w:rsidRPr="00A060B6">
        <w:rPr>
          <w:lang w:eastAsia="en-AU"/>
        </w:rPr>
        <w:tab/>
        <w:t>has committed an offence against or arising under an Australian law or a law of a foreign country; or</w:t>
      </w:r>
    </w:p>
    <w:p w:rsidR="00F8610E" w:rsidRPr="00A060B6" w:rsidRDefault="00F8610E" w:rsidP="00486F06">
      <w:pPr>
        <w:pStyle w:val="Apara"/>
        <w:rPr>
          <w:lang w:eastAsia="en-AU"/>
        </w:rPr>
      </w:pPr>
      <w:r w:rsidRPr="00A060B6">
        <w:rPr>
          <w:lang w:eastAsia="en-AU"/>
        </w:rPr>
        <w:tab/>
        <w:t>(b)</w:t>
      </w:r>
      <w:r w:rsidRPr="00A060B6">
        <w:rPr>
          <w:lang w:eastAsia="en-AU"/>
        </w:rPr>
        <w:tab/>
        <w:t>is liable to a civil penalty;</w:t>
      </w:r>
    </w:p>
    <w:p w:rsidR="00F8610E" w:rsidRPr="00A060B6" w:rsidRDefault="00F8610E" w:rsidP="00981851">
      <w:pPr>
        <w:pStyle w:val="Amainreturn"/>
        <w:rPr>
          <w:lang w:eastAsia="en-AU"/>
        </w:rPr>
      </w:pPr>
      <w:r w:rsidRPr="00A060B6">
        <w:rPr>
          <w:lang w:eastAsia="en-AU"/>
        </w:rPr>
        <w:t xml:space="preserve">the person must— </w:t>
      </w:r>
    </w:p>
    <w:p w:rsidR="00F8610E" w:rsidRPr="00A060B6" w:rsidRDefault="00F8610E" w:rsidP="00486F06">
      <w:pPr>
        <w:pStyle w:val="Apara"/>
        <w:rPr>
          <w:lang w:eastAsia="en-AU"/>
        </w:rPr>
      </w:pPr>
      <w:r w:rsidRPr="00A060B6">
        <w:rPr>
          <w:lang w:eastAsia="en-AU"/>
        </w:rPr>
        <w:tab/>
        <w:t>(c)</w:t>
      </w:r>
      <w:r w:rsidRPr="00A060B6">
        <w:rPr>
          <w:lang w:eastAsia="en-AU"/>
        </w:rPr>
        <w:tab/>
        <w:t>disclose the information in relation to which no objection is taken; and</w:t>
      </w:r>
    </w:p>
    <w:p w:rsidR="00F8610E" w:rsidRPr="00A060B6" w:rsidRDefault="00F8610E" w:rsidP="00486F06">
      <w:pPr>
        <w:pStyle w:val="Apara"/>
        <w:rPr>
          <w:lang w:eastAsia="en-AU"/>
        </w:rPr>
      </w:pPr>
      <w:r w:rsidRPr="00A060B6">
        <w:rPr>
          <w:lang w:eastAsia="en-AU"/>
        </w:rPr>
        <w:tab/>
        <w:t>(d)</w:t>
      </w:r>
      <w:r w:rsidRPr="00A060B6">
        <w:rPr>
          <w:lang w:eastAsia="en-AU"/>
        </w:rPr>
        <w:tab/>
        <w:t xml:space="preserve">prepare an affidavit containing the information in relation to which objection is taken (the </w:t>
      </w:r>
      <w:r w:rsidRPr="005D1BC5">
        <w:rPr>
          <w:rStyle w:val="charBoldItals"/>
        </w:rPr>
        <w:t>privilege affidavit</w:t>
      </w:r>
      <w:r w:rsidRPr="00A060B6">
        <w:rPr>
          <w:lang w:eastAsia="en-AU"/>
        </w:rPr>
        <w:t>) and deliver it to the court in a sealed envelope; and</w:t>
      </w:r>
    </w:p>
    <w:p w:rsidR="00F8610E" w:rsidRPr="00A060B6" w:rsidRDefault="00F8610E" w:rsidP="00486F06">
      <w:pPr>
        <w:pStyle w:val="Apara"/>
        <w:rPr>
          <w:lang w:eastAsia="en-AU"/>
        </w:rPr>
      </w:pPr>
      <w:r w:rsidRPr="00A060B6">
        <w:rPr>
          <w:lang w:eastAsia="en-AU"/>
        </w:rPr>
        <w:tab/>
        <w:t>(e)</w:t>
      </w:r>
      <w:r w:rsidRPr="00A060B6">
        <w:rPr>
          <w:lang w:eastAsia="en-AU"/>
        </w:rPr>
        <w:tab/>
        <w:t>file and serve on each other party a separate affidavit setting out the basis of the objection.</w:t>
      </w:r>
    </w:p>
    <w:p w:rsidR="00F8610E" w:rsidRPr="00A060B6" w:rsidRDefault="00F8610E" w:rsidP="00486F06">
      <w:pPr>
        <w:pStyle w:val="Amain"/>
        <w:rPr>
          <w:lang w:eastAsia="en-AU"/>
        </w:rPr>
      </w:pPr>
      <w:r w:rsidRPr="00A060B6">
        <w:rPr>
          <w:lang w:eastAsia="en-AU"/>
        </w:rPr>
        <w:tab/>
        <w:t>(3)</w:t>
      </w:r>
      <w:r w:rsidRPr="00A060B6">
        <w:rPr>
          <w:lang w:eastAsia="en-AU"/>
        </w:rPr>
        <w:tab/>
        <w:t>The sealed envelope containing the privilege affidavit must not be opened except as directed by the court.</w:t>
      </w:r>
    </w:p>
    <w:p w:rsidR="00F8610E" w:rsidRPr="00A060B6" w:rsidRDefault="00F8610E" w:rsidP="00486F06">
      <w:pPr>
        <w:pStyle w:val="Amain"/>
        <w:rPr>
          <w:lang w:eastAsia="en-AU"/>
        </w:rPr>
      </w:pPr>
      <w:r w:rsidRPr="00A060B6">
        <w:rPr>
          <w:lang w:eastAsia="en-AU"/>
        </w:rPr>
        <w:tab/>
        <w:t>(4)</w:t>
      </w:r>
      <w:r w:rsidRPr="00A060B6">
        <w:rPr>
          <w:lang w:eastAsia="en-AU"/>
        </w:rPr>
        <w:tab/>
        <w:t>The court must decide whether or not there are reasonable grounds for the objection.</w:t>
      </w:r>
    </w:p>
    <w:p w:rsidR="00F8610E" w:rsidRPr="00A060B6" w:rsidRDefault="00F8610E" w:rsidP="00486F06">
      <w:pPr>
        <w:pStyle w:val="Amain"/>
        <w:rPr>
          <w:lang w:eastAsia="en-AU"/>
        </w:rPr>
      </w:pPr>
      <w:r w:rsidRPr="00A060B6">
        <w:rPr>
          <w:lang w:eastAsia="en-AU"/>
        </w:rPr>
        <w:lastRenderedPageBreak/>
        <w:tab/>
        <w:t>(5)</w:t>
      </w:r>
      <w:r w:rsidRPr="00A060B6">
        <w:rPr>
          <w:lang w:eastAsia="en-AU"/>
        </w:rPr>
        <w:tab/>
        <w:t>Subject to subsection (6), if the court finds that there are reasonable grounds for the objection, the court must not require the information contained in the privilege affidavit to be disclosed and must return it to the relevant person.</w:t>
      </w:r>
    </w:p>
    <w:p w:rsidR="00F8610E" w:rsidRPr="00A060B6" w:rsidRDefault="00F8610E" w:rsidP="00CD0BBF">
      <w:pPr>
        <w:pStyle w:val="Amain"/>
        <w:keepNext/>
        <w:keepLines/>
        <w:rPr>
          <w:lang w:eastAsia="en-AU"/>
        </w:rPr>
      </w:pPr>
      <w:r w:rsidRPr="00A060B6">
        <w:rPr>
          <w:lang w:eastAsia="en-AU"/>
        </w:rPr>
        <w:tab/>
        <w:t>(6)</w:t>
      </w:r>
      <w:r w:rsidRPr="00A060B6">
        <w:rPr>
          <w:lang w:eastAsia="en-AU"/>
        </w:rPr>
        <w:tab/>
        <w:t xml:space="preserve">If the court is satisfied that— </w:t>
      </w:r>
    </w:p>
    <w:p w:rsidR="00F8610E" w:rsidRPr="00A060B6" w:rsidRDefault="00F8610E" w:rsidP="00CD0BBF">
      <w:pPr>
        <w:pStyle w:val="Apara"/>
        <w:keepNext/>
        <w:keepLines/>
        <w:rPr>
          <w:lang w:eastAsia="en-AU"/>
        </w:rPr>
      </w:pPr>
      <w:r w:rsidRPr="00A060B6">
        <w:rPr>
          <w:lang w:eastAsia="en-AU"/>
        </w:rPr>
        <w:tab/>
        <w:t>(a)</w:t>
      </w:r>
      <w:r w:rsidRPr="00A060B6">
        <w:rPr>
          <w:lang w:eastAsia="en-AU"/>
        </w:rPr>
        <w:tab/>
        <w:t>any information disclosed in the privilege affidavit may tend to prove that the relevant person has committed an offence against or arising under, or is liable to a civil penalty under, an Australian law; and</w:t>
      </w:r>
    </w:p>
    <w:p w:rsidR="00F8610E" w:rsidRPr="00A060B6" w:rsidRDefault="00F8610E" w:rsidP="00486F06">
      <w:pPr>
        <w:pStyle w:val="Apara"/>
        <w:rPr>
          <w:lang w:eastAsia="en-AU"/>
        </w:rPr>
      </w:pPr>
      <w:r w:rsidRPr="00A060B6">
        <w:rPr>
          <w:lang w:eastAsia="en-AU"/>
        </w:rPr>
        <w:tab/>
        <w:t>(b)</w:t>
      </w:r>
      <w:r w:rsidRPr="00A060B6">
        <w:rPr>
          <w:lang w:eastAsia="en-AU"/>
        </w:rPr>
        <w:tab/>
        <w:t>the information does not tend to prove that the relevant person has committed an offence against or arising under, or is liable to a civil penalty under, a law of a foreign country; and</w:t>
      </w:r>
    </w:p>
    <w:p w:rsidR="00F8610E" w:rsidRPr="00A060B6" w:rsidRDefault="00F8610E" w:rsidP="00486F06">
      <w:pPr>
        <w:pStyle w:val="Apara"/>
        <w:rPr>
          <w:lang w:eastAsia="en-AU"/>
        </w:rPr>
      </w:pPr>
      <w:r w:rsidRPr="00A060B6">
        <w:rPr>
          <w:lang w:eastAsia="en-AU"/>
        </w:rPr>
        <w:tab/>
        <w:t>(c)</w:t>
      </w:r>
      <w:r w:rsidRPr="00A060B6">
        <w:rPr>
          <w:lang w:eastAsia="en-AU"/>
        </w:rPr>
        <w:tab/>
        <w:t>the interests of justice require the information to be disclosed;</w:t>
      </w:r>
    </w:p>
    <w:p w:rsidR="00F8610E" w:rsidRPr="00A060B6" w:rsidRDefault="00F8610E" w:rsidP="001934FF">
      <w:pPr>
        <w:pStyle w:val="Amainreturn"/>
        <w:rPr>
          <w:lang w:eastAsia="en-AU"/>
        </w:rPr>
      </w:pPr>
      <w:r w:rsidRPr="00A060B6">
        <w:rPr>
          <w:lang w:eastAsia="en-AU"/>
        </w:rPr>
        <w:t>the court may make an order requiring all or any part of the privilege affidavit containing information mentioned in paragraph (a) to be filed and served on the parties.</w:t>
      </w:r>
    </w:p>
    <w:p w:rsidR="00F8610E" w:rsidRPr="00A060B6" w:rsidRDefault="00F8610E" w:rsidP="00486F06">
      <w:pPr>
        <w:pStyle w:val="Amain"/>
        <w:rPr>
          <w:lang w:eastAsia="en-AU"/>
        </w:rPr>
      </w:pPr>
      <w:r w:rsidRPr="00A060B6">
        <w:rPr>
          <w:lang w:eastAsia="en-AU"/>
        </w:rPr>
        <w:tab/>
        <w:t>(7)</w:t>
      </w:r>
      <w:r w:rsidRPr="00A060B6">
        <w:rPr>
          <w:lang w:eastAsia="en-AU"/>
        </w:rPr>
        <w:tab/>
        <w:t>If all or any part of the privilege affidavit is disclosed (including by order under subsection (6)), the court must give the relevant person a certificate in relation to the informat</w:t>
      </w:r>
      <w:r w:rsidR="0061678D">
        <w:rPr>
          <w:lang w:eastAsia="en-AU"/>
        </w:rPr>
        <w:t>ion mentioned in subsection (6) </w:t>
      </w:r>
      <w:r w:rsidRPr="00A060B6">
        <w:rPr>
          <w:lang w:eastAsia="en-AU"/>
        </w:rPr>
        <w:t>(a).</w:t>
      </w:r>
    </w:p>
    <w:p w:rsidR="00F8610E" w:rsidRPr="00A060B6" w:rsidRDefault="00F8610E" w:rsidP="00486F06">
      <w:pPr>
        <w:pStyle w:val="Amain"/>
        <w:rPr>
          <w:lang w:eastAsia="en-AU"/>
        </w:rPr>
      </w:pPr>
      <w:r w:rsidRPr="00A060B6">
        <w:rPr>
          <w:lang w:eastAsia="en-AU"/>
        </w:rPr>
        <w:tab/>
        <w:t>(8)</w:t>
      </w:r>
      <w:r w:rsidRPr="00A060B6">
        <w:rPr>
          <w:lang w:eastAsia="en-AU"/>
        </w:rPr>
        <w:tab/>
        <w:t xml:space="preserve">In any proceeding in an ACT court or before any entity authorised by a territory law, or by consent of parties, to hear, receive and examine evidence— </w:t>
      </w:r>
    </w:p>
    <w:p w:rsidR="00F8610E" w:rsidRPr="00A060B6" w:rsidRDefault="00F8610E" w:rsidP="00486F06">
      <w:pPr>
        <w:pStyle w:val="Apara"/>
        <w:rPr>
          <w:lang w:eastAsia="en-AU"/>
        </w:rPr>
      </w:pPr>
      <w:r w:rsidRPr="00A060B6">
        <w:rPr>
          <w:lang w:eastAsia="en-AU"/>
        </w:rPr>
        <w:tab/>
        <w:t>(a)</w:t>
      </w:r>
      <w:r w:rsidRPr="00A060B6">
        <w:rPr>
          <w:lang w:eastAsia="en-AU"/>
        </w:rPr>
        <w:tab/>
        <w:t>evidence of information disclosed by a relevant person in relation to which a certificate has been given under this section; and</w:t>
      </w:r>
    </w:p>
    <w:p w:rsidR="00F8610E" w:rsidRPr="00A060B6" w:rsidRDefault="00F8610E" w:rsidP="00CD0BBF">
      <w:pPr>
        <w:pStyle w:val="Apara"/>
        <w:keepNext/>
        <w:rPr>
          <w:lang w:eastAsia="en-AU"/>
        </w:rPr>
      </w:pPr>
      <w:r w:rsidRPr="00A060B6">
        <w:rPr>
          <w:lang w:eastAsia="en-AU"/>
        </w:rPr>
        <w:lastRenderedPageBreak/>
        <w:tab/>
        <w:t>(b)</w:t>
      </w:r>
      <w:r w:rsidRPr="00A060B6">
        <w:rPr>
          <w:lang w:eastAsia="en-AU"/>
        </w:rPr>
        <w:tab/>
        <w:t>any information, document or thing obtained as a direct result or indirect consequence of the relevant person having disclosed that information;</w:t>
      </w:r>
    </w:p>
    <w:p w:rsidR="00F8610E" w:rsidRPr="00A060B6" w:rsidRDefault="00F8610E" w:rsidP="00C23C3D">
      <w:pPr>
        <w:pStyle w:val="Amainreturn"/>
        <w:keepNext/>
        <w:rPr>
          <w:lang w:eastAsia="en-AU"/>
        </w:rPr>
      </w:pPr>
      <w:r w:rsidRPr="00A060B6">
        <w:rPr>
          <w:lang w:eastAsia="en-AU"/>
        </w:rPr>
        <w:t xml:space="preserve">cannot be used against the person. </w:t>
      </w:r>
    </w:p>
    <w:p w:rsidR="00F8610E" w:rsidRPr="00A060B6" w:rsidRDefault="00F8610E" w:rsidP="009515D3">
      <w:pPr>
        <w:pStyle w:val="aNote"/>
      </w:pPr>
      <w:r w:rsidRPr="005D1BC5">
        <w:rPr>
          <w:rStyle w:val="charItals"/>
        </w:rPr>
        <w:t>Note</w:t>
      </w:r>
      <w:r w:rsidRPr="005D1BC5">
        <w:rPr>
          <w:rStyle w:val="charItals"/>
        </w:rPr>
        <w:tab/>
      </w:r>
      <w:r w:rsidRPr="00A060B6">
        <w:t xml:space="preserve">This subsection differs from the </w:t>
      </w:r>
      <w:hyperlink r:id="rId109" w:tooltip="Evidence Act 1995" w:history="1">
        <w:r w:rsidR="001D1BCB" w:rsidRPr="001D1BCB">
          <w:rPr>
            <w:rStyle w:val="charCitHyperlinkAbbrev"/>
          </w:rPr>
          <w:t>Commonwealth Act</w:t>
        </w:r>
      </w:hyperlink>
      <w:r w:rsidRPr="00A060B6">
        <w:t>, s 128A (8). The Commonwealth provision refers to an ‘Australian court’ instead of an ‘ACT court’.</w:t>
      </w:r>
    </w:p>
    <w:p w:rsidR="00F8610E" w:rsidRPr="00A060B6" w:rsidRDefault="00F8610E" w:rsidP="00486F06">
      <w:pPr>
        <w:pStyle w:val="Amain"/>
        <w:rPr>
          <w:lang w:eastAsia="en-AU"/>
        </w:rPr>
      </w:pPr>
      <w:r w:rsidRPr="00A060B6">
        <w:rPr>
          <w:lang w:eastAsia="en-AU"/>
        </w:rPr>
        <w:tab/>
        <w:t>(9)</w:t>
      </w:r>
      <w:r w:rsidRPr="00A060B6">
        <w:rPr>
          <w:lang w:eastAsia="en-AU"/>
        </w:rPr>
        <w:tab/>
        <w:t>However, subsection (8) does not apply to a criminal proceeding in relation to the falsity of the evidence.</w:t>
      </w:r>
    </w:p>
    <w:p w:rsidR="00F8610E" w:rsidRPr="00A060B6" w:rsidRDefault="00F8610E" w:rsidP="00486F06">
      <w:pPr>
        <w:pStyle w:val="Amain"/>
        <w:rPr>
          <w:lang w:eastAsia="en-AU"/>
        </w:rPr>
      </w:pPr>
      <w:r w:rsidRPr="00A060B6">
        <w:rPr>
          <w:lang w:eastAsia="en-AU"/>
        </w:rPr>
        <w:tab/>
        <w:t>(10)</w:t>
      </w:r>
      <w:r w:rsidRPr="00A060B6">
        <w:rPr>
          <w:lang w:eastAsia="en-AU"/>
        </w:rPr>
        <w:tab/>
        <w:t xml:space="preserve">Subsection (8) does not prevent the use against the relevant person of any information disclosed by a document— </w:t>
      </w:r>
    </w:p>
    <w:p w:rsidR="00F8610E" w:rsidRPr="00A060B6" w:rsidRDefault="00F8610E" w:rsidP="00486F06">
      <w:pPr>
        <w:pStyle w:val="Apara"/>
        <w:rPr>
          <w:lang w:eastAsia="en-AU"/>
        </w:rPr>
      </w:pPr>
      <w:r w:rsidRPr="00A060B6">
        <w:rPr>
          <w:lang w:eastAsia="en-AU"/>
        </w:rPr>
        <w:tab/>
        <w:t>(a)</w:t>
      </w:r>
      <w:r w:rsidRPr="00A060B6">
        <w:rPr>
          <w:lang w:eastAsia="en-AU"/>
        </w:rPr>
        <w:tab/>
        <w:t>that is an annexure or exhibit to a privilege affidavit prepared by the person in response to a disclosure order; and</w:t>
      </w:r>
    </w:p>
    <w:p w:rsidR="00F8610E" w:rsidRPr="00A060B6" w:rsidRDefault="00F8610E" w:rsidP="00486F06">
      <w:pPr>
        <w:pStyle w:val="Apara"/>
        <w:rPr>
          <w:lang w:eastAsia="en-AU"/>
        </w:rPr>
      </w:pPr>
      <w:r w:rsidRPr="00A060B6">
        <w:rPr>
          <w:lang w:eastAsia="en-AU"/>
        </w:rPr>
        <w:tab/>
        <w:t>(b)</w:t>
      </w:r>
      <w:r w:rsidRPr="00A060B6">
        <w:rPr>
          <w:lang w:eastAsia="en-AU"/>
        </w:rPr>
        <w:tab/>
        <w:t>that was in existence before the order was made.</w:t>
      </w:r>
    </w:p>
    <w:p w:rsidR="00F8610E" w:rsidRPr="00A060B6" w:rsidRDefault="00F8610E" w:rsidP="00486F06">
      <w:pPr>
        <w:pStyle w:val="Amain"/>
        <w:rPr>
          <w:lang w:eastAsia="en-AU"/>
        </w:rPr>
      </w:pPr>
      <w:r w:rsidRPr="00A060B6">
        <w:rPr>
          <w:lang w:eastAsia="en-AU"/>
        </w:rPr>
        <w:tab/>
        <w:t>(11)</w:t>
      </w:r>
      <w:r w:rsidRPr="00A060B6">
        <w:rPr>
          <w:lang w:eastAsia="en-AU"/>
        </w:rPr>
        <w:tab/>
        <w:t>Subsection (8) has effect despite any challenge, review, quashing or calling into question on any ground of the decision to give, or the validity of, the certificate.</w:t>
      </w:r>
    </w:p>
    <w:p w:rsidR="001424EB" w:rsidRPr="00F1390F" w:rsidRDefault="001424EB" w:rsidP="001424EB">
      <w:pPr>
        <w:pStyle w:val="Amain"/>
      </w:pPr>
      <w:r w:rsidRPr="00F1390F">
        <w:tab/>
        <w:t>(12)</w:t>
      </w:r>
      <w:r w:rsidRPr="00F1390F">
        <w:tab/>
        <w:t>If a person has been given a certificate under a prescribed State or Territory provision in relation to info</w:t>
      </w:r>
      <w:r w:rsidR="0061678D">
        <w:t>rmation mentioned in subsection </w:t>
      </w:r>
      <w:r w:rsidRPr="00F1390F">
        <w:t>(6) (a), the certificate has the same effect, in a proceeding to which this subsection applies, as if it had been given under this section.</w:t>
      </w:r>
    </w:p>
    <w:p w:rsidR="001424EB" w:rsidRPr="00F1390F" w:rsidRDefault="001424EB" w:rsidP="00CD0BBF">
      <w:pPr>
        <w:pStyle w:val="Amain"/>
        <w:keepNext/>
        <w:keepLines/>
      </w:pPr>
      <w:r w:rsidRPr="00F1390F">
        <w:lastRenderedPageBreak/>
        <w:tab/>
        <w:t>(13)</w:t>
      </w:r>
      <w:r w:rsidRPr="00F1390F">
        <w:tab/>
        <w:t xml:space="preserve">For subsection (12), a </w:t>
      </w:r>
      <w:r w:rsidRPr="00AF17FE">
        <w:rPr>
          <w:rStyle w:val="charBoldItals"/>
        </w:rPr>
        <w:t>prescribed State or Territory provision</w:t>
      </w:r>
      <w:r w:rsidRPr="00F1390F">
        <w:t xml:space="preserve"> is a provision of a State or Territory law declared by regulation to be a prescribed State or Territory provision for that subsection.</w:t>
      </w:r>
    </w:p>
    <w:p w:rsidR="001424EB" w:rsidRPr="00F1390F" w:rsidRDefault="001424EB" w:rsidP="00CD0BBF">
      <w:pPr>
        <w:pStyle w:val="Amain"/>
        <w:keepNext/>
        <w:keepLines/>
      </w:pPr>
      <w:r w:rsidRPr="00F1390F">
        <w:tab/>
        <w:t>(14)</w:t>
      </w:r>
      <w:r w:rsidRPr="00F1390F">
        <w:tab/>
        <w:t>Subsection (12) applies to a proceeding in relation to which this Act applies because of section 4, other than a proceeding for an offence against a Commonwealth law or for the recovery of a civil penalty under a Commonwealth law.</w:t>
      </w:r>
    </w:p>
    <w:p w:rsidR="001424EB" w:rsidRPr="00F1390F" w:rsidRDefault="001424EB" w:rsidP="001424EB">
      <w:pPr>
        <w:pStyle w:val="aNote"/>
      </w:pPr>
      <w:r w:rsidRPr="00AF17FE">
        <w:rPr>
          <w:rStyle w:val="charItals"/>
        </w:rPr>
        <w:t>Note</w:t>
      </w:r>
      <w:r w:rsidRPr="00F1390F">
        <w:tab/>
        <w:t xml:space="preserve">The </w:t>
      </w:r>
      <w:hyperlink r:id="rId110" w:tooltip="Evidence Act 1995" w:history="1">
        <w:r w:rsidR="00506E3A" w:rsidRPr="001D1BCB">
          <w:rPr>
            <w:rStyle w:val="charCitHyperlinkAbbrev"/>
          </w:rPr>
          <w:t>Commonwealth Act</w:t>
        </w:r>
      </w:hyperlink>
      <w:r w:rsidRPr="00F1390F">
        <w:t xml:space="preserve"> does not contain provisions corresponding to s 128A (12) to (14).</w:t>
      </w:r>
    </w:p>
    <w:p w:rsidR="00F8610E" w:rsidRPr="003925E1" w:rsidRDefault="00F8610E" w:rsidP="00486F06">
      <w:pPr>
        <w:pStyle w:val="AH3Div"/>
      </w:pPr>
      <w:bookmarkStart w:id="187" w:name="_Toc11748542"/>
      <w:r w:rsidRPr="003925E1">
        <w:rPr>
          <w:rStyle w:val="CharDivNo"/>
        </w:rPr>
        <w:t>Division 3.10.3</w:t>
      </w:r>
      <w:r w:rsidRPr="00A060B6">
        <w:tab/>
      </w:r>
      <w:r w:rsidRPr="003925E1">
        <w:rPr>
          <w:rStyle w:val="CharDivText"/>
        </w:rPr>
        <w:t>Evidence excluded in the public interest</w:t>
      </w:r>
      <w:bookmarkEnd w:id="187"/>
    </w:p>
    <w:p w:rsidR="00F8610E" w:rsidRPr="00A060B6" w:rsidRDefault="00F8610E" w:rsidP="00486F06">
      <w:pPr>
        <w:pStyle w:val="AH5Sec"/>
      </w:pPr>
      <w:bookmarkStart w:id="188" w:name="_Toc11748543"/>
      <w:r w:rsidRPr="003925E1">
        <w:rPr>
          <w:rStyle w:val="CharSectNo"/>
        </w:rPr>
        <w:t>129</w:t>
      </w:r>
      <w:r w:rsidRPr="00A060B6">
        <w:tab/>
        <w:t>Exclusion of evidence of reasons for judicial etc decisions</w:t>
      </w:r>
      <w:bookmarkEnd w:id="188"/>
    </w:p>
    <w:p w:rsidR="00F8610E" w:rsidRPr="00A060B6" w:rsidRDefault="00F8610E" w:rsidP="001B6165">
      <w:pPr>
        <w:pStyle w:val="Amain"/>
        <w:keepNext/>
      </w:pPr>
      <w:r w:rsidRPr="00A060B6">
        <w:tab/>
        <w:t>(1)</w:t>
      </w:r>
      <w:r w:rsidRPr="00A060B6">
        <w:tab/>
        <w:t>Evidence of the reasons for a decision made by a person who is—</w:t>
      </w:r>
    </w:p>
    <w:p w:rsidR="00F8610E" w:rsidRPr="00A060B6" w:rsidRDefault="00F8610E" w:rsidP="00486F06">
      <w:pPr>
        <w:pStyle w:val="Apara"/>
      </w:pPr>
      <w:r w:rsidRPr="00A060B6">
        <w:tab/>
        <w:t>(a)</w:t>
      </w:r>
      <w:r w:rsidRPr="00A060B6">
        <w:tab/>
        <w:t>a judge in an Australian or overseas proceeding; or</w:t>
      </w:r>
    </w:p>
    <w:p w:rsidR="00F8610E" w:rsidRPr="00A060B6" w:rsidRDefault="00F8610E" w:rsidP="00486F06">
      <w:pPr>
        <w:pStyle w:val="Apara"/>
      </w:pPr>
      <w:r w:rsidRPr="00A060B6">
        <w:tab/>
        <w:t>(b)</w:t>
      </w:r>
      <w:r w:rsidRPr="00A060B6">
        <w:tab/>
        <w:t>an arbitrator in relation to a dispute that has been submitted to the person, or to the person and 1 or more other people, for arbitration;</w:t>
      </w:r>
    </w:p>
    <w:p w:rsidR="00F8610E" w:rsidRPr="00A060B6" w:rsidRDefault="00F8610E" w:rsidP="00E51812">
      <w:pPr>
        <w:pStyle w:val="Amainreturn"/>
      </w:pPr>
      <w:r w:rsidRPr="00A060B6">
        <w:t>or the deliberations of the person in relation to the decision, must not be given by the person, or a person who was, in relation to the proceeding or arbitration, under the direction or control of the person.</w:t>
      </w:r>
    </w:p>
    <w:p w:rsidR="00F8610E" w:rsidRPr="00A060B6" w:rsidRDefault="00F8610E" w:rsidP="00486F06">
      <w:pPr>
        <w:pStyle w:val="Amain"/>
      </w:pPr>
      <w:r w:rsidRPr="00A060B6">
        <w:tab/>
        <w:t>(2)</w:t>
      </w:r>
      <w:r w:rsidRPr="00A060B6">
        <w:tab/>
        <w:t>Also, the evidence must not be given by tendering as evidence a document prepared by the person.</w:t>
      </w:r>
    </w:p>
    <w:p w:rsidR="00F8610E" w:rsidRPr="00A060B6" w:rsidRDefault="00F8610E" w:rsidP="00486F06">
      <w:pPr>
        <w:pStyle w:val="Amain"/>
      </w:pPr>
      <w:r w:rsidRPr="00A060B6">
        <w:tab/>
        <w:t>(3)</w:t>
      </w:r>
      <w:r w:rsidRPr="00A060B6">
        <w:tab/>
        <w:t>This section does not prevent the admission or use, in a proceeding, of published reasons for a decision.</w:t>
      </w:r>
    </w:p>
    <w:p w:rsidR="00F8610E" w:rsidRPr="00A060B6" w:rsidRDefault="00F8610E" w:rsidP="00BF022D">
      <w:pPr>
        <w:pStyle w:val="Amain"/>
        <w:keepLines/>
      </w:pPr>
      <w:r w:rsidRPr="00A060B6">
        <w:tab/>
        <w:t>(4)</w:t>
      </w:r>
      <w:r w:rsidRPr="00A060B6">
        <w:tab/>
        <w:t>In a proceeding, evidence of the reasons for a decision made by a member of a jury in another Australian or overseas proceeding, or of the deliberations of a member of a jury in relation to the decision, must not be given by any of the jury members.</w:t>
      </w:r>
    </w:p>
    <w:p w:rsidR="00F8610E" w:rsidRPr="00A060B6" w:rsidRDefault="00F8610E" w:rsidP="00486F06">
      <w:pPr>
        <w:pStyle w:val="Amain"/>
      </w:pPr>
      <w:r w:rsidRPr="00A060B6">
        <w:lastRenderedPageBreak/>
        <w:tab/>
        <w:t>(5)</w:t>
      </w:r>
      <w:r w:rsidRPr="00A060B6">
        <w:tab/>
        <w:t>This section does not apply in a proceeding that is—</w:t>
      </w:r>
    </w:p>
    <w:p w:rsidR="00F8610E" w:rsidRPr="00A060B6" w:rsidRDefault="00F8610E" w:rsidP="00486F06">
      <w:pPr>
        <w:pStyle w:val="Apara"/>
      </w:pPr>
      <w:r w:rsidRPr="00A060B6">
        <w:tab/>
        <w:t>(a)</w:t>
      </w:r>
      <w:r w:rsidRPr="00A060B6">
        <w:tab/>
        <w:t>a prosecution for 1 or more of the following offences:</w:t>
      </w:r>
    </w:p>
    <w:p w:rsidR="00F8610E" w:rsidRPr="00A060B6" w:rsidRDefault="00F8610E" w:rsidP="00486F06">
      <w:pPr>
        <w:pStyle w:val="Asubpara"/>
      </w:pPr>
      <w:r w:rsidRPr="00A060B6">
        <w:tab/>
        <w:t>(i)</w:t>
      </w:r>
      <w:r w:rsidRPr="00A060B6">
        <w:tab/>
        <w:t xml:space="preserve">an offence against or arising under the </w:t>
      </w:r>
      <w:hyperlink r:id="rId111" w:tooltip="A2002-51" w:history="1">
        <w:r w:rsidR="00AF17FE" w:rsidRPr="00AF17FE">
          <w:rPr>
            <w:rStyle w:val="charCitHyperlinkItal"/>
          </w:rPr>
          <w:t>Criminal Code 2002</w:t>
        </w:r>
      </w:hyperlink>
      <w:r w:rsidRPr="00A060B6">
        <w:t>, sections 707 to 709 or section 713;</w:t>
      </w:r>
    </w:p>
    <w:p w:rsidR="00F8610E" w:rsidRPr="00AF17FE" w:rsidRDefault="00F8610E" w:rsidP="00486F06">
      <w:pPr>
        <w:pStyle w:val="Asubpara"/>
      </w:pPr>
      <w:r w:rsidRPr="00A060B6">
        <w:tab/>
        <w:t>(ii)</w:t>
      </w:r>
      <w:r w:rsidRPr="00A060B6">
        <w:tab/>
        <w:t xml:space="preserve">an offence against or arising under the </w:t>
      </w:r>
      <w:hyperlink r:id="rId112" w:tooltip="A1967-47" w:history="1">
        <w:r w:rsidR="00AF17FE" w:rsidRPr="00AF17FE">
          <w:rPr>
            <w:rStyle w:val="charCitHyperlinkItal"/>
          </w:rPr>
          <w:t>Juries Act 1967</w:t>
        </w:r>
      </w:hyperlink>
      <w:r w:rsidRPr="00A060B6">
        <w:t>, section 43;</w:t>
      </w:r>
    </w:p>
    <w:p w:rsidR="00F8610E" w:rsidRPr="00A060B6" w:rsidRDefault="00F8610E" w:rsidP="00486F06">
      <w:pPr>
        <w:pStyle w:val="Asubpara"/>
      </w:pPr>
      <w:r w:rsidRPr="00A060B6">
        <w:tab/>
        <w:t>(iii)</w:t>
      </w:r>
      <w:r w:rsidRPr="00A060B6">
        <w:tab/>
        <w:t>an offence connected with an offence mentioned in subparagraph (i) or (ii), including an offence of conspiring to commit the offence; or</w:t>
      </w:r>
    </w:p>
    <w:p w:rsidR="00F8610E" w:rsidRPr="00A060B6" w:rsidRDefault="00F8610E" w:rsidP="00486F06">
      <w:pPr>
        <w:pStyle w:val="Apara"/>
      </w:pPr>
      <w:r w:rsidRPr="00A060B6">
        <w:tab/>
        <w:t>(b)</w:t>
      </w:r>
      <w:r w:rsidRPr="00A060B6">
        <w:tab/>
        <w:t>in relation to a contempt of a court; or</w:t>
      </w:r>
    </w:p>
    <w:p w:rsidR="00F8610E" w:rsidRPr="00A060B6" w:rsidRDefault="00F8610E" w:rsidP="00486F06">
      <w:pPr>
        <w:pStyle w:val="Apara"/>
      </w:pPr>
      <w:r w:rsidRPr="00A060B6">
        <w:tab/>
        <w:t>(c)</w:t>
      </w:r>
      <w:r w:rsidRPr="00A060B6">
        <w:tab/>
        <w:t>an appeal from, or judicial review of, a judgment, decree, order or sentence of a court; or</w:t>
      </w:r>
    </w:p>
    <w:p w:rsidR="00F8610E" w:rsidRPr="00A060B6" w:rsidRDefault="00F8610E" w:rsidP="00486F06">
      <w:pPr>
        <w:pStyle w:val="Apara"/>
      </w:pPr>
      <w:r w:rsidRPr="00A060B6">
        <w:tab/>
        <w:t>(d)</w:t>
      </w:r>
      <w:r w:rsidRPr="00A060B6">
        <w:tab/>
        <w:t>a review of an arbitral award; or</w:t>
      </w:r>
    </w:p>
    <w:p w:rsidR="00F8610E" w:rsidRPr="00A060B6" w:rsidRDefault="00F8610E" w:rsidP="00532E65">
      <w:pPr>
        <w:pStyle w:val="Apara"/>
        <w:keepNext/>
      </w:pPr>
      <w:r w:rsidRPr="00A060B6">
        <w:tab/>
        <w:t>(e)</w:t>
      </w:r>
      <w:r w:rsidRPr="00A060B6">
        <w:tab/>
        <w:t>a civil proceeding in relation to an act of a judicial officer or arbitrator that was, and that was known at the time by the judicial officer or arbitrator to be, outside the scope of the matters in relation to which the judicial officer or arbitrator had authority to act.</w:t>
      </w:r>
    </w:p>
    <w:p w:rsidR="00F8610E" w:rsidRPr="00A060B6" w:rsidRDefault="00F8610E" w:rsidP="00E51812">
      <w:pPr>
        <w:pStyle w:val="aNote"/>
      </w:pPr>
      <w:r w:rsidRPr="005D1BC5">
        <w:rPr>
          <w:rStyle w:val="charItals"/>
        </w:rPr>
        <w:t>Note</w:t>
      </w:r>
      <w:r w:rsidRPr="00A060B6">
        <w:tab/>
        <w:t xml:space="preserve">Subsection (5) (a) differs from the </w:t>
      </w:r>
      <w:hyperlink r:id="rId113" w:tooltip="Evidence Act 1995" w:history="1">
        <w:r w:rsidR="001D1BCB" w:rsidRPr="001D1BCB">
          <w:rPr>
            <w:rStyle w:val="charCitHyperlinkAbbrev"/>
          </w:rPr>
          <w:t>Commonwealth Act</w:t>
        </w:r>
      </w:hyperlink>
      <w:r w:rsidRPr="00A060B6">
        <w:t>, s 129 (5) (a).</w:t>
      </w:r>
    </w:p>
    <w:p w:rsidR="00F8610E" w:rsidRPr="00A060B6" w:rsidRDefault="00F8610E" w:rsidP="00486F06">
      <w:pPr>
        <w:pStyle w:val="AH5Sec"/>
      </w:pPr>
      <w:bookmarkStart w:id="189" w:name="_Toc11748544"/>
      <w:r w:rsidRPr="003925E1">
        <w:rPr>
          <w:rStyle w:val="CharSectNo"/>
        </w:rPr>
        <w:t>130</w:t>
      </w:r>
      <w:r w:rsidRPr="00A060B6">
        <w:tab/>
        <w:t>Exclusion of evidence of matters of state</w:t>
      </w:r>
      <w:bookmarkEnd w:id="189"/>
    </w:p>
    <w:p w:rsidR="00F8610E" w:rsidRPr="00A060B6" w:rsidRDefault="00F8610E" w:rsidP="00486F06">
      <w:pPr>
        <w:pStyle w:val="Amain"/>
      </w:pPr>
      <w:r w:rsidRPr="00A060B6">
        <w:tab/>
        <w:t>(1)</w:t>
      </w:r>
      <w:r w:rsidRPr="00A060B6">
        <w:tab/>
        <w:t>If the public interest in admitting into evidence information or a document that relates to matters of state is outweighed by the public interest in preserving secrecy or confidentiality in relation to the information or document, the court may direct that the information or document not be presented as evidence.</w:t>
      </w:r>
    </w:p>
    <w:p w:rsidR="00F8610E" w:rsidRPr="00A060B6" w:rsidRDefault="00F8610E" w:rsidP="00486F06">
      <w:pPr>
        <w:pStyle w:val="Amain"/>
      </w:pPr>
      <w:r w:rsidRPr="00A060B6">
        <w:tab/>
        <w:t>(2)</w:t>
      </w:r>
      <w:r w:rsidRPr="00A060B6">
        <w:tab/>
        <w:t>The court may give a direction under subsection (1) on its own initiative or on the application of any person (whether or not the person is a party).</w:t>
      </w:r>
    </w:p>
    <w:p w:rsidR="00F8610E" w:rsidRPr="00A060B6" w:rsidRDefault="00F8610E" w:rsidP="00486F06">
      <w:pPr>
        <w:pStyle w:val="Amain"/>
      </w:pPr>
      <w:r w:rsidRPr="00A060B6">
        <w:lastRenderedPageBreak/>
        <w:tab/>
        <w:t>(3)</w:t>
      </w:r>
      <w:r w:rsidRPr="00A060B6">
        <w:tab/>
        <w:t>In deciding whether to give the direction, the court may inform itself in any way it thinks fit.</w:t>
      </w:r>
    </w:p>
    <w:p w:rsidR="00F8610E" w:rsidRPr="00A060B6" w:rsidRDefault="00F8610E" w:rsidP="001B6165">
      <w:pPr>
        <w:pStyle w:val="Amain"/>
        <w:keepNext/>
      </w:pPr>
      <w:r w:rsidRPr="00A060B6">
        <w:tab/>
        <w:t>(4)</w:t>
      </w:r>
      <w:r w:rsidRPr="00A060B6">
        <w:tab/>
        <w:t>Without limiting the circumstances in which information or a document may be taken for subsection (1) to relate to matters of state, the information or document is taken for that subsection to relate to matters of state if presenting it as evidence would—</w:t>
      </w:r>
    </w:p>
    <w:p w:rsidR="00F8610E" w:rsidRPr="00A060B6" w:rsidRDefault="00F8610E" w:rsidP="00486F06">
      <w:pPr>
        <w:pStyle w:val="Apara"/>
      </w:pPr>
      <w:r w:rsidRPr="00A060B6">
        <w:tab/>
        <w:t>(a)</w:t>
      </w:r>
      <w:r w:rsidRPr="00A060B6">
        <w:tab/>
        <w:t>prejudice the security, defence or international relations of Australia; or</w:t>
      </w:r>
    </w:p>
    <w:p w:rsidR="00F8610E" w:rsidRPr="00A060B6" w:rsidRDefault="00F8610E" w:rsidP="00486F06">
      <w:pPr>
        <w:pStyle w:val="Apara"/>
      </w:pPr>
      <w:r w:rsidRPr="00A060B6">
        <w:tab/>
        <w:t>(b)</w:t>
      </w:r>
      <w:r w:rsidRPr="00A060B6">
        <w:tab/>
        <w:t>damage relations between the Commonwealth and a State or between 2 or more States; or</w:t>
      </w:r>
    </w:p>
    <w:p w:rsidR="00F8610E" w:rsidRPr="00A060B6" w:rsidRDefault="00F8610E" w:rsidP="00486F06">
      <w:pPr>
        <w:pStyle w:val="Apara"/>
      </w:pPr>
      <w:r w:rsidRPr="00A060B6">
        <w:tab/>
        <w:t>(c)</w:t>
      </w:r>
      <w:r w:rsidRPr="00A060B6">
        <w:tab/>
        <w:t>prejudice the prevention, investigation or prosecution of an offence; or</w:t>
      </w:r>
    </w:p>
    <w:p w:rsidR="00F8610E" w:rsidRPr="00A060B6" w:rsidRDefault="00F8610E" w:rsidP="00486F06">
      <w:pPr>
        <w:pStyle w:val="Apara"/>
      </w:pPr>
      <w:r w:rsidRPr="00A060B6">
        <w:tab/>
        <w:t>(d)</w:t>
      </w:r>
      <w:r w:rsidRPr="00A060B6">
        <w:tab/>
        <w:t>prejudice the prevention or investigation of, or the conduct of proceedings for recovery of civil penalties brought in relation to, other contraventions of the law; or</w:t>
      </w:r>
    </w:p>
    <w:p w:rsidR="00F8610E" w:rsidRPr="00A060B6" w:rsidRDefault="00F8610E" w:rsidP="00486F06">
      <w:pPr>
        <w:pStyle w:val="Apara"/>
      </w:pPr>
      <w:r w:rsidRPr="00A060B6">
        <w:tab/>
        <w:t>(e)</w:t>
      </w:r>
      <w:r w:rsidRPr="00A060B6">
        <w:tab/>
        <w:t>disclose, or enable a person to ascertain, the existence or identity of a confidential source of information relating to the enforcement or administration of a law of the Commonwealth or a State; or</w:t>
      </w:r>
    </w:p>
    <w:p w:rsidR="00F8610E" w:rsidRPr="00A060B6" w:rsidRDefault="00F8610E" w:rsidP="00486F06">
      <w:pPr>
        <w:pStyle w:val="Apara"/>
      </w:pPr>
      <w:r w:rsidRPr="00A060B6">
        <w:tab/>
        <w:t>(f)</w:t>
      </w:r>
      <w:r w:rsidRPr="00A060B6">
        <w:tab/>
        <w:t>prejudice the proper functioning of the government of the Commonwealth or a State.</w:t>
      </w:r>
    </w:p>
    <w:p w:rsidR="00F8610E" w:rsidRPr="00A060B6" w:rsidRDefault="00F8610E" w:rsidP="00486F06">
      <w:pPr>
        <w:pStyle w:val="Amain"/>
      </w:pPr>
      <w:r w:rsidRPr="00A060B6">
        <w:tab/>
        <w:t>(5)</w:t>
      </w:r>
      <w:r w:rsidRPr="00A060B6">
        <w:tab/>
        <w:t>Without limiting the matters the court may take into account for subsection (1), it must take into account the following matters:</w:t>
      </w:r>
    </w:p>
    <w:p w:rsidR="00F8610E" w:rsidRPr="00A060B6" w:rsidRDefault="00F8610E" w:rsidP="00486F06">
      <w:pPr>
        <w:pStyle w:val="Apara"/>
      </w:pPr>
      <w:r w:rsidRPr="00A060B6">
        <w:tab/>
        <w:t>(a)</w:t>
      </w:r>
      <w:r w:rsidRPr="00A060B6">
        <w:tab/>
        <w:t>the importance of the information or the document in the proceeding;</w:t>
      </w:r>
    </w:p>
    <w:p w:rsidR="00F8610E" w:rsidRPr="00A060B6" w:rsidRDefault="00F8610E" w:rsidP="00486F06">
      <w:pPr>
        <w:pStyle w:val="Apara"/>
      </w:pPr>
      <w:r w:rsidRPr="00A060B6">
        <w:tab/>
        <w:t>(b)</w:t>
      </w:r>
      <w:r w:rsidRPr="00A060B6">
        <w:tab/>
        <w:t>if the proceeding is a criminal proceeding—whether the party seeking to present evidence of the information or document is a defendant or the prosecutor;</w:t>
      </w:r>
    </w:p>
    <w:p w:rsidR="00F8610E" w:rsidRPr="00A060B6" w:rsidRDefault="00F8610E" w:rsidP="00486F06">
      <w:pPr>
        <w:pStyle w:val="Apara"/>
      </w:pPr>
      <w:r w:rsidRPr="00A060B6">
        <w:lastRenderedPageBreak/>
        <w:tab/>
        <w:t>(c)</w:t>
      </w:r>
      <w:r w:rsidRPr="00A060B6">
        <w:tab/>
        <w:t>the nature of the offence, cause of action or defence to which the information or document relates, and the nature of the subject matter of the proceeding;</w:t>
      </w:r>
    </w:p>
    <w:p w:rsidR="00F8610E" w:rsidRPr="00A060B6" w:rsidRDefault="00F8610E" w:rsidP="00486F06">
      <w:pPr>
        <w:pStyle w:val="Apara"/>
      </w:pPr>
      <w:r w:rsidRPr="00A060B6">
        <w:tab/>
        <w:t>(d)</w:t>
      </w:r>
      <w:r w:rsidRPr="00A060B6">
        <w:tab/>
        <w:t>the likely effect of presenting evidence of the information or document, and the means available to limit its publication;</w:t>
      </w:r>
    </w:p>
    <w:p w:rsidR="00F8610E" w:rsidRPr="00A060B6" w:rsidRDefault="00F8610E" w:rsidP="00486F06">
      <w:pPr>
        <w:pStyle w:val="Apara"/>
      </w:pPr>
      <w:r w:rsidRPr="00A060B6">
        <w:tab/>
        <w:t>(e)</w:t>
      </w:r>
      <w:r w:rsidRPr="00A060B6">
        <w:tab/>
        <w:t>whether the substance of the information or document has already been published;</w:t>
      </w:r>
    </w:p>
    <w:p w:rsidR="00F8610E" w:rsidRPr="00A060B6" w:rsidRDefault="00F8610E" w:rsidP="00486F06">
      <w:pPr>
        <w:pStyle w:val="Apara"/>
      </w:pPr>
      <w:r w:rsidRPr="00A060B6">
        <w:tab/>
        <w:t>(f)</w:t>
      </w:r>
      <w:r w:rsidRPr="00A060B6">
        <w:tab/>
        <w:t>if the proceeding is a criminal proceeding and the party seeking to present evidence of the information or document is a defendant—whether the direction is to be made subject to the condition that the prosecution be stayed.</w:t>
      </w:r>
    </w:p>
    <w:p w:rsidR="00F8610E" w:rsidRPr="00A060B6" w:rsidRDefault="00F8610E" w:rsidP="00486F06">
      <w:pPr>
        <w:pStyle w:val="Amain"/>
      </w:pPr>
      <w:r w:rsidRPr="00A060B6">
        <w:tab/>
        <w:t>(6)</w:t>
      </w:r>
      <w:r w:rsidRPr="00A060B6">
        <w:tab/>
        <w:t>A reference in this section to a State includes a reference to a Territory.</w:t>
      </w:r>
    </w:p>
    <w:p w:rsidR="00F8610E" w:rsidRPr="00A060B6" w:rsidRDefault="00F8610E" w:rsidP="00486F06">
      <w:pPr>
        <w:pStyle w:val="AH5Sec"/>
      </w:pPr>
      <w:bookmarkStart w:id="190" w:name="_Toc11748545"/>
      <w:r w:rsidRPr="003925E1">
        <w:rPr>
          <w:rStyle w:val="CharSectNo"/>
        </w:rPr>
        <w:t>131</w:t>
      </w:r>
      <w:r w:rsidRPr="00A060B6">
        <w:tab/>
        <w:t>Exclusion of evidence of settlement negotiations</w:t>
      </w:r>
      <w:bookmarkEnd w:id="190"/>
    </w:p>
    <w:p w:rsidR="00F8610E" w:rsidRPr="00A060B6" w:rsidRDefault="00F8610E" w:rsidP="00486F06">
      <w:pPr>
        <w:pStyle w:val="Amain"/>
      </w:pPr>
      <w:r w:rsidRPr="00A060B6">
        <w:tab/>
        <w:t>(1)</w:t>
      </w:r>
      <w:r w:rsidRPr="00A060B6">
        <w:tab/>
        <w:t>Evidence must not be presented of—</w:t>
      </w:r>
    </w:p>
    <w:p w:rsidR="00F8610E" w:rsidRPr="00A060B6" w:rsidRDefault="00F8610E" w:rsidP="00486F06">
      <w:pPr>
        <w:pStyle w:val="Apara"/>
      </w:pPr>
      <w:r w:rsidRPr="00A060B6">
        <w:tab/>
        <w:t>(a)</w:t>
      </w:r>
      <w:r w:rsidRPr="00A060B6">
        <w:tab/>
        <w:t>a communication that is made between people in dispute, or between 1 or more people in dispute and a third party, in connection with an attempt to negotiate a settlement of the dispute; or</w:t>
      </w:r>
    </w:p>
    <w:p w:rsidR="00F8610E" w:rsidRPr="00A060B6" w:rsidRDefault="00F8610E" w:rsidP="00486F06">
      <w:pPr>
        <w:pStyle w:val="Apara"/>
      </w:pPr>
      <w:r w:rsidRPr="00A060B6">
        <w:tab/>
        <w:t>(b)</w:t>
      </w:r>
      <w:r w:rsidRPr="00A060B6">
        <w:tab/>
        <w:t>a document (whether delivered or not) that has been prepared in connection with an attempt to negotiate a settlement of a dispute.</w:t>
      </w:r>
    </w:p>
    <w:p w:rsidR="00F8610E" w:rsidRPr="00A060B6" w:rsidRDefault="00F8610E" w:rsidP="00BF022D">
      <w:pPr>
        <w:pStyle w:val="Amain"/>
        <w:keepNext/>
      </w:pPr>
      <w:r w:rsidRPr="00A060B6">
        <w:tab/>
        <w:t>(2)</w:t>
      </w:r>
      <w:r w:rsidRPr="00A060B6">
        <w:tab/>
        <w:t>Subsection (1) does not apply if—</w:t>
      </w:r>
    </w:p>
    <w:p w:rsidR="00F8610E" w:rsidRPr="00A060B6" w:rsidRDefault="00F8610E" w:rsidP="00BF022D">
      <w:pPr>
        <w:pStyle w:val="Apara"/>
        <w:keepLines/>
      </w:pPr>
      <w:r w:rsidRPr="00A060B6">
        <w:tab/>
        <w:t>(a)</w:t>
      </w:r>
      <w:r w:rsidRPr="00A060B6">
        <w:tab/>
        <w:t>the people in dispute consent to the evidence being presented in the proceeding or, if any of the people has tendered the communication or document in evidence in another Australian or overseas proceeding, all the other people consent; or</w:t>
      </w:r>
    </w:p>
    <w:p w:rsidR="00F8610E" w:rsidRPr="00A060B6" w:rsidRDefault="00F8610E" w:rsidP="00486F06">
      <w:pPr>
        <w:pStyle w:val="Apara"/>
      </w:pPr>
      <w:r w:rsidRPr="00A060B6">
        <w:tab/>
        <w:t>(b)</w:t>
      </w:r>
      <w:r w:rsidRPr="00A060B6">
        <w:tab/>
        <w:t>the substance of the evidence has been disclosed with the express or implied consent of all the people in dispute; or</w:t>
      </w:r>
    </w:p>
    <w:p w:rsidR="00F8610E" w:rsidRPr="00A060B6" w:rsidRDefault="00F8610E" w:rsidP="001B6165">
      <w:pPr>
        <w:pStyle w:val="Apara"/>
        <w:keepLines/>
      </w:pPr>
      <w:r w:rsidRPr="00A060B6">
        <w:lastRenderedPageBreak/>
        <w:tab/>
        <w:t>(c)</w:t>
      </w:r>
      <w:r w:rsidRPr="00A060B6">
        <w:tab/>
        <w:t>the substance of the evidence has been partly disclosed with the express or implied consent of the people in dispute, and full disclosure of the evidence is reasonably necessary to enable a proper understanding of the other evidence that has already been presented; or</w:t>
      </w:r>
    </w:p>
    <w:p w:rsidR="00F8610E" w:rsidRPr="00A060B6" w:rsidRDefault="00F8610E" w:rsidP="00486F06">
      <w:pPr>
        <w:pStyle w:val="Apara"/>
      </w:pPr>
      <w:r w:rsidRPr="00A060B6">
        <w:tab/>
        <w:t>(d)</w:t>
      </w:r>
      <w:r w:rsidRPr="00A060B6">
        <w:tab/>
        <w:t>the communication or document included a statement to the effect that it was not to be treated as confidential; or</w:t>
      </w:r>
    </w:p>
    <w:p w:rsidR="00F8610E" w:rsidRPr="00A060B6" w:rsidRDefault="00F8610E" w:rsidP="00486F06">
      <w:pPr>
        <w:pStyle w:val="Apara"/>
      </w:pPr>
      <w:r w:rsidRPr="00A060B6">
        <w:tab/>
        <w:t>(e)</w:t>
      </w:r>
      <w:r w:rsidRPr="00A060B6">
        <w:tab/>
        <w:t>the evidence tends to contradict or to qualify evidence that has already been admitted about the course of an attempt to settle the dispute; or</w:t>
      </w:r>
    </w:p>
    <w:p w:rsidR="00F8610E" w:rsidRPr="00A060B6" w:rsidRDefault="00F8610E" w:rsidP="00486F06">
      <w:pPr>
        <w:pStyle w:val="Apara"/>
      </w:pPr>
      <w:r w:rsidRPr="00A060B6">
        <w:tab/>
        <w:t>(f)</w:t>
      </w:r>
      <w:r w:rsidRPr="00A060B6">
        <w:tab/>
        <w:t>the proceeding in which it is sought to present the evidence is a proceeding to enforce an agreement between the people in dispute to settle the dispute, or a proceeding in which the making of the agreement is in issue; or</w:t>
      </w:r>
    </w:p>
    <w:p w:rsidR="00F8610E" w:rsidRPr="00A060B6" w:rsidRDefault="00F8610E" w:rsidP="00486F06">
      <w:pPr>
        <w:pStyle w:val="Apara"/>
      </w:pPr>
      <w:r w:rsidRPr="00A060B6">
        <w:tab/>
        <w:t>(g)</w:t>
      </w:r>
      <w:r w:rsidRPr="00A060B6">
        <w:tab/>
        <w:t>evidence that has been presented in the proceeding, or an inference from evidence that has been presented in the proceeding, is likely to mislead the court unless evidence of the communication or document is presented to contradict or to qualify that evidence; or</w:t>
      </w:r>
    </w:p>
    <w:p w:rsidR="00F8610E" w:rsidRPr="00A060B6" w:rsidRDefault="00F8610E" w:rsidP="00486F06">
      <w:pPr>
        <w:pStyle w:val="Apara"/>
      </w:pPr>
      <w:r w:rsidRPr="00A060B6">
        <w:tab/>
        <w:t>(h)</w:t>
      </w:r>
      <w:r w:rsidRPr="00A060B6">
        <w:tab/>
        <w:t>the communication or document is relevant to deciding liability for costs; or</w:t>
      </w:r>
    </w:p>
    <w:p w:rsidR="00F8610E" w:rsidRPr="00A060B6" w:rsidRDefault="00F8610E" w:rsidP="00486F06">
      <w:pPr>
        <w:pStyle w:val="Apara"/>
      </w:pPr>
      <w:r w:rsidRPr="00A060B6">
        <w:tab/>
        <w:t>(i)</w:t>
      </w:r>
      <w:r w:rsidRPr="00A060B6">
        <w:tab/>
        <w:t>making the communication, or preparing the document, affects a right of a person; or</w:t>
      </w:r>
    </w:p>
    <w:p w:rsidR="00F8610E" w:rsidRPr="00A060B6" w:rsidRDefault="00F8610E" w:rsidP="00486F06">
      <w:pPr>
        <w:pStyle w:val="Apara"/>
      </w:pPr>
      <w:r w:rsidRPr="00A060B6">
        <w:tab/>
        <w:t>(j)</w:t>
      </w:r>
      <w:r w:rsidRPr="00A060B6">
        <w:tab/>
        <w:t>the communication was made, or the document was prepared, in furtherance of the commission of a fraud or an offence or the commission of an act that renders a person liable to a civil penalty; or</w:t>
      </w:r>
    </w:p>
    <w:p w:rsidR="00F8610E" w:rsidRPr="00A060B6" w:rsidRDefault="00F8610E" w:rsidP="00486F06">
      <w:pPr>
        <w:pStyle w:val="Apara"/>
      </w:pPr>
      <w:r w:rsidRPr="00A060B6">
        <w:tab/>
        <w:t>(k)</w:t>
      </w:r>
      <w:r w:rsidRPr="00A060B6">
        <w:tab/>
        <w:t>one of the people in dispute, or an employee or agent of 1 of them, knew or ought reasonably to have known that the communication was made, or the document was prepared, in furtherance of a deliberate abuse of a power.</w:t>
      </w:r>
    </w:p>
    <w:p w:rsidR="00F8610E" w:rsidRPr="00A060B6" w:rsidRDefault="00F8610E" w:rsidP="00486F06">
      <w:pPr>
        <w:pStyle w:val="Amain"/>
      </w:pPr>
      <w:r w:rsidRPr="00A060B6">
        <w:lastRenderedPageBreak/>
        <w:tab/>
        <w:t>(3)</w:t>
      </w:r>
      <w:r w:rsidRPr="00A060B6">
        <w:tab/>
        <w:t>For subsection (2) (j), if commission of the fraud, offence or act is a fact in issue and there are reasonable grounds for finding that—</w:t>
      </w:r>
    </w:p>
    <w:p w:rsidR="00F8610E" w:rsidRPr="00A060B6" w:rsidRDefault="00F8610E" w:rsidP="00486F06">
      <w:pPr>
        <w:pStyle w:val="Apara"/>
      </w:pPr>
      <w:r w:rsidRPr="00A060B6">
        <w:tab/>
        <w:t>(a)</w:t>
      </w:r>
      <w:r w:rsidRPr="00A060B6">
        <w:tab/>
        <w:t>the fraud, offence or act was committed; and</w:t>
      </w:r>
    </w:p>
    <w:p w:rsidR="00F8610E" w:rsidRPr="00A060B6" w:rsidRDefault="00F8610E" w:rsidP="00486F06">
      <w:pPr>
        <w:pStyle w:val="Apara"/>
      </w:pPr>
      <w:r w:rsidRPr="00A060B6">
        <w:tab/>
        <w:t>(b)</w:t>
      </w:r>
      <w:r w:rsidRPr="00A060B6">
        <w:tab/>
        <w:t>a communication was made or document was prepared in furtherance of the commission of the fraud, offence or act;</w:t>
      </w:r>
    </w:p>
    <w:p w:rsidR="00F8610E" w:rsidRPr="00A060B6" w:rsidRDefault="00F8610E" w:rsidP="00E51812">
      <w:pPr>
        <w:pStyle w:val="Amainreturn"/>
      </w:pPr>
      <w:r w:rsidRPr="00A060B6">
        <w:t>the court may find that the communication was made or the document was prepared as mentioned in paragraph (b).</w:t>
      </w:r>
    </w:p>
    <w:p w:rsidR="00F8610E" w:rsidRPr="00A060B6" w:rsidRDefault="00F8610E" w:rsidP="00486F06">
      <w:pPr>
        <w:pStyle w:val="Amain"/>
      </w:pPr>
      <w:r w:rsidRPr="00A060B6">
        <w:tab/>
        <w:t>(4)</w:t>
      </w:r>
      <w:r w:rsidRPr="00A060B6">
        <w:tab/>
        <w:t>For subsection (2) (k), if—</w:t>
      </w:r>
    </w:p>
    <w:p w:rsidR="00F8610E" w:rsidRPr="00A060B6" w:rsidRDefault="00F8610E" w:rsidP="00486F06">
      <w:pPr>
        <w:pStyle w:val="Apara"/>
      </w:pPr>
      <w:r w:rsidRPr="00A060B6">
        <w:tab/>
        <w:t>(a)</w:t>
      </w:r>
      <w:r w:rsidRPr="00A060B6">
        <w:tab/>
        <w:t>the abuse of power is a fact in issue; and</w:t>
      </w:r>
    </w:p>
    <w:p w:rsidR="00F8610E" w:rsidRPr="00A060B6" w:rsidRDefault="00F8610E" w:rsidP="00486F06">
      <w:pPr>
        <w:pStyle w:val="Apara"/>
      </w:pPr>
      <w:r w:rsidRPr="00A060B6">
        <w:tab/>
        <w:t>(b)</w:t>
      </w:r>
      <w:r w:rsidRPr="00A060B6">
        <w:tab/>
        <w:t>there are reasonable grounds for finding that a communication was made or document was prepared in furtherance of the abuse of power;</w:t>
      </w:r>
    </w:p>
    <w:p w:rsidR="00F8610E" w:rsidRPr="00A060B6" w:rsidRDefault="00F8610E" w:rsidP="00E51812">
      <w:pPr>
        <w:pStyle w:val="Amainreturn"/>
      </w:pPr>
      <w:r w:rsidRPr="00A060B6">
        <w:t>the court may find that the communication was made or the document was prepared  as mentioned in paragraph (b).</w:t>
      </w:r>
    </w:p>
    <w:p w:rsidR="00F8610E" w:rsidRPr="00A060B6" w:rsidRDefault="00F8610E" w:rsidP="00486F06">
      <w:pPr>
        <w:pStyle w:val="Amain"/>
      </w:pPr>
      <w:r w:rsidRPr="00A060B6">
        <w:tab/>
        <w:t>(5)</w:t>
      </w:r>
      <w:r w:rsidRPr="00A060B6">
        <w:tab/>
        <w:t>In this section—</w:t>
      </w:r>
    </w:p>
    <w:p w:rsidR="00F8610E" w:rsidRPr="00A060B6" w:rsidRDefault="00F8610E" w:rsidP="00486F06">
      <w:pPr>
        <w:pStyle w:val="Apara"/>
      </w:pPr>
      <w:r w:rsidRPr="00A060B6">
        <w:tab/>
        <w:t>(a)</w:t>
      </w:r>
      <w:r w:rsidRPr="00A060B6">
        <w:tab/>
        <w:t>a reference to a dispute is a reference to a dispute of a kind in relation to which relief may be given in an Australian or overseas proceeding; and</w:t>
      </w:r>
    </w:p>
    <w:p w:rsidR="00F8610E" w:rsidRPr="00A060B6" w:rsidRDefault="00F8610E" w:rsidP="00BF022D">
      <w:pPr>
        <w:pStyle w:val="Apara"/>
        <w:keepLines/>
      </w:pPr>
      <w:r w:rsidRPr="00A060B6">
        <w:tab/>
        <w:t>(b)</w:t>
      </w:r>
      <w:r w:rsidRPr="00A060B6">
        <w:tab/>
        <w:t>a reference to an attempt to negotiate the settlement of a dispute does not include a reference to an attempt to negotiate the settlement of a criminal proceeding or an anticipated criminal proceeding; and</w:t>
      </w:r>
    </w:p>
    <w:p w:rsidR="00F8610E" w:rsidRPr="00A060B6" w:rsidRDefault="00F8610E" w:rsidP="00486F06">
      <w:pPr>
        <w:pStyle w:val="Apara"/>
      </w:pPr>
      <w:r w:rsidRPr="00A060B6">
        <w:tab/>
        <w:t>(c)</w:t>
      </w:r>
      <w:r w:rsidRPr="00A060B6">
        <w:tab/>
        <w:t>a reference to a communication made by a person in dispute includes a reference to a communication made by an employee or agent of the person; and</w:t>
      </w:r>
    </w:p>
    <w:p w:rsidR="00F8610E" w:rsidRPr="00A060B6" w:rsidRDefault="00F8610E" w:rsidP="00CD0BBF">
      <w:pPr>
        <w:pStyle w:val="Apara"/>
        <w:keepNext/>
      </w:pPr>
      <w:r w:rsidRPr="00A060B6">
        <w:lastRenderedPageBreak/>
        <w:tab/>
        <w:t>(d)</w:t>
      </w:r>
      <w:r w:rsidRPr="00A060B6">
        <w:tab/>
        <w:t>a reference to the consent of a person in dispute includes a reference to the consent of an employee or agent of the person, if the employee or agent is authorised to consent; and</w:t>
      </w:r>
    </w:p>
    <w:p w:rsidR="00F8610E" w:rsidRPr="00A060B6" w:rsidRDefault="00F8610E" w:rsidP="00486F06">
      <w:pPr>
        <w:pStyle w:val="Apara"/>
      </w:pPr>
      <w:r w:rsidRPr="00A060B6">
        <w:tab/>
        <w:t>(e)</w:t>
      </w:r>
      <w:r w:rsidRPr="00A060B6">
        <w:tab/>
        <w:t>a reference to commission of an act includes a reference to a failure to act.</w:t>
      </w:r>
    </w:p>
    <w:p w:rsidR="00F8610E" w:rsidRPr="00A060B6" w:rsidRDefault="00F8610E" w:rsidP="00486F06">
      <w:pPr>
        <w:pStyle w:val="Amain"/>
      </w:pPr>
      <w:r w:rsidRPr="00A060B6">
        <w:tab/>
        <w:t>(6)</w:t>
      </w:r>
      <w:r w:rsidRPr="00A060B6">
        <w:tab/>
        <w:t>In this section:</w:t>
      </w:r>
    </w:p>
    <w:p w:rsidR="00F8610E" w:rsidRPr="00A060B6" w:rsidRDefault="00F8610E" w:rsidP="005D1BC5">
      <w:pPr>
        <w:pStyle w:val="aDef"/>
      </w:pPr>
      <w:r w:rsidRPr="005D1BC5">
        <w:rPr>
          <w:rStyle w:val="charBoldItals"/>
        </w:rPr>
        <w:t>power</w:t>
      </w:r>
      <w:r w:rsidRPr="00A060B6">
        <w:t xml:space="preserve"> means a power given by or under an Australian law.</w:t>
      </w:r>
    </w:p>
    <w:p w:rsidR="00F8610E" w:rsidRPr="003925E1" w:rsidRDefault="00F8610E" w:rsidP="00486F06">
      <w:pPr>
        <w:pStyle w:val="AH3Div"/>
      </w:pPr>
      <w:bookmarkStart w:id="191" w:name="_Toc11748546"/>
      <w:r w:rsidRPr="003925E1">
        <w:rPr>
          <w:rStyle w:val="CharDivNo"/>
        </w:rPr>
        <w:t>Division 3.10.4</w:t>
      </w:r>
      <w:r w:rsidRPr="00A060B6">
        <w:tab/>
      </w:r>
      <w:r w:rsidRPr="003925E1">
        <w:rPr>
          <w:rStyle w:val="CharDivText"/>
        </w:rPr>
        <w:t>General</w:t>
      </w:r>
      <w:bookmarkEnd w:id="191"/>
    </w:p>
    <w:p w:rsidR="00F8610E" w:rsidRPr="00A060B6" w:rsidRDefault="00F8610E" w:rsidP="00486F06">
      <w:pPr>
        <w:pStyle w:val="AH5Sec"/>
        <w:rPr>
          <w:lang w:eastAsia="en-AU"/>
        </w:rPr>
      </w:pPr>
      <w:bookmarkStart w:id="192" w:name="_Toc11748547"/>
      <w:r w:rsidRPr="003925E1">
        <w:rPr>
          <w:rStyle w:val="CharSectNo"/>
        </w:rPr>
        <w:t>131A</w:t>
      </w:r>
      <w:r w:rsidRPr="00A060B6">
        <w:rPr>
          <w:lang w:eastAsia="en-AU"/>
        </w:rPr>
        <w:tab/>
        <w:t>Application of div 3.10.4 to preliminary proceedings of courts</w:t>
      </w:r>
      <w:bookmarkEnd w:id="192"/>
    </w:p>
    <w:p w:rsidR="00F8610E" w:rsidRPr="00A060B6" w:rsidRDefault="00F8610E" w:rsidP="00486F06">
      <w:pPr>
        <w:pStyle w:val="Amain"/>
        <w:rPr>
          <w:lang w:eastAsia="en-AU"/>
        </w:rPr>
      </w:pPr>
      <w:r w:rsidRPr="00A060B6">
        <w:rPr>
          <w:lang w:eastAsia="en-AU"/>
        </w:rPr>
        <w:tab/>
        <w:t>(1)</w:t>
      </w:r>
      <w:r w:rsidRPr="00A060B6">
        <w:rPr>
          <w:lang w:eastAsia="en-AU"/>
        </w:rPr>
        <w:tab/>
        <w:t xml:space="preserve">If— </w:t>
      </w:r>
    </w:p>
    <w:p w:rsidR="00F8610E" w:rsidRPr="00A060B6" w:rsidRDefault="00F8610E" w:rsidP="00486F06">
      <w:pPr>
        <w:pStyle w:val="Apara"/>
        <w:rPr>
          <w:lang w:eastAsia="en-AU"/>
        </w:rPr>
      </w:pPr>
      <w:r w:rsidRPr="00A060B6">
        <w:rPr>
          <w:lang w:eastAsia="en-AU"/>
        </w:rPr>
        <w:tab/>
        <w:t>(a)</w:t>
      </w:r>
      <w:r w:rsidRPr="00A060B6">
        <w:rPr>
          <w:lang w:eastAsia="en-AU"/>
        </w:rPr>
        <w:tab/>
        <w:t>a person is required by a disclosure requirement to give information, or to produce a document, which would result in the disclosure of a communication, a document or its contents or other information mentioned in division 3.10.1</w:t>
      </w:r>
      <w:r w:rsidR="001424EB" w:rsidRPr="00F1390F">
        <w:t>, division</w:t>
      </w:r>
      <w:r w:rsidR="001424EB">
        <w:t> </w:t>
      </w:r>
      <w:r w:rsidR="001424EB" w:rsidRPr="00F1390F">
        <w:t>3.10.1A, division 3.10.1C</w:t>
      </w:r>
      <w:r w:rsidRPr="00A060B6">
        <w:rPr>
          <w:lang w:eastAsia="en-AU"/>
        </w:rPr>
        <w:t xml:space="preserve"> or division 3.10.3; and</w:t>
      </w:r>
    </w:p>
    <w:p w:rsidR="00F8610E" w:rsidRPr="00A060B6" w:rsidRDefault="00F8610E" w:rsidP="00BF022D">
      <w:pPr>
        <w:pStyle w:val="Apara"/>
        <w:keepNext/>
        <w:rPr>
          <w:lang w:eastAsia="en-AU"/>
        </w:rPr>
      </w:pPr>
      <w:r w:rsidRPr="00A060B6">
        <w:rPr>
          <w:lang w:eastAsia="en-AU"/>
        </w:rPr>
        <w:tab/>
        <w:t>(b)</w:t>
      </w:r>
      <w:r w:rsidRPr="00A060B6">
        <w:rPr>
          <w:lang w:eastAsia="en-AU"/>
        </w:rPr>
        <w:tab/>
        <w:t>the person objects to giving the information or providing the document;</w:t>
      </w:r>
    </w:p>
    <w:p w:rsidR="00F8610E" w:rsidRPr="00A060B6" w:rsidRDefault="00F8610E" w:rsidP="00BF022D">
      <w:pPr>
        <w:pStyle w:val="Amainreturn"/>
        <w:keepLines/>
        <w:rPr>
          <w:lang w:eastAsia="en-AU"/>
        </w:rPr>
      </w:pPr>
      <w:r w:rsidRPr="00A060B6">
        <w:rPr>
          <w:lang w:eastAsia="en-AU"/>
        </w:rPr>
        <w:t>the court must decide the objection by applying the provisions of this part (other than section 123 (</w:t>
      </w:r>
      <w:r w:rsidRPr="00A060B6">
        <w:t>Loss of client legal privilege—defendants)</w:t>
      </w:r>
      <w:r w:rsidRPr="00A060B6">
        <w:rPr>
          <w:lang w:eastAsia="en-AU"/>
        </w:rPr>
        <w:t xml:space="preserve"> and section 128 (</w:t>
      </w:r>
      <w:r w:rsidRPr="00A060B6">
        <w:t>Privilege in relation to self</w:t>
      </w:r>
      <w:r w:rsidR="001C511B">
        <w:noBreakHyphen/>
      </w:r>
      <w:r w:rsidRPr="00A060B6">
        <w:t>incrimination in other proceedings)</w:t>
      </w:r>
      <w:r w:rsidRPr="00A060B6">
        <w:rPr>
          <w:lang w:eastAsia="en-AU"/>
        </w:rPr>
        <w:t>) with any necessary modification as if the objection to giving information or producing the document were an objection to the giving or presenting of evidence.</w:t>
      </w:r>
    </w:p>
    <w:p w:rsidR="00F8610E" w:rsidRPr="00A060B6" w:rsidRDefault="00F8610E" w:rsidP="00CD0BBF">
      <w:pPr>
        <w:pStyle w:val="Amain"/>
        <w:keepNext/>
        <w:rPr>
          <w:lang w:eastAsia="en-AU"/>
        </w:rPr>
      </w:pPr>
      <w:r w:rsidRPr="00A060B6">
        <w:rPr>
          <w:lang w:eastAsia="en-AU"/>
        </w:rPr>
        <w:lastRenderedPageBreak/>
        <w:tab/>
        <w:t>(2)</w:t>
      </w:r>
      <w:r w:rsidRPr="00A060B6">
        <w:rPr>
          <w:lang w:eastAsia="en-AU"/>
        </w:rPr>
        <w:tab/>
        <w:t xml:space="preserve">For this section, </w:t>
      </w:r>
      <w:r w:rsidRPr="005D1BC5">
        <w:rPr>
          <w:rStyle w:val="charBoldItals"/>
        </w:rPr>
        <w:t>disclosure requirement</w:t>
      </w:r>
      <w:r w:rsidRPr="00A060B6">
        <w:rPr>
          <w:lang w:eastAsia="en-AU"/>
        </w:rPr>
        <w:t xml:space="preserve"> means a process or order of a court that requires the disclosure of information or a document and includes the following: </w:t>
      </w:r>
    </w:p>
    <w:p w:rsidR="00F8610E" w:rsidRPr="00A060B6" w:rsidRDefault="00F8610E" w:rsidP="00CD0BBF">
      <w:pPr>
        <w:pStyle w:val="Apara"/>
        <w:keepNext/>
        <w:rPr>
          <w:lang w:eastAsia="en-AU"/>
        </w:rPr>
      </w:pPr>
      <w:r w:rsidRPr="00A060B6">
        <w:rPr>
          <w:lang w:eastAsia="en-AU"/>
        </w:rPr>
        <w:tab/>
        <w:t>(a)</w:t>
      </w:r>
      <w:r w:rsidRPr="00A060B6">
        <w:rPr>
          <w:lang w:eastAsia="en-AU"/>
        </w:rPr>
        <w:tab/>
        <w:t>a summons or subpoena to produce documents or give evidence;</w:t>
      </w:r>
    </w:p>
    <w:p w:rsidR="00F8610E" w:rsidRPr="00A060B6" w:rsidRDefault="00F8610E" w:rsidP="00486F06">
      <w:pPr>
        <w:pStyle w:val="Apara"/>
        <w:rPr>
          <w:lang w:eastAsia="en-AU"/>
        </w:rPr>
      </w:pPr>
      <w:r w:rsidRPr="00A060B6">
        <w:rPr>
          <w:lang w:eastAsia="en-AU"/>
        </w:rPr>
        <w:tab/>
        <w:t>(b)</w:t>
      </w:r>
      <w:r w:rsidRPr="00A060B6">
        <w:rPr>
          <w:lang w:eastAsia="en-AU"/>
        </w:rPr>
        <w:tab/>
        <w:t>pre-trial discovery;</w:t>
      </w:r>
    </w:p>
    <w:p w:rsidR="00F8610E" w:rsidRPr="00A060B6" w:rsidRDefault="00F8610E" w:rsidP="00486F06">
      <w:pPr>
        <w:pStyle w:val="Apara"/>
        <w:rPr>
          <w:lang w:eastAsia="en-AU"/>
        </w:rPr>
      </w:pPr>
      <w:r w:rsidRPr="00A060B6">
        <w:rPr>
          <w:lang w:eastAsia="en-AU"/>
        </w:rPr>
        <w:tab/>
        <w:t>(c)</w:t>
      </w:r>
      <w:r w:rsidRPr="00A060B6">
        <w:rPr>
          <w:lang w:eastAsia="en-AU"/>
        </w:rPr>
        <w:tab/>
        <w:t>non-party discovery;</w:t>
      </w:r>
    </w:p>
    <w:p w:rsidR="00F8610E" w:rsidRPr="00A060B6" w:rsidRDefault="00F8610E" w:rsidP="00486F06">
      <w:pPr>
        <w:pStyle w:val="Apara"/>
        <w:rPr>
          <w:lang w:eastAsia="en-AU"/>
        </w:rPr>
      </w:pPr>
      <w:r w:rsidRPr="00A060B6">
        <w:rPr>
          <w:lang w:eastAsia="en-AU"/>
        </w:rPr>
        <w:tab/>
        <w:t>(d)</w:t>
      </w:r>
      <w:r w:rsidRPr="00A060B6">
        <w:rPr>
          <w:lang w:eastAsia="en-AU"/>
        </w:rPr>
        <w:tab/>
        <w:t>interrogatories;</w:t>
      </w:r>
    </w:p>
    <w:p w:rsidR="00F8610E" w:rsidRPr="00A060B6" w:rsidRDefault="00F8610E" w:rsidP="00486F06">
      <w:pPr>
        <w:pStyle w:val="Apara"/>
        <w:rPr>
          <w:lang w:eastAsia="en-AU"/>
        </w:rPr>
      </w:pPr>
      <w:r w:rsidRPr="00A060B6">
        <w:rPr>
          <w:lang w:eastAsia="en-AU"/>
        </w:rPr>
        <w:tab/>
        <w:t>(e)</w:t>
      </w:r>
      <w:r w:rsidRPr="00A060B6">
        <w:rPr>
          <w:lang w:eastAsia="en-AU"/>
        </w:rPr>
        <w:tab/>
        <w:t>a notice to produce;</w:t>
      </w:r>
    </w:p>
    <w:p w:rsidR="00F8610E" w:rsidRPr="00A060B6" w:rsidRDefault="00F8610E" w:rsidP="00486F06">
      <w:pPr>
        <w:pStyle w:val="Apara"/>
        <w:rPr>
          <w:lang w:eastAsia="en-AU"/>
        </w:rPr>
      </w:pPr>
      <w:r w:rsidRPr="00A060B6">
        <w:rPr>
          <w:lang w:eastAsia="en-AU"/>
        </w:rPr>
        <w:tab/>
        <w:t>(f)</w:t>
      </w:r>
      <w:r w:rsidRPr="00A060B6">
        <w:rPr>
          <w:lang w:eastAsia="en-AU"/>
        </w:rPr>
        <w:tab/>
        <w:t>a request to produce a document under division 4.6.1 (</w:t>
      </w:r>
      <w:r w:rsidRPr="00A060B6">
        <w:t>Requests to produce documents or call witnesses)</w:t>
      </w:r>
      <w:r w:rsidRPr="00A060B6">
        <w:rPr>
          <w:lang w:eastAsia="en-AU"/>
        </w:rPr>
        <w:t>.</w:t>
      </w:r>
    </w:p>
    <w:p w:rsidR="001424EB" w:rsidRPr="00F1390F" w:rsidRDefault="001424EB" w:rsidP="001424EB">
      <w:pPr>
        <w:pStyle w:val="aNote"/>
        <w:keepNext/>
      </w:pPr>
      <w:r w:rsidRPr="00AF17FE">
        <w:rPr>
          <w:rStyle w:val="charItals"/>
        </w:rPr>
        <w:t>Note 1</w:t>
      </w:r>
      <w:r w:rsidRPr="00AF17FE">
        <w:rPr>
          <w:rStyle w:val="charItals"/>
        </w:rPr>
        <w:tab/>
      </w:r>
      <w:r w:rsidRPr="00F1390F">
        <w:t xml:space="preserve">The </w:t>
      </w:r>
      <w:hyperlink r:id="rId114" w:tooltip="Evidence Act 1995" w:history="1">
        <w:r w:rsidR="001D1BCB" w:rsidRPr="001D1BCB">
          <w:rPr>
            <w:rStyle w:val="charCitHyperlinkAbbrev"/>
          </w:rPr>
          <w:t>Commonwealth Act</w:t>
        </w:r>
      </w:hyperlink>
      <w:r w:rsidRPr="00F1390F">
        <w:t>, s 131A applies only to that Act, div 1A (Journalists’ privilege).</w:t>
      </w:r>
    </w:p>
    <w:p w:rsidR="001424EB" w:rsidRPr="00F1390F" w:rsidRDefault="001424EB" w:rsidP="001424EB">
      <w:pPr>
        <w:pStyle w:val="aNote"/>
      </w:pPr>
      <w:r w:rsidRPr="00AF17FE">
        <w:rPr>
          <w:rStyle w:val="charItals"/>
        </w:rPr>
        <w:t>Note 2</w:t>
      </w:r>
      <w:r w:rsidRPr="00AF17FE">
        <w:rPr>
          <w:rStyle w:val="charItals"/>
        </w:rPr>
        <w:tab/>
      </w:r>
      <w:r w:rsidRPr="00F1390F">
        <w:t xml:space="preserve">The </w:t>
      </w:r>
      <w:hyperlink r:id="rId115" w:tooltip="Evidence Act 1995" w:history="1">
        <w:r w:rsidR="001D1BCB" w:rsidRPr="001D1BCB">
          <w:rPr>
            <w:rStyle w:val="charCitHyperlinkAbbrev"/>
          </w:rPr>
          <w:t>Commonwealth Act</w:t>
        </w:r>
      </w:hyperlink>
      <w:r w:rsidRPr="00F1390F">
        <w:t xml:space="preserve"> includes a provision (s 131B) that extends the application of that Act, div 1A to proceedings in all Australian courts for Commonwealth offences.</w:t>
      </w:r>
    </w:p>
    <w:p w:rsidR="00F8610E" w:rsidRPr="00A060B6" w:rsidRDefault="00F8610E" w:rsidP="00486F06">
      <w:pPr>
        <w:pStyle w:val="AH5Sec"/>
      </w:pPr>
      <w:bookmarkStart w:id="193" w:name="_Toc11748548"/>
      <w:r w:rsidRPr="003925E1">
        <w:rPr>
          <w:rStyle w:val="CharSectNo"/>
        </w:rPr>
        <w:t>132</w:t>
      </w:r>
      <w:r w:rsidRPr="00A060B6">
        <w:tab/>
        <w:t>Court to inform of rights to make applications and objections</w:t>
      </w:r>
      <w:bookmarkEnd w:id="193"/>
    </w:p>
    <w:p w:rsidR="00F8610E" w:rsidRPr="00A060B6" w:rsidRDefault="00F8610E" w:rsidP="00BF022D">
      <w:pPr>
        <w:pStyle w:val="Amainreturn"/>
        <w:keepLines/>
      </w:pPr>
      <w:r w:rsidRPr="00A060B6">
        <w:t>If it appears to the court that a witness or party may have grounds for making an application or objection under a provision of this part, the court must satisfy itself (if there is a jury, in the jury’s absence) that the witness or party is aware of the effect of the provision.</w:t>
      </w:r>
    </w:p>
    <w:p w:rsidR="00F8610E" w:rsidRPr="00A060B6" w:rsidRDefault="00F8610E" w:rsidP="00486F06">
      <w:pPr>
        <w:pStyle w:val="AH5Sec"/>
      </w:pPr>
      <w:bookmarkStart w:id="194" w:name="_Toc11748549"/>
      <w:r w:rsidRPr="003925E1">
        <w:rPr>
          <w:rStyle w:val="CharSectNo"/>
        </w:rPr>
        <w:t>133</w:t>
      </w:r>
      <w:r w:rsidRPr="00A060B6">
        <w:tab/>
        <w:t>Court may inspect etc documents</w:t>
      </w:r>
      <w:bookmarkEnd w:id="194"/>
    </w:p>
    <w:p w:rsidR="00F8610E" w:rsidRPr="00A060B6" w:rsidRDefault="00F8610E" w:rsidP="00E51812">
      <w:pPr>
        <w:pStyle w:val="Amainreturn"/>
      </w:pPr>
      <w:r w:rsidRPr="00A060B6">
        <w:t>If a question arises under this part in relation to a document, the court may order that the document be produced to it and may inspect the document for the purpose of deciding the question.</w:t>
      </w:r>
    </w:p>
    <w:p w:rsidR="00F8610E" w:rsidRPr="00A060B6" w:rsidRDefault="00F8610E" w:rsidP="00486F06">
      <w:pPr>
        <w:pStyle w:val="AH5Sec"/>
      </w:pPr>
      <w:bookmarkStart w:id="195" w:name="_Toc11748550"/>
      <w:r w:rsidRPr="003925E1">
        <w:rPr>
          <w:rStyle w:val="CharSectNo"/>
        </w:rPr>
        <w:lastRenderedPageBreak/>
        <w:t>134</w:t>
      </w:r>
      <w:r w:rsidRPr="00A060B6">
        <w:tab/>
        <w:t>Inadmissibility of evidence that must not be presented or given</w:t>
      </w:r>
      <w:bookmarkEnd w:id="195"/>
    </w:p>
    <w:p w:rsidR="00F8610E" w:rsidRPr="00A060B6" w:rsidRDefault="00F8610E" w:rsidP="00E51812">
      <w:pPr>
        <w:pStyle w:val="Amainreturn"/>
      </w:pPr>
      <w:r w:rsidRPr="00A060B6">
        <w:t>Evidence that, because of this part, must not be presented or given in a proceeding is not admissible in the proceeding.</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196" w:name="_Toc11748551"/>
      <w:r w:rsidRPr="003925E1">
        <w:rPr>
          <w:rStyle w:val="CharPartNo"/>
        </w:rPr>
        <w:lastRenderedPageBreak/>
        <w:t>Part 3.11</w:t>
      </w:r>
      <w:r w:rsidRPr="00A060B6">
        <w:tab/>
      </w:r>
      <w:r w:rsidRPr="003925E1">
        <w:rPr>
          <w:rStyle w:val="CharPartText"/>
        </w:rPr>
        <w:t>Discretionary and mandatory exclusions</w:t>
      </w:r>
      <w:bookmarkEnd w:id="196"/>
    </w:p>
    <w:p w:rsidR="00F8610E" w:rsidRPr="00A060B6" w:rsidRDefault="00F8610E" w:rsidP="000E543D">
      <w:pPr>
        <w:pStyle w:val="Placeholder"/>
        <w:suppressLineNumbers/>
      </w:pPr>
      <w:r w:rsidRPr="00A060B6">
        <w:rPr>
          <w:rStyle w:val="CharDivNo"/>
        </w:rPr>
        <w:t xml:space="preserve">  </w:t>
      </w:r>
      <w:r w:rsidRPr="00A060B6">
        <w:rPr>
          <w:rStyle w:val="CharDivText"/>
        </w:rPr>
        <w:t xml:space="preserve">  </w:t>
      </w:r>
    </w:p>
    <w:p w:rsidR="00F8610E" w:rsidRPr="00A060B6" w:rsidRDefault="00F8610E" w:rsidP="00486F06">
      <w:pPr>
        <w:pStyle w:val="AH5Sec"/>
      </w:pPr>
      <w:bookmarkStart w:id="197" w:name="_Toc11748552"/>
      <w:r w:rsidRPr="003925E1">
        <w:rPr>
          <w:rStyle w:val="CharSectNo"/>
        </w:rPr>
        <w:t>135</w:t>
      </w:r>
      <w:r w:rsidRPr="00A060B6">
        <w:tab/>
        <w:t>General discretion to exclude evidence</w:t>
      </w:r>
      <w:bookmarkEnd w:id="197"/>
    </w:p>
    <w:p w:rsidR="00F8610E" w:rsidRPr="00A060B6" w:rsidRDefault="00F8610E" w:rsidP="00E51812">
      <w:pPr>
        <w:pStyle w:val="Amainreturn"/>
      </w:pPr>
      <w:r w:rsidRPr="00A060B6">
        <w:t>The court may refuse to admit evidence if its probative value is substantially outweighed by the danger that the evidence might—</w:t>
      </w:r>
    </w:p>
    <w:p w:rsidR="00F8610E" w:rsidRPr="00A060B6" w:rsidRDefault="00F8610E" w:rsidP="00486F06">
      <w:pPr>
        <w:pStyle w:val="Apara"/>
      </w:pPr>
      <w:r w:rsidRPr="00A060B6">
        <w:tab/>
        <w:t>(a)</w:t>
      </w:r>
      <w:r w:rsidRPr="00A060B6">
        <w:tab/>
        <w:t>be unfairly prejudicial to a party; or</w:t>
      </w:r>
    </w:p>
    <w:p w:rsidR="00F8610E" w:rsidRPr="00A060B6" w:rsidRDefault="00F8610E" w:rsidP="00486F06">
      <w:pPr>
        <w:pStyle w:val="Apara"/>
      </w:pPr>
      <w:r w:rsidRPr="00A060B6">
        <w:tab/>
        <w:t>(b)</w:t>
      </w:r>
      <w:r w:rsidRPr="00A060B6">
        <w:tab/>
        <w:t>be misleading or confusing; or</w:t>
      </w:r>
    </w:p>
    <w:p w:rsidR="00F8610E" w:rsidRPr="00A060B6" w:rsidRDefault="00F8610E" w:rsidP="00486F06">
      <w:pPr>
        <w:pStyle w:val="Apara"/>
      </w:pPr>
      <w:r w:rsidRPr="00A060B6">
        <w:tab/>
        <w:t>(c)</w:t>
      </w:r>
      <w:r w:rsidRPr="00A060B6">
        <w:tab/>
        <w:t>cause or result in undue waste of time.</w:t>
      </w:r>
    </w:p>
    <w:p w:rsidR="00F8610E" w:rsidRPr="00A060B6" w:rsidRDefault="00F8610E" w:rsidP="00486F06">
      <w:pPr>
        <w:pStyle w:val="AH5Sec"/>
      </w:pPr>
      <w:bookmarkStart w:id="198" w:name="_Toc11748553"/>
      <w:r w:rsidRPr="003925E1">
        <w:rPr>
          <w:rStyle w:val="CharSectNo"/>
        </w:rPr>
        <w:t>136</w:t>
      </w:r>
      <w:r w:rsidRPr="00A060B6">
        <w:tab/>
        <w:t>General discretion to limit use of evidence</w:t>
      </w:r>
      <w:bookmarkEnd w:id="198"/>
    </w:p>
    <w:p w:rsidR="00F8610E" w:rsidRPr="00A060B6" w:rsidRDefault="00F8610E" w:rsidP="00E51812">
      <w:pPr>
        <w:pStyle w:val="Amainreturn"/>
      </w:pPr>
      <w:r w:rsidRPr="00A060B6">
        <w:t>The court may limit the use to be made of evidence if there is a danger that a particular use of the evidence might—</w:t>
      </w:r>
    </w:p>
    <w:p w:rsidR="00F8610E" w:rsidRPr="00A060B6" w:rsidRDefault="00F8610E" w:rsidP="00486F06">
      <w:pPr>
        <w:pStyle w:val="Apara"/>
      </w:pPr>
      <w:r w:rsidRPr="00A060B6">
        <w:tab/>
        <w:t>(a)</w:t>
      </w:r>
      <w:r w:rsidRPr="00A060B6">
        <w:tab/>
        <w:t>be unfairly prejudicial to a party; or</w:t>
      </w:r>
    </w:p>
    <w:p w:rsidR="00F8610E" w:rsidRPr="00A060B6" w:rsidRDefault="00F8610E" w:rsidP="00486F06">
      <w:pPr>
        <w:pStyle w:val="Apara"/>
      </w:pPr>
      <w:r w:rsidRPr="00A060B6">
        <w:tab/>
        <w:t>(b)</w:t>
      </w:r>
      <w:r w:rsidRPr="00A060B6">
        <w:tab/>
        <w:t>be misleading or confusing.</w:t>
      </w:r>
    </w:p>
    <w:p w:rsidR="00F8610E" w:rsidRPr="00A060B6" w:rsidRDefault="00F8610E" w:rsidP="00486F06">
      <w:pPr>
        <w:pStyle w:val="AH5Sec"/>
      </w:pPr>
      <w:bookmarkStart w:id="199" w:name="_Toc11748554"/>
      <w:r w:rsidRPr="003925E1">
        <w:rPr>
          <w:rStyle w:val="CharSectNo"/>
        </w:rPr>
        <w:t>137</w:t>
      </w:r>
      <w:r w:rsidRPr="00A060B6">
        <w:tab/>
        <w:t>Exclusion of prejudicial evidence in criminal proceedings</w:t>
      </w:r>
      <w:bookmarkEnd w:id="199"/>
    </w:p>
    <w:p w:rsidR="00F8610E" w:rsidRPr="00A060B6" w:rsidRDefault="00F8610E" w:rsidP="00E51812">
      <w:pPr>
        <w:pStyle w:val="Amainreturn"/>
      </w:pPr>
      <w:r w:rsidRPr="00A060B6">
        <w:t>In a criminal proceeding, the court must refuse to admit evidence presented by the prosecutor if its probative value is outweighed by the danger of unfair prejudice to the defendant.</w:t>
      </w:r>
    </w:p>
    <w:p w:rsidR="00F8610E" w:rsidRPr="00A060B6" w:rsidRDefault="00F8610E" w:rsidP="00486F06">
      <w:pPr>
        <w:pStyle w:val="AH5Sec"/>
      </w:pPr>
      <w:bookmarkStart w:id="200" w:name="_Toc11748555"/>
      <w:r w:rsidRPr="003925E1">
        <w:rPr>
          <w:rStyle w:val="CharSectNo"/>
        </w:rPr>
        <w:t>138</w:t>
      </w:r>
      <w:r w:rsidRPr="00A060B6">
        <w:tab/>
        <w:t>Exclusion of improperly or illegally obtained evidence</w:t>
      </w:r>
      <w:bookmarkEnd w:id="200"/>
    </w:p>
    <w:p w:rsidR="00F8610E" w:rsidRPr="00A060B6" w:rsidRDefault="00F8610E" w:rsidP="002E7253">
      <w:pPr>
        <w:pStyle w:val="Amain"/>
        <w:keepNext/>
      </w:pPr>
      <w:r w:rsidRPr="00A060B6">
        <w:tab/>
        <w:t>(1)</w:t>
      </w:r>
      <w:r w:rsidRPr="00A060B6">
        <w:tab/>
        <w:t>Evidence that was obtained—</w:t>
      </w:r>
    </w:p>
    <w:p w:rsidR="00F8610E" w:rsidRPr="00A060B6" w:rsidRDefault="00F8610E" w:rsidP="002E7253">
      <w:pPr>
        <w:pStyle w:val="Apara"/>
        <w:keepNext/>
      </w:pPr>
      <w:r w:rsidRPr="00A060B6">
        <w:tab/>
        <w:t>(a)</w:t>
      </w:r>
      <w:r w:rsidRPr="00A060B6">
        <w:tab/>
        <w:t>improperly or in contravention of an Australian law; or</w:t>
      </w:r>
    </w:p>
    <w:p w:rsidR="00F8610E" w:rsidRPr="00A060B6" w:rsidRDefault="00F8610E" w:rsidP="002E7253">
      <w:pPr>
        <w:pStyle w:val="Apara"/>
        <w:keepNext/>
      </w:pPr>
      <w:r w:rsidRPr="00A060B6">
        <w:tab/>
        <w:t>(b)</w:t>
      </w:r>
      <w:r w:rsidRPr="00A060B6">
        <w:tab/>
        <w:t>in consequence of an impropriety or of a contravention of an Australian law;</w:t>
      </w:r>
    </w:p>
    <w:p w:rsidR="00F8610E" w:rsidRPr="00A060B6" w:rsidRDefault="00F8610E" w:rsidP="00E51812">
      <w:pPr>
        <w:pStyle w:val="Amainreturn"/>
      </w:pPr>
      <w:r w:rsidRPr="00A060B6">
        <w:t>must not be admitted unless the desirability of admitting the evidence outweighs the undesirability of admitting evidence that has been obtained in the way in which the evidence was obtained.</w:t>
      </w:r>
    </w:p>
    <w:p w:rsidR="00F8610E" w:rsidRPr="00A060B6" w:rsidRDefault="00F8610E" w:rsidP="00486F06">
      <w:pPr>
        <w:pStyle w:val="Amain"/>
      </w:pPr>
      <w:r w:rsidRPr="00A060B6">
        <w:lastRenderedPageBreak/>
        <w:tab/>
        <w:t>(2)</w:t>
      </w:r>
      <w:r w:rsidRPr="00A060B6">
        <w:tab/>
        <w:t>Without limiting subsection (1), evidence of an admission that was made during or in consequence of questioning, and evidence obtained in consequence of the admission, is taken to have been obtained improperly if the person conducting the questioning—</w:t>
      </w:r>
    </w:p>
    <w:p w:rsidR="00F8610E" w:rsidRPr="00A060B6" w:rsidRDefault="00F8610E" w:rsidP="00486F06">
      <w:pPr>
        <w:pStyle w:val="Apara"/>
      </w:pPr>
      <w:r w:rsidRPr="00A060B6">
        <w:tab/>
        <w:t>(a)</w:t>
      </w:r>
      <w:r w:rsidRPr="00A060B6">
        <w:tab/>
        <w:t>did, or omitted to do, an act in the course of the questioning even though the person knew or ought reasonably to have known that the act or omission was likely to impair substantially the ability of the person being questioned to respond rationally to the questioning; or</w:t>
      </w:r>
    </w:p>
    <w:p w:rsidR="00F8610E" w:rsidRPr="00A060B6" w:rsidRDefault="00F8610E" w:rsidP="00486F06">
      <w:pPr>
        <w:pStyle w:val="Apara"/>
      </w:pPr>
      <w:r w:rsidRPr="00A060B6">
        <w:tab/>
        <w:t>(b)</w:t>
      </w:r>
      <w:r w:rsidRPr="00A060B6">
        <w:tab/>
        <w:t>made a false statement in the course of the questioning even though the person knew or ought reasonably to have known that the statement was false and that making the false statement was likely to cause the person who was being questioned to make an admission.</w:t>
      </w:r>
    </w:p>
    <w:p w:rsidR="00F8610E" w:rsidRPr="00A060B6" w:rsidRDefault="00F8610E" w:rsidP="00486F06">
      <w:pPr>
        <w:pStyle w:val="Amain"/>
      </w:pPr>
      <w:r w:rsidRPr="00A060B6">
        <w:tab/>
        <w:t>(3)</w:t>
      </w:r>
      <w:r w:rsidRPr="00A060B6">
        <w:tab/>
        <w:t>Without limiting the matters that the court may take into account under subsection (1), it must take into account—</w:t>
      </w:r>
    </w:p>
    <w:p w:rsidR="00F8610E" w:rsidRPr="00A060B6" w:rsidRDefault="00F8610E" w:rsidP="00486F06">
      <w:pPr>
        <w:pStyle w:val="Apara"/>
      </w:pPr>
      <w:r w:rsidRPr="00A060B6">
        <w:tab/>
        <w:t>(a)</w:t>
      </w:r>
      <w:r w:rsidRPr="00A060B6">
        <w:tab/>
        <w:t>the probative value of the evidence; and</w:t>
      </w:r>
    </w:p>
    <w:p w:rsidR="00F8610E" w:rsidRPr="00A060B6" w:rsidRDefault="00F8610E" w:rsidP="00486F06">
      <w:pPr>
        <w:pStyle w:val="Apara"/>
      </w:pPr>
      <w:r w:rsidRPr="00A060B6">
        <w:tab/>
        <w:t>(b)</w:t>
      </w:r>
      <w:r w:rsidRPr="00A060B6">
        <w:tab/>
        <w:t>the importance of the evidence in the proceeding; and</w:t>
      </w:r>
    </w:p>
    <w:p w:rsidR="00F8610E" w:rsidRPr="00A060B6" w:rsidRDefault="00F8610E" w:rsidP="00486F06">
      <w:pPr>
        <w:pStyle w:val="Apara"/>
      </w:pPr>
      <w:r w:rsidRPr="00A060B6">
        <w:tab/>
        <w:t>(c)</w:t>
      </w:r>
      <w:r w:rsidRPr="00A060B6">
        <w:tab/>
        <w:t>the nature of the relevant offence, cause of action or defence and the nature of the subject matter of the proceeding; and</w:t>
      </w:r>
    </w:p>
    <w:p w:rsidR="00F8610E" w:rsidRPr="00A060B6" w:rsidRDefault="00F8610E" w:rsidP="00486F06">
      <w:pPr>
        <w:pStyle w:val="Apara"/>
      </w:pPr>
      <w:r w:rsidRPr="00A060B6">
        <w:tab/>
        <w:t>(d)</w:t>
      </w:r>
      <w:r w:rsidRPr="00A060B6">
        <w:tab/>
        <w:t>the gravity of the impropriety or contravention; and</w:t>
      </w:r>
    </w:p>
    <w:p w:rsidR="00F8610E" w:rsidRPr="00A060B6" w:rsidRDefault="00F8610E" w:rsidP="00486F06">
      <w:pPr>
        <w:pStyle w:val="Apara"/>
      </w:pPr>
      <w:r w:rsidRPr="00A060B6">
        <w:tab/>
        <w:t>(e)</w:t>
      </w:r>
      <w:r w:rsidRPr="00A060B6">
        <w:tab/>
        <w:t>whether the impropriety or contravention was deliberate or reckless; and</w:t>
      </w:r>
    </w:p>
    <w:p w:rsidR="00F8610E" w:rsidRPr="00A060B6" w:rsidRDefault="00F8610E" w:rsidP="00486F06">
      <w:pPr>
        <w:pStyle w:val="Apara"/>
      </w:pPr>
      <w:r w:rsidRPr="00A060B6">
        <w:tab/>
        <w:t>(f)</w:t>
      </w:r>
      <w:r w:rsidRPr="00A060B6">
        <w:tab/>
        <w:t xml:space="preserve">whether the impropriety or contravention was contrary to or inconsistent with a right of a person recognised by the </w:t>
      </w:r>
      <w:r w:rsidRPr="005D1BC5">
        <w:rPr>
          <w:rStyle w:val="charItals"/>
        </w:rPr>
        <w:t>International Covenant on Civil and Political Rights</w:t>
      </w:r>
      <w:r w:rsidRPr="00A060B6">
        <w:t>; and</w:t>
      </w:r>
    </w:p>
    <w:p w:rsidR="00F8610E" w:rsidRPr="00A060B6" w:rsidRDefault="00F8610E" w:rsidP="00486F06">
      <w:pPr>
        <w:pStyle w:val="Apara"/>
      </w:pPr>
      <w:r w:rsidRPr="00A060B6">
        <w:tab/>
        <w:t>(g)</w:t>
      </w:r>
      <w:r w:rsidRPr="00A060B6">
        <w:tab/>
        <w:t>whether any other proceeding (whether or not in a court) has been or is likely to be taken in relation to the impropriety or contravention; and</w:t>
      </w:r>
    </w:p>
    <w:p w:rsidR="00F8610E" w:rsidRPr="00A060B6" w:rsidRDefault="00F8610E" w:rsidP="00486F06">
      <w:pPr>
        <w:pStyle w:val="Apara"/>
      </w:pPr>
      <w:r w:rsidRPr="00A060B6">
        <w:lastRenderedPageBreak/>
        <w:tab/>
        <w:t>(h)</w:t>
      </w:r>
      <w:r w:rsidRPr="00A060B6">
        <w:tab/>
        <w:t>the difficulty (if any) of obtaining the evidence without impropriety or contravention of an Australian law.</w:t>
      </w:r>
    </w:p>
    <w:p w:rsidR="00F8610E" w:rsidRPr="00A060B6" w:rsidRDefault="00F8610E" w:rsidP="00DE272D">
      <w:pPr>
        <w:pStyle w:val="aNotepar"/>
        <w:ind w:left="2410" w:hanging="810"/>
        <w:jc w:val="left"/>
      </w:pPr>
      <w:r w:rsidRPr="005D1BC5">
        <w:rPr>
          <w:rStyle w:val="charItals"/>
        </w:rPr>
        <w:t>Note</w:t>
      </w:r>
      <w:r w:rsidRPr="005D1BC5">
        <w:rPr>
          <w:rStyle w:val="charItals"/>
        </w:rPr>
        <w:tab/>
      </w:r>
      <w:r w:rsidRPr="00A060B6">
        <w:t xml:space="preserve">The </w:t>
      </w:r>
      <w:r w:rsidRPr="005D1BC5">
        <w:rPr>
          <w:rStyle w:val="charItals"/>
        </w:rPr>
        <w:t>International Covenant on Civil and Political Rights</w:t>
      </w:r>
      <w:r w:rsidRPr="00A060B6">
        <w:t xml:space="preserve"> is accessible at </w:t>
      </w:r>
      <w:hyperlink r:id="rId116" w:tooltip="International Covenant on Civil and Political Rights" w:history="1">
        <w:r w:rsidR="0009475A" w:rsidRPr="0009475A">
          <w:rPr>
            <w:rStyle w:val="charCitHyperlinkAbbrev"/>
          </w:rPr>
          <w:t>www.legislation.act.gov.au/updates/humanrights/</w:t>
        </w:r>
      </w:hyperlink>
      <w:r w:rsidRPr="00A060B6">
        <w:t>.</w:t>
      </w:r>
    </w:p>
    <w:p w:rsidR="00F8610E" w:rsidRPr="00A060B6" w:rsidRDefault="00F8610E" w:rsidP="00486F06">
      <w:pPr>
        <w:pStyle w:val="AH5Sec"/>
      </w:pPr>
      <w:bookmarkStart w:id="201" w:name="_Toc11748556"/>
      <w:r w:rsidRPr="003925E1">
        <w:rPr>
          <w:rStyle w:val="CharSectNo"/>
        </w:rPr>
        <w:t>139</w:t>
      </w:r>
      <w:r w:rsidRPr="00A060B6">
        <w:tab/>
        <w:t>Cautioning of people</w:t>
      </w:r>
      <w:bookmarkEnd w:id="201"/>
    </w:p>
    <w:p w:rsidR="00F8610E" w:rsidRPr="00A060B6" w:rsidRDefault="00F8610E" w:rsidP="00486F06">
      <w:pPr>
        <w:pStyle w:val="Amain"/>
      </w:pPr>
      <w:r w:rsidRPr="00A060B6">
        <w:tab/>
        <w:t>(1)</w:t>
      </w:r>
      <w:r w:rsidRPr="00A060B6">
        <w:tab/>
        <w:t>For section 138 (1) (a), evidence of a statement made or act done by a person during questioning is taken to have been obtained improperly if—</w:t>
      </w:r>
    </w:p>
    <w:p w:rsidR="00F8610E" w:rsidRPr="00A060B6" w:rsidRDefault="00F8610E" w:rsidP="00486F06">
      <w:pPr>
        <w:pStyle w:val="Apara"/>
      </w:pPr>
      <w:r w:rsidRPr="00A060B6">
        <w:tab/>
        <w:t>(a)</w:t>
      </w:r>
      <w:r w:rsidRPr="00A060B6">
        <w:tab/>
        <w:t>the person was under arrest for an offence at the time; and</w:t>
      </w:r>
    </w:p>
    <w:p w:rsidR="00F8610E" w:rsidRPr="00A060B6" w:rsidRDefault="00F8610E" w:rsidP="00486F06">
      <w:pPr>
        <w:pStyle w:val="Apara"/>
      </w:pPr>
      <w:r w:rsidRPr="00A060B6">
        <w:tab/>
        <w:t>(b)</w:t>
      </w:r>
      <w:r w:rsidRPr="00A060B6">
        <w:tab/>
        <w:t>the questioning was conducted by an investigating official who was at the time empowered, because of the office that the official held, to arrest the person; and</w:t>
      </w:r>
    </w:p>
    <w:p w:rsidR="00F8610E" w:rsidRPr="00A060B6" w:rsidRDefault="00F8610E" w:rsidP="00486F06">
      <w:pPr>
        <w:pStyle w:val="Apara"/>
      </w:pPr>
      <w:r w:rsidRPr="00A060B6">
        <w:tab/>
        <w:t>(c)</w:t>
      </w:r>
      <w:r w:rsidRPr="00A060B6">
        <w:tab/>
        <w:t>before starting the questioning the investigating official did not caution the person that the person does not have to say or do anything but that anything the person does say or do may be used in evidence.</w:t>
      </w:r>
    </w:p>
    <w:p w:rsidR="00F8610E" w:rsidRPr="00A060B6" w:rsidRDefault="00F8610E" w:rsidP="00486F06">
      <w:pPr>
        <w:pStyle w:val="Amain"/>
      </w:pPr>
      <w:r w:rsidRPr="00A060B6">
        <w:tab/>
        <w:t>(2)</w:t>
      </w:r>
      <w:r w:rsidRPr="00A060B6">
        <w:tab/>
        <w:t>For section 138 (1) (a), evidence of a statement made or an act done by a person during questioning is taken to have been obtained improperly if—</w:t>
      </w:r>
    </w:p>
    <w:p w:rsidR="00F8610E" w:rsidRPr="00A060B6" w:rsidRDefault="00F8610E" w:rsidP="00486F06">
      <w:pPr>
        <w:pStyle w:val="Apara"/>
      </w:pPr>
      <w:r w:rsidRPr="00A060B6">
        <w:tab/>
        <w:t>(a)</w:t>
      </w:r>
      <w:r w:rsidRPr="00A060B6">
        <w:tab/>
        <w:t>the questioning was conducted by an investigating official who did not have the power to arrest the person; and</w:t>
      </w:r>
    </w:p>
    <w:p w:rsidR="00F8610E" w:rsidRPr="00A060B6" w:rsidRDefault="00F8610E" w:rsidP="00486F06">
      <w:pPr>
        <w:pStyle w:val="Apara"/>
      </w:pPr>
      <w:r w:rsidRPr="00A060B6">
        <w:tab/>
        <w:t>(b)</w:t>
      </w:r>
      <w:r w:rsidRPr="00A060B6">
        <w:tab/>
        <w:t>the statement was made, or the act was done, after the investigating official formed a belief that there was sufficient evidence to establish that the person has committed an offence; and</w:t>
      </w:r>
    </w:p>
    <w:p w:rsidR="00F8610E" w:rsidRPr="00A060B6" w:rsidRDefault="00F8610E" w:rsidP="00486F06">
      <w:pPr>
        <w:pStyle w:val="Apara"/>
      </w:pPr>
      <w:r w:rsidRPr="00A060B6">
        <w:tab/>
        <w:t>(c)</w:t>
      </w:r>
      <w:r w:rsidRPr="00A060B6">
        <w:tab/>
        <w:t>the investigating official did not, before the statement was made or act was done, caution the person that the person does not have to say or do anything but that anything the person does say or do may be used in evidence.</w:t>
      </w:r>
    </w:p>
    <w:p w:rsidR="00F8610E" w:rsidRPr="00A060B6" w:rsidRDefault="00F8610E" w:rsidP="00486F06">
      <w:pPr>
        <w:pStyle w:val="Amain"/>
      </w:pPr>
      <w:r w:rsidRPr="00A060B6">
        <w:lastRenderedPageBreak/>
        <w:tab/>
        <w:t>(3)</w:t>
      </w:r>
      <w:r w:rsidRPr="00A060B6">
        <w:tab/>
        <w:t>The caution must be given in, or translated into, a language in which the person is able to communicate with reasonable fluency, but need not be given in writing unless the person cannot hear adequately.</w:t>
      </w:r>
    </w:p>
    <w:p w:rsidR="00F8610E" w:rsidRPr="00A060B6" w:rsidRDefault="00F8610E" w:rsidP="00486F06">
      <w:pPr>
        <w:pStyle w:val="Amain"/>
      </w:pPr>
      <w:r w:rsidRPr="00A060B6">
        <w:tab/>
        <w:t>(4)</w:t>
      </w:r>
      <w:r w:rsidRPr="00A060B6">
        <w:tab/>
        <w:t>Subsections (1), (2) and (3) do not apply so far as any Australian law requires the person to answer questions put by, or do things required by, the investigating official.</w:t>
      </w:r>
    </w:p>
    <w:p w:rsidR="00F8610E" w:rsidRPr="00A060B6" w:rsidRDefault="00F8610E" w:rsidP="00486F06">
      <w:pPr>
        <w:pStyle w:val="Amain"/>
      </w:pPr>
      <w:r w:rsidRPr="00A060B6">
        <w:tab/>
        <w:t>(5)</w:t>
      </w:r>
      <w:r w:rsidRPr="00A060B6">
        <w:tab/>
        <w:t>A reference in subsection (1) to a person who is under arrest includes a reference to a person who is in the company of an investigating official for the purpose of being questioned, if—</w:t>
      </w:r>
    </w:p>
    <w:p w:rsidR="00F8610E" w:rsidRPr="00A060B6" w:rsidRDefault="00F8610E" w:rsidP="00486F06">
      <w:pPr>
        <w:pStyle w:val="Apara"/>
      </w:pPr>
      <w:r w:rsidRPr="00A060B6">
        <w:tab/>
        <w:t>(a)</w:t>
      </w:r>
      <w:r w:rsidRPr="00A060B6">
        <w:tab/>
        <w:t>the official believes that there is sufficient evidence to establish that the person has committed an offence that is to be the subject of the questioning; or</w:t>
      </w:r>
    </w:p>
    <w:p w:rsidR="00F8610E" w:rsidRPr="00A060B6" w:rsidRDefault="00F8610E" w:rsidP="00486F06">
      <w:pPr>
        <w:pStyle w:val="Apara"/>
      </w:pPr>
      <w:r w:rsidRPr="00A060B6">
        <w:tab/>
        <w:t>(b)</w:t>
      </w:r>
      <w:r w:rsidRPr="00A060B6">
        <w:tab/>
        <w:t>the official would not allow the person to leave if the person wished to do so; or</w:t>
      </w:r>
    </w:p>
    <w:p w:rsidR="00F8610E" w:rsidRPr="00A060B6" w:rsidRDefault="00F8610E" w:rsidP="00486F06">
      <w:pPr>
        <w:pStyle w:val="Apara"/>
      </w:pPr>
      <w:r w:rsidRPr="00A060B6">
        <w:tab/>
        <w:t>(c)</w:t>
      </w:r>
      <w:r w:rsidRPr="00A060B6">
        <w:tab/>
        <w:t>the official has given the person reasonable grounds for believing that the person would not be allowed to leave if the person wished to do so.</w:t>
      </w:r>
    </w:p>
    <w:p w:rsidR="00F8610E" w:rsidRPr="00A060B6" w:rsidRDefault="00F8610E" w:rsidP="00486F06">
      <w:pPr>
        <w:pStyle w:val="Amain"/>
      </w:pPr>
      <w:r w:rsidRPr="00A060B6">
        <w:tab/>
        <w:t>(6)</w:t>
      </w:r>
      <w:r w:rsidRPr="00A060B6">
        <w:tab/>
        <w:t>A person is not treated as being under arrest only because of subsection (5) if—</w:t>
      </w:r>
    </w:p>
    <w:p w:rsidR="00F8610E" w:rsidRPr="00A060B6" w:rsidRDefault="00F8610E" w:rsidP="00486F06">
      <w:pPr>
        <w:pStyle w:val="Apara"/>
      </w:pPr>
      <w:r w:rsidRPr="00A060B6">
        <w:tab/>
        <w:t>(a)</w:t>
      </w:r>
      <w:r w:rsidRPr="00A060B6">
        <w:tab/>
        <w:t>the official is exercising functions in relation to people or goods entering or leaving Australia and the official does not believe the person has committed an offence against a Commonwealth law; or</w:t>
      </w:r>
    </w:p>
    <w:p w:rsidR="00F8610E" w:rsidRPr="00A060B6" w:rsidRDefault="00F8610E" w:rsidP="00486F06">
      <w:pPr>
        <w:pStyle w:val="Apara"/>
      </w:pPr>
      <w:r w:rsidRPr="00A060B6">
        <w:tab/>
        <w:t>(b)</w:t>
      </w:r>
      <w:r w:rsidRPr="00A060B6">
        <w:tab/>
        <w:t xml:space="preserve">the official is exercising a function under an Australian law to detain and search the person or to require the person to provide information or to answer questions. </w:t>
      </w:r>
    </w:p>
    <w:p w:rsidR="00F8610E" w:rsidRPr="00A060B6" w:rsidRDefault="00F8610E" w:rsidP="000E543D">
      <w:pPr>
        <w:pStyle w:val="PageBreak"/>
        <w:suppressLineNumbers/>
      </w:pPr>
      <w:r w:rsidRPr="00A060B6">
        <w:br w:type="page"/>
      </w:r>
    </w:p>
    <w:p w:rsidR="00F8610E" w:rsidRPr="003925E1" w:rsidRDefault="00F8610E" w:rsidP="00486F06">
      <w:pPr>
        <w:pStyle w:val="AH1Chapter"/>
      </w:pPr>
      <w:bookmarkStart w:id="202" w:name="_Toc11748557"/>
      <w:r w:rsidRPr="003925E1">
        <w:rPr>
          <w:rStyle w:val="CharChapNo"/>
        </w:rPr>
        <w:lastRenderedPageBreak/>
        <w:t>Chapter 4</w:t>
      </w:r>
      <w:r w:rsidRPr="00A060B6">
        <w:tab/>
      </w:r>
      <w:r w:rsidRPr="003925E1">
        <w:rPr>
          <w:rStyle w:val="CharChapText"/>
        </w:rPr>
        <w:t>Proof</w:t>
      </w:r>
      <w:bookmarkEnd w:id="202"/>
      <w:r w:rsidRPr="003925E1">
        <w:rPr>
          <w:rStyle w:val="CharChapText"/>
        </w:rPr>
        <w:t xml:space="preserve"> </w:t>
      </w:r>
    </w:p>
    <w:p w:rsidR="00F8610E" w:rsidRPr="00A060B6" w:rsidRDefault="00F8610E" w:rsidP="00B23A3F">
      <w:pPr>
        <w:pStyle w:val="aNote"/>
      </w:pPr>
      <w:r w:rsidRPr="005D1BC5">
        <w:rPr>
          <w:rStyle w:val="charItals"/>
        </w:rPr>
        <w:t>Note</w:t>
      </w:r>
      <w:r w:rsidRPr="005D1BC5">
        <w:rPr>
          <w:rStyle w:val="charItals"/>
        </w:rPr>
        <w:tab/>
      </w:r>
      <w:r w:rsidRPr="00A060B6">
        <w:t xml:space="preserve">This chapter is about the proof of matters in a proceeding.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4.1 is about the standard of proof in civil proceedings and criminal proceedings.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4.2 is about matters that do not require proof in a proceeding.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4.3 makes easier the proof of the matters dealt with in that part.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4.4 is about requirements that evidence be corroborated.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4.5 requires judges to warn juries about the potential unreliability of certain kinds of evidence. </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Pt 4.6 sets out procedures for proving certain other matters.</w:t>
      </w:r>
    </w:p>
    <w:p w:rsidR="00F8610E" w:rsidRPr="003925E1" w:rsidRDefault="00F8610E" w:rsidP="00486F06">
      <w:pPr>
        <w:pStyle w:val="AH2Part"/>
      </w:pPr>
      <w:bookmarkStart w:id="203" w:name="_Toc11748558"/>
      <w:r w:rsidRPr="003925E1">
        <w:rPr>
          <w:rStyle w:val="CharPartNo"/>
        </w:rPr>
        <w:t>Part 4.1</w:t>
      </w:r>
      <w:r w:rsidRPr="00A060B6">
        <w:tab/>
      </w:r>
      <w:r w:rsidRPr="003925E1">
        <w:rPr>
          <w:rStyle w:val="CharPartText"/>
        </w:rPr>
        <w:t>Standard of proof</w:t>
      </w:r>
      <w:bookmarkEnd w:id="203"/>
    </w:p>
    <w:p w:rsidR="00F8610E" w:rsidRPr="00A060B6" w:rsidRDefault="00F8610E" w:rsidP="00486F06">
      <w:pPr>
        <w:pStyle w:val="AH5Sec"/>
      </w:pPr>
      <w:bookmarkStart w:id="204" w:name="_Toc11748559"/>
      <w:r w:rsidRPr="003925E1">
        <w:rPr>
          <w:rStyle w:val="CharSectNo"/>
        </w:rPr>
        <w:t>140</w:t>
      </w:r>
      <w:r w:rsidRPr="00A060B6">
        <w:tab/>
        <w:t>Civil proceedings—standard of proof</w:t>
      </w:r>
      <w:bookmarkEnd w:id="204"/>
    </w:p>
    <w:p w:rsidR="00F8610E" w:rsidRPr="00A060B6" w:rsidRDefault="00F8610E" w:rsidP="00486F06">
      <w:pPr>
        <w:pStyle w:val="Amain"/>
      </w:pPr>
      <w:r w:rsidRPr="00A060B6">
        <w:tab/>
        <w:t>(1)</w:t>
      </w:r>
      <w:r w:rsidRPr="00A060B6">
        <w:tab/>
        <w:t>In a civil proceeding, the court must find the case of a party proved if it is satisfied that the case has been proved on the balance of probabilities.</w:t>
      </w:r>
    </w:p>
    <w:p w:rsidR="00F8610E" w:rsidRPr="00A060B6" w:rsidRDefault="00F8610E" w:rsidP="00486F06">
      <w:pPr>
        <w:pStyle w:val="Amain"/>
      </w:pPr>
      <w:r w:rsidRPr="00A060B6">
        <w:tab/>
        <w:t>(2)</w:t>
      </w:r>
      <w:r w:rsidRPr="00A060B6">
        <w:tab/>
        <w:t>Without limiting the matters that the court may take into account in deciding whether it is satisfied, it must take into account—</w:t>
      </w:r>
    </w:p>
    <w:p w:rsidR="00F8610E" w:rsidRPr="00A060B6" w:rsidRDefault="00F8610E" w:rsidP="00486F06">
      <w:pPr>
        <w:pStyle w:val="Apara"/>
      </w:pPr>
      <w:r w:rsidRPr="00A060B6">
        <w:tab/>
        <w:t>(a)</w:t>
      </w:r>
      <w:r w:rsidRPr="00A060B6">
        <w:tab/>
        <w:t>the nature of the cause of action or defence; and</w:t>
      </w:r>
    </w:p>
    <w:p w:rsidR="00F8610E" w:rsidRPr="00A060B6" w:rsidRDefault="00F8610E" w:rsidP="00486F06">
      <w:pPr>
        <w:pStyle w:val="Apara"/>
      </w:pPr>
      <w:r w:rsidRPr="00A060B6">
        <w:tab/>
        <w:t>(b)</w:t>
      </w:r>
      <w:r w:rsidRPr="00A060B6">
        <w:tab/>
        <w:t>the nature of the subject matter of the proceeding; and</w:t>
      </w:r>
    </w:p>
    <w:p w:rsidR="00F8610E" w:rsidRPr="00A060B6" w:rsidRDefault="00F8610E" w:rsidP="00486F06">
      <w:pPr>
        <w:pStyle w:val="Apara"/>
      </w:pPr>
      <w:r w:rsidRPr="00A060B6">
        <w:tab/>
        <w:t>(c)</w:t>
      </w:r>
      <w:r w:rsidRPr="00A060B6">
        <w:tab/>
        <w:t>the gravity of the matters alleged.</w:t>
      </w:r>
    </w:p>
    <w:p w:rsidR="00F8610E" w:rsidRPr="00A060B6" w:rsidRDefault="00F8610E" w:rsidP="00486F06">
      <w:pPr>
        <w:pStyle w:val="AH5Sec"/>
      </w:pPr>
      <w:bookmarkStart w:id="205" w:name="_Toc11748560"/>
      <w:r w:rsidRPr="003925E1">
        <w:rPr>
          <w:rStyle w:val="CharSectNo"/>
        </w:rPr>
        <w:t>141</w:t>
      </w:r>
      <w:r w:rsidRPr="00A060B6">
        <w:tab/>
        <w:t>Criminal proceedings—standard of proof</w:t>
      </w:r>
      <w:bookmarkEnd w:id="205"/>
    </w:p>
    <w:p w:rsidR="00F8610E" w:rsidRPr="00A060B6" w:rsidRDefault="00F8610E" w:rsidP="002E7253">
      <w:pPr>
        <w:pStyle w:val="Amain"/>
        <w:keepNext/>
      </w:pPr>
      <w:r w:rsidRPr="00A060B6">
        <w:tab/>
        <w:t>(1)</w:t>
      </w:r>
      <w:r w:rsidRPr="00A060B6">
        <w:tab/>
        <w:t>In a criminal proceeding, the court must not find the case of the prosecution proved unless it is satisfied that it has been proved beyond reasonable doubt.</w:t>
      </w:r>
    </w:p>
    <w:p w:rsidR="00F8610E" w:rsidRPr="00A060B6" w:rsidRDefault="00F8610E" w:rsidP="00486F06">
      <w:pPr>
        <w:pStyle w:val="Amain"/>
      </w:pPr>
      <w:r w:rsidRPr="00A060B6">
        <w:tab/>
        <w:t>(2)</w:t>
      </w:r>
      <w:r w:rsidRPr="00A060B6">
        <w:tab/>
        <w:t>In a criminal proceeding, the court must find the case of a defendant proved if it is satisfied that the case has been proved on the balance of probabilities.</w:t>
      </w:r>
    </w:p>
    <w:p w:rsidR="00F8610E" w:rsidRPr="00A060B6" w:rsidRDefault="00F8610E" w:rsidP="00486F06">
      <w:pPr>
        <w:pStyle w:val="AH5Sec"/>
      </w:pPr>
      <w:bookmarkStart w:id="206" w:name="_Toc11748561"/>
      <w:r w:rsidRPr="003925E1">
        <w:rPr>
          <w:rStyle w:val="CharSectNo"/>
        </w:rPr>
        <w:lastRenderedPageBreak/>
        <w:t>142</w:t>
      </w:r>
      <w:r w:rsidRPr="00A060B6">
        <w:tab/>
        <w:t>Admissibility of evidence—standard of proof</w:t>
      </w:r>
      <w:bookmarkEnd w:id="206"/>
    </w:p>
    <w:p w:rsidR="00F8610E" w:rsidRPr="00A060B6" w:rsidRDefault="00F8610E" w:rsidP="00486F06">
      <w:pPr>
        <w:pStyle w:val="Amain"/>
      </w:pPr>
      <w:r w:rsidRPr="00A060B6">
        <w:tab/>
        <w:t>(1)</w:t>
      </w:r>
      <w:r w:rsidRPr="00A060B6">
        <w:tab/>
        <w:t>Except as otherwise provided by this Act, in a proceeding the court must find that the facts necessary for deciding—</w:t>
      </w:r>
    </w:p>
    <w:p w:rsidR="00F8610E" w:rsidRPr="00A060B6" w:rsidRDefault="00F8610E" w:rsidP="00486F06">
      <w:pPr>
        <w:pStyle w:val="Apara"/>
      </w:pPr>
      <w:r w:rsidRPr="00A060B6">
        <w:tab/>
        <w:t>(a)</w:t>
      </w:r>
      <w:r w:rsidRPr="00A060B6">
        <w:tab/>
        <w:t>a question whether evidence should be admitted or not admitted, whether in the exercise of a discretion or not; or</w:t>
      </w:r>
    </w:p>
    <w:p w:rsidR="00F8610E" w:rsidRPr="00A060B6" w:rsidRDefault="00F8610E" w:rsidP="00486F06">
      <w:pPr>
        <w:pStyle w:val="Apara"/>
      </w:pPr>
      <w:r w:rsidRPr="00A060B6">
        <w:tab/>
        <w:t>(b)</w:t>
      </w:r>
      <w:r w:rsidRPr="00A060B6">
        <w:tab/>
        <w:t>any other question arising under this Act;</w:t>
      </w:r>
    </w:p>
    <w:p w:rsidR="00F8610E" w:rsidRPr="00A060B6" w:rsidRDefault="00F8610E" w:rsidP="00825E01">
      <w:pPr>
        <w:pStyle w:val="Amainreturn"/>
      </w:pPr>
      <w:r w:rsidRPr="00A060B6">
        <w:t>have been proved if it is satisfied that they have been proved on the balance of probabilities.</w:t>
      </w:r>
    </w:p>
    <w:p w:rsidR="00F8610E" w:rsidRPr="00A060B6" w:rsidRDefault="00F8610E" w:rsidP="00486F06">
      <w:pPr>
        <w:pStyle w:val="Amain"/>
      </w:pPr>
      <w:r w:rsidRPr="00A060B6">
        <w:tab/>
        <w:t>(2)</w:t>
      </w:r>
      <w:r w:rsidRPr="00A060B6">
        <w:tab/>
        <w:t>In deciding whether it is satisfied, the matters that the court must take into account include—</w:t>
      </w:r>
    </w:p>
    <w:p w:rsidR="00F8610E" w:rsidRPr="00A060B6" w:rsidRDefault="00F8610E" w:rsidP="00486F06">
      <w:pPr>
        <w:pStyle w:val="Apara"/>
      </w:pPr>
      <w:r w:rsidRPr="00A060B6">
        <w:tab/>
        <w:t>(a)</w:t>
      </w:r>
      <w:r w:rsidRPr="00A060B6">
        <w:tab/>
        <w:t>the importance of the evidence in the proceeding; and</w:t>
      </w:r>
    </w:p>
    <w:p w:rsidR="00F8610E" w:rsidRPr="00A060B6" w:rsidRDefault="00F8610E" w:rsidP="00486F06">
      <w:pPr>
        <w:pStyle w:val="Apara"/>
      </w:pPr>
      <w:r w:rsidRPr="00A060B6">
        <w:tab/>
        <w:t>(b)</w:t>
      </w:r>
      <w:r w:rsidRPr="00A060B6">
        <w:tab/>
        <w:t>the gravity of the matters alleged in relation to the question.</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207" w:name="_Toc11748562"/>
      <w:r w:rsidRPr="003925E1">
        <w:rPr>
          <w:rStyle w:val="CharPartNo"/>
        </w:rPr>
        <w:lastRenderedPageBreak/>
        <w:t>Part 4.2</w:t>
      </w:r>
      <w:r w:rsidRPr="00A060B6">
        <w:tab/>
      </w:r>
      <w:r w:rsidRPr="003925E1">
        <w:rPr>
          <w:rStyle w:val="CharPartText"/>
        </w:rPr>
        <w:t>Judicial notice</w:t>
      </w:r>
      <w:bookmarkEnd w:id="207"/>
    </w:p>
    <w:p w:rsidR="00F8610E" w:rsidRPr="00A060B6" w:rsidRDefault="00F8610E" w:rsidP="00486F06">
      <w:pPr>
        <w:pStyle w:val="AH5Sec"/>
      </w:pPr>
      <w:bookmarkStart w:id="208" w:name="_Toc11748563"/>
      <w:r w:rsidRPr="003925E1">
        <w:rPr>
          <w:rStyle w:val="CharSectNo"/>
        </w:rPr>
        <w:t>143</w:t>
      </w:r>
      <w:r w:rsidRPr="00A060B6">
        <w:tab/>
        <w:t>Matters of law</w:t>
      </w:r>
      <w:bookmarkEnd w:id="208"/>
    </w:p>
    <w:p w:rsidR="00F8610E" w:rsidRPr="00A060B6" w:rsidRDefault="00F8610E" w:rsidP="00486F06">
      <w:pPr>
        <w:pStyle w:val="Amain"/>
      </w:pPr>
      <w:r w:rsidRPr="00A060B6">
        <w:tab/>
        <w:t>(1)</w:t>
      </w:r>
      <w:r w:rsidRPr="00A060B6">
        <w:tab/>
        <w:t>Proof is not required about the provisions and coming into operation (all or in part) of—</w:t>
      </w:r>
    </w:p>
    <w:p w:rsidR="00F8610E" w:rsidRPr="00A060B6" w:rsidRDefault="00F8610E" w:rsidP="00486F06">
      <w:pPr>
        <w:pStyle w:val="Apara"/>
      </w:pPr>
      <w:r w:rsidRPr="00A060B6">
        <w:tab/>
        <w:t>(a)</w:t>
      </w:r>
      <w:r w:rsidRPr="00A060B6">
        <w:tab/>
        <w:t xml:space="preserve">an Act or Territory ordinance, an Imperial Act in force in Australia, a </w:t>
      </w:r>
      <w:hyperlink r:id="rId117" w:tooltip="Evidence Act 1995" w:history="1">
        <w:r w:rsidR="00506E3A" w:rsidRPr="001D1BCB">
          <w:rPr>
            <w:rStyle w:val="charCitHyperlinkAbbrev"/>
          </w:rPr>
          <w:t>Commonwealth Act</w:t>
        </w:r>
      </w:hyperlink>
      <w:r w:rsidRPr="00A060B6">
        <w:t>, a State Act or an Act or ordinance of another Territory; or</w:t>
      </w:r>
    </w:p>
    <w:p w:rsidR="00F8610E" w:rsidRPr="00A060B6" w:rsidRDefault="00F8610E" w:rsidP="00486F06">
      <w:pPr>
        <w:pStyle w:val="Apara"/>
      </w:pPr>
      <w:r w:rsidRPr="00A060B6">
        <w:tab/>
        <w:t>(b)</w:t>
      </w:r>
      <w:r w:rsidRPr="00A060B6">
        <w:tab/>
        <w:t>a regulation, rule or by-law made, or purporting to be made, under an Act or ordinance mentioned in paragraph (a); or</w:t>
      </w:r>
    </w:p>
    <w:p w:rsidR="00F8610E" w:rsidRPr="00A060B6" w:rsidRDefault="00F8610E" w:rsidP="00486F06">
      <w:pPr>
        <w:pStyle w:val="Apara"/>
      </w:pPr>
      <w:r w:rsidRPr="00A060B6">
        <w:tab/>
        <w:t>(c)</w:t>
      </w:r>
      <w:r w:rsidRPr="00A060B6">
        <w:tab/>
        <w:t>a proclamation or order of the Governor-General, the Governor of a State or the Administrator or Executive of a Territory made, or purporting to be made, under an Act or ordinance mentioned in paragraph (a); or</w:t>
      </w:r>
    </w:p>
    <w:p w:rsidR="00F8610E" w:rsidRPr="00A060B6" w:rsidRDefault="00F8610E" w:rsidP="00486F06">
      <w:pPr>
        <w:pStyle w:val="Apara"/>
      </w:pPr>
      <w:r w:rsidRPr="00A060B6">
        <w:tab/>
        <w:t>(d)</w:t>
      </w:r>
      <w:r w:rsidRPr="00A060B6">
        <w:tab/>
        <w:t>an instrument of a legislative character (for example, a rule of court) made, or purporting to be made, under an Act or ordinance mentioned in  paragraph (a), that is an instrument required by or under a law to be published, or the making of which is required by or under a law to be notified, in any government or official gazette (however described).</w:t>
      </w:r>
    </w:p>
    <w:p w:rsidR="00F8610E" w:rsidRPr="00A060B6" w:rsidRDefault="00F8610E" w:rsidP="00486F06">
      <w:pPr>
        <w:pStyle w:val="Amain"/>
      </w:pPr>
      <w:r w:rsidRPr="00A060B6">
        <w:tab/>
        <w:t>(2)</w:t>
      </w:r>
      <w:r w:rsidRPr="00A060B6">
        <w:tab/>
        <w:t>A judge may inform himself or herself about those matters in any way the judge thinks fit.</w:t>
      </w:r>
    </w:p>
    <w:p w:rsidR="00F8610E" w:rsidRPr="00A060B6" w:rsidRDefault="00F8610E" w:rsidP="00532E65">
      <w:pPr>
        <w:pStyle w:val="Amain"/>
        <w:keepNext/>
      </w:pPr>
      <w:r w:rsidRPr="00A060B6">
        <w:tab/>
        <w:t>(3)</w:t>
      </w:r>
      <w:r w:rsidRPr="00A060B6">
        <w:tab/>
        <w:t>A reference in this section to an Act that is an Act of an Australian Parliament includes a reference to a private Act passed by the Parliament.</w:t>
      </w:r>
    </w:p>
    <w:p w:rsidR="00F8610E" w:rsidRPr="00A060B6" w:rsidRDefault="00F8610E" w:rsidP="000A2F6B">
      <w:pPr>
        <w:pStyle w:val="aNote"/>
      </w:pPr>
      <w:r w:rsidRPr="005D1BC5">
        <w:rPr>
          <w:rStyle w:val="charItals"/>
        </w:rPr>
        <w:t>Note</w:t>
      </w:r>
      <w:r w:rsidRPr="005D1BC5">
        <w:rPr>
          <w:rStyle w:val="charItals"/>
        </w:rPr>
        <w:tab/>
      </w:r>
      <w:r w:rsidRPr="00A060B6">
        <w:t xml:space="preserve">The </w:t>
      </w:r>
      <w:hyperlink r:id="rId118" w:tooltip="Evidence Act 1995" w:history="1">
        <w:r w:rsidR="001D1BCB" w:rsidRPr="001D1BCB">
          <w:rPr>
            <w:rStyle w:val="charCitHyperlinkAbbrev"/>
          </w:rPr>
          <w:t>Commonwealth Act</w:t>
        </w:r>
      </w:hyperlink>
      <w:r w:rsidRPr="00A060B6">
        <w:t>, s 5 extends the operation of the equivalent Commonwealth section to proceedings in all Australian courts.</w:t>
      </w:r>
    </w:p>
    <w:p w:rsidR="00F8610E" w:rsidRPr="00A060B6" w:rsidRDefault="00F8610E" w:rsidP="0044405C">
      <w:pPr>
        <w:pStyle w:val="AH5Sec"/>
      </w:pPr>
      <w:bookmarkStart w:id="209" w:name="_Toc11748564"/>
      <w:r w:rsidRPr="003925E1">
        <w:rPr>
          <w:rStyle w:val="CharSectNo"/>
        </w:rPr>
        <w:lastRenderedPageBreak/>
        <w:t>144</w:t>
      </w:r>
      <w:r w:rsidRPr="00A060B6">
        <w:tab/>
        <w:t>Matters of common knowledge</w:t>
      </w:r>
      <w:bookmarkEnd w:id="209"/>
    </w:p>
    <w:p w:rsidR="00F8610E" w:rsidRPr="00A060B6" w:rsidRDefault="00F8610E" w:rsidP="0044405C">
      <w:pPr>
        <w:pStyle w:val="Amain"/>
        <w:keepNext/>
      </w:pPr>
      <w:r w:rsidRPr="00A060B6">
        <w:tab/>
        <w:t>(1)</w:t>
      </w:r>
      <w:r w:rsidRPr="00A060B6">
        <w:tab/>
        <w:t>Proof is not required about knowledge that is not reasonably open to question and is—</w:t>
      </w:r>
    </w:p>
    <w:p w:rsidR="00F8610E" w:rsidRPr="00A060B6" w:rsidRDefault="00F8610E" w:rsidP="00486F06">
      <w:pPr>
        <w:pStyle w:val="Apara"/>
      </w:pPr>
      <w:r w:rsidRPr="00A060B6">
        <w:tab/>
        <w:t>(a)</w:t>
      </w:r>
      <w:r w:rsidRPr="00A060B6">
        <w:tab/>
        <w:t>common knowledge in the place in which the proceeding is being held or generally; or</w:t>
      </w:r>
    </w:p>
    <w:p w:rsidR="00F8610E" w:rsidRPr="00A060B6" w:rsidRDefault="00F8610E" w:rsidP="00486F06">
      <w:pPr>
        <w:pStyle w:val="Apara"/>
      </w:pPr>
      <w:r w:rsidRPr="00A060B6">
        <w:tab/>
        <w:t>(b)</w:t>
      </w:r>
      <w:r w:rsidRPr="00A060B6">
        <w:tab/>
        <w:t>capable of verification by reference to a document the authority of which cannot reasonably be questioned.</w:t>
      </w:r>
    </w:p>
    <w:p w:rsidR="00F8610E" w:rsidRPr="00A060B6" w:rsidRDefault="00F8610E" w:rsidP="00486F06">
      <w:pPr>
        <w:pStyle w:val="Amain"/>
      </w:pPr>
      <w:r w:rsidRPr="00A060B6">
        <w:tab/>
        <w:t>(2)</w:t>
      </w:r>
      <w:r w:rsidRPr="00A060B6">
        <w:tab/>
        <w:t>The judge may acquire knowledge mentioned in subsection (1) in any way the judge thinks fit.</w:t>
      </w:r>
    </w:p>
    <w:p w:rsidR="00F8610E" w:rsidRPr="00A060B6" w:rsidRDefault="00F8610E" w:rsidP="00486F06">
      <w:pPr>
        <w:pStyle w:val="Amain"/>
      </w:pPr>
      <w:r w:rsidRPr="00A060B6">
        <w:tab/>
        <w:t>(3)</w:t>
      </w:r>
      <w:r w:rsidRPr="00A060B6">
        <w:tab/>
        <w:t>The court (including, if there is a jury, the jury) must take knowledge mentioned in subsection (1) into account.</w:t>
      </w:r>
    </w:p>
    <w:p w:rsidR="00F8610E" w:rsidRPr="00A060B6" w:rsidRDefault="00F8610E" w:rsidP="00486F06">
      <w:pPr>
        <w:pStyle w:val="Amain"/>
      </w:pPr>
      <w:r w:rsidRPr="00A060B6">
        <w:tab/>
        <w:t>(4)</w:t>
      </w:r>
      <w:r w:rsidRPr="00A060B6">
        <w:tab/>
        <w:t>The judge must give a party the opportunity to make submissions, and to refer to relevant information, relating to the acquiring or taking into account of knowledge mentioned in subsection (1) that is necessary to ensure that the party is not unfairly prejudiced.</w:t>
      </w:r>
    </w:p>
    <w:p w:rsidR="00F8610E" w:rsidRPr="00A060B6" w:rsidRDefault="00F8610E" w:rsidP="00486F06">
      <w:pPr>
        <w:pStyle w:val="AH5Sec"/>
      </w:pPr>
      <w:bookmarkStart w:id="210" w:name="_Toc11748565"/>
      <w:r w:rsidRPr="003925E1">
        <w:rPr>
          <w:rStyle w:val="CharSectNo"/>
        </w:rPr>
        <w:t>145</w:t>
      </w:r>
      <w:r w:rsidRPr="00A060B6">
        <w:tab/>
        <w:t>Certain Crown certificates</w:t>
      </w:r>
      <w:bookmarkEnd w:id="210"/>
    </w:p>
    <w:p w:rsidR="00F8610E" w:rsidRPr="00A060B6" w:rsidRDefault="00F8610E" w:rsidP="00E51812">
      <w:pPr>
        <w:pStyle w:val="Amainreturn"/>
      </w:pPr>
      <w:r w:rsidRPr="00A060B6">
        <w:t>This part does not exclude the application of the principles and rules of common law and equity relating to the effect of a certificate given by or on behalf of the Crown in relation to a matter of international affairs.</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211" w:name="_Toc11748566"/>
      <w:r w:rsidRPr="003925E1">
        <w:rPr>
          <w:rStyle w:val="CharPartNo"/>
        </w:rPr>
        <w:lastRenderedPageBreak/>
        <w:t>Part 4.3</w:t>
      </w:r>
      <w:r w:rsidRPr="00A060B6">
        <w:tab/>
      </w:r>
      <w:r w:rsidRPr="003925E1">
        <w:rPr>
          <w:rStyle w:val="CharPartText"/>
        </w:rPr>
        <w:t>Facilitation of proof</w:t>
      </w:r>
      <w:bookmarkEnd w:id="211"/>
    </w:p>
    <w:p w:rsidR="00F8610E" w:rsidRPr="003925E1" w:rsidRDefault="00F8610E" w:rsidP="00486F06">
      <w:pPr>
        <w:pStyle w:val="AH3Div"/>
      </w:pPr>
      <w:bookmarkStart w:id="212" w:name="_Toc11748567"/>
      <w:r w:rsidRPr="003925E1">
        <w:rPr>
          <w:rStyle w:val="CharDivNo"/>
        </w:rPr>
        <w:t>Division 4.3.1</w:t>
      </w:r>
      <w:r w:rsidRPr="00A060B6">
        <w:tab/>
      </w:r>
      <w:r w:rsidRPr="003925E1">
        <w:rPr>
          <w:rStyle w:val="CharDivText"/>
        </w:rPr>
        <w:t>General</w:t>
      </w:r>
      <w:bookmarkEnd w:id="212"/>
    </w:p>
    <w:p w:rsidR="00F8610E" w:rsidRPr="00A060B6" w:rsidRDefault="00F8610E" w:rsidP="00486F06">
      <w:pPr>
        <w:pStyle w:val="AH5Sec"/>
      </w:pPr>
      <w:bookmarkStart w:id="213" w:name="_Toc11748568"/>
      <w:r w:rsidRPr="003925E1">
        <w:rPr>
          <w:rStyle w:val="CharSectNo"/>
        </w:rPr>
        <w:t>146</w:t>
      </w:r>
      <w:r w:rsidRPr="00A060B6">
        <w:tab/>
        <w:t>Evidence produced by processes, machines and other devices</w:t>
      </w:r>
      <w:bookmarkEnd w:id="213"/>
    </w:p>
    <w:p w:rsidR="00F8610E" w:rsidRPr="00A060B6" w:rsidRDefault="00F8610E" w:rsidP="00486F06">
      <w:pPr>
        <w:pStyle w:val="Amain"/>
      </w:pPr>
      <w:r w:rsidRPr="00A060B6">
        <w:tab/>
        <w:t>(1)</w:t>
      </w:r>
      <w:r w:rsidRPr="00A060B6">
        <w:tab/>
        <w:t>This section applies to a document or thing—</w:t>
      </w:r>
    </w:p>
    <w:p w:rsidR="00F8610E" w:rsidRPr="00A060B6" w:rsidRDefault="00F8610E" w:rsidP="00486F06">
      <w:pPr>
        <w:pStyle w:val="Apara"/>
      </w:pPr>
      <w:r w:rsidRPr="00A060B6">
        <w:tab/>
        <w:t>(a)</w:t>
      </w:r>
      <w:r w:rsidRPr="00A060B6">
        <w:tab/>
        <w:t>that is produced completely or partly by a device or process; and</w:t>
      </w:r>
    </w:p>
    <w:p w:rsidR="00F8610E" w:rsidRPr="00A060B6" w:rsidRDefault="00F8610E" w:rsidP="00486F06">
      <w:pPr>
        <w:pStyle w:val="Apara"/>
      </w:pPr>
      <w:r w:rsidRPr="00A060B6">
        <w:tab/>
        <w:t>(b)</w:t>
      </w:r>
      <w:r w:rsidRPr="00A060B6">
        <w:tab/>
        <w:t>that is tendered by a party who asserts that, in producing the document or thing, the device or process has produced a particular outcome.</w:t>
      </w:r>
    </w:p>
    <w:p w:rsidR="00F8610E" w:rsidRPr="00A060B6" w:rsidRDefault="00F8610E" w:rsidP="00486F06">
      <w:pPr>
        <w:pStyle w:val="Amain"/>
      </w:pPr>
      <w:r w:rsidRPr="00A060B6">
        <w:tab/>
        <w:t>(2)</w:t>
      </w:r>
      <w:r w:rsidRPr="00A060B6">
        <w:tab/>
        <w:t>If it is reasonably open to find that the device or process is one that, or is of a kind that, if properly used, ordinarily produces that outcome, it is presumed (unless evidence sufficient to raise doubt about the presumption is presented) that, in producing the document or thing on the occasion in question, the device or process produced that outcome.</w:t>
      </w:r>
    </w:p>
    <w:p w:rsidR="00F8610E" w:rsidRPr="00A060B6" w:rsidRDefault="00F8610E" w:rsidP="00E51812">
      <w:pPr>
        <w:pStyle w:val="aExamHdgss"/>
      </w:pPr>
      <w:r w:rsidRPr="00A060B6">
        <w:t>Example</w:t>
      </w:r>
    </w:p>
    <w:p w:rsidR="00F8610E" w:rsidRPr="00A060B6" w:rsidRDefault="00F8610E" w:rsidP="00C23C3D">
      <w:pPr>
        <w:pStyle w:val="aExamss"/>
        <w:keepNext/>
      </w:pPr>
      <w:r w:rsidRPr="00A060B6">
        <w:t>It would not be necessary to call evidence to prove that a photocopier normally produced complete copies of documents and that it was working properly when it was used to photocopy a particular document.</w:t>
      </w:r>
    </w:p>
    <w:p w:rsidR="00F8610E" w:rsidRPr="00A060B6" w:rsidRDefault="00F8610E" w:rsidP="00486F06">
      <w:pPr>
        <w:pStyle w:val="AH5Sec"/>
      </w:pPr>
      <w:bookmarkStart w:id="214" w:name="_Toc11748569"/>
      <w:r w:rsidRPr="003925E1">
        <w:rPr>
          <w:rStyle w:val="CharSectNo"/>
        </w:rPr>
        <w:t>147</w:t>
      </w:r>
      <w:r w:rsidRPr="00A060B6">
        <w:tab/>
        <w:t>Documents produced by processes, machines and other devices in the course of business</w:t>
      </w:r>
      <w:bookmarkEnd w:id="214"/>
    </w:p>
    <w:p w:rsidR="00F8610E" w:rsidRPr="00A060B6" w:rsidRDefault="00F8610E" w:rsidP="002E7253">
      <w:pPr>
        <w:pStyle w:val="Amain"/>
        <w:keepNext/>
      </w:pPr>
      <w:r w:rsidRPr="00A060B6">
        <w:tab/>
        <w:t>(1)</w:t>
      </w:r>
      <w:r w:rsidRPr="00A060B6">
        <w:tab/>
        <w:t>This section applies to a document—</w:t>
      </w:r>
    </w:p>
    <w:p w:rsidR="00F8610E" w:rsidRPr="00A060B6" w:rsidRDefault="00F8610E" w:rsidP="002E7253">
      <w:pPr>
        <w:pStyle w:val="Apara"/>
        <w:keepNext/>
      </w:pPr>
      <w:r w:rsidRPr="00A060B6">
        <w:tab/>
        <w:t>(a)</w:t>
      </w:r>
      <w:r w:rsidRPr="00A060B6">
        <w:tab/>
        <w:t>that is produced completely or partly by a device or process; and</w:t>
      </w:r>
    </w:p>
    <w:p w:rsidR="00F8610E" w:rsidRPr="00A060B6" w:rsidRDefault="00F8610E" w:rsidP="00486F06">
      <w:pPr>
        <w:pStyle w:val="Apara"/>
      </w:pPr>
      <w:r w:rsidRPr="00A060B6">
        <w:tab/>
        <w:t>(b)</w:t>
      </w:r>
      <w:r w:rsidRPr="00A060B6">
        <w:tab/>
        <w:t>that is tendered by a party who asserts that, in producing the document, the device or process has produced a particular outcome.</w:t>
      </w:r>
    </w:p>
    <w:p w:rsidR="00F8610E" w:rsidRPr="00A060B6" w:rsidRDefault="00F8610E" w:rsidP="00FF3BD9">
      <w:pPr>
        <w:pStyle w:val="Amain"/>
        <w:keepNext/>
      </w:pPr>
      <w:r w:rsidRPr="00A060B6">
        <w:lastRenderedPageBreak/>
        <w:tab/>
        <w:t>(2)</w:t>
      </w:r>
      <w:r w:rsidRPr="00A060B6">
        <w:tab/>
        <w:t>If—</w:t>
      </w:r>
    </w:p>
    <w:p w:rsidR="00F8610E" w:rsidRPr="00A060B6" w:rsidRDefault="00F8610E" w:rsidP="00486F06">
      <w:pPr>
        <w:pStyle w:val="Apara"/>
      </w:pPr>
      <w:r w:rsidRPr="00A060B6">
        <w:tab/>
        <w:t>(a)</w:t>
      </w:r>
      <w:r w:rsidRPr="00A060B6">
        <w:tab/>
        <w:t>the document is, or was at the time it was produced, part of the records of, or kept for the purposes of, a business (whether or not the business is still in existence); and</w:t>
      </w:r>
    </w:p>
    <w:p w:rsidR="00F8610E" w:rsidRPr="00A060B6" w:rsidRDefault="00F8610E" w:rsidP="00486F06">
      <w:pPr>
        <w:pStyle w:val="Apara"/>
      </w:pPr>
      <w:r w:rsidRPr="00A060B6">
        <w:tab/>
        <w:t>(b)</w:t>
      </w:r>
      <w:r w:rsidRPr="00A060B6">
        <w:tab/>
        <w:t>the device or process is or was at that time used for the purposes of the business;</w:t>
      </w:r>
    </w:p>
    <w:p w:rsidR="00F8610E" w:rsidRPr="00A060B6" w:rsidRDefault="00F8610E" w:rsidP="00E51812">
      <w:pPr>
        <w:pStyle w:val="Amainreturn"/>
      </w:pPr>
      <w:r w:rsidRPr="00A060B6">
        <w:t>it is presumed (unless evidence sufficient to raise doubt about the presumption is presented) that, in producing the document on the occasion in question, the device or process produced that outcome.</w:t>
      </w:r>
    </w:p>
    <w:p w:rsidR="00F8610E" w:rsidRPr="00A060B6" w:rsidRDefault="00F8610E" w:rsidP="00486F06">
      <w:pPr>
        <w:pStyle w:val="Amain"/>
      </w:pPr>
      <w:r w:rsidRPr="00A060B6">
        <w:tab/>
        <w:t>(3)</w:t>
      </w:r>
      <w:r w:rsidRPr="00A060B6">
        <w:tab/>
        <w:t>Subsection (2) does not apply to the contents of a document that was produced—</w:t>
      </w:r>
    </w:p>
    <w:p w:rsidR="00F8610E" w:rsidRPr="00A060B6" w:rsidRDefault="00F8610E" w:rsidP="00486F06">
      <w:pPr>
        <w:pStyle w:val="Apara"/>
      </w:pPr>
      <w:r w:rsidRPr="00A060B6">
        <w:tab/>
        <w:t>(a)</w:t>
      </w:r>
      <w:r w:rsidRPr="00A060B6">
        <w:tab/>
        <w:t>for the purpose of conducting, or for or in contemplation of or in connection with, an Australian or overseas proceeding; or</w:t>
      </w:r>
    </w:p>
    <w:p w:rsidR="00F8610E" w:rsidRPr="00A060B6" w:rsidRDefault="00F8610E" w:rsidP="00486F06">
      <w:pPr>
        <w:pStyle w:val="Apara"/>
      </w:pPr>
      <w:r w:rsidRPr="00A060B6">
        <w:tab/>
        <w:t>(b)</w:t>
      </w:r>
      <w:r w:rsidRPr="00A060B6">
        <w:tab/>
        <w:t>in connection with an investigation relating or leading to a criminal proceeding.</w:t>
      </w:r>
    </w:p>
    <w:p w:rsidR="00F8610E" w:rsidRPr="00A060B6" w:rsidRDefault="00F8610E" w:rsidP="00E1246F">
      <w:pPr>
        <w:pStyle w:val="aNote"/>
      </w:pPr>
      <w:r w:rsidRPr="005D1BC5">
        <w:rPr>
          <w:rStyle w:val="charItals"/>
        </w:rPr>
        <w:t>Note</w:t>
      </w:r>
      <w:r w:rsidRPr="005D1BC5">
        <w:rPr>
          <w:rStyle w:val="charItals"/>
        </w:rPr>
        <w:tab/>
      </w:r>
      <w:r w:rsidRPr="00A060B6">
        <w:t xml:space="preserve">The </w:t>
      </w:r>
      <w:hyperlink r:id="rId119" w:tooltip="Evidence Act 1995" w:history="1">
        <w:r w:rsidR="001D1BCB" w:rsidRPr="001D1BCB">
          <w:rPr>
            <w:rStyle w:val="charCitHyperlinkAbbrev"/>
          </w:rPr>
          <w:t>Commonwealth Act</w:t>
        </w:r>
      </w:hyperlink>
      <w:r w:rsidRPr="00A060B6">
        <w:t xml:space="preserve">, s 182  gives the </w:t>
      </w:r>
      <w:hyperlink r:id="rId120" w:tooltip="Evidence Act 1995" w:history="1">
        <w:r w:rsidR="001D1BCB" w:rsidRPr="001D1BCB">
          <w:rPr>
            <w:rStyle w:val="charCitHyperlinkAbbrev"/>
          </w:rPr>
          <w:t>Commonwealth Act</w:t>
        </w:r>
      </w:hyperlink>
      <w:r w:rsidRPr="00A060B6">
        <w:t>, s 147 a wider application in relation to Commonwealth records and certain Commonwealth documents.</w:t>
      </w:r>
    </w:p>
    <w:p w:rsidR="00F8610E" w:rsidRPr="00A060B6" w:rsidRDefault="00F8610E" w:rsidP="00486F06">
      <w:pPr>
        <w:pStyle w:val="AH5Sec"/>
      </w:pPr>
      <w:bookmarkStart w:id="215" w:name="_Toc11748570"/>
      <w:r w:rsidRPr="003925E1">
        <w:rPr>
          <w:rStyle w:val="CharSectNo"/>
        </w:rPr>
        <w:t>148</w:t>
      </w:r>
      <w:r w:rsidRPr="00A060B6">
        <w:tab/>
        <w:t>Evidence of certain acts of justices, Australian lawyers and notaries public</w:t>
      </w:r>
      <w:bookmarkEnd w:id="215"/>
    </w:p>
    <w:p w:rsidR="00F8610E" w:rsidRPr="00A060B6" w:rsidRDefault="00F8610E" w:rsidP="00E51812">
      <w:pPr>
        <w:pStyle w:val="Amainreturn"/>
      </w:pPr>
      <w:r w:rsidRPr="00A060B6">
        <w:t>It is presumed, unless the contrary is proved, that a document was attested or verified by, or signed or acknowledged before, a justice of the peace, Australian lawyer or notary public, if—</w:t>
      </w:r>
    </w:p>
    <w:p w:rsidR="00F8610E" w:rsidRPr="00A060B6" w:rsidRDefault="00F8610E" w:rsidP="00486F06">
      <w:pPr>
        <w:pStyle w:val="Apara"/>
      </w:pPr>
      <w:r w:rsidRPr="00A060B6">
        <w:tab/>
        <w:t>(a)</w:t>
      </w:r>
      <w:r w:rsidRPr="00A060B6">
        <w:tab/>
        <w:t>an Australian law requires, authorises or permits it to be attested, verified, signed or acknowledged by a justice of the peace, Australian lawyer or notary public; and</w:t>
      </w:r>
    </w:p>
    <w:p w:rsidR="00F8610E" w:rsidRPr="00A060B6" w:rsidRDefault="00F8610E" w:rsidP="00486F06">
      <w:pPr>
        <w:pStyle w:val="Apara"/>
      </w:pPr>
      <w:r w:rsidRPr="00A060B6">
        <w:tab/>
        <w:t>(b)</w:t>
      </w:r>
      <w:r w:rsidRPr="00A060B6">
        <w:tab/>
        <w:t>it purports to have been attested, verified, signed or acknowledged in that way.</w:t>
      </w:r>
    </w:p>
    <w:p w:rsidR="00F8610E" w:rsidRPr="00A060B6" w:rsidRDefault="00F8610E" w:rsidP="00486F06">
      <w:pPr>
        <w:pStyle w:val="AH5Sec"/>
      </w:pPr>
      <w:bookmarkStart w:id="216" w:name="_Toc11748571"/>
      <w:r w:rsidRPr="003925E1">
        <w:rPr>
          <w:rStyle w:val="CharSectNo"/>
        </w:rPr>
        <w:lastRenderedPageBreak/>
        <w:t>149</w:t>
      </w:r>
      <w:r w:rsidRPr="00A060B6">
        <w:tab/>
        <w:t>Attestation of documents</w:t>
      </w:r>
      <w:bookmarkEnd w:id="216"/>
    </w:p>
    <w:p w:rsidR="00F8610E" w:rsidRPr="00A060B6" w:rsidRDefault="00F8610E" w:rsidP="00C23C3D">
      <w:pPr>
        <w:pStyle w:val="Amainreturn"/>
        <w:keepNext/>
      </w:pPr>
      <w:r w:rsidRPr="00A060B6">
        <w:t>It is not necessary to present the evidence of an attesting witness to a document (other than a testamentary document) to prove that the document was signed or attested as it purports to have been signed or attested.</w:t>
      </w:r>
    </w:p>
    <w:p w:rsidR="00F8610E" w:rsidRPr="00A060B6" w:rsidRDefault="00F8610E" w:rsidP="00B96530">
      <w:pPr>
        <w:pStyle w:val="aNote"/>
      </w:pPr>
      <w:r w:rsidRPr="005D1BC5">
        <w:rPr>
          <w:rStyle w:val="charItals"/>
        </w:rPr>
        <w:t>Note</w:t>
      </w:r>
      <w:r w:rsidRPr="005D1BC5">
        <w:rPr>
          <w:rStyle w:val="charItals"/>
        </w:rPr>
        <w:tab/>
      </w:r>
      <w:r w:rsidRPr="00A060B6">
        <w:t xml:space="preserve">The </w:t>
      </w:r>
      <w:hyperlink r:id="rId121" w:tooltip="Evidence Act 1995" w:history="1">
        <w:r w:rsidR="001D1BCB" w:rsidRPr="001D1BCB">
          <w:rPr>
            <w:rStyle w:val="charCitHyperlinkAbbrev"/>
          </w:rPr>
          <w:t>Commonwealth Act</w:t>
        </w:r>
      </w:hyperlink>
      <w:r w:rsidRPr="00A060B6">
        <w:t xml:space="preserve">, s 182  gives the </w:t>
      </w:r>
      <w:hyperlink r:id="rId122" w:tooltip="Evidence Act 1995" w:history="1">
        <w:r w:rsidR="001D1BCB" w:rsidRPr="001D1BCB">
          <w:rPr>
            <w:rStyle w:val="charCitHyperlinkAbbrev"/>
          </w:rPr>
          <w:t>Commonwealth Act</w:t>
        </w:r>
      </w:hyperlink>
      <w:r w:rsidRPr="00A060B6">
        <w:t>, s 149 a wider application in relation to Commonwealth records and certain Commonwealth documents.</w:t>
      </w:r>
    </w:p>
    <w:p w:rsidR="00F8610E" w:rsidRPr="00A060B6" w:rsidRDefault="00F8610E" w:rsidP="00486F06">
      <w:pPr>
        <w:pStyle w:val="AH5Sec"/>
      </w:pPr>
      <w:bookmarkStart w:id="217" w:name="_Toc11748572"/>
      <w:r w:rsidRPr="003925E1">
        <w:rPr>
          <w:rStyle w:val="CharSectNo"/>
        </w:rPr>
        <w:t>150</w:t>
      </w:r>
      <w:r w:rsidRPr="00A060B6">
        <w:tab/>
        <w:t>Seals and signatures</w:t>
      </w:r>
      <w:bookmarkEnd w:id="217"/>
    </w:p>
    <w:p w:rsidR="00F8610E" w:rsidRPr="00A060B6" w:rsidRDefault="00F8610E" w:rsidP="00486F06">
      <w:pPr>
        <w:pStyle w:val="Amain"/>
      </w:pPr>
      <w:r w:rsidRPr="00A060B6">
        <w:tab/>
        <w:t>(1)</w:t>
      </w:r>
      <w:r w:rsidRPr="00A060B6">
        <w:tab/>
        <w:t>If the imprint of a seal appears on a document and purports to be the imprint of—</w:t>
      </w:r>
    </w:p>
    <w:p w:rsidR="00F8610E" w:rsidRPr="00A060B6" w:rsidRDefault="00F8610E" w:rsidP="00486F06">
      <w:pPr>
        <w:pStyle w:val="Apara"/>
      </w:pPr>
      <w:r w:rsidRPr="00A060B6">
        <w:tab/>
        <w:t>(a)</w:t>
      </w:r>
      <w:r w:rsidRPr="00A060B6">
        <w:tab/>
        <w:t>a Royal Great Seal; or</w:t>
      </w:r>
    </w:p>
    <w:p w:rsidR="00F8610E" w:rsidRPr="00A060B6" w:rsidRDefault="00F8610E" w:rsidP="00486F06">
      <w:pPr>
        <w:pStyle w:val="Apara"/>
      </w:pPr>
      <w:r w:rsidRPr="00A060B6">
        <w:tab/>
        <w:t>(b)</w:t>
      </w:r>
      <w:r w:rsidRPr="00A060B6">
        <w:tab/>
        <w:t>the Great Seal of Australia; or</w:t>
      </w:r>
    </w:p>
    <w:p w:rsidR="00F8610E" w:rsidRPr="00A060B6" w:rsidRDefault="00F8610E" w:rsidP="00486F06">
      <w:pPr>
        <w:pStyle w:val="Apara"/>
      </w:pPr>
      <w:r w:rsidRPr="00A060B6">
        <w:tab/>
        <w:t>(c)</w:t>
      </w:r>
      <w:r w:rsidRPr="00A060B6">
        <w:tab/>
        <w:t>another seal of the Commonwealth; or</w:t>
      </w:r>
    </w:p>
    <w:p w:rsidR="00F8610E" w:rsidRPr="00A060B6" w:rsidRDefault="00F8610E" w:rsidP="00486F06">
      <w:pPr>
        <w:pStyle w:val="Apara"/>
      </w:pPr>
      <w:r w:rsidRPr="00A060B6">
        <w:tab/>
        <w:t>(d)</w:t>
      </w:r>
      <w:r w:rsidRPr="00A060B6">
        <w:tab/>
        <w:t>a seal of a State, another Territory or a foreign country; or</w:t>
      </w:r>
    </w:p>
    <w:p w:rsidR="00F8610E" w:rsidRPr="00A060B6" w:rsidRDefault="00F8610E" w:rsidP="002E7253">
      <w:pPr>
        <w:pStyle w:val="Apara"/>
        <w:keepNext/>
      </w:pPr>
      <w:r w:rsidRPr="00A060B6">
        <w:tab/>
        <w:t>(e)</w:t>
      </w:r>
      <w:r w:rsidRPr="00A060B6">
        <w:tab/>
        <w:t xml:space="preserve">the seal of a body (including a court or a tribunal), or a body corporate, established by or under Royal Charter or by an Australian law or the law of a foreign country; </w:t>
      </w:r>
    </w:p>
    <w:p w:rsidR="00F8610E" w:rsidRPr="00A060B6" w:rsidRDefault="00F8610E" w:rsidP="00C23C3D">
      <w:pPr>
        <w:pStyle w:val="Amainreturn"/>
        <w:keepNext/>
      </w:pPr>
      <w:r w:rsidRPr="00A060B6">
        <w:t>it is presumed, unless the contrary is proved, that the imprint is the imprint of the seal, and the document was sealed as it purports to have been sealed.</w:t>
      </w:r>
    </w:p>
    <w:p w:rsidR="00F8610E" w:rsidRPr="00A060B6" w:rsidRDefault="00F8610E" w:rsidP="009C3728">
      <w:pPr>
        <w:pStyle w:val="aNote"/>
      </w:pPr>
      <w:r w:rsidRPr="005D1BC5">
        <w:rPr>
          <w:rStyle w:val="charItals"/>
        </w:rPr>
        <w:t>Note</w:t>
      </w:r>
      <w:r w:rsidRPr="005D1BC5">
        <w:rPr>
          <w:rStyle w:val="charItals"/>
        </w:rPr>
        <w:tab/>
      </w:r>
      <w:r w:rsidRPr="00A060B6">
        <w:t xml:space="preserve">The </w:t>
      </w:r>
      <w:hyperlink r:id="rId123" w:tooltip="Evidence Act 1995" w:history="1">
        <w:r w:rsidR="00506E3A" w:rsidRPr="001D1BCB">
          <w:rPr>
            <w:rStyle w:val="charCitHyperlinkAbbrev"/>
          </w:rPr>
          <w:t>Commonwealth Act</w:t>
        </w:r>
      </w:hyperlink>
      <w:r w:rsidRPr="00A060B6">
        <w:t xml:space="preserve"> has a different s (1).</w:t>
      </w:r>
    </w:p>
    <w:p w:rsidR="00F8610E" w:rsidRPr="00A060B6" w:rsidRDefault="00F8610E" w:rsidP="00FF3BD9">
      <w:pPr>
        <w:pStyle w:val="Amain"/>
        <w:keepNext/>
      </w:pPr>
      <w:r w:rsidRPr="00A060B6">
        <w:lastRenderedPageBreak/>
        <w:tab/>
        <w:t>(2)</w:t>
      </w:r>
      <w:r w:rsidRPr="00A060B6">
        <w:tab/>
        <w:t>If the imprint of a seal appears on a document and purports to be the imprint of the seal of an office holder, it is presumed, unless the contrary is proved, that—</w:t>
      </w:r>
    </w:p>
    <w:p w:rsidR="00F8610E" w:rsidRPr="00A060B6" w:rsidRDefault="00F8610E" w:rsidP="00FF3BD9">
      <w:pPr>
        <w:pStyle w:val="Apara"/>
        <w:keepNext/>
      </w:pPr>
      <w:r w:rsidRPr="00A060B6">
        <w:tab/>
        <w:t>(a)</w:t>
      </w:r>
      <w:r w:rsidRPr="00A060B6">
        <w:tab/>
        <w:t>the imprint is the imprint of the seal; and</w:t>
      </w:r>
    </w:p>
    <w:p w:rsidR="00F8610E" w:rsidRPr="00A060B6" w:rsidRDefault="00F8610E" w:rsidP="00FF3BD9">
      <w:pPr>
        <w:pStyle w:val="Apara"/>
        <w:keepNext/>
      </w:pPr>
      <w:r w:rsidRPr="00A060B6">
        <w:tab/>
        <w:t>(b)</w:t>
      </w:r>
      <w:r w:rsidRPr="00A060B6">
        <w:tab/>
        <w:t>the document was sealed by the office holder acting in the office holder’s official capacity; and</w:t>
      </w:r>
    </w:p>
    <w:p w:rsidR="00F8610E" w:rsidRPr="00A060B6" w:rsidRDefault="00F8610E" w:rsidP="00486F06">
      <w:pPr>
        <w:pStyle w:val="Apara"/>
      </w:pPr>
      <w:r w:rsidRPr="00A060B6">
        <w:tab/>
        <w:t>(c)</w:t>
      </w:r>
      <w:r w:rsidRPr="00A060B6">
        <w:tab/>
        <w:t>the office holder held the relevant office when the document was sealed.</w:t>
      </w:r>
    </w:p>
    <w:p w:rsidR="00F8610E" w:rsidRPr="00A060B6" w:rsidRDefault="00F8610E" w:rsidP="00486F06">
      <w:pPr>
        <w:pStyle w:val="Amain"/>
      </w:pPr>
      <w:r w:rsidRPr="00A060B6">
        <w:tab/>
        <w:t>(3)</w:t>
      </w:r>
      <w:r w:rsidRPr="00A060B6">
        <w:tab/>
        <w:t>If a document purports to have been signed by an office holder in the office holder’s official capacity, it is presumed, unless the contrary is proved, that—</w:t>
      </w:r>
    </w:p>
    <w:p w:rsidR="00F8610E" w:rsidRPr="00A060B6" w:rsidRDefault="00F8610E" w:rsidP="00486F06">
      <w:pPr>
        <w:pStyle w:val="Apara"/>
      </w:pPr>
      <w:r w:rsidRPr="00A060B6">
        <w:tab/>
        <w:t>(a)</w:t>
      </w:r>
      <w:r w:rsidRPr="00A060B6">
        <w:tab/>
        <w:t>the document was signed by the office holder acting in that capacity; and</w:t>
      </w:r>
    </w:p>
    <w:p w:rsidR="00F8610E" w:rsidRPr="00A060B6" w:rsidRDefault="00F8610E" w:rsidP="00486F06">
      <w:pPr>
        <w:pStyle w:val="Apara"/>
      </w:pPr>
      <w:r w:rsidRPr="00A060B6">
        <w:tab/>
        <w:t>(b)</w:t>
      </w:r>
      <w:r w:rsidRPr="00A060B6">
        <w:tab/>
        <w:t>the office holder held the relevant office when the document was signed.</w:t>
      </w:r>
    </w:p>
    <w:p w:rsidR="00F8610E" w:rsidRPr="00A060B6" w:rsidRDefault="00F8610E" w:rsidP="00486F06">
      <w:pPr>
        <w:pStyle w:val="Amain"/>
      </w:pPr>
      <w:r w:rsidRPr="00A060B6">
        <w:tab/>
        <w:t>(4)</w:t>
      </w:r>
      <w:r w:rsidRPr="00A060B6">
        <w:tab/>
        <w:t>In this section:</w:t>
      </w:r>
    </w:p>
    <w:p w:rsidR="00F8610E" w:rsidRPr="00A060B6" w:rsidRDefault="00F8610E" w:rsidP="005D1BC5">
      <w:pPr>
        <w:pStyle w:val="aDef"/>
      </w:pPr>
      <w:r w:rsidRPr="005D1BC5">
        <w:rPr>
          <w:rStyle w:val="charBoldItals"/>
        </w:rPr>
        <w:t>office holder</w:t>
      </w:r>
      <w:r w:rsidRPr="00A060B6">
        <w:t xml:space="preserve"> means—</w:t>
      </w:r>
    </w:p>
    <w:p w:rsidR="00F8610E" w:rsidRPr="00A060B6" w:rsidRDefault="00F8610E" w:rsidP="00486F06">
      <w:pPr>
        <w:pStyle w:val="aDefpara"/>
      </w:pPr>
      <w:r w:rsidRPr="00A060B6">
        <w:tab/>
        <w:t>(a)</w:t>
      </w:r>
      <w:r w:rsidRPr="00A060B6">
        <w:tab/>
        <w:t>the Sovereign; or</w:t>
      </w:r>
    </w:p>
    <w:p w:rsidR="00F8610E" w:rsidRPr="00A060B6" w:rsidRDefault="00F8610E" w:rsidP="00486F06">
      <w:pPr>
        <w:pStyle w:val="aDefpara"/>
      </w:pPr>
      <w:r w:rsidRPr="00A060B6">
        <w:tab/>
        <w:t>(b)</w:t>
      </w:r>
      <w:r w:rsidRPr="00A060B6">
        <w:tab/>
        <w:t>the Governor</w:t>
      </w:r>
      <w:r w:rsidRPr="00A060B6">
        <w:noBreakHyphen/>
        <w:t>General; or</w:t>
      </w:r>
    </w:p>
    <w:p w:rsidR="00F8610E" w:rsidRPr="00A060B6" w:rsidRDefault="00F8610E" w:rsidP="00486F06">
      <w:pPr>
        <w:pStyle w:val="aDefpara"/>
      </w:pPr>
      <w:r w:rsidRPr="00A060B6">
        <w:tab/>
        <w:t>(c)</w:t>
      </w:r>
      <w:r w:rsidRPr="00A060B6">
        <w:tab/>
        <w:t>the Governor of a State; or</w:t>
      </w:r>
    </w:p>
    <w:p w:rsidR="00F8610E" w:rsidRPr="00A060B6" w:rsidRDefault="00F8610E" w:rsidP="00486F06">
      <w:pPr>
        <w:pStyle w:val="aDefpara"/>
      </w:pPr>
      <w:r w:rsidRPr="00A060B6">
        <w:tab/>
        <w:t>(d)</w:t>
      </w:r>
      <w:r w:rsidRPr="00A060B6">
        <w:tab/>
        <w:t>the Administrator of a Territory; or</w:t>
      </w:r>
    </w:p>
    <w:p w:rsidR="00F8610E" w:rsidRPr="00A060B6" w:rsidRDefault="00F8610E" w:rsidP="00486F06">
      <w:pPr>
        <w:pStyle w:val="aDefpara"/>
      </w:pPr>
      <w:r w:rsidRPr="00A060B6">
        <w:tab/>
        <w:t>(e)</w:t>
      </w:r>
      <w:r w:rsidRPr="00A060B6">
        <w:tab/>
        <w:t>a person holding any other office under an Australian law or a law of a foreign country.</w:t>
      </w:r>
    </w:p>
    <w:p w:rsidR="00F8610E" w:rsidRPr="00A060B6" w:rsidRDefault="00F8610E" w:rsidP="00486F06">
      <w:pPr>
        <w:pStyle w:val="Amain"/>
      </w:pPr>
      <w:r w:rsidRPr="00A060B6">
        <w:tab/>
        <w:t>(5)</w:t>
      </w:r>
      <w:r w:rsidRPr="00A060B6">
        <w:tab/>
        <w:t>This section extends to documents sealed, and documents signed, before the commencement of this section.</w:t>
      </w:r>
    </w:p>
    <w:p w:rsidR="00F8610E" w:rsidRPr="00AF17FE" w:rsidRDefault="00F8610E" w:rsidP="00C23C3D">
      <w:pPr>
        <w:pStyle w:val="aNote"/>
        <w:keepNext/>
      </w:pPr>
      <w:r w:rsidRPr="005D1BC5">
        <w:rPr>
          <w:rStyle w:val="charItals"/>
        </w:rPr>
        <w:t>Note 1</w:t>
      </w:r>
      <w:r w:rsidRPr="005D1BC5">
        <w:rPr>
          <w:rStyle w:val="charItals"/>
        </w:rPr>
        <w:tab/>
      </w:r>
      <w:r w:rsidRPr="00A060B6">
        <w:t xml:space="preserve">The </w:t>
      </w:r>
      <w:hyperlink r:id="rId124" w:tooltip="Evidence Act 1995" w:history="1">
        <w:r w:rsidR="001D1BCB" w:rsidRPr="001D1BCB">
          <w:rPr>
            <w:rStyle w:val="charCitHyperlinkAbbrev"/>
          </w:rPr>
          <w:t>Commonwealth Act</w:t>
        </w:r>
      </w:hyperlink>
      <w:r w:rsidRPr="00A060B6">
        <w:t xml:space="preserve">, s 5 extends the operation of the </w:t>
      </w:r>
      <w:hyperlink r:id="rId125" w:tooltip="Evidence Act 1995" w:history="1">
        <w:r w:rsidR="001D1BCB" w:rsidRPr="001D1BCB">
          <w:rPr>
            <w:rStyle w:val="charCitHyperlinkAbbrev"/>
          </w:rPr>
          <w:t>Commonwealth Act</w:t>
        </w:r>
      </w:hyperlink>
      <w:r w:rsidRPr="00A060B6">
        <w:t>, s 150 to proceedings in all Australian courts.</w:t>
      </w:r>
    </w:p>
    <w:p w:rsidR="00F8610E" w:rsidRPr="00A060B6" w:rsidRDefault="00F8610E" w:rsidP="00E51812">
      <w:pPr>
        <w:pStyle w:val="aNote"/>
      </w:pPr>
      <w:r w:rsidRPr="005D1BC5">
        <w:rPr>
          <w:rStyle w:val="charItals"/>
        </w:rPr>
        <w:t>Note 2</w:t>
      </w:r>
      <w:r w:rsidRPr="00A060B6">
        <w:tab/>
      </w:r>
      <w:r w:rsidRPr="005D1BC5">
        <w:rPr>
          <w:rStyle w:val="charBoldItals"/>
        </w:rPr>
        <w:t>Australian law</w:t>
      </w:r>
      <w:r w:rsidRPr="00A060B6">
        <w:t>—see the dictionary.</w:t>
      </w:r>
    </w:p>
    <w:p w:rsidR="00F8610E" w:rsidRPr="00A060B6" w:rsidRDefault="00F8610E" w:rsidP="00486F06">
      <w:pPr>
        <w:pStyle w:val="AH5Sec"/>
      </w:pPr>
      <w:bookmarkStart w:id="218" w:name="_Toc11748573"/>
      <w:r w:rsidRPr="003925E1">
        <w:rPr>
          <w:rStyle w:val="CharSectNo"/>
        </w:rPr>
        <w:lastRenderedPageBreak/>
        <w:t>151</w:t>
      </w:r>
      <w:r w:rsidRPr="00A060B6">
        <w:tab/>
        <w:t>Seals of bodies established under State law</w:t>
      </w:r>
      <w:bookmarkEnd w:id="218"/>
    </w:p>
    <w:p w:rsidR="00F8610E" w:rsidRPr="00A060B6" w:rsidRDefault="00F8610E" w:rsidP="00E51812">
      <w:pPr>
        <w:pStyle w:val="aNote"/>
      </w:pPr>
      <w:r w:rsidRPr="005D1BC5">
        <w:rPr>
          <w:rStyle w:val="charItals"/>
        </w:rPr>
        <w:t>Note</w:t>
      </w:r>
      <w:r w:rsidRPr="00A060B6">
        <w:tab/>
        <w:t xml:space="preserve">The </w:t>
      </w:r>
      <w:hyperlink r:id="rId126" w:tooltip="Evidence Act 1995" w:history="1">
        <w:r w:rsidR="00506E3A" w:rsidRPr="001D1BCB">
          <w:rPr>
            <w:rStyle w:val="charCitHyperlinkAbbrev"/>
          </w:rPr>
          <w:t>Commonwealth Act</w:t>
        </w:r>
      </w:hyperlink>
      <w:r w:rsidRPr="00A060B6">
        <w:t xml:space="preserve"> includes a provision dealing with certain seals of bodies established by Royal Charter or a law of a State.</w:t>
      </w:r>
    </w:p>
    <w:p w:rsidR="00F8610E" w:rsidRPr="00A060B6" w:rsidRDefault="00F8610E" w:rsidP="00486F06">
      <w:pPr>
        <w:pStyle w:val="AH5Sec"/>
      </w:pPr>
      <w:bookmarkStart w:id="219" w:name="_Toc11748574"/>
      <w:r w:rsidRPr="003925E1">
        <w:rPr>
          <w:rStyle w:val="CharSectNo"/>
        </w:rPr>
        <w:t>152</w:t>
      </w:r>
      <w:r w:rsidRPr="00A060B6">
        <w:tab/>
        <w:t>Documents produced from proper custody</w:t>
      </w:r>
      <w:bookmarkEnd w:id="219"/>
    </w:p>
    <w:p w:rsidR="00F8610E" w:rsidRPr="00A060B6" w:rsidRDefault="00F8610E" w:rsidP="00E51812">
      <w:pPr>
        <w:pStyle w:val="Amainreturn"/>
      </w:pPr>
      <w:r w:rsidRPr="00A060B6">
        <w:t>If a document that is or purports to be more than 20 years old is produced from proper custody, it is presumed, unless the contrary is proved, that—</w:t>
      </w:r>
    </w:p>
    <w:p w:rsidR="00F8610E" w:rsidRPr="00A060B6" w:rsidRDefault="00F8610E" w:rsidP="00486F06">
      <w:pPr>
        <w:pStyle w:val="Apara"/>
      </w:pPr>
      <w:r w:rsidRPr="00A060B6">
        <w:tab/>
        <w:t>(a)</w:t>
      </w:r>
      <w:r w:rsidRPr="00A060B6">
        <w:tab/>
        <w:t>the document is the document that it purports to be; and</w:t>
      </w:r>
    </w:p>
    <w:p w:rsidR="00F8610E" w:rsidRPr="00A060B6" w:rsidRDefault="00F8610E" w:rsidP="00486F06">
      <w:pPr>
        <w:pStyle w:val="Apara"/>
      </w:pPr>
      <w:r w:rsidRPr="00A060B6">
        <w:tab/>
        <w:t>(b)</w:t>
      </w:r>
      <w:r w:rsidRPr="00A060B6">
        <w:tab/>
        <w:t>if it purports to have been executed or attested by a person—it was executed or attested by the person.</w:t>
      </w:r>
    </w:p>
    <w:p w:rsidR="00F8610E" w:rsidRPr="00A060B6" w:rsidRDefault="00F8610E" w:rsidP="00EA4836">
      <w:pPr>
        <w:pStyle w:val="aNote"/>
      </w:pPr>
      <w:r w:rsidRPr="005D1BC5">
        <w:rPr>
          <w:rStyle w:val="charItals"/>
        </w:rPr>
        <w:t>Note</w:t>
      </w:r>
      <w:r w:rsidRPr="005D1BC5">
        <w:rPr>
          <w:rStyle w:val="charItals"/>
        </w:rPr>
        <w:tab/>
      </w:r>
      <w:r w:rsidRPr="00A060B6">
        <w:t xml:space="preserve">The </w:t>
      </w:r>
      <w:hyperlink r:id="rId127" w:tooltip="Evidence Act 1995" w:history="1">
        <w:r w:rsidR="001D1BCB" w:rsidRPr="001D1BCB">
          <w:rPr>
            <w:rStyle w:val="charCitHyperlinkAbbrev"/>
          </w:rPr>
          <w:t>Commonwealth Act</w:t>
        </w:r>
      </w:hyperlink>
      <w:r w:rsidRPr="00A060B6">
        <w:t xml:space="preserve">, s 182  gives the </w:t>
      </w:r>
      <w:hyperlink r:id="rId128" w:tooltip="Evidence Act 1995" w:history="1">
        <w:r w:rsidR="001D1BCB" w:rsidRPr="001D1BCB">
          <w:rPr>
            <w:rStyle w:val="charCitHyperlinkAbbrev"/>
          </w:rPr>
          <w:t>Commonwealth Act</w:t>
        </w:r>
      </w:hyperlink>
      <w:r w:rsidRPr="00A060B6">
        <w:t>, s 152 a wider application in relation to Commonwealth records and certain Commonwealth documents.</w:t>
      </w:r>
    </w:p>
    <w:p w:rsidR="00F8610E" w:rsidRPr="003925E1" w:rsidRDefault="00F8610E" w:rsidP="00486F06">
      <w:pPr>
        <w:pStyle w:val="AH3Div"/>
      </w:pPr>
      <w:bookmarkStart w:id="220" w:name="_Toc11748575"/>
      <w:r w:rsidRPr="003925E1">
        <w:rPr>
          <w:rStyle w:val="CharDivNo"/>
        </w:rPr>
        <w:t>Division 4.3.2</w:t>
      </w:r>
      <w:r w:rsidRPr="00A060B6">
        <w:tab/>
      </w:r>
      <w:r w:rsidRPr="003925E1">
        <w:rPr>
          <w:rStyle w:val="CharDivText"/>
        </w:rPr>
        <w:t>Matters of official record</w:t>
      </w:r>
      <w:bookmarkEnd w:id="220"/>
    </w:p>
    <w:p w:rsidR="00F8610E" w:rsidRPr="00A060B6" w:rsidRDefault="00F8610E" w:rsidP="00486F06">
      <w:pPr>
        <w:pStyle w:val="AH5Sec"/>
      </w:pPr>
      <w:bookmarkStart w:id="221" w:name="_Toc11748576"/>
      <w:r w:rsidRPr="003925E1">
        <w:rPr>
          <w:rStyle w:val="CharSectNo"/>
        </w:rPr>
        <w:t>153</w:t>
      </w:r>
      <w:r w:rsidRPr="00A060B6">
        <w:tab/>
        <w:t>Gazettes and other official documents</w:t>
      </w:r>
      <w:bookmarkEnd w:id="221"/>
    </w:p>
    <w:p w:rsidR="00F8610E" w:rsidRPr="00A060B6" w:rsidRDefault="00F8610E" w:rsidP="002E7253">
      <w:pPr>
        <w:pStyle w:val="Amain"/>
        <w:keepNext/>
      </w:pPr>
      <w:r w:rsidRPr="00A060B6">
        <w:tab/>
        <w:t>(1)</w:t>
      </w:r>
      <w:r w:rsidRPr="00A060B6">
        <w:tab/>
        <w:t>It is presumed, unless the contrary is proved, that a document purporting—</w:t>
      </w:r>
    </w:p>
    <w:p w:rsidR="00F8610E" w:rsidRPr="00A060B6" w:rsidRDefault="00F8610E" w:rsidP="002E7253">
      <w:pPr>
        <w:pStyle w:val="Apara"/>
        <w:keepNext/>
      </w:pPr>
      <w:r w:rsidRPr="00A060B6">
        <w:tab/>
        <w:t>(a)</w:t>
      </w:r>
      <w:r w:rsidRPr="00A060B6">
        <w:tab/>
        <w:t>to be any government or official gazette (however described) of the Territory, the Commonwealth, a State, another Territory or a foreign country; or</w:t>
      </w:r>
    </w:p>
    <w:p w:rsidR="00F8610E" w:rsidRPr="00A060B6" w:rsidRDefault="00F8610E" w:rsidP="00486F06">
      <w:pPr>
        <w:pStyle w:val="Apara"/>
      </w:pPr>
      <w:r w:rsidRPr="00A060B6">
        <w:tab/>
        <w:t>(b)</w:t>
      </w:r>
      <w:r w:rsidRPr="00A060B6">
        <w:tab/>
        <w:t>to have been printed by the government printer or the government or official printer of the Commonwealth, a State or another Territory; or</w:t>
      </w:r>
    </w:p>
    <w:p w:rsidR="00F8610E" w:rsidRPr="00A060B6" w:rsidRDefault="00F8610E" w:rsidP="00486F06">
      <w:pPr>
        <w:pStyle w:val="Apara"/>
      </w:pPr>
      <w:r w:rsidRPr="00A060B6">
        <w:tab/>
        <w:t>(c)</w:t>
      </w:r>
      <w:r w:rsidRPr="00A060B6">
        <w:tab/>
        <w:t>to have been printed by authority of the government of the Territory, the Commonwealth, a State, another Territory or a foreign country;</w:t>
      </w:r>
    </w:p>
    <w:p w:rsidR="00F8610E" w:rsidRPr="00A060B6" w:rsidRDefault="00F8610E" w:rsidP="00E51812">
      <w:pPr>
        <w:pStyle w:val="Amainreturn"/>
      </w:pPr>
      <w:r w:rsidRPr="00A060B6">
        <w:t>is what it purports to be and was published on the day on which it purports to have been published.</w:t>
      </w:r>
    </w:p>
    <w:p w:rsidR="00F8610E" w:rsidRPr="00A060B6" w:rsidRDefault="00F8610E" w:rsidP="0061678D">
      <w:pPr>
        <w:pStyle w:val="Amain"/>
        <w:keepNext/>
      </w:pPr>
      <w:r w:rsidRPr="00A060B6">
        <w:lastRenderedPageBreak/>
        <w:tab/>
        <w:t>(2)</w:t>
      </w:r>
      <w:r w:rsidRPr="00A060B6">
        <w:tab/>
        <w:t>If—</w:t>
      </w:r>
    </w:p>
    <w:p w:rsidR="00F8610E" w:rsidRPr="00A060B6" w:rsidRDefault="00F8610E" w:rsidP="0061678D">
      <w:pPr>
        <w:pStyle w:val="Apara"/>
        <w:keepNext/>
      </w:pPr>
      <w:r w:rsidRPr="00A060B6">
        <w:tab/>
        <w:t>(a)</w:t>
      </w:r>
      <w:r w:rsidRPr="00A060B6">
        <w:tab/>
        <w:t>there is produced to a court—</w:t>
      </w:r>
    </w:p>
    <w:p w:rsidR="00F8610E" w:rsidRPr="00A060B6" w:rsidRDefault="00F8610E" w:rsidP="00486F06">
      <w:pPr>
        <w:pStyle w:val="Asubpara"/>
      </w:pPr>
      <w:r w:rsidRPr="00A060B6">
        <w:tab/>
        <w:t>(i)</w:t>
      </w:r>
      <w:r w:rsidRPr="00A060B6">
        <w:tab/>
        <w:t>a copy of any government or official gazette (however described) of the Territory, the Commonwealth, a State, another Territory or a foreign country; or</w:t>
      </w:r>
    </w:p>
    <w:p w:rsidR="00F8610E" w:rsidRPr="00A060B6" w:rsidRDefault="00F8610E" w:rsidP="00486F06">
      <w:pPr>
        <w:pStyle w:val="Asubpara"/>
      </w:pPr>
      <w:r w:rsidRPr="00A060B6">
        <w:tab/>
        <w:t>(ii)</w:t>
      </w:r>
      <w:r w:rsidRPr="00A060B6">
        <w:tab/>
        <w:t>a document that purports to have been printed by the government printer or the government or official printer of the Commonwealth, a State or another Territory; or</w:t>
      </w:r>
    </w:p>
    <w:p w:rsidR="00F8610E" w:rsidRPr="00A060B6" w:rsidRDefault="00F8610E" w:rsidP="00486F06">
      <w:pPr>
        <w:pStyle w:val="Asubpara"/>
      </w:pPr>
      <w:r w:rsidRPr="00A060B6">
        <w:tab/>
        <w:t>(iii)</w:t>
      </w:r>
      <w:r w:rsidRPr="00A060B6">
        <w:tab/>
        <w:t>a document that purports to have been printed by authority of the government of the Territory, the Commonwealth, a State, another Territory or a foreign country; and</w:t>
      </w:r>
    </w:p>
    <w:p w:rsidR="00F8610E" w:rsidRPr="00A060B6" w:rsidRDefault="00F8610E" w:rsidP="002E7253">
      <w:pPr>
        <w:pStyle w:val="Apara"/>
        <w:keepNext/>
      </w:pPr>
      <w:r w:rsidRPr="00A060B6">
        <w:tab/>
        <w:t>(b)</w:t>
      </w:r>
      <w:r w:rsidRPr="00A060B6">
        <w:tab/>
        <w:t>the doing of an act—</w:t>
      </w:r>
    </w:p>
    <w:p w:rsidR="00F8610E" w:rsidRPr="00A060B6" w:rsidRDefault="00F8610E" w:rsidP="00486F06">
      <w:pPr>
        <w:pStyle w:val="Asubpara"/>
      </w:pPr>
      <w:r w:rsidRPr="00A060B6">
        <w:tab/>
        <w:t>(i)</w:t>
      </w:r>
      <w:r w:rsidRPr="00A060B6">
        <w:tab/>
        <w:t>by the Governor-General or by the Governor of a State or the Administrator of a Territory; or</w:t>
      </w:r>
    </w:p>
    <w:p w:rsidR="00F8610E" w:rsidRPr="00A060B6" w:rsidRDefault="00F8610E" w:rsidP="00486F06">
      <w:pPr>
        <w:pStyle w:val="Asubpara"/>
      </w:pPr>
      <w:r w:rsidRPr="00A060B6">
        <w:tab/>
        <w:t>(ii)</w:t>
      </w:r>
      <w:r w:rsidRPr="00A060B6">
        <w:tab/>
        <w:t>by a person authorised or empowered to do the act by an Australian law or a law of a foreign country;</w:t>
      </w:r>
    </w:p>
    <w:p w:rsidR="00F8610E" w:rsidRPr="00A060B6" w:rsidRDefault="00F8610E" w:rsidP="00E51812">
      <w:pPr>
        <w:pStyle w:val="Aparareturn"/>
      </w:pPr>
      <w:r w:rsidRPr="00A060B6">
        <w:t>is notified or published in the copy or document;</w:t>
      </w:r>
    </w:p>
    <w:p w:rsidR="00F8610E" w:rsidRPr="00A060B6" w:rsidRDefault="00F8610E" w:rsidP="00C23C3D">
      <w:pPr>
        <w:pStyle w:val="Amainreturn"/>
        <w:keepNext/>
      </w:pPr>
      <w:r w:rsidRPr="00A060B6">
        <w:t>it is presumed, unless the contrary is proved, that the act was done and, if the day on which the act was done appears in the copy or document, it was done on that day.</w:t>
      </w:r>
    </w:p>
    <w:p w:rsidR="00F8610E" w:rsidRPr="00AF17FE" w:rsidRDefault="00F8610E" w:rsidP="001D4C20">
      <w:pPr>
        <w:pStyle w:val="aNote"/>
      </w:pPr>
      <w:r w:rsidRPr="005D1BC5">
        <w:rPr>
          <w:rStyle w:val="charItals"/>
        </w:rPr>
        <w:t xml:space="preserve">Note </w:t>
      </w:r>
      <w:r w:rsidRPr="005D1BC5">
        <w:rPr>
          <w:rStyle w:val="charItals"/>
        </w:rPr>
        <w:tab/>
      </w:r>
      <w:r w:rsidRPr="00A060B6">
        <w:t xml:space="preserve">The </w:t>
      </w:r>
      <w:hyperlink r:id="rId129" w:tooltip="Evidence Act 1995" w:history="1">
        <w:r w:rsidR="001D1BCB" w:rsidRPr="001D1BCB">
          <w:rPr>
            <w:rStyle w:val="charCitHyperlinkAbbrev"/>
          </w:rPr>
          <w:t>Commonwealth Act</w:t>
        </w:r>
      </w:hyperlink>
      <w:r w:rsidRPr="00A060B6">
        <w:t xml:space="preserve">, s 5 extends the operation of the </w:t>
      </w:r>
      <w:hyperlink r:id="rId130" w:tooltip="Evidence Act 1995" w:history="1">
        <w:r w:rsidR="001D1BCB" w:rsidRPr="001D1BCB">
          <w:rPr>
            <w:rStyle w:val="charCitHyperlinkAbbrev"/>
          </w:rPr>
          <w:t>Commonwealth Act</w:t>
        </w:r>
      </w:hyperlink>
      <w:r w:rsidRPr="00A060B6">
        <w:t>, s 153 to proceedings in all Australian courts.</w:t>
      </w:r>
    </w:p>
    <w:p w:rsidR="00F8610E" w:rsidRPr="00A060B6" w:rsidRDefault="00F8610E" w:rsidP="00FF3BD9">
      <w:pPr>
        <w:pStyle w:val="AH5Sec"/>
        <w:keepLines/>
      </w:pPr>
      <w:bookmarkStart w:id="222" w:name="_Toc11748577"/>
      <w:r w:rsidRPr="003925E1">
        <w:rPr>
          <w:rStyle w:val="CharSectNo"/>
        </w:rPr>
        <w:lastRenderedPageBreak/>
        <w:t>154</w:t>
      </w:r>
      <w:r w:rsidRPr="00A060B6">
        <w:tab/>
        <w:t>Documents published by authority of Parliaments etc</w:t>
      </w:r>
      <w:bookmarkEnd w:id="222"/>
    </w:p>
    <w:p w:rsidR="00F8610E" w:rsidRPr="00A060B6" w:rsidRDefault="00F8610E" w:rsidP="00FF3BD9">
      <w:pPr>
        <w:pStyle w:val="Amainreturn"/>
        <w:keepNext/>
        <w:keepLines/>
      </w:pPr>
      <w:r w:rsidRPr="00A060B6">
        <w:t>It is presumed, unless the contrary is proved, that a document purporting to have been printed by authority of an Australian Parliament, a house of an Australian Parliament, a committee of an Australian Parliament or of a house of an Australian Parliament—</w:t>
      </w:r>
    </w:p>
    <w:p w:rsidR="00F8610E" w:rsidRPr="00A060B6" w:rsidRDefault="00F8610E" w:rsidP="00FF3BD9">
      <w:pPr>
        <w:pStyle w:val="Apara"/>
        <w:keepNext/>
        <w:keepLines/>
      </w:pPr>
      <w:r w:rsidRPr="00A060B6">
        <w:tab/>
        <w:t>(a)</w:t>
      </w:r>
      <w:r w:rsidRPr="00A060B6">
        <w:tab/>
        <w:t>is what it purports to be; and</w:t>
      </w:r>
    </w:p>
    <w:p w:rsidR="00F8610E" w:rsidRPr="00A060B6" w:rsidRDefault="00F8610E" w:rsidP="00486F06">
      <w:pPr>
        <w:pStyle w:val="Apara"/>
      </w:pPr>
      <w:r w:rsidRPr="00A060B6">
        <w:tab/>
        <w:t>(b)</w:t>
      </w:r>
      <w:r w:rsidRPr="00A060B6">
        <w:tab/>
        <w:t>was published on the day on which it purports to have been published.</w:t>
      </w:r>
    </w:p>
    <w:p w:rsidR="00F8610E" w:rsidRPr="00A060B6" w:rsidRDefault="00F8610E" w:rsidP="00486F06">
      <w:pPr>
        <w:pStyle w:val="AH5Sec"/>
      </w:pPr>
      <w:bookmarkStart w:id="223" w:name="_Toc11748578"/>
      <w:r w:rsidRPr="003925E1">
        <w:rPr>
          <w:rStyle w:val="CharSectNo"/>
        </w:rPr>
        <w:t>155</w:t>
      </w:r>
      <w:r w:rsidRPr="00A060B6">
        <w:tab/>
        <w:t>Evidence of official records</w:t>
      </w:r>
      <w:bookmarkEnd w:id="223"/>
      <w:r w:rsidRPr="00A060B6">
        <w:t xml:space="preserve"> </w:t>
      </w:r>
    </w:p>
    <w:p w:rsidR="00F8610E" w:rsidRPr="00A060B6" w:rsidRDefault="00F8610E" w:rsidP="00486F06">
      <w:pPr>
        <w:pStyle w:val="Amain"/>
      </w:pPr>
      <w:r w:rsidRPr="00A060B6">
        <w:tab/>
        <w:t>(1)</w:t>
      </w:r>
      <w:r w:rsidRPr="00A060B6">
        <w:tab/>
        <w:t>Evidence of a Commonwealth record or public document of the Territory, a State or another Territory may be presented by producing a document that—</w:t>
      </w:r>
    </w:p>
    <w:p w:rsidR="00F8610E" w:rsidRPr="00A060B6" w:rsidRDefault="00F8610E" w:rsidP="00486F06">
      <w:pPr>
        <w:pStyle w:val="Apara"/>
      </w:pPr>
      <w:r w:rsidRPr="00A060B6">
        <w:tab/>
        <w:t>(a)</w:t>
      </w:r>
      <w:r w:rsidRPr="00A060B6">
        <w:tab/>
        <w:t>purports to be the record or document and to be signed or sealed by—</w:t>
      </w:r>
    </w:p>
    <w:p w:rsidR="00F8610E" w:rsidRPr="00A060B6" w:rsidRDefault="00F8610E" w:rsidP="00486F06">
      <w:pPr>
        <w:pStyle w:val="Asubpara"/>
      </w:pPr>
      <w:r w:rsidRPr="00A060B6">
        <w:tab/>
        <w:t>(i)</w:t>
      </w:r>
      <w:r w:rsidRPr="00A060B6">
        <w:tab/>
        <w:t>a Minister; or</w:t>
      </w:r>
    </w:p>
    <w:p w:rsidR="00F8610E" w:rsidRPr="00A060B6" w:rsidRDefault="00F8610E" w:rsidP="00486F06">
      <w:pPr>
        <w:pStyle w:val="Asubpara"/>
      </w:pPr>
      <w:r w:rsidRPr="00A060B6">
        <w:tab/>
        <w:t>(ii)</w:t>
      </w:r>
      <w:r w:rsidRPr="00A060B6">
        <w:tab/>
        <w:t>a person who might reasonably be supposed to have custody of the record or document; or</w:t>
      </w:r>
    </w:p>
    <w:p w:rsidR="00F8610E" w:rsidRPr="00A060B6" w:rsidRDefault="00F8610E" w:rsidP="00486F06">
      <w:pPr>
        <w:pStyle w:val="Apara"/>
      </w:pPr>
      <w:r w:rsidRPr="00A060B6">
        <w:tab/>
        <w:t>(b)</w:t>
      </w:r>
      <w:r w:rsidRPr="00A060B6">
        <w:tab/>
        <w:t>purports to be a copy of or extract from the record or document that is certified to be a true copy or extract by—</w:t>
      </w:r>
    </w:p>
    <w:p w:rsidR="00F8610E" w:rsidRPr="00A060B6" w:rsidRDefault="00F8610E" w:rsidP="00486F06">
      <w:pPr>
        <w:pStyle w:val="Asubpara"/>
      </w:pPr>
      <w:r w:rsidRPr="00A060B6">
        <w:tab/>
        <w:t>(i)</w:t>
      </w:r>
      <w:r w:rsidRPr="00A060B6">
        <w:tab/>
        <w:t>a Minister; or</w:t>
      </w:r>
    </w:p>
    <w:p w:rsidR="00F8610E" w:rsidRPr="00A060B6" w:rsidRDefault="00F8610E" w:rsidP="00486F06">
      <w:pPr>
        <w:pStyle w:val="Asubpara"/>
      </w:pPr>
      <w:r w:rsidRPr="00A060B6">
        <w:tab/>
        <w:t>(ii)</w:t>
      </w:r>
      <w:r w:rsidRPr="00A060B6">
        <w:tab/>
        <w:t>a person who might reasonably be supposed to have custody of the record or document.</w:t>
      </w:r>
    </w:p>
    <w:p w:rsidR="00F8610E" w:rsidRPr="00A060B6" w:rsidRDefault="00F8610E" w:rsidP="00FF3BD9">
      <w:pPr>
        <w:pStyle w:val="Amain"/>
        <w:keepNext/>
      </w:pPr>
      <w:r w:rsidRPr="00A060B6">
        <w:lastRenderedPageBreak/>
        <w:tab/>
        <w:t>(2)</w:t>
      </w:r>
      <w:r w:rsidRPr="00A060B6">
        <w:tab/>
        <w:t>If the document is produced, it is presumed (unless evidence sufficient to raise doubt about the presumption is presented) that—</w:t>
      </w:r>
    </w:p>
    <w:p w:rsidR="00F8610E" w:rsidRPr="00A060B6" w:rsidRDefault="00F8610E" w:rsidP="00FF3BD9">
      <w:pPr>
        <w:pStyle w:val="Apara"/>
        <w:keepNext/>
      </w:pPr>
      <w:r w:rsidRPr="00A060B6">
        <w:tab/>
        <w:t>(a)</w:t>
      </w:r>
      <w:r w:rsidRPr="00A060B6">
        <w:tab/>
        <w:t>the document is the record, public document, copy or extract that it purports to be; and</w:t>
      </w:r>
    </w:p>
    <w:p w:rsidR="00F8610E" w:rsidRPr="00A060B6" w:rsidRDefault="00F8610E" w:rsidP="00FF3BD9">
      <w:pPr>
        <w:pStyle w:val="Apara"/>
        <w:keepNext/>
      </w:pPr>
      <w:r w:rsidRPr="00A060B6">
        <w:tab/>
        <w:t>(b)</w:t>
      </w:r>
      <w:r w:rsidRPr="00A060B6">
        <w:tab/>
        <w:t>the Minister or person—</w:t>
      </w:r>
    </w:p>
    <w:p w:rsidR="00F8610E" w:rsidRPr="00A060B6" w:rsidRDefault="00F8610E" w:rsidP="00486F06">
      <w:pPr>
        <w:pStyle w:val="Asubpara"/>
      </w:pPr>
      <w:r w:rsidRPr="00A060B6">
        <w:tab/>
        <w:t>(i)</w:t>
      </w:r>
      <w:r w:rsidRPr="00A060B6">
        <w:tab/>
        <w:t>signed or sealed the record; or</w:t>
      </w:r>
    </w:p>
    <w:p w:rsidR="00F8610E" w:rsidRPr="00A060B6" w:rsidRDefault="00F8610E" w:rsidP="00486F06">
      <w:pPr>
        <w:pStyle w:val="Asubpara"/>
      </w:pPr>
      <w:r w:rsidRPr="00A060B6">
        <w:tab/>
        <w:t>(ii)</w:t>
      </w:r>
      <w:r w:rsidRPr="00A060B6">
        <w:tab/>
        <w:t>certified the copy or extract as a true copy or extract.</w:t>
      </w:r>
    </w:p>
    <w:p w:rsidR="00F8610E" w:rsidRPr="00A060B6" w:rsidRDefault="00F8610E" w:rsidP="00486F06">
      <w:pPr>
        <w:pStyle w:val="Amain"/>
      </w:pPr>
      <w:r w:rsidRPr="00A060B6">
        <w:tab/>
        <w:t>(3)</w:t>
      </w:r>
      <w:r w:rsidRPr="00A060B6">
        <w:tab/>
        <w:t>In this section:</w:t>
      </w:r>
    </w:p>
    <w:p w:rsidR="00F8610E" w:rsidRPr="00A060B6" w:rsidRDefault="00F8610E" w:rsidP="005D1BC5">
      <w:pPr>
        <w:pStyle w:val="aDef"/>
      </w:pPr>
      <w:r w:rsidRPr="005D1BC5">
        <w:rPr>
          <w:rStyle w:val="charBoldItals"/>
        </w:rPr>
        <w:t>Minister</w:t>
      </w:r>
      <w:r w:rsidRPr="00A060B6">
        <w:t xml:space="preserve"> means—</w:t>
      </w:r>
    </w:p>
    <w:p w:rsidR="00F8610E" w:rsidRPr="00A060B6" w:rsidRDefault="00F8610E" w:rsidP="00486F06">
      <w:pPr>
        <w:pStyle w:val="aDefpara"/>
      </w:pPr>
      <w:r w:rsidRPr="00A060B6">
        <w:tab/>
        <w:t>(a)</w:t>
      </w:r>
      <w:r w:rsidRPr="00A060B6">
        <w:tab/>
        <w:t>in relation to a Commonwealth record—a Commonwealth Minister; and</w:t>
      </w:r>
    </w:p>
    <w:p w:rsidR="00F8610E" w:rsidRPr="00A060B6" w:rsidRDefault="00F8610E" w:rsidP="00486F06">
      <w:pPr>
        <w:pStyle w:val="aDefpara"/>
      </w:pPr>
      <w:r w:rsidRPr="00A060B6">
        <w:tab/>
        <w:t>(b)</w:t>
      </w:r>
      <w:r w:rsidRPr="00A060B6">
        <w:tab/>
        <w:t>in relation to a public document of a State or another Territory—a Minister of the State or Territory.</w:t>
      </w:r>
    </w:p>
    <w:p w:rsidR="00F8610E" w:rsidRPr="00A060B6" w:rsidRDefault="00F8610E" w:rsidP="00C23C3D">
      <w:pPr>
        <w:pStyle w:val="aNote"/>
        <w:keepNext/>
      </w:pPr>
      <w:r w:rsidRPr="005D1BC5">
        <w:rPr>
          <w:rStyle w:val="charItals"/>
        </w:rPr>
        <w:t>Note 1</w:t>
      </w:r>
      <w:r w:rsidRPr="00A060B6">
        <w:tab/>
        <w:t xml:space="preserve">For the meaning of </w:t>
      </w:r>
      <w:r w:rsidRPr="005D1BC5">
        <w:rPr>
          <w:rStyle w:val="charBoldItals"/>
        </w:rPr>
        <w:t>Minister</w:t>
      </w:r>
      <w:r w:rsidRPr="00A060B6">
        <w:t xml:space="preserve"> in relation to an ACT public document, see the </w:t>
      </w:r>
      <w:hyperlink r:id="rId131" w:tooltip="A2001-14" w:history="1">
        <w:r w:rsidR="00AF17FE" w:rsidRPr="00AF17FE">
          <w:rPr>
            <w:rStyle w:val="charCitHyperlinkAbbrev"/>
          </w:rPr>
          <w:t>Legislation Act</w:t>
        </w:r>
      </w:hyperlink>
      <w:r w:rsidRPr="00A060B6">
        <w:t>, s 162.</w:t>
      </w:r>
    </w:p>
    <w:p w:rsidR="00F8610E" w:rsidRPr="00A060B6" w:rsidRDefault="00F8610E" w:rsidP="00E51812">
      <w:pPr>
        <w:pStyle w:val="aNote"/>
      </w:pPr>
      <w:r w:rsidRPr="005D1BC5">
        <w:rPr>
          <w:rStyle w:val="charItals"/>
        </w:rPr>
        <w:t>Note 2</w:t>
      </w:r>
      <w:r w:rsidRPr="005D1BC5">
        <w:rPr>
          <w:rStyle w:val="charItals"/>
        </w:rPr>
        <w:tab/>
      </w:r>
      <w:r w:rsidRPr="00A060B6">
        <w:t xml:space="preserve">Subsection (3) is not in the </w:t>
      </w:r>
      <w:hyperlink r:id="rId132" w:tooltip="Evidence Act 1995" w:history="1">
        <w:r w:rsidR="00506E3A" w:rsidRPr="001D1BCB">
          <w:rPr>
            <w:rStyle w:val="charCitHyperlinkAbbrev"/>
          </w:rPr>
          <w:t>Commonwealth Act</w:t>
        </w:r>
      </w:hyperlink>
      <w:r w:rsidRPr="00A060B6">
        <w:t xml:space="preserve"> or </w:t>
      </w:r>
      <w:hyperlink r:id="rId133" w:tooltip="Act 1995 No 25 (NSW)" w:history="1">
        <w:r w:rsidR="00506E3A" w:rsidRPr="00506E3A">
          <w:rPr>
            <w:rStyle w:val="charCitHyperlinkAbbrev"/>
          </w:rPr>
          <w:t>NSW Act</w:t>
        </w:r>
      </w:hyperlink>
      <w:r w:rsidRPr="00A060B6">
        <w:t>.</w:t>
      </w:r>
    </w:p>
    <w:p w:rsidR="00F8610E" w:rsidRPr="00A060B6" w:rsidRDefault="00F8610E" w:rsidP="00486F06">
      <w:pPr>
        <w:pStyle w:val="AH5Sec"/>
      </w:pPr>
      <w:bookmarkStart w:id="224" w:name="_Toc11748579"/>
      <w:r w:rsidRPr="003925E1">
        <w:rPr>
          <w:rStyle w:val="CharSectNo"/>
        </w:rPr>
        <w:t>155A</w:t>
      </w:r>
      <w:r w:rsidRPr="00A060B6">
        <w:tab/>
        <w:t>Evidence of Commonwealth documents</w:t>
      </w:r>
      <w:bookmarkEnd w:id="224"/>
    </w:p>
    <w:p w:rsidR="00F8610E" w:rsidRPr="00A060B6" w:rsidRDefault="00F8610E" w:rsidP="00E51812">
      <w:pPr>
        <w:pStyle w:val="aNote"/>
      </w:pPr>
      <w:r w:rsidRPr="005D1BC5">
        <w:rPr>
          <w:rStyle w:val="charItals"/>
        </w:rPr>
        <w:t>Note</w:t>
      </w:r>
      <w:r w:rsidRPr="00A060B6">
        <w:tab/>
        <w:t xml:space="preserve">The </w:t>
      </w:r>
      <w:hyperlink r:id="rId134" w:tooltip="Evidence Act 1995" w:history="1">
        <w:r w:rsidR="00506E3A" w:rsidRPr="001D1BCB">
          <w:rPr>
            <w:rStyle w:val="charCitHyperlinkAbbrev"/>
          </w:rPr>
          <w:t>Commonwealth Act</w:t>
        </w:r>
      </w:hyperlink>
      <w:r w:rsidRPr="00A060B6">
        <w:t xml:space="preserve"> includes a provision that relates to evidence of Commonwealth documents.</w:t>
      </w:r>
    </w:p>
    <w:p w:rsidR="00F8610E" w:rsidRPr="00A060B6" w:rsidRDefault="00F8610E" w:rsidP="00486F06">
      <w:pPr>
        <w:pStyle w:val="AH5Sec"/>
      </w:pPr>
      <w:bookmarkStart w:id="225" w:name="_Toc11748580"/>
      <w:r w:rsidRPr="003925E1">
        <w:rPr>
          <w:rStyle w:val="CharSectNo"/>
        </w:rPr>
        <w:t>156</w:t>
      </w:r>
      <w:r w:rsidRPr="00A060B6">
        <w:tab/>
        <w:t>Public documents</w:t>
      </w:r>
      <w:bookmarkEnd w:id="225"/>
    </w:p>
    <w:p w:rsidR="00F8610E" w:rsidRPr="00A060B6" w:rsidRDefault="00F8610E" w:rsidP="002E7253">
      <w:pPr>
        <w:pStyle w:val="Amain"/>
        <w:keepNext/>
      </w:pPr>
      <w:r w:rsidRPr="00A060B6">
        <w:tab/>
        <w:t>(1)</w:t>
      </w:r>
      <w:r w:rsidRPr="00A060B6">
        <w:tab/>
        <w:t>A document that purports to be a copy of, or an extract from or summary of, a public document and to have been—</w:t>
      </w:r>
    </w:p>
    <w:p w:rsidR="00F8610E" w:rsidRPr="00A060B6" w:rsidRDefault="00F8610E" w:rsidP="00486F06">
      <w:pPr>
        <w:pStyle w:val="Apara"/>
      </w:pPr>
      <w:r w:rsidRPr="00A060B6">
        <w:tab/>
        <w:t>(a)</w:t>
      </w:r>
      <w:r w:rsidRPr="00A060B6">
        <w:tab/>
        <w:t>sealed with the seal of a person who, or a body that, might reasonably be supposed to have the custody of the public document; or</w:t>
      </w:r>
    </w:p>
    <w:p w:rsidR="00F8610E" w:rsidRPr="00A060B6" w:rsidRDefault="00F8610E" w:rsidP="00FF3BD9">
      <w:pPr>
        <w:pStyle w:val="Apara"/>
        <w:keepNext/>
      </w:pPr>
      <w:r w:rsidRPr="00A060B6">
        <w:lastRenderedPageBreak/>
        <w:tab/>
        <w:t>(b)</w:t>
      </w:r>
      <w:r w:rsidRPr="00A060B6">
        <w:tab/>
        <w:t>certified as a copy, extract or summary by a person who might reasonably be supposed to have custody of the public document;</w:t>
      </w:r>
    </w:p>
    <w:p w:rsidR="00F8610E" w:rsidRPr="00A060B6" w:rsidRDefault="00F8610E" w:rsidP="00E51812">
      <w:pPr>
        <w:pStyle w:val="Amainreturn"/>
      </w:pPr>
      <w:r w:rsidRPr="00A060B6">
        <w:t>is presumed, unless the contrary is proved, to be a copy of the public document, or an extract from or summary of the public document.</w:t>
      </w:r>
    </w:p>
    <w:p w:rsidR="00F8610E" w:rsidRPr="00A060B6" w:rsidRDefault="00F8610E" w:rsidP="00486F06">
      <w:pPr>
        <w:pStyle w:val="Amain"/>
      </w:pPr>
      <w:r w:rsidRPr="00A060B6">
        <w:tab/>
        <w:t>(2)</w:t>
      </w:r>
      <w:r w:rsidRPr="00A060B6">
        <w:tab/>
        <w:t>If an officer entrusted with the custody of a public document is required by a court to produce the public document, it is sufficient compliance with the requirement for the officer to produce a copy of, or extract from, the public document if it purports to be signed and certified by the officer as a true copy or extract.</w:t>
      </w:r>
    </w:p>
    <w:p w:rsidR="00F8610E" w:rsidRPr="00A060B6" w:rsidRDefault="00F8610E" w:rsidP="00486F06">
      <w:pPr>
        <w:pStyle w:val="Amain"/>
      </w:pPr>
      <w:r w:rsidRPr="00A060B6">
        <w:tab/>
        <w:t>(3)</w:t>
      </w:r>
      <w:r w:rsidRPr="00A060B6">
        <w:tab/>
        <w:t>It is sufficient production of a copy or extract for subsection (2) if the officer sends it by prepaid post, or delivers it, to—</w:t>
      </w:r>
    </w:p>
    <w:p w:rsidR="00F8610E" w:rsidRPr="00A060B6" w:rsidRDefault="00F8610E" w:rsidP="00486F06">
      <w:pPr>
        <w:pStyle w:val="Apara"/>
      </w:pPr>
      <w:r w:rsidRPr="00A060B6">
        <w:tab/>
        <w:t>(a)</w:t>
      </w:r>
      <w:r w:rsidRPr="00A060B6">
        <w:tab/>
        <w:t>the proper officer of the court in which it is to be produced; or</w:t>
      </w:r>
    </w:p>
    <w:p w:rsidR="00F8610E" w:rsidRPr="00A060B6" w:rsidRDefault="00F8610E" w:rsidP="00486F06">
      <w:pPr>
        <w:pStyle w:val="Apara"/>
      </w:pPr>
      <w:r w:rsidRPr="00A060B6">
        <w:tab/>
        <w:t>(b)</w:t>
      </w:r>
      <w:r w:rsidRPr="00A060B6">
        <w:tab/>
        <w:t>the person before whom it is to be produced.</w:t>
      </w:r>
    </w:p>
    <w:p w:rsidR="00F8610E" w:rsidRPr="00A060B6" w:rsidRDefault="00F8610E" w:rsidP="00486F06">
      <w:pPr>
        <w:pStyle w:val="Amain"/>
      </w:pPr>
      <w:r w:rsidRPr="00A060B6">
        <w:tab/>
        <w:t>(4)</w:t>
      </w:r>
      <w:r w:rsidRPr="00A060B6">
        <w:tab/>
        <w:t>The court before which a copy or extra</w:t>
      </w:r>
      <w:r w:rsidR="0061678D">
        <w:t>ct is produced under subsection </w:t>
      </w:r>
      <w:r w:rsidRPr="00A060B6">
        <w:t>(2) may direct the officer to produce the original public document.</w:t>
      </w:r>
    </w:p>
    <w:p w:rsidR="00F8610E" w:rsidRPr="00A060B6" w:rsidRDefault="00F8610E" w:rsidP="00B5084C">
      <w:pPr>
        <w:pStyle w:val="aNote"/>
      </w:pPr>
      <w:r w:rsidRPr="005D1BC5">
        <w:rPr>
          <w:rStyle w:val="charItals"/>
        </w:rPr>
        <w:t>Note</w:t>
      </w:r>
      <w:r w:rsidRPr="005D1BC5">
        <w:rPr>
          <w:rStyle w:val="charItals"/>
        </w:rPr>
        <w:tab/>
      </w:r>
      <w:r w:rsidRPr="00A060B6">
        <w:t xml:space="preserve">The </w:t>
      </w:r>
      <w:hyperlink r:id="rId135" w:tooltip="Evidence Act 1995" w:history="1">
        <w:r w:rsidR="001D1BCB" w:rsidRPr="001D1BCB">
          <w:rPr>
            <w:rStyle w:val="charCitHyperlinkAbbrev"/>
          </w:rPr>
          <w:t>Commonwealth Act</w:t>
        </w:r>
      </w:hyperlink>
      <w:r w:rsidRPr="00A060B6">
        <w:t xml:space="preserve">, s 182  gives the </w:t>
      </w:r>
      <w:hyperlink r:id="rId136" w:tooltip="Evidence Act 1995" w:history="1">
        <w:r w:rsidR="001D1BCB" w:rsidRPr="001D1BCB">
          <w:rPr>
            <w:rStyle w:val="charCitHyperlinkAbbrev"/>
          </w:rPr>
          <w:t>Commonwealth Act</w:t>
        </w:r>
      </w:hyperlink>
      <w:r w:rsidRPr="00A060B6">
        <w:t>, s 156 a wider application in relation to Commonwealth records.</w:t>
      </w:r>
    </w:p>
    <w:p w:rsidR="00F8610E" w:rsidRPr="00A060B6" w:rsidRDefault="00F8610E" w:rsidP="00486F06">
      <w:pPr>
        <w:pStyle w:val="AH5Sec"/>
      </w:pPr>
      <w:bookmarkStart w:id="226" w:name="_Toc11748581"/>
      <w:r w:rsidRPr="003925E1">
        <w:rPr>
          <w:rStyle w:val="CharSectNo"/>
        </w:rPr>
        <w:t>157</w:t>
      </w:r>
      <w:r w:rsidRPr="00A060B6">
        <w:tab/>
        <w:t>Public documents relating to court processes</w:t>
      </w:r>
      <w:bookmarkEnd w:id="226"/>
    </w:p>
    <w:p w:rsidR="00F8610E" w:rsidRPr="00A060B6" w:rsidRDefault="00F8610E" w:rsidP="002E7253">
      <w:pPr>
        <w:pStyle w:val="Amainreturn"/>
        <w:keepLines/>
      </w:pPr>
      <w:r w:rsidRPr="00A060B6">
        <w:t>Evidence of a public document that is a judgment, act or other process of an Australian court or foreign court, or that is a document lodged with an Australian court or foreign court, may be presented by producing a document that purports to be a copy of the public document and that—</w:t>
      </w:r>
    </w:p>
    <w:p w:rsidR="00F8610E" w:rsidRPr="00A060B6" w:rsidRDefault="00F8610E" w:rsidP="00486F06">
      <w:pPr>
        <w:pStyle w:val="Apara"/>
      </w:pPr>
      <w:r w:rsidRPr="00A060B6">
        <w:tab/>
        <w:t>(a)</w:t>
      </w:r>
      <w:r w:rsidRPr="00A060B6">
        <w:tab/>
        <w:t>is proved to be an examined copy; or</w:t>
      </w:r>
    </w:p>
    <w:p w:rsidR="00F8610E" w:rsidRPr="00A060B6" w:rsidRDefault="00F8610E" w:rsidP="00486F06">
      <w:pPr>
        <w:pStyle w:val="Apara"/>
      </w:pPr>
      <w:r w:rsidRPr="00A060B6">
        <w:tab/>
        <w:t>(b)</w:t>
      </w:r>
      <w:r w:rsidRPr="00A060B6">
        <w:tab/>
        <w:t>purports to be sealed with the seal of that court; or</w:t>
      </w:r>
    </w:p>
    <w:p w:rsidR="00F8610E" w:rsidRPr="00A060B6" w:rsidRDefault="00F8610E" w:rsidP="00171031">
      <w:pPr>
        <w:pStyle w:val="Apara"/>
        <w:keepNext/>
      </w:pPr>
      <w:r w:rsidRPr="00A060B6">
        <w:lastRenderedPageBreak/>
        <w:tab/>
        <w:t>(c)</w:t>
      </w:r>
      <w:r w:rsidRPr="00A060B6">
        <w:tab/>
        <w:t>purports to be signed by a judge, magistrate, registrar or other proper officer of that court.</w:t>
      </w:r>
    </w:p>
    <w:p w:rsidR="00F8610E" w:rsidRPr="00A060B6" w:rsidRDefault="00F8610E" w:rsidP="00E51812">
      <w:pPr>
        <w:pStyle w:val="aNote"/>
      </w:pPr>
      <w:r w:rsidRPr="005D1BC5">
        <w:rPr>
          <w:rStyle w:val="charItals"/>
        </w:rPr>
        <w:t>Note</w:t>
      </w:r>
      <w:r w:rsidRPr="00A060B6">
        <w:tab/>
        <w:t xml:space="preserve">The </w:t>
      </w:r>
      <w:hyperlink r:id="rId137" w:tooltip="Evidence Act 1995" w:history="1">
        <w:r w:rsidR="001D1BCB" w:rsidRPr="001D1BCB">
          <w:rPr>
            <w:rStyle w:val="charCitHyperlinkAbbrev"/>
          </w:rPr>
          <w:t>Commonwealth Act</w:t>
        </w:r>
      </w:hyperlink>
      <w:r w:rsidRPr="00A060B6">
        <w:t xml:space="preserve">, s 5 extends the operation of the </w:t>
      </w:r>
      <w:hyperlink r:id="rId138" w:tooltip="Evidence Act 1995" w:history="1">
        <w:r w:rsidR="001D1BCB" w:rsidRPr="001D1BCB">
          <w:rPr>
            <w:rStyle w:val="charCitHyperlinkAbbrev"/>
          </w:rPr>
          <w:t>Commonwealth Act</w:t>
        </w:r>
      </w:hyperlink>
      <w:r w:rsidRPr="00A060B6">
        <w:t>, s 157 to proceedings in all Australian courts.</w:t>
      </w:r>
    </w:p>
    <w:p w:rsidR="00F8610E" w:rsidRPr="00A060B6" w:rsidRDefault="00F8610E" w:rsidP="00486F06">
      <w:pPr>
        <w:pStyle w:val="AH5Sec"/>
      </w:pPr>
      <w:bookmarkStart w:id="227" w:name="_Toc11748582"/>
      <w:r w:rsidRPr="003925E1">
        <w:rPr>
          <w:rStyle w:val="CharSectNo"/>
        </w:rPr>
        <w:t>158</w:t>
      </w:r>
      <w:r w:rsidRPr="00A060B6">
        <w:tab/>
        <w:t>Evidence of certain public documents</w:t>
      </w:r>
      <w:bookmarkEnd w:id="227"/>
    </w:p>
    <w:p w:rsidR="00F8610E" w:rsidRPr="00A060B6" w:rsidRDefault="00F8610E" w:rsidP="00486F06">
      <w:pPr>
        <w:pStyle w:val="Amain"/>
      </w:pPr>
      <w:r w:rsidRPr="00A060B6">
        <w:tab/>
        <w:t>(1)</w:t>
      </w:r>
      <w:r w:rsidRPr="00A060B6">
        <w:tab/>
        <w:t>If—</w:t>
      </w:r>
    </w:p>
    <w:p w:rsidR="00F8610E" w:rsidRPr="00A060B6" w:rsidRDefault="00F8610E" w:rsidP="00486F06">
      <w:pPr>
        <w:pStyle w:val="Apara"/>
      </w:pPr>
      <w:r w:rsidRPr="00A060B6">
        <w:tab/>
        <w:t>(a)</w:t>
      </w:r>
      <w:r w:rsidRPr="00A060B6">
        <w:tab/>
        <w:t>a public document, or a certified copy of a public document, of a State or another Territory is admissible for a purpose in the State or other Territory under the law of the State or other Territory; and</w:t>
      </w:r>
    </w:p>
    <w:p w:rsidR="00F8610E" w:rsidRPr="00A060B6" w:rsidRDefault="00F8610E" w:rsidP="0061678D">
      <w:pPr>
        <w:pStyle w:val="Apara"/>
        <w:keepNext/>
      </w:pPr>
      <w:r w:rsidRPr="00A060B6">
        <w:tab/>
        <w:t>(b)</w:t>
      </w:r>
      <w:r w:rsidRPr="00A060B6">
        <w:tab/>
        <w:t>it purports to be sealed, or signed and sealed, or signed alone, as directed by the law of the State or other Territory;</w:t>
      </w:r>
    </w:p>
    <w:p w:rsidR="00F8610E" w:rsidRPr="00A060B6" w:rsidRDefault="00F8610E" w:rsidP="0061678D">
      <w:pPr>
        <w:pStyle w:val="Amainreturn"/>
        <w:keepNext/>
      </w:pPr>
      <w:r w:rsidRPr="00A060B6">
        <w:t>it is admissible in evidence to the same extent and for that purpose in all ACT courts—</w:t>
      </w:r>
    </w:p>
    <w:p w:rsidR="00F8610E" w:rsidRPr="00A060B6" w:rsidRDefault="00F8610E" w:rsidP="0061678D">
      <w:pPr>
        <w:pStyle w:val="Apara"/>
        <w:keepNext/>
      </w:pPr>
      <w:r w:rsidRPr="00A060B6">
        <w:tab/>
        <w:t>(c)</w:t>
      </w:r>
      <w:r w:rsidRPr="00A060B6">
        <w:tab/>
        <w:t>without proof of—</w:t>
      </w:r>
    </w:p>
    <w:p w:rsidR="00F8610E" w:rsidRPr="00A060B6" w:rsidRDefault="00F8610E" w:rsidP="00486F06">
      <w:pPr>
        <w:pStyle w:val="Asubpara"/>
      </w:pPr>
      <w:r w:rsidRPr="00A060B6">
        <w:tab/>
        <w:t>(i)</w:t>
      </w:r>
      <w:r w:rsidRPr="00A060B6">
        <w:tab/>
        <w:t>the seal or signature; or</w:t>
      </w:r>
    </w:p>
    <w:p w:rsidR="00F8610E" w:rsidRPr="00A060B6" w:rsidRDefault="00F8610E" w:rsidP="00486F06">
      <w:pPr>
        <w:pStyle w:val="Asubpara"/>
      </w:pPr>
      <w:r w:rsidRPr="00A060B6">
        <w:tab/>
        <w:t>(ii)</w:t>
      </w:r>
      <w:r w:rsidRPr="00A060B6">
        <w:tab/>
        <w:t>the official character of the person appearing to have signed it; and</w:t>
      </w:r>
    </w:p>
    <w:p w:rsidR="00F8610E" w:rsidRPr="00A060B6" w:rsidRDefault="00F8610E" w:rsidP="00486F06">
      <w:pPr>
        <w:pStyle w:val="Apara"/>
      </w:pPr>
      <w:r w:rsidRPr="00A060B6">
        <w:tab/>
        <w:t>(d)</w:t>
      </w:r>
      <w:r w:rsidRPr="00A060B6">
        <w:tab/>
        <w:t>without further proof in every case in which the original document could have been received in evidence.</w:t>
      </w:r>
    </w:p>
    <w:p w:rsidR="00F8610E" w:rsidRPr="00A060B6" w:rsidRDefault="00F8610E" w:rsidP="00486F06">
      <w:pPr>
        <w:pStyle w:val="Amain"/>
      </w:pPr>
      <w:r w:rsidRPr="00A060B6">
        <w:tab/>
        <w:t>(2)</w:t>
      </w:r>
      <w:r w:rsidRPr="00A060B6">
        <w:tab/>
        <w:t>A public document of a State or another Territory that is admissible in evidence for any purpose in the State or other Territory under the law of that State or Territory without proof of—</w:t>
      </w:r>
    </w:p>
    <w:p w:rsidR="00F8610E" w:rsidRPr="00A060B6" w:rsidRDefault="00F8610E" w:rsidP="00486F06">
      <w:pPr>
        <w:pStyle w:val="Apara"/>
      </w:pPr>
      <w:r w:rsidRPr="00A060B6">
        <w:tab/>
        <w:t>(a)</w:t>
      </w:r>
      <w:r w:rsidRPr="00A060B6">
        <w:tab/>
        <w:t>the seal or signature authenticating the document; or</w:t>
      </w:r>
    </w:p>
    <w:p w:rsidR="00F8610E" w:rsidRPr="00A060B6" w:rsidRDefault="00F8610E" w:rsidP="00486F06">
      <w:pPr>
        <w:pStyle w:val="Apara"/>
      </w:pPr>
      <w:r w:rsidRPr="00A060B6">
        <w:tab/>
        <w:t>(b)</w:t>
      </w:r>
      <w:r w:rsidRPr="00A060B6">
        <w:tab/>
        <w:t>the judicial or official character of the person appearing to have signed the document;</w:t>
      </w:r>
    </w:p>
    <w:p w:rsidR="00F8610E" w:rsidRPr="00A060B6" w:rsidRDefault="00F8610E" w:rsidP="00E51812">
      <w:pPr>
        <w:pStyle w:val="Amainreturn"/>
      </w:pPr>
      <w:r w:rsidRPr="00A060B6">
        <w:t>is admissible in evidence to the same extent and for any purpose in all ACT courts without that proof.</w:t>
      </w:r>
    </w:p>
    <w:p w:rsidR="00F8610E" w:rsidRPr="00A060B6" w:rsidRDefault="00F8610E" w:rsidP="00486F06">
      <w:pPr>
        <w:pStyle w:val="Amain"/>
      </w:pPr>
      <w:r w:rsidRPr="00A060B6">
        <w:lastRenderedPageBreak/>
        <w:tab/>
        <w:t>(3)</w:t>
      </w:r>
      <w:r w:rsidRPr="00A060B6">
        <w:tab/>
        <w:t>This section only applies to documents that are public records of a State or another Territory.</w:t>
      </w:r>
    </w:p>
    <w:p w:rsidR="00F8610E" w:rsidRPr="00A060B6" w:rsidRDefault="00F8610E" w:rsidP="00486F06">
      <w:pPr>
        <w:pStyle w:val="AH5Sec"/>
      </w:pPr>
      <w:bookmarkStart w:id="228" w:name="_Toc11748583"/>
      <w:r w:rsidRPr="003925E1">
        <w:rPr>
          <w:rStyle w:val="CharSectNo"/>
        </w:rPr>
        <w:t>159</w:t>
      </w:r>
      <w:r w:rsidRPr="00A060B6">
        <w:tab/>
        <w:t>Official statistics</w:t>
      </w:r>
      <w:bookmarkEnd w:id="228"/>
    </w:p>
    <w:p w:rsidR="00F8610E" w:rsidRPr="00A060B6" w:rsidRDefault="00F8610E" w:rsidP="00E51812">
      <w:pPr>
        <w:pStyle w:val="Amainreturn"/>
      </w:pPr>
      <w:r w:rsidRPr="00A060B6">
        <w:t>A document that purports—</w:t>
      </w:r>
    </w:p>
    <w:p w:rsidR="00F8610E" w:rsidRPr="00A060B6" w:rsidRDefault="00F8610E" w:rsidP="00486F06">
      <w:pPr>
        <w:pStyle w:val="Apara"/>
      </w:pPr>
      <w:r w:rsidRPr="00A060B6">
        <w:tab/>
        <w:t>(a)</w:t>
      </w:r>
      <w:r w:rsidRPr="00A060B6">
        <w:tab/>
        <w:t xml:space="preserve">to be published by the Australian </w:t>
      </w:r>
      <w:r w:rsidR="00834000">
        <w:t>s</w:t>
      </w:r>
      <w:r w:rsidRPr="00A060B6">
        <w:t>tatistician; and</w:t>
      </w:r>
    </w:p>
    <w:p w:rsidR="00F8610E" w:rsidRPr="00A060B6" w:rsidRDefault="00F8610E" w:rsidP="0061678D">
      <w:pPr>
        <w:pStyle w:val="Apara"/>
        <w:keepNext/>
        <w:rPr>
          <w:iCs/>
        </w:rPr>
      </w:pPr>
      <w:r w:rsidRPr="00A060B6">
        <w:tab/>
        <w:t>(b)</w:t>
      </w:r>
      <w:r w:rsidRPr="00A060B6">
        <w:tab/>
        <w:t xml:space="preserve">to contain statistics or abstracts compiled and analysed by the Australian </w:t>
      </w:r>
      <w:r w:rsidR="00834000">
        <w:t>s</w:t>
      </w:r>
      <w:r w:rsidRPr="00A060B6">
        <w:t xml:space="preserve">tatistician under the </w:t>
      </w:r>
      <w:hyperlink r:id="rId139" w:tooltip="Act 1905 No 15 (Cwlth)" w:history="1">
        <w:r w:rsidR="00612504" w:rsidRPr="00612504">
          <w:rPr>
            <w:rStyle w:val="charCitHyperlinkItal"/>
          </w:rPr>
          <w:t>Census and Statistics Act 1905</w:t>
        </w:r>
      </w:hyperlink>
      <w:r w:rsidRPr="005D1BC5">
        <w:rPr>
          <w:rStyle w:val="charItals"/>
        </w:rPr>
        <w:t xml:space="preserve"> </w:t>
      </w:r>
      <w:r w:rsidRPr="00A060B6">
        <w:rPr>
          <w:iCs/>
        </w:rPr>
        <w:t>(Cwlth);</w:t>
      </w:r>
    </w:p>
    <w:p w:rsidR="00F8610E" w:rsidRPr="00A060B6" w:rsidRDefault="00F8610E" w:rsidP="00C23C3D">
      <w:pPr>
        <w:pStyle w:val="Amainreturn"/>
        <w:keepNext/>
      </w:pPr>
      <w:r w:rsidRPr="00A060B6">
        <w:t xml:space="preserve">is evidence that the statistics or abstracts were compiled and analysed by the Australian </w:t>
      </w:r>
      <w:r w:rsidR="00834000">
        <w:t>s</w:t>
      </w:r>
      <w:r w:rsidRPr="00A060B6">
        <w:t>tatistician under that Act.</w:t>
      </w:r>
    </w:p>
    <w:p w:rsidR="00F8610E" w:rsidRPr="00A060B6" w:rsidRDefault="00F8610E" w:rsidP="00690AED">
      <w:pPr>
        <w:pStyle w:val="aNote"/>
      </w:pPr>
      <w:r w:rsidRPr="005D1BC5">
        <w:rPr>
          <w:rStyle w:val="charItals"/>
        </w:rPr>
        <w:t>Note</w:t>
      </w:r>
      <w:r w:rsidRPr="00A060B6">
        <w:tab/>
        <w:t xml:space="preserve">The </w:t>
      </w:r>
      <w:hyperlink r:id="rId140" w:tooltip="Evidence Act 1995" w:history="1">
        <w:r w:rsidR="001D1BCB" w:rsidRPr="001D1BCB">
          <w:rPr>
            <w:rStyle w:val="charCitHyperlinkAbbrev"/>
          </w:rPr>
          <w:t>Commonwealth Act</w:t>
        </w:r>
      </w:hyperlink>
      <w:r w:rsidRPr="00A060B6">
        <w:t xml:space="preserve">, s 5 extends the operation of the </w:t>
      </w:r>
      <w:hyperlink r:id="rId141" w:tooltip="Evidence Act 1995" w:history="1">
        <w:r w:rsidR="001D1BCB" w:rsidRPr="001D1BCB">
          <w:rPr>
            <w:rStyle w:val="charCitHyperlinkAbbrev"/>
          </w:rPr>
          <w:t>Commonwealth Act</w:t>
        </w:r>
      </w:hyperlink>
      <w:r w:rsidRPr="00A060B6">
        <w:t>, s 159 to proceedings in all Australian courts.</w:t>
      </w:r>
    </w:p>
    <w:p w:rsidR="00F8610E" w:rsidRPr="003925E1" w:rsidRDefault="00F8610E" w:rsidP="00486F06">
      <w:pPr>
        <w:pStyle w:val="AH3Div"/>
      </w:pPr>
      <w:bookmarkStart w:id="229" w:name="_Toc11748584"/>
      <w:r w:rsidRPr="003925E1">
        <w:rPr>
          <w:rStyle w:val="CharDivNo"/>
        </w:rPr>
        <w:t>Division 4.3.3</w:t>
      </w:r>
      <w:r w:rsidRPr="00A060B6">
        <w:tab/>
      </w:r>
      <w:r w:rsidRPr="003925E1">
        <w:rPr>
          <w:rStyle w:val="CharDivText"/>
        </w:rPr>
        <w:t>Matters relating to post and communications</w:t>
      </w:r>
      <w:bookmarkEnd w:id="229"/>
    </w:p>
    <w:p w:rsidR="00F8610E" w:rsidRPr="00A060B6" w:rsidRDefault="00F8610E" w:rsidP="00486F06">
      <w:pPr>
        <w:pStyle w:val="AH5Sec"/>
      </w:pPr>
      <w:bookmarkStart w:id="230" w:name="_Toc11748585"/>
      <w:r w:rsidRPr="003925E1">
        <w:rPr>
          <w:rStyle w:val="CharSectNo"/>
        </w:rPr>
        <w:t>160</w:t>
      </w:r>
      <w:r w:rsidRPr="00A060B6">
        <w:tab/>
        <w:t>Postal articles</w:t>
      </w:r>
      <w:bookmarkEnd w:id="230"/>
    </w:p>
    <w:p w:rsidR="00F8610E" w:rsidRPr="00A060B6" w:rsidRDefault="00F8610E" w:rsidP="002E7253">
      <w:pPr>
        <w:pStyle w:val="Amain"/>
        <w:keepNext/>
      </w:pPr>
      <w:r w:rsidRPr="00A060B6">
        <w:tab/>
        <w:t>(1)</w:t>
      </w:r>
      <w:r w:rsidRPr="00A060B6">
        <w:tab/>
        <w:t xml:space="preserve">It is presumed (unless evidence sufficient to raise doubt about the presumption is presented) that a postal article sent by prepaid post addressed to a person at a stated address in Australia or in an external territory was received at that address on the </w:t>
      </w:r>
      <w:r w:rsidR="000833E5" w:rsidRPr="00537812">
        <w:t>7th</w:t>
      </w:r>
      <w:r w:rsidRPr="00A060B6">
        <w:t xml:space="preserve"> working day after the day it was posted.</w:t>
      </w:r>
    </w:p>
    <w:p w:rsidR="00F8610E" w:rsidRPr="00A060B6" w:rsidRDefault="00F8610E" w:rsidP="00486F06">
      <w:pPr>
        <w:pStyle w:val="Amain"/>
      </w:pPr>
      <w:r w:rsidRPr="00A060B6">
        <w:tab/>
        <w:t>(2)</w:t>
      </w:r>
      <w:r w:rsidRPr="00A060B6">
        <w:tab/>
        <w:t>This section does not apply if—</w:t>
      </w:r>
    </w:p>
    <w:p w:rsidR="00F8610E" w:rsidRPr="00A060B6" w:rsidRDefault="00F8610E" w:rsidP="00486F06">
      <w:pPr>
        <w:pStyle w:val="Apara"/>
      </w:pPr>
      <w:r w:rsidRPr="00A060B6">
        <w:tab/>
        <w:t>(a)</w:t>
      </w:r>
      <w:r w:rsidRPr="00A060B6">
        <w:tab/>
        <w:t>the proceeding relates to a contract; and</w:t>
      </w:r>
    </w:p>
    <w:p w:rsidR="00F8610E" w:rsidRPr="00A060B6" w:rsidRDefault="00F8610E" w:rsidP="00486F06">
      <w:pPr>
        <w:pStyle w:val="Apara"/>
      </w:pPr>
      <w:r w:rsidRPr="00A060B6">
        <w:tab/>
        <w:t>(b)</w:t>
      </w:r>
      <w:r w:rsidRPr="00A060B6">
        <w:tab/>
        <w:t>all the parties to the proceeding are parties to the contract; and</w:t>
      </w:r>
    </w:p>
    <w:p w:rsidR="00F8610E" w:rsidRPr="00A060B6" w:rsidRDefault="00F8610E" w:rsidP="00486F06">
      <w:pPr>
        <w:pStyle w:val="Apara"/>
      </w:pPr>
      <w:r w:rsidRPr="00A060B6">
        <w:tab/>
        <w:t>(c)</w:t>
      </w:r>
      <w:r w:rsidRPr="00A060B6">
        <w:tab/>
        <w:t>subsection (1) is inconsistent with a term of the contract.</w:t>
      </w:r>
    </w:p>
    <w:p w:rsidR="00F8610E" w:rsidRPr="00A060B6" w:rsidRDefault="00F8610E" w:rsidP="00171031">
      <w:pPr>
        <w:pStyle w:val="Amain"/>
        <w:keepNext/>
      </w:pPr>
      <w:r w:rsidRPr="00A060B6">
        <w:lastRenderedPageBreak/>
        <w:tab/>
        <w:t>(3)</w:t>
      </w:r>
      <w:r w:rsidRPr="00A060B6">
        <w:tab/>
        <w:t>In this section:</w:t>
      </w:r>
    </w:p>
    <w:p w:rsidR="00F8610E" w:rsidRPr="00A060B6" w:rsidRDefault="00F8610E" w:rsidP="00171031">
      <w:pPr>
        <w:pStyle w:val="aDef"/>
        <w:keepNext/>
      </w:pPr>
      <w:r w:rsidRPr="005D1BC5">
        <w:rPr>
          <w:rStyle w:val="charBoldItals"/>
        </w:rPr>
        <w:t>working day</w:t>
      </w:r>
      <w:r w:rsidRPr="00A060B6">
        <w:t xml:space="preserve"> means a day that is not—</w:t>
      </w:r>
    </w:p>
    <w:p w:rsidR="00F8610E" w:rsidRPr="00A060B6" w:rsidRDefault="00F8610E" w:rsidP="00486F06">
      <w:pPr>
        <w:pStyle w:val="aDefpara"/>
      </w:pPr>
      <w:r w:rsidRPr="00A060B6">
        <w:tab/>
        <w:t>(a)</w:t>
      </w:r>
      <w:r w:rsidRPr="00A060B6">
        <w:tab/>
        <w:t>a Saturday or a Sunday; or</w:t>
      </w:r>
    </w:p>
    <w:p w:rsidR="00F8610E" w:rsidRPr="00A060B6" w:rsidRDefault="00F8610E" w:rsidP="00486F06">
      <w:pPr>
        <w:pStyle w:val="aDefpara"/>
      </w:pPr>
      <w:r w:rsidRPr="00A060B6">
        <w:tab/>
        <w:t>(b)</w:t>
      </w:r>
      <w:r w:rsidRPr="00A060B6">
        <w:tab/>
        <w:t>a public holiday or a bank holiday in the place to which the postal article was addressed.</w:t>
      </w:r>
    </w:p>
    <w:p w:rsidR="00F8610E" w:rsidRPr="00A060B6" w:rsidRDefault="00F8610E" w:rsidP="00B2407D">
      <w:pPr>
        <w:pStyle w:val="aNote"/>
      </w:pPr>
      <w:r w:rsidRPr="005D1BC5">
        <w:rPr>
          <w:rStyle w:val="charItals"/>
        </w:rPr>
        <w:t>Note</w:t>
      </w:r>
      <w:r w:rsidRPr="005D1BC5">
        <w:rPr>
          <w:rStyle w:val="charItals"/>
        </w:rPr>
        <w:tab/>
      </w:r>
      <w:r w:rsidRPr="00A060B6">
        <w:t xml:space="preserve">The </w:t>
      </w:r>
      <w:hyperlink r:id="rId142" w:tooltip="Evidence Act 1995" w:history="1">
        <w:r w:rsidR="001D1BCB" w:rsidRPr="001D1BCB">
          <w:rPr>
            <w:rStyle w:val="charCitHyperlinkAbbrev"/>
          </w:rPr>
          <w:t>Commonwealth Act</w:t>
        </w:r>
      </w:hyperlink>
      <w:r w:rsidRPr="00A060B6">
        <w:t xml:space="preserve">, s 182 gives the </w:t>
      </w:r>
      <w:hyperlink r:id="rId143" w:tooltip="Evidence Act 1995" w:history="1">
        <w:r w:rsidR="001D1BCB" w:rsidRPr="001D1BCB">
          <w:rPr>
            <w:rStyle w:val="charCitHyperlinkAbbrev"/>
          </w:rPr>
          <w:t>Commonwealth Act</w:t>
        </w:r>
      </w:hyperlink>
      <w:r w:rsidRPr="00A060B6">
        <w:t>, s 160 a wider application in relation to postal articles sent by a Commonwealth agency.</w:t>
      </w:r>
    </w:p>
    <w:p w:rsidR="00F8610E" w:rsidRPr="00A060B6" w:rsidRDefault="00F8610E" w:rsidP="00486F06">
      <w:pPr>
        <w:pStyle w:val="AH5Sec"/>
      </w:pPr>
      <w:bookmarkStart w:id="231" w:name="_Toc11748586"/>
      <w:r w:rsidRPr="003925E1">
        <w:rPr>
          <w:rStyle w:val="CharSectNo"/>
        </w:rPr>
        <w:t>161</w:t>
      </w:r>
      <w:r w:rsidRPr="00A060B6">
        <w:tab/>
        <w:t>Electronic communications</w:t>
      </w:r>
      <w:bookmarkEnd w:id="231"/>
    </w:p>
    <w:p w:rsidR="00F8610E" w:rsidRPr="00A060B6" w:rsidRDefault="00F8610E" w:rsidP="00486F06">
      <w:pPr>
        <w:pStyle w:val="Amain"/>
        <w:rPr>
          <w:lang w:eastAsia="en-AU"/>
        </w:rPr>
      </w:pPr>
      <w:r w:rsidRPr="00A060B6">
        <w:rPr>
          <w:lang w:eastAsia="en-AU"/>
        </w:rPr>
        <w:tab/>
        <w:t>(1)</w:t>
      </w:r>
      <w:r w:rsidRPr="00A060B6">
        <w:rPr>
          <w:lang w:eastAsia="en-AU"/>
        </w:rPr>
        <w:tab/>
        <w:t xml:space="preserve">If a document purports to contain a record of an electronic communication other than one mentioned in section 162, it is presumed (unless evidence sufficient to raise doubt about the presumption is </w:t>
      </w:r>
      <w:r w:rsidRPr="00A060B6">
        <w:t>presented</w:t>
      </w:r>
      <w:r w:rsidRPr="00A060B6">
        <w:rPr>
          <w:lang w:eastAsia="en-AU"/>
        </w:rPr>
        <w:t xml:space="preserve">) that the communication— </w:t>
      </w:r>
    </w:p>
    <w:p w:rsidR="00F8610E" w:rsidRPr="00A060B6" w:rsidRDefault="00F8610E" w:rsidP="00486F06">
      <w:pPr>
        <w:pStyle w:val="Apara"/>
        <w:rPr>
          <w:lang w:eastAsia="en-AU"/>
        </w:rPr>
      </w:pPr>
      <w:r w:rsidRPr="00A060B6">
        <w:rPr>
          <w:lang w:eastAsia="en-AU"/>
        </w:rPr>
        <w:tab/>
        <w:t>(a)</w:t>
      </w:r>
      <w:r w:rsidRPr="00A060B6">
        <w:rPr>
          <w:lang w:eastAsia="en-AU"/>
        </w:rPr>
        <w:tab/>
        <w:t>was sent or made in the form of electronic communication that appears from the document to have been the form by which it was sent or made; and</w:t>
      </w:r>
    </w:p>
    <w:p w:rsidR="00F8610E" w:rsidRPr="00A060B6" w:rsidRDefault="00F8610E" w:rsidP="00486F06">
      <w:pPr>
        <w:pStyle w:val="Apara"/>
        <w:rPr>
          <w:lang w:eastAsia="en-AU"/>
        </w:rPr>
      </w:pPr>
      <w:r w:rsidRPr="00A060B6">
        <w:rPr>
          <w:lang w:eastAsia="en-AU"/>
        </w:rPr>
        <w:tab/>
        <w:t>(b)</w:t>
      </w:r>
      <w:r w:rsidRPr="00A060B6">
        <w:rPr>
          <w:lang w:eastAsia="en-AU"/>
        </w:rPr>
        <w:tab/>
        <w:t>was sent or made by or on behalf of the person by or on whose behalf it appears from the document to have been sent or made; and</w:t>
      </w:r>
    </w:p>
    <w:p w:rsidR="00F8610E" w:rsidRPr="00A060B6" w:rsidRDefault="00F8610E" w:rsidP="00486F06">
      <w:pPr>
        <w:pStyle w:val="Apara"/>
        <w:rPr>
          <w:lang w:eastAsia="en-AU"/>
        </w:rPr>
      </w:pPr>
      <w:r w:rsidRPr="00A060B6">
        <w:rPr>
          <w:lang w:eastAsia="en-AU"/>
        </w:rPr>
        <w:tab/>
        <w:t>(c)</w:t>
      </w:r>
      <w:r w:rsidRPr="00A060B6">
        <w:rPr>
          <w:lang w:eastAsia="en-AU"/>
        </w:rPr>
        <w:tab/>
        <w:t>was sent or made on the day on which, at the time at which and from the place from which it appears from the document to have been sent or made; and</w:t>
      </w:r>
    </w:p>
    <w:p w:rsidR="00F8610E" w:rsidRPr="00A060B6" w:rsidRDefault="00F8610E" w:rsidP="00486F06">
      <w:pPr>
        <w:pStyle w:val="Apara"/>
        <w:rPr>
          <w:lang w:eastAsia="en-AU"/>
        </w:rPr>
      </w:pPr>
      <w:r w:rsidRPr="00A060B6">
        <w:rPr>
          <w:lang w:eastAsia="en-AU"/>
        </w:rPr>
        <w:tab/>
        <w:t>(d)</w:t>
      </w:r>
      <w:r w:rsidRPr="00A060B6">
        <w:rPr>
          <w:lang w:eastAsia="en-AU"/>
        </w:rPr>
        <w:tab/>
        <w:t>was received at the destination to which it appears from the document to have been sent; and</w:t>
      </w:r>
    </w:p>
    <w:p w:rsidR="00F8610E" w:rsidRPr="00A060B6" w:rsidRDefault="00F8610E" w:rsidP="00486F06">
      <w:pPr>
        <w:pStyle w:val="Apara"/>
        <w:rPr>
          <w:lang w:eastAsia="en-AU"/>
        </w:rPr>
      </w:pPr>
      <w:r w:rsidRPr="00A060B6">
        <w:rPr>
          <w:lang w:eastAsia="en-AU"/>
        </w:rPr>
        <w:tab/>
        <w:t>(e)</w:t>
      </w:r>
      <w:r w:rsidRPr="00A060B6">
        <w:rPr>
          <w:lang w:eastAsia="en-AU"/>
        </w:rPr>
        <w:tab/>
        <w:t>if it appears from the document that the sending of the communication ended at a particular time—was received at that destination at that time.</w:t>
      </w:r>
    </w:p>
    <w:p w:rsidR="00F8610E" w:rsidRPr="00A060B6" w:rsidRDefault="00F8610E" w:rsidP="00171031">
      <w:pPr>
        <w:pStyle w:val="Amain"/>
        <w:keepNext/>
      </w:pPr>
      <w:r w:rsidRPr="00A060B6">
        <w:lastRenderedPageBreak/>
        <w:tab/>
        <w:t>(2)</w:t>
      </w:r>
      <w:r w:rsidRPr="00A060B6">
        <w:tab/>
        <w:t>This section does not apply if—</w:t>
      </w:r>
    </w:p>
    <w:p w:rsidR="00F8610E" w:rsidRPr="00A060B6" w:rsidRDefault="00F8610E" w:rsidP="00171031">
      <w:pPr>
        <w:pStyle w:val="Apara"/>
        <w:keepNext/>
      </w:pPr>
      <w:r w:rsidRPr="00A060B6">
        <w:tab/>
        <w:t>(a)</w:t>
      </w:r>
      <w:r w:rsidRPr="00A060B6">
        <w:tab/>
        <w:t>the proceeding relates to a contract; and</w:t>
      </w:r>
    </w:p>
    <w:p w:rsidR="00F8610E" w:rsidRPr="00A060B6" w:rsidRDefault="00F8610E" w:rsidP="00486F06">
      <w:pPr>
        <w:pStyle w:val="Apara"/>
      </w:pPr>
      <w:r w:rsidRPr="00A060B6">
        <w:tab/>
        <w:t>(b)</w:t>
      </w:r>
      <w:r w:rsidRPr="00A060B6">
        <w:tab/>
        <w:t>all the parties to the proceeding are parties to the contract; and</w:t>
      </w:r>
    </w:p>
    <w:p w:rsidR="00F8610E" w:rsidRPr="00A060B6" w:rsidRDefault="00F8610E" w:rsidP="00486F06">
      <w:pPr>
        <w:pStyle w:val="Apara"/>
      </w:pPr>
      <w:r w:rsidRPr="00A060B6">
        <w:tab/>
        <w:t>(c)</w:t>
      </w:r>
      <w:r w:rsidRPr="00A060B6">
        <w:tab/>
        <w:t>subsection (1) is inconsistent with a term of the contract.</w:t>
      </w:r>
    </w:p>
    <w:p w:rsidR="00F8610E" w:rsidRPr="00A060B6" w:rsidRDefault="00F8610E" w:rsidP="000B1D56">
      <w:pPr>
        <w:pStyle w:val="aNote"/>
        <w:rPr>
          <w:lang w:eastAsia="en-AU"/>
        </w:rPr>
      </w:pPr>
      <w:r w:rsidRPr="005D1BC5">
        <w:rPr>
          <w:rStyle w:val="charItals"/>
        </w:rPr>
        <w:t>Note</w:t>
      </w:r>
      <w:r w:rsidRPr="00AF17FE">
        <w:tab/>
      </w:r>
      <w:r w:rsidRPr="00A060B6">
        <w:rPr>
          <w:lang w:eastAsia="en-AU"/>
        </w:rPr>
        <w:t xml:space="preserve">The </w:t>
      </w:r>
      <w:hyperlink r:id="rId144" w:tooltip="Evidence Act 1995" w:history="1">
        <w:r w:rsidR="001D1BCB" w:rsidRPr="001D1BCB">
          <w:rPr>
            <w:rStyle w:val="charCitHyperlinkAbbrev"/>
          </w:rPr>
          <w:t>Commonwealth Act</w:t>
        </w:r>
      </w:hyperlink>
      <w:r w:rsidRPr="00A060B6">
        <w:rPr>
          <w:lang w:eastAsia="en-AU"/>
        </w:rPr>
        <w:t xml:space="preserve">, s 182 gives the </w:t>
      </w:r>
      <w:hyperlink r:id="rId145" w:tooltip="Evidence Act 1995" w:history="1">
        <w:r w:rsidR="001D1BCB" w:rsidRPr="001D1BCB">
          <w:rPr>
            <w:rStyle w:val="charCitHyperlinkAbbrev"/>
          </w:rPr>
          <w:t>Commonwealth Act</w:t>
        </w:r>
      </w:hyperlink>
      <w:r w:rsidRPr="00A060B6">
        <w:rPr>
          <w:lang w:eastAsia="en-AU"/>
        </w:rPr>
        <w:t>, s 161 a wider application in relation to Commonwealth records.</w:t>
      </w:r>
    </w:p>
    <w:p w:rsidR="00F8610E" w:rsidRPr="00A060B6" w:rsidRDefault="00F8610E" w:rsidP="00486F06">
      <w:pPr>
        <w:pStyle w:val="AH5Sec"/>
      </w:pPr>
      <w:bookmarkStart w:id="232" w:name="_Toc11748587"/>
      <w:r w:rsidRPr="003925E1">
        <w:rPr>
          <w:rStyle w:val="CharSectNo"/>
        </w:rPr>
        <w:t>162</w:t>
      </w:r>
      <w:r w:rsidRPr="00A060B6">
        <w:tab/>
        <w:t>Lettergrams and telegrams</w:t>
      </w:r>
      <w:bookmarkEnd w:id="232"/>
    </w:p>
    <w:p w:rsidR="00F8610E" w:rsidRPr="00A060B6" w:rsidRDefault="00F8610E" w:rsidP="0061678D">
      <w:pPr>
        <w:pStyle w:val="Amain"/>
        <w:keepLines/>
      </w:pPr>
      <w:r w:rsidRPr="00A060B6">
        <w:tab/>
        <w:t>(1)</w:t>
      </w:r>
      <w:r w:rsidRPr="00A060B6">
        <w:tab/>
        <w:t>If a document purports to contain a record of a message transmitted by means of a lettergram or telegram, it is presumed (unless evidence sufficient to raise doubt about the presumption is presented) that the message was received by the person to whom it was addressed 24 hours after the message was delivered to a post office for transmission as a lettergram or telegram.</w:t>
      </w:r>
    </w:p>
    <w:p w:rsidR="00F8610E" w:rsidRPr="00A060B6" w:rsidRDefault="00F8610E" w:rsidP="00486F06">
      <w:pPr>
        <w:pStyle w:val="Amain"/>
      </w:pPr>
      <w:r w:rsidRPr="00A060B6">
        <w:tab/>
        <w:t>(2)</w:t>
      </w:r>
      <w:r w:rsidRPr="00A060B6">
        <w:tab/>
        <w:t>This section does not apply if—</w:t>
      </w:r>
    </w:p>
    <w:p w:rsidR="00F8610E" w:rsidRPr="00A060B6" w:rsidRDefault="00F8610E" w:rsidP="00486F06">
      <w:pPr>
        <w:pStyle w:val="Apara"/>
      </w:pPr>
      <w:r w:rsidRPr="00A060B6">
        <w:tab/>
        <w:t>(a)</w:t>
      </w:r>
      <w:r w:rsidRPr="00A060B6">
        <w:tab/>
        <w:t>the proceeding relates to a contract; and</w:t>
      </w:r>
    </w:p>
    <w:p w:rsidR="00F8610E" w:rsidRPr="00A060B6" w:rsidRDefault="00F8610E" w:rsidP="00486F06">
      <w:pPr>
        <w:pStyle w:val="Apara"/>
      </w:pPr>
      <w:r w:rsidRPr="00A060B6">
        <w:tab/>
        <w:t>(b)</w:t>
      </w:r>
      <w:r w:rsidRPr="00A060B6">
        <w:tab/>
        <w:t>all the parties to the proceeding are parties to the contract; and</w:t>
      </w:r>
    </w:p>
    <w:p w:rsidR="00F8610E" w:rsidRPr="00A060B6" w:rsidRDefault="00F8610E" w:rsidP="002E7253">
      <w:pPr>
        <w:pStyle w:val="Apara"/>
        <w:keepNext/>
      </w:pPr>
      <w:r w:rsidRPr="00A060B6">
        <w:tab/>
        <w:t>(c)</w:t>
      </w:r>
      <w:r w:rsidRPr="00A060B6">
        <w:tab/>
        <w:t>subsection (1) is inconsistent with a term of the contract.</w:t>
      </w:r>
    </w:p>
    <w:p w:rsidR="00F8610E" w:rsidRPr="00A060B6" w:rsidRDefault="00F8610E" w:rsidP="000B1D56">
      <w:pPr>
        <w:pStyle w:val="aNote"/>
        <w:rPr>
          <w:lang w:eastAsia="en-AU"/>
        </w:rPr>
      </w:pPr>
      <w:r w:rsidRPr="005D1BC5">
        <w:rPr>
          <w:rStyle w:val="charItals"/>
        </w:rPr>
        <w:t>Note</w:t>
      </w:r>
      <w:r w:rsidRPr="00AF17FE">
        <w:tab/>
      </w:r>
      <w:r w:rsidRPr="00A060B6">
        <w:rPr>
          <w:lang w:eastAsia="en-AU"/>
        </w:rPr>
        <w:t xml:space="preserve">The </w:t>
      </w:r>
      <w:hyperlink r:id="rId146" w:tooltip="Evidence Act 1995" w:history="1">
        <w:r w:rsidR="001D1BCB" w:rsidRPr="001D1BCB">
          <w:rPr>
            <w:rStyle w:val="charCitHyperlinkAbbrev"/>
          </w:rPr>
          <w:t>Commonwealth Act</w:t>
        </w:r>
      </w:hyperlink>
      <w:r w:rsidRPr="00A060B6">
        <w:rPr>
          <w:lang w:eastAsia="en-AU"/>
        </w:rPr>
        <w:t xml:space="preserve">, s 182 gives the </w:t>
      </w:r>
      <w:hyperlink r:id="rId147" w:tooltip="Evidence Act 1995" w:history="1">
        <w:r w:rsidR="001D1BCB" w:rsidRPr="001D1BCB">
          <w:rPr>
            <w:rStyle w:val="charCitHyperlinkAbbrev"/>
          </w:rPr>
          <w:t>Commonwealth Act</w:t>
        </w:r>
      </w:hyperlink>
      <w:r w:rsidRPr="00A060B6">
        <w:rPr>
          <w:lang w:eastAsia="en-AU"/>
        </w:rPr>
        <w:t>, s 162 a wider application in relation to Commonwealth records.</w:t>
      </w:r>
    </w:p>
    <w:p w:rsidR="00F8610E" w:rsidRPr="00A060B6" w:rsidRDefault="00F8610E" w:rsidP="00621DA3">
      <w:pPr>
        <w:pStyle w:val="AH5Sec"/>
        <w:keepLines/>
      </w:pPr>
      <w:bookmarkStart w:id="233" w:name="_Toc11748588"/>
      <w:r w:rsidRPr="003925E1">
        <w:rPr>
          <w:rStyle w:val="CharSectNo"/>
        </w:rPr>
        <w:t>163</w:t>
      </w:r>
      <w:r w:rsidRPr="00A060B6">
        <w:tab/>
        <w:t>Proof of letters having been sent by Commonwealth agencies</w:t>
      </w:r>
      <w:bookmarkEnd w:id="233"/>
    </w:p>
    <w:p w:rsidR="00F8610E" w:rsidRPr="00A060B6" w:rsidRDefault="00F8610E" w:rsidP="00621DA3">
      <w:pPr>
        <w:pStyle w:val="aNote"/>
        <w:keepLines/>
      </w:pPr>
      <w:r w:rsidRPr="005D1BC5">
        <w:rPr>
          <w:rStyle w:val="charItals"/>
        </w:rPr>
        <w:t>Note</w:t>
      </w:r>
      <w:r w:rsidRPr="00A060B6">
        <w:tab/>
        <w:t xml:space="preserve">The </w:t>
      </w:r>
      <w:hyperlink r:id="rId148" w:tooltip="Evidence Act 1995" w:history="1">
        <w:r w:rsidR="001D1BCB" w:rsidRPr="001D1BCB">
          <w:rPr>
            <w:rStyle w:val="charCitHyperlinkAbbrev"/>
          </w:rPr>
          <w:t>Commonwealth Act</w:t>
        </w:r>
      </w:hyperlink>
      <w:r w:rsidRPr="00A060B6">
        <w:t xml:space="preserve">, s 163 includes a presumption about letters sent by Commonwealth agencies.  The </w:t>
      </w:r>
      <w:hyperlink r:id="rId149" w:tooltip="Evidence Act 1995" w:history="1">
        <w:r w:rsidR="001D1BCB" w:rsidRPr="001D1BCB">
          <w:rPr>
            <w:rStyle w:val="charCitHyperlinkAbbrev"/>
          </w:rPr>
          <w:t>Commonwealth Act</w:t>
        </w:r>
      </w:hyperlink>
      <w:r w:rsidRPr="00A060B6">
        <w:t xml:space="preserve">, s 5 extends the operation of the </w:t>
      </w:r>
      <w:hyperlink r:id="rId150" w:tooltip="Evidence Act 1995" w:history="1">
        <w:r w:rsidR="001D1BCB" w:rsidRPr="001D1BCB">
          <w:rPr>
            <w:rStyle w:val="charCitHyperlinkAbbrev"/>
          </w:rPr>
          <w:t>Commonwealth Act</w:t>
        </w:r>
      </w:hyperlink>
      <w:r w:rsidRPr="00A060B6">
        <w:t>, s 163 to proceedings in all Australian courts.</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234" w:name="_Toc11748589"/>
      <w:r w:rsidRPr="003925E1">
        <w:rPr>
          <w:rStyle w:val="CharPartNo"/>
        </w:rPr>
        <w:lastRenderedPageBreak/>
        <w:t>Part 4.4</w:t>
      </w:r>
      <w:r w:rsidRPr="00A060B6">
        <w:tab/>
      </w:r>
      <w:r w:rsidRPr="003925E1">
        <w:rPr>
          <w:rStyle w:val="CharPartText"/>
        </w:rPr>
        <w:t>Corroboration</w:t>
      </w:r>
      <w:bookmarkEnd w:id="234"/>
    </w:p>
    <w:p w:rsidR="00F8610E" w:rsidRPr="00A060B6" w:rsidRDefault="00F8610E" w:rsidP="000E543D">
      <w:pPr>
        <w:pStyle w:val="Placeholder"/>
        <w:suppressLineNumbers/>
      </w:pPr>
      <w:r w:rsidRPr="00A060B6">
        <w:rPr>
          <w:rStyle w:val="CharDivNo"/>
        </w:rPr>
        <w:t xml:space="preserve">  </w:t>
      </w:r>
      <w:r w:rsidRPr="00A060B6">
        <w:rPr>
          <w:rStyle w:val="CharDivText"/>
        </w:rPr>
        <w:t xml:space="preserve">  </w:t>
      </w:r>
    </w:p>
    <w:p w:rsidR="00F8610E" w:rsidRPr="00A060B6" w:rsidRDefault="00F8610E" w:rsidP="00486F06">
      <w:pPr>
        <w:pStyle w:val="AH5Sec"/>
      </w:pPr>
      <w:bookmarkStart w:id="235" w:name="_Toc11748590"/>
      <w:r w:rsidRPr="003925E1">
        <w:rPr>
          <w:rStyle w:val="CharSectNo"/>
        </w:rPr>
        <w:t>164</w:t>
      </w:r>
      <w:r w:rsidRPr="00A060B6">
        <w:tab/>
        <w:t>Corroboration requirements abolished</w:t>
      </w:r>
      <w:bookmarkEnd w:id="235"/>
    </w:p>
    <w:p w:rsidR="00F8610E" w:rsidRPr="00A060B6" w:rsidRDefault="00F8610E" w:rsidP="00486F06">
      <w:pPr>
        <w:pStyle w:val="Amain"/>
      </w:pPr>
      <w:r w:rsidRPr="00A060B6">
        <w:tab/>
        <w:t>(1)</w:t>
      </w:r>
      <w:r w:rsidRPr="00A060B6">
        <w:tab/>
        <w:t>It is not necessary that evidence on which a party relies be corroborated.</w:t>
      </w:r>
    </w:p>
    <w:p w:rsidR="00F8610E" w:rsidRPr="00A060B6" w:rsidRDefault="00F8610E" w:rsidP="00486F06">
      <w:pPr>
        <w:pStyle w:val="Amain"/>
      </w:pPr>
      <w:r w:rsidRPr="00A060B6">
        <w:tab/>
        <w:t>(2)</w:t>
      </w:r>
      <w:r w:rsidRPr="00A060B6">
        <w:tab/>
        <w:t>Subsection (1) does not affect the operation of a rule of law that requires corroboration in relation to the offence of perjury or a similar or related offence.</w:t>
      </w:r>
    </w:p>
    <w:p w:rsidR="00F8610E" w:rsidRPr="00A060B6" w:rsidRDefault="00F8610E" w:rsidP="00486F06">
      <w:pPr>
        <w:pStyle w:val="Amain"/>
      </w:pPr>
      <w:r w:rsidRPr="00A060B6">
        <w:tab/>
        <w:t>(3)</w:t>
      </w:r>
      <w:r w:rsidRPr="00A060B6">
        <w:tab/>
        <w:t>Despite any rule, whether of law or practice, to the contrary, but subject to the other provisions of this Act, if there is a jury, it is not necessary that the judge—</w:t>
      </w:r>
    </w:p>
    <w:p w:rsidR="00F8610E" w:rsidRPr="00A060B6" w:rsidRDefault="00F8610E" w:rsidP="00486F06">
      <w:pPr>
        <w:pStyle w:val="Apara"/>
      </w:pPr>
      <w:r w:rsidRPr="00A060B6">
        <w:tab/>
        <w:t>(a)</w:t>
      </w:r>
      <w:r w:rsidRPr="00A060B6">
        <w:tab/>
        <w:t>warn the jury that it is dangerous to act on uncorroborated evidence or give a warning to the same or similar effect; or</w:t>
      </w:r>
    </w:p>
    <w:p w:rsidR="00F8610E" w:rsidRPr="00A060B6" w:rsidRDefault="00F8610E" w:rsidP="00486F06">
      <w:pPr>
        <w:pStyle w:val="Apara"/>
      </w:pPr>
      <w:r w:rsidRPr="00A060B6">
        <w:tab/>
        <w:t>(b)</w:t>
      </w:r>
      <w:r w:rsidRPr="00A060B6">
        <w:tab/>
        <w:t>give a direction relating to the absence of corroboration.</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236" w:name="_Toc11748591"/>
      <w:r w:rsidRPr="003925E1">
        <w:rPr>
          <w:rStyle w:val="CharPartNo"/>
        </w:rPr>
        <w:lastRenderedPageBreak/>
        <w:t>Part 4.5</w:t>
      </w:r>
      <w:r w:rsidRPr="00A060B6">
        <w:tab/>
      </w:r>
      <w:r w:rsidRPr="003925E1">
        <w:rPr>
          <w:rStyle w:val="CharPartText"/>
        </w:rPr>
        <w:t>Warnings and information</w:t>
      </w:r>
      <w:bookmarkEnd w:id="236"/>
    </w:p>
    <w:p w:rsidR="00F8610E" w:rsidRPr="00A060B6" w:rsidRDefault="00F8610E" w:rsidP="00486F06">
      <w:pPr>
        <w:pStyle w:val="AH5Sec"/>
      </w:pPr>
      <w:bookmarkStart w:id="237" w:name="_Toc11748592"/>
      <w:r w:rsidRPr="003925E1">
        <w:rPr>
          <w:rStyle w:val="CharSectNo"/>
        </w:rPr>
        <w:t>165</w:t>
      </w:r>
      <w:r w:rsidRPr="00A060B6">
        <w:tab/>
        <w:t>Unreliable evidence</w:t>
      </w:r>
      <w:bookmarkEnd w:id="237"/>
    </w:p>
    <w:p w:rsidR="00F8610E" w:rsidRPr="00A060B6" w:rsidRDefault="00F8610E" w:rsidP="00486F06">
      <w:pPr>
        <w:pStyle w:val="Amain"/>
      </w:pPr>
      <w:r w:rsidRPr="00A060B6">
        <w:tab/>
        <w:t>(1)</w:t>
      </w:r>
      <w:r w:rsidRPr="00A060B6">
        <w:tab/>
        <w:t>This section applies to evidence of a kind that may be unreliable, including the following kinds of evidence:</w:t>
      </w:r>
    </w:p>
    <w:p w:rsidR="00F8610E" w:rsidRPr="00A060B6" w:rsidRDefault="00F8610E" w:rsidP="00486F06">
      <w:pPr>
        <w:pStyle w:val="Apara"/>
      </w:pPr>
      <w:r w:rsidRPr="00A060B6">
        <w:tab/>
        <w:t>(a)</w:t>
      </w:r>
      <w:r w:rsidRPr="00A060B6">
        <w:tab/>
        <w:t>evidence in relation to which part 3.2 (Hearsay) or part 3.4 (Admissions) applies;</w:t>
      </w:r>
    </w:p>
    <w:p w:rsidR="00F8610E" w:rsidRPr="00A060B6" w:rsidRDefault="00F8610E" w:rsidP="00486F06">
      <w:pPr>
        <w:pStyle w:val="Apara"/>
      </w:pPr>
      <w:r w:rsidRPr="00A060B6">
        <w:tab/>
        <w:t>(b)</w:t>
      </w:r>
      <w:r w:rsidRPr="00A060B6">
        <w:tab/>
        <w:t>identification evidence;</w:t>
      </w:r>
    </w:p>
    <w:p w:rsidR="00F8610E" w:rsidRPr="00A060B6" w:rsidRDefault="00F8610E" w:rsidP="00486F06">
      <w:pPr>
        <w:pStyle w:val="Apara"/>
      </w:pPr>
      <w:r w:rsidRPr="00A060B6">
        <w:tab/>
        <w:t>(c)</w:t>
      </w:r>
      <w:r w:rsidRPr="00A060B6">
        <w:tab/>
        <w:t>evidence the reliability of which may be affected by age, ill health (whether physical or mental), injury or the like;</w:t>
      </w:r>
    </w:p>
    <w:p w:rsidR="00F8610E" w:rsidRPr="00A060B6" w:rsidRDefault="00F8610E" w:rsidP="00486F06">
      <w:pPr>
        <w:pStyle w:val="Apara"/>
      </w:pPr>
      <w:r w:rsidRPr="00A060B6">
        <w:tab/>
        <w:t>(d)</w:t>
      </w:r>
      <w:r w:rsidRPr="00A060B6">
        <w:tab/>
        <w:t>evidence given in a criminal proceeding by a witness who might reasonably be supposed to have been criminally concerned in the events giving rise to the proceeding;</w:t>
      </w:r>
    </w:p>
    <w:p w:rsidR="00F8610E" w:rsidRPr="00A060B6" w:rsidRDefault="00F8610E" w:rsidP="00486F06">
      <w:pPr>
        <w:pStyle w:val="Apara"/>
      </w:pPr>
      <w:r w:rsidRPr="00A060B6">
        <w:tab/>
        <w:t>(e)</w:t>
      </w:r>
      <w:r w:rsidRPr="00A060B6">
        <w:tab/>
        <w:t>evidence given in a criminal proceeding by a witness who is a prison informer;</w:t>
      </w:r>
    </w:p>
    <w:p w:rsidR="00F8610E" w:rsidRPr="00A060B6" w:rsidRDefault="00F8610E" w:rsidP="00486F06">
      <w:pPr>
        <w:pStyle w:val="Apara"/>
      </w:pPr>
      <w:r w:rsidRPr="00A060B6">
        <w:tab/>
        <w:t>(f)</w:t>
      </w:r>
      <w:r w:rsidRPr="00A060B6">
        <w:tab/>
        <w:t>oral evidence of questioning by an investigating official of a defendant that is recorded in writing and has not been signed, or otherwise acknowledged in writing, by the defendant;</w:t>
      </w:r>
    </w:p>
    <w:p w:rsidR="00F8610E" w:rsidRPr="00A060B6" w:rsidRDefault="00F8610E" w:rsidP="00486F06">
      <w:pPr>
        <w:pStyle w:val="Apara"/>
      </w:pPr>
      <w:r w:rsidRPr="00A060B6">
        <w:tab/>
        <w:t>(g)</w:t>
      </w:r>
      <w:r w:rsidRPr="00A060B6">
        <w:tab/>
        <w:t>in a proceeding against the estate of a deceased person—evidence presented by or on behalf of a person seeking relief in the proceeding about a matter about which the deceased person could have given evidence if the deceased person were alive.</w:t>
      </w:r>
    </w:p>
    <w:p w:rsidR="00F8610E" w:rsidRPr="00A060B6" w:rsidRDefault="00F8610E" w:rsidP="00486F06">
      <w:pPr>
        <w:pStyle w:val="Amain"/>
      </w:pPr>
      <w:r w:rsidRPr="00A060B6">
        <w:tab/>
        <w:t>(2)</w:t>
      </w:r>
      <w:r w:rsidRPr="00A060B6">
        <w:tab/>
        <w:t>If there is a jury and a party requests, the judge must—</w:t>
      </w:r>
    </w:p>
    <w:p w:rsidR="00F8610E" w:rsidRPr="00A060B6" w:rsidRDefault="00F8610E" w:rsidP="00486F06">
      <w:pPr>
        <w:pStyle w:val="Apara"/>
      </w:pPr>
      <w:r w:rsidRPr="00A060B6">
        <w:tab/>
        <w:t>(a)</w:t>
      </w:r>
      <w:r w:rsidRPr="00A060B6">
        <w:tab/>
        <w:t>warn the jury that the evidence may be unreliable; and</w:t>
      </w:r>
    </w:p>
    <w:p w:rsidR="00F8610E" w:rsidRPr="00A060B6" w:rsidRDefault="00F8610E" w:rsidP="00486F06">
      <w:pPr>
        <w:pStyle w:val="Apara"/>
      </w:pPr>
      <w:r w:rsidRPr="00A060B6">
        <w:tab/>
        <w:t>(b)</w:t>
      </w:r>
      <w:r w:rsidRPr="00A060B6">
        <w:tab/>
        <w:t>tell the jury about matters that may cause it to be unreliable; and</w:t>
      </w:r>
    </w:p>
    <w:p w:rsidR="00F8610E" w:rsidRPr="00A060B6" w:rsidRDefault="00F8610E" w:rsidP="00486F06">
      <w:pPr>
        <w:pStyle w:val="Apara"/>
      </w:pPr>
      <w:r w:rsidRPr="00A060B6">
        <w:tab/>
        <w:t>(c)</w:t>
      </w:r>
      <w:r w:rsidRPr="00A060B6">
        <w:tab/>
        <w:t>warn the jury of the need for caution in deciding whether to accept the evidence and the weight to be given to it.</w:t>
      </w:r>
    </w:p>
    <w:p w:rsidR="00F8610E" w:rsidRPr="00A060B6" w:rsidRDefault="00F8610E" w:rsidP="00486F06">
      <w:pPr>
        <w:pStyle w:val="Amain"/>
      </w:pPr>
      <w:r w:rsidRPr="00A060B6">
        <w:lastRenderedPageBreak/>
        <w:tab/>
        <w:t>(3)</w:t>
      </w:r>
      <w:r w:rsidRPr="00A060B6">
        <w:tab/>
        <w:t>The judge need not comply with subsection (2) if there are good reasons for not doing so.</w:t>
      </w:r>
    </w:p>
    <w:p w:rsidR="00F8610E" w:rsidRPr="00A060B6" w:rsidRDefault="00F8610E" w:rsidP="00486F06">
      <w:pPr>
        <w:pStyle w:val="Amain"/>
      </w:pPr>
      <w:r w:rsidRPr="00A060B6">
        <w:tab/>
        <w:t>(4)</w:t>
      </w:r>
      <w:r w:rsidRPr="00A060B6">
        <w:tab/>
        <w:t>It is not necessary that a particular form of words be used in giving the warning or information.</w:t>
      </w:r>
    </w:p>
    <w:p w:rsidR="00F8610E" w:rsidRPr="00A060B6" w:rsidRDefault="00F8610E" w:rsidP="00486F06">
      <w:pPr>
        <w:pStyle w:val="Amain"/>
      </w:pPr>
      <w:r w:rsidRPr="00A060B6">
        <w:tab/>
        <w:t>(5)</w:t>
      </w:r>
      <w:r w:rsidRPr="00A060B6">
        <w:tab/>
        <w:t>This section does not affect any other power of the judge to give a warning to, or to inform, the jury.</w:t>
      </w:r>
    </w:p>
    <w:p w:rsidR="00F8610E" w:rsidRPr="00A060B6" w:rsidRDefault="00F8610E" w:rsidP="00486F06">
      <w:pPr>
        <w:pStyle w:val="Amain"/>
        <w:rPr>
          <w:lang w:eastAsia="en-AU"/>
        </w:rPr>
      </w:pPr>
      <w:r w:rsidRPr="00A060B6">
        <w:rPr>
          <w:lang w:eastAsia="en-AU"/>
        </w:rPr>
        <w:tab/>
        <w:t>(6)</w:t>
      </w:r>
      <w:r w:rsidRPr="00A060B6">
        <w:rPr>
          <w:lang w:eastAsia="en-AU"/>
        </w:rPr>
        <w:tab/>
        <w:t xml:space="preserve">Subsection (2) does not permit a judge to warn or tell a jury in proceedings before it in which a child gives evidence that the reliability of the child’s evidence may be affected by the age of the child. </w:t>
      </w:r>
    </w:p>
    <w:p w:rsidR="00F8610E" w:rsidRPr="00A060B6" w:rsidRDefault="00F8610E" w:rsidP="00486F06">
      <w:pPr>
        <w:pStyle w:val="Amain"/>
        <w:rPr>
          <w:lang w:eastAsia="en-AU"/>
        </w:rPr>
      </w:pPr>
      <w:r w:rsidRPr="00A060B6">
        <w:rPr>
          <w:lang w:eastAsia="en-AU"/>
        </w:rPr>
        <w:tab/>
        <w:t>(7)</w:t>
      </w:r>
      <w:r w:rsidRPr="00A060B6">
        <w:rPr>
          <w:lang w:eastAsia="en-AU"/>
        </w:rPr>
        <w:tab/>
        <w:t>Any warning or information in relation to that matter may be given only in accordance with section 165A (2) and (3).</w:t>
      </w:r>
    </w:p>
    <w:p w:rsidR="00F8610E" w:rsidRPr="00A060B6" w:rsidRDefault="00F8610E" w:rsidP="00486F06">
      <w:pPr>
        <w:pStyle w:val="AH5Sec"/>
      </w:pPr>
      <w:bookmarkStart w:id="238" w:name="_Toc11748593"/>
      <w:r w:rsidRPr="003925E1">
        <w:rPr>
          <w:rStyle w:val="CharSectNo"/>
        </w:rPr>
        <w:t>165A</w:t>
      </w:r>
      <w:r w:rsidRPr="00A060B6">
        <w:tab/>
        <w:t>Warnings in relation to children’s evidence</w:t>
      </w:r>
      <w:bookmarkEnd w:id="238"/>
    </w:p>
    <w:p w:rsidR="00F8610E" w:rsidRPr="00A060B6" w:rsidRDefault="00F8610E" w:rsidP="00486F06">
      <w:pPr>
        <w:pStyle w:val="Amain"/>
        <w:rPr>
          <w:lang w:eastAsia="en-AU"/>
        </w:rPr>
      </w:pPr>
      <w:r w:rsidRPr="00A060B6">
        <w:rPr>
          <w:lang w:eastAsia="en-AU"/>
        </w:rPr>
        <w:tab/>
        <w:t>(1)</w:t>
      </w:r>
      <w:r w:rsidRPr="00A060B6">
        <w:rPr>
          <w:lang w:eastAsia="en-AU"/>
        </w:rPr>
        <w:tab/>
        <w:t xml:space="preserve">A judge in a proceeding in which evidence is given by a child before a jury must not do any of the following: </w:t>
      </w:r>
    </w:p>
    <w:p w:rsidR="00F8610E" w:rsidRPr="00A060B6" w:rsidRDefault="00F8610E" w:rsidP="00486F06">
      <w:pPr>
        <w:pStyle w:val="Apara"/>
        <w:rPr>
          <w:lang w:eastAsia="en-AU"/>
        </w:rPr>
      </w:pPr>
      <w:r w:rsidRPr="00A060B6">
        <w:rPr>
          <w:lang w:eastAsia="en-AU"/>
        </w:rPr>
        <w:tab/>
        <w:t>(a)</w:t>
      </w:r>
      <w:r w:rsidRPr="00A060B6">
        <w:rPr>
          <w:lang w:eastAsia="en-AU"/>
        </w:rPr>
        <w:tab/>
        <w:t>warn the jury, or suggest to the jury, that children as a class are unreliable witnesses;</w:t>
      </w:r>
    </w:p>
    <w:p w:rsidR="00F8610E" w:rsidRPr="00A060B6" w:rsidRDefault="00F8610E" w:rsidP="00486F06">
      <w:pPr>
        <w:pStyle w:val="Apara"/>
        <w:rPr>
          <w:lang w:eastAsia="en-AU"/>
        </w:rPr>
      </w:pPr>
      <w:r w:rsidRPr="00A060B6">
        <w:rPr>
          <w:lang w:eastAsia="en-AU"/>
        </w:rPr>
        <w:tab/>
        <w:t>(b)</w:t>
      </w:r>
      <w:r w:rsidRPr="00A060B6">
        <w:rPr>
          <w:lang w:eastAsia="en-AU"/>
        </w:rPr>
        <w:tab/>
        <w:t>warn the jury, or suggest to the jury, that the evidence of children as a class is inherently less credible or reliable, or requires more careful scrutiny, than the evidence of adults;</w:t>
      </w:r>
    </w:p>
    <w:p w:rsidR="00F8610E" w:rsidRPr="00A060B6" w:rsidRDefault="00F8610E" w:rsidP="00486F06">
      <w:pPr>
        <w:pStyle w:val="Apara"/>
        <w:rPr>
          <w:lang w:eastAsia="en-AU"/>
        </w:rPr>
      </w:pPr>
      <w:r w:rsidRPr="00A060B6">
        <w:rPr>
          <w:lang w:eastAsia="en-AU"/>
        </w:rPr>
        <w:tab/>
        <w:t>(c)</w:t>
      </w:r>
      <w:r w:rsidRPr="00A060B6">
        <w:rPr>
          <w:lang w:eastAsia="en-AU"/>
        </w:rPr>
        <w:tab/>
        <w:t>give a warning, or suggestion to the jury, about the unreliability of the particular child’s evidence solely on account of the child’s age;</w:t>
      </w:r>
    </w:p>
    <w:p w:rsidR="00F8610E" w:rsidRPr="00A060B6" w:rsidRDefault="00F8610E" w:rsidP="00486F06">
      <w:pPr>
        <w:pStyle w:val="Apara"/>
        <w:rPr>
          <w:lang w:eastAsia="en-AU"/>
        </w:rPr>
      </w:pPr>
      <w:r w:rsidRPr="00A060B6">
        <w:rPr>
          <w:lang w:eastAsia="en-AU"/>
        </w:rPr>
        <w:tab/>
        <w:t>(d)</w:t>
      </w:r>
      <w:r w:rsidRPr="00A060B6">
        <w:rPr>
          <w:lang w:eastAsia="en-AU"/>
        </w:rPr>
        <w:tab/>
        <w:t>in a criminal proceeding—give a general warning to the jury of the danger of convicting on the uncorroborated evidence of a witness who is a child.</w:t>
      </w:r>
    </w:p>
    <w:p w:rsidR="00F8610E" w:rsidRPr="00A060B6" w:rsidRDefault="00F8610E" w:rsidP="002E7253">
      <w:pPr>
        <w:pStyle w:val="Amain"/>
        <w:keepNext/>
        <w:rPr>
          <w:lang w:eastAsia="en-AU"/>
        </w:rPr>
      </w:pPr>
      <w:r w:rsidRPr="00A060B6">
        <w:rPr>
          <w:lang w:eastAsia="en-AU"/>
        </w:rPr>
        <w:lastRenderedPageBreak/>
        <w:tab/>
        <w:t>(2)</w:t>
      </w:r>
      <w:r w:rsidRPr="00A060B6">
        <w:rPr>
          <w:lang w:eastAsia="en-AU"/>
        </w:rPr>
        <w:tab/>
        <w:t xml:space="preserve">Subsection (1) does not prevent the judge, at the request of a party, from— </w:t>
      </w:r>
    </w:p>
    <w:p w:rsidR="00F8610E" w:rsidRPr="00A060B6" w:rsidRDefault="00F8610E" w:rsidP="00486F06">
      <w:pPr>
        <w:pStyle w:val="Apara"/>
        <w:rPr>
          <w:lang w:eastAsia="en-AU"/>
        </w:rPr>
      </w:pPr>
      <w:r w:rsidRPr="00A060B6">
        <w:rPr>
          <w:lang w:eastAsia="en-AU"/>
        </w:rPr>
        <w:tab/>
        <w:t>(a)</w:t>
      </w:r>
      <w:r w:rsidRPr="00A060B6">
        <w:rPr>
          <w:lang w:eastAsia="en-AU"/>
        </w:rPr>
        <w:tab/>
        <w:t>telling the jury that the evidence of the particular child may be unreliable and the reasons why it may be unreliable; and</w:t>
      </w:r>
    </w:p>
    <w:p w:rsidR="00F8610E" w:rsidRPr="00A060B6" w:rsidRDefault="00F8610E" w:rsidP="00486F06">
      <w:pPr>
        <w:pStyle w:val="Apara"/>
        <w:rPr>
          <w:lang w:eastAsia="en-AU"/>
        </w:rPr>
      </w:pPr>
      <w:r w:rsidRPr="00A060B6">
        <w:rPr>
          <w:lang w:eastAsia="en-AU"/>
        </w:rPr>
        <w:tab/>
        <w:t>(b)</w:t>
      </w:r>
      <w:r w:rsidRPr="00A060B6">
        <w:rPr>
          <w:lang w:eastAsia="en-AU"/>
        </w:rPr>
        <w:tab/>
        <w:t>warning or telling the jury about the need for caution in deciding whether to accept the evidence of the particular child and the weight to be given to it;</w:t>
      </w:r>
    </w:p>
    <w:p w:rsidR="00F8610E" w:rsidRPr="00A060B6" w:rsidRDefault="00F8610E" w:rsidP="00F46607">
      <w:pPr>
        <w:pStyle w:val="Amainreturn"/>
        <w:rPr>
          <w:lang w:eastAsia="en-AU"/>
        </w:rPr>
      </w:pPr>
      <w:r w:rsidRPr="00A060B6">
        <w:rPr>
          <w:lang w:eastAsia="en-AU"/>
        </w:rPr>
        <w:t>if the party has satisfied the court that there are circumstances (other than solely the age of the child) particular to the child that affect the reliability of the child’s evidence and that warrant the giving of the warning or information.</w:t>
      </w:r>
    </w:p>
    <w:p w:rsidR="00F8610E" w:rsidRPr="00A060B6" w:rsidRDefault="00F8610E" w:rsidP="00486F06">
      <w:pPr>
        <w:pStyle w:val="Amain"/>
        <w:rPr>
          <w:lang w:eastAsia="en-AU"/>
        </w:rPr>
      </w:pPr>
      <w:r w:rsidRPr="00A060B6">
        <w:rPr>
          <w:lang w:eastAsia="en-AU"/>
        </w:rPr>
        <w:tab/>
        <w:t>(3)</w:t>
      </w:r>
      <w:r w:rsidRPr="00A060B6">
        <w:rPr>
          <w:lang w:eastAsia="en-AU"/>
        </w:rPr>
        <w:tab/>
        <w:t>This section does not affect any other power of a judge to give a warning to, or to inform, the jury.</w:t>
      </w:r>
    </w:p>
    <w:p w:rsidR="00F8610E" w:rsidRPr="00A060B6" w:rsidRDefault="00F8610E" w:rsidP="00486F06">
      <w:pPr>
        <w:pStyle w:val="AH5Sec"/>
      </w:pPr>
      <w:bookmarkStart w:id="239" w:name="_Toc11748594"/>
      <w:r w:rsidRPr="003925E1">
        <w:rPr>
          <w:rStyle w:val="CharSectNo"/>
        </w:rPr>
        <w:t>165B</w:t>
      </w:r>
      <w:r w:rsidRPr="00A060B6">
        <w:tab/>
        <w:t>Delay in prosecution</w:t>
      </w:r>
      <w:bookmarkEnd w:id="239"/>
    </w:p>
    <w:p w:rsidR="00F8610E" w:rsidRPr="00A060B6" w:rsidRDefault="00F8610E" w:rsidP="00486F06">
      <w:pPr>
        <w:pStyle w:val="Amain"/>
        <w:rPr>
          <w:lang w:eastAsia="en-AU"/>
        </w:rPr>
      </w:pPr>
      <w:r w:rsidRPr="00A060B6">
        <w:rPr>
          <w:lang w:eastAsia="en-AU"/>
        </w:rPr>
        <w:tab/>
        <w:t>(1)</w:t>
      </w:r>
      <w:r w:rsidRPr="00A060B6">
        <w:rPr>
          <w:lang w:eastAsia="en-AU"/>
        </w:rPr>
        <w:tab/>
        <w:t>This section applies in a criminal proceeding in which there is a jury.</w:t>
      </w:r>
    </w:p>
    <w:p w:rsidR="00F8610E" w:rsidRPr="00A060B6" w:rsidRDefault="00F8610E" w:rsidP="00486F06">
      <w:pPr>
        <w:pStyle w:val="Amain"/>
        <w:rPr>
          <w:lang w:eastAsia="en-AU"/>
        </w:rPr>
      </w:pPr>
      <w:r w:rsidRPr="00A060B6">
        <w:rPr>
          <w:lang w:eastAsia="en-AU"/>
        </w:rPr>
        <w:tab/>
        <w:t>(2)</w:t>
      </w:r>
      <w:r w:rsidRPr="00A060B6">
        <w:rPr>
          <w:lang w:eastAsia="en-AU"/>
        </w:rPr>
        <w:tab/>
        <w:t>If the court, on application by the defendant, is satisfied that the defendant has suffered a significant forensic disadvantage because of the consequences of delay, the court must tell the jury about the nature of that disadvantage and the need to take that disadvantage into account when considering the evidence.</w:t>
      </w:r>
    </w:p>
    <w:p w:rsidR="00F8610E" w:rsidRPr="00A060B6" w:rsidRDefault="00F8610E" w:rsidP="00486F06">
      <w:pPr>
        <w:pStyle w:val="Amain"/>
        <w:rPr>
          <w:lang w:eastAsia="en-AU"/>
        </w:rPr>
      </w:pPr>
      <w:r w:rsidRPr="00A060B6">
        <w:rPr>
          <w:lang w:eastAsia="en-AU"/>
        </w:rPr>
        <w:tab/>
        <w:t>(3)</w:t>
      </w:r>
      <w:r w:rsidRPr="00A060B6">
        <w:rPr>
          <w:lang w:eastAsia="en-AU"/>
        </w:rPr>
        <w:tab/>
        <w:t>The judge need not comply with subsection (2) if there is a good reason for not doing so.</w:t>
      </w:r>
    </w:p>
    <w:p w:rsidR="00F8610E" w:rsidRPr="00A060B6" w:rsidRDefault="00F8610E" w:rsidP="00486F06">
      <w:pPr>
        <w:pStyle w:val="Amain"/>
        <w:rPr>
          <w:lang w:eastAsia="en-AU"/>
        </w:rPr>
      </w:pPr>
      <w:r w:rsidRPr="00A060B6">
        <w:rPr>
          <w:lang w:eastAsia="en-AU"/>
        </w:rPr>
        <w:tab/>
        <w:t>(4)</w:t>
      </w:r>
      <w:r w:rsidRPr="00A060B6">
        <w:rPr>
          <w:lang w:eastAsia="en-AU"/>
        </w:rPr>
        <w:tab/>
        <w:t>It is not necessary that a particular form of words be used in telling the jury about the nature of the significant forensic disadvantage suffered and the need to take the disadvantage into account, but the judge must not in any way suggest to the jury that it would be dangerous or unsafe to convict the defendant solely because of the delay or the forensic disadvantage suffered because of the consequences of the delay.</w:t>
      </w:r>
    </w:p>
    <w:p w:rsidR="00F8610E" w:rsidRPr="00A060B6" w:rsidRDefault="00F8610E" w:rsidP="00486F06">
      <w:pPr>
        <w:pStyle w:val="Amain"/>
        <w:rPr>
          <w:lang w:eastAsia="en-AU"/>
        </w:rPr>
      </w:pPr>
      <w:r w:rsidRPr="00A060B6">
        <w:rPr>
          <w:lang w:eastAsia="en-AU"/>
        </w:rPr>
        <w:lastRenderedPageBreak/>
        <w:tab/>
        <w:t>(5)</w:t>
      </w:r>
      <w:r w:rsidRPr="00A060B6">
        <w:rPr>
          <w:lang w:eastAsia="en-AU"/>
        </w:rPr>
        <w:tab/>
        <w:t>The judge must not warn or tell the jury about any forensic disadvantage the defendant may have suffered because of delay except in accordance with this section, but this section does not affect any other power of the judge to give a warning to, or to inform, the jury.</w:t>
      </w:r>
    </w:p>
    <w:p w:rsidR="00F8610E" w:rsidRPr="00A060B6" w:rsidRDefault="00F8610E" w:rsidP="00486F06">
      <w:pPr>
        <w:pStyle w:val="Amain"/>
        <w:rPr>
          <w:lang w:eastAsia="en-AU"/>
        </w:rPr>
      </w:pPr>
      <w:r w:rsidRPr="00A060B6">
        <w:rPr>
          <w:lang w:eastAsia="en-AU"/>
        </w:rPr>
        <w:tab/>
        <w:t>(6)</w:t>
      </w:r>
      <w:r w:rsidRPr="00A060B6">
        <w:rPr>
          <w:lang w:eastAsia="en-AU"/>
        </w:rPr>
        <w:tab/>
        <w:t xml:space="preserve">For this section: </w:t>
      </w:r>
    </w:p>
    <w:p w:rsidR="00F8610E" w:rsidRPr="00A060B6" w:rsidRDefault="00F8610E" w:rsidP="00486F06">
      <w:pPr>
        <w:pStyle w:val="Apara"/>
        <w:rPr>
          <w:lang w:eastAsia="en-AU"/>
        </w:rPr>
      </w:pPr>
      <w:r w:rsidRPr="00A060B6">
        <w:rPr>
          <w:lang w:eastAsia="en-AU"/>
        </w:rPr>
        <w:tab/>
        <w:t>(a)</w:t>
      </w:r>
      <w:r w:rsidRPr="00A060B6">
        <w:rPr>
          <w:lang w:eastAsia="en-AU"/>
        </w:rPr>
        <w:tab/>
        <w:t>delay includes delay between the alleged offence and its being reported; and</w:t>
      </w:r>
    </w:p>
    <w:p w:rsidR="00F8610E" w:rsidRPr="00A060B6" w:rsidRDefault="00F8610E" w:rsidP="00486F06">
      <w:pPr>
        <w:pStyle w:val="Apara"/>
        <w:rPr>
          <w:lang w:eastAsia="en-AU"/>
        </w:rPr>
      </w:pPr>
      <w:r w:rsidRPr="00A060B6">
        <w:rPr>
          <w:lang w:eastAsia="en-AU"/>
        </w:rPr>
        <w:tab/>
        <w:t>(b)</w:t>
      </w:r>
      <w:r w:rsidRPr="00A060B6">
        <w:rPr>
          <w:lang w:eastAsia="en-AU"/>
        </w:rPr>
        <w:tab/>
        <w:t>significant forensic disadvantage is not to be regarded as being established by the mere existence of a delay.</w:t>
      </w:r>
    </w:p>
    <w:p w:rsidR="00F8610E" w:rsidRPr="00A060B6" w:rsidRDefault="00F8610E" w:rsidP="000E543D">
      <w:pPr>
        <w:pStyle w:val="PageBreak"/>
        <w:suppressLineNumbers/>
      </w:pPr>
      <w:r w:rsidRPr="00A060B6">
        <w:br w:type="page"/>
      </w:r>
    </w:p>
    <w:p w:rsidR="00F8610E" w:rsidRPr="003925E1" w:rsidRDefault="00F8610E" w:rsidP="00486F06">
      <w:pPr>
        <w:pStyle w:val="AH2Part"/>
      </w:pPr>
      <w:bookmarkStart w:id="240" w:name="_Toc11748595"/>
      <w:r w:rsidRPr="003925E1">
        <w:rPr>
          <w:rStyle w:val="CharPartNo"/>
        </w:rPr>
        <w:lastRenderedPageBreak/>
        <w:t>Part 4.6</w:t>
      </w:r>
      <w:r w:rsidRPr="00A060B6">
        <w:tab/>
      </w:r>
      <w:r w:rsidRPr="003925E1">
        <w:rPr>
          <w:rStyle w:val="CharPartText"/>
        </w:rPr>
        <w:t>Ancillary provisions</w:t>
      </w:r>
      <w:bookmarkEnd w:id="240"/>
    </w:p>
    <w:p w:rsidR="00F8610E" w:rsidRPr="003925E1" w:rsidRDefault="00F8610E" w:rsidP="00486F06">
      <w:pPr>
        <w:pStyle w:val="AH3Div"/>
      </w:pPr>
      <w:bookmarkStart w:id="241" w:name="_Toc11748596"/>
      <w:r w:rsidRPr="003925E1">
        <w:rPr>
          <w:rStyle w:val="CharDivNo"/>
        </w:rPr>
        <w:t>Division 4.6.1</w:t>
      </w:r>
      <w:r w:rsidRPr="00A060B6">
        <w:tab/>
      </w:r>
      <w:r w:rsidRPr="003925E1">
        <w:rPr>
          <w:rStyle w:val="CharDivText"/>
        </w:rPr>
        <w:t>Requests to produce documents or call witnesses</w:t>
      </w:r>
      <w:bookmarkEnd w:id="241"/>
    </w:p>
    <w:p w:rsidR="00F8610E" w:rsidRPr="00A060B6" w:rsidRDefault="00F8610E" w:rsidP="00642CE3">
      <w:pPr>
        <w:pStyle w:val="aNote"/>
      </w:pPr>
      <w:r w:rsidRPr="005D1BC5">
        <w:rPr>
          <w:rStyle w:val="charItals"/>
        </w:rPr>
        <w:t>Note</w:t>
      </w:r>
      <w:r w:rsidRPr="005D1BC5">
        <w:rPr>
          <w:rStyle w:val="charItals"/>
        </w:rPr>
        <w:tab/>
      </w:r>
      <w:r w:rsidRPr="00A060B6">
        <w:t xml:space="preserve">The </w:t>
      </w:r>
      <w:hyperlink r:id="rId151" w:tooltip="Evidence Act 1995" w:history="1">
        <w:r w:rsidR="001D1BCB" w:rsidRPr="001D1BCB">
          <w:rPr>
            <w:rStyle w:val="charCitHyperlinkAbbrev"/>
          </w:rPr>
          <w:t>Commonwealth Act</w:t>
        </w:r>
      </w:hyperlink>
      <w:r w:rsidRPr="00A060B6">
        <w:t xml:space="preserve">, s 182 gives the </w:t>
      </w:r>
      <w:hyperlink r:id="rId152" w:tooltip="Evidence Act 1995" w:history="1">
        <w:r w:rsidR="001D1BCB" w:rsidRPr="001D1BCB">
          <w:rPr>
            <w:rStyle w:val="charCitHyperlinkAbbrev"/>
          </w:rPr>
          <w:t>Commonwealth Act</w:t>
        </w:r>
      </w:hyperlink>
      <w:r w:rsidRPr="00A060B6">
        <w:t>,  pt 4.6, div 1 a wider application in relation to Commonwealth records and certain Commonwealth documents.</w:t>
      </w:r>
    </w:p>
    <w:p w:rsidR="00F8610E" w:rsidRPr="00A060B6" w:rsidRDefault="00F8610E" w:rsidP="00486F06">
      <w:pPr>
        <w:pStyle w:val="AH5Sec"/>
      </w:pPr>
      <w:bookmarkStart w:id="242" w:name="_Toc11748597"/>
      <w:r w:rsidRPr="003925E1">
        <w:rPr>
          <w:rStyle w:val="CharSectNo"/>
        </w:rPr>
        <w:t>166</w:t>
      </w:r>
      <w:r w:rsidRPr="00A060B6">
        <w:tab/>
        <w:t xml:space="preserve">Meaning of </w:t>
      </w:r>
      <w:r w:rsidRPr="005D1BC5">
        <w:rPr>
          <w:rStyle w:val="charItals"/>
        </w:rPr>
        <w:t>request</w:t>
      </w:r>
      <w:r w:rsidRPr="00A060B6">
        <w:rPr>
          <w:iCs/>
        </w:rPr>
        <w:t>—div 4.6.1</w:t>
      </w:r>
      <w:bookmarkEnd w:id="242"/>
    </w:p>
    <w:p w:rsidR="00F8610E" w:rsidRPr="00A060B6" w:rsidRDefault="00F8610E" w:rsidP="00C23C3D">
      <w:pPr>
        <w:pStyle w:val="Amainreturn"/>
        <w:keepNext/>
      </w:pPr>
      <w:r w:rsidRPr="00A060B6">
        <w:t>In this division:</w:t>
      </w:r>
    </w:p>
    <w:p w:rsidR="00F8610E" w:rsidRPr="00A060B6" w:rsidRDefault="00F8610E" w:rsidP="00C23C3D">
      <w:pPr>
        <w:pStyle w:val="aDef"/>
        <w:keepNext/>
      </w:pPr>
      <w:r w:rsidRPr="00AF17FE">
        <w:rPr>
          <w:rStyle w:val="charBoldItals"/>
        </w:rPr>
        <w:t>request</w:t>
      </w:r>
      <w:r w:rsidRPr="00A060B6">
        <w:t xml:space="preserve"> means a request that a party (the </w:t>
      </w:r>
      <w:r w:rsidRPr="00AF17FE">
        <w:rPr>
          <w:rStyle w:val="charBoldItals"/>
        </w:rPr>
        <w:t>requesting party</w:t>
      </w:r>
      <w:r w:rsidRPr="00A060B6">
        <w:t>) makes to another party to do 1 or more of the following:</w:t>
      </w:r>
    </w:p>
    <w:p w:rsidR="00F8610E" w:rsidRPr="00A060B6" w:rsidRDefault="00F8610E" w:rsidP="00486F06">
      <w:pPr>
        <w:pStyle w:val="aDefpara"/>
      </w:pPr>
      <w:r w:rsidRPr="00A060B6">
        <w:tab/>
        <w:t>(a)</w:t>
      </w:r>
      <w:r w:rsidRPr="00A060B6">
        <w:tab/>
        <w:t>to produce to the requesting party all or part of a stated document or thing;</w:t>
      </w:r>
    </w:p>
    <w:p w:rsidR="00F8610E" w:rsidRPr="00A060B6" w:rsidRDefault="00F8610E" w:rsidP="00486F06">
      <w:pPr>
        <w:pStyle w:val="aDefpara"/>
      </w:pPr>
      <w:r w:rsidRPr="00A060B6">
        <w:tab/>
        <w:t>(b)</w:t>
      </w:r>
      <w:r w:rsidRPr="00A060B6">
        <w:tab/>
        <w:t>to permit the requesting party, adequately and in an appropriate way, to examine, test or copy all or part of a stated document or thing;</w:t>
      </w:r>
    </w:p>
    <w:p w:rsidR="00F8610E" w:rsidRPr="00A060B6" w:rsidRDefault="00F8610E" w:rsidP="00486F06">
      <w:pPr>
        <w:pStyle w:val="aDefpara"/>
      </w:pPr>
      <w:r w:rsidRPr="00A060B6">
        <w:tab/>
        <w:t>(c)</w:t>
      </w:r>
      <w:r w:rsidRPr="00A060B6">
        <w:tab/>
        <w:t>to call as a witness a stated person believed to be concerned in production or maintenance of a stated document or thing;</w:t>
      </w:r>
    </w:p>
    <w:p w:rsidR="00F8610E" w:rsidRPr="00A060B6" w:rsidRDefault="00F8610E" w:rsidP="00486F06">
      <w:pPr>
        <w:pStyle w:val="aDefpara"/>
      </w:pPr>
      <w:r w:rsidRPr="00A060B6">
        <w:tab/>
        <w:t>(d)</w:t>
      </w:r>
      <w:r w:rsidRPr="00A060B6">
        <w:tab/>
        <w:t>to call as a witness a stated person in whose possession or under whose control a stated document or thing is believed to be or to have been at any time;</w:t>
      </w:r>
    </w:p>
    <w:p w:rsidR="00F8610E" w:rsidRPr="00A060B6" w:rsidRDefault="00F8610E" w:rsidP="00486F06">
      <w:pPr>
        <w:pStyle w:val="aDefpara"/>
      </w:pPr>
      <w:r w:rsidRPr="00A060B6">
        <w:tab/>
        <w:t>(e)</w:t>
      </w:r>
      <w:r w:rsidRPr="00A060B6">
        <w:tab/>
        <w:t xml:space="preserve">in relation to a document of the kind mentioned in the dictionary, part 2, section 8, definition of </w:t>
      </w:r>
      <w:r w:rsidRPr="00AF17FE">
        <w:rPr>
          <w:rStyle w:val="charBoldItals"/>
        </w:rPr>
        <w:t>document</w:t>
      </w:r>
      <w:r w:rsidRPr="00A060B6">
        <w:t>, paragraph (b) or (c)—to permit the requesting party, adequately and in an appropriate way, to examine and test the document and the way in which it was produced and has been kept;</w:t>
      </w:r>
    </w:p>
    <w:p w:rsidR="00F8610E" w:rsidRPr="00A060B6" w:rsidRDefault="00F8610E" w:rsidP="00171031">
      <w:pPr>
        <w:pStyle w:val="aDefpara"/>
        <w:keepNext/>
      </w:pPr>
      <w:r w:rsidRPr="00A060B6">
        <w:lastRenderedPageBreak/>
        <w:tab/>
        <w:t>(f)</w:t>
      </w:r>
      <w:r w:rsidRPr="00A060B6">
        <w:tab/>
        <w:t>in relation to evidence of a previous representation—to call as a witness the person who made the previous representation;</w:t>
      </w:r>
    </w:p>
    <w:p w:rsidR="00F8610E" w:rsidRPr="00A060B6" w:rsidRDefault="00F8610E" w:rsidP="00486F06">
      <w:pPr>
        <w:pStyle w:val="aDefpara"/>
      </w:pPr>
      <w:r w:rsidRPr="00A060B6">
        <w:tab/>
        <w:t>(g)</w:t>
      </w:r>
      <w:r w:rsidRPr="00A060B6">
        <w:tab/>
        <w:t>in relation to evidence that a person has been convicted of an offence, that is evidence to which section 92 (2) (Exceptions) applies—to call as a witness a person who gave evidence in the proceeding in which the person was convicted of the offence.</w:t>
      </w:r>
    </w:p>
    <w:p w:rsidR="00F8610E" w:rsidRPr="00A060B6" w:rsidRDefault="00F8610E" w:rsidP="00486F06">
      <w:pPr>
        <w:pStyle w:val="AH5Sec"/>
      </w:pPr>
      <w:bookmarkStart w:id="243" w:name="_Toc11748598"/>
      <w:r w:rsidRPr="003925E1">
        <w:rPr>
          <w:rStyle w:val="CharSectNo"/>
        </w:rPr>
        <w:t>167</w:t>
      </w:r>
      <w:r w:rsidRPr="00A060B6">
        <w:tab/>
        <w:t>Requests may be made about certain matters</w:t>
      </w:r>
      <w:bookmarkEnd w:id="243"/>
    </w:p>
    <w:p w:rsidR="00F8610E" w:rsidRPr="00A060B6" w:rsidRDefault="00F8610E" w:rsidP="00E51812">
      <w:pPr>
        <w:pStyle w:val="Amainreturn"/>
      </w:pPr>
      <w:r w:rsidRPr="00A060B6">
        <w:t>A party may make a reasonable request to another party for the purpose of deciding a question that relates to—</w:t>
      </w:r>
    </w:p>
    <w:p w:rsidR="00F8610E" w:rsidRPr="00A060B6" w:rsidRDefault="00F8610E" w:rsidP="00486F06">
      <w:pPr>
        <w:pStyle w:val="Apara"/>
      </w:pPr>
      <w:r w:rsidRPr="00A060B6">
        <w:tab/>
        <w:t>(a)</w:t>
      </w:r>
      <w:r w:rsidRPr="00A060B6">
        <w:tab/>
        <w:t>a previous representation; or</w:t>
      </w:r>
    </w:p>
    <w:p w:rsidR="00F8610E" w:rsidRPr="00A060B6" w:rsidRDefault="00F8610E" w:rsidP="00486F06">
      <w:pPr>
        <w:pStyle w:val="Apara"/>
      </w:pPr>
      <w:r w:rsidRPr="00A060B6">
        <w:tab/>
        <w:t>(b)</w:t>
      </w:r>
      <w:r w:rsidRPr="00A060B6">
        <w:tab/>
        <w:t>evidence of a conviction of a person for an offence; or</w:t>
      </w:r>
    </w:p>
    <w:p w:rsidR="00F8610E" w:rsidRPr="00A060B6" w:rsidRDefault="00F8610E" w:rsidP="00486F06">
      <w:pPr>
        <w:pStyle w:val="Apara"/>
      </w:pPr>
      <w:r w:rsidRPr="00A060B6">
        <w:tab/>
        <w:t>(c)</w:t>
      </w:r>
      <w:r w:rsidRPr="00A060B6">
        <w:tab/>
        <w:t>the authenticity, identity or admissibility of a document or thing.</w:t>
      </w:r>
    </w:p>
    <w:p w:rsidR="00F8610E" w:rsidRPr="00A060B6" w:rsidRDefault="00F8610E" w:rsidP="00486F06">
      <w:pPr>
        <w:pStyle w:val="AH5Sec"/>
      </w:pPr>
      <w:bookmarkStart w:id="244" w:name="_Toc11748599"/>
      <w:r w:rsidRPr="003925E1">
        <w:rPr>
          <w:rStyle w:val="CharSectNo"/>
        </w:rPr>
        <w:t>168</w:t>
      </w:r>
      <w:r w:rsidRPr="00A060B6">
        <w:tab/>
        <w:t>Time limits for making certain requests</w:t>
      </w:r>
      <w:bookmarkEnd w:id="244"/>
    </w:p>
    <w:p w:rsidR="00F8610E" w:rsidRPr="00A060B6" w:rsidRDefault="00F8610E" w:rsidP="00486F06">
      <w:pPr>
        <w:pStyle w:val="Amain"/>
      </w:pPr>
      <w:r w:rsidRPr="00A060B6">
        <w:tab/>
        <w:t>(1)</w:t>
      </w:r>
      <w:r w:rsidRPr="00A060B6">
        <w:tab/>
        <w:t>If a party has given to another party written notice of its intention to present evidence of a previous representation, the other party may only make a request to the party relating to the representation if the request is made before the end of 21 days after the day the notice is given.</w:t>
      </w:r>
    </w:p>
    <w:p w:rsidR="00F8610E" w:rsidRPr="00A060B6" w:rsidRDefault="00F8610E" w:rsidP="00486F06">
      <w:pPr>
        <w:pStyle w:val="Amain"/>
      </w:pPr>
      <w:r w:rsidRPr="00A060B6">
        <w:tab/>
        <w:t>(2)</w:t>
      </w:r>
      <w:r w:rsidRPr="00A060B6">
        <w:tab/>
        <w:t>Despite subsection (1), the court may give the other party leave to make a request relating to the representation after the end of the 21</w:t>
      </w:r>
      <w:r w:rsidRPr="00A060B6">
        <w:noBreakHyphen/>
        <w:t>day period if it is satisfied that there is good reason to do so.</w:t>
      </w:r>
    </w:p>
    <w:p w:rsidR="00F8610E" w:rsidRPr="00A060B6" w:rsidRDefault="00F8610E" w:rsidP="002E7253">
      <w:pPr>
        <w:pStyle w:val="Amain"/>
        <w:keepNext/>
      </w:pPr>
      <w:r w:rsidRPr="00A060B6">
        <w:tab/>
        <w:t>(3)</w:t>
      </w:r>
      <w:r w:rsidRPr="00A060B6">
        <w:tab/>
        <w:t>If a party has given to another party written notice of its intention to present evidence of a person’s conviction of an offence in order to prove a fact in issue, the other party may only make a request relating to evidence of the conviction if the request is made before the end of 21 days after the day the notice is given.</w:t>
      </w:r>
    </w:p>
    <w:p w:rsidR="00F8610E" w:rsidRPr="00A060B6" w:rsidRDefault="00F8610E" w:rsidP="00486F06">
      <w:pPr>
        <w:pStyle w:val="Amain"/>
      </w:pPr>
      <w:r w:rsidRPr="00A060B6">
        <w:tab/>
        <w:t>(4)</w:t>
      </w:r>
      <w:r w:rsidRPr="00A060B6">
        <w:tab/>
        <w:t>Despite subsection (3), the court may give the other party leave to make a request relating to evidence of the conviction after the end of the 21-day period if it is satisfied that there is good reason to do so.</w:t>
      </w:r>
    </w:p>
    <w:p w:rsidR="00F8610E" w:rsidRPr="00A060B6" w:rsidRDefault="00F8610E" w:rsidP="0061678D">
      <w:pPr>
        <w:pStyle w:val="Amain"/>
        <w:keepLines/>
      </w:pPr>
      <w:r w:rsidRPr="00A060B6">
        <w:lastRenderedPageBreak/>
        <w:tab/>
        <w:t>(5)</w:t>
      </w:r>
      <w:r w:rsidRPr="00A060B6">
        <w:tab/>
        <w:t>If a party has served on another party a copy of a document that it intends to tender in evidence, the other party may only make a request relating to the document if the request is made before the end of 21 days after the day the copy is served.</w:t>
      </w:r>
    </w:p>
    <w:p w:rsidR="00F8610E" w:rsidRPr="00A060B6" w:rsidRDefault="00F8610E" w:rsidP="00486F06">
      <w:pPr>
        <w:pStyle w:val="Amain"/>
      </w:pPr>
      <w:r w:rsidRPr="00A060B6">
        <w:tab/>
        <w:t>(6)</w:t>
      </w:r>
      <w:r w:rsidRPr="00A060B6">
        <w:tab/>
        <w:t>If the copy of the document served under subsection (5) is accompanied by, or has endorsed on it, a notice stating that the document must be tendered to prove the contents of another document, the other party may only make a request relating to the other document if the request is made before the end of 21 days after the day the copy is served.</w:t>
      </w:r>
    </w:p>
    <w:p w:rsidR="00F8610E" w:rsidRPr="00A060B6" w:rsidRDefault="00F8610E" w:rsidP="00486F06">
      <w:pPr>
        <w:pStyle w:val="Amain"/>
      </w:pPr>
      <w:r w:rsidRPr="00A060B6">
        <w:tab/>
        <w:t>(7)</w:t>
      </w:r>
      <w:r w:rsidRPr="00A060B6">
        <w:tab/>
        <w:t>Despite subsections (5) and (6), the court may give the other party leave to make a request relating to the document, or other document, after the end of the 21-day period if it is satisfied that there is good reason to do so.</w:t>
      </w:r>
    </w:p>
    <w:p w:rsidR="00F8610E" w:rsidRPr="00A060B6" w:rsidRDefault="00F8610E" w:rsidP="00486F06">
      <w:pPr>
        <w:pStyle w:val="AH5Sec"/>
      </w:pPr>
      <w:bookmarkStart w:id="245" w:name="_Toc11748600"/>
      <w:r w:rsidRPr="003925E1">
        <w:rPr>
          <w:rStyle w:val="CharSectNo"/>
        </w:rPr>
        <w:t>169</w:t>
      </w:r>
      <w:r w:rsidRPr="00A060B6">
        <w:tab/>
        <w:t>Failure to comply with requests</w:t>
      </w:r>
      <w:bookmarkEnd w:id="245"/>
    </w:p>
    <w:p w:rsidR="00F8610E" w:rsidRPr="00A060B6" w:rsidRDefault="00F8610E" w:rsidP="002E7253">
      <w:pPr>
        <w:pStyle w:val="Amain"/>
        <w:keepNext/>
      </w:pPr>
      <w:r w:rsidRPr="00A060B6">
        <w:tab/>
        <w:t>(1)</w:t>
      </w:r>
      <w:r w:rsidRPr="00A060B6">
        <w:tab/>
        <w:t>If a party has, without reasonable cause, failed to comply with a request mentioned in section 168, the court may, on application, make 1 or more of the following orders:</w:t>
      </w:r>
    </w:p>
    <w:p w:rsidR="00F8610E" w:rsidRPr="00A060B6" w:rsidRDefault="00F8610E" w:rsidP="002E7253">
      <w:pPr>
        <w:pStyle w:val="Apara"/>
        <w:keepNext/>
      </w:pPr>
      <w:r w:rsidRPr="00A060B6">
        <w:tab/>
        <w:t>(a)</w:t>
      </w:r>
      <w:r w:rsidRPr="00A060B6">
        <w:tab/>
        <w:t>an order directing the party to comply with the request;</w:t>
      </w:r>
    </w:p>
    <w:p w:rsidR="00F8610E" w:rsidRPr="00A060B6" w:rsidRDefault="00F8610E" w:rsidP="002E7253">
      <w:pPr>
        <w:pStyle w:val="Apara"/>
        <w:keepNext/>
      </w:pPr>
      <w:r w:rsidRPr="00A060B6">
        <w:tab/>
        <w:t>(b)</w:t>
      </w:r>
      <w:r w:rsidRPr="00A060B6">
        <w:tab/>
        <w:t xml:space="preserve">an order that the party produce a stated document or thing, or call as a witness a stated person, as mentioned in section 166 (Meaning of </w:t>
      </w:r>
      <w:r w:rsidRPr="00AF17FE">
        <w:rPr>
          <w:rStyle w:val="charBoldItals"/>
        </w:rPr>
        <w:t>request</w:t>
      </w:r>
      <w:r w:rsidRPr="00A060B6">
        <w:rPr>
          <w:iCs/>
        </w:rPr>
        <w:t>—div 4.6.1)</w:t>
      </w:r>
      <w:r w:rsidRPr="00A060B6">
        <w:t xml:space="preserve">; </w:t>
      </w:r>
    </w:p>
    <w:p w:rsidR="00F8610E" w:rsidRPr="00A060B6" w:rsidRDefault="00F8610E" w:rsidP="00486F06">
      <w:pPr>
        <w:pStyle w:val="Apara"/>
      </w:pPr>
      <w:r w:rsidRPr="00A060B6">
        <w:tab/>
        <w:t>(c)</w:t>
      </w:r>
      <w:r w:rsidRPr="00A060B6">
        <w:tab/>
        <w:t>an order that the evidence in relation to which the request was made is not to be admitted in evidence;</w:t>
      </w:r>
    </w:p>
    <w:p w:rsidR="00F8610E" w:rsidRPr="00A060B6" w:rsidRDefault="00F8610E" w:rsidP="00532E65">
      <w:pPr>
        <w:pStyle w:val="Apara"/>
        <w:keepNext/>
      </w:pPr>
      <w:r w:rsidRPr="00A060B6">
        <w:tab/>
        <w:t>(d)</w:t>
      </w:r>
      <w:r w:rsidRPr="00A060B6">
        <w:tab/>
        <w:t>an order in relation to adjournment or costs that is just.</w:t>
      </w:r>
    </w:p>
    <w:p w:rsidR="00F8610E" w:rsidRPr="00A060B6" w:rsidRDefault="00F8610E" w:rsidP="0068244C">
      <w:pPr>
        <w:pStyle w:val="aNote"/>
      </w:pPr>
      <w:r w:rsidRPr="00AF17FE">
        <w:rPr>
          <w:rStyle w:val="charItals"/>
        </w:rPr>
        <w:t>Note</w:t>
      </w:r>
      <w:r w:rsidRPr="00AF17FE">
        <w:rPr>
          <w:rStyle w:val="charItals"/>
        </w:rPr>
        <w:tab/>
      </w:r>
      <w:r w:rsidRPr="00AF17FE">
        <w:rPr>
          <w:rStyle w:val="charBoldItals"/>
        </w:rPr>
        <w:t>Fail</w:t>
      </w:r>
      <w:r w:rsidRPr="00A060B6">
        <w:t xml:space="preserve"> includes refuse (see </w:t>
      </w:r>
      <w:hyperlink r:id="rId153" w:tooltip="A2001-14" w:history="1">
        <w:r w:rsidR="00AF17FE" w:rsidRPr="00AF17FE">
          <w:rPr>
            <w:rStyle w:val="charCitHyperlinkAbbrev"/>
          </w:rPr>
          <w:t>Legislation Act</w:t>
        </w:r>
      </w:hyperlink>
      <w:r w:rsidRPr="00A060B6">
        <w:t>, dict, pt 1).</w:t>
      </w:r>
    </w:p>
    <w:p w:rsidR="00F8610E" w:rsidRPr="00A060B6" w:rsidRDefault="00F8610E" w:rsidP="00486F06">
      <w:pPr>
        <w:pStyle w:val="Amain"/>
      </w:pPr>
      <w:r w:rsidRPr="00A060B6">
        <w:tab/>
        <w:t>(2)</w:t>
      </w:r>
      <w:r w:rsidRPr="00A060B6">
        <w:tab/>
        <w:t>If the party had, within a reasonable time after receiving the request, told the other party that it refuses to comply with the request, any application under subsection (1) by the other party must be made within a reasonable time after being told about the refusal.</w:t>
      </w:r>
    </w:p>
    <w:p w:rsidR="00F8610E" w:rsidRPr="00A060B6" w:rsidRDefault="00F8610E" w:rsidP="00486F06">
      <w:pPr>
        <w:pStyle w:val="Amain"/>
      </w:pPr>
      <w:r w:rsidRPr="00A060B6">
        <w:lastRenderedPageBreak/>
        <w:tab/>
        <w:t>(3)</w:t>
      </w:r>
      <w:r w:rsidRPr="00A060B6">
        <w:tab/>
        <w:t>The court may, on application, direct that evidence in relation to which a request was made must not be admitted in evidence if an order made by it under subsection (1) (a) or (b) is not complied with.</w:t>
      </w:r>
    </w:p>
    <w:p w:rsidR="00F8610E" w:rsidRPr="00A060B6" w:rsidRDefault="00F8610E" w:rsidP="00486F06">
      <w:pPr>
        <w:pStyle w:val="Amain"/>
      </w:pPr>
      <w:r w:rsidRPr="00A060B6">
        <w:tab/>
        <w:t>(4)</w:t>
      </w:r>
      <w:r w:rsidRPr="00A060B6">
        <w:tab/>
        <w:t>Without limiting the circumstances that may constitute reasonable cause for a party to fail to comply with a request, it is reasonable cause to fail to comply with a request if—</w:t>
      </w:r>
    </w:p>
    <w:p w:rsidR="00F8610E" w:rsidRPr="00A060B6" w:rsidRDefault="00F8610E" w:rsidP="00486F06">
      <w:pPr>
        <w:pStyle w:val="Apara"/>
      </w:pPr>
      <w:r w:rsidRPr="00A060B6">
        <w:tab/>
        <w:t>(a)</w:t>
      </w:r>
      <w:r w:rsidRPr="00A060B6">
        <w:tab/>
        <w:t>the document or thing to be produced is not available to the party; or</w:t>
      </w:r>
    </w:p>
    <w:p w:rsidR="00F8610E" w:rsidRPr="00A060B6" w:rsidRDefault="00F8610E" w:rsidP="00486F06">
      <w:pPr>
        <w:pStyle w:val="Apara"/>
      </w:pPr>
      <w:r w:rsidRPr="00A060B6">
        <w:tab/>
        <w:t>(b)</w:t>
      </w:r>
      <w:r w:rsidRPr="00A060B6">
        <w:tab/>
        <w:t>the existence and contents of the document are not in issue in the proceeding in which evidence of the document is proposed to be presented; or</w:t>
      </w:r>
    </w:p>
    <w:p w:rsidR="00F8610E" w:rsidRPr="00A060B6" w:rsidRDefault="00F8610E" w:rsidP="00486F06">
      <w:pPr>
        <w:pStyle w:val="Apara"/>
      </w:pPr>
      <w:r w:rsidRPr="00A060B6">
        <w:tab/>
        <w:t>(c)</w:t>
      </w:r>
      <w:r w:rsidRPr="00A060B6">
        <w:tab/>
        <w:t>the person to be called as a witness is not available.</w:t>
      </w:r>
    </w:p>
    <w:p w:rsidR="00F8610E" w:rsidRPr="00A060B6" w:rsidRDefault="00F8610E" w:rsidP="00486F06">
      <w:pPr>
        <w:pStyle w:val="Amain"/>
      </w:pPr>
      <w:r w:rsidRPr="00A060B6">
        <w:tab/>
        <w:t>(5)</w:t>
      </w:r>
      <w:r w:rsidRPr="00A060B6">
        <w:tab/>
        <w:t>Without limiting the matters that the court may take into account in relation to the exercise of a power under subsection (1), it must take into account—</w:t>
      </w:r>
    </w:p>
    <w:p w:rsidR="00F8610E" w:rsidRPr="00A060B6" w:rsidRDefault="00F8610E" w:rsidP="00486F06">
      <w:pPr>
        <w:pStyle w:val="Apara"/>
      </w:pPr>
      <w:r w:rsidRPr="00A060B6">
        <w:tab/>
        <w:t>(a)</w:t>
      </w:r>
      <w:r w:rsidRPr="00A060B6">
        <w:tab/>
        <w:t>the importance in the proceeding of the evidence in relation to which the request was made; and</w:t>
      </w:r>
    </w:p>
    <w:p w:rsidR="00F8610E" w:rsidRPr="00A060B6" w:rsidRDefault="00F8610E" w:rsidP="00486F06">
      <w:pPr>
        <w:pStyle w:val="Apara"/>
      </w:pPr>
      <w:r w:rsidRPr="00A060B6">
        <w:tab/>
        <w:t>(b)</w:t>
      </w:r>
      <w:r w:rsidRPr="00A060B6">
        <w:tab/>
        <w:t>whether there is likely to be a dispute about the matter to which the evidence relates; and</w:t>
      </w:r>
    </w:p>
    <w:p w:rsidR="00F8610E" w:rsidRPr="00A060B6" w:rsidRDefault="00F8610E" w:rsidP="00486F06">
      <w:pPr>
        <w:pStyle w:val="Apara"/>
      </w:pPr>
      <w:r w:rsidRPr="00A060B6">
        <w:tab/>
        <w:t>(c)</w:t>
      </w:r>
      <w:r w:rsidRPr="00A060B6">
        <w:tab/>
        <w:t>whether there is a reasonable doubt as to the authenticity or accuracy of the evidence that is, or the document the contents of which are, sought to be proved; and</w:t>
      </w:r>
    </w:p>
    <w:p w:rsidR="00F8610E" w:rsidRPr="00A060B6" w:rsidRDefault="00F8610E" w:rsidP="00486F06">
      <w:pPr>
        <w:pStyle w:val="Apara"/>
      </w:pPr>
      <w:r w:rsidRPr="00A060B6">
        <w:tab/>
        <w:t>(d)</w:t>
      </w:r>
      <w:r w:rsidRPr="00A060B6">
        <w:tab/>
        <w:t>whether there is a reasonable doubt as to the authenticity of the document or thing that is sought to be tendered; and</w:t>
      </w:r>
    </w:p>
    <w:p w:rsidR="00F8610E" w:rsidRPr="00A060B6" w:rsidRDefault="00F8610E" w:rsidP="00486F06">
      <w:pPr>
        <w:pStyle w:val="Apara"/>
      </w:pPr>
      <w:r w:rsidRPr="00A060B6">
        <w:tab/>
        <w:t>(e)</w:t>
      </w:r>
      <w:r w:rsidRPr="00A060B6">
        <w:tab/>
        <w:t>if the request relates to evidence of a previous representation— whether there is a reasonable doubt as to the accuracy of the representation or of the evidence on which it was based; and</w:t>
      </w:r>
    </w:p>
    <w:p w:rsidR="00F8610E" w:rsidRPr="00A060B6" w:rsidRDefault="00F8610E" w:rsidP="00F2594C">
      <w:pPr>
        <w:pStyle w:val="Apara"/>
        <w:keepNext/>
        <w:keepLines/>
      </w:pPr>
      <w:r w:rsidRPr="00A060B6">
        <w:lastRenderedPageBreak/>
        <w:tab/>
        <w:t>(f)</w:t>
      </w:r>
      <w:r w:rsidRPr="00A060B6">
        <w:tab/>
        <w:t xml:space="preserve">for a request mentioned in section 166, definition of </w:t>
      </w:r>
      <w:r w:rsidRPr="00AF17FE">
        <w:rPr>
          <w:rStyle w:val="charBoldItals"/>
        </w:rPr>
        <w:t>request</w:t>
      </w:r>
      <w:r w:rsidRPr="00A060B6">
        <w:t>, paragraph (g)—whether someone else is available to give evidence about the conviction or the facts that were in issue in the proceeding in which the conviction was obtained; and</w:t>
      </w:r>
    </w:p>
    <w:p w:rsidR="00F8610E" w:rsidRPr="00A060B6" w:rsidRDefault="00F8610E" w:rsidP="00486F06">
      <w:pPr>
        <w:pStyle w:val="Apara"/>
      </w:pPr>
      <w:r w:rsidRPr="00A060B6">
        <w:tab/>
        <w:t>(g)</w:t>
      </w:r>
      <w:r w:rsidRPr="00A060B6">
        <w:tab/>
        <w:t>whether compliance with the request would involve undue expense or delay or would not be reasonably practicable; and</w:t>
      </w:r>
    </w:p>
    <w:p w:rsidR="00F8610E" w:rsidRPr="00A060B6" w:rsidRDefault="00F8610E" w:rsidP="00486F06">
      <w:pPr>
        <w:pStyle w:val="Apara"/>
      </w:pPr>
      <w:r w:rsidRPr="00A060B6">
        <w:tab/>
        <w:t>(h)</w:t>
      </w:r>
      <w:r w:rsidRPr="00A060B6">
        <w:tab/>
        <w:t>the nature of the proceeding.</w:t>
      </w:r>
    </w:p>
    <w:p w:rsidR="00F8610E" w:rsidRPr="00A060B6" w:rsidRDefault="00F8610E" w:rsidP="00E51812">
      <w:pPr>
        <w:pStyle w:val="aNote"/>
      </w:pPr>
      <w:r w:rsidRPr="00AF17FE">
        <w:rPr>
          <w:rStyle w:val="charItals"/>
        </w:rPr>
        <w:t>Note</w:t>
      </w:r>
      <w:r w:rsidRPr="00A060B6">
        <w:tab/>
        <w:t>The dictionary, pt 2, s 5 is about the availability of documents and things and pt 2, s 4 is about the availability of people.</w:t>
      </w:r>
    </w:p>
    <w:p w:rsidR="00F8610E" w:rsidRPr="003925E1" w:rsidRDefault="00F8610E" w:rsidP="00486F06">
      <w:pPr>
        <w:pStyle w:val="AH3Div"/>
      </w:pPr>
      <w:bookmarkStart w:id="246" w:name="_Toc11748601"/>
      <w:r w:rsidRPr="003925E1">
        <w:rPr>
          <w:rStyle w:val="CharDivNo"/>
        </w:rPr>
        <w:lastRenderedPageBreak/>
        <w:t>Division 4.6.2</w:t>
      </w:r>
      <w:r w:rsidRPr="00A060B6">
        <w:tab/>
      </w:r>
      <w:r w:rsidRPr="003925E1">
        <w:rPr>
          <w:rStyle w:val="CharDivText"/>
        </w:rPr>
        <w:t>Proof of certain matters by affidavits or written statements</w:t>
      </w:r>
      <w:bookmarkEnd w:id="246"/>
    </w:p>
    <w:p w:rsidR="00F8610E" w:rsidRPr="00A060B6" w:rsidRDefault="00F8610E" w:rsidP="00486F06">
      <w:pPr>
        <w:pStyle w:val="AH5Sec"/>
      </w:pPr>
      <w:bookmarkStart w:id="247" w:name="_Toc11748602"/>
      <w:r w:rsidRPr="003925E1">
        <w:rPr>
          <w:rStyle w:val="CharSectNo"/>
        </w:rPr>
        <w:t>170</w:t>
      </w:r>
      <w:r w:rsidRPr="00A060B6">
        <w:tab/>
        <w:t>Evidence relating to certain matters</w:t>
      </w:r>
      <w:bookmarkEnd w:id="247"/>
    </w:p>
    <w:p w:rsidR="00F8610E" w:rsidRPr="00A060B6" w:rsidRDefault="00F8610E" w:rsidP="0061678D">
      <w:pPr>
        <w:pStyle w:val="Amain"/>
        <w:keepNext/>
      </w:pPr>
      <w:r w:rsidRPr="00A060B6">
        <w:tab/>
        <w:t>(1)</w:t>
      </w:r>
      <w:r w:rsidRPr="00A060B6">
        <w:tab/>
        <w:t>Evidence of a fact that is, because of a provision of this Act mentioned in table 170, to be proved in relation to a document or thing may be given by a person permitted under section 171 to give the evidence.</w:t>
      </w:r>
    </w:p>
    <w:p w:rsidR="00F8610E" w:rsidRPr="00A060B6" w:rsidRDefault="00F8610E" w:rsidP="00E51812">
      <w:pPr>
        <w:pStyle w:val="TableHd"/>
      </w:pPr>
      <w:r w:rsidRPr="00A060B6">
        <w:tab/>
        <w:t>Table 170</w:t>
      </w:r>
    </w:p>
    <w:tbl>
      <w:tblPr>
        <w:tblW w:w="0" w:type="auto"/>
        <w:tblInd w:w="1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062"/>
        <w:gridCol w:w="2062"/>
        <w:gridCol w:w="2557"/>
      </w:tblGrid>
      <w:tr w:rsidR="00F8610E" w:rsidRPr="00A060B6" w:rsidTr="00454252">
        <w:trPr>
          <w:cantSplit/>
          <w:tblHeader/>
        </w:trPr>
        <w:tc>
          <w:tcPr>
            <w:tcW w:w="2062" w:type="dxa"/>
            <w:tcBorders>
              <w:bottom w:val="single" w:sz="4" w:space="0" w:color="auto"/>
            </w:tcBorders>
          </w:tcPr>
          <w:p w:rsidR="00F8610E" w:rsidRPr="00A060B6" w:rsidRDefault="00F8610E" w:rsidP="00E51812">
            <w:pPr>
              <w:pStyle w:val="TableColHd"/>
              <w:rPr>
                <w:szCs w:val="18"/>
              </w:rPr>
            </w:pPr>
            <w:r w:rsidRPr="00A060B6">
              <w:rPr>
                <w:szCs w:val="18"/>
              </w:rPr>
              <w:t>column 1</w:t>
            </w:r>
          </w:p>
          <w:p w:rsidR="00F8610E" w:rsidRPr="00A060B6" w:rsidRDefault="00F8610E" w:rsidP="00E51812">
            <w:pPr>
              <w:pStyle w:val="TableColHd"/>
              <w:rPr>
                <w:szCs w:val="18"/>
              </w:rPr>
            </w:pPr>
            <w:r w:rsidRPr="00A060B6">
              <w:rPr>
                <w:szCs w:val="18"/>
              </w:rPr>
              <w:t>item</w:t>
            </w:r>
          </w:p>
        </w:tc>
        <w:tc>
          <w:tcPr>
            <w:tcW w:w="2062" w:type="dxa"/>
            <w:tcBorders>
              <w:bottom w:val="single" w:sz="4" w:space="0" w:color="auto"/>
            </w:tcBorders>
          </w:tcPr>
          <w:p w:rsidR="00F8610E" w:rsidRPr="00A060B6" w:rsidRDefault="00F8610E" w:rsidP="00E51812">
            <w:pPr>
              <w:pStyle w:val="TableColHd"/>
              <w:rPr>
                <w:szCs w:val="18"/>
              </w:rPr>
            </w:pPr>
            <w:r w:rsidRPr="00A060B6">
              <w:rPr>
                <w:szCs w:val="18"/>
              </w:rPr>
              <w:t>column 2</w:t>
            </w:r>
          </w:p>
          <w:p w:rsidR="00F8610E" w:rsidRPr="00A060B6" w:rsidRDefault="00F8610E" w:rsidP="00E51812">
            <w:pPr>
              <w:pStyle w:val="TableColHd"/>
              <w:rPr>
                <w:szCs w:val="18"/>
              </w:rPr>
            </w:pPr>
            <w:r w:rsidRPr="00A060B6">
              <w:rPr>
                <w:szCs w:val="18"/>
              </w:rPr>
              <w:t>provisions of this Act</w:t>
            </w:r>
          </w:p>
        </w:tc>
        <w:tc>
          <w:tcPr>
            <w:tcW w:w="2557" w:type="dxa"/>
            <w:tcBorders>
              <w:bottom w:val="single" w:sz="4" w:space="0" w:color="auto"/>
            </w:tcBorders>
          </w:tcPr>
          <w:p w:rsidR="00F8610E" w:rsidRPr="00A060B6" w:rsidRDefault="00F8610E" w:rsidP="00E51812">
            <w:pPr>
              <w:pStyle w:val="TableColHd"/>
              <w:rPr>
                <w:szCs w:val="18"/>
              </w:rPr>
            </w:pPr>
            <w:r w:rsidRPr="00A060B6">
              <w:rPr>
                <w:szCs w:val="18"/>
              </w:rPr>
              <w:t>column 3</w:t>
            </w:r>
          </w:p>
          <w:p w:rsidR="00F8610E" w:rsidRPr="00A060B6" w:rsidRDefault="00F8610E" w:rsidP="00E51812">
            <w:pPr>
              <w:pStyle w:val="TableColHd"/>
              <w:rPr>
                <w:szCs w:val="18"/>
              </w:rPr>
            </w:pPr>
            <w:r w:rsidRPr="00A060B6">
              <w:rPr>
                <w:szCs w:val="18"/>
              </w:rPr>
              <w:t>subject matter</w:t>
            </w:r>
          </w:p>
        </w:tc>
      </w:tr>
      <w:tr w:rsidR="00F8610E" w:rsidRPr="00A060B6" w:rsidTr="00454252">
        <w:trPr>
          <w:cantSplit/>
        </w:trPr>
        <w:tc>
          <w:tcPr>
            <w:tcW w:w="2062" w:type="dxa"/>
            <w:tcBorders>
              <w:top w:val="single" w:sz="4" w:space="0" w:color="auto"/>
            </w:tcBorders>
          </w:tcPr>
          <w:p w:rsidR="00F8610E" w:rsidRPr="00A060B6" w:rsidRDefault="00F8610E" w:rsidP="0061678D">
            <w:pPr>
              <w:pStyle w:val="TableText"/>
              <w:keepNext/>
              <w:rPr>
                <w:sz w:val="20"/>
              </w:rPr>
            </w:pPr>
            <w:r w:rsidRPr="00A060B6">
              <w:rPr>
                <w:sz w:val="20"/>
              </w:rPr>
              <w:t>1</w:t>
            </w:r>
          </w:p>
        </w:tc>
        <w:tc>
          <w:tcPr>
            <w:tcW w:w="2062" w:type="dxa"/>
            <w:tcBorders>
              <w:top w:val="single" w:sz="4" w:space="0" w:color="auto"/>
            </w:tcBorders>
          </w:tcPr>
          <w:p w:rsidR="00F8610E" w:rsidRPr="00A060B6" w:rsidRDefault="00F8610E" w:rsidP="0061678D">
            <w:pPr>
              <w:pStyle w:val="TableText"/>
              <w:keepNext/>
              <w:rPr>
                <w:sz w:val="20"/>
              </w:rPr>
            </w:pPr>
            <w:r w:rsidRPr="00A060B6">
              <w:rPr>
                <w:sz w:val="20"/>
              </w:rPr>
              <w:t xml:space="preserve">section 48 </w:t>
            </w:r>
          </w:p>
        </w:tc>
        <w:tc>
          <w:tcPr>
            <w:tcW w:w="2557" w:type="dxa"/>
            <w:tcBorders>
              <w:top w:val="single" w:sz="4" w:space="0" w:color="auto"/>
            </w:tcBorders>
          </w:tcPr>
          <w:p w:rsidR="00F8610E" w:rsidRPr="00A060B6" w:rsidRDefault="00F8610E" w:rsidP="0061678D">
            <w:pPr>
              <w:pStyle w:val="TableText"/>
              <w:keepNext/>
              <w:rPr>
                <w:sz w:val="20"/>
              </w:rPr>
            </w:pPr>
            <w:r w:rsidRPr="00A060B6">
              <w:rPr>
                <w:sz w:val="20"/>
              </w:rPr>
              <w:t xml:space="preserve">proof of contents of documents </w:t>
            </w:r>
          </w:p>
        </w:tc>
      </w:tr>
      <w:tr w:rsidR="00F8610E" w:rsidRPr="00A060B6" w:rsidTr="00454252">
        <w:trPr>
          <w:cantSplit/>
        </w:trPr>
        <w:tc>
          <w:tcPr>
            <w:tcW w:w="2062" w:type="dxa"/>
          </w:tcPr>
          <w:p w:rsidR="00F8610E" w:rsidRPr="00A060B6" w:rsidRDefault="00F8610E" w:rsidP="0061678D">
            <w:pPr>
              <w:pStyle w:val="TableText"/>
              <w:keepNext/>
              <w:rPr>
                <w:sz w:val="20"/>
              </w:rPr>
            </w:pPr>
            <w:r w:rsidRPr="00A060B6">
              <w:rPr>
                <w:sz w:val="20"/>
              </w:rPr>
              <w:t>2</w:t>
            </w:r>
          </w:p>
        </w:tc>
        <w:tc>
          <w:tcPr>
            <w:tcW w:w="2062" w:type="dxa"/>
          </w:tcPr>
          <w:p w:rsidR="00F8610E" w:rsidRPr="00A060B6" w:rsidRDefault="00F8610E" w:rsidP="0061678D">
            <w:pPr>
              <w:pStyle w:val="TableText"/>
              <w:keepNext/>
              <w:rPr>
                <w:sz w:val="20"/>
              </w:rPr>
            </w:pPr>
            <w:r w:rsidRPr="00A060B6">
              <w:rPr>
                <w:sz w:val="20"/>
              </w:rPr>
              <w:t xml:space="preserve">section 63, section 64 and section 65 </w:t>
            </w:r>
          </w:p>
        </w:tc>
        <w:tc>
          <w:tcPr>
            <w:tcW w:w="2557" w:type="dxa"/>
          </w:tcPr>
          <w:p w:rsidR="00F8610E" w:rsidRPr="00A060B6" w:rsidRDefault="00F8610E" w:rsidP="0061678D">
            <w:pPr>
              <w:pStyle w:val="TableText"/>
              <w:keepNext/>
              <w:rPr>
                <w:sz w:val="20"/>
              </w:rPr>
            </w:pPr>
            <w:r w:rsidRPr="00A060B6">
              <w:rPr>
                <w:sz w:val="20"/>
              </w:rPr>
              <w:t>hearsay exceptions for first</w:t>
            </w:r>
            <w:r w:rsidRPr="00A060B6">
              <w:rPr>
                <w:sz w:val="20"/>
              </w:rPr>
              <w:noBreakHyphen/>
              <w:t>hand hearsay</w:t>
            </w:r>
          </w:p>
        </w:tc>
      </w:tr>
      <w:tr w:rsidR="00F8610E" w:rsidRPr="00A060B6" w:rsidTr="00454252">
        <w:trPr>
          <w:cantSplit/>
        </w:trPr>
        <w:tc>
          <w:tcPr>
            <w:tcW w:w="2062" w:type="dxa"/>
          </w:tcPr>
          <w:p w:rsidR="00F8610E" w:rsidRPr="00A060B6" w:rsidRDefault="00F8610E" w:rsidP="0061678D">
            <w:pPr>
              <w:pStyle w:val="TableText"/>
              <w:keepNext/>
              <w:rPr>
                <w:sz w:val="20"/>
              </w:rPr>
            </w:pPr>
            <w:r w:rsidRPr="00A060B6">
              <w:rPr>
                <w:sz w:val="20"/>
              </w:rPr>
              <w:t>3</w:t>
            </w:r>
          </w:p>
        </w:tc>
        <w:tc>
          <w:tcPr>
            <w:tcW w:w="2062" w:type="dxa"/>
          </w:tcPr>
          <w:p w:rsidR="00F8610E" w:rsidRPr="00A060B6" w:rsidRDefault="00F8610E" w:rsidP="0061678D">
            <w:pPr>
              <w:pStyle w:val="TableText"/>
              <w:keepNext/>
              <w:rPr>
                <w:sz w:val="20"/>
              </w:rPr>
            </w:pPr>
            <w:r w:rsidRPr="00A060B6">
              <w:rPr>
                <w:sz w:val="20"/>
              </w:rPr>
              <w:t>section 69</w:t>
            </w:r>
          </w:p>
        </w:tc>
        <w:tc>
          <w:tcPr>
            <w:tcW w:w="2557" w:type="dxa"/>
          </w:tcPr>
          <w:p w:rsidR="00F8610E" w:rsidRPr="00A060B6" w:rsidRDefault="00F8610E" w:rsidP="0061678D">
            <w:pPr>
              <w:pStyle w:val="TableText"/>
              <w:keepNext/>
              <w:rPr>
                <w:sz w:val="20"/>
              </w:rPr>
            </w:pPr>
            <w:r w:rsidRPr="00A060B6">
              <w:rPr>
                <w:sz w:val="20"/>
              </w:rPr>
              <w:t>hearsay exception for business records</w:t>
            </w:r>
          </w:p>
        </w:tc>
      </w:tr>
      <w:tr w:rsidR="00F8610E" w:rsidRPr="00A060B6" w:rsidTr="00454252">
        <w:trPr>
          <w:cantSplit/>
        </w:trPr>
        <w:tc>
          <w:tcPr>
            <w:tcW w:w="2062" w:type="dxa"/>
          </w:tcPr>
          <w:p w:rsidR="00F8610E" w:rsidRPr="00A060B6" w:rsidRDefault="00F8610E" w:rsidP="0061678D">
            <w:pPr>
              <w:pStyle w:val="TableText"/>
              <w:keepNext/>
              <w:rPr>
                <w:sz w:val="20"/>
              </w:rPr>
            </w:pPr>
            <w:r w:rsidRPr="00A060B6">
              <w:rPr>
                <w:sz w:val="20"/>
              </w:rPr>
              <w:t>4</w:t>
            </w:r>
          </w:p>
        </w:tc>
        <w:tc>
          <w:tcPr>
            <w:tcW w:w="2062" w:type="dxa"/>
          </w:tcPr>
          <w:p w:rsidR="00F8610E" w:rsidRPr="00A060B6" w:rsidRDefault="00F8610E" w:rsidP="0061678D">
            <w:pPr>
              <w:pStyle w:val="TableText"/>
              <w:keepNext/>
              <w:rPr>
                <w:sz w:val="20"/>
              </w:rPr>
            </w:pPr>
            <w:r w:rsidRPr="00A060B6">
              <w:rPr>
                <w:sz w:val="20"/>
              </w:rPr>
              <w:t>section 70</w:t>
            </w:r>
          </w:p>
        </w:tc>
        <w:tc>
          <w:tcPr>
            <w:tcW w:w="2557" w:type="dxa"/>
          </w:tcPr>
          <w:p w:rsidR="00F8610E" w:rsidRPr="00A060B6" w:rsidRDefault="00F8610E" w:rsidP="0061678D">
            <w:pPr>
              <w:pStyle w:val="TableText"/>
              <w:keepNext/>
              <w:rPr>
                <w:sz w:val="20"/>
              </w:rPr>
            </w:pPr>
            <w:r w:rsidRPr="00A060B6">
              <w:rPr>
                <w:sz w:val="20"/>
              </w:rPr>
              <w:t xml:space="preserve">hearsay exception for tags, labels and other writing </w:t>
            </w:r>
          </w:p>
        </w:tc>
      </w:tr>
      <w:tr w:rsidR="00F8610E" w:rsidRPr="00A060B6" w:rsidTr="00454252">
        <w:trPr>
          <w:cantSplit/>
        </w:trPr>
        <w:tc>
          <w:tcPr>
            <w:tcW w:w="2062" w:type="dxa"/>
          </w:tcPr>
          <w:p w:rsidR="00F8610E" w:rsidRPr="00A060B6" w:rsidRDefault="00F8610E" w:rsidP="0061678D">
            <w:pPr>
              <w:pStyle w:val="TableText"/>
              <w:keepNext/>
              <w:rPr>
                <w:sz w:val="20"/>
              </w:rPr>
            </w:pPr>
            <w:r w:rsidRPr="00A060B6">
              <w:rPr>
                <w:sz w:val="20"/>
              </w:rPr>
              <w:t>5</w:t>
            </w:r>
          </w:p>
        </w:tc>
        <w:tc>
          <w:tcPr>
            <w:tcW w:w="2062" w:type="dxa"/>
          </w:tcPr>
          <w:p w:rsidR="00F8610E" w:rsidRPr="00A060B6" w:rsidRDefault="00F8610E" w:rsidP="0061678D">
            <w:pPr>
              <w:pStyle w:val="TableText"/>
              <w:keepNext/>
              <w:rPr>
                <w:sz w:val="20"/>
              </w:rPr>
            </w:pPr>
            <w:r w:rsidRPr="00A060B6">
              <w:rPr>
                <w:sz w:val="20"/>
              </w:rPr>
              <w:t xml:space="preserve">section 71 </w:t>
            </w:r>
          </w:p>
        </w:tc>
        <w:tc>
          <w:tcPr>
            <w:tcW w:w="2557" w:type="dxa"/>
          </w:tcPr>
          <w:p w:rsidR="00F8610E" w:rsidRPr="00A060B6" w:rsidRDefault="00F8610E" w:rsidP="0061678D">
            <w:pPr>
              <w:pStyle w:val="TableText"/>
              <w:keepNext/>
              <w:rPr>
                <w:sz w:val="20"/>
              </w:rPr>
            </w:pPr>
            <w:r w:rsidRPr="00A060B6">
              <w:rPr>
                <w:sz w:val="20"/>
              </w:rPr>
              <w:t>hearsay exception for electronic communications</w:t>
            </w:r>
          </w:p>
        </w:tc>
      </w:tr>
      <w:tr w:rsidR="00F8610E" w:rsidRPr="00A060B6" w:rsidTr="00454252">
        <w:trPr>
          <w:cantSplit/>
        </w:trPr>
        <w:tc>
          <w:tcPr>
            <w:tcW w:w="2062" w:type="dxa"/>
          </w:tcPr>
          <w:p w:rsidR="00F8610E" w:rsidRPr="00A060B6" w:rsidRDefault="00F8610E" w:rsidP="0061678D">
            <w:pPr>
              <w:pStyle w:val="TableText"/>
              <w:keepNext/>
              <w:rPr>
                <w:sz w:val="20"/>
              </w:rPr>
            </w:pPr>
            <w:r w:rsidRPr="00A060B6">
              <w:rPr>
                <w:sz w:val="20"/>
              </w:rPr>
              <w:t>6</w:t>
            </w:r>
          </w:p>
        </w:tc>
        <w:tc>
          <w:tcPr>
            <w:tcW w:w="2062" w:type="dxa"/>
          </w:tcPr>
          <w:p w:rsidR="00F8610E" w:rsidRPr="00A060B6" w:rsidRDefault="00F8610E" w:rsidP="0061678D">
            <w:pPr>
              <w:pStyle w:val="TableText"/>
              <w:keepNext/>
              <w:rPr>
                <w:sz w:val="20"/>
              </w:rPr>
            </w:pPr>
            <w:r w:rsidRPr="00A060B6">
              <w:rPr>
                <w:sz w:val="20"/>
              </w:rPr>
              <w:t>the provisions of part 4.3</w:t>
            </w:r>
          </w:p>
        </w:tc>
        <w:tc>
          <w:tcPr>
            <w:tcW w:w="2557" w:type="dxa"/>
          </w:tcPr>
          <w:p w:rsidR="00F8610E" w:rsidRPr="00A060B6" w:rsidRDefault="00F8610E" w:rsidP="0061678D">
            <w:pPr>
              <w:pStyle w:val="TableText"/>
              <w:keepNext/>
              <w:rPr>
                <w:sz w:val="20"/>
              </w:rPr>
            </w:pPr>
            <w:r w:rsidRPr="00A060B6">
              <w:rPr>
                <w:sz w:val="20"/>
              </w:rPr>
              <w:t xml:space="preserve">facilitation of proof </w:t>
            </w:r>
          </w:p>
        </w:tc>
      </w:tr>
    </w:tbl>
    <w:p w:rsidR="00F8610E" w:rsidRPr="00A060B6" w:rsidRDefault="00F8610E" w:rsidP="00001242">
      <w:pPr>
        <w:pStyle w:val="aNote"/>
      </w:pPr>
      <w:r w:rsidRPr="00AF17FE">
        <w:rPr>
          <w:rStyle w:val="charItals"/>
        </w:rPr>
        <w:t>Note</w:t>
      </w:r>
      <w:r w:rsidRPr="00AF17FE">
        <w:rPr>
          <w:rStyle w:val="charItals"/>
        </w:rPr>
        <w:tab/>
      </w:r>
      <w:r w:rsidRPr="00A060B6">
        <w:t xml:space="preserve">The </w:t>
      </w:r>
      <w:hyperlink r:id="rId154" w:tooltip="Evidence Act 1995" w:history="1">
        <w:r w:rsidR="001D1BCB" w:rsidRPr="001D1BCB">
          <w:rPr>
            <w:rStyle w:val="charCitHyperlinkAbbrev"/>
          </w:rPr>
          <w:t>Commonwealth Act</w:t>
        </w:r>
      </w:hyperlink>
      <w:r w:rsidRPr="00A060B6">
        <w:t xml:space="preserve">, s 170, table includes a reference to the </w:t>
      </w:r>
      <w:hyperlink r:id="rId155" w:tooltip="Evidence Act 1995" w:history="1">
        <w:r w:rsidR="001D1BCB" w:rsidRPr="001D1BCB">
          <w:rPr>
            <w:rStyle w:val="charCitHyperlinkAbbrev"/>
          </w:rPr>
          <w:t>Commonwealth Act</w:t>
        </w:r>
      </w:hyperlink>
      <w:r w:rsidRPr="00A060B6">
        <w:t>, s 182 (Commonwealth records).</w:t>
      </w:r>
      <w:r w:rsidRPr="00A060B6">
        <w:tab/>
      </w:r>
    </w:p>
    <w:p w:rsidR="00F8610E" w:rsidRPr="00A060B6" w:rsidRDefault="00F8610E" w:rsidP="00486F06">
      <w:pPr>
        <w:pStyle w:val="Amain"/>
      </w:pPr>
      <w:r w:rsidRPr="00A060B6">
        <w:tab/>
        <w:t>(2)</w:t>
      </w:r>
      <w:r w:rsidRPr="00A060B6">
        <w:tab/>
        <w:t>Evidence may be given by affidavit or, if the evidence relates to a public document, by a written statement.</w:t>
      </w:r>
    </w:p>
    <w:p w:rsidR="00F8610E" w:rsidRPr="00A060B6" w:rsidRDefault="00F8610E" w:rsidP="00486F06">
      <w:pPr>
        <w:pStyle w:val="AH5Sec"/>
      </w:pPr>
      <w:bookmarkStart w:id="248" w:name="_Toc11748603"/>
      <w:r w:rsidRPr="003925E1">
        <w:rPr>
          <w:rStyle w:val="CharSectNo"/>
        </w:rPr>
        <w:lastRenderedPageBreak/>
        <w:t>171</w:t>
      </w:r>
      <w:r w:rsidRPr="00A060B6">
        <w:tab/>
        <w:t>People who may give evidence mentioned in s 170</w:t>
      </w:r>
      <w:bookmarkEnd w:id="248"/>
    </w:p>
    <w:p w:rsidR="00F8610E" w:rsidRPr="00A060B6" w:rsidRDefault="00F8610E" w:rsidP="002E7253">
      <w:pPr>
        <w:pStyle w:val="Amain"/>
        <w:keepNext/>
      </w:pPr>
      <w:r w:rsidRPr="00A060B6">
        <w:tab/>
        <w:t>(1)</w:t>
      </w:r>
      <w:r w:rsidRPr="00A060B6">
        <w:tab/>
        <w:t>Evidence mentioned in section 170 may be given by—</w:t>
      </w:r>
    </w:p>
    <w:p w:rsidR="00F8610E" w:rsidRPr="00A060B6" w:rsidRDefault="00F8610E" w:rsidP="00486F06">
      <w:pPr>
        <w:pStyle w:val="Apara"/>
      </w:pPr>
      <w:r w:rsidRPr="00A060B6">
        <w:tab/>
        <w:t>(a)</w:t>
      </w:r>
      <w:r w:rsidRPr="00A060B6">
        <w:tab/>
        <w:t>a person who, at the relevant time or afterwards, had a position of responsibility in relation to making or keeping the document or thing; or</w:t>
      </w:r>
    </w:p>
    <w:p w:rsidR="00F8610E" w:rsidRPr="00A060B6" w:rsidRDefault="00F8610E" w:rsidP="00486F06">
      <w:pPr>
        <w:pStyle w:val="Apara"/>
      </w:pPr>
      <w:r w:rsidRPr="00A060B6">
        <w:tab/>
        <w:t>(b)</w:t>
      </w:r>
      <w:r w:rsidRPr="00A060B6">
        <w:tab/>
        <w:t>except in the case of evidence of a fact that is to be proved in relation to a document or thing because of section 63 (Exception—civil proceedings if maker not available), section 64 (Exception—civil proceedings if maker available) or section 65 (Exception—criminal proceedings if maker not available)—an authorised person.</w:t>
      </w:r>
    </w:p>
    <w:p w:rsidR="00F8610E" w:rsidRPr="00A060B6" w:rsidRDefault="00F8610E" w:rsidP="00486F06">
      <w:pPr>
        <w:pStyle w:val="Amain"/>
      </w:pPr>
      <w:r w:rsidRPr="00A060B6">
        <w:tab/>
        <w:t>(2)</w:t>
      </w:r>
      <w:r w:rsidRPr="00A060B6">
        <w:tab/>
        <w:t>Despite subsection (1) (b), evidence must not be given under this section by an authorised person who, at the relevant time or afterwards, did not have a position of responsibility in relation to making or keeping the document or thing unless it appears to the court that—</w:t>
      </w:r>
    </w:p>
    <w:p w:rsidR="00F8610E" w:rsidRPr="00A060B6" w:rsidRDefault="00F8610E" w:rsidP="00486F06">
      <w:pPr>
        <w:pStyle w:val="Apara"/>
      </w:pPr>
      <w:r w:rsidRPr="00A060B6">
        <w:tab/>
        <w:t>(a)</w:t>
      </w:r>
      <w:r w:rsidRPr="00A060B6">
        <w:tab/>
        <w:t>it is not reasonably practicable for the evidence to be given by a person who had, at the relevant time or afterwards, a position of responsibility in relation to making or keeping the document or thing; or</w:t>
      </w:r>
    </w:p>
    <w:p w:rsidR="00F8610E" w:rsidRPr="00A060B6" w:rsidRDefault="00F8610E" w:rsidP="00486F06">
      <w:pPr>
        <w:pStyle w:val="Apara"/>
      </w:pPr>
      <w:r w:rsidRPr="00A060B6">
        <w:tab/>
        <w:t>(b)</w:t>
      </w:r>
      <w:r w:rsidRPr="00A060B6">
        <w:tab/>
        <w:t>having regard to all the circumstances of the case, undue expense would be caused by calling the person mentioned in paragraph (a) as a witness.</w:t>
      </w:r>
    </w:p>
    <w:p w:rsidR="00F8610E" w:rsidRPr="00A060B6" w:rsidRDefault="00F8610E" w:rsidP="00171031">
      <w:pPr>
        <w:pStyle w:val="Amain"/>
        <w:keepNext/>
        <w:keepLines/>
      </w:pPr>
      <w:r w:rsidRPr="00A060B6">
        <w:lastRenderedPageBreak/>
        <w:tab/>
        <w:t>(3)</w:t>
      </w:r>
      <w:r w:rsidRPr="00A060B6">
        <w:tab/>
        <w:t>In this section:</w:t>
      </w:r>
    </w:p>
    <w:p w:rsidR="00F8610E" w:rsidRPr="00A060B6" w:rsidRDefault="00F8610E" w:rsidP="00171031">
      <w:pPr>
        <w:pStyle w:val="aDef"/>
        <w:keepNext/>
        <w:keepLines/>
      </w:pPr>
      <w:r w:rsidRPr="00AF17FE">
        <w:rPr>
          <w:rStyle w:val="charBoldItals"/>
        </w:rPr>
        <w:t>authorised person</w:t>
      </w:r>
      <w:r w:rsidRPr="00A060B6">
        <w:t xml:space="preserve"> means—</w:t>
      </w:r>
    </w:p>
    <w:p w:rsidR="00F8610E" w:rsidRPr="00A060B6" w:rsidRDefault="00F8610E" w:rsidP="00171031">
      <w:pPr>
        <w:pStyle w:val="aDefpara"/>
        <w:keepNext/>
        <w:keepLines/>
      </w:pPr>
      <w:r w:rsidRPr="00A060B6">
        <w:tab/>
        <w:t>(a)</w:t>
      </w:r>
      <w:r w:rsidRPr="00A060B6">
        <w:tab/>
        <w:t xml:space="preserve">a person before whom an oath, declaration or affidavit may be taken or made outside the ACT (including outside Australia) under the </w:t>
      </w:r>
      <w:hyperlink r:id="rId156" w:tooltip="A1984-79" w:history="1">
        <w:r w:rsidR="00AF17FE" w:rsidRPr="00AF17FE">
          <w:rPr>
            <w:rStyle w:val="charCitHyperlinkItal"/>
          </w:rPr>
          <w:t>Oaths and Affirmations Act 1984</w:t>
        </w:r>
      </w:hyperlink>
      <w:r w:rsidRPr="00A060B6">
        <w:t>, section 11 (Authority to administer oath etc); or</w:t>
      </w:r>
    </w:p>
    <w:p w:rsidR="00F8610E" w:rsidRPr="00A060B6" w:rsidRDefault="00F8610E" w:rsidP="00171031">
      <w:pPr>
        <w:pStyle w:val="aDefpara"/>
        <w:keepNext/>
        <w:keepLines/>
      </w:pPr>
      <w:r w:rsidRPr="00A060B6">
        <w:tab/>
        <w:t>(b)</w:t>
      </w:r>
      <w:r w:rsidRPr="00A060B6">
        <w:tab/>
        <w:t>a police officer of or above the rank of sergeant; or</w:t>
      </w:r>
    </w:p>
    <w:p w:rsidR="00F8610E" w:rsidRPr="00A060B6" w:rsidRDefault="00F8610E" w:rsidP="00486F06">
      <w:pPr>
        <w:pStyle w:val="aDefpara"/>
      </w:pPr>
      <w:r w:rsidRPr="00A060B6">
        <w:tab/>
        <w:t>(c)</w:t>
      </w:r>
      <w:r w:rsidRPr="00A060B6">
        <w:tab/>
        <w:t>a person authorised by the Minister for this section.</w:t>
      </w:r>
    </w:p>
    <w:p w:rsidR="00F8610E" w:rsidRPr="00A060B6" w:rsidRDefault="00F8610E" w:rsidP="00561B2A">
      <w:pPr>
        <w:pStyle w:val="aNote"/>
      </w:pPr>
      <w:r w:rsidRPr="00AF17FE">
        <w:rPr>
          <w:rStyle w:val="charItals"/>
        </w:rPr>
        <w:t>Note 1</w:t>
      </w:r>
      <w:r w:rsidRPr="00AF17FE">
        <w:rPr>
          <w:rStyle w:val="charItals"/>
        </w:rPr>
        <w:tab/>
      </w:r>
      <w:r w:rsidRPr="00AF17FE">
        <w:rPr>
          <w:rStyle w:val="charBoldItals"/>
        </w:rPr>
        <w:t>Oath</w:t>
      </w:r>
      <w:r w:rsidRPr="00A060B6">
        <w:t xml:space="preserve"> includes affirmation (see </w:t>
      </w:r>
      <w:hyperlink r:id="rId157" w:tooltip="A2001-14" w:history="1">
        <w:r w:rsidR="00AF17FE" w:rsidRPr="00AF17FE">
          <w:rPr>
            <w:rStyle w:val="charCitHyperlinkAbbrev"/>
          </w:rPr>
          <w:t>Legislation Act</w:t>
        </w:r>
      </w:hyperlink>
      <w:r w:rsidRPr="00A060B6">
        <w:t>, dict, pt 1).</w:t>
      </w:r>
    </w:p>
    <w:p w:rsidR="00F8610E" w:rsidRPr="00A060B6" w:rsidRDefault="00F8610E" w:rsidP="00E51812">
      <w:pPr>
        <w:pStyle w:val="aNote"/>
      </w:pPr>
      <w:r w:rsidRPr="00AF17FE">
        <w:rPr>
          <w:rStyle w:val="charItals"/>
        </w:rPr>
        <w:t>Note 2</w:t>
      </w:r>
      <w:r w:rsidRPr="00A060B6">
        <w:tab/>
        <w:t xml:space="preserve">The </w:t>
      </w:r>
      <w:hyperlink r:id="rId158" w:tooltip="Evidence Act 1995" w:history="1">
        <w:r w:rsidR="00506E3A" w:rsidRPr="001D1BCB">
          <w:rPr>
            <w:rStyle w:val="charCitHyperlinkAbbrev"/>
          </w:rPr>
          <w:t>Commonwealth Act</w:t>
        </w:r>
      </w:hyperlink>
      <w:r w:rsidRPr="00A060B6">
        <w:t xml:space="preserve"> and </w:t>
      </w:r>
      <w:hyperlink r:id="rId159" w:tooltip="Act 1995 No 25 (NSW)" w:history="1">
        <w:r w:rsidR="00506E3A" w:rsidRPr="00506E3A">
          <w:rPr>
            <w:rStyle w:val="charCitHyperlinkAbbrev"/>
          </w:rPr>
          <w:t>NSW Act</w:t>
        </w:r>
      </w:hyperlink>
      <w:r w:rsidRPr="00A060B6">
        <w:t xml:space="preserve"> contain a different definition of </w:t>
      </w:r>
      <w:r w:rsidRPr="00AF17FE">
        <w:rPr>
          <w:rStyle w:val="charBoldItals"/>
        </w:rPr>
        <w:t>authorised person</w:t>
      </w:r>
      <w:r w:rsidRPr="00A060B6">
        <w:t>.</w:t>
      </w:r>
    </w:p>
    <w:p w:rsidR="00F8610E" w:rsidRPr="00A060B6" w:rsidRDefault="00F8610E" w:rsidP="00486F06">
      <w:pPr>
        <w:pStyle w:val="AH5Sec"/>
      </w:pPr>
      <w:bookmarkStart w:id="249" w:name="_Toc11748604"/>
      <w:r w:rsidRPr="003925E1">
        <w:rPr>
          <w:rStyle w:val="CharSectNo"/>
        </w:rPr>
        <w:t>172</w:t>
      </w:r>
      <w:r w:rsidRPr="00A060B6">
        <w:tab/>
        <w:t>Evidence based on knowledge, belief or information</w:t>
      </w:r>
      <w:bookmarkEnd w:id="249"/>
    </w:p>
    <w:p w:rsidR="00F8610E" w:rsidRPr="00A060B6" w:rsidRDefault="00F8610E" w:rsidP="00486F06">
      <w:pPr>
        <w:pStyle w:val="Amain"/>
      </w:pPr>
      <w:r w:rsidRPr="00A060B6">
        <w:tab/>
        <w:t>(1)</w:t>
      </w:r>
      <w:r w:rsidRPr="00A060B6">
        <w:tab/>
        <w:t>Despite chapter 3, the evidence may include evidence based on the knowledge and belief of the person who gives it, or on information that the person has.</w:t>
      </w:r>
    </w:p>
    <w:p w:rsidR="00F8610E" w:rsidRPr="00A060B6" w:rsidRDefault="00F8610E" w:rsidP="00486F06">
      <w:pPr>
        <w:pStyle w:val="Amain"/>
      </w:pPr>
      <w:r w:rsidRPr="00A060B6">
        <w:tab/>
        <w:t>(2)</w:t>
      </w:r>
      <w:r w:rsidRPr="00A060B6">
        <w:tab/>
        <w:t>An affidavit or statement that includes evidence based on knowledge, information or belief must set out the source of the knowledge or information or the basis of the belief.</w:t>
      </w:r>
    </w:p>
    <w:p w:rsidR="00F8610E" w:rsidRPr="00A060B6" w:rsidRDefault="00F8610E" w:rsidP="00486F06">
      <w:pPr>
        <w:pStyle w:val="AH5Sec"/>
      </w:pPr>
      <w:bookmarkStart w:id="250" w:name="_Toc11748605"/>
      <w:r w:rsidRPr="003925E1">
        <w:rPr>
          <w:rStyle w:val="CharSectNo"/>
        </w:rPr>
        <w:t>173</w:t>
      </w:r>
      <w:r w:rsidRPr="00A060B6">
        <w:tab/>
        <w:t>Notification of other parties</w:t>
      </w:r>
      <w:bookmarkEnd w:id="250"/>
    </w:p>
    <w:p w:rsidR="00F8610E" w:rsidRPr="00A060B6" w:rsidRDefault="00F8610E" w:rsidP="00486F06">
      <w:pPr>
        <w:pStyle w:val="Amain"/>
      </w:pPr>
      <w:r w:rsidRPr="00A060B6">
        <w:tab/>
        <w:t>(1)</w:t>
      </w:r>
      <w:r w:rsidRPr="00A060B6">
        <w:tab/>
        <w:t>A copy of the affidavit or statement must be served on each party a reasonable time before the hearing of the proceeding.</w:t>
      </w:r>
    </w:p>
    <w:p w:rsidR="00F8610E" w:rsidRPr="00A060B6" w:rsidRDefault="00F8610E" w:rsidP="00486F06">
      <w:pPr>
        <w:pStyle w:val="Amain"/>
      </w:pPr>
      <w:r w:rsidRPr="00A060B6">
        <w:tab/>
        <w:t>(2)</w:t>
      </w:r>
      <w:r w:rsidRPr="00A060B6">
        <w:tab/>
        <w:t>The party who tenders the affidavit or statement must, if another party requests, call the deponent or person who made the statement to give evidence but need not otherwise do so.</w:t>
      </w:r>
    </w:p>
    <w:p w:rsidR="00F8610E" w:rsidRPr="003925E1" w:rsidRDefault="00F8610E" w:rsidP="00486F06">
      <w:pPr>
        <w:pStyle w:val="AH3Div"/>
      </w:pPr>
      <w:bookmarkStart w:id="251" w:name="_Toc11748606"/>
      <w:r w:rsidRPr="003925E1">
        <w:rPr>
          <w:rStyle w:val="CharDivNo"/>
        </w:rPr>
        <w:lastRenderedPageBreak/>
        <w:t>Division 4.6.3</w:t>
      </w:r>
      <w:r w:rsidRPr="00A060B6">
        <w:tab/>
      </w:r>
      <w:r w:rsidRPr="003925E1">
        <w:rPr>
          <w:rStyle w:val="CharDivText"/>
        </w:rPr>
        <w:t>Foreign law</w:t>
      </w:r>
      <w:bookmarkEnd w:id="251"/>
    </w:p>
    <w:p w:rsidR="00F8610E" w:rsidRPr="00A060B6" w:rsidRDefault="00F8610E" w:rsidP="00486F06">
      <w:pPr>
        <w:pStyle w:val="AH5Sec"/>
      </w:pPr>
      <w:bookmarkStart w:id="252" w:name="_Toc11748607"/>
      <w:r w:rsidRPr="003925E1">
        <w:rPr>
          <w:rStyle w:val="CharSectNo"/>
        </w:rPr>
        <w:t>174</w:t>
      </w:r>
      <w:r w:rsidRPr="00A060B6">
        <w:tab/>
        <w:t>Evidence of foreign law</w:t>
      </w:r>
      <w:bookmarkEnd w:id="252"/>
    </w:p>
    <w:p w:rsidR="00F8610E" w:rsidRPr="00A060B6" w:rsidRDefault="00F8610E" w:rsidP="00486F06">
      <w:pPr>
        <w:pStyle w:val="Amain"/>
      </w:pPr>
      <w:r w:rsidRPr="00A060B6">
        <w:tab/>
        <w:t>(1)</w:t>
      </w:r>
      <w:r w:rsidRPr="00A060B6">
        <w:tab/>
        <w:t>Evidence of a statute, proclamation, treaty or act of state of a foreign country may be presented in a proceeding by producing—</w:t>
      </w:r>
    </w:p>
    <w:p w:rsidR="00F8610E" w:rsidRPr="00A060B6" w:rsidRDefault="00F8610E" w:rsidP="00486F06">
      <w:pPr>
        <w:pStyle w:val="Apara"/>
      </w:pPr>
      <w:r w:rsidRPr="00A060B6">
        <w:tab/>
        <w:t>(a)</w:t>
      </w:r>
      <w:r w:rsidRPr="00A060B6">
        <w:tab/>
        <w:t>a book or pamphlet, containing the statute, proclamation, treaty or act of state, that purports to have been printed by the government or official printer of the country or by authority of the government or administration of the country; or</w:t>
      </w:r>
    </w:p>
    <w:p w:rsidR="00F8610E" w:rsidRPr="00A060B6" w:rsidRDefault="00F8610E" w:rsidP="00486F06">
      <w:pPr>
        <w:pStyle w:val="Apara"/>
      </w:pPr>
      <w:r w:rsidRPr="00A060B6">
        <w:tab/>
        <w:t>(b)</w:t>
      </w:r>
      <w:r w:rsidRPr="00A060B6">
        <w:tab/>
        <w:t>a book or other publication, containing the statute, proclamation, treaty or act of state, that appears to the court to be a reliable source of information; or</w:t>
      </w:r>
    </w:p>
    <w:p w:rsidR="00F8610E" w:rsidRPr="00A060B6" w:rsidRDefault="00F8610E" w:rsidP="00486F06">
      <w:pPr>
        <w:pStyle w:val="Apara"/>
      </w:pPr>
      <w:r w:rsidRPr="00A060B6">
        <w:tab/>
        <w:t>(c)</w:t>
      </w:r>
      <w:r w:rsidRPr="00A060B6">
        <w:tab/>
        <w:t>a book or pamphlet that is or would be used in the courts of the country to inform the courts about, or to prove, the statute, proclamation, treaty or act of state; or</w:t>
      </w:r>
    </w:p>
    <w:p w:rsidR="00F8610E" w:rsidRPr="00A060B6" w:rsidRDefault="00F8610E" w:rsidP="00486F06">
      <w:pPr>
        <w:pStyle w:val="Apara"/>
      </w:pPr>
      <w:r w:rsidRPr="00A060B6">
        <w:tab/>
        <w:t>(d)</w:t>
      </w:r>
      <w:r w:rsidRPr="00A060B6">
        <w:tab/>
        <w:t>a copy of the statute, proclamation, treaty or act of state that is proved to be an examined copy.</w:t>
      </w:r>
    </w:p>
    <w:p w:rsidR="00F8610E" w:rsidRPr="00A060B6" w:rsidRDefault="00F8610E" w:rsidP="00486F06">
      <w:pPr>
        <w:pStyle w:val="Amain"/>
      </w:pPr>
      <w:r w:rsidRPr="00A060B6">
        <w:tab/>
        <w:t>(2)</w:t>
      </w:r>
      <w:r w:rsidRPr="00A060B6">
        <w:tab/>
        <w:t>A reference in this section to a statute of a foreign country includes a reference to a regulation or by-law of the country.</w:t>
      </w:r>
    </w:p>
    <w:p w:rsidR="00F8610E" w:rsidRPr="00A060B6" w:rsidRDefault="00F8610E" w:rsidP="00486F06">
      <w:pPr>
        <w:pStyle w:val="AH5Sec"/>
      </w:pPr>
      <w:bookmarkStart w:id="253" w:name="_Toc11748608"/>
      <w:r w:rsidRPr="003925E1">
        <w:rPr>
          <w:rStyle w:val="CharSectNo"/>
        </w:rPr>
        <w:t>175</w:t>
      </w:r>
      <w:r w:rsidRPr="00A060B6">
        <w:tab/>
        <w:t>Evidence of law reports of foreign countries</w:t>
      </w:r>
      <w:bookmarkEnd w:id="253"/>
    </w:p>
    <w:p w:rsidR="00F8610E" w:rsidRPr="00A060B6" w:rsidRDefault="00F8610E" w:rsidP="00486F06">
      <w:pPr>
        <w:pStyle w:val="Amain"/>
      </w:pPr>
      <w:r w:rsidRPr="00A060B6">
        <w:tab/>
        <w:t>(1)</w:t>
      </w:r>
      <w:r w:rsidRPr="00A060B6">
        <w:tab/>
        <w:t>Evidence of the unwritten or common law of a foreign country may be presented by producing a book containing reports of judgments of courts of the country if the book is or would be used in the courts of the country to inform the courts about the unwritten or common law of the country.</w:t>
      </w:r>
    </w:p>
    <w:p w:rsidR="00F8610E" w:rsidRPr="00A060B6" w:rsidRDefault="00F8610E" w:rsidP="00486F06">
      <w:pPr>
        <w:pStyle w:val="Amain"/>
      </w:pPr>
      <w:r w:rsidRPr="00A060B6">
        <w:tab/>
        <w:t>(2)</w:t>
      </w:r>
      <w:r w:rsidRPr="00A060B6">
        <w:tab/>
        <w:t>Evidence of the interpretation of a statute of a foreign country may be presented by producing a book containing reports of judgments of courts of the country if the book is or would be used in the courts of the country to inform the courts about the interpretation of the statute.</w:t>
      </w:r>
    </w:p>
    <w:p w:rsidR="00F8610E" w:rsidRPr="00A060B6" w:rsidRDefault="00F8610E" w:rsidP="00486F06">
      <w:pPr>
        <w:pStyle w:val="AH5Sec"/>
      </w:pPr>
      <w:bookmarkStart w:id="254" w:name="_Toc11748609"/>
      <w:r w:rsidRPr="003925E1">
        <w:rPr>
          <w:rStyle w:val="CharSectNo"/>
        </w:rPr>
        <w:lastRenderedPageBreak/>
        <w:t>176</w:t>
      </w:r>
      <w:r w:rsidRPr="00A060B6">
        <w:tab/>
        <w:t>Questions of foreign law to be decided by judge</w:t>
      </w:r>
      <w:bookmarkEnd w:id="254"/>
    </w:p>
    <w:p w:rsidR="00F8610E" w:rsidRPr="00A060B6" w:rsidRDefault="00F8610E" w:rsidP="00E51812">
      <w:pPr>
        <w:pStyle w:val="Amainreturn"/>
      </w:pPr>
      <w:r w:rsidRPr="00A060B6">
        <w:t>If, in a proceeding in which there is a jury, it is necessary to ascertain the law of another country which is applicable to the facts of the case, any question as to the effect of the evidence presented in relation to that law is to be decided by the judge alone.</w:t>
      </w:r>
    </w:p>
    <w:p w:rsidR="00F8610E" w:rsidRPr="003925E1" w:rsidRDefault="00F8610E" w:rsidP="00486F06">
      <w:pPr>
        <w:pStyle w:val="AH3Div"/>
      </w:pPr>
      <w:bookmarkStart w:id="255" w:name="_Toc11748610"/>
      <w:r w:rsidRPr="003925E1">
        <w:rPr>
          <w:rStyle w:val="CharDivNo"/>
        </w:rPr>
        <w:t>Division 4.6.4</w:t>
      </w:r>
      <w:r w:rsidRPr="00A060B6">
        <w:tab/>
      </w:r>
      <w:r w:rsidRPr="003925E1">
        <w:rPr>
          <w:rStyle w:val="CharDivText"/>
        </w:rPr>
        <w:t>Procedures for proving other matters</w:t>
      </w:r>
      <w:bookmarkEnd w:id="255"/>
    </w:p>
    <w:p w:rsidR="00F8610E" w:rsidRPr="00A060B6" w:rsidRDefault="00F8610E" w:rsidP="00486F06">
      <w:pPr>
        <w:pStyle w:val="AH5Sec"/>
      </w:pPr>
      <w:bookmarkStart w:id="256" w:name="_Toc11748611"/>
      <w:r w:rsidRPr="003925E1">
        <w:rPr>
          <w:rStyle w:val="CharSectNo"/>
        </w:rPr>
        <w:t>177</w:t>
      </w:r>
      <w:r w:rsidRPr="00A060B6">
        <w:tab/>
        <w:t>Certificates of expert evidence</w:t>
      </w:r>
      <w:bookmarkEnd w:id="256"/>
    </w:p>
    <w:p w:rsidR="00F8610E" w:rsidRPr="00A060B6" w:rsidRDefault="00F8610E" w:rsidP="002E7253">
      <w:pPr>
        <w:pStyle w:val="Amain"/>
        <w:keepNext/>
      </w:pPr>
      <w:r w:rsidRPr="00A060B6">
        <w:tab/>
        <w:t>(1)</w:t>
      </w:r>
      <w:r w:rsidRPr="00A060B6">
        <w:tab/>
        <w:t>Evidence of a person’s opinion may be presented by tendering a certificate (an</w:t>
      </w:r>
      <w:r w:rsidRPr="00AF17FE">
        <w:rPr>
          <w:rStyle w:val="charBoldItals"/>
        </w:rPr>
        <w:t xml:space="preserve"> expert certificate</w:t>
      </w:r>
      <w:r w:rsidRPr="00A060B6">
        <w:t>) signed by the person that—</w:t>
      </w:r>
    </w:p>
    <w:p w:rsidR="00F8610E" w:rsidRPr="00A060B6" w:rsidRDefault="00F8610E" w:rsidP="002E7253">
      <w:pPr>
        <w:pStyle w:val="Apara"/>
        <w:keepNext/>
      </w:pPr>
      <w:r w:rsidRPr="00A060B6">
        <w:tab/>
        <w:t>(a)</w:t>
      </w:r>
      <w:r w:rsidRPr="00A060B6">
        <w:tab/>
        <w:t>states the person’s name and address; and</w:t>
      </w:r>
    </w:p>
    <w:p w:rsidR="00F8610E" w:rsidRPr="00A060B6" w:rsidRDefault="00F8610E" w:rsidP="00486F06">
      <w:pPr>
        <w:pStyle w:val="Apara"/>
      </w:pPr>
      <w:r w:rsidRPr="00A060B6">
        <w:tab/>
        <w:t>(b)</w:t>
      </w:r>
      <w:r w:rsidRPr="00A060B6">
        <w:tab/>
        <w:t>states that the person has specialised knowledge based on the person’s training, study or experience, as stated in the certificate; and</w:t>
      </w:r>
    </w:p>
    <w:p w:rsidR="00F8610E" w:rsidRPr="00A060B6" w:rsidRDefault="00F8610E" w:rsidP="00486F06">
      <w:pPr>
        <w:pStyle w:val="Apara"/>
      </w:pPr>
      <w:r w:rsidRPr="00A060B6">
        <w:tab/>
        <w:t>(c)</w:t>
      </w:r>
      <w:r w:rsidRPr="00A060B6">
        <w:tab/>
        <w:t>sets out an opinion that the person holds and that is expressed to be completely or substantially based on that knowledge.</w:t>
      </w:r>
    </w:p>
    <w:p w:rsidR="00F8610E" w:rsidRPr="00A060B6" w:rsidRDefault="00F8610E" w:rsidP="00486F06">
      <w:pPr>
        <w:pStyle w:val="Amain"/>
      </w:pPr>
      <w:r w:rsidRPr="00A060B6">
        <w:tab/>
        <w:t>(2)</w:t>
      </w:r>
      <w:r w:rsidRPr="00A060B6">
        <w:tab/>
        <w:t>Subsection (1) does not apply unless the party seeking to tender the expert certificate has served on each other party—</w:t>
      </w:r>
    </w:p>
    <w:p w:rsidR="00F8610E" w:rsidRPr="00A060B6" w:rsidRDefault="00F8610E" w:rsidP="00486F06">
      <w:pPr>
        <w:pStyle w:val="Apara"/>
      </w:pPr>
      <w:r w:rsidRPr="00A060B6">
        <w:tab/>
        <w:t>(a)</w:t>
      </w:r>
      <w:r w:rsidRPr="00A060B6">
        <w:tab/>
        <w:t>a copy of the certificate; and</w:t>
      </w:r>
    </w:p>
    <w:p w:rsidR="00F8610E" w:rsidRPr="00A060B6" w:rsidRDefault="00F8610E" w:rsidP="00486F06">
      <w:pPr>
        <w:pStyle w:val="Apara"/>
      </w:pPr>
      <w:r w:rsidRPr="00A060B6">
        <w:tab/>
        <w:t>(b)</w:t>
      </w:r>
      <w:r w:rsidRPr="00A060B6">
        <w:tab/>
        <w:t>a written notice stating that the party proposes to tender the certificate as evidence of the opinion.</w:t>
      </w:r>
    </w:p>
    <w:p w:rsidR="00F8610E" w:rsidRPr="00A060B6" w:rsidRDefault="00F8610E" w:rsidP="00486F06">
      <w:pPr>
        <w:pStyle w:val="Amain"/>
      </w:pPr>
      <w:r w:rsidRPr="00A060B6">
        <w:tab/>
        <w:t>(3)</w:t>
      </w:r>
      <w:r w:rsidRPr="00A060B6">
        <w:tab/>
        <w:t>Service must be effected not later than—</w:t>
      </w:r>
    </w:p>
    <w:p w:rsidR="00F8610E" w:rsidRPr="00A060B6" w:rsidRDefault="00F8610E" w:rsidP="00486F06">
      <w:pPr>
        <w:pStyle w:val="Apara"/>
      </w:pPr>
      <w:r w:rsidRPr="00A060B6">
        <w:tab/>
        <w:t>(a)</w:t>
      </w:r>
      <w:r w:rsidRPr="00A060B6">
        <w:tab/>
        <w:t>21 days before the day of the hearing; or</w:t>
      </w:r>
    </w:p>
    <w:p w:rsidR="00F8610E" w:rsidRPr="00A060B6" w:rsidRDefault="00F8610E" w:rsidP="00486F06">
      <w:pPr>
        <w:pStyle w:val="Apara"/>
      </w:pPr>
      <w:r w:rsidRPr="00A060B6">
        <w:tab/>
        <w:t>(b)</w:t>
      </w:r>
      <w:r w:rsidRPr="00A060B6">
        <w:tab/>
        <w:t>if, on application by the party before or after service, the court substitutes a different period—the beginning of that period.</w:t>
      </w:r>
    </w:p>
    <w:p w:rsidR="00F8610E" w:rsidRPr="00A060B6" w:rsidRDefault="00F8610E" w:rsidP="00486F06">
      <w:pPr>
        <w:pStyle w:val="Amain"/>
      </w:pPr>
      <w:r w:rsidRPr="00A060B6">
        <w:tab/>
        <w:t>(4)</w:t>
      </w:r>
      <w:r w:rsidRPr="00A060B6">
        <w:tab/>
        <w:t>Service for subsection (2) may be proved by affidavit.</w:t>
      </w:r>
    </w:p>
    <w:p w:rsidR="00F8610E" w:rsidRPr="00A060B6" w:rsidRDefault="00F8610E" w:rsidP="00FE2E6F">
      <w:pPr>
        <w:pStyle w:val="Amain"/>
        <w:keepNext/>
        <w:keepLines/>
      </w:pPr>
      <w:r w:rsidRPr="00A060B6">
        <w:lastRenderedPageBreak/>
        <w:tab/>
        <w:t>(5)</w:t>
      </w:r>
      <w:r w:rsidRPr="00A060B6">
        <w:tab/>
        <w:t>A party on whom the documents mentioned in subsection (2) are served may, by written notice served on the party proposing to tender the expert certificate, require the party to call the person who signed the certificate to give evidence.</w:t>
      </w:r>
    </w:p>
    <w:p w:rsidR="00F8610E" w:rsidRPr="00A060B6" w:rsidRDefault="00F8610E" w:rsidP="00486F06">
      <w:pPr>
        <w:pStyle w:val="Amain"/>
      </w:pPr>
      <w:r w:rsidRPr="00A060B6">
        <w:tab/>
        <w:t>(6)</w:t>
      </w:r>
      <w:r w:rsidRPr="00A060B6">
        <w:tab/>
        <w:t>The expert certificate is not admissible as evidence if a requirement mentioned in subsection (5) is made.</w:t>
      </w:r>
    </w:p>
    <w:p w:rsidR="00F8610E" w:rsidRPr="00A060B6" w:rsidRDefault="00F8610E" w:rsidP="00486F06">
      <w:pPr>
        <w:pStyle w:val="Amain"/>
      </w:pPr>
      <w:r w:rsidRPr="00A060B6">
        <w:tab/>
        <w:t>(7)</w:t>
      </w:r>
      <w:r w:rsidRPr="00A060B6">
        <w:tab/>
        <w:t>The court may make an order in relation to costs that it considers just against a party who has, without reasonable cause, required a party to call a person to give evidence under this section.</w:t>
      </w:r>
    </w:p>
    <w:p w:rsidR="00F8610E" w:rsidRPr="00A060B6" w:rsidRDefault="00F8610E" w:rsidP="00486F06">
      <w:pPr>
        <w:pStyle w:val="AH5Sec"/>
      </w:pPr>
      <w:bookmarkStart w:id="257" w:name="_Toc11748612"/>
      <w:r w:rsidRPr="003925E1">
        <w:rPr>
          <w:rStyle w:val="CharSectNo"/>
        </w:rPr>
        <w:t>178</w:t>
      </w:r>
      <w:r w:rsidRPr="00A060B6">
        <w:tab/>
        <w:t>Convictions, acquittals and other judicial proceedings</w:t>
      </w:r>
      <w:bookmarkEnd w:id="257"/>
    </w:p>
    <w:p w:rsidR="00F8610E" w:rsidRPr="00A060B6" w:rsidRDefault="00F8610E" w:rsidP="00486F06">
      <w:pPr>
        <w:pStyle w:val="Amain"/>
      </w:pPr>
      <w:r w:rsidRPr="00A060B6">
        <w:tab/>
        <w:t>(1)</w:t>
      </w:r>
      <w:r w:rsidRPr="00A060B6">
        <w:tab/>
        <w:t>This section applies to the following facts:</w:t>
      </w:r>
    </w:p>
    <w:p w:rsidR="00F8610E" w:rsidRPr="00A060B6" w:rsidRDefault="00F8610E" w:rsidP="00486F06">
      <w:pPr>
        <w:pStyle w:val="Apara"/>
      </w:pPr>
      <w:r w:rsidRPr="00A060B6">
        <w:tab/>
        <w:t>(a)</w:t>
      </w:r>
      <w:r w:rsidRPr="00A060B6">
        <w:tab/>
        <w:t>the conviction or acquittal before or by an applicable court of a person charged with an offence;</w:t>
      </w:r>
    </w:p>
    <w:p w:rsidR="00F8610E" w:rsidRPr="00A060B6" w:rsidRDefault="00F8610E" w:rsidP="00486F06">
      <w:pPr>
        <w:pStyle w:val="Apara"/>
      </w:pPr>
      <w:r w:rsidRPr="00A060B6">
        <w:tab/>
        <w:t>(b)</w:t>
      </w:r>
      <w:r w:rsidRPr="00A060B6">
        <w:tab/>
        <w:t>the sentencing of a person to any punishment or pecuniary penalty by an applicable court;</w:t>
      </w:r>
    </w:p>
    <w:p w:rsidR="00F8610E" w:rsidRPr="00A060B6" w:rsidRDefault="00F8610E" w:rsidP="00486F06">
      <w:pPr>
        <w:pStyle w:val="Apara"/>
      </w:pPr>
      <w:r w:rsidRPr="00A060B6">
        <w:tab/>
        <w:t>(c)</w:t>
      </w:r>
      <w:r w:rsidRPr="00A060B6">
        <w:tab/>
        <w:t>an order by an applicable court;</w:t>
      </w:r>
    </w:p>
    <w:p w:rsidR="00F8610E" w:rsidRPr="00A060B6" w:rsidRDefault="00F8610E" w:rsidP="00486F06">
      <w:pPr>
        <w:pStyle w:val="Apara"/>
      </w:pPr>
      <w:r w:rsidRPr="00A060B6">
        <w:tab/>
        <w:t>(d)</w:t>
      </w:r>
      <w:r w:rsidRPr="00A060B6">
        <w:tab/>
        <w:t>the pendency or existence at any time before an applicable court of a civil or criminal proceeding.</w:t>
      </w:r>
    </w:p>
    <w:p w:rsidR="00F8610E" w:rsidRPr="00A060B6" w:rsidRDefault="00F8610E" w:rsidP="00486F06">
      <w:pPr>
        <w:pStyle w:val="Amain"/>
      </w:pPr>
      <w:r w:rsidRPr="00A060B6">
        <w:tab/>
        <w:t>(2)</w:t>
      </w:r>
      <w:r w:rsidRPr="00A060B6">
        <w:tab/>
        <w:t>Evidence of a fact to which this section applies may be given by a certificate signed by a judge, magistrate or registrar or other proper officer of the applicable court—</w:t>
      </w:r>
    </w:p>
    <w:p w:rsidR="00F8610E" w:rsidRPr="00A060B6" w:rsidRDefault="00F8610E" w:rsidP="00486F06">
      <w:pPr>
        <w:pStyle w:val="Apara"/>
      </w:pPr>
      <w:r w:rsidRPr="00A060B6">
        <w:tab/>
        <w:t>(a)</w:t>
      </w:r>
      <w:r w:rsidRPr="00A060B6">
        <w:tab/>
        <w:t>showing the fact, or purporting to contain particulars, of the record, indictment, conviction, acquittal, sentence, order or proceeding in question; and</w:t>
      </w:r>
    </w:p>
    <w:p w:rsidR="00F8610E" w:rsidRPr="00A060B6" w:rsidRDefault="00F8610E" w:rsidP="00486F06">
      <w:pPr>
        <w:pStyle w:val="Apara"/>
      </w:pPr>
      <w:r w:rsidRPr="00A060B6">
        <w:tab/>
        <w:t>(b)</w:t>
      </w:r>
      <w:r w:rsidRPr="00A060B6">
        <w:tab/>
        <w:t>stating the time and place of the conviction, acquittal, sentence, order or proceeding; and</w:t>
      </w:r>
    </w:p>
    <w:p w:rsidR="00F8610E" w:rsidRPr="00A060B6" w:rsidRDefault="00F8610E" w:rsidP="00486F06">
      <w:pPr>
        <w:pStyle w:val="Apara"/>
      </w:pPr>
      <w:r w:rsidRPr="00A060B6">
        <w:tab/>
        <w:t>(c)</w:t>
      </w:r>
      <w:r w:rsidRPr="00A060B6">
        <w:tab/>
        <w:t>stating the title of the applicable court.</w:t>
      </w:r>
    </w:p>
    <w:p w:rsidR="00F8610E" w:rsidRPr="00A060B6" w:rsidRDefault="00F8610E" w:rsidP="00486F06">
      <w:pPr>
        <w:pStyle w:val="Amain"/>
      </w:pPr>
      <w:r w:rsidRPr="00A060B6">
        <w:lastRenderedPageBreak/>
        <w:tab/>
        <w:t>(3)</w:t>
      </w:r>
      <w:r w:rsidRPr="00A060B6">
        <w:tab/>
        <w:t>A certificate given under this section showing a conviction, acquittal, sentence or order is also evidence of the particular offence or matter in relation to which the conviction, acquittal, sentence or order was had, passed or made, if stated in the certificate.</w:t>
      </w:r>
    </w:p>
    <w:p w:rsidR="00F8610E" w:rsidRPr="00A060B6" w:rsidRDefault="00F8610E" w:rsidP="00486F06">
      <w:pPr>
        <w:pStyle w:val="Amain"/>
      </w:pPr>
      <w:r w:rsidRPr="00A060B6">
        <w:tab/>
        <w:t>(4)</w:t>
      </w:r>
      <w:r w:rsidRPr="00A060B6">
        <w:tab/>
        <w:t>A certificate given under this section showing the pendency or existence of a proceeding is also evidence of the particular nature and occasion, or ground and cause, of the proceeding, if stated in the certificate.</w:t>
      </w:r>
    </w:p>
    <w:p w:rsidR="00F8610E" w:rsidRPr="00A060B6" w:rsidRDefault="00F8610E" w:rsidP="00486F06">
      <w:pPr>
        <w:pStyle w:val="Amain"/>
      </w:pPr>
      <w:r w:rsidRPr="00A060B6">
        <w:tab/>
        <w:t>(5)</w:t>
      </w:r>
      <w:r w:rsidRPr="00A060B6">
        <w:tab/>
        <w:t>A certificate given under this section purporting to contain particulars of a record, indictment, conviction, acquittal, sentence, order or proceeding is also evidence of the matters stated in the certificate.</w:t>
      </w:r>
    </w:p>
    <w:p w:rsidR="00F8610E" w:rsidRPr="00A060B6" w:rsidRDefault="00F8610E" w:rsidP="00486F06">
      <w:pPr>
        <w:pStyle w:val="Amain"/>
      </w:pPr>
      <w:r w:rsidRPr="00A060B6">
        <w:tab/>
        <w:t>(6)</w:t>
      </w:r>
      <w:r w:rsidRPr="00A060B6">
        <w:tab/>
        <w:t>In this section:</w:t>
      </w:r>
    </w:p>
    <w:p w:rsidR="00F8610E" w:rsidRPr="00A060B6" w:rsidRDefault="00F8610E" w:rsidP="005D1BC5">
      <w:pPr>
        <w:pStyle w:val="aDef"/>
      </w:pPr>
      <w:r w:rsidRPr="00AF17FE">
        <w:rPr>
          <w:rStyle w:val="charBoldItals"/>
        </w:rPr>
        <w:t>acquittal</w:t>
      </w:r>
      <w:r w:rsidRPr="00A060B6">
        <w:t xml:space="preserve"> includes the dismissal of the charge in question by an applicable court.</w:t>
      </w:r>
    </w:p>
    <w:p w:rsidR="00F8610E" w:rsidRPr="00A060B6" w:rsidRDefault="00F8610E" w:rsidP="00C23C3D">
      <w:pPr>
        <w:pStyle w:val="aDef"/>
        <w:keepNext/>
      </w:pPr>
      <w:r w:rsidRPr="00AF17FE">
        <w:rPr>
          <w:rStyle w:val="charBoldItals"/>
        </w:rPr>
        <w:t>applicable court</w:t>
      </w:r>
      <w:r w:rsidRPr="00A060B6">
        <w:t xml:space="preserve"> means an Australian court or foreign court.</w:t>
      </w:r>
    </w:p>
    <w:p w:rsidR="00F8610E" w:rsidRPr="00A060B6" w:rsidRDefault="00F8610E" w:rsidP="00E51812">
      <w:pPr>
        <w:pStyle w:val="aNote"/>
      </w:pPr>
      <w:r w:rsidRPr="00AF17FE">
        <w:rPr>
          <w:rStyle w:val="charItals"/>
        </w:rPr>
        <w:t>Note</w:t>
      </w:r>
      <w:r w:rsidRPr="00A060B6">
        <w:tab/>
        <w:t>Section 91 excludes evidence of certain judgments and convictions.</w:t>
      </w:r>
    </w:p>
    <w:p w:rsidR="00F8610E" w:rsidRPr="00A060B6" w:rsidRDefault="00F8610E" w:rsidP="00486F06">
      <w:pPr>
        <w:pStyle w:val="AH5Sec"/>
      </w:pPr>
      <w:bookmarkStart w:id="258" w:name="_Toc11748613"/>
      <w:r w:rsidRPr="003925E1">
        <w:rPr>
          <w:rStyle w:val="CharSectNo"/>
        </w:rPr>
        <w:t>179</w:t>
      </w:r>
      <w:r w:rsidRPr="00A060B6">
        <w:tab/>
        <w:t>Proof of identity of convicted people—affidavits by members of State or Territory police forces</w:t>
      </w:r>
      <w:bookmarkEnd w:id="258"/>
    </w:p>
    <w:p w:rsidR="00F8610E" w:rsidRPr="00A060B6" w:rsidRDefault="00F8610E" w:rsidP="00486F06">
      <w:pPr>
        <w:pStyle w:val="Amain"/>
      </w:pPr>
      <w:r w:rsidRPr="00A060B6">
        <w:tab/>
        <w:t>(1)</w:t>
      </w:r>
      <w:r w:rsidRPr="00A060B6">
        <w:tab/>
        <w:t>This section applies if a member of a police force of a State or Territory—</w:t>
      </w:r>
    </w:p>
    <w:p w:rsidR="00F8610E" w:rsidRPr="00A060B6" w:rsidRDefault="00F8610E" w:rsidP="00486F06">
      <w:pPr>
        <w:pStyle w:val="Apara"/>
      </w:pPr>
      <w:r w:rsidRPr="00A060B6">
        <w:tab/>
        <w:t>(a)</w:t>
      </w:r>
      <w:r w:rsidRPr="00A060B6">
        <w:tab/>
        <w:t>makes an affidavit in the form prescribed by regulation; and</w:t>
      </w:r>
    </w:p>
    <w:p w:rsidR="00F8610E" w:rsidRPr="00A060B6" w:rsidRDefault="00F8610E" w:rsidP="00486F06">
      <w:pPr>
        <w:pStyle w:val="Apara"/>
      </w:pPr>
      <w:r w:rsidRPr="00A060B6">
        <w:tab/>
        <w:t>(b)</w:t>
      </w:r>
      <w:r w:rsidRPr="00A060B6">
        <w:tab/>
        <w:t>states in the affidavit that the member is a fingerprint expert for that police force.</w:t>
      </w:r>
    </w:p>
    <w:p w:rsidR="00F8610E" w:rsidRPr="00A060B6" w:rsidRDefault="00F8610E" w:rsidP="000726F8">
      <w:pPr>
        <w:pStyle w:val="Amain"/>
        <w:keepNext/>
        <w:keepLines/>
      </w:pPr>
      <w:r w:rsidRPr="00A060B6">
        <w:lastRenderedPageBreak/>
        <w:tab/>
        <w:t>(2)</w:t>
      </w:r>
      <w:r w:rsidRPr="00A060B6">
        <w:tab/>
        <w:t>For the purpose of proving before a court the identity of a person alleged to have been convicted in that State or Territory of an offence, the affidavit is evidence in a proceeding that the person whose fingerprints are shown on a fingerprint card mentioned in the affidavit and marked for identification—</w:t>
      </w:r>
    </w:p>
    <w:p w:rsidR="00F8610E" w:rsidRPr="00A060B6" w:rsidRDefault="00F8610E" w:rsidP="00486F06">
      <w:pPr>
        <w:pStyle w:val="Apara"/>
      </w:pPr>
      <w:r w:rsidRPr="00A060B6">
        <w:tab/>
        <w:t>(a)</w:t>
      </w:r>
      <w:r w:rsidRPr="00A060B6">
        <w:tab/>
        <w:t>is the person mentioned in a certificate of conviction, or certified copy of conviction annexed to the affidavit, as having been convicted of an offence; and</w:t>
      </w:r>
    </w:p>
    <w:p w:rsidR="00F8610E" w:rsidRPr="00A060B6" w:rsidRDefault="00F8610E" w:rsidP="00486F06">
      <w:pPr>
        <w:pStyle w:val="Apara"/>
      </w:pPr>
      <w:r w:rsidRPr="00A060B6">
        <w:tab/>
        <w:t>(b)</w:t>
      </w:r>
      <w:r w:rsidRPr="00A060B6">
        <w:tab/>
        <w:t>was convicted of the offence; and</w:t>
      </w:r>
    </w:p>
    <w:p w:rsidR="00F8610E" w:rsidRPr="00A060B6" w:rsidRDefault="00F8610E" w:rsidP="00486F06">
      <w:pPr>
        <w:pStyle w:val="Apara"/>
      </w:pPr>
      <w:r w:rsidRPr="00A060B6">
        <w:tab/>
        <w:t>(c)</w:t>
      </w:r>
      <w:r w:rsidRPr="00A060B6">
        <w:tab/>
        <w:t>was convicted of any other offence of which the person is stated in the affidavit to have been convicted.</w:t>
      </w:r>
    </w:p>
    <w:p w:rsidR="00F8610E" w:rsidRPr="00A060B6" w:rsidRDefault="00F8610E" w:rsidP="00486F06">
      <w:pPr>
        <w:pStyle w:val="Amain"/>
      </w:pPr>
      <w:r w:rsidRPr="00A060B6">
        <w:tab/>
        <w:t>(3)</w:t>
      </w:r>
      <w:r w:rsidRPr="00A060B6">
        <w:tab/>
        <w:t>For this section, if a Territory does not have its own police force, the police force exercising the policing functions of that Territory is taken to be the police force of that Territory.</w:t>
      </w:r>
    </w:p>
    <w:p w:rsidR="00F8610E" w:rsidRPr="00A060B6" w:rsidRDefault="00F8610E" w:rsidP="00486F06">
      <w:pPr>
        <w:pStyle w:val="AH5Sec"/>
      </w:pPr>
      <w:bookmarkStart w:id="259" w:name="_Toc11748614"/>
      <w:r w:rsidRPr="003925E1">
        <w:rPr>
          <w:rStyle w:val="CharSectNo"/>
        </w:rPr>
        <w:t>180</w:t>
      </w:r>
      <w:r w:rsidRPr="00A060B6">
        <w:tab/>
        <w:t>Proof of identity of convicted people—affidavits by members of Australian Federal Police</w:t>
      </w:r>
      <w:bookmarkEnd w:id="259"/>
    </w:p>
    <w:p w:rsidR="00F8610E" w:rsidRPr="00A060B6" w:rsidRDefault="00F8610E" w:rsidP="00486F06">
      <w:pPr>
        <w:pStyle w:val="Amain"/>
      </w:pPr>
      <w:r w:rsidRPr="00A060B6">
        <w:tab/>
        <w:t>(1)</w:t>
      </w:r>
      <w:r w:rsidRPr="00A060B6">
        <w:tab/>
        <w:t>This section applies if a member of the Australian Federal Police—</w:t>
      </w:r>
    </w:p>
    <w:p w:rsidR="00F8610E" w:rsidRPr="00A060B6" w:rsidRDefault="00F8610E" w:rsidP="00486F06">
      <w:pPr>
        <w:pStyle w:val="Apara"/>
      </w:pPr>
      <w:r w:rsidRPr="00A060B6">
        <w:tab/>
        <w:t>(a)</w:t>
      </w:r>
      <w:r w:rsidRPr="00A060B6">
        <w:tab/>
        <w:t>makes an affidavit in the form prescribed by regulation; and</w:t>
      </w:r>
    </w:p>
    <w:p w:rsidR="00F8610E" w:rsidRPr="00A060B6" w:rsidRDefault="00F8610E" w:rsidP="00486F06">
      <w:pPr>
        <w:pStyle w:val="Apara"/>
      </w:pPr>
      <w:r w:rsidRPr="00A060B6">
        <w:tab/>
        <w:t>(b)</w:t>
      </w:r>
      <w:r w:rsidRPr="00A060B6">
        <w:tab/>
        <w:t>states in the affidavit that the member is a fingerprint expert for the Australian Federal Police.</w:t>
      </w:r>
    </w:p>
    <w:p w:rsidR="00F8610E" w:rsidRPr="00A060B6" w:rsidRDefault="00F8610E" w:rsidP="00486F06">
      <w:pPr>
        <w:pStyle w:val="Amain"/>
      </w:pPr>
      <w:r w:rsidRPr="00A060B6">
        <w:tab/>
        <w:t>(2)</w:t>
      </w:r>
      <w:r w:rsidRPr="00A060B6">
        <w:tab/>
        <w:t>For the purpose of proving before a court the identity of a person alleged to have been convicted of an offence against a Commonwealth law, the affidavit is evidence in a proceeding that the person whose fingerprints are shown on a fingerprint card mentioned in the affidavit and marked for identification—</w:t>
      </w:r>
    </w:p>
    <w:p w:rsidR="00F8610E" w:rsidRPr="00A060B6" w:rsidRDefault="00F8610E" w:rsidP="00486F06">
      <w:pPr>
        <w:pStyle w:val="Apara"/>
      </w:pPr>
      <w:r w:rsidRPr="00A060B6">
        <w:tab/>
        <w:t>(a)</w:t>
      </w:r>
      <w:r w:rsidRPr="00A060B6">
        <w:tab/>
        <w:t>is the person mentioned in a certificate of conviction, or certified copy of conviction annexed to the affidavit, as having been convicted of an offence; and</w:t>
      </w:r>
    </w:p>
    <w:p w:rsidR="00F8610E" w:rsidRPr="00A060B6" w:rsidRDefault="00F8610E" w:rsidP="00486F06">
      <w:pPr>
        <w:pStyle w:val="Apara"/>
      </w:pPr>
      <w:r w:rsidRPr="00A060B6">
        <w:tab/>
        <w:t>(b)</w:t>
      </w:r>
      <w:r w:rsidRPr="00A060B6">
        <w:tab/>
        <w:t>was convicted of the offence; and</w:t>
      </w:r>
    </w:p>
    <w:p w:rsidR="00F8610E" w:rsidRPr="00A060B6" w:rsidRDefault="00F8610E" w:rsidP="00486F06">
      <w:pPr>
        <w:pStyle w:val="Apara"/>
      </w:pPr>
      <w:r w:rsidRPr="00A060B6">
        <w:lastRenderedPageBreak/>
        <w:tab/>
        <w:t>(c)</w:t>
      </w:r>
      <w:r w:rsidRPr="00A060B6">
        <w:tab/>
        <w:t>was convicted of any other offence of which the person is stated in the affidavit to have been convicted.</w:t>
      </w:r>
    </w:p>
    <w:p w:rsidR="00F8610E" w:rsidRPr="00A060B6" w:rsidRDefault="00F8610E" w:rsidP="00486F06">
      <w:pPr>
        <w:pStyle w:val="AH5Sec"/>
      </w:pPr>
      <w:bookmarkStart w:id="260" w:name="_Toc11748615"/>
      <w:r w:rsidRPr="003925E1">
        <w:rPr>
          <w:rStyle w:val="CharSectNo"/>
        </w:rPr>
        <w:t>181</w:t>
      </w:r>
      <w:r w:rsidRPr="00A060B6">
        <w:tab/>
        <w:t>Proof of service of statutory notifications, notices, orders and directions</w:t>
      </w:r>
      <w:bookmarkEnd w:id="260"/>
    </w:p>
    <w:p w:rsidR="00F8610E" w:rsidRPr="00A060B6" w:rsidRDefault="00F8610E" w:rsidP="00486F06">
      <w:pPr>
        <w:pStyle w:val="Amain"/>
      </w:pPr>
      <w:r w:rsidRPr="00A060B6">
        <w:tab/>
        <w:t>(1)</w:t>
      </w:r>
      <w:r w:rsidRPr="00A060B6">
        <w:tab/>
        <w:t>The service, giving or sending under an Australian law of a written notification, notice, order or direction may be proved by affidavit of the person who served, gave or sent it.</w:t>
      </w:r>
    </w:p>
    <w:p w:rsidR="00F8610E" w:rsidRPr="00A060B6" w:rsidRDefault="00F8610E" w:rsidP="00486F06">
      <w:pPr>
        <w:pStyle w:val="Amain"/>
      </w:pPr>
      <w:r w:rsidRPr="00A060B6">
        <w:tab/>
        <w:t>(2)</w:t>
      </w:r>
      <w:r w:rsidRPr="00A060B6">
        <w:tab/>
        <w:t xml:space="preserve">A person who, for the purposes of a proceeding, makes an affidavit mentioned in this section is not, because of making the affidavit, excused from attending for cross-examination if required to do so by a party to the proceeding. </w:t>
      </w:r>
    </w:p>
    <w:p w:rsidR="00F8610E" w:rsidRPr="00A060B6" w:rsidRDefault="00F8610E" w:rsidP="000E543D">
      <w:pPr>
        <w:pStyle w:val="PageBreak"/>
        <w:suppressLineNumbers/>
      </w:pPr>
      <w:r w:rsidRPr="00A060B6">
        <w:br w:type="page"/>
      </w:r>
    </w:p>
    <w:p w:rsidR="00F8610E" w:rsidRPr="003925E1" w:rsidRDefault="00F8610E" w:rsidP="00486F06">
      <w:pPr>
        <w:pStyle w:val="AH1Chapter"/>
      </w:pPr>
      <w:bookmarkStart w:id="261" w:name="_Toc11748616"/>
      <w:r w:rsidRPr="003925E1">
        <w:rPr>
          <w:rStyle w:val="CharChapNo"/>
        </w:rPr>
        <w:lastRenderedPageBreak/>
        <w:t>Chapter 5</w:t>
      </w:r>
      <w:r w:rsidRPr="00A060B6">
        <w:tab/>
      </w:r>
      <w:r w:rsidRPr="003925E1">
        <w:rPr>
          <w:rStyle w:val="CharChapText"/>
        </w:rPr>
        <w:t>Miscellaneous</w:t>
      </w:r>
      <w:bookmarkEnd w:id="261"/>
    </w:p>
    <w:p w:rsidR="00F8610E" w:rsidRPr="00A060B6" w:rsidRDefault="00F8610E" w:rsidP="000E543D">
      <w:pPr>
        <w:pStyle w:val="Placeholder"/>
        <w:suppressLineNumbers/>
      </w:pPr>
      <w:r w:rsidRPr="00A060B6">
        <w:rPr>
          <w:rStyle w:val="CharPartNo"/>
        </w:rPr>
        <w:t xml:space="preserve">  </w:t>
      </w:r>
      <w:r w:rsidRPr="00A060B6">
        <w:rPr>
          <w:rStyle w:val="CharPartText"/>
        </w:rPr>
        <w:t xml:space="preserve">  </w:t>
      </w:r>
    </w:p>
    <w:p w:rsidR="00F8610E" w:rsidRPr="00A060B6" w:rsidRDefault="00F8610E" w:rsidP="000E543D">
      <w:pPr>
        <w:pStyle w:val="Placeholder"/>
        <w:suppressLineNumbers/>
      </w:pPr>
      <w:r w:rsidRPr="00A060B6">
        <w:rPr>
          <w:rStyle w:val="CharDivNo"/>
        </w:rPr>
        <w:t xml:space="preserve">  </w:t>
      </w:r>
      <w:r w:rsidRPr="00A060B6">
        <w:rPr>
          <w:rStyle w:val="CharDivText"/>
        </w:rPr>
        <w:t xml:space="preserve">  </w:t>
      </w:r>
    </w:p>
    <w:p w:rsidR="00F8610E" w:rsidRPr="00A060B6" w:rsidRDefault="00F8610E" w:rsidP="00486F06">
      <w:pPr>
        <w:pStyle w:val="AH5Sec"/>
      </w:pPr>
      <w:bookmarkStart w:id="262" w:name="_Toc11748617"/>
      <w:r w:rsidRPr="003925E1">
        <w:rPr>
          <w:rStyle w:val="CharSectNo"/>
        </w:rPr>
        <w:t>182</w:t>
      </w:r>
      <w:r w:rsidRPr="00A060B6">
        <w:tab/>
        <w:t>Application of certain sections in relation to Commonwealth records</w:t>
      </w:r>
      <w:bookmarkEnd w:id="262"/>
    </w:p>
    <w:p w:rsidR="00F8610E" w:rsidRPr="00A060B6" w:rsidRDefault="00F8610E" w:rsidP="00E51812">
      <w:pPr>
        <w:pStyle w:val="aNote"/>
      </w:pPr>
      <w:r w:rsidRPr="00AF17FE">
        <w:rPr>
          <w:rStyle w:val="charItals"/>
        </w:rPr>
        <w:t>Note</w:t>
      </w:r>
      <w:r w:rsidRPr="00AF17FE">
        <w:rPr>
          <w:rStyle w:val="charItals"/>
        </w:rPr>
        <w:tab/>
      </w:r>
      <w:r w:rsidRPr="00A060B6">
        <w:t xml:space="preserve">The </w:t>
      </w:r>
      <w:hyperlink r:id="rId160" w:tooltip="Evidence Act 1995" w:history="1">
        <w:r w:rsidR="00506E3A" w:rsidRPr="001D1BCB">
          <w:rPr>
            <w:rStyle w:val="charCitHyperlinkAbbrev"/>
          </w:rPr>
          <w:t>Commonwealth Act</w:t>
        </w:r>
      </w:hyperlink>
      <w:r w:rsidRPr="00A060B6">
        <w:t xml:space="preserve"> includes a provision that extends the operation of certain provisions of that Act to Commonwealth records.</w:t>
      </w:r>
    </w:p>
    <w:p w:rsidR="00F8610E" w:rsidRPr="00A060B6" w:rsidRDefault="00F8610E" w:rsidP="00486F06">
      <w:pPr>
        <w:pStyle w:val="AH5Sec"/>
      </w:pPr>
      <w:bookmarkStart w:id="263" w:name="_Toc11748618"/>
      <w:r w:rsidRPr="003925E1">
        <w:rPr>
          <w:rStyle w:val="CharSectNo"/>
        </w:rPr>
        <w:t>183</w:t>
      </w:r>
      <w:r w:rsidRPr="00A060B6">
        <w:tab/>
        <w:t>Inferences</w:t>
      </w:r>
      <w:bookmarkEnd w:id="263"/>
    </w:p>
    <w:p w:rsidR="00F8610E" w:rsidRPr="00A060B6" w:rsidRDefault="00F8610E" w:rsidP="00E51812">
      <w:pPr>
        <w:pStyle w:val="Amainreturn"/>
      </w:pPr>
      <w:r w:rsidRPr="00A060B6">
        <w:t>If a question arises about the application of a provision of this Act in relation to a document or thing, the court may—</w:t>
      </w:r>
    </w:p>
    <w:p w:rsidR="00F8610E" w:rsidRPr="00A060B6" w:rsidRDefault="00F8610E" w:rsidP="00486F06">
      <w:pPr>
        <w:pStyle w:val="Apara"/>
      </w:pPr>
      <w:r w:rsidRPr="00A060B6">
        <w:tab/>
        <w:t>(a)</w:t>
      </w:r>
      <w:r w:rsidRPr="00A060B6">
        <w:tab/>
        <w:t>examine the document or thing; and</w:t>
      </w:r>
    </w:p>
    <w:p w:rsidR="00F8610E" w:rsidRPr="00A060B6" w:rsidRDefault="00F8610E" w:rsidP="00486F06">
      <w:pPr>
        <w:pStyle w:val="Apara"/>
      </w:pPr>
      <w:r w:rsidRPr="00A060B6">
        <w:tab/>
        <w:t>(b)</w:t>
      </w:r>
      <w:r w:rsidRPr="00A060B6">
        <w:tab/>
        <w:t>draw any reasonable inferences from it as well as from other matters from which inferences may properly be drawn.</w:t>
      </w:r>
    </w:p>
    <w:p w:rsidR="00F8610E" w:rsidRPr="00A060B6" w:rsidRDefault="00F8610E" w:rsidP="00030ABB">
      <w:pPr>
        <w:pStyle w:val="aNote"/>
      </w:pPr>
      <w:r w:rsidRPr="00AF17FE">
        <w:rPr>
          <w:rStyle w:val="charItals"/>
        </w:rPr>
        <w:t>Note</w:t>
      </w:r>
      <w:r w:rsidRPr="00AF17FE">
        <w:rPr>
          <w:rStyle w:val="charItals"/>
        </w:rPr>
        <w:tab/>
      </w:r>
      <w:r w:rsidRPr="00A060B6">
        <w:t xml:space="preserve">The </w:t>
      </w:r>
      <w:hyperlink r:id="rId161" w:tooltip="Evidence Act 1995" w:history="1">
        <w:r w:rsidR="001D1BCB" w:rsidRPr="001D1BCB">
          <w:rPr>
            <w:rStyle w:val="charCitHyperlinkAbbrev"/>
          </w:rPr>
          <w:t>Commonwealth Act</w:t>
        </w:r>
      </w:hyperlink>
      <w:r w:rsidRPr="00A060B6">
        <w:t xml:space="preserve">, s 182 gives the </w:t>
      </w:r>
      <w:hyperlink r:id="rId162" w:tooltip="Evidence Act 1995" w:history="1">
        <w:r w:rsidR="001D1BCB" w:rsidRPr="001D1BCB">
          <w:rPr>
            <w:rStyle w:val="charCitHyperlinkAbbrev"/>
          </w:rPr>
          <w:t>Commonwealth Act</w:t>
        </w:r>
      </w:hyperlink>
      <w:r w:rsidRPr="00A060B6">
        <w:t>, s 183 a wider application in relation to Commonwealth records and certain Commonwealth documents.</w:t>
      </w:r>
    </w:p>
    <w:p w:rsidR="00F8610E" w:rsidRPr="00A060B6" w:rsidRDefault="00F8610E" w:rsidP="00486F06">
      <w:pPr>
        <w:pStyle w:val="AH5Sec"/>
      </w:pPr>
      <w:bookmarkStart w:id="264" w:name="_Toc11748619"/>
      <w:r w:rsidRPr="003925E1">
        <w:rPr>
          <w:rStyle w:val="CharSectNo"/>
        </w:rPr>
        <w:t>184</w:t>
      </w:r>
      <w:r w:rsidRPr="00A060B6">
        <w:tab/>
        <w:t>Accused may admit matters and give consents</w:t>
      </w:r>
      <w:bookmarkEnd w:id="264"/>
    </w:p>
    <w:p w:rsidR="00F8610E" w:rsidRPr="00A060B6" w:rsidRDefault="00F8610E" w:rsidP="00486F06">
      <w:pPr>
        <w:pStyle w:val="Amain"/>
      </w:pPr>
      <w:r w:rsidRPr="00A060B6">
        <w:tab/>
        <w:t>(1)</w:t>
      </w:r>
      <w:r w:rsidRPr="00A060B6">
        <w:tab/>
        <w:t>In or before a criminal proceeding, a defendant may—</w:t>
      </w:r>
    </w:p>
    <w:p w:rsidR="00F8610E" w:rsidRPr="00A060B6" w:rsidRDefault="00F8610E" w:rsidP="00486F06">
      <w:pPr>
        <w:pStyle w:val="Apara"/>
      </w:pPr>
      <w:r w:rsidRPr="00A060B6">
        <w:tab/>
        <w:t>(a)</w:t>
      </w:r>
      <w:r w:rsidRPr="00A060B6">
        <w:tab/>
        <w:t>admit matters of fact; and</w:t>
      </w:r>
    </w:p>
    <w:p w:rsidR="00F8610E" w:rsidRPr="00A060B6" w:rsidRDefault="00F8610E" w:rsidP="00486F06">
      <w:pPr>
        <w:pStyle w:val="Apara"/>
      </w:pPr>
      <w:r w:rsidRPr="00A060B6">
        <w:tab/>
        <w:t>(b)</w:t>
      </w:r>
      <w:r w:rsidRPr="00A060B6">
        <w:tab/>
        <w:t>give any consent;</w:t>
      </w:r>
    </w:p>
    <w:p w:rsidR="00F8610E" w:rsidRPr="00A060B6" w:rsidRDefault="00F8610E" w:rsidP="00E51812">
      <w:pPr>
        <w:pStyle w:val="Amainreturn"/>
      </w:pPr>
      <w:r w:rsidRPr="00A060B6">
        <w:t>that a party to a civil proceeding may make or give.</w:t>
      </w:r>
    </w:p>
    <w:p w:rsidR="00F8610E" w:rsidRPr="00A060B6" w:rsidRDefault="00F8610E" w:rsidP="00486F06">
      <w:pPr>
        <w:pStyle w:val="Amain"/>
        <w:rPr>
          <w:lang w:eastAsia="en-AU"/>
        </w:rPr>
      </w:pPr>
      <w:r w:rsidRPr="00A060B6">
        <w:rPr>
          <w:lang w:eastAsia="en-AU"/>
        </w:rPr>
        <w:tab/>
        <w:t>(2)</w:t>
      </w:r>
      <w:r w:rsidRPr="00A060B6">
        <w:rPr>
          <w:lang w:eastAsia="en-AU"/>
        </w:rPr>
        <w:tab/>
        <w:t xml:space="preserve">A defendant’s admission or consent is not effective for subsection (1) unless— </w:t>
      </w:r>
    </w:p>
    <w:p w:rsidR="00F8610E" w:rsidRPr="00A060B6" w:rsidRDefault="00F8610E" w:rsidP="00486F06">
      <w:pPr>
        <w:pStyle w:val="Apara"/>
        <w:rPr>
          <w:lang w:eastAsia="en-AU"/>
        </w:rPr>
      </w:pPr>
      <w:r w:rsidRPr="00A060B6">
        <w:rPr>
          <w:lang w:eastAsia="en-AU"/>
        </w:rPr>
        <w:tab/>
        <w:t>(a)</w:t>
      </w:r>
      <w:r w:rsidRPr="00A060B6">
        <w:rPr>
          <w:lang w:eastAsia="en-AU"/>
        </w:rPr>
        <w:tab/>
        <w:t>the defendant has been advised to do so by the defendant’s Australian legal practitioner or legal counsel; or</w:t>
      </w:r>
    </w:p>
    <w:p w:rsidR="00F8610E" w:rsidRPr="00A060B6" w:rsidRDefault="00F8610E" w:rsidP="00486F06">
      <w:pPr>
        <w:pStyle w:val="Apara"/>
        <w:rPr>
          <w:lang w:eastAsia="en-AU"/>
        </w:rPr>
      </w:pPr>
      <w:r w:rsidRPr="00A060B6">
        <w:rPr>
          <w:lang w:eastAsia="en-AU"/>
        </w:rPr>
        <w:tab/>
        <w:t>(b)</w:t>
      </w:r>
      <w:r w:rsidRPr="00A060B6">
        <w:rPr>
          <w:lang w:eastAsia="en-AU"/>
        </w:rPr>
        <w:tab/>
        <w:t>the court is satisfied that the defendant understands the consequences of making the admission or giving the consent.</w:t>
      </w:r>
    </w:p>
    <w:p w:rsidR="00F8610E" w:rsidRPr="00A060B6" w:rsidRDefault="00F8610E" w:rsidP="00486F06">
      <w:pPr>
        <w:pStyle w:val="AH5Sec"/>
      </w:pPr>
      <w:bookmarkStart w:id="265" w:name="_Toc11748620"/>
      <w:r w:rsidRPr="003925E1">
        <w:rPr>
          <w:rStyle w:val="CharSectNo"/>
        </w:rPr>
        <w:lastRenderedPageBreak/>
        <w:t>185</w:t>
      </w:r>
      <w:r w:rsidRPr="00A060B6">
        <w:tab/>
        <w:t>Faith and credit to be given to documents properly authenticated</w:t>
      </w:r>
      <w:bookmarkEnd w:id="265"/>
    </w:p>
    <w:p w:rsidR="00F8610E" w:rsidRPr="00A060B6" w:rsidRDefault="00F8610E" w:rsidP="00E51812">
      <w:pPr>
        <w:pStyle w:val="aNote"/>
      </w:pPr>
      <w:r w:rsidRPr="00AF17FE">
        <w:rPr>
          <w:rStyle w:val="charItals"/>
        </w:rPr>
        <w:t>Note</w:t>
      </w:r>
      <w:r w:rsidRPr="00AF17FE">
        <w:rPr>
          <w:rStyle w:val="charItals"/>
        </w:rPr>
        <w:tab/>
      </w:r>
      <w:r w:rsidRPr="00A060B6">
        <w:t xml:space="preserve">The </w:t>
      </w:r>
      <w:hyperlink r:id="rId163" w:tooltip="Evidence Act 1995" w:history="1">
        <w:r w:rsidR="00506E3A" w:rsidRPr="001D1BCB">
          <w:rPr>
            <w:rStyle w:val="charCitHyperlinkAbbrev"/>
          </w:rPr>
          <w:t>Commonwealth Act</w:t>
        </w:r>
      </w:hyperlink>
      <w:r w:rsidRPr="00A060B6">
        <w:t xml:space="preserve"> includes a provision requiring faith and credit to be given to the public acts, records and judicial proceedings of a State or Territory.</w:t>
      </w:r>
    </w:p>
    <w:p w:rsidR="00F8610E" w:rsidRPr="00A060B6" w:rsidRDefault="00F8610E" w:rsidP="00486F06">
      <w:pPr>
        <w:pStyle w:val="AH5Sec"/>
      </w:pPr>
      <w:bookmarkStart w:id="266" w:name="_Toc11748621"/>
      <w:r w:rsidRPr="003925E1">
        <w:rPr>
          <w:rStyle w:val="CharSectNo"/>
        </w:rPr>
        <w:t>186</w:t>
      </w:r>
      <w:r w:rsidRPr="00A060B6">
        <w:tab/>
        <w:t>Swearing of affidavits before justices of the peace, notaries public and lawyers</w:t>
      </w:r>
      <w:bookmarkEnd w:id="266"/>
    </w:p>
    <w:p w:rsidR="00F8610E" w:rsidRPr="00A060B6" w:rsidRDefault="00F8610E" w:rsidP="00E51812">
      <w:pPr>
        <w:pStyle w:val="aNote"/>
      </w:pPr>
      <w:r w:rsidRPr="00AF17FE">
        <w:rPr>
          <w:rStyle w:val="charItals"/>
        </w:rPr>
        <w:t>Note</w:t>
      </w:r>
      <w:r w:rsidRPr="00AF17FE">
        <w:rPr>
          <w:rStyle w:val="charItals"/>
        </w:rPr>
        <w:tab/>
      </w:r>
      <w:r w:rsidRPr="00A060B6">
        <w:t xml:space="preserve">The </w:t>
      </w:r>
      <w:hyperlink r:id="rId164" w:tooltip="Evidence Act 1995" w:history="1">
        <w:r w:rsidR="00506E3A" w:rsidRPr="001D1BCB">
          <w:rPr>
            <w:rStyle w:val="charCitHyperlinkAbbrev"/>
          </w:rPr>
          <w:t>Commonwealth Act</w:t>
        </w:r>
      </w:hyperlink>
      <w:r w:rsidRPr="00A060B6">
        <w:t xml:space="preserve"> includes a provision about swearing of affidavits before justices of the peace, notaries public and lawyers for use in court proceedings involving the exercise of federal jurisdiction and in courts of a Territory.</w:t>
      </w:r>
    </w:p>
    <w:p w:rsidR="00F8610E" w:rsidRPr="00A060B6" w:rsidRDefault="00F8610E" w:rsidP="00486F06">
      <w:pPr>
        <w:pStyle w:val="AH5Sec"/>
      </w:pPr>
      <w:bookmarkStart w:id="267" w:name="_Toc11748622"/>
      <w:r w:rsidRPr="003925E1">
        <w:rPr>
          <w:rStyle w:val="CharSectNo"/>
        </w:rPr>
        <w:t>187</w:t>
      </w:r>
      <w:r w:rsidRPr="00A060B6">
        <w:tab/>
        <w:t>No privilege against self</w:t>
      </w:r>
      <w:r w:rsidR="001C511B">
        <w:t>-</w:t>
      </w:r>
      <w:r w:rsidRPr="00A060B6">
        <w:t>incrimination for bodies corporate</w:t>
      </w:r>
      <w:bookmarkEnd w:id="267"/>
    </w:p>
    <w:p w:rsidR="00F8610E" w:rsidRPr="00A060B6" w:rsidRDefault="00F8610E" w:rsidP="00486F06">
      <w:pPr>
        <w:pStyle w:val="Amain"/>
      </w:pPr>
      <w:r w:rsidRPr="00A060B6">
        <w:tab/>
        <w:t>(1)</w:t>
      </w:r>
      <w:r w:rsidRPr="00A060B6">
        <w:tab/>
        <w:t>This section applies if, under a territory law or in a proceeding, a body corporate is required to—</w:t>
      </w:r>
    </w:p>
    <w:p w:rsidR="00F8610E" w:rsidRPr="00A060B6" w:rsidRDefault="00F8610E" w:rsidP="00486F06">
      <w:pPr>
        <w:pStyle w:val="Apara"/>
      </w:pPr>
      <w:r w:rsidRPr="00A060B6">
        <w:tab/>
        <w:t>(a)</w:t>
      </w:r>
      <w:r w:rsidRPr="00A060B6">
        <w:tab/>
        <w:t>answer a question or give information; or</w:t>
      </w:r>
    </w:p>
    <w:p w:rsidR="00F8610E" w:rsidRPr="00A060B6" w:rsidRDefault="00F8610E" w:rsidP="00486F06">
      <w:pPr>
        <w:pStyle w:val="Apara"/>
      </w:pPr>
      <w:r w:rsidRPr="00A060B6">
        <w:tab/>
        <w:t>(b)</w:t>
      </w:r>
      <w:r w:rsidRPr="00A060B6">
        <w:tab/>
        <w:t>produce a document or anything else; or</w:t>
      </w:r>
    </w:p>
    <w:p w:rsidR="00F8610E" w:rsidRPr="00A060B6" w:rsidRDefault="00F8610E" w:rsidP="00486F06">
      <w:pPr>
        <w:pStyle w:val="Apara"/>
      </w:pPr>
      <w:r w:rsidRPr="00A060B6">
        <w:tab/>
        <w:t>(c)</w:t>
      </w:r>
      <w:r w:rsidRPr="00A060B6">
        <w:tab/>
        <w:t>do any other act.</w:t>
      </w:r>
    </w:p>
    <w:p w:rsidR="00F8610E" w:rsidRPr="00A060B6" w:rsidRDefault="00F8610E" w:rsidP="00486F06">
      <w:pPr>
        <w:pStyle w:val="Amain"/>
      </w:pPr>
      <w:r w:rsidRPr="00A060B6">
        <w:tab/>
        <w:t>(2)</w:t>
      </w:r>
      <w:r w:rsidRPr="00A060B6">
        <w:tab/>
        <w:t>The body corporate is not entitled to fail to comply with the requirement on the ground that answering the question, giving the information, producing the document or other thing or doing the other act might tend to incriminate the body or make the body liable to a penalty.</w:t>
      </w:r>
    </w:p>
    <w:p w:rsidR="00F8610E" w:rsidRPr="00A060B6" w:rsidRDefault="00F8610E" w:rsidP="007F35AA">
      <w:pPr>
        <w:pStyle w:val="aNote"/>
      </w:pPr>
      <w:r w:rsidRPr="00AF17FE">
        <w:rPr>
          <w:rStyle w:val="charItals"/>
        </w:rPr>
        <w:t>Note</w:t>
      </w:r>
      <w:r w:rsidRPr="00AF17FE">
        <w:rPr>
          <w:rStyle w:val="charItals"/>
        </w:rPr>
        <w:tab/>
      </w:r>
      <w:r w:rsidRPr="00AF17FE">
        <w:rPr>
          <w:rStyle w:val="charBoldItals"/>
        </w:rPr>
        <w:t>Fail</w:t>
      </w:r>
      <w:r w:rsidRPr="00A060B6">
        <w:t xml:space="preserve"> includes refuse (see </w:t>
      </w:r>
      <w:hyperlink r:id="rId165" w:tooltip="A2001-14" w:history="1">
        <w:r w:rsidR="00AF17FE" w:rsidRPr="00AF17FE">
          <w:rPr>
            <w:rStyle w:val="charCitHyperlinkAbbrev"/>
          </w:rPr>
          <w:t>Legislation Act</w:t>
        </w:r>
      </w:hyperlink>
      <w:r w:rsidRPr="00A060B6">
        <w:t>, dict, pt 1).</w:t>
      </w:r>
    </w:p>
    <w:p w:rsidR="00F8610E" w:rsidRPr="00A060B6" w:rsidRDefault="00F8610E" w:rsidP="00486F06">
      <w:pPr>
        <w:pStyle w:val="AH5Sec"/>
      </w:pPr>
      <w:bookmarkStart w:id="268" w:name="_Toc11748623"/>
      <w:r w:rsidRPr="003925E1">
        <w:rPr>
          <w:rStyle w:val="CharSectNo"/>
        </w:rPr>
        <w:lastRenderedPageBreak/>
        <w:t>188</w:t>
      </w:r>
      <w:r w:rsidRPr="00A060B6">
        <w:tab/>
        <w:t>Impounding documents</w:t>
      </w:r>
      <w:bookmarkEnd w:id="268"/>
    </w:p>
    <w:p w:rsidR="00F8610E" w:rsidRPr="00A060B6" w:rsidRDefault="00F8610E" w:rsidP="007D5A15">
      <w:pPr>
        <w:pStyle w:val="Amainreturn"/>
        <w:keepLines/>
      </w:pPr>
      <w:r w:rsidRPr="00A060B6">
        <w:t>The court may direct that a document that has been tendered or produced before the court (whether or not it is admitted in evidence) must be impounded and kept in the custody of an officer of the court or someone else for the period, and subject to the conditions, that the court thinks fit.</w:t>
      </w:r>
    </w:p>
    <w:p w:rsidR="00F8610E" w:rsidRPr="00A060B6" w:rsidRDefault="00F8610E" w:rsidP="00486F06">
      <w:pPr>
        <w:pStyle w:val="AH5Sec"/>
      </w:pPr>
      <w:bookmarkStart w:id="269" w:name="_Toc11748624"/>
      <w:r w:rsidRPr="003925E1">
        <w:rPr>
          <w:rStyle w:val="CharSectNo"/>
        </w:rPr>
        <w:t>189</w:t>
      </w:r>
      <w:r w:rsidRPr="00A060B6">
        <w:tab/>
        <w:t xml:space="preserve">The </w:t>
      </w:r>
      <w:r w:rsidRPr="00AF17FE">
        <w:rPr>
          <w:rStyle w:val="charItals"/>
        </w:rPr>
        <w:t>voir dire</w:t>
      </w:r>
      <w:bookmarkEnd w:id="269"/>
    </w:p>
    <w:p w:rsidR="00F8610E" w:rsidRPr="00A060B6" w:rsidRDefault="00F8610E" w:rsidP="00486F06">
      <w:pPr>
        <w:pStyle w:val="Amain"/>
      </w:pPr>
      <w:r w:rsidRPr="00A060B6">
        <w:tab/>
        <w:t>(1)</w:t>
      </w:r>
      <w:r w:rsidRPr="00A060B6">
        <w:tab/>
        <w:t>If the decision about a question whether—</w:t>
      </w:r>
    </w:p>
    <w:p w:rsidR="00F8610E" w:rsidRPr="00A060B6" w:rsidRDefault="00F8610E" w:rsidP="00486F06">
      <w:pPr>
        <w:pStyle w:val="Apara"/>
      </w:pPr>
      <w:r w:rsidRPr="00A060B6">
        <w:tab/>
        <w:t>(a)</w:t>
      </w:r>
      <w:r w:rsidRPr="00A060B6">
        <w:tab/>
        <w:t>evidence should be admitted (whether in the exercise of a discretion or not); or</w:t>
      </w:r>
    </w:p>
    <w:p w:rsidR="00F8610E" w:rsidRPr="00A060B6" w:rsidRDefault="00F8610E" w:rsidP="00486F06">
      <w:pPr>
        <w:pStyle w:val="Apara"/>
      </w:pPr>
      <w:r w:rsidRPr="00A060B6">
        <w:tab/>
        <w:t>(b)</w:t>
      </w:r>
      <w:r w:rsidRPr="00A060B6">
        <w:tab/>
        <w:t>evidence can be used against a person; or</w:t>
      </w:r>
    </w:p>
    <w:p w:rsidR="00F8610E" w:rsidRPr="00A060B6" w:rsidRDefault="00F8610E" w:rsidP="00486F06">
      <w:pPr>
        <w:pStyle w:val="Apara"/>
      </w:pPr>
      <w:r w:rsidRPr="00A060B6">
        <w:tab/>
        <w:t>(c)</w:t>
      </w:r>
      <w:r w:rsidRPr="00A060B6">
        <w:tab/>
        <w:t>a witness is competent or compellable;</w:t>
      </w:r>
    </w:p>
    <w:p w:rsidR="00F8610E" w:rsidRPr="00A060B6" w:rsidRDefault="00F8610E" w:rsidP="00E51812">
      <w:pPr>
        <w:pStyle w:val="Amainreturn"/>
      </w:pPr>
      <w:r w:rsidRPr="00A060B6">
        <w:t>depends on the court finding that a particular fact exists, the question whether that fact exists is, for this section, a preliminary question.</w:t>
      </w:r>
    </w:p>
    <w:p w:rsidR="00F8610E" w:rsidRPr="00A060B6" w:rsidRDefault="00F8610E" w:rsidP="00486F06">
      <w:pPr>
        <w:pStyle w:val="Amain"/>
      </w:pPr>
      <w:r w:rsidRPr="00A060B6">
        <w:tab/>
        <w:t>(2)</w:t>
      </w:r>
      <w:r w:rsidRPr="00A060B6">
        <w:tab/>
        <w:t>If there is a jury, a preliminary question whether—</w:t>
      </w:r>
    </w:p>
    <w:p w:rsidR="00F8610E" w:rsidRPr="00A060B6" w:rsidRDefault="00F8610E" w:rsidP="00486F06">
      <w:pPr>
        <w:pStyle w:val="Apara"/>
      </w:pPr>
      <w:r w:rsidRPr="00A060B6">
        <w:tab/>
        <w:t>(a)</w:t>
      </w:r>
      <w:r w:rsidRPr="00A060B6">
        <w:tab/>
        <w:t>particular evidence is evidence of an admission, or evidence to which section 138 (Exclusion of improperly or illegally obtained evidence) applies; or</w:t>
      </w:r>
    </w:p>
    <w:p w:rsidR="00F8610E" w:rsidRPr="00A060B6" w:rsidRDefault="00F8610E" w:rsidP="00486F06">
      <w:pPr>
        <w:pStyle w:val="Apara"/>
      </w:pPr>
      <w:r w:rsidRPr="00A060B6">
        <w:tab/>
        <w:t>(b)</w:t>
      </w:r>
      <w:r w:rsidRPr="00A060B6">
        <w:tab/>
        <w:t>evidence of an admission, or evidence to which section 138 applies, should be admitted;</w:t>
      </w:r>
    </w:p>
    <w:p w:rsidR="00F8610E" w:rsidRPr="00A060B6" w:rsidRDefault="00F8610E" w:rsidP="00E51812">
      <w:pPr>
        <w:pStyle w:val="Amainreturn"/>
      </w:pPr>
      <w:r w:rsidRPr="00A060B6">
        <w:t>is to be heard and decided in the jury’s absence.</w:t>
      </w:r>
    </w:p>
    <w:p w:rsidR="00F8610E" w:rsidRPr="00A060B6" w:rsidRDefault="00F8610E" w:rsidP="00486F06">
      <w:pPr>
        <w:pStyle w:val="Amain"/>
      </w:pPr>
      <w:r w:rsidRPr="00A060B6">
        <w:tab/>
        <w:t>(3)</w:t>
      </w:r>
      <w:r w:rsidRPr="00A060B6">
        <w:tab/>
        <w:t>In the hearing of a preliminary question about whether a defendant’s admission should be admitted into evidence (whether in the exercise of a discretion or not) in a criminal proceeding, the issue of the admission’s truth or untruth is to be disregarded unless the issue is introduced by the defendant.</w:t>
      </w:r>
    </w:p>
    <w:p w:rsidR="00F8610E" w:rsidRPr="00A060B6" w:rsidRDefault="00F8610E" w:rsidP="00486F06">
      <w:pPr>
        <w:pStyle w:val="Amain"/>
      </w:pPr>
      <w:r w:rsidRPr="00A060B6">
        <w:tab/>
        <w:t>(4)</w:t>
      </w:r>
      <w:r w:rsidRPr="00A060B6">
        <w:tab/>
        <w:t>If there is a jury, the jury must not be present at a hearing to decide any other preliminary question unless the court otherwise orders.</w:t>
      </w:r>
    </w:p>
    <w:p w:rsidR="00F8610E" w:rsidRPr="00A060B6" w:rsidRDefault="00F8610E" w:rsidP="00486F06">
      <w:pPr>
        <w:pStyle w:val="Amain"/>
      </w:pPr>
      <w:r w:rsidRPr="00A060B6">
        <w:lastRenderedPageBreak/>
        <w:tab/>
        <w:t>(5)</w:t>
      </w:r>
      <w:r w:rsidRPr="00A060B6">
        <w:tab/>
        <w:t>Without limiting the matters that the court may take into account in deciding whether to make an order under subsection (4), it must take into account—</w:t>
      </w:r>
    </w:p>
    <w:p w:rsidR="00F8610E" w:rsidRPr="00A060B6" w:rsidRDefault="00F8610E" w:rsidP="00486F06">
      <w:pPr>
        <w:pStyle w:val="Apara"/>
      </w:pPr>
      <w:r w:rsidRPr="00A060B6">
        <w:tab/>
        <w:t>(a)</w:t>
      </w:r>
      <w:r w:rsidRPr="00A060B6">
        <w:tab/>
        <w:t>whether the evidence to be presented in the course of the hearing is likely to be prejudicial to the defendant; and</w:t>
      </w:r>
    </w:p>
    <w:p w:rsidR="00F8610E" w:rsidRPr="00A060B6" w:rsidRDefault="00F8610E" w:rsidP="00486F06">
      <w:pPr>
        <w:pStyle w:val="Apara"/>
      </w:pPr>
      <w:r w:rsidRPr="00A060B6">
        <w:tab/>
        <w:t>(b)</w:t>
      </w:r>
      <w:r w:rsidRPr="00A060B6">
        <w:tab/>
        <w:t>whether the evidence will be presented in the course of the hearing to decide the preliminary question; and</w:t>
      </w:r>
    </w:p>
    <w:p w:rsidR="00F8610E" w:rsidRPr="00A060B6" w:rsidRDefault="00F8610E" w:rsidP="00486F06">
      <w:pPr>
        <w:pStyle w:val="Apara"/>
      </w:pPr>
      <w:r w:rsidRPr="00A060B6">
        <w:tab/>
        <w:t>(c)</w:t>
      </w:r>
      <w:r w:rsidRPr="00A060B6">
        <w:tab/>
        <w:t>whether the evidence to be presented in the course of the hearing would be admitted if presented at another stage of the hearing (other than in another hearing to decide a preliminary question or, in a criminal proceeding, a hearing in relation to sentencing).</w:t>
      </w:r>
    </w:p>
    <w:p w:rsidR="00F8610E" w:rsidRPr="00A060B6" w:rsidRDefault="00F8610E" w:rsidP="00486F06">
      <w:pPr>
        <w:pStyle w:val="Amain"/>
      </w:pPr>
      <w:r w:rsidRPr="00A060B6">
        <w:tab/>
        <w:t>(6)</w:t>
      </w:r>
      <w:r w:rsidRPr="00A060B6">
        <w:tab/>
        <w:t>Section 128 (11) (Privilege in relation to self</w:t>
      </w:r>
      <w:r w:rsidR="001C511B">
        <w:t>-</w:t>
      </w:r>
      <w:r w:rsidRPr="00A060B6">
        <w:t>incrimination in other proceedings) does not apply to a hearing to decide a preliminary question.</w:t>
      </w:r>
    </w:p>
    <w:p w:rsidR="00F8610E" w:rsidRPr="00A060B6" w:rsidRDefault="00F8610E" w:rsidP="00486F06">
      <w:pPr>
        <w:pStyle w:val="Amain"/>
      </w:pPr>
      <w:r w:rsidRPr="00A060B6">
        <w:tab/>
        <w:t>(7)</w:t>
      </w:r>
      <w:r w:rsidRPr="00A060B6">
        <w:tab/>
        <w:t>In the application of chapter 3 to a hearing to decide a preliminary question, the facts in issue are taken to include the fact to which the hearing relates.</w:t>
      </w:r>
    </w:p>
    <w:p w:rsidR="00F8610E" w:rsidRPr="00A060B6" w:rsidRDefault="00F8610E" w:rsidP="00486F06">
      <w:pPr>
        <w:pStyle w:val="Amain"/>
      </w:pPr>
      <w:r w:rsidRPr="00A060B6">
        <w:tab/>
        <w:t>(8)</w:t>
      </w:r>
      <w:r w:rsidRPr="00A060B6">
        <w:tab/>
        <w:t>If a jury in a proceeding was not present at a hearing to decide a preliminary question, evidence must not be presented in the proceeding of evidence given by a witness at the hearing unless—</w:t>
      </w:r>
    </w:p>
    <w:p w:rsidR="00F8610E" w:rsidRPr="00A060B6" w:rsidRDefault="00F8610E" w:rsidP="00486F06">
      <w:pPr>
        <w:pStyle w:val="Apara"/>
      </w:pPr>
      <w:r w:rsidRPr="00A060B6">
        <w:tab/>
        <w:t>(a)</w:t>
      </w:r>
      <w:r w:rsidRPr="00A060B6">
        <w:tab/>
        <w:t>it is inconsistent with other evidence given by the witness in the proceeding; or</w:t>
      </w:r>
    </w:p>
    <w:p w:rsidR="00F8610E" w:rsidRPr="00A060B6" w:rsidRDefault="00F8610E" w:rsidP="00486F06">
      <w:pPr>
        <w:pStyle w:val="Apara"/>
      </w:pPr>
      <w:r w:rsidRPr="00A060B6">
        <w:tab/>
        <w:t>(b)</w:t>
      </w:r>
      <w:r w:rsidRPr="00A060B6">
        <w:tab/>
        <w:t>the witness has died.</w:t>
      </w:r>
    </w:p>
    <w:p w:rsidR="00F8610E" w:rsidRPr="00A060B6" w:rsidRDefault="00F8610E" w:rsidP="00171031">
      <w:pPr>
        <w:pStyle w:val="AH5Sec"/>
      </w:pPr>
      <w:bookmarkStart w:id="270" w:name="_Toc11748625"/>
      <w:r w:rsidRPr="003925E1">
        <w:rPr>
          <w:rStyle w:val="CharSectNo"/>
        </w:rPr>
        <w:lastRenderedPageBreak/>
        <w:t>190</w:t>
      </w:r>
      <w:r w:rsidRPr="00A060B6">
        <w:tab/>
        <w:t>Waiver of rules of evidence</w:t>
      </w:r>
      <w:bookmarkEnd w:id="270"/>
    </w:p>
    <w:p w:rsidR="00F8610E" w:rsidRPr="00A060B6" w:rsidRDefault="00F8610E" w:rsidP="00171031">
      <w:pPr>
        <w:pStyle w:val="Amain"/>
        <w:keepNext/>
      </w:pPr>
      <w:r w:rsidRPr="00A060B6">
        <w:tab/>
        <w:t>(1)</w:t>
      </w:r>
      <w:r w:rsidRPr="00A060B6">
        <w:tab/>
        <w:t>The court may, if the parties consent, by order dispense with the application of any 1 or more of the provisions of—</w:t>
      </w:r>
    </w:p>
    <w:p w:rsidR="00F8610E" w:rsidRPr="00A060B6" w:rsidRDefault="00F8610E" w:rsidP="00171031">
      <w:pPr>
        <w:pStyle w:val="Apara"/>
        <w:keepNext/>
      </w:pPr>
      <w:r w:rsidRPr="00A060B6">
        <w:tab/>
        <w:t>(a)</w:t>
      </w:r>
      <w:r w:rsidRPr="00A060B6">
        <w:tab/>
        <w:t>division 2.1.3 (General rules about giving evidence), division 2.1.4 (Examination-in-chief and re-examination) or division 2.1.5 (Cross-examination); or</w:t>
      </w:r>
    </w:p>
    <w:p w:rsidR="00F8610E" w:rsidRPr="00A060B6" w:rsidRDefault="00F8610E" w:rsidP="00486F06">
      <w:pPr>
        <w:pStyle w:val="Apara"/>
      </w:pPr>
      <w:r w:rsidRPr="00A060B6">
        <w:tab/>
        <w:t>(b)</w:t>
      </w:r>
      <w:r w:rsidRPr="00A060B6">
        <w:tab/>
        <w:t>part 2.2 (Documents) or 2.3 (Other evidence); or</w:t>
      </w:r>
    </w:p>
    <w:p w:rsidR="00F8610E" w:rsidRPr="00A060B6" w:rsidRDefault="00F8610E" w:rsidP="00486F06">
      <w:pPr>
        <w:pStyle w:val="Apara"/>
      </w:pPr>
      <w:r w:rsidRPr="00A060B6">
        <w:tab/>
        <w:t>(c)</w:t>
      </w:r>
      <w:r w:rsidRPr="00A060B6">
        <w:tab/>
        <w:t>parts 3.2 to 3.8;</w:t>
      </w:r>
    </w:p>
    <w:p w:rsidR="00F8610E" w:rsidRPr="00A060B6" w:rsidRDefault="00F8610E" w:rsidP="00E51812">
      <w:pPr>
        <w:pStyle w:val="Amainreturn"/>
      </w:pPr>
      <w:r w:rsidRPr="00A060B6">
        <w:t>in relation to particular evidence or generally.</w:t>
      </w:r>
    </w:p>
    <w:p w:rsidR="00F8610E" w:rsidRPr="00A060B6" w:rsidRDefault="00F8610E" w:rsidP="00486F06">
      <w:pPr>
        <w:pStyle w:val="Amain"/>
      </w:pPr>
      <w:r w:rsidRPr="00A060B6">
        <w:tab/>
        <w:t>(2)</w:t>
      </w:r>
      <w:r w:rsidRPr="00A060B6">
        <w:tab/>
        <w:t>In a criminal proceeding, a defendant’s consent is not effective for subsection (1) unless—</w:t>
      </w:r>
    </w:p>
    <w:p w:rsidR="00F8610E" w:rsidRPr="00A060B6" w:rsidRDefault="00F8610E" w:rsidP="00486F06">
      <w:pPr>
        <w:pStyle w:val="Apara"/>
      </w:pPr>
      <w:r w:rsidRPr="00A060B6">
        <w:tab/>
        <w:t>(a)</w:t>
      </w:r>
      <w:r w:rsidRPr="00A060B6">
        <w:tab/>
        <w:t>the defendant has been advised to consent by the defendant’s Australian legal practitioner or legal counsel; or</w:t>
      </w:r>
    </w:p>
    <w:p w:rsidR="00F8610E" w:rsidRPr="00A060B6" w:rsidRDefault="00F8610E" w:rsidP="00486F06">
      <w:pPr>
        <w:pStyle w:val="Apara"/>
      </w:pPr>
      <w:r w:rsidRPr="00A060B6">
        <w:tab/>
        <w:t>(b)</w:t>
      </w:r>
      <w:r w:rsidRPr="00A060B6">
        <w:tab/>
        <w:t>the court is satisfied that the defendant understands the consequences of giving the consent.</w:t>
      </w:r>
    </w:p>
    <w:p w:rsidR="00F8610E" w:rsidRPr="00A060B6" w:rsidRDefault="00F8610E" w:rsidP="00486F06">
      <w:pPr>
        <w:pStyle w:val="Amain"/>
      </w:pPr>
      <w:r w:rsidRPr="00A060B6">
        <w:tab/>
        <w:t>(3)</w:t>
      </w:r>
      <w:r w:rsidRPr="00A060B6">
        <w:tab/>
        <w:t>In a civil proceeding, the court may order that any 1 or more of the provisions mentioned in subsection (1) do not apply in relation to evidence if—</w:t>
      </w:r>
    </w:p>
    <w:p w:rsidR="00F8610E" w:rsidRPr="00A060B6" w:rsidRDefault="00F8610E" w:rsidP="00486F06">
      <w:pPr>
        <w:pStyle w:val="Apara"/>
      </w:pPr>
      <w:r w:rsidRPr="00A060B6">
        <w:tab/>
        <w:t>(a)</w:t>
      </w:r>
      <w:r w:rsidRPr="00A060B6">
        <w:tab/>
        <w:t>the matter to which the evidence relates is not genuinely in dispute; or</w:t>
      </w:r>
    </w:p>
    <w:p w:rsidR="00F8610E" w:rsidRPr="00A060B6" w:rsidRDefault="00F8610E" w:rsidP="00486F06">
      <w:pPr>
        <w:pStyle w:val="Apara"/>
      </w:pPr>
      <w:r w:rsidRPr="00A060B6">
        <w:tab/>
        <w:t>(b)</w:t>
      </w:r>
      <w:r w:rsidRPr="00A060B6">
        <w:tab/>
        <w:t>the application of the provisions would cause or involve unnecessary expense or delay.</w:t>
      </w:r>
    </w:p>
    <w:p w:rsidR="00F8610E" w:rsidRPr="00A060B6" w:rsidRDefault="00F8610E" w:rsidP="00486F06">
      <w:pPr>
        <w:pStyle w:val="Amain"/>
      </w:pPr>
      <w:r w:rsidRPr="00A060B6">
        <w:tab/>
        <w:t>(4)</w:t>
      </w:r>
      <w:r w:rsidRPr="00A060B6">
        <w:tab/>
        <w:t>Without limiting the matters that the court may take into account in deciding whether to exercise the power given by subsection (3), it must take into account—</w:t>
      </w:r>
    </w:p>
    <w:p w:rsidR="00F8610E" w:rsidRPr="00A060B6" w:rsidRDefault="00F8610E" w:rsidP="00486F06">
      <w:pPr>
        <w:pStyle w:val="Apara"/>
      </w:pPr>
      <w:r w:rsidRPr="00A060B6">
        <w:tab/>
        <w:t>(a)</w:t>
      </w:r>
      <w:r w:rsidRPr="00A060B6">
        <w:tab/>
        <w:t>the importance of the evidence in the proceeding; and</w:t>
      </w:r>
    </w:p>
    <w:p w:rsidR="00F8610E" w:rsidRPr="00A060B6" w:rsidRDefault="00F8610E" w:rsidP="00486F06">
      <w:pPr>
        <w:pStyle w:val="Apara"/>
      </w:pPr>
      <w:r w:rsidRPr="00A060B6">
        <w:tab/>
        <w:t>(b)</w:t>
      </w:r>
      <w:r w:rsidRPr="00A060B6">
        <w:tab/>
        <w:t>the nature of the cause of action or defence and the nature of the subject matter of the proceeding; and</w:t>
      </w:r>
    </w:p>
    <w:p w:rsidR="00F8610E" w:rsidRPr="00A060B6" w:rsidRDefault="00F8610E" w:rsidP="00486F06">
      <w:pPr>
        <w:pStyle w:val="Apara"/>
      </w:pPr>
      <w:r w:rsidRPr="00A060B6">
        <w:lastRenderedPageBreak/>
        <w:tab/>
        <w:t>(c)</w:t>
      </w:r>
      <w:r w:rsidRPr="00A060B6">
        <w:tab/>
        <w:t>the probative value of the evidence; and</w:t>
      </w:r>
    </w:p>
    <w:p w:rsidR="00F8610E" w:rsidRPr="00A060B6" w:rsidRDefault="00F8610E" w:rsidP="00486F06">
      <w:pPr>
        <w:pStyle w:val="Apara"/>
      </w:pPr>
      <w:r w:rsidRPr="00A060B6">
        <w:tab/>
        <w:t>(d)</w:t>
      </w:r>
      <w:r w:rsidRPr="00A060B6">
        <w:tab/>
        <w:t>the powers of the court (if any) to adjourn the hearing, to make another order or to give a direction in relation to the evidence.</w:t>
      </w:r>
    </w:p>
    <w:p w:rsidR="00F8610E" w:rsidRPr="00A060B6" w:rsidRDefault="00F8610E" w:rsidP="00486F06">
      <w:pPr>
        <w:pStyle w:val="AH5Sec"/>
      </w:pPr>
      <w:bookmarkStart w:id="271" w:name="_Toc11748626"/>
      <w:r w:rsidRPr="003925E1">
        <w:rPr>
          <w:rStyle w:val="CharSectNo"/>
        </w:rPr>
        <w:t>191</w:t>
      </w:r>
      <w:r w:rsidRPr="00A060B6">
        <w:tab/>
        <w:t>Agreements as to facts</w:t>
      </w:r>
      <w:bookmarkEnd w:id="271"/>
    </w:p>
    <w:p w:rsidR="00F8610E" w:rsidRPr="00A060B6" w:rsidRDefault="00F8610E" w:rsidP="0061678D">
      <w:pPr>
        <w:pStyle w:val="Amain"/>
        <w:keepNext/>
      </w:pPr>
      <w:r w:rsidRPr="00A060B6">
        <w:tab/>
        <w:t>(1)</w:t>
      </w:r>
      <w:r w:rsidRPr="00A060B6">
        <w:tab/>
        <w:t>In this section:</w:t>
      </w:r>
    </w:p>
    <w:p w:rsidR="00F8610E" w:rsidRPr="00A060B6" w:rsidRDefault="00F8610E" w:rsidP="005D1BC5">
      <w:pPr>
        <w:pStyle w:val="aDef"/>
      </w:pPr>
      <w:r w:rsidRPr="00AF17FE">
        <w:rPr>
          <w:rStyle w:val="charBoldItals"/>
        </w:rPr>
        <w:t>agreed fact</w:t>
      </w:r>
      <w:r w:rsidRPr="00A060B6">
        <w:t xml:space="preserve"> means a fact that the parties to a proceeding have agreed is not, for the purposes of the proceeding, to be disputed.</w:t>
      </w:r>
    </w:p>
    <w:p w:rsidR="00F8610E" w:rsidRPr="00A060B6" w:rsidRDefault="00F8610E" w:rsidP="00486F06">
      <w:pPr>
        <w:pStyle w:val="Amain"/>
      </w:pPr>
      <w:r w:rsidRPr="00A060B6">
        <w:tab/>
        <w:t>(2)</w:t>
      </w:r>
      <w:r w:rsidRPr="00A060B6">
        <w:tab/>
        <w:t>In a proceeding—</w:t>
      </w:r>
    </w:p>
    <w:p w:rsidR="00F8610E" w:rsidRPr="00A060B6" w:rsidRDefault="00F8610E" w:rsidP="00486F06">
      <w:pPr>
        <w:pStyle w:val="Apara"/>
      </w:pPr>
      <w:r w:rsidRPr="00A060B6">
        <w:tab/>
        <w:t>(a)</w:t>
      </w:r>
      <w:r w:rsidRPr="00A060B6">
        <w:tab/>
        <w:t>evidence is not required to prove the existence of an agreed fact; and</w:t>
      </w:r>
    </w:p>
    <w:p w:rsidR="00F8610E" w:rsidRPr="00A060B6" w:rsidRDefault="00F8610E" w:rsidP="00486F06">
      <w:pPr>
        <w:pStyle w:val="Apara"/>
      </w:pPr>
      <w:r w:rsidRPr="00A060B6">
        <w:tab/>
        <w:t>(b)</w:t>
      </w:r>
      <w:r w:rsidRPr="00A060B6">
        <w:tab/>
        <w:t>evidence may not be presented to contradict or qualify an agreed fact;</w:t>
      </w:r>
    </w:p>
    <w:p w:rsidR="00F8610E" w:rsidRPr="00A060B6" w:rsidRDefault="00F8610E" w:rsidP="00E51812">
      <w:pPr>
        <w:pStyle w:val="Amainreturn"/>
      </w:pPr>
      <w:r w:rsidRPr="00A060B6">
        <w:t>unless the court gives leave.</w:t>
      </w:r>
    </w:p>
    <w:p w:rsidR="00F8610E" w:rsidRPr="00A060B6" w:rsidRDefault="00F8610E" w:rsidP="00486F06">
      <w:pPr>
        <w:pStyle w:val="Amain"/>
      </w:pPr>
      <w:r w:rsidRPr="00A060B6">
        <w:tab/>
        <w:t>(3)</w:t>
      </w:r>
      <w:r w:rsidRPr="00A060B6">
        <w:tab/>
        <w:t>Subsection (2) does not apply unless the agreed fact—</w:t>
      </w:r>
    </w:p>
    <w:p w:rsidR="00F8610E" w:rsidRPr="00A060B6" w:rsidRDefault="00F8610E" w:rsidP="00486F06">
      <w:pPr>
        <w:pStyle w:val="Apara"/>
      </w:pPr>
      <w:r w:rsidRPr="00A060B6">
        <w:tab/>
        <w:t>(a)</w:t>
      </w:r>
      <w:r w:rsidRPr="00A060B6">
        <w:tab/>
        <w:t>is stated in an agreement in writing signed by the parties or by Australian legal practitioners, legal counsel or prosecutors representing the parties and presented in evidence in the proceeding; or</w:t>
      </w:r>
    </w:p>
    <w:p w:rsidR="00F8610E" w:rsidRPr="00A060B6" w:rsidRDefault="00F8610E" w:rsidP="00486F06">
      <w:pPr>
        <w:pStyle w:val="Apara"/>
      </w:pPr>
      <w:r w:rsidRPr="00A060B6">
        <w:tab/>
        <w:t>(b)</w:t>
      </w:r>
      <w:r w:rsidRPr="00A060B6">
        <w:tab/>
        <w:t>with the leave of the court, is stated by a party before the court with the agreement of all other parties.</w:t>
      </w:r>
    </w:p>
    <w:p w:rsidR="00F8610E" w:rsidRPr="00A060B6" w:rsidRDefault="00F8610E" w:rsidP="00486F06">
      <w:pPr>
        <w:pStyle w:val="AH5Sec"/>
      </w:pPr>
      <w:bookmarkStart w:id="272" w:name="_Toc11748627"/>
      <w:r w:rsidRPr="003925E1">
        <w:rPr>
          <w:rStyle w:val="CharSectNo"/>
        </w:rPr>
        <w:lastRenderedPageBreak/>
        <w:t>192</w:t>
      </w:r>
      <w:r w:rsidRPr="00A060B6">
        <w:tab/>
        <w:t>Leave, permission or direction may be given on conditions</w:t>
      </w:r>
      <w:bookmarkEnd w:id="272"/>
    </w:p>
    <w:p w:rsidR="00F8610E" w:rsidRPr="00A060B6" w:rsidRDefault="00F8610E" w:rsidP="007D5A15">
      <w:pPr>
        <w:pStyle w:val="Amain"/>
        <w:keepNext/>
      </w:pPr>
      <w:r w:rsidRPr="00A060B6">
        <w:tab/>
        <w:t>(1)</w:t>
      </w:r>
      <w:r w:rsidRPr="00A060B6">
        <w:tab/>
        <w:t>If, because of this Act, a court may give any leave, permission or direction, the leave, permission or direction may be given on the conditions that the court thinks fit.</w:t>
      </w:r>
    </w:p>
    <w:p w:rsidR="00F8610E" w:rsidRPr="00A060B6" w:rsidRDefault="00F8610E" w:rsidP="00486F06">
      <w:pPr>
        <w:pStyle w:val="Amain"/>
      </w:pPr>
      <w:r w:rsidRPr="00A060B6">
        <w:tab/>
        <w:t>(2)</w:t>
      </w:r>
      <w:r w:rsidRPr="00A060B6">
        <w:tab/>
        <w:t>Without limiting the matters that the court may take into account in deciding whether to give the leave, permission or direction, it must take into account—</w:t>
      </w:r>
    </w:p>
    <w:p w:rsidR="00F8610E" w:rsidRPr="00A060B6" w:rsidRDefault="00F8610E" w:rsidP="00486F06">
      <w:pPr>
        <w:pStyle w:val="Apara"/>
      </w:pPr>
      <w:r w:rsidRPr="00A060B6">
        <w:tab/>
        <w:t>(a)</w:t>
      </w:r>
      <w:r w:rsidRPr="00A060B6">
        <w:tab/>
        <w:t>the extent to which to do so would be likely to add unduly to, or to shorten, the length of the hearing; and</w:t>
      </w:r>
    </w:p>
    <w:p w:rsidR="00F8610E" w:rsidRPr="00A060B6" w:rsidRDefault="00F8610E" w:rsidP="00486F06">
      <w:pPr>
        <w:pStyle w:val="Apara"/>
      </w:pPr>
      <w:r w:rsidRPr="00A060B6">
        <w:tab/>
        <w:t>(b)</w:t>
      </w:r>
      <w:r w:rsidRPr="00A060B6">
        <w:tab/>
        <w:t>the extent to which to do so would be unfair to a party or witness; and</w:t>
      </w:r>
    </w:p>
    <w:p w:rsidR="00F8610E" w:rsidRPr="00A060B6" w:rsidRDefault="00F8610E" w:rsidP="00486F06">
      <w:pPr>
        <w:pStyle w:val="Apara"/>
      </w:pPr>
      <w:r w:rsidRPr="00A060B6">
        <w:tab/>
        <w:t>(c)</w:t>
      </w:r>
      <w:r w:rsidRPr="00A060B6">
        <w:tab/>
        <w:t>the importance of the evidence in relation to which the leave, permission or direction is sought; and</w:t>
      </w:r>
    </w:p>
    <w:p w:rsidR="00F8610E" w:rsidRPr="00A060B6" w:rsidRDefault="00F8610E" w:rsidP="00486F06">
      <w:pPr>
        <w:pStyle w:val="Apara"/>
      </w:pPr>
      <w:r w:rsidRPr="00A060B6">
        <w:tab/>
        <w:t>(d)</w:t>
      </w:r>
      <w:r w:rsidRPr="00A060B6">
        <w:tab/>
        <w:t>the nature of the proceeding; and</w:t>
      </w:r>
    </w:p>
    <w:p w:rsidR="00F8610E" w:rsidRPr="00A060B6" w:rsidRDefault="00F8610E" w:rsidP="00486F06">
      <w:pPr>
        <w:pStyle w:val="Apara"/>
      </w:pPr>
      <w:r w:rsidRPr="00A060B6">
        <w:tab/>
        <w:t>(e)</w:t>
      </w:r>
      <w:r w:rsidRPr="00A060B6">
        <w:tab/>
        <w:t>the power (if any) of the court to adjourn the hearing or to make another order or to give a direction in relation to the evidence.</w:t>
      </w:r>
    </w:p>
    <w:p w:rsidR="00F8610E" w:rsidRPr="00A060B6" w:rsidRDefault="00F8610E" w:rsidP="00486F06">
      <w:pPr>
        <w:pStyle w:val="AH5Sec"/>
      </w:pPr>
      <w:bookmarkStart w:id="273" w:name="_Toc11748628"/>
      <w:r w:rsidRPr="003925E1">
        <w:rPr>
          <w:rStyle w:val="CharSectNo"/>
        </w:rPr>
        <w:t>192A</w:t>
      </w:r>
      <w:r w:rsidRPr="00A060B6">
        <w:tab/>
        <w:t>Advance rulings and findings</w:t>
      </w:r>
      <w:bookmarkEnd w:id="273"/>
    </w:p>
    <w:p w:rsidR="00F8610E" w:rsidRPr="00A060B6" w:rsidRDefault="00F8610E" w:rsidP="003024FD">
      <w:pPr>
        <w:pStyle w:val="Amainreturn"/>
        <w:rPr>
          <w:lang w:eastAsia="en-AU"/>
        </w:rPr>
      </w:pPr>
      <w:r w:rsidRPr="00A060B6">
        <w:rPr>
          <w:lang w:eastAsia="en-AU"/>
        </w:rPr>
        <w:t xml:space="preserve">Where a question arises in a proceeding, that is a question about— </w:t>
      </w:r>
    </w:p>
    <w:p w:rsidR="00F8610E" w:rsidRPr="00A060B6" w:rsidRDefault="00F8610E" w:rsidP="00486F06">
      <w:pPr>
        <w:pStyle w:val="Apara"/>
        <w:rPr>
          <w:lang w:eastAsia="en-AU"/>
        </w:rPr>
      </w:pPr>
      <w:r w:rsidRPr="00A060B6">
        <w:rPr>
          <w:lang w:eastAsia="en-AU"/>
        </w:rPr>
        <w:tab/>
        <w:t>(a)</w:t>
      </w:r>
      <w:r w:rsidRPr="00A060B6">
        <w:rPr>
          <w:lang w:eastAsia="en-AU"/>
        </w:rPr>
        <w:tab/>
        <w:t xml:space="preserve">the admissibility or use of evidence proposed to be </w:t>
      </w:r>
      <w:r w:rsidRPr="00A060B6">
        <w:t>presented</w:t>
      </w:r>
      <w:r w:rsidRPr="00A060B6">
        <w:rPr>
          <w:lang w:eastAsia="en-AU"/>
        </w:rPr>
        <w:t>; or</w:t>
      </w:r>
    </w:p>
    <w:p w:rsidR="00F8610E" w:rsidRPr="00A060B6" w:rsidRDefault="00F8610E" w:rsidP="00486F06">
      <w:pPr>
        <w:pStyle w:val="Apara"/>
        <w:rPr>
          <w:lang w:eastAsia="en-AU"/>
        </w:rPr>
      </w:pPr>
      <w:r w:rsidRPr="00A060B6">
        <w:rPr>
          <w:lang w:eastAsia="en-AU"/>
        </w:rPr>
        <w:tab/>
        <w:t>(b)</w:t>
      </w:r>
      <w:r w:rsidRPr="00A060B6">
        <w:rPr>
          <w:lang w:eastAsia="en-AU"/>
        </w:rPr>
        <w:tab/>
        <w:t xml:space="preserve">the operation of a provision of this Act or another law in relation to evidence proposed to be </w:t>
      </w:r>
      <w:r w:rsidRPr="00A060B6">
        <w:t>presented</w:t>
      </w:r>
      <w:r w:rsidRPr="00A060B6">
        <w:rPr>
          <w:lang w:eastAsia="en-AU"/>
        </w:rPr>
        <w:t>; or</w:t>
      </w:r>
    </w:p>
    <w:p w:rsidR="00F8610E" w:rsidRPr="00A060B6" w:rsidRDefault="00F8610E" w:rsidP="00486F06">
      <w:pPr>
        <w:pStyle w:val="Apara"/>
        <w:rPr>
          <w:lang w:eastAsia="en-AU"/>
        </w:rPr>
      </w:pPr>
      <w:r w:rsidRPr="00A060B6">
        <w:rPr>
          <w:lang w:eastAsia="en-AU"/>
        </w:rPr>
        <w:tab/>
        <w:t>(c)</w:t>
      </w:r>
      <w:r w:rsidRPr="00A060B6">
        <w:rPr>
          <w:lang w:eastAsia="en-AU"/>
        </w:rPr>
        <w:tab/>
        <w:t>the giving of leave, permission or direction under section 192;</w:t>
      </w:r>
    </w:p>
    <w:p w:rsidR="00F8610E" w:rsidRPr="00A060B6" w:rsidRDefault="00F8610E" w:rsidP="003024FD">
      <w:pPr>
        <w:pStyle w:val="Amainreturn"/>
        <w:rPr>
          <w:lang w:eastAsia="en-AU"/>
        </w:rPr>
      </w:pPr>
      <w:r w:rsidRPr="00A060B6">
        <w:rPr>
          <w:lang w:eastAsia="en-AU"/>
        </w:rPr>
        <w:t xml:space="preserve">the court may, if it considers it to be appropriate to do so, give a ruling or make a finding in relation to the question before the evidence is </w:t>
      </w:r>
      <w:r w:rsidRPr="00A060B6">
        <w:t xml:space="preserve">presented </w:t>
      </w:r>
      <w:r w:rsidRPr="00A060B6">
        <w:rPr>
          <w:lang w:eastAsia="en-AU"/>
        </w:rPr>
        <w:t>in the proceeding.</w:t>
      </w:r>
    </w:p>
    <w:p w:rsidR="00F8610E" w:rsidRPr="00A060B6" w:rsidRDefault="00F8610E" w:rsidP="00486F06">
      <w:pPr>
        <w:pStyle w:val="AH5Sec"/>
      </w:pPr>
      <w:bookmarkStart w:id="274" w:name="_Toc11748629"/>
      <w:r w:rsidRPr="003925E1">
        <w:rPr>
          <w:rStyle w:val="CharSectNo"/>
        </w:rPr>
        <w:lastRenderedPageBreak/>
        <w:t>193</w:t>
      </w:r>
      <w:r w:rsidRPr="00A060B6">
        <w:tab/>
        <w:t>Additional powers</w:t>
      </w:r>
      <w:bookmarkEnd w:id="274"/>
    </w:p>
    <w:p w:rsidR="00F8610E" w:rsidRPr="00A060B6" w:rsidRDefault="00F8610E" w:rsidP="00486F06">
      <w:pPr>
        <w:pStyle w:val="Amain"/>
      </w:pPr>
      <w:r w:rsidRPr="00A060B6">
        <w:tab/>
        <w:t>(1)</w:t>
      </w:r>
      <w:r w:rsidRPr="00A060B6">
        <w:tab/>
        <w:t>The powers of a court in relation to—</w:t>
      </w:r>
    </w:p>
    <w:p w:rsidR="00F8610E" w:rsidRPr="00A060B6" w:rsidRDefault="00F8610E" w:rsidP="00486F06">
      <w:pPr>
        <w:pStyle w:val="Apara"/>
      </w:pPr>
      <w:r w:rsidRPr="00A060B6">
        <w:tab/>
        <w:t>(a)</w:t>
      </w:r>
      <w:r w:rsidRPr="00A060B6">
        <w:tab/>
        <w:t>the discovery or inspection of documents; and</w:t>
      </w:r>
    </w:p>
    <w:p w:rsidR="00F8610E" w:rsidRPr="00A060B6" w:rsidRDefault="00F8610E" w:rsidP="00486F06">
      <w:pPr>
        <w:pStyle w:val="Apara"/>
      </w:pPr>
      <w:r w:rsidRPr="00A060B6">
        <w:tab/>
        <w:t>(b)</w:t>
      </w:r>
      <w:r w:rsidRPr="00A060B6">
        <w:tab/>
        <w:t>ordering disclosure and exchange of evidence, intended evidence, documents and reports;</w:t>
      </w:r>
    </w:p>
    <w:p w:rsidR="00F8610E" w:rsidRPr="00A060B6" w:rsidRDefault="00F8610E" w:rsidP="00E51812">
      <w:pPr>
        <w:pStyle w:val="Amainreturn"/>
      </w:pPr>
      <w:r w:rsidRPr="00A060B6">
        <w:t xml:space="preserve">extend to enabling the court to make the orders that the court thinks fit (including orders about methods of inspection, adjournments and costs) to ensure that the parties to a proceeding can adequately, and in an appropriate manner, inspect documents mentioned in the dictionary, part 2, section 8, definition of </w:t>
      </w:r>
      <w:r w:rsidRPr="00AF17FE">
        <w:rPr>
          <w:rStyle w:val="charBoldItals"/>
        </w:rPr>
        <w:t>document</w:t>
      </w:r>
      <w:r w:rsidRPr="00A060B6">
        <w:t>, paragraph (b) or (c).</w:t>
      </w:r>
    </w:p>
    <w:p w:rsidR="00F8610E" w:rsidRPr="00A060B6" w:rsidRDefault="00F8610E" w:rsidP="00486F06">
      <w:pPr>
        <w:pStyle w:val="Amain"/>
      </w:pPr>
      <w:r w:rsidRPr="00A060B6">
        <w:tab/>
        <w:t>(2)</w:t>
      </w:r>
      <w:r w:rsidRPr="00A060B6">
        <w:tab/>
        <w:t>The power of an entity to make rules of court extends to making rules, not inconsistent with this Act, prescribing matters—</w:t>
      </w:r>
    </w:p>
    <w:p w:rsidR="00F8610E" w:rsidRPr="00A060B6" w:rsidRDefault="00F8610E" w:rsidP="00486F06">
      <w:pPr>
        <w:pStyle w:val="Apara"/>
      </w:pPr>
      <w:r w:rsidRPr="00A060B6">
        <w:tab/>
        <w:t>(a)</w:t>
      </w:r>
      <w:r w:rsidRPr="00A060B6">
        <w:tab/>
        <w:t>required or permitted by this Act to be prescribed; or</w:t>
      </w:r>
    </w:p>
    <w:p w:rsidR="00F8610E" w:rsidRPr="00A060B6" w:rsidRDefault="00F8610E" w:rsidP="00486F06">
      <w:pPr>
        <w:pStyle w:val="Apara"/>
      </w:pPr>
      <w:r w:rsidRPr="00A060B6">
        <w:tab/>
        <w:t>(b)</w:t>
      </w:r>
      <w:r w:rsidRPr="00A060B6">
        <w:tab/>
        <w:t>necessary or convenient to be prescribed for carrying out or giving effect to this Act.</w:t>
      </w:r>
    </w:p>
    <w:p w:rsidR="00F8610E" w:rsidRPr="00A060B6" w:rsidRDefault="00F8610E" w:rsidP="00130B87">
      <w:pPr>
        <w:pStyle w:val="aNote"/>
      </w:pPr>
      <w:r w:rsidRPr="00AF17FE">
        <w:rPr>
          <w:rStyle w:val="charItals"/>
        </w:rPr>
        <w:t>Note</w:t>
      </w:r>
      <w:r w:rsidRPr="00AF17FE">
        <w:rPr>
          <w:rStyle w:val="charItals"/>
        </w:rPr>
        <w:tab/>
      </w:r>
      <w:r w:rsidRPr="00A060B6">
        <w:t xml:space="preserve">A reference to an Act includes a reference to the statutory instruments made or in force under the Act (see </w:t>
      </w:r>
      <w:hyperlink r:id="rId166" w:tooltip="A2001-14" w:history="1">
        <w:r w:rsidR="00AF17FE" w:rsidRPr="00AF17FE">
          <w:rPr>
            <w:rStyle w:val="charCitHyperlinkAbbrev"/>
          </w:rPr>
          <w:t>Legislation Act</w:t>
        </w:r>
      </w:hyperlink>
      <w:r w:rsidRPr="00A060B6">
        <w:t>, s 104).</w:t>
      </w:r>
    </w:p>
    <w:p w:rsidR="00F8610E" w:rsidRPr="00A060B6" w:rsidRDefault="00F8610E" w:rsidP="00486F06">
      <w:pPr>
        <w:pStyle w:val="Amain"/>
      </w:pPr>
      <w:r w:rsidRPr="00A060B6">
        <w:tab/>
        <w:t>(3)</w:t>
      </w:r>
      <w:r w:rsidRPr="00A060B6">
        <w:tab/>
        <w:t>Without limiting subsection (2), rules made under that subsection may provide for the discovery, exchange, inspection or disclosure of intended evidence, documents and reports of people intended to be called by a party to give evidence in a proceeding.</w:t>
      </w:r>
    </w:p>
    <w:p w:rsidR="00F8610E" w:rsidRPr="00A060B6" w:rsidRDefault="00F8610E" w:rsidP="00486F06">
      <w:pPr>
        <w:pStyle w:val="Amain"/>
      </w:pPr>
      <w:r w:rsidRPr="00A060B6">
        <w:tab/>
        <w:t>(4)</w:t>
      </w:r>
      <w:r w:rsidRPr="00A060B6">
        <w:tab/>
        <w:t>Without limiting subsection (2), rules made under that subsection may provide for the exclusion of evidence, or for its admission on stated conditions, if the rules are not complied with.</w:t>
      </w:r>
    </w:p>
    <w:p w:rsidR="00F8610E" w:rsidRPr="00A060B6" w:rsidRDefault="00F8610E" w:rsidP="00486F06">
      <w:pPr>
        <w:pStyle w:val="AH5Sec"/>
      </w:pPr>
      <w:bookmarkStart w:id="275" w:name="_Toc11748630"/>
      <w:r w:rsidRPr="003925E1">
        <w:rPr>
          <w:rStyle w:val="CharSectNo"/>
        </w:rPr>
        <w:lastRenderedPageBreak/>
        <w:t>194</w:t>
      </w:r>
      <w:r w:rsidRPr="00A060B6">
        <w:tab/>
        <w:t>Witnesses failing to attend proceedings</w:t>
      </w:r>
      <w:bookmarkEnd w:id="275"/>
    </w:p>
    <w:p w:rsidR="00F8610E" w:rsidRPr="00A060B6" w:rsidRDefault="00F8610E" w:rsidP="007D5A15">
      <w:pPr>
        <w:pStyle w:val="aNote"/>
        <w:keepNext/>
        <w:rPr>
          <w:lang w:eastAsia="en-AU"/>
        </w:rPr>
      </w:pPr>
      <w:r w:rsidRPr="00AF17FE">
        <w:rPr>
          <w:rStyle w:val="charItals"/>
        </w:rPr>
        <w:t>Note 1</w:t>
      </w:r>
      <w:r w:rsidRPr="00AF17FE">
        <w:rPr>
          <w:rStyle w:val="charItals"/>
        </w:rPr>
        <w:tab/>
      </w:r>
      <w:r w:rsidRPr="00A060B6">
        <w:rPr>
          <w:lang w:eastAsia="en-AU"/>
        </w:rPr>
        <w:t xml:space="preserve">The </w:t>
      </w:r>
      <w:hyperlink r:id="rId167" w:tooltip="Act 1995 No 25 (NSW)" w:history="1">
        <w:r w:rsidR="00506E3A" w:rsidRPr="00506E3A">
          <w:rPr>
            <w:rStyle w:val="charCitHyperlinkAbbrev"/>
          </w:rPr>
          <w:t>NSW Act</w:t>
        </w:r>
      </w:hyperlink>
      <w:r w:rsidRPr="00A060B6">
        <w:rPr>
          <w:lang w:eastAsia="en-AU"/>
        </w:rPr>
        <w:t xml:space="preserve"> includes a provision about the consequences of a witness failing to appear when called in a civil or criminal proceeding.</w:t>
      </w:r>
    </w:p>
    <w:p w:rsidR="00F8610E" w:rsidRPr="00A060B6" w:rsidRDefault="00F8610E" w:rsidP="00D25B38">
      <w:pPr>
        <w:pStyle w:val="aNote"/>
        <w:rPr>
          <w:lang w:eastAsia="en-AU"/>
        </w:rPr>
      </w:pPr>
      <w:r w:rsidRPr="00AF17FE">
        <w:rPr>
          <w:rStyle w:val="charItals"/>
        </w:rPr>
        <w:t>Note 2</w:t>
      </w:r>
      <w:r w:rsidRPr="00AF17FE">
        <w:rPr>
          <w:rStyle w:val="charItals"/>
        </w:rPr>
        <w:tab/>
      </w:r>
      <w:r w:rsidRPr="00A060B6">
        <w:rPr>
          <w:lang w:eastAsia="en-AU"/>
        </w:rPr>
        <w:t xml:space="preserve">The </w:t>
      </w:r>
      <w:hyperlink r:id="rId168" w:tooltip="Evidence Act 1995" w:history="1">
        <w:r w:rsidR="00506E3A" w:rsidRPr="001D1BCB">
          <w:rPr>
            <w:rStyle w:val="charCitHyperlinkAbbrev"/>
          </w:rPr>
          <w:t>Commonwealth Act</w:t>
        </w:r>
      </w:hyperlink>
      <w:r w:rsidRPr="00A060B6">
        <w:rPr>
          <w:lang w:eastAsia="en-AU"/>
        </w:rPr>
        <w:t xml:space="preserve"> does not include an equivalent provision to s 194. There are provisions to the same effect in federal court rules and ACT legislation applying to proceedings before federal courts and ACT courts.</w:t>
      </w:r>
    </w:p>
    <w:p w:rsidR="00F8610E" w:rsidRPr="00A060B6" w:rsidRDefault="00F8610E" w:rsidP="00486F06">
      <w:pPr>
        <w:pStyle w:val="AH5Sec"/>
      </w:pPr>
      <w:bookmarkStart w:id="276" w:name="_Toc11748631"/>
      <w:r w:rsidRPr="003925E1">
        <w:rPr>
          <w:rStyle w:val="CharSectNo"/>
        </w:rPr>
        <w:t>195</w:t>
      </w:r>
      <w:r w:rsidRPr="00A060B6">
        <w:tab/>
        <w:t>Prohibited question not to be published</w:t>
      </w:r>
      <w:bookmarkEnd w:id="276"/>
    </w:p>
    <w:p w:rsidR="00F8610E" w:rsidRPr="00A060B6" w:rsidRDefault="00F8610E" w:rsidP="006D6E86">
      <w:pPr>
        <w:pStyle w:val="Amainreturn"/>
      </w:pPr>
      <w:r w:rsidRPr="00A060B6">
        <w:t>A person commits an offence if—</w:t>
      </w:r>
    </w:p>
    <w:p w:rsidR="00F8610E" w:rsidRPr="00A060B6" w:rsidRDefault="00F8610E" w:rsidP="00486F06">
      <w:pPr>
        <w:pStyle w:val="Apara"/>
      </w:pPr>
      <w:r w:rsidRPr="00A060B6">
        <w:tab/>
        <w:t>(a)</w:t>
      </w:r>
      <w:r w:rsidRPr="00A060B6">
        <w:tab/>
        <w:t>the person prints or publishes—</w:t>
      </w:r>
    </w:p>
    <w:p w:rsidR="00F8610E" w:rsidRPr="00A060B6" w:rsidRDefault="00F8610E" w:rsidP="00486F06">
      <w:pPr>
        <w:pStyle w:val="Asubpara"/>
      </w:pPr>
      <w:r w:rsidRPr="00A060B6">
        <w:tab/>
        <w:t>(i)</w:t>
      </w:r>
      <w:r w:rsidRPr="00A060B6">
        <w:tab/>
        <w:t>a question the court has disallowed under section 41 (Improper questions); or</w:t>
      </w:r>
    </w:p>
    <w:p w:rsidR="00F8610E" w:rsidRPr="00A060B6" w:rsidRDefault="00F8610E" w:rsidP="00486F06">
      <w:pPr>
        <w:pStyle w:val="Asubpara"/>
      </w:pPr>
      <w:r w:rsidRPr="00A060B6">
        <w:tab/>
        <w:t>(ii)</w:t>
      </w:r>
      <w:r w:rsidRPr="00A060B6">
        <w:tab/>
        <w:t>a question the court has disallowed because any answer that is likely to be given to the question would contravene the credibility rule; or</w:t>
      </w:r>
    </w:p>
    <w:p w:rsidR="00F8610E" w:rsidRPr="00A060B6" w:rsidRDefault="00F8610E" w:rsidP="00486F06">
      <w:pPr>
        <w:pStyle w:val="Asubpara"/>
      </w:pPr>
      <w:r w:rsidRPr="00A060B6">
        <w:tab/>
        <w:t>(iii)</w:t>
      </w:r>
      <w:r w:rsidRPr="00A060B6">
        <w:tab/>
        <w:t>a question in relation to which the court has refused to give leave under part 3.7 (Credibility); and</w:t>
      </w:r>
    </w:p>
    <w:p w:rsidR="00F8610E" w:rsidRPr="00A060B6" w:rsidRDefault="00F8610E" w:rsidP="00C676F8">
      <w:pPr>
        <w:pStyle w:val="Apara"/>
        <w:keepNext/>
      </w:pPr>
      <w:r w:rsidRPr="00A060B6">
        <w:tab/>
        <w:t>(b)</w:t>
      </w:r>
      <w:r w:rsidRPr="00A060B6">
        <w:tab/>
        <w:t>the person does not have the court’s express permission to do so.</w:t>
      </w:r>
    </w:p>
    <w:p w:rsidR="00F8610E" w:rsidRPr="00A060B6" w:rsidRDefault="00F8610E" w:rsidP="00C676F8">
      <w:pPr>
        <w:pStyle w:val="Penalty"/>
      </w:pPr>
      <w:r w:rsidRPr="00A060B6">
        <w:t>Maximum penalty: 60 penalty units.</w:t>
      </w:r>
    </w:p>
    <w:p w:rsidR="00F8610E" w:rsidRPr="00A060B6" w:rsidRDefault="00F8610E" w:rsidP="00486F06">
      <w:pPr>
        <w:pStyle w:val="AH5Sec"/>
      </w:pPr>
      <w:bookmarkStart w:id="277" w:name="_Toc11748632"/>
      <w:r w:rsidRPr="003925E1">
        <w:rPr>
          <w:rStyle w:val="CharSectNo"/>
        </w:rPr>
        <w:t>196</w:t>
      </w:r>
      <w:r w:rsidRPr="00A060B6">
        <w:tab/>
        <w:t>Proceedings for offences</w:t>
      </w:r>
      <w:bookmarkEnd w:id="277"/>
    </w:p>
    <w:p w:rsidR="00F8610E" w:rsidRPr="00A060B6" w:rsidRDefault="00F8610E" w:rsidP="00C676F8">
      <w:pPr>
        <w:pStyle w:val="aNote"/>
        <w:keepNext/>
        <w:rPr>
          <w:lang w:eastAsia="en-AU"/>
        </w:rPr>
      </w:pPr>
      <w:r w:rsidRPr="00AF17FE">
        <w:rPr>
          <w:rStyle w:val="charItals"/>
        </w:rPr>
        <w:t>Note 1</w:t>
      </w:r>
      <w:r w:rsidRPr="00AF17FE">
        <w:tab/>
      </w:r>
      <w:r w:rsidRPr="00A060B6">
        <w:rPr>
          <w:lang w:eastAsia="en-AU"/>
        </w:rPr>
        <w:t xml:space="preserve">The </w:t>
      </w:r>
      <w:hyperlink r:id="rId169" w:tooltip="Act 1995 No 25 (NSW)" w:history="1">
        <w:r w:rsidR="00506E3A" w:rsidRPr="00506E3A">
          <w:rPr>
            <w:rStyle w:val="charCitHyperlinkAbbrev"/>
          </w:rPr>
          <w:t>NSW Act</w:t>
        </w:r>
      </w:hyperlink>
      <w:r w:rsidRPr="00A060B6">
        <w:rPr>
          <w:lang w:eastAsia="en-AU"/>
        </w:rPr>
        <w:t xml:space="preserve"> includes a provision about procedures for dealing with offences against the </w:t>
      </w:r>
      <w:hyperlink r:id="rId170" w:tooltip="Act 1995 No 25 (NSW)" w:history="1">
        <w:r w:rsidR="00506E3A" w:rsidRPr="00506E3A">
          <w:rPr>
            <w:rStyle w:val="charCitHyperlinkAbbrev"/>
          </w:rPr>
          <w:t>NSW Act</w:t>
        </w:r>
      </w:hyperlink>
      <w:r w:rsidRPr="00A060B6">
        <w:rPr>
          <w:lang w:eastAsia="en-AU"/>
        </w:rPr>
        <w:t xml:space="preserve"> or regulations.</w:t>
      </w:r>
    </w:p>
    <w:p w:rsidR="00F8610E" w:rsidRPr="00A060B6" w:rsidRDefault="00F8610E" w:rsidP="00983DFC">
      <w:pPr>
        <w:pStyle w:val="aNote"/>
        <w:rPr>
          <w:lang w:eastAsia="en-AU"/>
        </w:rPr>
      </w:pPr>
      <w:r w:rsidRPr="00AF17FE">
        <w:rPr>
          <w:rStyle w:val="charItals"/>
        </w:rPr>
        <w:t>Note 2</w:t>
      </w:r>
      <w:r w:rsidRPr="00AF17FE">
        <w:rPr>
          <w:rStyle w:val="charItals"/>
        </w:rPr>
        <w:tab/>
      </w:r>
      <w:r w:rsidRPr="00A060B6">
        <w:rPr>
          <w:lang w:eastAsia="en-AU"/>
        </w:rPr>
        <w:t xml:space="preserve">The </w:t>
      </w:r>
      <w:hyperlink r:id="rId171" w:tooltip="Evidence Act 1995" w:history="1">
        <w:r w:rsidR="00506E3A" w:rsidRPr="001D1BCB">
          <w:rPr>
            <w:rStyle w:val="charCitHyperlinkAbbrev"/>
          </w:rPr>
          <w:t>Commonwealth Act</w:t>
        </w:r>
      </w:hyperlink>
      <w:r w:rsidRPr="00A060B6">
        <w:rPr>
          <w:lang w:eastAsia="en-AU"/>
        </w:rPr>
        <w:t xml:space="preserve"> does not include an equivalent provision.</w:t>
      </w:r>
    </w:p>
    <w:p w:rsidR="00F8610E" w:rsidRPr="00A060B6" w:rsidRDefault="00F8610E" w:rsidP="00FE2E6F">
      <w:pPr>
        <w:pStyle w:val="AH5Sec"/>
        <w:keepLines/>
      </w:pPr>
      <w:bookmarkStart w:id="278" w:name="_Toc11748633"/>
      <w:r w:rsidRPr="003925E1">
        <w:rPr>
          <w:rStyle w:val="CharSectNo"/>
        </w:rPr>
        <w:t>197</w:t>
      </w:r>
      <w:r w:rsidRPr="00A060B6">
        <w:tab/>
        <w:t>Regulation-making power</w:t>
      </w:r>
      <w:bookmarkEnd w:id="278"/>
    </w:p>
    <w:p w:rsidR="00F8610E" w:rsidRPr="00A060B6" w:rsidRDefault="00F8610E" w:rsidP="00FE2E6F">
      <w:pPr>
        <w:pStyle w:val="Amainreturn"/>
        <w:keepNext/>
        <w:keepLines/>
      </w:pPr>
      <w:r w:rsidRPr="00A060B6">
        <w:t>The Executive may make regulations for this Act.</w:t>
      </w:r>
    </w:p>
    <w:p w:rsidR="00F8610E" w:rsidRPr="00A060B6" w:rsidRDefault="00F8610E" w:rsidP="00C676F8">
      <w:pPr>
        <w:pStyle w:val="aNote"/>
        <w:keepLines/>
      </w:pPr>
      <w:r w:rsidRPr="00AF17FE">
        <w:rPr>
          <w:rStyle w:val="charItals"/>
        </w:rPr>
        <w:t>Note</w:t>
      </w:r>
      <w:r w:rsidRPr="00AF17FE">
        <w:rPr>
          <w:rStyle w:val="charItals"/>
        </w:rPr>
        <w:tab/>
      </w:r>
      <w:r w:rsidRPr="00A060B6">
        <w:t xml:space="preserve">A regulation must be notified, and presented to the Legislative Assembly, under the </w:t>
      </w:r>
      <w:hyperlink r:id="rId172" w:tooltip="A2001-14" w:history="1">
        <w:r w:rsidR="00AF17FE" w:rsidRPr="00AF17FE">
          <w:rPr>
            <w:rStyle w:val="charCitHyperlinkAbbrev"/>
          </w:rPr>
          <w:t>Legislation Act</w:t>
        </w:r>
      </w:hyperlink>
      <w:r w:rsidRPr="00A060B6">
        <w:t>.</w:t>
      </w:r>
    </w:p>
    <w:p w:rsidR="00F8610E" w:rsidRDefault="00F8610E" w:rsidP="0061678D">
      <w:pPr>
        <w:pStyle w:val="02Text"/>
        <w:keepLines/>
        <w:sectPr w:rsidR="00F8610E" w:rsidSect="00A84E3C">
          <w:headerReference w:type="even" r:id="rId173"/>
          <w:headerReference w:type="default" r:id="rId174"/>
          <w:footerReference w:type="even" r:id="rId175"/>
          <w:footerReference w:type="default" r:id="rId176"/>
          <w:footerReference w:type="first" r:id="rId177"/>
          <w:pgSz w:w="11907" w:h="16839" w:code="9"/>
          <w:pgMar w:top="3878" w:right="1899" w:bottom="3101" w:left="2302" w:header="1922" w:footer="1758" w:gutter="0"/>
          <w:cols w:space="720"/>
          <w:docGrid w:linePitch="326"/>
        </w:sectPr>
      </w:pPr>
    </w:p>
    <w:p w:rsidR="00F8610E" w:rsidRPr="003925E1" w:rsidRDefault="00F8610E" w:rsidP="00486F06">
      <w:pPr>
        <w:pStyle w:val="Sched-heading"/>
      </w:pPr>
      <w:bookmarkStart w:id="279" w:name="_Toc11748634"/>
      <w:r w:rsidRPr="003925E1">
        <w:rPr>
          <w:rStyle w:val="CharChapNo"/>
        </w:rPr>
        <w:lastRenderedPageBreak/>
        <w:t>Schedule 1</w:t>
      </w:r>
      <w:r w:rsidRPr="00A060B6">
        <w:tab/>
      </w:r>
      <w:r w:rsidRPr="003925E1">
        <w:rPr>
          <w:rStyle w:val="CharChapText"/>
        </w:rPr>
        <w:t>Oaths and affirmations</w:t>
      </w:r>
      <w:bookmarkEnd w:id="279"/>
    </w:p>
    <w:p w:rsidR="00F8610E" w:rsidRPr="00A060B6" w:rsidRDefault="00F8610E" w:rsidP="000E543D">
      <w:pPr>
        <w:pStyle w:val="Placeholder"/>
        <w:suppressLineNumbers/>
      </w:pPr>
      <w:r w:rsidRPr="00A060B6">
        <w:rPr>
          <w:rStyle w:val="CharPartNo"/>
        </w:rPr>
        <w:t xml:space="preserve">  </w:t>
      </w:r>
      <w:r w:rsidRPr="00A060B6">
        <w:rPr>
          <w:rStyle w:val="CharPartText"/>
        </w:rPr>
        <w:t xml:space="preserve">  </w:t>
      </w:r>
    </w:p>
    <w:p w:rsidR="00F8610E" w:rsidRPr="00A060B6" w:rsidRDefault="00F8610E" w:rsidP="00E51812">
      <w:pPr>
        <w:pStyle w:val="ref"/>
      </w:pPr>
      <w:r w:rsidRPr="00A060B6">
        <w:t xml:space="preserve">(see s 21 (4) and s 22 (3)) </w:t>
      </w:r>
    </w:p>
    <w:p w:rsidR="00F8610E" w:rsidRPr="00A060B6" w:rsidRDefault="00F8610E" w:rsidP="00B057DC">
      <w:pPr>
        <w:spacing w:before="160"/>
        <w:rPr>
          <w:rFonts w:ascii="Arial" w:hAnsi="Arial" w:cs="Arial"/>
          <w:b/>
        </w:rPr>
      </w:pPr>
      <w:r w:rsidRPr="00A060B6">
        <w:rPr>
          <w:rFonts w:ascii="Arial" w:hAnsi="Arial" w:cs="Arial"/>
          <w:b/>
        </w:rPr>
        <w:t>Oaths by witnesses</w:t>
      </w:r>
    </w:p>
    <w:p w:rsidR="00F8610E" w:rsidRPr="00A060B6" w:rsidRDefault="00F8610E" w:rsidP="009C3B03">
      <w:pPr>
        <w:spacing w:before="80" w:after="60"/>
      </w:pPr>
      <w:r w:rsidRPr="00A060B6">
        <w:t>I swear (</w:t>
      </w:r>
      <w:r w:rsidRPr="00AF17FE">
        <w:rPr>
          <w:rStyle w:val="charItals"/>
          <w:sz w:val="20"/>
        </w:rPr>
        <w:t>or the person taking the oath may promise</w:t>
      </w:r>
      <w:r w:rsidRPr="00A060B6">
        <w:t>) by Almighty God (</w:t>
      </w:r>
      <w:r w:rsidRPr="00AF17FE">
        <w:rPr>
          <w:rStyle w:val="charItals"/>
          <w:sz w:val="20"/>
        </w:rPr>
        <w:t>or the person may name a god recognised by the person’s religion</w:t>
      </w:r>
      <w:r w:rsidRPr="00A060B6">
        <w:t xml:space="preserve">) that the evidence I give will be the truth, the whole truth and nothing but the truth. </w:t>
      </w:r>
    </w:p>
    <w:p w:rsidR="00F8610E" w:rsidRPr="00A060B6" w:rsidRDefault="00F8610E" w:rsidP="00B057DC">
      <w:pPr>
        <w:spacing w:before="160"/>
        <w:rPr>
          <w:rFonts w:ascii="Arial" w:hAnsi="Arial" w:cs="Arial"/>
          <w:b/>
        </w:rPr>
      </w:pPr>
      <w:r w:rsidRPr="00A060B6">
        <w:rPr>
          <w:rFonts w:ascii="Arial" w:hAnsi="Arial" w:cs="Arial"/>
          <w:b/>
        </w:rPr>
        <w:t>Oaths by interpreters</w:t>
      </w:r>
    </w:p>
    <w:p w:rsidR="00F8610E" w:rsidRPr="00A060B6" w:rsidRDefault="00F8610E" w:rsidP="00B057DC">
      <w:pPr>
        <w:spacing w:before="80" w:after="60"/>
      </w:pPr>
      <w:r w:rsidRPr="00A060B6">
        <w:t>I swear (</w:t>
      </w:r>
      <w:r w:rsidRPr="00AF17FE">
        <w:rPr>
          <w:rStyle w:val="charItals"/>
          <w:sz w:val="20"/>
        </w:rPr>
        <w:t>or the person taking the oath may promise</w:t>
      </w:r>
      <w:r w:rsidRPr="00A060B6">
        <w:t>) by Almighty God (</w:t>
      </w:r>
      <w:r w:rsidRPr="00AF17FE">
        <w:rPr>
          <w:rStyle w:val="charItals"/>
          <w:sz w:val="20"/>
        </w:rPr>
        <w:t>or the person may name a god recognised by the person’s religion</w:t>
      </w:r>
      <w:r w:rsidRPr="00A060B6">
        <w:t xml:space="preserve">) that I will well and truly interpret the evidence that will be given and do all other matters and things that are required of me in this case to the best of my ability. </w:t>
      </w:r>
    </w:p>
    <w:p w:rsidR="00F8610E" w:rsidRPr="00A060B6" w:rsidRDefault="00F8610E" w:rsidP="00B057DC">
      <w:pPr>
        <w:spacing w:before="160"/>
        <w:rPr>
          <w:rFonts w:ascii="Arial" w:hAnsi="Arial" w:cs="Arial"/>
          <w:b/>
        </w:rPr>
      </w:pPr>
      <w:r w:rsidRPr="00A060B6">
        <w:rPr>
          <w:rFonts w:ascii="Arial" w:hAnsi="Arial" w:cs="Arial"/>
          <w:b/>
        </w:rPr>
        <w:t>Affirmations by witnesses</w:t>
      </w:r>
    </w:p>
    <w:p w:rsidR="00F8610E" w:rsidRPr="00A060B6" w:rsidRDefault="00F8610E" w:rsidP="00B057DC">
      <w:pPr>
        <w:spacing w:before="80" w:after="60"/>
      </w:pPr>
      <w:r w:rsidRPr="00A060B6">
        <w:t>I solemnly and sincerely declare and affirm that the evidence I give will be the truth, the whole truth and nothing but the truth.</w:t>
      </w:r>
    </w:p>
    <w:p w:rsidR="00F8610E" w:rsidRPr="00A060B6" w:rsidRDefault="00F8610E" w:rsidP="00B057DC">
      <w:pPr>
        <w:spacing w:before="160"/>
        <w:rPr>
          <w:rFonts w:ascii="Arial" w:hAnsi="Arial" w:cs="Arial"/>
          <w:b/>
        </w:rPr>
      </w:pPr>
      <w:r w:rsidRPr="00A060B6">
        <w:rPr>
          <w:rFonts w:ascii="Arial" w:hAnsi="Arial" w:cs="Arial"/>
          <w:b/>
        </w:rPr>
        <w:t>Affirmations by interpreters</w:t>
      </w:r>
    </w:p>
    <w:p w:rsidR="00F8610E" w:rsidRPr="00A060B6" w:rsidRDefault="00F8610E" w:rsidP="00B057DC">
      <w:pPr>
        <w:spacing w:before="80" w:after="60"/>
      </w:pPr>
      <w:r w:rsidRPr="00A060B6">
        <w:t>I solemnly and sincerely declare and affirm that I will well and truly interpret the evidence that will be given and do all other matters and things that are required of me in this case to the best of my ability.</w:t>
      </w:r>
    </w:p>
    <w:p w:rsidR="00F8610E" w:rsidRDefault="00F8610E">
      <w:pPr>
        <w:pStyle w:val="03Schedule"/>
        <w:sectPr w:rsidR="00F8610E" w:rsidSect="0061678D">
          <w:headerReference w:type="even" r:id="rId178"/>
          <w:headerReference w:type="default" r:id="rId179"/>
          <w:footerReference w:type="even" r:id="rId180"/>
          <w:footerReference w:type="default" r:id="rId181"/>
          <w:pgSz w:w="11907" w:h="16839" w:code="9"/>
          <w:pgMar w:top="3878" w:right="1899" w:bottom="3101" w:left="2302" w:header="2279" w:footer="1758" w:gutter="0"/>
          <w:cols w:space="720"/>
          <w:docGrid w:linePitch="326"/>
        </w:sectPr>
      </w:pPr>
    </w:p>
    <w:p w:rsidR="00F8610E" w:rsidRPr="00A060B6" w:rsidRDefault="00F8610E" w:rsidP="000E543D">
      <w:pPr>
        <w:pStyle w:val="PageBreak"/>
        <w:suppressLineNumbers/>
      </w:pPr>
      <w:r w:rsidRPr="00A060B6">
        <w:br w:type="page"/>
      </w:r>
    </w:p>
    <w:p w:rsidR="00F8610E" w:rsidRPr="00C936F5" w:rsidRDefault="00F8610E">
      <w:pPr>
        <w:pStyle w:val="Dict-Heading"/>
      </w:pPr>
      <w:bookmarkStart w:id="280" w:name="_Toc11748635"/>
      <w:r w:rsidRPr="00C936F5">
        <w:lastRenderedPageBreak/>
        <w:t>Dictionary</w:t>
      </w:r>
      <w:bookmarkEnd w:id="280"/>
    </w:p>
    <w:p w:rsidR="00F8610E" w:rsidRPr="00A060B6" w:rsidRDefault="00F8610E" w:rsidP="00C23C3D">
      <w:pPr>
        <w:pStyle w:val="ref"/>
        <w:keepNext/>
      </w:pPr>
      <w:r w:rsidRPr="00A060B6">
        <w:t>(see s 3)</w:t>
      </w:r>
    </w:p>
    <w:p w:rsidR="00F8610E" w:rsidRPr="00A060B6" w:rsidRDefault="00F8610E" w:rsidP="00E51812">
      <w:pPr>
        <w:pStyle w:val="aNote"/>
      </w:pPr>
      <w:r w:rsidRPr="00AF17FE">
        <w:rPr>
          <w:rStyle w:val="charItals"/>
        </w:rPr>
        <w:t>Note 1</w:t>
      </w:r>
      <w:r w:rsidRPr="00AF17FE">
        <w:rPr>
          <w:rStyle w:val="charItals"/>
        </w:rPr>
        <w:tab/>
      </w:r>
      <w:r w:rsidRPr="00A060B6">
        <w:t xml:space="preserve">The </w:t>
      </w:r>
      <w:hyperlink r:id="rId182" w:tooltip="A2001-14" w:history="1">
        <w:r w:rsidR="00AF17FE" w:rsidRPr="00AF17FE">
          <w:rPr>
            <w:rStyle w:val="charCitHyperlinkAbbrev"/>
          </w:rPr>
          <w:t>Legislation Act</w:t>
        </w:r>
      </w:hyperlink>
      <w:r w:rsidRPr="00A060B6">
        <w:t xml:space="preserve"> contains definitions and other provisions relevant to this Act.</w:t>
      </w:r>
    </w:p>
    <w:p w:rsidR="00F8610E" w:rsidRPr="00A060B6" w:rsidRDefault="00F8610E" w:rsidP="00C23C3D">
      <w:pPr>
        <w:pStyle w:val="aNote"/>
        <w:keepNext/>
      </w:pPr>
      <w:r w:rsidRPr="00AF17FE">
        <w:rPr>
          <w:rStyle w:val="charItals"/>
        </w:rPr>
        <w:t>Note 2</w:t>
      </w:r>
      <w:r w:rsidRPr="00AF17FE">
        <w:rPr>
          <w:rStyle w:val="charItals"/>
        </w:rPr>
        <w:tab/>
      </w:r>
      <w:r w:rsidRPr="00A060B6">
        <w:t xml:space="preserve">For example, the </w:t>
      </w:r>
      <w:hyperlink r:id="rId183" w:tooltip="A2001-14" w:history="1">
        <w:r w:rsidR="00AF17FE" w:rsidRPr="00AF17FE">
          <w:rPr>
            <w:rStyle w:val="charCitHyperlinkAbbrev"/>
          </w:rPr>
          <w:t>Legislation Act</w:t>
        </w:r>
      </w:hyperlink>
      <w:r w:rsidRPr="00A060B6">
        <w:t>, dict, pt 1, defines the following terms:</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Australian statistician</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child</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00AF17FE" w:rsidRPr="00CD4206">
        <w:t>Corporations Act</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domestic partner (see s 169 (1))</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entity</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exercise (a function)</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external territory</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fail</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foreign country</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function</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gazette</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government printer</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indictable offence (see s 190)</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individual</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Minister (see s 162)</w:t>
      </w:r>
    </w:p>
    <w:p w:rsidR="005C0040" w:rsidRPr="00A060B6" w:rsidRDefault="005C0040" w:rsidP="005C0040">
      <w:pPr>
        <w:pStyle w:val="aNoteBulletss"/>
        <w:tabs>
          <w:tab w:val="left" w:pos="2300"/>
        </w:tabs>
      </w:pPr>
      <w:r w:rsidRPr="00A060B6">
        <w:rPr>
          <w:rFonts w:ascii="Symbol" w:hAnsi="Symbol"/>
        </w:rPr>
        <w:t></w:t>
      </w:r>
      <w:r w:rsidRPr="00A060B6">
        <w:rPr>
          <w:rFonts w:ascii="Symbol" w:hAnsi="Symbol"/>
        </w:rPr>
        <w:tab/>
      </w:r>
      <w:r>
        <w:t>office</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parent</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police officer</w:t>
      </w:r>
    </w:p>
    <w:p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territory law.</w:t>
      </w:r>
    </w:p>
    <w:p w:rsidR="00F8610E" w:rsidRPr="003925E1" w:rsidRDefault="00F8610E" w:rsidP="00486F06">
      <w:pPr>
        <w:pStyle w:val="Sched-Part"/>
      </w:pPr>
      <w:bookmarkStart w:id="281" w:name="_Toc11748636"/>
      <w:r w:rsidRPr="003925E1">
        <w:rPr>
          <w:rStyle w:val="CharPartNo"/>
        </w:rPr>
        <w:t>Part 1</w:t>
      </w:r>
      <w:r w:rsidRPr="00A060B6">
        <w:tab/>
      </w:r>
      <w:r w:rsidRPr="003925E1">
        <w:rPr>
          <w:rStyle w:val="CharPartText"/>
        </w:rPr>
        <w:t>Definitions</w:t>
      </w:r>
      <w:bookmarkEnd w:id="281"/>
    </w:p>
    <w:p w:rsidR="00F8610E" w:rsidRPr="00A060B6" w:rsidRDefault="00F8610E" w:rsidP="00C23C3D">
      <w:pPr>
        <w:pStyle w:val="aDef"/>
        <w:keepNext/>
      </w:pPr>
      <w:r w:rsidRPr="00AF17FE">
        <w:rPr>
          <w:rStyle w:val="charBoldItals"/>
        </w:rPr>
        <w:t>ACT court</w:t>
      </w:r>
      <w:r w:rsidRPr="00A060B6">
        <w:t xml:space="preserve"> means the Supreme Court or Magistrates Court, and includes an entity that, in exercising a function under a territory law, is required to apply the laws of evidence. </w:t>
      </w:r>
    </w:p>
    <w:p w:rsidR="00F8610E" w:rsidRPr="00A060B6" w:rsidRDefault="00F8610E" w:rsidP="00E51812">
      <w:pPr>
        <w:pStyle w:val="aNote"/>
      </w:pPr>
      <w:r w:rsidRPr="00AF17FE">
        <w:rPr>
          <w:rStyle w:val="charItals"/>
        </w:rPr>
        <w:t>Note</w:t>
      </w:r>
      <w:r w:rsidRPr="00A060B6">
        <w:tab/>
        <w:t xml:space="preserve">This definition differs from the definition in the </w:t>
      </w:r>
      <w:hyperlink r:id="rId184" w:tooltip="Evidence Act 1995" w:history="1">
        <w:r w:rsidR="00506E3A" w:rsidRPr="001D1BCB">
          <w:rPr>
            <w:rStyle w:val="charCitHyperlinkAbbrev"/>
          </w:rPr>
          <w:t>Commonwealth Act</w:t>
        </w:r>
      </w:hyperlink>
      <w:r w:rsidRPr="00A060B6">
        <w:t>.</w:t>
      </w:r>
    </w:p>
    <w:p w:rsidR="00F8610E" w:rsidRPr="00A060B6" w:rsidRDefault="00F8610E" w:rsidP="005D1BC5">
      <w:pPr>
        <w:pStyle w:val="aDef"/>
      </w:pPr>
      <w:r w:rsidRPr="00AF17FE">
        <w:rPr>
          <w:rStyle w:val="charBoldItals"/>
        </w:rPr>
        <w:lastRenderedPageBreak/>
        <w:t>admission</w:t>
      </w:r>
      <w:r w:rsidRPr="00A060B6">
        <w:t xml:space="preserve"> means a previous representation that is— </w:t>
      </w:r>
    </w:p>
    <w:p w:rsidR="00F8610E" w:rsidRPr="00A060B6" w:rsidRDefault="00F8610E" w:rsidP="00486F06">
      <w:pPr>
        <w:pStyle w:val="aDefpara"/>
      </w:pPr>
      <w:r w:rsidRPr="00A060B6">
        <w:tab/>
        <w:t>(a)</w:t>
      </w:r>
      <w:r w:rsidRPr="00A060B6">
        <w:tab/>
        <w:t xml:space="preserve">made by a person who is or becomes a party to a proceeding (including a defendant in a criminal proceeding); and </w:t>
      </w:r>
    </w:p>
    <w:p w:rsidR="00F8610E" w:rsidRPr="00A060B6" w:rsidRDefault="00F8610E" w:rsidP="00486F06">
      <w:pPr>
        <w:pStyle w:val="aDefpara"/>
      </w:pPr>
      <w:r w:rsidRPr="00A060B6">
        <w:tab/>
        <w:t>(b)</w:t>
      </w:r>
      <w:r w:rsidRPr="00A060B6">
        <w:tab/>
        <w:t>adverse to the person’s interest in the outcome of the proceeding.</w:t>
      </w:r>
    </w:p>
    <w:p w:rsidR="00F8610E" w:rsidRPr="00A060B6" w:rsidRDefault="00F8610E" w:rsidP="005D1BC5">
      <w:pPr>
        <w:pStyle w:val="aDef"/>
      </w:pPr>
      <w:r w:rsidRPr="00AF17FE">
        <w:rPr>
          <w:rStyle w:val="charBoldItals"/>
        </w:rPr>
        <w:t>asserted fact</w:t>
      </w:r>
      <w:r w:rsidRPr="00A060B6">
        <w:t xml:space="preserve">, for part 3.2 (Hearsay)—see section 59. </w:t>
      </w:r>
    </w:p>
    <w:p w:rsidR="00F8610E" w:rsidRPr="00A060B6" w:rsidRDefault="00F8610E" w:rsidP="005D1BC5">
      <w:pPr>
        <w:pStyle w:val="aDef"/>
      </w:pPr>
      <w:r w:rsidRPr="00AF17FE">
        <w:rPr>
          <w:rStyle w:val="charBoldItals"/>
        </w:rPr>
        <w:t>associated defendant</w:t>
      </w:r>
      <w:r w:rsidRPr="00A060B6">
        <w:t xml:space="preserve">, in relation to a defendant in a criminal proceeding, means a person against whom a prosecution has been started, but not yet completed or terminated, for— </w:t>
      </w:r>
    </w:p>
    <w:p w:rsidR="00F8610E" w:rsidRPr="00A060B6" w:rsidRDefault="00F8610E" w:rsidP="00486F06">
      <w:pPr>
        <w:pStyle w:val="aDefpara"/>
      </w:pPr>
      <w:r w:rsidRPr="00A060B6">
        <w:tab/>
        <w:t>(a)</w:t>
      </w:r>
      <w:r w:rsidRPr="00A060B6">
        <w:tab/>
        <w:t xml:space="preserve">an offence that arose in relation to the same events as those in relation to which the offence for which the defendant is being prosecuted arose; or </w:t>
      </w:r>
    </w:p>
    <w:p w:rsidR="00F8610E" w:rsidRPr="00A060B6" w:rsidRDefault="00F8610E" w:rsidP="00486F06">
      <w:pPr>
        <w:pStyle w:val="aDefpara"/>
      </w:pPr>
      <w:r w:rsidRPr="00A060B6">
        <w:tab/>
        <w:t>(b)</w:t>
      </w:r>
      <w:r w:rsidRPr="00A060B6">
        <w:tab/>
        <w:t xml:space="preserve">an offence that relates to, or is connected with, the offence for which the defendant is being prosecuted. </w:t>
      </w:r>
    </w:p>
    <w:p w:rsidR="00F8610E" w:rsidRPr="00A060B6" w:rsidRDefault="00F8610E" w:rsidP="005D1BC5">
      <w:pPr>
        <w:pStyle w:val="aDef"/>
      </w:pPr>
      <w:r w:rsidRPr="00AF17FE">
        <w:rPr>
          <w:rStyle w:val="charBoldItals"/>
        </w:rPr>
        <w:t>Australia</w:t>
      </w:r>
      <w:r w:rsidRPr="00A060B6">
        <w:t xml:space="preserve"> includes the external territories.</w:t>
      </w:r>
    </w:p>
    <w:p w:rsidR="00F8610E" w:rsidRPr="00A060B6" w:rsidRDefault="00F8610E" w:rsidP="005D1BC5">
      <w:pPr>
        <w:pStyle w:val="aDef"/>
      </w:pPr>
      <w:r w:rsidRPr="00AF17FE">
        <w:rPr>
          <w:rStyle w:val="charBoldItals"/>
        </w:rPr>
        <w:t>Australian court</w:t>
      </w:r>
      <w:r w:rsidRPr="00A060B6">
        <w:t xml:space="preserve"> means— </w:t>
      </w:r>
    </w:p>
    <w:p w:rsidR="00F8610E" w:rsidRPr="00A060B6" w:rsidRDefault="00F8610E" w:rsidP="00486F06">
      <w:pPr>
        <w:pStyle w:val="aDefpara"/>
      </w:pPr>
      <w:r w:rsidRPr="00A060B6">
        <w:tab/>
        <w:t>(a)</w:t>
      </w:r>
      <w:r w:rsidRPr="00A060B6">
        <w:tab/>
        <w:t xml:space="preserve">the High Court; or </w:t>
      </w:r>
    </w:p>
    <w:p w:rsidR="00F8610E" w:rsidRPr="00A060B6" w:rsidRDefault="00F8610E" w:rsidP="00486F06">
      <w:pPr>
        <w:pStyle w:val="aDefpara"/>
      </w:pPr>
      <w:r w:rsidRPr="00A060B6">
        <w:tab/>
        <w:t>(b)</w:t>
      </w:r>
      <w:r w:rsidRPr="00A060B6">
        <w:tab/>
        <w:t xml:space="preserve">a court exercising federal jurisdiction; or </w:t>
      </w:r>
    </w:p>
    <w:p w:rsidR="00F8610E" w:rsidRPr="00A060B6" w:rsidRDefault="00F8610E" w:rsidP="00486F06">
      <w:pPr>
        <w:pStyle w:val="aDefpara"/>
      </w:pPr>
      <w:r w:rsidRPr="00A060B6">
        <w:tab/>
        <w:t>(c)</w:t>
      </w:r>
      <w:r w:rsidRPr="00A060B6">
        <w:tab/>
        <w:t xml:space="preserve">a court of a State or Territory; or </w:t>
      </w:r>
    </w:p>
    <w:p w:rsidR="00F8610E" w:rsidRPr="00A060B6" w:rsidRDefault="00F8610E" w:rsidP="00486F06">
      <w:pPr>
        <w:pStyle w:val="aDefpara"/>
      </w:pPr>
      <w:r w:rsidRPr="00A060B6">
        <w:tab/>
        <w:t>(d)</w:t>
      </w:r>
      <w:r w:rsidRPr="00A060B6">
        <w:tab/>
        <w:t xml:space="preserve">a judge, justice or arbitrator under an Australian law; or </w:t>
      </w:r>
    </w:p>
    <w:p w:rsidR="00F8610E" w:rsidRPr="00A060B6" w:rsidRDefault="00F8610E" w:rsidP="00486F06">
      <w:pPr>
        <w:pStyle w:val="aDefpara"/>
      </w:pPr>
      <w:r w:rsidRPr="00A060B6">
        <w:tab/>
        <w:t>(e)</w:t>
      </w:r>
      <w:r w:rsidRPr="00A060B6">
        <w:tab/>
        <w:t xml:space="preserve">an entity authorised by an Australian law, or by consent of parties, to hear, receive and examine evidence; or </w:t>
      </w:r>
    </w:p>
    <w:p w:rsidR="00F8610E" w:rsidRPr="00A060B6" w:rsidRDefault="00F8610E" w:rsidP="00486F06">
      <w:pPr>
        <w:pStyle w:val="aDefpara"/>
      </w:pPr>
      <w:r w:rsidRPr="00A060B6">
        <w:tab/>
        <w:t>(f)</w:t>
      </w:r>
      <w:r w:rsidRPr="00A060B6">
        <w:tab/>
        <w:t xml:space="preserve">an entity that, in exercising a function under an Australian law, is required to apply the laws of evidence. </w:t>
      </w:r>
    </w:p>
    <w:p w:rsidR="00F8610E" w:rsidRPr="00A060B6" w:rsidRDefault="00F8610E" w:rsidP="00C23C3D">
      <w:pPr>
        <w:pStyle w:val="aDef"/>
        <w:keepNext/>
      </w:pPr>
      <w:r w:rsidRPr="00AF17FE">
        <w:rPr>
          <w:rStyle w:val="charBoldItals"/>
        </w:rPr>
        <w:t xml:space="preserve">Australian law </w:t>
      </w:r>
      <w:r w:rsidRPr="00A060B6">
        <w:t xml:space="preserve">means a law of the Commonwealth, a State or Territory. </w:t>
      </w:r>
    </w:p>
    <w:p w:rsidR="00F8610E" w:rsidRPr="00A060B6" w:rsidRDefault="00F8610E" w:rsidP="001F1C8F">
      <w:pPr>
        <w:pStyle w:val="aNote"/>
      </w:pPr>
      <w:r w:rsidRPr="00AF17FE">
        <w:rPr>
          <w:rStyle w:val="charItals"/>
        </w:rPr>
        <w:t>Note</w:t>
      </w:r>
      <w:r w:rsidRPr="00A060B6">
        <w:tab/>
      </w:r>
      <w:r w:rsidRPr="00AF17FE">
        <w:rPr>
          <w:rStyle w:val="charBoldItals"/>
        </w:rPr>
        <w:t>Law</w:t>
      </w:r>
      <w:r w:rsidRPr="00A060B6">
        <w:t xml:space="preserve">—see the dictionary, pt 2. </w:t>
      </w:r>
    </w:p>
    <w:p w:rsidR="00F8610E" w:rsidRPr="00AF17FE" w:rsidRDefault="00F8610E" w:rsidP="005D1BC5">
      <w:pPr>
        <w:pStyle w:val="aDef"/>
      </w:pPr>
      <w:r w:rsidRPr="00AF17FE">
        <w:rPr>
          <w:rStyle w:val="charBoldItals"/>
        </w:rPr>
        <w:lastRenderedPageBreak/>
        <w:t>Australian lawyer</w:t>
      </w:r>
      <w:r w:rsidRPr="00A060B6">
        <w:t xml:space="preserve">—see the </w:t>
      </w:r>
      <w:hyperlink r:id="rId185" w:tooltip="A2006-25" w:history="1">
        <w:r w:rsidR="00AF17FE" w:rsidRPr="00AF17FE">
          <w:rPr>
            <w:rStyle w:val="charCitHyperlinkItal"/>
          </w:rPr>
          <w:t>Legal Profession Act 2006</w:t>
        </w:r>
      </w:hyperlink>
      <w:r w:rsidRPr="00A060B6">
        <w:t>, dictionary.</w:t>
      </w:r>
    </w:p>
    <w:p w:rsidR="00F8610E" w:rsidRPr="00AF17FE" w:rsidRDefault="00F8610E" w:rsidP="005D1BC5">
      <w:pPr>
        <w:pStyle w:val="aDef"/>
      </w:pPr>
      <w:r w:rsidRPr="00AF17FE">
        <w:rPr>
          <w:rStyle w:val="charBoldItals"/>
        </w:rPr>
        <w:t>Australian legal practitioner</w:t>
      </w:r>
      <w:r w:rsidRPr="00A060B6">
        <w:t xml:space="preserve">—see the </w:t>
      </w:r>
      <w:hyperlink r:id="rId186" w:tooltip="A2006-25" w:history="1">
        <w:r w:rsidR="00AF17FE" w:rsidRPr="00AF17FE">
          <w:rPr>
            <w:rStyle w:val="charCitHyperlinkItal"/>
          </w:rPr>
          <w:t>Legal Profession Act 2006</w:t>
        </w:r>
      </w:hyperlink>
      <w:r w:rsidRPr="00A060B6">
        <w:t>, dictionary.</w:t>
      </w:r>
    </w:p>
    <w:p w:rsidR="00F8610E" w:rsidRPr="00A060B6" w:rsidRDefault="00F8610E" w:rsidP="005D1BC5">
      <w:pPr>
        <w:pStyle w:val="aDef"/>
      </w:pPr>
      <w:r w:rsidRPr="00AF17FE">
        <w:rPr>
          <w:rStyle w:val="charBoldItals"/>
        </w:rPr>
        <w:t>Australian or overseas proceeding</w:t>
      </w:r>
      <w:r w:rsidRPr="00A060B6">
        <w:t xml:space="preserve"> means a proceeding (however described) in an Australian court or foreign court. </w:t>
      </w:r>
    </w:p>
    <w:p w:rsidR="00F8610E" w:rsidRPr="00A060B6" w:rsidRDefault="00F8610E" w:rsidP="005D1BC5">
      <w:pPr>
        <w:pStyle w:val="aDef"/>
      </w:pPr>
      <w:r w:rsidRPr="00AF17FE">
        <w:rPr>
          <w:rStyle w:val="charBoldItals"/>
        </w:rPr>
        <w:t>Australian Parliament</w:t>
      </w:r>
      <w:r w:rsidRPr="00A060B6">
        <w:t xml:space="preserve"> means the Legislative Assembly, the Commonwealth Parliament, a Parliament of a State or a Legislative Assembly of another Territory. </w:t>
      </w:r>
    </w:p>
    <w:p w:rsidR="00F8610E" w:rsidRPr="00AF17FE" w:rsidRDefault="00F8610E" w:rsidP="005D1BC5">
      <w:pPr>
        <w:pStyle w:val="aDef"/>
      </w:pPr>
      <w:r w:rsidRPr="00AF17FE">
        <w:rPr>
          <w:rStyle w:val="charBoldItals"/>
        </w:rPr>
        <w:t>Australian practising certificate</w:t>
      </w:r>
      <w:r w:rsidRPr="00A060B6">
        <w:t xml:space="preserve">—see the </w:t>
      </w:r>
      <w:hyperlink r:id="rId187" w:tooltip="A2006-25" w:history="1">
        <w:r w:rsidR="00AF17FE" w:rsidRPr="00AF17FE">
          <w:rPr>
            <w:rStyle w:val="charCitHyperlinkItal"/>
          </w:rPr>
          <w:t>Legal Profession Act 2006</w:t>
        </w:r>
      </w:hyperlink>
      <w:r w:rsidRPr="00A060B6">
        <w:t>, dictionary.</w:t>
      </w:r>
    </w:p>
    <w:p w:rsidR="00F8610E" w:rsidRPr="00AF17FE" w:rsidRDefault="00F8610E" w:rsidP="00C23C3D">
      <w:pPr>
        <w:pStyle w:val="aDef"/>
        <w:keepNext/>
      </w:pPr>
      <w:r w:rsidRPr="00AF17FE">
        <w:rPr>
          <w:rStyle w:val="charBoldItals"/>
        </w:rPr>
        <w:t>Australian-registered foreign lawyer</w:t>
      </w:r>
      <w:r w:rsidRPr="00A060B6">
        <w:t xml:space="preserve">—see the </w:t>
      </w:r>
      <w:hyperlink r:id="rId188" w:tooltip="A2006-25" w:history="1">
        <w:r w:rsidR="00AF17FE" w:rsidRPr="00AF17FE">
          <w:rPr>
            <w:rStyle w:val="charCitHyperlinkItal"/>
          </w:rPr>
          <w:t>Legal Profession Act 2006</w:t>
        </w:r>
      </w:hyperlink>
      <w:r w:rsidRPr="00A060B6">
        <w:t>, dictionary.</w:t>
      </w:r>
    </w:p>
    <w:p w:rsidR="00F8610E" w:rsidRPr="00A060B6" w:rsidRDefault="00F8610E" w:rsidP="00E51812">
      <w:pPr>
        <w:pStyle w:val="aNote"/>
      </w:pPr>
      <w:r w:rsidRPr="00A060B6">
        <w:rPr>
          <w:rStyle w:val="charItals"/>
        </w:rPr>
        <w:t>Note</w:t>
      </w:r>
      <w:r w:rsidRPr="00A060B6">
        <w:rPr>
          <w:rStyle w:val="charItals"/>
        </w:rPr>
        <w:tab/>
      </w:r>
      <w:r w:rsidRPr="00A060B6">
        <w:t xml:space="preserve">The </w:t>
      </w:r>
      <w:hyperlink r:id="rId189" w:tooltip="Evidence Act 1995" w:history="1">
        <w:r w:rsidR="00506E3A" w:rsidRPr="001D1BCB">
          <w:rPr>
            <w:rStyle w:val="charCitHyperlinkAbbrev"/>
          </w:rPr>
          <w:t>Commonwealth Act</w:t>
        </w:r>
      </w:hyperlink>
      <w:r w:rsidRPr="00A060B6">
        <w:t xml:space="preserve"> and </w:t>
      </w:r>
      <w:hyperlink r:id="rId190" w:tooltip="Act 1995 No 25 (NSW)" w:history="1">
        <w:r w:rsidR="00506E3A" w:rsidRPr="00506E3A">
          <w:rPr>
            <w:rStyle w:val="charCitHyperlinkAbbrev"/>
          </w:rPr>
          <w:t>NSW Act</w:t>
        </w:r>
      </w:hyperlink>
      <w:r w:rsidRPr="00A060B6">
        <w:t xml:space="preserve"> include a definition of </w:t>
      </w:r>
      <w:r w:rsidRPr="00AF17FE">
        <w:rPr>
          <w:rStyle w:val="charBoldItals"/>
        </w:rPr>
        <w:t>Australian statistician</w:t>
      </w:r>
      <w:r w:rsidRPr="00A060B6">
        <w:t xml:space="preserve">. In the ACT, that term is defined in the </w:t>
      </w:r>
      <w:hyperlink r:id="rId191" w:tooltip="A2001-14" w:history="1">
        <w:r w:rsidR="00AF17FE" w:rsidRPr="00AF17FE">
          <w:rPr>
            <w:rStyle w:val="charCitHyperlinkAbbrev"/>
          </w:rPr>
          <w:t>Legislation Act</w:t>
        </w:r>
      </w:hyperlink>
      <w:r w:rsidRPr="00A060B6">
        <w:t>, dictionary, pt 1.</w:t>
      </w:r>
    </w:p>
    <w:p w:rsidR="00F8610E" w:rsidRPr="00A060B6" w:rsidRDefault="00F8610E" w:rsidP="005D1BC5">
      <w:pPr>
        <w:pStyle w:val="aDef"/>
      </w:pPr>
      <w:r w:rsidRPr="00AF17FE">
        <w:rPr>
          <w:rStyle w:val="charBoldItals"/>
        </w:rPr>
        <w:t>business</w:t>
      </w:r>
      <w:r w:rsidRPr="00A060B6">
        <w:t xml:space="preserve">—see the dictionary, part 2, section 1. </w:t>
      </w:r>
    </w:p>
    <w:p w:rsidR="00F8610E" w:rsidRPr="00A060B6" w:rsidRDefault="00F8610E" w:rsidP="005D1BC5">
      <w:pPr>
        <w:pStyle w:val="aDef"/>
      </w:pPr>
      <w:r w:rsidRPr="00AF17FE">
        <w:rPr>
          <w:rStyle w:val="charBoldItals"/>
        </w:rPr>
        <w:t>case</w:t>
      </w:r>
      <w:r w:rsidRPr="00A060B6">
        <w:t xml:space="preserve"> of a party means the facts in issue in relation to which the party bears the legal burden of proof. </w:t>
      </w:r>
    </w:p>
    <w:p w:rsidR="00F8610E" w:rsidRPr="00A060B6" w:rsidRDefault="00F8610E" w:rsidP="00C23C3D">
      <w:pPr>
        <w:pStyle w:val="aDef"/>
        <w:keepNext/>
      </w:pPr>
      <w:r w:rsidRPr="00AF17FE">
        <w:rPr>
          <w:rStyle w:val="charBoldItals"/>
        </w:rPr>
        <w:t>child</w:t>
      </w:r>
      <w:r w:rsidRPr="00A060B6">
        <w:rPr>
          <w:bCs/>
          <w:iCs/>
        </w:rPr>
        <w:t>—see the dictionary, part 2, section 10 (1)</w:t>
      </w:r>
      <w:r w:rsidRPr="00A060B6">
        <w:t xml:space="preserve">. </w:t>
      </w:r>
    </w:p>
    <w:p w:rsidR="00F8610E" w:rsidRPr="00A060B6" w:rsidRDefault="00F8610E" w:rsidP="00E51812">
      <w:pPr>
        <w:pStyle w:val="aNote"/>
      </w:pPr>
      <w:r w:rsidRPr="00A060B6">
        <w:rPr>
          <w:rStyle w:val="charItals"/>
        </w:rPr>
        <w:t>Note</w:t>
      </w:r>
      <w:r w:rsidRPr="00A060B6">
        <w:rPr>
          <w:rStyle w:val="charItals"/>
        </w:rPr>
        <w:tab/>
      </w:r>
      <w:r w:rsidRPr="00AF17FE">
        <w:rPr>
          <w:rStyle w:val="charBoldItals"/>
        </w:rPr>
        <w:t>Child</w:t>
      </w:r>
      <w:r w:rsidRPr="00AF17FE">
        <w:t xml:space="preserve"> is also defined in the </w:t>
      </w:r>
      <w:hyperlink r:id="rId192" w:tooltip="A2001-14" w:history="1">
        <w:r w:rsidR="00AF17FE" w:rsidRPr="00AF17FE">
          <w:rPr>
            <w:rStyle w:val="charCitHyperlinkAbbrev"/>
          </w:rPr>
          <w:t>Legislation Act</w:t>
        </w:r>
      </w:hyperlink>
      <w:r w:rsidRPr="00A060B6">
        <w:t>, dictionary, pt 1.</w:t>
      </w:r>
    </w:p>
    <w:p w:rsidR="00F8610E" w:rsidRPr="00A060B6" w:rsidRDefault="00F8610E" w:rsidP="005D1BC5">
      <w:pPr>
        <w:pStyle w:val="aDef"/>
      </w:pPr>
      <w:r w:rsidRPr="00AF17FE">
        <w:rPr>
          <w:rStyle w:val="charBoldItals"/>
        </w:rPr>
        <w:t>civil penalty</w:t>
      </w:r>
      <w:r w:rsidRPr="00A060B6">
        <w:t xml:space="preserve">—see the dictionary, part 2, section 3. </w:t>
      </w:r>
    </w:p>
    <w:p w:rsidR="00F8610E" w:rsidRPr="00A060B6" w:rsidRDefault="00F8610E" w:rsidP="005D1BC5">
      <w:pPr>
        <w:pStyle w:val="aDef"/>
      </w:pPr>
      <w:r w:rsidRPr="00AF17FE">
        <w:rPr>
          <w:rStyle w:val="charBoldItals"/>
        </w:rPr>
        <w:t>civil proceeding</w:t>
      </w:r>
      <w:r w:rsidRPr="00A060B6">
        <w:t xml:space="preserve"> means a proceeding other than a criminal proceeding. </w:t>
      </w:r>
    </w:p>
    <w:p w:rsidR="00F8610E" w:rsidRPr="00A060B6" w:rsidRDefault="00F8610E" w:rsidP="005D1BC5">
      <w:pPr>
        <w:pStyle w:val="aDef"/>
      </w:pPr>
      <w:r w:rsidRPr="00AF17FE">
        <w:rPr>
          <w:rStyle w:val="charBoldItals"/>
        </w:rPr>
        <w:t>client</w:t>
      </w:r>
      <w:r w:rsidRPr="00A060B6">
        <w:t xml:space="preserve">, for division 3.10.1 (Client legal privilege)—see section 117. </w:t>
      </w:r>
    </w:p>
    <w:p w:rsidR="00F8610E" w:rsidRPr="00A060B6" w:rsidRDefault="00F8610E" w:rsidP="005D1BC5">
      <w:pPr>
        <w:pStyle w:val="aDef"/>
      </w:pPr>
      <w:r w:rsidRPr="00AF17FE">
        <w:rPr>
          <w:rStyle w:val="charBoldItals"/>
        </w:rPr>
        <w:t>coincidence evidence</w:t>
      </w:r>
      <w:r w:rsidRPr="00A060B6">
        <w:t xml:space="preserve"> means evidence of a kind mentioned in section 98 (1) that a party seeks to present for the purpose mentioned in that subsection.</w:t>
      </w:r>
    </w:p>
    <w:p w:rsidR="00F8610E" w:rsidRPr="00A060B6" w:rsidRDefault="00F8610E" w:rsidP="005D1BC5">
      <w:pPr>
        <w:pStyle w:val="aDef"/>
      </w:pPr>
      <w:r w:rsidRPr="00AF17FE">
        <w:rPr>
          <w:rStyle w:val="charBoldItals"/>
        </w:rPr>
        <w:t>coincidence rule</w:t>
      </w:r>
      <w:r w:rsidRPr="00A060B6">
        <w:t xml:space="preserve"> means the rule mentioned in section 98 (1). </w:t>
      </w:r>
    </w:p>
    <w:p w:rsidR="00F8610E" w:rsidRPr="00A060B6" w:rsidRDefault="00F8610E" w:rsidP="00C23C3D">
      <w:pPr>
        <w:pStyle w:val="aDef"/>
        <w:keepNext/>
      </w:pPr>
      <w:r w:rsidRPr="00AF17FE">
        <w:rPr>
          <w:rStyle w:val="charBoldItals"/>
        </w:rPr>
        <w:lastRenderedPageBreak/>
        <w:t>Commonwealth Act</w:t>
      </w:r>
      <w:r w:rsidRPr="00A060B6">
        <w:t xml:space="preserve"> means the </w:t>
      </w:r>
      <w:hyperlink r:id="rId193" w:tooltip="Act 1995 No 2 (Cwlth)" w:history="1">
        <w:r w:rsidR="001D1BCB" w:rsidRPr="001D1BCB">
          <w:rPr>
            <w:rStyle w:val="charCitHyperlinkItal"/>
          </w:rPr>
          <w:t>Evidence Act 1995</w:t>
        </w:r>
      </w:hyperlink>
      <w:r w:rsidRPr="00AF17FE">
        <w:rPr>
          <w:rStyle w:val="charItals"/>
        </w:rPr>
        <w:t xml:space="preserve"> </w:t>
      </w:r>
      <w:r w:rsidRPr="00A060B6">
        <w:t>(Cwlth).</w:t>
      </w:r>
    </w:p>
    <w:p w:rsidR="00F8610E" w:rsidRPr="00A060B6" w:rsidRDefault="00F8610E" w:rsidP="00E51812">
      <w:pPr>
        <w:pStyle w:val="aNote"/>
      </w:pPr>
      <w:r w:rsidRPr="00AF17FE">
        <w:rPr>
          <w:rStyle w:val="charItals"/>
        </w:rPr>
        <w:t>Note</w:t>
      </w:r>
      <w:r w:rsidRPr="00A060B6">
        <w:tab/>
        <w:t xml:space="preserve">The </w:t>
      </w:r>
      <w:hyperlink r:id="rId194" w:tooltip="Evidence Act 1995" w:history="1">
        <w:r w:rsidR="00506E3A" w:rsidRPr="001D1BCB">
          <w:rPr>
            <w:rStyle w:val="charCitHyperlinkAbbrev"/>
          </w:rPr>
          <w:t>Commonwealth Act</w:t>
        </w:r>
      </w:hyperlink>
      <w:r w:rsidRPr="00A060B6">
        <w:t xml:space="preserve"> does not include this definition. </w:t>
      </w:r>
    </w:p>
    <w:p w:rsidR="00F8610E" w:rsidRPr="00A060B6" w:rsidRDefault="00F8610E" w:rsidP="005D1BC5">
      <w:pPr>
        <w:pStyle w:val="aDef"/>
      </w:pPr>
      <w:r w:rsidRPr="00AF17FE">
        <w:rPr>
          <w:rStyle w:val="charBoldItals"/>
        </w:rPr>
        <w:t>Commonwealth-owned body corporate</w:t>
      </w:r>
      <w:r w:rsidRPr="00A060B6">
        <w:t xml:space="preserve"> means a body corporate that, were the Commonwealth a body corporate, would, for the purposes of the </w:t>
      </w:r>
      <w:hyperlink r:id="rId195" w:tooltip="Act 2001 No 50 (Cwlth)" w:history="1">
        <w:r w:rsidR="00AF17FE" w:rsidRPr="00AF17FE">
          <w:rPr>
            <w:rStyle w:val="charCitHyperlinkAbbrev"/>
          </w:rPr>
          <w:t>Corporations Act</w:t>
        </w:r>
      </w:hyperlink>
      <w:r w:rsidRPr="00A060B6">
        <w:t xml:space="preserve">, be— </w:t>
      </w:r>
    </w:p>
    <w:p w:rsidR="00F8610E" w:rsidRPr="00A060B6" w:rsidRDefault="00F8610E" w:rsidP="00486F06">
      <w:pPr>
        <w:pStyle w:val="aDefpara"/>
      </w:pPr>
      <w:r w:rsidRPr="00A060B6">
        <w:tab/>
        <w:t>(a)</w:t>
      </w:r>
      <w:r w:rsidRPr="00A060B6">
        <w:tab/>
        <w:t xml:space="preserve">a wholly-owned subsidiary of the Commonwealth; or </w:t>
      </w:r>
    </w:p>
    <w:p w:rsidR="00F8610E" w:rsidRPr="00A060B6" w:rsidRDefault="00F8610E" w:rsidP="00486F06">
      <w:pPr>
        <w:pStyle w:val="aDefpara"/>
      </w:pPr>
      <w:r w:rsidRPr="00A060B6">
        <w:tab/>
        <w:t>(b)</w:t>
      </w:r>
      <w:r w:rsidRPr="00A060B6">
        <w:tab/>
        <w:t xml:space="preserve">a wholly-owned subsidiary of another body corporate that is, under this definition, a Commonwealth-owned body corporate because of the application of paragraph (a) (including the application of that paragraph together with another application or other applications of this paragraph). </w:t>
      </w:r>
    </w:p>
    <w:p w:rsidR="00F8610E" w:rsidRPr="00A060B6" w:rsidRDefault="00F8610E" w:rsidP="005D1BC5">
      <w:pPr>
        <w:pStyle w:val="aDef"/>
      </w:pPr>
      <w:r w:rsidRPr="00AF17FE">
        <w:rPr>
          <w:rStyle w:val="charBoldItals"/>
        </w:rPr>
        <w:t>Commonwealth record</w:t>
      </w:r>
      <w:r w:rsidRPr="00A060B6">
        <w:t xml:space="preserve">—see the </w:t>
      </w:r>
      <w:hyperlink r:id="rId196" w:tooltip="Act 1995 No 2 (Cwlth)" w:history="1">
        <w:r w:rsidR="001D1BCB" w:rsidRPr="001D1BCB">
          <w:rPr>
            <w:rStyle w:val="charCitHyperlinkItal"/>
          </w:rPr>
          <w:t>Evidence Act 1995</w:t>
        </w:r>
      </w:hyperlink>
      <w:r w:rsidRPr="00AF17FE">
        <w:rPr>
          <w:rStyle w:val="charItals"/>
        </w:rPr>
        <w:t xml:space="preserve"> </w:t>
      </w:r>
      <w:r w:rsidRPr="00A060B6">
        <w:t>(Cwlth), dictionary.</w:t>
      </w:r>
    </w:p>
    <w:p w:rsidR="001424EB" w:rsidRPr="00F1390F" w:rsidRDefault="001424EB" w:rsidP="001424EB">
      <w:pPr>
        <w:pStyle w:val="aDef"/>
        <w:numPr>
          <w:ilvl w:val="5"/>
          <w:numId w:val="0"/>
        </w:numPr>
        <w:ind w:left="1100"/>
      </w:pPr>
      <w:r w:rsidRPr="00AF17FE">
        <w:rPr>
          <w:rStyle w:val="charBoldItals"/>
        </w:rPr>
        <w:t>confidant</w:t>
      </w:r>
      <w:r w:rsidRPr="00F1390F">
        <w:t>, for division 3.10.1A (Professional confidential relationship privilege)—see section 126A (1).</w:t>
      </w:r>
    </w:p>
    <w:p w:rsidR="00F8610E" w:rsidRPr="00A060B6" w:rsidRDefault="00F8610E" w:rsidP="005D1BC5">
      <w:pPr>
        <w:pStyle w:val="aDef"/>
      </w:pPr>
      <w:r w:rsidRPr="00AF17FE">
        <w:rPr>
          <w:rStyle w:val="charBoldItals"/>
        </w:rPr>
        <w:t>confidential communication</w:t>
      </w:r>
      <w:r w:rsidRPr="00A060B6">
        <w:t>, for division 3.10.1 (Client legal privilege)</w:t>
      </w:r>
      <w:r w:rsidRPr="00A060B6">
        <w:rPr>
          <w:bCs/>
          <w:iCs/>
        </w:rPr>
        <w:t>—see</w:t>
      </w:r>
      <w:r w:rsidRPr="00A060B6">
        <w:t xml:space="preserve"> section 117. </w:t>
      </w:r>
    </w:p>
    <w:p w:rsidR="00F8610E" w:rsidRPr="00A060B6" w:rsidRDefault="00F8610E" w:rsidP="005D1BC5">
      <w:pPr>
        <w:pStyle w:val="aDef"/>
      </w:pPr>
      <w:r w:rsidRPr="00AF17FE">
        <w:rPr>
          <w:rStyle w:val="charBoldItals"/>
        </w:rPr>
        <w:t>confidential document</w:t>
      </w:r>
      <w:r w:rsidRPr="00A060B6">
        <w:t xml:space="preserve">, for division 3.10.1 (Client legal privilege)—see section 117. </w:t>
      </w:r>
    </w:p>
    <w:p w:rsidR="00F8610E" w:rsidRPr="00A060B6" w:rsidRDefault="00F8610E" w:rsidP="00C23C3D">
      <w:pPr>
        <w:pStyle w:val="aDef"/>
        <w:keepNext/>
      </w:pPr>
      <w:r w:rsidRPr="00AF17FE">
        <w:rPr>
          <w:rStyle w:val="charBoldItals"/>
        </w:rPr>
        <w:t>court</w:t>
      </w:r>
      <w:r w:rsidRPr="00A060B6">
        <w:t xml:space="preserve"> means ACT court.</w:t>
      </w:r>
    </w:p>
    <w:p w:rsidR="00F8610E" w:rsidRPr="00A060B6" w:rsidRDefault="00F8610E" w:rsidP="00C30977">
      <w:pPr>
        <w:pStyle w:val="aNote"/>
      </w:pPr>
      <w:r w:rsidRPr="00AF17FE">
        <w:rPr>
          <w:rStyle w:val="charItals"/>
        </w:rPr>
        <w:t>Note</w:t>
      </w:r>
      <w:r w:rsidRPr="00A060B6">
        <w:tab/>
        <w:t xml:space="preserve">The </w:t>
      </w:r>
      <w:hyperlink r:id="rId197" w:tooltip="Evidence Act 1995" w:history="1">
        <w:r w:rsidR="00506E3A" w:rsidRPr="001D1BCB">
          <w:rPr>
            <w:rStyle w:val="charCitHyperlinkAbbrev"/>
          </w:rPr>
          <w:t>Commonwealth Act</w:t>
        </w:r>
      </w:hyperlink>
      <w:r w:rsidRPr="00A060B6">
        <w:t xml:space="preserve"> does not include this definition. </w:t>
      </w:r>
    </w:p>
    <w:p w:rsidR="00F8610E" w:rsidRPr="00A060B6" w:rsidRDefault="00F8610E" w:rsidP="00693590">
      <w:pPr>
        <w:pStyle w:val="aDef"/>
        <w:keepNext/>
        <w:keepLines/>
      </w:pPr>
      <w:r w:rsidRPr="00AF17FE">
        <w:rPr>
          <w:rStyle w:val="charBoldItals"/>
        </w:rPr>
        <w:lastRenderedPageBreak/>
        <w:t>credibility</w:t>
      </w:r>
      <w:r w:rsidRPr="00A060B6">
        <w:t>—</w:t>
      </w:r>
    </w:p>
    <w:p w:rsidR="00F8610E" w:rsidRPr="00A060B6" w:rsidRDefault="00F8610E" w:rsidP="00693590">
      <w:pPr>
        <w:pStyle w:val="Apara"/>
        <w:keepNext/>
        <w:keepLines/>
      </w:pPr>
      <w:r w:rsidRPr="00A060B6">
        <w:tab/>
        <w:t>(a)</w:t>
      </w:r>
      <w:r w:rsidRPr="00A060B6">
        <w:tab/>
        <w:t>of a person who has made a representation that has been admitted in evidence—means the credibility of the representation, and includes the person’s ability to observe or remember facts and events about which the person made the representation; and</w:t>
      </w:r>
    </w:p>
    <w:p w:rsidR="00F8610E" w:rsidRPr="00A060B6" w:rsidRDefault="00F8610E" w:rsidP="00454252">
      <w:pPr>
        <w:pStyle w:val="Apara"/>
        <w:keepLines/>
      </w:pPr>
      <w:r w:rsidRPr="00A060B6">
        <w:tab/>
        <w:t>(b)</w:t>
      </w:r>
      <w:r w:rsidRPr="00A060B6">
        <w:tab/>
        <w:t xml:space="preserve">of a witness—means the credibility of any part or all of the evidence of the witness, and includes the witness’s ability to observe or remember facts and events about which the witness has given, is giving or is to give evidence. </w:t>
      </w:r>
    </w:p>
    <w:p w:rsidR="00F8610E" w:rsidRPr="00A060B6" w:rsidRDefault="00F8610E" w:rsidP="005D1BC5">
      <w:pPr>
        <w:pStyle w:val="aDef"/>
      </w:pPr>
      <w:r w:rsidRPr="00AF17FE">
        <w:rPr>
          <w:rStyle w:val="charBoldItals"/>
        </w:rPr>
        <w:t>credibility evidence</w:t>
      </w:r>
      <w:r w:rsidRPr="00A060B6">
        <w:t>—see section 101A.</w:t>
      </w:r>
    </w:p>
    <w:p w:rsidR="00F8610E" w:rsidRPr="00A060B6" w:rsidRDefault="00F8610E" w:rsidP="005D1BC5">
      <w:pPr>
        <w:pStyle w:val="aDef"/>
      </w:pPr>
      <w:r w:rsidRPr="00AF17FE">
        <w:rPr>
          <w:rStyle w:val="charBoldItals"/>
        </w:rPr>
        <w:t>credibility rule</w:t>
      </w:r>
      <w:r w:rsidRPr="00A060B6">
        <w:t xml:space="preserve"> means the rule mentioned in section 102. </w:t>
      </w:r>
    </w:p>
    <w:p w:rsidR="00F8610E" w:rsidRPr="00A060B6" w:rsidRDefault="00F8610E" w:rsidP="005D1BC5">
      <w:pPr>
        <w:pStyle w:val="aDef"/>
      </w:pPr>
      <w:r w:rsidRPr="00AF17FE">
        <w:rPr>
          <w:rStyle w:val="charBoldItals"/>
        </w:rPr>
        <w:t>criminal proceeding</w:t>
      </w:r>
      <w:r w:rsidRPr="00A060B6">
        <w:t xml:space="preserve"> means a prosecution for an offence and includes—</w:t>
      </w:r>
    </w:p>
    <w:p w:rsidR="00F8610E" w:rsidRPr="00A060B6" w:rsidRDefault="00F8610E" w:rsidP="00486F06">
      <w:pPr>
        <w:pStyle w:val="aDefpara"/>
      </w:pPr>
      <w:r w:rsidRPr="00A060B6">
        <w:tab/>
        <w:t>(a)</w:t>
      </w:r>
      <w:r w:rsidRPr="00A060B6">
        <w:tab/>
        <w:t xml:space="preserve">a proceeding for the committal of a person for trial or sentence for an offence; and </w:t>
      </w:r>
    </w:p>
    <w:p w:rsidR="00F8610E" w:rsidRPr="00A060B6" w:rsidRDefault="00F8610E" w:rsidP="00486F06">
      <w:pPr>
        <w:pStyle w:val="aDefpara"/>
      </w:pPr>
      <w:r w:rsidRPr="00A060B6">
        <w:tab/>
        <w:t>(b)</w:t>
      </w:r>
      <w:r w:rsidRPr="00A060B6">
        <w:tab/>
        <w:t xml:space="preserve">a proceeding relating to bail; </w:t>
      </w:r>
    </w:p>
    <w:p w:rsidR="00F8610E" w:rsidRPr="00A060B6" w:rsidRDefault="00F8610E" w:rsidP="00E51812">
      <w:pPr>
        <w:pStyle w:val="Amainreturn"/>
      </w:pPr>
      <w:r w:rsidRPr="00A060B6">
        <w:t xml:space="preserve">but does not include a prosecution for an offence that is a prescribed taxation offence within the meaning of the </w:t>
      </w:r>
      <w:hyperlink r:id="rId198" w:tooltip="Act 1953 No 1 (Cwlth)" w:history="1">
        <w:r w:rsidR="00612504" w:rsidRPr="00046021">
          <w:rPr>
            <w:rStyle w:val="charCitHyperlinkItal"/>
          </w:rPr>
          <w:t>Taxation Administration Act 1953</w:t>
        </w:r>
      </w:hyperlink>
      <w:r w:rsidRPr="00AF17FE">
        <w:rPr>
          <w:rStyle w:val="charItals"/>
        </w:rPr>
        <w:t xml:space="preserve"> </w:t>
      </w:r>
      <w:r w:rsidRPr="00A060B6">
        <w:rPr>
          <w:iCs/>
        </w:rPr>
        <w:t>(Cwlth), part 3</w:t>
      </w:r>
      <w:r w:rsidRPr="00A060B6">
        <w:t xml:space="preserve">. </w:t>
      </w:r>
    </w:p>
    <w:p w:rsidR="00F8610E" w:rsidRPr="00A060B6" w:rsidRDefault="00F8610E" w:rsidP="005D1BC5">
      <w:pPr>
        <w:pStyle w:val="aDef"/>
      </w:pPr>
      <w:r w:rsidRPr="00AF17FE">
        <w:rPr>
          <w:rStyle w:val="charBoldItals"/>
        </w:rPr>
        <w:t>cross-examination</w:t>
      </w:r>
      <w:r w:rsidRPr="00A060B6">
        <w:t>—see the dictionary, part 2, section 2 (2).</w:t>
      </w:r>
    </w:p>
    <w:p w:rsidR="00F8610E" w:rsidRPr="00A060B6" w:rsidRDefault="00F8610E" w:rsidP="00C23C3D">
      <w:pPr>
        <w:pStyle w:val="aDef"/>
        <w:keepNext/>
      </w:pPr>
      <w:r w:rsidRPr="00AF17FE">
        <w:rPr>
          <w:rStyle w:val="charBoldItals"/>
        </w:rPr>
        <w:t>cross-examiner</w:t>
      </w:r>
      <w:r w:rsidRPr="00A060B6">
        <w:t xml:space="preserve"> means a party who is cross-examining a witness. </w:t>
      </w:r>
    </w:p>
    <w:p w:rsidR="00F8610E" w:rsidRPr="00AF17FE" w:rsidRDefault="00F8610E" w:rsidP="008B79B8">
      <w:pPr>
        <w:pStyle w:val="aNote"/>
      </w:pPr>
      <w:r w:rsidRPr="00AF17FE">
        <w:rPr>
          <w:rStyle w:val="charItals"/>
        </w:rPr>
        <w:t>Note</w:t>
      </w:r>
      <w:r w:rsidRPr="00AF17FE">
        <w:rPr>
          <w:rStyle w:val="charItals"/>
        </w:rPr>
        <w:tab/>
      </w:r>
      <w:r w:rsidRPr="00A060B6">
        <w:t xml:space="preserve">The </w:t>
      </w:r>
      <w:hyperlink r:id="rId199" w:tooltip="Evidence Act 1995" w:history="1">
        <w:r w:rsidR="00506E3A" w:rsidRPr="001D1BCB">
          <w:rPr>
            <w:rStyle w:val="charCitHyperlinkAbbrev"/>
          </w:rPr>
          <w:t>Commonwealth Act</w:t>
        </w:r>
      </w:hyperlink>
      <w:r w:rsidRPr="00A060B6">
        <w:t xml:space="preserve"> and </w:t>
      </w:r>
      <w:hyperlink r:id="rId200" w:tooltip="Act 1995 No 25 (NSW)" w:history="1">
        <w:r w:rsidR="00506E3A" w:rsidRPr="00506E3A">
          <w:rPr>
            <w:rStyle w:val="charCitHyperlinkAbbrev"/>
          </w:rPr>
          <w:t>NSW Act</w:t>
        </w:r>
      </w:hyperlink>
      <w:r w:rsidRPr="00A060B6">
        <w:t xml:space="preserve"> include a definition of </w:t>
      </w:r>
      <w:r w:rsidRPr="00AF17FE">
        <w:rPr>
          <w:rStyle w:val="charBoldItals"/>
        </w:rPr>
        <w:t>de facto partner</w:t>
      </w:r>
      <w:r w:rsidRPr="00A060B6">
        <w:t xml:space="preserve">.  In the ACT, the term </w:t>
      </w:r>
      <w:r w:rsidRPr="00AF17FE">
        <w:rPr>
          <w:rStyle w:val="charBoldItals"/>
        </w:rPr>
        <w:t>domestic partner</w:t>
      </w:r>
      <w:r w:rsidRPr="00A060B6">
        <w:t xml:space="preserve"> is used.  That term is defined in the </w:t>
      </w:r>
      <w:hyperlink r:id="rId201" w:tooltip="A2001-14" w:history="1">
        <w:r w:rsidR="00AF17FE" w:rsidRPr="00AF17FE">
          <w:rPr>
            <w:rStyle w:val="charCitHyperlinkAbbrev"/>
          </w:rPr>
          <w:t>Legislation Act</w:t>
        </w:r>
      </w:hyperlink>
      <w:r w:rsidRPr="00A060B6">
        <w:t>, s 169 (1).</w:t>
      </w:r>
    </w:p>
    <w:p w:rsidR="00F8610E" w:rsidRPr="00A060B6" w:rsidRDefault="00F8610E" w:rsidP="00C23C3D">
      <w:pPr>
        <w:pStyle w:val="aDef"/>
        <w:keepNext/>
      </w:pPr>
      <w:r w:rsidRPr="00AF17FE">
        <w:rPr>
          <w:rStyle w:val="charBoldItals"/>
        </w:rPr>
        <w:t>document</w:t>
      </w:r>
      <w:r w:rsidRPr="00A060B6">
        <w:t>—see the dictionary, part 2, section 8.</w:t>
      </w:r>
    </w:p>
    <w:p w:rsidR="00F8610E" w:rsidRPr="00A060B6" w:rsidRDefault="00F8610E" w:rsidP="00E51812">
      <w:pPr>
        <w:pStyle w:val="aNote"/>
      </w:pPr>
      <w:r w:rsidRPr="00A060B6">
        <w:rPr>
          <w:rStyle w:val="charItals"/>
        </w:rPr>
        <w:t>Note</w:t>
      </w:r>
      <w:r w:rsidRPr="00A060B6">
        <w:rPr>
          <w:rStyle w:val="charItals"/>
        </w:rPr>
        <w:tab/>
      </w:r>
      <w:r w:rsidRPr="00AF17FE">
        <w:rPr>
          <w:rStyle w:val="charBoldItals"/>
        </w:rPr>
        <w:t>Document</w:t>
      </w:r>
      <w:r w:rsidRPr="00AF17FE">
        <w:t xml:space="preserve"> is also defined in the </w:t>
      </w:r>
      <w:hyperlink r:id="rId202" w:tooltip="A2001-14" w:history="1">
        <w:r w:rsidR="00AF17FE" w:rsidRPr="00AF17FE">
          <w:rPr>
            <w:rStyle w:val="charCitHyperlinkAbbrev"/>
          </w:rPr>
          <w:t>Legislation Act</w:t>
        </w:r>
      </w:hyperlink>
      <w:r w:rsidRPr="00A060B6">
        <w:t>, dictionary, pt 1.</w:t>
      </w:r>
    </w:p>
    <w:p w:rsidR="00F8610E" w:rsidRPr="00A060B6" w:rsidRDefault="00F8610E" w:rsidP="005D1BC5">
      <w:pPr>
        <w:pStyle w:val="aDef"/>
      </w:pPr>
      <w:r w:rsidRPr="00AF17FE">
        <w:rPr>
          <w:rStyle w:val="charBoldItals"/>
        </w:rPr>
        <w:t>document in question</w:t>
      </w:r>
      <w:r w:rsidRPr="00A060B6">
        <w:t>, for part 2.2 (Documents)—see section 47.</w:t>
      </w:r>
    </w:p>
    <w:p w:rsidR="00F8610E" w:rsidRPr="00A060B6" w:rsidRDefault="00F8610E" w:rsidP="005D1BC5">
      <w:pPr>
        <w:pStyle w:val="aDef"/>
      </w:pPr>
      <w:r w:rsidRPr="00AF17FE">
        <w:rPr>
          <w:rStyle w:val="charBoldItals"/>
        </w:rPr>
        <w:lastRenderedPageBreak/>
        <w:t>electronic communication</w:t>
      </w:r>
      <w:r w:rsidRPr="00A060B6">
        <w:t xml:space="preserve">—see the </w:t>
      </w:r>
      <w:hyperlink r:id="rId203" w:tooltip="A2001-10" w:history="1">
        <w:r w:rsidR="00AF17FE" w:rsidRPr="00AF17FE">
          <w:rPr>
            <w:rStyle w:val="charCitHyperlinkItal"/>
          </w:rPr>
          <w:t>Electronic Transactions Act 2001</w:t>
        </w:r>
      </w:hyperlink>
      <w:r w:rsidRPr="00A060B6">
        <w:t>, dictionary.</w:t>
      </w:r>
    </w:p>
    <w:p w:rsidR="00F8610E" w:rsidRPr="00A060B6" w:rsidRDefault="00F8610E" w:rsidP="00C23C3D">
      <w:pPr>
        <w:pStyle w:val="aDef"/>
        <w:keepNext/>
      </w:pPr>
      <w:r w:rsidRPr="00AF17FE">
        <w:rPr>
          <w:rStyle w:val="charBoldItals"/>
        </w:rPr>
        <w:t>examination-in-chief</w:t>
      </w:r>
      <w:r w:rsidRPr="00A060B6">
        <w:t xml:space="preserve">—see the dictionary, part 2, section 2 (1). </w:t>
      </w:r>
    </w:p>
    <w:p w:rsidR="00F8610E" w:rsidRPr="00A060B6" w:rsidRDefault="00F8610E" w:rsidP="00E51812">
      <w:pPr>
        <w:pStyle w:val="aNote"/>
      </w:pPr>
      <w:r w:rsidRPr="00A060B6">
        <w:rPr>
          <w:rStyle w:val="charItals"/>
        </w:rPr>
        <w:t>Note</w:t>
      </w:r>
      <w:r w:rsidRPr="00A060B6">
        <w:rPr>
          <w:rStyle w:val="charItals"/>
        </w:rPr>
        <w:tab/>
      </w:r>
      <w:r w:rsidRPr="00A060B6">
        <w:t xml:space="preserve">The </w:t>
      </w:r>
      <w:hyperlink r:id="rId204" w:tooltip="Evidence Act 1995" w:history="1">
        <w:r w:rsidR="00506E3A" w:rsidRPr="001D1BCB">
          <w:rPr>
            <w:rStyle w:val="charCitHyperlinkAbbrev"/>
          </w:rPr>
          <w:t>Commonwealth Act</w:t>
        </w:r>
      </w:hyperlink>
      <w:r w:rsidRPr="00A060B6">
        <w:t xml:space="preserve"> and </w:t>
      </w:r>
      <w:hyperlink r:id="rId205" w:tooltip="Act 1995 No 25 (NSW)" w:history="1">
        <w:r w:rsidR="00506E3A" w:rsidRPr="00506E3A">
          <w:rPr>
            <w:rStyle w:val="charCitHyperlinkAbbrev"/>
          </w:rPr>
          <w:t>NSW Act</w:t>
        </w:r>
      </w:hyperlink>
      <w:r w:rsidRPr="00A060B6">
        <w:t xml:space="preserve"> include a definition of </w:t>
      </w:r>
      <w:r w:rsidRPr="00AF17FE">
        <w:rPr>
          <w:rStyle w:val="charBoldItals"/>
        </w:rPr>
        <w:t>exercise</w:t>
      </w:r>
      <w:r w:rsidRPr="00A060B6">
        <w:t xml:space="preserve"> of a function. In the ACT, that term is defined in the </w:t>
      </w:r>
      <w:hyperlink r:id="rId206" w:tooltip="A2001-14" w:history="1">
        <w:r w:rsidR="00AF17FE" w:rsidRPr="00AF17FE">
          <w:rPr>
            <w:rStyle w:val="charCitHyperlinkAbbrev"/>
          </w:rPr>
          <w:t>Legislation Act</w:t>
        </w:r>
      </w:hyperlink>
      <w:r w:rsidRPr="00A060B6">
        <w:t>, dictionary, pt 1.</w:t>
      </w:r>
    </w:p>
    <w:p w:rsidR="00F8610E" w:rsidRPr="00A060B6" w:rsidRDefault="00F8610E" w:rsidP="00C23C3D">
      <w:pPr>
        <w:pStyle w:val="aDef"/>
        <w:keepNext/>
      </w:pPr>
      <w:r w:rsidRPr="00AF17FE">
        <w:rPr>
          <w:rStyle w:val="charBoldItals"/>
        </w:rPr>
        <w:t>fax</w:t>
      </w:r>
      <w:r w:rsidRPr="00A060B6">
        <w:t xml:space="preserve">, in relation to a document, means a copy of the document that has been reproduced by facsimile telegraphy. </w:t>
      </w:r>
    </w:p>
    <w:p w:rsidR="00F8610E" w:rsidRPr="00A060B6" w:rsidRDefault="00F8610E" w:rsidP="00E51812">
      <w:pPr>
        <w:pStyle w:val="aNote"/>
      </w:pPr>
      <w:r w:rsidRPr="00AF17FE">
        <w:rPr>
          <w:rStyle w:val="charItals"/>
        </w:rPr>
        <w:t>Note</w:t>
      </w:r>
      <w:r w:rsidRPr="00A060B6">
        <w:tab/>
        <w:t xml:space="preserve">The </w:t>
      </w:r>
      <w:hyperlink r:id="rId207" w:tooltip="Evidence Act 1995" w:history="1">
        <w:r w:rsidR="00506E3A" w:rsidRPr="001D1BCB">
          <w:rPr>
            <w:rStyle w:val="charCitHyperlinkAbbrev"/>
          </w:rPr>
          <w:t>Commonwealth Act</w:t>
        </w:r>
      </w:hyperlink>
      <w:r w:rsidRPr="00A060B6">
        <w:t xml:space="preserve"> includes a definition of </w:t>
      </w:r>
      <w:r w:rsidRPr="00AF17FE">
        <w:rPr>
          <w:rStyle w:val="charBoldItals"/>
        </w:rPr>
        <w:t>federal court</w:t>
      </w:r>
      <w:r w:rsidRPr="00A060B6">
        <w:t>.</w:t>
      </w:r>
    </w:p>
    <w:p w:rsidR="00F8610E" w:rsidRPr="00A060B6" w:rsidRDefault="00F8610E" w:rsidP="00C23C3D">
      <w:pPr>
        <w:pStyle w:val="aDef"/>
        <w:keepNext/>
      </w:pPr>
      <w:r w:rsidRPr="00AF17FE">
        <w:rPr>
          <w:rStyle w:val="charBoldItals"/>
        </w:rPr>
        <w:t>foreign court</w:t>
      </w:r>
      <w:r w:rsidRPr="00A060B6">
        <w:t xml:space="preserve"> means any court (including any entity authorised to take or receive evidence, whether on behalf of a court or otherwise and whether or not the entity is empowered to require the answering of questions or the production of documents) of a foreign country or part of that country. </w:t>
      </w:r>
    </w:p>
    <w:p w:rsidR="00F8610E" w:rsidRPr="00A060B6" w:rsidRDefault="002C1B1A" w:rsidP="00E51812">
      <w:pPr>
        <w:pStyle w:val="aNote"/>
      </w:pPr>
      <w:r>
        <w:rPr>
          <w:rStyle w:val="charItals"/>
        </w:rPr>
        <w:t>Note</w:t>
      </w:r>
      <w:r w:rsidR="00F8610E" w:rsidRPr="00A060B6">
        <w:rPr>
          <w:rStyle w:val="charItals"/>
        </w:rPr>
        <w:tab/>
      </w:r>
      <w:r w:rsidR="00F8610E" w:rsidRPr="00A060B6">
        <w:t xml:space="preserve">The </w:t>
      </w:r>
      <w:hyperlink r:id="rId208" w:tooltip="Evidence Act 1995" w:history="1">
        <w:r w:rsidR="00506E3A" w:rsidRPr="001D1BCB">
          <w:rPr>
            <w:rStyle w:val="charCitHyperlinkAbbrev"/>
          </w:rPr>
          <w:t>Commonwealth Act</w:t>
        </w:r>
      </w:hyperlink>
      <w:r w:rsidR="00F8610E" w:rsidRPr="00A060B6">
        <w:t xml:space="preserve"> and </w:t>
      </w:r>
      <w:hyperlink r:id="rId209" w:tooltip="Act 1995 No 25 (NSW)" w:history="1">
        <w:r w:rsidR="00506E3A" w:rsidRPr="00506E3A">
          <w:rPr>
            <w:rStyle w:val="charCitHyperlinkAbbrev"/>
          </w:rPr>
          <w:t>NSW Act</w:t>
        </w:r>
      </w:hyperlink>
      <w:r w:rsidR="00F8610E" w:rsidRPr="00A060B6">
        <w:t xml:space="preserve"> include a definition of </w:t>
      </w:r>
      <w:r w:rsidR="00F8610E" w:rsidRPr="00AF17FE">
        <w:rPr>
          <w:rStyle w:val="charBoldItals"/>
        </w:rPr>
        <w:t>function</w:t>
      </w:r>
      <w:r w:rsidR="00F8610E" w:rsidRPr="00A060B6">
        <w:t xml:space="preserve">. In the ACT, that term is defined in the </w:t>
      </w:r>
      <w:hyperlink r:id="rId210" w:tooltip="A2001-14" w:history="1">
        <w:r w:rsidR="00AF17FE" w:rsidRPr="00AF17FE">
          <w:rPr>
            <w:rStyle w:val="charCitHyperlinkAbbrev"/>
          </w:rPr>
          <w:t>Legislation Act</w:t>
        </w:r>
      </w:hyperlink>
      <w:r w:rsidR="00F8610E" w:rsidRPr="00A060B6">
        <w:t>, dictionary, pt 1.</w:t>
      </w:r>
    </w:p>
    <w:p w:rsidR="00F8610E" w:rsidRPr="00A060B6" w:rsidRDefault="00F8610E" w:rsidP="00C23C3D">
      <w:pPr>
        <w:pStyle w:val="aDef"/>
        <w:keepNext/>
      </w:pPr>
      <w:r w:rsidRPr="00AF17FE">
        <w:rPr>
          <w:rStyle w:val="charBoldItals"/>
        </w:rPr>
        <w:t xml:space="preserve">government or official gazette </w:t>
      </w:r>
      <w:r w:rsidRPr="00A060B6">
        <w:t>includes the gazette.</w:t>
      </w:r>
    </w:p>
    <w:p w:rsidR="00F8610E" w:rsidRPr="00A060B6" w:rsidRDefault="00F8610E" w:rsidP="00E51812">
      <w:pPr>
        <w:pStyle w:val="aNote"/>
      </w:pPr>
      <w:r w:rsidRPr="00AF17FE">
        <w:rPr>
          <w:rStyle w:val="charItals"/>
        </w:rPr>
        <w:t>Note 1</w:t>
      </w:r>
      <w:r w:rsidRPr="00A060B6">
        <w:tab/>
        <w:t xml:space="preserve">This definition differs from the </w:t>
      </w:r>
      <w:hyperlink r:id="rId211" w:tooltip="Evidence Act 1995" w:history="1">
        <w:r w:rsidR="00506E3A" w:rsidRPr="001D1BCB">
          <w:rPr>
            <w:rStyle w:val="charCitHyperlinkAbbrev"/>
          </w:rPr>
          <w:t>Commonwealth Act</w:t>
        </w:r>
      </w:hyperlink>
      <w:r w:rsidRPr="00A060B6">
        <w:t xml:space="preserve"> and </w:t>
      </w:r>
      <w:hyperlink r:id="rId212" w:tooltip="Act 1995 No 25 (NSW)" w:history="1">
        <w:r w:rsidR="00506E3A" w:rsidRPr="00506E3A">
          <w:rPr>
            <w:rStyle w:val="charCitHyperlinkAbbrev"/>
          </w:rPr>
          <w:t>NSW Act</w:t>
        </w:r>
      </w:hyperlink>
      <w:r w:rsidRPr="00A060B6">
        <w:t>.</w:t>
      </w:r>
    </w:p>
    <w:p w:rsidR="00F8610E" w:rsidRPr="00A060B6" w:rsidRDefault="00F8610E" w:rsidP="00EB1A95">
      <w:pPr>
        <w:pStyle w:val="aNote"/>
      </w:pPr>
      <w:r w:rsidRPr="00AF17FE">
        <w:rPr>
          <w:rStyle w:val="charItals"/>
        </w:rPr>
        <w:t>Note 2</w:t>
      </w:r>
      <w:r w:rsidRPr="00AF17FE">
        <w:rPr>
          <w:rStyle w:val="charItals"/>
        </w:rPr>
        <w:tab/>
      </w:r>
      <w:r w:rsidRPr="00A060B6">
        <w:t xml:space="preserve">The </w:t>
      </w:r>
      <w:hyperlink r:id="rId213" w:tooltip="Act 1995 No 25 (NSW)" w:history="1">
        <w:r w:rsidR="00506E3A" w:rsidRPr="00506E3A">
          <w:rPr>
            <w:rStyle w:val="charCitHyperlinkAbbrev"/>
          </w:rPr>
          <w:t>NSW Act</w:t>
        </w:r>
      </w:hyperlink>
      <w:r w:rsidRPr="00A060B6">
        <w:t xml:space="preserve"> includes definitions of </w:t>
      </w:r>
      <w:r w:rsidRPr="00AF17FE">
        <w:rPr>
          <w:rStyle w:val="charBoldItals"/>
        </w:rPr>
        <w:t xml:space="preserve">Governor of a State </w:t>
      </w:r>
      <w:r w:rsidRPr="00A060B6">
        <w:rPr>
          <w:bCs/>
          <w:iCs/>
        </w:rPr>
        <w:t xml:space="preserve">and </w:t>
      </w:r>
      <w:r w:rsidRPr="00AF17FE">
        <w:rPr>
          <w:rStyle w:val="charBoldItals"/>
        </w:rPr>
        <w:t>Governor-General</w:t>
      </w:r>
      <w:r w:rsidRPr="00A060B6">
        <w:t xml:space="preserve">. In the ACT, those terms are defined in the </w:t>
      </w:r>
      <w:hyperlink r:id="rId214" w:tooltip="A2001-14" w:history="1">
        <w:r w:rsidR="00AF17FE" w:rsidRPr="00AF17FE">
          <w:rPr>
            <w:rStyle w:val="charCitHyperlinkAbbrev"/>
          </w:rPr>
          <w:t>Legislation Act</w:t>
        </w:r>
      </w:hyperlink>
      <w:r w:rsidRPr="00A060B6">
        <w:t>, dictionary, pt 1.</w:t>
      </w:r>
    </w:p>
    <w:p w:rsidR="001424EB" w:rsidRPr="00F1390F" w:rsidRDefault="001424EB" w:rsidP="001424EB">
      <w:pPr>
        <w:pStyle w:val="aDef"/>
        <w:numPr>
          <w:ilvl w:val="5"/>
          <w:numId w:val="0"/>
        </w:numPr>
        <w:ind w:left="1100"/>
      </w:pPr>
      <w:r w:rsidRPr="00AF17FE">
        <w:rPr>
          <w:rStyle w:val="charBoldItals"/>
        </w:rPr>
        <w:t>harm</w:t>
      </w:r>
      <w:r w:rsidRPr="00F1390F">
        <w:t>, for division 3.10.1A (Professional confidential relationship privilege)—see section 126A (1).</w:t>
      </w:r>
    </w:p>
    <w:p w:rsidR="00F8610E" w:rsidRPr="00A060B6" w:rsidRDefault="00F8610E" w:rsidP="005D1BC5">
      <w:pPr>
        <w:pStyle w:val="aDef"/>
      </w:pPr>
      <w:r w:rsidRPr="00AF17FE">
        <w:rPr>
          <w:rStyle w:val="charBoldItals"/>
        </w:rPr>
        <w:t>hearsay rule</w:t>
      </w:r>
      <w:r w:rsidRPr="00A060B6">
        <w:t xml:space="preserve"> means the rule mentioned in section 59 (1). </w:t>
      </w:r>
    </w:p>
    <w:p w:rsidR="00F8610E" w:rsidRPr="00A060B6" w:rsidRDefault="00F8610E" w:rsidP="00693590">
      <w:pPr>
        <w:pStyle w:val="aDef"/>
        <w:keepNext/>
      </w:pPr>
      <w:r w:rsidRPr="00AF17FE">
        <w:rPr>
          <w:rStyle w:val="charBoldItals"/>
        </w:rPr>
        <w:lastRenderedPageBreak/>
        <w:t>identification evidence</w:t>
      </w:r>
      <w:r w:rsidRPr="00A060B6">
        <w:t xml:space="preserve"> means evidence that is—</w:t>
      </w:r>
    </w:p>
    <w:p w:rsidR="00F8610E" w:rsidRPr="00A060B6" w:rsidRDefault="00F8610E" w:rsidP="00693590">
      <w:pPr>
        <w:pStyle w:val="aDefpara"/>
        <w:keepNext/>
      </w:pPr>
      <w:r w:rsidRPr="00A060B6">
        <w:tab/>
        <w:t>(a)</w:t>
      </w:r>
      <w:r w:rsidRPr="00A060B6">
        <w:tab/>
        <w:t>an assertion by a person to the effect that a defendant was, or resembles (visually, aurally or otherwise) a person who was, present at or near a place where—</w:t>
      </w:r>
    </w:p>
    <w:p w:rsidR="00F8610E" w:rsidRPr="00A060B6" w:rsidRDefault="00F8610E" w:rsidP="00693590">
      <w:pPr>
        <w:pStyle w:val="aDefsubpara"/>
        <w:keepNext/>
      </w:pPr>
      <w:r w:rsidRPr="00A060B6">
        <w:tab/>
        <w:t>(i)</w:t>
      </w:r>
      <w:r w:rsidRPr="00A060B6">
        <w:tab/>
        <w:t xml:space="preserve">the offence for which the defendant is being prosecuted was committed; or </w:t>
      </w:r>
    </w:p>
    <w:p w:rsidR="00F8610E" w:rsidRPr="00A060B6" w:rsidRDefault="00F8610E" w:rsidP="00486F06">
      <w:pPr>
        <w:pStyle w:val="aDefsubpara"/>
      </w:pPr>
      <w:r w:rsidRPr="00A060B6">
        <w:tab/>
        <w:t>(ii)</w:t>
      </w:r>
      <w:r w:rsidRPr="00A060B6">
        <w:tab/>
        <w:t xml:space="preserve">an act connected to the offence was done; </w:t>
      </w:r>
    </w:p>
    <w:p w:rsidR="00F8610E" w:rsidRPr="00A060B6" w:rsidRDefault="00F8610E" w:rsidP="00E51812">
      <w:pPr>
        <w:pStyle w:val="Amainreturn"/>
      </w:pPr>
      <w:r w:rsidRPr="00A060B6">
        <w:t xml:space="preserve">at or about the time at which the offence was committed or act was done, that is an assertion based completely or partly on what the person making the assertion saw, heard or otherwise perceived at that place and time; or </w:t>
      </w:r>
    </w:p>
    <w:p w:rsidR="00F8610E" w:rsidRPr="00A060B6" w:rsidRDefault="00F8610E" w:rsidP="00486F06">
      <w:pPr>
        <w:pStyle w:val="aDefpara"/>
      </w:pPr>
      <w:r w:rsidRPr="00A060B6">
        <w:tab/>
        <w:t>(b)</w:t>
      </w:r>
      <w:r w:rsidRPr="00A060B6">
        <w:tab/>
        <w:t xml:space="preserve">a report (whether oral or in writing) of the assertion. </w:t>
      </w:r>
    </w:p>
    <w:p w:rsidR="001424EB" w:rsidRPr="00F1390F" w:rsidRDefault="001424EB" w:rsidP="001424EB">
      <w:pPr>
        <w:pStyle w:val="aDef"/>
        <w:numPr>
          <w:ilvl w:val="5"/>
          <w:numId w:val="0"/>
        </w:numPr>
        <w:ind w:left="1100"/>
      </w:pPr>
      <w:r w:rsidRPr="00AF17FE">
        <w:rPr>
          <w:rStyle w:val="charBoldItals"/>
        </w:rPr>
        <w:t>informant</w:t>
      </w:r>
      <w:r w:rsidRPr="00F1390F">
        <w:t>, for division 3.10.1C (Journalist privilege)—see section 126J.</w:t>
      </w:r>
    </w:p>
    <w:p w:rsidR="00F8610E" w:rsidRPr="00A060B6" w:rsidRDefault="00F8610E" w:rsidP="007D5A15">
      <w:pPr>
        <w:pStyle w:val="aDef"/>
        <w:keepNext/>
      </w:pPr>
      <w:r w:rsidRPr="00AF17FE">
        <w:rPr>
          <w:rStyle w:val="charBoldItals"/>
        </w:rPr>
        <w:t>investigating official</w:t>
      </w:r>
      <w:r w:rsidRPr="00A060B6">
        <w:t xml:space="preserve"> means—</w:t>
      </w:r>
    </w:p>
    <w:p w:rsidR="00F8610E" w:rsidRPr="00A060B6" w:rsidRDefault="00F8610E" w:rsidP="007D5A15">
      <w:pPr>
        <w:pStyle w:val="aDefpara"/>
        <w:keepNext/>
      </w:pPr>
      <w:r w:rsidRPr="00A060B6">
        <w:tab/>
        <w:t>(a)</w:t>
      </w:r>
      <w:r w:rsidRPr="00A060B6">
        <w:tab/>
        <w:t xml:space="preserve">a police officer (other than a police officer who is engaged in covert investigations under the orders of a superior); or </w:t>
      </w:r>
    </w:p>
    <w:p w:rsidR="00F8610E" w:rsidRPr="00A060B6" w:rsidRDefault="00F8610E" w:rsidP="00486F06">
      <w:pPr>
        <w:pStyle w:val="aDefpara"/>
      </w:pPr>
      <w:r w:rsidRPr="00A060B6">
        <w:tab/>
        <w:t>(b)</w:t>
      </w:r>
      <w:r w:rsidRPr="00A060B6">
        <w:tab/>
        <w:t xml:space="preserve">a person appointed by or under an Australian law (other than a person who is engaged in covert investigations under the orders of a superior) whose functions include functions in relation to the prevention or investigation of offences. </w:t>
      </w:r>
    </w:p>
    <w:p w:rsidR="00F8610E" w:rsidRPr="00A060B6" w:rsidRDefault="00F8610E" w:rsidP="005D1BC5">
      <w:pPr>
        <w:pStyle w:val="aDef"/>
      </w:pPr>
      <w:r w:rsidRPr="00AF17FE">
        <w:rPr>
          <w:rStyle w:val="charBoldItals"/>
        </w:rPr>
        <w:t>joint sitting</w:t>
      </w:r>
      <w:r w:rsidRPr="00A060B6">
        <w:t xml:space="preserve"> means—</w:t>
      </w:r>
    </w:p>
    <w:p w:rsidR="00F8610E" w:rsidRPr="00A060B6" w:rsidRDefault="00F8610E" w:rsidP="00486F06">
      <w:pPr>
        <w:pStyle w:val="aDefpara"/>
      </w:pPr>
      <w:r w:rsidRPr="00A060B6">
        <w:tab/>
        <w:t>(a)</w:t>
      </w:r>
      <w:r w:rsidRPr="00A060B6">
        <w:tab/>
        <w:t xml:space="preserve">in relation to the Commonwealth Parliament—a joint sitting of the members of the Senate and House of Representatives convened by the Governor-General under the Constitution, section 57 or convened under any </w:t>
      </w:r>
      <w:r w:rsidR="00506E3A" w:rsidRPr="00506E3A">
        <w:t>Commonwealth Act</w:t>
      </w:r>
      <w:r w:rsidRPr="00506E3A">
        <w:t>;</w:t>
      </w:r>
      <w:r w:rsidRPr="00A060B6">
        <w:t xml:space="preserve"> or </w:t>
      </w:r>
    </w:p>
    <w:p w:rsidR="00F8610E" w:rsidRPr="00A060B6" w:rsidRDefault="00F8610E" w:rsidP="00486F06">
      <w:pPr>
        <w:pStyle w:val="aDefpara"/>
      </w:pPr>
      <w:r w:rsidRPr="00A060B6">
        <w:tab/>
        <w:t>(b)</w:t>
      </w:r>
      <w:r w:rsidRPr="00A060B6">
        <w:tab/>
        <w:t xml:space="preserve">in relation to a bicameral legislature of a State—a joint sitting of both houses of the legislature convened under a law of the State. </w:t>
      </w:r>
    </w:p>
    <w:p w:rsidR="001424EB" w:rsidRPr="00F1390F" w:rsidRDefault="001424EB" w:rsidP="001424EB">
      <w:pPr>
        <w:pStyle w:val="aDef"/>
        <w:numPr>
          <w:ilvl w:val="5"/>
          <w:numId w:val="0"/>
        </w:numPr>
        <w:ind w:left="1100"/>
      </w:pPr>
      <w:r w:rsidRPr="00AF17FE">
        <w:rPr>
          <w:rStyle w:val="charBoldItals"/>
        </w:rPr>
        <w:lastRenderedPageBreak/>
        <w:t>journalist</w:t>
      </w:r>
      <w:r w:rsidRPr="00F1390F">
        <w:t>, for division 3.10.1C (Journalist privilege)—see section 126J.</w:t>
      </w:r>
    </w:p>
    <w:p w:rsidR="00F8610E" w:rsidRPr="00A060B6" w:rsidRDefault="00F8610E" w:rsidP="005D1BC5">
      <w:pPr>
        <w:pStyle w:val="aDef"/>
      </w:pPr>
      <w:r w:rsidRPr="00AF17FE">
        <w:rPr>
          <w:rStyle w:val="charBoldItals"/>
        </w:rPr>
        <w:t>judge</w:t>
      </w:r>
      <w:r w:rsidRPr="00A060B6">
        <w:t xml:space="preserve">, in relation to a proceeding, means the judge, magistrate or other person before whom the proceeding is being held. </w:t>
      </w:r>
    </w:p>
    <w:p w:rsidR="00F8610E" w:rsidRPr="00A060B6" w:rsidRDefault="00F8610E" w:rsidP="005D1BC5">
      <w:pPr>
        <w:pStyle w:val="aDef"/>
      </w:pPr>
      <w:r w:rsidRPr="00AF17FE">
        <w:rPr>
          <w:rStyle w:val="charBoldItals"/>
        </w:rPr>
        <w:t>law</w:t>
      </w:r>
      <w:r w:rsidRPr="00A060B6">
        <w:rPr>
          <w:bCs/>
          <w:iCs/>
        </w:rPr>
        <w:t>—see the dictionary, part 2, section 9</w:t>
      </w:r>
      <w:r w:rsidRPr="00A060B6">
        <w:t xml:space="preserve">. </w:t>
      </w:r>
    </w:p>
    <w:p w:rsidR="00F8610E" w:rsidRPr="00A060B6" w:rsidRDefault="00F8610E" w:rsidP="005D1BC5">
      <w:pPr>
        <w:pStyle w:val="aDef"/>
      </w:pPr>
      <w:r w:rsidRPr="00AF17FE">
        <w:rPr>
          <w:rStyle w:val="charBoldItals"/>
        </w:rPr>
        <w:t>lawyer</w:t>
      </w:r>
      <w:r w:rsidRPr="00A060B6">
        <w:t>, for division 3.10.1 (Client legal privilege)—see section 117.</w:t>
      </w:r>
    </w:p>
    <w:p w:rsidR="00F8610E" w:rsidRPr="00A060B6" w:rsidRDefault="00F8610E" w:rsidP="005D1BC5">
      <w:pPr>
        <w:pStyle w:val="aDef"/>
      </w:pPr>
      <w:r w:rsidRPr="00AF17FE">
        <w:rPr>
          <w:rStyle w:val="charBoldItals"/>
        </w:rPr>
        <w:t>leading question</w:t>
      </w:r>
      <w:r w:rsidRPr="00A060B6">
        <w:t xml:space="preserve"> means a question asked of a witness that—</w:t>
      </w:r>
    </w:p>
    <w:p w:rsidR="00F8610E" w:rsidRPr="00A060B6" w:rsidRDefault="00F8610E" w:rsidP="00486F06">
      <w:pPr>
        <w:pStyle w:val="aDefpara"/>
      </w:pPr>
      <w:r w:rsidRPr="00A060B6">
        <w:tab/>
        <w:t>(a)</w:t>
      </w:r>
      <w:r w:rsidRPr="00A060B6">
        <w:tab/>
        <w:t xml:space="preserve">directly or indirectly suggests a particular answer to the question; or </w:t>
      </w:r>
    </w:p>
    <w:p w:rsidR="00F8610E" w:rsidRPr="00A060B6" w:rsidRDefault="00F8610E" w:rsidP="00486F06">
      <w:pPr>
        <w:pStyle w:val="aDefpara"/>
      </w:pPr>
      <w:r w:rsidRPr="00A060B6">
        <w:tab/>
        <w:t>(b)</w:t>
      </w:r>
      <w:r w:rsidRPr="00A060B6">
        <w:tab/>
        <w:t xml:space="preserve">assumes the existence of a fact the existence of which is in dispute in the proceeding and as to the existence of which the witness has not given evidence before the question is asked. </w:t>
      </w:r>
    </w:p>
    <w:p w:rsidR="00F8610E" w:rsidRPr="00AF17FE" w:rsidRDefault="00F8610E" w:rsidP="007D5A15">
      <w:pPr>
        <w:pStyle w:val="aDef"/>
        <w:keepLines/>
        <w:rPr>
          <w:rStyle w:val="charBoldItals"/>
        </w:rPr>
      </w:pPr>
      <w:r w:rsidRPr="00AF17FE">
        <w:rPr>
          <w:rStyle w:val="charBoldItals"/>
        </w:rPr>
        <w:t>legal counsel</w:t>
      </w:r>
      <w:r w:rsidRPr="00A060B6">
        <w:t xml:space="preserve"> means an Australian lawyer employed in or by a government agency or other body who by law is exempted from holding an Australian practising certificate, or who does not require an Australian practising certificate, to engage in legal practice in the course of that employment.</w:t>
      </w:r>
      <w:r w:rsidRPr="00AF17FE">
        <w:rPr>
          <w:rStyle w:val="charBoldItals"/>
        </w:rPr>
        <w:t xml:space="preserve"> </w:t>
      </w:r>
    </w:p>
    <w:p w:rsidR="00F8610E" w:rsidRPr="00A060B6" w:rsidRDefault="00F8610E" w:rsidP="00294FE4">
      <w:pPr>
        <w:pStyle w:val="aExamHdgpar"/>
        <w:ind w:left="1134"/>
        <w:rPr>
          <w:lang w:eastAsia="en-AU"/>
        </w:rPr>
      </w:pPr>
      <w:r w:rsidRPr="00A060B6">
        <w:rPr>
          <w:lang w:eastAsia="en-AU"/>
        </w:rPr>
        <w:t>Examples</w:t>
      </w:r>
    </w:p>
    <w:p w:rsidR="00F8610E" w:rsidRPr="00A060B6" w:rsidRDefault="00F8610E" w:rsidP="00BF40C0">
      <w:pPr>
        <w:pStyle w:val="aExamINumss"/>
        <w:rPr>
          <w:lang w:eastAsia="en-AU"/>
        </w:rPr>
      </w:pPr>
      <w:r w:rsidRPr="00A060B6">
        <w:rPr>
          <w:lang w:eastAsia="en-AU"/>
        </w:rPr>
        <w:t>1</w:t>
      </w:r>
      <w:r w:rsidRPr="00A060B6">
        <w:rPr>
          <w:lang w:eastAsia="en-AU"/>
        </w:rPr>
        <w:tab/>
        <w:t>in-house counsel</w:t>
      </w:r>
    </w:p>
    <w:p w:rsidR="00F8610E" w:rsidRPr="00A060B6" w:rsidRDefault="00F8610E" w:rsidP="00C23C3D">
      <w:pPr>
        <w:pStyle w:val="aExamINumss"/>
        <w:keepNext/>
        <w:rPr>
          <w:lang w:eastAsia="en-AU"/>
        </w:rPr>
      </w:pPr>
      <w:r w:rsidRPr="00A060B6">
        <w:rPr>
          <w:lang w:eastAsia="en-AU"/>
        </w:rPr>
        <w:t>2</w:t>
      </w:r>
      <w:r w:rsidRPr="00A060B6">
        <w:rPr>
          <w:lang w:eastAsia="en-AU"/>
        </w:rPr>
        <w:tab/>
        <w:t>government solicitor</w:t>
      </w:r>
    </w:p>
    <w:p w:rsidR="00F8610E" w:rsidRPr="00A060B6" w:rsidRDefault="00F8610E" w:rsidP="00C23C3D">
      <w:pPr>
        <w:pStyle w:val="aDef"/>
        <w:keepNext/>
      </w:pPr>
      <w:r w:rsidRPr="00AF17FE">
        <w:rPr>
          <w:rStyle w:val="charBoldItals"/>
        </w:rPr>
        <w:t>Legislative Assembly</w:t>
      </w:r>
      <w:r w:rsidRPr="00A060B6">
        <w:t>, of another Territory, includes any present or former Legislative Assembly of that Territory.</w:t>
      </w:r>
    </w:p>
    <w:p w:rsidR="00F8610E" w:rsidRPr="00A060B6" w:rsidRDefault="00F8610E" w:rsidP="00E51812">
      <w:pPr>
        <w:pStyle w:val="aNote"/>
      </w:pPr>
      <w:r w:rsidRPr="00A060B6">
        <w:rPr>
          <w:rStyle w:val="charItals"/>
        </w:rPr>
        <w:t>Note</w:t>
      </w:r>
      <w:r w:rsidRPr="00A060B6">
        <w:rPr>
          <w:rStyle w:val="charItals"/>
        </w:rPr>
        <w:tab/>
      </w:r>
      <w:r w:rsidRPr="00AF17FE">
        <w:rPr>
          <w:rStyle w:val="charBoldItals"/>
        </w:rPr>
        <w:t>Legislative Assembly</w:t>
      </w:r>
      <w:r w:rsidRPr="00AF17FE">
        <w:t xml:space="preserve"> is also defined in the </w:t>
      </w:r>
      <w:hyperlink r:id="rId215" w:tooltip="A2001-14" w:history="1">
        <w:r w:rsidR="00AF17FE" w:rsidRPr="00AF17FE">
          <w:rPr>
            <w:rStyle w:val="charCitHyperlinkAbbrev"/>
          </w:rPr>
          <w:t>Legislation Act</w:t>
        </w:r>
      </w:hyperlink>
      <w:r w:rsidRPr="00A060B6">
        <w:t>, dictionary, pt 1.</w:t>
      </w:r>
    </w:p>
    <w:p w:rsidR="00F8610E" w:rsidRPr="00A060B6" w:rsidRDefault="00F8610E" w:rsidP="005D1BC5">
      <w:pPr>
        <w:pStyle w:val="aDef"/>
      </w:pPr>
      <w:r w:rsidRPr="00AF17FE">
        <w:rPr>
          <w:rStyle w:val="charBoldItals"/>
        </w:rPr>
        <w:t>member</w:t>
      </w:r>
      <w:r w:rsidRPr="00A060B6">
        <w:t xml:space="preserve"> of the Australian Federal Police includes a special member or staff member of the Australian Federal Police.</w:t>
      </w:r>
    </w:p>
    <w:p w:rsidR="001424EB" w:rsidRPr="00F1390F" w:rsidRDefault="001424EB" w:rsidP="001424EB">
      <w:pPr>
        <w:pStyle w:val="aDef"/>
        <w:numPr>
          <w:ilvl w:val="5"/>
          <w:numId w:val="0"/>
        </w:numPr>
        <w:ind w:left="1100"/>
      </w:pPr>
      <w:r w:rsidRPr="00AF17FE">
        <w:rPr>
          <w:rStyle w:val="charBoldItals"/>
        </w:rPr>
        <w:t>news medium</w:t>
      </w:r>
      <w:r w:rsidRPr="00F1390F">
        <w:t>, for division 3.10.1C (Journalist privilege)—see section 126J.</w:t>
      </w:r>
    </w:p>
    <w:p w:rsidR="00F8610E" w:rsidRPr="00A060B6" w:rsidRDefault="00F8610E" w:rsidP="00C23C3D">
      <w:pPr>
        <w:pStyle w:val="aDef"/>
        <w:keepNext/>
      </w:pPr>
      <w:r w:rsidRPr="00AF17FE">
        <w:rPr>
          <w:rStyle w:val="charBoldItals"/>
        </w:rPr>
        <w:lastRenderedPageBreak/>
        <w:t>NSW Act</w:t>
      </w:r>
      <w:r w:rsidRPr="00A060B6">
        <w:t xml:space="preserve"> means the </w:t>
      </w:r>
      <w:hyperlink r:id="rId216" w:tooltip="Act 1995 No 25 (NSW)" w:history="1">
        <w:r w:rsidR="0087340E" w:rsidRPr="0087340E">
          <w:rPr>
            <w:rStyle w:val="charCitHyperlinkItal"/>
          </w:rPr>
          <w:t>Evidence Act 1995</w:t>
        </w:r>
      </w:hyperlink>
      <w:r w:rsidRPr="00AF17FE">
        <w:rPr>
          <w:rStyle w:val="charItals"/>
        </w:rPr>
        <w:t xml:space="preserve"> </w:t>
      </w:r>
      <w:r w:rsidRPr="00A060B6">
        <w:t>(NSW).</w:t>
      </w:r>
    </w:p>
    <w:p w:rsidR="00F8610E" w:rsidRPr="00A060B6" w:rsidRDefault="00F8610E" w:rsidP="00C35FD4">
      <w:pPr>
        <w:pStyle w:val="aNote"/>
      </w:pPr>
      <w:r w:rsidRPr="00AF17FE">
        <w:rPr>
          <w:rStyle w:val="charItals"/>
        </w:rPr>
        <w:t>Note</w:t>
      </w:r>
      <w:r w:rsidRPr="00A060B6">
        <w:tab/>
        <w:t xml:space="preserve">The </w:t>
      </w:r>
      <w:hyperlink r:id="rId217" w:tooltip="Evidence Act 1995" w:history="1">
        <w:r w:rsidR="00506E3A" w:rsidRPr="001D1BCB">
          <w:rPr>
            <w:rStyle w:val="charCitHyperlinkAbbrev"/>
          </w:rPr>
          <w:t>Commonwealth Act</w:t>
        </w:r>
      </w:hyperlink>
      <w:r w:rsidRPr="00A060B6">
        <w:t xml:space="preserve"> and </w:t>
      </w:r>
      <w:hyperlink r:id="rId218" w:tooltip="Act 1995 No 25 (NSW)" w:history="1">
        <w:r w:rsidR="00506E3A" w:rsidRPr="00506E3A">
          <w:rPr>
            <w:rStyle w:val="charCitHyperlinkAbbrev"/>
          </w:rPr>
          <w:t>NSW Act</w:t>
        </w:r>
      </w:hyperlink>
      <w:r w:rsidRPr="00A060B6">
        <w:t xml:space="preserve"> do not include this definition. </w:t>
      </w:r>
    </w:p>
    <w:p w:rsidR="00F8610E" w:rsidRPr="00A060B6" w:rsidRDefault="00F8610E" w:rsidP="005D1BC5">
      <w:pPr>
        <w:pStyle w:val="aDef"/>
      </w:pPr>
      <w:r w:rsidRPr="00AF17FE">
        <w:rPr>
          <w:rStyle w:val="charBoldItals"/>
        </w:rPr>
        <w:t>offence</w:t>
      </w:r>
      <w:r w:rsidRPr="00A060B6">
        <w:t xml:space="preserve"> means an offence against or arising under an Australian law. </w:t>
      </w:r>
    </w:p>
    <w:p w:rsidR="00F8610E" w:rsidRPr="00A060B6" w:rsidRDefault="00F8610E" w:rsidP="005D1BC5">
      <w:pPr>
        <w:pStyle w:val="aDef"/>
      </w:pPr>
      <w:r w:rsidRPr="00AF17FE">
        <w:rPr>
          <w:rStyle w:val="charBoldItals"/>
        </w:rPr>
        <w:t>opinion rule</w:t>
      </w:r>
      <w:r w:rsidRPr="00A060B6">
        <w:t xml:space="preserve"> means the rule mentioned in section 76. </w:t>
      </w:r>
    </w:p>
    <w:p w:rsidR="00F8610E" w:rsidRPr="00A060B6" w:rsidRDefault="00F8610E" w:rsidP="005D1BC5">
      <w:pPr>
        <w:pStyle w:val="aDef"/>
      </w:pPr>
      <w:r w:rsidRPr="00AF17FE">
        <w:rPr>
          <w:rStyle w:val="charBoldItals"/>
        </w:rPr>
        <w:t>overseas-registered foreign lawyer</w:t>
      </w:r>
      <w:r w:rsidRPr="00A060B6">
        <w:t xml:space="preserve">—see the </w:t>
      </w:r>
      <w:hyperlink r:id="rId219" w:tooltip="A2006-25" w:history="1">
        <w:r w:rsidR="00AF17FE" w:rsidRPr="00AF17FE">
          <w:rPr>
            <w:rStyle w:val="charCitHyperlinkItal"/>
          </w:rPr>
          <w:t>Legal Profession Act 2006</w:t>
        </w:r>
      </w:hyperlink>
      <w:r w:rsidRPr="00A060B6">
        <w:t>, dictionary.</w:t>
      </w:r>
    </w:p>
    <w:p w:rsidR="00F8610E" w:rsidRPr="00A060B6" w:rsidRDefault="00F8610E" w:rsidP="005D1BC5">
      <w:pPr>
        <w:pStyle w:val="aDef"/>
      </w:pPr>
      <w:r w:rsidRPr="00AF17FE">
        <w:rPr>
          <w:rStyle w:val="charBoldItals"/>
        </w:rPr>
        <w:t>parent</w:t>
      </w:r>
      <w:r w:rsidRPr="00A060B6">
        <w:t xml:space="preserve">—see the dictionary, part 2, section 10 (2). </w:t>
      </w:r>
    </w:p>
    <w:p w:rsidR="00F8610E" w:rsidRPr="00A060B6" w:rsidRDefault="00F8610E" w:rsidP="005D1BC5">
      <w:pPr>
        <w:pStyle w:val="aDef"/>
      </w:pPr>
      <w:r w:rsidRPr="00AF17FE">
        <w:rPr>
          <w:rStyle w:val="charBoldItals"/>
        </w:rPr>
        <w:t>party</w:t>
      </w:r>
      <w:r w:rsidRPr="00A060B6">
        <w:t>, for division 3.10.1 (Client legal privilege)—see section 117.</w:t>
      </w:r>
    </w:p>
    <w:p w:rsidR="00F8610E" w:rsidRPr="00A060B6" w:rsidRDefault="00F8610E" w:rsidP="007D5A15">
      <w:pPr>
        <w:pStyle w:val="aDef"/>
        <w:keepNext/>
      </w:pPr>
      <w:r w:rsidRPr="00AF17FE">
        <w:rPr>
          <w:rStyle w:val="charBoldItals"/>
        </w:rPr>
        <w:t>police officer</w:t>
      </w:r>
      <w:r w:rsidRPr="00A060B6">
        <w:t xml:space="preserve"> includes a member of the police force of a State or another Territory.</w:t>
      </w:r>
    </w:p>
    <w:p w:rsidR="00F8610E" w:rsidRPr="00A060B6" w:rsidRDefault="00F8610E" w:rsidP="007D5A15">
      <w:pPr>
        <w:pStyle w:val="aNote"/>
        <w:keepNext/>
      </w:pPr>
      <w:r w:rsidRPr="00A060B6">
        <w:rPr>
          <w:rStyle w:val="charItals"/>
        </w:rPr>
        <w:t>Note</w:t>
      </w:r>
      <w:r w:rsidRPr="00A060B6">
        <w:rPr>
          <w:rStyle w:val="charItals"/>
        </w:rPr>
        <w:tab/>
      </w:r>
      <w:r w:rsidRPr="00AF17FE">
        <w:rPr>
          <w:rStyle w:val="charBoldItals"/>
        </w:rPr>
        <w:t>Police officer</w:t>
      </w:r>
      <w:r w:rsidRPr="00AF17FE">
        <w:t xml:space="preserve"> is also defined in the </w:t>
      </w:r>
      <w:hyperlink r:id="rId220" w:tooltip="A2001-14" w:history="1">
        <w:r w:rsidR="00AF17FE" w:rsidRPr="00AF17FE">
          <w:rPr>
            <w:rStyle w:val="charCitHyperlinkAbbrev"/>
          </w:rPr>
          <w:t>Legislation Act</w:t>
        </w:r>
      </w:hyperlink>
      <w:r w:rsidRPr="00A060B6">
        <w:t>, dictionary, pt 1.</w:t>
      </w:r>
    </w:p>
    <w:p w:rsidR="00F8610E" w:rsidRPr="00A060B6" w:rsidRDefault="00F8610E" w:rsidP="005D1BC5">
      <w:pPr>
        <w:pStyle w:val="aDef"/>
      </w:pPr>
      <w:r w:rsidRPr="00AF17FE">
        <w:rPr>
          <w:rStyle w:val="charBoldItals"/>
        </w:rPr>
        <w:t>postal article</w:t>
      </w:r>
      <w:r w:rsidRPr="00A060B6">
        <w:t xml:space="preserve">—see the </w:t>
      </w:r>
      <w:hyperlink r:id="rId221" w:tooltip="Act 1989 No 64 (Cwlth)" w:history="1">
        <w:r w:rsidR="00612504" w:rsidRPr="00612504">
          <w:rPr>
            <w:rStyle w:val="charCitHyperlinkItal"/>
          </w:rPr>
          <w:t>Australian Postal Corporation Act 1989</w:t>
        </w:r>
      </w:hyperlink>
      <w:r w:rsidRPr="00AF17FE">
        <w:rPr>
          <w:rStyle w:val="charItals"/>
        </w:rPr>
        <w:t xml:space="preserve"> </w:t>
      </w:r>
      <w:r w:rsidRPr="00A060B6">
        <w:rPr>
          <w:iCs/>
        </w:rPr>
        <w:t>(Cwlth), section 3</w:t>
      </w:r>
      <w:r w:rsidRPr="00A060B6">
        <w:t xml:space="preserve">. </w:t>
      </w:r>
    </w:p>
    <w:p w:rsidR="006D78CD" w:rsidRPr="00383099" w:rsidRDefault="006D78CD" w:rsidP="006D78CD">
      <w:pPr>
        <w:pStyle w:val="aDef"/>
        <w:keepNext/>
      </w:pPr>
      <w:r w:rsidRPr="00383099">
        <w:rPr>
          <w:rStyle w:val="charBoldItals"/>
        </w:rPr>
        <w:t>previous representation</w:t>
      </w:r>
      <w:r w:rsidRPr="00383099">
        <w:t>—</w:t>
      </w:r>
    </w:p>
    <w:p w:rsidR="006D78CD" w:rsidRPr="00383099" w:rsidRDefault="006D78CD" w:rsidP="006D78CD">
      <w:pPr>
        <w:pStyle w:val="aDefpara"/>
      </w:pPr>
      <w:r w:rsidRPr="00383099">
        <w:tab/>
        <w:t>(a)</w:t>
      </w:r>
      <w:r w:rsidRPr="00383099">
        <w:tab/>
        <w:t>for this Act generally—means a representation made otherwise than in the course of giving evidence in the proceeding in which evidence of the representation is sought to be presented; and</w:t>
      </w:r>
    </w:p>
    <w:p w:rsidR="006D78CD" w:rsidRPr="00383099" w:rsidRDefault="006D78CD" w:rsidP="006D78CD">
      <w:pPr>
        <w:pStyle w:val="aDefpara"/>
      </w:pPr>
      <w:r w:rsidRPr="00383099">
        <w:tab/>
        <w:t>(b)</w:t>
      </w:r>
      <w:r w:rsidRPr="00383099">
        <w:tab/>
        <w:t>for division 3.2.2 (First-hand hearsay) (other than section 62 (2))—see section 62.</w:t>
      </w:r>
    </w:p>
    <w:p w:rsidR="00F8610E" w:rsidRPr="00A060B6" w:rsidRDefault="00F8610E" w:rsidP="005D1BC5">
      <w:pPr>
        <w:pStyle w:val="aDef"/>
      </w:pPr>
      <w:r w:rsidRPr="00AF17FE">
        <w:rPr>
          <w:rStyle w:val="charBoldItals"/>
        </w:rPr>
        <w:t>prior consistent statement</w:t>
      </w:r>
      <w:r w:rsidRPr="00A060B6">
        <w:t xml:space="preserve"> of a witness means a previous representation that is consistent with evidence given by the witness. </w:t>
      </w:r>
    </w:p>
    <w:p w:rsidR="00F8610E" w:rsidRPr="00A060B6" w:rsidRDefault="00F8610E" w:rsidP="005D1BC5">
      <w:pPr>
        <w:pStyle w:val="aDef"/>
      </w:pPr>
      <w:r w:rsidRPr="00AF17FE">
        <w:rPr>
          <w:rStyle w:val="charBoldItals"/>
        </w:rPr>
        <w:t>prior inconsistent statement</w:t>
      </w:r>
      <w:r w:rsidRPr="00A060B6">
        <w:t xml:space="preserve"> of a witness</w:t>
      </w:r>
      <w:r w:rsidRPr="00A060B6">
        <w:rPr>
          <w:bCs/>
          <w:iCs/>
        </w:rPr>
        <w:t xml:space="preserve"> means a previous</w:t>
      </w:r>
      <w:r w:rsidRPr="00A060B6">
        <w:t xml:space="preserve"> representation that is inconsistent with evidence given by the witness. </w:t>
      </w:r>
    </w:p>
    <w:p w:rsidR="00F8610E" w:rsidRPr="00A060B6" w:rsidRDefault="00F8610E" w:rsidP="005D1BC5">
      <w:pPr>
        <w:pStyle w:val="aDef"/>
      </w:pPr>
      <w:r w:rsidRPr="00AF17FE">
        <w:rPr>
          <w:rStyle w:val="charBoldItals"/>
        </w:rPr>
        <w:t>probative value</w:t>
      </w:r>
      <w:r w:rsidRPr="00A060B6">
        <w:t xml:space="preserve"> of evidence means the extent to which the evidence could rationally affect the assessment of the probability of the existence of a fact in issue. </w:t>
      </w:r>
    </w:p>
    <w:p w:rsidR="00F8610E" w:rsidRPr="00A060B6" w:rsidRDefault="00F8610E" w:rsidP="005D1BC5">
      <w:pPr>
        <w:pStyle w:val="aDef"/>
      </w:pPr>
      <w:r w:rsidRPr="00AF17FE">
        <w:rPr>
          <w:rStyle w:val="charBoldItals"/>
        </w:rPr>
        <w:lastRenderedPageBreak/>
        <w:t>prosecutor</w:t>
      </w:r>
      <w:r w:rsidRPr="00A060B6">
        <w:t xml:space="preserve"> means a person who starts, or is responsible for the conduct of, a prosecution.</w:t>
      </w:r>
    </w:p>
    <w:p w:rsidR="001424EB" w:rsidRPr="00F1390F" w:rsidRDefault="001424EB" w:rsidP="001424EB">
      <w:pPr>
        <w:pStyle w:val="aDef"/>
        <w:numPr>
          <w:ilvl w:val="5"/>
          <w:numId w:val="0"/>
        </w:numPr>
        <w:ind w:left="1100"/>
      </w:pPr>
      <w:r w:rsidRPr="00AF17FE">
        <w:rPr>
          <w:rStyle w:val="charBoldItals"/>
        </w:rPr>
        <w:t>protected confidence</w:t>
      </w:r>
      <w:r w:rsidRPr="00F1390F">
        <w:t>, for division 3.10.1A (Professional confidential relationship privilege)—see section 126A (1).</w:t>
      </w:r>
    </w:p>
    <w:p w:rsidR="001424EB" w:rsidRPr="00F1390F" w:rsidRDefault="001424EB" w:rsidP="001424EB">
      <w:pPr>
        <w:pStyle w:val="aDef"/>
      </w:pPr>
      <w:r w:rsidRPr="00AF17FE">
        <w:rPr>
          <w:rStyle w:val="charBoldItals"/>
        </w:rPr>
        <w:t>protected confider</w:t>
      </w:r>
      <w:r w:rsidRPr="00F1390F">
        <w:t>, for division 3.10.1A (Professional confidential relationship privilege)—see section 126A (1).</w:t>
      </w:r>
    </w:p>
    <w:p w:rsidR="001424EB" w:rsidRPr="00F1390F" w:rsidRDefault="001424EB" w:rsidP="001424EB">
      <w:pPr>
        <w:pStyle w:val="aDef"/>
        <w:numPr>
          <w:ilvl w:val="5"/>
          <w:numId w:val="0"/>
        </w:numPr>
        <w:ind w:left="1100"/>
      </w:pPr>
      <w:r w:rsidRPr="00AF17FE">
        <w:rPr>
          <w:rStyle w:val="charBoldItals"/>
        </w:rPr>
        <w:t>protected identity information</w:t>
      </w:r>
      <w:r w:rsidRPr="00F1390F">
        <w:rPr>
          <w:bCs/>
          <w:iCs/>
          <w:lang w:eastAsia="en-AU"/>
        </w:rPr>
        <w:t xml:space="preserve">, </w:t>
      </w:r>
      <w:r w:rsidRPr="00F1390F">
        <w:t>for division 3.10.1A (Professional confidential relationship privilege)—see section 126A (1).</w:t>
      </w:r>
    </w:p>
    <w:p w:rsidR="00F8610E" w:rsidRPr="00A060B6" w:rsidRDefault="00F8610E" w:rsidP="00D926E5">
      <w:pPr>
        <w:pStyle w:val="aDef"/>
        <w:keepNext/>
      </w:pPr>
      <w:r w:rsidRPr="00AF17FE">
        <w:rPr>
          <w:rStyle w:val="charBoldItals"/>
        </w:rPr>
        <w:t>public document</w:t>
      </w:r>
      <w:r w:rsidRPr="00A060B6">
        <w:t xml:space="preserve"> means a document that—</w:t>
      </w:r>
    </w:p>
    <w:p w:rsidR="00F8610E" w:rsidRPr="00A060B6" w:rsidRDefault="00F8610E" w:rsidP="00486F06">
      <w:pPr>
        <w:pStyle w:val="aDefpara"/>
      </w:pPr>
      <w:r w:rsidRPr="00A060B6">
        <w:tab/>
        <w:t>(a)</w:t>
      </w:r>
      <w:r w:rsidRPr="00A060B6">
        <w:tab/>
        <w:t xml:space="preserve">forms part of the records of the Commonwealth, a State or a Territory; or </w:t>
      </w:r>
    </w:p>
    <w:p w:rsidR="00F8610E" w:rsidRPr="00A060B6" w:rsidRDefault="00F8610E" w:rsidP="00486F06">
      <w:pPr>
        <w:pStyle w:val="aDefpara"/>
      </w:pPr>
      <w:r w:rsidRPr="00A060B6">
        <w:tab/>
        <w:t>(b)</w:t>
      </w:r>
      <w:r w:rsidRPr="00A060B6">
        <w:tab/>
        <w:t xml:space="preserve">forms part of the records of the government of a foreign country; or </w:t>
      </w:r>
    </w:p>
    <w:p w:rsidR="00F8610E" w:rsidRPr="00A060B6" w:rsidRDefault="00F8610E" w:rsidP="00486F06">
      <w:pPr>
        <w:pStyle w:val="aDefpara"/>
      </w:pPr>
      <w:r w:rsidRPr="00A060B6">
        <w:tab/>
        <w:t>(c)</w:t>
      </w:r>
      <w:r w:rsidRPr="00A060B6">
        <w:tab/>
        <w:t xml:space="preserve">forms part of the records of an entity holding office or exercising a function under or because of the Constitution, an Australian law or a law of a foreign country; or </w:t>
      </w:r>
    </w:p>
    <w:p w:rsidR="00F8610E" w:rsidRPr="00A060B6" w:rsidRDefault="00F8610E" w:rsidP="007D5A15">
      <w:pPr>
        <w:pStyle w:val="aDefpara"/>
        <w:keepNext/>
      </w:pPr>
      <w:r w:rsidRPr="00A060B6">
        <w:tab/>
        <w:t>(d)</w:t>
      </w:r>
      <w:r w:rsidRPr="00A060B6">
        <w:tab/>
        <w:t>is being kept by or on behalf of an entity mentioned in paragraph (a), (b) or (c);</w:t>
      </w:r>
    </w:p>
    <w:p w:rsidR="00F8610E" w:rsidRPr="00A060B6" w:rsidRDefault="00F8610E" w:rsidP="007D5A15">
      <w:pPr>
        <w:pStyle w:val="Amainreturn"/>
        <w:keepNext/>
      </w:pPr>
      <w:r w:rsidRPr="00A060B6">
        <w:t>and includes the records of the proceedings of, and papers presented to—</w:t>
      </w:r>
    </w:p>
    <w:p w:rsidR="00F8610E" w:rsidRPr="00A060B6" w:rsidRDefault="00F8610E" w:rsidP="00486F06">
      <w:pPr>
        <w:pStyle w:val="aDefpara"/>
      </w:pPr>
      <w:r w:rsidRPr="00A060B6">
        <w:tab/>
        <w:t>(e)</w:t>
      </w:r>
      <w:r w:rsidRPr="00A060B6">
        <w:tab/>
        <w:t xml:space="preserve">an Australian Parliament, a house of an Australian Parliament, a committee of an Australian Parliament or of a house of an Australian Parliament; and </w:t>
      </w:r>
    </w:p>
    <w:p w:rsidR="00F8610E" w:rsidRPr="00A060B6" w:rsidRDefault="00F8610E" w:rsidP="00486F06">
      <w:pPr>
        <w:pStyle w:val="aDefpara"/>
      </w:pPr>
      <w:r w:rsidRPr="00A060B6">
        <w:tab/>
        <w:t>(f)</w:t>
      </w:r>
      <w:r w:rsidRPr="00A060B6">
        <w:tab/>
        <w:t xml:space="preserve">a legislature of a foreign country, including a house or committee (however described) of that legislature. </w:t>
      </w:r>
    </w:p>
    <w:p w:rsidR="00F8610E" w:rsidRPr="00A060B6" w:rsidRDefault="00F8610E" w:rsidP="005D1BC5">
      <w:pPr>
        <w:pStyle w:val="aDef"/>
      </w:pPr>
      <w:r w:rsidRPr="00AF17FE">
        <w:rPr>
          <w:rStyle w:val="charBoldItals"/>
        </w:rPr>
        <w:t>re</w:t>
      </w:r>
      <w:r w:rsidRPr="00AF17FE">
        <w:rPr>
          <w:rStyle w:val="charBoldItals"/>
        </w:rPr>
        <w:noBreakHyphen/>
        <w:t>examination</w:t>
      </w:r>
      <w:r w:rsidRPr="00A060B6">
        <w:t xml:space="preserve">—see the dictionary, part 2, section 2 (3) and (4). </w:t>
      </w:r>
    </w:p>
    <w:p w:rsidR="00F8610E" w:rsidRPr="00A060B6" w:rsidRDefault="00F8610E" w:rsidP="00693590">
      <w:pPr>
        <w:pStyle w:val="aDef"/>
        <w:keepNext/>
      </w:pPr>
      <w:r w:rsidRPr="00AF17FE">
        <w:rPr>
          <w:rStyle w:val="charBoldItals"/>
        </w:rPr>
        <w:lastRenderedPageBreak/>
        <w:t>representation</w:t>
      </w:r>
      <w:r w:rsidRPr="00A060B6">
        <w:t xml:space="preserve"> includes—</w:t>
      </w:r>
    </w:p>
    <w:p w:rsidR="00F8610E" w:rsidRPr="00A060B6" w:rsidRDefault="00F8610E" w:rsidP="00486F06">
      <w:pPr>
        <w:pStyle w:val="aDefpara"/>
      </w:pPr>
      <w:r w:rsidRPr="00A060B6">
        <w:tab/>
        <w:t>(a)</w:t>
      </w:r>
      <w:r w:rsidRPr="00A060B6">
        <w:tab/>
        <w:t>an express or implied representation (whether oral or in writing); or</w:t>
      </w:r>
    </w:p>
    <w:p w:rsidR="00F8610E" w:rsidRPr="00A060B6" w:rsidRDefault="00F8610E" w:rsidP="00486F06">
      <w:pPr>
        <w:pStyle w:val="aDefpara"/>
      </w:pPr>
      <w:r w:rsidRPr="00A060B6">
        <w:tab/>
        <w:t>(b)</w:t>
      </w:r>
      <w:r w:rsidRPr="00A060B6">
        <w:tab/>
        <w:t>a representation to be inferred from conduct; or</w:t>
      </w:r>
    </w:p>
    <w:p w:rsidR="00F8610E" w:rsidRPr="00A060B6" w:rsidRDefault="00F8610E" w:rsidP="00486F06">
      <w:pPr>
        <w:pStyle w:val="aDefpara"/>
      </w:pPr>
      <w:r w:rsidRPr="00A060B6">
        <w:tab/>
        <w:t>(c)</w:t>
      </w:r>
      <w:r w:rsidRPr="00A060B6">
        <w:tab/>
        <w:t>a representation not intended by its maker to be communicated to or seen by someone else; or</w:t>
      </w:r>
    </w:p>
    <w:p w:rsidR="00F8610E" w:rsidRPr="00A060B6" w:rsidRDefault="00F8610E" w:rsidP="00486F06">
      <w:pPr>
        <w:pStyle w:val="aDefpara"/>
      </w:pPr>
      <w:r w:rsidRPr="00A060B6">
        <w:tab/>
        <w:t>(d)</w:t>
      </w:r>
      <w:r w:rsidRPr="00A060B6">
        <w:tab/>
        <w:t xml:space="preserve">a representation that for any reason is not communicated. </w:t>
      </w:r>
    </w:p>
    <w:p w:rsidR="006D78CD" w:rsidRPr="00383099" w:rsidRDefault="006D78CD" w:rsidP="006D78CD">
      <w:pPr>
        <w:pStyle w:val="aDef"/>
      </w:pPr>
      <w:r w:rsidRPr="00383099">
        <w:rPr>
          <w:rStyle w:val="charBoldItals"/>
        </w:rPr>
        <w:t>request</w:t>
      </w:r>
      <w:r w:rsidRPr="00383099">
        <w:t xml:space="preserve">, for division 4.6.1 (Requests to produce documents or call witnesses)—see section 166. </w:t>
      </w:r>
    </w:p>
    <w:p w:rsidR="00F8610E" w:rsidRPr="00A060B6" w:rsidRDefault="00F8610E" w:rsidP="005D1BC5">
      <w:pPr>
        <w:pStyle w:val="aDef"/>
      </w:pPr>
      <w:r w:rsidRPr="00AF17FE">
        <w:rPr>
          <w:rStyle w:val="charBoldItals"/>
        </w:rPr>
        <w:t>seal</w:t>
      </w:r>
      <w:r w:rsidRPr="00A060B6">
        <w:t xml:space="preserve"> includes a stamp. </w:t>
      </w:r>
    </w:p>
    <w:p w:rsidR="00F8610E" w:rsidRPr="00A060B6" w:rsidRDefault="00F8610E" w:rsidP="005D1BC5">
      <w:pPr>
        <w:pStyle w:val="aDef"/>
      </w:pPr>
      <w:r w:rsidRPr="00AF17FE">
        <w:rPr>
          <w:rStyle w:val="charBoldItals"/>
        </w:rPr>
        <w:t>tendency evidence</w:t>
      </w:r>
      <w:r w:rsidRPr="00A060B6">
        <w:t xml:space="preserve"> means evidence of</w:t>
      </w:r>
      <w:r w:rsidR="00D926E5">
        <w:t xml:space="preserve"> a kind mentioned in section 97 </w:t>
      </w:r>
      <w:r w:rsidRPr="00A060B6">
        <w:t xml:space="preserve">(1) that a party seeks to present for the purpose mentioned in that subsection. </w:t>
      </w:r>
    </w:p>
    <w:p w:rsidR="00F8610E" w:rsidRPr="00A060B6" w:rsidRDefault="00F8610E" w:rsidP="005D1BC5">
      <w:pPr>
        <w:pStyle w:val="aDef"/>
      </w:pPr>
      <w:r w:rsidRPr="00AF17FE">
        <w:rPr>
          <w:rStyle w:val="charBoldItals"/>
        </w:rPr>
        <w:t>tendency rule</w:t>
      </w:r>
      <w:r w:rsidRPr="00A060B6">
        <w:t xml:space="preserve"> means the rule mentioned in section 97 (1). </w:t>
      </w:r>
    </w:p>
    <w:p w:rsidR="00F8610E" w:rsidRPr="00A060B6" w:rsidRDefault="00F8610E" w:rsidP="005D1BC5">
      <w:pPr>
        <w:pStyle w:val="aDef"/>
      </w:pPr>
      <w:r w:rsidRPr="00AF17FE">
        <w:rPr>
          <w:rStyle w:val="charBoldItals"/>
        </w:rPr>
        <w:t>traditional laws and customs</w:t>
      </w:r>
      <w:r w:rsidRPr="00A060B6">
        <w:t xml:space="preserve"> of an Aboriginal or Torres Strait Islander group (including a kinship group) includes any of the traditions, customary laws, customs, observances, practices, knowledge and beliefs of the group.</w:t>
      </w:r>
    </w:p>
    <w:p w:rsidR="00F8610E" w:rsidRPr="00A060B6" w:rsidRDefault="00F8610E" w:rsidP="005D1BC5">
      <w:pPr>
        <w:pStyle w:val="aDef"/>
      </w:pPr>
      <w:r w:rsidRPr="00AF17FE">
        <w:rPr>
          <w:rStyle w:val="charBoldItals"/>
        </w:rPr>
        <w:t>witness</w:t>
      </w:r>
      <w:r w:rsidRPr="00A060B6">
        <w:t>—see the dictionary, part 2, section 7.</w:t>
      </w:r>
    </w:p>
    <w:p w:rsidR="00F8610E" w:rsidRDefault="00F8610E">
      <w:pPr>
        <w:pStyle w:val="03Schedule"/>
        <w:sectPr w:rsidR="00F8610E" w:rsidSect="00A84E3C">
          <w:headerReference w:type="even" r:id="rId222"/>
          <w:headerReference w:type="default" r:id="rId223"/>
          <w:footerReference w:type="even" r:id="rId224"/>
          <w:footerReference w:type="default" r:id="rId225"/>
          <w:type w:val="continuous"/>
          <w:pgSz w:w="11907" w:h="16839" w:code="9"/>
          <w:pgMar w:top="3880" w:right="1900" w:bottom="3100" w:left="2300" w:header="2280" w:footer="1760" w:gutter="0"/>
          <w:cols w:space="720"/>
          <w:docGrid w:linePitch="326"/>
        </w:sectPr>
      </w:pPr>
    </w:p>
    <w:p w:rsidR="00F8610E" w:rsidRPr="00A060B6" w:rsidRDefault="00F8610E" w:rsidP="000E543D">
      <w:pPr>
        <w:pStyle w:val="PageBreak"/>
        <w:suppressLineNumbers/>
      </w:pPr>
      <w:r w:rsidRPr="00A060B6">
        <w:br w:type="page"/>
      </w:r>
    </w:p>
    <w:p w:rsidR="00F8610E" w:rsidRPr="003925E1" w:rsidRDefault="00F8610E" w:rsidP="00486F06">
      <w:pPr>
        <w:pStyle w:val="Sched-Part"/>
      </w:pPr>
      <w:bookmarkStart w:id="282" w:name="_Toc11748637"/>
      <w:r w:rsidRPr="003925E1">
        <w:rPr>
          <w:rStyle w:val="CharPartNo"/>
        </w:rPr>
        <w:lastRenderedPageBreak/>
        <w:t>Part 2</w:t>
      </w:r>
      <w:r w:rsidRPr="00A060B6">
        <w:tab/>
      </w:r>
      <w:r w:rsidRPr="003925E1">
        <w:rPr>
          <w:rStyle w:val="CharPartText"/>
        </w:rPr>
        <w:t>Other expressions</w:t>
      </w:r>
      <w:bookmarkEnd w:id="282"/>
    </w:p>
    <w:p w:rsidR="00F8610E" w:rsidRPr="00A060B6" w:rsidRDefault="00F8610E" w:rsidP="00486F06">
      <w:pPr>
        <w:pStyle w:val="Schclauseheading"/>
      </w:pPr>
      <w:bookmarkStart w:id="283" w:name="_Toc11748638"/>
      <w:r w:rsidRPr="003925E1">
        <w:rPr>
          <w:rStyle w:val="CharSectNo"/>
        </w:rPr>
        <w:t>1</w:t>
      </w:r>
      <w:r w:rsidRPr="00A060B6">
        <w:tab/>
        <w:t xml:space="preserve">References to </w:t>
      </w:r>
      <w:r w:rsidRPr="00AF17FE">
        <w:rPr>
          <w:rStyle w:val="charItals"/>
        </w:rPr>
        <w:t>business</w:t>
      </w:r>
      <w:bookmarkEnd w:id="283"/>
    </w:p>
    <w:p w:rsidR="00F8610E" w:rsidRPr="00A060B6" w:rsidRDefault="00F8610E" w:rsidP="00486F06">
      <w:pPr>
        <w:pStyle w:val="Amain"/>
      </w:pPr>
      <w:r w:rsidRPr="00A060B6">
        <w:tab/>
        <w:t>(1)</w:t>
      </w:r>
      <w:r w:rsidRPr="00A060B6">
        <w:tab/>
        <w:t xml:space="preserve">For this Act, a </w:t>
      </w:r>
      <w:r w:rsidRPr="00AF17FE">
        <w:rPr>
          <w:rStyle w:val="charBoldItals"/>
        </w:rPr>
        <w:t>business</w:t>
      </w:r>
      <w:r w:rsidRPr="00A060B6">
        <w:t xml:space="preserve"> includes the following: </w:t>
      </w:r>
    </w:p>
    <w:p w:rsidR="00F8610E" w:rsidRPr="00A060B6" w:rsidRDefault="00F8610E" w:rsidP="00486F06">
      <w:pPr>
        <w:pStyle w:val="Apara"/>
      </w:pPr>
      <w:r w:rsidRPr="00A060B6">
        <w:tab/>
        <w:t>(a)</w:t>
      </w:r>
      <w:r w:rsidRPr="00A060B6">
        <w:tab/>
        <w:t xml:space="preserve">a profession, calling, occupation, trade or undertaking; </w:t>
      </w:r>
    </w:p>
    <w:p w:rsidR="00F8610E" w:rsidRPr="00A060B6" w:rsidRDefault="00F8610E" w:rsidP="00486F06">
      <w:pPr>
        <w:pStyle w:val="Apara"/>
      </w:pPr>
      <w:r w:rsidRPr="00A060B6">
        <w:tab/>
        <w:t>(b)</w:t>
      </w:r>
      <w:r w:rsidRPr="00A060B6">
        <w:tab/>
        <w:t xml:space="preserve">an activity engaged in or carried on by the Commonwealth, a State or a Territory; </w:t>
      </w:r>
    </w:p>
    <w:p w:rsidR="00F8610E" w:rsidRPr="00A060B6" w:rsidRDefault="00F8610E" w:rsidP="00486F06">
      <w:pPr>
        <w:pStyle w:val="Apara"/>
      </w:pPr>
      <w:r w:rsidRPr="00A060B6">
        <w:tab/>
        <w:t>(c)</w:t>
      </w:r>
      <w:r w:rsidRPr="00A060B6">
        <w:tab/>
        <w:t xml:space="preserve">an activity engaged in or carried on by the government of a foreign country; </w:t>
      </w:r>
    </w:p>
    <w:p w:rsidR="00F8610E" w:rsidRPr="00A060B6" w:rsidRDefault="00F8610E" w:rsidP="00486F06">
      <w:pPr>
        <w:pStyle w:val="Apara"/>
      </w:pPr>
      <w:r w:rsidRPr="00A060B6">
        <w:tab/>
        <w:t>(d)</w:t>
      </w:r>
      <w:r w:rsidRPr="00A060B6">
        <w:tab/>
        <w:t xml:space="preserve">for an entity holding office or exercising power under or because of the Constitution, an Australian law or a law of a foreign country—an activity engaged in or carried on by the entity in the exercise of the functions of the office or the exercise of the power (otherwise than in a private capacity); </w:t>
      </w:r>
    </w:p>
    <w:p w:rsidR="00F8610E" w:rsidRPr="00A060B6" w:rsidRDefault="00F8610E" w:rsidP="00486F06">
      <w:pPr>
        <w:pStyle w:val="Apara"/>
      </w:pPr>
      <w:r w:rsidRPr="00A060B6">
        <w:tab/>
        <w:t>(e)</w:t>
      </w:r>
      <w:r w:rsidRPr="00A060B6">
        <w:tab/>
        <w:t xml:space="preserve">the proceedings of an Australian Parliament, a house of an Australian Parliament, a committee of an Australian Parliament or of a house of an Australian Parliament; </w:t>
      </w:r>
    </w:p>
    <w:p w:rsidR="00F8610E" w:rsidRPr="00A060B6" w:rsidRDefault="00F8610E" w:rsidP="00486F06">
      <w:pPr>
        <w:pStyle w:val="Apara"/>
      </w:pPr>
      <w:r w:rsidRPr="00A060B6">
        <w:tab/>
        <w:t>(f)</w:t>
      </w:r>
      <w:r w:rsidRPr="00A060B6">
        <w:tab/>
        <w:t xml:space="preserve">the proceedings of a legislature of a foreign country, including a house or committee (however described) of the legislature. </w:t>
      </w:r>
    </w:p>
    <w:p w:rsidR="00F8610E" w:rsidRPr="00A060B6" w:rsidRDefault="00F8610E" w:rsidP="00486F06">
      <w:pPr>
        <w:pStyle w:val="Amain"/>
      </w:pPr>
      <w:r w:rsidRPr="00A060B6">
        <w:tab/>
        <w:t>(2)</w:t>
      </w:r>
      <w:r w:rsidRPr="00A060B6">
        <w:tab/>
        <w:t xml:space="preserve">For this Act, a </w:t>
      </w:r>
      <w:r w:rsidRPr="00AF17FE">
        <w:rPr>
          <w:rStyle w:val="charBoldItals"/>
        </w:rPr>
        <w:t>business</w:t>
      </w:r>
      <w:r w:rsidRPr="00A060B6">
        <w:t xml:space="preserve"> also includes the following:</w:t>
      </w:r>
    </w:p>
    <w:p w:rsidR="00F8610E" w:rsidRPr="00A060B6" w:rsidRDefault="00F8610E" w:rsidP="00486F06">
      <w:pPr>
        <w:pStyle w:val="Apara"/>
      </w:pPr>
      <w:r w:rsidRPr="00A060B6">
        <w:tab/>
        <w:t>(a)</w:t>
      </w:r>
      <w:r w:rsidRPr="00A060B6">
        <w:tab/>
        <w:t xml:space="preserve">a business that is not engaged in or carried on for profit; </w:t>
      </w:r>
    </w:p>
    <w:p w:rsidR="00F8610E" w:rsidRPr="00A060B6" w:rsidRDefault="00F8610E" w:rsidP="00486F06">
      <w:pPr>
        <w:pStyle w:val="Apara"/>
      </w:pPr>
      <w:r w:rsidRPr="00A060B6">
        <w:tab/>
        <w:t>(b)</w:t>
      </w:r>
      <w:r w:rsidRPr="00A060B6">
        <w:tab/>
        <w:t xml:space="preserve">a business engaged in or carried on outside Australia. </w:t>
      </w:r>
    </w:p>
    <w:p w:rsidR="00F8610E" w:rsidRPr="00A060B6" w:rsidRDefault="00F8610E" w:rsidP="00486F06">
      <w:pPr>
        <w:pStyle w:val="Schclauseheading"/>
      </w:pPr>
      <w:bookmarkStart w:id="284" w:name="_Toc11748639"/>
      <w:r w:rsidRPr="003925E1">
        <w:rPr>
          <w:rStyle w:val="CharSectNo"/>
        </w:rPr>
        <w:lastRenderedPageBreak/>
        <w:t>2</w:t>
      </w:r>
      <w:r w:rsidRPr="00A060B6">
        <w:tab/>
        <w:t xml:space="preserve">References to </w:t>
      </w:r>
      <w:r w:rsidRPr="00AF17FE">
        <w:rPr>
          <w:rStyle w:val="charItals"/>
        </w:rPr>
        <w:t>examination-in-chief</w:t>
      </w:r>
      <w:r w:rsidRPr="005474DC">
        <w:rPr>
          <w:iCs/>
        </w:rPr>
        <w:t>,</w:t>
      </w:r>
      <w:r w:rsidRPr="00A060B6">
        <w:t xml:space="preserve"> </w:t>
      </w:r>
      <w:r w:rsidRPr="00AF17FE">
        <w:rPr>
          <w:rStyle w:val="charItals"/>
        </w:rPr>
        <w:t>cross-examination</w:t>
      </w:r>
      <w:r w:rsidRPr="00A060B6">
        <w:t xml:space="preserve"> and </w:t>
      </w:r>
      <w:r w:rsidRPr="00AF17FE">
        <w:rPr>
          <w:rStyle w:val="charItals"/>
        </w:rPr>
        <w:t>re-examination</w:t>
      </w:r>
      <w:bookmarkEnd w:id="284"/>
      <w:r w:rsidRPr="00A060B6">
        <w:t xml:space="preserve"> </w:t>
      </w:r>
    </w:p>
    <w:p w:rsidR="00F8610E" w:rsidRPr="00A060B6" w:rsidRDefault="00F8610E" w:rsidP="00D926E5">
      <w:pPr>
        <w:pStyle w:val="Amain"/>
        <w:keepNext/>
        <w:keepLines/>
      </w:pPr>
      <w:r w:rsidRPr="00A060B6">
        <w:tab/>
        <w:t>(1)</w:t>
      </w:r>
      <w:r w:rsidRPr="00A060B6">
        <w:tab/>
        <w:t xml:space="preserve">For this Act, a reference to </w:t>
      </w:r>
      <w:r w:rsidRPr="00AF17FE">
        <w:rPr>
          <w:rStyle w:val="charBoldItals"/>
        </w:rPr>
        <w:t>examination-in-chief</w:t>
      </w:r>
      <w:r w:rsidRPr="00A060B6">
        <w:t xml:space="preserve"> of a witness is a reference to the questioning of a witness by the party who called the witness to give evidence, other than questioning that is re</w:t>
      </w:r>
      <w:r w:rsidRPr="00A060B6">
        <w:noBreakHyphen/>
        <w:t>examination.</w:t>
      </w:r>
    </w:p>
    <w:p w:rsidR="00F8610E" w:rsidRPr="00A060B6" w:rsidRDefault="00F8610E" w:rsidP="00486F06">
      <w:pPr>
        <w:pStyle w:val="Amain"/>
      </w:pPr>
      <w:r w:rsidRPr="00A060B6">
        <w:tab/>
        <w:t>(2)</w:t>
      </w:r>
      <w:r w:rsidRPr="00A060B6">
        <w:tab/>
        <w:t xml:space="preserve">For this Act, a reference to </w:t>
      </w:r>
      <w:r w:rsidRPr="00AF17FE">
        <w:rPr>
          <w:rStyle w:val="charBoldItals"/>
        </w:rPr>
        <w:t>cross-examination</w:t>
      </w:r>
      <w:r w:rsidRPr="00A060B6">
        <w:t xml:space="preserve"> of a witness is a reference to the questioning of a witness by a party other than the party who called the witness to give evidence. </w:t>
      </w:r>
    </w:p>
    <w:p w:rsidR="00F8610E" w:rsidRPr="00A060B6" w:rsidRDefault="00F8610E" w:rsidP="00486F06">
      <w:pPr>
        <w:pStyle w:val="Amain"/>
      </w:pPr>
      <w:r w:rsidRPr="00A060B6">
        <w:tab/>
        <w:t>(3)</w:t>
      </w:r>
      <w:r w:rsidRPr="00A060B6">
        <w:tab/>
        <w:t xml:space="preserve">For this Act, a reference to </w:t>
      </w:r>
      <w:r w:rsidRPr="00AF17FE">
        <w:rPr>
          <w:rStyle w:val="charBoldItals"/>
        </w:rPr>
        <w:t>re-examination</w:t>
      </w:r>
      <w:r w:rsidRPr="00A060B6">
        <w:t xml:space="preserve"> of a witness is a reference to the questioning of a witness by the party who called the witness to give evidence, that is questioning (other than further examination-in-chief with the leave of the court) conducted after the cross</w:t>
      </w:r>
      <w:r w:rsidRPr="00A060B6">
        <w:noBreakHyphen/>
        <w:t>examination of the witness by another party.</w:t>
      </w:r>
    </w:p>
    <w:p w:rsidR="00F8610E" w:rsidRPr="00A060B6" w:rsidRDefault="00F8610E" w:rsidP="00486F06">
      <w:pPr>
        <w:pStyle w:val="Amain"/>
      </w:pPr>
      <w:r w:rsidRPr="00A060B6">
        <w:tab/>
        <w:t>(4)</w:t>
      </w:r>
      <w:r w:rsidRPr="00A060B6">
        <w:tab/>
        <w:t xml:space="preserve">For this Act, if a party has recalled a witness who has already given evidence, a reference to re-examination of a witness does not include a reference to the questioning of the witness by that party before the witness is questioned by another party. </w:t>
      </w:r>
    </w:p>
    <w:p w:rsidR="00F8610E" w:rsidRPr="00A060B6" w:rsidRDefault="00F8610E" w:rsidP="00486F06">
      <w:pPr>
        <w:pStyle w:val="Schclauseheading"/>
      </w:pPr>
      <w:bookmarkStart w:id="285" w:name="_Toc11748640"/>
      <w:r w:rsidRPr="003925E1">
        <w:rPr>
          <w:rStyle w:val="CharSectNo"/>
        </w:rPr>
        <w:t>3</w:t>
      </w:r>
      <w:r w:rsidRPr="00A060B6">
        <w:tab/>
        <w:t>References to civil penalties</w:t>
      </w:r>
      <w:bookmarkEnd w:id="285"/>
    </w:p>
    <w:p w:rsidR="00F8610E" w:rsidRPr="00A060B6" w:rsidRDefault="00F8610E" w:rsidP="00E51812">
      <w:pPr>
        <w:pStyle w:val="Amainreturn"/>
      </w:pPr>
      <w:r w:rsidRPr="00A060B6">
        <w:t xml:space="preserve">For this Act, a person is taken to be liable to a civil penalty if, in an Australian or overseas proceeding (other than a criminal proceeding), the person would be liable to a penalty arising under an Australian law or a law of a foreign country. </w:t>
      </w:r>
    </w:p>
    <w:p w:rsidR="00F8610E" w:rsidRPr="00A060B6" w:rsidRDefault="00F8610E" w:rsidP="00693590">
      <w:pPr>
        <w:pStyle w:val="Schclauseheading"/>
      </w:pPr>
      <w:bookmarkStart w:id="286" w:name="_Toc11748641"/>
      <w:r w:rsidRPr="003925E1">
        <w:rPr>
          <w:rStyle w:val="CharSectNo"/>
        </w:rPr>
        <w:lastRenderedPageBreak/>
        <w:t>4</w:t>
      </w:r>
      <w:r w:rsidRPr="00A060B6">
        <w:tab/>
        <w:t>Unavailability of people</w:t>
      </w:r>
      <w:bookmarkEnd w:id="286"/>
    </w:p>
    <w:p w:rsidR="00F8610E" w:rsidRPr="00A060B6" w:rsidRDefault="00F8610E" w:rsidP="00693590">
      <w:pPr>
        <w:pStyle w:val="Amain"/>
        <w:keepNext/>
      </w:pPr>
      <w:r w:rsidRPr="00A060B6">
        <w:tab/>
        <w:t>(1)</w:t>
      </w:r>
      <w:r w:rsidRPr="00A060B6">
        <w:tab/>
        <w:t>For this Act, a person is taken not to be available to give evidence about a fact if—</w:t>
      </w:r>
    </w:p>
    <w:p w:rsidR="00F8610E" w:rsidRPr="00A060B6" w:rsidRDefault="00F8610E" w:rsidP="00693590">
      <w:pPr>
        <w:pStyle w:val="Apara"/>
        <w:keepNext/>
      </w:pPr>
      <w:r w:rsidRPr="00A060B6">
        <w:tab/>
        <w:t>(a)</w:t>
      </w:r>
      <w:r w:rsidRPr="00A060B6">
        <w:tab/>
        <w:t xml:space="preserve">the person is dead; or </w:t>
      </w:r>
    </w:p>
    <w:p w:rsidR="00F8610E" w:rsidRPr="00A060B6" w:rsidRDefault="00F8610E" w:rsidP="00486F06">
      <w:pPr>
        <w:pStyle w:val="Apara"/>
      </w:pPr>
      <w:r w:rsidRPr="00A060B6">
        <w:tab/>
        <w:t>(b)</w:t>
      </w:r>
      <w:r w:rsidRPr="00A060B6">
        <w:tab/>
        <w:t xml:space="preserve">the person is, for any reason other than the application of section 16 (Competence and compellability—judges and jurors), not competent to give the evidence; or </w:t>
      </w:r>
    </w:p>
    <w:p w:rsidR="001424EB" w:rsidRPr="00F1390F" w:rsidRDefault="001424EB" w:rsidP="001424EB">
      <w:pPr>
        <w:pStyle w:val="Apara"/>
      </w:pPr>
      <w:r w:rsidRPr="00F1390F">
        <w:tab/>
        <w:t>(c)</w:t>
      </w:r>
      <w:r w:rsidRPr="00F1390F">
        <w:tab/>
        <w:t>the person is mentally or physically unable to give the evidence and it is not reasonably practicable to overcome that inability; or</w:t>
      </w:r>
    </w:p>
    <w:p w:rsidR="001424EB" w:rsidRPr="00F1390F" w:rsidRDefault="001424EB" w:rsidP="001424EB">
      <w:pPr>
        <w:pStyle w:val="Apara"/>
      </w:pPr>
      <w:r w:rsidRPr="00F1390F">
        <w:tab/>
        <w:t>(d)</w:t>
      </w:r>
      <w:r w:rsidRPr="00F1390F">
        <w:tab/>
        <w:t xml:space="preserve">it would be unlawful for the person to give the evidence; or </w:t>
      </w:r>
    </w:p>
    <w:p w:rsidR="001424EB" w:rsidRPr="00F1390F" w:rsidRDefault="001424EB" w:rsidP="001424EB">
      <w:pPr>
        <w:pStyle w:val="Apara"/>
      </w:pPr>
      <w:r w:rsidRPr="00F1390F">
        <w:tab/>
        <w:t>(e)</w:t>
      </w:r>
      <w:r w:rsidRPr="00F1390F">
        <w:tab/>
        <w:t xml:space="preserve">a provision of this Act prohibits the evidence being given; or </w:t>
      </w:r>
    </w:p>
    <w:p w:rsidR="001424EB" w:rsidRPr="00F1390F" w:rsidRDefault="001424EB" w:rsidP="001424EB">
      <w:pPr>
        <w:pStyle w:val="Apara"/>
      </w:pPr>
      <w:r w:rsidRPr="00F1390F">
        <w:tab/>
        <w:t>(f)</w:t>
      </w:r>
      <w:r w:rsidRPr="00F1390F">
        <w:tab/>
        <w:t xml:space="preserve">all reasonable steps have been taken, by the party seeking to prove the person is not available, to find the person or to secure the person’s attendance, but without success; or </w:t>
      </w:r>
    </w:p>
    <w:p w:rsidR="001424EB" w:rsidRPr="00F1390F" w:rsidRDefault="001424EB" w:rsidP="001424EB">
      <w:pPr>
        <w:pStyle w:val="Apara"/>
      </w:pPr>
      <w:r w:rsidRPr="00F1390F">
        <w:tab/>
        <w:t>(g)</w:t>
      </w:r>
      <w:r w:rsidRPr="00F1390F">
        <w:tab/>
        <w:t xml:space="preserve">all reasonable steps have been taken, by the party seeking to prove the person is not available, to compel the person to give the evidence, but without success. </w:t>
      </w:r>
    </w:p>
    <w:p w:rsidR="00F8610E" w:rsidRPr="00A060B6" w:rsidRDefault="00F8610E" w:rsidP="00486F06">
      <w:pPr>
        <w:pStyle w:val="Amain"/>
      </w:pPr>
      <w:r w:rsidRPr="00A060B6">
        <w:tab/>
        <w:t>(2)</w:t>
      </w:r>
      <w:r w:rsidRPr="00A060B6">
        <w:tab/>
        <w:t xml:space="preserve">In all other cases the person is taken to be available to give evidence about the fact. </w:t>
      </w:r>
    </w:p>
    <w:p w:rsidR="00F8610E" w:rsidRPr="00A060B6" w:rsidRDefault="00F8610E" w:rsidP="00486F06">
      <w:pPr>
        <w:pStyle w:val="Schclauseheading"/>
      </w:pPr>
      <w:bookmarkStart w:id="287" w:name="_Toc11748642"/>
      <w:r w:rsidRPr="003925E1">
        <w:rPr>
          <w:rStyle w:val="CharSectNo"/>
        </w:rPr>
        <w:t>5</w:t>
      </w:r>
      <w:r w:rsidRPr="00A060B6">
        <w:tab/>
        <w:t>Unavailability of documents and things</w:t>
      </w:r>
      <w:bookmarkEnd w:id="287"/>
    </w:p>
    <w:p w:rsidR="00F8610E" w:rsidRPr="00A060B6" w:rsidRDefault="00F8610E" w:rsidP="00E51812">
      <w:pPr>
        <w:pStyle w:val="Amainreturn"/>
      </w:pPr>
      <w:r w:rsidRPr="00A060B6">
        <w:t>For this Act, a document or thing is taken not to be available to a party if and only if—</w:t>
      </w:r>
    </w:p>
    <w:p w:rsidR="00F8610E" w:rsidRPr="00A060B6" w:rsidRDefault="00F8610E" w:rsidP="00486F06">
      <w:pPr>
        <w:pStyle w:val="Apara"/>
      </w:pPr>
      <w:r w:rsidRPr="00A060B6">
        <w:tab/>
        <w:t>(a)</w:t>
      </w:r>
      <w:r w:rsidRPr="00A060B6">
        <w:tab/>
        <w:t xml:space="preserve">it cannot be found after reasonable inquiry and search by the party; or </w:t>
      </w:r>
    </w:p>
    <w:p w:rsidR="00F8610E" w:rsidRPr="00A060B6" w:rsidRDefault="00F8610E" w:rsidP="00486F06">
      <w:pPr>
        <w:pStyle w:val="Apara"/>
      </w:pPr>
      <w:r w:rsidRPr="00A060B6">
        <w:tab/>
        <w:t>(b)</w:t>
      </w:r>
      <w:r w:rsidRPr="00A060B6">
        <w:tab/>
        <w:t xml:space="preserve">it was destroyed by the party, or by a person on behalf of the party, otherwise than in bad faith, or was destroyed by someone else; or </w:t>
      </w:r>
    </w:p>
    <w:p w:rsidR="00F8610E" w:rsidRPr="00A060B6" w:rsidRDefault="00F8610E" w:rsidP="00486F06">
      <w:pPr>
        <w:pStyle w:val="Apara"/>
      </w:pPr>
      <w:r w:rsidRPr="00A060B6">
        <w:lastRenderedPageBreak/>
        <w:tab/>
        <w:t>(c)</w:t>
      </w:r>
      <w:r w:rsidRPr="00A060B6">
        <w:tab/>
        <w:t xml:space="preserve">it would be impractical to produce the document or thing in the  proceeding; or </w:t>
      </w:r>
    </w:p>
    <w:p w:rsidR="00F8610E" w:rsidRPr="00A060B6" w:rsidRDefault="00F8610E" w:rsidP="00486F06">
      <w:pPr>
        <w:pStyle w:val="Apara"/>
      </w:pPr>
      <w:r w:rsidRPr="00A060B6">
        <w:tab/>
        <w:t>(d)</w:t>
      </w:r>
      <w:r w:rsidRPr="00A060B6">
        <w:tab/>
        <w:t xml:space="preserve">production of the document or thing in the proceeding could render a person liable to conviction for an offence; or </w:t>
      </w:r>
    </w:p>
    <w:p w:rsidR="00F8610E" w:rsidRPr="00A060B6" w:rsidRDefault="00F8610E" w:rsidP="00D926E5">
      <w:pPr>
        <w:pStyle w:val="Apara"/>
        <w:keepNext/>
      </w:pPr>
      <w:r w:rsidRPr="00A060B6">
        <w:tab/>
        <w:t>(e)</w:t>
      </w:r>
      <w:r w:rsidRPr="00A060B6">
        <w:tab/>
        <w:t>it is not in the possession or under the control of the party and—</w:t>
      </w:r>
    </w:p>
    <w:p w:rsidR="00F8610E" w:rsidRPr="00A060B6" w:rsidRDefault="00F8610E" w:rsidP="00C23C3D">
      <w:pPr>
        <w:pStyle w:val="SchAsubpara"/>
      </w:pPr>
      <w:r>
        <w:tab/>
      </w:r>
      <w:r w:rsidRPr="00A060B6">
        <w:t>(i)</w:t>
      </w:r>
      <w:r w:rsidRPr="00A060B6">
        <w:tab/>
        <w:t xml:space="preserve">it cannot be obtained by any judicial procedure of the court; or </w:t>
      </w:r>
    </w:p>
    <w:p w:rsidR="00F8610E" w:rsidRPr="00A060B6" w:rsidRDefault="00F8610E" w:rsidP="00EA3EE6">
      <w:pPr>
        <w:pStyle w:val="SchAsubpara"/>
        <w:keepLines/>
      </w:pPr>
      <w:r>
        <w:tab/>
      </w:r>
      <w:r w:rsidRPr="00A060B6">
        <w:t>(ii)</w:t>
      </w:r>
      <w:r w:rsidRPr="00A060B6">
        <w:tab/>
        <w:t xml:space="preserve">it is in the possession or under the control of another party to the proceeding who knows or might reasonably be expected to know that evidence of the contents of the document, or evidence of the thing, is likely to be relevant in the proceeding; or </w:t>
      </w:r>
    </w:p>
    <w:p w:rsidR="00F8610E" w:rsidRPr="00A060B6" w:rsidRDefault="00F8610E" w:rsidP="00C23C3D">
      <w:pPr>
        <w:pStyle w:val="SchAsubpara"/>
      </w:pPr>
      <w:r>
        <w:tab/>
      </w:r>
      <w:r w:rsidRPr="00A060B6">
        <w:t>(iii)</w:t>
      </w:r>
      <w:r w:rsidRPr="00A060B6">
        <w:tab/>
        <w:t xml:space="preserve">it was in the possession or under the control of that other party at a time when that party knew or might reasonably be expected to have known that the evidence was likely to be relevant in the proceeding. </w:t>
      </w:r>
    </w:p>
    <w:p w:rsidR="00F8610E" w:rsidRPr="00A060B6" w:rsidRDefault="00F8610E" w:rsidP="00486F06">
      <w:pPr>
        <w:pStyle w:val="Schclauseheading"/>
      </w:pPr>
      <w:bookmarkStart w:id="288" w:name="_Toc11748643"/>
      <w:r w:rsidRPr="003925E1">
        <w:rPr>
          <w:rStyle w:val="CharSectNo"/>
        </w:rPr>
        <w:t>6</w:t>
      </w:r>
      <w:r w:rsidRPr="00A060B6">
        <w:tab/>
        <w:t>Representations in documents</w:t>
      </w:r>
      <w:bookmarkEnd w:id="288"/>
    </w:p>
    <w:p w:rsidR="00F8610E" w:rsidRPr="00A060B6" w:rsidRDefault="00F8610E" w:rsidP="00E51812">
      <w:pPr>
        <w:pStyle w:val="Amainreturn"/>
      </w:pPr>
      <w:r w:rsidRPr="00A060B6">
        <w:t>For this Act, a representation contained in a document is taken to have been made by a person if—</w:t>
      </w:r>
    </w:p>
    <w:p w:rsidR="00F8610E" w:rsidRPr="00A060B6" w:rsidRDefault="00F8610E" w:rsidP="00486F06">
      <w:pPr>
        <w:pStyle w:val="Apara"/>
      </w:pPr>
      <w:r w:rsidRPr="00A060B6">
        <w:tab/>
        <w:t>(a)</w:t>
      </w:r>
      <w:r w:rsidRPr="00A060B6">
        <w:tab/>
        <w:t>the document was written, made or otherwise produced by the person; or</w:t>
      </w:r>
    </w:p>
    <w:p w:rsidR="00F8610E" w:rsidRPr="00A060B6" w:rsidRDefault="00F8610E" w:rsidP="00486F06">
      <w:pPr>
        <w:pStyle w:val="Apara"/>
      </w:pPr>
      <w:r w:rsidRPr="00A060B6">
        <w:tab/>
        <w:t>(b)</w:t>
      </w:r>
      <w:r w:rsidRPr="00A060B6">
        <w:tab/>
        <w:t xml:space="preserve">the representation was recognised by the person as the person’s representation by signing, initialling or otherwise marking the document. </w:t>
      </w:r>
    </w:p>
    <w:p w:rsidR="00F8610E" w:rsidRPr="00A060B6" w:rsidRDefault="00F8610E" w:rsidP="00693590">
      <w:pPr>
        <w:pStyle w:val="Schclauseheading"/>
      </w:pPr>
      <w:bookmarkStart w:id="289" w:name="_Toc11748644"/>
      <w:r w:rsidRPr="003925E1">
        <w:rPr>
          <w:rStyle w:val="CharSectNo"/>
        </w:rPr>
        <w:lastRenderedPageBreak/>
        <w:t>7</w:t>
      </w:r>
      <w:r w:rsidRPr="00A060B6">
        <w:tab/>
        <w:t>Witnesses</w:t>
      </w:r>
      <w:bookmarkEnd w:id="289"/>
      <w:r w:rsidRPr="00A060B6">
        <w:t xml:space="preserve"> </w:t>
      </w:r>
    </w:p>
    <w:p w:rsidR="00F8610E" w:rsidRPr="00A060B6" w:rsidRDefault="00F8610E" w:rsidP="00693590">
      <w:pPr>
        <w:pStyle w:val="Amain"/>
        <w:keepNext/>
      </w:pPr>
      <w:r w:rsidRPr="00A060B6">
        <w:tab/>
        <w:t>(1)</w:t>
      </w:r>
      <w:r w:rsidRPr="00A060B6">
        <w:tab/>
        <w:t>For this Act, a reference to a witness includes a reference to a party giving evidence.</w:t>
      </w:r>
    </w:p>
    <w:p w:rsidR="00F8610E" w:rsidRPr="00A060B6" w:rsidRDefault="00F8610E" w:rsidP="00486F06">
      <w:pPr>
        <w:pStyle w:val="Amain"/>
      </w:pPr>
      <w:r w:rsidRPr="00A060B6">
        <w:tab/>
        <w:t>(2)</w:t>
      </w:r>
      <w:r w:rsidRPr="00A060B6">
        <w:tab/>
        <w:t xml:space="preserve">For this Act, a reference to a witness who has been called by a party to give evidence includes a reference to the party giving evidence. </w:t>
      </w:r>
    </w:p>
    <w:p w:rsidR="00F8610E" w:rsidRPr="00A060B6" w:rsidRDefault="00F8610E" w:rsidP="00486F06">
      <w:pPr>
        <w:pStyle w:val="Amain"/>
      </w:pPr>
      <w:r w:rsidRPr="00A060B6">
        <w:tab/>
        <w:t>(3)</w:t>
      </w:r>
      <w:r w:rsidRPr="00A060B6">
        <w:tab/>
        <w:t xml:space="preserve">For this section, a reference to a party includes a defendant in a criminal proceeding. </w:t>
      </w:r>
    </w:p>
    <w:p w:rsidR="00F8610E" w:rsidRPr="00A060B6" w:rsidRDefault="00F8610E" w:rsidP="00486F06">
      <w:pPr>
        <w:pStyle w:val="Schclauseheading"/>
      </w:pPr>
      <w:bookmarkStart w:id="290" w:name="_Toc11748645"/>
      <w:r w:rsidRPr="003925E1">
        <w:rPr>
          <w:rStyle w:val="CharSectNo"/>
        </w:rPr>
        <w:t>8</w:t>
      </w:r>
      <w:r w:rsidRPr="00A060B6">
        <w:tab/>
        <w:t>References to documents</w:t>
      </w:r>
      <w:bookmarkEnd w:id="290"/>
    </w:p>
    <w:p w:rsidR="00F8610E" w:rsidRPr="00A060B6" w:rsidRDefault="00F8610E" w:rsidP="00EA3EE6">
      <w:pPr>
        <w:pStyle w:val="Amainreturn"/>
        <w:keepNext/>
      </w:pPr>
      <w:r w:rsidRPr="00A060B6">
        <w:t xml:space="preserve">For this Act, a reference to a document includes a reference to the following: </w:t>
      </w:r>
    </w:p>
    <w:p w:rsidR="00F8610E" w:rsidRPr="00A060B6" w:rsidRDefault="00F8610E" w:rsidP="00EA3EE6">
      <w:pPr>
        <w:pStyle w:val="Apara"/>
        <w:keepNext/>
      </w:pPr>
      <w:r w:rsidRPr="00A060B6">
        <w:tab/>
        <w:t>(a)</w:t>
      </w:r>
      <w:r w:rsidRPr="00A060B6">
        <w:tab/>
        <w:t xml:space="preserve">any part of the document; </w:t>
      </w:r>
    </w:p>
    <w:p w:rsidR="00F8610E" w:rsidRPr="00A060B6" w:rsidRDefault="00F8610E" w:rsidP="00486F06">
      <w:pPr>
        <w:pStyle w:val="Apara"/>
      </w:pPr>
      <w:r w:rsidRPr="00A060B6">
        <w:tab/>
        <w:t>(b)</w:t>
      </w:r>
      <w:r w:rsidRPr="00A060B6">
        <w:tab/>
        <w:t xml:space="preserve">any copy, reproduction or duplicate of the document or of any part of the document; </w:t>
      </w:r>
    </w:p>
    <w:p w:rsidR="00F8610E" w:rsidRPr="00A060B6" w:rsidRDefault="00F8610E" w:rsidP="00486F06">
      <w:pPr>
        <w:pStyle w:val="Apara"/>
      </w:pPr>
      <w:r w:rsidRPr="00A060B6">
        <w:tab/>
        <w:t>(c)</w:t>
      </w:r>
      <w:r w:rsidRPr="00A060B6">
        <w:tab/>
        <w:t xml:space="preserve">any part of the copy, reproduction or duplicate. </w:t>
      </w:r>
    </w:p>
    <w:p w:rsidR="00F8610E" w:rsidRPr="00A060B6" w:rsidRDefault="00F8610E" w:rsidP="00486F06">
      <w:pPr>
        <w:pStyle w:val="Schclauseheading"/>
      </w:pPr>
      <w:bookmarkStart w:id="291" w:name="_Toc11748646"/>
      <w:r w:rsidRPr="003925E1">
        <w:rPr>
          <w:rStyle w:val="CharSectNo"/>
        </w:rPr>
        <w:t>8A</w:t>
      </w:r>
      <w:r w:rsidRPr="00A060B6">
        <w:tab/>
        <w:t>References to offices etc</w:t>
      </w:r>
      <w:bookmarkEnd w:id="291"/>
    </w:p>
    <w:p w:rsidR="00F8610E" w:rsidRPr="00A060B6" w:rsidRDefault="00F8610E" w:rsidP="00E51812">
      <w:pPr>
        <w:pStyle w:val="Amainreturn"/>
      </w:pPr>
      <w:r w:rsidRPr="00A060B6">
        <w:t>For this Act—</w:t>
      </w:r>
    </w:p>
    <w:p w:rsidR="00F8610E" w:rsidRPr="00A060B6" w:rsidRDefault="00F8610E" w:rsidP="00272B91">
      <w:pPr>
        <w:pStyle w:val="Apara"/>
        <w:tabs>
          <w:tab w:val="left" w:pos="4536"/>
        </w:tabs>
      </w:pPr>
      <w:r w:rsidRPr="00A060B6">
        <w:tab/>
        <w:t>(a)</w:t>
      </w:r>
      <w:r w:rsidRPr="00A060B6">
        <w:tab/>
        <w:t xml:space="preserve">a reference to a person appointed or holding office under or because of an Australian law includes a reference to an APS employee within the meaning of the </w:t>
      </w:r>
      <w:hyperlink r:id="rId226" w:tooltip="Act 1999 No 147 (Cwlth)" w:history="1">
        <w:r w:rsidR="00272B91" w:rsidRPr="00845AD6">
          <w:rPr>
            <w:rStyle w:val="charCitHyperlinkItal"/>
          </w:rPr>
          <w:t>Public Service Act 1999</w:t>
        </w:r>
      </w:hyperlink>
      <w:r w:rsidRPr="00A060B6">
        <w:t xml:space="preserve"> (Cwlth); and</w:t>
      </w:r>
    </w:p>
    <w:p w:rsidR="00F8610E" w:rsidRPr="00A060B6" w:rsidRDefault="00F8610E" w:rsidP="00486F06">
      <w:pPr>
        <w:pStyle w:val="Apara"/>
      </w:pPr>
      <w:r w:rsidRPr="00A060B6">
        <w:tab/>
        <w:t>(b)</w:t>
      </w:r>
      <w:r w:rsidRPr="00A060B6">
        <w:tab/>
        <w:t>in that context, a reference to an office is a reference to the position occupied by the APS employee and a reference to an officer includes a reference to a Secretary, or APS employee, within the meaning of that Act.</w:t>
      </w:r>
    </w:p>
    <w:p w:rsidR="00F8610E" w:rsidRPr="00A060B6" w:rsidRDefault="00F8610E" w:rsidP="00486F06">
      <w:pPr>
        <w:pStyle w:val="Schclauseheading"/>
      </w:pPr>
      <w:bookmarkStart w:id="292" w:name="_Toc11748647"/>
      <w:r w:rsidRPr="003925E1">
        <w:rPr>
          <w:rStyle w:val="CharSectNo"/>
        </w:rPr>
        <w:lastRenderedPageBreak/>
        <w:t>9</w:t>
      </w:r>
      <w:r w:rsidRPr="00A060B6">
        <w:tab/>
        <w:t>References to laws</w:t>
      </w:r>
      <w:bookmarkEnd w:id="292"/>
      <w:r w:rsidRPr="00A060B6">
        <w:t xml:space="preserve"> </w:t>
      </w:r>
    </w:p>
    <w:p w:rsidR="00F8610E" w:rsidRPr="00A060B6" w:rsidRDefault="00F8610E" w:rsidP="00486F06">
      <w:pPr>
        <w:pStyle w:val="Amain"/>
      </w:pPr>
      <w:r w:rsidRPr="00A060B6">
        <w:tab/>
        <w:t>(1)</w:t>
      </w:r>
      <w:r w:rsidRPr="00A060B6">
        <w:tab/>
        <w:t xml:space="preserve">For this Act, a reference to a law of the Commonwealth, a State, a Territory or a foreign country is a reference to a law (whether written or unwritten) of or in force in that place. </w:t>
      </w:r>
    </w:p>
    <w:p w:rsidR="00F8610E" w:rsidRPr="00A060B6" w:rsidRDefault="00F8610E" w:rsidP="00486F06">
      <w:pPr>
        <w:pStyle w:val="Amain"/>
      </w:pPr>
      <w:r w:rsidRPr="00A060B6">
        <w:tab/>
        <w:t>(2)</w:t>
      </w:r>
      <w:r w:rsidRPr="00A060B6">
        <w:tab/>
        <w:t xml:space="preserve">For this Act, a reference to an Australian law is a reference to an Australian law (whether written or unwritten) of or in force in Australia. </w:t>
      </w:r>
    </w:p>
    <w:p w:rsidR="00F8610E" w:rsidRPr="00A060B6" w:rsidRDefault="00F8610E" w:rsidP="00486F06">
      <w:pPr>
        <w:pStyle w:val="Schclauseheading"/>
      </w:pPr>
      <w:bookmarkStart w:id="293" w:name="_Toc11748648"/>
      <w:r w:rsidRPr="003925E1">
        <w:rPr>
          <w:rStyle w:val="CharSectNo"/>
        </w:rPr>
        <w:t>10</w:t>
      </w:r>
      <w:r w:rsidRPr="00A060B6">
        <w:tab/>
        <w:t xml:space="preserve">References to </w:t>
      </w:r>
      <w:r w:rsidRPr="00AF17FE">
        <w:rPr>
          <w:rStyle w:val="charItals"/>
        </w:rPr>
        <w:t>children</w:t>
      </w:r>
      <w:r w:rsidRPr="00A060B6">
        <w:t xml:space="preserve"> and </w:t>
      </w:r>
      <w:r w:rsidRPr="00AF17FE">
        <w:rPr>
          <w:rStyle w:val="charItals"/>
        </w:rPr>
        <w:t>parents</w:t>
      </w:r>
      <w:bookmarkEnd w:id="293"/>
    </w:p>
    <w:p w:rsidR="00F8610E" w:rsidRPr="00A060B6" w:rsidRDefault="00F8610E" w:rsidP="00EA3EE6">
      <w:pPr>
        <w:pStyle w:val="Amain"/>
        <w:keepNext/>
      </w:pPr>
      <w:r w:rsidRPr="00A060B6">
        <w:tab/>
        <w:t>(1)</w:t>
      </w:r>
      <w:r w:rsidRPr="00A060B6">
        <w:tab/>
        <w:t xml:space="preserve">For this Act, a </w:t>
      </w:r>
      <w:r w:rsidRPr="00AF17FE">
        <w:rPr>
          <w:rStyle w:val="charBoldItals"/>
        </w:rPr>
        <w:t>child</w:t>
      </w:r>
      <w:r w:rsidRPr="00A060B6">
        <w:t xml:space="preserve"> of a person includes the following:</w:t>
      </w:r>
    </w:p>
    <w:p w:rsidR="00F8610E" w:rsidRPr="00A060B6" w:rsidRDefault="00F8610E" w:rsidP="00EA3EE6">
      <w:pPr>
        <w:pStyle w:val="Apara"/>
        <w:keepNext/>
      </w:pPr>
      <w:r w:rsidRPr="00A060B6">
        <w:tab/>
        <w:t>(a)</w:t>
      </w:r>
      <w:r w:rsidRPr="00A060B6">
        <w:tab/>
        <w:t>an adopted child of the person;</w:t>
      </w:r>
    </w:p>
    <w:p w:rsidR="00F8610E" w:rsidRPr="00A060B6" w:rsidRDefault="00F8610E" w:rsidP="00486F06">
      <w:pPr>
        <w:pStyle w:val="Apara"/>
      </w:pPr>
      <w:r w:rsidRPr="00A060B6">
        <w:tab/>
        <w:t>(b)</w:t>
      </w:r>
      <w:r w:rsidRPr="00A060B6">
        <w:tab/>
        <w:t xml:space="preserve">a child of the person born outside the person’s domestic partnership; </w:t>
      </w:r>
    </w:p>
    <w:p w:rsidR="00F8610E" w:rsidRPr="00A060B6" w:rsidRDefault="00F8610E" w:rsidP="00486F06">
      <w:pPr>
        <w:pStyle w:val="Apara"/>
      </w:pPr>
      <w:r w:rsidRPr="00A060B6">
        <w:tab/>
        <w:t>(c)</w:t>
      </w:r>
      <w:r w:rsidRPr="00A060B6">
        <w:tab/>
        <w:t>a child living with the person as if the child were a member of the person’s family.</w:t>
      </w:r>
    </w:p>
    <w:p w:rsidR="00F8610E" w:rsidRPr="00A060B6" w:rsidRDefault="00F8610E" w:rsidP="00486F06">
      <w:pPr>
        <w:pStyle w:val="Amain"/>
      </w:pPr>
      <w:r w:rsidRPr="00A060B6">
        <w:tab/>
        <w:t>(2)</w:t>
      </w:r>
      <w:r w:rsidRPr="00A060B6">
        <w:tab/>
        <w:t xml:space="preserve">For this Act, a </w:t>
      </w:r>
      <w:r w:rsidRPr="00AF17FE">
        <w:rPr>
          <w:rStyle w:val="charBoldItals"/>
        </w:rPr>
        <w:t>parent</w:t>
      </w:r>
      <w:r w:rsidRPr="00A060B6">
        <w:t xml:space="preserve"> of a person includes the following:</w:t>
      </w:r>
    </w:p>
    <w:p w:rsidR="00F8610E" w:rsidRPr="00A060B6" w:rsidRDefault="00F8610E" w:rsidP="00486F06">
      <w:pPr>
        <w:pStyle w:val="Apara"/>
      </w:pPr>
      <w:r w:rsidRPr="00A060B6">
        <w:tab/>
        <w:t>(a)</w:t>
      </w:r>
      <w:r w:rsidRPr="00A060B6">
        <w:tab/>
        <w:t xml:space="preserve">if the person is adopted—an adoptive parent of the person;  </w:t>
      </w:r>
    </w:p>
    <w:p w:rsidR="00F8610E" w:rsidRPr="00A060B6" w:rsidRDefault="00F8610E" w:rsidP="00486F06">
      <w:pPr>
        <w:pStyle w:val="Apara"/>
      </w:pPr>
      <w:r w:rsidRPr="00A060B6">
        <w:tab/>
        <w:t>(b)</w:t>
      </w:r>
      <w:r w:rsidRPr="00A060B6">
        <w:tab/>
        <w:t xml:space="preserve">if the person is a child mentioned in subsection (1) (b)—the person’s natural father; </w:t>
      </w:r>
    </w:p>
    <w:p w:rsidR="00F8610E" w:rsidRPr="00A060B6" w:rsidRDefault="00F8610E" w:rsidP="00486F06">
      <w:pPr>
        <w:pStyle w:val="Apara"/>
      </w:pPr>
      <w:r w:rsidRPr="00A060B6">
        <w:tab/>
        <w:t>(c)</w:t>
      </w:r>
      <w:r w:rsidRPr="00A060B6">
        <w:tab/>
        <w:t>if the person is a child mentioned in subsection (1) (c)—the person whose family the child is living with.</w:t>
      </w:r>
    </w:p>
    <w:p w:rsidR="00F8610E" w:rsidRPr="00A060B6" w:rsidRDefault="00F8610E" w:rsidP="00E817F7">
      <w:pPr>
        <w:pStyle w:val="aNote"/>
      </w:pPr>
      <w:r w:rsidRPr="00AF17FE">
        <w:rPr>
          <w:rStyle w:val="charItals"/>
        </w:rPr>
        <w:t>Note</w:t>
      </w:r>
      <w:r w:rsidRPr="00AF17FE">
        <w:rPr>
          <w:rStyle w:val="charItals"/>
        </w:rPr>
        <w:tab/>
      </w:r>
      <w:r w:rsidRPr="00A060B6">
        <w:t xml:space="preserve">The </w:t>
      </w:r>
      <w:hyperlink r:id="rId227" w:tooltip="Evidence Act 1995" w:history="1">
        <w:r w:rsidR="00506E3A" w:rsidRPr="001D1BCB">
          <w:rPr>
            <w:rStyle w:val="charCitHyperlinkAbbrev"/>
          </w:rPr>
          <w:t>Commonwealth Act</w:t>
        </w:r>
      </w:hyperlink>
      <w:r w:rsidRPr="00A060B6">
        <w:t xml:space="preserve"> and </w:t>
      </w:r>
      <w:hyperlink r:id="rId228" w:tooltip="Act 1995 No 25 (NSW)" w:history="1">
        <w:r w:rsidR="00506E3A" w:rsidRPr="00506E3A">
          <w:rPr>
            <w:rStyle w:val="charCitHyperlinkAbbrev"/>
          </w:rPr>
          <w:t>NSW Act</w:t>
        </w:r>
      </w:hyperlink>
      <w:r w:rsidRPr="00A060B6">
        <w:t xml:space="preserve"> include a provision about references to de facto partners.  </w:t>
      </w:r>
    </w:p>
    <w:p w:rsidR="00F8610E" w:rsidRDefault="00F8610E">
      <w:pPr>
        <w:pStyle w:val="03Schedule"/>
        <w:sectPr w:rsidR="00F8610E" w:rsidSect="00A84E3C">
          <w:headerReference w:type="even" r:id="rId229"/>
          <w:headerReference w:type="default" r:id="rId230"/>
          <w:footerReference w:type="even" r:id="rId231"/>
          <w:footerReference w:type="default" r:id="rId232"/>
          <w:type w:val="continuous"/>
          <w:pgSz w:w="11907" w:h="16839" w:code="9"/>
          <w:pgMar w:top="3880" w:right="1900" w:bottom="3100" w:left="2300" w:header="2280" w:footer="1760" w:gutter="0"/>
          <w:cols w:space="720"/>
          <w:docGrid w:linePitch="326"/>
        </w:sectPr>
      </w:pPr>
    </w:p>
    <w:p w:rsidR="009A09D9" w:rsidRDefault="009A09D9">
      <w:pPr>
        <w:pStyle w:val="Endnote1"/>
      </w:pPr>
      <w:bookmarkStart w:id="294" w:name="_Toc11748649"/>
      <w:r>
        <w:lastRenderedPageBreak/>
        <w:t>Endnotes</w:t>
      </w:r>
      <w:bookmarkEnd w:id="294"/>
    </w:p>
    <w:p w:rsidR="009A09D9" w:rsidRPr="003925E1" w:rsidRDefault="009A09D9">
      <w:pPr>
        <w:pStyle w:val="Endnote20"/>
      </w:pPr>
      <w:bookmarkStart w:id="295" w:name="_Toc11748650"/>
      <w:r w:rsidRPr="003925E1">
        <w:rPr>
          <w:rStyle w:val="charTableNo"/>
        </w:rPr>
        <w:t>1</w:t>
      </w:r>
      <w:r>
        <w:tab/>
      </w:r>
      <w:r w:rsidRPr="003925E1">
        <w:rPr>
          <w:rStyle w:val="charTableText"/>
        </w:rPr>
        <w:t>About the endnotes</w:t>
      </w:r>
      <w:bookmarkEnd w:id="295"/>
    </w:p>
    <w:p w:rsidR="009A09D9" w:rsidRDefault="009A09D9">
      <w:pPr>
        <w:pStyle w:val="EndNoteTextPub"/>
      </w:pPr>
      <w:r>
        <w:t>Amending and modifying laws are annotated in the legislation history and the amendment history.  Current modifications are not included in the republished law but are set out in the endnotes.</w:t>
      </w:r>
    </w:p>
    <w:p w:rsidR="009A09D9" w:rsidRDefault="009A09D9">
      <w:pPr>
        <w:pStyle w:val="EndNoteTextPub"/>
      </w:pPr>
      <w:r>
        <w:t xml:space="preserve">Not all editorial amendments made under the </w:t>
      </w:r>
      <w:hyperlink r:id="rId233" w:tooltip="A2001-14" w:history="1">
        <w:r w:rsidR="00AF17FE" w:rsidRPr="00AF17FE">
          <w:rPr>
            <w:rStyle w:val="charCitHyperlinkItal"/>
          </w:rPr>
          <w:t>Legislation Act 2001</w:t>
        </w:r>
      </w:hyperlink>
      <w:r>
        <w:t>, part 11.3 are annotated in the amendment history.  Full details of any amendments can be obtained from the Parliamentary Counsel’s Office.</w:t>
      </w:r>
    </w:p>
    <w:p w:rsidR="009A09D9" w:rsidRDefault="009A09D9" w:rsidP="002C1B1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A09D9" w:rsidRDefault="009A09D9">
      <w:pPr>
        <w:pStyle w:val="EndNoteTextPub"/>
      </w:pPr>
      <w:r>
        <w:t xml:space="preserve">If all the provisions of the law have been renumbered, a table of renumbered provisions gives details of previous and current numbering.  </w:t>
      </w:r>
    </w:p>
    <w:p w:rsidR="009A09D9" w:rsidRDefault="009A09D9">
      <w:pPr>
        <w:pStyle w:val="EndNoteTextPub"/>
      </w:pPr>
      <w:r>
        <w:t>The endnotes also include a table of earlier republications.</w:t>
      </w:r>
    </w:p>
    <w:p w:rsidR="009A09D9" w:rsidRPr="003925E1" w:rsidRDefault="009A09D9">
      <w:pPr>
        <w:pStyle w:val="Endnote20"/>
      </w:pPr>
      <w:bookmarkStart w:id="296" w:name="_Toc11748651"/>
      <w:r w:rsidRPr="003925E1">
        <w:rPr>
          <w:rStyle w:val="charTableNo"/>
        </w:rPr>
        <w:t>2</w:t>
      </w:r>
      <w:r>
        <w:tab/>
      </w:r>
      <w:r w:rsidRPr="003925E1">
        <w:rPr>
          <w:rStyle w:val="charTableText"/>
        </w:rPr>
        <w:t>Abbreviation key</w:t>
      </w:r>
      <w:bookmarkEnd w:id="296"/>
    </w:p>
    <w:p w:rsidR="009A09D9" w:rsidRDefault="009A09D9">
      <w:pPr>
        <w:rPr>
          <w:sz w:val="4"/>
        </w:rPr>
      </w:pPr>
    </w:p>
    <w:tbl>
      <w:tblPr>
        <w:tblW w:w="7372" w:type="dxa"/>
        <w:tblInd w:w="1100" w:type="dxa"/>
        <w:tblLayout w:type="fixed"/>
        <w:tblLook w:val="0000" w:firstRow="0" w:lastRow="0" w:firstColumn="0" w:lastColumn="0" w:noHBand="0" w:noVBand="0"/>
      </w:tblPr>
      <w:tblGrid>
        <w:gridCol w:w="3720"/>
        <w:gridCol w:w="3652"/>
      </w:tblGrid>
      <w:tr w:rsidR="009A09D9" w:rsidTr="002C1B1A">
        <w:tc>
          <w:tcPr>
            <w:tcW w:w="3720" w:type="dxa"/>
          </w:tcPr>
          <w:p w:rsidR="009A09D9" w:rsidRDefault="009A09D9">
            <w:pPr>
              <w:pStyle w:val="EndnotesAbbrev"/>
            </w:pPr>
            <w:r>
              <w:t>A = Act</w:t>
            </w:r>
          </w:p>
        </w:tc>
        <w:tc>
          <w:tcPr>
            <w:tcW w:w="3652" w:type="dxa"/>
          </w:tcPr>
          <w:p w:rsidR="009A09D9" w:rsidRDefault="009A09D9" w:rsidP="002C1B1A">
            <w:pPr>
              <w:pStyle w:val="EndnotesAbbrev"/>
            </w:pPr>
            <w:r>
              <w:t>NI = Notifiable instrument</w:t>
            </w:r>
          </w:p>
        </w:tc>
      </w:tr>
      <w:tr w:rsidR="009A09D9" w:rsidTr="002C1B1A">
        <w:tc>
          <w:tcPr>
            <w:tcW w:w="3720" w:type="dxa"/>
          </w:tcPr>
          <w:p w:rsidR="009A09D9" w:rsidRDefault="009A09D9" w:rsidP="002C1B1A">
            <w:pPr>
              <w:pStyle w:val="EndnotesAbbrev"/>
            </w:pPr>
            <w:r>
              <w:t>AF = Approved form</w:t>
            </w:r>
          </w:p>
        </w:tc>
        <w:tc>
          <w:tcPr>
            <w:tcW w:w="3652" w:type="dxa"/>
          </w:tcPr>
          <w:p w:rsidR="009A09D9" w:rsidRDefault="009A09D9" w:rsidP="002C1B1A">
            <w:pPr>
              <w:pStyle w:val="EndnotesAbbrev"/>
            </w:pPr>
            <w:r>
              <w:t>o = order</w:t>
            </w:r>
          </w:p>
        </w:tc>
      </w:tr>
      <w:tr w:rsidR="009A09D9" w:rsidTr="002C1B1A">
        <w:tc>
          <w:tcPr>
            <w:tcW w:w="3720" w:type="dxa"/>
          </w:tcPr>
          <w:p w:rsidR="009A09D9" w:rsidRDefault="009A09D9">
            <w:pPr>
              <w:pStyle w:val="EndnotesAbbrev"/>
            </w:pPr>
            <w:r>
              <w:t>am = amended</w:t>
            </w:r>
          </w:p>
        </w:tc>
        <w:tc>
          <w:tcPr>
            <w:tcW w:w="3652" w:type="dxa"/>
          </w:tcPr>
          <w:p w:rsidR="009A09D9" w:rsidRDefault="009A09D9" w:rsidP="002C1B1A">
            <w:pPr>
              <w:pStyle w:val="EndnotesAbbrev"/>
            </w:pPr>
            <w:r>
              <w:t>om = omitted/repealed</w:t>
            </w:r>
          </w:p>
        </w:tc>
      </w:tr>
      <w:tr w:rsidR="009A09D9" w:rsidTr="002C1B1A">
        <w:tc>
          <w:tcPr>
            <w:tcW w:w="3720" w:type="dxa"/>
          </w:tcPr>
          <w:p w:rsidR="009A09D9" w:rsidRDefault="009A09D9">
            <w:pPr>
              <w:pStyle w:val="EndnotesAbbrev"/>
            </w:pPr>
            <w:r>
              <w:t>amdt = amendment</w:t>
            </w:r>
          </w:p>
        </w:tc>
        <w:tc>
          <w:tcPr>
            <w:tcW w:w="3652" w:type="dxa"/>
          </w:tcPr>
          <w:p w:rsidR="009A09D9" w:rsidRDefault="009A09D9" w:rsidP="002C1B1A">
            <w:pPr>
              <w:pStyle w:val="EndnotesAbbrev"/>
            </w:pPr>
            <w:r>
              <w:t>ord = ordinance</w:t>
            </w:r>
          </w:p>
        </w:tc>
      </w:tr>
      <w:tr w:rsidR="009A09D9" w:rsidTr="002C1B1A">
        <w:tc>
          <w:tcPr>
            <w:tcW w:w="3720" w:type="dxa"/>
          </w:tcPr>
          <w:p w:rsidR="009A09D9" w:rsidRDefault="009A09D9">
            <w:pPr>
              <w:pStyle w:val="EndnotesAbbrev"/>
            </w:pPr>
            <w:r>
              <w:t>AR = Assembly resolution</w:t>
            </w:r>
          </w:p>
        </w:tc>
        <w:tc>
          <w:tcPr>
            <w:tcW w:w="3652" w:type="dxa"/>
          </w:tcPr>
          <w:p w:rsidR="009A09D9" w:rsidRDefault="009A09D9" w:rsidP="002C1B1A">
            <w:pPr>
              <w:pStyle w:val="EndnotesAbbrev"/>
            </w:pPr>
            <w:r>
              <w:t>orig = original</w:t>
            </w:r>
          </w:p>
        </w:tc>
      </w:tr>
      <w:tr w:rsidR="009A09D9" w:rsidTr="002C1B1A">
        <w:tc>
          <w:tcPr>
            <w:tcW w:w="3720" w:type="dxa"/>
          </w:tcPr>
          <w:p w:rsidR="009A09D9" w:rsidRDefault="009A09D9">
            <w:pPr>
              <w:pStyle w:val="EndnotesAbbrev"/>
            </w:pPr>
            <w:r>
              <w:t>ch = chapter</w:t>
            </w:r>
          </w:p>
        </w:tc>
        <w:tc>
          <w:tcPr>
            <w:tcW w:w="3652" w:type="dxa"/>
          </w:tcPr>
          <w:p w:rsidR="009A09D9" w:rsidRDefault="009A09D9" w:rsidP="002C1B1A">
            <w:pPr>
              <w:pStyle w:val="EndnotesAbbrev"/>
            </w:pPr>
            <w:r>
              <w:t>par = paragraph/subparagraph</w:t>
            </w:r>
          </w:p>
        </w:tc>
      </w:tr>
      <w:tr w:rsidR="009A09D9" w:rsidTr="002C1B1A">
        <w:tc>
          <w:tcPr>
            <w:tcW w:w="3720" w:type="dxa"/>
          </w:tcPr>
          <w:p w:rsidR="009A09D9" w:rsidRDefault="009A09D9">
            <w:pPr>
              <w:pStyle w:val="EndnotesAbbrev"/>
            </w:pPr>
            <w:r>
              <w:t>CN = Commencement notice</w:t>
            </w:r>
          </w:p>
        </w:tc>
        <w:tc>
          <w:tcPr>
            <w:tcW w:w="3652" w:type="dxa"/>
          </w:tcPr>
          <w:p w:rsidR="009A09D9" w:rsidRDefault="009A09D9" w:rsidP="002C1B1A">
            <w:pPr>
              <w:pStyle w:val="EndnotesAbbrev"/>
            </w:pPr>
            <w:r>
              <w:t>pres = present</w:t>
            </w:r>
          </w:p>
        </w:tc>
      </w:tr>
      <w:tr w:rsidR="009A09D9" w:rsidTr="002C1B1A">
        <w:tc>
          <w:tcPr>
            <w:tcW w:w="3720" w:type="dxa"/>
          </w:tcPr>
          <w:p w:rsidR="009A09D9" w:rsidRDefault="009A09D9">
            <w:pPr>
              <w:pStyle w:val="EndnotesAbbrev"/>
            </w:pPr>
            <w:r>
              <w:t>def = definition</w:t>
            </w:r>
          </w:p>
        </w:tc>
        <w:tc>
          <w:tcPr>
            <w:tcW w:w="3652" w:type="dxa"/>
          </w:tcPr>
          <w:p w:rsidR="009A09D9" w:rsidRDefault="009A09D9" w:rsidP="002C1B1A">
            <w:pPr>
              <w:pStyle w:val="EndnotesAbbrev"/>
            </w:pPr>
            <w:r>
              <w:t>prev = previous</w:t>
            </w:r>
          </w:p>
        </w:tc>
      </w:tr>
      <w:tr w:rsidR="009A09D9" w:rsidTr="002C1B1A">
        <w:tc>
          <w:tcPr>
            <w:tcW w:w="3720" w:type="dxa"/>
          </w:tcPr>
          <w:p w:rsidR="009A09D9" w:rsidRDefault="009A09D9">
            <w:pPr>
              <w:pStyle w:val="EndnotesAbbrev"/>
            </w:pPr>
            <w:r>
              <w:t>DI = Disallowable instrument</w:t>
            </w:r>
          </w:p>
        </w:tc>
        <w:tc>
          <w:tcPr>
            <w:tcW w:w="3652" w:type="dxa"/>
          </w:tcPr>
          <w:p w:rsidR="009A09D9" w:rsidRDefault="009A09D9" w:rsidP="002C1B1A">
            <w:pPr>
              <w:pStyle w:val="EndnotesAbbrev"/>
            </w:pPr>
            <w:r>
              <w:t>(prev...) = previously</w:t>
            </w:r>
          </w:p>
        </w:tc>
      </w:tr>
      <w:tr w:rsidR="009A09D9" w:rsidTr="002C1B1A">
        <w:tc>
          <w:tcPr>
            <w:tcW w:w="3720" w:type="dxa"/>
          </w:tcPr>
          <w:p w:rsidR="009A09D9" w:rsidRDefault="009A09D9">
            <w:pPr>
              <w:pStyle w:val="EndnotesAbbrev"/>
            </w:pPr>
            <w:r>
              <w:t>dict = dictionary</w:t>
            </w:r>
          </w:p>
        </w:tc>
        <w:tc>
          <w:tcPr>
            <w:tcW w:w="3652" w:type="dxa"/>
          </w:tcPr>
          <w:p w:rsidR="009A09D9" w:rsidRDefault="009A09D9" w:rsidP="002C1B1A">
            <w:pPr>
              <w:pStyle w:val="EndnotesAbbrev"/>
            </w:pPr>
            <w:r>
              <w:t>pt = part</w:t>
            </w:r>
          </w:p>
        </w:tc>
      </w:tr>
      <w:tr w:rsidR="009A09D9" w:rsidTr="002C1B1A">
        <w:tc>
          <w:tcPr>
            <w:tcW w:w="3720" w:type="dxa"/>
          </w:tcPr>
          <w:p w:rsidR="009A09D9" w:rsidRDefault="009A09D9">
            <w:pPr>
              <w:pStyle w:val="EndnotesAbbrev"/>
            </w:pPr>
            <w:r>
              <w:t xml:space="preserve">disallowed = disallowed by the Legislative </w:t>
            </w:r>
          </w:p>
        </w:tc>
        <w:tc>
          <w:tcPr>
            <w:tcW w:w="3652" w:type="dxa"/>
          </w:tcPr>
          <w:p w:rsidR="009A09D9" w:rsidRDefault="009A09D9" w:rsidP="002C1B1A">
            <w:pPr>
              <w:pStyle w:val="EndnotesAbbrev"/>
            </w:pPr>
            <w:r>
              <w:t>r = rule/subrule</w:t>
            </w:r>
          </w:p>
        </w:tc>
      </w:tr>
      <w:tr w:rsidR="009A09D9" w:rsidTr="002C1B1A">
        <w:tc>
          <w:tcPr>
            <w:tcW w:w="3720" w:type="dxa"/>
          </w:tcPr>
          <w:p w:rsidR="009A09D9" w:rsidRDefault="009A09D9">
            <w:pPr>
              <w:pStyle w:val="EndnotesAbbrev"/>
              <w:ind w:left="972"/>
            </w:pPr>
            <w:r>
              <w:t>Assembly</w:t>
            </w:r>
          </w:p>
        </w:tc>
        <w:tc>
          <w:tcPr>
            <w:tcW w:w="3652" w:type="dxa"/>
          </w:tcPr>
          <w:p w:rsidR="009A09D9" w:rsidRDefault="009A09D9" w:rsidP="002C1B1A">
            <w:pPr>
              <w:pStyle w:val="EndnotesAbbrev"/>
            </w:pPr>
            <w:r>
              <w:t>reloc = relocated</w:t>
            </w:r>
          </w:p>
        </w:tc>
      </w:tr>
      <w:tr w:rsidR="009A09D9" w:rsidTr="002C1B1A">
        <w:tc>
          <w:tcPr>
            <w:tcW w:w="3720" w:type="dxa"/>
          </w:tcPr>
          <w:p w:rsidR="009A09D9" w:rsidRDefault="009A09D9">
            <w:pPr>
              <w:pStyle w:val="EndnotesAbbrev"/>
            </w:pPr>
            <w:r>
              <w:t>div = division</w:t>
            </w:r>
          </w:p>
        </w:tc>
        <w:tc>
          <w:tcPr>
            <w:tcW w:w="3652" w:type="dxa"/>
          </w:tcPr>
          <w:p w:rsidR="009A09D9" w:rsidRDefault="009A09D9" w:rsidP="002C1B1A">
            <w:pPr>
              <w:pStyle w:val="EndnotesAbbrev"/>
            </w:pPr>
            <w:r>
              <w:t>renum = renumbered</w:t>
            </w:r>
          </w:p>
        </w:tc>
      </w:tr>
      <w:tr w:rsidR="009A09D9" w:rsidTr="002C1B1A">
        <w:tc>
          <w:tcPr>
            <w:tcW w:w="3720" w:type="dxa"/>
          </w:tcPr>
          <w:p w:rsidR="009A09D9" w:rsidRDefault="009A09D9">
            <w:pPr>
              <w:pStyle w:val="EndnotesAbbrev"/>
            </w:pPr>
            <w:r>
              <w:t>exp = expires/expired</w:t>
            </w:r>
          </w:p>
        </w:tc>
        <w:tc>
          <w:tcPr>
            <w:tcW w:w="3652" w:type="dxa"/>
          </w:tcPr>
          <w:p w:rsidR="009A09D9" w:rsidRDefault="009A09D9" w:rsidP="002C1B1A">
            <w:pPr>
              <w:pStyle w:val="EndnotesAbbrev"/>
            </w:pPr>
            <w:r>
              <w:t>R[X] = Republication No</w:t>
            </w:r>
          </w:p>
        </w:tc>
      </w:tr>
      <w:tr w:rsidR="009A09D9" w:rsidTr="002C1B1A">
        <w:tc>
          <w:tcPr>
            <w:tcW w:w="3720" w:type="dxa"/>
          </w:tcPr>
          <w:p w:rsidR="009A09D9" w:rsidRDefault="009A09D9">
            <w:pPr>
              <w:pStyle w:val="EndnotesAbbrev"/>
            </w:pPr>
            <w:r>
              <w:t>Gaz = gazette</w:t>
            </w:r>
          </w:p>
        </w:tc>
        <w:tc>
          <w:tcPr>
            <w:tcW w:w="3652" w:type="dxa"/>
          </w:tcPr>
          <w:p w:rsidR="009A09D9" w:rsidRDefault="009A09D9" w:rsidP="002C1B1A">
            <w:pPr>
              <w:pStyle w:val="EndnotesAbbrev"/>
            </w:pPr>
            <w:r>
              <w:t>RI = reissue</w:t>
            </w:r>
          </w:p>
        </w:tc>
      </w:tr>
      <w:tr w:rsidR="009A09D9" w:rsidTr="002C1B1A">
        <w:tc>
          <w:tcPr>
            <w:tcW w:w="3720" w:type="dxa"/>
          </w:tcPr>
          <w:p w:rsidR="009A09D9" w:rsidRDefault="009A09D9">
            <w:pPr>
              <w:pStyle w:val="EndnotesAbbrev"/>
            </w:pPr>
            <w:r>
              <w:t>hdg = heading</w:t>
            </w:r>
          </w:p>
        </w:tc>
        <w:tc>
          <w:tcPr>
            <w:tcW w:w="3652" w:type="dxa"/>
          </w:tcPr>
          <w:p w:rsidR="009A09D9" w:rsidRDefault="009A09D9" w:rsidP="002C1B1A">
            <w:pPr>
              <w:pStyle w:val="EndnotesAbbrev"/>
            </w:pPr>
            <w:r>
              <w:t>s = section/subsection</w:t>
            </w:r>
          </w:p>
        </w:tc>
      </w:tr>
      <w:tr w:rsidR="009A09D9" w:rsidTr="002C1B1A">
        <w:tc>
          <w:tcPr>
            <w:tcW w:w="3720" w:type="dxa"/>
          </w:tcPr>
          <w:p w:rsidR="009A09D9" w:rsidRDefault="009A09D9">
            <w:pPr>
              <w:pStyle w:val="EndnotesAbbrev"/>
            </w:pPr>
            <w:r>
              <w:t>IA = Interpretation Act 1967</w:t>
            </w:r>
          </w:p>
        </w:tc>
        <w:tc>
          <w:tcPr>
            <w:tcW w:w="3652" w:type="dxa"/>
          </w:tcPr>
          <w:p w:rsidR="009A09D9" w:rsidRDefault="009A09D9" w:rsidP="002C1B1A">
            <w:pPr>
              <w:pStyle w:val="EndnotesAbbrev"/>
            </w:pPr>
            <w:r>
              <w:t>sch = schedule</w:t>
            </w:r>
          </w:p>
        </w:tc>
      </w:tr>
      <w:tr w:rsidR="009A09D9" w:rsidTr="002C1B1A">
        <w:tc>
          <w:tcPr>
            <w:tcW w:w="3720" w:type="dxa"/>
          </w:tcPr>
          <w:p w:rsidR="009A09D9" w:rsidRDefault="009A09D9">
            <w:pPr>
              <w:pStyle w:val="EndnotesAbbrev"/>
            </w:pPr>
            <w:r>
              <w:t>ins = inserted/added</w:t>
            </w:r>
          </w:p>
        </w:tc>
        <w:tc>
          <w:tcPr>
            <w:tcW w:w="3652" w:type="dxa"/>
          </w:tcPr>
          <w:p w:rsidR="009A09D9" w:rsidRDefault="009A09D9" w:rsidP="002C1B1A">
            <w:pPr>
              <w:pStyle w:val="EndnotesAbbrev"/>
            </w:pPr>
            <w:r>
              <w:t>sdiv = subdivision</w:t>
            </w:r>
          </w:p>
        </w:tc>
      </w:tr>
      <w:tr w:rsidR="009A09D9" w:rsidTr="002C1B1A">
        <w:tc>
          <w:tcPr>
            <w:tcW w:w="3720" w:type="dxa"/>
          </w:tcPr>
          <w:p w:rsidR="009A09D9" w:rsidRDefault="009A09D9">
            <w:pPr>
              <w:pStyle w:val="EndnotesAbbrev"/>
            </w:pPr>
            <w:r>
              <w:t>LA = Legislation Act 2001</w:t>
            </w:r>
          </w:p>
        </w:tc>
        <w:tc>
          <w:tcPr>
            <w:tcW w:w="3652" w:type="dxa"/>
          </w:tcPr>
          <w:p w:rsidR="009A09D9" w:rsidRDefault="009A09D9" w:rsidP="002C1B1A">
            <w:pPr>
              <w:pStyle w:val="EndnotesAbbrev"/>
            </w:pPr>
            <w:r>
              <w:t>SL = Subordinate law</w:t>
            </w:r>
          </w:p>
        </w:tc>
      </w:tr>
      <w:tr w:rsidR="009A09D9" w:rsidTr="002C1B1A">
        <w:tc>
          <w:tcPr>
            <w:tcW w:w="3720" w:type="dxa"/>
          </w:tcPr>
          <w:p w:rsidR="009A09D9" w:rsidRDefault="009A09D9">
            <w:pPr>
              <w:pStyle w:val="EndnotesAbbrev"/>
            </w:pPr>
            <w:r>
              <w:t>LR = legislation register</w:t>
            </w:r>
          </w:p>
        </w:tc>
        <w:tc>
          <w:tcPr>
            <w:tcW w:w="3652" w:type="dxa"/>
          </w:tcPr>
          <w:p w:rsidR="009A09D9" w:rsidRDefault="009A09D9" w:rsidP="002C1B1A">
            <w:pPr>
              <w:pStyle w:val="EndnotesAbbrev"/>
            </w:pPr>
            <w:r>
              <w:t>sub = substituted</w:t>
            </w:r>
          </w:p>
        </w:tc>
      </w:tr>
      <w:tr w:rsidR="009A09D9" w:rsidTr="002C1B1A">
        <w:tc>
          <w:tcPr>
            <w:tcW w:w="3720" w:type="dxa"/>
          </w:tcPr>
          <w:p w:rsidR="009A09D9" w:rsidRDefault="009A09D9">
            <w:pPr>
              <w:pStyle w:val="EndnotesAbbrev"/>
            </w:pPr>
            <w:r>
              <w:t>LRA = Legislation (Republication) Act 1996</w:t>
            </w:r>
          </w:p>
        </w:tc>
        <w:tc>
          <w:tcPr>
            <w:tcW w:w="3652" w:type="dxa"/>
          </w:tcPr>
          <w:p w:rsidR="009A09D9" w:rsidRDefault="009A09D9" w:rsidP="002C1B1A">
            <w:pPr>
              <w:pStyle w:val="EndnotesAbbrev"/>
            </w:pPr>
            <w:r w:rsidRPr="00AF17FE">
              <w:rPr>
                <w:rStyle w:val="charUnderline"/>
              </w:rPr>
              <w:t>underlining</w:t>
            </w:r>
            <w:r>
              <w:t xml:space="preserve"> = whole or part not commenced</w:t>
            </w:r>
          </w:p>
        </w:tc>
      </w:tr>
      <w:tr w:rsidR="009A09D9" w:rsidTr="002C1B1A">
        <w:tc>
          <w:tcPr>
            <w:tcW w:w="3720" w:type="dxa"/>
          </w:tcPr>
          <w:p w:rsidR="009A09D9" w:rsidRDefault="009A09D9">
            <w:pPr>
              <w:pStyle w:val="EndnotesAbbrev"/>
            </w:pPr>
            <w:r>
              <w:t>mod = modified/modification</w:t>
            </w:r>
          </w:p>
        </w:tc>
        <w:tc>
          <w:tcPr>
            <w:tcW w:w="3652" w:type="dxa"/>
          </w:tcPr>
          <w:p w:rsidR="009A09D9" w:rsidRDefault="009A09D9" w:rsidP="002C1B1A">
            <w:pPr>
              <w:pStyle w:val="EndnotesAbbrev"/>
              <w:ind w:left="1073"/>
            </w:pPr>
            <w:r>
              <w:t>or to be expired</w:t>
            </w:r>
          </w:p>
        </w:tc>
      </w:tr>
    </w:tbl>
    <w:p w:rsidR="009A09D9" w:rsidRPr="003925E1" w:rsidRDefault="009A09D9">
      <w:pPr>
        <w:pStyle w:val="Endnote20"/>
      </w:pPr>
      <w:bookmarkStart w:id="297" w:name="_Toc11748652"/>
      <w:r w:rsidRPr="003925E1">
        <w:rPr>
          <w:rStyle w:val="charTableNo"/>
        </w:rPr>
        <w:lastRenderedPageBreak/>
        <w:t>3</w:t>
      </w:r>
      <w:r>
        <w:tab/>
      </w:r>
      <w:r w:rsidRPr="003925E1">
        <w:rPr>
          <w:rStyle w:val="charTableText"/>
        </w:rPr>
        <w:t>Legislation history</w:t>
      </w:r>
      <w:bookmarkEnd w:id="297"/>
    </w:p>
    <w:p w:rsidR="002C1B1A" w:rsidRDefault="002C1B1A" w:rsidP="002C1B1A">
      <w:pPr>
        <w:pStyle w:val="NewAct"/>
      </w:pPr>
      <w:r>
        <w:t>Evidence Act 2011 A2011-12</w:t>
      </w:r>
    </w:p>
    <w:p w:rsidR="002C1B1A" w:rsidRDefault="002C1B1A" w:rsidP="002C1B1A">
      <w:pPr>
        <w:pStyle w:val="Actdetails"/>
        <w:keepNext/>
      </w:pPr>
      <w:r>
        <w:t>notified LR 13 April 2011</w:t>
      </w:r>
    </w:p>
    <w:p w:rsidR="002C1B1A" w:rsidRDefault="002C1B1A" w:rsidP="002C1B1A">
      <w:pPr>
        <w:pStyle w:val="Actdetails"/>
        <w:keepNext/>
      </w:pPr>
      <w:r>
        <w:t>s 1, s 2 commenced 13 April 2011 (LA s 75 (1))</w:t>
      </w:r>
    </w:p>
    <w:p w:rsidR="002C1B1A" w:rsidRDefault="002C1B1A" w:rsidP="002C1B1A">
      <w:pPr>
        <w:pStyle w:val="Actdetails"/>
        <w:keepNext/>
      </w:pPr>
      <w:r w:rsidRPr="00471C92">
        <w:t>remainder</w:t>
      </w:r>
      <w:r>
        <w:t xml:space="preserve"> commenced 1 March 2012 </w:t>
      </w:r>
      <w:r w:rsidRPr="00471C92">
        <w:t>(s 2</w:t>
      </w:r>
      <w:r>
        <w:t xml:space="preserve"> and </w:t>
      </w:r>
      <w:hyperlink r:id="rId234" w:tooltip="CN2012-4" w:history="1">
        <w:r w:rsidR="00AF17FE" w:rsidRPr="00AF17FE">
          <w:rPr>
            <w:rStyle w:val="charCitHyperlinkAbbrev"/>
          </w:rPr>
          <w:t>CN2012-4</w:t>
        </w:r>
      </w:hyperlink>
      <w:r w:rsidRPr="00471C92">
        <w:t>)</w:t>
      </w:r>
    </w:p>
    <w:p w:rsidR="002C1B1A" w:rsidRDefault="002C1B1A" w:rsidP="002C1B1A">
      <w:pPr>
        <w:pStyle w:val="Asamby"/>
      </w:pPr>
      <w:r>
        <w:t>as amended by</w:t>
      </w:r>
    </w:p>
    <w:p w:rsidR="002C1B1A" w:rsidRDefault="00546A8E" w:rsidP="002C1B1A">
      <w:pPr>
        <w:pStyle w:val="NewAct"/>
      </w:pPr>
      <w:hyperlink r:id="rId235" w:tooltip="A2011-47" w:history="1">
        <w:r w:rsidR="00AF17FE" w:rsidRPr="00AF17FE">
          <w:rPr>
            <w:rStyle w:val="charCitHyperlinkAbbrev"/>
          </w:rPr>
          <w:t>Evidence Amendment Act 2011</w:t>
        </w:r>
      </w:hyperlink>
      <w:r w:rsidR="002C1B1A">
        <w:t xml:space="preserve"> A2011-47</w:t>
      </w:r>
    </w:p>
    <w:p w:rsidR="002C1B1A" w:rsidRDefault="002C1B1A" w:rsidP="002C1B1A">
      <w:pPr>
        <w:pStyle w:val="Actdetails"/>
      </w:pPr>
      <w:r>
        <w:t>notified LR 22 November 2011</w:t>
      </w:r>
    </w:p>
    <w:p w:rsidR="002C1B1A" w:rsidRDefault="002C1B1A" w:rsidP="002C1B1A">
      <w:pPr>
        <w:pStyle w:val="Actdetails"/>
      </w:pPr>
      <w:r>
        <w:t>s 1, s 2 commenced 22 November 2011 (LA s 75 (1))</w:t>
      </w:r>
    </w:p>
    <w:p w:rsidR="002C1B1A" w:rsidRDefault="002C1B1A" w:rsidP="002C1B1A">
      <w:pPr>
        <w:pStyle w:val="Actdetails"/>
      </w:pPr>
      <w:r w:rsidRPr="009A7FDA">
        <w:t>remainder commenced 1 March 2012 (s 2 and see Evidence Act 2011 A2011</w:t>
      </w:r>
      <w:r w:rsidRPr="009A7FDA">
        <w:noBreakHyphen/>
        <w:t>12</w:t>
      </w:r>
      <w:r>
        <w:t>,</w:t>
      </w:r>
      <w:r w:rsidRPr="009A7FDA">
        <w:t xml:space="preserve"> s 2 and </w:t>
      </w:r>
      <w:hyperlink r:id="rId236" w:tooltip="CN2012-4" w:history="1">
        <w:r w:rsidR="00AF17FE" w:rsidRPr="00AF17FE">
          <w:rPr>
            <w:rStyle w:val="charCitHyperlinkAbbrev"/>
          </w:rPr>
          <w:t>CN2012-4</w:t>
        </w:r>
      </w:hyperlink>
      <w:r w:rsidRPr="009A7FDA">
        <w:t>)</w:t>
      </w:r>
    </w:p>
    <w:p w:rsidR="002C1B1A" w:rsidRDefault="00546A8E" w:rsidP="002C1B1A">
      <w:pPr>
        <w:pStyle w:val="NewAct"/>
      </w:pPr>
      <w:hyperlink r:id="rId237" w:tooltip="A2011-48" w:history="1">
        <w:r w:rsidR="00AF17FE" w:rsidRPr="00AF17FE">
          <w:rPr>
            <w:rStyle w:val="charCitHyperlinkAbbrev"/>
          </w:rPr>
          <w:t>Evidence (Consequential Amendments) Act 2011</w:t>
        </w:r>
      </w:hyperlink>
      <w:r w:rsidR="002C1B1A">
        <w:t xml:space="preserve"> A2011-48 sch 1 pt</w:t>
      </w:r>
      <w:r w:rsidR="00FE2E6F">
        <w:t> </w:t>
      </w:r>
      <w:r w:rsidR="002C1B1A">
        <w:t>1.18</w:t>
      </w:r>
    </w:p>
    <w:p w:rsidR="002C1B1A" w:rsidRDefault="002C1B1A" w:rsidP="002C1B1A">
      <w:pPr>
        <w:pStyle w:val="Actdetails"/>
      </w:pPr>
      <w:r>
        <w:t>notified LR 22 November 2011</w:t>
      </w:r>
    </w:p>
    <w:p w:rsidR="002C1B1A" w:rsidRDefault="002C1B1A" w:rsidP="002C1B1A">
      <w:pPr>
        <w:pStyle w:val="Actdetails"/>
      </w:pPr>
      <w:r>
        <w:t>s 1, s 2 commenced 22 November 2011 (LA s 75 (1))</w:t>
      </w:r>
    </w:p>
    <w:p w:rsidR="002C1B1A" w:rsidRDefault="002C1B1A" w:rsidP="002C1B1A">
      <w:pPr>
        <w:pStyle w:val="Actdetails"/>
      </w:pPr>
      <w:r w:rsidRPr="009A7FDA">
        <w:t>sch 1 pt 1.18 commenced 1 March 2012 (s 2</w:t>
      </w:r>
      <w:r>
        <w:t xml:space="preserve"> (1)</w:t>
      </w:r>
      <w:r w:rsidRPr="009A7FDA">
        <w:t xml:space="preserve"> and see Evidence Act 2011 A2011</w:t>
      </w:r>
      <w:r w:rsidRPr="009A7FDA">
        <w:noBreakHyphen/>
        <w:t>12</w:t>
      </w:r>
      <w:r>
        <w:t>,</w:t>
      </w:r>
      <w:r w:rsidRPr="009A7FDA">
        <w:t xml:space="preserve"> s 2 and </w:t>
      </w:r>
      <w:hyperlink r:id="rId238" w:tooltip="CN2012-4" w:history="1">
        <w:r w:rsidR="00AF17FE" w:rsidRPr="00AF17FE">
          <w:rPr>
            <w:rStyle w:val="charCitHyperlinkAbbrev"/>
          </w:rPr>
          <w:t>CN2012-4</w:t>
        </w:r>
      </w:hyperlink>
      <w:r w:rsidRPr="009A7FDA">
        <w:t>)</w:t>
      </w:r>
    </w:p>
    <w:p w:rsidR="0027658E" w:rsidRDefault="00546A8E" w:rsidP="0027658E">
      <w:pPr>
        <w:pStyle w:val="NewAct"/>
      </w:pPr>
      <w:hyperlink r:id="rId239" w:tooltip="A2013-39" w:history="1">
        <w:r w:rsidR="0027658E">
          <w:rPr>
            <w:rStyle w:val="charCitHyperlinkAbbrev"/>
          </w:rPr>
          <w:t>Marriage Equality (Same Sex) Act 2013</w:t>
        </w:r>
      </w:hyperlink>
      <w:r w:rsidR="0027658E">
        <w:t xml:space="preserve"> A2013-39 sch 2 pt 2.13</w:t>
      </w:r>
    </w:p>
    <w:p w:rsidR="0027658E" w:rsidRDefault="0027658E" w:rsidP="0027658E">
      <w:pPr>
        <w:pStyle w:val="Actdetails"/>
        <w:keepNext/>
      </w:pPr>
      <w:r>
        <w:t>notified LR 4 November 2013</w:t>
      </w:r>
    </w:p>
    <w:p w:rsidR="0027658E" w:rsidRDefault="0027658E" w:rsidP="0027658E">
      <w:pPr>
        <w:pStyle w:val="Actdetails"/>
        <w:keepNext/>
      </w:pPr>
      <w:r>
        <w:t>s 1, s 2 commenced 4 November 2013 (LA s 75 (1))</w:t>
      </w:r>
    </w:p>
    <w:p w:rsidR="0027658E" w:rsidRDefault="0027658E" w:rsidP="0027658E">
      <w:pPr>
        <w:pStyle w:val="Actdetails"/>
      </w:pPr>
      <w:r>
        <w:t xml:space="preserve">sch 2 pt 2.13 commenced 7 November 2013 (s 2 and </w:t>
      </w:r>
      <w:hyperlink r:id="rId240" w:tooltip="CN2013-11" w:history="1">
        <w:r>
          <w:rPr>
            <w:rStyle w:val="charCitHyperlinkAbbrev"/>
          </w:rPr>
          <w:t>CN2013-11</w:t>
        </w:r>
      </w:hyperlink>
      <w:r>
        <w:t>)</w:t>
      </w:r>
    </w:p>
    <w:p w:rsidR="00A22C49" w:rsidRPr="003024D1" w:rsidRDefault="00A22C49" w:rsidP="00A22C49">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745B36" w:rsidRDefault="00546A8E" w:rsidP="00745B36">
      <w:pPr>
        <w:pStyle w:val="NewAct"/>
      </w:pPr>
      <w:hyperlink r:id="rId241" w:tooltip="A2013-44" w:history="1">
        <w:r w:rsidR="00745B36">
          <w:rPr>
            <w:rStyle w:val="charCitHyperlinkAbbrev"/>
          </w:rPr>
          <w:t>Statute Law Amendment Act 2013 (No 2)</w:t>
        </w:r>
      </w:hyperlink>
      <w:r w:rsidR="00745B36">
        <w:t xml:space="preserve"> A2013-44 sch 3 pt 3.7</w:t>
      </w:r>
    </w:p>
    <w:p w:rsidR="00745B36" w:rsidRDefault="00745B36" w:rsidP="00745B36">
      <w:pPr>
        <w:pStyle w:val="Actdetails"/>
        <w:keepNext/>
      </w:pPr>
      <w:r>
        <w:t>notified LR 11 November 2013</w:t>
      </w:r>
    </w:p>
    <w:p w:rsidR="00745B36" w:rsidRDefault="00745B36" w:rsidP="00745B36">
      <w:pPr>
        <w:pStyle w:val="Actdetails"/>
        <w:keepNext/>
      </w:pPr>
      <w:r>
        <w:t>s 1, s 2 commenced 11 November 2013 (LA s 75 (1))</w:t>
      </w:r>
    </w:p>
    <w:p w:rsidR="00745B36" w:rsidRDefault="00745B36" w:rsidP="00745B36">
      <w:pPr>
        <w:pStyle w:val="Actdetails"/>
      </w:pPr>
      <w:r>
        <w:t>sch 3 pt 3.7</w:t>
      </w:r>
      <w:r w:rsidRPr="00D6142D">
        <w:t xml:space="preserve"> </w:t>
      </w:r>
      <w:r>
        <w:t>commenced 25 November 2013</w:t>
      </w:r>
      <w:r w:rsidRPr="00D6142D">
        <w:t xml:space="preserve"> (s 2)</w:t>
      </w:r>
    </w:p>
    <w:p w:rsidR="00BC73F9" w:rsidRDefault="00546A8E" w:rsidP="00BC73F9">
      <w:pPr>
        <w:pStyle w:val="NewAct"/>
      </w:pPr>
      <w:hyperlink r:id="rId242" w:tooltip="A2015-40" w:history="1">
        <w:r w:rsidR="00BC73F9">
          <w:rPr>
            <w:rStyle w:val="charCitHyperlinkAbbrev"/>
          </w:rPr>
          <w:t>Crimes (Domestic and Family Violence) Legislation Amendment Act 2015</w:t>
        </w:r>
      </w:hyperlink>
      <w:r w:rsidR="00BC73F9">
        <w:t xml:space="preserve"> A2015</w:t>
      </w:r>
      <w:r w:rsidR="00BC73F9">
        <w:noBreakHyphen/>
        <w:t>40 sch 1 pt 1.8</w:t>
      </w:r>
    </w:p>
    <w:p w:rsidR="00BC73F9" w:rsidRDefault="00BC73F9" w:rsidP="00BC73F9">
      <w:pPr>
        <w:pStyle w:val="Actdetails"/>
        <w:keepNext/>
      </w:pPr>
      <w:r>
        <w:t>notified LR 4 November 2015</w:t>
      </w:r>
    </w:p>
    <w:p w:rsidR="00BC73F9" w:rsidRDefault="00BC73F9" w:rsidP="00BC73F9">
      <w:pPr>
        <w:pStyle w:val="Actdetails"/>
        <w:keepNext/>
      </w:pPr>
      <w:r>
        <w:t>s 1, s 2 commenced 4 November 2015 (LA s 75 (1))</w:t>
      </w:r>
    </w:p>
    <w:p w:rsidR="00BC73F9" w:rsidRDefault="00BC73F9" w:rsidP="00BC73F9">
      <w:pPr>
        <w:pStyle w:val="Actdetails"/>
      </w:pPr>
      <w:r w:rsidRPr="00BC73F9">
        <w:t>sch 1 pt 1.8</w:t>
      </w:r>
      <w:r>
        <w:t xml:space="preserve"> </w:t>
      </w:r>
      <w:r w:rsidRPr="00AE7C72">
        <w:t>commenced</w:t>
      </w:r>
      <w:r>
        <w:t xml:space="preserve"> </w:t>
      </w:r>
      <w:r w:rsidR="00C0683E">
        <w:t>4 May 2016</w:t>
      </w:r>
      <w:r>
        <w:t xml:space="preserve"> </w:t>
      </w:r>
      <w:r w:rsidRPr="00AE7C72">
        <w:t>(</w:t>
      </w:r>
      <w:r>
        <w:t>s 2 (</w:t>
      </w:r>
      <w:r w:rsidR="00C0683E">
        <w:t>2</w:t>
      </w:r>
      <w:r>
        <w:t>))</w:t>
      </w:r>
    </w:p>
    <w:p w:rsidR="00354CFC" w:rsidRPr="00935D4E" w:rsidRDefault="00546A8E" w:rsidP="00354CFC">
      <w:pPr>
        <w:pStyle w:val="NewAct"/>
      </w:pPr>
      <w:hyperlink r:id="rId243" w:tooltip="A2016-42" w:history="1">
        <w:r w:rsidR="00354CFC">
          <w:rPr>
            <w:rStyle w:val="charCitHyperlinkAbbrev"/>
          </w:rPr>
          <w:t>Family Violence Act 2016</w:t>
        </w:r>
      </w:hyperlink>
      <w:r w:rsidR="00354CFC">
        <w:t xml:space="preserve"> A2016-42 sch 3 pt 3.13 (as am by </w:t>
      </w:r>
      <w:hyperlink r:id="rId244" w:tooltip="Family and Personal Violence Amendment Act 2017" w:history="1">
        <w:r w:rsidR="00354CFC">
          <w:rPr>
            <w:rStyle w:val="charCitHyperlinkAbbrev"/>
          </w:rPr>
          <w:t>A2017</w:t>
        </w:r>
        <w:r w:rsidR="00354CFC">
          <w:rPr>
            <w:rStyle w:val="charCitHyperlinkAbbrev"/>
          </w:rPr>
          <w:noBreakHyphen/>
          <w:t>10</w:t>
        </w:r>
      </w:hyperlink>
      <w:r w:rsidR="00354CFC">
        <w:t xml:space="preserve"> s 7)</w:t>
      </w:r>
    </w:p>
    <w:p w:rsidR="00354CFC" w:rsidRDefault="00354CFC" w:rsidP="00354CFC">
      <w:pPr>
        <w:pStyle w:val="Actdetails"/>
      </w:pPr>
      <w:r>
        <w:t>notified LR 18 August 2016</w:t>
      </w:r>
    </w:p>
    <w:p w:rsidR="00354CFC" w:rsidRDefault="00354CFC" w:rsidP="00354CFC">
      <w:pPr>
        <w:pStyle w:val="Actdetails"/>
      </w:pPr>
      <w:r>
        <w:t>s 1, s 2 commenced 18 August 2016 (LA s 75 (1))</w:t>
      </w:r>
    </w:p>
    <w:p w:rsidR="00354CFC" w:rsidRPr="006F3A6F" w:rsidRDefault="00354CFC" w:rsidP="00354CFC">
      <w:pPr>
        <w:pStyle w:val="Actdetails"/>
      </w:pPr>
      <w:r>
        <w:t>sch 3 pt 3.13</w:t>
      </w:r>
      <w:r w:rsidRPr="006F3A6F">
        <w:t xml:space="preserve"> </w:t>
      </w:r>
      <w:r>
        <w:t>commenced</w:t>
      </w:r>
      <w:r w:rsidRPr="006F3A6F">
        <w:t xml:space="preserve"> </w:t>
      </w:r>
      <w:r>
        <w:t xml:space="preserve">1 May 2017 (s 2 (2) as am by </w:t>
      </w:r>
      <w:hyperlink r:id="rId245"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354CFC" w:rsidRPr="00935D4E" w:rsidRDefault="00546A8E" w:rsidP="00354CFC">
      <w:pPr>
        <w:pStyle w:val="NewAct"/>
      </w:pPr>
      <w:hyperlink r:id="rId246" w:tooltip="A2017-10" w:history="1">
        <w:r w:rsidR="00354CFC">
          <w:rPr>
            <w:rStyle w:val="charCitHyperlinkAbbrev"/>
          </w:rPr>
          <w:t>Family and Personal Violence Legislation Amendment Act 2017</w:t>
        </w:r>
      </w:hyperlink>
      <w:r w:rsidR="00354CFC">
        <w:t xml:space="preserve"> A2017</w:t>
      </w:r>
      <w:r w:rsidR="00354CFC">
        <w:noBreakHyphen/>
        <w:t>10 s 7</w:t>
      </w:r>
    </w:p>
    <w:p w:rsidR="00354CFC" w:rsidRDefault="00354CFC" w:rsidP="00354CFC">
      <w:pPr>
        <w:pStyle w:val="Actdetails"/>
      </w:pPr>
      <w:r>
        <w:t>notified LR 6 April 2017</w:t>
      </w:r>
    </w:p>
    <w:p w:rsidR="00354CFC" w:rsidRDefault="00354CFC" w:rsidP="00354CFC">
      <w:pPr>
        <w:pStyle w:val="Actdetails"/>
      </w:pPr>
      <w:r>
        <w:t>s 1, s 2 commenced 6 April 2017 (LA s 75 (1))</w:t>
      </w:r>
    </w:p>
    <w:p w:rsidR="00354CFC" w:rsidRDefault="00354CFC" w:rsidP="00354CFC">
      <w:pPr>
        <w:pStyle w:val="Actdetails"/>
      </w:pPr>
      <w:r>
        <w:t>s 7</w:t>
      </w:r>
      <w:r w:rsidRPr="006F3A6F">
        <w:t xml:space="preserve"> </w:t>
      </w:r>
      <w:r>
        <w:t>commenced</w:t>
      </w:r>
      <w:r w:rsidRPr="006F3A6F">
        <w:t xml:space="preserve"> </w:t>
      </w:r>
      <w:r>
        <w:t>30 April 2017 (s 2 (1)</w:t>
      </w:r>
      <w:r w:rsidRPr="006F3A6F">
        <w:t>)</w:t>
      </w:r>
    </w:p>
    <w:p w:rsidR="00354CFC" w:rsidRDefault="00354CFC" w:rsidP="00354CFC">
      <w:pPr>
        <w:pStyle w:val="LegHistNote"/>
      </w:pPr>
      <w:r>
        <w:rPr>
          <w:i/>
        </w:rPr>
        <w:t>Note</w:t>
      </w:r>
      <w:r>
        <w:rPr>
          <w:i/>
        </w:rPr>
        <w:tab/>
      </w:r>
      <w:r>
        <w:t>This Act only amends the Family Violence Act 2016</w:t>
      </w:r>
      <w:r>
        <w:br/>
      </w:r>
      <w:hyperlink r:id="rId247" w:tooltip="Family Violence Act 2016" w:history="1">
        <w:r>
          <w:rPr>
            <w:rStyle w:val="charCitHyperlinkAbbrev"/>
          </w:rPr>
          <w:t>A2016</w:t>
        </w:r>
        <w:r>
          <w:rPr>
            <w:rStyle w:val="charCitHyperlinkAbbrev"/>
          </w:rPr>
          <w:noBreakHyphen/>
          <w:t>42</w:t>
        </w:r>
      </w:hyperlink>
      <w:r>
        <w:t>.</w:t>
      </w:r>
    </w:p>
    <w:p w:rsidR="00B51616" w:rsidRDefault="00546A8E" w:rsidP="00B51616">
      <w:pPr>
        <w:pStyle w:val="NewAct"/>
      </w:pPr>
      <w:hyperlink r:id="rId248" w:tooltip="A2017-14" w:history="1">
        <w:r w:rsidR="00B51616">
          <w:rPr>
            <w:rStyle w:val="charCitHyperlinkAbbrev"/>
          </w:rPr>
          <w:t>Justice and Community Safety Leg</w:t>
        </w:r>
        <w:r w:rsidR="00C06AD7">
          <w:rPr>
            <w:rStyle w:val="charCitHyperlinkAbbrev"/>
          </w:rPr>
          <w:t>islation Amendment Act 2017 (No </w:t>
        </w:r>
        <w:r w:rsidR="00B51616">
          <w:rPr>
            <w:rStyle w:val="charCitHyperlinkAbbrev"/>
          </w:rPr>
          <w:t>2)</w:t>
        </w:r>
      </w:hyperlink>
      <w:r w:rsidR="00B51616">
        <w:t xml:space="preserve"> A2017-14 pt 6</w:t>
      </w:r>
    </w:p>
    <w:p w:rsidR="00B51616" w:rsidRDefault="00B51616" w:rsidP="00B51616">
      <w:pPr>
        <w:pStyle w:val="Actdetails"/>
      </w:pPr>
      <w:r>
        <w:t>notified LR 17 May 2017</w:t>
      </w:r>
    </w:p>
    <w:p w:rsidR="00B51616" w:rsidRDefault="00B51616" w:rsidP="00B51616">
      <w:pPr>
        <w:pStyle w:val="Actdetails"/>
      </w:pPr>
      <w:r>
        <w:t>s 1, s 2 commenced 17 May 2017 (LA s 75 (1))</w:t>
      </w:r>
    </w:p>
    <w:p w:rsidR="00B51616" w:rsidRDefault="00B51616" w:rsidP="00B51616">
      <w:pPr>
        <w:pStyle w:val="Actdetails"/>
      </w:pPr>
      <w:r>
        <w:t>pt 6 commenced 24 May 2017 (s 2 (1))</w:t>
      </w:r>
    </w:p>
    <w:p w:rsidR="00A230FE" w:rsidRPr="00935D4E" w:rsidRDefault="00546A8E" w:rsidP="00A230FE">
      <w:pPr>
        <w:pStyle w:val="NewAct"/>
      </w:pPr>
      <w:hyperlink r:id="rId249" w:tooltip="A2018-9" w:history="1">
        <w:r w:rsidR="00A230FE">
          <w:rPr>
            <w:rStyle w:val="charCitHyperlinkAbbrev"/>
          </w:rPr>
          <w:t>Courts and Other Justice Legislation Amendment Act 2018</w:t>
        </w:r>
      </w:hyperlink>
      <w:r w:rsidR="00A230FE">
        <w:t xml:space="preserve"> A2018-9 pt 8</w:t>
      </w:r>
    </w:p>
    <w:p w:rsidR="00A230FE" w:rsidRDefault="00A230FE" w:rsidP="00A230FE">
      <w:pPr>
        <w:pStyle w:val="Actdetails"/>
      </w:pPr>
      <w:r>
        <w:t>notified LR 29 March 2018</w:t>
      </w:r>
    </w:p>
    <w:p w:rsidR="00A230FE" w:rsidRDefault="00A230FE" w:rsidP="00A230FE">
      <w:pPr>
        <w:pStyle w:val="Actdetails"/>
      </w:pPr>
      <w:r>
        <w:t>s 1, s 2 commenced 29 March 2018 (LA s 75 (1))</w:t>
      </w:r>
    </w:p>
    <w:p w:rsidR="00A230FE" w:rsidRDefault="00A230FE" w:rsidP="00B51616">
      <w:pPr>
        <w:pStyle w:val="Actdetails"/>
      </w:pPr>
      <w:r>
        <w:t>pt 8 commenced 26 April 2018 (s 2</w:t>
      </w:r>
      <w:r w:rsidRPr="006F3A6F">
        <w:t>)</w:t>
      </w:r>
    </w:p>
    <w:p w:rsidR="00372167" w:rsidRPr="00935D4E" w:rsidRDefault="00546A8E" w:rsidP="00372167">
      <w:pPr>
        <w:pStyle w:val="NewAct"/>
      </w:pPr>
      <w:hyperlink r:id="rId250" w:tooltip="A2018-46" w:history="1">
        <w:r w:rsidR="00372167">
          <w:rPr>
            <w:rStyle w:val="charCitHyperlinkAbbrev"/>
          </w:rPr>
          <w:t>Royal Commission Criminal Justice Legislation Amendment Act 2018</w:t>
        </w:r>
      </w:hyperlink>
      <w:r w:rsidR="00372167">
        <w:t xml:space="preserve"> A2018-46 sch 1 pt </w:t>
      </w:r>
      <w:r w:rsidR="00F56DF8">
        <w:t>1.4</w:t>
      </w:r>
    </w:p>
    <w:p w:rsidR="00372167" w:rsidRDefault="00372167" w:rsidP="00372167">
      <w:pPr>
        <w:pStyle w:val="Actdetails"/>
      </w:pPr>
      <w:r>
        <w:t>notified LR 4 December 2018</w:t>
      </w:r>
    </w:p>
    <w:p w:rsidR="00372167" w:rsidRDefault="00372167" w:rsidP="00372167">
      <w:pPr>
        <w:pStyle w:val="Actdetails"/>
      </w:pPr>
      <w:r>
        <w:t>s 1, s 2 commenced 4 December 2018 (LA s 75 (1))</w:t>
      </w:r>
    </w:p>
    <w:p w:rsidR="00372167" w:rsidRDefault="00F56DF8" w:rsidP="00372167">
      <w:pPr>
        <w:pStyle w:val="Actdetails"/>
      </w:pPr>
      <w:r>
        <w:t xml:space="preserve">sch 1 </w:t>
      </w:r>
      <w:r w:rsidR="00372167">
        <w:t xml:space="preserve">pt </w:t>
      </w:r>
      <w:r>
        <w:t>1.4</w:t>
      </w:r>
      <w:r w:rsidR="00372167">
        <w:t xml:space="preserve"> commenced </w:t>
      </w:r>
      <w:r>
        <w:t>5 December</w:t>
      </w:r>
      <w:r w:rsidR="00372167">
        <w:t xml:space="preserve"> 2018 (s 2</w:t>
      </w:r>
      <w:r w:rsidR="00372167" w:rsidRPr="006F3A6F">
        <w:t>)</w:t>
      </w:r>
    </w:p>
    <w:p w:rsidR="00054F1A" w:rsidRPr="00935D4E" w:rsidRDefault="00546A8E" w:rsidP="00054F1A">
      <w:pPr>
        <w:pStyle w:val="NewAct"/>
      </w:pPr>
      <w:hyperlink r:id="rId251" w:tooltip="A2019-17" w:history="1">
        <w:r w:rsidR="00054F1A">
          <w:rPr>
            <w:rStyle w:val="charCitHyperlinkAbbrev"/>
          </w:rPr>
          <w:t>Justice and Community Safety Legislation Amendment Act 2019</w:t>
        </w:r>
      </w:hyperlink>
      <w:r w:rsidR="00054F1A">
        <w:t xml:space="preserve"> A2019-17 sch 1 pt 1.</w:t>
      </w:r>
      <w:r w:rsidR="00563EEA">
        <w:t>3</w:t>
      </w:r>
    </w:p>
    <w:p w:rsidR="00054F1A" w:rsidRDefault="00054F1A" w:rsidP="00054F1A">
      <w:pPr>
        <w:pStyle w:val="Actdetails"/>
      </w:pPr>
      <w:r>
        <w:t>notified LR 14 June 2019</w:t>
      </w:r>
    </w:p>
    <w:p w:rsidR="00054F1A" w:rsidRDefault="00054F1A" w:rsidP="00054F1A">
      <w:pPr>
        <w:pStyle w:val="Actdetails"/>
      </w:pPr>
      <w:r>
        <w:t>s 1, s 2 commenced 14 June 2019 (LA s 75 (1))</w:t>
      </w:r>
    </w:p>
    <w:p w:rsidR="00054F1A" w:rsidRDefault="00CC3184" w:rsidP="00054F1A">
      <w:pPr>
        <w:pStyle w:val="Actdetails"/>
      </w:pPr>
      <w:r>
        <w:t>sch</w:t>
      </w:r>
      <w:r w:rsidR="00054F1A">
        <w:t xml:space="preserve"> </w:t>
      </w:r>
      <w:r>
        <w:t xml:space="preserve">1 pt </w:t>
      </w:r>
      <w:r w:rsidR="00054F1A">
        <w:t>1</w:t>
      </w:r>
      <w:r>
        <w:t>.</w:t>
      </w:r>
      <w:r w:rsidR="00563EEA">
        <w:t>3</w:t>
      </w:r>
      <w:r w:rsidR="00054F1A">
        <w:t xml:space="preserve"> commenced</w:t>
      </w:r>
      <w:r w:rsidR="00054F1A" w:rsidRPr="006F3A6F">
        <w:t xml:space="preserve"> </w:t>
      </w:r>
      <w:r w:rsidR="00054F1A">
        <w:t>21 June 2019 (s 2)</w:t>
      </w:r>
    </w:p>
    <w:p w:rsidR="00C676F8" w:rsidRPr="00C676F8" w:rsidRDefault="00C676F8" w:rsidP="00C676F8">
      <w:pPr>
        <w:pStyle w:val="PageBreak"/>
      </w:pPr>
      <w:r w:rsidRPr="00C676F8">
        <w:br w:type="page"/>
      </w:r>
    </w:p>
    <w:p w:rsidR="009A09D9" w:rsidRPr="003925E1" w:rsidRDefault="009A09D9">
      <w:pPr>
        <w:pStyle w:val="Endnote20"/>
      </w:pPr>
      <w:bookmarkStart w:id="298" w:name="_Toc11748653"/>
      <w:r w:rsidRPr="003925E1">
        <w:rPr>
          <w:rStyle w:val="charTableNo"/>
        </w:rPr>
        <w:lastRenderedPageBreak/>
        <w:t>4</w:t>
      </w:r>
      <w:r>
        <w:tab/>
      </w:r>
      <w:r w:rsidRPr="003925E1">
        <w:rPr>
          <w:rStyle w:val="charTableText"/>
        </w:rPr>
        <w:t>Amendment history</w:t>
      </w:r>
      <w:bookmarkEnd w:id="298"/>
    </w:p>
    <w:p w:rsidR="00314B26" w:rsidRDefault="002E784B" w:rsidP="00314B26">
      <w:pPr>
        <w:pStyle w:val="AmdtsEntryHd"/>
      </w:pPr>
      <w:r>
        <w:t>Commencement</w:t>
      </w:r>
    </w:p>
    <w:p w:rsidR="00314B26" w:rsidRPr="00150B50" w:rsidRDefault="002E784B" w:rsidP="00314B26">
      <w:pPr>
        <w:pStyle w:val="AmdtsEntries"/>
      </w:pPr>
      <w:r>
        <w:t>s 2</w:t>
      </w:r>
      <w:r w:rsidR="00314B26">
        <w:tab/>
      </w:r>
      <w:r>
        <w:t>om LA s 89 (4)</w:t>
      </w:r>
    </w:p>
    <w:p w:rsidR="00150B50" w:rsidRDefault="00150B50" w:rsidP="00150B50">
      <w:pPr>
        <w:pStyle w:val="AmdtsEntryHd"/>
      </w:pPr>
      <w:r w:rsidRPr="00150B50">
        <w:t>Operation of other Acts</w:t>
      </w:r>
    </w:p>
    <w:p w:rsidR="00150B50" w:rsidRDefault="00150B50" w:rsidP="00150B50">
      <w:pPr>
        <w:pStyle w:val="AmdtsEntries"/>
      </w:pPr>
      <w:r>
        <w:t>s 8</w:t>
      </w:r>
      <w:r>
        <w:tab/>
        <w:t xml:space="preserve">am </w:t>
      </w:r>
      <w:hyperlink r:id="rId252" w:tooltip="Evidence (Consequential Amendments) Act 2011" w:history="1">
        <w:r w:rsidR="00AF17FE" w:rsidRPr="00AF17FE">
          <w:rPr>
            <w:rStyle w:val="charCitHyperlinkAbbrev"/>
          </w:rPr>
          <w:t>A2011</w:t>
        </w:r>
        <w:r w:rsidR="00AF17FE" w:rsidRPr="00AF17FE">
          <w:rPr>
            <w:rStyle w:val="charCitHyperlinkAbbrev"/>
          </w:rPr>
          <w:noBreakHyphen/>
          <w:t>48</w:t>
        </w:r>
      </w:hyperlink>
      <w:r>
        <w:t xml:space="preserve"> amdt 1.25, amdt 1.26</w:t>
      </w:r>
      <w:r w:rsidR="00C0683E">
        <w:t xml:space="preserve">; </w:t>
      </w:r>
      <w:hyperlink r:id="rId253" w:tooltip="Crimes (Domestic and Family Violence) Legislation Amendment Act 2015" w:history="1">
        <w:r w:rsidR="00C0683E">
          <w:rPr>
            <w:rStyle w:val="charCitHyperlinkAbbrev"/>
          </w:rPr>
          <w:t>A2015</w:t>
        </w:r>
        <w:r w:rsidR="00C0683E">
          <w:rPr>
            <w:rStyle w:val="charCitHyperlinkAbbrev"/>
          </w:rPr>
          <w:noBreakHyphen/>
          <w:t>40</w:t>
        </w:r>
      </w:hyperlink>
      <w:r w:rsidR="00C0683E">
        <w:t xml:space="preserve"> amdt 1.13</w:t>
      </w:r>
    </w:p>
    <w:p w:rsidR="002D512A" w:rsidRDefault="002D512A" w:rsidP="002D512A">
      <w:pPr>
        <w:pStyle w:val="AmdtsEntryHd"/>
      </w:pPr>
      <w:r w:rsidRPr="00A060B6">
        <w:t>Compellability of domestic partners and others in certain criminal proceedings</w:t>
      </w:r>
    </w:p>
    <w:p w:rsidR="002D512A" w:rsidRPr="00C0683E" w:rsidRDefault="002D512A" w:rsidP="002D512A">
      <w:pPr>
        <w:pStyle w:val="AmdtsEntries"/>
      </w:pPr>
      <w:r>
        <w:t>s 19</w:t>
      </w:r>
      <w:r>
        <w:tab/>
        <w:t xml:space="preserve">am </w:t>
      </w:r>
      <w:hyperlink r:id="rId254" w:tooltip="Family Violence Act 2016" w:history="1">
        <w:r>
          <w:rPr>
            <w:rStyle w:val="charCitHyperlinkAbbrev"/>
          </w:rPr>
          <w:t>A2016</w:t>
        </w:r>
        <w:r>
          <w:rPr>
            <w:rStyle w:val="charCitHyperlinkAbbrev"/>
          </w:rPr>
          <w:noBreakHyphen/>
          <w:t>42</w:t>
        </w:r>
      </w:hyperlink>
      <w:r>
        <w:t xml:space="preserve"> amdt 3.60</w:t>
      </w:r>
    </w:p>
    <w:p w:rsidR="0027658E" w:rsidRDefault="0027658E" w:rsidP="002C1B1A">
      <w:pPr>
        <w:pStyle w:val="AmdtsEntryHd"/>
      </w:pPr>
      <w:r w:rsidRPr="00A060B6">
        <w:t>Exception—reputation as to relationships and age</w:t>
      </w:r>
    </w:p>
    <w:p w:rsidR="0027658E" w:rsidRPr="0027658E" w:rsidRDefault="0027658E" w:rsidP="0027658E">
      <w:pPr>
        <w:pStyle w:val="AmdtsEntries"/>
      </w:pPr>
      <w:r>
        <w:t>s 73</w:t>
      </w:r>
      <w:r>
        <w:tab/>
        <w:t xml:space="preserve">am </w:t>
      </w:r>
      <w:hyperlink r:id="rId255" w:tooltip="Marriage Equality (Same Sex) Act 2013" w:history="1">
        <w:r>
          <w:rPr>
            <w:rStyle w:val="charCitHyperlinkAbbrev"/>
          </w:rPr>
          <w:t>A2013</w:t>
        </w:r>
        <w:r>
          <w:rPr>
            <w:rStyle w:val="charCitHyperlinkAbbrev"/>
          </w:rPr>
          <w:noBreakHyphen/>
          <w:t>39</w:t>
        </w:r>
      </w:hyperlink>
      <w:r>
        <w:t xml:space="preserve"> amdt 2.29</w:t>
      </w:r>
      <w:r w:rsidR="00A22C49">
        <w:rPr>
          <w:rFonts w:cs="Arial"/>
        </w:rPr>
        <w:t xml:space="preserve"> (</w:t>
      </w:r>
      <w:hyperlink r:id="rId256" w:tooltip="Marriage Equality (Same Sex) Act 2013" w:history="1">
        <w:r w:rsidR="00A22C49">
          <w:rPr>
            <w:rStyle w:val="charCitHyperlinkAbbrev"/>
          </w:rPr>
          <w:t>A2013</w:t>
        </w:r>
        <w:r w:rsidR="00A22C49">
          <w:rPr>
            <w:rStyle w:val="charCitHyperlinkAbbrev"/>
          </w:rPr>
          <w:noBreakHyphen/>
          <w:t>39</w:t>
        </w:r>
      </w:hyperlink>
      <w:r w:rsidR="00A22C49">
        <w:rPr>
          <w:rFonts w:cs="Arial"/>
        </w:rPr>
        <w:t xml:space="preserve"> never effective (see </w:t>
      </w:r>
      <w:r w:rsidR="00A22C49" w:rsidRPr="00B74C47">
        <w:rPr>
          <w:rStyle w:val="charItals"/>
        </w:rPr>
        <w:t>Commonwealth v Australian Capital Territory</w:t>
      </w:r>
      <w:r w:rsidR="00AF11F2">
        <w:rPr>
          <w:rFonts w:cs="Arial"/>
        </w:rPr>
        <w:t xml:space="preserve"> [2013] HCA </w:t>
      </w:r>
      <w:r w:rsidR="00A22C49">
        <w:rPr>
          <w:rFonts w:cs="Arial"/>
        </w:rPr>
        <w:t>55))</w:t>
      </w:r>
      <w:r w:rsidR="00CC3184">
        <w:rPr>
          <w:rFonts w:cs="Arial"/>
        </w:rPr>
        <w:t xml:space="preserve">; </w:t>
      </w:r>
      <w:hyperlink r:id="rId257" w:tooltip="Justice and Community Safety Legislation Amendment Act 2019" w:history="1">
        <w:r w:rsidR="00CC3184" w:rsidRPr="00CC3184">
          <w:rPr>
            <w:rStyle w:val="charCitHyperlinkAbbrev"/>
          </w:rPr>
          <w:t>A2019</w:t>
        </w:r>
        <w:r w:rsidR="00CC3184" w:rsidRPr="00CC3184">
          <w:rPr>
            <w:rStyle w:val="charCitHyperlinkAbbrev"/>
          </w:rPr>
          <w:noBreakHyphen/>
          <w:t>17</w:t>
        </w:r>
      </w:hyperlink>
      <w:r w:rsidR="00CC3184">
        <w:t xml:space="preserve"> amdt 1.3</w:t>
      </w:r>
    </w:p>
    <w:p w:rsidR="009A09D9" w:rsidRDefault="002C1B1A" w:rsidP="002C1B1A">
      <w:pPr>
        <w:pStyle w:val="AmdtsEntryHd"/>
      </w:pPr>
      <w:r w:rsidRPr="00F1390F">
        <w:t>Professional confidential relationship privilege</w:t>
      </w:r>
    </w:p>
    <w:p w:rsidR="002C1B1A" w:rsidRDefault="002C1B1A" w:rsidP="002C1B1A">
      <w:pPr>
        <w:pStyle w:val="AmdtsEntries"/>
      </w:pPr>
      <w:r>
        <w:t>div 3.10.1A hdg</w:t>
      </w:r>
      <w:r>
        <w:tab/>
        <w:t xml:space="preserve">ins </w:t>
      </w:r>
      <w:hyperlink r:id="rId258"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313546" w:rsidRDefault="00313546" w:rsidP="00313546">
      <w:pPr>
        <w:pStyle w:val="AmdtsEntryHd"/>
      </w:pPr>
      <w:r w:rsidRPr="00F1390F">
        <w:rPr>
          <w:lang w:eastAsia="en-AU"/>
        </w:rPr>
        <w:t>Definitions—div 3.10.1A</w:t>
      </w:r>
    </w:p>
    <w:p w:rsidR="00313546" w:rsidRDefault="00313546" w:rsidP="00313546">
      <w:pPr>
        <w:pStyle w:val="AmdtsEntries"/>
      </w:pPr>
      <w:r>
        <w:t>s 126A</w:t>
      </w:r>
      <w:r>
        <w:tab/>
        <w:t xml:space="preserve">ins </w:t>
      </w:r>
      <w:hyperlink r:id="rId259"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313546" w:rsidRPr="00313546" w:rsidRDefault="00313546" w:rsidP="00313546">
      <w:pPr>
        <w:pStyle w:val="AmdtsEntries"/>
      </w:pPr>
      <w:r>
        <w:tab/>
        <w:t xml:space="preserve">def </w:t>
      </w:r>
      <w:r w:rsidRPr="00AF17FE">
        <w:rPr>
          <w:rStyle w:val="charBoldItals"/>
        </w:rPr>
        <w:t xml:space="preserve">confidant </w:t>
      </w:r>
      <w:r>
        <w:t xml:space="preserve">ins </w:t>
      </w:r>
      <w:hyperlink r:id="rId260"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313546" w:rsidRPr="00313546" w:rsidRDefault="00313546" w:rsidP="00313546">
      <w:pPr>
        <w:pStyle w:val="AmdtsEntries"/>
      </w:pPr>
      <w:r>
        <w:tab/>
        <w:t xml:space="preserve">def </w:t>
      </w:r>
      <w:r w:rsidRPr="00AF17FE">
        <w:rPr>
          <w:rStyle w:val="charBoldItals"/>
        </w:rPr>
        <w:t>harm</w:t>
      </w:r>
      <w:r w:rsidRPr="00F1390F">
        <w:rPr>
          <w:lang w:eastAsia="en-AU"/>
        </w:rPr>
        <w:t xml:space="preserve"> </w:t>
      </w:r>
      <w:r>
        <w:t xml:space="preserve">ins </w:t>
      </w:r>
      <w:hyperlink r:id="rId261"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313546" w:rsidRPr="00313546" w:rsidRDefault="00313546" w:rsidP="00313546">
      <w:pPr>
        <w:pStyle w:val="AmdtsEntries"/>
      </w:pPr>
      <w:r>
        <w:tab/>
        <w:t xml:space="preserve">def </w:t>
      </w:r>
      <w:r w:rsidRPr="00AF17FE">
        <w:rPr>
          <w:rStyle w:val="charBoldItals"/>
        </w:rPr>
        <w:t xml:space="preserve">protected confidence </w:t>
      </w:r>
      <w:r>
        <w:t xml:space="preserve">ins </w:t>
      </w:r>
      <w:hyperlink r:id="rId262"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313546" w:rsidRPr="00313546" w:rsidRDefault="00313546" w:rsidP="00313546">
      <w:pPr>
        <w:pStyle w:val="AmdtsEntries"/>
      </w:pPr>
      <w:r>
        <w:tab/>
        <w:t xml:space="preserve">def </w:t>
      </w:r>
      <w:r w:rsidR="006B3DC7" w:rsidRPr="00AF17FE">
        <w:rPr>
          <w:rStyle w:val="charBoldItals"/>
        </w:rPr>
        <w:t xml:space="preserve">protected confider </w:t>
      </w:r>
      <w:r>
        <w:t xml:space="preserve">ins </w:t>
      </w:r>
      <w:hyperlink r:id="rId263"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313546" w:rsidRPr="00313546" w:rsidRDefault="00313546" w:rsidP="00313546">
      <w:pPr>
        <w:pStyle w:val="AmdtsEntries"/>
      </w:pPr>
      <w:r>
        <w:tab/>
        <w:t xml:space="preserve">def </w:t>
      </w:r>
      <w:r w:rsidR="006B3DC7" w:rsidRPr="00AF17FE">
        <w:rPr>
          <w:rStyle w:val="charBoldItals"/>
        </w:rPr>
        <w:t xml:space="preserve">protected identity information </w:t>
      </w:r>
      <w:r>
        <w:t xml:space="preserve">ins </w:t>
      </w:r>
      <w:hyperlink r:id="rId264"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313546" w:rsidRDefault="006B3DC7" w:rsidP="00313546">
      <w:pPr>
        <w:pStyle w:val="AmdtsEntryHd"/>
      </w:pPr>
      <w:r w:rsidRPr="00F1390F">
        <w:rPr>
          <w:lang w:eastAsia="en-AU"/>
        </w:rPr>
        <w:t>Exclusion of evidence of protected confidences</w:t>
      </w:r>
    </w:p>
    <w:p w:rsidR="00313546" w:rsidRPr="002C1B1A" w:rsidRDefault="00313546" w:rsidP="00313546">
      <w:pPr>
        <w:pStyle w:val="AmdtsEntries"/>
      </w:pPr>
      <w:r>
        <w:t>s 126B</w:t>
      </w:r>
      <w:r>
        <w:tab/>
        <w:t xml:space="preserve">ins </w:t>
      </w:r>
      <w:hyperlink r:id="rId265"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313546" w:rsidRDefault="006B3DC7" w:rsidP="00313546">
      <w:pPr>
        <w:pStyle w:val="AmdtsEntryHd"/>
      </w:pPr>
      <w:r w:rsidRPr="00F1390F">
        <w:rPr>
          <w:lang w:eastAsia="en-AU"/>
        </w:rPr>
        <w:t>Loss of professional confidential relationship privilege—consent</w:t>
      </w:r>
    </w:p>
    <w:p w:rsidR="00313546" w:rsidRPr="002C1B1A" w:rsidRDefault="00313546" w:rsidP="00313546">
      <w:pPr>
        <w:pStyle w:val="AmdtsEntries"/>
      </w:pPr>
      <w:r>
        <w:t>s 126C</w:t>
      </w:r>
      <w:r>
        <w:tab/>
        <w:t xml:space="preserve">ins </w:t>
      </w:r>
      <w:hyperlink r:id="rId266"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313546" w:rsidRDefault="006B3DC7" w:rsidP="00313546">
      <w:pPr>
        <w:pStyle w:val="AmdtsEntryHd"/>
      </w:pPr>
      <w:r w:rsidRPr="00F1390F">
        <w:rPr>
          <w:lang w:eastAsia="en-AU"/>
        </w:rPr>
        <w:t>Loss of professional confidential relationship privilege—misconduct</w:t>
      </w:r>
    </w:p>
    <w:p w:rsidR="00313546" w:rsidRPr="002C1B1A" w:rsidRDefault="00313546" w:rsidP="00313546">
      <w:pPr>
        <w:pStyle w:val="AmdtsEntries"/>
      </w:pPr>
      <w:r>
        <w:t>s 126D</w:t>
      </w:r>
      <w:r>
        <w:tab/>
        <w:t xml:space="preserve">ins </w:t>
      </w:r>
      <w:hyperlink r:id="rId267"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313546" w:rsidRDefault="006B3DC7" w:rsidP="00313546">
      <w:pPr>
        <w:pStyle w:val="AmdtsEntryHd"/>
      </w:pPr>
      <w:r w:rsidRPr="00F1390F">
        <w:rPr>
          <w:lang w:eastAsia="en-AU"/>
        </w:rPr>
        <w:t>Ancillary orders</w:t>
      </w:r>
    </w:p>
    <w:p w:rsidR="00313546" w:rsidRPr="002C1B1A" w:rsidRDefault="00313546" w:rsidP="00313546">
      <w:pPr>
        <w:pStyle w:val="AmdtsEntries"/>
      </w:pPr>
      <w:r>
        <w:t>s 126E</w:t>
      </w:r>
      <w:r>
        <w:tab/>
        <w:t xml:space="preserve">ins </w:t>
      </w:r>
      <w:hyperlink r:id="rId268"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313546" w:rsidRDefault="006B3DC7" w:rsidP="00313546">
      <w:pPr>
        <w:pStyle w:val="AmdtsEntryHd"/>
      </w:pPr>
      <w:r w:rsidRPr="00F1390F">
        <w:rPr>
          <w:lang w:eastAsia="en-AU"/>
        </w:rPr>
        <w:t>Application—div 3.10.1A</w:t>
      </w:r>
    </w:p>
    <w:p w:rsidR="00313546" w:rsidRDefault="00313546" w:rsidP="00313546">
      <w:pPr>
        <w:pStyle w:val="AmdtsEntries"/>
      </w:pPr>
      <w:r>
        <w:t>s 126F</w:t>
      </w:r>
      <w:r>
        <w:tab/>
        <w:t xml:space="preserve">ins </w:t>
      </w:r>
      <w:hyperlink r:id="rId269"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C0683E" w:rsidRPr="002C1B1A" w:rsidRDefault="00C0683E" w:rsidP="00313546">
      <w:pPr>
        <w:pStyle w:val="AmdtsEntries"/>
      </w:pPr>
      <w:r>
        <w:tab/>
        <w:t xml:space="preserve">am </w:t>
      </w:r>
      <w:hyperlink r:id="rId270" w:tooltip="Crimes (Domestic and Family Violence) Legislation Amendment Act 2015" w:history="1">
        <w:r>
          <w:rPr>
            <w:rStyle w:val="charCitHyperlinkAbbrev"/>
          </w:rPr>
          <w:t>A2015</w:t>
        </w:r>
        <w:r>
          <w:rPr>
            <w:rStyle w:val="charCitHyperlinkAbbrev"/>
          </w:rPr>
          <w:noBreakHyphen/>
          <w:t>40</w:t>
        </w:r>
      </w:hyperlink>
      <w:r>
        <w:t xml:space="preserve"> amdt 1.14</w:t>
      </w:r>
      <w:r w:rsidR="00C21940">
        <w:t xml:space="preserve">; </w:t>
      </w:r>
      <w:hyperlink r:id="rId271" w:tooltip="Royal Commission Criminal Justice Legislation Amendment Act 2018" w:history="1">
        <w:r w:rsidR="00C21940">
          <w:rPr>
            <w:rStyle w:val="charCitHyperlinkAbbrev"/>
          </w:rPr>
          <w:t>A2018-46</w:t>
        </w:r>
      </w:hyperlink>
      <w:r w:rsidR="00C21940">
        <w:t xml:space="preserve"> amdt 1.4</w:t>
      </w:r>
    </w:p>
    <w:p w:rsidR="00313546" w:rsidRDefault="006B3DC7" w:rsidP="00313546">
      <w:pPr>
        <w:pStyle w:val="AmdtsEntryHd"/>
      </w:pPr>
      <w:r w:rsidRPr="00F1390F">
        <w:t>Journalist privilege</w:t>
      </w:r>
    </w:p>
    <w:p w:rsidR="00313546" w:rsidRDefault="00313546" w:rsidP="00313546">
      <w:pPr>
        <w:pStyle w:val="AmdtsEntries"/>
      </w:pPr>
      <w:r>
        <w:t>div 3.10.1C hdg</w:t>
      </w:r>
      <w:r>
        <w:tab/>
        <w:t xml:space="preserve">ins </w:t>
      </w:r>
      <w:hyperlink r:id="rId272"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313546" w:rsidRDefault="006B3DC7" w:rsidP="00313546">
      <w:pPr>
        <w:pStyle w:val="AmdtsEntryHd"/>
      </w:pPr>
      <w:r w:rsidRPr="00F1390F">
        <w:rPr>
          <w:lang w:eastAsia="en-AU"/>
        </w:rPr>
        <w:t>Definitions—div 3.10.1C</w:t>
      </w:r>
    </w:p>
    <w:p w:rsidR="00313546" w:rsidRPr="002C1B1A" w:rsidRDefault="00313546" w:rsidP="00313546">
      <w:pPr>
        <w:pStyle w:val="AmdtsEntries"/>
      </w:pPr>
      <w:r>
        <w:t>s 126J</w:t>
      </w:r>
      <w:r>
        <w:tab/>
        <w:t xml:space="preserve">ins </w:t>
      </w:r>
      <w:hyperlink r:id="rId273"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6B3DC7" w:rsidRPr="00313546" w:rsidRDefault="006B3DC7" w:rsidP="006B3DC7">
      <w:pPr>
        <w:pStyle w:val="AmdtsEntries"/>
      </w:pPr>
      <w:r>
        <w:tab/>
        <w:t xml:space="preserve">def </w:t>
      </w:r>
      <w:r w:rsidRPr="00AF17FE">
        <w:rPr>
          <w:rStyle w:val="charBoldItals"/>
        </w:rPr>
        <w:t>informant</w:t>
      </w:r>
      <w:r w:rsidRPr="00F1390F">
        <w:t xml:space="preserve"> </w:t>
      </w:r>
      <w:r>
        <w:t xml:space="preserve">ins </w:t>
      </w:r>
      <w:hyperlink r:id="rId274"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6B3DC7" w:rsidRPr="00313546" w:rsidRDefault="006B3DC7" w:rsidP="006B3DC7">
      <w:pPr>
        <w:pStyle w:val="AmdtsEntries"/>
      </w:pPr>
      <w:r>
        <w:tab/>
        <w:t xml:space="preserve">def </w:t>
      </w:r>
      <w:r w:rsidRPr="00AF17FE">
        <w:rPr>
          <w:rStyle w:val="charBoldItals"/>
        </w:rPr>
        <w:t>journalist</w:t>
      </w:r>
      <w:r w:rsidRPr="00F1390F">
        <w:t xml:space="preserve"> </w:t>
      </w:r>
      <w:r>
        <w:t xml:space="preserve">ins </w:t>
      </w:r>
      <w:hyperlink r:id="rId275"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6B3DC7" w:rsidRPr="00313546" w:rsidRDefault="006B3DC7" w:rsidP="006B3DC7">
      <w:pPr>
        <w:pStyle w:val="AmdtsEntries"/>
      </w:pPr>
      <w:r>
        <w:tab/>
        <w:t xml:space="preserve">def </w:t>
      </w:r>
      <w:r w:rsidRPr="00AF17FE">
        <w:rPr>
          <w:rStyle w:val="charBoldItals"/>
        </w:rPr>
        <w:t>news medium</w:t>
      </w:r>
      <w:r w:rsidR="00CC1A71" w:rsidRPr="00AF17FE">
        <w:rPr>
          <w:rStyle w:val="charBoldItals"/>
        </w:rPr>
        <w:t xml:space="preserve"> </w:t>
      </w:r>
      <w:r>
        <w:t xml:space="preserve">ins </w:t>
      </w:r>
      <w:hyperlink r:id="rId276"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313546" w:rsidRDefault="006B3DC7" w:rsidP="00313546">
      <w:pPr>
        <w:pStyle w:val="AmdtsEntryHd"/>
      </w:pPr>
      <w:r w:rsidRPr="00F1390F">
        <w:lastRenderedPageBreak/>
        <w:t>Journalist privilege relating to informant’s identity</w:t>
      </w:r>
    </w:p>
    <w:p w:rsidR="00313546" w:rsidRPr="002C1B1A" w:rsidRDefault="00313546" w:rsidP="00313546">
      <w:pPr>
        <w:pStyle w:val="AmdtsEntries"/>
      </w:pPr>
      <w:r>
        <w:t>s 126K</w:t>
      </w:r>
      <w:r>
        <w:tab/>
        <w:t xml:space="preserve">ins </w:t>
      </w:r>
      <w:hyperlink r:id="rId277"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313546" w:rsidRDefault="006B3DC7" w:rsidP="00313546">
      <w:pPr>
        <w:pStyle w:val="AmdtsEntryHd"/>
      </w:pPr>
      <w:r w:rsidRPr="00F1390F">
        <w:rPr>
          <w:lang w:eastAsia="en-AU"/>
        </w:rPr>
        <w:t>Application—div 3.10.1C</w:t>
      </w:r>
    </w:p>
    <w:p w:rsidR="00313546" w:rsidRPr="002C1B1A" w:rsidRDefault="00313546" w:rsidP="00313546">
      <w:pPr>
        <w:pStyle w:val="AmdtsEntries"/>
      </w:pPr>
      <w:r>
        <w:t>s 126L</w:t>
      </w:r>
      <w:r>
        <w:tab/>
        <w:t xml:space="preserve">ins </w:t>
      </w:r>
      <w:hyperlink r:id="rId278"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rsidR="006B3DC7" w:rsidRDefault="006B3DC7" w:rsidP="006B3DC7">
      <w:pPr>
        <w:pStyle w:val="AmdtsEntryHd"/>
      </w:pPr>
      <w:r w:rsidRPr="006B3DC7">
        <w:t>Privilege in relation to self</w:t>
      </w:r>
      <w:r w:rsidR="001C511B">
        <w:t>-</w:t>
      </w:r>
      <w:r w:rsidRPr="006B3DC7">
        <w:t>incrimination in other proceedings</w:t>
      </w:r>
    </w:p>
    <w:p w:rsidR="006B3DC7" w:rsidRPr="002C1B1A" w:rsidRDefault="006B3DC7" w:rsidP="006B3DC7">
      <w:pPr>
        <w:pStyle w:val="AmdtsEntries"/>
      </w:pPr>
      <w:r>
        <w:t>s 128</w:t>
      </w:r>
      <w:r>
        <w:tab/>
        <w:t xml:space="preserve">am </w:t>
      </w:r>
      <w:hyperlink r:id="rId279"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ss 5-7</w:t>
      </w:r>
      <w:r w:rsidR="003C144C">
        <w:t xml:space="preserve">; </w:t>
      </w:r>
      <w:hyperlink r:id="rId280" w:tooltip="Justice and Community Safety Legislation Amendment Act 2017 (No 2)" w:history="1">
        <w:r w:rsidR="003C144C">
          <w:rPr>
            <w:rStyle w:val="charCitHyperlinkAbbrev"/>
          </w:rPr>
          <w:t>A2017</w:t>
        </w:r>
        <w:r w:rsidR="003C144C">
          <w:rPr>
            <w:rStyle w:val="charCitHyperlinkAbbrev"/>
          </w:rPr>
          <w:noBreakHyphen/>
          <w:t>14</w:t>
        </w:r>
      </w:hyperlink>
      <w:r w:rsidR="003C144C">
        <w:t xml:space="preserve"> s 18</w:t>
      </w:r>
    </w:p>
    <w:p w:rsidR="006B3DC7" w:rsidRDefault="006B3DC7" w:rsidP="006B3DC7">
      <w:pPr>
        <w:pStyle w:val="AmdtsEntryHd"/>
      </w:pPr>
      <w:r w:rsidRPr="006B3DC7">
        <w:t>Privilege in relation to self</w:t>
      </w:r>
      <w:r w:rsidR="001C511B">
        <w:t>-</w:t>
      </w:r>
      <w:r w:rsidRPr="006B3DC7">
        <w:t>incrimination—exception for certain orders etc</w:t>
      </w:r>
    </w:p>
    <w:p w:rsidR="006B3DC7" w:rsidRPr="002C1B1A" w:rsidRDefault="006B3DC7" w:rsidP="006B3DC7">
      <w:pPr>
        <w:pStyle w:val="AmdtsEntries"/>
      </w:pPr>
      <w:r>
        <w:t>s 128A</w:t>
      </w:r>
      <w:r>
        <w:tab/>
        <w:t xml:space="preserve">am </w:t>
      </w:r>
      <w:hyperlink r:id="rId281"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8</w:t>
      </w:r>
    </w:p>
    <w:p w:rsidR="006B3DC7" w:rsidRDefault="006B3DC7" w:rsidP="006B3DC7">
      <w:pPr>
        <w:pStyle w:val="AmdtsEntryHd"/>
      </w:pPr>
      <w:r w:rsidRPr="006B3DC7">
        <w:t>Application of div 3.10.4 to preliminary proceedings of courts</w:t>
      </w:r>
    </w:p>
    <w:p w:rsidR="006B3DC7" w:rsidRDefault="006B3DC7" w:rsidP="006B3DC7">
      <w:pPr>
        <w:pStyle w:val="AmdtsEntries"/>
      </w:pPr>
      <w:r>
        <w:t>s 131A</w:t>
      </w:r>
      <w:r>
        <w:tab/>
        <w:t xml:space="preserve">am </w:t>
      </w:r>
      <w:hyperlink r:id="rId282"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9, s 10</w:t>
      </w:r>
    </w:p>
    <w:p w:rsidR="00652140" w:rsidRDefault="00652140" w:rsidP="00652140">
      <w:pPr>
        <w:pStyle w:val="AmdtsEntryHd"/>
      </w:pPr>
      <w:r w:rsidRPr="00A060B6">
        <w:t>Official statistics</w:t>
      </w:r>
    </w:p>
    <w:p w:rsidR="00652140" w:rsidRDefault="00652140" w:rsidP="00652140">
      <w:pPr>
        <w:pStyle w:val="AmdtsEntries"/>
      </w:pPr>
      <w:r>
        <w:t>s 159</w:t>
      </w:r>
      <w:r>
        <w:tab/>
        <w:t xml:space="preserve">am </w:t>
      </w:r>
      <w:hyperlink r:id="rId283" w:tooltip="Statute Law Amendment Act 2013 (No 2)" w:history="1">
        <w:r>
          <w:rPr>
            <w:rStyle w:val="charCitHyperlinkAbbrev"/>
          </w:rPr>
          <w:t>A2013</w:t>
        </w:r>
        <w:r>
          <w:rPr>
            <w:rStyle w:val="charCitHyperlinkAbbrev"/>
          </w:rPr>
          <w:noBreakHyphen/>
          <w:t>44</w:t>
        </w:r>
      </w:hyperlink>
      <w:r>
        <w:t xml:space="preserve"> amdt 3.64</w:t>
      </w:r>
    </w:p>
    <w:p w:rsidR="00D92C26" w:rsidRDefault="00D92C26" w:rsidP="00D92C26">
      <w:pPr>
        <w:pStyle w:val="AmdtsEntryHd"/>
      </w:pPr>
      <w:r w:rsidRPr="00537812">
        <w:t>Postal articles</w:t>
      </w:r>
    </w:p>
    <w:p w:rsidR="00D92C26" w:rsidRPr="00A866F4" w:rsidRDefault="00D92C26" w:rsidP="00652140">
      <w:pPr>
        <w:pStyle w:val="AmdtsEntries"/>
      </w:pPr>
      <w:r>
        <w:t>s 160</w:t>
      </w:r>
      <w:r w:rsidR="00A866F4">
        <w:tab/>
        <w:t xml:space="preserve">am </w:t>
      </w:r>
      <w:hyperlink r:id="rId284" w:tooltip="Courts and Other Justice Legislation Amendment Act 2018" w:history="1">
        <w:r w:rsidR="00A866F4">
          <w:rPr>
            <w:rStyle w:val="charCitHyperlinkAbbrev"/>
          </w:rPr>
          <w:t>A2018</w:t>
        </w:r>
        <w:r w:rsidR="00A866F4">
          <w:rPr>
            <w:rStyle w:val="charCitHyperlinkAbbrev"/>
          </w:rPr>
          <w:noBreakHyphen/>
          <w:t>9</w:t>
        </w:r>
      </w:hyperlink>
      <w:r w:rsidR="00A866F4">
        <w:t xml:space="preserve"> s 40</w:t>
      </w:r>
    </w:p>
    <w:p w:rsidR="006B3DC7" w:rsidRDefault="006B3DC7" w:rsidP="006B3DC7">
      <w:pPr>
        <w:pStyle w:val="AmdtsEntryHd"/>
      </w:pPr>
      <w:r>
        <w:t>Dictionary</w:t>
      </w:r>
    </w:p>
    <w:p w:rsidR="00150B50" w:rsidRPr="00150B50" w:rsidRDefault="00150B50" w:rsidP="00150B50">
      <w:pPr>
        <w:pStyle w:val="AmdtsEntries"/>
      </w:pPr>
      <w:r>
        <w:t>dict</w:t>
      </w:r>
      <w:r>
        <w:tab/>
      </w:r>
      <w:r w:rsidR="005C0040">
        <w:t xml:space="preserve">am </w:t>
      </w:r>
      <w:hyperlink r:id="rId285" w:tooltip="Evidence (Consequential Amendments) Act 2011" w:history="1">
        <w:r w:rsidR="00AF17FE" w:rsidRPr="00AF17FE">
          <w:rPr>
            <w:rStyle w:val="charCitHyperlinkAbbrev"/>
          </w:rPr>
          <w:t>A2011</w:t>
        </w:r>
        <w:r w:rsidR="00AF17FE" w:rsidRPr="00AF17FE">
          <w:rPr>
            <w:rStyle w:val="charCitHyperlinkAbbrev"/>
          </w:rPr>
          <w:noBreakHyphen/>
          <w:t>48</w:t>
        </w:r>
      </w:hyperlink>
      <w:r w:rsidR="005C0040">
        <w:t xml:space="preserve"> amdt 1.27</w:t>
      </w:r>
    </w:p>
    <w:p w:rsidR="006B3DC7" w:rsidRPr="00313546" w:rsidRDefault="006B3DC7" w:rsidP="006B3DC7">
      <w:pPr>
        <w:pStyle w:val="AmdtsEntries"/>
      </w:pPr>
      <w:r>
        <w:t>dict</w:t>
      </w:r>
      <w:r w:rsidR="00565EF3">
        <w:t xml:space="preserve"> pt 1</w:t>
      </w:r>
      <w:r>
        <w:tab/>
        <w:t xml:space="preserve">def </w:t>
      </w:r>
      <w:r w:rsidRPr="00AF17FE">
        <w:rPr>
          <w:rStyle w:val="charBoldItals"/>
        </w:rPr>
        <w:t xml:space="preserve">confidant </w:t>
      </w:r>
      <w:r>
        <w:t xml:space="preserve">ins </w:t>
      </w:r>
      <w:hyperlink r:id="rId286"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rsidR="006B3DC7" w:rsidRPr="00313546" w:rsidRDefault="006B3DC7" w:rsidP="006B3DC7">
      <w:pPr>
        <w:pStyle w:val="AmdtsEntries"/>
      </w:pPr>
      <w:r>
        <w:tab/>
        <w:t xml:space="preserve">def </w:t>
      </w:r>
      <w:r w:rsidRPr="00AF17FE">
        <w:rPr>
          <w:rStyle w:val="charBoldItals"/>
        </w:rPr>
        <w:t xml:space="preserve">harm </w:t>
      </w:r>
      <w:r>
        <w:t xml:space="preserve">ins </w:t>
      </w:r>
      <w:hyperlink r:id="rId287"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rsidR="006B3DC7" w:rsidRPr="00313546" w:rsidRDefault="006B3DC7" w:rsidP="006B3DC7">
      <w:pPr>
        <w:pStyle w:val="AmdtsEntries"/>
      </w:pPr>
      <w:r>
        <w:tab/>
        <w:t xml:space="preserve">def </w:t>
      </w:r>
      <w:r w:rsidRPr="00AF17FE">
        <w:rPr>
          <w:rStyle w:val="charBoldItals"/>
        </w:rPr>
        <w:t xml:space="preserve">informant </w:t>
      </w:r>
      <w:r>
        <w:t xml:space="preserve">ins </w:t>
      </w:r>
      <w:hyperlink r:id="rId288"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rsidR="006B3DC7" w:rsidRPr="00313546" w:rsidRDefault="006B3DC7" w:rsidP="006B3DC7">
      <w:pPr>
        <w:pStyle w:val="AmdtsEntries"/>
      </w:pPr>
      <w:r>
        <w:tab/>
        <w:t xml:space="preserve">def </w:t>
      </w:r>
      <w:r w:rsidRPr="00AF17FE">
        <w:rPr>
          <w:rStyle w:val="charBoldItals"/>
        </w:rPr>
        <w:t xml:space="preserve">journalist </w:t>
      </w:r>
      <w:r>
        <w:t xml:space="preserve">ins </w:t>
      </w:r>
      <w:hyperlink r:id="rId289"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rsidR="006B3DC7" w:rsidRDefault="006B3DC7" w:rsidP="006B3DC7">
      <w:pPr>
        <w:pStyle w:val="AmdtsEntries"/>
      </w:pPr>
      <w:r>
        <w:tab/>
        <w:t xml:space="preserve">def </w:t>
      </w:r>
      <w:r w:rsidRPr="00AF17FE">
        <w:rPr>
          <w:rStyle w:val="charBoldItals"/>
        </w:rPr>
        <w:t xml:space="preserve">news medium </w:t>
      </w:r>
      <w:r>
        <w:t xml:space="preserve">ins </w:t>
      </w:r>
      <w:hyperlink r:id="rId290"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rsidR="00652140" w:rsidRPr="00652140" w:rsidRDefault="00652140" w:rsidP="006B3DC7">
      <w:pPr>
        <w:pStyle w:val="AmdtsEntries"/>
      </w:pPr>
      <w:r>
        <w:tab/>
        <w:t xml:space="preserve">def </w:t>
      </w:r>
      <w:r>
        <w:rPr>
          <w:rStyle w:val="charBoldItals"/>
        </w:rPr>
        <w:t xml:space="preserve">previous representation </w:t>
      </w:r>
      <w:r>
        <w:t xml:space="preserve">sub </w:t>
      </w:r>
      <w:hyperlink r:id="rId291" w:tooltip="Statute Law Amendment Act 2013 (No 2)" w:history="1">
        <w:r>
          <w:rPr>
            <w:rStyle w:val="charCitHyperlinkAbbrev"/>
          </w:rPr>
          <w:t>A2013</w:t>
        </w:r>
        <w:r>
          <w:rPr>
            <w:rStyle w:val="charCitHyperlinkAbbrev"/>
          </w:rPr>
          <w:noBreakHyphen/>
          <w:t>44</w:t>
        </w:r>
      </w:hyperlink>
      <w:r>
        <w:t xml:space="preserve"> amdt 3.65</w:t>
      </w:r>
    </w:p>
    <w:p w:rsidR="006B3DC7" w:rsidRPr="00313546" w:rsidRDefault="006B3DC7" w:rsidP="006B3DC7">
      <w:pPr>
        <w:pStyle w:val="AmdtsEntries"/>
      </w:pPr>
      <w:r>
        <w:tab/>
        <w:t xml:space="preserve">def </w:t>
      </w:r>
      <w:r w:rsidRPr="00AF17FE">
        <w:rPr>
          <w:rStyle w:val="charBoldItals"/>
        </w:rPr>
        <w:t xml:space="preserve">protected confidence </w:t>
      </w:r>
      <w:r>
        <w:t xml:space="preserve">ins </w:t>
      </w:r>
      <w:hyperlink r:id="rId292"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rsidR="006B3DC7" w:rsidRPr="00313546" w:rsidRDefault="006B3DC7" w:rsidP="006B3DC7">
      <w:pPr>
        <w:pStyle w:val="AmdtsEntries"/>
      </w:pPr>
      <w:r>
        <w:tab/>
        <w:t xml:space="preserve">def </w:t>
      </w:r>
      <w:r w:rsidRPr="00AF17FE">
        <w:rPr>
          <w:rStyle w:val="charBoldItals"/>
        </w:rPr>
        <w:t xml:space="preserve">protected confider </w:t>
      </w:r>
      <w:r>
        <w:t xml:space="preserve">ins </w:t>
      </w:r>
      <w:hyperlink r:id="rId293"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rsidR="006B3DC7" w:rsidRPr="00313546" w:rsidRDefault="006B3DC7" w:rsidP="006B3DC7">
      <w:pPr>
        <w:pStyle w:val="AmdtsEntries"/>
      </w:pPr>
      <w:r>
        <w:tab/>
        <w:t xml:space="preserve">def </w:t>
      </w:r>
      <w:r w:rsidRPr="00AF17FE">
        <w:rPr>
          <w:rStyle w:val="charBoldItals"/>
        </w:rPr>
        <w:t xml:space="preserve">protected identity information </w:t>
      </w:r>
      <w:r>
        <w:t xml:space="preserve">ins </w:t>
      </w:r>
      <w:hyperlink r:id="rId294"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rsidR="00652140" w:rsidRPr="00652140" w:rsidRDefault="00652140" w:rsidP="00652140">
      <w:pPr>
        <w:pStyle w:val="AmdtsEntries"/>
      </w:pPr>
      <w:r>
        <w:tab/>
        <w:t xml:space="preserve">def </w:t>
      </w:r>
      <w:r>
        <w:rPr>
          <w:rStyle w:val="charBoldItals"/>
        </w:rPr>
        <w:t xml:space="preserve">request </w:t>
      </w:r>
      <w:r>
        <w:t xml:space="preserve">ins </w:t>
      </w:r>
      <w:hyperlink r:id="rId295" w:tooltip="Statute Law Amendment Act 2013 (No 2)" w:history="1">
        <w:r>
          <w:rPr>
            <w:rStyle w:val="charCitHyperlinkAbbrev"/>
          </w:rPr>
          <w:t>A2013</w:t>
        </w:r>
        <w:r>
          <w:rPr>
            <w:rStyle w:val="charCitHyperlinkAbbrev"/>
          </w:rPr>
          <w:noBreakHyphen/>
          <w:t>44</w:t>
        </w:r>
      </w:hyperlink>
      <w:r>
        <w:t xml:space="preserve"> amdt 3.66</w:t>
      </w:r>
    </w:p>
    <w:p w:rsidR="00565EF3" w:rsidRPr="00313546" w:rsidRDefault="00565EF3" w:rsidP="00565EF3">
      <w:pPr>
        <w:pStyle w:val="AmdtsEntries"/>
      </w:pPr>
      <w:r>
        <w:t>dict pt 2</w:t>
      </w:r>
      <w:r w:rsidR="00B279CB">
        <w:t xml:space="preserve"> s 4</w:t>
      </w:r>
      <w:r w:rsidR="00B279CB">
        <w:tab/>
      </w:r>
      <w:r>
        <w:t xml:space="preserve">am </w:t>
      </w:r>
      <w:hyperlink r:id="rId296"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12</w:t>
      </w:r>
    </w:p>
    <w:p w:rsidR="00745B36" w:rsidRPr="00745B36" w:rsidRDefault="00745B36" w:rsidP="00745B36">
      <w:pPr>
        <w:pStyle w:val="PageBreak"/>
      </w:pPr>
      <w:r w:rsidRPr="00745B36">
        <w:br w:type="page"/>
      </w:r>
    </w:p>
    <w:p w:rsidR="0027658E" w:rsidRPr="003925E1" w:rsidRDefault="0027658E">
      <w:pPr>
        <w:pStyle w:val="Endnote20"/>
      </w:pPr>
      <w:bookmarkStart w:id="299" w:name="_Toc11748654"/>
      <w:r w:rsidRPr="003925E1">
        <w:rPr>
          <w:rStyle w:val="charTableNo"/>
        </w:rPr>
        <w:lastRenderedPageBreak/>
        <w:t>5</w:t>
      </w:r>
      <w:r>
        <w:tab/>
      </w:r>
      <w:r w:rsidRPr="003925E1">
        <w:rPr>
          <w:rStyle w:val="charTableText"/>
        </w:rPr>
        <w:t>Earlier republications</w:t>
      </w:r>
      <w:bookmarkEnd w:id="299"/>
    </w:p>
    <w:p w:rsidR="0027658E" w:rsidRDefault="0027658E">
      <w:pPr>
        <w:pStyle w:val="EndNoteTextPub"/>
      </w:pPr>
      <w:r>
        <w:t xml:space="preserve">Some earlier republications were not numbered. The number in column 1 refers to the publication order.  </w:t>
      </w:r>
    </w:p>
    <w:p w:rsidR="0027658E" w:rsidRDefault="0027658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7658E" w:rsidRDefault="0027658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7658E">
        <w:trPr>
          <w:tblHeader/>
        </w:trPr>
        <w:tc>
          <w:tcPr>
            <w:tcW w:w="1576" w:type="dxa"/>
            <w:tcBorders>
              <w:bottom w:val="single" w:sz="4" w:space="0" w:color="auto"/>
            </w:tcBorders>
          </w:tcPr>
          <w:p w:rsidR="0027658E" w:rsidRDefault="0027658E">
            <w:pPr>
              <w:pStyle w:val="EarlierRepubHdg"/>
            </w:pPr>
            <w:r>
              <w:t>Republication No and date</w:t>
            </w:r>
          </w:p>
        </w:tc>
        <w:tc>
          <w:tcPr>
            <w:tcW w:w="1681" w:type="dxa"/>
            <w:tcBorders>
              <w:bottom w:val="single" w:sz="4" w:space="0" w:color="auto"/>
            </w:tcBorders>
          </w:tcPr>
          <w:p w:rsidR="0027658E" w:rsidRDefault="0027658E">
            <w:pPr>
              <w:pStyle w:val="EarlierRepubHdg"/>
            </w:pPr>
            <w:r>
              <w:t>Effective</w:t>
            </w:r>
          </w:p>
        </w:tc>
        <w:tc>
          <w:tcPr>
            <w:tcW w:w="1783" w:type="dxa"/>
            <w:tcBorders>
              <w:bottom w:val="single" w:sz="4" w:space="0" w:color="auto"/>
            </w:tcBorders>
          </w:tcPr>
          <w:p w:rsidR="0027658E" w:rsidRDefault="0027658E">
            <w:pPr>
              <w:pStyle w:val="EarlierRepubHdg"/>
            </w:pPr>
            <w:r>
              <w:t>Last amendment made by</w:t>
            </w:r>
          </w:p>
        </w:tc>
        <w:tc>
          <w:tcPr>
            <w:tcW w:w="1783" w:type="dxa"/>
            <w:tcBorders>
              <w:bottom w:val="single" w:sz="4" w:space="0" w:color="auto"/>
            </w:tcBorders>
          </w:tcPr>
          <w:p w:rsidR="0027658E" w:rsidRDefault="0027658E">
            <w:pPr>
              <w:pStyle w:val="EarlierRepubHdg"/>
            </w:pPr>
            <w:r>
              <w:t>Republication for</w:t>
            </w:r>
          </w:p>
        </w:tc>
      </w:tr>
      <w:tr w:rsidR="0027658E">
        <w:tc>
          <w:tcPr>
            <w:tcW w:w="1576" w:type="dxa"/>
            <w:tcBorders>
              <w:top w:val="single" w:sz="4" w:space="0" w:color="auto"/>
              <w:bottom w:val="single" w:sz="4" w:space="0" w:color="auto"/>
            </w:tcBorders>
          </w:tcPr>
          <w:p w:rsidR="0027658E" w:rsidRDefault="0027658E">
            <w:pPr>
              <w:pStyle w:val="EarlierRepubEntries"/>
            </w:pPr>
            <w:r>
              <w:t>R1</w:t>
            </w:r>
            <w:r w:rsidR="000D57E6">
              <w:t>*</w:t>
            </w:r>
            <w:r>
              <w:br/>
              <w:t>1 Mar 2012</w:t>
            </w:r>
          </w:p>
        </w:tc>
        <w:tc>
          <w:tcPr>
            <w:tcW w:w="1681" w:type="dxa"/>
            <w:tcBorders>
              <w:top w:val="single" w:sz="4" w:space="0" w:color="auto"/>
              <w:bottom w:val="single" w:sz="4" w:space="0" w:color="auto"/>
            </w:tcBorders>
          </w:tcPr>
          <w:p w:rsidR="0027658E" w:rsidRDefault="0027658E">
            <w:pPr>
              <w:pStyle w:val="EarlierRepubEntries"/>
            </w:pPr>
            <w:r>
              <w:t>1 Mar 2012–</w:t>
            </w:r>
            <w:r>
              <w:br/>
              <w:t>6 Nov 2013</w:t>
            </w:r>
          </w:p>
        </w:tc>
        <w:tc>
          <w:tcPr>
            <w:tcW w:w="1783" w:type="dxa"/>
            <w:tcBorders>
              <w:top w:val="single" w:sz="4" w:space="0" w:color="auto"/>
              <w:bottom w:val="single" w:sz="4" w:space="0" w:color="auto"/>
            </w:tcBorders>
          </w:tcPr>
          <w:p w:rsidR="0027658E" w:rsidRDefault="00546A8E">
            <w:pPr>
              <w:pStyle w:val="EarlierRepubEntries"/>
            </w:pPr>
            <w:hyperlink r:id="rId297" w:tooltip="Evidence (Consequential Amendments) Act 2011" w:history="1">
              <w:r w:rsidR="000D57E6" w:rsidRPr="000D57E6">
                <w:rPr>
                  <w:rStyle w:val="charCitHyperlinkAbbrev"/>
                </w:rPr>
                <w:t>A2011</w:t>
              </w:r>
              <w:r w:rsidR="000D57E6" w:rsidRPr="000D57E6">
                <w:rPr>
                  <w:rStyle w:val="charCitHyperlinkAbbrev"/>
                </w:rPr>
                <w:noBreakHyphen/>
                <w:t>48</w:t>
              </w:r>
            </w:hyperlink>
          </w:p>
        </w:tc>
        <w:tc>
          <w:tcPr>
            <w:tcW w:w="1783" w:type="dxa"/>
            <w:tcBorders>
              <w:top w:val="single" w:sz="4" w:space="0" w:color="auto"/>
              <w:bottom w:val="single" w:sz="4" w:space="0" w:color="auto"/>
            </w:tcBorders>
          </w:tcPr>
          <w:p w:rsidR="0027658E" w:rsidRDefault="0027658E">
            <w:pPr>
              <w:pStyle w:val="EarlierRepubEntries"/>
            </w:pPr>
            <w:r>
              <w:t xml:space="preserve">new Act and amendments by </w:t>
            </w:r>
            <w:hyperlink r:id="rId298" w:tooltip="Evidence Amendment Act 2011" w:history="1">
              <w:r w:rsidR="000D57E6" w:rsidRPr="000D57E6">
                <w:rPr>
                  <w:rStyle w:val="charCitHyperlinkAbbrev"/>
                </w:rPr>
                <w:t>A2011</w:t>
              </w:r>
              <w:r w:rsidR="000D57E6" w:rsidRPr="000D57E6">
                <w:rPr>
                  <w:rStyle w:val="charCitHyperlinkAbbrev"/>
                </w:rPr>
                <w:noBreakHyphen/>
                <w:t>47</w:t>
              </w:r>
            </w:hyperlink>
            <w:r>
              <w:t xml:space="preserve"> and </w:t>
            </w:r>
            <w:hyperlink r:id="rId299" w:tooltip="Evidence (Consequential Amendments) Act 2011" w:history="1">
              <w:r w:rsidR="000D57E6" w:rsidRPr="000D57E6">
                <w:rPr>
                  <w:rStyle w:val="charCitHyperlinkAbbrev"/>
                </w:rPr>
                <w:t>A2011</w:t>
              </w:r>
              <w:r w:rsidR="000D57E6" w:rsidRPr="000D57E6">
                <w:rPr>
                  <w:rStyle w:val="charCitHyperlinkAbbrev"/>
                </w:rPr>
                <w:noBreakHyphen/>
                <w:t>48</w:t>
              </w:r>
            </w:hyperlink>
          </w:p>
        </w:tc>
      </w:tr>
      <w:tr w:rsidR="00A22C49">
        <w:tc>
          <w:tcPr>
            <w:tcW w:w="1576" w:type="dxa"/>
            <w:tcBorders>
              <w:top w:val="single" w:sz="4" w:space="0" w:color="auto"/>
              <w:bottom w:val="single" w:sz="4" w:space="0" w:color="auto"/>
            </w:tcBorders>
          </w:tcPr>
          <w:p w:rsidR="00A22C49" w:rsidRDefault="00A22C49">
            <w:pPr>
              <w:pStyle w:val="EarlierRepubEntries"/>
            </w:pPr>
            <w:r>
              <w:t>R2</w:t>
            </w:r>
            <w:r>
              <w:br/>
              <w:t>7 Nov 2013</w:t>
            </w:r>
          </w:p>
        </w:tc>
        <w:tc>
          <w:tcPr>
            <w:tcW w:w="1681" w:type="dxa"/>
            <w:tcBorders>
              <w:top w:val="single" w:sz="4" w:space="0" w:color="auto"/>
              <w:bottom w:val="single" w:sz="4" w:space="0" w:color="auto"/>
            </w:tcBorders>
          </w:tcPr>
          <w:p w:rsidR="00A22C49" w:rsidRDefault="00A22C49" w:rsidP="00A22C49">
            <w:pPr>
              <w:pStyle w:val="EarlierRepubEntries"/>
            </w:pPr>
            <w:r>
              <w:t>never effective</w:t>
            </w:r>
          </w:p>
        </w:tc>
        <w:tc>
          <w:tcPr>
            <w:tcW w:w="1783" w:type="dxa"/>
            <w:tcBorders>
              <w:top w:val="single" w:sz="4" w:space="0" w:color="auto"/>
              <w:bottom w:val="single" w:sz="4" w:space="0" w:color="auto"/>
            </w:tcBorders>
          </w:tcPr>
          <w:p w:rsidR="00A22C49" w:rsidRDefault="00546A8E" w:rsidP="00A22C49">
            <w:pPr>
              <w:pStyle w:val="EarlierRepubEntries"/>
            </w:pPr>
            <w:hyperlink r:id="rId300" w:tooltip="Marriage Equality (Same Sex) Act 2013" w:history="1">
              <w:r w:rsidR="00A22C49">
                <w:rPr>
                  <w:rStyle w:val="charCitHyperlinkAbbrev"/>
                </w:rPr>
                <w:t>A2013</w:t>
              </w:r>
              <w:r w:rsidR="00A22C49">
                <w:rPr>
                  <w:rStyle w:val="charCitHyperlinkAbbrev"/>
                </w:rPr>
                <w:noBreakHyphen/>
                <w:t>39</w:t>
              </w:r>
            </w:hyperlink>
            <w:r w:rsidR="00A22C49">
              <w:t xml:space="preserve"> (never effective)</w:t>
            </w:r>
          </w:p>
        </w:tc>
        <w:tc>
          <w:tcPr>
            <w:tcW w:w="1783" w:type="dxa"/>
            <w:tcBorders>
              <w:top w:val="single" w:sz="4" w:space="0" w:color="auto"/>
              <w:bottom w:val="single" w:sz="4" w:space="0" w:color="auto"/>
            </w:tcBorders>
          </w:tcPr>
          <w:p w:rsidR="00A22C49" w:rsidRDefault="00A22C49" w:rsidP="00A22C49">
            <w:pPr>
              <w:pStyle w:val="EarlierRepubEntries"/>
            </w:pPr>
            <w:r>
              <w:t xml:space="preserve">amendments by </w:t>
            </w:r>
            <w:hyperlink r:id="rId301" w:tooltip="Marriage Equality (Same Sex) Act 2013" w:history="1">
              <w:r>
                <w:rPr>
                  <w:rStyle w:val="charCitHyperlinkAbbrev"/>
                </w:rPr>
                <w:t>A2013</w:t>
              </w:r>
              <w:r>
                <w:rPr>
                  <w:rStyle w:val="charCitHyperlinkAbbrev"/>
                </w:rPr>
                <w:noBreakHyphen/>
                <w:t>39</w:t>
              </w:r>
            </w:hyperlink>
          </w:p>
        </w:tc>
      </w:tr>
      <w:tr w:rsidR="00A22C49">
        <w:tc>
          <w:tcPr>
            <w:tcW w:w="1576" w:type="dxa"/>
            <w:tcBorders>
              <w:top w:val="single" w:sz="4" w:space="0" w:color="auto"/>
              <w:bottom w:val="single" w:sz="4" w:space="0" w:color="auto"/>
            </w:tcBorders>
          </w:tcPr>
          <w:p w:rsidR="00A22C49" w:rsidRDefault="00A22C49" w:rsidP="00167093">
            <w:pPr>
              <w:pStyle w:val="EarlierRepubEntries"/>
            </w:pPr>
            <w:r>
              <w:t>R2 (RI)</w:t>
            </w:r>
            <w:r>
              <w:br/>
            </w:r>
            <w:r w:rsidR="00167093">
              <w:t>24</w:t>
            </w:r>
            <w:r>
              <w:t xml:space="preserve"> Feb 2014</w:t>
            </w:r>
          </w:p>
        </w:tc>
        <w:tc>
          <w:tcPr>
            <w:tcW w:w="1681" w:type="dxa"/>
            <w:tcBorders>
              <w:top w:val="single" w:sz="4" w:space="0" w:color="auto"/>
              <w:bottom w:val="single" w:sz="4" w:space="0" w:color="auto"/>
            </w:tcBorders>
          </w:tcPr>
          <w:p w:rsidR="00A22C49" w:rsidRDefault="00A22C49" w:rsidP="00A22C49">
            <w:pPr>
              <w:pStyle w:val="EarlierRepubEntries"/>
            </w:pPr>
            <w:r>
              <w:t>7 Nov 2013–</w:t>
            </w:r>
            <w:r>
              <w:br/>
              <w:t>24 Nov 2013</w:t>
            </w:r>
          </w:p>
        </w:tc>
        <w:tc>
          <w:tcPr>
            <w:tcW w:w="1783" w:type="dxa"/>
            <w:tcBorders>
              <w:top w:val="single" w:sz="4" w:space="0" w:color="auto"/>
              <w:bottom w:val="single" w:sz="4" w:space="0" w:color="auto"/>
            </w:tcBorders>
          </w:tcPr>
          <w:p w:rsidR="00A22C49" w:rsidRDefault="00546A8E" w:rsidP="00A22C49">
            <w:pPr>
              <w:pStyle w:val="EarlierRepubEntries"/>
            </w:pPr>
            <w:hyperlink r:id="rId302" w:tooltip="Marriage Equality (Same Sex) Act 2013" w:history="1">
              <w:r w:rsidR="00A22C49" w:rsidRPr="00AF3D0C">
                <w:rPr>
                  <w:rStyle w:val="charCitHyperlinkAbbrev"/>
                </w:rPr>
                <w:t>A2013-39</w:t>
              </w:r>
            </w:hyperlink>
            <w:r w:rsidR="00A22C49">
              <w:t xml:space="preserve"> (never effective)</w:t>
            </w:r>
          </w:p>
        </w:tc>
        <w:tc>
          <w:tcPr>
            <w:tcW w:w="1783" w:type="dxa"/>
            <w:tcBorders>
              <w:top w:val="single" w:sz="4" w:space="0" w:color="auto"/>
              <w:bottom w:val="single" w:sz="4" w:space="0" w:color="auto"/>
            </w:tcBorders>
          </w:tcPr>
          <w:p w:rsidR="00A22C49" w:rsidRDefault="00A22C49" w:rsidP="00A22C49">
            <w:pPr>
              <w:pStyle w:val="EarlierRepubEntries"/>
            </w:pPr>
            <w:r>
              <w:t xml:space="preserve">reissue because of High Court decision in relation to </w:t>
            </w:r>
            <w:hyperlink r:id="rId303" w:tooltip="Marriage Equality (Same Sex) Act 2013" w:history="1">
              <w:r w:rsidRPr="00AF3D0C">
                <w:rPr>
                  <w:rStyle w:val="charCitHyperlinkAbbrev"/>
                </w:rPr>
                <w:t>A2013-39</w:t>
              </w:r>
            </w:hyperlink>
          </w:p>
        </w:tc>
      </w:tr>
      <w:tr w:rsidR="00394539">
        <w:tc>
          <w:tcPr>
            <w:tcW w:w="1576" w:type="dxa"/>
            <w:tcBorders>
              <w:top w:val="single" w:sz="4" w:space="0" w:color="auto"/>
              <w:bottom w:val="single" w:sz="4" w:space="0" w:color="auto"/>
            </w:tcBorders>
          </w:tcPr>
          <w:p w:rsidR="00394539" w:rsidRDefault="00394539" w:rsidP="00167093">
            <w:pPr>
              <w:pStyle w:val="EarlierRepubEntries"/>
            </w:pPr>
            <w:r>
              <w:t>R3</w:t>
            </w:r>
            <w:r>
              <w:br/>
              <w:t>25 Nov 2013</w:t>
            </w:r>
          </w:p>
        </w:tc>
        <w:tc>
          <w:tcPr>
            <w:tcW w:w="1681" w:type="dxa"/>
            <w:tcBorders>
              <w:top w:val="single" w:sz="4" w:space="0" w:color="auto"/>
              <w:bottom w:val="single" w:sz="4" w:space="0" w:color="auto"/>
            </w:tcBorders>
          </w:tcPr>
          <w:p w:rsidR="00394539" w:rsidRDefault="00394539" w:rsidP="00A22C49">
            <w:pPr>
              <w:pStyle w:val="EarlierRepubEntries"/>
            </w:pPr>
            <w:r>
              <w:t>never effective</w:t>
            </w:r>
          </w:p>
        </w:tc>
        <w:tc>
          <w:tcPr>
            <w:tcW w:w="1783" w:type="dxa"/>
            <w:tcBorders>
              <w:top w:val="single" w:sz="4" w:space="0" w:color="auto"/>
              <w:bottom w:val="single" w:sz="4" w:space="0" w:color="auto"/>
            </w:tcBorders>
          </w:tcPr>
          <w:p w:rsidR="00394539" w:rsidRPr="00394539" w:rsidRDefault="00546A8E" w:rsidP="00394539">
            <w:pPr>
              <w:pStyle w:val="EarlierRepubEntries"/>
            </w:pPr>
            <w:hyperlink r:id="rId304" w:tooltip="Statute Law Amendment Act 2013 (No 2)" w:history="1">
              <w:r w:rsidR="00394539">
                <w:rPr>
                  <w:rStyle w:val="charCitHyperlinkAbbrev"/>
                </w:rPr>
                <w:t>A2013</w:t>
              </w:r>
              <w:r w:rsidR="00394539">
                <w:rPr>
                  <w:rStyle w:val="charCitHyperlinkAbbrev"/>
                </w:rPr>
                <w:noBreakHyphen/>
                <w:t>44</w:t>
              </w:r>
            </w:hyperlink>
          </w:p>
        </w:tc>
        <w:tc>
          <w:tcPr>
            <w:tcW w:w="1783" w:type="dxa"/>
            <w:tcBorders>
              <w:top w:val="single" w:sz="4" w:space="0" w:color="auto"/>
              <w:bottom w:val="single" w:sz="4" w:space="0" w:color="auto"/>
            </w:tcBorders>
          </w:tcPr>
          <w:p w:rsidR="00394539" w:rsidRDefault="00394539" w:rsidP="00A22C49">
            <w:pPr>
              <w:pStyle w:val="EarlierRepubEntries"/>
            </w:pPr>
            <w:r>
              <w:t xml:space="preserve">amendments by </w:t>
            </w:r>
            <w:hyperlink r:id="rId305" w:tooltip="Statute Law Amendment Act 2013 (No 2)" w:history="1">
              <w:r>
                <w:rPr>
                  <w:rStyle w:val="charCitHyperlinkAbbrev"/>
                </w:rPr>
                <w:t>A2013</w:t>
              </w:r>
              <w:r>
                <w:rPr>
                  <w:rStyle w:val="charCitHyperlinkAbbrev"/>
                </w:rPr>
                <w:noBreakHyphen/>
                <w:t>44</w:t>
              </w:r>
            </w:hyperlink>
          </w:p>
        </w:tc>
      </w:tr>
      <w:tr w:rsidR="00394539">
        <w:tc>
          <w:tcPr>
            <w:tcW w:w="1576" w:type="dxa"/>
            <w:tcBorders>
              <w:top w:val="single" w:sz="4" w:space="0" w:color="auto"/>
              <w:bottom w:val="single" w:sz="4" w:space="0" w:color="auto"/>
            </w:tcBorders>
          </w:tcPr>
          <w:p w:rsidR="00394539" w:rsidRDefault="00394539" w:rsidP="00167093">
            <w:pPr>
              <w:pStyle w:val="EarlierRepubEntries"/>
            </w:pPr>
            <w:r>
              <w:t>R3 (RI)</w:t>
            </w:r>
            <w:r>
              <w:br/>
              <w:t>24 Feb 2014</w:t>
            </w:r>
          </w:p>
        </w:tc>
        <w:tc>
          <w:tcPr>
            <w:tcW w:w="1681" w:type="dxa"/>
            <w:tcBorders>
              <w:top w:val="single" w:sz="4" w:space="0" w:color="auto"/>
              <w:bottom w:val="single" w:sz="4" w:space="0" w:color="auto"/>
            </w:tcBorders>
          </w:tcPr>
          <w:p w:rsidR="00394539" w:rsidRDefault="00394539" w:rsidP="00A22C49">
            <w:pPr>
              <w:pStyle w:val="EarlierRepubEntries"/>
            </w:pPr>
            <w:r>
              <w:t>25 Nov 2013–</w:t>
            </w:r>
            <w:r>
              <w:br/>
              <w:t>3 May 2016</w:t>
            </w:r>
          </w:p>
        </w:tc>
        <w:tc>
          <w:tcPr>
            <w:tcW w:w="1783" w:type="dxa"/>
            <w:tcBorders>
              <w:top w:val="single" w:sz="4" w:space="0" w:color="auto"/>
              <w:bottom w:val="single" w:sz="4" w:space="0" w:color="auto"/>
            </w:tcBorders>
          </w:tcPr>
          <w:p w:rsidR="00394539" w:rsidRPr="001F16F0" w:rsidRDefault="00546A8E" w:rsidP="00A22C49">
            <w:pPr>
              <w:pStyle w:val="EarlierRepubEntries"/>
              <w:rPr>
                <w:rStyle w:val="charCitHyperlinkAbbrev"/>
              </w:rPr>
            </w:pPr>
            <w:hyperlink r:id="rId306" w:tooltip="Statute Law Amendment Act 2013 (No 2)" w:history="1">
              <w:r w:rsidR="00394539">
                <w:rPr>
                  <w:rStyle w:val="charCitHyperlinkAbbrev"/>
                </w:rPr>
                <w:t>A2013</w:t>
              </w:r>
              <w:r w:rsidR="00394539">
                <w:rPr>
                  <w:rStyle w:val="charCitHyperlinkAbbrev"/>
                </w:rPr>
                <w:noBreakHyphen/>
                <w:t>44</w:t>
              </w:r>
            </w:hyperlink>
          </w:p>
        </w:tc>
        <w:tc>
          <w:tcPr>
            <w:tcW w:w="1783" w:type="dxa"/>
            <w:tcBorders>
              <w:top w:val="single" w:sz="4" w:space="0" w:color="auto"/>
              <w:bottom w:val="single" w:sz="4" w:space="0" w:color="auto"/>
            </w:tcBorders>
          </w:tcPr>
          <w:p w:rsidR="00394539" w:rsidRDefault="00394539" w:rsidP="00A22C49">
            <w:pPr>
              <w:pStyle w:val="EarlierRepubEntries"/>
            </w:pPr>
            <w:r>
              <w:t xml:space="preserve">reissue because of High Court decision in relation to </w:t>
            </w:r>
            <w:hyperlink r:id="rId307" w:tooltip="Marriage Equality (Same Sex) Act 2013" w:history="1">
              <w:r w:rsidRPr="00AF3D0C">
                <w:rPr>
                  <w:rStyle w:val="charCitHyperlinkAbbrev"/>
                </w:rPr>
                <w:t>A2013-39</w:t>
              </w:r>
            </w:hyperlink>
          </w:p>
        </w:tc>
      </w:tr>
      <w:tr w:rsidR="00AF2705">
        <w:tc>
          <w:tcPr>
            <w:tcW w:w="1576" w:type="dxa"/>
            <w:tcBorders>
              <w:top w:val="single" w:sz="4" w:space="0" w:color="auto"/>
              <w:bottom w:val="single" w:sz="4" w:space="0" w:color="auto"/>
            </w:tcBorders>
          </w:tcPr>
          <w:p w:rsidR="00AF2705" w:rsidRDefault="00AF2705" w:rsidP="00167093">
            <w:pPr>
              <w:pStyle w:val="EarlierRepubEntries"/>
            </w:pPr>
            <w:r>
              <w:t>R4</w:t>
            </w:r>
            <w:r>
              <w:br/>
              <w:t>4 May 2016</w:t>
            </w:r>
          </w:p>
        </w:tc>
        <w:tc>
          <w:tcPr>
            <w:tcW w:w="1681" w:type="dxa"/>
            <w:tcBorders>
              <w:top w:val="single" w:sz="4" w:space="0" w:color="auto"/>
              <w:bottom w:val="single" w:sz="4" w:space="0" w:color="auto"/>
            </w:tcBorders>
          </w:tcPr>
          <w:p w:rsidR="00AF2705" w:rsidRDefault="00AF2705" w:rsidP="00A22C49">
            <w:pPr>
              <w:pStyle w:val="EarlierRepubEntries"/>
            </w:pPr>
            <w:r>
              <w:t>4 May 2016–</w:t>
            </w:r>
            <w:r>
              <w:br/>
              <w:t>30 Apr 2017</w:t>
            </w:r>
          </w:p>
        </w:tc>
        <w:tc>
          <w:tcPr>
            <w:tcW w:w="1783" w:type="dxa"/>
            <w:tcBorders>
              <w:top w:val="single" w:sz="4" w:space="0" w:color="auto"/>
              <w:bottom w:val="single" w:sz="4" w:space="0" w:color="auto"/>
            </w:tcBorders>
          </w:tcPr>
          <w:p w:rsidR="00AF2705" w:rsidRDefault="00546A8E" w:rsidP="00A22C49">
            <w:pPr>
              <w:pStyle w:val="EarlierRepubEntries"/>
            </w:pPr>
            <w:hyperlink r:id="rId308" w:tooltip="Crimes (Domestic and Family Violence) Legislation Amendment Act 2015" w:history="1">
              <w:r w:rsidR="00AF2705">
                <w:rPr>
                  <w:rStyle w:val="charCitHyperlinkAbbrev"/>
                </w:rPr>
                <w:t>A2015</w:t>
              </w:r>
              <w:r w:rsidR="00AF2705">
                <w:rPr>
                  <w:rStyle w:val="charCitHyperlinkAbbrev"/>
                </w:rPr>
                <w:noBreakHyphen/>
                <w:t>40</w:t>
              </w:r>
            </w:hyperlink>
          </w:p>
        </w:tc>
        <w:tc>
          <w:tcPr>
            <w:tcW w:w="1783" w:type="dxa"/>
            <w:tcBorders>
              <w:top w:val="single" w:sz="4" w:space="0" w:color="auto"/>
              <w:bottom w:val="single" w:sz="4" w:space="0" w:color="auto"/>
            </w:tcBorders>
          </w:tcPr>
          <w:p w:rsidR="00AF2705" w:rsidRDefault="00AF2705" w:rsidP="00A22C49">
            <w:pPr>
              <w:pStyle w:val="EarlierRepubEntries"/>
            </w:pPr>
            <w:r>
              <w:t xml:space="preserve">amendments by </w:t>
            </w:r>
            <w:hyperlink r:id="rId309" w:tooltip="Crimes (Domestic and Family Violence) Legislation Amendment Act 2015" w:history="1">
              <w:r>
                <w:rPr>
                  <w:rStyle w:val="charCitHyperlinkAbbrev"/>
                </w:rPr>
                <w:t>A2015</w:t>
              </w:r>
              <w:r>
                <w:rPr>
                  <w:rStyle w:val="charCitHyperlinkAbbrev"/>
                </w:rPr>
                <w:noBreakHyphen/>
                <w:t>40</w:t>
              </w:r>
            </w:hyperlink>
          </w:p>
        </w:tc>
      </w:tr>
      <w:tr w:rsidR="00FC79B1">
        <w:tc>
          <w:tcPr>
            <w:tcW w:w="1576" w:type="dxa"/>
            <w:tcBorders>
              <w:top w:val="single" w:sz="4" w:space="0" w:color="auto"/>
              <w:bottom w:val="single" w:sz="4" w:space="0" w:color="auto"/>
            </w:tcBorders>
          </w:tcPr>
          <w:p w:rsidR="00FC79B1" w:rsidRDefault="00FC79B1" w:rsidP="00167093">
            <w:pPr>
              <w:pStyle w:val="EarlierRepubEntries"/>
            </w:pPr>
            <w:r>
              <w:t>R5</w:t>
            </w:r>
            <w:r>
              <w:br/>
              <w:t>1 May 2017</w:t>
            </w:r>
          </w:p>
        </w:tc>
        <w:tc>
          <w:tcPr>
            <w:tcW w:w="1681" w:type="dxa"/>
            <w:tcBorders>
              <w:top w:val="single" w:sz="4" w:space="0" w:color="auto"/>
              <w:bottom w:val="single" w:sz="4" w:space="0" w:color="auto"/>
            </w:tcBorders>
          </w:tcPr>
          <w:p w:rsidR="00FC79B1" w:rsidRDefault="00FC79B1" w:rsidP="00A22C49">
            <w:pPr>
              <w:pStyle w:val="EarlierRepubEntries"/>
            </w:pPr>
            <w:r>
              <w:t>1 May 2017–</w:t>
            </w:r>
            <w:r>
              <w:br/>
              <w:t>23 May 2017</w:t>
            </w:r>
          </w:p>
        </w:tc>
        <w:tc>
          <w:tcPr>
            <w:tcW w:w="1783" w:type="dxa"/>
            <w:tcBorders>
              <w:top w:val="single" w:sz="4" w:space="0" w:color="auto"/>
              <w:bottom w:val="single" w:sz="4" w:space="0" w:color="auto"/>
            </w:tcBorders>
          </w:tcPr>
          <w:p w:rsidR="00FC79B1" w:rsidRDefault="00546A8E" w:rsidP="00A22C49">
            <w:pPr>
              <w:pStyle w:val="EarlierRepubEntries"/>
            </w:pPr>
            <w:hyperlink r:id="rId310" w:tooltip="Family Violence Act 2016" w:history="1">
              <w:r w:rsidR="00FC79B1">
                <w:rPr>
                  <w:rStyle w:val="charCitHyperlinkAbbrev"/>
                </w:rPr>
                <w:t>A2016-42</w:t>
              </w:r>
            </w:hyperlink>
          </w:p>
        </w:tc>
        <w:tc>
          <w:tcPr>
            <w:tcW w:w="1783" w:type="dxa"/>
            <w:tcBorders>
              <w:top w:val="single" w:sz="4" w:space="0" w:color="auto"/>
              <w:bottom w:val="single" w:sz="4" w:space="0" w:color="auto"/>
            </w:tcBorders>
          </w:tcPr>
          <w:p w:rsidR="00FC79B1" w:rsidRDefault="00FC79B1" w:rsidP="00A22C49">
            <w:pPr>
              <w:pStyle w:val="EarlierRepubEntries"/>
            </w:pPr>
            <w:r>
              <w:t xml:space="preserve">amendments by </w:t>
            </w:r>
            <w:hyperlink r:id="rId311" w:tooltip="Family Violence Act 2016" w:history="1">
              <w:r>
                <w:rPr>
                  <w:rStyle w:val="charCitHyperlinkAbbrev"/>
                </w:rPr>
                <w:t>A2016-42</w:t>
              </w:r>
            </w:hyperlink>
            <w:r>
              <w:t xml:space="preserve"> as am by </w:t>
            </w:r>
            <w:hyperlink r:id="rId312" w:tooltip="Family and Personal Violence Legislation Amendment Act 2017" w:history="1">
              <w:r>
                <w:rPr>
                  <w:rStyle w:val="charCitHyperlinkAbbrev"/>
                </w:rPr>
                <w:t>A2017-10</w:t>
              </w:r>
            </w:hyperlink>
          </w:p>
        </w:tc>
      </w:tr>
      <w:tr w:rsidR="00907B5B">
        <w:tc>
          <w:tcPr>
            <w:tcW w:w="1576" w:type="dxa"/>
            <w:tcBorders>
              <w:top w:val="single" w:sz="4" w:space="0" w:color="auto"/>
              <w:bottom w:val="single" w:sz="4" w:space="0" w:color="auto"/>
            </w:tcBorders>
          </w:tcPr>
          <w:p w:rsidR="00907B5B" w:rsidRDefault="00907B5B" w:rsidP="00167093">
            <w:pPr>
              <w:pStyle w:val="EarlierRepubEntries"/>
            </w:pPr>
            <w:r>
              <w:t>R6</w:t>
            </w:r>
            <w:r>
              <w:br/>
            </w:r>
            <w:r w:rsidR="00491D9B">
              <w:t>24 May 2017</w:t>
            </w:r>
          </w:p>
        </w:tc>
        <w:tc>
          <w:tcPr>
            <w:tcW w:w="1681" w:type="dxa"/>
            <w:tcBorders>
              <w:top w:val="single" w:sz="4" w:space="0" w:color="auto"/>
              <w:bottom w:val="single" w:sz="4" w:space="0" w:color="auto"/>
            </w:tcBorders>
          </w:tcPr>
          <w:p w:rsidR="00907B5B" w:rsidRDefault="00491D9B" w:rsidP="00A22C49">
            <w:pPr>
              <w:pStyle w:val="EarlierRepubEntries"/>
            </w:pPr>
            <w:r>
              <w:t>24 May 2017–</w:t>
            </w:r>
            <w:r>
              <w:br/>
            </w:r>
            <w:r w:rsidR="00411A45">
              <w:t>25 Apr 2018</w:t>
            </w:r>
          </w:p>
        </w:tc>
        <w:tc>
          <w:tcPr>
            <w:tcW w:w="1783" w:type="dxa"/>
            <w:tcBorders>
              <w:top w:val="single" w:sz="4" w:space="0" w:color="auto"/>
              <w:bottom w:val="single" w:sz="4" w:space="0" w:color="auto"/>
            </w:tcBorders>
          </w:tcPr>
          <w:p w:rsidR="00907B5B" w:rsidRDefault="00546A8E" w:rsidP="00A22C49">
            <w:pPr>
              <w:pStyle w:val="EarlierRepubEntries"/>
            </w:pPr>
            <w:hyperlink r:id="rId313" w:tooltip="Justice and Community Safety Legislation Amendment Act 2017 (No 2)" w:history="1">
              <w:r w:rsidR="00907B5B">
                <w:rPr>
                  <w:rStyle w:val="charCitHyperlinkAbbrev"/>
                </w:rPr>
                <w:t>A2017</w:t>
              </w:r>
              <w:r w:rsidR="00907B5B">
                <w:rPr>
                  <w:rStyle w:val="charCitHyperlinkAbbrev"/>
                </w:rPr>
                <w:noBreakHyphen/>
                <w:t>14</w:t>
              </w:r>
            </w:hyperlink>
          </w:p>
        </w:tc>
        <w:tc>
          <w:tcPr>
            <w:tcW w:w="1783" w:type="dxa"/>
            <w:tcBorders>
              <w:top w:val="single" w:sz="4" w:space="0" w:color="auto"/>
              <w:bottom w:val="single" w:sz="4" w:space="0" w:color="auto"/>
            </w:tcBorders>
          </w:tcPr>
          <w:p w:rsidR="00907B5B" w:rsidRDefault="00644E9A" w:rsidP="00A22C49">
            <w:pPr>
              <w:pStyle w:val="EarlierRepubEntries"/>
            </w:pPr>
            <w:r>
              <w:t xml:space="preserve">amendments by </w:t>
            </w:r>
            <w:hyperlink r:id="rId314" w:tooltip="Justice and Community Safety Legislation Amendment Act 2017 (No 2)" w:history="1">
              <w:r w:rsidR="00491D9B">
                <w:rPr>
                  <w:rStyle w:val="charCitHyperlinkAbbrev"/>
                </w:rPr>
                <w:t>A2017</w:t>
              </w:r>
              <w:r w:rsidR="00491D9B">
                <w:rPr>
                  <w:rStyle w:val="charCitHyperlinkAbbrev"/>
                </w:rPr>
                <w:noBreakHyphen/>
                <w:t>14</w:t>
              </w:r>
            </w:hyperlink>
          </w:p>
        </w:tc>
      </w:tr>
      <w:tr w:rsidR="00660E09">
        <w:tc>
          <w:tcPr>
            <w:tcW w:w="1576" w:type="dxa"/>
            <w:tcBorders>
              <w:top w:val="single" w:sz="4" w:space="0" w:color="auto"/>
              <w:bottom w:val="single" w:sz="4" w:space="0" w:color="auto"/>
            </w:tcBorders>
          </w:tcPr>
          <w:p w:rsidR="00660E09" w:rsidRDefault="00660E09" w:rsidP="00167093">
            <w:pPr>
              <w:pStyle w:val="EarlierRepubEntries"/>
            </w:pPr>
            <w:r>
              <w:t>R7</w:t>
            </w:r>
            <w:r>
              <w:br/>
              <w:t>26 Apr 2018</w:t>
            </w:r>
          </w:p>
        </w:tc>
        <w:tc>
          <w:tcPr>
            <w:tcW w:w="1681" w:type="dxa"/>
            <w:tcBorders>
              <w:top w:val="single" w:sz="4" w:space="0" w:color="auto"/>
              <w:bottom w:val="single" w:sz="4" w:space="0" w:color="auto"/>
            </w:tcBorders>
          </w:tcPr>
          <w:p w:rsidR="00660E09" w:rsidRDefault="00660E09" w:rsidP="00A22C49">
            <w:pPr>
              <w:pStyle w:val="EarlierRepubEntries"/>
            </w:pPr>
            <w:r>
              <w:t>26 Apr 2018–</w:t>
            </w:r>
            <w:r>
              <w:br/>
            </w:r>
            <w:r w:rsidR="008D546E">
              <w:t>4 Dec 2018</w:t>
            </w:r>
          </w:p>
        </w:tc>
        <w:tc>
          <w:tcPr>
            <w:tcW w:w="1783" w:type="dxa"/>
            <w:tcBorders>
              <w:top w:val="single" w:sz="4" w:space="0" w:color="auto"/>
              <w:bottom w:val="single" w:sz="4" w:space="0" w:color="auto"/>
            </w:tcBorders>
          </w:tcPr>
          <w:p w:rsidR="00660E09" w:rsidRDefault="00546A8E" w:rsidP="00A22C49">
            <w:pPr>
              <w:pStyle w:val="EarlierRepubEntries"/>
              <w:rPr>
                <w:rStyle w:val="charCitHyperlinkAbbrev"/>
              </w:rPr>
            </w:pPr>
            <w:hyperlink r:id="rId315" w:tooltip="Courts and Other Justice Legislation Amendment Act 2018" w:history="1">
              <w:r w:rsidR="008D546E">
                <w:rPr>
                  <w:rStyle w:val="charCitHyperlinkAbbrev"/>
                </w:rPr>
                <w:t>A2018-9</w:t>
              </w:r>
            </w:hyperlink>
          </w:p>
        </w:tc>
        <w:tc>
          <w:tcPr>
            <w:tcW w:w="1783" w:type="dxa"/>
            <w:tcBorders>
              <w:top w:val="single" w:sz="4" w:space="0" w:color="auto"/>
              <w:bottom w:val="single" w:sz="4" w:space="0" w:color="auto"/>
            </w:tcBorders>
          </w:tcPr>
          <w:p w:rsidR="00660E09" w:rsidRDefault="008D546E" w:rsidP="008D546E">
            <w:pPr>
              <w:pStyle w:val="EarlierRepubEntries"/>
            </w:pPr>
            <w:r>
              <w:t xml:space="preserve">amendments by </w:t>
            </w:r>
            <w:hyperlink r:id="rId316" w:tooltip="Courts and Other Justice Legislation Amendment Act 2018" w:history="1">
              <w:r>
                <w:rPr>
                  <w:rStyle w:val="charCitHyperlinkAbbrev"/>
                </w:rPr>
                <w:t>A2018-9</w:t>
              </w:r>
            </w:hyperlink>
          </w:p>
        </w:tc>
      </w:tr>
      <w:tr w:rsidR="00BD0A3D">
        <w:tc>
          <w:tcPr>
            <w:tcW w:w="1576" w:type="dxa"/>
            <w:tcBorders>
              <w:top w:val="single" w:sz="4" w:space="0" w:color="auto"/>
              <w:bottom w:val="single" w:sz="4" w:space="0" w:color="auto"/>
            </w:tcBorders>
          </w:tcPr>
          <w:p w:rsidR="00BD0A3D" w:rsidRDefault="00BD0A3D" w:rsidP="00167093">
            <w:pPr>
              <w:pStyle w:val="EarlierRepubEntries"/>
            </w:pPr>
            <w:r>
              <w:t>R8</w:t>
            </w:r>
            <w:r>
              <w:br/>
              <w:t>5 Dec 2018</w:t>
            </w:r>
          </w:p>
        </w:tc>
        <w:tc>
          <w:tcPr>
            <w:tcW w:w="1681" w:type="dxa"/>
            <w:tcBorders>
              <w:top w:val="single" w:sz="4" w:space="0" w:color="auto"/>
              <w:bottom w:val="single" w:sz="4" w:space="0" w:color="auto"/>
            </w:tcBorders>
          </w:tcPr>
          <w:p w:rsidR="00BD0A3D" w:rsidRDefault="00BD0A3D" w:rsidP="00A22C49">
            <w:pPr>
              <w:pStyle w:val="EarlierRepubEntries"/>
            </w:pPr>
            <w:r>
              <w:t>5 Dec 2018</w:t>
            </w:r>
            <w:r w:rsidR="00B50A11">
              <w:t>–</w:t>
            </w:r>
            <w:r>
              <w:br/>
              <w:t>20 June 2019</w:t>
            </w:r>
          </w:p>
        </w:tc>
        <w:tc>
          <w:tcPr>
            <w:tcW w:w="1783" w:type="dxa"/>
            <w:tcBorders>
              <w:top w:val="single" w:sz="4" w:space="0" w:color="auto"/>
              <w:bottom w:val="single" w:sz="4" w:space="0" w:color="auto"/>
            </w:tcBorders>
          </w:tcPr>
          <w:p w:rsidR="00BD0A3D" w:rsidRDefault="00546A8E" w:rsidP="00A22C49">
            <w:pPr>
              <w:pStyle w:val="EarlierRepubEntries"/>
            </w:pPr>
            <w:hyperlink r:id="rId317" w:tooltip="Royal Commission Criminal Justice Legislation Amendment Act 2018" w:history="1">
              <w:r w:rsidR="00BD0A3D">
                <w:rPr>
                  <w:rStyle w:val="charCitHyperlinkAbbrev"/>
                </w:rPr>
                <w:t>A2018</w:t>
              </w:r>
              <w:r w:rsidR="00BD0A3D">
                <w:rPr>
                  <w:rStyle w:val="charCitHyperlinkAbbrev"/>
                </w:rPr>
                <w:noBreakHyphen/>
                <w:t>46</w:t>
              </w:r>
            </w:hyperlink>
          </w:p>
        </w:tc>
        <w:tc>
          <w:tcPr>
            <w:tcW w:w="1783" w:type="dxa"/>
            <w:tcBorders>
              <w:top w:val="single" w:sz="4" w:space="0" w:color="auto"/>
              <w:bottom w:val="single" w:sz="4" w:space="0" w:color="auto"/>
            </w:tcBorders>
          </w:tcPr>
          <w:p w:rsidR="00BD0A3D" w:rsidRDefault="00BD0A3D" w:rsidP="008D546E">
            <w:pPr>
              <w:pStyle w:val="EarlierRepubEntries"/>
            </w:pPr>
            <w:r>
              <w:t xml:space="preserve">amendments by </w:t>
            </w:r>
            <w:hyperlink r:id="rId318" w:tooltip="Royal Commission Criminal Justice Legislation Amendment Act 2018" w:history="1">
              <w:r>
                <w:rPr>
                  <w:rStyle w:val="charCitHyperlinkAbbrev"/>
                </w:rPr>
                <w:t>A2018</w:t>
              </w:r>
              <w:r>
                <w:rPr>
                  <w:rStyle w:val="charCitHyperlinkAbbrev"/>
                </w:rPr>
                <w:noBreakHyphen/>
                <w:t>46</w:t>
              </w:r>
            </w:hyperlink>
          </w:p>
        </w:tc>
      </w:tr>
    </w:tbl>
    <w:p w:rsidR="009A09D9" w:rsidRDefault="009A09D9">
      <w:pPr>
        <w:pStyle w:val="05EndNote"/>
        <w:sectPr w:rsidR="009A09D9">
          <w:headerReference w:type="even" r:id="rId319"/>
          <w:headerReference w:type="default" r:id="rId320"/>
          <w:footerReference w:type="even" r:id="rId321"/>
          <w:footerReference w:type="default" r:id="rId322"/>
          <w:pgSz w:w="11907" w:h="16839" w:code="9"/>
          <w:pgMar w:top="3000" w:right="1900" w:bottom="2500" w:left="2300" w:header="2480" w:footer="2100" w:gutter="0"/>
          <w:cols w:space="720"/>
          <w:docGrid w:linePitch="254"/>
        </w:sect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D9218E" w:rsidRDefault="00D9218E">
      <w:pPr>
        <w:rPr>
          <w:color w:val="000000"/>
          <w:sz w:val="22"/>
        </w:rPr>
      </w:pPr>
    </w:p>
    <w:p w:rsidR="008D546E" w:rsidRDefault="008D546E">
      <w:pPr>
        <w:rPr>
          <w:color w:val="000000"/>
          <w:sz w:val="22"/>
        </w:rPr>
      </w:pPr>
    </w:p>
    <w:p w:rsidR="008D546E" w:rsidRDefault="008D546E">
      <w:pPr>
        <w:rPr>
          <w:color w:val="000000"/>
          <w:sz w:val="22"/>
        </w:rPr>
      </w:pPr>
    </w:p>
    <w:p w:rsidR="009A09D9" w:rsidRDefault="009A09D9">
      <w:pPr>
        <w:rPr>
          <w:color w:val="000000"/>
          <w:sz w:val="22"/>
        </w:rPr>
      </w:pPr>
      <w:r>
        <w:rPr>
          <w:color w:val="000000"/>
          <w:sz w:val="22"/>
        </w:rPr>
        <w:t xml:space="preserve">©  Australian Capital Territory </w:t>
      </w:r>
      <w:r w:rsidR="003925E1">
        <w:rPr>
          <w:noProof/>
          <w:color w:val="000000"/>
          <w:sz w:val="22"/>
        </w:rPr>
        <w:t>2019</w:t>
      </w:r>
    </w:p>
    <w:p w:rsidR="009A09D9" w:rsidRDefault="009A09D9">
      <w:pPr>
        <w:pStyle w:val="06Copyright"/>
        <w:sectPr w:rsidR="009A09D9" w:rsidSect="009A09D9">
          <w:headerReference w:type="even" r:id="rId323"/>
          <w:headerReference w:type="default" r:id="rId324"/>
          <w:footerReference w:type="even" r:id="rId325"/>
          <w:footerReference w:type="default" r:id="rId326"/>
          <w:headerReference w:type="first" r:id="rId327"/>
          <w:footerReference w:type="first" r:id="rId328"/>
          <w:type w:val="continuous"/>
          <w:pgSz w:w="11907" w:h="16839" w:code="9"/>
          <w:pgMar w:top="3000" w:right="1900" w:bottom="2500" w:left="2300" w:header="2480" w:footer="2100" w:gutter="0"/>
          <w:pgNumType w:fmt="lowerRoman"/>
          <w:cols w:space="720"/>
          <w:titlePg/>
          <w:docGrid w:linePitch="326"/>
        </w:sectPr>
      </w:pPr>
    </w:p>
    <w:p w:rsidR="009A09D9" w:rsidRPr="000D13D8" w:rsidRDefault="009A09D9" w:rsidP="00CC1A71"/>
    <w:sectPr w:rsidR="009A09D9" w:rsidRPr="000D13D8" w:rsidSect="009A09D9">
      <w:headerReference w:type="first" r:id="rId329"/>
      <w:footerReference w:type="first" r:id="rId330"/>
      <w:type w:val="continuous"/>
      <w:pgSz w:w="11907" w:h="16839" w:code="9"/>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31A" w:rsidRDefault="00B2631A">
      <w:r>
        <w:separator/>
      </w:r>
    </w:p>
  </w:endnote>
  <w:endnote w:type="continuationSeparator" w:id="0">
    <w:p w:rsidR="00B2631A" w:rsidRDefault="00B2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489" w:rsidRPr="00546A8E" w:rsidRDefault="00546A8E" w:rsidP="00546A8E">
    <w:pPr>
      <w:pStyle w:val="Footer"/>
      <w:jc w:val="center"/>
      <w:rPr>
        <w:rFonts w:cs="Arial"/>
        <w:sz w:val="14"/>
      </w:rPr>
    </w:pPr>
    <w:r w:rsidRPr="00546A8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3EEA">
      <w:tc>
        <w:tcPr>
          <w:tcW w:w="847" w:type="pct"/>
          <w:tcBorders>
            <w:top w:val="single" w:sz="4" w:space="0" w:color="auto"/>
          </w:tcBorders>
        </w:tcPr>
        <w:p w:rsidR="00563EEA" w:rsidRDefault="00563E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Borders>
            <w:top w:val="single" w:sz="4" w:space="0" w:color="auto"/>
          </w:tcBorders>
        </w:tcPr>
        <w:p w:rsidR="00563EEA" w:rsidRDefault="00546A8E">
          <w:pPr>
            <w:pStyle w:val="Footer"/>
            <w:jc w:val="center"/>
          </w:pPr>
          <w:r>
            <w:fldChar w:fldCharType="begin"/>
          </w:r>
          <w:r>
            <w:instrText xml:space="preserve"> REF Citation *\charformat </w:instrText>
          </w:r>
          <w:r>
            <w:fldChar w:fldCharType="separate"/>
          </w:r>
          <w:r w:rsidR="00FC4A24">
            <w:t>Evidence Act 2011</w:t>
          </w:r>
          <w:r>
            <w:fldChar w:fldCharType="end"/>
          </w:r>
        </w:p>
        <w:p w:rsidR="00563EEA" w:rsidRDefault="00546A8E">
          <w:pPr>
            <w:pStyle w:val="FooterInfoCentre"/>
          </w:pPr>
          <w:r>
            <w:fldChar w:fldCharType="begin"/>
          </w:r>
          <w:r>
            <w:instrText xml:space="preserve"> DOCPROPERTY "Eff"  *\charformat </w:instrText>
          </w:r>
          <w:r>
            <w:fldChar w:fldCharType="separate"/>
          </w:r>
          <w:r w:rsidR="00FC4A24">
            <w:t xml:space="preserve">Effective:  </w:t>
          </w:r>
          <w:r>
            <w:fldChar w:fldCharType="end"/>
          </w:r>
          <w:r>
            <w:fldChar w:fldCharType="begin"/>
          </w:r>
          <w:r>
            <w:instrText xml:space="preserve"> DOCPROPERTY "StartDt"  *\charformat </w:instrText>
          </w:r>
          <w:r>
            <w:fldChar w:fldCharType="separate"/>
          </w:r>
          <w:r w:rsidR="00FC4A24">
            <w:t>21/06/19</w:t>
          </w:r>
          <w:r>
            <w:fldChar w:fldCharType="end"/>
          </w:r>
          <w:r>
            <w:fldChar w:fldCharType="begin"/>
          </w:r>
          <w:r>
            <w:instrText xml:space="preserve"> DOCPROPERTY "EndDt"  *\charformat </w:instrText>
          </w:r>
          <w:r>
            <w:fldChar w:fldCharType="separate"/>
          </w:r>
          <w:r w:rsidR="00FC4A24">
            <w:t>-08/03/20</w:t>
          </w:r>
          <w:r>
            <w:fldChar w:fldCharType="end"/>
          </w:r>
        </w:p>
      </w:tc>
      <w:tc>
        <w:tcPr>
          <w:tcW w:w="1061" w:type="pct"/>
          <w:tcBorders>
            <w:top w:val="single" w:sz="4" w:space="0" w:color="auto"/>
          </w:tcBorders>
        </w:tcPr>
        <w:p w:rsidR="00563EEA" w:rsidRDefault="00546A8E">
          <w:pPr>
            <w:pStyle w:val="Footer"/>
            <w:jc w:val="right"/>
          </w:pPr>
          <w:r>
            <w:fldChar w:fldCharType="begin"/>
          </w:r>
          <w:r>
            <w:instrText xml:space="preserve"> DOCPROPERTY "Category"  *\charformat  </w:instrText>
          </w:r>
          <w:r>
            <w:fldChar w:fldCharType="separate"/>
          </w:r>
          <w:r w:rsidR="00FC4A24">
            <w:t>R9</w:t>
          </w:r>
          <w:r>
            <w:fldChar w:fldCharType="end"/>
          </w:r>
          <w:r w:rsidR="00563EEA">
            <w:br/>
          </w:r>
          <w:r>
            <w:fldChar w:fldCharType="begin"/>
          </w:r>
          <w:r>
            <w:instrText xml:space="preserve"> DOCPROPERTY "RepubDt"  *\charformat  </w:instrText>
          </w:r>
          <w:r>
            <w:fldChar w:fldCharType="separate"/>
          </w:r>
          <w:r w:rsidR="00FC4A24">
            <w:t>21/06/19</w:t>
          </w:r>
          <w: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3EEA">
      <w:tc>
        <w:tcPr>
          <w:tcW w:w="1061" w:type="pct"/>
          <w:tcBorders>
            <w:top w:val="single" w:sz="4" w:space="0" w:color="auto"/>
          </w:tcBorders>
        </w:tcPr>
        <w:p w:rsidR="00563EEA" w:rsidRDefault="00546A8E">
          <w:pPr>
            <w:pStyle w:val="Footer"/>
          </w:pPr>
          <w:r>
            <w:fldChar w:fldCharType="begin"/>
          </w:r>
          <w:r>
            <w:instrText xml:space="preserve"> DOCPROPERTY "Category"  *\charformat  </w:instrText>
          </w:r>
          <w:r>
            <w:fldChar w:fldCharType="separate"/>
          </w:r>
          <w:r w:rsidR="00FC4A24">
            <w:t>R9</w:t>
          </w:r>
          <w:r>
            <w:fldChar w:fldCharType="end"/>
          </w:r>
          <w:r w:rsidR="00563EEA">
            <w:br/>
          </w:r>
          <w:r>
            <w:fldChar w:fldCharType="begin"/>
          </w:r>
          <w:r>
            <w:instrText xml:space="preserve"> DOCPROPERTY "RepubDt"  *\charformat  </w:instrText>
          </w:r>
          <w:r>
            <w:fldChar w:fldCharType="separate"/>
          </w:r>
          <w:r w:rsidR="00FC4A24">
            <w:t>21/06/19</w:t>
          </w:r>
          <w:r>
            <w:fldChar w:fldCharType="end"/>
          </w:r>
        </w:p>
      </w:tc>
      <w:tc>
        <w:tcPr>
          <w:tcW w:w="3092" w:type="pct"/>
          <w:tcBorders>
            <w:top w:val="single" w:sz="4" w:space="0" w:color="auto"/>
          </w:tcBorders>
        </w:tcPr>
        <w:p w:rsidR="00563EEA" w:rsidRDefault="00546A8E">
          <w:pPr>
            <w:pStyle w:val="Footer"/>
            <w:jc w:val="center"/>
          </w:pPr>
          <w:r>
            <w:fldChar w:fldCharType="begin"/>
          </w:r>
          <w:r>
            <w:instrText xml:space="preserve"> REF Citation *\charformat </w:instrText>
          </w:r>
          <w:r>
            <w:fldChar w:fldCharType="separate"/>
          </w:r>
          <w:r w:rsidR="00FC4A24">
            <w:t>Evidence Act 2011</w:t>
          </w:r>
          <w:r>
            <w:fldChar w:fldCharType="end"/>
          </w:r>
        </w:p>
        <w:p w:rsidR="00563EEA" w:rsidRDefault="00546A8E">
          <w:pPr>
            <w:pStyle w:val="FooterInfoCentre"/>
          </w:pPr>
          <w:r>
            <w:fldChar w:fldCharType="begin"/>
          </w:r>
          <w:r>
            <w:instrText xml:space="preserve"> DOCPROPERTY "Eff"  *\charformat </w:instrText>
          </w:r>
          <w:r>
            <w:fldChar w:fldCharType="separate"/>
          </w:r>
          <w:r w:rsidR="00FC4A24">
            <w:t xml:space="preserve">Effective:  </w:t>
          </w:r>
          <w:r>
            <w:fldChar w:fldCharType="end"/>
          </w:r>
          <w:r>
            <w:fldChar w:fldCharType="begin"/>
          </w:r>
          <w:r>
            <w:instrText xml:space="preserve"> DOCPROPERTY "StartDt"  *\charformat </w:instrText>
          </w:r>
          <w:r>
            <w:fldChar w:fldCharType="separate"/>
          </w:r>
          <w:r w:rsidR="00FC4A24">
            <w:t>21/06/19</w:t>
          </w:r>
          <w:r>
            <w:fldChar w:fldCharType="end"/>
          </w:r>
          <w:r>
            <w:fldChar w:fldCharType="begin"/>
          </w:r>
          <w:r>
            <w:instrText xml:space="preserve"> DOCPROPERTY "EndDt"  *\charformat </w:instrText>
          </w:r>
          <w:r>
            <w:fldChar w:fldCharType="separate"/>
          </w:r>
          <w:r w:rsidR="00FC4A24">
            <w:t>-08/03/20</w:t>
          </w:r>
          <w:r>
            <w:fldChar w:fldCharType="end"/>
          </w:r>
        </w:p>
      </w:tc>
      <w:tc>
        <w:tcPr>
          <w:tcW w:w="847" w:type="pct"/>
          <w:tcBorders>
            <w:top w:val="single" w:sz="4" w:space="0" w:color="auto"/>
          </w:tcBorders>
        </w:tcPr>
        <w:p w:rsidR="00563EEA" w:rsidRDefault="00563E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p w:rsidR="00563EEA" w:rsidRDefault="00563EEA">
    <w:pPr>
      <w:pBdr>
        <w:top w:val="single" w:sz="4" w:space="1" w:color="auto"/>
      </w:pBdr>
      <w:tabs>
        <w:tab w:val="right" w:pos="7320"/>
      </w:tabs>
      <w:spacing w:before="60"/>
      <w:rPr>
        <w:rFonts w:ascii="Arial" w:hAnsi="Arial"/>
        <w:sz w:val="12"/>
      </w:rPr>
    </w:pPr>
    <w:r>
      <w:fldChar w:fldCharType="begin"/>
    </w:r>
    <w:r>
      <w:instrText xml:space="preserve"> COMMENTS  \* MERGEFORMAT </w:instrText>
    </w:r>
    <w:r>
      <w:fldChar w:fldCharType="end"/>
    </w:r>
  </w:p>
  <w:p w:rsidR="00563EEA" w:rsidRDefault="00546A8E">
    <w:pPr>
      <w:pStyle w:val="Status"/>
    </w:pPr>
    <w:r>
      <w:fldChar w:fldCharType="begin"/>
    </w:r>
    <w:r>
      <w:instrText xml:space="preserve"> DOCPROPERTY "Status" </w:instrText>
    </w:r>
    <w:r>
      <w:fldChar w:fldCharType="separate"/>
    </w:r>
    <w:r w:rsidR="00FC4A24">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563EEA">
      <w:tc>
        <w:tcPr>
          <w:tcW w:w="847" w:type="pct"/>
          <w:tcBorders>
            <w:top w:val="single" w:sz="4" w:space="0" w:color="auto"/>
          </w:tcBorders>
        </w:tcPr>
        <w:p w:rsidR="00563EEA" w:rsidRDefault="00563E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tc>
      <w:tc>
        <w:tcPr>
          <w:tcW w:w="3092" w:type="pct"/>
          <w:tcBorders>
            <w:top w:val="single" w:sz="4" w:space="0" w:color="auto"/>
          </w:tcBorders>
        </w:tcPr>
        <w:p w:rsidR="00563EEA" w:rsidRDefault="00546A8E">
          <w:pPr>
            <w:pStyle w:val="Footer"/>
            <w:jc w:val="center"/>
          </w:pPr>
          <w:r>
            <w:fldChar w:fldCharType="begin"/>
          </w:r>
          <w:r>
            <w:instrText xml:space="preserve"> REF Citation *\charformat </w:instrText>
          </w:r>
          <w:r>
            <w:fldChar w:fldCharType="separate"/>
          </w:r>
          <w:r w:rsidR="00FC4A24">
            <w:t>Evidence Act 2011</w:t>
          </w:r>
          <w:r>
            <w:fldChar w:fldCharType="end"/>
          </w:r>
        </w:p>
        <w:p w:rsidR="00563EEA" w:rsidRDefault="00546A8E">
          <w:pPr>
            <w:pStyle w:val="FooterInfoCentre"/>
          </w:pPr>
          <w:r>
            <w:fldChar w:fldCharType="begin"/>
          </w:r>
          <w:r>
            <w:instrText xml:space="preserve"> DOCPROPERTY "Eff"  *\charformat </w:instrText>
          </w:r>
          <w:r>
            <w:fldChar w:fldCharType="separate"/>
          </w:r>
          <w:r w:rsidR="00FC4A24">
            <w:t xml:space="preserve">Effective:  </w:t>
          </w:r>
          <w:r>
            <w:fldChar w:fldCharType="end"/>
          </w:r>
          <w:r>
            <w:fldChar w:fldCharType="begin"/>
          </w:r>
          <w:r>
            <w:instrText xml:space="preserve"> DOCPROPERTY "StartDt"  *\charformat </w:instrText>
          </w:r>
          <w:r>
            <w:fldChar w:fldCharType="separate"/>
          </w:r>
          <w:r w:rsidR="00FC4A24">
            <w:t>21/06/19</w:t>
          </w:r>
          <w:r>
            <w:fldChar w:fldCharType="end"/>
          </w:r>
          <w:r>
            <w:fldChar w:fldCharType="begin"/>
          </w:r>
          <w:r>
            <w:instrText xml:space="preserve"> DOCPROPERTY "EndDt"  *\charformat </w:instrText>
          </w:r>
          <w:r>
            <w:fldChar w:fldCharType="separate"/>
          </w:r>
          <w:r w:rsidR="00FC4A24">
            <w:t>-08/03/20</w:t>
          </w:r>
          <w:r>
            <w:fldChar w:fldCharType="end"/>
          </w:r>
        </w:p>
      </w:tc>
      <w:tc>
        <w:tcPr>
          <w:tcW w:w="1061" w:type="pct"/>
          <w:tcBorders>
            <w:top w:val="single" w:sz="4" w:space="0" w:color="auto"/>
          </w:tcBorders>
        </w:tcPr>
        <w:p w:rsidR="00563EEA" w:rsidRDefault="00546A8E">
          <w:pPr>
            <w:pStyle w:val="Footer"/>
            <w:jc w:val="right"/>
          </w:pPr>
          <w:r>
            <w:fldChar w:fldCharType="begin"/>
          </w:r>
          <w:r>
            <w:instrText xml:space="preserve"> DOCPROPERTY "Category"  *\charformat  </w:instrText>
          </w:r>
          <w:r>
            <w:fldChar w:fldCharType="separate"/>
          </w:r>
          <w:r w:rsidR="00FC4A24">
            <w:t>R9</w:t>
          </w:r>
          <w:r>
            <w:fldChar w:fldCharType="end"/>
          </w:r>
          <w:r w:rsidR="00563EEA">
            <w:br/>
          </w:r>
          <w:r>
            <w:fldChar w:fldCharType="begin"/>
          </w:r>
          <w:r>
            <w:instrText xml:space="preserve"> DOCPROPERTY "RepubDt"  *\charformat  </w:instrText>
          </w:r>
          <w:r>
            <w:fldChar w:fldCharType="separate"/>
          </w:r>
          <w:r w:rsidR="00FC4A24">
            <w:t>21/06/19</w:t>
          </w:r>
          <w: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563EEA">
      <w:tc>
        <w:tcPr>
          <w:tcW w:w="1061" w:type="pct"/>
          <w:tcBorders>
            <w:top w:val="single" w:sz="4" w:space="0" w:color="auto"/>
          </w:tcBorders>
        </w:tcPr>
        <w:p w:rsidR="00563EEA" w:rsidRDefault="00546A8E">
          <w:pPr>
            <w:pStyle w:val="Footer"/>
          </w:pPr>
          <w:r>
            <w:fldChar w:fldCharType="begin"/>
          </w:r>
          <w:r>
            <w:instrText xml:space="preserve"> DOCPROPERTY "Category"  *\charformat  </w:instrText>
          </w:r>
          <w:r>
            <w:fldChar w:fldCharType="separate"/>
          </w:r>
          <w:r w:rsidR="00FC4A24">
            <w:t>R9</w:t>
          </w:r>
          <w:r>
            <w:fldChar w:fldCharType="end"/>
          </w:r>
          <w:r w:rsidR="00563EEA">
            <w:br/>
          </w:r>
          <w:r>
            <w:fldChar w:fldCharType="begin"/>
          </w:r>
          <w:r>
            <w:instrText xml:space="preserve"> DOCPROPERTY "RepubDt"  *\charformat  </w:instrText>
          </w:r>
          <w:r>
            <w:fldChar w:fldCharType="separate"/>
          </w:r>
          <w:r w:rsidR="00FC4A24">
            <w:t>21/06/19</w:t>
          </w:r>
          <w:r>
            <w:fldChar w:fldCharType="end"/>
          </w:r>
        </w:p>
      </w:tc>
      <w:tc>
        <w:tcPr>
          <w:tcW w:w="3092" w:type="pct"/>
          <w:tcBorders>
            <w:top w:val="single" w:sz="4" w:space="0" w:color="auto"/>
          </w:tcBorders>
        </w:tcPr>
        <w:p w:rsidR="00563EEA" w:rsidRDefault="00546A8E">
          <w:pPr>
            <w:pStyle w:val="Footer"/>
            <w:jc w:val="center"/>
          </w:pPr>
          <w:r>
            <w:fldChar w:fldCharType="begin"/>
          </w:r>
          <w:r>
            <w:instrText xml:space="preserve"> REF Citation *\charformat </w:instrText>
          </w:r>
          <w:r>
            <w:fldChar w:fldCharType="separate"/>
          </w:r>
          <w:r w:rsidR="00FC4A24">
            <w:t>Evidence Act 2011</w:t>
          </w:r>
          <w:r>
            <w:fldChar w:fldCharType="end"/>
          </w:r>
        </w:p>
        <w:p w:rsidR="00563EEA" w:rsidRDefault="00546A8E">
          <w:pPr>
            <w:pStyle w:val="FooterInfoCentre"/>
          </w:pPr>
          <w:r>
            <w:fldChar w:fldCharType="begin"/>
          </w:r>
          <w:r>
            <w:instrText xml:space="preserve"> DOCPROPERTY "Eff"  *\charformat </w:instrText>
          </w:r>
          <w:r>
            <w:fldChar w:fldCharType="separate"/>
          </w:r>
          <w:r w:rsidR="00FC4A24">
            <w:t xml:space="preserve">Effective:  </w:t>
          </w:r>
          <w:r>
            <w:fldChar w:fldCharType="end"/>
          </w:r>
          <w:r>
            <w:fldChar w:fldCharType="begin"/>
          </w:r>
          <w:r>
            <w:instrText xml:space="preserve"> DOCPROPERTY "StartDt"  *\charformat </w:instrText>
          </w:r>
          <w:r>
            <w:fldChar w:fldCharType="separate"/>
          </w:r>
          <w:r w:rsidR="00FC4A24">
            <w:t>21/06/19</w:t>
          </w:r>
          <w:r>
            <w:fldChar w:fldCharType="end"/>
          </w:r>
          <w:r>
            <w:fldChar w:fldCharType="begin"/>
          </w:r>
          <w:r>
            <w:instrText xml:space="preserve"> DOCPROPERTY "EndDt"  *\charformat </w:instrText>
          </w:r>
          <w:r>
            <w:fldChar w:fldCharType="separate"/>
          </w:r>
          <w:r w:rsidR="00FC4A24">
            <w:t>-08/03/20</w:t>
          </w:r>
          <w:r>
            <w:fldChar w:fldCharType="end"/>
          </w:r>
        </w:p>
      </w:tc>
      <w:tc>
        <w:tcPr>
          <w:tcW w:w="847" w:type="pct"/>
          <w:tcBorders>
            <w:top w:val="single" w:sz="4" w:space="0" w:color="auto"/>
          </w:tcBorders>
        </w:tcPr>
        <w:p w:rsidR="00563EEA" w:rsidRDefault="00563E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p w:rsidR="00563EEA" w:rsidRDefault="00563EEA">
    <w:pPr>
      <w:pBdr>
        <w:top w:val="single" w:sz="4" w:space="1" w:color="auto"/>
      </w:pBdr>
      <w:tabs>
        <w:tab w:val="right" w:pos="7320"/>
      </w:tabs>
      <w:spacing w:before="60"/>
      <w:rPr>
        <w:rFonts w:ascii="Arial" w:hAnsi="Arial"/>
        <w:sz w:val="12"/>
      </w:rPr>
    </w:pPr>
    <w:r>
      <w:fldChar w:fldCharType="begin"/>
    </w:r>
    <w:r>
      <w:instrText xml:space="preserve"> COMMENTS  \* MERGEFORMAT </w:instrText>
    </w:r>
    <w:r>
      <w:fldChar w:fldCharType="end"/>
    </w:r>
  </w:p>
  <w:p w:rsidR="00563EEA" w:rsidRDefault="00546A8E">
    <w:pPr>
      <w:pStyle w:val="Status"/>
    </w:pPr>
    <w:r>
      <w:fldChar w:fldCharType="begin"/>
    </w:r>
    <w:r>
      <w:instrText xml:space="preserve"> DOCPROPERTY "Status" </w:instrText>
    </w:r>
    <w:r>
      <w:fldChar w:fldCharType="separate"/>
    </w:r>
    <w:r w:rsidR="00FC4A24">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563EEA" w:rsidRPr="00CB3D59">
      <w:tc>
        <w:tcPr>
          <w:tcW w:w="847" w:type="pct"/>
          <w:tcBorders>
            <w:top w:val="single" w:sz="4" w:space="0" w:color="auto"/>
          </w:tcBorders>
        </w:tcPr>
        <w:p w:rsidR="00563EEA" w:rsidRPr="00F02A14" w:rsidRDefault="00563EEA" w:rsidP="007D5A15">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164</w:t>
          </w:r>
          <w:r w:rsidRPr="00F02A14">
            <w:rPr>
              <w:rStyle w:val="PageNumber"/>
              <w:rFonts w:cs="Arial"/>
              <w:szCs w:val="18"/>
            </w:rPr>
            <w:fldChar w:fldCharType="end"/>
          </w:r>
        </w:p>
      </w:tc>
      <w:tc>
        <w:tcPr>
          <w:tcW w:w="3092" w:type="pct"/>
          <w:tcBorders>
            <w:top w:val="single" w:sz="4" w:space="0" w:color="auto"/>
          </w:tcBorders>
        </w:tcPr>
        <w:p w:rsidR="00563EEA" w:rsidRPr="00F02A14" w:rsidRDefault="00563EEA" w:rsidP="007D5A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C4A24" w:rsidRPr="00FC4A24">
            <w:rPr>
              <w:rFonts w:cs="Arial"/>
              <w:szCs w:val="18"/>
            </w:rPr>
            <w:t>Evidence Act 2011</w:t>
          </w:r>
          <w:r>
            <w:rPr>
              <w:rFonts w:cs="Arial"/>
              <w:szCs w:val="18"/>
            </w:rPr>
            <w:fldChar w:fldCharType="end"/>
          </w:r>
        </w:p>
        <w:p w:rsidR="00563EEA" w:rsidRPr="00F02A14" w:rsidRDefault="00563EEA" w:rsidP="007D5A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C4A2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C4A24">
            <w:rPr>
              <w:rFonts w:cs="Arial"/>
              <w:szCs w:val="18"/>
            </w:rPr>
            <w:t>21/06/19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C4A24">
            <w:rPr>
              <w:rFonts w:cs="Arial"/>
              <w:szCs w:val="18"/>
            </w:rPr>
            <w:t>-08/03/20</w:t>
          </w:r>
          <w:r w:rsidRPr="00F02A14">
            <w:rPr>
              <w:rFonts w:cs="Arial"/>
              <w:szCs w:val="18"/>
            </w:rPr>
            <w:fldChar w:fldCharType="end"/>
          </w:r>
        </w:p>
      </w:tc>
      <w:tc>
        <w:tcPr>
          <w:tcW w:w="1061" w:type="pct"/>
          <w:tcBorders>
            <w:top w:val="single" w:sz="4" w:space="0" w:color="auto"/>
          </w:tcBorders>
        </w:tcPr>
        <w:p w:rsidR="00563EEA" w:rsidRPr="00F02A14" w:rsidRDefault="00563EEA" w:rsidP="007D5A15">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C4A24">
            <w:rPr>
              <w:rFonts w:cs="Arial"/>
              <w:szCs w:val="18"/>
            </w:rPr>
            <w:t>R9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C4A24">
            <w:rPr>
              <w:rFonts w:cs="Arial"/>
              <w:szCs w:val="18"/>
            </w:rPr>
            <w:t>21/06/19</w:t>
          </w:r>
          <w:r w:rsidRPr="00F02A14">
            <w:rPr>
              <w:rFonts w:cs="Arial"/>
              <w:szCs w:val="18"/>
            </w:rP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563EEA" w:rsidRPr="00CB3D59">
      <w:tc>
        <w:tcPr>
          <w:tcW w:w="1061" w:type="pct"/>
          <w:tcBorders>
            <w:top w:val="single" w:sz="4" w:space="0" w:color="auto"/>
          </w:tcBorders>
        </w:tcPr>
        <w:p w:rsidR="00563EEA" w:rsidRPr="00F02A14" w:rsidRDefault="00563EEA" w:rsidP="007D5A15">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C4A24">
            <w:rPr>
              <w:rFonts w:cs="Arial"/>
              <w:szCs w:val="18"/>
            </w:rPr>
            <w:t>R9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C4A24">
            <w:rPr>
              <w:rFonts w:cs="Arial"/>
              <w:szCs w:val="18"/>
            </w:rPr>
            <w:t>21/06/19</w:t>
          </w:r>
          <w:r w:rsidRPr="00F02A14">
            <w:rPr>
              <w:rFonts w:cs="Arial"/>
              <w:szCs w:val="18"/>
            </w:rPr>
            <w:fldChar w:fldCharType="end"/>
          </w:r>
        </w:p>
      </w:tc>
      <w:tc>
        <w:tcPr>
          <w:tcW w:w="3092" w:type="pct"/>
          <w:tcBorders>
            <w:top w:val="single" w:sz="4" w:space="0" w:color="auto"/>
          </w:tcBorders>
        </w:tcPr>
        <w:p w:rsidR="00563EEA" w:rsidRPr="00F02A14" w:rsidRDefault="00563EEA" w:rsidP="007D5A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C4A24" w:rsidRPr="00FC4A24">
            <w:rPr>
              <w:rFonts w:cs="Arial"/>
              <w:szCs w:val="18"/>
            </w:rPr>
            <w:t>Evidence Act 2011</w:t>
          </w:r>
          <w:r>
            <w:rPr>
              <w:rFonts w:cs="Arial"/>
              <w:szCs w:val="18"/>
            </w:rPr>
            <w:fldChar w:fldCharType="end"/>
          </w:r>
        </w:p>
        <w:p w:rsidR="00563EEA" w:rsidRPr="00F02A14" w:rsidRDefault="00563EEA" w:rsidP="007D5A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C4A2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C4A24">
            <w:rPr>
              <w:rFonts w:cs="Arial"/>
              <w:szCs w:val="18"/>
            </w:rPr>
            <w:t>21/06/19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C4A24">
            <w:rPr>
              <w:rFonts w:cs="Arial"/>
              <w:szCs w:val="18"/>
            </w:rPr>
            <w:t>-08/03/20</w:t>
          </w:r>
          <w:r w:rsidRPr="00F02A14">
            <w:rPr>
              <w:rFonts w:cs="Arial"/>
              <w:szCs w:val="18"/>
            </w:rPr>
            <w:fldChar w:fldCharType="end"/>
          </w:r>
        </w:p>
      </w:tc>
      <w:tc>
        <w:tcPr>
          <w:tcW w:w="847" w:type="pct"/>
          <w:tcBorders>
            <w:top w:val="single" w:sz="4" w:space="0" w:color="auto"/>
          </w:tcBorders>
        </w:tcPr>
        <w:p w:rsidR="00563EEA" w:rsidRPr="00F02A14" w:rsidRDefault="00563EEA" w:rsidP="007D5A15">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163</w:t>
          </w:r>
          <w:r w:rsidRPr="00F02A14">
            <w:rPr>
              <w:rStyle w:val="PageNumber"/>
              <w:rFonts w:cs="Arial"/>
              <w:szCs w:val="18"/>
            </w:rP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3EEA" w:rsidRPr="00CB3D59">
      <w:tc>
        <w:tcPr>
          <w:tcW w:w="847" w:type="pct"/>
          <w:tcBorders>
            <w:top w:val="single" w:sz="4" w:space="0" w:color="auto"/>
          </w:tcBorders>
        </w:tcPr>
        <w:p w:rsidR="00563EEA" w:rsidRPr="00F02A14" w:rsidRDefault="00563EEA" w:rsidP="007D5A15">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174</w:t>
          </w:r>
          <w:r w:rsidRPr="00F02A14">
            <w:rPr>
              <w:rStyle w:val="PageNumber"/>
              <w:rFonts w:cs="Arial"/>
              <w:szCs w:val="18"/>
            </w:rPr>
            <w:fldChar w:fldCharType="end"/>
          </w:r>
        </w:p>
      </w:tc>
      <w:tc>
        <w:tcPr>
          <w:tcW w:w="3092" w:type="pct"/>
          <w:tcBorders>
            <w:top w:val="single" w:sz="4" w:space="0" w:color="auto"/>
          </w:tcBorders>
        </w:tcPr>
        <w:p w:rsidR="00563EEA" w:rsidRPr="00F02A14" w:rsidRDefault="00563EEA" w:rsidP="007D5A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C4A24" w:rsidRPr="00FC4A24">
            <w:rPr>
              <w:rFonts w:cs="Arial"/>
              <w:szCs w:val="18"/>
            </w:rPr>
            <w:t>Evidence Act 2011</w:t>
          </w:r>
          <w:r>
            <w:rPr>
              <w:rFonts w:cs="Arial"/>
              <w:szCs w:val="18"/>
            </w:rPr>
            <w:fldChar w:fldCharType="end"/>
          </w:r>
        </w:p>
        <w:p w:rsidR="00563EEA" w:rsidRPr="00F02A14" w:rsidRDefault="00563EEA" w:rsidP="007D5A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C4A2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C4A24">
            <w:rPr>
              <w:rFonts w:cs="Arial"/>
              <w:szCs w:val="18"/>
            </w:rPr>
            <w:t>21/06/19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C4A24">
            <w:rPr>
              <w:rFonts w:cs="Arial"/>
              <w:szCs w:val="18"/>
            </w:rPr>
            <w:t>-08/03/20</w:t>
          </w:r>
          <w:r w:rsidRPr="00F02A14">
            <w:rPr>
              <w:rFonts w:cs="Arial"/>
              <w:szCs w:val="18"/>
            </w:rPr>
            <w:fldChar w:fldCharType="end"/>
          </w:r>
        </w:p>
      </w:tc>
      <w:tc>
        <w:tcPr>
          <w:tcW w:w="1061" w:type="pct"/>
          <w:tcBorders>
            <w:top w:val="single" w:sz="4" w:space="0" w:color="auto"/>
          </w:tcBorders>
        </w:tcPr>
        <w:p w:rsidR="00563EEA" w:rsidRPr="00F02A14" w:rsidRDefault="00563EEA" w:rsidP="007D5A15">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C4A24">
            <w:rPr>
              <w:rFonts w:cs="Arial"/>
              <w:szCs w:val="18"/>
            </w:rPr>
            <w:t>R9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C4A24">
            <w:rPr>
              <w:rFonts w:cs="Arial"/>
              <w:szCs w:val="18"/>
            </w:rPr>
            <w:t>21/06/19</w:t>
          </w:r>
          <w:r w:rsidRPr="00F02A14">
            <w:rPr>
              <w:rFonts w:cs="Arial"/>
              <w:szCs w:val="18"/>
            </w:rP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3EEA" w:rsidRPr="00CB3D59">
      <w:tc>
        <w:tcPr>
          <w:tcW w:w="1061" w:type="pct"/>
          <w:tcBorders>
            <w:top w:val="single" w:sz="4" w:space="0" w:color="auto"/>
          </w:tcBorders>
        </w:tcPr>
        <w:p w:rsidR="00563EEA" w:rsidRPr="00F02A14" w:rsidRDefault="00563EEA" w:rsidP="007D5A15">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C4A24">
            <w:rPr>
              <w:rFonts w:cs="Arial"/>
              <w:szCs w:val="18"/>
            </w:rPr>
            <w:t>R9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C4A24">
            <w:rPr>
              <w:rFonts w:cs="Arial"/>
              <w:szCs w:val="18"/>
            </w:rPr>
            <w:t>21/06/19</w:t>
          </w:r>
          <w:r w:rsidRPr="00F02A14">
            <w:rPr>
              <w:rFonts w:cs="Arial"/>
              <w:szCs w:val="18"/>
            </w:rPr>
            <w:fldChar w:fldCharType="end"/>
          </w:r>
        </w:p>
      </w:tc>
      <w:tc>
        <w:tcPr>
          <w:tcW w:w="3092" w:type="pct"/>
          <w:tcBorders>
            <w:top w:val="single" w:sz="4" w:space="0" w:color="auto"/>
          </w:tcBorders>
        </w:tcPr>
        <w:p w:rsidR="00563EEA" w:rsidRPr="00F02A14" w:rsidRDefault="00563EEA" w:rsidP="007D5A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C4A24" w:rsidRPr="00FC4A24">
            <w:rPr>
              <w:rFonts w:cs="Arial"/>
              <w:szCs w:val="18"/>
            </w:rPr>
            <w:t>Evidence Act 2011</w:t>
          </w:r>
          <w:r>
            <w:rPr>
              <w:rFonts w:cs="Arial"/>
              <w:szCs w:val="18"/>
            </w:rPr>
            <w:fldChar w:fldCharType="end"/>
          </w:r>
        </w:p>
        <w:p w:rsidR="00563EEA" w:rsidRPr="00F02A14" w:rsidRDefault="00563EEA" w:rsidP="007D5A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C4A2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C4A24">
            <w:rPr>
              <w:rFonts w:cs="Arial"/>
              <w:szCs w:val="18"/>
            </w:rPr>
            <w:t>21/06/19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C4A24">
            <w:rPr>
              <w:rFonts w:cs="Arial"/>
              <w:szCs w:val="18"/>
            </w:rPr>
            <w:t>-08/03/20</w:t>
          </w:r>
          <w:r w:rsidRPr="00F02A14">
            <w:rPr>
              <w:rFonts w:cs="Arial"/>
              <w:szCs w:val="18"/>
            </w:rPr>
            <w:fldChar w:fldCharType="end"/>
          </w:r>
        </w:p>
      </w:tc>
      <w:tc>
        <w:tcPr>
          <w:tcW w:w="847" w:type="pct"/>
          <w:tcBorders>
            <w:top w:val="single" w:sz="4" w:space="0" w:color="auto"/>
          </w:tcBorders>
        </w:tcPr>
        <w:p w:rsidR="00563EEA" w:rsidRPr="00F02A14" w:rsidRDefault="00563EEA" w:rsidP="007D5A15">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175</w:t>
          </w:r>
          <w:r w:rsidRPr="00F02A14">
            <w:rPr>
              <w:rStyle w:val="PageNumber"/>
              <w:rFonts w:cs="Arial"/>
              <w:szCs w:val="18"/>
            </w:rP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Pr="00546A8E" w:rsidRDefault="00563EEA" w:rsidP="00546A8E">
    <w:pPr>
      <w:pStyle w:val="Footer"/>
      <w:jc w:val="center"/>
      <w:rPr>
        <w:rFonts w:cs="Arial"/>
        <w:sz w:val="14"/>
      </w:rPr>
    </w:pPr>
    <w:r w:rsidRPr="00546A8E">
      <w:rPr>
        <w:rFonts w:cs="Arial"/>
        <w:sz w:val="14"/>
      </w:rPr>
      <w:fldChar w:fldCharType="begin"/>
    </w:r>
    <w:r w:rsidRPr="00546A8E">
      <w:rPr>
        <w:rFonts w:cs="Arial"/>
        <w:sz w:val="14"/>
      </w:rPr>
      <w:instrText xml:space="preserve"> DOCPROPERTY "Status" </w:instrText>
    </w:r>
    <w:r w:rsidRPr="00546A8E">
      <w:rPr>
        <w:rFonts w:cs="Arial"/>
        <w:sz w:val="14"/>
      </w:rPr>
      <w:fldChar w:fldCharType="separate"/>
    </w:r>
    <w:r w:rsidR="00FC4A24" w:rsidRPr="00546A8E">
      <w:rPr>
        <w:rFonts w:cs="Arial"/>
        <w:sz w:val="14"/>
      </w:rPr>
      <w:t xml:space="preserve"> </w:t>
    </w:r>
    <w:r w:rsidRPr="00546A8E">
      <w:rPr>
        <w:rFonts w:cs="Arial"/>
        <w:sz w:val="14"/>
      </w:rPr>
      <w:fldChar w:fldCharType="end"/>
    </w:r>
    <w:r w:rsidRPr="00546A8E">
      <w:rPr>
        <w:rFonts w:cs="Arial"/>
        <w:sz w:val="14"/>
      </w:rPr>
      <w:fldChar w:fldCharType="begin"/>
    </w:r>
    <w:r w:rsidRPr="00546A8E">
      <w:rPr>
        <w:rFonts w:cs="Arial"/>
        <w:sz w:val="14"/>
      </w:rPr>
      <w:instrText xml:space="preserve"> COMMENTS  \* MERGEFORMAT </w:instrText>
    </w:r>
    <w:r w:rsidRPr="00546A8E">
      <w:rPr>
        <w:rFonts w:cs="Arial"/>
        <w:sz w:val="14"/>
      </w:rPr>
      <w:fldChar w:fldCharType="end"/>
    </w:r>
    <w:r w:rsidR="00546A8E" w:rsidRPr="00546A8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3EEA" w:rsidRPr="00CB3D59">
      <w:tc>
        <w:tcPr>
          <w:tcW w:w="847" w:type="pct"/>
          <w:tcBorders>
            <w:top w:val="single" w:sz="4" w:space="0" w:color="auto"/>
          </w:tcBorders>
        </w:tcPr>
        <w:p w:rsidR="00563EEA" w:rsidRPr="00A752AE" w:rsidRDefault="00563EEA" w:rsidP="000E543D">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180</w:t>
          </w:r>
          <w:r w:rsidRPr="00A752AE">
            <w:rPr>
              <w:rStyle w:val="PageNumber"/>
              <w:rFonts w:cs="Arial"/>
              <w:szCs w:val="18"/>
            </w:rPr>
            <w:fldChar w:fldCharType="end"/>
          </w:r>
        </w:p>
      </w:tc>
      <w:tc>
        <w:tcPr>
          <w:tcW w:w="3092" w:type="pct"/>
          <w:tcBorders>
            <w:top w:val="single" w:sz="4" w:space="0" w:color="auto"/>
          </w:tcBorders>
        </w:tcPr>
        <w:p w:rsidR="00563EEA" w:rsidRPr="00A752AE" w:rsidRDefault="00563EEA" w:rsidP="000E543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C4A24" w:rsidRPr="00FC4A24">
            <w:rPr>
              <w:rFonts w:cs="Arial"/>
              <w:szCs w:val="18"/>
            </w:rPr>
            <w:t>Evidence Act 2011</w:t>
          </w:r>
          <w:r>
            <w:rPr>
              <w:rFonts w:cs="Arial"/>
              <w:szCs w:val="18"/>
            </w:rPr>
            <w:fldChar w:fldCharType="end"/>
          </w:r>
        </w:p>
        <w:p w:rsidR="00563EEA" w:rsidRPr="00A752AE" w:rsidRDefault="00563EEA" w:rsidP="000E543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C4A2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C4A24">
            <w:rPr>
              <w:rFonts w:cs="Arial"/>
              <w:szCs w:val="18"/>
            </w:rPr>
            <w:t>21/06/19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C4A24">
            <w:rPr>
              <w:rFonts w:cs="Arial"/>
              <w:szCs w:val="18"/>
            </w:rPr>
            <w:t>-08/03/20</w:t>
          </w:r>
          <w:r w:rsidRPr="00A752AE">
            <w:rPr>
              <w:rFonts w:cs="Arial"/>
              <w:szCs w:val="18"/>
            </w:rPr>
            <w:fldChar w:fldCharType="end"/>
          </w:r>
        </w:p>
      </w:tc>
      <w:tc>
        <w:tcPr>
          <w:tcW w:w="1061" w:type="pct"/>
          <w:tcBorders>
            <w:top w:val="single" w:sz="4" w:space="0" w:color="auto"/>
          </w:tcBorders>
        </w:tcPr>
        <w:p w:rsidR="00563EEA" w:rsidRPr="00A752AE" w:rsidRDefault="00563EEA" w:rsidP="000E543D">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C4A24">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C4A24">
            <w:rPr>
              <w:rFonts w:cs="Arial"/>
              <w:szCs w:val="18"/>
            </w:rPr>
            <w:t>21/06/19</w:t>
          </w:r>
          <w:r w:rsidRPr="00A752AE">
            <w:rPr>
              <w:rFonts w:cs="Arial"/>
              <w:szCs w:val="18"/>
            </w:rP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w:instrText>
    </w:r>
    <w:r w:rsidRPr="00546A8E">
      <w:rPr>
        <w:rFonts w:cs="Arial"/>
      </w:rPr>
      <w:instrText xml:space="preserve">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3EEA" w:rsidRPr="00CB3D59">
      <w:tc>
        <w:tcPr>
          <w:tcW w:w="1061" w:type="pct"/>
          <w:tcBorders>
            <w:top w:val="single" w:sz="4" w:space="0" w:color="auto"/>
          </w:tcBorders>
        </w:tcPr>
        <w:p w:rsidR="00563EEA" w:rsidRPr="00A752AE" w:rsidRDefault="00563EEA" w:rsidP="000E543D">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C4A24">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C4A24">
            <w:rPr>
              <w:rFonts w:cs="Arial"/>
              <w:szCs w:val="18"/>
            </w:rPr>
            <w:t>21/06/19</w:t>
          </w:r>
          <w:r w:rsidRPr="00A752AE">
            <w:rPr>
              <w:rFonts w:cs="Arial"/>
              <w:szCs w:val="18"/>
            </w:rPr>
            <w:fldChar w:fldCharType="end"/>
          </w:r>
        </w:p>
      </w:tc>
      <w:tc>
        <w:tcPr>
          <w:tcW w:w="3092" w:type="pct"/>
          <w:tcBorders>
            <w:top w:val="single" w:sz="4" w:space="0" w:color="auto"/>
          </w:tcBorders>
        </w:tcPr>
        <w:p w:rsidR="00563EEA" w:rsidRPr="00A752AE" w:rsidRDefault="00563EEA" w:rsidP="000E543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C4A24" w:rsidRPr="00FC4A24">
            <w:rPr>
              <w:rFonts w:cs="Arial"/>
              <w:szCs w:val="18"/>
            </w:rPr>
            <w:t>Evidence Act 2011</w:t>
          </w:r>
          <w:r>
            <w:rPr>
              <w:rFonts w:cs="Arial"/>
              <w:szCs w:val="18"/>
            </w:rPr>
            <w:fldChar w:fldCharType="end"/>
          </w:r>
        </w:p>
        <w:p w:rsidR="00563EEA" w:rsidRPr="00A752AE" w:rsidRDefault="00563EEA" w:rsidP="000E543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C4A2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C4A24">
            <w:rPr>
              <w:rFonts w:cs="Arial"/>
              <w:szCs w:val="18"/>
            </w:rPr>
            <w:t>21/06/19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C4A24">
            <w:rPr>
              <w:rFonts w:cs="Arial"/>
              <w:szCs w:val="18"/>
            </w:rPr>
            <w:t>-08/03/20</w:t>
          </w:r>
          <w:r w:rsidRPr="00A752AE">
            <w:rPr>
              <w:rFonts w:cs="Arial"/>
              <w:szCs w:val="18"/>
            </w:rPr>
            <w:fldChar w:fldCharType="end"/>
          </w:r>
        </w:p>
      </w:tc>
      <w:tc>
        <w:tcPr>
          <w:tcW w:w="847" w:type="pct"/>
          <w:tcBorders>
            <w:top w:val="single" w:sz="4" w:space="0" w:color="auto"/>
          </w:tcBorders>
        </w:tcPr>
        <w:p w:rsidR="00563EEA" w:rsidRPr="00A752AE" w:rsidRDefault="00563EEA" w:rsidP="000E543D">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181</w:t>
          </w:r>
          <w:r w:rsidRPr="00A752AE">
            <w:rPr>
              <w:rStyle w:val="PageNumber"/>
              <w:rFonts w:cs="Arial"/>
              <w:szCs w:val="18"/>
            </w:rP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3EEA">
      <w:tc>
        <w:tcPr>
          <w:tcW w:w="847" w:type="pct"/>
        </w:tcPr>
        <w:p w:rsidR="00563EEA" w:rsidRDefault="00563E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tc>
      <w:tc>
        <w:tcPr>
          <w:tcW w:w="3092" w:type="pct"/>
        </w:tcPr>
        <w:p w:rsidR="00563EEA" w:rsidRDefault="00546A8E">
          <w:pPr>
            <w:pStyle w:val="Footer"/>
            <w:jc w:val="center"/>
          </w:pPr>
          <w:r>
            <w:fldChar w:fldCharType="begin"/>
          </w:r>
          <w:r>
            <w:instrText xml:space="preserve"> REF Citation *\charformat </w:instrText>
          </w:r>
          <w:r>
            <w:fldChar w:fldCharType="separate"/>
          </w:r>
          <w:r w:rsidR="00FC4A24">
            <w:t>Evidence Act 2011</w:t>
          </w:r>
          <w:r>
            <w:fldChar w:fldCharType="end"/>
          </w:r>
        </w:p>
        <w:p w:rsidR="00563EEA" w:rsidRDefault="00546A8E">
          <w:pPr>
            <w:pStyle w:val="FooterInfoCentre"/>
          </w:pPr>
          <w:r>
            <w:fldChar w:fldCharType="begin"/>
          </w:r>
          <w:r>
            <w:instrText xml:space="preserve"> DOCPROPERTY "Eff"  *\charformat </w:instrText>
          </w:r>
          <w:r>
            <w:fldChar w:fldCharType="separate"/>
          </w:r>
          <w:r w:rsidR="00FC4A24">
            <w:t xml:space="preserve">Effective:  </w:t>
          </w:r>
          <w:r>
            <w:fldChar w:fldCharType="end"/>
          </w:r>
          <w:r>
            <w:fldChar w:fldCharType="begin"/>
          </w:r>
          <w:r>
            <w:instrText xml:space="preserve"> DOCPROPERTY "StartDt"  *\charformat </w:instrText>
          </w:r>
          <w:r>
            <w:fldChar w:fldCharType="separate"/>
          </w:r>
          <w:r w:rsidR="00FC4A24">
            <w:t>21/06/19</w:t>
          </w:r>
          <w:r>
            <w:fldChar w:fldCharType="end"/>
          </w:r>
          <w:r>
            <w:fldChar w:fldCharType="begin"/>
          </w:r>
          <w:r>
            <w:instrText xml:space="preserve"> DOCPROPERTY "EndDt"  *\charformat </w:instrText>
          </w:r>
          <w:r>
            <w:fldChar w:fldCharType="separate"/>
          </w:r>
          <w:r w:rsidR="00FC4A24">
            <w:t>-08/03/20</w:t>
          </w:r>
          <w:r>
            <w:fldChar w:fldCharType="end"/>
          </w:r>
        </w:p>
      </w:tc>
      <w:tc>
        <w:tcPr>
          <w:tcW w:w="1061" w:type="pct"/>
        </w:tcPr>
        <w:p w:rsidR="00563EEA" w:rsidRDefault="00546A8E">
          <w:pPr>
            <w:pStyle w:val="Footer"/>
            <w:jc w:val="right"/>
          </w:pPr>
          <w:r>
            <w:fldChar w:fldCharType="begin"/>
          </w:r>
          <w:r>
            <w:instrText xml:space="preserve"> DOCPROPERTY "Category"  *\charformat  </w:instrText>
          </w:r>
          <w:r>
            <w:fldChar w:fldCharType="separate"/>
          </w:r>
          <w:r w:rsidR="00FC4A24">
            <w:t>R9</w:t>
          </w:r>
          <w:r>
            <w:fldChar w:fldCharType="end"/>
          </w:r>
          <w:r w:rsidR="00563EEA">
            <w:br/>
          </w:r>
          <w:r>
            <w:fldChar w:fldCharType="begin"/>
          </w:r>
          <w:r>
            <w:instrText xml:space="preserve"> DOCPROPERTY "RepubDt"  *\charformat  </w:instrText>
          </w:r>
          <w:r>
            <w:fldChar w:fldCharType="separate"/>
          </w:r>
          <w:r w:rsidR="00FC4A24">
            <w:t>21/06/19</w:t>
          </w:r>
          <w: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w:instrText>
    </w:r>
    <w:r w:rsidRPr="00546A8E">
      <w:rPr>
        <w:rFonts w:cs="Arial"/>
      </w:rPr>
      <w:instrText xml:space="preserve">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3EEA">
      <w:tc>
        <w:tcPr>
          <w:tcW w:w="1061" w:type="pct"/>
        </w:tcPr>
        <w:p w:rsidR="00563EEA" w:rsidRDefault="00546A8E">
          <w:pPr>
            <w:pStyle w:val="Footer"/>
          </w:pPr>
          <w:r>
            <w:fldChar w:fldCharType="begin"/>
          </w:r>
          <w:r>
            <w:instrText xml:space="preserve"> DOCPROPERTY "Category"  *\charformat  </w:instrText>
          </w:r>
          <w:r>
            <w:fldChar w:fldCharType="separate"/>
          </w:r>
          <w:r w:rsidR="00FC4A24">
            <w:t>R9</w:t>
          </w:r>
          <w:r>
            <w:fldChar w:fldCharType="end"/>
          </w:r>
          <w:r w:rsidR="00563EEA">
            <w:br/>
          </w:r>
          <w:r>
            <w:fldChar w:fldCharType="begin"/>
          </w:r>
          <w:r>
            <w:instrText xml:space="preserve"> DOCPROPERTY "RepubDt"  *\charformat  </w:instrText>
          </w:r>
          <w:r>
            <w:fldChar w:fldCharType="separate"/>
          </w:r>
          <w:r w:rsidR="00FC4A24">
            <w:t>21/06/19</w:t>
          </w:r>
          <w:r>
            <w:fldChar w:fldCharType="end"/>
          </w:r>
        </w:p>
      </w:tc>
      <w:tc>
        <w:tcPr>
          <w:tcW w:w="3092" w:type="pct"/>
        </w:tcPr>
        <w:p w:rsidR="00563EEA" w:rsidRDefault="00546A8E">
          <w:pPr>
            <w:pStyle w:val="Footer"/>
            <w:jc w:val="center"/>
          </w:pPr>
          <w:r>
            <w:fldChar w:fldCharType="begin"/>
          </w:r>
          <w:r>
            <w:instrText xml:space="preserve"> REF Citation *\charformat </w:instrText>
          </w:r>
          <w:r>
            <w:fldChar w:fldCharType="separate"/>
          </w:r>
          <w:r w:rsidR="00FC4A24">
            <w:t>Evidence Act 2011</w:t>
          </w:r>
          <w:r>
            <w:fldChar w:fldCharType="end"/>
          </w:r>
        </w:p>
        <w:p w:rsidR="00563EEA" w:rsidRDefault="00546A8E">
          <w:pPr>
            <w:pStyle w:val="FooterInfoCentre"/>
          </w:pPr>
          <w:r>
            <w:fldChar w:fldCharType="begin"/>
          </w:r>
          <w:r>
            <w:instrText xml:space="preserve"> DOCPROPERTY "Eff"  *\charformat </w:instrText>
          </w:r>
          <w:r>
            <w:fldChar w:fldCharType="separate"/>
          </w:r>
          <w:r w:rsidR="00FC4A24">
            <w:t xml:space="preserve">Effective:  </w:t>
          </w:r>
          <w:r>
            <w:fldChar w:fldCharType="end"/>
          </w:r>
          <w:r>
            <w:fldChar w:fldCharType="begin"/>
          </w:r>
          <w:r>
            <w:instrText xml:space="preserve"> DOCPROPERTY "StartDt"  *\charformat </w:instrText>
          </w:r>
          <w:r>
            <w:fldChar w:fldCharType="separate"/>
          </w:r>
          <w:r w:rsidR="00FC4A24">
            <w:t>21/06/19</w:t>
          </w:r>
          <w:r>
            <w:fldChar w:fldCharType="end"/>
          </w:r>
          <w:r>
            <w:fldChar w:fldCharType="begin"/>
          </w:r>
          <w:r>
            <w:instrText xml:space="preserve"> DOCPROPERTY "EndDt"  *\charformat </w:instrText>
          </w:r>
          <w:r>
            <w:fldChar w:fldCharType="separate"/>
          </w:r>
          <w:r w:rsidR="00FC4A24">
            <w:t>-08/03/20</w:t>
          </w:r>
          <w:r>
            <w:fldChar w:fldCharType="end"/>
          </w:r>
        </w:p>
      </w:tc>
      <w:tc>
        <w:tcPr>
          <w:tcW w:w="847" w:type="pct"/>
        </w:tcPr>
        <w:p w:rsidR="00563EEA" w:rsidRDefault="00563E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Pr="00546A8E" w:rsidRDefault="00546A8E" w:rsidP="00546A8E">
    <w:pPr>
      <w:pStyle w:val="Footer"/>
      <w:jc w:val="center"/>
      <w:rPr>
        <w:rFonts w:cs="Arial"/>
        <w:sz w:val="14"/>
      </w:rPr>
    </w:pPr>
    <w:r w:rsidRPr="00546A8E">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Pr="00546A8E" w:rsidRDefault="00563EEA" w:rsidP="00546A8E">
    <w:pPr>
      <w:pStyle w:val="Footer"/>
      <w:jc w:val="center"/>
      <w:rPr>
        <w:rFonts w:cs="Arial"/>
        <w:sz w:val="14"/>
      </w:rPr>
    </w:pPr>
    <w:r w:rsidRPr="00546A8E">
      <w:rPr>
        <w:rFonts w:cs="Arial"/>
        <w:sz w:val="14"/>
      </w:rPr>
      <w:fldChar w:fldCharType="begin"/>
    </w:r>
    <w:r w:rsidRPr="00546A8E">
      <w:rPr>
        <w:rFonts w:cs="Arial"/>
        <w:sz w:val="14"/>
      </w:rPr>
      <w:instrText xml:space="preserve"> COMMENTS  \* MERGEFORMAT </w:instrText>
    </w:r>
    <w:r w:rsidRPr="00546A8E">
      <w:rPr>
        <w:rFonts w:cs="Arial"/>
        <w:sz w:val="14"/>
      </w:rPr>
      <w:fldChar w:fldCharType="end"/>
    </w:r>
    <w:r w:rsidR="00546A8E" w:rsidRPr="00546A8E">
      <w:rPr>
        <w:rFonts w:cs="Arial"/>
        <w:sz w:val="14"/>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Pr="00546A8E" w:rsidRDefault="00546A8E" w:rsidP="00546A8E">
    <w:pPr>
      <w:pStyle w:val="Footer"/>
      <w:jc w:val="center"/>
      <w:rPr>
        <w:rFonts w:cs="Arial"/>
        <w:sz w:val="14"/>
      </w:rPr>
    </w:pPr>
    <w:r w:rsidRPr="00546A8E">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489" w:rsidRPr="00546A8E" w:rsidRDefault="00546A8E" w:rsidP="00546A8E">
    <w:pPr>
      <w:pStyle w:val="Footer"/>
      <w:jc w:val="center"/>
      <w:rPr>
        <w:rFonts w:cs="Arial"/>
        <w:sz w:val="14"/>
      </w:rPr>
    </w:pPr>
    <w:r w:rsidRPr="00546A8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63EEA">
      <w:tc>
        <w:tcPr>
          <w:tcW w:w="846" w:type="pct"/>
        </w:tcPr>
        <w:p w:rsidR="00563EEA" w:rsidRDefault="00563EE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3" w:type="pct"/>
        </w:tcPr>
        <w:p w:rsidR="00563EEA" w:rsidRDefault="00546A8E">
          <w:pPr>
            <w:pStyle w:val="Footer"/>
            <w:jc w:val="center"/>
          </w:pPr>
          <w:r>
            <w:fldChar w:fldCharType="begin"/>
          </w:r>
          <w:r>
            <w:instrText xml:space="preserve"> REF Citation *\charformat </w:instrText>
          </w:r>
          <w:r>
            <w:fldChar w:fldCharType="separate"/>
          </w:r>
          <w:r w:rsidR="00FC4A24">
            <w:t>Evidence Act 2011</w:t>
          </w:r>
          <w:r>
            <w:fldChar w:fldCharType="end"/>
          </w:r>
        </w:p>
        <w:p w:rsidR="00563EEA" w:rsidRDefault="00546A8E">
          <w:pPr>
            <w:pStyle w:val="FooterInfoCentre"/>
          </w:pPr>
          <w:r>
            <w:fldChar w:fldCharType="begin"/>
          </w:r>
          <w:r>
            <w:instrText xml:space="preserve"> DOCPROPERTY "Eff"  </w:instrText>
          </w:r>
          <w:r>
            <w:fldChar w:fldCharType="separate"/>
          </w:r>
          <w:r w:rsidR="00FC4A24">
            <w:t xml:space="preserve">Effective:  </w:t>
          </w:r>
          <w:r>
            <w:fldChar w:fldCharType="end"/>
          </w:r>
          <w:r>
            <w:fldChar w:fldCharType="begin"/>
          </w:r>
          <w:r>
            <w:instrText xml:space="preserve"> DOCPROPERTY "StartDt"   </w:instrText>
          </w:r>
          <w:r>
            <w:fldChar w:fldCharType="separate"/>
          </w:r>
          <w:r w:rsidR="00FC4A24">
            <w:t>21/06/19</w:t>
          </w:r>
          <w:r>
            <w:fldChar w:fldCharType="end"/>
          </w:r>
          <w:r>
            <w:fldChar w:fldCharType="begin"/>
          </w:r>
          <w:r>
            <w:instrText xml:space="preserve"> DOCPROPERTY "EndDt"  </w:instrText>
          </w:r>
          <w:r>
            <w:fldChar w:fldCharType="separate"/>
          </w:r>
          <w:r w:rsidR="00FC4A24">
            <w:t>-08/03/20</w:t>
          </w:r>
          <w:r>
            <w:fldChar w:fldCharType="end"/>
          </w:r>
        </w:p>
      </w:tc>
      <w:tc>
        <w:tcPr>
          <w:tcW w:w="1061" w:type="pct"/>
        </w:tcPr>
        <w:p w:rsidR="00563EEA" w:rsidRDefault="00546A8E">
          <w:pPr>
            <w:pStyle w:val="Footer"/>
            <w:jc w:val="right"/>
          </w:pPr>
          <w:r>
            <w:fldChar w:fldCharType="begin"/>
          </w:r>
          <w:r>
            <w:instrText xml:space="preserve"> DOCPROPERTY "Category"  </w:instrText>
          </w:r>
          <w:r>
            <w:fldChar w:fldCharType="separate"/>
          </w:r>
          <w:r w:rsidR="00FC4A24">
            <w:t>R9</w:t>
          </w:r>
          <w:r>
            <w:fldChar w:fldCharType="end"/>
          </w:r>
          <w:r w:rsidR="00563EEA">
            <w:br/>
          </w:r>
          <w:r>
            <w:fldChar w:fldCharType="begin"/>
          </w:r>
          <w:r>
            <w:instrText xml:space="preserve"> DOCPROPERTY "RepubDt"  </w:instrText>
          </w:r>
          <w:r>
            <w:fldChar w:fldCharType="separate"/>
          </w:r>
          <w:r w:rsidR="00FC4A24">
            <w:t>21/06/19</w:t>
          </w:r>
          <w: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63EEA">
      <w:tc>
        <w:tcPr>
          <w:tcW w:w="1061" w:type="pct"/>
        </w:tcPr>
        <w:p w:rsidR="00563EEA" w:rsidRDefault="00546A8E">
          <w:pPr>
            <w:pStyle w:val="Footer"/>
          </w:pPr>
          <w:r>
            <w:fldChar w:fldCharType="begin"/>
          </w:r>
          <w:r>
            <w:instrText xml:space="preserve"> DOCPR</w:instrText>
          </w:r>
          <w:r>
            <w:instrText xml:space="preserve">OPERTY "Category"  </w:instrText>
          </w:r>
          <w:r>
            <w:fldChar w:fldCharType="separate"/>
          </w:r>
          <w:r w:rsidR="00FC4A24">
            <w:t>R9</w:t>
          </w:r>
          <w:r>
            <w:fldChar w:fldCharType="end"/>
          </w:r>
          <w:r w:rsidR="00563EEA">
            <w:br/>
          </w:r>
          <w:r>
            <w:fldChar w:fldCharType="begin"/>
          </w:r>
          <w:r>
            <w:instrText xml:space="preserve"> DOCPROPERTY "RepubDt"  </w:instrText>
          </w:r>
          <w:r>
            <w:fldChar w:fldCharType="separate"/>
          </w:r>
          <w:r w:rsidR="00FC4A24">
            <w:t>21/06/19</w:t>
          </w:r>
          <w:r>
            <w:fldChar w:fldCharType="end"/>
          </w:r>
        </w:p>
      </w:tc>
      <w:tc>
        <w:tcPr>
          <w:tcW w:w="3093" w:type="pct"/>
        </w:tcPr>
        <w:p w:rsidR="00563EEA" w:rsidRDefault="00546A8E">
          <w:pPr>
            <w:pStyle w:val="Footer"/>
            <w:jc w:val="center"/>
          </w:pPr>
          <w:r>
            <w:fldChar w:fldCharType="begin"/>
          </w:r>
          <w:r>
            <w:instrText xml:space="preserve"> REF Citation *\charformat </w:instrText>
          </w:r>
          <w:r>
            <w:fldChar w:fldCharType="separate"/>
          </w:r>
          <w:r w:rsidR="00FC4A24">
            <w:t>Evidence Act 2011</w:t>
          </w:r>
          <w:r>
            <w:fldChar w:fldCharType="end"/>
          </w:r>
        </w:p>
        <w:p w:rsidR="00563EEA" w:rsidRDefault="00546A8E">
          <w:pPr>
            <w:pStyle w:val="FooterInfoCentre"/>
          </w:pPr>
          <w:r>
            <w:fldChar w:fldCharType="begin"/>
          </w:r>
          <w:r>
            <w:instrText xml:space="preserve"> DOCPROPERTY "Eff"  </w:instrText>
          </w:r>
          <w:r>
            <w:fldChar w:fldCharType="separate"/>
          </w:r>
          <w:r w:rsidR="00FC4A24">
            <w:t xml:space="preserve">Effective:  </w:t>
          </w:r>
          <w:r>
            <w:fldChar w:fldCharType="end"/>
          </w:r>
          <w:r>
            <w:fldChar w:fldCharType="begin"/>
          </w:r>
          <w:r>
            <w:instrText xml:space="preserve"> DOCPROPERTY "StartDt"  </w:instrText>
          </w:r>
          <w:r>
            <w:fldChar w:fldCharType="separate"/>
          </w:r>
          <w:r w:rsidR="00FC4A24">
            <w:t>21/06/19</w:t>
          </w:r>
          <w:r>
            <w:fldChar w:fldCharType="end"/>
          </w:r>
          <w:r>
            <w:fldChar w:fldCharType="begin"/>
          </w:r>
          <w:r>
            <w:instrText xml:space="preserve"> DOCPROPERTY "EndDt"  </w:instrText>
          </w:r>
          <w:r>
            <w:fldChar w:fldCharType="separate"/>
          </w:r>
          <w:r w:rsidR="00FC4A24">
            <w:t>-08/03/20</w:t>
          </w:r>
          <w:r>
            <w:fldChar w:fldCharType="end"/>
          </w:r>
        </w:p>
      </w:tc>
      <w:tc>
        <w:tcPr>
          <w:tcW w:w="846" w:type="pct"/>
        </w:tcPr>
        <w:p w:rsidR="00563EEA" w:rsidRDefault="00563E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63EEA">
      <w:tc>
        <w:tcPr>
          <w:tcW w:w="1061" w:type="pct"/>
        </w:tcPr>
        <w:p w:rsidR="00563EEA" w:rsidRDefault="00546A8E">
          <w:pPr>
            <w:pStyle w:val="Footer"/>
          </w:pPr>
          <w:r>
            <w:fldChar w:fldCharType="begin"/>
          </w:r>
          <w:r>
            <w:instrText xml:space="preserve"> DOCPROPERTY "Category"  </w:instrText>
          </w:r>
          <w:r>
            <w:fldChar w:fldCharType="separate"/>
          </w:r>
          <w:r w:rsidR="00FC4A24">
            <w:t>R9</w:t>
          </w:r>
          <w:r>
            <w:fldChar w:fldCharType="end"/>
          </w:r>
          <w:r w:rsidR="00563EEA">
            <w:br/>
          </w:r>
          <w:r>
            <w:fldChar w:fldCharType="begin"/>
          </w:r>
          <w:r>
            <w:instrText xml:space="preserve"> DOCPROPERTY "RepubDt"  </w:instrText>
          </w:r>
          <w:r>
            <w:fldChar w:fldCharType="separate"/>
          </w:r>
          <w:r w:rsidR="00FC4A24">
            <w:t>21/06/19</w:t>
          </w:r>
          <w:r>
            <w:fldChar w:fldCharType="end"/>
          </w:r>
        </w:p>
      </w:tc>
      <w:tc>
        <w:tcPr>
          <w:tcW w:w="3093" w:type="pct"/>
        </w:tcPr>
        <w:p w:rsidR="00563EEA" w:rsidRDefault="00546A8E">
          <w:pPr>
            <w:pStyle w:val="Footer"/>
            <w:jc w:val="center"/>
          </w:pPr>
          <w:r>
            <w:fldChar w:fldCharType="begin"/>
          </w:r>
          <w:r>
            <w:instrText xml:space="preserve"> REF Citation *\charformat </w:instrText>
          </w:r>
          <w:r>
            <w:fldChar w:fldCharType="separate"/>
          </w:r>
          <w:r w:rsidR="00FC4A24">
            <w:t>Evidence Act 2011</w:t>
          </w:r>
          <w:r>
            <w:fldChar w:fldCharType="end"/>
          </w:r>
        </w:p>
        <w:p w:rsidR="00563EEA" w:rsidRDefault="00546A8E">
          <w:pPr>
            <w:pStyle w:val="FooterInfoCentre"/>
          </w:pPr>
          <w:r>
            <w:fldChar w:fldCharType="begin"/>
          </w:r>
          <w:r>
            <w:instrText xml:space="preserve"> DOCPROPERTY "Eff"  </w:instrText>
          </w:r>
          <w:r>
            <w:fldChar w:fldCharType="separate"/>
          </w:r>
          <w:r w:rsidR="00FC4A24">
            <w:t xml:space="preserve">Effective:  </w:t>
          </w:r>
          <w:r>
            <w:fldChar w:fldCharType="end"/>
          </w:r>
          <w:r>
            <w:fldChar w:fldCharType="begin"/>
          </w:r>
          <w:r>
            <w:instrText xml:space="preserve"> DOCPROPERTY "StartDt"   </w:instrText>
          </w:r>
          <w:r>
            <w:fldChar w:fldCharType="separate"/>
          </w:r>
          <w:r w:rsidR="00FC4A24">
            <w:t>21/06/19</w:t>
          </w:r>
          <w:r>
            <w:fldChar w:fldCharType="end"/>
          </w:r>
          <w:r>
            <w:fldChar w:fldCharType="begin"/>
          </w:r>
          <w:r>
            <w:instrText xml:space="preserve"> DOCPROPERTY "EndDt"  </w:instrText>
          </w:r>
          <w:r>
            <w:fldChar w:fldCharType="separate"/>
          </w:r>
          <w:r w:rsidR="00FC4A24">
            <w:t>-08/03/20</w:t>
          </w:r>
          <w:r>
            <w:fldChar w:fldCharType="end"/>
          </w:r>
        </w:p>
      </w:tc>
      <w:tc>
        <w:tcPr>
          <w:tcW w:w="846" w:type="pct"/>
        </w:tcPr>
        <w:p w:rsidR="00563EEA" w:rsidRDefault="00563E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63EEA" w:rsidRPr="00546A8E" w:rsidRDefault="00546A8E" w:rsidP="00546A8E">
    <w:pPr>
      <w:pStyle w:val="Status"/>
      <w:rPr>
        <w:rFonts w:cs="Arial"/>
      </w:rPr>
    </w:pPr>
    <w:r w:rsidRPr="00546A8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3EEA">
      <w:tc>
        <w:tcPr>
          <w:tcW w:w="847" w:type="pct"/>
        </w:tcPr>
        <w:p w:rsidR="00563EEA" w:rsidRDefault="00563E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tc>
      <w:tc>
        <w:tcPr>
          <w:tcW w:w="3092" w:type="pct"/>
        </w:tcPr>
        <w:p w:rsidR="00563EEA" w:rsidRDefault="00546A8E">
          <w:pPr>
            <w:pStyle w:val="Footer"/>
            <w:jc w:val="center"/>
          </w:pPr>
          <w:r>
            <w:fldChar w:fldCharType="begin"/>
          </w:r>
          <w:r>
            <w:instrText xml:space="preserve"> REF Citation *\charformat </w:instrText>
          </w:r>
          <w:r>
            <w:fldChar w:fldCharType="separate"/>
          </w:r>
          <w:r w:rsidR="00FC4A24">
            <w:t>Evidence Act 2011</w:t>
          </w:r>
          <w:r>
            <w:fldChar w:fldCharType="end"/>
          </w:r>
        </w:p>
        <w:p w:rsidR="00563EEA" w:rsidRDefault="00546A8E">
          <w:pPr>
            <w:pStyle w:val="FooterInfoCentre"/>
          </w:pPr>
          <w:r>
            <w:fldChar w:fldCharType="begin"/>
          </w:r>
          <w:r>
            <w:instrText xml:space="preserve"> DOCPROPERTY "Eff"  *\charformat </w:instrText>
          </w:r>
          <w:r>
            <w:fldChar w:fldCharType="separate"/>
          </w:r>
          <w:r w:rsidR="00FC4A24">
            <w:t xml:space="preserve">Effective:  </w:t>
          </w:r>
          <w:r>
            <w:fldChar w:fldCharType="end"/>
          </w:r>
          <w:r>
            <w:fldChar w:fldCharType="begin"/>
          </w:r>
          <w:r>
            <w:instrText xml:space="preserve"> DOCPROPERTY "StartDt"  *\charformat </w:instrText>
          </w:r>
          <w:r>
            <w:fldChar w:fldCharType="separate"/>
          </w:r>
          <w:r w:rsidR="00FC4A24">
            <w:t>21/06/19</w:t>
          </w:r>
          <w:r>
            <w:fldChar w:fldCharType="end"/>
          </w:r>
          <w:r>
            <w:fldChar w:fldCharType="begin"/>
          </w:r>
          <w:r>
            <w:instrText xml:space="preserve"> DOCPROPERTY "EndDt"  *\charformat </w:instrText>
          </w:r>
          <w:r>
            <w:fldChar w:fldCharType="separate"/>
          </w:r>
          <w:r w:rsidR="00FC4A24">
            <w:t>-08/03/20</w:t>
          </w:r>
          <w:r>
            <w:fldChar w:fldCharType="end"/>
          </w:r>
        </w:p>
      </w:tc>
      <w:tc>
        <w:tcPr>
          <w:tcW w:w="1061" w:type="pct"/>
        </w:tcPr>
        <w:p w:rsidR="00563EEA" w:rsidRDefault="00546A8E">
          <w:pPr>
            <w:pStyle w:val="Footer"/>
            <w:jc w:val="right"/>
          </w:pPr>
          <w:r>
            <w:fldChar w:fldCharType="begin"/>
          </w:r>
          <w:r>
            <w:instrText xml:space="preserve"> DOCPROPERTY "Category"  *\charformat  </w:instrText>
          </w:r>
          <w:r>
            <w:fldChar w:fldCharType="separate"/>
          </w:r>
          <w:r w:rsidR="00FC4A24">
            <w:t>R9</w:t>
          </w:r>
          <w:r>
            <w:fldChar w:fldCharType="end"/>
          </w:r>
          <w:r w:rsidR="00563EEA">
            <w:br/>
          </w:r>
          <w:r>
            <w:fldChar w:fldCharType="begin"/>
          </w:r>
          <w:r>
            <w:instrText xml:space="preserve"> DOCPROPERTY "RepubDt"  *\charformat  </w:instrText>
          </w:r>
          <w:r>
            <w:fldChar w:fldCharType="separate"/>
          </w:r>
          <w:r w:rsidR="00FC4A24">
            <w:t>21/06/19</w:t>
          </w:r>
          <w: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3EEA">
      <w:tc>
        <w:tcPr>
          <w:tcW w:w="1061" w:type="pct"/>
        </w:tcPr>
        <w:p w:rsidR="00563EEA" w:rsidRDefault="00546A8E">
          <w:pPr>
            <w:pStyle w:val="Footer"/>
          </w:pPr>
          <w:r>
            <w:fldChar w:fldCharType="begin"/>
          </w:r>
          <w:r>
            <w:instrText xml:space="preserve"> DOCPROPERTY "Category"  *\charformat  </w:instrText>
          </w:r>
          <w:r>
            <w:fldChar w:fldCharType="separate"/>
          </w:r>
          <w:r w:rsidR="00FC4A24">
            <w:t>R9</w:t>
          </w:r>
          <w:r>
            <w:fldChar w:fldCharType="end"/>
          </w:r>
          <w:r w:rsidR="00563EEA">
            <w:br/>
          </w:r>
          <w:r>
            <w:fldChar w:fldCharType="begin"/>
          </w:r>
          <w:r>
            <w:instrText xml:space="preserve"> DOCPROPERTY "RepubDt"  *\charformat  </w:instrText>
          </w:r>
          <w:r>
            <w:fldChar w:fldCharType="separate"/>
          </w:r>
          <w:r w:rsidR="00FC4A24">
            <w:t>21/06/19</w:t>
          </w:r>
          <w:r>
            <w:fldChar w:fldCharType="end"/>
          </w:r>
        </w:p>
      </w:tc>
      <w:tc>
        <w:tcPr>
          <w:tcW w:w="3092" w:type="pct"/>
        </w:tcPr>
        <w:p w:rsidR="00563EEA" w:rsidRDefault="00546A8E">
          <w:pPr>
            <w:pStyle w:val="Footer"/>
            <w:jc w:val="center"/>
          </w:pPr>
          <w:r>
            <w:fldChar w:fldCharType="begin"/>
          </w:r>
          <w:r>
            <w:instrText xml:space="preserve"> REF Citation *\charformat </w:instrText>
          </w:r>
          <w:r>
            <w:fldChar w:fldCharType="separate"/>
          </w:r>
          <w:r w:rsidR="00FC4A24">
            <w:t>Evidence Act 2011</w:t>
          </w:r>
          <w:r>
            <w:fldChar w:fldCharType="end"/>
          </w:r>
        </w:p>
        <w:p w:rsidR="00563EEA" w:rsidRDefault="00546A8E">
          <w:pPr>
            <w:pStyle w:val="FooterInfoCentre"/>
          </w:pPr>
          <w:r>
            <w:fldChar w:fldCharType="begin"/>
          </w:r>
          <w:r>
            <w:instrText xml:space="preserve"> DOCPROPERTY "Eff"  *\charformat </w:instrText>
          </w:r>
          <w:r>
            <w:fldChar w:fldCharType="separate"/>
          </w:r>
          <w:r w:rsidR="00FC4A24">
            <w:t xml:space="preserve">Effective:  </w:t>
          </w:r>
          <w:r>
            <w:fldChar w:fldCharType="end"/>
          </w:r>
          <w:r>
            <w:fldChar w:fldCharType="begin"/>
          </w:r>
          <w:r>
            <w:instrText xml:space="preserve"> DOCPROPERTY "StartDt"  *\charformat </w:instrText>
          </w:r>
          <w:r>
            <w:fldChar w:fldCharType="separate"/>
          </w:r>
          <w:r w:rsidR="00FC4A24">
            <w:t>21/06/19</w:t>
          </w:r>
          <w:r>
            <w:fldChar w:fldCharType="end"/>
          </w:r>
          <w:r>
            <w:fldChar w:fldCharType="begin"/>
          </w:r>
          <w:r>
            <w:instrText xml:space="preserve"> DOCPROPERTY "End</w:instrText>
          </w:r>
          <w:r>
            <w:instrText xml:space="preserve">Dt"  *\charformat </w:instrText>
          </w:r>
          <w:r>
            <w:fldChar w:fldCharType="separate"/>
          </w:r>
          <w:r w:rsidR="00FC4A24">
            <w:t>-08/03/20</w:t>
          </w:r>
          <w:r>
            <w:fldChar w:fldCharType="end"/>
          </w:r>
        </w:p>
      </w:tc>
      <w:tc>
        <w:tcPr>
          <w:tcW w:w="847" w:type="pct"/>
        </w:tcPr>
        <w:p w:rsidR="00563EEA" w:rsidRDefault="00563E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63EEA">
      <w:tc>
        <w:tcPr>
          <w:tcW w:w="1061" w:type="pct"/>
        </w:tcPr>
        <w:p w:rsidR="00563EEA" w:rsidRDefault="00546A8E">
          <w:pPr>
            <w:pStyle w:val="Footer"/>
          </w:pPr>
          <w:r>
            <w:fldChar w:fldCharType="begin"/>
          </w:r>
          <w:r>
            <w:instrText xml:space="preserve"> DOCPROPERTY "Category"  *\charformat  </w:instrText>
          </w:r>
          <w:r>
            <w:fldChar w:fldCharType="separate"/>
          </w:r>
          <w:r w:rsidR="00FC4A24">
            <w:t>R9</w:t>
          </w:r>
          <w:r>
            <w:fldChar w:fldCharType="end"/>
          </w:r>
          <w:r w:rsidR="00563EEA">
            <w:br/>
          </w:r>
          <w:r>
            <w:fldChar w:fldCharType="begin"/>
          </w:r>
          <w:r>
            <w:instrText xml:space="preserve"> DOCPROPERTY "RepubDt"  *\charformat  </w:instrText>
          </w:r>
          <w:r>
            <w:fldChar w:fldCharType="separate"/>
          </w:r>
          <w:r w:rsidR="00FC4A24">
            <w:t>21/06/19</w:t>
          </w:r>
          <w:r>
            <w:fldChar w:fldCharType="end"/>
          </w:r>
        </w:p>
      </w:tc>
      <w:tc>
        <w:tcPr>
          <w:tcW w:w="3092" w:type="pct"/>
        </w:tcPr>
        <w:p w:rsidR="00563EEA" w:rsidRDefault="00546A8E">
          <w:pPr>
            <w:pStyle w:val="Footer"/>
            <w:jc w:val="center"/>
          </w:pPr>
          <w:r>
            <w:fldChar w:fldCharType="begin"/>
          </w:r>
          <w:r>
            <w:instrText xml:space="preserve"> REF Citation *\charformat </w:instrText>
          </w:r>
          <w:r>
            <w:fldChar w:fldCharType="separate"/>
          </w:r>
          <w:r w:rsidR="00FC4A24">
            <w:t>Evidence Act 2011</w:t>
          </w:r>
          <w:r>
            <w:fldChar w:fldCharType="end"/>
          </w:r>
        </w:p>
        <w:p w:rsidR="00563EEA" w:rsidRDefault="00546A8E">
          <w:pPr>
            <w:pStyle w:val="FooterInfoCentre"/>
          </w:pPr>
          <w:r>
            <w:fldChar w:fldCharType="begin"/>
          </w:r>
          <w:r>
            <w:instrText xml:space="preserve"> DOCPROPERTY "Eff"  *\charformat </w:instrText>
          </w:r>
          <w:r>
            <w:fldChar w:fldCharType="separate"/>
          </w:r>
          <w:r w:rsidR="00FC4A24">
            <w:t xml:space="preserve">Effective:  </w:t>
          </w:r>
          <w:r>
            <w:fldChar w:fldCharType="end"/>
          </w:r>
          <w:r>
            <w:fldChar w:fldCharType="begin"/>
          </w:r>
          <w:r>
            <w:instrText xml:space="preserve"> DOCPROPERTY "StartDt"  *\charformat </w:instrText>
          </w:r>
          <w:r>
            <w:fldChar w:fldCharType="separate"/>
          </w:r>
          <w:r w:rsidR="00FC4A24">
            <w:t>21/06/19</w:t>
          </w:r>
          <w:r>
            <w:fldChar w:fldCharType="end"/>
          </w:r>
          <w:r>
            <w:fldChar w:fldCharType="begin"/>
          </w:r>
          <w:r>
            <w:instrText xml:space="preserve"> DOCPROPERTY "EndDt"  *\charformat </w:instrText>
          </w:r>
          <w:r>
            <w:fldChar w:fldCharType="separate"/>
          </w:r>
          <w:r w:rsidR="00FC4A24">
            <w:t>-08/03/20</w:t>
          </w:r>
          <w:r>
            <w:fldChar w:fldCharType="end"/>
          </w:r>
        </w:p>
      </w:tc>
      <w:tc>
        <w:tcPr>
          <w:tcW w:w="847" w:type="pct"/>
        </w:tcPr>
        <w:p w:rsidR="00563EEA" w:rsidRDefault="00563E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63EEA" w:rsidRPr="00546A8E" w:rsidRDefault="00546A8E" w:rsidP="00546A8E">
    <w:pPr>
      <w:pStyle w:val="Status"/>
      <w:rPr>
        <w:rFonts w:cs="Arial"/>
      </w:rPr>
    </w:pPr>
    <w:r w:rsidRPr="00546A8E">
      <w:rPr>
        <w:rFonts w:cs="Arial"/>
      </w:rPr>
      <w:fldChar w:fldCharType="begin"/>
    </w:r>
    <w:r w:rsidRPr="00546A8E">
      <w:rPr>
        <w:rFonts w:cs="Arial"/>
      </w:rPr>
      <w:instrText xml:space="preserve"> DOCPROPERTY "Status" </w:instrText>
    </w:r>
    <w:r w:rsidRPr="00546A8E">
      <w:rPr>
        <w:rFonts w:cs="Arial"/>
      </w:rPr>
      <w:fldChar w:fldCharType="separate"/>
    </w:r>
    <w:r w:rsidR="00FC4A24" w:rsidRPr="00546A8E">
      <w:rPr>
        <w:rFonts w:cs="Arial"/>
      </w:rPr>
      <w:t xml:space="preserve"> </w:t>
    </w:r>
    <w:r w:rsidRPr="00546A8E">
      <w:rPr>
        <w:rFonts w:cs="Arial"/>
      </w:rPr>
      <w:fldChar w:fldCharType="end"/>
    </w:r>
    <w:r w:rsidRPr="00546A8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31A" w:rsidRDefault="00B2631A">
      <w:r>
        <w:separator/>
      </w:r>
    </w:p>
  </w:footnote>
  <w:footnote w:type="continuationSeparator" w:id="0">
    <w:p w:rsidR="00B2631A" w:rsidRDefault="00B26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489" w:rsidRDefault="003C048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00"/>
      <w:gridCol w:w="6107"/>
    </w:tblGrid>
    <w:tr w:rsidR="00563EEA" w:rsidTr="00F2594C">
      <w:tc>
        <w:tcPr>
          <w:tcW w:w="1038" w:type="pct"/>
        </w:tcPr>
        <w:p w:rsidR="00563EEA" w:rsidRDefault="00563EEA">
          <w:pPr>
            <w:pStyle w:val="HeaderEven"/>
            <w:rPr>
              <w:b/>
            </w:rPr>
          </w:pPr>
          <w:r>
            <w:rPr>
              <w:b/>
            </w:rPr>
            <w:fldChar w:fldCharType="begin"/>
          </w:r>
          <w:r>
            <w:rPr>
              <w:b/>
            </w:rPr>
            <w:instrText xml:space="preserve"> STYLEREF CharChapNo \*charformat  </w:instrText>
          </w:r>
          <w:r>
            <w:rPr>
              <w:b/>
            </w:rPr>
            <w:fldChar w:fldCharType="separate"/>
          </w:r>
          <w:r w:rsidR="00546A8E">
            <w:rPr>
              <w:b/>
              <w:noProof/>
            </w:rPr>
            <w:t>Chapter 5</w:t>
          </w:r>
          <w:r>
            <w:rPr>
              <w:b/>
            </w:rPr>
            <w:fldChar w:fldCharType="end"/>
          </w:r>
        </w:p>
      </w:tc>
      <w:tc>
        <w:tcPr>
          <w:tcW w:w="3962" w:type="pct"/>
        </w:tcPr>
        <w:p w:rsidR="00563EEA" w:rsidRDefault="00563EEA">
          <w:pPr>
            <w:pStyle w:val="HeaderEven"/>
          </w:pPr>
          <w:r>
            <w:rPr>
              <w:noProof/>
            </w:rPr>
            <w:fldChar w:fldCharType="begin"/>
          </w:r>
          <w:r>
            <w:rPr>
              <w:noProof/>
            </w:rPr>
            <w:instrText xml:space="preserve"> STYLEREF CharChapText \*charformat  </w:instrText>
          </w:r>
          <w:r>
            <w:rPr>
              <w:noProof/>
            </w:rPr>
            <w:fldChar w:fldCharType="separate"/>
          </w:r>
          <w:r w:rsidR="00546A8E">
            <w:rPr>
              <w:noProof/>
            </w:rPr>
            <w:t>Miscellaneous</w:t>
          </w:r>
          <w:r>
            <w:rPr>
              <w:noProof/>
            </w:rPr>
            <w:fldChar w:fldCharType="end"/>
          </w:r>
        </w:p>
      </w:tc>
    </w:tr>
    <w:tr w:rsidR="00563EEA" w:rsidTr="00F2594C">
      <w:tc>
        <w:tcPr>
          <w:tcW w:w="1038" w:type="pct"/>
        </w:tcPr>
        <w:p w:rsidR="00563EEA" w:rsidRDefault="00563EEA">
          <w:pPr>
            <w:pStyle w:val="HeaderEven"/>
            <w:rPr>
              <w:b/>
            </w:rPr>
          </w:pPr>
          <w:r>
            <w:rPr>
              <w:b/>
            </w:rPr>
            <w:fldChar w:fldCharType="begin"/>
          </w:r>
          <w:r>
            <w:rPr>
              <w:b/>
            </w:rPr>
            <w:instrText xml:space="preserve"> STYLEREF CharPartNo \*charformat </w:instrText>
          </w:r>
          <w:r>
            <w:rPr>
              <w:b/>
            </w:rPr>
            <w:fldChar w:fldCharType="end"/>
          </w:r>
        </w:p>
      </w:tc>
      <w:tc>
        <w:tcPr>
          <w:tcW w:w="3962" w:type="pct"/>
        </w:tcPr>
        <w:p w:rsidR="00563EEA" w:rsidRDefault="00563EEA">
          <w:pPr>
            <w:pStyle w:val="HeaderEven"/>
          </w:pPr>
          <w:r>
            <w:fldChar w:fldCharType="begin"/>
          </w:r>
          <w:r>
            <w:instrText xml:space="preserve"> STYLEREF CharPartText \*charformat </w:instrText>
          </w:r>
          <w:r>
            <w:fldChar w:fldCharType="end"/>
          </w:r>
        </w:p>
      </w:tc>
    </w:tr>
    <w:tr w:rsidR="00563EEA" w:rsidTr="00F2594C">
      <w:tc>
        <w:tcPr>
          <w:tcW w:w="1038" w:type="pct"/>
        </w:tcPr>
        <w:p w:rsidR="00563EEA" w:rsidRDefault="00563EEA">
          <w:pPr>
            <w:pStyle w:val="HeaderEven"/>
            <w:rPr>
              <w:b/>
            </w:rPr>
          </w:pPr>
          <w:r>
            <w:rPr>
              <w:b/>
            </w:rPr>
            <w:fldChar w:fldCharType="begin"/>
          </w:r>
          <w:r>
            <w:rPr>
              <w:b/>
            </w:rPr>
            <w:instrText xml:space="preserve"> STYLEREF CharDivNo \*charformat </w:instrText>
          </w:r>
          <w:r>
            <w:rPr>
              <w:b/>
            </w:rPr>
            <w:fldChar w:fldCharType="end"/>
          </w:r>
        </w:p>
      </w:tc>
      <w:tc>
        <w:tcPr>
          <w:tcW w:w="3962" w:type="pct"/>
        </w:tcPr>
        <w:p w:rsidR="00563EEA" w:rsidRDefault="00563EEA">
          <w:pPr>
            <w:pStyle w:val="HeaderEven"/>
          </w:pPr>
          <w:r>
            <w:fldChar w:fldCharType="begin"/>
          </w:r>
          <w:r>
            <w:instrText xml:space="preserve"> STYLEREF CharDivText \*charformat </w:instrText>
          </w:r>
          <w:r>
            <w:fldChar w:fldCharType="end"/>
          </w:r>
        </w:p>
      </w:tc>
    </w:tr>
    <w:tr w:rsidR="00563EEA" w:rsidTr="001B6165">
      <w:trPr>
        <w:cantSplit/>
      </w:trPr>
      <w:tc>
        <w:tcPr>
          <w:tcW w:w="5000" w:type="pct"/>
          <w:gridSpan w:val="2"/>
          <w:tcBorders>
            <w:bottom w:val="single" w:sz="4" w:space="0" w:color="auto"/>
          </w:tcBorders>
        </w:tcPr>
        <w:p w:rsidR="00563EEA" w:rsidRDefault="00546A8E">
          <w:pPr>
            <w:pStyle w:val="HeaderEven6"/>
          </w:pPr>
          <w:r>
            <w:fldChar w:fldCharType="begin"/>
          </w:r>
          <w:r>
            <w:instrText xml:space="preserve"> DOCPROPERTY "Company"  \* MERGEFORMAT </w:instrText>
          </w:r>
          <w:r>
            <w:fldChar w:fldCharType="separate"/>
          </w:r>
          <w:r w:rsidR="00FC4A24">
            <w:t>Section</w:t>
          </w:r>
          <w:r>
            <w:fldChar w:fldCharType="end"/>
          </w:r>
          <w:r w:rsidR="00563EEA">
            <w:t xml:space="preserve"> </w:t>
          </w:r>
          <w:r w:rsidR="00563EEA">
            <w:rPr>
              <w:noProof/>
            </w:rPr>
            <w:fldChar w:fldCharType="begin"/>
          </w:r>
          <w:r w:rsidR="00563EEA">
            <w:rPr>
              <w:noProof/>
            </w:rPr>
            <w:instrText xml:space="preserve"> STYLEREF CharSectNo \*charformat </w:instrText>
          </w:r>
          <w:r w:rsidR="00563EEA">
            <w:rPr>
              <w:noProof/>
            </w:rPr>
            <w:fldChar w:fldCharType="separate"/>
          </w:r>
          <w:r>
            <w:rPr>
              <w:noProof/>
            </w:rPr>
            <w:t>193</w:t>
          </w:r>
          <w:r w:rsidR="00563EEA">
            <w:rPr>
              <w:noProof/>
            </w:rPr>
            <w:fldChar w:fldCharType="end"/>
          </w:r>
        </w:p>
      </w:tc>
    </w:tr>
  </w:tbl>
  <w:p w:rsidR="00563EEA" w:rsidRDefault="00563EE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Look w:val="0000" w:firstRow="0" w:lastRow="0" w:firstColumn="0" w:lastColumn="0" w:noHBand="0" w:noVBand="0"/>
    </w:tblPr>
    <w:tblGrid>
      <w:gridCol w:w="6035"/>
      <w:gridCol w:w="1673"/>
    </w:tblGrid>
    <w:tr w:rsidR="00563EEA" w:rsidTr="00F2594C">
      <w:tc>
        <w:tcPr>
          <w:tcW w:w="3915" w:type="pct"/>
        </w:tcPr>
        <w:p w:rsidR="00563EEA" w:rsidRDefault="00563EEA">
          <w:pPr>
            <w:pStyle w:val="HeaderEven"/>
            <w:jc w:val="right"/>
          </w:pPr>
          <w:r>
            <w:rPr>
              <w:noProof/>
            </w:rPr>
            <w:fldChar w:fldCharType="begin"/>
          </w:r>
          <w:r>
            <w:rPr>
              <w:noProof/>
            </w:rPr>
            <w:instrText xml:space="preserve"> STYLEREF CharChapText \*charformat  </w:instrText>
          </w:r>
          <w:r>
            <w:rPr>
              <w:noProof/>
            </w:rPr>
            <w:fldChar w:fldCharType="separate"/>
          </w:r>
          <w:r w:rsidR="00546A8E">
            <w:rPr>
              <w:noProof/>
            </w:rPr>
            <w:t>Miscellaneous</w:t>
          </w:r>
          <w:r>
            <w:rPr>
              <w:noProof/>
            </w:rPr>
            <w:fldChar w:fldCharType="end"/>
          </w:r>
        </w:p>
      </w:tc>
      <w:tc>
        <w:tcPr>
          <w:tcW w:w="1085" w:type="pct"/>
        </w:tcPr>
        <w:p w:rsidR="00563EEA" w:rsidRDefault="00563EEA">
          <w:pPr>
            <w:pStyle w:val="HeaderEven"/>
            <w:jc w:val="right"/>
            <w:rPr>
              <w:b/>
            </w:rPr>
          </w:pPr>
          <w:r>
            <w:rPr>
              <w:b/>
            </w:rPr>
            <w:fldChar w:fldCharType="begin"/>
          </w:r>
          <w:r>
            <w:rPr>
              <w:b/>
            </w:rPr>
            <w:instrText xml:space="preserve"> STYLEREF CharChapNo \*charformat  </w:instrText>
          </w:r>
          <w:r>
            <w:rPr>
              <w:b/>
            </w:rPr>
            <w:fldChar w:fldCharType="separate"/>
          </w:r>
          <w:r w:rsidR="00546A8E">
            <w:rPr>
              <w:b/>
              <w:noProof/>
            </w:rPr>
            <w:t>Chapter 5</w:t>
          </w:r>
          <w:r>
            <w:rPr>
              <w:b/>
            </w:rPr>
            <w:fldChar w:fldCharType="end"/>
          </w:r>
        </w:p>
      </w:tc>
    </w:tr>
    <w:tr w:rsidR="00563EEA" w:rsidTr="00F2594C">
      <w:tc>
        <w:tcPr>
          <w:tcW w:w="3915" w:type="pct"/>
        </w:tcPr>
        <w:p w:rsidR="00563EEA" w:rsidRDefault="00563EEA">
          <w:pPr>
            <w:pStyle w:val="HeaderEven"/>
            <w:jc w:val="right"/>
          </w:pPr>
          <w:r>
            <w:fldChar w:fldCharType="begin"/>
          </w:r>
          <w:r>
            <w:instrText xml:space="preserve"> STYLEREF CharPartText \*charformat </w:instrText>
          </w:r>
          <w:r>
            <w:fldChar w:fldCharType="end"/>
          </w:r>
        </w:p>
      </w:tc>
      <w:tc>
        <w:tcPr>
          <w:tcW w:w="1085" w:type="pct"/>
        </w:tcPr>
        <w:p w:rsidR="00563EEA" w:rsidRDefault="00563EEA">
          <w:pPr>
            <w:pStyle w:val="HeaderEven"/>
            <w:jc w:val="right"/>
            <w:rPr>
              <w:b/>
            </w:rPr>
          </w:pPr>
          <w:r>
            <w:rPr>
              <w:b/>
            </w:rPr>
            <w:fldChar w:fldCharType="begin"/>
          </w:r>
          <w:r>
            <w:rPr>
              <w:b/>
            </w:rPr>
            <w:instrText xml:space="preserve"> STYLEREF CharPartNo \*charformat </w:instrText>
          </w:r>
          <w:r>
            <w:rPr>
              <w:b/>
            </w:rPr>
            <w:fldChar w:fldCharType="end"/>
          </w:r>
        </w:p>
      </w:tc>
    </w:tr>
    <w:tr w:rsidR="00563EEA" w:rsidTr="00F2594C">
      <w:tc>
        <w:tcPr>
          <w:tcW w:w="3915" w:type="pct"/>
        </w:tcPr>
        <w:p w:rsidR="00563EEA" w:rsidRDefault="00563EEA">
          <w:pPr>
            <w:pStyle w:val="HeaderEven"/>
            <w:jc w:val="right"/>
          </w:pPr>
          <w:r>
            <w:fldChar w:fldCharType="begin"/>
          </w:r>
          <w:r>
            <w:instrText xml:space="preserve"> STYLEREF CharDivText \*charformat </w:instrText>
          </w:r>
          <w:r>
            <w:fldChar w:fldCharType="end"/>
          </w:r>
        </w:p>
      </w:tc>
      <w:tc>
        <w:tcPr>
          <w:tcW w:w="1085" w:type="pct"/>
        </w:tcPr>
        <w:p w:rsidR="00563EEA" w:rsidRDefault="00563EEA">
          <w:pPr>
            <w:pStyle w:val="HeaderEven"/>
            <w:jc w:val="right"/>
            <w:rPr>
              <w:b/>
            </w:rPr>
          </w:pPr>
          <w:r>
            <w:rPr>
              <w:b/>
            </w:rPr>
            <w:fldChar w:fldCharType="begin"/>
          </w:r>
          <w:r>
            <w:rPr>
              <w:b/>
            </w:rPr>
            <w:instrText xml:space="preserve"> STYLEREF CharDivNo \*charformat </w:instrText>
          </w:r>
          <w:r>
            <w:rPr>
              <w:b/>
            </w:rPr>
            <w:fldChar w:fldCharType="end"/>
          </w:r>
        </w:p>
      </w:tc>
    </w:tr>
    <w:tr w:rsidR="00563EEA" w:rsidTr="00F2594C">
      <w:trPr>
        <w:cantSplit/>
      </w:trPr>
      <w:tc>
        <w:tcPr>
          <w:tcW w:w="5000" w:type="pct"/>
          <w:gridSpan w:val="2"/>
          <w:tcBorders>
            <w:bottom w:val="single" w:sz="4" w:space="0" w:color="auto"/>
          </w:tcBorders>
        </w:tcPr>
        <w:p w:rsidR="00563EEA" w:rsidRDefault="00546A8E">
          <w:pPr>
            <w:pStyle w:val="HeaderOdd6"/>
          </w:pPr>
          <w:r>
            <w:fldChar w:fldCharType="begin"/>
          </w:r>
          <w:r>
            <w:instrText xml:space="preserve"> DOCPROPERTY "Company"  \* MERGEFORMAT </w:instrText>
          </w:r>
          <w:r>
            <w:fldChar w:fldCharType="separate"/>
          </w:r>
          <w:r w:rsidR="00FC4A24">
            <w:t>Section</w:t>
          </w:r>
          <w:r>
            <w:fldChar w:fldCharType="end"/>
          </w:r>
          <w:r w:rsidR="00563EEA">
            <w:t xml:space="preserve"> </w:t>
          </w:r>
          <w:r w:rsidR="00563EEA">
            <w:rPr>
              <w:noProof/>
            </w:rPr>
            <w:fldChar w:fldCharType="begin"/>
          </w:r>
          <w:r w:rsidR="00563EEA">
            <w:rPr>
              <w:noProof/>
            </w:rPr>
            <w:instrText xml:space="preserve"> STYLEREF CharSectNo \*charformat </w:instrText>
          </w:r>
          <w:r w:rsidR="00563EEA">
            <w:rPr>
              <w:noProof/>
            </w:rPr>
            <w:fldChar w:fldCharType="separate"/>
          </w:r>
          <w:r>
            <w:rPr>
              <w:noProof/>
            </w:rPr>
            <w:t>194</w:t>
          </w:r>
          <w:r w:rsidR="00563EEA">
            <w:rPr>
              <w:noProof/>
            </w:rPr>
            <w:fldChar w:fldCharType="end"/>
          </w:r>
        </w:p>
      </w:tc>
    </w:tr>
  </w:tbl>
  <w:p w:rsidR="00563EEA" w:rsidRDefault="00563EE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63EEA" w:rsidRPr="00CB3D59">
      <w:trPr>
        <w:jc w:val="center"/>
      </w:trPr>
      <w:tc>
        <w:tcPr>
          <w:tcW w:w="1560" w:type="dxa"/>
        </w:tcPr>
        <w:p w:rsidR="00563EEA" w:rsidRPr="00F02A14" w:rsidRDefault="00563EE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46A8E">
            <w:rPr>
              <w:rFonts w:cs="Arial"/>
              <w:b/>
              <w:noProof/>
              <w:szCs w:val="18"/>
            </w:rPr>
            <w:t>Schedule 1</w:t>
          </w:r>
          <w:r w:rsidRPr="00F02A14">
            <w:rPr>
              <w:rFonts w:cs="Arial"/>
              <w:b/>
              <w:szCs w:val="18"/>
            </w:rPr>
            <w:fldChar w:fldCharType="end"/>
          </w:r>
        </w:p>
      </w:tc>
      <w:tc>
        <w:tcPr>
          <w:tcW w:w="5741" w:type="dxa"/>
        </w:tcPr>
        <w:p w:rsidR="00563EEA" w:rsidRPr="00F02A14" w:rsidRDefault="00563EE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46A8E">
            <w:rPr>
              <w:rFonts w:cs="Arial"/>
              <w:noProof/>
              <w:szCs w:val="18"/>
            </w:rPr>
            <w:t>Oaths and affirmations</w:t>
          </w:r>
          <w:r w:rsidRPr="00F02A14">
            <w:rPr>
              <w:rFonts w:cs="Arial"/>
              <w:szCs w:val="18"/>
            </w:rPr>
            <w:fldChar w:fldCharType="end"/>
          </w:r>
        </w:p>
      </w:tc>
    </w:tr>
    <w:tr w:rsidR="00563EEA" w:rsidRPr="00CB3D59">
      <w:trPr>
        <w:jc w:val="center"/>
      </w:trPr>
      <w:tc>
        <w:tcPr>
          <w:tcW w:w="1560" w:type="dxa"/>
        </w:tcPr>
        <w:p w:rsidR="00563EEA" w:rsidRPr="00F02A14" w:rsidRDefault="00563EE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563EEA" w:rsidRPr="00F02A14" w:rsidRDefault="00563EE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563EEA" w:rsidRPr="00CB3D59">
      <w:trPr>
        <w:jc w:val="center"/>
      </w:trPr>
      <w:tc>
        <w:tcPr>
          <w:tcW w:w="7296" w:type="dxa"/>
          <w:gridSpan w:val="2"/>
          <w:tcBorders>
            <w:bottom w:val="single" w:sz="4" w:space="0" w:color="auto"/>
          </w:tcBorders>
        </w:tcPr>
        <w:p w:rsidR="00563EEA" w:rsidRPr="00783A18" w:rsidRDefault="00563EEA" w:rsidP="007D5A15">
          <w:pPr>
            <w:pStyle w:val="HeaderEven6"/>
            <w:spacing w:before="0" w:after="0"/>
            <w:rPr>
              <w:rFonts w:ascii="Times New Roman" w:hAnsi="Times New Roman"/>
              <w:sz w:val="24"/>
              <w:szCs w:val="24"/>
            </w:rPr>
          </w:pPr>
        </w:p>
      </w:tc>
    </w:tr>
  </w:tbl>
  <w:p w:rsidR="00563EEA" w:rsidRDefault="00563EE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63EEA" w:rsidRPr="00CB3D59">
      <w:trPr>
        <w:jc w:val="center"/>
      </w:trPr>
      <w:tc>
        <w:tcPr>
          <w:tcW w:w="5741" w:type="dxa"/>
        </w:tcPr>
        <w:p w:rsidR="00563EEA" w:rsidRPr="00F02A14" w:rsidRDefault="00563EE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C4A24">
            <w:rPr>
              <w:rFonts w:cs="Arial"/>
              <w:noProof/>
              <w:szCs w:val="18"/>
            </w:rPr>
            <w:t>Miscellaneous</w:t>
          </w:r>
          <w:r w:rsidRPr="00F02A14">
            <w:rPr>
              <w:rFonts w:cs="Arial"/>
              <w:szCs w:val="18"/>
            </w:rPr>
            <w:fldChar w:fldCharType="end"/>
          </w:r>
        </w:p>
      </w:tc>
      <w:tc>
        <w:tcPr>
          <w:tcW w:w="1560" w:type="dxa"/>
        </w:tcPr>
        <w:p w:rsidR="00563EEA" w:rsidRPr="00F02A14" w:rsidRDefault="00563EE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C4A24">
            <w:rPr>
              <w:rFonts w:cs="Arial"/>
              <w:b/>
              <w:noProof/>
              <w:szCs w:val="18"/>
            </w:rPr>
            <w:t>Chapter 5</w:t>
          </w:r>
          <w:r w:rsidRPr="00F02A14">
            <w:rPr>
              <w:rFonts w:cs="Arial"/>
              <w:b/>
              <w:szCs w:val="18"/>
            </w:rPr>
            <w:fldChar w:fldCharType="end"/>
          </w:r>
        </w:p>
      </w:tc>
    </w:tr>
    <w:tr w:rsidR="00563EEA" w:rsidRPr="00CB3D59">
      <w:trPr>
        <w:jc w:val="center"/>
      </w:trPr>
      <w:tc>
        <w:tcPr>
          <w:tcW w:w="5741" w:type="dxa"/>
        </w:tcPr>
        <w:p w:rsidR="00563EEA" w:rsidRPr="00F02A14" w:rsidRDefault="00563EE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563EEA" w:rsidRPr="00F02A14" w:rsidRDefault="00563EE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563EEA" w:rsidRPr="00CB3D59">
      <w:trPr>
        <w:jc w:val="center"/>
      </w:trPr>
      <w:tc>
        <w:tcPr>
          <w:tcW w:w="7296" w:type="dxa"/>
          <w:gridSpan w:val="2"/>
          <w:tcBorders>
            <w:bottom w:val="single" w:sz="4" w:space="0" w:color="auto"/>
          </w:tcBorders>
        </w:tcPr>
        <w:p w:rsidR="00563EEA" w:rsidRPr="00783A18" w:rsidRDefault="00563EEA" w:rsidP="007D5A15">
          <w:pPr>
            <w:pStyle w:val="HeaderOdd6"/>
            <w:spacing w:before="0" w:after="0"/>
            <w:jc w:val="left"/>
            <w:rPr>
              <w:rFonts w:ascii="Times New Roman" w:hAnsi="Times New Roman"/>
              <w:sz w:val="24"/>
              <w:szCs w:val="24"/>
            </w:rPr>
          </w:pPr>
        </w:p>
      </w:tc>
    </w:tr>
  </w:tbl>
  <w:p w:rsidR="00563EEA" w:rsidRDefault="00563EE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63EEA" w:rsidRPr="00CB3D59">
      <w:trPr>
        <w:jc w:val="center"/>
      </w:trPr>
      <w:tc>
        <w:tcPr>
          <w:tcW w:w="1560" w:type="dxa"/>
        </w:tcPr>
        <w:p w:rsidR="00563EEA" w:rsidRPr="00F02A14" w:rsidRDefault="00563EEA">
          <w:pPr>
            <w:pStyle w:val="HeaderEven"/>
            <w:rPr>
              <w:rFonts w:cs="Arial"/>
              <w:b/>
              <w:szCs w:val="18"/>
            </w:rPr>
          </w:pPr>
          <w:r>
            <w:rPr>
              <w:rFonts w:cs="Arial"/>
              <w:b/>
              <w:noProof/>
              <w:szCs w:val="18"/>
            </w:rPr>
            <w:t>Dictionary</w:t>
          </w:r>
        </w:p>
      </w:tc>
      <w:tc>
        <w:tcPr>
          <w:tcW w:w="5741" w:type="dxa"/>
        </w:tcPr>
        <w:p w:rsidR="00563EEA" w:rsidRPr="00F02A14" w:rsidRDefault="00563EEA">
          <w:pPr>
            <w:pStyle w:val="HeaderEven"/>
            <w:rPr>
              <w:rFonts w:cs="Arial"/>
              <w:szCs w:val="18"/>
            </w:rPr>
          </w:pPr>
        </w:p>
      </w:tc>
    </w:tr>
    <w:tr w:rsidR="00563EEA" w:rsidRPr="00CB3D59">
      <w:trPr>
        <w:jc w:val="center"/>
      </w:trPr>
      <w:tc>
        <w:tcPr>
          <w:tcW w:w="1560" w:type="dxa"/>
        </w:tcPr>
        <w:p w:rsidR="00563EEA" w:rsidRPr="00F02A14" w:rsidRDefault="00563EE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46A8E">
            <w:rPr>
              <w:rFonts w:cs="Arial"/>
              <w:b/>
              <w:noProof/>
              <w:szCs w:val="18"/>
            </w:rPr>
            <w:t>Part 1</w:t>
          </w:r>
          <w:r w:rsidRPr="00F02A14">
            <w:rPr>
              <w:rFonts w:cs="Arial"/>
              <w:b/>
              <w:szCs w:val="18"/>
            </w:rPr>
            <w:fldChar w:fldCharType="end"/>
          </w:r>
        </w:p>
      </w:tc>
      <w:tc>
        <w:tcPr>
          <w:tcW w:w="5741" w:type="dxa"/>
        </w:tcPr>
        <w:p w:rsidR="00563EEA" w:rsidRPr="00F02A14" w:rsidRDefault="00563EE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46A8E">
            <w:rPr>
              <w:rFonts w:cs="Arial"/>
              <w:noProof/>
              <w:szCs w:val="18"/>
            </w:rPr>
            <w:t>Definitions</w:t>
          </w:r>
          <w:r w:rsidRPr="00F02A14">
            <w:rPr>
              <w:rFonts w:cs="Arial"/>
              <w:szCs w:val="18"/>
            </w:rPr>
            <w:fldChar w:fldCharType="end"/>
          </w:r>
        </w:p>
      </w:tc>
    </w:tr>
    <w:tr w:rsidR="00563EEA" w:rsidRPr="00CB3D59">
      <w:trPr>
        <w:jc w:val="center"/>
      </w:trPr>
      <w:tc>
        <w:tcPr>
          <w:tcW w:w="7296" w:type="dxa"/>
          <w:gridSpan w:val="2"/>
          <w:tcBorders>
            <w:bottom w:val="single" w:sz="4" w:space="0" w:color="auto"/>
          </w:tcBorders>
        </w:tcPr>
        <w:p w:rsidR="00563EEA" w:rsidRPr="00783A18" w:rsidRDefault="00563EEA" w:rsidP="007D5A15">
          <w:pPr>
            <w:pStyle w:val="HeaderEven6"/>
            <w:spacing w:before="0" w:after="0"/>
            <w:rPr>
              <w:rFonts w:ascii="Times New Roman" w:hAnsi="Times New Roman"/>
              <w:sz w:val="24"/>
              <w:szCs w:val="24"/>
            </w:rPr>
          </w:pPr>
        </w:p>
      </w:tc>
    </w:tr>
  </w:tbl>
  <w:p w:rsidR="00563EEA" w:rsidRDefault="00563EE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63EEA" w:rsidRPr="00CB3D59">
      <w:trPr>
        <w:jc w:val="center"/>
      </w:trPr>
      <w:tc>
        <w:tcPr>
          <w:tcW w:w="5741" w:type="dxa"/>
        </w:tcPr>
        <w:p w:rsidR="00563EEA" w:rsidRPr="00F02A14" w:rsidRDefault="00563EEA">
          <w:pPr>
            <w:pStyle w:val="HeaderEven"/>
            <w:jc w:val="right"/>
            <w:rPr>
              <w:rFonts w:cs="Arial"/>
              <w:szCs w:val="18"/>
            </w:rPr>
          </w:pPr>
        </w:p>
      </w:tc>
      <w:tc>
        <w:tcPr>
          <w:tcW w:w="1560" w:type="dxa"/>
        </w:tcPr>
        <w:p w:rsidR="00563EEA" w:rsidRPr="00F02A14" w:rsidRDefault="00563EEA">
          <w:pPr>
            <w:pStyle w:val="HeaderEven"/>
            <w:jc w:val="right"/>
            <w:rPr>
              <w:rFonts w:cs="Arial"/>
              <w:b/>
              <w:szCs w:val="18"/>
            </w:rPr>
          </w:pPr>
          <w:r>
            <w:rPr>
              <w:rFonts w:cs="Arial"/>
              <w:b/>
              <w:noProof/>
              <w:szCs w:val="18"/>
            </w:rPr>
            <w:t>Dictionary</w:t>
          </w:r>
        </w:p>
      </w:tc>
    </w:tr>
    <w:tr w:rsidR="00563EEA" w:rsidRPr="00CB3D59">
      <w:trPr>
        <w:jc w:val="center"/>
      </w:trPr>
      <w:tc>
        <w:tcPr>
          <w:tcW w:w="5741" w:type="dxa"/>
        </w:tcPr>
        <w:p w:rsidR="00563EEA" w:rsidRPr="00F02A14" w:rsidRDefault="00563EE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46A8E">
            <w:rPr>
              <w:rFonts w:cs="Arial"/>
              <w:noProof/>
              <w:szCs w:val="18"/>
            </w:rPr>
            <w:t>Definitions</w:t>
          </w:r>
          <w:r w:rsidRPr="00F02A14">
            <w:rPr>
              <w:rFonts w:cs="Arial"/>
              <w:szCs w:val="18"/>
            </w:rPr>
            <w:fldChar w:fldCharType="end"/>
          </w:r>
        </w:p>
      </w:tc>
      <w:tc>
        <w:tcPr>
          <w:tcW w:w="1560" w:type="dxa"/>
        </w:tcPr>
        <w:p w:rsidR="00563EEA" w:rsidRPr="00F02A14" w:rsidRDefault="00563EE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46A8E">
            <w:rPr>
              <w:rFonts w:cs="Arial"/>
              <w:b/>
              <w:noProof/>
              <w:szCs w:val="18"/>
            </w:rPr>
            <w:t>Part 1</w:t>
          </w:r>
          <w:r w:rsidRPr="00F02A14">
            <w:rPr>
              <w:rFonts w:cs="Arial"/>
              <w:b/>
              <w:szCs w:val="18"/>
            </w:rPr>
            <w:fldChar w:fldCharType="end"/>
          </w:r>
        </w:p>
      </w:tc>
    </w:tr>
    <w:tr w:rsidR="00563EEA" w:rsidRPr="00CB3D59">
      <w:trPr>
        <w:jc w:val="center"/>
      </w:trPr>
      <w:tc>
        <w:tcPr>
          <w:tcW w:w="7296" w:type="dxa"/>
          <w:gridSpan w:val="2"/>
          <w:tcBorders>
            <w:bottom w:val="single" w:sz="4" w:space="0" w:color="auto"/>
          </w:tcBorders>
        </w:tcPr>
        <w:p w:rsidR="00563EEA" w:rsidRPr="00783A18" w:rsidRDefault="00563EEA" w:rsidP="007D5A15">
          <w:pPr>
            <w:pStyle w:val="HeaderOdd6"/>
            <w:spacing w:before="0" w:after="0"/>
            <w:jc w:val="left"/>
            <w:rPr>
              <w:rFonts w:ascii="Times New Roman" w:hAnsi="Times New Roman"/>
              <w:sz w:val="24"/>
              <w:szCs w:val="24"/>
            </w:rPr>
          </w:pPr>
        </w:p>
      </w:tc>
    </w:tr>
  </w:tbl>
  <w:p w:rsidR="00563EEA" w:rsidRDefault="00563EE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63EEA" w:rsidRPr="00CB3D59">
      <w:trPr>
        <w:jc w:val="center"/>
      </w:trPr>
      <w:tc>
        <w:tcPr>
          <w:tcW w:w="1560" w:type="dxa"/>
        </w:tcPr>
        <w:p w:rsidR="00563EEA" w:rsidRPr="00A752AE" w:rsidRDefault="00563EEA">
          <w:pPr>
            <w:pStyle w:val="HeaderEven"/>
            <w:rPr>
              <w:rFonts w:cs="Arial"/>
              <w:b/>
              <w:szCs w:val="18"/>
            </w:rPr>
          </w:pPr>
          <w:r>
            <w:rPr>
              <w:rFonts w:cs="Arial"/>
              <w:b/>
              <w:noProof/>
              <w:szCs w:val="18"/>
            </w:rPr>
            <w:t>Dictionary</w:t>
          </w:r>
        </w:p>
      </w:tc>
      <w:tc>
        <w:tcPr>
          <w:tcW w:w="5741" w:type="dxa"/>
        </w:tcPr>
        <w:p w:rsidR="00563EEA" w:rsidRPr="00A752AE" w:rsidRDefault="00563EEA">
          <w:pPr>
            <w:pStyle w:val="HeaderEven"/>
            <w:rPr>
              <w:rFonts w:cs="Arial"/>
              <w:szCs w:val="18"/>
            </w:rPr>
          </w:pPr>
        </w:p>
      </w:tc>
    </w:tr>
    <w:tr w:rsidR="00563EEA" w:rsidRPr="00CB3D59">
      <w:trPr>
        <w:jc w:val="center"/>
      </w:trPr>
      <w:tc>
        <w:tcPr>
          <w:tcW w:w="1560" w:type="dxa"/>
        </w:tcPr>
        <w:p w:rsidR="00563EEA" w:rsidRPr="00A752AE" w:rsidRDefault="00563EE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46A8E">
            <w:rPr>
              <w:rFonts w:cs="Arial"/>
              <w:b/>
              <w:noProof/>
              <w:szCs w:val="18"/>
            </w:rPr>
            <w:t>Part 2</w:t>
          </w:r>
          <w:r w:rsidRPr="00A752AE">
            <w:rPr>
              <w:rFonts w:cs="Arial"/>
              <w:b/>
              <w:szCs w:val="18"/>
            </w:rPr>
            <w:fldChar w:fldCharType="end"/>
          </w:r>
        </w:p>
      </w:tc>
      <w:tc>
        <w:tcPr>
          <w:tcW w:w="5741" w:type="dxa"/>
        </w:tcPr>
        <w:p w:rsidR="00563EEA" w:rsidRPr="00A752AE" w:rsidRDefault="00563EE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46A8E">
            <w:rPr>
              <w:rFonts w:cs="Arial"/>
              <w:noProof/>
              <w:szCs w:val="18"/>
            </w:rPr>
            <w:t>Other expressions</w:t>
          </w:r>
          <w:r w:rsidRPr="00A752AE">
            <w:rPr>
              <w:rFonts w:cs="Arial"/>
              <w:szCs w:val="18"/>
            </w:rPr>
            <w:fldChar w:fldCharType="end"/>
          </w:r>
        </w:p>
      </w:tc>
    </w:tr>
    <w:tr w:rsidR="00563EEA" w:rsidRPr="00CB3D59">
      <w:trPr>
        <w:jc w:val="center"/>
      </w:trPr>
      <w:tc>
        <w:tcPr>
          <w:tcW w:w="7296" w:type="dxa"/>
          <w:gridSpan w:val="2"/>
          <w:tcBorders>
            <w:bottom w:val="single" w:sz="4" w:space="0" w:color="auto"/>
          </w:tcBorders>
        </w:tcPr>
        <w:p w:rsidR="00563EEA" w:rsidRPr="00A752AE" w:rsidRDefault="00563EEA" w:rsidP="000E543D">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46A8E">
            <w:rPr>
              <w:rFonts w:cs="Arial"/>
              <w:noProof/>
              <w:szCs w:val="18"/>
            </w:rPr>
            <w:t>7</w:t>
          </w:r>
          <w:r w:rsidRPr="00A752AE">
            <w:rPr>
              <w:rFonts w:cs="Arial"/>
              <w:szCs w:val="18"/>
            </w:rPr>
            <w:fldChar w:fldCharType="end"/>
          </w:r>
        </w:p>
      </w:tc>
    </w:tr>
  </w:tbl>
  <w:p w:rsidR="00563EEA" w:rsidRDefault="00563EE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63EEA" w:rsidRPr="00CB3D59">
      <w:trPr>
        <w:jc w:val="center"/>
      </w:trPr>
      <w:tc>
        <w:tcPr>
          <w:tcW w:w="5741" w:type="dxa"/>
        </w:tcPr>
        <w:p w:rsidR="00563EEA" w:rsidRPr="00A752AE" w:rsidRDefault="00563EEA">
          <w:pPr>
            <w:pStyle w:val="HeaderEven"/>
            <w:jc w:val="right"/>
            <w:rPr>
              <w:rFonts w:cs="Arial"/>
              <w:szCs w:val="18"/>
            </w:rPr>
          </w:pPr>
        </w:p>
      </w:tc>
      <w:tc>
        <w:tcPr>
          <w:tcW w:w="1560" w:type="dxa"/>
        </w:tcPr>
        <w:p w:rsidR="00563EEA" w:rsidRPr="00A752AE" w:rsidRDefault="00563EEA">
          <w:pPr>
            <w:pStyle w:val="HeaderEven"/>
            <w:jc w:val="right"/>
            <w:rPr>
              <w:rFonts w:cs="Arial"/>
              <w:b/>
              <w:szCs w:val="18"/>
            </w:rPr>
          </w:pPr>
          <w:r>
            <w:rPr>
              <w:rFonts w:cs="Arial"/>
              <w:b/>
              <w:noProof/>
              <w:szCs w:val="18"/>
            </w:rPr>
            <w:t>Dictionary</w:t>
          </w:r>
        </w:p>
      </w:tc>
    </w:tr>
    <w:tr w:rsidR="00563EEA" w:rsidRPr="00CB3D59">
      <w:trPr>
        <w:jc w:val="center"/>
      </w:trPr>
      <w:tc>
        <w:tcPr>
          <w:tcW w:w="5741" w:type="dxa"/>
        </w:tcPr>
        <w:p w:rsidR="00563EEA" w:rsidRPr="00A752AE" w:rsidRDefault="00563E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46A8E">
            <w:rPr>
              <w:rFonts w:cs="Arial"/>
              <w:noProof/>
              <w:szCs w:val="18"/>
            </w:rPr>
            <w:t>Other expressions</w:t>
          </w:r>
          <w:r w:rsidRPr="00A752AE">
            <w:rPr>
              <w:rFonts w:cs="Arial"/>
              <w:szCs w:val="18"/>
            </w:rPr>
            <w:fldChar w:fldCharType="end"/>
          </w:r>
        </w:p>
      </w:tc>
      <w:tc>
        <w:tcPr>
          <w:tcW w:w="1560" w:type="dxa"/>
        </w:tcPr>
        <w:p w:rsidR="00563EEA" w:rsidRPr="00A752AE" w:rsidRDefault="00563E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46A8E">
            <w:rPr>
              <w:rFonts w:cs="Arial"/>
              <w:b/>
              <w:noProof/>
              <w:szCs w:val="18"/>
            </w:rPr>
            <w:t>Part 2</w:t>
          </w:r>
          <w:r w:rsidRPr="00A752AE">
            <w:rPr>
              <w:rFonts w:cs="Arial"/>
              <w:b/>
              <w:szCs w:val="18"/>
            </w:rPr>
            <w:fldChar w:fldCharType="end"/>
          </w:r>
        </w:p>
      </w:tc>
    </w:tr>
    <w:tr w:rsidR="00563EEA" w:rsidRPr="00CB3D59">
      <w:trPr>
        <w:jc w:val="center"/>
      </w:trPr>
      <w:tc>
        <w:tcPr>
          <w:tcW w:w="7296" w:type="dxa"/>
          <w:gridSpan w:val="2"/>
          <w:tcBorders>
            <w:bottom w:val="single" w:sz="4" w:space="0" w:color="auto"/>
          </w:tcBorders>
        </w:tcPr>
        <w:p w:rsidR="00563EEA" w:rsidRPr="00A752AE" w:rsidRDefault="00563EEA" w:rsidP="000E543D">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46A8E">
            <w:rPr>
              <w:rFonts w:cs="Arial"/>
              <w:noProof/>
              <w:szCs w:val="18"/>
            </w:rPr>
            <w:t>9</w:t>
          </w:r>
          <w:r w:rsidRPr="00A752AE">
            <w:rPr>
              <w:rFonts w:cs="Arial"/>
              <w:szCs w:val="18"/>
            </w:rPr>
            <w:fldChar w:fldCharType="end"/>
          </w:r>
        </w:p>
      </w:tc>
    </w:tr>
  </w:tbl>
  <w:p w:rsidR="00563EEA" w:rsidRDefault="00563EE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563EEA">
      <w:trPr>
        <w:jc w:val="center"/>
      </w:trPr>
      <w:tc>
        <w:tcPr>
          <w:tcW w:w="1234" w:type="dxa"/>
          <w:gridSpan w:val="2"/>
        </w:tcPr>
        <w:p w:rsidR="00563EEA" w:rsidRDefault="00563EEA">
          <w:pPr>
            <w:pStyle w:val="HeaderEven"/>
            <w:rPr>
              <w:b/>
            </w:rPr>
          </w:pPr>
          <w:r>
            <w:rPr>
              <w:b/>
            </w:rPr>
            <w:t>Endnotes</w:t>
          </w:r>
        </w:p>
      </w:tc>
      <w:tc>
        <w:tcPr>
          <w:tcW w:w="6062" w:type="dxa"/>
        </w:tcPr>
        <w:p w:rsidR="00563EEA" w:rsidRDefault="00563EEA">
          <w:pPr>
            <w:pStyle w:val="HeaderEven"/>
          </w:pPr>
        </w:p>
      </w:tc>
    </w:tr>
    <w:tr w:rsidR="00563EEA">
      <w:trPr>
        <w:cantSplit/>
        <w:jc w:val="center"/>
      </w:trPr>
      <w:tc>
        <w:tcPr>
          <w:tcW w:w="7296" w:type="dxa"/>
          <w:gridSpan w:val="3"/>
        </w:tcPr>
        <w:p w:rsidR="00563EEA" w:rsidRDefault="00563EEA">
          <w:pPr>
            <w:pStyle w:val="HeaderEven"/>
          </w:pPr>
        </w:p>
      </w:tc>
    </w:tr>
    <w:tr w:rsidR="00563EEA">
      <w:trPr>
        <w:cantSplit/>
        <w:jc w:val="center"/>
      </w:trPr>
      <w:tc>
        <w:tcPr>
          <w:tcW w:w="700" w:type="dxa"/>
          <w:tcBorders>
            <w:bottom w:val="single" w:sz="4" w:space="0" w:color="auto"/>
          </w:tcBorders>
        </w:tcPr>
        <w:p w:rsidR="00563EEA" w:rsidRDefault="00563EEA">
          <w:pPr>
            <w:pStyle w:val="HeaderEven6"/>
          </w:pPr>
          <w:r>
            <w:rPr>
              <w:noProof/>
            </w:rPr>
            <w:fldChar w:fldCharType="begin"/>
          </w:r>
          <w:r>
            <w:rPr>
              <w:noProof/>
            </w:rPr>
            <w:instrText xml:space="preserve"> STYLEREF charTableNo \*charformat </w:instrText>
          </w:r>
          <w:r>
            <w:rPr>
              <w:noProof/>
            </w:rPr>
            <w:fldChar w:fldCharType="separate"/>
          </w:r>
          <w:r w:rsidR="00546A8E">
            <w:rPr>
              <w:noProof/>
            </w:rPr>
            <w:t>4</w:t>
          </w:r>
          <w:r>
            <w:rPr>
              <w:noProof/>
            </w:rPr>
            <w:fldChar w:fldCharType="end"/>
          </w:r>
        </w:p>
      </w:tc>
      <w:tc>
        <w:tcPr>
          <w:tcW w:w="6600" w:type="dxa"/>
          <w:gridSpan w:val="2"/>
          <w:tcBorders>
            <w:bottom w:val="single" w:sz="4" w:space="0" w:color="auto"/>
          </w:tcBorders>
        </w:tcPr>
        <w:p w:rsidR="00563EEA" w:rsidRDefault="00563EEA">
          <w:pPr>
            <w:pStyle w:val="HeaderEven6"/>
          </w:pPr>
          <w:r>
            <w:rPr>
              <w:noProof/>
            </w:rPr>
            <w:fldChar w:fldCharType="begin"/>
          </w:r>
          <w:r>
            <w:rPr>
              <w:noProof/>
            </w:rPr>
            <w:instrText xml:space="preserve"> STYLEREF charTableText \*charformat </w:instrText>
          </w:r>
          <w:r>
            <w:rPr>
              <w:noProof/>
            </w:rPr>
            <w:fldChar w:fldCharType="separate"/>
          </w:r>
          <w:r w:rsidR="00546A8E">
            <w:rPr>
              <w:noProof/>
            </w:rPr>
            <w:t>Amendment history</w:t>
          </w:r>
          <w:r>
            <w:rPr>
              <w:noProof/>
            </w:rPr>
            <w:fldChar w:fldCharType="end"/>
          </w:r>
        </w:p>
      </w:tc>
    </w:tr>
  </w:tbl>
  <w:p w:rsidR="00563EEA" w:rsidRDefault="00563EE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563EEA">
      <w:trPr>
        <w:jc w:val="center"/>
      </w:trPr>
      <w:tc>
        <w:tcPr>
          <w:tcW w:w="5741" w:type="dxa"/>
        </w:tcPr>
        <w:p w:rsidR="00563EEA" w:rsidRDefault="00563EEA">
          <w:pPr>
            <w:pStyle w:val="HeaderEven"/>
            <w:jc w:val="right"/>
          </w:pPr>
        </w:p>
      </w:tc>
      <w:tc>
        <w:tcPr>
          <w:tcW w:w="1560" w:type="dxa"/>
          <w:gridSpan w:val="2"/>
        </w:tcPr>
        <w:p w:rsidR="00563EEA" w:rsidRDefault="00563EEA">
          <w:pPr>
            <w:pStyle w:val="HeaderEven"/>
            <w:jc w:val="right"/>
            <w:rPr>
              <w:b/>
            </w:rPr>
          </w:pPr>
          <w:r>
            <w:rPr>
              <w:b/>
            </w:rPr>
            <w:t>Endnotes</w:t>
          </w:r>
        </w:p>
      </w:tc>
    </w:tr>
    <w:tr w:rsidR="00563EEA">
      <w:trPr>
        <w:jc w:val="center"/>
      </w:trPr>
      <w:tc>
        <w:tcPr>
          <w:tcW w:w="7301" w:type="dxa"/>
          <w:gridSpan w:val="3"/>
        </w:tcPr>
        <w:p w:rsidR="00563EEA" w:rsidRDefault="00563EEA">
          <w:pPr>
            <w:pStyle w:val="HeaderEven"/>
            <w:jc w:val="right"/>
            <w:rPr>
              <w:b/>
            </w:rPr>
          </w:pPr>
        </w:p>
      </w:tc>
    </w:tr>
    <w:tr w:rsidR="00563EEA">
      <w:trPr>
        <w:jc w:val="center"/>
      </w:trPr>
      <w:tc>
        <w:tcPr>
          <w:tcW w:w="6600" w:type="dxa"/>
          <w:gridSpan w:val="2"/>
          <w:tcBorders>
            <w:bottom w:val="single" w:sz="4" w:space="0" w:color="auto"/>
          </w:tcBorders>
        </w:tcPr>
        <w:p w:rsidR="00563EEA" w:rsidRDefault="00563EEA">
          <w:pPr>
            <w:pStyle w:val="HeaderOdd6"/>
          </w:pPr>
          <w:r>
            <w:rPr>
              <w:noProof/>
            </w:rPr>
            <w:fldChar w:fldCharType="begin"/>
          </w:r>
          <w:r>
            <w:rPr>
              <w:noProof/>
            </w:rPr>
            <w:instrText xml:space="preserve"> STYLEREF charTableText \*charformat </w:instrText>
          </w:r>
          <w:r>
            <w:rPr>
              <w:noProof/>
            </w:rPr>
            <w:fldChar w:fldCharType="separate"/>
          </w:r>
          <w:r w:rsidR="00546A8E">
            <w:rPr>
              <w:noProof/>
            </w:rPr>
            <w:t>Earlier republications</w:t>
          </w:r>
          <w:r>
            <w:rPr>
              <w:noProof/>
            </w:rPr>
            <w:fldChar w:fldCharType="end"/>
          </w:r>
        </w:p>
      </w:tc>
      <w:tc>
        <w:tcPr>
          <w:tcW w:w="700" w:type="dxa"/>
          <w:tcBorders>
            <w:bottom w:val="single" w:sz="4" w:space="0" w:color="auto"/>
          </w:tcBorders>
        </w:tcPr>
        <w:p w:rsidR="00563EEA" w:rsidRDefault="00563EEA">
          <w:pPr>
            <w:pStyle w:val="HeaderOdd6"/>
          </w:pPr>
          <w:r>
            <w:rPr>
              <w:noProof/>
            </w:rPr>
            <w:fldChar w:fldCharType="begin"/>
          </w:r>
          <w:r>
            <w:rPr>
              <w:noProof/>
            </w:rPr>
            <w:instrText xml:space="preserve"> STYLEREF charTableNo \*charformat </w:instrText>
          </w:r>
          <w:r>
            <w:rPr>
              <w:noProof/>
            </w:rPr>
            <w:fldChar w:fldCharType="separate"/>
          </w:r>
          <w:r w:rsidR="00546A8E">
            <w:rPr>
              <w:noProof/>
            </w:rPr>
            <w:t>5</w:t>
          </w:r>
          <w:r>
            <w:rPr>
              <w:noProof/>
            </w:rPr>
            <w:fldChar w:fldCharType="end"/>
          </w:r>
        </w:p>
      </w:tc>
    </w:tr>
  </w:tbl>
  <w:p w:rsidR="00563EEA" w:rsidRDefault="00563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489" w:rsidRDefault="003C048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EA" w:rsidRDefault="00563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489" w:rsidRDefault="003C04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63EEA">
      <w:tc>
        <w:tcPr>
          <w:tcW w:w="900" w:type="pct"/>
        </w:tcPr>
        <w:p w:rsidR="00563EEA" w:rsidRDefault="00563EEA">
          <w:pPr>
            <w:pStyle w:val="HeaderEven"/>
          </w:pPr>
        </w:p>
      </w:tc>
      <w:tc>
        <w:tcPr>
          <w:tcW w:w="4100" w:type="pct"/>
        </w:tcPr>
        <w:p w:rsidR="00563EEA" w:rsidRDefault="00563EEA">
          <w:pPr>
            <w:pStyle w:val="HeaderEven"/>
          </w:pPr>
        </w:p>
      </w:tc>
    </w:tr>
    <w:tr w:rsidR="00563EEA">
      <w:tc>
        <w:tcPr>
          <w:tcW w:w="4100" w:type="pct"/>
          <w:gridSpan w:val="2"/>
          <w:tcBorders>
            <w:bottom w:val="single" w:sz="4" w:space="0" w:color="auto"/>
          </w:tcBorders>
        </w:tcPr>
        <w:p w:rsidR="00563EEA" w:rsidRDefault="00563EEA">
          <w:pPr>
            <w:pStyle w:val="HeaderEven6"/>
          </w:pPr>
          <w:r>
            <w:rPr>
              <w:noProof/>
            </w:rPr>
            <w:fldChar w:fldCharType="begin"/>
          </w:r>
          <w:r>
            <w:rPr>
              <w:noProof/>
            </w:rPr>
            <w:instrText xml:space="preserve"> STYLEREF charContents \* MERGEFORMAT </w:instrText>
          </w:r>
          <w:r>
            <w:rPr>
              <w:noProof/>
            </w:rPr>
            <w:fldChar w:fldCharType="separate"/>
          </w:r>
          <w:r w:rsidR="00546A8E">
            <w:rPr>
              <w:noProof/>
            </w:rPr>
            <w:t>Contents</w:t>
          </w:r>
          <w:r>
            <w:rPr>
              <w:noProof/>
            </w:rPr>
            <w:fldChar w:fldCharType="end"/>
          </w:r>
        </w:p>
      </w:tc>
    </w:tr>
  </w:tbl>
  <w:p w:rsidR="00563EEA" w:rsidRDefault="00563EEA">
    <w:pPr>
      <w:pStyle w:val="N-9pt"/>
    </w:pPr>
    <w:r>
      <w:tab/>
    </w:r>
    <w:r>
      <w:rPr>
        <w:noProof/>
      </w:rPr>
      <w:fldChar w:fldCharType="begin"/>
    </w:r>
    <w:r>
      <w:rPr>
        <w:noProof/>
      </w:rPr>
      <w:instrText xml:space="preserve"> STYLEREF charPage \* MERGEFORMAT </w:instrText>
    </w:r>
    <w:r>
      <w:rPr>
        <w:noProof/>
      </w:rPr>
      <w:fldChar w:fldCharType="separate"/>
    </w:r>
    <w:r w:rsidR="00546A8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63EEA">
      <w:tc>
        <w:tcPr>
          <w:tcW w:w="4100" w:type="pct"/>
        </w:tcPr>
        <w:p w:rsidR="00563EEA" w:rsidRDefault="00563EEA">
          <w:pPr>
            <w:pStyle w:val="HeaderOdd"/>
          </w:pPr>
        </w:p>
      </w:tc>
      <w:tc>
        <w:tcPr>
          <w:tcW w:w="900" w:type="pct"/>
        </w:tcPr>
        <w:p w:rsidR="00563EEA" w:rsidRDefault="00563EEA">
          <w:pPr>
            <w:pStyle w:val="HeaderOdd"/>
          </w:pPr>
        </w:p>
      </w:tc>
    </w:tr>
    <w:tr w:rsidR="00563EEA">
      <w:tc>
        <w:tcPr>
          <w:tcW w:w="900" w:type="pct"/>
          <w:gridSpan w:val="2"/>
          <w:tcBorders>
            <w:bottom w:val="single" w:sz="4" w:space="0" w:color="auto"/>
          </w:tcBorders>
        </w:tcPr>
        <w:p w:rsidR="00563EEA" w:rsidRDefault="00563EEA">
          <w:pPr>
            <w:pStyle w:val="HeaderOdd6"/>
          </w:pPr>
          <w:r>
            <w:rPr>
              <w:noProof/>
            </w:rPr>
            <w:fldChar w:fldCharType="begin"/>
          </w:r>
          <w:r>
            <w:rPr>
              <w:noProof/>
            </w:rPr>
            <w:instrText xml:space="preserve"> STYLEREF charContents \* MERGEFORMAT </w:instrText>
          </w:r>
          <w:r>
            <w:rPr>
              <w:noProof/>
            </w:rPr>
            <w:fldChar w:fldCharType="separate"/>
          </w:r>
          <w:r w:rsidR="00546A8E">
            <w:rPr>
              <w:noProof/>
            </w:rPr>
            <w:t>Contents</w:t>
          </w:r>
          <w:r>
            <w:rPr>
              <w:noProof/>
            </w:rPr>
            <w:fldChar w:fldCharType="end"/>
          </w:r>
        </w:p>
      </w:tc>
    </w:tr>
  </w:tbl>
  <w:p w:rsidR="00563EEA" w:rsidRDefault="00563EEA">
    <w:pPr>
      <w:pStyle w:val="N-9pt"/>
    </w:pPr>
    <w:r>
      <w:tab/>
    </w:r>
    <w:r>
      <w:rPr>
        <w:noProof/>
      </w:rPr>
      <w:fldChar w:fldCharType="begin"/>
    </w:r>
    <w:r>
      <w:rPr>
        <w:noProof/>
      </w:rPr>
      <w:instrText xml:space="preserve"> STYLEREF charPage \* MERGEFORMAT </w:instrText>
    </w:r>
    <w:r>
      <w:rPr>
        <w:noProof/>
      </w:rPr>
      <w:fldChar w:fldCharType="separate"/>
    </w:r>
    <w:r w:rsidR="00546A8E">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63EEA">
      <w:tc>
        <w:tcPr>
          <w:tcW w:w="900" w:type="pct"/>
        </w:tcPr>
        <w:p w:rsidR="00563EEA" w:rsidRDefault="00563EEA">
          <w:pPr>
            <w:pStyle w:val="HeaderEven"/>
            <w:rPr>
              <w:b/>
            </w:rPr>
          </w:pPr>
          <w:r>
            <w:rPr>
              <w:b/>
            </w:rPr>
            <w:fldChar w:fldCharType="begin"/>
          </w:r>
          <w:r>
            <w:rPr>
              <w:b/>
            </w:rPr>
            <w:instrText xml:space="preserve"> STYLEREF CharChapNo \*charformat  </w:instrText>
          </w:r>
          <w:r>
            <w:rPr>
              <w:b/>
            </w:rPr>
            <w:fldChar w:fldCharType="separate"/>
          </w:r>
          <w:r w:rsidR="00546A8E">
            <w:rPr>
              <w:b/>
              <w:noProof/>
            </w:rPr>
            <w:t>Chapter 2</w:t>
          </w:r>
          <w:r>
            <w:rPr>
              <w:b/>
            </w:rPr>
            <w:fldChar w:fldCharType="end"/>
          </w:r>
        </w:p>
      </w:tc>
      <w:tc>
        <w:tcPr>
          <w:tcW w:w="4100" w:type="pct"/>
        </w:tcPr>
        <w:p w:rsidR="00563EEA" w:rsidRDefault="00563EEA">
          <w:pPr>
            <w:pStyle w:val="HeaderEven"/>
          </w:pPr>
          <w:r>
            <w:rPr>
              <w:noProof/>
            </w:rPr>
            <w:fldChar w:fldCharType="begin"/>
          </w:r>
          <w:r>
            <w:rPr>
              <w:noProof/>
            </w:rPr>
            <w:instrText xml:space="preserve"> STYLEREF CharChapText \*charformat  </w:instrText>
          </w:r>
          <w:r>
            <w:rPr>
              <w:noProof/>
            </w:rPr>
            <w:fldChar w:fldCharType="separate"/>
          </w:r>
          <w:r w:rsidR="00546A8E">
            <w:rPr>
              <w:noProof/>
            </w:rPr>
            <w:t>Giving and presenting evidence</w:t>
          </w:r>
          <w:r>
            <w:rPr>
              <w:noProof/>
            </w:rPr>
            <w:fldChar w:fldCharType="end"/>
          </w:r>
        </w:p>
      </w:tc>
    </w:tr>
    <w:tr w:rsidR="00563EEA">
      <w:tc>
        <w:tcPr>
          <w:tcW w:w="900" w:type="pct"/>
        </w:tcPr>
        <w:p w:rsidR="00563EEA" w:rsidRDefault="00563EEA">
          <w:pPr>
            <w:pStyle w:val="HeaderEven"/>
            <w:rPr>
              <w:b/>
            </w:rPr>
          </w:pPr>
          <w:r>
            <w:rPr>
              <w:b/>
            </w:rPr>
            <w:fldChar w:fldCharType="begin"/>
          </w:r>
          <w:r>
            <w:rPr>
              <w:b/>
            </w:rPr>
            <w:instrText xml:space="preserve"> STYLEREF CharPartNo \*charformat </w:instrText>
          </w:r>
          <w:r>
            <w:rPr>
              <w:b/>
            </w:rPr>
            <w:fldChar w:fldCharType="separate"/>
          </w:r>
          <w:r w:rsidR="00546A8E">
            <w:rPr>
              <w:b/>
              <w:noProof/>
            </w:rPr>
            <w:t>Part 2.3</w:t>
          </w:r>
          <w:r>
            <w:rPr>
              <w:b/>
            </w:rPr>
            <w:fldChar w:fldCharType="end"/>
          </w:r>
        </w:p>
      </w:tc>
      <w:tc>
        <w:tcPr>
          <w:tcW w:w="4100" w:type="pct"/>
        </w:tcPr>
        <w:p w:rsidR="00563EEA" w:rsidRDefault="00563EEA">
          <w:pPr>
            <w:pStyle w:val="HeaderEven"/>
          </w:pPr>
          <w:r>
            <w:rPr>
              <w:noProof/>
            </w:rPr>
            <w:fldChar w:fldCharType="begin"/>
          </w:r>
          <w:r>
            <w:rPr>
              <w:noProof/>
            </w:rPr>
            <w:instrText xml:space="preserve"> STYLEREF CharPartText \*charformat </w:instrText>
          </w:r>
          <w:r>
            <w:rPr>
              <w:noProof/>
            </w:rPr>
            <w:fldChar w:fldCharType="separate"/>
          </w:r>
          <w:r w:rsidR="00546A8E">
            <w:rPr>
              <w:noProof/>
            </w:rPr>
            <w:t>Other evidence</w:t>
          </w:r>
          <w:r>
            <w:rPr>
              <w:noProof/>
            </w:rPr>
            <w:fldChar w:fldCharType="end"/>
          </w:r>
        </w:p>
      </w:tc>
    </w:tr>
    <w:tr w:rsidR="00563EEA">
      <w:tc>
        <w:tcPr>
          <w:tcW w:w="900" w:type="pct"/>
        </w:tcPr>
        <w:p w:rsidR="00563EEA" w:rsidRDefault="00563EEA">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563EEA" w:rsidRDefault="00563EEA">
          <w:pPr>
            <w:pStyle w:val="HeaderEven"/>
          </w:pPr>
          <w:r>
            <w:fldChar w:fldCharType="begin"/>
          </w:r>
          <w:r>
            <w:instrText xml:space="preserve"> STYLEREF CharDivText \*charformat </w:instrText>
          </w:r>
          <w:r>
            <w:fldChar w:fldCharType="end"/>
          </w:r>
        </w:p>
      </w:tc>
    </w:tr>
    <w:tr w:rsidR="00563EEA">
      <w:trPr>
        <w:cantSplit/>
      </w:trPr>
      <w:tc>
        <w:tcPr>
          <w:tcW w:w="900" w:type="pct"/>
          <w:gridSpan w:val="2"/>
          <w:tcBorders>
            <w:bottom w:val="single" w:sz="4" w:space="0" w:color="auto"/>
          </w:tcBorders>
        </w:tcPr>
        <w:p w:rsidR="00563EEA" w:rsidRDefault="00546A8E">
          <w:pPr>
            <w:pStyle w:val="HeaderEven6"/>
          </w:pPr>
          <w:r>
            <w:fldChar w:fldCharType="begin"/>
          </w:r>
          <w:r>
            <w:instrText xml:space="preserve"> DOCPROPERTY "Company"  \* MERGEFORMAT </w:instrText>
          </w:r>
          <w:r>
            <w:fldChar w:fldCharType="separate"/>
          </w:r>
          <w:r w:rsidR="00FC4A24">
            <w:t>Section</w:t>
          </w:r>
          <w:r>
            <w:fldChar w:fldCharType="end"/>
          </w:r>
          <w:r w:rsidR="00563EEA">
            <w:t xml:space="preserve"> </w:t>
          </w:r>
          <w:r w:rsidR="00563EEA">
            <w:rPr>
              <w:noProof/>
            </w:rPr>
            <w:fldChar w:fldCharType="begin"/>
          </w:r>
          <w:r w:rsidR="00563EEA">
            <w:rPr>
              <w:noProof/>
            </w:rPr>
            <w:instrText xml:space="preserve"> STYLEREF CharSectNo \*charformat </w:instrText>
          </w:r>
          <w:r w:rsidR="00563EEA">
            <w:rPr>
              <w:noProof/>
            </w:rPr>
            <w:fldChar w:fldCharType="separate"/>
          </w:r>
          <w:r>
            <w:rPr>
              <w:noProof/>
            </w:rPr>
            <w:t>54</w:t>
          </w:r>
          <w:r w:rsidR="00563EEA">
            <w:rPr>
              <w:noProof/>
            </w:rPr>
            <w:fldChar w:fldCharType="end"/>
          </w:r>
        </w:p>
      </w:tc>
    </w:tr>
  </w:tbl>
  <w:p w:rsidR="00563EEA" w:rsidRDefault="00563E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63EEA">
      <w:tc>
        <w:tcPr>
          <w:tcW w:w="4100" w:type="pct"/>
        </w:tcPr>
        <w:p w:rsidR="00563EEA" w:rsidRDefault="00563EEA">
          <w:pPr>
            <w:pStyle w:val="HeaderEven"/>
            <w:jc w:val="right"/>
          </w:pPr>
          <w:r>
            <w:rPr>
              <w:noProof/>
            </w:rPr>
            <w:fldChar w:fldCharType="begin"/>
          </w:r>
          <w:r>
            <w:rPr>
              <w:noProof/>
            </w:rPr>
            <w:instrText xml:space="preserve"> STYLEREF CharChapText \*charformat  </w:instrText>
          </w:r>
          <w:r>
            <w:rPr>
              <w:noProof/>
            </w:rPr>
            <w:fldChar w:fldCharType="separate"/>
          </w:r>
          <w:r w:rsidR="00546A8E">
            <w:rPr>
              <w:noProof/>
            </w:rPr>
            <w:t>Giving and presenting evidence</w:t>
          </w:r>
          <w:r>
            <w:rPr>
              <w:noProof/>
            </w:rPr>
            <w:fldChar w:fldCharType="end"/>
          </w:r>
        </w:p>
      </w:tc>
      <w:tc>
        <w:tcPr>
          <w:tcW w:w="900" w:type="pct"/>
        </w:tcPr>
        <w:p w:rsidR="00563EEA" w:rsidRDefault="00563EEA">
          <w:pPr>
            <w:pStyle w:val="HeaderEven"/>
            <w:jc w:val="right"/>
            <w:rPr>
              <w:b/>
            </w:rPr>
          </w:pPr>
          <w:r>
            <w:rPr>
              <w:b/>
            </w:rPr>
            <w:fldChar w:fldCharType="begin"/>
          </w:r>
          <w:r>
            <w:rPr>
              <w:b/>
            </w:rPr>
            <w:instrText xml:space="preserve"> STYLEREF CharChapNo \*charformat  </w:instrText>
          </w:r>
          <w:r>
            <w:rPr>
              <w:b/>
            </w:rPr>
            <w:fldChar w:fldCharType="separate"/>
          </w:r>
          <w:r w:rsidR="00546A8E">
            <w:rPr>
              <w:b/>
              <w:noProof/>
            </w:rPr>
            <w:t>Chapter 2</w:t>
          </w:r>
          <w:r>
            <w:rPr>
              <w:b/>
            </w:rPr>
            <w:fldChar w:fldCharType="end"/>
          </w:r>
        </w:p>
      </w:tc>
    </w:tr>
    <w:tr w:rsidR="00563EEA">
      <w:tc>
        <w:tcPr>
          <w:tcW w:w="4100" w:type="pct"/>
        </w:tcPr>
        <w:p w:rsidR="00563EEA" w:rsidRDefault="00563EEA">
          <w:pPr>
            <w:pStyle w:val="HeaderEven"/>
            <w:jc w:val="right"/>
          </w:pPr>
          <w:r>
            <w:rPr>
              <w:noProof/>
            </w:rPr>
            <w:fldChar w:fldCharType="begin"/>
          </w:r>
          <w:r>
            <w:rPr>
              <w:noProof/>
            </w:rPr>
            <w:instrText xml:space="preserve"> STYLEREF CharPartText \*charformat </w:instrText>
          </w:r>
          <w:r>
            <w:rPr>
              <w:noProof/>
            </w:rPr>
            <w:fldChar w:fldCharType="separate"/>
          </w:r>
          <w:r w:rsidR="00546A8E">
            <w:rPr>
              <w:noProof/>
            </w:rPr>
            <w:t>Other evidence</w:t>
          </w:r>
          <w:r>
            <w:rPr>
              <w:noProof/>
            </w:rPr>
            <w:fldChar w:fldCharType="end"/>
          </w:r>
        </w:p>
      </w:tc>
      <w:tc>
        <w:tcPr>
          <w:tcW w:w="900" w:type="pct"/>
        </w:tcPr>
        <w:p w:rsidR="00563EEA" w:rsidRDefault="00563EEA">
          <w:pPr>
            <w:pStyle w:val="HeaderEven"/>
            <w:jc w:val="right"/>
            <w:rPr>
              <w:b/>
            </w:rPr>
          </w:pPr>
          <w:r>
            <w:rPr>
              <w:b/>
            </w:rPr>
            <w:fldChar w:fldCharType="begin"/>
          </w:r>
          <w:r>
            <w:rPr>
              <w:b/>
            </w:rPr>
            <w:instrText xml:space="preserve"> STYLEREF CharPartNo \*charformat </w:instrText>
          </w:r>
          <w:r>
            <w:rPr>
              <w:b/>
            </w:rPr>
            <w:fldChar w:fldCharType="separate"/>
          </w:r>
          <w:r w:rsidR="00546A8E">
            <w:rPr>
              <w:b/>
              <w:noProof/>
            </w:rPr>
            <w:t>Part 2.3</w:t>
          </w:r>
          <w:r>
            <w:rPr>
              <w:b/>
            </w:rPr>
            <w:fldChar w:fldCharType="end"/>
          </w:r>
        </w:p>
      </w:tc>
    </w:tr>
    <w:tr w:rsidR="00563EEA">
      <w:tc>
        <w:tcPr>
          <w:tcW w:w="4100" w:type="pct"/>
        </w:tcPr>
        <w:p w:rsidR="00563EEA" w:rsidRDefault="00563EEA">
          <w:pPr>
            <w:pStyle w:val="HeaderEven"/>
            <w:jc w:val="right"/>
          </w:pPr>
          <w:r>
            <w:fldChar w:fldCharType="begin"/>
          </w:r>
          <w:r>
            <w:instrText xml:space="preserve"> STYLEREF CharDivText \*charformat </w:instrText>
          </w:r>
          <w:r>
            <w:fldChar w:fldCharType="end"/>
          </w:r>
        </w:p>
      </w:tc>
      <w:tc>
        <w:tcPr>
          <w:tcW w:w="900" w:type="pct"/>
        </w:tcPr>
        <w:p w:rsidR="00563EEA" w:rsidRDefault="00563EEA">
          <w:pPr>
            <w:pStyle w:val="HeaderEven"/>
            <w:jc w:val="right"/>
            <w:rPr>
              <w:b/>
            </w:rPr>
          </w:pPr>
          <w:r>
            <w:rPr>
              <w:b/>
            </w:rPr>
            <w:fldChar w:fldCharType="begin"/>
          </w:r>
          <w:r>
            <w:rPr>
              <w:b/>
            </w:rPr>
            <w:instrText xml:space="preserve"> STYLEREF CharDivNo \*charformat </w:instrText>
          </w:r>
          <w:r>
            <w:rPr>
              <w:b/>
            </w:rPr>
            <w:fldChar w:fldCharType="end"/>
          </w:r>
        </w:p>
      </w:tc>
    </w:tr>
    <w:tr w:rsidR="00563EEA">
      <w:trPr>
        <w:cantSplit/>
      </w:trPr>
      <w:tc>
        <w:tcPr>
          <w:tcW w:w="900" w:type="pct"/>
          <w:gridSpan w:val="2"/>
          <w:tcBorders>
            <w:bottom w:val="single" w:sz="4" w:space="0" w:color="auto"/>
          </w:tcBorders>
        </w:tcPr>
        <w:p w:rsidR="00563EEA" w:rsidRDefault="00546A8E">
          <w:pPr>
            <w:pStyle w:val="HeaderOdd6"/>
          </w:pPr>
          <w:r>
            <w:fldChar w:fldCharType="begin"/>
          </w:r>
          <w:r>
            <w:instrText xml:space="preserve"> DOCPROPERTY "Company"  \* MERGEFORMAT </w:instrText>
          </w:r>
          <w:r>
            <w:fldChar w:fldCharType="separate"/>
          </w:r>
          <w:r w:rsidR="00FC4A24">
            <w:t>Section</w:t>
          </w:r>
          <w:r>
            <w:fldChar w:fldCharType="end"/>
          </w:r>
          <w:r w:rsidR="00563EEA">
            <w:t xml:space="preserve"> </w:t>
          </w:r>
          <w:r w:rsidR="00563EEA">
            <w:rPr>
              <w:noProof/>
            </w:rPr>
            <w:fldChar w:fldCharType="begin"/>
          </w:r>
          <w:r w:rsidR="00563EEA">
            <w:rPr>
              <w:noProof/>
            </w:rPr>
            <w:instrText xml:space="preserve"> STYLEREF CharSectNo \*charformat </w:instrText>
          </w:r>
          <w:r w:rsidR="00563EEA">
            <w:rPr>
              <w:noProof/>
            </w:rPr>
            <w:fldChar w:fldCharType="separate"/>
          </w:r>
          <w:r>
            <w:rPr>
              <w:noProof/>
            </w:rPr>
            <w:t>52</w:t>
          </w:r>
          <w:r w:rsidR="00563EEA">
            <w:rPr>
              <w:noProof/>
            </w:rPr>
            <w:fldChar w:fldCharType="end"/>
          </w:r>
        </w:p>
      </w:tc>
    </w:tr>
  </w:tbl>
  <w:p w:rsidR="00563EEA" w:rsidRDefault="00563E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63EEA">
      <w:tc>
        <w:tcPr>
          <w:tcW w:w="900" w:type="pct"/>
        </w:tcPr>
        <w:p w:rsidR="00563EEA" w:rsidRDefault="00563EEA">
          <w:pPr>
            <w:pStyle w:val="HeaderEven"/>
            <w:rPr>
              <w:b/>
            </w:rPr>
          </w:pPr>
          <w:r>
            <w:rPr>
              <w:b/>
            </w:rPr>
            <w:fldChar w:fldCharType="begin"/>
          </w:r>
          <w:r>
            <w:rPr>
              <w:b/>
            </w:rPr>
            <w:instrText xml:space="preserve"> STYLEREF CharChapNo \*charformat  </w:instrText>
          </w:r>
          <w:r>
            <w:rPr>
              <w:b/>
            </w:rPr>
            <w:fldChar w:fldCharType="separate"/>
          </w:r>
          <w:r w:rsidR="00546A8E">
            <w:rPr>
              <w:b/>
              <w:noProof/>
            </w:rPr>
            <w:t>Chapter 3</w:t>
          </w:r>
          <w:r>
            <w:rPr>
              <w:b/>
            </w:rPr>
            <w:fldChar w:fldCharType="end"/>
          </w:r>
        </w:p>
      </w:tc>
      <w:tc>
        <w:tcPr>
          <w:tcW w:w="4100" w:type="pct"/>
        </w:tcPr>
        <w:p w:rsidR="00563EEA" w:rsidRDefault="00563EEA">
          <w:pPr>
            <w:pStyle w:val="HeaderEven"/>
          </w:pPr>
          <w:r>
            <w:rPr>
              <w:noProof/>
            </w:rPr>
            <w:fldChar w:fldCharType="begin"/>
          </w:r>
          <w:r>
            <w:rPr>
              <w:noProof/>
            </w:rPr>
            <w:instrText xml:space="preserve"> STYLEREF CharChapText \*charformat  </w:instrText>
          </w:r>
          <w:r>
            <w:rPr>
              <w:noProof/>
            </w:rPr>
            <w:fldChar w:fldCharType="separate"/>
          </w:r>
          <w:r w:rsidR="00546A8E">
            <w:rPr>
              <w:noProof/>
            </w:rPr>
            <w:t>Admissibility of evidence</w:t>
          </w:r>
          <w:r>
            <w:rPr>
              <w:noProof/>
            </w:rPr>
            <w:fldChar w:fldCharType="end"/>
          </w:r>
        </w:p>
      </w:tc>
    </w:tr>
    <w:tr w:rsidR="00563EEA">
      <w:tc>
        <w:tcPr>
          <w:tcW w:w="900" w:type="pct"/>
        </w:tcPr>
        <w:p w:rsidR="00563EEA" w:rsidRDefault="00563EEA">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563EEA" w:rsidRDefault="00590FDD">
          <w:pPr>
            <w:pStyle w:val="HeaderEven"/>
          </w:pPr>
          <w:r>
            <w:fldChar w:fldCharType="begin"/>
          </w:r>
          <w:r>
            <w:instrText xml:space="preserve"> STYLEREF CharPartText \*charformat </w:instrText>
          </w:r>
          <w:r>
            <w:rPr>
              <w:noProof/>
            </w:rPr>
            <w:fldChar w:fldCharType="end"/>
          </w:r>
        </w:p>
      </w:tc>
    </w:tr>
    <w:tr w:rsidR="00563EEA">
      <w:tc>
        <w:tcPr>
          <w:tcW w:w="900" w:type="pct"/>
        </w:tcPr>
        <w:p w:rsidR="00563EEA" w:rsidRDefault="00563EEA">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63EEA" w:rsidRDefault="00563EEA">
          <w:pPr>
            <w:pStyle w:val="HeaderEven"/>
          </w:pPr>
          <w:r>
            <w:fldChar w:fldCharType="begin"/>
          </w:r>
          <w:r>
            <w:instrText xml:space="preserve"> STYLEREF CharDivText \*charformat </w:instrText>
          </w:r>
          <w:r>
            <w:fldChar w:fldCharType="end"/>
          </w:r>
        </w:p>
      </w:tc>
    </w:tr>
    <w:tr w:rsidR="00563EEA">
      <w:trPr>
        <w:cantSplit/>
      </w:trPr>
      <w:tc>
        <w:tcPr>
          <w:tcW w:w="4997" w:type="pct"/>
          <w:gridSpan w:val="2"/>
          <w:tcBorders>
            <w:bottom w:val="single" w:sz="4" w:space="0" w:color="auto"/>
          </w:tcBorders>
        </w:tcPr>
        <w:p w:rsidR="00563EEA" w:rsidRDefault="00590FDD">
          <w:pPr>
            <w:pStyle w:val="HeaderEven6"/>
          </w:pPr>
          <w:r>
            <w:fldChar w:fldCharType="begin"/>
          </w:r>
          <w:r>
            <w:instrText xml:space="preserve"> STYLEREF CharSectNo \*charformat </w:instrText>
          </w:r>
          <w:r>
            <w:rPr>
              <w:noProof/>
            </w:rPr>
            <w:fldChar w:fldCharType="end"/>
          </w:r>
        </w:p>
      </w:tc>
    </w:tr>
  </w:tbl>
  <w:p w:rsidR="00563EEA" w:rsidRDefault="00563E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63EEA">
      <w:tc>
        <w:tcPr>
          <w:tcW w:w="4100" w:type="pct"/>
        </w:tcPr>
        <w:p w:rsidR="00563EEA" w:rsidRDefault="00563EEA">
          <w:pPr>
            <w:pStyle w:val="HeaderEven"/>
            <w:jc w:val="right"/>
          </w:pPr>
          <w:r>
            <w:rPr>
              <w:noProof/>
            </w:rPr>
            <w:fldChar w:fldCharType="begin"/>
          </w:r>
          <w:r>
            <w:rPr>
              <w:noProof/>
            </w:rPr>
            <w:instrText xml:space="preserve"> STYLEREF CharChapText \*charformat  </w:instrText>
          </w:r>
          <w:r>
            <w:rPr>
              <w:noProof/>
            </w:rPr>
            <w:fldChar w:fldCharType="separate"/>
          </w:r>
          <w:r w:rsidR="00546A8E">
            <w:rPr>
              <w:noProof/>
            </w:rPr>
            <w:t>Admissibility of evidence</w:t>
          </w:r>
          <w:r>
            <w:rPr>
              <w:noProof/>
            </w:rPr>
            <w:fldChar w:fldCharType="end"/>
          </w:r>
        </w:p>
      </w:tc>
      <w:tc>
        <w:tcPr>
          <w:tcW w:w="900" w:type="pct"/>
        </w:tcPr>
        <w:p w:rsidR="00563EEA" w:rsidRDefault="00563EEA">
          <w:pPr>
            <w:pStyle w:val="HeaderEven"/>
            <w:jc w:val="right"/>
            <w:rPr>
              <w:b/>
            </w:rPr>
          </w:pPr>
          <w:r>
            <w:rPr>
              <w:b/>
            </w:rPr>
            <w:fldChar w:fldCharType="begin"/>
          </w:r>
          <w:r>
            <w:rPr>
              <w:b/>
            </w:rPr>
            <w:instrText xml:space="preserve"> STYLEREF CharChapNo \*charformat  </w:instrText>
          </w:r>
          <w:r>
            <w:rPr>
              <w:b/>
            </w:rPr>
            <w:fldChar w:fldCharType="separate"/>
          </w:r>
          <w:r w:rsidR="00546A8E">
            <w:rPr>
              <w:b/>
              <w:noProof/>
            </w:rPr>
            <w:t>Chapter 3</w:t>
          </w:r>
          <w:r>
            <w:rPr>
              <w:b/>
            </w:rPr>
            <w:fldChar w:fldCharType="end"/>
          </w:r>
        </w:p>
      </w:tc>
    </w:tr>
    <w:tr w:rsidR="00563EEA">
      <w:tc>
        <w:tcPr>
          <w:tcW w:w="4100" w:type="pct"/>
        </w:tcPr>
        <w:p w:rsidR="00563EEA" w:rsidRDefault="00590FDD">
          <w:pPr>
            <w:pStyle w:val="HeaderEven"/>
            <w:jc w:val="right"/>
          </w:pPr>
          <w:r>
            <w:fldChar w:fldCharType="begin"/>
          </w:r>
          <w:r>
            <w:instrText xml:space="preserve"> STYLEREF CharPartText \*charformat </w:instrText>
          </w:r>
          <w:r>
            <w:rPr>
              <w:noProof/>
            </w:rPr>
            <w:fldChar w:fldCharType="end"/>
          </w:r>
        </w:p>
      </w:tc>
      <w:tc>
        <w:tcPr>
          <w:tcW w:w="900" w:type="pct"/>
        </w:tcPr>
        <w:p w:rsidR="00563EEA" w:rsidRDefault="00563EEA">
          <w:pPr>
            <w:pStyle w:val="HeaderEven"/>
            <w:jc w:val="right"/>
            <w:rPr>
              <w:b/>
            </w:rPr>
          </w:pPr>
          <w:r>
            <w:rPr>
              <w:b/>
            </w:rPr>
            <w:fldChar w:fldCharType="begin"/>
          </w:r>
          <w:r>
            <w:rPr>
              <w:b/>
            </w:rPr>
            <w:instrText xml:space="preserve"> STYLEREF CharPartNo \*charformat </w:instrText>
          </w:r>
          <w:r>
            <w:rPr>
              <w:b/>
            </w:rPr>
            <w:fldChar w:fldCharType="end"/>
          </w:r>
        </w:p>
      </w:tc>
    </w:tr>
    <w:tr w:rsidR="00563EEA">
      <w:tc>
        <w:tcPr>
          <w:tcW w:w="4100" w:type="pct"/>
        </w:tcPr>
        <w:p w:rsidR="00563EEA" w:rsidRDefault="00563EEA">
          <w:pPr>
            <w:pStyle w:val="HeaderEven"/>
            <w:jc w:val="right"/>
          </w:pPr>
          <w:r>
            <w:fldChar w:fldCharType="begin"/>
          </w:r>
          <w:r>
            <w:instrText xml:space="preserve"> STYLEREF CharDivText \*charformat </w:instrText>
          </w:r>
          <w:r>
            <w:fldChar w:fldCharType="end"/>
          </w:r>
        </w:p>
      </w:tc>
      <w:tc>
        <w:tcPr>
          <w:tcW w:w="900" w:type="pct"/>
        </w:tcPr>
        <w:p w:rsidR="00563EEA" w:rsidRDefault="00563EEA">
          <w:pPr>
            <w:pStyle w:val="HeaderEven"/>
            <w:jc w:val="right"/>
            <w:rPr>
              <w:b/>
            </w:rPr>
          </w:pPr>
          <w:r>
            <w:rPr>
              <w:b/>
            </w:rPr>
            <w:fldChar w:fldCharType="begin"/>
          </w:r>
          <w:r>
            <w:rPr>
              <w:b/>
            </w:rPr>
            <w:instrText xml:space="preserve"> STYLEREF CharDivNo \*charformat </w:instrText>
          </w:r>
          <w:r>
            <w:rPr>
              <w:b/>
            </w:rPr>
            <w:fldChar w:fldCharType="end"/>
          </w:r>
        </w:p>
      </w:tc>
    </w:tr>
    <w:tr w:rsidR="00563EEA">
      <w:trPr>
        <w:cantSplit/>
      </w:trPr>
      <w:tc>
        <w:tcPr>
          <w:tcW w:w="5000" w:type="pct"/>
          <w:gridSpan w:val="2"/>
          <w:tcBorders>
            <w:bottom w:val="single" w:sz="4" w:space="0" w:color="auto"/>
          </w:tcBorders>
        </w:tcPr>
        <w:p w:rsidR="00563EEA" w:rsidRDefault="00590FDD">
          <w:pPr>
            <w:pStyle w:val="HeaderOdd6"/>
          </w:pPr>
          <w:r>
            <w:fldChar w:fldCharType="begin"/>
          </w:r>
          <w:r>
            <w:instrText xml:space="preserve"> STYLEREF CharSectNo \*charformat </w:instrText>
          </w:r>
          <w:r>
            <w:rPr>
              <w:noProof/>
            </w:rPr>
            <w:fldChar w:fldCharType="end"/>
          </w:r>
        </w:p>
      </w:tc>
    </w:tr>
  </w:tbl>
  <w:p w:rsidR="00563EEA" w:rsidRDefault="00563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5"/>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4"/>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Number"/>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2"/>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rPr>
    </w:lvl>
    <w:lvl w:ilvl="5">
      <w:start w:val="1"/>
      <w:numFmt w:val="decimal"/>
      <w:lvlText w:val="(%6)"/>
      <w:lvlJc w:val="right"/>
      <w:pPr>
        <w:tabs>
          <w:tab w:val="num" w:pos="700"/>
        </w:tabs>
        <w:ind w:left="700" w:hanging="200"/>
      </w:pPr>
      <w:rPr>
        <w:rFonts w:cs="Times New Roman"/>
      </w:rPr>
    </w:lvl>
    <w:lvl w:ilvl="6">
      <w:start w:val="1"/>
      <w:numFmt w:val="lowerLetter"/>
      <w:lvlText w:val="(%7)"/>
      <w:lvlJc w:val="right"/>
      <w:pPr>
        <w:tabs>
          <w:tab w:val="num" w:pos="1200"/>
        </w:tabs>
        <w:ind w:left="1200" w:hanging="200"/>
      </w:pPr>
      <w:rPr>
        <w:rFonts w:cs="Times New Roman"/>
      </w:rPr>
    </w:lvl>
    <w:lvl w:ilvl="7">
      <w:start w:val="1"/>
      <w:numFmt w:val="lowerRoman"/>
      <w:lvlText w:val="(%8)"/>
      <w:lvlJc w:val="right"/>
      <w:pPr>
        <w:tabs>
          <w:tab w:val="num" w:pos="1600"/>
        </w:tabs>
        <w:ind w:left="1600" w:hanging="200"/>
      </w:pPr>
      <w:rPr>
        <w:rFonts w:cs="Times New Roman"/>
      </w:rPr>
    </w:lvl>
    <w:lvl w:ilvl="8">
      <w:start w:val="1"/>
      <w:numFmt w:val="upperLetter"/>
      <w:lvlText w:val="(%9)"/>
      <w:lvlJc w:val="right"/>
      <w:pPr>
        <w:tabs>
          <w:tab w:val="num" w:pos="2100"/>
        </w:tabs>
        <w:ind w:left="2100" w:hanging="200"/>
      </w:pPr>
      <w:rPr>
        <w:rFonts w:cs="Times New Roman"/>
      </w:r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5" w15:restartNumberingAfterBreak="0">
    <w:nsid w:val="21CF4923"/>
    <w:multiLevelType w:val="multilevel"/>
    <w:tmpl w:val="E062BB52"/>
    <w:name w:val="Headings"/>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6" w15:restartNumberingAfterBreak="0">
    <w:nsid w:val="31D03CEE"/>
    <w:multiLevelType w:val="hybridMultilevel"/>
    <w:tmpl w:val="5DB2CD8E"/>
    <w:lvl w:ilvl="0" w:tplc="31608340">
      <w:start w:val="1"/>
      <w:numFmt w:val="bullet"/>
      <w:pStyle w:val="aNoteBulletsubpar"/>
      <w:lvlText w:val=""/>
      <w:lvlJc w:val="left"/>
      <w:pPr>
        <w:tabs>
          <w:tab w:val="num" w:pos="3300"/>
        </w:tabs>
        <w:ind w:left="3240" w:hanging="300"/>
      </w:pPr>
      <w:rPr>
        <w:rFonts w:ascii="Symbol" w:hAnsi="Symbol" w:hint="default"/>
        <w:sz w:val="20"/>
      </w:rPr>
    </w:lvl>
    <w:lvl w:ilvl="1" w:tplc="9C6C61A8" w:tentative="1">
      <w:start w:val="1"/>
      <w:numFmt w:val="bullet"/>
      <w:lvlText w:val="o"/>
      <w:lvlJc w:val="left"/>
      <w:pPr>
        <w:tabs>
          <w:tab w:val="num" w:pos="1440"/>
        </w:tabs>
        <w:ind w:left="1440" w:hanging="360"/>
      </w:pPr>
      <w:rPr>
        <w:rFonts w:ascii="Courier New" w:hAnsi="Courier New" w:hint="default"/>
      </w:rPr>
    </w:lvl>
    <w:lvl w:ilvl="2" w:tplc="E9F88AFC" w:tentative="1">
      <w:start w:val="1"/>
      <w:numFmt w:val="bullet"/>
      <w:lvlText w:val=""/>
      <w:lvlJc w:val="left"/>
      <w:pPr>
        <w:tabs>
          <w:tab w:val="num" w:pos="2160"/>
        </w:tabs>
        <w:ind w:left="2160" w:hanging="360"/>
      </w:pPr>
      <w:rPr>
        <w:rFonts w:ascii="Wingdings" w:hAnsi="Wingdings" w:hint="default"/>
      </w:rPr>
    </w:lvl>
    <w:lvl w:ilvl="3" w:tplc="496870A4" w:tentative="1">
      <w:start w:val="1"/>
      <w:numFmt w:val="bullet"/>
      <w:lvlText w:val=""/>
      <w:lvlJc w:val="left"/>
      <w:pPr>
        <w:tabs>
          <w:tab w:val="num" w:pos="2880"/>
        </w:tabs>
        <w:ind w:left="2880" w:hanging="360"/>
      </w:pPr>
      <w:rPr>
        <w:rFonts w:ascii="Symbol" w:hAnsi="Symbol" w:hint="default"/>
      </w:rPr>
    </w:lvl>
    <w:lvl w:ilvl="4" w:tplc="B2BE9534" w:tentative="1">
      <w:start w:val="1"/>
      <w:numFmt w:val="bullet"/>
      <w:lvlText w:val="o"/>
      <w:lvlJc w:val="left"/>
      <w:pPr>
        <w:tabs>
          <w:tab w:val="num" w:pos="3600"/>
        </w:tabs>
        <w:ind w:left="3600" w:hanging="360"/>
      </w:pPr>
      <w:rPr>
        <w:rFonts w:ascii="Courier New" w:hAnsi="Courier New" w:hint="default"/>
      </w:rPr>
    </w:lvl>
    <w:lvl w:ilvl="5" w:tplc="88E89D5A" w:tentative="1">
      <w:start w:val="1"/>
      <w:numFmt w:val="bullet"/>
      <w:lvlText w:val=""/>
      <w:lvlJc w:val="left"/>
      <w:pPr>
        <w:tabs>
          <w:tab w:val="num" w:pos="4320"/>
        </w:tabs>
        <w:ind w:left="4320" w:hanging="360"/>
      </w:pPr>
      <w:rPr>
        <w:rFonts w:ascii="Wingdings" w:hAnsi="Wingdings" w:hint="default"/>
      </w:rPr>
    </w:lvl>
    <w:lvl w:ilvl="6" w:tplc="1BB09FF6" w:tentative="1">
      <w:start w:val="1"/>
      <w:numFmt w:val="bullet"/>
      <w:lvlText w:val=""/>
      <w:lvlJc w:val="left"/>
      <w:pPr>
        <w:tabs>
          <w:tab w:val="num" w:pos="5040"/>
        </w:tabs>
        <w:ind w:left="5040" w:hanging="360"/>
      </w:pPr>
      <w:rPr>
        <w:rFonts w:ascii="Symbol" w:hAnsi="Symbol" w:hint="default"/>
      </w:rPr>
    </w:lvl>
    <w:lvl w:ilvl="7" w:tplc="09EE6892" w:tentative="1">
      <w:start w:val="1"/>
      <w:numFmt w:val="bullet"/>
      <w:lvlText w:val="o"/>
      <w:lvlJc w:val="left"/>
      <w:pPr>
        <w:tabs>
          <w:tab w:val="num" w:pos="5760"/>
        </w:tabs>
        <w:ind w:left="5760" w:hanging="360"/>
      </w:pPr>
      <w:rPr>
        <w:rFonts w:ascii="Courier New" w:hAnsi="Courier New" w:hint="default"/>
      </w:rPr>
    </w:lvl>
    <w:lvl w:ilvl="8" w:tplc="29E22E7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1B54D7"/>
    <w:multiLevelType w:val="hybridMultilevel"/>
    <w:tmpl w:val="268C53A0"/>
    <w:name w:val="Schedule"/>
    <w:lvl w:ilvl="0" w:tplc="ED20A374">
      <w:start w:val="1"/>
      <w:numFmt w:val="bullet"/>
      <w:lvlText w:val=""/>
      <w:lvlJc w:val="left"/>
      <w:pPr>
        <w:tabs>
          <w:tab w:val="num" w:pos="2540"/>
        </w:tabs>
        <w:ind w:left="2540" w:hanging="400"/>
      </w:pPr>
      <w:rPr>
        <w:rFonts w:ascii="Symbol" w:hAnsi="Symbol" w:hint="default"/>
        <w:sz w:val="20"/>
      </w:rPr>
    </w:lvl>
    <w:lvl w:ilvl="1" w:tplc="36E0A004" w:tentative="1">
      <w:start w:val="1"/>
      <w:numFmt w:val="bullet"/>
      <w:lvlText w:val="o"/>
      <w:lvlJc w:val="left"/>
      <w:pPr>
        <w:tabs>
          <w:tab w:val="num" w:pos="1440"/>
        </w:tabs>
        <w:ind w:left="1440" w:hanging="360"/>
      </w:pPr>
      <w:rPr>
        <w:rFonts w:ascii="Courier New" w:hAnsi="Courier New" w:hint="default"/>
      </w:rPr>
    </w:lvl>
    <w:lvl w:ilvl="2" w:tplc="39D297E2" w:tentative="1">
      <w:start w:val="1"/>
      <w:numFmt w:val="bullet"/>
      <w:lvlText w:val=""/>
      <w:lvlJc w:val="left"/>
      <w:pPr>
        <w:tabs>
          <w:tab w:val="num" w:pos="2160"/>
        </w:tabs>
        <w:ind w:left="2160" w:hanging="360"/>
      </w:pPr>
      <w:rPr>
        <w:rFonts w:ascii="Wingdings" w:hAnsi="Wingdings" w:hint="default"/>
      </w:rPr>
    </w:lvl>
    <w:lvl w:ilvl="3" w:tplc="31FCEEC4" w:tentative="1">
      <w:start w:val="1"/>
      <w:numFmt w:val="bullet"/>
      <w:lvlText w:val=""/>
      <w:lvlJc w:val="left"/>
      <w:pPr>
        <w:tabs>
          <w:tab w:val="num" w:pos="2880"/>
        </w:tabs>
        <w:ind w:left="2880" w:hanging="360"/>
      </w:pPr>
      <w:rPr>
        <w:rFonts w:ascii="Symbol" w:hAnsi="Symbol" w:hint="default"/>
      </w:rPr>
    </w:lvl>
    <w:lvl w:ilvl="4" w:tplc="76E25860" w:tentative="1">
      <w:start w:val="1"/>
      <w:numFmt w:val="bullet"/>
      <w:lvlText w:val="o"/>
      <w:lvlJc w:val="left"/>
      <w:pPr>
        <w:tabs>
          <w:tab w:val="num" w:pos="3600"/>
        </w:tabs>
        <w:ind w:left="3600" w:hanging="360"/>
      </w:pPr>
      <w:rPr>
        <w:rFonts w:ascii="Courier New" w:hAnsi="Courier New" w:hint="default"/>
      </w:rPr>
    </w:lvl>
    <w:lvl w:ilvl="5" w:tplc="BFB4185A" w:tentative="1">
      <w:start w:val="1"/>
      <w:numFmt w:val="bullet"/>
      <w:lvlText w:val=""/>
      <w:lvlJc w:val="left"/>
      <w:pPr>
        <w:tabs>
          <w:tab w:val="num" w:pos="4320"/>
        </w:tabs>
        <w:ind w:left="4320" w:hanging="360"/>
      </w:pPr>
      <w:rPr>
        <w:rFonts w:ascii="Wingdings" w:hAnsi="Wingdings" w:hint="default"/>
      </w:rPr>
    </w:lvl>
    <w:lvl w:ilvl="6" w:tplc="A80ECCA2" w:tentative="1">
      <w:start w:val="1"/>
      <w:numFmt w:val="bullet"/>
      <w:lvlText w:val=""/>
      <w:lvlJc w:val="left"/>
      <w:pPr>
        <w:tabs>
          <w:tab w:val="num" w:pos="5040"/>
        </w:tabs>
        <w:ind w:left="5040" w:hanging="360"/>
      </w:pPr>
      <w:rPr>
        <w:rFonts w:ascii="Symbol" w:hAnsi="Symbol" w:hint="default"/>
      </w:rPr>
    </w:lvl>
    <w:lvl w:ilvl="7" w:tplc="1122904C" w:tentative="1">
      <w:start w:val="1"/>
      <w:numFmt w:val="bullet"/>
      <w:lvlText w:val="o"/>
      <w:lvlJc w:val="left"/>
      <w:pPr>
        <w:tabs>
          <w:tab w:val="num" w:pos="5760"/>
        </w:tabs>
        <w:ind w:left="5760" w:hanging="360"/>
      </w:pPr>
      <w:rPr>
        <w:rFonts w:ascii="Courier New" w:hAnsi="Courier New" w:hint="default"/>
      </w:rPr>
    </w:lvl>
    <w:lvl w:ilvl="8" w:tplc="38F461D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F62BF"/>
    <w:multiLevelType w:val="multilevel"/>
    <w:tmpl w:val="09BCB3CC"/>
    <w:name w:val="Sections"/>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15:restartNumberingAfterBreak="0">
    <w:nsid w:val="41592A52"/>
    <w:multiLevelType w:val="multilevel"/>
    <w:tmpl w:val="0C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0" w15:restartNumberingAfterBreak="0">
    <w:nsid w:val="47B51BC9"/>
    <w:multiLevelType w:val="multilevel"/>
    <w:tmpl w:val="18D63FDA"/>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2E02F0"/>
    <w:multiLevelType w:val="hybridMultilevel"/>
    <w:tmpl w:val="E048E038"/>
    <w:name w:val="SchClause"/>
    <w:lvl w:ilvl="0" w:tplc="64EE67BC">
      <w:start w:val="1"/>
      <w:numFmt w:val="bullet"/>
      <w:lvlText w:val=""/>
      <w:lvlJc w:val="left"/>
      <w:pPr>
        <w:tabs>
          <w:tab w:val="num" w:pos="2000"/>
        </w:tabs>
        <w:ind w:left="2000" w:hanging="400"/>
      </w:pPr>
      <w:rPr>
        <w:rFonts w:ascii="Symbol" w:hAnsi="Symbol" w:hint="default"/>
        <w:sz w:val="20"/>
      </w:rPr>
    </w:lvl>
    <w:lvl w:ilvl="1" w:tplc="13EA7B60" w:tentative="1">
      <w:start w:val="1"/>
      <w:numFmt w:val="bullet"/>
      <w:lvlText w:val="o"/>
      <w:lvlJc w:val="left"/>
      <w:pPr>
        <w:tabs>
          <w:tab w:val="num" w:pos="1440"/>
        </w:tabs>
        <w:ind w:left="1440" w:hanging="360"/>
      </w:pPr>
      <w:rPr>
        <w:rFonts w:ascii="Courier New" w:hAnsi="Courier New" w:hint="default"/>
      </w:rPr>
    </w:lvl>
    <w:lvl w:ilvl="2" w:tplc="8E3E5E9E" w:tentative="1">
      <w:start w:val="1"/>
      <w:numFmt w:val="bullet"/>
      <w:lvlText w:val=""/>
      <w:lvlJc w:val="left"/>
      <w:pPr>
        <w:tabs>
          <w:tab w:val="num" w:pos="2160"/>
        </w:tabs>
        <w:ind w:left="2160" w:hanging="360"/>
      </w:pPr>
      <w:rPr>
        <w:rFonts w:ascii="Wingdings" w:hAnsi="Wingdings" w:hint="default"/>
      </w:rPr>
    </w:lvl>
    <w:lvl w:ilvl="3" w:tplc="577A4486" w:tentative="1">
      <w:start w:val="1"/>
      <w:numFmt w:val="bullet"/>
      <w:lvlText w:val=""/>
      <w:lvlJc w:val="left"/>
      <w:pPr>
        <w:tabs>
          <w:tab w:val="num" w:pos="2880"/>
        </w:tabs>
        <w:ind w:left="2880" w:hanging="360"/>
      </w:pPr>
      <w:rPr>
        <w:rFonts w:ascii="Symbol" w:hAnsi="Symbol" w:hint="default"/>
      </w:rPr>
    </w:lvl>
    <w:lvl w:ilvl="4" w:tplc="40AEA16A" w:tentative="1">
      <w:start w:val="1"/>
      <w:numFmt w:val="bullet"/>
      <w:lvlText w:val="o"/>
      <w:lvlJc w:val="left"/>
      <w:pPr>
        <w:tabs>
          <w:tab w:val="num" w:pos="3600"/>
        </w:tabs>
        <w:ind w:left="3600" w:hanging="360"/>
      </w:pPr>
      <w:rPr>
        <w:rFonts w:ascii="Courier New" w:hAnsi="Courier New" w:hint="default"/>
      </w:rPr>
    </w:lvl>
    <w:lvl w:ilvl="5" w:tplc="02F01D98" w:tentative="1">
      <w:start w:val="1"/>
      <w:numFmt w:val="bullet"/>
      <w:lvlText w:val=""/>
      <w:lvlJc w:val="left"/>
      <w:pPr>
        <w:tabs>
          <w:tab w:val="num" w:pos="4320"/>
        </w:tabs>
        <w:ind w:left="4320" w:hanging="360"/>
      </w:pPr>
      <w:rPr>
        <w:rFonts w:ascii="Wingdings" w:hAnsi="Wingdings" w:hint="default"/>
      </w:rPr>
    </w:lvl>
    <w:lvl w:ilvl="6" w:tplc="BB147394" w:tentative="1">
      <w:start w:val="1"/>
      <w:numFmt w:val="bullet"/>
      <w:lvlText w:val=""/>
      <w:lvlJc w:val="left"/>
      <w:pPr>
        <w:tabs>
          <w:tab w:val="num" w:pos="5040"/>
        </w:tabs>
        <w:ind w:left="5040" w:hanging="360"/>
      </w:pPr>
      <w:rPr>
        <w:rFonts w:ascii="Symbol" w:hAnsi="Symbol" w:hint="default"/>
      </w:rPr>
    </w:lvl>
    <w:lvl w:ilvl="7" w:tplc="6C6ABAFA" w:tentative="1">
      <w:start w:val="1"/>
      <w:numFmt w:val="bullet"/>
      <w:lvlText w:val="o"/>
      <w:lvlJc w:val="left"/>
      <w:pPr>
        <w:tabs>
          <w:tab w:val="num" w:pos="5760"/>
        </w:tabs>
        <w:ind w:left="5760" w:hanging="360"/>
      </w:pPr>
      <w:rPr>
        <w:rFonts w:ascii="Courier New" w:hAnsi="Courier New" w:hint="default"/>
      </w:rPr>
    </w:lvl>
    <w:lvl w:ilvl="8" w:tplc="921A742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71BB2"/>
    <w:multiLevelType w:val="multilevel"/>
    <w:tmpl w:val="F5A45572"/>
    <w:name w:val="Shading"/>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2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5423923"/>
    <w:multiLevelType w:val="singleLevel"/>
    <w:tmpl w:val="6CBA8A62"/>
    <w:name w:val="SchClause2"/>
    <w:lvl w:ilvl="0">
      <w:start w:val="1"/>
      <w:numFmt w:val="bullet"/>
      <w:lvlText w:val=""/>
      <w:lvlJc w:val="left"/>
      <w:pPr>
        <w:tabs>
          <w:tab w:val="num" w:pos="2300"/>
        </w:tabs>
        <w:ind w:left="2300" w:hanging="300"/>
      </w:pPr>
      <w:rPr>
        <w:rFonts w:ascii="Symbol" w:hAnsi="Symbol" w:hint="default"/>
        <w:sz w:val="20"/>
      </w:rPr>
    </w:lvl>
  </w:abstractNum>
  <w:abstractNum w:abstractNumId="27" w15:restartNumberingAfterBreak="0">
    <w:nsid w:val="7BA947E9"/>
    <w:multiLevelType w:val="singleLevel"/>
    <w:tmpl w:val="E42A9AE2"/>
    <w:lvl w:ilvl="0">
      <w:start w:val="1"/>
      <w:numFmt w:val="decimal"/>
      <w:lvlRestart w:val="0"/>
      <w:lvlText w:val="%1"/>
      <w:lvlJc w:val="left"/>
      <w:pPr>
        <w:tabs>
          <w:tab w:val="num" w:pos="1500"/>
        </w:tabs>
        <w:ind w:left="1500" w:hanging="400"/>
      </w:pPr>
      <w:rPr>
        <w:rFonts w:cs="Times New Roman"/>
        <w:b/>
        <w:i w:val="0"/>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num>
  <w:num w:numId="12">
    <w:abstractNumId w:val="3"/>
  </w:num>
  <w:num w:numId="13">
    <w:abstractNumId w:val="2"/>
  </w:num>
  <w:num w:numId="14">
    <w:abstractNumId w:val="1"/>
  </w:num>
  <w:num w:numId="15">
    <w:abstractNumId w:val="0"/>
  </w:num>
  <w:num w:numId="16">
    <w:abstractNumId w:val="27"/>
  </w:num>
  <w:num w:numId="17">
    <w:abstractNumId w:val="19"/>
  </w:num>
  <w:num w:numId="18">
    <w:abstractNumId w:val="20"/>
  </w:num>
  <w:num w:numId="19">
    <w:abstractNumId w:val="16"/>
  </w:num>
  <w:num w:numId="20">
    <w:abstractNumId w:val="14"/>
  </w:num>
  <w:num w:numId="21">
    <w:abstractNumId w:val="21"/>
  </w:num>
  <w:num w:numId="22">
    <w:abstractNumId w:val="13"/>
  </w:num>
  <w:num w:numId="23">
    <w:abstractNumId w:val="22"/>
  </w:num>
  <w:num w:numId="24">
    <w:abstractNumId w:val="28"/>
  </w:num>
  <w:num w:numId="2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8C"/>
    <w:rsid w:val="00001242"/>
    <w:rsid w:val="0000158C"/>
    <w:rsid w:val="00001E8E"/>
    <w:rsid w:val="000038FA"/>
    <w:rsid w:val="00006801"/>
    <w:rsid w:val="000078D9"/>
    <w:rsid w:val="00011096"/>
    <w:rsid w:val="00011C21"/>
    <w:rsid w:val="00015616"/>
    <w:rsid w:val="000170D9"/>
    <w:rsid w:val="000222A6"/>
    <w:rsid w:val="0002470E"/>
    <w:rsid w:val="0002671D"/>
    <w:rsid w:val="00030ABB"/>
    <w:rsid w:val="00031018"/>
    <w:rsid w:val="000320DB"/>
    <w:rsid w:val="0003249F"/>
    <w:rsid w:val="00032B8E"/>
    <w:rsid w:val="00032D7A"/>
    <w:rsid w:val="000341A8"/>
    <w:rsid w:val="00034A8D"/>
    <w:rsid w:val="00035E37"/>
    <w:rsid w:val="000448E6"/>
    <w:rsid w:val="00046F55"/>
    <w:rsid w:val="00050035"/>
    <w:rsid w:val="000510F0"/>
    <w:rsid w:val="00052F41"/>
    <w:rsid w:val="00054CF9"/>
    <w:rsid w:val="00054F1A"/>
    <w:rsid w:val="000600C7"/>
    <w:rsid w:val="000601ED"/>
    <w:rsid w:val="00060D16"/>
    <w:rsid w:val="000626EF"/>
    <w:rsid w:val="00064504"/>
    <w:rsid w:val="00070119"/>
    <w:rsid w:val="0007124F"/>
    <w:rsid w:val="000726F8"/>
    <w:rsid w:val="00074E80"/>
    <w:rsid w:val="00076F75"/>
    <w:rsid w:val="00077F46"/>
    <w:rsid w:val="000807B4"/>
    <w:rsid w:val="00080854"/>
    <w:rsid w:val="000814C4"/>
    <w:rsid w:val="000833E5"/>
    <w:rsid w:val="0008577A"/>
    <w:rsid w:val="00085878"/>
    <w:rsid w:val="00085896"/>
    <w:rsid w:val="00086B92"/>
    <w:rsid w:val="000906B4"/>
    <w:rsid w:val="00091578"/>
    <w:rsid w:val="00094140"/>
    <w:rsid w:val="0009475A"/>
    <w:rsid w:val="000A103F"/>
    <w:rsid w:val="000A2F6B"/>
    <w:rsid w:val="000A6826"/>
    <w:rsid w:val="000A7360"/>
    <w:rsid w:val="000A775D"/>
    <w:rsid w:val="000B060A"/>
    <w:rsid w:val="000B064A"/>
    <w:rsid w:val="000B19CF"/>
    <w:rsid w:val="000B1D56"/>
    <w:rsid w:val="000B6C68"/>
    <w:rsid w:val="000B7EB9"/>
    <w:rsid w:val="000C108C"/>
    <w:rsid w:val="000C291A"/>
    <w:rsid w:val="000C29E3"/>
    <w:rsid w:val="000C3159"/>
    <w:rsid w:val="000C36E2"/>
    <w:rsid w:val="000C7832"/>
    <w:rsid w:val="000D0901"/>
    <w:rsid w:val="000D3491"/>
    <w:rsid w:val="000D4098"/>
    <w:rsid w:val="000D4A38"/>
    <w:rsid w:val="000D4F5E"/>
    <w:rsid w:val="000D57E6"/>
    <w:rsid w:val="000D75A6"/>
    <w:rsid w:val="000E3635"/>
    <w:rsid w:val="000E543D"/>
    <w:rsid w:val="000F5E1C"/>
    <w:rsid w:val="001002C3"/>
    <w:rsid w:val="0010073A"/>
    <w:rsid w:val="00101569"/>
    <w:rsid w:val="00104F87"/>
    <w:rsid w:val="001063A6"/>
    <w:rsid w:val="00107DA1"/>
    <w:rsid w:val="001104A4"/>
    <w:rsid w:val="0011087A"/>
    <w:rsid w:val="00113E7C"/>
    <w:rsid w:val="0011516E"/>
    <w:rsid w:val="00117905"/>
    <w:rsid w:val="00120040"/>
    <w:rsid w:val="001210CE"/>
    <w:rsid w:val="00122D37"/>
    <w:rsid w:val="00125FDC"/>
    <w:rsid w:val="00126B4D"/>
    <w:rsid w:val="00127F4A"/>
    <w:rsid w:val="00130B87"/>
    <w:rsid w:val="001315A5"/>
    <w:rsid w:val="00131AF4"/>
    <w:rsid w:val="00131D03"/>
    <w:rsid w:val="001347F2"/>
    <w:rsid w:val="0013659F"/>
    <w:rsid w:val="00136DFE"/>
    <w:rsid w:val="001424EB"/>
    <w:rsid w:val="001438C9"/>
    <w:rsid w:val="0014731F"/>
    <w:rsid w:val="00147B6C"/>
    <w:rsid w:val="00150B50"/>
    <w:rsid w:val="00151E04"/>
    <w:rsid w:val="00152661"/>
    <w:rsid w:val="001529CA"/>
    <w:rsid w:val="00152C9D"/>
    <w:rsid w:val="0015538F"/>
    <w:rsid w:val="00155916"/>
    <w:rsid w:val="00155D0A"/>
    <w:rsid w:val="001569F5"/>
    <w:rsid w:val="00162C80"/>
    <w:rsid w:val="00167093"/>
    <w:rsid w:val="00171031"/>
    <w:rsid w:val="00172AAE"/>
    <w:rsid w:val="0017304D"/>
    <w:rsid w:val="00174859"/>
    <w:rsid w:val="00181D8C"/>
    <w:rsid w:val="00182C51"/>
    <w:rsid w:val="00184584"/>
    <w:rsid w:val="00185933"/>
    <w:rsid w:val="001859A0"/>
    <w:rsid w:val="00186F40"/>
    <w:rsid w:val="001934FF"/>
    <w:rsid w:val="00193E99"/>
    <w:rsid w:val="00194E9B"/>
    <w:rsid w:val="00196A55"/>
    <w:rsid w:val="001A0A10"/>
    <w:rsid w:val="001A510B"/>
    <w:rsid w:val="001B0958"/>
    <w:rsid w:val="001B16E8"/>
    <w:rsid w:val="001B449A"/>
    <w:rsid w:val="001B6165"/>
    <w:rsid w:val="001C3233"/>
    <w:rsid w:val="001C4D2E"/>
    <w:rsid w:val="001C4E5C"/>
    <w:rsid w:val="001C511B"/>
    <w:rsid w:val="001C6982"/>
    <w:rsid w:val="001C6D5A"/>
    <w:rsid w:val="001C7080"/>
    <w:rsid w:val="001D1A20"/>
    <w:rsid w:val="001D1BCB"/>
    <w:rsid w:val="001D4C20"/>
    <w:rsid w:val="001D6469"/>
    <w:rsid w:val="001D7191"/>
    <w:rsid w:val="001E0CBE"/>
    <w:rsid w:val="001E2DF0"/>
    <w:rsid w:val="001E338D"/>
    <w:rsid w:val="001F12C9"/>
    <w:rsid w:val="001F16F0"/>
    <w:rsid w:val="001F1C8F"/>
    <w:rsid w:val="001F1D9D"/>
    <w:rsid w:val="001F331E"/>
    <w:rsid w:val="001F440B"/>
    <w:rsid w:val="001F58FA"/>
    <w:rsid w:val="001F5FFB"/>
    <w:rsid w:val="0020199E"/>
    <w:rsid w:val="0020322B"/>
    <w:rsid w:val="0020516E"/>
    <w:rsid w:val="0020531C"/>
    <w:rsid w:val="00212638"/>
    <w:rsid w:val="00214633"/>
    <w:rsid w:val="00215276"/>
    <w:rsid w:val="0021712D"/>
    <w:rsid w:val="0022144C"/>
    <w:rsid w:val="0022149F"/>
    <w:rsid w:val="00222121"/>
    <w:rsid w:val="002222A8"/>
    <w:rsid w:val="002225B7"/>
    <w:rsid w:val="00222CF6"/>
    <w:rsid w:val="0023167E"/>
    <w:rsid w:val="002316EF"/>
    <w:rsid w:val="00235903"/>
    <w:rsid w:val="00237010"/>
    <w:rsid w:val="00242B6C"/>
    <w:rsid w:val="00243D63"/>
    <w:rsid w:val="002441CC"/>
    <w:rsid w:val="00244E0E"/>
    <w:rsid w:val="002455A3"/>
    <w:rsid w:val="00250BCB"/>
    <w:rsid w:val="00250D5B"/>
    <w:rsid w:val="0025185C"/>
    <w:rsid w:val="00252637"/>
    <w:rsid w:val="00253001"/>
    <w:rsid w:val="00254DE8"/>
    <w:rsid w:val="00257A30"/>
    <w:rsid w:val="00257A5D"/>
    <w:rsid w:val="00264DB4"/>
    <w:rsid w:val="00265473"/>
    <w:rsid w:val="002655FF"/>
    <w:rsid w:val="00266E6B"/>
    <w:rsid w:val="002701E1"/>
    <w:rsid w:val="002707F0"/>
    <w:rsid w:val="002724E7"/>
    <w:rsid w:val="00272B91"/>
    <w:rsid w:val="00273196"/>
    <w:rsid w:val="0027449A"/>
    <w:rsid w:val="00274524"/>
    <w:rsid w:val="00275F4A"/>
    <w:rsid w:val="0027658E"/>
    <w:rsid w:val="0027685F"/>
    <w:rsid w:val="00277F56"/>
    <w:rsid w:val="002802D4"/>
    <w:rsid w:val="00282E41"/>
    <w:rsid w:val="00284098"/>
    <w:rsid w:val="00284836"/>
    <w:rsid w:val="00284AB2"/>
    <w:rsid w:val="002864F2"/>
    <w:rsid w:val="002919E2"/>
    <w:rsid w:val="002940E8"/>
    <w:rsid w:val="00294FE4"/>
    <w:rsid w:val="0029560D"/>
    <w:rsid w:val="002965C8"/>
    <w:rsid w:val="0029692F"/>
    <w:rsid w:val="002A08C2"/>
    <w:rsid w:val="002A316C"/>
    <w:rsid w:val="002A5748"/>
    <w:rsid w:val="002A5AFB"/>
    <w:rsid w:val="002A65C0"/>
    <w:rsid w:val="002B0590"/>
    <w:rsid w:val="002B153F"/>
    <w:rsid w:val="002B17BA"/>
    <w:rsid w:val="002B21E4"/>
    <w:rsid w:val="002B2870"/>
    <w:rsid w:val="002B54C1"/>
    <w:rsid w:val="002B6EE0"/>
    <w:rsid w:val="002C0966"/>
    <w:rsid w:val="002C1B1A"/>
    <w:rsid w:val="002C2CDD"/>
    <w:rsid w:val="002C4D9B"/>
    <w:rsid w:val="002C7667"/>
    <w:rsid w:val="002D1D2A"/>
    <w:rsid w:val="002D3210"/>
    <w:rsid w:val="002D4505"/>
    <w:rsid w:val="002D512A"/>
    <w:rsid w:val="002D6054"/>
    <w:rsid w:val="002E261C"/>
    <w:rsid w:val="002E2A46"/>
    <w:rsid w:val="002E3933"/>
    <w:rsid w:val="002E4FF3"/>
    <w:rsid w:val="002E6B3D"/>
    <w:rsid w:val="002E7253"/>
    <w:rsid w:val="002E784B"/>
    <w:rsid w:val="002E7905"/>
    <w:rsid w:val="002E7A9E"/>
    <w:rsid w:val="002F0865"/>
    <w:rsid w:val="002F190A"/>
    <w:rsid w:val="002F43A0"/>
    <w:rsid w:val="002F6E72"/>
    <w:rsid w:val="003024FD"/>
    <w:rsid w:val="00302CC2"/>
    <w:rsid w:val="00303BD0"/>
    <w:rsid w:val="0030473D"/>
    <w:rsid w:val="00305154"/>
    <w:rsid w:val="00307113"/>
    <w:rsid w:val="00307623"/>
    <w:rsid w:val="00307F2C"/>
    <w:rsid w:val="00311C77"/>
    <w:rsid w:val="00313546"/>
    <w:rsid w:val="00314B26"/>
    <w:rsid w:val="00321007"/>
    <w:rsid w:val="0032137A"/>
    <w:rsid w:val="0032205C"/>
    <w:rsid w:val="003230E6"/>
    <w:rsid w:val="003248C8"/>
    <w:rsid w:val="00325BD7"/>
    <w:rsid w:val="00326334"/>
    <w:rsid w:val="00331203"/>
    <w:rsid w:val="003355E2"/>
    <w:rsid w:val="00337405"/>
    <w:rsid w:val="00341275"/>
    <w:rsid w:val="003448E5"/>
    <w:rsid w:val="00351C3A"/>
    <w:rsid w:val="00354CFC"/>
    <w:rsid w:val="003574D1"/>
    <w:rsid w:val="00360B2F"/>
    <w:rsid w:val="00361247"/>
    <w:rsid w:val="0036292B"/>
    <w:rsid w:val="00366D73"/>
    <w:rsid w:val="0036750E"/>
    <w:rsid w:val="003707C3"/>
    <w:rsid w:val="00372167"/>
    <w:rsid w:val="00372ACB"/>
    <w:rsid w:val="003744ED"/>
    <w:rsid w:val="00374619"/>
    <w:rsid w:val="003762F6"/>
    <w:rsid w:val="00377D1F"/>
    <w:rsid w:val="0038029E"/>
    <w:rsid w:val="00382244"/>
    <w:rsid w:val="003839C0"/>
    <w:rsid w:val="00385113"/>
    <w:rsid w:val="003851D8"/>
    <w:rsid w:val="003901F4"/>
    <w:rsid w:val="003925E1"/>
    <w:rsid w:val="003938F9"/>
    <w:rsid w:val="00394539"/>
    <w:rsid w:val="003A07F9"/>
    <w:rsid w:val="003A0EC3"/>
    <w:rsid w:val="003A17E3"/>
    <w:rsid w:val="003A23E1"/>
    <w:rsid w:val="003A78AE"/>
    <w:rsid w:val="003A7A6C"/>
    <w:rsid w:val="003B0DC3"/>
    <w:rsid w:val="003B15C2"/>
    <w:rsid w:val="003B1CDC"/>
    <w:rsid w:val="003B2C7A"/>
    <w:rsid w:val="003B32E6"/>
    <w:rsid w:val="003B53CA"/>
    <w:rsid w:val="003B6418"/>
    <w:rsid w:val="003C0489"/>
    <w:rsid w:val="003C144C"/>
    <w:rsid w:val="003C33EF"/>
    <w:rsid w:val="003C4A16"/>
    <w:rsid w:val="003C63E7"/>
    <w:rsid w:val="003C6AC2"/>
    <w:rsid w:val="003C75DD"/>
    <w:rsid w:val="003C7C43"/>
    <w:rsid w:val="003D26CE"/>
    <w:rsid w:val="003D5C99"/>
    <w:rsid w:val="003D7BA5"/>
    <w:rsid w:val="003E1C65"/>
    <w:rsid w:val="003E2129"/>
    <w:rsid w:val="003E60F0"/>
    <w:rsid w:val="003E6B00"/>
    <w:rsid w:val="003E79C6"/>
    <w:rsid w:val="003E7C64"/>
    <w:rsid w:val="003F1275"/>
    <w:rsid w:val="003F4DCC"/>
    <w:rsid w:val="003F6619"/>
    <w:rsid w:val="004010F3"/>
    <w:rsid w:val="0040136F"/>
    <w:rsid w:val="00403645"/>
    <w:rsid w:val="00410606"/>
    <w:rsid w:val="00411A45"/>
    <w:rsid w:val="00412F60"/>
    <w:rsid w:val="0041445F"/>
    <w:rsid w:val="0041462A"/>
    <w:rsid w:val="00417049"/>
    <w:rsid w:val="00417755"/>
    <w:rsid w:val="00422312"/>
    <w:rsid w:val="0042271D"/>
    <w:rsid w:val="00422914"/>
    <w:rsid w:val="00423BC1"/>
    <w:rsid w:val="00424F07"/>
    <w:rsid w:val="0042561D"/>
    <w:rsid w:val="004269F9"/>
    <w:rsid w:val="00430BFA"/>
    <w:rsid w:val="00435893"/>
    <w:rsid w:val="004405F8"/>
    <w:rsid w:val="00440ADC"/>
    <w:rsid w:val="0044405C"/>
    <w:rsid w:val="00444480"/>
    <w:rsid w:val="0044489F"/>
    <w:rsid w:val="004455C1"/>
    <w:rsid w:val="00454252"/>
    <w:rsid w:val="0046275A"/>
    <w:rsid w:val="00463D44"/>
    <w:rsid w:val="00464302"/>
    <w:rsid w:val="004718CB"/>
    <w:rsid w:val="00472402"/>
    <w:rsid w:val="00472B04"/>
    <w:rsid w:val="0048588C"/>
    <w:rsid w:val="00486F06"/>
    <w:rsid w:val="0048711E"/>
    <w:rsid w:val="004877D9"/>
    <w:rsid w:val="00490EA5"/>
    <w:rsid w:val="00490FB8"/>
    <w:rsid w:val="00491D9B"/>
    <w:rsid w:val="004A23AA"/>
    <w:rsid w:val="004A34E0"/>
    <w:rsid w:val="004A4ED7"/>
    <w:rsid w:val="004A6605"/>
    <w:rsid w:val="004A688F"/>
    <w:rsid w:val="004A6B8A"/>
    <w:rsid w:val="004A7909"/>
    <w:rsid w:val="004B0427"/>
    <w:rsid w:val="004B385A"/>
    <w:rsid w:val="004B5B98"/>
    <w:rsid w:val="004C4286"/>
    <w:rsid w:val="004C6EE8"/>
    <w:rsid w:val="004C7EB3"/>
    <w:rsid w:val="004D0F95"/>
    <w:rsid w:val="004D2F78"/>
    <w:rsid w:val="004D353D"/>
    <w:rsid w:val="004D5ABD"/>
    <w:rsid w:val="004E4395"/>
    <w:rsid w:val="004E7160"/>
    <w:rsid w:val="004F0938"/>
    <w:rsid w:val="004F1050"/>
    <w:rsid w:val="004F208B"/>
    <w:rsid w:val="004F25B3"/>
    <w:rsid w:val="004F42F6"/>
    <w:rsid w:val="004F6688"/>
    <w:rsid w:val="00501495"/>
    <w:rsid w:val="005029C9"/>
    <w:rsid w:val="00502C3A"/>
    <w:rsid w:val="0050447C"/>
    <w:rsid w:val="00506E3A"/>
    <w:rsid w:val="00507409"/>
    <w:rsid w:val="005123A9"/>
    <w:rsid w:val="00517378"/>
    <w:rsid w:val="00517F40"/>
    <w:rsid w:val="00530E9B"/>
    <w:rsid w:val="00532E65"/>
    <w:rsid w:val="00533120"/>
    <w:rsid w:val="00535340"/>
    <w:rsid w:val="005368FF"/>
    <w:rsid w:val="00540AF6"/>
    <w:rsid w:val="00540C8D"/>
    <w:rsid w:val="00541561"/>
    <w:rsid w:val="00543678"/>
    <w:rsid w:val="00544D0C"/>
    <w:rsid w:val="00546153"/>
    <w:rsid w:val="00546A8E"/>
    <w:rsid w:val="00546D5E"/>
    <w:rsid w:val="005474DC"/>
    <w:rsid w:val="00550734"/>
    <w:rsid w:val="00552F9E"/>
    <w:rsid w:val="005537D6"/>
    <w:rsid w:val="00553EA6"/>
    <w:rsid w:val="00554087"/>
    <w:rsid w:val="005543F6"/>
    <w:rsid w:val="00557A95"/>
    <w:rsid w:val="005617F1"/>
    <w:rsid w:val="00561B2A"/>
    <w:rsid w:val="005623E0"/>
    <w:rsid w:val="00563EEA"/>
    <w:rsid w:val="0056441F"/>
    <w:rsid w:val="005657A3"/>
    <w:rsid w:val="00565EF3"/>
    <w:rsid w:val="00567573"/>
    <w:rsid w:val="00567644"/>
    <w:rsid w:val="00570680"/>
    <w:rsid w:val="00573606"/>
    <w:rsid w:val="00576A85"/>
    <w:rsid w:val="00585F65"/>
    <w:rsid w:val="00590B09"/>
    <w:rsid w:val="00590FDD"/>
    <w:rsid w:val="0059197E"/>
    <w:rsid w:val="00591CCE"/>
    <w:rsid w:val="00592AFA"/>
    <w:rsid w:val="00593688"/>
    <w:rsid w:val="00593E78"/>
    <w:rsid w:val="00597FB5"/>
    <w:rsid w:val="005A0746"/>
    <w:rsid w:val="005A1430"/>
    <w:rsid w:val="005A1ACB"/>
    <w:rsid w:val="005A1E57"/>
    <w:rsid w:val="005A33E1"/>
    <w:rsid w:val="005A525D"/>
    <w:rsid w:val="005B425E"/>
    <w:rsid w:val="005B4443"/>
    <w:rsid w:val="005B6B42"/>
    <w:rsid w:val="005C0040"/>
    <w:rsid w:val="005C25FE"/>
    <w:rsid w:val="005C28C5"/>
    <w:rsid w:val="005C3B1D"/>
    <w:rsid w:val="005D1BC5"/>
    <w:rsid w:val="005D4C14"/>
    <w:rsid w:val="005D551B"/>
    <w:rsid w:val="005D70E9"/>
    <w:rsid w:val="005E01E7"/>
    <w:rsid w:val="005E14CB"/>
    <w:rsid w:val="005F2398"/>
    <w:rsid w:val="005F3E75"/>
    <w:rsid w:val="00601D45"/>
    <w:rsid w:val="00603E53"/>
    <w:rsid w:val="00606DCD"/>
    <w:rsid w:val="0060735A"/>
    <w:rsid w:val="00612504"/>
    <w:rsid w:val="00612AAF"/>
    <w:rsid w:val="006148EB"/>
    <w:rsid w:val="00614E8E"/>
    <w:rsid w:val="0061678D"/>
    <w:rsid w:val="00616C21"/>
    <w:rsid w:val="00620B92"/>
    <w:rsid w:val="00620E68"/>
    <w:rsid w:val="00621DA3"/>
    <w:rsid w:val="006241BF"/>
    <w:rsid w:val="006248B1"/>
    <w:rsid w:val="00625DE2"/>
    <w:rsid w:val="00626589"/>
    <w:rsid w:val="006304B3"/>
    <w:rsid w:val="0063104A"/>
    <w:rsid w:val="0063213F"/>
    <w:rsid w:val="00632936"/>
    <w:rsid w:val="0063605E"/>
    <w:rsid w:val="00641552"/>
    <w:rsid w:val="00642CE3"/>
    <w:rsid w:val="00644E9A"/>
    <w:rsid w:val="00645AE1"/>
    <w:rsid w:val="00645E45"/>
    <w:rsid w:val="006460F0"/>
    <w:rsid w:val="00646AA4"/>
    <w:rsid w:val="0065076F"/>
    <w:rsid w:val="00652140"/>
    <w:rsid w:val="0065392E"/>
    <w:rsid w:val="00654E94"/>
    <w:rsid w:val="0065565E"/>
    <w:rsid w:val="00660E09"/>
    <w:rsid w:val="00661E12"/>
    <w:rsid w:val="00661E18"/>
    <w:rsid w:val="00662EC2"/>
    <w:rsid w:val="00663622"/>
    <w:rsid w:val="00663978"/>
    <w:rsid w:val="006655B8"/>
    <w:rsid w:val="00665957"/>
    <w:rsid w:val="00665A63"/>
    <w:rsid w:val="006677BD"/>
    <w:rsid w:val="0067522E"/>
    <w:rsid w:val="00675EE8"/>
    <w:rsid w:val="00677B71"/>
    <w:rsid w:val="0068244C"/>
    <w:rsid w:val="00683541"/>
    <w:rsid w:val="00683D0B"/>
    <w:rsid w:val="00685233"/>
    <w:rsid w:val="006857CC"/>
    <w:rsid w:val="006902B2"/>
    <w:rsid w:val="00690AED"/>
    <w:rsid w:val="00693590"/>
    <w:rsid w:val="00693861"/>
    <w:rsid w:val="00693E39"/>
    <w:rsid w:val="00696CEB"/>
    <w:rsid w:val="00697356"/>
    <w:rsid w:val="006A175D"/>
    <w:rsid w:val="006A1896"/>
    <w:rsid w:val="006A1F09"/>
    <w:rsid w:val="006A2353"/>
    <w:rsid w:val="006A524B"/>
    <w:rsid w:val="006B0268"/>
    <w:rsid w:val="006B23B5"/>
    <w:rsid w:val="006B2C07"/>
    <w:rsid w:val="006B3DC7"/>
    <w:rsid w:val="006B508F"/>
    <w:rsid w:val="006C0DFB"/>
    <w:rsid w:val="006C15F1"/>
    <w:rsid w:val="006C265F"/>
    <w:rsid w:val="006C5302"/>
    <w:rsid w:val="006C5DCE"/>
    <w:rsid w:val="006C6669"/>
    <w:rsid w:val="006D6BDD"/>
    <w:rsid w:val="006D6E86"/>
    <w:rsid w:val="006D78CD"/>
    <w:rsid w:val="006D7CF3"/>
    <w:rsid w:val="006D7D17"/>
    <w:rsid w:val="006E525A"/>
    <w:rsid w:val="006E55BA"/>
    <w:rsid w:val="006E6AD5"/>
    <w:rsid w:val="006E7AAE"/>
    <w:rsid w:val="006F01F5"/>
    <w:rsid w:val="006F1F9E"/>
    <w:rsid w:val="006F2595"/>
    <w:rsid w:val="006F4558"/>
    <w:rsid w:val="006F6CF9"/>
    <w:rsid w:val="006F7C91"/>
    <w:rsid w:val="00700158"/>
    <w:rsid w:val="00700DBD"/>
    <w:rsid w:val="00706E43"/>
    <w:rsid w:val="00710541"/>
    <w:rsid w:val="00711F16"/>
    <w:rsid w:val="00712021"/>
    <w:rsid w:val="00716D6A"/>
    <w:rsid w:val="00717812"/>
    <w:rsid w:val="007202F8"/>
    <w:rsid w:val="007230C7"/>
    <w:rsid w:val="00724134"/>
    <w:rsid w:val="007244FB"/>
    <w:rsid w:val="00726F82"/>
    <w:rsid w:val="00730864"/>
    <w:rsid w:val="00731414"/>
    <w:rsid w:val="007328B8"/>
    <w:rsid w:val="007333BD"/>
    <w:rsid w:val="0073370B"/>
    <w:rsid w:val="0073786E"/>
    <w:rsid w:val="00740197"/>
    <w:rsid w:val="00740DA3"/>
    <w:rsid w:val="00740DFD"/>
    <w:rsid w:val="00743346"/>
    <w:rsid w:val="00743755"/>
    <w:rsid w:val="00743DBC"/>
    <w:rsid w:val="00744298"/>
    <w:rsid w:val="00745B36"/>
    <w:rsid w:val="007463C2"/>
    <w:rsid w:val="00747C76"/>
    <w:rsid w:val="00750096"/>
    <w:rsid w:val="00750462"/>
    <w:rsid w:val="00754778"/>
    <w:rsid w:val="007549BA"/>
    <w:rsid w:val="007569F8"/>
    <w:rsid w:val="00756CF6"/>
    <w:rsid w:val="00771B46"/>
    <w:rsid w:val="00771CB7"/>
    <w:rsid w:val="00772760"/>
    <w:rsid w:val="007750CA"/>
    <w:rsid w:val="00776685"/>
    <w:rsid w:val="00777A17"/>
    <w:rsid w:val="00783A18"/>
    <w:rsid w:val="00783E6F"/>
    <w:rsid w:val="00784148"/>
    <w:rsid w:val="00784B00"/>
    <w:rsid w:val="00786C72"/>
    <w:rsid w:val="0078725C"/>
    <w:rsid w:val="00793841"/>
    <w:rsid w:val="00793FEA"/>
    <w:rsid w:val="00797555"/>
    <w:rsid w:val="007A15F6"/>
    <w:rsid w:val="007A66B5"/>
    <w:rsid w:val="007B388C"/>
    <w:rsid w:val="007B3F79"/>
    <w:rsid w:val="007B4E9F"/>
    <w:rsid w:val="007B749E"/>
    <w:rsid w:val="007C4F8E"/>
    <w:rsid w:val="007C7A15"/>
    <w:rsid w:val="007D16E0"/>
    <w:rsid w:val="007D3F13"/>
    <w:rsid w:val="007D5066"/>
    <w:rsid w:val="007D59BD"/>
    <w:rsid w:val="007D5A15"/>
    <w:rsid w:val="007D78B4"/>
    <w:rsid w:val="007E1120"/>
    <w:rsid w:val="007E1625"/>
    <w:rsid w:val="007E209F"/>
    <w:rsid w:val="007E26EF"/>
    <w:rsid w:val="007E58A4"/>
    <w:rsid w:val="007E6359"/>
    <w:rsid w:val="007E7425"/>
    <w:rsid w:val="007F094E"/>
    <w:rsid w:val="007F2560"/>
    <w:rsid w:val="007F35AA"/>
    <w:rsid w:val="00800B18"/>
    <w:rsid w:val="0080385A"/>
    <w:rsid w:val="0080541C"/>
    <w:rsid w:val="00806252"/>
    <w:rsid w:val="00810460"/>
    <w:rsid w:val="0081303C"/>
    <w:rsid w:val="00813AFB"/>
    <w:rsid w:val="00814C07"/>
    <w:rsid w:val="0081778D"/>
    <w:rsid w:val="008207C7"/>
    <w:rsid w:val="00821134"/>
    <w:rsid w:val="008211B6"/>
    <w:rsid w:val="00823C3D"/>
    <w:rsid w:val="00823EFD"/>
    <w:rsid w:val="00824FD6"/>
    <w:rsid w:val="008255E8"/>
    <w:rsid w:val="00825E01"/>
    <w:rsid w:val="008263F6"/>
    <w:rsid w:val="00830168"/>
    <w:rsid w:val="00834000"/>
    <w:rsid w:val="00835B61"/>
    <w:rsid w:val="00842406"/>
    <w:rsid w:val="00842C5B"/>
    <w:rsid w:val="008455BB"/>
    <w:rsid w:val="00853D53"/>
    <w:rsid w:val="008553D4"/>
    <w:rsid w:val="00855D66"/>
    <w:rsid w:val="00861533"/>
    <w:rsid w:val="00861742"/>
    <w:rsid w:val="008623B9"/>
    <w:rsid w:val="00865029"/>
    <w:rsid w:val="0086525F"/>
    <w:rsid w:val="008654EB"/>
    <w:rsid w:val="00866F2A"/>
    <w:rsid w:val="00866FD6"/>
    <w:rsid w:val="00867E1A"/>
    <w:rsid w:val="0087340E"/>
    <w:rsid w:val="00873B38"/>
    <w:rsid w:val="008762F4"/>
    <w:rsid w:val="00876430"/>
    <w:rsid w:val="00881E87"/>
    <w:rsid w:val="00882619"/>
    <w:rsid w:val="008827BA"/>
    <w:rsid w:val="00884557"/>
    <w:rsid w:val="0088718A"/>
    <w:rsid w:val="008A05D1"/>
    <w:rsid w:val="008A3695"/>
    <w:rsid w:val="008A472E"/>
    <w:rsid w:val="008B1FEA"/>
    <w:rsid w:val="008B79B8"/>
    <w:rsid w:val="008B7A88"/>
    <w:rsid w:val="008B7D6F"/>
    <w:rsid w:val="008C4C60"/>
    <w:rsid w:val="008C54F8"/>
    <w:rsid w:val="008C5523"/>
    <w:rsid w:val="008C616E"/>
    <w:rsid w:val="008C61AC"/>
    <w:rsid w:val="008C62FE"/>
    <w:rsid w:val="008C6C68"/>
    <w:rsid w:val="008D020E"/>
    <w:rsid w:val="008D154C"/>
    <w:rsid w:val="008D2E5B"/>
    <w:rsid w:val="008D4FF2"/>
    <w:rsid w:val="008D546E"/>
    <w:rsid w:val="008D66F0"/>
    <w:rsid w:val="008E1606"/>
    <w:rsid w:val="008E2DA9"/>
    <w:rsid w:val="008E2DF0"/>
    <w:rsid w:val="008E35C0"/>
    <w:rsid w:val="008E4437"/>
    <w:rsid w:val="008E7282"/>
    <w:rsid w:val="008F2C52"/>
    <w:rsid w:val="008F301A"/>
    <w:rsid w:val="008F5A3D"/>
    <w:rsid w:val="008F71DB"/>
    <w:rsid w:val="009005E6"/>
    <w:rsid w:val="009036C8"/>
    <w:rsid w:val="00904B87"/>
    <w:rsid w:val="00905122"/>
    <w:rsid w:val="00906E93"/>
    <w:rsid w:val="00907B5B"/>
    <w:rsid w:val="00911216"/>
    <w:rsid w:val="00916A4B"/>
    <w:rsid w:val="00923326"/>
    <w:rsid w:val="00925BBA"/>
    <w:rsid w:val="00925F34"/>
    <w:rsid w:val="00926F2C"/>
    <w:rsid w:val="00930E2E"/>
    <w:rsid w:val="0093305B"/>
    <w:rsid w:val="00934C02"/>
    <w:rsid w:val="009355F8"/>
    <w:rsid w:val="0093620D"/>
    <w:rsid w:val="0093758D"/>
    <w:rsid w:val="00937B9D"/>
    <w:rsid w:val="00937D33"/>
    <w:rsid w:val="009404B2"/>
    <w:rsid w:val="00941FEF"/>
    <w:rsid w:val="0094215F"/>
    <w:rsid w:val="009432F9"/>
    <w:rsid w:val="009434D0"/>
    <w:rsid w:val="0094469C"/>
    <w:rsid w:val="00946FEC"/>
    <w:rsid w:val="009515D3"/>
    <w:rsid w:val="00953556"/>
    <w:rsid w:val="0095383A"/>
    <w:rsid w:val="00957448"/>
    <w:rsid w:val="00960861"/>
    <w:rsid w:val="00962E52"/>
    <w:rsid w:val="009655A3"/>
    <w:rsid w:val="00966B18"/>
    <w:rsid w:val="00966B82"/>
    <w:rsid w:val="00966F07"/>
    <w:rsid w:val="00970038"/>
    <w:rsid w:val="00973A06"/>
    <w:rsid w:val="0097645D"/>
    <w:rsid w:val="00976957"/>
    <w:rsid w:val="00981851"/>
    <w:rsid w:val="00983DFC"/>
    <w:rsid w:val="00985458"/>
    <w:rsid w:val="009919D9"/>
    <w:rsid w:val="00992857"/>
    <w:rsid w:val="009938BD"/>
    <w:rsid w:val="00996DC5"/>
    <w:rsid w:val="009A09D9"/>
    <w:rsid w:val="009A120C"/>
    <w:rsid w:val="009A2306"/>
    <w:rsid w:val="009A3A6E"/>
    <w:rsid w:val="009A73B6"/>
    <w:rsid w:val="009B0E9B"/>
    <w:rsid w:val="009B16A3"/>
    <w:rsid w:val="009B190A"/>
    <w:rsid w:val="009B471A"/>
    <w:rsid w:val="009B6C85"/>
    <w:rsid w:val="009B701C"/>
    <w:rsid w:val="009B710B"/>
    <w:rsid w:val="009B7EE4"/>
    <w:rsid w:val="009C0F48"/>
    <w:rsid w:val="009C3728"/>
    <w:rsid w:val="009C3B03"/>
    <w:rsid w:val="009C4886"/>
    <w:rsid w:val="009C5543"/>
    <w:rsid w:val="009D0279"/>
    <w:rsid w:val="009D063C"/>
    <w:rsid w:val="009D4C60"/>
    <w:rsid w:val="009D7EC4"/>
    <w:rsid w:val="009E01B0"/>
    <w:rsid w:val="009E02A7"/>
    <w:rsid w:val="009E0408"/>
    <w:rsid w:val="009E0AA1"/>
    <w:rsid w:val="009E1114"/>
    <w:rsid w:val="009E2644"/>
    <w:rsid w:val="009E6A8F"/>
    <w:rsid w:val="009F4FEA"/>
    <w:rsid w:val="009F7CF0"/>
    <w:rsid w:val="00A04314"/>
    <w:rsid w:val="00A05132"/>
    <w:rsid w:val="00A060B6"/>
    <w:rsid w:val="00A06DF2"/>
    <w:rsid w:val="00A0780F"/>
    <w:rsid w:val="00A10E3C"/>
    <w:rsid w:val="00A11232"/>
    <w:rsid w:val="00A121C0"/>
    <w:rsid w:val="00A13C32"/>
    <w:rsid w:val="00A14304"/>
    <w:rsid w:val="00A203CE"/>
    <w:rsid w:val="00A20402"/>
    <w:rsid w:val="00A21BCF"/>
    <w:rsid w:val="00A22C49"/>
    <w:rsid w:val="00A230FE"/>
    <w:rsid w:val="00A251D3"/>
    <w:rsid w:val="00A26A46"/>
    <w:rsid w:val="00A26CE9"/>
    <w:rsid w:val="00A26E5D"/>
    <w:rsid w:val="00A30D9F"/>
    <w:rsid w:val="00A35998"/>
    <w:rsid w:val="00A37CFB"/>
    <w:rsid w:val="00A41433"/>
    <w:rsid w:val="00A43BFF"/>
    <w:rsid w:val="00A447D0"/>
    <w:rsid w:val="00A53301"/>
    <w:rsid w:val="00A55464"/>
    <w:rsid w:val="00A60420"/>
    <w:rsid w:val="00A61748"/>
    <w:rsid w:val="00A64E41"/>
    <w:rsid w:val="00A678A2"/>
    <w:rsid w:val="00A7274B"/>
    <w:rsid w:val="00A72D26"/>
    <w:rsid w:val="00A74954"/>
    <w:rsid w:val="00A752AE"/>
    <w:rsid w:val="00A777B9"/>
    <w:rsid w:val="00A77EC2"/>
    <w:rsid w:val="00A80A94"/>
    <w:rsid w:val="00A83A4C"/>
    <w:rsid w:val="00A8436B"/>
    <w:rsid w:val="00A84864"/>
    <w:rsid w:val="00A84E3C"/>
    <w:rsid w:val="00A85172"/>
    <w:rsid w:val="00A866F4"/>
    <w:rsid w:val="00A87604"/>
    <w:rsid w:val="00A91C42"/>
    <w:rsid w:val="00A92316"/>
    <w:rsid w:val="00A925AA"/>
    <w:rsid w:val="00A9262A"/>
    <w:rsid w:val="00A9463C"/>
    <w:rsid w:val="00A952AE"/>
    <w:rsid w:val="00A9586D"/>
    <w:rsid w:val="00A95E37"/>
    <w:rsid w:val="00A971E4"/>
    <w:rsid w:val="00A97C49"/>
    <w:rsid w:val="00AA2864"/>
    <w:rsid w:val="00AA3A03"/>
    <w:rsid w:val="00AA42D4"/>
    <w:rsid w:val="00AA5057"/>
    <w:rsid w:val="00AA541C"/>
    <w:rsid w:val="00AA78AB"/>
    <w:rsid w:val="00AB0FB0"/>
    <w:rsid w:val="00AB1803"/>
    <w:rsid w:val="00AB2569"/>
    <w:rsid w:val="00AB2FF4"/>
    <w:rsid w:val="00AB4B2B"/>
    <w:rsid w:val="00AB4EAF"/>
    <w:rsid w:val="00AB52FC"/>
    <w:rsid w:val="00AC16CA"/>
    <w:rsid w:val="00AC1F00"/>
    <w:rsid w:val="00AC4345"/>
    <w:rsid w:val="00AD129A"/>
    <w:rsid w:val="00AD4D74"/>
    <w:rsid w:val="00AD5C71"/>
    <w:rsid w:val="00AD6DC4"/>
    <w:rsid w:val="00AD6F1F"/>
    <w:rsid w:val="00AE0456"/>
    <w:rsid w:val="00AF11F2"/>
    <w:rsid w:val="00AF1444"/>
    <w:rsid w:val="00AF17FE"/>
    <w:rsid w:val="00AF2705"/>
    <w:rsid w:val="00AF3EB1"/>
    <w:rsid w:val="00AF4684"/>
    <w:rsid w:val="00AF58D2"/>
    <w:rsid w:val="00AF66DB"/>
    <w:rsid w:val="00AF68D2"/>
    <w:rsid w:val="00AF7780"/>
    <w:rsid w:val="00B0238D"/>
    <w:rsid w:val="00B057DC"/>
    <w:rsid w:val="00B113D4"/>
    <w:rsid w:val="00B11620"/>
    <w:rsid w:val="00B129F8"/>
    <w:rsid w:val="00B13A58"/>
    <w:rsid w:val="00B16D07"/>
    <w:rsid w:val="00B23A3F"/>
    <w:rsid w:val="00B2407D"/>
    <w:rsid w:val="00B253AB"/>
    <w:rsid w:val="00B25582"/>
    <w:rsid w:val="00B2631A"/>
    <w:rsid w:val="00B2792E"/>
    <w:rsid w:val="00B279CB"/>
    <w:rsid w:val="00B352D0"/>
    <w:rsid w:val="00B414FA"/>
    <w:rsid w:val="00B42166"/>
    <w:rsid w:val="00B44AF8"/>
    <w:rsid w:val="00B479CE"/>
    <w:rsid w:val="00B5084C"/>
    <w:rsid w:val="00B50A11"/>
    <w:rsid w:val="00B51616"/>
    <w:rsid w:val="00B52ECF"/>
    <w:rsid w:val="00B52F91"/>
    <w:rsid w:val="00B55C15"/>
    <w:rsid w:val="00B6012B"/>
    <w:rsid w:val="00B60320"/>
    <w:rsid w:val="00B63678"/>
    <w:rsid w:val="00B7218E"/>
    <w:rsid w:val="00B724E8"/>
    <w:rsid w:val="00B75AA8"/>
    <w:rsid w:val="00B773A5"/>
    <w:rsid w:val="00B77EA5"/>
    <w:rsid w:val="00B83B16"/>
    <w:rsid w:val="00B84947"/>
    <w:rsid w:val="00B909CE"/>
    <w:rsid w:val="00B9288D"/>
    <w:rsid w:val="00B9300F"/>
    <w:rsid w:val="00B94AFF"/>
    <w:rsid w:val="00B9510F"/>
    <w:rsid w:val="00B952B0"/>
    <w:rsid w:val="00B96530"/>
    <w:rsid w:val="00BA2335"/>
    <w:rsid w:val="00BA3229"/>
    <w:rsid w:val="00BA58C5"/>
    <w:rsid w:val="00BA7B61"/>
    <w:rsid w:val="00BB39B4"/>
    <w:rsid w:val="00BB3A17"/>
    <w:rsid w:val="00BB6196"/>
    <w:rsid w:val="00BC014C"/>
    <w:rsid w:val="00BC1B57"/>
    <w:rsid w:val="00BC61A0"/>
    <w:rsid w:val="00BC73F9"/>
    <w:rsid w:val="00BD053D"/>
    <w:rsid w:val="00BD0A3D"/>
    <w:rsid w:val="00BD0B03"/>
    <w:rsid w:val="00BD2F93"/>
    <w:rsid w:val="00BD5612"/>
    <w:rsid w:val="00BE0A90"/>
    <w:rsid w:val="00BE7F9A"/>
    <w:rsid w:val="00BE7FCA"/>
    <w:rsid w:val="00BF022D"/>
    <w:rsid w:val="00BF30C7"/>
    <w:rsid w:val="00BF40C0"/>
    <w:rsid w:val="00C01137"/>
    <w:rsid w:val="00C01A32"/>
    <w:rsid w:val="00C01AB2"/>
    <w:rsid w:val="00C0548F"/>
    <w:rsid w:val="00C0683E"/>
    <w:rsid w:val="00C06AD7"/>
    <w:rsid w:val="00C121A2"/>
    <w:rsid w:val="00C13661"/>
    <w:rsid w:val="00C16759"/>
    <w:rsid w:val="00C1774F"/>
    <w:rsid w:val="00C204A3"/>
    <w:rsid w:val="00C21940"/>
    <w:rsid w:val="00C23C3D"/>
    <w:rsid w:val="00C25027"/>
    <w:rsid w:val="00C25A13"/>
    <w:rsid w:val="00C30977"/>
    <w:rsid w:val="00C354E4"/>
    <w:rsid w:val="00C35FD4"/>
    <w:rsid w:val="00C403C6"/>
    <w:rsid w:val="00C4313D"/>
    <w:rsid w:val="00C44C29"/>
    <w:rsid w:val="00C45727"/>
    <w:rsid w:val="00C46440"/>
    <w:rsid w:val="00C476A8"/>
    <w:rsid w:val="00C51B78"/>
    <w:rsid w:val="00C52819"/>
    <w:rsid w:val="00C56CFF"/>
    <w:rsid w:val="00C64FEB"/>
    <w:rsid w:val="00C65628"/>
    <w:rsid w:val="00C66894"/>
    <w:rsid w:val="00C676F8"/>
    <w:rsid w:val="00C708BF"/>
    <w:rsid w:val="00C77D10"/>
    <w:rsid w:val="00C805EF"/>
    <w:rsid w:val="00C846B6"/>
    <w:rsid w:val="00C85A4F"/>
    <w:rsid w:val="00C87AB0"/>
    <w:rsid w:val="00C91D31"/>
    <w:rsid w:val="00C92B82"/>
    <w:rsid w:val="00C936F5"/>
    <w:rsid w:val="00CA0B20"/>
    <w:rsid w:val="00CA2F90"/>
    <w:rsid w:val="00CA33FC"/>
    <w:rsid w:val="00CA4033"/>
    <w:rsid w:val="00CA626B"/>
    <w:rsid w:val="00CB2EE2"/>
    <w:rsid w:val="00CB3D59"/>
    <w:rsid w:val="00CB3DC9"/>
    <w:rsid w:val="00CB43B4"/>
    <w:rsid w:val="00CB4601"/>
    <w:rsid w:val="00CB7679"/>
    <w:rsid w:val="00CB77E9"/>
    <w:rsid w:val="00CB7AEB"/>
    <w:rsid w:val="00CB7FF3"/>
    <w:rsid w:val="00CC170C"/>
    <w:rsid w:val="00CC1A71"/>
    <w:rsid w:val="00CC3184"/>
    <w:rsid w:val="00CC38ED"/>
    <w:rsid w:val="00CC540C"/>
    <w:rsid w:val="00CC5DCE"/>
    <w:rsid w:val="00CC6CB8"/>
    <w:rsid w:val="00CD0BBF"/>
    <w:rsid w:val="00CD23B0"/>
    <w:rsid w:val="00CD2EAF"/>
    <w:rsid w:val="00CD3DA8"/>
    <w:rsid w:val="00CD4206"/>
    <w:rsid w:val="00CD4CBC"/>
    <w:rsid w:val="00CD5EC0"/>
    <w:rsid w:val="00CE1829"/>
    <w:rsid w:val="00CE2F34"/>
    <w:rsid w:val="00CE3399"/>
    <w:rsid w:val="00D01881"/>
    <w:rsid w:val="00D02191"/>
    <w:rsid w:val="00D02E41"/>
    <w:rsid w:val="00D043D2"/>
    <w:rsid w:val="00D04E79"/>
    <w:rsid w:val="00D06B46"/>
    <w:rsid w:val="00D0791B"/>
    <w:rsid w:val="00D07A9C"/>
    <w:rsid w:val="00D1392E"/>
    <w:rsid w:val="00D14C9F"/>
    <w:rsid w:val="00D20DF3"/>
    <w:rsid w:val="00D22306"/>
    <w:rsid w:val="00D25B38"/>
    <w:rsid w:val="00D33C4A"/>
    <w:rsid w:val="00D341AF"/>
    <w:rsid w:val="00D37B3E"/>
    <w:rsid w:val="00D43279"/>
    <w:rsid w:val="00D447FD"/>
    <w:rsid w:val="00D450D8"/>
    <w:rsid w:val="00D4520E"/>
    <w:rsid w:val="00D46296"/>
    <w:rsid w:val="00D51AD2"/>
    <w:rsid w:val="00D5257A"/>
    <w:rsid w:val="00D5262E"/>
    <w:rsid w:val="00D5326E"/>
    <w:rsid w:val="00D535F8"/>
    <w:rsid w:val="00D55A9A"/>
    <w:rsid w:val="00D56B83"/>
    <w:rsid w:val="00D60E6C"/>
    <w:rsid w:val="00D6772B"/>
    <w:rsid w:val="00D67F31"/>
    <w:rsid w:val="00D71DD7"/>
    <w:rsid w:val="00D72D3D"/>
    <w:rsid w:val="00D754A0"/>
    <w:rsid w:val="00D75E71"/>
    <w:rsid w:val="00D809E9"/>
    <w:rsid w:val="00D81011"/>
    <w:rsid w:val="00D8218C"/>
    <w:rsid w:val="00D85A23"/>
    <w:rsid w:val="00D864C1"/>
    <w:rsid w:val="00D91EF4"/>
    <w:rsid w:val="00D9218E"/>
    <w:rsid w:val="00D926E5"/>
    <w:rsid w:val="00D92C26"/>
    <w:rsid w:val="00D960D7"/>
    <w:rsid w:val="00D979E6"/>
    <w:rsid w:val="00DA21F8"/>
    <w:rsid w:val="00DA5D1D"/>
    <w:rsid w:val="00DA7495"/>
    <w:rsid w:val="00DA749D"/>
    <w:rsid w:val="00DB10BF"/>
    <w:rsid w:val="00DB1BF6"/>
    <w:rsid w:val="00DB1CC9"/>
    <w:rsid w:val="00DB29E9"/>
    <w:rsid w:val="00DB6815"/>
    <w:rsid w:val="00DB7B4B"/>
    <w:rsid w:val="00DC16AD"/>
    <w:rsid w:val="00DC70F8"/>
    <w:rsid w:val="00DC7B1D"/>
    <w:rsid w:val="00DD06DB"/>
    <w:rsid w:val="00DE2648"/>
    <w:rsid w:val="00DE272D"/>
    <w:rsid w:val="00DE4A35"/>
    <w:rsid w:val="00DE5895"/>
    <w:rsid w:val="00DE6313"/>
    <w:rsid w:val="00DE6935"/>
    <w:rsid w:val="00DE7E93"/>
    <w:rsid w:val="00DF13E7"/>
    <w:rsid w:val="00DF1C83"/>
    <w:rsid w:val="00DF5144"/>
    <w:rsid w:val="00DF517C"/>
    <w:rsid w:val="00E00E71"/>
    <w:rsid w:val="00E01943"/>
    <w:rsid w:val="00E02B3E"/>
    <w:rsid w:val="00E03AD4"/>
    <w:rsid w:val="00E06D02"/>
    <w:rsid w:val="00E10273"/>
    <w:rsid w:val="00E10E50"/>
    <w:rsid w:val="00E1246F"/>
    <w:rsid w:val="00E15DA3"/>
    <w:rsid w:val="00E20024"/>
    <w:rsid w:val="00E21E2C"/>
    <w:rsid w:val="00E21EEA"/>
    <w:rsid w:val="00E263D3"/>
    <w:rsid w:val="00E27F49"/>
    <w:rsid w:val="00E328E3"/>
    <w:rsid w:val="00E35C01"/>
    <w:rsid w:val="00E37CCA"/>
    <w:rsid w:val="00E37FD5"/>
    <w:rsid w:val="00E50763"/>
    <w:rsid w:val="00E51392"/>
    <w:rsid w:val="00E51812"/>
    <w:rsid w:val="00E52ADB"/>
    <w:rsid w:val="00E53B3D"/>
    <w:rsid w:val="00E53DBE"/>
    <w:rsid w:val="00E53EE9"/>
    <w:rsid w:val="00E56E35"/>
    <w:rsid w:val="00E63C36"/>
    <w:rsid w:val="00E76165"/>
    <w:rsid w:val="00E7670C"/>
    <w:rsid w:val="00E817F7"/>
    <w:rsid w:val="00E82089"/>
    <w:rsid w:val="00E830CC"/>
    <w:rsid w:val="00E91FEF"/>
    <w:rsid w:val="00E95A10"/>
    <w:rsid w:val="00E95C29"/>
    <w:rsid w:val="00E9609D"/>
    <w:rsid w:val="00EA0C06"/>
    <w:rsid w:val="00EA2DBD"/>
    <w:rsid w:val="00EA3EE6"/>
    <w:rsid w:val="00EA417E"/>
    <w:rsid w:val="00EA4836"/>
    <w:rsid w:val="00EA57A7"/>
    <w:rsid w:val="00EB1A95"/>
    <w:rsid w:val="00EB6CA7"/>
    <w:rsid w:val="00EC01A2"/>
    <w:rsid w:val="00EC0738"/>
    <w:rsid w:val="00EC078A"/>
    <w:rsid w:val="00EC1167"/>
    <w:rsid w:val="00EC144C"/>
    <w:rsid w:val="00EC4C15"/>
    <w:rsid w:val="00EC6480"/>
    <w:rsid w:val="00EC71FD"/>
    <w:rsid w:val="00ED0172"/>
    <w:rsid w:val="00ED0F76"/>
    <w:rsid w:val="00ED185F"/>
    <w:rsid w:val="00ED30D6"/>
    <w:rsid w:val="00ED52AB"/>
    <w:rsid w:val="00ED6737"/>
    <w:rsid w:val="00EE212B"/>
    <w:rsid w:val="00EE6501"/>
    <w:rsid w:val="00EF0A66"/>
    <w:rsid w:val="00EF51A7"/>
    <w:rsid w:val="00EF574E"/>
    <w:rsid w:val="00EF5933"/>
    <w:rsid w:val="00EF5AF3"/>
    <w:rsid w:val="00EF77F8"/>
    <w:rsid w:val="00F01073"/>
    <w:rsid w:val="00F0215C"/>
    <w:rsid w:val="00F02A14"/>
    <w:rsid w:val="00F041EB"/>
    <w:rsid w:val="00F04BAA"/>
    <w:rsid w:val="00F063F2"/>
    <w:rsid w:val="00F06A57"/>
    <w:rsid w:val="00F10450"/>
    <w:rsid w:val="00F11061"/>
    <w:rsid w:val="00F11DCD"/>
    <w:rsid w:val="00F16A0A"/>
    <w:rsid w:val="00F17B76"/>
    <w:rsid w:val="00F2421B"/>
    <w:rsid w:val="00F2594C"/>
    <w:rsid w:val="00F30C04"/>
    <w:rsid w:val="00F3179A"/>
    <w:rsid w:val="00F31F44"/>
    <w:rsid w:val="00F33141"/>
    <w:rsid w:val="00F33F6C"/>
    <w:rsid w:val="00F346E8"/>
    <w:rsid w:val="00F357F0"/>
    <w:rsid w:val="00F36FD7"/>
    <w:rsid w:val="00F41457"/>
    <w:rsid w:val="00F42661"/>
    <w:rsid w:val="00F4266D"/>
    <w:rsid w:val="00F459A0"/>
    <w:rsid w:val="00F459C8"/>
    <w:rsid w:val="00F45A40"/>
    <w:rsid w:val="00F46607"/>
    <w:rsid w:val="00F50F75"/>
    <w:rsid w:val="00F552D3"/>
    <w:rsid w:val="00F564F9"/>
    <w:rsid w:val="00F56DF8"/>
    <w:rsid w:val="00F60941"/>
    <w:rsid w:val="00F66D27"/>
    <w:rsid w:val="00F6728C"/>
    <w:rsid w:val="00F713C2"/>
    <w:rsid w:val="00F7297A"/>
    <w:rsid w:val="00F74225"/>
    <w:rsid w:val="00F74502"/>
    <w:rsid w:val="00F75169"/>
    <w:rsid w:val="00F76211"/>
    <w:rsid w:val="00F82F1D"/>
    <w:rsid w:val="00F84387"/>
    <w:rsid w:val="00F8610E"/>
    <w:rsid w:val="00F875E6"/>
    <w:rsid w:val="00F8789B"/>
    <w:rsid w:val="00F94658"/>
    <w:rsid w:val="00F95132"/>
    <w:rsid w:val="00FA0C29"/>
    <w:rsid w:val="00FA3922"/>
    <w:rsid w:val="00FA4B8D"/>
    <w:rsid w:val="00FA51EC"/>
    <w:rsid w:val="00FB3DED"/>
    <w:rsid w:val="00FB586E"/>
    <w:rsid w:val="00FB6749"/>
    <w:rsid w:val="00FC0179"/>
    <w:rsid w:val="00FC0796"/>
    <w:rsid w:val="00FC0E27"/>
    <w:rsid w:val="00FC1296"/>
    <w:rsid w:val="00FC47E6"/>
    <w:rsid w:val="00FC4A24"/>
    <w:rsid w:val="00FC4F8C"/>
    <w:rsid w:val="00FC791A"/>
    <w:rsid w:val="00FC79B1"/>
    <w:rsid w:val="00FE260E"/>
    <w:rsid w:val="00FE2D06"/>
    <w:rsid w:val="00FE2E6F"/>
    <w:rsid w:val="00FE3E27"/>
    <w:rsid w:val="00FF005E"/>
    <w:rsid w:val="00FF32A1"/>
    <w:rsid w:val="00FF3BD9"/>
    <w:rsid w:val="00FF42FB"/>
    <w:rsid w:val="00FF5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C260234D-2F97-40F4-A30A-7DD633CF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iPriority="0"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17FE"/>
    <w:pPr>
      <w:tabs>
        <w:tab w:val="left" w:pos="0"/>
      </w:tabs>
    </w:pPr>
    <w:rPr>
      <w:sz w:val="24"/>
      <w:szCs w:val="20"/>
      <w:lang w:eastAsia="en-US"/>
    </w:rPr>
  </w:style>
  <w:style w:type="paragraph" w:styleId="Heading1">
    <w:name w:val="heading 1"/>
    <w:basedOn w:val="Normal"/>
    <w:next w:val="Normal"/>
    <w:link w:val="Heading1Char"/>
    <w:qFormat/>
    <w:rsid w:val="00AF17F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AF17F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F17FE"/>
    <w:pPr>
      <w:keepNext/>
      <w:spacing w:before="140"/>
      <w:outlineLvl w:val="2"/>
    </w:pPr>
    <w:rPr>
      <w:b/>
    </w:rPr>
  </w:style>
  <w:style w:type="paragraph" w:styleId="Heading4">
    <w:name w:val="heading 4"/>
    <w:basedOn w:val="Normal"/>
    <w:next w:val="Normal"/>
    <w:link w:val="Heading4Char"/>
    <w:qFormat/>
    <w:rsid w:val="00AF17FE"/>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9"/>
    <w:qFormat/>
    <w:rsid w:val="00254DE8"/>
    <w:pPr>
      <w:numPr>
        <w:ilvl w:val="4"/>
        <w:numId w:val="17"/>
      </w:numPr>
      <w:spacing w:before="240" w:after="60"/>
      <w:outlineLvl w:val="4"/>
    </w:pPr>
    <w:rPr>
      <w:sz w:val="22"/>
    </w:rPr>
  </w:style>
  <w:style w:type="paragraph" w:styleId="Heading6">
    <w:name w:val="heading 6"/>
    <w:basedOn w:val="Normal"/>
    <w:next w:val="Normal"/>
    <w:link w:val="Heading6Char"/>
    <w:uiPriority w:val="99"/>
    <w:qFormat/>
    <w:rsid w:val="00254DE8"/>
    <w:pPr>
      <w:numPr>
        <w:ilvl w:val="5"/>
        <w:numId w:val="17"/>
      </w:numPr>
      <w:spacing w:before="240" w:after="60"/>
      <w:outlineLvl w:val="5"/>
    </w:pPr>
    <w:rPr>
      <w:i/>
      <w:sz w:val="22"/>
    </w:rPr>
  </w:style>
  <w:style w:type="paragraph" w:styleId="Heading7">
    <w:name w:val="heading 7"/>
    <w:basedOn w:val="Normal"/>
    <w:next w:val="Normal"/>
    <w:link w:val="Heading7Char"/>
    <w:uiPriority w:val="99"/>
    <w:qFormat/>
    <w:rsid w:val="00254DE8"/>
    <w:pPr>
      <w:numPr>
        <w:ilvl w:val="6"/>
        <w:numId w:val="17"/>
      </w:numPr>
      <w:spacing w:before="240" w:after="60"/>
      <w:outlineLvl w:val="6"/>
    </w:pPr>
    <w:rPr>
      <w:rFonts w:ascii="Arial" w:hAnsi="Arial"/>
      <w:sz w:val="20"/>
    </w:rPr>
  </w:style>
  <w:style w:type="paragraph" w:styleId="Heading8">
    <w:name w:val="heading 8"/>
    <w:basedOn w:val="Normal"/>
    <w:next w:val="Normal"/>
    <w:link w:val="Heading8Char"/>
    <w:uiPriority w:val="99"/>
    <w:qFormat/>
    <w:rsid w:val="00254DE8"/>
    <w:pPr>
      <w:numPr>
        <w:ilvl w:val="7"/>
        <w:numId w:val="17"/>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254DE8"/>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86C72"/>
    <w:rPr>
      <w:rFonts w:ascii="Arial" w:hAnsi="Arial"/>
      <w:b/>
      <w:kern w:val="28"/>
      <w:sz w:val="36"/>
      <w:szCs w:val="20"/>
      <w:lang w:eastAsia="en-US"/>
    </w:rPr>
  </w:style>
  <w:style w:type="character" w:customStyle="1" w:styleId="Heading2Char">
    <w:name w:val="Heading 2 Char"/>
    <w:aliases w:val="H2 Char,h2 Char"/>
    <w:basedOn w:val="DefaultParagraphFont"/>
    <w:link w:val="Heading2"/>
    <w:locked/>
    <w:rsid w:val="00786C72"/>
    <w:rPr>
      <w:rFonts w:ascii="Arial" w:hAnsi="Arial" w:cs="Arial"/>
      <w:b/>
      <w:bCs/>
      <w:iCs/>
      <w:sz w:val="28"/>
      <w:szCs w:val="28"/>
      <w:shd w:val="clear" w:color="auto" w:fill="E0E0E0"/>
      <w:lang w:eastAsia="en-US"/>
    </w:rPr>
  </w:style>
  <w:style w:type="paragraph" w:customStyle="1" w:styleId="Amain">
    <w:name w:val="A main"/>
    <w:basedOn w:val="BillBasic"/>
    <w:rsid w:val="00AF17FE"/>
    <w:pPr>
      <w:tabs>
        <w:tab w:val="right" w:pos="900"/>
        <w:tab w:val="left" w:pos="1100"/>
      </w:tabs>
      <w:ind w:left="1100" w:hanging="1100"/>
      <w:outlineLvl w:val="5"/>
    </w:pPr>
  </w:style>
  <w:style w:type="paragraph" w:customStyle="1" w:styleId="BillBasic">
    <w:name w:val="BillBasic"/>
    <w:rsid w:val="00AF17FE"/>
    <w:pPr>
      <w:spacing w:before="140"/>
      <w:jc w:val="both"/>
    </w:pPr>
    <w:rPr>
      <w:sz w:val="24"/>
      <w:szCs w:val="20"/>
      <w:lang w:eastAsia="en-US"/>
    </w:rPr>
  </w:style>
  <w:style w:type="character" w:customStyle="1" w:styleId="Heading3Char">
    <w:name w:val="Heading 3 Char"/>
    <w:aliases w:val="h3 Char,sec Char"/>
    <w:basedOn w:val="DefaultParagraphFont"/>
    <w:link w:val="Heading3"/>
    <w:locked/>
    <w:rsid w:val="00AF17FE"/>
    <w:rPr>
      <w:b/>
      <w:sz w:val="24"/>
      <w:szCs w:val="20"/>
      <w:lang w:eastAsia="en-US"/>
    </w:rPr>
  </w:style>
  <w:style w:type="character" w:customStyle="1" w:styleId="Heading4Char">
    <w:name w:val="Heading 4 Char"/>
    <w:basedOn w:val="DefaultParagraphFont"/>
    <w:link w:val="Heading4"/>
    <w:locked/>
    <w:rsid w:val="00786C72"/>
    <w:rPr>
      <w:rFonts w:ascii="Arial" w:hAnsi="Arial"/>
      <w:b/>
      <w:bCs/>
      <w:szCs w:val="28"/>
      <w:lang w:eastAsia="en-US"/>
    </w:rPr>
  </w:style>
  <w:style w:type="character" w:customStyle="1" w:styleId="Heading5Char">
    <w:name w:val="Heading 5 Char"/>
    <w:basedOn w:val="DefaultParagraphFont"/>
    <w:link w:val="Heading5"/>
    <w:uiPriority w:val="99"/>
    <w:locked/>
    <w:rsid w:val="00786C72"/>
    <w:rPr>
      <w:szCs w:val="20"/>
      <w:lang w:eastAsia="en-US"/>
    </w:rPr>
  </w:style>
  <w:style w:type="character" w:customStyle="1" w:styleId="Heading6Char">
    <w:name w:val="Heading 6 Char"/>
    <w:basedOn w:val="DefaultParagraphFont"/>
    <w:link w:val="Heading6"/>
    <w:uiPriority w:val="99"/>
    <w:locked/>
    <w:rsid w:val="00786C72"/>
    <w:rPr>
      <w:i/>
      <w:szCs w:val="20"/>
      <w:lang w:eastAsia="en-US"/>
    </w:rPr>
  </w:style>
  <w:style w:type="character" w:customStyle="1" w:styleId="Heading7Char">
    <w:name w:val="Heading 7 Char"/>
    <w:basedOn w:val="DefaultParagraphFont"/>
    <w:link w:val="Heading7"/>
    <w:uiPriority w:val="99"/>
    <w:locked/>
    <w:rsid w:val="00786C72"/>
    <w:rPr>
      <w:rFonts w:ascii="Arial" w:hAnsi="Arial"/>
      <w:sz w:val="20"/>
      <w:szCs w:val="20"/>
      <w:lang w:eastAsia="en-US"/>
    </w:rPr>
  </w:style>
  <w:style w:type="character" w:customStyle="1" w:styleId="Heading8Char">
    <w:name w:val="Heading 8 Char"/>
    <w:basedOn w:val="DefaultParagraphFont"/>
    <w:link w:val="Heading8"/>
    <w:uiPriority w:val="99"/>
    <w:locked/>
    <w:rsid w:val="00786C72"/>
    <w:rPr>
      <w:rFonts w:ascii="Arial" w:hAnsi="Arial"/>
      <w:i/>
      <w:sz w:val="20"/>
      <w:szCs w:val="20"/>
      <w:lang w:eastAsia="en-US"/>
    </w:rPr>
  </w:style>
  <w:style w:type="character" w:customStyle="1" w:styleId="Heading9Char">
    <w:name w:val="Heading 9 Char"/>
    <w:basedOn w:val="DefaultParagraphFont"/>
    <w:link w:val="Heading9"/>
    <w:uiPriority w:val="99"/>
    <w:locked/>
    <w:rsid w:val="00786C72"/>
    <w:rPr>
      <w:rFonts w:ascii="Arial" w:hAnsi="Arial"/>
      <w:b/>
      <w:i/>
      <w:sz w:val="18"/>
      <w:szCs w:val="20"/>
      <w:lang w:eastAsia="en-US"/>
    </w:rPr>
  </w:style>
  <w:style w:type="paragraph" w:customStyle="1" w:styleId="Norm-5pt">
    <w:name w:val="Norm-5pt"/>
    <w:basedOn w:val="Normal"/>
    <w:rsid w:val="00AF17F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F17FE"/>
  </w:style>
  <w:style w:type="paragraph" w:customStyle="1" w:styleId="00ClientCover">
    <w:name w:val="00ClientCover"/>
    <w:basedOn w:val="Normal"/>
    <w:rsid w:val="00AF17FE"/>
  </w:style>
  <w:style w:type="paragraph" w:customStyle="1" w:styleId="02Text">
    <w:name w:val="02Text"/>
    <w:basedOn w:val="Normal"/>
    <w:rsid w:val="00AF17FE"/>
  </w:style>
  <w:style w:type="paragraph" w:styleId="Header">
    <w:name w:val="header"/>
    <w:basedOn w:val="Normal"/>
    <w:link w:val="HeaderChar"/>
    <w:rsid w:val="00AF17FE"/>
    <w:pPr>
      <w:tabs>
        <w:tab w:val="center" w:pos="4153"/>
        <w:tab w:val="right" w:pos="8306"/>
      </w:tabs>
    </w:pPr>
  </w:style>
  <w:style w:type="character" w:customStyle="1" w:styleId="HeaderChar">
    <w:name w:val="Header Char"/>
    <w:basedOn w:val="DefaultParagraphFont"/>
    <w:link w:val="Header"/>
    <w:locked/>
    <w:rsid w:val="00E27F49"/>
    <w:rPr>
      <w:sz w:val="24"/>
      <w:szCs w:val="20"/>
      <w:lang w:eastAsia="en-US"/>
    </w:rPr>
  </w:style>
  <w:style w:type="paragraph" w:styleId="Footer">
    <w:name w:val="footer"/>
    <w:basedOn w:val="Normal"/>
    <w:link w:val="FooterChar"/>
    <w:rsid w:val="00AF17FE"/>
    <w:pPr>
      <w:spacing w:before="120" w:line="240" w:lineRule="exact"/>
    </w:pPr>
    <w:rPr>
      <w:rFonts w:ascii="Arial" w:hAnsi="Arial"/>
      <w:sz w:val="18"/>
    </w:rPr>
  </w:style>
  <w:style w:type="character" w:customStyle="1" w:styleId="FooterChar">
    <w:name w:val="Footer Char"/>
    <w:basedOn w:val="DefaultParagraphFont"/>
    <w:link w:val="Footer"/>
    <w:locked/>
    <w:rsid w:val="00AF17FE"/>
    <w:rPr>
      <w:rFonts w:ascii="Arial" w:hAnsi="Arial"/>
      <w:sz w:val="18"/>
      <w:szCs w:val="20"/>
      <w:lang w:eastAsia="en-US"/>
    </w:rPr>
  </w:style>
  <w:style w:type="paragraph" w:customStyle="1" w:styleId="Billname">
    <w:name w:val="Billname"/>
    <w:basedOn w:val="Normal"/>
    <w:rsid w:val="00AF17FE"/>
    <w:pPr>
      <w:spacing w:before="1220"/>
    </w:pPr>
    <w:rPr>
      <w:rFonts w:ascii="Arial" w:hAnsi="Arial"/>
      <w:b/>
      <w:sz w:val="40"/>
    </w:rPr>
  </w:style>
  <w:style w:type="paragraph" w:customStyle="1" w:styleId="BillBasicHeading">
    <w:name w:val="BillBasicHeading"/>
    <w:basedOn w:val="BillBasic"/>
    <w:rsid w:val="00AF17FE"/>
    <w:pPr>
      <w:keepNext/>
      <w:tabs>
        <w:tab w:val="left" w:pos="2600"/>
      </w:tabs>
      <w:jc w:val="left"/>
    </w:pPr>
    <w:rPr>
      <w:rFonts w:ascii="Arial" w:hAnsi="Arial"/>
      <w:b/>
    </w:rPr>
  </w:style>
  <w:style w:type="paragraph" w:customStyle="1" w:styleId="EnactingWordsRules">
    <w:name w:val="EnactingWordsRules"/>
    <w:basedOn w:val="EnactingWords"/>
    <w:rsid w:val="00AF17FE"/>
    <w:pPr>
      <w:spacing w:before="240"/>
    </w:pPr>
  </w:style>
  <w:style w:type="paragraph" w:customStyle="1" w:styleId="EnactingWords">
    <w:name w:val="EnactingWords"/>
    <w:basedOn w:val="BillBasic"/>
    <w:rsid w:val="00AF17FE"/>
    <w:pPr>
      <w:spacing w:before="120"/>
    </w:pPr>
  </w:style>
  <w:style w:type="paragraph" w:customStyle="1" w:styleId="BillCrest">
    <w:name w:val="Bill Crest"/>
    <w:basedOn w:val="Normal"/>
    <w:next w:val="Normal"/>
    <w:rsid w:val="00AF17FE"/>
    <w:pPr>
      <w:tabs>
        <w:tab w:val="center" w:pos="3160"/>
      </w:tabs>
      <w:spacing w:after="60"/>
    </w:pPr>
    <w:rPr>
      <w:sz w:val="216"/>
    </w:rPr>
  </w:style>
  <w:style w:type="paragraph" w:customStyle="1" w:styleId="Amainreturn">
    <w:name w:val="A main return"/>
    <w:basedOn w:val="BillBasic"/>
    <w:link w:val="AmainreturnChar"/>
    <w:rsid w:val="00AF17FE"/>
    <w:pPr>
      <w:ind w:left="1100"/>
    </w:pPr>
  </w:style>
  <w:style w:type="character" w:customStyle="1" w:styleId="AmainreturnChar">
    <w:name w:val="A main return Char"/>
    <w:basedOn w:val="DefaultParagraphFont"/>
    <w:link w:val="Amainreturn"/>
    <w:locked/>
    <w:rsid w:val="00565EF3"/>
    <w:rPr>
      <w:sz w:val="24"/>
      <w:szCs w:val="20"/>
      <w:lang w:eastAsia="en-US"/>
    </w:rPr>
  </w:style>
  <w:style w:type="paragraph" w:customStyle="1" w:styleId="Apara">
    <w:name w:val="A para"/>
    <w:basedOn w:val="BillBasic"/>
    <w:link w:val="AparaChar"/>
    <w:rsid w:val="00AF17FE"/>
    <w:pPr>
      <w:tabs>
        <w:tab w:val="right" w:pos="1400"/>
        <w:tab w:val="left" w:pos="1600"/>
      </w:tabs>
      <w:ind w:left="1600" w:hanging="1600"/>
      <w:outlineLvl w:val="6"/>
    </w:pPr>
  </w:style>
  <w:style w:type="character" w:customStyle="1" w:styleId="AparaChar">
    <w:name w:val="A para Char"/>
    <w:basedOn w:val="DefaultParagraphFont"/>
    <w:link w:val="Apara"/>
    <w:locked/>
    <w:rsid w:val="00E53DBE"/>
    <w:rPr>
      <w:sz w:val="24"/>
      <w:szCs w:val="20"/>
      <w:lang w:eastAsia="en-US"/>
    </w:rPr>
  </w:style>
  <w:style w:type="paragraph" w:customStyle="1" w:styleId="Asubpara">
    <w:name w:val="A subpara"/>
    <w:basedOn w:val="BillBasic"/>
    <w:rsid w:val="00AF17FE"/>
    <w:pPr>
      <w:tabs>
        <w:tab w:val="right" w:pos="1900"/>
        <w:tab w:val="left" w:pos="2100"/>
      </w:tabs>
      <w:ind w:left="2100" w:hanging="2100"/>
      <w:outlineLvl w:val="7"/>
    </w:pPr>
  </w:style>
  <w:style w:type="paragraph" w:customStyle="1" w:styleId="Asubsubpara">
    <w:name w:val="A subsubpara"/>
    <w:basedOn w:val="BillBasic"/>
    <w:rsid w:val="00AF17FE"/>
    <w:pPr>
      <w:tabs>
        <w:tab w:val="right" w:pos="2400"/>
        <w:tab w:val="left" w:pos="2600"/>
      </w:tabs>
      <w:ind w:left="2600" w:hanging="2600"/>
      <w:outlineLvl w:val="8"/>
    </w:pPr>
  </w:style>
  <w:style w:type="paragraph" w:customStyle="1" w:styleId="aDef">
    <w:name w:val="aDef"/>
    <w:basedOn w:val="BillBasic"/>
    <w:link w:val="aDefChar"/>
    <w:rsid w:val="00AF17FE"/>
    <w:pPr>
      <w:ind w:left="1100"/>
    </w:pPr>
  </w:style>
  <w:style w:type="character" w:customStyle="1" w:styleId="aDefChar">
    <w:name w:val="aDef Char"/>
    <w:basedOn w:val="DefaultParagraphFont"/>
    <w:link w:val="aDef"/>
    <w:locked/>
    <w:rsid w:val="006D78CD"/>
    <w:rPr>
      <w:sz w:val="24"/>
      <w:szCs w:val="20"/>
      <w:lang w:eastAsia="en-US"/>
    </w:rPr>
  </w:style>
  <w:style w:type="paragraph" w:customStyle="1" w:styleId="aExamHead">
    <w:name w:val="aExam Head"/>
    <w:basedOn w:val="BillBasicHeading"/>
    <w:next w:val="aExam"/>
    <w:rsid w:val="00AF17FE"/>
    <w:pPr>
      <w:tabs>
        <w:tab w:val="clear" w:pos="2600"/>
      </w:tabs>
      <w:ind w:left="1100"/>
    </w:pPr>
    <w:rPr>
      <w:sz w:val="18"/>
    </w:rPr>
  </w:style>
  <w:style w:type="paragraph" w:customStyle="1" w:styleId="aExam">
    <w:name w:val="aExam"/>
    <w:basedOn w:val="aNoteSymb"/>
    <w:rsid w:val="00AF17FE"/>
    <w:pPr>
      <w:spacing w:before="60"/>
      <w:ind w:left="1100" w:firstLine="0"/>
    </w:pPr>
  </w:style>
  <w:style w:type="paragraph" w:customStyle="1" w:styleId="aNoteSymb">
    <w:name w:val="aNote Symb"/>
    <w:basedOn w:val="BillBasic"/>
    <w:rsid w:val="00AF17FE"/>
    <w:pPr>
      <w:tabs>
        <w:tab w:val="left" w:pos="1100"/>
        <w:tab w:val="left" w:pos="2381"/>
      </w:tabs>
      <w:ind w:left="1899" w:hanging="2381"/>
    </w:pPr>
    <w:rPr>
      <w:sz w:val="20"/>
    </w:rPr>
  </w:style>
  <w:style w:type="paragraph" w:customStyle="1" w:styleId="aNote">
    <w:name w:val="aNote"/>
    <w:basedOn w:val="BillBasic"/>
    <w:link w:val="aNoteChar"/>
    <w:rsid w:val="00AF17FE"/>
    <w:pPr>
      <w:ind w:left="1900" w:hanging="800"/>
    </w:pPr>
    <w:rPr>
      <w:sz w:val="20"/>
    </w:rPr>
  </w:style>
  <w:style w:type="character" w:customStyle="1" w:styleId="aNoteChar">
    <w:name w:val="aNote Char"/>
    <w:basedOn w:val="DefaultParagraphFont"/>
    <w:link w:val="aNote"/>
    <w:locked/>
    <w:rsid w:val="00E76165"/>
    <w:rPr>
      <w:sz w:val="20"/>
      <w:szCs w:val="20"/>
      <w:lang w:eastAsia="en-US"/>
    </w:rPr>
  </w:style>
  <w:style w:type="paragraph" w:customStyle="1" w:styleId="HeaderEven">
    <w:name w:val="HeaderEven"/>
    <w:basedOn w:val="Normal"/>
    <w:rsid w:val="00AF17FE"/>
    <w:rPr>
      <w:rFonts w:ascii="Arial" w:hAnsi="Arial"/>
      <w:sz w:val="18"/>
    </w:rPr>
  </w:style>
  <w:style w:type="paragraph" w:customStyle="1" w:styleId="HeaderEven6">
    <w:name w:val="HeaderEven6"/>
    <w:basedOn w:val="HeaderEven"/>
    <w:rsid w:val="00AF17FE"/>
    <w:pPr>
      <w:spacing w:before="120" w:after="60"/>
    </w:pPr>
  </w:style>
  <w:style w:type="paragraph" w:customStyle="1" w:styleId="HeaderOdd6">
    <w:name w:val="HeaderOdd6"/>
    <w:basedOn w:val="HeaderEven6"/>
    <w:rsid w:val="00AF17FE"/>
    <w:pPr>
      <w:jc w:val="right"/>
    </w:pPr>
  </w:style>
  <w:style w:type="paragraph" w:customStyle="1" w:styleId="HeaderOdd">
    <w:name w:val="HeaderOdd"/>
    <w:basedOn w:val="HeaderEven"/>
    <w:rsid w:val="00AF17FE"/>
    <w:pPr>
      <w:jc w:val="right"/>
    </w:pPr>
  </w:style>
  <w:style w:type="paragraph" w:customStyle="1" w:styleId="BillNo">
    <w:name w:val="BillNo"/>
    <w:basedOn w:val="BillBasicHeading"/>
    <w:rsid w:val="00AF17FE"/>
    <w:pPr>
      <w:keepNext w:val="0"/>
      <w:spacing w:before="240"/>
      <w:jc w:val="both"/>
    </w:pPr>
  </w:style>
  <w:style w:type="paragraph" w:customStyle="1" w:styleId="N-TOCheading">
    <w:name w:val="N-TOCheading"/>
    <w:basedOn w:val="BillBasicHeading"/>
    <w:next w:val="N-9pt"/>
    <w:rsid w:val="00AF17FE"/>
    <w:pPr>
      <w:pBdr>
        <w:bottom w:val="single" w:sz="4" w:space="1" w:color="auto"/>
      </w:pBdr>
      <w:spacing w:before="800"/>
    </w:pPr>
    <w:rPr>
      <w:sz w:val="32"/>
    </w:rPr>
  </w:style>
  <w:style w:type="paragraph" w:customStyle="1" w:styleId="N-9pt">
    <w:name w:val="N-9pt"/>
    <w:basedOn w:val="BillBasic"/>
    <w:next w:val="BillBasic"/>
    <w:rsid w:val="00AF17FE"/>
    <w:pPr>
      <w:keepNext/>
      <w:tabs>
        <w:tab w:val="right" w:pos="7707"/>
      </w:tabs>
      <w:spacing w:before="120"/>
    </w:pPr>
    <w:rPr>
      <w:rFonts w:ascii="Arial" w:hAnsi="Arial"/>
      <w:sz w:val="18"/>
    </w:rPr>
  </w:style>
  <w:style w:type="paragraph" w:customStyle="1" w:styleId="N-14pt">
    <w:name w:val="N-14pt"/>
    <w:basedOn w:val="BillBasic"/>
    <w:rsid w:val="00AF17FE"/>
    <w:pPr>
      <w:spacing w:before="0"/>
    </w:pPr>
    <w:rPr>
      <w:b/>
      <w:sz w:val="28"/>
    </w:rPr>
  </w:style>
  <w:style w:type="paragraph" w:customStyle="1" w:styleId="N-16pt">
    <w:name w:val="N-16pt"/>
    <w:basedOn w:val="BillBasic"/>
    <w:rsid w:val="00AF17FE"/>
    <w:pPr>
      <w:spacing w:before="800"/>
    </w:pPr>
    <w:rPr>
      <w:b/>
      <w:sz w:val="32"/>
    </w:rPr>
  </w:style>
  <w:style w:type="paragraph" w:customStyle="1" w:styleId="N-line3">
    <w:name w:val="N-line3"/>
    <w:basedOn w:val="BillBasic"/>
    <w:next w:val="BillBasic"/>
    <w:rsid w:val="00AF17FE"/>
    <w:pPr>
      <w:pBdr>
        <w:bottom w:val="single" w:sz="12" w:space="1" w:color="auto"/>
      </w:pBdr>
      <w:spacing w:before="60"/>
    </w:pPr>
  </w:style>
  <w:style w:type="paragraph" w:customStyle="1" w:styleId="Comment">
    <w:name w:val="Comment"/>
    <w:basedOn w:val="BillBasic"/>
    <w:rsid w:val="00AF17FE"/>
    <w:pPr>
      <w:tabs>
        <w:tab w:val="left" w:pos="1800"/>
      </w:tabs>
      <w:ind w:left="1300"/>
      <w:jc w:val="left"/>
    </w:pPr>
    <w:rPr>
      <w:b/>
      <w:sz w:val="18"/>
    </w:rPr>
  </w:style>
  <w:style w:type="paragraph" w:customStyle="1" w:styleId="FooterInfo">
    <w:name w:val="FooterInfo"/>
    <w:basedOn w:val="Normal"/>
    <w:rsid w:val="00AF17FE"/>
    <w:pPr>
      <w:tabs>
        <w:tab w:val="right" w:pos="7707"/>
      </w:tabs>
    </w:pPr>
    <w:rPr>
      <w:rFonts w:ascii="Arial" w:hAnsi="Arial"/>
      <w:sz w:val="18"/>
    </w:rPr>
  </w:style>
  <w:style w:type="paragraph" w:customStyle="1" w:styleId="AH1Chapter">
    <w:name w:val="A H1 Chapter"/>
    <w:basedOn w:val="BillBasicHeading"/>
    <w:next w:val="AH2Part"/>
    <w:rsid w:val="00AF17FE"/>
    <w:pPr>
      <w:spacing w:before="320"/>
      <w:ind w:left="2600" w:hanging="2600"/>
      <w:outlineLvl w:val="0"/>
    </w:pPr>
    <w:rPr>
      <w:sz w:val="34"/>
    </w:rPr>
  </w:style>
  <w:style w:type="paragraph" w:customStyle="1" w:styleId="AH2Part">
    <w:name w:val="A H2 Part"/>
    <w:basedOn w:val="BillBasicHeading"/>
    <w:next w:val="AH3Div"/>
    <w:rsid w:val="00AF17FE"/>
    <w:pPr>
      <w:spacing w:before="380"/>
      <w:ind w:left="2600" w:hanging="2600"/>
      <w:outlineLvl w:val="1"/>
    </w:pPr>
    <w:rPr>
      <w:sz w:val="32"/>
    </w:rPr>
  </w:style>
  <w:style w:type="paragraph" w:customStyle="1" w:styleId="AH3Div">
    <w:name w:val="A H3 Div"/>
    <w:basedOn w:val="BillBasicHeading"/>
    <w:next w:val="AH5Sec"/>
    <w:rsid w:val="00AF17FE"/>
    <w:pPr>
      <w:spacing w:before="240"/>
      <w:ind w:left="2600" w:hanging="2600"/>
      <w:outlineLvl w:val="2"/>
    </w:pPr>
    <w:rPr>
      <w:sz w:val="28"/>
    </w:rPr>
  </w:style>
  <w:style w:type="paragraph" w:customStyle="1" w:styleId="AH5Sec">
    <w:name w:val="A H5 Sec"/>
    <w:basedOn w:val="BillBasicHeading"/>
    <w:next w:val="Amain"/>
    <w:rsid w:val="00AF17FE"/>
    <w:pPr>
      <w:tabs>
        <w:tab w:val="clear" w:pos="2600"/>
        <w:tab w:val="left" w:pos="1100"/>
      </w:tabs>
      <w:spacing w:before="240"/>
      <w:ind w:left="1100" w:hanging="1100"/>
      <w:outlineLvl w:val="4"/>
    </w:pPr>
  </w:style>
  <w:style w:type="paragraph" w:customStyle="1" w:styleId="direction">
    <w:name w:val="direction"/>
    <w:basedOn w:val="BillBasic"/>
    <w:next w:val="AmainreturnSymb"/>
    <w:rsid w:val="00AF17FE"/>
    <w:pPr>
      <w:ind w:left="1100"/>
    </w:pPr>
    <w:rPr>
      <w:i/>
    </w:rPr>
  </w:style>
  <w:style w:type="paragraph" w:customStyle="1" w:styleId="AmainreturnSymb">
    <w:name w:val="A main return Symb"/>
    <w:basedOn w:val="BillBasic"/>
    <w:rsid w:val="00AF17FE"/>
    <w:pPr>
      <w:tabs>
        <w:tab w:val="left" w:pos="1582"/>
      </w:tabs>
      <w:ind w:left="1100" w:hanging="1582"/>
    </w:pPr>
  </w:style>
  <w:style w:type="paragraph" w:customStyle="1" w:styleId="AH4SubDiv">
    <w:name w:val="A H4 SubDiv"/>
    <w:basedOn w:val="BillBasicHeading"/>
    <w:next w:val="AH5Sec"/>
    <w:rsid w:val="00AF17FE"/>
    <w:pPr>
      <w:spacing w:before="240"/>
      <w:ind w:left="2600" w:hanging="2600"/>
      <w:outlineLvl w:val="3"/>
    </w:pPr>
    <w:rPr>
      <w:sz w:val="26"/>
    </w:rPr>
  </w:style>
  <w:style w:type="paragraph" w:customStyle="1" w:styleId="Sched-heading">
    <w:name w:val="Sched-heading"/>
    <w:basedOn w:val="BillBasicHeading"/>
    <w:next w:val="refSymb"/>
    <w:rsid w:val="00AF17FE"/>
    <w:pPr>
      <w:spacing w:before="380"/>
      <w:ind w:left="2600" w:hanging="2600"/>
      <w:outlineLvl w:val="0"/>
    </w:pPr>
    <w:rPr>
      <w:sz w:val="34"/>
    </w:rPr>
  </w:style>
  <w:style w:type="paragraph" w:customStyle="1" w:styleId="refSymb">
    <w:name w:val="ref Symb"/>
    <w:basedOn w:val="BillBasic"/>
    <w:next w:val="Normal"/>
    <w:rsid w:val="00AF17FE"/>
    <w:pPr>
      <w:tabs>
        <w:tab w:val="left" w:pos="-480"/>
      </w:tabs>
      <w:spacing w:before="60"/>
      <w:ind w:hanging="480"/>
    </w:pPr>
    <w:rPr>
      <w:sz w:val="18"/>
    </w:rPr>
  </w:style>
  <w:style w:type="paragraph" w:customStyle="1" w:styleId="ref">
    <w:name w:val="ref"/>
    <w:basedOn w:val="BillBasic"/>
    <w:next w:val="Normal"/>
    <w:rsid w:val="00AF17FE"/>
    <w:pPr>
      <w:spacing w:before="60"/>
    </w:pPr>
    <w:rPr>
      <w:sz w:val="18"/>
    </w:rPr>
  </w:style>
  <w:style w:type="paragraph" w:customStyle="1" w:styleId="Sched-Part">
    <w:name w:val="Sched-Part"/>
    <w:basedOn w:val="BillBasicHeading"/>
    <w:next w:val="Sched-Form"/>
    <w:rsid w:val="00AF17FE"/>
    <w:pPr>
      <w:spacing w:before="380"/>
      <w:ind w:left="2600" w:hanging="2600"/>
      <w:outlineLvl w:val="1"/>
    </w:pPr>
    <w:rPr>
      <w:sz w:val="32"/>
    </w:rPr>
  </w:style>
  <w:style w:type="paragraph" w:customStyle="1" w:styleId="Sched-Form">
    <w:name w:val="Sched-Form"/>
    <w:basedOn w:val="BillBasicHeading"/>
    <w:next w:val="Schclauseheading"/>
    <w:rsid w:val="00AF17F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F17FE"/>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AF17FE"/>
    <w:pPr>
      <w:tabs>
        <w:tab w:val="left" w:pos="0"/>
      </w:tabs>
      <w:ind w:hanging="1580"/>
    </w:pPr>
  </w:style>
  <w:style w:type="paragraph" w:customStyle="1" w:styleId="ShadedSchClause">
    <w:name w:val="Shaded Sch Clause"/>
    <w:basedOn w:val="Schclauseheading"/>
    <w:next w:val="direction"/>
    <w:rsid w:val="00AF17FE"/>
    <w:pPr>
      <w:shd w:val="pct25" w:color="auto" w:fill="auto"/>
      <w:outlineLvl w:val="3"/>
    </w:pPr>
  </w:style>
  <w:style w:type="paragraph" w:customStyle="1" w:styleId="Dict-Heading">
    <w:name w:val="Dict-Heading"/>
    <w:basedOn w:val="BillBasicHeading"/>
    <w:next w:val="Normal"/>
    <w:rsid w:val="00AF17FE"/>
    <w:pPr>
      <w:spacing w:before="320"/>
      <w:ind w:left="2600" w:hanging="2600"/>
      <w:jc w:val="both"/>
      <w:outlineLvl w:val="0"/>
    </w:pPr>
    <w:rPr>
      <w:sz w:val="34"/>
    </w:rPr>
  </w:style>
  <w:style w:type="paragraph" w:styleId="TOC7">
    <w:name w:val="toc 7"/>
    <w:basedOn w:val="TOC2"/>
    <w:next w:val="Normal"/>
    <w:autoRedefine/>
    <w:uiPriority w:val="39"/>
    <w:rsid w:val="00AF17FE"/>
    <w:pPr>
      <w:keepNext w:val="0"/>
      <w:spacing w:before="120"/>
    </w:pPr>
    <w:rPr>
      <w:sz w:val="20"/>
    </w:rPr>
  </w:style>
  <w:style w:type="paragraph" w:styleId="TOC2">
    <w:name w:val="toc 2"/>
    <w:basedOn w:val="Normal"/>
    <w:next w:val="Normal"/>
    <w:autoRedefine/>
    <w:uiPriority w:val="39"/>
    <w:rsid w:val="00AF17F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F17FE"/>
    <w:pPr>
      <w:keepNext/>
      <w:tabs>
        <w:tab w:val="left" w:pos="400"/>
      </w:tabs>
      <w:spacing w:before="0"/>
      <w:jc w:val="left"/>
    </w:pPr>
    <w:rPr>
      <w:rFonts w:ascii="Arial" w:hAnsi="Arial"/>
      <w:b/>
      <w:sz w:val="28"/>
    </w:rPr>
  </w:style>
  <w:style w:type="paragraph" w:customStyle="1" w:styleId="EndNote2">
    <w:name w:val="EndNote2"/>
    <w:basedOn w:val="BillBasic"/>
    <w:uiPriority w:val="99"/>
    <w:rsid w:val="00254DE8"/>
    <w:pPr>
      <w:keepNext/>
      <w:tabs>
        <w:tab w:val="left" w:pos="240"/>
      </w:tabs>
      <w:spacing w:before="160" w:after="80"/>
      <w:jc w:val="left"/>
    </w:pPr>
    <w:rPr>
      <w:b/>
      <w:sz w:val="18"/>
    </w:rPr>
  </w:style>
  <w:style w:type="paragraph" w:customStyle="1" w:styleId="IH1Chap">
    <w:name w:val="I H1 Chap"/>
    <w:basedOn w:val="BillBasicHeading"/>
    <w:next w:val="Normal"/>
    <w:rsid w:val="00AF17FE"/>
    <w:pPr>
      <w:spacing w:before="320"/>
      <w:ind w:left="2600" w:hanging="2600"/>
    </w:pPr>
    <w:rPr>
      <w:sz w:val="34"/>
    </w:rPr>
  </w:style>
  <w:style w:type="paragraph" w:customStyle="1" w:styleId="IH2Part">
    <w:name w:val="I H2 Part"/>
    <w:basedOn w:val="BillBasicHeading"/>
    <w:next w:val="Normal"/>
    <w:rsid w:val="00AF17FE"/>
    <w:pPr>
      <w:spacing w:before="380"/>
      <w:ind w:left="2600" w:hanging="2600"/>
    </w:pPr>
    <w:rPr>
      <w:sz w:val="32"/>
    </w:rPr>
  </w:style>
  <w:style w:type="paragraph" w:customStyle="1" w:styleId="IH3Div">
    <w:name w:val="I H3 Div"/>
    <w:basedOn w:val="BillBasicHeading"/>
    <w:next w:val="Normal"/>
    <w:rsid w:val="00AF17FE"/>
    <w:pPr>
      <w:spacing w:before="240"/>
      <w:ind w:left="2600" w:hanging="2600"/>
    </w:pPr>
    <w:rPr>
      <w:sz w:val="28"/>
    </w:rPr>
  </w:style>
  <w:style w:type="paragraph" w:customStyle="1" w:styleId="IH5Sec">
    <w:name w:val="I H5 Sec"/>
    <w:basedOn w:val="BillBasicHeading"/>
    <w:next w:val="Normal"/>
    <w:rsid w:val="00AF17FE"/>
    <w:pPr>
      <w:tabs>
        <w:tab w:val="clear" w:pos="2600"/>
        <w:tab w:val="left" w:pos="1100"/>
      </w:tabs>
      <w:spacing w:before="240"/>
      <w:ind w:left="1100" w:hanging="1100"/>
    </w:pPr>
  </w:style>
  <w:style w:type="paragraph" w:customStyle="1" w:styleId="IH4SubDiv">
    <w:name w:val="I H4 SubDiv"/>
    <w:basedOn w:val="BillBasicHeading"/>
    <w:next w:val="Normal"/>
    <w:rsid w:val="00AF17FE"/>
    <w:pPr>
      <w:spacing w:before="240"/>
      <w:ind w:left="2600" w:hanging="2600"/>
      <w:jc w:val="both"/>
    </w:pPr>
    <w:rPr>
      <w:sz w:val="26"/>
    </w:rPr>
  </w:style>
  <w:style w:type="character" w:styleId="LineNumber">
    <w:name w:val="line number"/>
    <w:basedOn w:val="DefaultParagraphFont"/>
    <w:rsid w:val="00AF17FE"/>
    <w:rPr>
      <w:rFonts w:ascii="Arial" w:hAnsi="Arial"/>
      <w:sz w:val="16"/>
    </w:rPr>
  </w:style>
  <w:style w:type="paragraph" w:customStyle="1" w:styleId="PageBreak">
    <w:name w:val="PageBreak"/>
    <w:aliases w:val="pb"/>
    <w:basedOn w:val="Normal"/>
    <w:rsid w:val="00AF17FE"/>
    <w:rPr>
      <w:sz w:val="4"/>
    </w:rPr>
  </w:style>
  <w:style w:type="paragraph" w:customStyle="1" w:styleId="04Dictionary">
    <w:name w:val="04Dictionary"/>
    <w:basedOn w:val="Normal"/>
    <w:rsid w:val="00AF17FE"/>
  </w:style>
  <w:style w:type="paragraph" w:customStyle="1" w:styleId="N-line1">
    <w:name w:val="N-line1"/>
    <w:basedOn w:val="BillBasic"/>
    <w:rsid w:val="00AF17FE"/>
    <w:pPr>
      <w:pBdr>
        <w:bottom w:val="single" w:sz="4" w:space="0" w:color="auto"/>
      </w:pBdr>
      <w:spacing w:before="100"/>
      <w:ind w:left="2980" w:right="3020"/>
      <w:jc w:val="center"/>
    </w:pPr>
  </w:style>
  <w:style w:type="paragraph" w:customStyle="1" w:styleId="N-line2">
    <w:name w:val="N-line2"/>
    <w:basedOn w:val="Normal"/>
    <w:rsid w:val="00AF17FE"/>
    <w:pPr>
      <w:pBdr>
        <w:bottom w:val="single" w:sz="8" w:space="0" w:color="auto"/>
      </w:pBdr>
    </w:pPr>
  </w:style>
  <w:style w:type="paragraph" w:customStyle="1" w:styleId="EndNote">
    <w:name w:val="EndNote"/>
    <w:basedOn w:val="BillBasicHeading"/>
    <w:rsid w:val="00AF17F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F17FE"/>
    <w:pPr>
      <w:tabs>
        <w:tab w:val="left" w:pos="700"/>
      </w:tabs>
      <w:spacing w:before="160"/>
      <w:ind w:left="700" w:hanging="700"/>
    </w:pPr>
    <w:rPr>
      <w:rFonts w:ascii="Arial (W1)" w:hAnsi="Arial (W1)"/>
    </w:rPr>
  </w:style>
  <w:style w:type="paragraph" w:customStyle="1" w:styleId="PenaltyHeading">
    <w:name w:val="PenaltyHeading"/>
    <w:basedOn w:val="Normal"/>
    <w:rsid w:val="00AF17FE"/>
    <w:pPr>
      <w:tabs>
        <w:tab w:val="left" w:pos="1100"/>
      </w:tabs>
      <w:spacing w:before="120"/>
      <w:ind w:left="1100" w:hanging="1100"/>
    </w:pPr>
    <w:rPr>
      <w:rFonts w:ascii="Arial" w:hAnsi="Arial"/>
      <w:b/>
      <w:sz w:val="20"/>
    </w:rPr>
  </w:style>
  <w:style w:type="paragraph" w:customStyle="1" w:styleId="05EndNote">
    <w:name w:val="05EndNote"/>
    <w:basedOn w:val="Normal"/>
    <w:rsid w:val="00AF17FE"/>
  </w:style>
  <w:style w:type="paragraph" w:customStyle="1" w:styleId="03Schedule">
    <w:name w:val="03Schedule"/>
    <w:basedOn w:val="Normal"/>
    <w:rsid w:val="00AF17FE"/>
  </w:style>
  <w:style w:type="paragraph" w:customStyle="1" w:styleId="ISched-heading">
    <w:name w:val="I Sched-heading"/>
    <w:basedOn w:val="BillBasicHeading"/>
    <w:next w:val="Normal"/>
    <w:rsid w:val="00AF17FE"/>
    <w:pPr>
      <w:spacing w:before="320"/>
      <w:ind w:left="2600" w:hanging="2600"/>
    </w:pPr>
    <w:rPr>
      <w:sz w:val="34"/>
    </w:rPr>
  </w:style>
  <w:style w:type="paragraph" w:customStyle="1" w:styleId="ISched-Part">
    <w:name w:val="I Sched-Part"/>
    <w:basedOn w:val="BillBasicHeading"/>
    <w:rsid w:val="00AF17FE"/>
    <w:pPr>
      <w:spacing w:before="380"/>
      <w:ind w:left="2600" w:hanging="2600"/>
    </w:pPr>
    <w:rPr>
      <w:sz w:val="32"/>
    </w:rPr>
  </w:style>
  <w:style w:type="paragraph" w:customStyle="1" w:styleId="ISched-form">
    <w:name w:val="I Sched-form"/>
    <w:basedOn w:val="BillBasicHeading"/>
    <w:rsid w:val="00AF17FE"/>
    <w:pPr>
      <w:tabs>
        <w:tab w:val="right" w:pos="7200"/>
      </w:tabs>
      <w:spacing w:before="240"/>
      <w:ind w:left="2600" w:hanging="2600"/>
    </w:pPr>
    <w:rPr>
      <w:sz w:val="28"/>
    </w:rPr>
  </w:style>
  <w:style w:type="paragraph" w:customStyle="1" w:styleId="ISchclauseheading">
    <w:name w:val="I Sch clause heading"/>
    <w:basedOn w:val="BillBasic"/>
    <w:rsid w:val="00AF17FE"/>
    <w:pPr>
      <w:keepNext/>
      <w:tabs>
        <w:tab w:val="left" w:pos="1100"/>
      </w:tabs>
      <w:spacing w:before="240"/>
      <w:ind w:left="1100" w:hanging="1100"/>
      <w:jc w:val="left"/>
    </w:pPr>
    <w:rPr>
      <w:rFonts w:ascii="Arial" w:hAnsi="Arial"/>
      <w:b/>
    </w:rPr>
  </w:style>
  <w:style w:type="paragraph" w:customStyle="1" w:styleId="IMain">
    <w:name w:val="I Main"/>
    <w:basedOn w:val="Amain"/>
    <w:rsid w:val="00AF17FE"/>
  </w:style>
  <w:style w:type="paragraph" w:customStyle="1" w:styleId="Ipara">
    <w:name w:val="I para"/>
    <w:basedOn w:val="Apara"/>
    <w:rsid w:val="00AF17FE"/>
    <w:pPr>
      <w:outlineLvl w:val="9"/>
    </w:pPr>
  </w:style>
  <w:style w:type="paragraph" w:customStyle="1" w:styleId="Isubpara">
    <w:name w:val="I subpara"/>
    <w:basedOn w:val="Asubpara"/>
    <w:rsid w:val="00AF17F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F17FE"/>
    <w:pPr>
      <w:tabs>
        <w:tab w:val="clear" w:pos="2400"/>
        <w:tab w:val="clear" w:pos="2600"/>
        <w:tab w:val="right" w:pos="2460"/>
        <w:tab w:val="left" w:pos="2660"/>
      </w:tabs>
      <w:ind w:left="2660" w:hanging="2660"/>
    </w:pPr>
  </w:style>
  <w:style w:type="character" w:customStyle="1" w:styleId="CharSectNo">
    <w:name w:val="CharSectNo"/>
    <w:basedOn w:val="DefaultParagraphFont"/>
    <w:rsid w:val="00AF17FE"/>
  </w:style>
  <w:style w:type="character" w:customStyle="1" w:styleId="CharDivNo">
    <w:name w:val="CharDivNo"/>
    <w:basedOn w:val="DefaultParagraphFont"/>
    <w:rsid w:val="00AF17FE"/>
  </w:style>
  <w:style w:type="character" w:customStyle="1" w:styleId="CharDivText">
    <w:name w:val="CharDivText"/>
    <w:basedOn w:val="DefaultParagraphFont"/>
    <w:rsid w:val="00AF17FE"/>
  </w:style>
  <w:style w:type="character" w:customStyle="1" w:styleId="CharPartNo">
    <w:name w:val="CharPartNo"/>
    <w:basedOn w:val="DefaultParagraphFont"/>
    <w:rsid w:val="00AF17FE"/>
  </w:style>
  <w:style w:type="paragraph" w:customStyle="1" w:styleId="Placeholder">
    <w:name w:val="Placeholder"/>
    <w:basedOn w:val="Normal"/>
    <w:rsid w:val="00AF17FE"/>
    <w:rPr>
      <w:sz w:val="10"/>
    </w:rPr>
  </w:style>
  <w:style w:type="paragraph" w:styleId="PlainText">
    <w:name w:val="Plain Text"/>
    <w:basedOn w:val="Normal"/>
    <w:link w:val="PlainTextChar"/>
    <w:rsid w:val="00AF17FE"/>
    <w:rPr>
      <w:rFonts w:ascii="Courier New" w:hAnsi="Courier New"/>
      <w:sz w:val="20"/>
    </w:rPr>
  </w:style>
  <w:style w:type="character" w:customStyle="1" w:styleId="PlainTextChar">
    <w:name w:val="Plain Text Char"/>
    <w:basedOn w:val="DefaultParagraphFont"/>
    <w:link w:val="PlainText"/>
    <w:locked/>
    <w:rsid w:val="00786C72"/>
    <w:rPr>
      <w:rFonts w:ascii="Courier New" w:hAnsi="Courier New"/>
      <w:sz w:val="20"/>
      <w:szCs w:val="20"/>
      <w:lang w:eastAsia="en-US"/>
    </w:rPr>
  </w:style>
  <w:style w:type="character" w:customStyle="1" w:styleId="CharChapNo">
    <w:name w:val="CharChapNo"/>
    <w:basedOn w:val="DefaultParagraphFont"/>
    <w:rsid w:val="00AF17FE"/>
  </w:style>
  <w:style w:type="character" w:customStyle="1" w:styleId="CharChapText">
    <w:name w:val="CharChapText"/>
    <w:basedOn w:val="DefaultParagraphFont"/>
    <w:rsid w:val="00AF17FE"/>
  </w:style>
  <w:style w:type="character" w:customStyle="1" w:styleId="CharPartText">
    <w:name w:val="CharPartText"/>
    <w:basedOn w:val="DefaultParagraphFont"/>
    <w:rsid w:val="00AF17FE"/>
  </w:style>
  <w:style w:type="paragraph" w:styleId="TOC1">
    <w:name w:val="toc 1"/>
    <w:basedOn w:val="Normal"/>
    <w:next w:val="Normal"/>
    <w:autoRedefine/>
    <w:uiPriority w:val="39"/>
    <w:rsid w:val="00AF17F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F17F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F17F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F17F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F17FE"/>
  </w:style>
  <w:style w:type="paragraph" w:styleId="Title">
    <w:name w:val="Title"/>
    <w:basedOn w:val="Normal"/>
    <w:link w:val="TitleChar"/>
    <w:uiPriority w:val="99"/>
    <w:qFormat/>
    <w:rsid w:val="00254DE8"/>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sid w:val="00786C72"/>
    <w:rPr>
      <w:rFonts w:ascii="Cambria" w:hAnsi="Cambria" w:cs="Times New Roman"/>
      <w:b/>
      <w:bCs/>
      <w:kern w:val="28"/>
      <w:sz w:val="32"/>
      <w:szCs w:val="32"/>
      <w:lang w:eastAsia="en-US"/>
    </w:rPr>
  </w:style>
  <w:style w:type="paragraph" w:styleId="Signature">
    <w:name w:val="Signature"/>
    <w:basedOn w:val="Normal"/>
    <w:link w:val="SignatureChar"/>
    <w:rsid w:val="00AF17FE"/>
    <w:pPr>
      <w:ind w:left="4252"/>
    </w:pPr>
  </w:style>
  <w:style w:type="character" w:customStyle="1" w:styleId="SignatureChar">
    <w:name w:val="Signature Char"/>
    <w:basedOn w:val="DefaultParagraphFont"/>
    <w:link w:val="Signature"/>
    <w:locked/>
    <w:rsid w:val="00786C72"/>
    <w:rPr>
      <w:sz w:val="24"/>
      <w:szCs w:val="20"/>
      <w:lang w:eastAsia="en-US"/>
    </w:rPr>
  </w:style>
  <w:style w:type="paragraph" w:customStyle="1" w:styleId="ActNo">
    <w:name w:val="ActNo"/>
    <w:basedOn w:val="BillBasicHeading"/>
    <w:rsid w:val="00AF17FE"/>
    <w:pPr>
      <w:keepNext w:val="0"/>
      <w:tabs>
        <w:tab w:val="clear" w:pos="2600"/>
      </w:tabs>
      <w:spacing w:before="220"/>
    </w:pPr>
  </w:style>
  <w:style w:type="paragraph" w:customStyle="1" w:styleId="aParaNote">
    <w:name w:val="aParaNote"/>
    <w:basedOn w:val="BillBasic"/>
    <w:rsid w:val="00AF17FE"/>
    <w:pPr>
      <w:ind w:left="2840" w:hanging="1240"/>
    </w:pPr>
    <w:rPr>
      <w:sz w:val="20"/>
    </w:rPr>
  </w:style>
  <w:style w:type="paragraph" w:customStyle="1" w:styleId="aExamNum">
    <w:name w:val="aExamNum"/>
    <w:basedOn w:val="aExam"/>
    <w:rsid w:val="00AF17FE"/>
    <w:pPr>
      <w:ind w:left="1500" w:hanging="400"/>
    </w:pPr>
  </w:style>
  <w:style w:type="paragraph" w:customStyle="1" w:styleId="LongTitle">
    <w:name w:val="LongTitle"/>
    <w:basedOn w:val="BillBasic"/>
    <w:rsid w:val="00AF17FE"/>
    <w:pPr>
      <w:spacing w:before="300"/>
    </w:pPr>
  </w:style>
  <w:style w:type="paragraph" w:customStyle="1" w:styleId="Minister">
    <w:name w:val="Minister"/>
    <w:basedOn w:val="BillBasic"/>
    <w:rsid w:val="00AF17FE"/>
    <w:pPr>
      <w:spacing w:before="640"/>
      <w:jc w:val="right"/>
    </w:pPr>
    <w:rPr>
      <w:caps/>
    </w:rPr>
  </w:style>
  <w:style w:type="paragraph" w:customStyle="1" w:styleId="DateLine">
    <w:name w:val="DateLine"/>
    <w:basedOn w:val="BillBasic"/>
    <w:rsid w:val="00AF17FE"/>
    <w:pPr>
      <w:tabs>
        <w:tab w:val="left" w:pos="4320"/>
      </w:tabs>
    </w:pPr>
  </w:style>
  <w:style w:type="paragraph" w:customStyle="1" w:styleId="madeunder">
    <w:name w:val="made under"/>
    <w:basedOn w:val="BillBasic"/>
    <w:rsid w:val="00AF17FE"/>
    <w:pPr>
      <w:spacing w:before="240"/>
    </w:pPr>
  </w:style>
  <w:style w:type="paragraph" w:customStyle="1" w:styleId="EndNoteSubHeading">
    <w:name w:val="EndNoteSubHeading"/>
    <w:basedOn w:val="Normal"/>
    <w:next w:val="EndNoteText"/>
    <w:uiPriority w:val="99"/>
    <w:rsid w:val="00254DE8"/>
    <w:pPr>
      <w:keepNext/>
      <w:tabs>
        <w:tab w:val="left" w:pos="700"/>
      </w:tabs>
      <w:spacing w:before="120"/>
      <w:ind w:left="700" w:hanging="700"/>
    </w:pPr>
    <w:rPr>
      <w:rFonts w:ascii="Arial" w:hAnsi="Arial"/>
      <w:b/>
      <w:sz w:val="20"/>
    </w:rPr>
  </w:style>
  <w:style w:type="paragraph" w:customStyle="1" w:styleId="EndNoteText">
    <w:name w:val="EndNoteText"/>
    <w:basedOn w:val="BillBasic"/>
    <w:rsid w:val="00AF17FE"/>
    <w:pPr>
      <w:tabs>
        <w:tab w:val="left" w:pos="700"/>
        <w:tab w:val="right" w:pos="6160"/>
      </w:tabs>
      <w:spacing w:before="80"/>
      <w:ind w:left="700" w:hanging="700"/>
    </w:pPr>
    <w:rPr>
      <w:sz w:val="20"/>
    </w:rPr>
  </w:style>
  <w:style w:type="paragraph" w:customStyle="1" w:styleId="BillBasicItalics">
    <w:name w:val="BillBasicItalics"/>
    <w:basedOn w:val="BillBasic"/>
    <w:rsid w:val="00AF17FE"/>
    <w:rPr>
      <w:i/>
    </w:rPr>
  </w:style>
  <w:style w:type="paragraph" w:customStyle="1" w:styleId="00SigningPage">
    <w:name w:val="00SigningPage"/>
    <w:basedOn w:val="Normal"/>
    <w:rsid w:val="00AF17FE"/>
  </w:style>
  <w:style w:type="paragraph" w:customStyle="1" w:styleId="Aparareturn">
    <w:name w:val="A para return"/>
    <w:basedOn w:val="BillBasic"/>
    <w:rsid w:val="00AF17FE"/>
    <w:pPr>
      <w:ind w:left="1600"/>
    </w:pPr>
  </w:style>
  <w:style w:type="paragraph" w:customStyle="1" w:styleId="Asubparareturn">
    <w:name w:val="A subpara return"/>
    <w:basedOn w:val="BillBasic"/>
    <w:rsid w:val="00AF17FE"/>
    <w:pPr>
      <w:ind w:left="2100"/>
    </w:pPr>
  </w:style>
  <w:style w:type="paragraph" w:customStyle="1" w:styleId="CommentNum">
    <w:name w:val="CommentNum"/>
    <w:basedOn w:val="Comment"/>
    <w:rsid w:val="00AF17FE"/>
    <w:pPr>
      <w:ind w:left="1800" w:hanging="1800"/>
    </w:pPr>
  </w:style>
  <w:style w:type="paragraph" w:styleId="TOC8">
    <w:name w:val="toc 8"/>
    <w:basedOn w:val="TOC3"/>
    <w:next w:val="Normal"/>
    <w:autoRedefine/>
    <w:uiPriority w:val="39"/>
    <w:rsid w:val="00AF17FE"/>
    <w:pPr>
      <w:keepNext w:val="0"/>
      <w:spacing w:before="120"/>
    </w:pPr>
  </w:style>
  <w:style w:type="paragraph" w:customStyle="1" w:styleId="Judges">
    <w:name w:val="Judges"/>
    <w:basedOn w:val="Minister"/>
    <w:rsid w:val="00AF17FE"/>
    <w:pPr>
      <w:spacing w:before="180"/>
    </w:pPr>
  </w:style>
  <w:style w:type="paragraph" w:customStyle="1" w:styleId="BillFor">
    <w:name w:val="BillFor"/>
    <w:basedOn w:val="BillBasicHeading"/>
    <w:rsid w:val="00AF17FE"/>
    <w:pPr>
      <w:keepNext w:val="0"/>
      <w:spacing w:before="320"/>
      <w:jc w:val="both"/>
    </w:pPr>
    <w:rPr>
      <w:sz w:val="28"/>
    </w:rPr>
  </w:style>
  <w:style w:type="paragraph" w:customStyle="1" w:styleId="draft">
    <w:name w:val="draft"/>
    <w:basedOn w:val="Normal"/>
    <w:rsid w:val="00AF17F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F17FE"/>
    <w:pPr>
      <w:spacing w:line="260" w:lineRule="atLeast"/>
      <w:jc w:val="center"/>
    </w:pPr>
  </w:style>
  <w:style w:type="paragraph" w:customStyle="1" w:styleId="Amainbullet">
    <w:name w:val="A main bullet"/>
    <w:basedOn w:val="BillBasic"/>
    <w:rsid w:val="00AF17FE"/>
    <w:pPr>
      <w:spacing w:before="60"/>
      <w:ind w:left="1500" w:hanging="400"/>
    </w:pPr>
  </w:style>
  <w:style w:type="paragraph" w:customStyle="1" w:styleId="Aparabullet">
    <w:name w:val="A para bullet"/>
    <w:basedOn w:val="BillBasic"/>
    <w:rsid w:val="00AF17FE"/>
    <w:pPr>
      <w:spacing w:before="60"/>
      <w:ind w:left="2000" w:hanging="400"/>
    </w:pPr>
  </w:style>
  <w:style w:type="paragraph" w:customStyle="1" w:styleId="Asubparabullet">
    <w:name w:val="A subpara bullet"/>
    <w:basedOn w:val="BillBasic"/>
    <w:rsid w:val="00AF17FE"/>
    <w:pPr>
      <w:spacing w:before="60"/>
      <w:ind w:left="2540" w:hanging="400"/>
    </w:pPr>
  </w:style>
  <w:style w:type="paragraph" w:customStyle="1" w:styleId="aDefpara">
    <w:name w:val="aDef para"/>
    <w:basedOn w:val="Apara"/>
    <w:rsid w:val="00AF17FE"/>
  </w:style>
  <w:style w:type="paragraph" w:customStyle="1" w:styleId="aDefsubpara">
    <w:name w:val="aDef subpara"/>
    <w:basedOn w:val="Asubpara"/>
    <w:rsid w:val="00AF17FE"/>
  </w:style>
  <w:style w:type="paragraph" w:customStyle="1" w:styleId="Idefpara">
    <w:name w:val="I def para"/>
    <w:basedOn w:val="Ipara"/>
    <w:rsid w:val="00AF17FE"/>
  </w:style>
  <w:style w:type="paragraph" w:customStyle="1" w:styleId="Idefsubpara">
    <w:name w:val="I def subpara"/>
    <w:basedOn w:val="Isubpara"/>
    <w:rsid w:val="00AF17FE"/>
  </w:style>
  <w:style w:type="paragraph" w:customStyle="1" w:styleId="Notified">
    <w:name w:val="Notified"/>
    <w:basedOn w:val="BillBasic"/>
    <w:rsid w:val="00AF17FE"/>
    <w:pPr>
      <w:spacing w:before="360"/>
      <w:jc w:val="right"/>
    </w:pPr>
    <w:rPr>
      <w:i/>
    </w:rPr>
  </w:style>
  <w:style w:type="paragraph" w:customStyle="1" w:styleId="03ScheduleLandscape">
    <w:name w:val="03ScheduleLandscape"/>
    <w:basedOn w:val="Normal"/>
    <w:rsid w:val="00AF17FE"/>
  </w:style>
  <w:style w:type="paragraph" w:customStyle="1" w:styleId="IDict-Heading">
    <w:name w:val="I Dict-Heading"/>
    <w:basedOn w:val="BillBasicHeading"/>
    <w:rsid w:val="00AF17FE"/>
    <w:pPr>
      <w:spacing w:before="320"/>
      <w:ind w:left="2600" w:hanging="2600"/>
      <w:jc w:val="both"/>
    </w:pPr>
    <w:rPr>
      <w:sz w:val="34"/>
    </w:rPr>
  </w:style>
  <w:style w:type="paragraph" w:customStyle="1" w:styleId="02TextLandscape">
    <w:name w:val="02TextLandscape"/>
    <w:basedOn w:val="Normal"/>
    <w:rsid w:val="00AF17FE"/>
  </w:style>
  <w:style w:type="paragraph" w:styleId="Salutation">
    <w:name w:val="Salutation"/>
    <w:basedOn w:val="Normal"/>
    <w:next w:val="Normal"/>
    <w:link w:val="SalutationChar"/>
    <w:uiPriority w:val="99"/>
    <w:rsid w:val="00254DE8"/>
  </w:style>
  <w:style w:type="character" w:customStyle="1" w:styleId="SalutationChar">
    <w:name w:val="Salutation Char"/>
    <w:basedOn w:val="DefaultParagraphFont"/>
    <w:link w:val="Salutation"/>
    <w:uiPriority w:val="99"/>
    <w:semiHidden/>
    <w:locked/>
    <w:rsid w:val="00786C72"/>
    <w:rPr>
      <w:rFonts w:cs="Times New Roman"/>
      <w:sz w:val="20"/>
      <w:szCs w:val="20"/>
      <w:lang w:eastAsia="en-US"/>
    </w:rPr>
  </w:style>
  <w:style w:type="paragraph" w:customStyle="1" w:styleId="aNoteBullet">
    <w:name w:val="aNoteBullet"/>
    <w:basedOn w:val="aNoteSymb"/>
    <w:rsid w:val="00AF17FE"/>
    <w:pPr>
      <w:tabs>
        <w:tab w:val="left" w:pos="2200"/>
      </w:tabs>
      <w:spacing w:before="60"/>
      <w:ind w:left="2600" w:hanging="700"/>
    </w:pPr>
  </w:style>
  <w:style w:type="paragraph" w:customStyle="1" w:styleId="aNotess">
    <w:name w:val="aNotess"/>
    <w:basedOn w:val="BillBasic"/>
    <w:uiPriority w:val="99"/>
    <w:rsid w:val="00254DE8"/>
    <w:pPr>
      <w:ind w:left="1900" w:hanging="800"/>
    </w:pPr>
    <w:rPr>
      <w:sz w:val="20"/>
    </w:rPr>
  </w:style>
  <w:style w:type="paragraph" w:customStyle="1" w:styleId="aParaNoteBullet">
    <w:name w:val="aParaNoteBullet"/>
    <w:basedOn w:val="aParaNote"/>
    <w:rsid w:val="00AF17FE"/>
    <w:pPr>
      <w:tabs>
        <w:tab w:val="left" w:pos="2700"/>
      </w:tabs>
      <w:spacing w:before="60"/>
      <w:ind w:left="3100" w:hanging="700"/>
    </w:pPr>
  </w:style>
  <w:style w:type="paragraph" w:customStyle="1" w:styleId="aNotepar">
    <w:name w:val="aNotepar"/>
    <w:basedOn w:val="BillBasic"/>
    <w:next w:val="Normal"/>
    <w:rsid w:val="00AF17FE"/>
    <w:pPr>
      <w:ind w:left="2400" w:hanging="800"/>
    </w:pPr>
    <w:rPr>
      <w:sz w:val="20"/>
    </w:rPr>
  </w:style>
  <w:style w:type="paragraph" w:customStyle="1" w:styleId="aNoteTextpar">
    <w:name w:val="aNoteTextpar"/>
    <w:basedOn w:val="aNotepar"/>
    <w:rsid w:val="00AF17FE"/>
    <w:pPr>
      <w:spacing w:before="60"/>
      <w:ind w:firstLine="0"/>
    </w:pPr>
  </w:style>
  <w:style w:type="paragraph" w:customStyle="1" w:styleId="MinisterWord">
    <w:name w:val="MinisterWord"/>
    <w:basedOn w:val="Normal"/>
    <w:rsid w:val="00AF17FE"/>
    <w:pPr>
      <w:spacing w:before="60"/>
      <w:jc w:val="right"/>
    </w:pPr>
  </w:style>
  <w:style w:type="paragraph" w:customStyle="1" w:styleId="aExamPara">
    <w:name w:val="aExamPara"/>
    <w:basedOn w:val="aExam"/>
    <w:rsid w:val="00AF17FE"/>
    <w:pPr>
      <w:tabs>
        <w:tab w:val="right" w:pos="1720"/>
        <w:tab w:val="left" w:pos="2000"/>
        <w:tab w:val="left" w:pos="2300"/>
      </w:tabs>
      <w:ind w:left="2400" w:hanging="1300"/>
    </w:pPr>
  </w:style>
  <w:style w:type="paragraph" w:customStyle="1" w:styleId="aExamNumText">
    <w:name w:val="aExamNumText"/>
    <w:basedOn w:val="aExam"/>
    <w:rsid w:val="00AF17FE"/>
    <w:pPr>
      <w:ind w:left="1500"/>
    </w:pPr>
  </w:style>
  <w:style w:type="paragraph" w:customStyle="1" w:styleId="aExamBullet">
    <w:name w:val="aExamBullet"/>
    <w:basedOn w:val="aExam"/>
    <w:rsid w:val="00AF17FE"/>
    <w:pPr>
      <w:tabs>
        <w:tab w:val="left" w:pos="1500"/>
        <w:tab w:val="left" w:pos="2300"/>
      </w:tabs>
      <w:ind w:left="1900" w:hanging="800"/>
    </w:pPr>
  </w:style>
  <w:style w:type="paragraph" w:customStyle="1" w:styleId="aNotePara">
    <w:name w:val="aNotePara"/>
    <w:basedOn w:val="aNote"/>
    <w:rsid w:val="00AF17FE"/>
    <w:pPr>
      <w:tabs>
        <w:tab w:val="right" w:pos="2140"/>
        <w:tab w:val="left" w:pos="2400"/>
      </w:tabs>
      <w:spacing w:before="60"/>
      <w:ind w:left="2400" w:hanging="1300"/>
    </w:pPr>
  </w:style>
  <w:style w:type="paragraph" w:customStyle="1" w:styleId="aExplanHeading">
    <w:name w:val="aExplanHeading"/>
    <w:basedOn w:val="BillBasicHeading"/>
    <w:next w:val="Normal"/>
    <w:rsid w:val="00AF17FE"/>
    <w:rPr>
      <w:rFonts w:ascii="Arial (W1)" w:hAnsi="Arial (W1)"/>
      <w:sz w:val="18"/>
    </w:rPr>
  </w:style>
  <w:style w:type="paragraph" w:customStyle="1" w:styleId="aExplanText">
    <w:name w:val="aExplanText"/>
    <w:basedOn w:val="BillBasic"/>
    <w:rsid w:val="00AF17FE"/>
    <w:rPr>
      <w:sz w:val="20"/>
    </w:rPr>
  </w:style>
  <w:style w:type="paragraph" w:customStyle="1" w:styleId="aParaNotePara">
    <w:name w:val="aParaNotePara"/>
    <w:basedOn w:val="aNoteParaSymb"/>
    <w:rsid w:val="00AF17FE"/>
    <w:pPr>
      <w:tabs>
        <w:tab w:val="clear" w:pos="2140"/>
        <w:tab w:val="clear" w:pos="2400"/>
        <w:tab w:val="right" w:pos="2644"/>
      </w:tabs>
      <w:ind w:left="3320" w:hanging="1720"/>
    </w:pPr>
  </w:style>
  <w:style w:type="paragraph" w:customStyle="1" w:styleId="aNoteParaSymb">
    <w:name w:val="aNotePara Symb"/>
    <w:basedOn w:val="aNoteSymb"/>
    <w:rsid w:val="00AF17FE"/>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AF17FE"/>
    <w:rPr>
      <w:b/>
    </w:rPr>
  </w:style>
  <w:style w:type="character" w:customStyle="1" w:styleId="charBoldItals">
    <w:name w:val="charBoldItals"/>
    <w:basedOn w:val="DefaultParagraphFont"/>
    <w:rsid w:val="00AF17FE"/>
    <w:rPr>
      <w:b/>
      <w:i/>
    </w:rPr>
  </w:style>
  <w:style w:type="character" w:customStyle="1" w:styleId="charItals">
    <w:name w:val="charItals"/>
    <w:basedOn w:val="DefaultParagraphFont"/>
    <w:rsid w:val="00AF17FE"/>
    <w:rPr>
      <w:i/>
    </w:rPr>
  </w:style>
  <w:style w:type="character" w:customStyle="1" w:styleId="charUnderline">
    <w:name w:val="charUnderline"/>
    <w:basedOn w:val="DefaultParagraphFont"/>
    <w:rsid w:val="00AF17FE"/>
    <w:rPr>
      <w:u w:val="single"/>
    </w:rPr>
  </w:style>
  <w:style w:type="paragraph" w:customStyle="1" w:styleId="TableHd">
    <w:name w:val="TableHd"/>
    <w:basedOn w:val="Normal"/>
    <w:rsid w:val="00AF17FE"/>
    <w:pPr>
      <w:keepNext/>
      <w:spacing w:before="300"/>
      <w:ind w:left="1200" w:hanging="1200"/>
    </w:pPr>
    <w:rPr>
      <w:rFonts w:ascii="Arial" w:hAnsi="Arial"/>
      <w:b/>
      <w:sz w:val="20"/>
    </w:rPr>
  </w:style>
  <w:style w:type="paragraph" w:customStyle="1" w:styleId="TableColHd">
    <w:name w:val="TableColHd"/>
    <w:basedOn w:val="Normal"/>
    <w:rsid w:val="00AF17FE"/>
    <w:pPr>
      <w:keepNext/>
      <w:spacing w:after="60"/>
    </w:pPr>
    <w:rPr>
      <w:rFonts w:ascii="Arial" w:hAnsi="Arial"/>
      <w:b/>
      <w:sz w:val="18"/>
    </w:rPr>
  </w:style>
  <w:style w:type="paragraph" w:customStyle="1" w:styleId="PenaltyPara">
    <w:name w:val="PenaltyPara"/>
    <w:basedOn w:val="Normal"/>
    <w:rsid w:val="00AF17FE"/>
    <w:pPr>
      <w:tabs>
        <w:tab w:val="right" w:pos="1360"/>
      </w:tabs>
      <w:spacing w:before="60"/>
      <w:ind w:left="1600" w:hanging="1600"/>
      <w:jc w:val="both"/>
    </w:pPr>
  </w:style>
  <w:style w:type="paragraph" w:customStyle="1" w:styleId="tablepara">
    <w:name w:val="table para"/>
    <w:basedOn w:val="Normal"/>
    <w:rsid w:val="00AF17FE"/>
    <w:pPr>
      <w:tabs>
        <w:tab w:val="right" w:pos="800"/>
        <w:tab w:val="left" w:pos="1100"/>
      </w:tabs>
      <w:spacing w:before="80" w:after="60"/>
      <w:ind w:left="1100" w:hanging="1100"/>
    </w:pPr>
  </w:style>
  <w:style w:type="paragraph" w:customStyle="1" w:styleId="tablesubpara">
    <w:name w:val="table subpara"/>
    <w:basedOn w:val="Normal"/>
    <w:rsid w:val="00AF17FE"/>
    <w:pPr>
      <w:tabs>
        <w:tab w:val="right" w:pos="1500"/>
        <w:tab w:val="left" w:pos="1800"/>
      </w:tabs>
      <w:spacing w:before="80" w:after="60"/>
      <w:ind w:left="1800" w:hanging="1800"/>
    </w:pPr>
  </w:style>
  <w:style w:type="paragraph" w:customStyle="1" w:styleId="TableText">
    <w:name w:val="TableText"/>
    <w:basedOn w:val="Normal"/>
    <w:rsid w:val="00AF17FE"/>
    <w:pPr>
      <w:spacing w:before="60" w:after="60"/>
    </w:pPr>
  </w:style>
  <w:style w:type="paragraph" w:customStyle="1" w:styleId="IshadedH5Sec">
    <w:name w:val="I shaded H5 Sec"/>
    <w:basedOn w:val="AH5Sec"/>
    <w:rsid w:val="00AF17FE"/>
    <w:pPr>
      <w:shd w:val="pct25" w:color="auto" w:fill="auto"/>
      <w:outlineLvl w:val="9"/>
    </w:pPr>
  </w:style>
  <w:style w:type="paragraph" w:customStyle="1" w:styleId="IshadedSchClause">
    <w:name w:val="I shaded Sch Clause"/>
    <w:basedOn w:val="IshadedH5Sec"/>
    <w:rsid w:val="00AF17FE"/>
  </w:style>
  <w:style w:type="paragraph" w:customStyle="1" w:styleId="Penalty">
    <w:name w:val="Penalty"/>
    <w:basedOn w:val="Amainreturn"/>
    <w:rsid w:val="00AF17FE"/>
  </w:style>
  <w:style w:type="paragraph" w:customStyle="1" w:styleId="aNoteText">
    <w:name w:val="aNoteText"/>
    <w:basedOn w:val="aNoteSymb"/>
    <w:rsid w:val="00AF17FE"/>
    <w:pPr>
      <w:spacing w:before="60"/>
      <w:ind w:firstLine="0"/>
    </w:pPr>
  </w:style>
  <w:style w:type="paragraph" w:customStyle="1" w:styleId="aExamINum">
    <w:name w:val="aExamINum"/>
    <w:basedOn w:val="aExam"/>
    <w:uiPriority w:val="99"/>
    <w:rsid w:val="00254DE8"/>
    <w:pPr>
      <w:tabs>
        <w:tab w:val="left" w:pos="1500"/>
      </w:tabs>
      <w:ind w:left="1500" w:hanging="400"/>
    </w:pPr>
  </w:style>
  <w:style w:type="paragraph" w:customStyle="1" w:styleId="AExamIPara">
    <w:name w:val="AExamIPara"/>
    <w:basedOn w:val="aExam"/>
    <w:rsid w:val="00AF17FE"/>
    <w:pPr>
      <w:tabs>
        <w:tab w:val="right" w:pos="1720"/>
        <w:tab w:val="left" w:pos="2000"/>
      </w:tabs>
      <w:ind w:left="2000" w:hanging="900"/>
    </w:pPr>
  </w:style>
  <w:style w:type="paragraph" w:customStyle="1" w:styleId="AH3sec">
    <w:name w:val="A H3 sec"/>
    <w:basedOn w:val="Normal"/>
    <w:next w:val="Amain"/>
    <w:uiPriority w:val="99"/>
    <w:rsid w:val="00254DE8"/>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AF17FE"/>
    <w:pPr>
      <w:tabs>
        <w:tab w:val="clear" w:pos="2600"/>
      </w:tabs>
      <w:ind w:left="1100"/>
    </w:pPr>
    <w:rPr>
      <w:sz w:val="18"/>
    </w:rPr>
  </w:style>
  <w:style w:type="paragraph" w:customStyle="1" w:styleId="aExamss">
    <w:name w:val="aExamss"/>
    <w:basedOn w:val="aNoteSymb"/>
    <w:rsid w:val="00AF17FE"/>
    <w:pPr>
      <w:spacing w:before="60"/>
      <w:ind w:left="1100" w:firstLine="0"/>
    </w:pPr>
  </w:style>
  <w:style w:type="paragraph" w:customStyle="1" w:styleId="aExamHdgpar">
    <w:name w:val="aExamHdgpar"/>
    <w:basedOn w:val="aExamHdgss"/>
    <w:next w:val="Normal"/>
    <w:rsid w:val="00AF17FE"/>
    <w:pPr>
      <w:ind w:left="1600"/>
    </w:pPr>
  </w:style>
  <w:style w:type="paragraph" w:customStyle="1" w:styleId="aExampar">
    <w:name w:val="aExampar"/>
    <w:basedOn w:val="aExamss"/>
    <w:rsid w:val="00AF17FE"/>
    <w:pPr>
      <w:ind w:left="1600"/>
    </w:pPr>
  </w:style>
  <w:style w:type="paragraph" w:customStyle="1" w:styleId="aExamINumss">
    <w:name w:val="aExamINumss"/>
    <w:basedOn w:val="aExamss"/>
    <w:rsid w:val="00AF17FE"/>
    <w:pPr>
      <w:tabs>
        <w:tab w:val="left" w:pos="1500"/>
      </w:tabs>
      <w:ind w:left="1500" w:hanging="400"/>
    </w:pPr>
  </w:style>
  <w:style w:type="paragraph" w:customStyle="1" w:styleId="aExamINumpar">
    <w:name w:val="aExamINumpar"/>
    <w:basedOn w:val="aExampar"/>
    <w:rsid w:val="00AF17FE"/>
    <w:pPr>
      <w:tabs>
        <w:tab w:val="left" w:pos="2000"/>
      </w:tabs>
      <w:ind w:left="2000" w:hanging="400"/>
    </w:pPr>
  </w:style>
  <w:style w:type="paragraph" w:customStyle="1" w:styleId="aExamNumTextss">
    <w:name w:val="aExamNumTextss"/>
    <w:basedOn w:val="aExamss"/>
    <w:rsid w:val="00AF17FE"/>
    <w:pPr>
      <w:ind w:left="1500"/>
    </w:pPr>
  </w:style>
  <w:style w:type="paragraph" w:customStyle="1" w:styleId="aExamNumTextpar">
    <w:name w:val="aExamNumTextpar"/>
    <w:basedOn w:val="aExampar"/>
    <w:uiPriority w:val="99"/>
    <w:rsid w:val="00254DE8"/>
    <w:pPr>
      <w:ind w:left="2000"/>
    </w:pPr>
  </w:style>
  <w:style w:type="paragraph" w:customStyle="1" w:styleId="aExamBulletss">
    <w:name w:val="aExamBulletss"/>
    <w:basedOn w:val="aExamss"/>
    <w:rsid w:val="00AF17FE"/>
    <w:pPr>
      <w:ind w:left="1500" w:hanging="400"/>
    </w:pPr>
  </w:style>
  <w:style w:type="paragraph" w:customStyle="1" w:styleId="aExamBulletpar">
    <w:name w:val="aExamBulletpar"/>
    <w:basedOn w:val="aExampar"/>
    <w:rsid w:val="00AF17FE"/>
    <w:pPr>
      <w:ind w:left="2000" w:hanging="400"/>
    </w:pPr>
  </w:style>
  <w:style w:type="paragraph" w:customStyle="1" w:styleId="aExamHdgsubpar">
    <w:name w:val="aExamHdgsubpar"/>
    <w:basedOn w:val="aExamHdgss"/>
    <w:next w:val="Normal"/>
    <w:rsid w:val="00AF17FE"/>
    <w:pPr>
      <w:ind w:left="2140"/>
    </w:pPr>
  </w:style>
  <w:style w:type="paragraph" w:customStyle="1" w:styleId="aExamsubpar">
    <w:name w:val="aExamsubpar"/>
    <w:basedOn w:val="aExamss"/>
    <w:rsid w:val="00AF17FE"/>
    <w:pPr>
      <w:ind w:left="2140"/>
    </w:pPr>
  </w:style>
  <w:style w:type="paragraph" w:customStyle="1" w:styleId="aExamNumsubpar">
    <w:name w:val="aExamNumsubpar"/>
    <w:basedOn w:val="aExamsubpar"/>
    <w:uiPriority w:val="99"/>
    <w:rsid w:val="00254DE8"/>
    <w:pPr>
      <w:tabs>
        <w:tab w:val="left" w:pos="2540"/>
      </w:tabs>
      <w:ind w:left="2540" w:hanging="400"/>
    </w:pPr>
  </w:style>
  <w:style w:type="paragraph" w:customStyle="1" w:styleId="aExamNumTextsubpar">
    <w:name w:val="aExamNumTextsubpar"/>
    <w:basedOn w:val="aExampar"/>
    <w:uiPriority w:val="99"/>
    <w:rsid w:val="00254DE8"/>
    <w:pPr>
      <w:ind w:left="2540"/>
    </w:pPr>
  </w:style>
  <w:style w:type="paragraph" w:customStyle="1" w:styleId="aExamBulletsubpar">
    <w:name w:val="aExamBulletsubpar"/>
    <w:basedOn w:val="aExamsubpar"/>
    <w:uiPriority w:val="99"/>
    <w:rsid w:val="00254DE8"/>
    <w:pPr>
      <w:tabs>
        <w:tab w:val="num" w:pos="2540"/>
      </w:tabs>
      <w:ind w:left="2540" w:hanging="400"/>
    </w:pPr>
  </w:style>
  <w:style w:type="paragraph" w:customStyle="1" w:styleId="aNoteTextss">
    <w:name w:val="aNoteTextss"/>
    <w:basedOn w:val="Normal"/>
    <w:rsid w:val="00AF17FE"/>
    <w:pPr>
      <w:spacing w:before="60"/>
      <w:ind w:left="1900"/>
      <w:jc w:val="both"/>
    </w:pPr>
    <w:rPr>
      <w:sz w:val="20"/>
    </w:rPr>
  </w:style>
  <w:style w:type="paragraph" w:customStyle="1" w:styleId="aNoteParass">
    <w:name w:val="aNoteParass"/>
    <w:basedOn w:val="Normal"/>
    <w:rsid w:val="00AF17FE"/>
    <w:pPr>
      <w:tabs>
        <w:tab w:val="right" w:pos="2140"/>
        <w:tab w:val="left" w:pos="2400"/>
      </w:tabs>
      <w:spacing w:before="60"/>
      <w:ind w:left="2400" w:hanging="1300"/>
      <w:jc w:val="both"/>
    </w:pPr>
    <w:rPr>
      <w:sz w:val="20"/>
    </w:rPr>
  </w:style>
  <w:style w:type="paragraph" w:customStyle="1" w:styleId="aNoteParapar">
    <w:name w:val="aNoteParapar"/>
    <w:basedOn w:val="aNotepar"/>
    <w:rsid w:val="00AF17FE"/>
    <w:pPr>
      <w:tabs>
        <w:tab w:val="right" w:pos="2640"/>
      </w:tabs>
      <w:spacing w:before="60"/>
      <w:ind w:left="2920" w:hanging="1320"/>
    </w:pPr>
  </w:style>
  <w:style w:type="paragraph" w:customStyle="1" w:styleId="aNotesubpar">
    <w:name w:val="aNotesubpar"/>
    <w:basedOn w:val="BillBasic"/>
    <w:next w:val="Normal"/>
    <w:rsid w:val="00AF17FE"/>
    <w:pPr>
      <w:ind w:left="2940" w:hanging="800"/>
    </w:pPr>
    <w:rPr>
      <w:sz w:val="20"/>
    </w:rPr>
  </w:style>
  <w:style w:type="paragraph" w:customStyle="1" w:styleId="aNoteTextsubpar">
    <w:name w:val="aNoteTextsubpar"/>
    <w:basedOn w:val="aNotesubpar"/>
    <w:rsid w:val="00AF17FE"/>
    <w:pPr>
      <w:spacing w:before="60"/>
      <w:ind w:firstLine="0"/>
    </w:pPr>
  </w:style>
  <w:style w:type="paragraph" w:customStyle="1" w:styleId="aNoteParasubpar">
    <w:name w:val="aNoteParasubpar"/>
    <w:basedOn w:val="aNotesubpar"/>
    <w:uiPriority w:val="99"/>
    <w:rsid w:val="00254DE8"/>
    <w:pPr>
      <w:tabs>
        <w:tab w:val="right" w:pos="3180"/>
      </w:tabs>
      <w:spacing w:before="0"/>
      <w:ind w:left="3460" w:hanging="1320"/>
    </w:pPr>
  </w:style>
  <w:style w:type="paragraph" w:customStyle="1" w:styleId="aNoteBulletann">
    <w:name w:val="aNoteBulletann"/>
    <w:basedOn w:val="aNotess"/>
    <w:uiPriority w:val="99"/>
    <w:rsid w:val="00254DE8"/>
    <w:pPr>
      <w:tabs>
        <w:tab w:val="left" w:pos="2200"/>
      </w:tabs>
      <w:spacing w:before="0"/>
      <w:ind w:left="0" w:firstLine="0"/>
    </w:pPr>
  </w:style>
  <w:style w:type="paragraph" w:customStyle="1" w:styleId="aNoteBulletparann">
    <w:name w:val="aNoteBulletparann"/>
    <w:basedOn w:val="aNotepar"/>
    <w:uiPriority w:val="99"/>
    <w:rsid w:val="00254DE8"/>
    <w:pPr>
      <w:tabs>
        <w:tab w:val="left" w:pos="2700"/>
      </w:tabs>
      <w:spacing w:before="0"/>
      <w:ind w:left="0" w:firstLine="0"/>
    </w:pPr>
  </w:style>
  <w:style w:type="paragraph" w:customStyle="1" w:styleId="aNoteBulletsubpar">
    <w:name w:val="aNoteBulletsubpar"/>
    <w:basedOn w:val="aNotesubpar"/>
    <w:uiPriority w:val="99"/>
    <w:rsid w:val="00254DE8"/>
    <w:pPr>
      <w:numPr>
        <w:numId w:val="19"/>
      </w:numPr>
      <w:tabs>
        <w:tab w:val="left" w:pos="3240"/>
      </w:tabs>
      <w:spacing w:before="0"/>
    </w:pPr>
  </w:style>
  <w:style w:type="paragraph" w:customStyle="1" w:styleId="aNoteBulletss">
    <w:name w:val="aNoteBulletss"/>
    <w:basedOn w:val="Normal"/>
    <w:rsid w:val="00AF17FE"/>
    <w:pPr>
      <w:spacing w:before="60"/>
      <w:ind w:left="2300" w:hanging="400"/>
      <w:jc w:val="both"/>
    </w:pPr>
    <w:rPr>
      <w:sz w:val="20"/>
    </w:rPr>
  </w:style>
  <w:style w:type="paragraph" w:customStyle="1" w:styleId="aNoteBulletpar">
    <w:name w:val="aNoteBulletpar"/>
    <w:basedOn w:val="aNotepar"/>
    <w:rsid w:val="00AF17FE"/>
    <w:pPr>
      <w:spacing w:before="60"/>
      <w:ind w:left="2800" w:hanging="400"/>
    </w:pPr>
  </w:style>
  <w:style w:type="paragraph" w:customStyle="1" w:styleId="aExplanBullet">
    <w:name w:val="aExplanBullet"/>
    <w:basedOn w:val="Normal"/>
    <w:rsid w:val="00AF17FE"/>
    <w:pPr>
      <w:spacing w:before="140"/>
      <w:ind w:left="400" w:hanging="400"/>
      <w:jc w:val="both"/>
    </w:pPr>
    <w:rPr>
      <w:snapToGrid w:val="0"/>
      <w:sz w:val="20"/>
    </w:rPr>
  </w:style>
  <w:style w:type="paragraph" w:customStyle="1" w:styleId="AuthLaw">
    <w:name w:val="AuthLaw"/>
    <w:basedOn w:val="BillBasic"/>
    <w:uiPriority w:val="99"/>
    <w:rsid w:val="00254DE8"/>
    <w:rPr>
      <w:rFonts w:ascii="Arial" w:hAnsi="Arial"/>
      <w:b/>
      <w:sz w:val="20"/>
    </w:rPr>
  </w:style>
  <w:style w:type="paragraph" w:customStyle="1" w:styleId="aExamNumpar">
    <w:name w:val="aExamNumpar"/>
    <w:basedOn w:val="aExamINumss"/>
    <w:uiPriority w:val="99"/>
    <w:rsid w:val="00254DE8"/>
    <w:pPr>
      <w:tabs>
        <w:tab w:val="clear" w:pos="1500"/>
        <w:tab w:val="left" w:pos="2000"/>
      </w:tabs>
      <w:ind w:left="2000"/>
    </w:pPr>
  </w:style>
  <w:style w:type="paragraph" w:customStyle="1" w:styleId="Schsectionheading">
    <w:name w:val="Sch section heading"/>
    <w:basedOn w:val="BillBasic"/>
    <w:next w:val="Amain"/>
    <w:uiPriority w:val="99"/>
    <w:rsid w:val="00254DE8"/>
    <w:pPr>
      <w:spacing w:before="160"/>
      <w:jc w:val="left"/>
      <w:outlineLvl w:val="4"/>
    </w:pPr>
    <w:rPr>
      <w:rFonts w:ascii="Arial" w:hAnsi="Arial"/>
      <w:b/>
    </w:rPr>
  </w:style>
  <w:style w:type="paragraph" w:customStyle="1" w:styleId="SchAmain">
    <w:name w:val="Sch A main"/>
    <w:basedOn w:val="Amain"/>
    <w:rsid w:val="00AF17FE"/>
  </w:style>
  <w:style w:type="paragraph" w:customStyle="1" w:styleId="SchApara">
    <w:name w:val="Sch A para"/>
    <w:basedOn w:val="Apara"/>
    <w:rsid w:val="00AF17FE"/>
  </w:style>
  <w:style w:type="paragraph" w:customStyle="1" w:styleId="SchAsubpara">
    <w:name w:val="Sch A subpara"/>
    <w:basedOn w:val="Asubpara"/>
    <w:rsid w:val="00AF17FE"/>
  </w:style>
  <w:style w:type="paragraph" w:customStyle="1" w:styleId="SchAsubsubpara">
    <w:name w:val="Sch A subsubpara"/>
    <w:basedOn w:val="Asubsubpara"/>
    <w:rsid w:val="00AF17FE"/>
  </w:style>
  <w:style w:type="paragraph" w:customStyle="1" w:styleId="TOCOL1">
    <w:name w:val="TOCOL 1"/>
    <w:basedOn w:val="TOC1"/>
    <w:rsid w:val="00AF17FE"/>
  </w:style>
  <w:style w:type="paragraph" w:customStyle="1" w:styleId="TOCOL2">
    <w:name w:val="TOCOL 2"/>
    <w:basedOn w:val="TOC2"/>
    <w:rsid w:val="00AF17FE"/>
    <w:pPr>
      <w:keepNext w:val="0"/>
    </w:pPr>
  </w:style>
  <w:style w:type="paragraph" w:customStyle="1" w:styleId="TOCOL3">
    <w:name w:val="TOCOL 3"/>
    <w:basedOn w:val="TOC3"/>
    <w:rsid w:val="00AF17FE"/>
    <w:pPr>
      <w:keepNext w:val="0"/>
    </w:pPr>
  </w:style>
  <w:style w:type="paragraph" w:customStyle="1" w:styleId="TOCOL4">
    <w:name w:val="TOCOL 4"/>
    <w:basedOn w:val="TOC4"/>
    <w:rsid w:val="00AF17FE"/>
    <w:pPr>
      <w:keepNext w:val="0"/>
    </w:pPr>
  </w:style>
  <w:style w:type="paragraph" w:customStyle="1" w:styleId="TOCOL5">
    <w:name w:val="TOCOL 5"/>
    <w:basedOn w:val="TOC5"/>
    <w:rsid w:val="00AF17FE"/>
    <w:pPr>
      <w:tabs>
        <w:tab w:val="left" w:pos="400"/>
      </w:tabs>
    </w:pPr>
  </w:style>
  <w:style w:type="paragraph" w:customStyle="1" w:styleId="TOCOL6">
    <w:name w:val="TOCOL 6"/>
    <w:basedOn w:val="TOC6"/>
    <w:rsid w:val="00AF17FE"/>
    <w:pPr>
      <w:keepNext w:val="0"/>
    </w:pPr>
  </w:style>
  <w:style w:type="paragraph" w:customStyle="1" w:styleId="TOCOL7">
    <w:name w:val="TOCOL 7"/>
    <w:basedOn w:val="TOC7"/>
    <w:rsid w:val="00AF17FE"/>
  </w:style>
  <w:style w:type="paragraph" w:customStyle="1" w:styleId="TOCOL8">
    <w:name w:val="TOCOL 8"/>
    <w:basedOn w:val="TOC8"/>
    <w:rsid w:val="00AF17FE"/>
  </w:style>
  <w:style w:type="paragraph" w:customStyle="1" w:styleId="TOCOL9">
    <w:name w:val="TOCOL 9"/>
    <w:basedOn w:val="TOC9"/>
    <w:rsid w:val="00AF17FE"/>
    <w:pPr>
      <w:ind w:right="0"/>
    </w:pPr>
  </w:style>
  <w:style w:type="paragraph" w:styleId="TOC9">
    <w:name w:val="toc 9"/>
    <w:basedOn w:val="Normal"/>
    <w:next w:val="Normal"/>
    <w:autoRedefine/>
    <w:uiPriority w:val="39"/>
    <w:rsid w:val="00AF17FE"/>
    <w:pPr>
      <w:ind w:left="1920" w:right="600"/>
    </w:pPr>
  </w:style>
  <w:style w:type="paragraph" w:customStyle="1" w:styleId="Billname1">
    <w:name w:val="Billname1"/>
    <w:basedOn w:val="Normal"/>
    <w:rsid w:val="00AF17FE"/>
    <w:pPr>
      <w:tabs>
        <w:tab w:val="left" w:pos="2400"/>
      </w:tabs>
      <w:spacing w:before="1220"/>
    </w:pPr>
    <w:rPr>
      <w:rFonts w:ascii="Arial" w:hAnsi="Arial"/>
      <w:b/>
      <w:sz w:val="40"/>
    </w:rPr>
  </w:style>
  <w:style w:type="paragraph" w:customStyle="1" w:styleId="TableText10">
    <w:name w:val="TableText10"/>
    <w:basedOn w:val="TableText"/>
    <w:rsid w:val="00AF17FE"/>
    <w:rPr>
      <w:sz w:val="20"/>
    </w:rPr>
  </w:style>
  <w:style w:type="paragraph" w:customStyle="1" w:styleId="TablePara10">
    <w:name w:val="TablePara10"/>
    <w:basedOn w:val="tablepara"/>
    <w:rsid w:val="00AF17F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F17F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F17FE"/>
  </w:style>
  <w:style w:type="character" w:customStyle="1" w:styleId="charPage">
    <w:name w:val="charPage"/>
    <w:basedOn w:val="DefaultParagraphFont"/>
    <w:rsid w:val="00AF17FE"/>
  </w:style>
  <w:style w:type="character" w:styleId="PageNumber">
    <w:name w:val="page number"/>
    <w:basedOn w:val="DefaultParagraphFont"/>
    <w:rsid w:val="00AF17FE"/>
  </w:style>
  <w:style w:type="paragraph" w:customStyle="1" w:styleId="Letterhead">
    <w:name w:val="Letterhead"/>
    <w:uiPriority w:val="99"/>
    <w:rsid w:val="00553EA6"/>
    <w:pPr>
      <w:widowControl w:val="0"/>
      <w:spacing w:after="180"/>
      <w:jc w:val="right"/>
    </w:pPr>
    <w:rPr>
      <w:rFonts w:ascii="Arial" w:hAnsi="Arial"/>
      <w:sz w:val="32"/>
      <w:szCs w:val="20"/>
      <w:lang w:eastAsia="en-US"/>
    </w:rPr>
  </w:style>
  <w:style w:type="paragraph" w:customStyle="1" w:styleId="IShadedschclause0">
    <w:name w:val="I Shaded sch clause"/>
    <w:basedOn w:val="IH5Sec"/>
    <w:uiPriority w:val="99"/>
    <w:rsid w:val="003A7A6C"/>
    <w:pPr>
      <w:shd w:val="pct15" w:color="auto" w:fill="FFFFFF"/>
      <w:tabs>
        <w:tab w:val="clear" w:pos="1100"/>
        <w:tab w:val="left" w:pos="700"/>
      </w:tabs>
      <w:ind w:left="700" w:hanging="700"/>
    </w:pPr>
  </w:style>
  <w:style w:type="paragraph" w:customStyle="1" w:styleId="Billfooter">
    <w:name w:val="Billfooter"/>
    <w:basedOn w:val="Normal"/>
    <w:uiPriority w:val="99"/>
    <w:rsid w:val="003A7A6C"/>
    <w:pPr>
      <w:tabs>
        <w:tab w:val="right" w:pos="7200"/>
      </w:tabs>
      <w:jc w:val="both"/>
    </w:pPr>
    <w:rPr>
      <w:sz w:val="18"/>
    </w:rPr>
  </w:style>
  <w:style w:type="paragraph" w:customStyle="1" w:styleId="Status">
    <w:name w:val="Status"/>
    <w:basedOn w:val="Normal"/>
    <w:rsid w:val="00AF17FE"/>
    <w:pPr>
      <w:spacing w:before="280"/>
      <w:jc w:val="center"/>
    </w:pPr>
    <w:rPr>
      <w:rFonts w:ascii="Arial" w:hAnsi="Arial"/>
      <w:sz w:val="14"/>
    </w:rPr>
  </w:style>
  <w:style w:type="paragraph" w:styleId="BalloonText">
    <w:name w:val="Balloon Text"/>
    <w:basedOn w:val="Normal"/>
    <w:link w:val="BalloonTextChar"/>
    <w:uiPriority w:val="99"/>
    <w:unhideWhenUsed/>
    <w:rsid w:val="00AF17FE"/>
    <w:rPr>
      <w:rFonts w:ascii="Tahoma" w:hAnsi="Tahoma" w:cs="Tahoma"/>
      <w:sz w:val="16"/>
      <w:szCs w:val="16"/>
    </w:rPr>
  </w:style>
  <w:style w:type="character" w:customStyle="1" w:styleId="BalloonTextChar">
    <w:name w:val="Balloon Text Char"/>
    <w:basedOn w:val="DefaultParagraphFont"/>
    <w:link w:val="BalloonText"/>
    <w:uiPriority w:val="99"/>
    <w:locked/>
    <w:rsid w:val="00AF17FE"/>
    <w:rPr>
      <w:rFonts w:ascii="Tahoma" w:hAnsi="Tahoma" w:cs="Tahoma"/>
      <w:sz w:val="16"/>
      <w:szCs w:val="16"/>
      <w:lang w:eastAsia="en-US"/>
    </w:rPr>
  </w:style>
  <w:style w:type="paragraph" w:customStyle="1" w:styleId="subsection">
    <w:name w:val="subsection"/>
    <w:aliases w:val="ss"/>
    <w:uiPriority w:val="99"/>
    <w:rsid w:val="00E51812"/>
    <w:pPr>
      <w:tabs>
        <w:tab w:val="right" w:pos="1021"/>
      </w:tabs>
      <w:spacing w:before="180"/>
      <w:ind w:left="1134" w:hanging="1134"/>
    </w:pPr>
    <w:rPr>
      <w:szCs w:val="24"/>
    </w:rPr>
  </w:style>
  <w:style w:type="paragraph" w:customStyle="1" w:styleId="ActHead1">
    <w:name w:val="ActHead 1"/>
    <w:aliases w:val="c"/>
    <w:next w:val="Normal"/>
    <w:uiPriority w:val="99"/>
    <w:rsid w:val="00E51812"/>
    <w:pPr>
      <w:keepNext/>
      <w:keepLines/>
      <w:ind w:left="1134" w:hanging="1134"/>
      <w:outlineLvl w:val="0"/>
    </w:pPr>
    <w:rPr>
      <w:b/>
      <w:bCs/>
      <w:kern w:val="28"/>
      <w:sz w:val="36"/>
      <w:szCs w:val="32"/>
    </w:rPr>
  </w:style>
  <w:style w:type="paragraph" w:customStyle="1" w:styleId="ActHead2">
    <w:name w:val="ActHead 2"/>
    <w:aliases w:val="p"/>
    <w:basedOn w:val="ActHead1"/>
    <w:next w:val="Normal"/>
    <w:uiPriority w:val="99"/>
    <w:rsid w:val="00E51812"/>
    <w:pPr>
      <w:spacing w:before="280"/>
      <w:outlineLvl w:val="1"/>
    </w:pPr>
    <w:rPr>
      <w:sz w:val="32"/>
    </w:rPr>
  </w:style>
  <w:style w:type="paragraph" w:customStyle="1" w:styleId="ActHead3">
    <w:name w:val="ActHead 3"/>
    <w:aliases w:val="d"/>
    <w:basedOn w:val="ActHead1"/>
    <w:next w:val="Normal"/>
    <w:uiPriority w:val="99"/>
    <w:rsid w:val="00E51812"/>
    <w:pPr>
      <w:spacing w:before="240"/>
      <w:outlineLvl w:val="2"/>
    </w:pPr>
    <w:rPr>
      <w:sz w:val="28"/>
    </w:rPr>
  </w:style>
  <w:style w:type="paragraph" w:customStyle="1" w:styleId="ActHead4">
    <w:name w:val="ActHead 4"/>
    <w:aliases w:val="sd"/>
    <w:basedOn w:val="ActHead1"/>
    <w:next w:val="Normal"/>
    <w:uiPriority w:val="99"/>
    <w:rsid w:val="00E51812"/>
    <w:pPr>
      <w:spacing w:before="220"/>
      <w:outlineLvl w:val="3"/>
    </w:pPr>
    <w:rPr>
      <w:sz w:val="26"/>
    </w:rPr>
  </w:style>
  <w:style w:type="paragraph" w:customStyle="1" w:styleId="ActHead5">
    <w:name w:val="ActHead 5"/>
    <w:aliases w:val="s"/>
    <w:basedOn w:val="ActHead1"/>
    <w:next w:val="Normal"/>
    <w:uiPriority w:val="99"/>
    <w:rsid w:val="00E51812"/>
    <w:pPr>
      <w:spacing w:before="280"/>
      <w:outlineLvl w:val="4"/>
    </w:pPr>
    <w:rPr>
      <w:sz w:val="24"/>
    </w:rPr>
  </w:style>
  <w:style w:type="paragraph" w:customStyle="1" w:styleId="ActHead6">
    <w:name w:val="ActHead 6"/>
    <w:aliases w:val="as"/>
    <w:basedOn w:val="ActHead1"/>
    <w:next w:val="Normal"/>
    <w:uiPriority w:val="99"/>
    <w:rsid w:val="00E51812"/>
    <w:pPr>
      <w:outlineLvl w:val="5"/>
    </w:pPr>
    <w:rPr>
      <w:rFonts w:ascii="Arial" w:hAnsi="Arial"/>
      <w:sz w:val="32"/>
    </w:rPr>
  </w:style>
  <w:style w:type="paragraph" w:customStyle="1" w:styleId="ActHead7">
    <w:name w:val="ActHead 7"/>
    <w:aliases w:val="ap"/>
    <w:basedOn w:val="ActHead6"/>
    <w:next w:val="Normal"/>
    <w:uiPriority w:val="99"/>
    <w:rsid w:val="00E51812"/>
    <w:pPr>
      <w:spacing w:before="280"/>
      <w:outlineLvl w:val="6"/>
    </w:pPr>
    <w:rPr>
      <w:sz w:val="28"/>
    </w:rPr>
  </w:style>
  <w:style w:type="paragraph" w:customStyle="1" w:styleId="ActHead8">
    <w:name w:val="ActHead 8"/>
    <w:aliases w:val="ad"/>
    <w:basedOn w:val="ActHead6"/>
    <w:next w:val="Normal"/>
    <w:uiPriority w:val="99"/>
    <w:rsid w:val="00E51812"/>
    <w:pPr>
      <w:spacing w:before="240"/>
      <w:outlineLvl w:val="7"/>
    </w:pPr>
    <w:rPr>
      <w:sz w:val="26"/>
    </w:rPr>
  </w:style>
  <w:style w:type="paragraph" w:customStyle="1" w:styleId="ActHead9">
    <w:name w:val="ActHead 9"/>
    <w:aliases w:val="aat"/>
    <w:basedOn w:val="ActHead1"/>
    <w:next w:val="Normal"/>
    <w:uiPriority w:val="99"/>
    <w:rsid w:val="00E51812"/>
    <w:pPr>
      <w:keepNext w:val="0"/>
      <w:spacing w:before="280"/>
      <w:outlineLvl w:val="8"/>
    </w:pPr>
    <w:rPr>
      <w:i/>
      <w:sz w:val="28"/>
    </w:rPr>
  </w:style>
  <w:style w:type="paragraph" w:customStyle="1" w:styleId="UpdateDate">
    <w:name w:val="UpdateDate"/>
    <w:basedOn w:val="Normal"/>
    <w:uiPriority w:val="99"/>
    <w:rsid w:val="00E51812"/>
    <w:pPr>
      <w:spacing w:before="240"/>
    </w:pPr>
  </w:style>
  <w:style w:type="paragraph" w:customStyle="1" w:styleId="Actno0">
    <w:name w:val="Actno"/>
    <w:basedOn w:val="UpdateDate"/>
    <w:next w:val="Normal"/>
    <w:uiPriority w:val="99"/>
    <w:rsid w:val="00E51812"/>
    <w:rPr>
      <w:b/>
    </w:rPr>
  </w:style>
  <w:style w:type="paragraph" w:customStyle="1" w:styleId="ActNotes1">
    <w:name w:val="ActNotes(1)"/>
    <w:basedOn w:val="Normal"/>
    <w:uiPriority w:val="99"/>
    <w:rsid w:val="00E51812"/>
    <w:pPr>
      <w:tabs>
        <w:tab w:val="right" w:pos="992"/>
      </w:tabs>
      <w:spacing w:before="60"/>
      <w:ind w:left="1134" w:hanging="1134"/>
    </w:pPr>
    <w:rPr>
      <w:rFonts w:ascii="Arial" w:hAnsi="Arial"/>
      <w:sz w:val="16"/>
    </w:rPr>
  </w:style>
  <w:style w:type="paragraph" w:customStyle="1" w:styleId="ActNotes1a">
    <w:name w:val="ActNotes(1)(a)"/>
    <w:basedOn w:val="Normal"/>
    <w:uiPriority w:val="99"/>
    <w:rsid w:val="00E51812"/>
    <w:pPr>
      <w:tabs>
        <w:tab w:val="right" w:pos="1559"/>
      </w:tabs>
      <w:spacing w:before="60" w:line="180" w:lineRule="exact"/>
      <w:ind w:left="1701" w:hanging="1701"/>
    </w:pPr>
    <w:rPr>
      <w:rFonts w:ascii="Arial" w:hAnsi="Arial"/>
      <w:sz w:val="16"/>
    </w:rPr>
  </w:style>
  <w:style w:type="paragraph" w:customStyle="1" w:styleId="ActNotes1ai">
    <w:name w:val="ActNotes(1)(a)(i)"/>
    <w:basedOn w:val="Normal"/>
    <w:uiPriority w:val="99"/>
    <w:rsid w:val="00E51812"/>
    <w:pPr>
      <w:tabs>
        <w:tab w:val="right" w:pos="1843"/>
      </w:tabs>
      <w:spacing w:line="180" w:lineRule="atLeast"/>
      <w:ind w:left="1985" w:hanging="1985"/>
    </w:pPr>
    <w:rPr>
      <w:rFonts w:ascii="Arial" w:hAnsi="Arial"/>
      <w:sz w:val="16"/>
    </w:rPr>
  </w:style>
  <w:style w:type="paragraph" w:customStyle="1" w:styleId="ActNotesa">
    <w:name w:val="ActNotes(a)"/>
    <w:basedOn w:val="Normal"/>
    <w:uiPriority w:val="99"/>
    <w:rsid w:val="00E51812"/>
    <w:pPr>
      <w:spacing w:before="60" w:line="180" w:lineRule="exact"/>
      <w:ind w:left="425" w:hanging="425"/>
    </w:pPr>
    <w:rPr>
      <w:rFonts w:ascii="Arial" w:hAnsi="Arial"/>
      <w:sz w:val="16"/>
    </w:rPr>
  </w:style>
  <w:style w:type="paragraph" w:customStyle="1" w:styleId="TableOfAmend">
    <w:name w:val="TableOfAmend"/>
    <w:basedOn w:val="Normal"/>
    <w:uiPriority w:val="99"/>
    <w:rsid w:val="00E51812"/>
    <w:pPr>
      <w:tabs>
        <w:tab w:val="right" w:leader="dot" w:pos="2268"/>
      </w:tabs>
      <w:spacing w:before="60" w:line="180" w:lineRule="exact"/>
      <w:ind w:left="170" w:right="113" w:hanging="170"/>
    </w:pPr>
    <w:rPr>
      <w:rFonts w:ascii="Arial" w:hAnsi="Arial"/>
      <w:sz w:val="16"/>
    </w:rPr>
  </w:style>
  <w:style w:type="paragraph" w:customStyle="1" w:styleId="AmendTableColHead">
    <w:name w:val="AmendTableColHead"/>
    <w:basedOn w:val="TableOfAmend"/>
    <w:uiPriority w:val="99"/>
    <w:rsid w:val="00E51812"/>
    <w:pPr>
      <w:spacing w:line="200" w:lineRule="exact"/>
    </w:pPr>
    <w:rPr>
      <w:sz w:val="18"/>
    </w:rPr>
  </w:style>
  <w:style w:type="paragraph" w:customStyle="1" w:styleId="asamended">
    <w:name w:val="as amended"/>
    <w:basedOn w:val="Normal"/>
    <w:uiPriority w:val="99"/>
    <w:rsid w:val="00E51812"/>
    <w:pPr>
      <w:keepNext/>
      <w:spacing w:before="60" w:line="200" w:lineRule="exact"/>
      <w:ind w:left="284"/>
    </w:pPr>
    <w:rPr>
      <w:rFonts w:ascii="Arial" w:hAnsi="Arial"/>
      <w:b/>
      <w:sz w:val="16"/>
    </w:rPr>
  </w:style>
  <w:style w:type="paragraph" w:customStyle="1" w:styleId="asamendedital">
    <w:name w:val="as amended ital"/>
    <w:basedOn w:val="Normal"/>
    <w:uiPriority w:val="99"/>
    <w:rsid w:val="00E51812"/>
    <w:pPr>
      <w:spacing w:before="60" w:line="200" w:lineRule="exact"/>
      <w:ind w:left="284"/>
    </w:pPr>
    <w:rPr>
      <w:rFonts w:ascii="Arial" w:hAnsi="Arial"/>
      <w:i/>
      <w:sz w:val="16"/>
    </w:rPr>
  </w:style>
  <w:style w:type="paragraph" w:styleId="BlockText">
    <w:name w:val="Block Text"/>
    <w:basedOn w:val="Normal"/>
    <w:uiPriority w:val="99"/>
    <w:rsid w:val="00E51812"/>
    <w:pPr>
      <w:spacing w:after="120"/>
      <w:ind w:left="1440" w:right="1440"/>
    </w:pPr>
    <w:rPr>
      <w:sz w:val="22"/>
      <w:szCs w:val="24"/>
      <w:lang w:eastAsia="en-AU"/>
    </w:rPr>
  </w:style>
  <w:style w:type="paragraph" w:customStyle="1" w:styleId="Blocks">
    <w:name w:val="Blocks"/>
    <w:aliases w:val="bb"/>
    <w:uiPriority w:val="99"/>
    <w:rsid w:val="00E51812"/>
    <w:rPr>
      <w:sz w:val="24"/>
      <w:szCs w:val="24"/>
    </w:rPr>
  </w:style>
  <w:style w:type="paragraph" w:styleId="BodyText">
    <w:name w:val="Body Text"/>
    <w:basedOn w:val="Normal"/>
    <w:link w:val="BodyTextChar"/>
    <w:uiPriority w:val="99"/>
    <w:rsid w:val="00E51812"/>
    <w:pPr>
      <w:spacing w:after="120"/>
    </w:pPr>
    <w:rPr>
      <w:sz w:val="22"/>
      <w:szCs w:val="24"/>
      <w:lang w:eastAsia="en-AU"/>
    </w:rPr>
  </w:style>
  <w:style w:type="character" w:customStyle="1" w:styleId="BodyTextChar">
    <w:name w:val="Body Text Char"/>
    <w:basedOn w:val="DefaultParagraphFont"/>
    <w:link w:val="BodyText"/>
    <w:uiPriority w:val="99"/>
    <w:locked/>
    <w:rsid w:val="00E51812"/>
    <w:rPr>
      <w:rFonts w:cs="Times New Roman"/>
      <w:sz w:val="24"/>
      <w:szCs w:val="24"/>
      <w:lang w:val="en-AU" w:eastAsia="en-AU" w:bidi="ar-SA"/>
    </w:rPr>
  </w:style>
  <w:style w:type="paragraph" w:styleId="BodyText2">
    <w:name w:val="Body Text 2"/>
    <w:basedOn w:val="Normal"/>
    <w:link w:val="BodyText2Char"/>
    <w:uiPriority w:val="99"/>
    <w:rsid w:val="00E51812"/>
    <w:pPr>
      <w:spacing w:after="120" w:line="480" w:lineRule="auto"/>
    </w:pPr>
    <w:rPr>
      <w:sz w:val="22"/>
      <w:szCs w:val="24"/>
      <w:lang w:eastAsia="en-AU"/>
    </w:rPr>
  </w:style>
  <w:style w:type="character" w:customStyle="1" w:styleId="BodyText2Char">
    <w:name w:val="Body Text 2 Char"/>
    <w:basedOn w:val="DefaultParagraphFont"/>
    <w:link w:val="BodyText2"/>
    <w:uiPriority w:val="99"/>
    <w:locked/>
    <w:rsid w:val="00E51812"/>
    <w:rPr>
      <w:rFonts w:cs="Times New Roman"/>
      <w:sz w:val="24"/>
      <w:szCs w:val="24"/>
      <w:lang w:val="en-AU" w:eastAsia="en-AU" w:bidi="ar-SA"/>
    </w:rPr>
  </w:style>
  <w:style w:type="paragraph" w:styleId="BodyText3">
    <w:name w:val="Body Text 3"/>
    <w:basedOn w:val="Normal"/>
    <w:link w:val="BodyText3Char"/>
    <w:uiPriority w:val="99"/>
    <w:rsid w:val="00E51812"/>
    <w:pPr>
      <w:spacing w:after="120"/>
    </w:pPr>
    <w:rPr>
      <w:sz w:val="16"/>
      <w:szCs w:val="16"/>
      <w:lang w:eastAsia="en-AU"/>
    </w:rPr>
  </w:style>
  <w:style w:type="character" w:customStyle="1" w:styleId="BodyText3Char">
    <w:name w:val="Body Text 3 Char"/>
    <w:basedOn w:val="DefaultParagraphFont"/>
    <w:link w:val="BodyText3"/>
    <w:uiPriority w:val="99"/>
    <w:locked/>
    <w:rsid w:val="00E51812"/>
    <w:rPr>
      <w:rFonts w:cs="Times New Roman"/>
      <w:sz w:val="16"/>
      <w:szCs w:val="16"/>
      <w:lang w:val="en-AU" w:eastAsia="en-AU" w:bidi="ar-SA"/>
    </w:rPr>
  </w:style>
  <w:style w:type="paragraph" w:styleId="BodyTextFirstIndent">
    <w:name w:val="Body Text First Indent"/>
    <w:basedOn w:val="BodyText"/>
    <w:link w:val="BodyTextFirstIndentChar"/>
    <w:uiPriority w:val="99"/>
    <w:rsid w:val="00E51812"/>
    <w:pPr>
      <w:ind w:firstLine="210"/>
    </w:pPr>
  </w:style>
  <w:style w:type="character" w:customStyle="1" w:styleId="BodyTextFirstIndentChar">
    <w:name w:val="Body Text First Indent Char"/>
    <w:basedOn w:val="BodyTextChar"/>
    <w:link w:val="BodyTextFirstIndent"/>
    <w:uiPriority w:val="99"/>
    <w:locked/>
    <w:rsid w:val="00E51812"/>
    <w:rPr>
      <w:rFonts w:cs="Times New Roman"/>
      <w:sz w:val="24"/>
      <w:szCs w:val="24"/>
      <w:lang w:val="en-AU" w:eastAsia="en-AU" w:bidi="ar-SA"/>
    </w:rPr>
  </w:style>
  <w:style w:type="paragraph" w:styleId="BodyTextIndent">
    <w:name w:val="Body Text Indent"/>
    <w:basedOn w:val="Normal"/>
    <w:link w:val="BodyTextIndentChar"/>
    <w:uiPriority w:val="99"/>
    <w:rsid w:val="00E51812"/>
    <w:pPr>
      <w:spacing w:after="120"/>
      <w:ind w:left="283"/>
    </w:pPr>
    <w:rPr>
      <w:sz w:val="22"/>
      <w:szCs w:val="24"/>
      <w:lang w:eastAsia="en-AU"/>
    </w:rPr>
  </w:style>
  <w:style w:type="character" w:customStyle="1" w:styleId="BodyTextIndentChar">
    <w:name w:val="Body Text Indent Char"/>
    <w:basedOn w:val="DefaultParagraphFont"/>
    <w:link w:val="BodyTextIndent"/>
    <w:uiPriority w:val="99"/>
    <w:locked/>
    <w:rsid w:val="00E51812"/>
    <w:rPr>
      <w:rFonts w:cs="Times New Roman"/>
      <w:sz w:val="24"/>
      <w:szCs w:val="24"/>
      <w:lang w:val="en-AU" w:eastAsia="en-AU" w:bidi="ar-SA"/>
    </w:rPr>
  </w:style>
  <w:style w:type="paragraph" w:styleId="BodyTextFirstIndent2">
    <w:name w:val="Body Text First Indent 2"/>
    <w:basedOn w:val="BodyTextIndent"/>
    <w:link w:val="BodyTextFirstIndent2Char"/>
    <w:uiPriority w:val="99"/>
    <w:rsid w:val="00E51812"/>
    <w:pPr>
      <w:ind w:firstLine="210"/>
    </w:pPr>
  </w:style>
  <w:style w:type="character" w:customStyle="1" w:styleId="BodyTextFirstIndent2Char">
    <w:name w:val="Body Text First Indent 2 Char"/>
    <w:basedOn w:val="BodyTextIndentChar"/>
    <w:link w:val="BodyTextFirstIndent2"/>
    <w:uiPriority w:val="99"/>
    <w:locked/>
    <w:rsid w:val="00E51812"/>
    <w:rPr>
      <w:rFonts w:cs="Times New Roman"/>
      <w:sz w:val="24"/>
      <w:szCs w:val="24"/>
      <w:lang w:val="en-AU" w:eastAsia="en-AU" w:bidi="ar-SA"/>
    </w:rPr>
  </w:style>
  <w:style w:type="paragraph" w:styleId="BodyTextIndent2">
    <w:name w:val="Body Text Indent 2"/>
    <w:basedOn w:val="Normal"/>
    <w:link w:val="BodyTextIndent2Char"/>
    <w:uiPriority w:val="99"/>
    <w:rsid w:val="00E51812"/>
    <w:pPr>
      <w:spacing w:after="120" w:line="480" w:lineRule="auto"/>
      <w:ind w:left="283"/>
    </w:pPr>
    <w:rPr>
      <w:sz w:val="22"/>
      <w:szCs w:val="24"/>
      <w:lang w:eastAsia="en-AU"/>
    </w:rPr>
  </w:style>
  <w:style w:type="character" w:customStyle="1" w:styleId="BodyTextIndent2Char">
    <w:name w:val="Body Text Indent 2 Char"/>
    <w:basedOn w:val="DefaultParagraphFont"/>
    <w:link w:val="BodyTextIndent2"/>
    <w:uiPriority w:val="99"/>
    <w:locked/>
    <w:rsid w:val="00E51812"/>
    <w:rPr>
      <w:rFonts w:cs="Times New Roman"/>
      <w:sz w:val="24"/>
      <w:szCs w:val="24"/>
      <w:lang w:val="en-AU" w:eastAsia="en-AU" w:bidi="ar-SA"/>
    </w:rPr>
  </w:style>
  <w:style w:type="paragraph" w:styleId="BodyTextIndent3">
    <w:name w:val="Body Text Indent 3"/>
    <w:basedOn w:val="Normal"/>
    <w:link w:val="BodyTextIndent3Char"/>
    <w:uiPriority w:val="99"/>
    <w:rsid w:val="00E51812"/>
    <w:pPr>
      <w:spacing w:after="120"/>
      <w:ind w:left="283"/>
    </w:pPr>
    <w:rPr>
      <w:sz w:val="16"/>
      <w:szCs w:val="16"/>
      <w:lang w:eastAsia="en-AU"/>
    </w:rPr>
  </w:style>
  <w:style w:type="character" w:customStyle="1" w:styleId="BodyTextIndent3Char">
    <w:name w:val="Body Text Indent 3 Char"/>
    <w:basedOn w:val="DefaultParagraphFont"/>
    <w:link w:val="BodyTextIndent3"/>
    <w:uiPriority w:val="99"/>
    <w:locked/>
    <w:rsid w:val="00E51812"/>
    <w:rPr>
      <w:rFonts w:cs="Times New Roman"/>
      <w:sz w:val="16"/>
      <w:szCs w:val="16"/>
      <w:lang w:val="en-AU" w:eastAsia="en-AU" w:bidi="ar-SA"/>
    </w:rPr>
  </w:style>
  <w:style w:type="paragraph" w:customStyle="1" w:styleId="BodyTextIndex">
    <w:name w:val="Body Text Index"/>
    <w:basedOn w:val="Normal"/>
    <w:next w:val="BodyTextIndent"/>
    <w:uiPriority w:val="99"/>
    <w:rsid w:val="00E51812"/>
    <w:pPr>
      <w:spacing w:after="120"/>
      <w:ind w:left="284"/>
    </w:pPr>
  </w:style>
  <w:style w:type="paragraph" w:customStyle="1" w:styleId="BoxText">
    <w:name w:val="BoxText"/>
    <w:aliases w:val="bt"/>
    <w:uiPriority w:val="99"/>
    <w:rsid w:val="00E51812"/>
    <w:pPr>
      <w:pBdr>
        <w:top w:val="single" w:sz="6" w:space="5" w:color="auto"/>
        <w:left w:val="single" w:sz="6" w:space="5" w:color="auto"/>
        <w:bottom w:val="single" w:sz="6" w:space="5" w:color="auto"/>
        <w:right w:val="single" w:sz="6" w:space="5" w:color="auto"/>
      </w:pBdr>
      <w:spacing w:before="240"/>
      <w:ind w:left="1134"/>
    </w:pPr>
    <w:rPr>
      <w:szCs w:val="24"/>
    </w:rPr>
  </w:style>
  <w:style w:type="paragraph" w:customStyle="1" w:styleId="BoxHeadBold">
    <w:name w:val="BoxHeadBold"/>
    <w:aliases w:val="bhb"/>
    <w:basedOn w:val="BoxText"/>
    <w:next w:val="BoxText"/>
    <w:uiPriority w:val="99"/>
    <w:rsid w:val="00E51812"/>
    <w:rPr>
      <w:b/>
    </w:rPr>
  </w:style>
  <w:style w:type="paragraph" w:customStyle="1" w:styleId="BoxHeadItalic">
    <w:name w:val="BoxHeadItalic"/>
    <w:aliases w:val="bhi"/>
    <w:basedOn w:val="BoxHeadBold"/>
    <w:next w:val="Normal"/>
    <w:uiPriority w:val="99"/>
    <w:rsid w:val="00E51812"/>
    <w:rPr>
      <w:b w:val="0"/>
      <w:i/>
    </w:rPr>
  </w:style>
  <w:style w:type="paragraph" w:customStyle="1" w:styleId="BoxList">
    <w:name w:val="BoxList"/>
    <w:aliases w:val="bl"/>
    <w:basedOn w:val="BoxText"/>
    <w:uiPriority w:val="99"/>
    <w:rsid w:val="00E51812"/>
    <w:pPr>
      <w:ind w:left="1559" w:hanging="425"/>
    </w:pPr>
  </w:style>
  <w:style w:type="paragraph" w:customStyle="1" w:styleId="BoxNote">
    <w:name w:val="BoxNote"/>
    <w:aliases w:val="bn"/>
    <w:basedOn w:val="BoxText"/>
    <w:uiPriority w:val="99"/>
    <w:rsid w:val="00E51812"/>
    <w:pPr>
      <w:tabs>
        <w:tab w:val="left" w:pos="1985"/>
      </w:tabs>
      <w:spacing w:before="122" w:line="198" w:lineRule="exact"/>
      <w:ind w:left="2948" w:hanging="1814"/>
    </w:pPr>
    <w:rPr>
      <w:sz w:val="18"/>
    </w:rPr>
  </w:style>
  <w:style w:type="paragraph" w:customStyle="1" w:styleId="BoxPara">
    <w:name w:val="BoxPara"/>
    <w:aliases w:val="bp"/>
    <w:basedOn w:val="BoxText"/>
    <w:uiPriority w:val="99"/>
    <w:rsid w:val="00E51812"/>
    <w:pPr>
      <w:tabs>
        <w:tab w:val="right" w:pos="2268"/>
      </w:tabs>
      <w:ind w:left="2552" w:hanging="1418"/>
    </w:pPr>
  </w:style>
  <w:style w:type="paragraph" w:customStyle="1" w:styleId="BoxStep">
    <w:name w:val="BoxStep"/>
    <w:aliases w:val="bs"/>
    <w:basedOn w:val="BoxText"/>
    <w:uiPriority w:val="99"/>
    <w:rsid w:val="00E51812"/>
    <w:pPr>
      <w:ind w:left="1985" w:hanging="851"/>
    </w:pPr>
  </w:style>
  <w:style w:type="paragraph" w:styleId="Caption">
    <w:name w:val="caption"/>
    <w:basedOn w:val="Normal"/>
    <w:next w:val="Normal"/>
    <w:uiPriority w:val="99"/>
    <w:qFormat/>
    <w:rsid w:val="00E51812"/>
    <w:pPr>
      <w:spacing w:before="120" w:after="120"/>
    </w:pPr>
    <w:rPr>
      <w:b/>
      <w:bCs/>
      <w:sz w:val="20"/>
      <w:lang w:eastAsia="en-AU"/>
    </w:rPr>
  </w:style>
  <w:style w:type="character" w:customStyle="1" w:styleId="CharAmPartNo">
    <w:name w:val="CharAmPartNo"/>
    <w:basedOn w:val="DefaultParagraphFont"/>
    <w:uiPriority w:val="99"/>
    <w:rsid w:val="00E51812"/>
    <w:rPr>
      <w:rFonts w:cs="Times New Roman"/>
    </w:rPr>
  </w:style>
  <w:style w:type="character" w:customStyle="1" w:styleId="CharAmPartText">
    <w:name w:val="CharAmPartText"/>
    <w:basedOn w:val="DefaultParagraphFont"/>
    <w:uiPriority w:val="99"/>
    <w:rsid w:val="00E51812"/>
    <w:rPr>
      <w:rFonts w:cs="Times New Roman"/>
    </w:rPr>
  </w:style>
  <w:style w:type="character" w:customStyle="1" w:styleId="CharAmSchNo">
    <w:name w:val="CharAmSchNo"/>
    <w:basedOn w:val="DefaultParagraphFont"/>
    <w:uiPriority w:val="99"/>
    <w:rsid w:val="00E51812"/>
    <w:rPr>
      <w:rFonts w:cs="Times New Roman"/>
    </w:rPr>
  </w:style>
  <w:style w:type="character" w:customStyle="1" w:styleId="CharAmSchText">
    <w:name w:val="CharAmSchText"/>
    <w:basedOn w:val="DefaultParagraphFont"/>
    <w:uiPriority w:val="99"/>
    <w:rsid w:val="00E51812"/>
    <w:rPr>
      <w:rFonts w:cs="Times New Roman"/>
    </w:rPr>
  </w:style>
  <w:style w:type="character" w:customStyle="1" w:styleId="CharBoldItalic">
    <w:name w:val="CharBoldItalic"/>
    <w:basedOn w:val="DefaultParagraphFont"/>
    <w:uiPriority w:val="99"/>
    <w:rsid w:val="00E51812"/>
    <w:rPr>
      <w:rFonts w:cs="Times New Roman"/>
      <w:b/>
      <w:i/>
    </w:rPr>
  </w:style>
  <w:style w:type="character" w:customStyle="1" w:styleId="CharItalic">
    <w:name w:val="CharItalic"/>
    <w:basedOn w:val="DefaultParagraphFont"/>
    <w:uiPriority w:val="99"/>
    <w:rsid w:val="00E51812"/>
    <w:rPr>
      <w:rFonts w:cs="Times New Roman"/>
      <w:i/>
    </w:rPr>
  </w:style>
  <w:style w:type="character" w:customStyle="1" w:styleId="CharNotesItals">
    <w:name w:val="CharNotesItals"/>
    <w:basedOn w:val="DefaultParagraphFont"/>
    <w:uiPriority w:val="99"/>
    <w:rsid w:val="00E51812"/>
    <w:rPr>
      <w:rFonts w:cs="Times New Roman"/>
      <w:i/>
    </w:rPr>
  </w:style>
  <w:style w:type="character" w:customStyle="1" w:styleId="CharNotesReg">
    <w:name w:val="CharNotesReg"/>
    <w:basedOn w:val="DefaultParagraphFont"/>
    <w:uiPriority w:val="99"/>
    <w:rsid w:val="00E51812"/>
    <w:rPr>
      <w:rFonts w:cs="Times New Roman"/>
    </w:rPr>
  </w:style>
  <w:style w:type="character" w:customStyle="1" w:styleId="CharSectno0">
    <w:name w:val="CharSectno"/>
    <w:basedOn w:val="DefaultParagraphFont"/>
    <w:rsid w:val="00E51812"/>
    <w:rPr>
      <w:rFonts w:cs="Times New Roman"/>
    </w:rPr>
  </w:style>
  <w:style w:type="character" w:customStyle="1" w:styleId="CharSubdNo">
    <w:name w:val="CharSubdNo"/>
    <w:basedOn w:val="DefaultParagraphFont"/>
    <w:uiPriority w:val="99"/>
    <w:rsid w:val="00E51812"/>
    <w:rPr>
      <w:rFonts w:cs="Times New Roman"/>
    </w:rPr>
  </w:style>
  <w:style w:type="character" w:customStyle="1" w:styleId="CharSubdText">
    <w:name w:val="CharSubdText"/>
    <w:basedOn w:val="DefaultParagraphFont"/>
    <w:uiPriority w:val="99"/>
    <w:rsid w:val="00E51812"/>
    <w:rPr>
      <w:rFonts w:cs="Times New Roman"/>
    </w:rPr>
  </w:style>
  <w:style w:type="paragraph" w:styleId="Closing">
    <w:name w:val="Closing"/>
    <w:basedOn w:val="Normal"/>
    <w:link w:val="ClosingChar"/>
    <w:uiPriority w:val="99"/>
    <w:rsid w:val="00E51812"/>
    <w:pPr>
      <w:ind w:left="4252"/>
    </w:pPr>
    <w:rPr>
      <w:sz w:val="22"/>
      <w:szCs w:val="24"/>
      <w:lang w:eastAsia="en-AU"/>
    </w:rPr>
  </w:style>
  <w:style w:type="character" w:customStyle="1" w:styleId="ClosingChar">
    <w:name w:val="Closing Char"/>
    <w:basedOn w:val="DefaultParagraphFont"/>
    <w:link w:val="Closing"/>
    <w:uiPriority w:val="99"/>
    <w:locked/>
    <w:rsid w:val="00E51812"/>
    <w:rPr>
      <w:rFonts w:cs="Times New Roman"/>
      <w:sz w:val="24"/>
      <w:szCs w:val="24"/>
      <w:lang w:val="en-AU" w:eastAsia="en-AU" w:bidi="ar-SA"/>
    </w:rPr>
  </w:style>
  <w:style w:type="character" w:styleId="CommentReference">
    <w:name w:val="annotation reference"/>
    <w:basedOn w:val="DefaultParagraphFont"/>
    <w:uiPriority w:val="99"/>
    <w:rsid w:val="00E51812"/>
    <w:rPr>
      <w:rFonts w:cs="Times New Roman"/>
      <w:sz w:val="16"/>
      <w:szCs w:val="16"/>
    </w:rPr>
  </w:style>
  <w:style w:type="paragraph" w:styleId="CommentText">
    <w:name w:val="annotation text"/>
    <w:basedOn w:val="Normal"/>
    <w:link w:val="CommentTextChar"/>
    <w:uiPriority w:val="99"/>
    <w:rsid w:val="00E51812"/>
    <w:rPr>
      <w:sz w:val="20"/>
      <w:lang w:eastAsia="en-AU"/>
    </w:rPr>
  </w:style>
  <w:style w:type="character" w:customStyle="1" w:styleId="CommentTextChar">
    <w:name w:val="Comment Text Char"/>
    <w:basedOn w:val="DefaultParagraphFont"/>
    <w:link w:val="CommentText"/>
    <w:uiPriority w:val="99"/>
    <w:locked/>
    <w:rsid w:val="00E51812"/>
    <w:rPr>
      <w:rFonts w:cs="Times New Roman"/>
      <w:lang w:val="en-AU" w:eastAsia="en-AU" w:bidi="ar-SA"/>
    </w:rPr>
  </w:style>
  <w:style w:type="paragraph" w:styleId="CommentSubject">
    <w:name w:val="annotation subject"/>
    <w:basedOn w:val="CommentText"/>
    <w:next w:val="CommentText"/>
    <w:link w:val="CommentSubjectChar"/>
    <w:uiPriority w:val="99"/>
    <w:rsid w:val="00E51812"/>
    <w:rPr>
      <w:b/>
      <w:bCs/>
      <w:szCs w:val="24"/>
    </w:rPr>
  </w:style>
  <w:style w:type="character" w:customStyle="1" w:styleId="CommentSubjectChar">
    <w:name w:val="Comment Subject Char"/>
    <w:basedOn w:val="CommentTextChar"/>
    <w:link w:val="CommentSubject"/>
    <w:uiPriority w:val="99"/>
    <w:locked/>
    <w:rsid w:val="00E51812"/>
    <w:rPr>
      <w:rFonts w:cs="Times New Roman"/>
      <w:b/>
      <w:bCs/>
      <w:sz w:val="24"/>
      <w:szCs w:val="24"/>
      <w:lang w:val="en-AU" w:eastAsia="en-AU" w:bidi="ar-SA"/>
    </w:rPr>
  </w:style>
  <w:style w:type="paragraph" w:customStyle="1" w:styleId="Contents">
    <w:name w:val="Contents"/>
    <w:basedOn w:val="Normal"/>
    <w:next w:val="Normal"/>
    <w:uiPriority w:val="99"/>
    <w:rsid w:val="00E51812"/>
    <w:rPr>
      <w:sz w:val="36"/>
    </w:rPr>
  </w:style>
  <w:style w:type="paragraph" w:customStyle="1" w:styleId="CoverActNo">
    <w:name w:val="CoverActNo"/>
    <w:basedOn w:val="UpdateDate"/>
    <w:uiPriority w:val="99"/>
    <w:rsid w:val="00E51812"/>
    <w:rPr>
      <w:b/>
    </w:rPr>
  </w:style>
  <w:style w:type="paragraph" w:customStyle="1" w:styleId="CTHeading">
    <w:name w:val="CT Heading"/>
    <w:basedOn w:val="Heading8"/>
    <w:next w:val="Normal"/>
    <w:uiPriority w:val="99"/>
    <w:rsid w:val="00E51812"/>
    <w:pPr>
      <w:numPr>
        <w:ilvl w:val="0"/>
        <w:numId w:val="0"/>
      </w:numPr>
      <w:tabs>
        <w:tab w:val="num" w:pos="360"/>
      </w:tabs>
    </w:pPr>
    <w:rPr>
      <w:rFonts w:ascii="Times New Roman" w:hAnsi="Times New Roman"/>
    </w:rPr>
  </w:style>
  <w:style w:type="paragraph" w:customStyle="1" w:styleId="notetext">
    <w:name w:val="note(text)"/>
    <w:aliases w:val="n"/>
    <w:uiPriority w:val="99"/>
    <w:rsid w:val="00E51812"/>
    <w:pPr>
      <w:spacing w:before="122" w:line="198" w:lineRule="exact"/>
      <w:ind w:left="1985" w:hanging="851"/>
    </w:pPr>
    <w:rPr>
      <w:sz w:val="18"/>
      <w:szCs w:val="24"/>
    </w:rPr>
  </w:style>
  <w:style w:type="paragraph" w:customStyle="1" w:styleId="notemargin">
    <w:name w:val="note(margin)"/>
    <w:aliases w:val="nm"/>
    <w:basedOn w:val="notetext"/>
    <w:uiPriority w:val="99"/>
    <w:rsid w:val="00E51812"/>
    <w:pPr>
      <w:tabs>
        <w:tab w:val="left" w:pos="709"/>
      </w:tabs>
      <w:ind w:left="709" w:hanging="709"/>
    </w:pPr>
  </w:style>
  <w:style w:type="paragraph" w:customStyle="1" w:styleId="CTNote">
    <w:name w:val="CT Note"/>
    <w:basedOn w:val="notemargin"/>
    <w:next w:val="CTHeading"/>
    <w:autoRedefine/>
    <w:uiPriority w:val="99"/>
    <w:rsid w:val="00E51812"/>
    <w:pPr>
      <w:ind w:left="0" w:firstLine="0"/>
    </w:pPr>
    <w:rPr>
      <w:i/>
    </w:rPr>
  </w:style>
  <w:style w:type="paragraph" w:customStyle="1" w:styleId="CTA-">
    <w:name w:val="CTA -"/>
    <w:next w:val="Normal"/>
    <w:uiPriority w:val="99"/>
    <w:rsid w:val="00E51812"/>
    <w:pPr>
      <w:spacing w:before="60" w:line="240" w:lineRule="atLeast"/>
      <w:ind w:left="85" w:hanging="85"/>
    </w:pPr>
    <w:rPr>
      <w:sz w:val="20"/>
      <w:szCs w:val="20"/>
      <w:lang w:eastAsia="en-US"/>
    </w:rPr>
  </w:style>
  <w:style w:type="paragraph" w:customStyle="1" w:styleId="CTA--">
    <w:name w:val="CTA --"/>
    <w:next w:val="Normal"/>
    <w:uiPriority w:val="99"/>
    <w:rsid w:val="00E51812"/>
    <w:pPr>
      <w:spacing w:before="60" w:line="240" w:lineRule="atLeast"/>
      <w:ind w:left="142" w:hanging="142"/>
    </w:pPr>
    <w:rPr>
      <w:sz w:val="20"/>
      <w:szCs w:val="20"/>
      <w:lang w:eastAsia="en-US"/>
    </w:rPr>
  </w:style>
  <w:style w:type="paragraph" w:customStyle="1" w:styleId="CTA---">
    <w:name w:val="CTA ---"/>
    <w:next w:val="Normal"/>
    <w:uiPriority w:val="99"/>
    <w:rsid w:val="00E51812"/>
    <w:pPr>
      <w:spacing w:before="60" w:line="240" w:lineRule="atLeast"/>
      <w:ind w:left="198" w:hanging="198"/>
    </w:pPr>
    <w:rPr>
      <w:sz w:val="20"/>
      <w:szCs w:val="20"/>
      <w:lang w:eastAsia="en-US"/>
    </w:rPr>
  </w:style>
  <w:style w:type="paragraph" w:customStyle="1" w:styleId="CTA----">
    <w:name w:val="CTA ----"/>
    <w:next w:val="Normal"/>
    <w:uiPriority w:val="99"/>
    <w:rsid w:val="00E51812"/>
    <w:pPr>
      <w:spacing w:before="60" w:line="240" w:lineRule="atLeast"/>
      <w:ind w:left="255" w:hanging="255"/>
    </w:pPr>
    <w:rPr>
      <w:sz w:val="20"/>
      <w:szCs w:val="20"/>
    </w:rPr>
  </w:style>
  <w:style w:type="paragraph" w:customStyle="1" w:styleId="CTA1a">
    <w:name w:val="CTA 1(a)"/>
    <w:basedOn w:val="CTA-"/>
    <w:uiPriority w:val="99"/>
    <w:rsid w:val="00E51812"/>
    <w:pPr>
      <w:tabs>
        <w:tab w:val="right" w:pos="414"/>
      </w:tabs>
      <w:spacing w:before="40"/>
      <w:ind w:left="674" w:hanging="674"/>
    </w:pPr>
  </w:style>
  <w:style w:type="paragraph" w:customStyle="1" w:styleId="CTA1ai">
    <w:name w:val="CTA 1(a)(i)"/>
    <w:basedOn w:val="CTA1a"/>
    <w:uiPriority w:val="99"/>
    <w:rsid w:val="00E51812"/>
    <w:pPr>
      <w:tabs>
        <w:tab w:val="clear" w:pos="414"/>
        <w:tab w:val="right" w:pos="1004"/>
      </w:tabs>
      <w:ind w:left="1254" w:hanging="1254"/>
    </w:pPr>
  </w:style>
  <w:style w:type="paragraph" w:customStyle="1" w:styleId="CTA2a">
    <w:name w:val="CTA 2(a)"/>
    <w:basedOn w:val="CTA--"/>
    <w:uiPriority w:val="99"/>
    <w:rsid w:val="00E51812"/>
    <w:pPr>
      <w:tabs>
        <w:tab w:val="right" w:pos="484"/>
      </w:tabs>
      <w:spacing w:before="40"/>
      <w:ind w:left="748" w:hanging="748"/>
    </w:pPr>
  </w:style>
  <w:style w:type="paragraph" w:customStyle="1" w:styleId="CTA2ai">
    <w:name w:val="CTA 2(a)(i)"/>
    <w:basedOn w:val="CTA2a"/>
    <w:uiPriority w:val="99"/>
    <w:rsid w:val="00E51812"/>
    <w:pPr>
      <w:tabs>
        <w:tab w:val="clear" w:pos="484"/>
        <w:tab w:val="right" w:pos="1086"/>
      </w:tabs>
      <w:ind w:left="1324" w:hanging="1324"/>
    </w:pPr>
  </w:style>
  <w:style w:type="paragraph" w:customStyle="1" w:styleId="CTA3a">
    <w:name w:val="CTA 3(a)"/>
    <w:basedOn w:val="CTA---"/>
    <w:uiPriority w:val="99"/>
    <w:rsid w:val="00E51812"/>
    <w:pPr>
      <w:tabs>
        <w:tab w:val="right" w:pos="554"/>
      </w:tabs>
      <w:spacing w:before="40"/>
      <w:ind w:left="806" w:hanging="806"/>
    </w:pPr>
  </w:style>
  <w:style w:type="paragraph" w:customStyle="1" w:styleId="CTA3ai">
    <w:name w:val="CTA 3(a)(i)"/>
    <w:basedOn w:val="CTA3a"/>
    <w:uiPriority w:val="99"/>
    <w:rsid w:val="00E51812"/>
    <w:pPr>
      <w:tabs>
        <w:tab w:val="clear" w:pos="554"/>
        <w:tab w:val="right" w:pos="1142"/>
      </w:tabs>
      <w:ind w:left="1361" w:hanging="1361"/>
    </w:pPr>
  </w:style>
  <w:style w:type="paragraph" w:customStyle="1" w:styleId="CTA4a">
    <w:name w:val="CTA 4(a)"/>
    <w:basedOn w:val="CTA----"/>
    <w:uiPriority w:val="99"/>
    <w:rsid w:val="00E51812"/>
    <w:pPr>
      <w:tabs>
        <w:tab w:val="right" w:pos="624"/>
      </w:tabs>
      <w:spacing w:before="40"/>
      <w:ind w:left="876" w:hanging="876"/>
    </w:pPr>
  </w:style>
  <w:style w:type="paragraph" w:customStyle="1" w:styleId="CTA4ai">
    <w:name w:val="CTA 4(a)(i)"/>
    <w:basedOn w:val="CTA4a"/>
    <w:uiPriority w:val="99"/>
    <w:rsid w:val="00E51812"/>
    <w:pPr>
      <w:tabs>
        <w:tab w:val="clear" w:pos="624"/>
        <w:tab w:val="right" w:pos="1212"/>
      </w:tabs>
      <w:ind w:left="1450" w:hanging="1450"/>
    </w:pPr>
  </w:style>
  <w:style w:type="paragraph" w:customStyle="1" w:styleId="CTACAPS">
    <w:name w:val="CTA CAPS"/>
    <w:basedOn w:val="Normal"/>
    <w:uiPriority w:val="99"/>
    <w:rsid w:val="00E51812"/>
    <w:pPr>
      <w:spacing w:before="60" w:line="240" w:lineRule="atLeast"/>
    </w:pPr>
    <w:rPr>
      <w:sz w:val="20"/>
    </w:rPr>
  </w:style>
  <w:style w:type="paragraph" w:customStyle="1" w:styleId="CTAright">
    <w:name w:val="CTA right"/>
    <w:basedOn w:val="Normal"/>
    <w:uiPriority w:val="99"/>
    <w:rsid w:val="00E51812"/>
    <w:pPr>
      <w:spacing w:before="60"/>
      <w:jc w:val="right"/>
    </w:pPr>
    <w:rPr>
      <w:sz w:val="20"/>
    </w:rPr>
  </w:style>
  <w:style w:type="paragraph" w:styleId="Date">
    <w:name w:val="Date"/>
    <w:basedOn w:val="Normal"/>
    <w:next w:val="Normal"/>
    <w:link w:val="DateChar"/>
    <w:uiPriority w:val="99"/>
    <w:rsid w:val="00E51812"/>
    <w:rPr>
      <w:sz w:val="22"/>
      <w:szCs w:val="24"/>
      <w:lang w:eastAsia="en-AU"/>
    </w:rPr>
  </w:style>
  <w:style w:type="character" w:customStyle="1" w:styleId="DateChar">
    <w:name w:val="Date Char"/>
    <w:basedOn w:val="DefaultParagraphFont"/>
    <w:link w:val="Date"/>
    <w:uiPriority w:val="99"/>
    <w:locked/>
    <w:rsid w:val="00E51812"/>
    <w:rPr>
      <w:rFonts w:cs="Times New Roman"/>
      <w:sz w:val="24"/>
      <w:szCs w:val="24"/>
      <w:lang w:val="en-AU" w:eastAsia="en-AU" w:bidi="ar-SA"/>
    </w:rPr>
  </w:style>
  <w:style w:type="paragraph" w:customStyle="1" w:styleId="Definition">
    <w:name w:val="Definition"/>
    <w:aliases w:val="dd"/>
    <w:uiPriority w:val="99"/>
    <w:rsid w:val="00E51812"/>
    <w:pPr>
      <w:spacing w:before="180"/>
      <w:ind w:left="1134"/>
    </w:pPr>
    <w:rPr>
      <w:szCs w:val="24"/>
    </w:rPr>
  </w:style>
  <w:style w:type="paragraph" w:styleId="DocumentMap">
    <w:name w:val="Document Map"/>
    <w:basedOn w:val="Normal"/>
    <w:link w:val="DocumentMapChar"/>
    <w:uiPriority w:val="99"/>
    <w:rsid w:val="00E51812"/>
    <w:pPr>
      <w:shd w:val="clear" w:color="auto" w:fill="000080"/>
    </w:pPr>
    <w:rPr>
      <w:rFonts w:ascii="Tahoma" w:hAnsi="Tahoma" w:cs="Tahoma"/>
      <w:sz w:val="22"/>
      <w:szCs w:val="24"/>
      <w:lang w:eastAsia="en-AU"/>
    </w:rPr>
  </w:style>
  <w:style w:type="character" w:customStyle="1" w:styleId="DocumentMapChar">
    <w:name w:val="Document Map Char"/>
    <w:basedOn w:val="DefaultParagraphFont"/>
    <w:link w:val="DocumentMap"/>
    <w:uiPriority w:val="99"/>
    <w:locked/>
    <w:rsid w:val="00E51812"/>
    <w:rPr>
      <w:rFonts w:ascii="Tahoma" w:hAnsi="Tahoma" w:cs="Tahoma"/>
      <w:sz w:val="24"/>
      <w:szCs w:val="24"/>
      <w:shd w:val="clear" w:color="auto" w:fill="000080"/>
      <w:lang w:val="en-AU" w:eastAsia="en-AU" w:bidi="ar-SA"/>
    </w:rPr>
  </w:style>
  <w:style w:type="paragraph" w:styleId="E-mailSignature">
    <w:name w:val="E-mail Signature"/>
    <w:basedOn w:val="Normal"/>
    <w:link w:val="E-mailSignatureChar"/>
    <w:uiPriority w:val="99"/>
    <w:rsid w:val="00E51812"/>
    <w:rPr>
      <w:sz w:val="22"/>
      <w:szCs w:val="24"/>
      <w:lang w:eastAsia="en-AU"/>
    </w:rPr>
  </w:style>
  <w:style w:type="character" w:customStyle="1" w:styleId="E-mailSignatureChar">
    <w:name w:val="E-mail Signature Char"/>
    <w:basedOn w:val="DefaultParagraphFont"/>
    <w:link w:val="E-mailSignature"/>
    <w:uiPriority w:val="99"/>
    <w:locked/>
    <w:rsid w:val="00E51812"/>
    <w:rPr>
      <w:rFonts w:cs="Times New Roman"/>
      <w:sz w:val="24"/>
      <w:szCs w:val="24"/>
      <w:lang w:val="en-AU" w:eastAsia="en-AU" w:bidi="ar-SA"/>
    </w:rPr>
  </w:style>
  <w:style w:type="character" w:styleId="Emphasis">
    <w:name w:val="Emphasis"/>
    <w:basedOn w:val="DefaultParagraphFont"/>
    <w:uiPriority w:val="99"/>
    <w:qFormat/>
    <w:rsid w:val="00E51812"/>
    <w:rPr>
      <w:rFonts w:cs="Times New Roman"/>
      <w:i/>
      <w:iCs/>
    </w:rPr>
  </w:style>
  <w:style w:type="character" w:styleId="EndnoteReference">
    <w:name w:val="endnote reference"/>
    <w:basedOn w:val="DefaultParagraphFont"/>
    <w:uiPriority w:val="99"/>
    <w:rsid w:val="00E51812"/>
    <w:rPr>
      <w:rFonts w:cs="Times New Roman"/>
      <w:vertAlign w:val="superscript"/>
    </w:rPr>
  </w:style>
  <w:style w:type="paragraph" w:styleId="EndnoteText0">
    <w:name w:val="endnote text"/>
    <w:basedOn w:val="Normal"/>
    <w:link w:val="EndnoteTextChar"/>
    <w:uiPriority w:val="99"/>
    <w:rsid w:val="00E51812"/>
    <w:rPr>
      <w:sz w:val="20"/>
      <w:lang w:eastAsia="en-AU"/>
    </w:rPr>
  </w:style>
  <w:style w:type="character" w:customStyle="1" w:styleId="EndnoteTextChar">
    <w:name w:val="Endnote Text Char"/>
    <w:basedOn w:val="DefaultParagraphFont"/>
    <w:link w:val="EndnoteText0"/>
    <w:uiPriority w:val="99"/>
    <w:locked/>
    <w:rsid w:val="00E51812"/>
    <w:rPr>
      <w:rFonts w:cs="Times New Roman"/>
      <w:lang w:val="en-AU" w:eastAsia="en-AU" w:bidi="ar-SA"/>
    </w:rPr>
  </w:style>
  <w:style w:type="paragraph" w:customStyle="1" w:styleId="ENoteNo">
    <w:name w:val="ENoteNo"/>
    <w:basedOn w:val="Normal"/>
    <w:uiPriority w:val="99"/>
    <w:rsid w:val="00E51812"/>
    <w:pPr>
      <w:spacing w:before="120" w:after="120"/>
      <w:ind w:left="1134" w:hanging="1134"/>
    </w:pPr>
    <w:rPr>
      <w:rFonts w:ascii="Arial" w:hAnsi="Arial"/>
      <w:b/>
    </w:rPr>
  </w:style>
  <w:style w:type="paragraph" w:styleId="EnvelopeAddress">
    <w:name w:val="envelope address"/>
    <w:basedOn w:val="Normal"/>
    <w:uiPriority w:val="99"/>
    <w:rsid w:val="00E51812"/>
    <w:pPr>
      <w:framePr w:w="7920" w:h="1980" w:hRule="exact" w:hSpace="180" w:wrap="auto" w:hAnchor="page" w:xAlign="center" w:yAlign="bottom"/>
      <w:ind w:left="2880"/>
    </w:pPr>
    <w:rPr>
      <w:rFonts w:ascii="Arial" w:hAnsi="Arial" w:cs="Arial"/>
      <w:szCs w:val="24"/>
      <w:lang w:eastAsia="en-AU"/>
    </w:rPr>
  </w:style>
  <w:style w:type="paragraph" w:styleId="EnvelopeReturn">
    <w:name w:val="envelope return"/>
    <w:basedOn w:val="Normal"/>
    <w:uiPriority w:val="99"/>
    <w:rsid w:val="00E51812"/>
    <w:rPr>
      <w:rFonts w:ascii="Arial" w:hAnsi="Arial" w:cs="Arial"/>
      <w:sz w:val="20"/>
      <w:lang w:eastAsia="en-AU"/>
    </w:rPr>
  </w:style>
  <w:style w:type="paragraph" w:customStyle="1" w:styleId="ETAsubitem">
    <w:name w:val="ETA(subitem)"/>
    <w:uiPriority w:val="99"/>
    <w:rsid w:val="00E51812"/>
    <w:pPr>
      <w:tabs>
        <w:tab w:val="right" w:pos="340"/>
      </w:tabs>
      <w:spacing w:before="60"/>
      <w:ind w:left="454" w:hanging="454"/>
    </w:pPr>
    <w:rPr>
      <w:sz w:val="20"/>
      <w:szCs w:val="24"/>
    </w:rPr>
  </w:style>
  <w:style w:type="paragraph" w:customStyle="1" w:styleId="ETApara">
    <w:name w:val="ETA(para)"/>
    <w:basedOn w:val="ETAsubitem"/>
    <w:uiPriority w:val="99"/>
    <w:rsid w:val="00E51812"/>
    <w:pPr>
      <w:tabs>
        <w:tab w:val="clear" w:pos="340"/>
        <w:tab w:val="right" w:pos="753"/>
      </w:tabs>
      <w:ind w:left="828" w:hanging="828"/>
    </w:pPr>
  </w:style>
  <w:style w:type="paragraph" w:customStyle="1" w:styleId="ETAsubpara">
    <w:name w:val="ETA(subpara)"/>
    <w:basedOn w:val="ETAsubitem"/>
    <w:uiPriority w:val="99"/>
    <w:rsid w:val="00E51812"/>
    <w:pPr>
      <w:tabs>
        <w:tab w:val="clear" w:pos="340"/>
        <w:tab w:val="right" w:pos="1083"/>
      </w:tabs>
      <w:ind w:left="1193" w:hanging="1193"/>
    </w:pPr>
  </w:style>
  <w:style w:type="paragraph" w:customStyle="1" w:styleId="ETAsub-subpara">
    <w:name w:val="ETA(sub-subpara)"/>
    <w:basedOn w:val="ETAsubpara"/>
    <w:uiPriority w:val="99"/>
    <w:rsid w:val="00E51812"/>
    <w:pPr>
      <w:tabs>
        <w:tab w:val="clear" w:pos="1083"/>
        <w:tab w:val="right" w:pos="1413"/>
      </w:tabs>
      <w:ind w:left="1523" w:hanging="1523"/>
    </w:pPr>
  </w:style>
  <w:style w:type="character" w:styleId="FollowedHyperlink">
    <w:name w:val="FollowedHyperlink"/>
    <w:basedOn w:val="DefaultParagraphFont"/>
    <w:uiPriority w:val="99"/>
    <w:rsid w:val="00E51812"/>
    <w:rPr>
      <w:rFonts w:cs="Times New Roman"/>
      <w:color w:val="800080"/>
      <w:u w:val="single"/>
    </w:rPr>
  </w:style>
  <w:style w:type="character" w:styleId="FootnoteReference">
    <w:name w:val="footnote reference"/>
    <w:basedOn w:val="DefaultParagraphFont"/>
    <w:uiPriority w:val="99"/>
    <w:rsid w:val="00E51812"/>
    <w:rPr>
      <w:rFonts w:cs="Times New Roman"/>
      <w:vertAlign w:val="superscript"/>
    </w:rPr>
  </w:style>
  <w:style w:type="paragraph" w:styleId="FootnoteText">
    <w:name w:val="footnote text"/>
    <w:basedOn w:val="Normal"/>
    <w:link w:val="FootnoteTextChar"/>
    <w:uiPriority w:val="99"/>
    <w:rsid w:val="00E51812"/>
    <w:rPr>
      <w:sz w:val="20"/>
      <w:lang w:eastAsia="en-AU"/>
    </w:rPr>
  </w:style>
  <w:style w:type="character" w:customStyle="1" w:styleId="FootnoteTextChar">
    <w:name w:val="Footnote Text Char"/>
    <w:basedOn w:val="DefaultParagraphFont"/>
    <w:link w:val="FootnoteText"/>
    <w:uiPriority w:val="99"/>
    <w:locked/>
    <w:rsid w:val="00E51812"/>
    <w:rPr>
      <w:rFonts w:cs="Times New Roman"/>
      <w:lang w:val="en-AU" w:eastAsia="en-AU" w:bidi="ar-SA"/>
    </w:rPr>
  </w:style>
  <w:style w:type="paragraph" w:customStyle="1" w:styleId="Headerpartodd">
    <w:name w:val="Header.part.odd"/>
    <w:basedOn w:val="Normal"/>
    <w:uiPriority w:val="99"/>
    <w:rsid w:val="00E51812"/>
    <w:pPr>
      <w:keepNext/>
    </w:pPr>
    <w:rPr>
      <w:sz w:val="20"/>
    </w:rPr>
  </w:style>
  <w:style w:type="paragraph" w:customStyle="1" w:styleId="House">
    <w:name w:val="House"/>
    <w:uiPriority w:val="99"/>
    <w:rsid w:val="00E51812"/>
    <w:rPr>
      <w:sz w:val="28"/>
      <w:szCs w:val="24"/>
    </w:rPr>
  </w:style>
  <w:style w:type="character" w:styleId="HTMLAcronym">
    <w:name w:val="HTML Acronym"/>
    <w:basedOn w:val="DefaultParagraphFont"/>
    <w:uiPriority w:val="99"/>
    <w:rsid w:val="00E51812"/>
    <w:rPr>
      <w:rFonts w:cs="Times New Roman"/>
    </w:rPr>
  </w:style>
  <w:style w:type="paragraph" w:styleId="HTMLAddress">
    <w:name w:val="HTML Address"/>
    <w:basedOn w:val="Normal"/>
    <w:link w:val="HTMLAddressChar"/>
    <w:uiPriority w:val="99"/>
    <w:rsid w:val="00E51812"/>
    <w:rPr>
      <w:i/>
      <w:iCs/>
      <w:sz w:val="22"/>
      <w:szCs w:val="24"/>
      <w:lang w:eastAsia="en-AU"/>
    </w:rPr>
  </w:style>
  <w:style w:type="character" w:customStyle="1" w:styleId="HTMLAddressChar">
    <w:name w:val="HTML Address Char"/>
    <w:basedOn w:val="DefaultParagraphFont"/>
    <w:link w:val="HTMLAddress"/>
    <w:uiPriority w:val="99"/>
    <w:locked/>
    <w:rsid w:val="00E51812"/>
    <w:rPr>
      <w:rFonts w:cs="Times New Roman"/>
      <w:i/>
      <w:iCs/>
      <w:sz w:val="24"/>
      <w:szCs w:val="24"/>
      <w:lang w:val="en-AU" w:eastAsia="en-AU" w:bidi="ar-SA"/>
    </w:rPr>
  </w:style>
  <w:style w:type="character" w:styleId="HTMLCite">
    <w:name w:val="HTML Cite"/>
    <w:basedOn w:val="DefaultParagraphFont"/>
    <w:uiPriority w:val="99"/>
    <w:rsid w:val="00E51812"/>
    <w:rPr>
      <w:rFonts w:cs="Times New Roman"/>
      <w:i/>
      <w:iCs/>
    </w:rPr>
  </w:style>
  <w:style w:type="character" w:styleId="HTMLCode">
    <w:name w:val="HTML Code"/>
    <w:basedOn w:val="DefaultParagraphFont"/>
    <w:uiPriority w:val="99"/>
    <w:rsid w:val="00E51812"/>
    <w:rPr>
      <w:rFonts w:ascii="Courier New" w:hAnsi="Courier New" w:cs="Courier New"/>
      <w:sz w:val="20"/>
      <w:szCs w:val="20"/>
    </w:rPr>
  </w:style>
  <w:style w:type="character" w:styleId="HTMLDefinition">
    <w:name w:val="HTML Definition"/>
    <w:basedOn w:val="DefaultParagraphFont"/>
    <w:uiPriority w:val="99"/>
    <w:rsid w:val="00E51812"/>
    <w:rPr>
      <w:rFonts w:cs="Times New Roman"/>
      <w:i/>
      <w:iCs/>
    </w:rPr>
  </w:style>
  <w:style w:type="character" w:styleId="HTMLKeyboard">
    <w:name w:val="HTML Keyboard"/>
    <w:basedOn w:val="DefaultParagraphFont"/>
    <w:uiPriority w:val="99"/>
    <w:rsid w:val="00E51812"/>
    <w:rPr>
      <w:rFonts w:ascii="Courier New" w:hAnsi="Courier New" w:cs="Courier New"/>
      <w:sz w:val="20"/>
      <w:szCs w:val="20"/>
    </w:rPr>
  </w:style>
  <w:style w:type="paragraph" w:styleId="HTMLPreformatted">
    <w:name w:val="HTML Preformatted"/>
    <w:basedOn w:val="Normal"/>
    <w:link w:val="HTMLPreformattedChar"/>
    <w:uiPriority w:val="99"/>
    <w:rsid w:val="00E51812"/>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locked/>
    <w:rsid w:val="00E51812"/>
    <w:rPr>
      <w:rFonts w:ascii="Courier New" w:hAnsi="Courier New" w:cs="Courier New"/>
      <w:lang w:val="en-AU" w:eastAsia="en-AU" w:bidi="ar-SA"/>
    </w:rPr>
  </w:style>
  <w:style w:type="character" w:styleId="HTMLSample">
    <w:name w:val="HTML Sample"/>
    <w:basedOn w:val="DefaultParagraphFont"/>
    <w:uiPriority w:val="99"/>
    <w:rsid w:val="00E51812"/>
    <w:rPr>
      <w:rFonts w:ascii="Courier New" w:hAnsi="Courier New" w:cs="Courier New"/>
    </w:rPr>
  </w:style>
  <w:style w:type="character" w:styleId="HTMLTypewriter">
    <w:name w:val="HTML Typewriter"/>
    <w:basedOn w:val="DefaultParagraphFont"/>
    <w:uiPriority w:val="99"/>
    <w:rsid w:val="00E51812"/>
    <w:rPr>
      <w:rFonts w:ascii="Courier New" w:hAnsi="Courier New" w:cs="Courier New"/>
      <w:sz w:val="20"/>
      <w:szCs w:val="20"/>
    </w:rPr>
  </w:style>
  <w:style w:type="character" w:styleId="HTMLVariable">
    <w:name w:val="HTML Variable"/>
    <w:basedOn w:val="DefaultParagraphFont"/>
    <w:uiPriority w:val="99"/>
    <w:rsid w:val="00E51812"/>
    <w:rPr>
      <w:rFonts w:cs="Times New Roman"/>
      <w:i/>
      <w:iCs/>
    </w:rPr>
  </w:style>
  <w:style w:type="character" w:styleId="Hyperlink">
    <w:name w:val="Hyperlink"/>
    <w:basedOn w:val="DefaultParagraphFont"/>
    <w:uiPriority w:val="99"/>
    <w:unhideWhenUsed/>
    <w:rsid w:val="00AF17FE"/>
    <w:rPr>
      <w:color w:val="0000FF" w:themeColor="hyperlink"/>
      <w:u w:val="single"/>
    </w:rPr>
  </w:style>
  <w:style w:type="paragraph" w:styleId="Index1">
    <w:name w:val="index 1"/>
    <w:basedOn w:val="Normal"/>
    <w:next w:val="Normal"/>
    <w:uiPriority w:val="99"/>
    <w:rsid w:val="00E51812"/>
    <w:pPr>
      <w:ind w:left="220" w:hanging="220"/>
    </w:pPr>
    <w:rPr>
      <w:sz w:val="22"/>
      <w:szCs w:val="24"/>
      <w:lang w:eastAsia="en-AU"/>
    </w:rPr>
  </w:style>
  <w:style w:type="paragraph" w:styleId="Index2">
    <w:name w:val="index 2"/>
    <w:basedOn w:val="Normal"/>
    <w:next w:val="Normal"/>
    <w:uiPriority w:val="99"/>
    <w:rsid w:val="00E51812"/>
    <w:pPr>
      <w:ind w:left="440" w:hanging="220"/>
    </w:pPr>
    <w:rPr>
      <w:sz w:val="22"/>
      <w:szCs w:val="24"/>
      <w:lang w:eastAsia="en-AU"/>
    </w:rPr>
  </w:style>
  <w:style w:type="paragraph" w:styleId="Index3">
    <w:name w:val="index 3"/>
    <w:basedOn w:val="Normal"/>
    <w:next w:val="Normal"/>
    <w:uiPriority w:val="99"/>
    <w:rsid w:val="00E51812"/>
    <w:pPr>
      <w:ind w:left="660" w:hanging="220"/>
    </w:pPr>
    <w:rPr>
      <w:sz w:val="22"/>
      <w:szCs w:val="24"/>
      <w:lang w:eastAsia="en-AU"/>
    </w:rPr>
  </w:style>
  <w:style w:type="paragraph" w:styleId="Index4">
    <w:name w:val="index 4"/>
    <w:basedOn w:val="Normal"/>
    <w:next w:val="Normal"/>
    <w:uiPriority w:val="99"/>
    <w:rsid w:val="00E51812"/>
    <w:pPr>
      <w:ind w:left="880" w:hanging="220"/>
    </w:pPr>
    <w:rPr>
      <w:sz w:val="22"/>
      <w:szCs w:val="24"/>
      <w:lang w:eastAsia="en-AU"/>
    </w:rPr>
  </w:style>
  <w:style w:type="paragraph" w:styleId="Index5">
    <w:name w:val="index 5"/>
    <w:basedOn w:val="Normal"/>
    <w:next w:val="Normal"/>
    <w:uiPriority w:val="99"/>
    <w:rsid w:val="00E51812"/>
    <w:pPr>
      <w:ind w:left="1100" w:hanging="220"/>
    </w:pPr>
    <w:rPr>
      <w:sz w:val="22"/>
      <w:szCs w:val="24"/>
      <w:lang w:eastAsia="en-AU"/>
    </w:rPr>
  </w:style>
  <w:style w:type="paragraph" w:styleId="Index6">
    <w:name w:val="index 6"/>
    <w:basedOn w:val="Normal"/>
    <w:next w:val="Normal"/>
    <w:uiPriority w:val="99"/>
    <w:rsid w:val="00E51812"/>
    <w:pPr>
      <w:ind w:left="1320" w:hanging="220"/>
    </w:pPr>
    <w:rPr>
      <w:sz w:val="22"/>
      <w:szCs w:val="24"/>
      <w:lang w:eastAsia="en-AU"/>
    </w:rPr>
  </w:style>
  <w:style w:type="paragraph" w:styleId="Index7">
    <w:name w:val="index 7"/>
    <w:basedOn w:val="Normal"/>
    <w:next w:val="Normal"/>
    <w:uiPriority w:val="99"/>
    <w:rsid w:val="00E51812"/>
    <w:pPr>
      <w:ind w:left="1540" w:hanging="220"/>
    </w:pPr>
    <w:rPr>
      <w:sz w:val="22"/>
      <w:szCs w:val="24"/>
      <w:lang w:eastAsia="en-AU"/>
    </w:rPr>
  </w:style>
  <w:style w:type="paragraph" w:styleId="Index8">
    <w:name w:val="index 8"/>
    <w:basedOn w:val="Normal"/>
    <w:next w:val="Normal"/>
    <w:uiPriority w:val="99"/>
    <w:rsid w:val="00E51812"/>
    <w:pPr>
      <w:ind w:left="1760" w:hanging="220"/>
    </w:pPr>
    <w:rPr>
      <w:sz w:val="22"/>
      <w:szCs w:val="24"/>
      <w:lang w:eastAsia="en-AU"/>
    </w:rPr>
  </w:style>
  <w:style w:type="paragraph" w:styleId="Index9">
    <w:name w:val="index 9"/>
    <w:basedOn w:val="Normal"/>
    <w:next w:val="Normal"/>
    <w:uiPriority w:val="99"/>
    <w:rsid w:val="00E51812"/>
    <w:pPr>
      <w:ind w:left="1980" w:hanging="220"/>
    </w:pPr>
    <w:rPr>
      <w:sz w:val="22"/>
      <w:szCs w:val="24"/>
      <w:lang w:eastAsia="en-AU"/>
    </w:rPr>
  </w:style>
  <w:style w:type="paragraph" w:styleId="IndexHeading">
    <w:name w:val="index heading"/>
    <w:basedOn w:val="Normal"/>
    <w:next w:val="Index1"/>
    <w:uiPriority w:val="99"/>
    <w:rsid w:val="00E51812"/>
    <w:rPr>
      <w:rFonts w:ascii="Arial" w:hAnsi="Arial" w:cs="Arial"/>
      <w:b/>
      <w:bCs/>
      <w:sz w:val="22"/>
      <w:szCs w:val="24"/>
      <w:lang w:eastAsia="en-AU"/>
    </w:rPr>
  </w:style>
  <w:style w:type="paragraph" w:customStyle="1" w:styleId="Item">
    <w:name w:val="Item"/>
    <w:aliases w:val="i"/>
    <w:next w:val="Normal"/>
    <w:uiPriority w:val="99"/>
    <w:rsid w:val="00E51812"/>
    <w:pPr>
      <w:keepLines/>
      <w:spacing w:before="80"/>
      <w:ind w:left="709"/>
    </w:pPr>
    <w:rPr>
      <w:szCs w:val="24"/>
    </w:rPr>
  </w:style>
  <w:style w:type="paragraph" w:customStyle="1" w:styleId="ItemHead">
    <w:name w:val="ItemHead"/>
    <w:aliases w:val="ih"/>
    <w:basedOn w:val="Heading1"/>
    <w:next w:val="Item"/>
    <w:uiPriority w:val="99"/>
    <w:rsid w:val="00E51812"/>
    <w:pPr>
      <w:keepNext w:val="0"/>
      <w:spacing w:before="220"/>
      <w:ind w:left="709" w:hanging="709"/>
      <w:outlineLvl w:val="9"/>
    </w:pPr>
    <w:rPr>
      <w:rFonts w:cs="Arial"/>
      <w:sz w:val="24"/>
    </w:rPr>
  </w:style>
  <w:style w:type="paragraph" w:styleId="List">
    <w:name w:val="List"/>
    <w:basedOn w:val="Normal"/>
    <w:uiPriority w:val="99"/>
    <w:rsid w:val="00E51812"/>
    <w:pPr>
      <w:ind w:left="283" w:hanging="283"/>
    </w:pPr>
    <w:rPr>
      <w:sz w:val="22"/>
      <w:szCs w:val="24"/>
      <w:lang w:eastAsia="en-AU"/>
    </w:rPr>
  </w:style>
  <w:style w:type="paragraph" w:styleId="List2">
    <w:name w:val="List 2"/>
    <w:basedOn w:val="Normal"/>
    <w:uiPriority w:val="99"/>
    <w:rsid w:val="00E51812"/>
    <w:pPr>
      <w:ind w:left="566" w:hanging="283"/>
    </w:pPr>
    <w:rPr>
      <w:sz w:val="22"/>
      <w:szCs w:val="24"/>
      <w:lang w:eastAsia="en-AU"/>
    </w:rPr>
  </w:style>
  <w:style w:type="paragraph" w:styleId="List3">
    <w:name w:val="List 3"/>
    <w:basedOn w:val="Normal"/>
    <w:uiPriority w:val="99"/>
    <w:rsid w:val="00E51812"/>
    <w:pPr>
      <w:ind w:left="849" w:hanging="283"/>
    </w:pPr>
    <w:rPr>
      <w:sz w:val="22"/>
      <w:szCs w:val="24"/>
      <w:lang w:eastAsia="en-AU"/>
    </w:rPr>
  </w:style>
  <w:style w:type="paragraph" w:styleId="List4">
    <w:name w:val="List 4"/>
    <w:basedOn w:val="Normal"/>
    <w:uiPriority w:val="99"/>
    <w:rsid w:val="00E51812"/>
    <w:pPr>
      <w:ind w:left="1132" w:hanging="283"/>
    </w:pPr>
    <w:rPr>
      <w:sz w:val="22"/>
      <w:szCs w:val="24"/>
      <w:lang w:eastAsia="en-AU"/>
    </w:rPr>
  </w:style>
  <w:style w:type="paragraph" w:styleId="List5">
    <w:name w:val="List 5"/>
    <w:basedOn w:val="Normal"/>
    <w:uiPriority w:val="99"/>
    <w:rsid w:val="00E51812"/>
    <w:pPr>
      <w:ind w:left="1415" w:hanging="283"/>
    </w:pPr>
    <w:rPr>
      <w:sz w:val="22"/>
      <w:szCs w:val="24"/>
      <w:lang w:eastAsia="en-AU"/>
    </w:rPr>
  </w:style>
  <w:style w:type="paragraph" w:styleId="ListBullet">
    <w:name w:val="List Bullet"/>
    <w:basedOn w:val="Normal"/>
    <w:uiPriority w:val="99"/>
    <w:rsid w:val="00E51812"/>
    <w:pPr>
      <w:numPr>
        <w:numId w:val="1"/>
      </w:numPr>
      <w:tabs>
        <w:tab w:val="clear" w:pos="360"/>
        <w:tab w:val="num" w:pos="2989"/>
      </w:tabs>
      <w:ind w:left="1225" w:firstLine="1043"/>
    </w:pPr>
    <w:rPr>
      <w:sz w:val="22"/>
      <w:szCs w:val="24"/>
      <w:lang w:eastAsia="en-AU"/>
    </w:rPr>
  </w:style>
  <w:style w:type="paragraph" w:styleId="ListBullet2">
    <w:name w:val="List Bullet 2"/>
    <w:basedOn w:val="Normal"/>
    <w:uiPriority w:val="99"/>
    <w:rsid w:val="00E51812"/>
    <w:pPr>
      <w:numPr>
        <w:numId w:val="2"/>
      </w:numPr>
      <w:tabs>
        <w:tab w:val="clear" w:pos="643"/>
        <w:tab w:val="num" w:pos="360"/>
      </w:tabs>
      <w:ind w:left="360"/>
    </w:pPr>
    <w:rPr>
      <w:sz w:val="22"/>
      <w:szCs w:val="24"/>
      <w:lang w:eastAsia="en-AU"/>
    </w:rPr>
  </w:style>
  <w:style w:type="paragraph" w:styleId="ListBullet3">
    <w:name w:val="List Bullet 3"/>
    <w:basedOn w:val="Normal"/>
    <w:uiPriority w:val="99"/>
    <w:rsid w:val="00E51812"/>
    <w:pPr>
      <w:numPr>
        <w:numId w:val="3"/>
      </w:numPr>
      <w:tabs>
        <w:tab w:val="clear" w:pos="926"/>
        <w:tab w:val="num" w:pos="360"/>
      </w:tabs>
      <w:ind w:left="360"/>
    </w:pPr>
    <w:rPr>
      <w:sz w:val="22"/>
      <w:szCs w:val="24"/>
      <w:lang w:eastAsia="en-AU"/>
    </w:rPr>
  </w:style>
  <w:style w:type="paragraph" w:styleId="ListBullet4">
    <w:name w:val="List Bullet 4"/>
    <w:basedOn w:val="Normal"/>
    <w:uiPriority w:val="99"/>
    <w:rsid w:val="00E51812"/>
    <w:pPr>
      <w:tabs>
        <w:tab w:val="num" w:pos="926"/>
      </w:tabs>
      <w:ind w:left="926"/>
    </w:pPr>
    <w:rPr>
      <w:sz w:val="22"/>
      <w:szCs w:val="24"/>
      <w:lang w:eastAsia="en-AU"/>
    </w:rPr>
  </w:style>
  <w:style w:type="paragraph" w:styleId="ListBullet5">
    <w:name w:val="List Bullet 5"/>
    <w:basedOn w:val="Normal"/>
    <w:uiPriority w:val="99"/>
    <w:rsid w:val="00E51812"/>
    <w:pPr>
      <w:numPr>
        <w:numId w:val="4"/>
      </w:numPr>
      <w:tabs>
        <w:tab w:val="clear" w:pos="1209"/>
        <w:tab w:val="num" w:pos="1492"/>
      </w:tabs>
      <w:ind w:left="1492"/>
    </w:pPr>
    <w:rPr>
      <w:sz w:val="22"/>
      <w:szCs w:val="24"/>
      <w:lang w:eastAsia="en-AU"/>
    </w:rPr>
  </w:style>
  <w:style w:type="paragraph" w:styleId="ListContinue">
    <w:name w:val="List Continue"/>
    <w:basedOn w:val="Normal"/>
    <w:uiPriority w:val="99"/>
    <w:rsid w:val="00E51812"/>
    <w:pPr>
      <w:spacing w:after="120"/>
      <w:ind w:left="283"/>
    </w:pPr>
    <w:rPr>
      <w:sz w:val="22"/>
      <w:szCs w:val="24"/>
      <w:lang w:eastAsia="en-AU"/>
    </w:rPr>
  </w:style>
  <w:style w:type="paragraph" w:styleId="ListContinue2">
    <w:name w:val="List Continue 2"/>
    <w:basedOn w:val="Normal"/>
    <w:uiPriority w:val="99"/>
    <w:rsid w:val="00E51812"/>
    <w:pPr>
      <w:spacing w:after="120"/>
      <w:ind w:left="566"/>
    </w:pPr>
    <w:rPr>
      <w:sz w:val="22"/>
      <w:szCs w:val="24"/>
      <w:lang w:eastAsia="en-AU"/>
    </w:rPr>
  </w:style>
  <w:style w:type="paragraph" w:styleId="ListContinue3">
    <w:name w:val="List Continue 3"/>
    <w:basedOn w:val="Normal"/>
    <w:uiPriority w:val="99"/>
    <w:rsid w:val="00E51812"/>
    <w:pPr>
      <w:spacing w:after="120"/>
      <w:ind w:left="849"/>
    </w:pPr>
    <w:rPr>
      <w:sz w:val="22"/>
      <w:szCs w:val="24"/>
      <w:lang w:eastAsia="en-AU"/>
    </w:rPr>
  </w:style>
  <w:style w:type="paragraph" w:styleId="ListContinue4">
    <w:name w:val="List Continue 4"/>
    <w:basedOn w:val="Normal"/>
    <w:uiPriority w:val="99"/>
    <w:rsid w:val="00E51812"/>
    <w:pPr>
      <w:spacing w:after="120"/>
      <w:ind w:left="1132"/>
    </w:pPr>
    <w:rPr>
      <w:sz w:val="22"/>
      <w:szCs w:val="24"/>
      <w:lang w:eastAsia="en-AU"/>
    </w:rPr>
  </w:style>
  <w:style w:type="paragraph" w:styleId="ListContinue5">
    <w:name w:val="List Continue 5"/>
    <w:basedOn w:val="Normal"/>
    <w:uiPriority w:val="99"/>
    <w:rsid w:val="00E51812"/>
    <w:pPr>
      <w:spacing w:after="120"/>
      <w:ind w:left="1415"/>
    </w:pPr>
    <w:rPr>
      <w:sz w:val="22"/>
      <w:szCs w:val="24"/>
      <w:lang w:eastAsia="en-AU"/>
    </w:rPr>
  </w:style>
  <w:style w:type="paragraph" w:styleId="ListNumber">
    <w:name w:val="List Number"/>
    <w:basedOn w:val="Normal"/>
    <w:uiPriority w:val="99"/>
    <w:rsid w:val="00E51812"/>
    <w:pPr>
      <w:numPr>
        <w:numId w:val="5"/>
      </w:numPr>
      <w:tabs>
        <w:tab w:val="clear" w:pos="1492"/>
        <w:tab w:val="num" w:pos="4242"/>
      </w:tabs>
      <w:ind w:left="3521" w:hanging="1043"/>
    </w:pPr>
    <w:rPr>
      <w:sz w:val="22"/>
      <w:szCs w:val="24"/>
      <w:lang w:eastAsia="en-AU"/>
    </w:rPr>
  </w:style>
  <w:style w:type="paragraph" w:styleId="ListNumber2">
    <w:name w:val="List Number 2"/>
    <w:basedOn w:val="Normal"/>
    <w:uiPriority w:val="99"/>
    <w:rsid w:val="00E51812"/>
    <w:pPr>
      <w:numPr>
        <w:numId w:val="6"/>
      </w:numPr>
    </w:pPr>
    <w:rPr>
      <w:sz w:val="22"/>
      <w:szCs w:val="24"/>
      <w:lang w:eastAsia="en-AU"/>
    </w:rPr>
  </w:style>
  <w:style w:type="paragraph" w:styleId="ListNumber3">
    <w:name w:val="List Number 3"/>
    <w:basedOn w:val="Normal"/>
    <w:uiPriority w:val="99"/>
    <w:rsid w:val="00E51812"/>
    <w:pPr>
      <w:tabs>
        <w:tab w:val="num" w:pos="360"/>
      </w:tabs>
      <w:ind w:left="360" w:hanging="360"/>
    </w:pPr>
    <w:rPr>
      <w:sz w:val="22"/>
      <w:szCs w:val="24"/>
      <w:lang w:eastAsia="en-AU"/>
    </w:rPr>
  </w:style>
  <w:style w:type="paragraph" w:styleId="ListNumber4">
    <w:name w:val="List Number 4"/>
    <w:basedOn w:val="Normal"/>
    <w:uiPriority w:val="99"/>
    <w:rsid w:val="00E51812"/>
    <w:pPr>
      <w:numPr>
        <w:numId w:val="7"/>
      </w:numPr>
      <w:tabs>
        <w:tab w:val="clear" w:pos="643"/>
        <w:tab w:val="num" w:pos="360"/>
      </w:tabs>
      <w:ind w:left="360"/>
    </w:pPr>
    <w:rPr>
      <w:sz w:val="22"/>
      <w:szCs w:val="24"/>
      <w:lang w:eastAsia="en-AU"/>
    </w:rPr>
  </w:style>
  <w:style w:type="paragraph" w:styleId="ListNumber5">
    <w:name w:val="List Number 5"/>
    <w:basedOn w:val="Normal"/>
    <w:uiPriority w:val="99"/>
    <w:rsid w:val="00E51812"/>
    <w:pPr>
      <w:numPr>
        <w:numId w:val="8"/>
      </w:numPr>
      <w:tabs>
        <w:tab w:val="clear" w:pos="926"/>
        <w:tab w:val="num" w:pos="1440"/>
      </w:tabs>
      <w:ind w:left="0" w:firstLine="0"/>
    </w:pPr>
    <w:rPr>
      <w:sz w:val="22"/>
      <w:szCs w:val="24"/>
      <w:lang w:eastAsia="en-AU"/>
    </w:rPr>
  </w:style>
  <w:style w:type="paragraph" w:customStyle="1" w:styleId="LongT">
    <w:name w:val="LongT"/>
    <w:uiPriority w:val="99"/>
    <w:rsid w:val="00E51812"/>
    <w:rPr>
      <w:b/>
      <w:sz w:val="32"/>
      <w:szCs w:val="24"/>
    </w:rPr>
  </w:style>
  <w:style w:type="paragraph" w:styleId="MacroText">
    <w:name w:val="macro"/>
    <w:link w:val="MacroTextChar"/>
    <w:rsid w:val="00AF17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locked/>
    <w:rsid w:val="00E51812"/>
    <w:rPr>
      <w:rFonts w:ascii="Courier New" w:hAnsi="Courier New" w:cs="Courier New"/>
      <w:sz w:val="20"/>
      <w:szCs w:val="20"/>
      <w:lang w:eastAsia="en-US"/>
    </w:rPr>
  </w:style>
  <w:style w:type="paragraph" w:customStyle="1" w:styleId="Mathtype">
    <w:name w:val="Mathtype"/>
    <w:basedOn w:val="Normal"/>
    <w:uiPriority w:val="99"/>
    <w:rsid w:val="00E51812"/>
  </w:style>
  <w:style w:type="paragraph" w:styleId="MessageHeader">
    <w:name w:val="Message Header"/>
    <w:basedOn w:val="Normal"/>
    <w:link w:val="MessageHeaderChar"/>
    <w:uiPriority w:val="99"/>
    <w:rsid w:val="00E518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eastAsia="en-AU"/>
    </w:rPr>
  </w:style>
  <w:style w:type="character" w:customStyle="1" w:styleId="MessageHeaderChar">
    <w:name w:val="Message Header Char"/>
    <w:basedOn w:val="DefaultParagraphFont"/>
    <w:link w:val="MessageHeader"/>
    <w:uiPriority w:val="99"/>
    <w:locked/>
    <w:rsid w:val="00E51812"/>
    <w:rPr>
      <w:rFonts w:ascii="Arial" w:hAnsi="Arial" w:cs="Arial"/>
      <w:sz w:val="24"/>
      <w:szCs w:val="24"/>
      <w:shd w:val="pct20" w:color="auto" w:fill="auto"/>
      <w:lang w:val="en-AU" w:eastAsia="en-AU" w:bidi="ar-SA"/>
    </w:rPr>
  </w:style>
  <w:style w:type="paragraph" w:styleId="NormalWeb">
    <w:name w:val="Normal (Web)"/>
    <w:basedOn w:val="Normal"/>
    <w:uiPriority w:val="99"/>
    <w:rsid w:val="00E51812"/>
    <w:rPr>
      <w:szCs w:val="24"/>
      <w:lang w:eastAsia="en-AU"/>
    </w:rPr>
  </w:style>
  <w:style w:type="paragraph" w:styleId="NormalIndent">
    <w:name w:val="Normal Indent"/>
    <w:basedOn w:val="Normal"/>
    <w:uiPriority w:val="99"/>
    <w:rsid w:val="00E51812"/>
    <w:pPr>
      <w:ind w:left="720"/>
    </w:pPr>
    <w:rPr>
      <w:sz w:val="22"/>
      <w:szCs w:val="24"/>
      <w:lang w:eastAsia="en-AU"/>
    </w:rPr>
  </w:style>
  <w:style w:type="paragraph" w:styleId="NoteHeading">
    <w:name w:val="Note Heading"/>
    <w:basedOn w:val="Normal"/>
    <w:next w:val="Normal"/>
    <w:link w:val="NoteHeadingChar"/>
    <w:uiPriority w:val="99"/>
    <w:rsid w:val="00E51812"/>
    <w:rPr>
      <w:sz w:val="22"/>
      <w:szCs w:val="24"/>
      <w:lang w:eastAsia="en-AU"/>
    </w:rPr>
  </w:style>
  <w:style w:type="character" w:customStyle="1" w:styleId="NoteHeadingChar">
    <w:name w:val="Note Heading Char"/>
    <w:basedOn w:val="DefaultParagraphFont"/>
    <w:link w:val="NoteHeading"/>
    <w:uiPriority w:val="99"/>
    <w:locked/>
    <w:rsid w:val="00E51812"/>
    <w:rPr>
      <w:rFonts w:cs="Times New Roman"/>
      <w:sz w:val="24"/>
      <w:szCs w:val="24"/>
      <w:lang w:val="en-AU" w:eastAsia="en-AU" w:bidi="ar-SA"/>
    </w:rPr>
  </w:style>
  <w:style w:type="paragraph" w:customStyle="1" w:styleId="parabullet">
    <w:name w:val="para bullet"/>
    <w:uiPriority w:val="99"/>
    <w:rsid w:val="00E51812"/>
    <w:pPr>
      <w:spacing w:before="240"/>
      <w:ind w:left="1843" w:hanging="284"/>
    </w:pPr>
    <w:rPr>
      <w:szCs w:val="24"/>
    </w:rPr>
  </w:style>
  <w:style w:type="paragraph" w:customStyle="1" w:styleId="notedraft">
    <w:name w:val="note(draft)"/>
    <w:aliases w:val="nd"/>
    <w:uiPriority w:val="99"/>
    <w:rsid w:val="00E51812"/>
    <w:pPr>
      <w:spacing w:before="240"/>
      <w:ind w:left="284" w:hanging="284"/>
    </w:pPr>
    <w:rPr>
      <w:i/>
      <w:sz w:val="24"/>
      <w:szCs w:val="24"/>
    </w:rPr>
  </w:style>
  <w:style w:type="paragraph" w:customStyle="1" w:styleId="notepara">
    <w:name w:val="note(para)"/>
    <w:aliases w:val="na"/>
    <w:basedOn w:val="notetext"/>
    <w:uiPriority w:val="99"/>
    <w:rsid w:val="00E51812"/>
    <w:pPr>
      <w:ind w:left="2353" w:hanging="709"/>
    </w:pPr>
  </w:style>
  <w:style w:type="paragraph" w:customStyle="1" w:styleId="noteParlAmend">
    <w:name w:val="note(ParlAmend)"/>
    <w:aliases w:val="npp"/>
    <w:next w:val="Normal"/>
    <w:uiPriority w:val="99"/>
    <w:rsid w:val="00E51812"/>
    <w:pPr>
      <w:jc w:val="right"/>
    </w:pPr>
    <w:rPr>
      <w:rFonts w:ascii="Arial" w:hAnsi="Arial" w:cs="Arial"/>
      <w:b/>
      <w:i/>
      <w:szCs w:val="24"/>
    </w:rPr>
  </w:style>
  <w:style w:type="paragraph" w:customStyle="1" w:styleId="NotesSection">
    <w:name w:val="NotesSection"/>
    <w:basedOn w:val="Normal"/>
    <w:uiPriority w:val="99"/>
    <w:rsid w:val="00E51812"/>
    <w:pPr>
      <w:spacing w:before="240"/>
    </w:pPr>
    <w:rPr>
      <w:rFonts w:ascii="Arial" w:hAnsi="Arial"/>
      <w:b/>
      <w:sz w:val="28"/>
    </w:rPr>
  </w:style>
  <w:style w:type="paragraph" w:customStyle="1" w:styleId="Page1">
    <w:name w:val="Page1"/>
    <w:basedOn w:val="Normal"/>
    <w:uiPriority w:val="99"/>
    <w:rsid w:val="00E51812"/>
    <w:pPr>
      <w:spacing w:before="400"/>
    </w:pPr>
    <w:rPr>
      <w:b/>
      <w:sz w:val="32"/>
    </w:rPr>
  </w:style>
  <w:style w:type="paragraph" w:customStyle="1" w:styleId="EndNoteChar">
    <w:name w:val="EndNote Char"/>
    <w:basedOn w:val="Normal"/>
    <w:uiPriority w:val="99"/>
    <w:rsid w:val="00E51812"/>
    <w:pPr>
      <w:spacing w:before="180"/>
    </w:pPr>
  </w:style>
  <w:style w:type="paragraph" w:customStyle="1" w:styleId="paragraph">
    <w:name w:val="paragraph"/>
    <w:aliases w:val="a"/>
    <w:uiPriority w:val="99"/>
    <w:rsid w:val="00E51812"/>
    <w:pPr>
      <w:tabs>
        <w:tab w:val="right" w:pos="1531"/>
      </w:tabs>
      <w:spacing w:before="40"/>
      <w:ind w:left="1644" w:hanging="1644"/>
    </w:pPr>
    <w:rPr>
      <w:szCs w:val="24"/>
    </w:rPr>
  </w:style>
  <w:style w:type="paragraph" w:customStyle="1" w:styleId="paragraphsub">
    <w:name w:val="paragraph(sub)"/>
    <w:aliases w:val="aa"/>
    <w:basedOn w:val="paragraph"/>
    <w:uiPriority w:val="99"/>
    <w:rsid w:val="00E51812"/>
    <w:pPr>
      <w:tabs>
        <w:tab w:val="clear" w:pos="1531"/>
        <w:tab w:val="right" w:pos="1985"/>
      </w:tabs>
      <w:ind w:left="2098" w:hanging="2098"/>
    </w:pPr>
  </w:style>
  <w:style w:type="paragraph" w:customStyle="1" w:styleId="paragraphsub-sub">
    <w:name w:val="paragraph(sub-sub)"/>
    <w:aliases w:val="aaa"/>
    <w:basedOn w:val="paragraph"/>
    <w:uiPriority w:val="99"/>
    <w:rsid w:val="00E51812"/>
    <w:pPr>
      <w:tabs>
        <w:tab w:val="clear" w:pos="1531"/>
        <w:tab w:val="right" w:pos="2722"/>
      </w:tabs>
      <w:ind w:left="2835" w:hanging="2835"/>
    </w:pPr>
  </w:style>
  <w:style w:type="paragraph" w:customStyle="1" w:styleId="ParlAmend">
    <w:name w:val="ParlAmend"/>
    <w:aliases w:val="pp"/>
    <w:uiPriority w:val="99"/>
    <w:rsid w:val="00E51812"/>
    <w:pPr>
      <w:spacing w:before="240" w:line="240" w:lineRule="atLeast"/>
      <w:ind w:hanging="567"/>
    </w:pPr>
    <w:rPr>
      <w:sz w:val="24"/>
      <w:szCs w:val="24"/>
    </w:rPr>
  </w:style>
  <w:style w:type="paragraph" w:customStyle="1" w:styleId="Portfolio">
    <w:name w:val="Portfolio"/>
    <w:uiPriority w:val="99"/>
    <w:rsid w:val="00E51812"/>
    <w:rPr>
      <w:i/>
      <w:sz w:val="20"/>
      <w:szCs w:val="24"/>
    </w:rPr>
  </w:style>
  <w:style w:type="paragraph" w:customStyle="1" w:styleId="Preamble">
    <w:name w:val="Preamble"/>
    <w:basedOn w:val="Heading5"/>
    <w:next w:val="Normal"/>
    <w:uiPriority w:val="99"/>
    <w:rsid w:val="00E51812"/>
    <w:pPr>
      <w:numPr>
        <w:ilvl w:val="0"/>
        <w:numId w:val="0"/>
      </w:numPr>
      <w:tabs>
        <w:tab w:val="num" w:pos="360"/>
        <w:tab w:val="center" w:pos="4513"/>
      </w:tabs>
      <w:outlineLvl w:val="9"/>
    </w:pPr>
    <w:rPr>
      <w:sz w:val="28"/>
    </w:rPr>
  </w:style>
  <w:style w:type="paragraph" w:customStyle="1" w:styleId="Reading">
    <w:name w:val="Reading"/>
    <w:uiPriority w:val="99"/>
    <w:rsid w:val="00E51812"/>
    <w:rPr>
      <w:i/>
      <w:sz w:val="20"/>
      <w:szCs w:val="24"/>
    </w:rPr>
  </w:style>
  <w:style w:type="paragraph" w:customStyle="1" w:styleId="ReprintDate">
    <w:name w:val="ReprintDate"/>
    <w:basedOn w:val="Normal"/>
    <w:uiPriority w:val="99"/>
    <w:rsid w:val="00E51812"/>
    <w:pPr>
      <w:spacing w:before="240"/>
    </w:pPr>
    <w:rPr>
      <w:b/>
      <w:sz w:val="28"/>
    </w:rPr>
  </w:style>
  <w:style w:type="paragraph" w:customStyle="1" w:styleId="SectHead">
    <w:name w:val="SectHead"/>
    <w:basedOn w:val="Heading5"/>
    <w:uiPriority w:val="99"/>
    <w:rsid w:val="00E51812"/>
    <w:pPr>
      <w:numPr>
        <w:ilvl w:val="0"/>
        <w:numId w:val="0"/>
      </w:numPr>
      <w:tabs>
        <w:tab w:val="num" w:pos="360"/>
      </w:tabs>
    </w:pPr>
  </w:style>
  <w:style w:type="paragraph" w:customStyle="1" w:styleId="Session">
    <w:name w:val="Session"/>
    <w:uiPriority w:val="99"/>
    <w:rsid w:val="00E51812"/>
    <w:rPr>
      <w:sz w:val="28"/>
      <w:szCs w:val="24"/>
    </w:rPr>
  </w:style>
  <w:style w:type="paragraph" w:customStyle="1" w:styleId="ShortT">
    <w:name w:val="ShortT"/>
    <w:basedOn w:val="Normal"/>
    <w:next w:val="Normal"/>
    <w:uiPriority w:val="99"/>
    <w:rsid w:val="00E51812"/>
    <w:pPr>
      <w:spacing w:before="360"/>
    </w:pPr>
    <w:rPr>
      <w:rFonts w:ascii="Times" w:hAnsi="Times"/>
      <w:b/>
      <w:sz w:val="40"/>
    </w:rPr>
  </w:style>
  <w:style w:type="paragraph" w:customStyle="1" w:styleId="Specialih">
    <w:name w:val="Special ih"/>
    <w:basedOn w:val="ItemHead"/>
    <w:uiPriority w:val="99"/>
    <w:rsid w:val="00E51812"/>
  </w:style>
  <w:style w:type="paragraph" w:customStyle="1" w:styleId="Sponsor">
    <w:name w:val="Sponsor"/>
    <w:uiPriority w:val="99"/>
    <w:rsid w:val="00E51812"/>
    <w:rPr>
      <w:i/>
      <w:szCs w:val="24"/>
    </w:rPr>
  </w:style>
  <w:style w:type="character" w:styleId="Strong">
    <w:name w:val="Strong"/>
    <w:basedOn w:val="DefaultParagraphFont"/>
    <w:uiPriority w:val="99"/>
    <w:qFormat/>
    <w:rsid w:val="00E51812"/>
    <w:rPr>
      <w:rFonts w:cs="Times New Roman"/>
      <w:b/>
      <w:bCs/>
    </w:rPr>
  </w:style>
  <w:style w:type="paragraph" w:customStyle="1" w:styleId="Subitem">
    <w:name w:val="Subitem"/>
    <w:aliases w:val="iss"/>
    <w:uiPriority w:val="99"/>
    <w:rsid w:val="00E51812"/>
    <w:pPr>
      <w:spacing w:before="180"/>
      <w:ind w:left="709" w:hanging="709"/>
    </w:pPr>
    <w:rPr>
      <w:szCs w:val="24"/>
    </w:rPr>
  </w:style>
  <w:style w:type="paragraph" w:customStyle="1" w:styleId="SubitemHead">
    <w:name w:val="SubitemHead"/>
    <w:aliases w:val="issh"/>
    <w:next w:val="Subitem"/>
    <w:uiPriority w:val="99"/>
    <w:rsid w:val="00E51812"/>
    <w:pPr>
      <w:keepNext/>
      <w:keepLines/>
      <w:spacing w:before="220"/>
      <w:ind w:left="709"/>
    </w:pPr>
    <w:rPr>
      <w:rFonts w:ascii="Arial" w:hAnsi="Arial" w:cs="Arial"/>
      <w:i/>
      <w:kern w:val="28"/>
      <w:szCs w:val="24"/>
    </w:rPr>
  </w:style>
  <w:style w:type="paragraph" w:customStyle="1" w:styleId="subsection2">
    <w:name w:val="subsection2"/>
    <w:aliases w:val="ss2"/>
    <w:next w:val="subsection"/>
    <w:uiPriority w:val="99"/>
    <w:rsid w:val="00E51812"/>
    <w:pPr>
      <w:spacing w:before="40"/>
      <w:ind w:left="1134"/>
    </w:pPr>
    <w:rPr>
      <w:szCs w:val="24"/>
    </w:rPr>
  </w:style>
  <w:style w:type="paragraph" w:customStyle="1" w:styleId="SubsectionHead">
    <w:name w:val="SubsectionHead"/>
    <w:aliases w:val="ssh"/>
    <w:next w:val="subsection"/>
    <w:uiPriority w:val="99"/>
    <w:rsid w:val="00E51812"/>
    <w:pPr>
      <w:keepNext/>
      <w:keepLines/>
      <w:spacing w:before="240"/>
      <w:ind w:left="1134"/>
    </w:pPr>
    <w:rPr>
      <w:i/>
      <w:szCs w:val="24"/>
    </w:rPr>
  </w:style>
  <w:style w:type="paragraph" w:styleId="Subtitle">
    <w:name w:val="Subtitle"/>
    <w:basedOn w:val="Normal"/>
    <w:link w:val="SubtitleChar"/>
    <w:qFormat/>
    <w:rsid w:val="00AF17FE"/>
    <w:pPr>
      <w:spacing w:after="60"/>
      <w:jc w:val="center"/>
      <w:outlineLvl w:val="1"/>
    </w:pPr>
    <w:rPr>
      <w:rFonts w:ascii="Arial" w:hAnsi="Arial"/>
    </w:rPr>
  </w:style>
  <w:style w:type="character" w:customStyle="1" w:styleId="SubtitleChar">
    <w:name w:val="Subtitle Char"/>
    <w:basedOn w:val="DefaultParagraphFont"/>
    <w:link w:val="Subtitle"/>
    <w:locked/>
    <w:rsid w:val="00E51812"/>
    <w:rPr>
      <w:rFonts w:ascii="Arial" w:hAnsi="Arial"/>
      <w:sz w:val="24"/>
      <w:szCs w:val="20"/>
      <w:lang w:eastAsia="en-US"/>
    </w:rPr>
  </w:style>
  <w:style w:type="character" w:customStyle="1" w:styleId="superscriptstyle">
    <w:name w:val="superscriptstyle"/>
    <w:basedOn w:val="DefaultParagraphFont"/>
    <w:uiPriority w:val="99"/>
    <w:rsid w:val="00E51812"/>
    <w:rPr>
      <w:rFonts w:ascii="Times New Roman" w:hAnsi="Times New Roman" w:cs="Times New Roman"/>
      <w:sz w:val="18"/>
      <w:szCs w:val="18"/>
      <w:vertAlign w:val="baseline"/>
    </w:rPr>
  </w:style>
  <w:style w:type="paragraph" w:styleId="TableofAuthorities">
    <w:name w:val="table of authorities"/>
    <w:basedOn w:val="Normal"/>
    <w:next w:val="Normal"/>
    <w:uiPriority w:val="99"/>
    <w:rsid w:val="00E51812"/>
    <w:pPr>
      <w:ind w:left="220" w:hanging="220"/>
    </w:pPr>
    <w:rPr>
      <w:sz w:val="22"/>
      <w:szCs w:val="24"/>
      <w:lang w:eastAsia="en-AU"/>
    </w:rPr>
  </w:style>
  <w:style w:type="paragraph" w:styleId="TableofFigures">
    <w:name w:val="table of figures"/>
    <w:basedOn w:val="Normal"/>
    <w:next w:val="Normal"/>
    <w:uiPriority w:val="99"/>
    <w:rsid w:val="00E51812"/>
    <w:pPr>
      <w:ind w:left="440" w:hanging="440"/>
    </w:pPr>
    <w:rPr>
      <w:sz w:val="22"/>
      <w:szCs w:val="24"/>
      <w:lang w:eastAsia="en-AU"/>
    </w:rPr>
  </w:style>
  <w:style w:type="paragraph" w:customStyle="1" w:styleId="Tablea">
    <w:name w:val="Table(a)"/>
    <w:aliases w:val="ta"/>
    <w:uiPriority w:val="99"/>
    <w:rsid w:val="00E51812"/>
    <w:pPr>
      <w:spacing w:before="60"/>
      <w:ind w:left="284" w:hanging="284"/>
    </w:pPr>
    <w:rPr>
      <w:sz w:val="20"/>
      <w:szCs w:val="24"/>
    </w:rPr>
  </w:style>
  <w:style w:type="paragraph" w:customStyle="1" w:styleId="Tablei">
    <w:name w:val="Table(i)"/>
    <w:aliases w:val="taa"/>
    <w:uiPriority w:val="99"/>
    <w:rsid w:val="00E51812"/>
    <w:pPr>
      <w:tabs>
        <w:tab w:val="left" w:pos="-6543"/>
        <w:tab w:val="left" w:pos="-6260"/>
        <w:tab w:val="right" w:pos="970"/>
      </w:tabs>
      <w:spacing w:line="240" w:lineRule="exact"/>
      <w:ind w:left="828" w:hanging="284"/>
    </w:pPr>
    <w:rPr>
      <w:sz w:val="20"/>
      <w:szCs w:val="24"/>
    </w:rPr>
  </w:style>
  <w:style w:type="paragraph" w:customStyle="1" w:styleId="TableAA">
    <w:name w:val="Table(AA)"/>
    <w:aliases w:val="taaa"/>
    <w:basedOn w:val="Tablei"/>
    <w:uiPriority w:val="99"/>
    <w:rsid w:val="00E51812"/>
    <w:pPr>
      <w:tabs>
        <w:tab w:val="clear" w:pos="970"/>
      </w:tabs>
      <w:ind w:left="1055"/>
    </w:pPr>
  </w:style>
  <w:style w:type="character" w:customStyle="1" w:styleId="EndNoteCharChar">
    <w:name w:val="EndNote Char Char"/>
    <w:basedOn w:val="DefaultParagraphFont"/>
    <w:uiPriority w:val="99"/>
    <w:rsid w:val="00E51812"/>
    <w:rPr>
      <w:rFonts w:cs="Times New Roman"/>
      <w:sz w:val="24"/>
      <w:szCs w:val="24"/>
      <w:lang w:val="en-AU" w:eastAsia="en-AU" w:bidi="ar-SA"/>
    </w:rPr>
  </w:style>
  <w:style w:type="paragraph" w:customStyle="1" w:styleId="TableA0">
    <w:name w:val="TableA"/>
    <w:basedOn w:val="Normal"/>
    <w:uiPriority w:val="99"/>
    <w:rsid w:val="00E51812"/>
    <w:pPr>
      <w:spacing w:before="120" w:after="120"/>
    </w:pPr>
    <w:rPr>
      <w:rFonts w:ascii="Arial" w:hAnsi="Arial"/>
      <w:b/>
    </w:rPr>
  </w:style>
  <w:style w:type="paragraph" w:customStyle="1" w:styleId="TableAHead">
    <w:name w:val="TableAHead"/>
    <w:basedOn w:val="TableA0"/>
    <w:uiPriority w:val="99"/>
    <w:rsid w:val="00E51812"/>
    <w:rPr>
      <w:sz w:val="22"/>
    </w:rPr>
  </w:style>
  <w:style w:type="paragraph" w:customStyle="1" w:styleId="TableAHeadItal">
    <w:name w:val="TableAHeadItal"/>
    <w:basedOn w:val="TableAHead"/>
    <w:uiPriority w:val="99"/>
    <w:rsid w:val="00E51812"/>
    <w:pPr>
      <w:ind w:left="709" w:hanging="709"/>
    </w:pPr>
    <w:rPr>
      <w:rFonts w:ascii="Times" w:hAnsi="Times"/>
      <w:b w:val="0"/>
      <w:i/>
    </w:rPr>
  </w:style>
  <w:style w:type="paragraph" w:customStyle="1" w:styleId="TableOfActs1">
    <w:name w:val="TableOfActs(1)"/>
    <w:basedOn w:val="Normal"/>
    <w:uiPriority w:val="99"/>
    <w:rsid w:val="00E51812"/>
    <w:pPr>
      <w:spacing w:before="60" w:line="180" w:lineRule="exact"/>
      <w:ind w:left="142" w:hanging="142"/>
    </w:pPr>
    <w:rPr>
      <w:rFonts w:ascii="Arial" w:hAnsi="Arial"/>
      <w:i/>
      <w:sz w:val="16"/>
    </w:rPr>
  </w:style>
  <w:style w:type="paragraph" w:customStyle="1" w:styleId="TableOfActs2">
    <w:name w:val="TableOfActs(2)"/>
    <w:basedOn w:val="TableOfActs1"/>
    <w:uiPriority w:val="99"/>
    <w:rsid w:val="00E51812"/>
    <w:pPr>
      <w:ind w:left="0" w:firstLine="0"/>
    </w:pPr>
    <w:rPr>
      <w:i w:val="0"/>
    </w:rPr>
  </w:style>
  <w:style w:type="paragraph" w:customStyle="1" w:styleId="TableOfActsHead">
    <w:name w:val="TableOfActsHead"/>
    <w:basedOn w:val="Normal"/>
    <w:uiPriority w:val="99"/>
    <w:rsid w:val="00E51812"/>
    <w:pPr>
      <w:spacing w:before="240" w:after="240"/>
    </w:pPr>
    <w:rPr>
      <w:rFonts w:ascii="Arial" w:hAnsi="Arial"/>
      <w:b/>
    </w:rPr>
  </w:style>
  <w:style w:type="paragraph" w:customStyle="1" w:styleId="TableOfAmend0pt">
    <w:name w:val="TableOfAmend0pt"/>
    <w:basedOn w:val="TableOfAmend"/>
    <w:uiPriority w:val="99"/>
    <w:rsid w:val="00E51812"/>
    <w:pPr>
      <w:spacing w:before="0"/>
    </w:pPr>
  </w:style>
  <w:style w:type="paragraph" w:customStyle="1" w:styleId="TableOfAmendHead">
    <w:name w:val="TableOfAmendHead"/>
    <w:basedOn w:val="Normal"/>
    <w:uiPriority w:val="99"/>
    <w:rsid w:val="00E51812"/>
    <w:pPr>
      <w:tabs>
        <w:tab w:val="right" w:pos="1021"/>
      </w:tabs>
      <w:spacing w:before="240" w:after="240"/>
      <w:ind w:left="1134" w:hanging="1134"/>
    </w:pPr>
    <w:rPr>
      <w:rFonts w:ascii="Arial" w:hAnsi="Arial"/>
      <w:b/>
    </w:rPr>
  </w:style>
  <w:style w:type="paragraph" w:customStyle="1" w:styleId="Tabletext0">
    <w:name w:val="Tabletext"/>
    <w:aliases w:val="tt"/>
    <w:uiPriority w:val="99"/>
    <w:rsid w:val="00E51812"/>
    <w:pPr>
      <w:spacing w:before="60" w:line="240" w:lineRule="atLeast"/>
    </w:pPr>
    <w:rPr>
      <w:sz w:val="20"/>
      <w:szCs w:val="24"/>
    </w:rPr>
  </w:style>
  <w:style w:type="paragraph" w:customStyle="1" w:styleId="TableColHead">
    <w:name w:val="TableColHead"/>
    <w:basedOn w:val="Normal"/>
    <w:uiPriority w:val="99"/>
    <w:rsid w:val="00E51812"/>
    <w:pPr>
      <w:keepNext/>
      <w:spacing w:before="120" w:after="60" w:line="200" w:lineRule="exact"/>
    </w:pPr>
    <w:rPr>
      <w:rFonts w:ascii="Arial" w:hAnsi="Arial"/>
      <w:b/>
      <w:sz w:val="18"/>
    </w:rPr>
  </w:style>
  <w:style w:type="paragraph" w:customStyle="1" w:styleId="TLPBoxTextnote">
    <w:name w:val="TLPBoxText(note"/>
    <w:aliases w:val="right)"/>
    <w:uiPriority w:val="99"/>
    <w:rsid w:val="00E5181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Link">
    <w:name w:val="TLPLink"/>
    <w:basedOn w:val="Heading9"/>
    <w:uiPriority w:val="99"/>
    <w:rsid w:val="00E51812"/>
    <w:pPr>
      <w:numPr>
        <w:ilvl w:val="0"/>
        <w:numId w:val="0"/>
      </w:numPr>
      <w:tabs>
        <w:tab w:val="num" w:pos="360"/>
      </w:tabs>
      <w:spacing w:before="360"/>
      <w:outlineLvl w:val="9"/>
    </w:pPr>
    <w:rPr>
      <w:b w:val="0"/>
      <w:sz w:val="20"/>
    </w:rPr>
  </w:style>
  <w:style w:type="paragraph" w:customStyle="1" w:styleId="TLPNotebullet">
    <w:name w:val="TLPNote(bullet)"/>
    <w:uiPriority w:val="99"/>
    <w:rsid w:val="00E51812"/>
    <w:pPr>
      <w:numPr>
        <w:numId w:val="20"/>
      </w:numPr>
      <w:tabs>
        <w:tab w:val="clear" w:pos="2520"/>
        <w:tab w:val="left" w:pos="2160"/>
        <w:tab w:val="left" w:pos="2517"/>
      </w:tabs>
      <w:spacing w:before="60" w:line="198" w:lineRule="exact"/>
      <w:ind w:left="2625" w:hanging="357"/>
    </w:pPr>
    <w:rPr>
      <w:sz w:val="18"/>
      <w:szCs w:val="20"/>
    </w:rPr>
  </w:style>
  <w:style w:type="paragraph" w:customStyle="1" w:styleId="TLPnoteright">
    <w:name w:val="TLPnote(right)"/>
    <w:aliases w:val="nr"/>
    <w:uiPriority w:val="99"/>
    <w:rsid w:val="00E51812"/>
    <w:pPr>
      <w:spacing w:before="122" w:line="198" w:lineRule="exact"/>
      <w:ind w:left="1985" w:hanging="851"/>
      <w:jc w:val="right"/>
    </w:pPr>
    <w:rPr>
      <w:sz w:val="18"/>
      <w:szCs w:val="24"/>
    </w:rPr>
  </w:style>
  <w:style w:type="paragraph" w:customStyle="1" w:styleId="TLPTableBullet">
    <w:name w:val="TLPTableBullet"/>
    <w:aliases w:val="ttb"/>
    <w:uiPriority w:val="99"/>
    <w:rsid w:val="00E51812"/>
    <w:pPr>
      <w:spacing w:line="240" w:lineRule="exact"/>
      <w:ind w:left="284" w:hanging="284"/>
    </w:pPr>
    <w:rPr>
      <w:sz w:val="20"/>
      <w:szCs w:val="24"/>
    </w:rPr>
  </w:style>
  <w:style w:type="paragraph" w:styleId="TOAHeading">
    <w:name w:val="toa heading"/>
    <w:basedOn w:val="Normal"/>
    <w:next w:val="Normal"/>
    <w:uiPriority w:val="99"/>
    <w:rsid w:val="00E51812"/>
    <w:pPr>
      <w:spacing w:before="120"/>
    </w:pPr>
    <w:rPr>
      <w:rFonts w:ascii="Arial" w:hAnsi="Arial" w:cs="Arial"/>
      <w:b/>
      <w:bCs/>
      <w:szCs w:val="24"/>
      <w:lang w:eastAsia="en-AU"/>
    </w:rPr>
  </w:style>
  <w:style w:type="paragraph" w:customStyle="1" w:styleId="TOAmRenumbered">
    <w:name w:val="TOAmRenumbered"/>
    <w:basedOn w:val="TableOfAmend"/>
    <w:uiPriority w:val="99"/>
    <w:rsid w:val="00E51812"/>
    <w:pPr>
      <w:ind w:left="0" w:firstLine="0"/>
    </w:pPr>
  </w:style>
  <w:style w:type="paragraph" w:customStyle="1" w:styleId="TofSectsGroupHeading">
    <w:name w:val="TofSects(GroupHeading)"/>
    <w:basedOn w:val="TOC4"/>
    <w:next w:val="Normal"/>
    <w:uiPriority w:val="99"/>
    <w:rsid w:val="00E51812"/>
    <w:pPr>
      <w:tabs>
        <w:tab w:val="clear" w:pos="2000"/>
        <w:tab w:val="left" w:pos="1800"/>
      </w:tabs>
      <w:spacing w:before="240" w:after="120"/>
      <w:ind w:left="794" w:right="0" w:firstLine="0"/>
    </w:pPr>
  </w:style>
  <w:style w:type="paragraph" w:customStyle="1" w:styleId="TofSectsHeading">
    <w:name w:val="TofSects(Heading)"/>
    <w:basedOn w:val="TOC5"/>
    <w:next w:val="Normal"/>
    <w:uiPriority w:val="99"/>
    <w:rsid w:val="00E51812"/>
    <w:pPr>
      <w:spacing w:before="240" w:after="120"/>
      <w:ind w:left="0" w:right="0" w:firstLine="0"/>
    </w:pPr>
    <w:rPr>
      <w:b/>
      <w:sz w:val="24"/>
    </w:rPr>
  </w:style>
  <w:style w:type="paragraph" w:customStyle="1" w:styleId="TofSectsSection">
    <w:name w:val="TofSects(Section)"/>
    <w:basedOn w:val="TOC5"/>
    <w:uiPriority w:val="99"/>
    <w:rsid w:val="00E51812"/>
    <w:pPr>
      <w:ind w:left="1588" w:right="0" w:hanging="794"/>
    </w:pPr>
  </w:style>
  <w:style w:type="paragraph" w:customStyle="1" w:styleId="TofSectsSubdiv">
    <w:name w:val="TofSects(Subdiv)"/>
    <w:basedOn w:val="TOC4"/>
    <w:uiPriority w:val="99"/>
    <w:rsid w:val="00E51812"/>
    <w:pPr>
      <w:tabs>
        <w:tab w:val="clear" w:pos="2000"/>
        <w:tab w:val="left" w:pos="1800"/>
      </w:tabs>
      <w:ind w:left="1588" w:right="0" w:hanging="794"/>
    </w:pPr>
    <w:rPr>
      <w:b w:val="0"/>
      <w:sz w:val="22"/>
    </w:rPr>
  </w:style>
  <w:style w:type="paragraph" w:customStyle="1" w:styleId="ScalePlusRef">
    <w:name w:val="ScalePlusRef"/>
    <w:basedOn w:val="Normal"/>
    <w:uiPriority w:val="99"/>
    <w:rsid w:val="00E51812"/>
    <w:rPr>
      <w:sz w:val="18"/>
    </w:rPr>
  </w:style>
  <w:style w:type="character" w:customStyle="1" w:styleId="CharENotesHeading">
    <w:name w:val="CharENotesHeading"/>
    <w:basedOn w:val="DefaultParagraphFont"/>
    <w:uiPriority w:val="99"/>
    <w:rsid w:val="00E51812"/>
    <w:rPr>
      <w:rFonts w:cs="Times New Roman"/>
    </w:rPr>
  </w:style>
  <w:style w:type="paragraph" w:customStyle="1" w:styleId="TableENotesHeadingAmdt">
    <w:name w:val="TableENotesHeadingAmdt"/>
    <w:basedOn w:val="Normal"/>
    <w:next w:val="TableOfAmendHead"/>
    <w:uiPriority w:val="99"/>
    <w:rsid w:val="00E51812"/>
    <w:pPr>
      <w:pageBreakBefore/>
      <w:spacing w:before="240" w:after="240" w:line="300" w:lineRule="exact"/>
      <w:ind w:left="2410" w:hanging="2410"/>
    </w:pPr>
    <w:rPr>
      <w:rFonts w:ascii="Arial" w:hAnsi="Arial"/>
      <w:b/>
      <w:noProof/>
      <w:sz w:val="28"/>
    </w:rPr>
  </w:style>
  <w:style w:type="paragraph" w:customStyle="1" w:styleId="headerpartodd0">
    <w:name w:val="header.part.odd"/>
    <w:basedOn w:val="Normal"/>
    <w:uiPriority w:val="99"/>
    <w:rsid w:val="00E51812"/>
    <w:pPr>
      <w:keepNext/>
    </w:pPr>
    <w:rPr>
      <w:rFonts w:ascii="Times" w:hAnsi="Times"/>
      <w:sz w:val="20"/>
    </w:rPr>
  </w:style>
  <w:style w:type="paragraph" w:customStyle="1" w:styleId="00Spine">
    <w:name w:val="00Spine"/>
    <w:basedOn w:val="Normal"/>
    <w:rsid w:val="00AF17FE"/>
  </w:style>
  <w:style w:type="paragraph" w:customStyle="1" w:styleId="05Endnote0">
    <w:name w:val="05Endnote"/>
    <w:basedOn w:val="Normal"/>
    <w:rsid w:val="00AF17FE"/>
  </w:style>
  <w:style w:type="paragraph" w:customStyle="1" w:styleId="06Copyright">
    <w:name w:val="06Copyright"/>
    <w:basedOn w:val="Normal"/>
    <w:rsid w:val="00AF17FE"/>
  </w:style>
  <w:style w:type="paragraph" w:customStyle="1" w:styleId="RepubNo">
    <w:name w:val="RepubNo"/>
    <w:basedOn w:val="BillBasicHeading"/>
    <w:rsid w:val="00AF17FE"/>
    <w:pPr>
      <w:keepNext w:val="0"/>
      <w:spacing w:before="600"/>
      <w:jc w:val="both"/>
    </w:pPr>
    <w:rPr>
      <w:sz w:val="26"/>
    </w:rPr>
  </w:style>
  <w:style w:type="paragraph" w:customStyle="1" w:styleId="EffectiveDate">
    <w:name w:val="EffectiveDate"/>
    <w:basedOn w:val="Normal"/>
    <w:rsid w:val="00AF17FE"/>
    <w:pPr>
      <w:spacing w:before="120"/>
    </w:pPr>
    <w:rPr>
      <w:rFonts w:ascii="Arial" w:hAnsi="Arial"/>
      <w:b/>
      <w:sz w:val="26"/>
    </w:rPr>
  </w:style>
  <w:style w:type="paragraph" w:customStyle="1" w:styleId="CoverInForce">
    <w:name w:val="CoverInForce"/>
    <w:basedOn w:val="BillBasicHeading"/>
    <w:rsid w:val="00AF17FE"/>
    <w:pPr>
      <w:keepNext w:val="0"/>
      <w:spacing w:before="400"/>
    </w:pPr>
    <w:rPr>
      <w:b w:val="0"/>
    </w:rPr>
  </w:style>
  <w:style w:type="paragraph" w:customStyle="1" w:styleId="CoverHeading">
    <w:name w:val="CoverHeading"/>
    <w:basedOn w:val="Normal"/>
    <w:rsid w:val="00AF17FE"/>
    <w:rPr>
      <w:rFonts w:ascii="Arial" w:hAnsi="Arial"/>
      <w:b/>
    </w:rPr>
  </w:style>
  <w:style w:type="paragraph" w:customStyle="1" w:styleId="CoverSubHdg">
    <w:name w:val="CoverSubHdg"/>
    <w:basedOn w:val="CoverHeading"/>
    <w:rsid w:val="00AF17FE"/>
    <w:pPr>
      <w:spacing w:before="120"/>
    </w:pPr>
    <w:rPr>
      <w:sz w:val="20"/>
    </w:rPr>
  </w:style>
  <w:style w:type="paragraph" w:customStyle="1" w:styleId="CoverActName">
    <w:name w:val="CoverActName"/>
    <w:basedOn w:val="BillBasicHeading"/>
    <w:rsid w:val="00AF17FE"/>
    <w:pPr>
      <w:keepNext w:val="0"/>
      <w:spacing w:before="260"/>
    </w:pPr>
  </w:style>
  <w:style w:type="paragraph" w:customStyle="1" w:styleId="CoverText">
    <w:name w:val="CoverText"/>
    <w:basedOn w:val="Normal"/>
    <w:uiPriority w:val="99"/>
    <w:rsid w:val="00AF17FE"/>
    <w:pPr>
      <w:spacing w:before="100"/>
      <w:jc w:val="both"/>
    </w:pPr>
    <w:rPr>
      <w:sz w:val="20"/>
    </w:rPr>
  </w:style>
  <w:style w:type="paragraph" w:customStyle="1" w:styleId="CoverTextPara">
    <w:name w:val="CoverTextPara"/>
    <w:basedOn w:val="CoverText"/>
    <w:rsid w:val="00AF17FE"/>
    <w:pPr>
      <w:tabs>
        <w:tab w:val="right" w:pos="600"/>
        <w:tab w:val="left" w:pos="840"/>
      </w:tabs>
      <w:ind w:left="840" w:hanging="840"/>
    </w:pPr>
  </w:style>
  <w:style w:type="paragraph" w:customStyle="1" w:styleId="AH1ChapterSymb">
    <w:name w:val="A H1 Chapter Symb"/>
    <w:basedOn w:val="AH1Chapter"/>
    <w:next w:val="AH2Part"/>
    <w:rsid w:val="00AF17FE"/>
    <w:pPr>
      <w:tabs>
        <w:tab w:val="clear" w:pos="2600"/>
        <w:tab w:val="left" w:pos="0"/>
      </w:tabs>
      <w:ind w:left="2480" w:hanging="2960"/>
    </w:pPr>
  </w:style>
  <w:style w:type="paragraph" w:customStyle="1" w:styleId="AH2PartSymb">
    <w:name w:val="A H2 Part Symb"/>
    <w:basedOn w:val="AH2Part"/>
    <w:next w:val="AH3Div"/>
    <w:rsid w:val="00AF17FE"/>
    <w:pPr>
      <w:tabs>
        <w:tab w:val="clear" w:pos="2600"/>
        <w:tab w:val="left" w:pos="0"/>
      </w:tabs>
      <w:ind w:left="2480" w:hanging="2960"/>
    </w:pPr>
  </w:style>
  <w:style w:type="paragraph" w:customStyle="1" w:styleId="AH3DivSymb">
    <w:name w:val="A H3 Div Symb"/>
    <w:basedOn w:val="AH3Div"/>
    <w:next w:val="AH5Sec"/>
    <w:rsid w:val="00AF17FE"/>
    <w:pPr>
      <w:tabs>
        <w:tab w:val="clear" w:pos="2600"/>
        <w:tab w:val="left" w:pos="0"/>
      </w:tabs>
      <w:ind w:left="2480" w:hanging="2960"/>
    </w:pPr>
  </w:style>
  <w:style w:type="paragraph" w:customStyle="1" w:styleId="AH4SubDivSymb">
    <w:name w:val="A H4 SubDiv Symb"/>
    <w:basedOn w:val="AH4SubDiv"/>
    <w:next w:val="AH5Sec"/>
    <w:rsid w:val="00AF17FE"/>
    <w:pPr>
      <w:tabs>
        <w:tab w:val="clear" w:pos="2600"/>
        <w:tab w:val="left" w:pos="0"/>
      </w:tabs>
      <w:ind w:left="2480" w:hanging="2960"/>
    </w:pPr>
  </w:style>
  <w:style w:type="paragraph" w:customStyle="1" w:styleId="AH5SecSymb">
    <w:name w:val="A H5 Sec Symb"/>
    <w:basedOn w:val="AH5Sec"/>
    <w:next w:val="Amain"/>
    <w:rsid w:val="00AF17FE"/>
    <w:pPr>
      <w:tabs>
        <w:tab w:val="clear" w:pos="1100"/>
        <w:tab w:val="left" w:pos="0"/>
      </w:tabs>
      <w:ind w:hanging="1580"/>
    </w:pPr>
  </w:style>
  <w:style w:type="paragraph" w:customStyle="1" w:styleId="AmainSymb">
    <w:name w:val="A main Symb"/>
    <w:basedOn w:val="Amain"/>
    <w:rsid w:val="00AF17FE"/>
    <w:pPr>
      <w:tabs>
        <w:tab w:val="left" w:pos="0"/>
      </w:tabs>
      <w:ind w:left="1120" w:hanging="1600"/>
    </w:pPr>
  </w:style>
  <w:style w:type="paragraph" w:customStyle="1" w:styleId="AparaSymb">
    <w:name w:val="A para Symb"/>
    <w:basedOn w:val="Apara"/>
    <w:rsid w:val="00AF17FE"/>
    <w:pPr>
      <w:tabs>
        <w:tab w:val="right" w:pos="0"/>
      </w:tabs>
      <w:ind w:hanging="2080"/>
    </w:pPr>
  </w:style>
  <w:style w:type="paragraph" w:customStyle="1" w:styleId="Assectheading">
    <w:name w:val="A ssect heading"/>
    <w:basedOn w:val="Amain"/>
    <w:rsid w:val="00AF17FE"/>
    <w:pPr>
      <w:keepNext/>
      <w:tabs>
        <w:tab w:val="clear" w:pos="900"/>
        <w:tab w:val="clear" w:pos="1100"/>
      </w:tabs>
      <w:spacing w:before="300"/>
      <w:ind w:left="0" w:firstLine="0"/>
      <w:outlineLvl w:val="9"/>
    </w:pPr>
    <w:rPr>
      <w:i/>
    </w:rPr>
  </w:style>
  <w:style w:type="paragraph" w:customStyle="1" w:styleId="AsubparaSymb">
    <w:name w:val="A subpara Symb"/>
    <w:basedOn w:val="Asubpara"/>
    <w:rsid w:val="00AF17FE"/>
    <w:pPr>
      <w:tabs>
        <w:tab w:val="left" w:pos="0"/>
      </w:tabs>
      <w:ind w:left="2098" w:hanging="2580"/>
    </w:pPr>
  </w:style>
  <w:style w:type="paragraph" w:customStyle="1" w:styleId="Actdetails">
    <w:name w:val="Act details"/>
    <w:basedOn w:val="Normal"/>
    <w:rsid w:val="00AF17FE"/>
    <w:pPr>
      <w:spacing w:before="20"/>
      <w:ind w:left="1400"/>
    </w:pPr>
    <w:rPr>
      <w:rFonts w:ascii="Arial" w:hAnsi="Arial"/>
      <w:sz w:val="20"/>
    </w:rPr>
  </w:style>
  <w:style w:type="paragraph" w:customStyle="1" w:styleId="AmdtEntries">
    <w:name w:val="AmdtEntries"/>
    <w:basedOn w:val="BillBasicHeading"/>
    <w:rsid w:val="00AF17FE"/>
    <w:pPr>
      <w:keepNext w:val="0"/>
      <w:tabs>
        <w:tab w:val="clear" w:pos="2600"/>
      </w:tabs>
      <w:spacing w:before="0"/>
      <w:ind w:left="3200" w:hanging="2100"/>
    </w:pPr>
    <w:rPr>
      <w:sz w:val="18"/>
    </w:rPr>
  </w:style>
  <w:style w:type="paragraph" w:customStyle="1" w:styleId="AmdtEntriesDefL2">
    <w:name w:val="AmdtEntriesDefL2"/>
    <w:basedOn w:val="AmdtEntries"/>
    <w:rsid w:val="00AF17FE"/>
    <w:pPr>
      <w:tabs>
        <w:tab w:val="left" w:pos="3000"/>
      </w:tabs>
      <w:ind w:left="3600" w:hanging="2500"/>
    </w:pPr>
  </w:style>
  <w:style w:type="paragraph" w:customStyle="1" w:styleId="AmdtsEntriesDefL2">
    <w:name w:val="AmdtsEntriesDefL2"/>
    <w:basedOn w:val="Normal"/>
    <w:rsid w:val="00AF17FE"/>
    <w:pPr>
      <w:tabs>
        <w:tab w:val="left" w:pos="3000"/>
      </w:tabs>
      <w:ind w:left="3100" w:hanging="2000"/>
    </w:pPr>
    <w:rPr>
      <w:rFonts w:ascii="Arial" w:hAnsi="Arial"/>
      <w:sz w:val="18"/>
    </w:rPr>
  </w:style>
  <w:style w:type="paragraph" w:customStyle="1" w:styleId="AmdtsEntries">
    <w:name w:val="AmdtsEntries"/>
    <w:basedOn w:val="BillBasicHeading"/>
    <w:rsid w:val="00AF17F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F17FE"/>
    <w:pPr>
      <w:tabs>
        <w:tab w:val="clear" w:pos="2600"/>
      </w:tabs>
      <w:spacing w:before="120"/>
      <w:ind w:left="1100"/>
    </w:pPr>
    <w:rPr>
      <w:sz w:val="18"/>
    </w:rPr>
  </w:style>
  <w:style w:type="paragraph" w:customStyle="1" w:styleId="Asamby">
    <w:name w:val="As am by"/>
    <w:basedOn w:val="Normal"/>
    <w:next w:val="Normal"/>
    <w:rsid w:val="00AF17FE"/>
    <w:pPr>
      <w:spacing w:before="240"/>
      <w:ind w:left="1100"/>
    </w:pPr>
    <w:rPr>
      <w:rFonts w:ascii="Arial" w:hAnsi="Arial"/>
      <w:sz w:val="20"/>
    </w:rPr>
  </w:style>
  <w:style w:type="character" w:customStyle="1" w:styleId="charSymb">
    <w:name w:val="charSymb"/>
    <w:basedOn w:val="DefaultParagraphFont"/>
    <w:rsid w:val="00AF17FE"/>
    <w:rPr>
      <w:rFonts w:ascii="Arial" w:hAnsi="Arial"/>
      <w:sz w:val="24"/>
      <w:bdr w:val="single" w:sz="4" w:space="0" w:color="auto"/>
    </w:rPr>
  </w:style>
  <w:style w:type="character" w:customStyle="1" w:styleId="charTableNo">
    <w:name w:val="charTableNo"/>
    <w:basedOn w:val="DefaultParagraphFont"/>
    <w:rsid w:val="00AF17FE"/>
  </w:style>
  <w:style w:type="character" w:customStyle="1" w:styleId="charTableText">
    <w:name w:val="charTableText"/>
    <w:basedOn w:val="DefaultParagraphFont"/>
    <w:rsid w:val="00AF17FE"/>
  </w:style>
  <w:style w:type="paragraph" w:customStyle="1" w:styleId="Dict-HeadingSymb">
    <w:name w:val="Dict-Heading Symb"/>
    <w:basedOn w:val="Dict-Heading"/>
    <w:rsid w:val="00AF17FE"/>
    <w:pPr>
      <w:tabs>
        <w:tab w:val="left" w:pos="0"/>
      </w:tabs>
      <w:ind w:left="2480" w:hanging="2960"/>
    </w:pPr>
  </w:style>
  <w:style w:type="paragraph" w:customStyle="1" w:styleId="EarlierRepubEntries">
    <w:name w:val="EarlierRepubEntries"/>
    <w:basedOn w:val="Normal"/>
    <w:rsid w:val="00AF17FE"/>
    <w:pPr>
      <w:spacing w:before="60" w:after="60"/>
    </w:pPr>
    <w:rPr>
      <w:rFonts w:ascii="Arial" w:hAnsi="Arial"/>
      <w:sz w:val="18"/>
    </w:rPr>
  </w:style>
  <w:style w:type="paragraph" w:customStyle="1" w:styleId="EarlierRepubHdg">
    <w:name w:val="EarlierRepubHdg"/>
    <w:basedOn w:val="Normal"/>
    <w:rsid w:val="00AF17FE"/>
    <w:pPr>
      <w:keepNext/>
    </w:pPr>
    <w:rPr>
      <w:rFonts w:ascii="Arial" w:hAnsi="Arial"/>
      <w:b/>
      <w:sz w:val="20"/>
    </w:rPr>
  </w:style>
  <w:style w:type="paragraph" w:customStyle="1" w:styleId="Endnote20">
    <w:name w:val="Endnote2"/>
    <w:basedOn w:val="Normal"/>
    <w:rsid w:val="00AF17FE"/>
    <w:pPr>
      <w:keepNext/>
      <w:tabs>
        <w:tab w:val="left" w:pos="1100"/>
      </w:tabs>
      <w:spacing w:before="360"/>
    </w:pPr>
    <w:rPr>
      <w:rFonts w:ascii="Arial" w:hAnsi="Arial"/>
      <w:b/>
    </w:rPr>
  </w:style>
  <w:style w:type="paragraph" w:customStyle="1" w:styleId="Endnote3">
    <w:name w:val="Endnote3"/>
    <w:basedOn w:val="Normal"/>
    <w:rsid w:val="00AF17F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F17F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F17FE"/>
    <w:pPr>
      <w:spacing w:before="60"/>
      <w:ind w:left="1100"/>
      <w:jc w:val="both"/>
    </w:pPr>
    <w:rPr>
      <w:sz w:val="20"/>
    </w:rPr>
  </w:style>
  <w:style w:type="paragraph" w:customStyle="1" w:styleId="EndNoteParas">
    <w:name w:val="EndNoteParas"/>
    <w:basedOn w:val="EndNoteTextEPS"/>
    <w:rsid w:val="00AF17FE"/>
    <w:pPr>
      <w:tabs>
        <w:tab w:val="right" w:pos="1432"/>
      </w:tabs>
      <w:ind w:left="1840" w:hanging="1840"/>
    </w:pPr>
  </w:style>
  <w:style w:type="paragraph" w:customStyle="1" w:styleId="EndnotesAbbrev">
    <w:name w:val="EndnotesAbbrev"/>
    <w:basedOn w:val="Normal"/>
    <w:rsid w:val="00AF17FE"/>
    <w:pPr>
      <w:spacing w:before="20"/>
    </w:pPr>
    <w:rPr>
      <w:rFonts w:ascii="Arial" w:hAnsi="Arial"/>
      <w:color w:val="000000"/>
      <w:sz w:val="16"/>
    </w:rPr>
  </w:style>
  <w:style w:type="paragraph" w:customStyle="1" w:styleId="EPSCoverTop">
    <w:name w:val="EPSCoverTop"/>
    <w:basedOn w:val="Normal"/>
    <w:rsid w:val="00AF17FE"/>
    <w:pPr>
      <w:jc w:val="right"/>
    </w:pPr>
    <w:rPr>
      <w:rFonts w:ascii="Arial" w:hAnsi="Arial"/>
      <w:sz w:val="20"/>
    </w:rPr>
  </w:style>
  <w:style w:type="paragraph" w:customStyle="1" w:styleId="FooterInfoCentre">
    <w:name w:val="FooterInfoCentre"/>
    <w:basedOn w:val="FooterInfo"/>
    <w:rsid w:val="00AF17FE"/>
    <w:pPr>
      <w:spacing w:before="60"/>
      <w:jc w:val="center"/>
    </w:pPr>
  </w:style>
  <w:style w:type="paragraph" w:customStyle="1" w:styleId="LegHistNote">
    <w:name w:val="LegHistNote"/>
    <w:basedOn w:val="Actdetails"/>
    <w:rsid w:val="00AF17FE"/>
    <w:pPr>
      <w:spacing w:before="60"/>
      <w:ind w:left="2700" w:right="-60" w:hanging="1300"/>
    </w:pPr>
    <w:rPr>
      <w:sz w:val="18"/>
    </w:rPr>
  </w:style>
  <w:style w:type="paragraph" w:customStyle="1" w:styleId="LongTitleSymb">
    <w:name w:val="LongTitleSymb"/>
    <w:basedOn w:val="LongTitle"/>
    <w:rsid w:val="00AF17FE"/>
    <w:pPr>
      <w:ind w:hanging="480"/>
    </w:pPr>
  </w:style>
  <w:style w:type="paragraph" w:customStyle="1" w:styleId="ModaNote">
    <w:name w:val="Mod aNote"/>
    <w:basedOn w:val="aNoteSymb"/>
    <w:rsid w:val="00AF17FE"/>
    <w:pPr>
      <w:tabs>
        <w:tab w:val="left" w:pos="2600"/>
      </w:tabs>
      <w:ind w:left="2600"/>
    </w:pPr>
  </w:style>
  <w:style w:type="paragraph" w:customStyle="1" w:styleId="ModH1Chapter">
    <w:name w:val="Mod H1 Chapter"/>
    <w:basedOn w:val="IH1ChapSymb"/>
    <w:rsid w:val="00AF17FE"/>
    <w:pPr>
      <w:tabs>
        <w:tab w:val="clear" w:pos="2600"/>
        <w:tab w:val="left" w:pos="3300"/>
      </w:tabs>
      <w:ind w:left="3300"/>
    </w:pPr>
  </w:style>
  <w:style w:type="paragraph" w:customStyle="1" w:styleId="IH1ChapSymb">
    <w:name w:val="I H1 Chap Symb"/>
    <w:basedOn w:val="BillBasicHeading"/>
    <w:next w:val="Normal"/>
    <w:rsid w:val="00AF17FE"/>
    <w:pPr>
      <w:tabs>
        <w:tab w:val="left" w:pos="-3080"/>
        <w:tab w:val="left" w:pos="0"/>
      </w:tabs>
      <w:spacing w:before="320"/>
      <w:ind w:left="2600" w:hanging="3080"/>
    </w:pPr>
    <w:rPr>
      <w:sz w:val="34"/>
    </w:rPr>
  </w:style>
  <w:style w:type="paragraph" w:customStyle="1" w:styleId="ModH2Part">
    <w:name w:val="Mod H2 Part"/>
    <w:basedOn w:val="IH2PartSymb"/>
    <w:rsid w:val="00AF17FE"/>
    <w:pPr>
      <w:tabs>
        <w:tab w:val="clear" w:pos="2600"/>
        <w:tab w:val="left" w:pos="3300"/>
      </w:tabs>
      <w:ind w:left="3300"/>
    </w:pPr>
  </w:style>
  <w:style w:type="paragraph" w:customStyle="1" w:styleId="IH2PartSymb">
    <w:name w:val="I H2 Part Symb"/>
    <w:basedOn w:val="BillBasicHeading"/>
    <w:next w:val="Normal"/>
    <w:rsid w:val="00AF17FE"/>
    <w:pPr>
      <w:tabs>
        <w:tab w:val="left" w:pos="-3080"/>
        <w:tab w:val="left" w:pos="0"/>
      </w:tabs>
      <w:spacing w:before="380"/>
      <w:ind w:left="2600" w:hanging="3080"/>
    </w:pPr>
    <w:rPr>
      <w:sz w:val="32"/>
    </w:rPr>
  </w:style>
  <w:style w:type="paragraph" w:customStyle="1" w:styleId="ModH3Div">
    <w:name w:val="Mod H3 Div"/>
    <w:basedOn w:val="IH3DivSymb"/>
    <w:rsid w:val="00AF17FE"/>
    <w:pPr>
      <w:tabs>
        <w:tab w:val="clear" w:pos="2600"/>
        <w:tab w:val="left" w:pos="3300"/>
      </w:tabs>
      <w:ind w:left="3300"/>
    </w:pPr>
  </w:style>
  <w:style w:type="paragraph" w:customStyle="1" w:styleId="IH3DivSymb">
    <w:name w:val="I H3 Div Symb"/>
    <w:basedOn w:val="BillBasicHeading"/>
    <w:next w:val="Normal"/>
    <w:rsid w:val="00AF17FE"/>
    <w:pPr>
      <w:tabs>
        <w:tab w:val="left" w:pos="-3080"/>
        <w:tab w:val="left" w:pos="0"/>
      </w:tabs>
      <w:spacing w:before="240"/>
      <w:ind w:left="2600" w:hanging="3080"/>
    </w:pPr>
    <w:rPr>
      <w:sz w:val="28"/>
    </w:rPr>
  </w:style>
  <w:style w:type="paragraph" w:customStyle="1" w:styleId="ModH4SubDiv">
    <w:name w:val="Mod H4 SubDiv"/>
    <w:basedOn w:val="IH4SubDivSymb"/>
    <w:rsid w:val="00AF17FE"/>
    <w:pPr>
      <w:tabs>
        <w:tab w:val="clear" w:pos="2600"/>
        <w:tab w:val="left" w:pos="3300"/>
      </w:tabs>
      <w:ind w:left="3300"/>
    </w:pPr>
  </w:style>
  <w:style w:type="paragraph" w:customStyle="1" w:styleId="IH4SubDivSymb">
    <w:name w:val="I H4 SubDiv Symb"/>
    <w:basedOn w:val="BillBasicHeading"/>
    <w:next w:val="Normal"/>
    <w:rsid w:val="00AF17FE"/>
    <w:pPr>
      <w:tabs>
        <w:tab w:val="left" w:pos="-3080"/>
        <w:tab w:val="left" w:pos="0"/>
      </w:tabs>
      <w:spacing w:before="240"/>
      <w:ind w:left="2600" w:hanging="3080"/>
      <w:jc w:val="both"/>
    </w:pPr>
    <w:rPr>
      <w:sz w:val="26"/>
    </w:rPr>
  </w:style>
  <w:style w:type="paragraph" w:customStyle="1" w:styleId="ModH5Sec">
    <w:name w:val="Mod H5 Sec"/>
    <w:basedOn w:val="IH5SecSymb"/>
    <w:rsid w:val="00AF17FE"/>
    <w:pPr>
      <w:tabs>
        <w:tab w:val="clear" w:pos="1100"/>
        <w:tab w:val="left" w:pos="1800"/>
      </w:tabs>
      <w:ind w:left="2200"/>
    </w:pPr>
  </w:style>
  <w:style w:type="paragraph" w:customStyle="1" w:styleId="IH5SecSymb">
    <w:name w:val="I H5 Sec Symb"/>
    <w:basedOn w:val="BillBasicHeading"/>
    <w:next w:val="Normal"/>
    <w:rsid w:val="00AF17FE"/>
    <w:pPr>
      <w:tabs>
        <w:tab w:val="clear" w:pos="2600"/>
        <w:tab w:val="left" w:pos="-1580"/>
        <w:tab w:val="left" w:pos="0"/>
        <w:tab w:val="left" w:pos="1100"/>
      </w:tabs>
      <w:spacing w:before="240"/>
      <w:ind w:left="1100" w:hanging="1580"/>
    </w:pPr>
  </w:style>
  <w:style w:type="paragraph" w:customStyle="1" w:styleId="Modmain">
    <w:name w:val="Mod main"/>
    <w:basedOn w:val="Amain"/>
    <w:rsid w:val="00AF17FE"/>
    <w:pPr>
      <w:tabs>
        <w:tab w:val="clear" w:pos="900"/>
        <w:tab w:val="clear" w:pos="1100"/>
        <w:tab w:val="right" w:pos="1600"/>
        <w:tab w:val="left" w:pos="1800"/>
      </w:tabs>
      <w:ind w:left="2200"/>
    </w:pPr>
  </w:style>
  <w:style w:type="paragraph" w:customStyle="1" w:styleId="Modmainreturn">
    <w:name w:val="Mod main return"/>
    <w:basedOn w:val="AmainreturnSymb"/>
    <w:rsid w:val="00AF17FE"/>
    <w:pPr>
      <w:ind w:left="1800"/>
    </w:pPr>
  </w:style>
  <w:style w:type="paragraph" w:customStyle="1" w:styleId="ModNote">
    <w:name w:val="Mod Note"/>
    <w:basedOn w:val="aNoteSymb"/>
    <w:rsid w:val="00AF17FE"/>
    <w:pPr>
      <w:tabs>
        <w:tab w:val="left" w:pos="2600"/>
      </w:tabs>
      <w:ind w:left="2600"/>
    </w:pPr>
  </w:style>
  <w:style w:type="paragraph" w:customStyle="1" w:styleId="Modpara">
    <w:name w:val="Mod para"/>
    <w:basedOn w:val="BillBasic"/>
    <w:rsid w:val="00AF17FE"/>
    <w:pPr>
      <w:tabs>
        <w:tab w:val="right" w:pos="2100"/>
        <w:tab w:val="left" w:pos="2300"/>
      </w:tabs>
      <w:ind w:left="2700" w:hanging="1600"/>
      <w:outlineLvl w:val="6"/>
    </w:pPr>
  </w:style>
  <w:style w:type="paragraph" w:customStyle="1" w:styleId="Modparareturn">
    <w:name w:val="Mod para return"/>
    <w:basedOn w:val="AparareturnSymb"/>
    <w:rsid w:val="00AF17FE"/>
    <w:pPr>
      <w:ind w:left="2300"/>
    </w:pPr>
  </w:style>
  <w:style w:type="paragraph" w:customStyle="1" w:styleId="AparareturnSymb">
    <w:name w:val="A para return Symb"/>
    <w:basedOn w:val="BillBasic"/>
    <w:rsid w:val="00AF17FE"/>
    <w:pPr>
      <w:tabs>
        <w:tab w:val="left" w:pos="2081"/>
      </w:tabs>
      <w:ind w:left="1599" w:hanging="2081"/>
    </w:pPr>
  </w:style>
  <w:style w:type="paragraph" w:customStyle="1" w:styleId="Modref">
    <w:name w:val="Mod ref"/>
    <w:basedOn w:val="refSymb"/>
    <w:rsid w:val="00AF17FE"/>
    <w:pPr>
      <w:ind w:left="1100"/>
    </w:pPr>
  </w:style>
  <w:style w:type="paragraph" w:customStyle="1" w:styleId="Modsubpara">
    <w:name w:val="Mod subpara"/>
    <w:basedOn w:val="Asubpara"/>
    <w:rsid w:val="00AF17FE"/>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AF17FE"/>
    <w:pPr>
      <w:ind w:left="3040"/>
    </w:pPr>
  </w:style>
  <w:style w:type="paragraph" w:customStyle="1" w:styleId="AsubparareturnSymb">
    <w:name w:val="A subpara return Symb"/>
    <w:basedOn w:val="BillBasic"/>
    <w:rsid w:val="00AF17FE"/>
    <w:pPr>
      <w:tabs>
        <w:tab w:val="left" w:pos="2580"/>
      </w:tabs>
      <w:ind w:left="2098" w:hanging="2580"/>
    </w:pPr>
  </w:style>
  <w:style w:type="paragraph" w:customStyle="1" w:styleId="Modsubsubpara">
    <w:name w:val="Mod subsubpara"/>
    <w:basedOn w:val="AsubsubparaSymb"/>
    <w:rsid w:val="00AF17FE"/>
    <w:pPr>
      <w:tabs>
        <w:tab w:val="clear" w:pos="2400"/>
        <w:tab w:val="clear" w:pos="2600"/>
        <w:tab w:val="right" w:pos="3160"/>
        <w:tab w:val="left" w:pos="3360"/>
      </w:tabs>
      <w:ind w:left="3760" w:hanging="2660"/>
    </w:pPr>
  </w:style>
  <w:style w:type="paragraph" w:customStyle="1" w:styleId="AsubsubparaSymb">
    <w:name w:val="A subsubpara Symb"/>
    <w:basedOn w:val="BillBasic"/>
    <w:rsid w:val="00AF17FE"/>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AF17FE"/>
    <w:pPr>
      <w:keepNext/>
      <w:spacing w:before="180"/>
      <w:ind w:left="1100"/>
    </w:pPr>
    <w:rPr>
      <w:rFonts w:ascii="Arial" w:hAnsi="Arial"/>
      <w:b/>
      <w:sz w:val="20"/>
    </w:rPr>
  </w:style>
  <w:style w:type="character" w:customStyle="1" w:styleId="NewActChar">
    <w:name w:val="New Act Char"/>
    <w:basedOn w:val="DefaultParagraphFont"/>
    <w:link w:val="NewAct"/>
    <w:rsid w:val="00745B36"/>
    <w:rPr>
      <w:rFonts w:ascii="Arial" w:hAnsi="Arial"/>
      <w:b/>
      <w:sz w:val="20"/>
      <w:szCs w:val="20"/>
      <w:lang w:eastAsia="en-US"/>
    </w:rPr>
  </w:style>
  <w:style w:type="paragraph" w:customStyle="1" w:styleId="NewReg">
    <w:name w:val="New Reg"/>
    <w:basedOn w:val="NewAct"/>
    <w:next w:val="Actdetails"/>
    <w:rsid w:val="00AF17FE"/>
  </w:style>
  <w:style w:type="paragraph" w:customStyle="1" w:styleId="RenumProvEntries">
    <w:name w:val="RenumProvEntries"/>
    <w:basedOn w:val="Normal"/>
    <w:rsid w:val="00AF17FE"/>
    <w:pPr>
      <w:spacing w:before="60"/>
    </w:pPr>
    <w:rPr>
      <w:rFonts w:ascii="Arial" w:hAnsi="Arial"/>
      <w:sz w:val="20"/>
    </w:rPr>
  </w:style>
  <w:style w:type="paragraph" w:customStyle="1" w:styleId="RenumProvHdg">
    <w:name w:val="RenumProvHdg"/>
    <w:basedOn w:val="Normal"/>
    <w:rsid w:val="00AF17FE"/>
    <w:rPr>
      <w:rFonts w:ascii="Arial" w:hAnsi="Arial"/>
      <w:b/>
      <w:sz w:val="22"/>
    </w:rPr>
  </w:style>
  <w:style w:type="paragraph" w:customStyle="1" w:styleId="RenumProvHeader">
    <w:name w:val="RenumProvHeader"/>
    <w:basedOn w:val="Normal"/>
    <w:rsid w:val="00AF17FE"/>
    <w:rPr>
      <w:rFonts w:ascii="Arial" w:hAnsi="Arial"/>
      <w:b/>
      <w:sz w:val="22"/>
    </w:rPr>
  </w:style>
  <w:style w:type="paragraph" w:customStyle="1" w:styleId="RenumProvSubsectEntries">
    <w:name w:val="RenumProvSubsectEntries"/>
    <w:basedOn w:val="RenumProvEntries"/>
    <w:rsid w:val="00AF17FE"/>
    <w:pPr>
      <w:ind w:left="252"/>
    </w:pPr>
  </w:style>
  <w:style w:type="paragraph" w:customStyle="1" w:styleId="RenumTableHdg">
    <w:name w:val="RenumTableHdg"/>
    <w:basedOn w:val="Normal"/>
    <w:rsid w:val="00AF17FE"/>
    <w:pPr>
      <w:spacing w:before="120"/>
    </w:pPr>
    <w:rPr>
      <w:rFonts w:ascii="Arial" w:hAnsi="Arial"/>
      <w:b/>
      <w:sz w:val="20"/>
    </w:rPr>
  </w:style>
  <w:style w:type="paragraph" w:customStyle="1" w:styleId="SchclauseheadingSymb">
    <w:name w:val="Sch clause heading Symb"/>
    <w:basedOn w:val="Schclauseheading"/>
    <w:rsid w:val="00AF17FE"/>
    <w:pPr>
      <w:tabs>
        <w:tab w:val="left" w:pos="0"/>
      </w:tabs>
      <w:ind w:left="980" w:hanging="1460"/>
    </w:pPr>
  </w:style>
  <w:style w:type="paragraph" w:customStyle="1" w:styleId="SchSubClause">
    <w:name w:val="Sch SubClause"/>
    <w:basedOn w:val="Schclauseheading"/>
    <w:rsid w:val="00AF17FE"/>
    <w:rPr>
      <w:b w:val="0"/>
    </w:rPr>
  </w:style>
  <w:style w:type="paragraph" w:customStyle="1" w:styleId="Sched-FormSymb">
    <w:name w:val="Sched-Form Symb"/>
    <w:basedOn w:val="Sched-Form"/>
    <w:rsid w:val="00AF17FE"/>
    <w:pPr>
      <w:tabs>
        <w:tab w:val="left" w:pos="0"/>
      </w:tabs>
      <w:ind w:left="2480" w:hanging="2960"/>
    </w:pPr>
  </w:style>
  <w:style w:type="paragraph" w:customStyle="1" w:styleId="Sched-Form-18Space">
    <w:name w:val="Sched-Form-18Space"/>
    <w:basedOn w:val="Normal"/>
    <w:rsid w:val="00AF17FE"/>
    <w:pPr>
      <w:spacing w:before="360" w:after="60"/>
    </w:pPr>
    <w:rPr>
      <w:sz w:val="22"/>
    </w:rPr>
  </w:style>
  <w:style w:type="paragraph" w:customStyle="1" w:styleId="Sched-headingSymb">
    <w:name w:val="Sched-heading Symb"/>
    <w:basedOn w:val="Sched-heading"/>
    <w:rsid w:val="00AF17FE"/>
    <w:pPr>
      <w:tabs>
        <w:tab w:val="left" w:pos="0"/>
      </w:tabs>
      <w:ind w:left="2480" w:hanging="2960"/>
    </w:pPr>
  </w:style>
  <w:style w:type="paragraph" w:customStyle="1" w:styleId="Sched-PartSymb">
    <w:name w:val="Sched-Part Symb"/>
    <w:basedOn w:val="Sched-Part"/>
    <w:rsid w:val="00AF17FE"/>
    <w:pPr>
      <w:tabs>
        <w:tab w:val="left" w:pos="0"/>
      </w:tabs>
      <w:ind w:left="2480" w:hanging="2960"/>
    </w:pPr>
  </w:style>
  <w:style w:type="paragraph" w:customStyle="1" w:styleId="TLegEntries">
    <w:name w:val="TLegEntries"/>
    <w:basedOn w:val="Normal"/>
    <w:rsid w:val="00AF17F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F17FE"/>
    <w:pPr>
      <w:ind w:firstLine="0"/>
    </w:pPr>
    <w:rPr>
      <w:b/>
    </w:rPr>
  </w:style>
  <w:style w:type="paragraph" w:customStyle="1" w:styleId="EndNoteTextPub">
    <w:name w:val="EndNoteTextPub"/>
    <w:basedOn w:val="Normal"/>
    <w:rsid w:val="00AF17FE"/>
    <w:pPr>
      <w:spacing w:before="60"/>
      <w:ind w:left="1100"/>
      <w:jc w:val="both"/>
    </w:pPr>
    <w:rPr>
      <w:sz w:val="20"/>
    </w:rPr>
  </w:style>
  <w:style w:type="paragraph" w:customStyle="1" w:styleId="DraftSectionNote">
    <w:name w:val="Draft Section Note"/>
    <w:next w:val="Normal"/>
    <w:uiPriority w:val="99"/>
    <w:rsid w:val="00214633"/>
    <w:pPr>
      <w:spacing w:before="120"/>
    </w:pPr>
    <w:rPr>
      <w:sz w:val="20"/>
      <w:szCs w:val="20"/>
      <w:lang w:eastAsia="en-US"/>
    </w:rPr>
  </w:style>
  <w:style w:type="paragraph" w:customStyle="1" w:styleId="note">
    <w:name w:val="note"/>
    <w:basedOn w:val="Normal"/>
    <w:uiPriority w:val="99"/>
    <w:rsid w:val="0002470E"/>
    <w:pPr>
      <w:spacing w:before="160" w:after="200"/>
    </w:pPr>
    <w:rPr>
      <w:rFonts w:ascii="Arial" w:hAnsi="Arial" w:cs="Arial"/>
      <w:sz w:val="20"/>
      <w:lang w:eastAsia="en-AU"/>
    </w:rPr>
  </w:style>
  <w:style w:type="paragraph" w:customStyle="1" w:styleId="headingparagraph">
    <w:name w:val="headingparagraph"/>
    <w:basedOn w:val="Normal"/>
    <w:uiPriority w:val="99"/>
    <w:rsid w:val="00DA749D"/>
    <w:pPr>
      <w:spacing w:before="160" w:after="200"/>
      <w:ind w:left="340" w:hanging="340"/>
    </w:pPr>
    <w:rPr>
      <w:rFonts w:ascii="Arial" w:hAnsi="Arial" w:cs="Arial"/>
      <w:szCs w:val="24"/>
      <w:lang w:eastAsia="en-AU"/>
    </w:rPr>
  </w:style>
  <w:style w:type="paragraph" w:customStyle="1" w:styleId="leftparagraph">
    <w:name w:val="leftparagraph"/>
    <w:basedOn w:val="Normal"/>
    <w:uiPriority w:val="99"/>
    <w:rsid w:val="00ED52AB"/>
    <w:pPr>
      <w:spacing w:before="160" w:after="200"/>
    </w:pPr>
    <w:rPr>
      <w:szCs w:val="24"/>
      <w:lang w:eastAsia="en-AU"/>
    </w:rPr>
  </w:style>
  <w:style w:type="table" w:styleId="TableGrid">
    <w:name w:val="Table Grid"/>
    <w:basedOn w:val="TableNormal"/>
    <w:uiPriority w:val="99"/>
    <w:rsid w:val="006659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oteCharChar">
    <w:name w:val="aNote Char Char"/>
    <w:basedOn w:val="DefaultParagraphFont"/>
    <w:uiPriority w:val="99"/>
    <w:locked/>
    <w:rsid w:val="005F2398"/>
    <w:rPr>
      <w:rFonts w:cs="Times New Roman"/>
      <w:lang w:eastAsia="en-US"/>
    </w:rPr>
  </w:style>
  <w:style w:type="paragraph" w:customStyle="1" w:styleId="TOC10">
    <w:name w:val="TOC 10"/>
    <w:basedOn w:val="TOC5"/>
    <w:rsid w:val="00AF17FE"/>
    <w:rPr>
      <w:szCs w:val="24"/>
    </w:rPr>
  </w:style>
  <w:style w:type="character" w:customStyle="1" w:styleId="charNotBold">
    <w:name w:val="charNotBold"/>
    <w:basedOn w:val="DefaultParagraphFont"/>
    <w:rsid w:val="00AF17FE"/>
    <w:rPr>
      <w:rFonts w:ascii="Arial" w:hAnsi="Arial"/>
      <w:sz w:val="20"/>
    </w:rPr>
  </w:style>
  <w:style w:type="paragraph" w:customStyle="1" w:styleId="ShadedSchClauseSymb">
    <w:name w:val="Shaded Sch Clause Symb"/>
    <w:basedOn w:val="ShadedSchClause"/>
    <w:rsid w:val="00AF17FE"/>
    <w:pPr>
      <w:tabs>
        <w:tab w:val="left" w:pos="0"/>
      </w:tabs>
      <w:ind w:left="975" w:hanging="1457"/>
    </w:pPr>
  </w:style>
  <w:style w:type="paragraph" w:customStyle="1" w:styleId="CoverTextBullet">
    <w:name w:val="CoverTextBullet"/>
    <w:basedOn w:val="CoverText"/>
    <w:qFormat/>
    <w:rsid w:val="00AF17FE"/>
    <w:pPr>
      <w:numPr>
        <w:numId w:val="21"/>
      </w:numPr>
    </w:pPr>
    <w:rPr>
      <w:color w:val="000000"/>
    </w:rPr>
  </w:style>
  <w:style w:type="paragraph" w:customStyle="1" w:styleId="01aPreamble">
    <w:name w:val="01aPreamble"/>
    <w:basedOn w:val="Normal"/>
    <w:qFormat/>
    <w:rsid w:val="00AF17FE"/>
  </w:style>
  <w:style w:type="paragraph" w:customStyle="1" w:styleId="TableBullet">
    <w:name w:val="TableBullet"/>
    <w:basedOn w:val="TableText10"/>
    <w:qFormat/>
    <w:rsid w:val="00AF17FE"/>
    <w:pPr>
      <w:numPr>
        <w:numId w:val="23"/>
      </w:numPr>
    </w:pPr>
  </w:style>
  <w:style w:type="paragraph" w:customStyle="1" w:styleId="TableNumbered">
    <w:name w:val="TableNumbered"/>
    <w:basedOn w:val="TableText10"/>
    <w:qFormat/>
    <w:rsid w:val="00AF17FE"/>
    <w:pPr>
      <w:numPr>
        <w:numId w:val="24"/>
      </w:numPr>
    </w:pPr>
  </w:style>
  <w:style w:type="character" w:customStyle="1" w:styleId="charCitHyperlinkItal">
    <w:name w:val="charCitHyperlinkItal"/>
    <w:basedOn w:val="Hyperlink"/>
    <w:uiPriority w:val="1"/>
    <w:rsid w:val="00AF17FE"/>
    <w:rPr>
      <w:i/>
      <w:color w:val="0000FF" w:themeColor="hyperlink"/>
      <w:u w:val="none"/>
    </w:rPr>
  </w:style>
  <w:style w:type="character" w:customStyle="1" w:styleId="charCitHyperlinkAbbrev">
    <w:name w:val="charCitHyperlinkAbbrev"/>
    <w:basedOn w:val="Hyperlink"/>
    <w:uiPriority w:val="1"/>
    <w:rsid w:val="00AF17FE"/>
    <w:rPr>
      <w:color w:val="0000FF" w:themeColor="hyperlink"/>
      <w:u w:val="none"/>
    </w:rPr>
  </w:style>
  <w:style w:type="paragraph" w:customStyle="1" w:styleId="FormRule">
    <w:name w:val="FormRule"/>
    <w:basedOn w:val="Normal"/>
    <w:rsid w:val="00AF17FE"/>
    <w:pPr>
      <w:pBdr>
        <w:top w:val="single" w:sz="4" w:space="1" w:color="auto"/>
      </w:pBdr>
      <w:spacing w:before="160" w:after="40"/>
      <w:ind w:left="3220" w:right="3260"/>
    </w:pPr>
    <w:rPr>
      <w:sz w:val="8"/>
    </w:rPr>
  </w:style>
  <w:style w:type="paragraph" w:customStyle="1" w:styleId="OldAmdtsEntries">
    <w:name w:val="OldAmdtsEntries"/>
    <w:basedOn w:val="BillBasicHeading"/>
    <w:rsid w:val="00AF17FE"/>
    <w:pPr>
      <w:tabs>
        <w:tab w:val="clear" w:pos="2600"/>
        <w:tab w:val="left" w:leader="dot" w:pos="2700"/>
      </w:tabs>
      <w:ind w:left="2700" w:hanging="2000"/>
    </w:pPr>
    <w:rPr>
      <w:sz w:val="18"/>
    </w:rPr>
  </w:style>
  <w:style w:type="paragraph" w:customStyle="1" w:styleId="OldAmdt2ndLine">
    <w:name w:val="OldAmdt2ndLine"/>
    <w:basedOn w:val="OldAmdtsEntries"/>
    <w:rsid w:val="00AF17FE"/>
    <w:pPr>
      <w:tabs>
        <w:tab w:val="left" w:pos="2700"/>
      </w:tabs>
      <w:spacing w:before="0"/>
    </w:pPr>
  </w:style>
  <w:style w:type="paragraph" w:customStyle="1" w:styleId="parainpara">
    <w:name w:val="para in para"/>
    <w:rsid w:val="00AF17FE"/>
    <w:pPr>
      <w:tabs>
        <w:tab w:val="right" w:pos="1500"/>
      </w:tabs>
      <w:spacing w:before="80" w:after="80"/>
      <w:ind w:left="1800" w:hanging="1800"/>
      <w:jc w:val="both"/>
    </w:pPr>
    <w:rPr>
      <w:rFonts w:ascii="Times" w:hAnsi="Times"/>
      <w:sz w:val="24"/>
      <w:szCs w:val="20"/>
      <w:lang w:eastAsia="en-US"/>
    </w:rPr>
  </w:style>
  <w:style w:type="paragraph" w:customStyle="1" w:styleId="Billcrest0">
    <w:name w:val="Billcrest"/>
    <w:basedOn w:val="Normal"/>
    <w:rsid w:val="00AF17FE"/>
    <w:pPr>
      <w:spacing w:after="60"/>
      <w:ind w:left="2800"/>
    </w:pPr>
    <w:rPr>
      <w:rFonts w:ascii="ACTCrest" w:hAnsi="ACTCrest"/>
      <w:sz w:val="216"/>
    </w:rPr>
  </w:style>
  <w:style w:type="paragraph" w:customStyle="1" w:styleId="Actbullet">
    <w:name w:val="Act bullet"/>
    <w:basedOn w:val="Normal"/>
    <w:uiPriority w:val="99"/>
    <w:rsid w:val="00AF17FE"/>
    <w:pPr>
      <w:numPr>
        <w:numId w:val="25"/>
      </w:numPr>
      <w:tabs>
        <w:tab w:val="left" w:pos="900"/>
      </w:tabs>
      <w:spacing w:before="20"/>
      <w:ind w:right="-60"/>
    </w:pPr>
    <w:rPr>
      <w:rFonts w:ascii="Arial" w:hAnsi="Arial"/>
      <w:sz w:val="18"/>
    </w:rPr>
  </w:style>
  <w:style w:type="paragraph" w:customStyle="1" w:styleId="AuthorisedBlock">
    <w:name w:val="AuthorisedBlock"/>
    <w:basedOn w:val="Normal"/>
    <w:rsid w:val="00AF17F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F17FE"/>
    <w:rPr>
      <w:b w:val="0"/>
      <w:sz w:val="32"/>
    </w:rPr>
  </w:style>
  <w:style w:type="paragraph" w:customStyle="1" w:styleId="MH1Chapter">
    <w:name w:val="M H1 Chapter"/>
    <w:basedOn w:val="AH1Chapter"/>
    <w:rsid w:val="00AF17FE"/>
    <w:pPr>
      <w:tabs>
        <w:tab w:val="clear" w:pos="2600"/>
        <w:tab w:val="left" w:pos="2720"/>
      </w:tabs>
      <w:ind w:left="4000" w:hanging="3300"/>
    </w:pPr>
  </w:style>
  <w:style w:type="paragraph" w:customStyle="1" w:styleId="ApprFormHd">
    <w:name w:val="ApprFormHd"/>
    <w:basedOn w:val="Sched-heading"/>
    <w:rsid w:val="00AF17FE"/>
    <w:pPr>
      <w:ind w:left="0" w:firstLine="0"/>
    </w:pPr>
  </w:style>
  <w:style w:type="paragraph" w:customStyle="1" w:styleId="Actdetailsnote">
    <w:name w:val="Act details note"/>
    <w:basedOn w:val="Actdetails"/>
    <w:uiPriority w:val="99"/>
    <w:rsid w:val="00AF17FE"/>
    <w:pPr>
      <w:ind w:left="1620" w:right="-60" w:hanging="720"/>
    </w:pPr>
    <w:rPr>
      <w:sz w:val="18"/>
    </w:rPr>
  </w:style>
  <w:style w:type="paragraph" w:customStyle="1" w:styleId="DetailsNo">
    <w:name w:val="Details No"/>
    <w:basedOn w:val="Actdetails"/>
    <w:uiPriority w:val="99"/>
    <w:rsid w:val="00AF17FE"/>
    <w:pPr>
      <w:ind w:left="0"/>
    </w:pPr>
    <w:rPr>
      <w:sz w:val="18"/>
    </w:rPr>
  </w:style>
  <w:style w:type="paragraph" w:customStyle="1" w:styleId="ISchMain">
    <w:name w:val="I Sch Main"/>
    <w:basedOn w:val="BillBasic"/>
    <w:rsid w:val="00AF17FE"/>
    <w:pPr>
      <w:tabs>
        <w:tab w:val="right" w:pos="900"/>
        <w:tab w:val="left" w:pos="1100"/>
      </w:tabs>
      <w:ind w:left="1100" w:hanging="1100"/>
    </w:pPr>
  </w:style>
  <w:style w:type="paragraph" w:customStyle="1" w:styleId="ISchpara">
    <w:name w:val="I Sch para"/>
    <w:basedOn w:val="BillBasic"/>
    <w:rsid w:val="00AF17FE"/>
    <w:pPr>
      <w:tabs>
        <w:tab w:val="right" w:pos="1400"/>
        <w:tab w:val="left" w:pos="1600"/>
      </w:tabs>
      <w:ind w:left="1600" w:hanging="1600"/>
    </w:pPr>
  </w:style>
  <w:style w:type="paragraph" w:customStyle="1" w:styleId="ISchsubpara">
    <w:name w:val="I Sch subpara"/>
    <w:basedOn w:val="BillBasic"/>
    <w:rsid w:val="00AF17FE"/>
    <w:pPr>
      <w:tabs>
        <w:tab w:val="right" w:pos="1940"/>
        <w:tab w:val="left" w:pos="2140"/>
      </w:tabs>
      <w:ind w:left="2140" w:hanging="2140"/>
    </w:pPr>
  </w:style>
  <w:style w:type="paragraph" w:customStyle="1" w:styleId="ISchsubsubpara">
    <w:name w:val="I Sch subsubpara"/>
    <w:basedOn w:val="BillBasic"/>
    <w:rsid w:val="00AF17FE"/>
    <w:pPr>
      <w:tabs>
        <w:tab w:val="right" w:pos="2460"/>
        <w:tab w:val="left" w:pos="2660"/>
      </w:tabs>
      <w:ind w:left="2660" w:hanging="2660"/>
    </w:pPr>
  </w:style>
  <w:style w:type="paragraph" w:customStyle="1" w:styleId="AssectheadingSymb">
    <w:name w:val="A ssect heading Symb"/>
    <w:basedOn w:val="Amain"/>
    <w:rsid w:val="00AF17FE"/>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AF17FE"/>
    <w:pPr>
      <w:tabs>
        <w:tab w:val="left" w:pos="1582"/>
      </w:tabs>
      <w:ind w:left="1100" w:hanging="1582"/>
    </w:pPr>
  </w:style>
  <w:style w:type="paragraph" w:customStyle="1" w:styleId="aDefparaSymb">
    <w:name w:val="aDef para Symb"/>
    <w:basedOn w:val="Apara"/>
    <w:rsid w:val="00AF17FE"/>
    <w:pPr>
      <w:tabs>
        <w:tab w:val="clear" w:pos="1600"/>
        <w:tab w:val="left" w:pos="0"/>
        <w:tab w:val="left" w:pos="1599"/>
      </w:tabs>
      <w:ind w:left="1599" w:hanging="2081"/>
    </w:pPr>
  </w:style>
  <w:style w:type="paragraph" w:customStyle="1" w:styleId="aDefsubparaSymb">
    <w:name w:val="aDef subpara Symb"/>
    <w:basedOn w:val="Asubpara"/>
    <w:rsid w:val="00AF17FE"/>
    <w:pPr>
      <w:tabs>
        <w:tab w:val="left" w:pos="0"/>
      </w:tabs>
      <w:ind w:left="2098" w:hanging="2580"/>
    </w:pPr>
  </w:style>
  <w:style w:type="paragraph" w:customStyle="1" w:styleId="SchAparaSymb">
    <w:name w:val="Sch A para Symb"/>
    <w:basedOn w:val="Apara"/>
    <w:rsid w:val="00AF17FE"/>
    <w:pPr>
      <w:tabs>
        <w:tab w:val="left" w:pos="0"/>
      </w:tabs>
      <w:ind w:hanging="2080"/>
    </w:pPr>
  </w:style>
  <w:style w:type="paragraph" w:customStyle="1" w:styleId="SchAsubparaSymb">
    <w:name w:val="Sch A subpara Symb"/>
    <w:basedOn w:val="Asubpara"/>
    <w:rsid w:val="00AF17FE"/>
    <w:pPr>
      <w:tabs>
        <w:tab w:val="left" w:pos="0"/>
      </w:tabs>
      <w:ind w:hanging="2580"/>
    </w:pPr>
  </w:style>
  <w:style w:type="paragraph" w:customStyle="1" w:styleId="SchAsubsubparaSymb">
    <w:name w:val="Sch A subsubpara Symb"/>
    <w:basedOn w:val="AsubsubparaSymb"/>
    <w:rsid w:val="00AF17FE"/>
  </w:style>
  <w:style w:type="paragraph" w:customStyle="1" w:styleId="IshadedH5SecSymb">
    <w:name w:val="I shaded H5 Sec Symb"/>
    <w:basedOn w:val="AH5Sec"/>
    <w:rsid w:val="00AF17F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F17FE"/>
    <w:pPr>
      <w:tabs>
        <w:tab w:val="clear" w:pos="-1580"/>
      </w:tabs>
      <w:ind w:left="975" w:hanging="1457"/>
    </w:pPr>
  </w:style>
  <w:style w:type="paragraph" w:customStyle="1" w:styleId="IMainSymb">
    <w:name w:val="I Main Symb"/>
    <w:basedOn w:val="Amain"/>
    <w:rsid w:val="00AF17FE"/>
    <w:pPr>
      <w:tabs>
        <w:tab w:val="left" w:pos="0"/>
      </w:tabs>
      <w:ind w:hanging="1580"/>
    </w:pPr>
  </w:style>
  <w:style w:type="paragraph" w:customStyle="1" w:styleId="IparaSymb">
    <w:name w:val="I para Symb"/>
    <w:basedOn w:val="Apara"/>
    <w:rsid w:val="00AF17FE"/>
    <w:pPr>
      <w:tabs>
        <w:tab w:val="left" w:pos="0"/>
      </w:tabs>
      <w:ind w:hanging="2080"/>
      <w:outlineLvl w:val="9"/>
    </w:pPr>
  </w:style>
  <w:style w:type="paragraph" w:customStyle="1" w:styleId="IsubparaSymb">
    <w:name w:val="I subpara Symb"/>
    <w:basedOn w:val="Asubpara"/>
    <w:rsid w:val="00AF17F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F17FE"/>
    <w:pPr>
      <w:tabs>
        <w:tab w:val="clear" w:pos="2400"/>
        <w:tab w:val="clear" w:pos="2600"/>
        <w:tab w:val="right" w:pos="2460"/>
        <w:tab w:val="left" w:pos="2660"/>
      </w:tabs>
      <w:ind w:left="2660" w:hanging="3140"/>
    </w:pPr>
  </w:style>
  <w:style w:type="paragraph" w:customStyle="1" w:styleId="IdefparaSymb">
    <w:name w:val="I def para Symb"/>
    <w:basedOn w:val="IparaSymb"/>
    <w:rsid w:val="00AF17FE"/>
    <w:pPr>
      <w:ind w:left="1599" w:hanging="2081"/>
    </w:pPr>
  </w:style>
  <w:style w:type="paragraph" w:customStyle="1" w:styleId="IdefsubparaSymb">
    <w:name w:val="I def subpara Symb"/>
    <w:basedOn w:val="IsubparaSymb"/>
    <w:rsid w:val="00AF17FE"/>
    <w:pPr>
      <w:ind w:left="2138"/>
    </w:pPr>
  </w:style>
  <w:style w:type="paragraph" w:customStyle="1" w:styleId="ISched-headingSymb">
    <w:name w:val="I Sched-heading Symb"/>
    <w:basedOn w:val="BillBasicHeading"/>
    <w:next w:val="Normal"/>
    <w:rsid w:val="00AF17FE"/>
    <w:pPr>
      <w:tabs>
        <w:tab w:val="left" w:pos="-3080"/>
        <w:tab w:val="left" w:pos="0"/>
      </w:tabs>
      <w:spacing w:before="320"/>
      <w:ind w:left="2600" w:hanging="3080"/>
    </w:pPr>
    <w:rPr>
      <w:sz w:val="34"/>
    </w:rPr>
  </w:style>
  <w:style w:type="paragraph" w:customStyle="1" w:styleId="ISched-PartSymb">
    <w:name w:val="I Sched-Part Symb"/>
    <w:basedOn w:val="BillBasicHeading"/>
    <w:rsid w:val="00AF17FE"/>
    <w:pPr>
      <w:tabs>
        <w:tab w:val="left" w:pos="-3080"/>
        <w:tab w:val="left" w:pos="0"/>
      </w:tabs>
      <w:spacing w:before="380"/>
      <w:ind w:left="2600" w:hanging="3080"/>
    </w:pPr>
    <w:rPr>
      <w:sz w:val="32"/>
    </w:rPr>
  </w:style>
  <w:style w:type="paragraph" w:customStyle="1" w:styleId="ISched-formSymb">
    <w:name w:val="I Sched-form Symb"/>
    <w:basedOn w:val="BillBasicHeading"/>
    <w:rsid w:val="00AF17F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F17F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F17F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F17FE"/>
    <w:pPr>
      <w:tabs>
        <w:tab w:val="left" w:pos="1100"/>
      </w:tabs>
      <w:spacing w:before="60"/>
      <w:ind w:left="1500" w:hanging="1986"/>
    </w:pPr>
  </w:style>
  <w:style w:type="paragraph" w:customStyle="1" w:styleId="aExamHdgssSymb">
    <w:name w:val="aExamHdgss Symb"/>
    <w:basedOn w:val="BillBasicHeading"/>
    <w:next w:val="Normal"/>
    <w:rsid w:val="00AF17FE"/>
    <w:pPr>
      <w:tabs>
        <w:tab w:val="clear" w:pos="2600"/>
        <w:tab w:val="left" w:pos="1582"/>
      </w:tabs>
      <w:ind w:left="1100" w:hanging="1582"/>
    </w:pPr>
    <w:rPr>
      <w:sz w:val="18"/>
    </w:rPr>
  </w:style>
  <w:style w:type="paragraph" w:customStyle="1" w:styleId="aExamssSymb">
    <w:name w:val="aExamss Symb"/>
    <w:basedOn w:val="aNote"/>
    <w:rsid w:val="00AF17FE"/>
    <w:pPr>
      <w:tabs>
        <w:tab w:val="left" w:pos="1582"/>
      </w:tabs>
      <w:spacing w:before="60"/>
      <w:ind w:left="1100" w:hanging="1582"/>
    </w:pPr>
  </w:style>
  <w:style w:type="paragraph" w:customStyle="1" w:styleId="aExamINumssSymb">
    <w:name w:val="aExamINumss Symb"/>
    <w:basedOn w:val="aExamssSymb"/>
    <w:rsid w:val="00AF17FE"/>
    <w:pPr>
      <w:tabs>
        <w:tab w:val="left" w:pos="1100"/>
      </w:tabs>
      <w:ind w:left="1500" w:hanging="1986"/>
    </w:pPr>
  </w:style>
  <w:style w:type="paragraph" w:customStyle="1" w:styleId="aExamNumTextssSymb">
    <w:name w:val="aExamNumTextss Symb"/>
    <w:basedOn w:val="aExamssSymb"/>
    <w:rsid w:val="00AF17FE"/>
    <w:pPr>
      <w:tabs>
        <w:tab w:val="clear" w:pos="1582"/>
        <w:tab w:val="left" w:pos="1985"/>
      </w:tabs>
      <w:ind w:left="1503" w:hanging="1985"/>
    </w:pPr>
  </w:style>
  <w:style w:type="paragraph" w:customStyle="1" w:styleId="AExamIParaSymb">
    <w:name w:val="AExamIPara Symb"/>
    <w:basedOn w:val="aExam"/>
    <w:rsid w:val="00AF17FE"/>
    <w:pPr>
      <w:tabs>
        <w:tab w:val="right" w:pos="1718"/>
      </w:tabs>
      <w:ind w:left="1984" w:hanging="2466"/>
    </w:pPr>
  </w:style>
  <w:style w:type="paragraph" w:customStyle="1" w:styleId="aExamBulletssSymb">
    <w:name w:val="aExamBulletss Symb"/>
    <w:basedOn w:val="aExamssSymb"/>
    <w:rsid w:val="00AF17FE"/>
    <w:pPr>
      <w:tabs>
        <w:tab w:val="left" w:pos="1100"/>
      </w:tabs>
      <w:ind w:left="1500" w:hanging="1986"/>
    </w:pPr>
  </w:style>
  <w:style w:type="paragraph" w:customStyle="1" w:styleId="aNoteTextssSymb">
    <w:name w:val="aNoteTextss Symb"/>
    <w:basedOn w:val="Normal"/>
    <w:rsid w:val="00AF17FE"/>
    <w:pPr>
      <w:tabs>
        <w:tab w:val="clear" w:pos="0"/>
        <w:tab w:val="left" w:pos="1418"/>
      </w:tabs>
      <w:spacing w:before="60"/>
      <w:ind w:left="1417" w:hanging="1899"/>
      <w:jc w:val="both"/>
    </w:pPr>
    <w:rPr>
      <w:sz w:val="20"/>
    </w:rPr>
  </w:style>
  <w:style w:type="paragraph" w:customStyle="1" w:styleId="aNoteBulletssSymb">
    <w:name w:val="aNoteBulletss Symb"/>
    <w:basedOn w:val="Normal"/>
    <w:rsid w:val="00AF17F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F17FE"/>
    <w:pPr>
      <w:tabs>
        <w:tab w:val="left" w:pos="1616"/>
        <w:tab w:val="left" w:pos="2495"/>
      </w:tabs>
      <w:spacing w:before="60"/>
      <w:ind w:left="2013" w:hanging="2495"/>
    </w:pPr>
  </w:style>
  <w:style w:type="paragraph" w:customStyle="1" w:styleId="aExamHdgparSymb">
    <w:name w:val="aExamHdgpar Symb"/>
    <w:basedOn w:val="aExamHdgssSymb"/>
    <w:next w:val="Normal"/>
    <w:rsid w:val="00AF17FE"/>
    <w:pPr>
      <w:tabs>
        <w:tab w:val="clear" w:pos="1582"/>
        <w:tab w:val="left" w:pos="1599"/>
      </w:tabs>
      <w:ind w:left="1599" w:hanging="2081"/>
    </w:pPr>
  </w:style>
  <w:style w:type="paragraph" w:customStyle="1" w:styleId="aExamparSymb">
    <w:name w:val="aExampar Symb"/>
    <w:basedOn w:val="aExamssSymb"/>
    <w:rsid w:val="00AF17FE"/>
    <w:pPr>
      <w:tabs>
        <w:tab w:val="clear" w:pos="1582"/>
        <w:tab w:val="left" w:pos="1599"/>
      </w:tabs>
      <w:ind w:left="1599" w:hanging="2081"/>
    </w:pPr>
  </w:style>
  <w:style w:type="paragraph" w:customStyle="1" w:styleId="aExamINumparSymb">
    <w:name w:val="aExamINumpar Symb"/>
    <w:basedOn w:val="aExamparSymb"/>
    <w:rsid w:val="00AF17FE"/>
    <w:pPr>
      <w:tabs>
        <w:tab w:val="left" w:pos="2000"/>
      </w:tabs>
      <w:ind w:left="2041" w:hanging="2495"/>
    </w:pPr>
  </w:style>
  <w:style w:type="paragraph" w:customStyle="1" w:styleId="aExamBulletparSymb">
    <w:name w:val="aExamBulletpar Symb"/>
    <w:basedOn w:val="aExamparSymb"/>
    <w:rsid w:val="00AF17FE"/>
    <w:pPr>
      <w:tabs>
        <w:tab w:val="clear" w:pos="1599"/>
        <w:tab w:val="left" w:pos="1616"/>
        <w:tab w:val="left" w:pos="2495"/>
      </w:tabs>
      <w:ind w:left="2013" w:hanging="2495"/>
    </w:pPr>
  </w:style>
  <w:style w:type="paragraph" w:customStyle="1" w:styleId="aNoteparSymb">
    <w:name w:val="aNotepar Symb"/>
    <w:basedOn w:val="BillBasic"/>
    <w:next w:val="Normal"/>
    <w:rsid w:val="00AF17FE"/>
    <w:pPr>
      <w:tabs>
        <w:tab w:val="left" w:pos="1599"/>
        <w:tab w:val="left" w:pos="2398"/>
      </w:tabs>
      <w:ind w:left="2410" w:hanging="2892"/>
    </w:pPr>
    <w:rPr>
      <w:sz w:val="20"/>
    </w:rPr>
  </w:style>
  <w:style w:type="paragraph" w:customStyle="1" w:styleId="aNoteTextparSymb">
    <w:name w:val="aNoteTextpar Symb"/>
    <w:basedOn w:val="aNoteparSymb"/>
    <w:rsid w:val="00AF17FE"/>
    <w:pPr>
      <w:tabs>
        <w:tab w:val="clear" w:pos="1599"/>
        <w:tab w:val="clear" w:pos="2398"/>
        <w:tab w:val="left" w:pos="2880"/>
      </w:tabs>
      <w:spacing w:before="60"/>
      <w:ind w:left="2398" w:hanging="2880"/>
    </w:pPr>
  </w:style>
  <w:style w:type="paragraph" w:customStyle="1" w:styleId="aNoteParaparSymb">
    <w:name w:val="aNoteParapar Symb"/>
    <w:basedOn w:val="aNoteparSymb"/>
    <w:rsid w:val="00AF17FE"/>
    <w:pPr>
      <w:tabs>
        <w:tab w:val="right" w:pos="2640"/>
      </w:tabs>
      <w:spacing w:before="60"/>
      <w:ind w:left="2920" w:hanging="3402"/>
    </w:pPr>
  </w:style>
  <w:style w:type="paragraph" w:customStyle="1" w:styleId="aNoteBulletparSymb">
    <w:name w:val="aNoteBulletpar Symb"/>
    <w:basedOn w:val="aNoteparSymb"/>
    <w:rsid w:val="00AF17FE"/>
    <w:pPr>
      <w:tabs>
        <w:tab w:val="clear" w:pos="1599"/>
        <w:tab w:val="left" w:pos="3289"/>
      </w:tabs>
      <w:spacing w:before="60"/>
      <w:ind w:left="2807" w:hanging="3289"/>
    </w:pPr>
  </w:style>
  <w:style w:type="paragraph" w:customStyle="1" w:styleId="AsubparabulletSymb">
    <w:name w:val="A subpara bullet Symb"/>
    <w:basedOn w:val="BillBasic"/>
    <w:rsid w:val="00AF17FE"/>
    <w:pPr>
      <w:tabs>
        <w:tab w:val="left" w:pos="2138"/>
        <w:tab w:val="left" w:pos="3005"/>
      </w:tabs>
      <w:spacing w:before="60"/>
      <w:ind w:left="2523" w:hanging="3005"/>
    </w:pPr>
  </w:style>
  <w:style w:type="paragraph" w:customStyle="1" w:styleId="aExamHdgsubparSymb">
    <w:name w:val="aExamHdgsubpar Symb"/>
    <w:basedOn w:val="aExamHdgssSymb"/>
    <w:next w:val="Normal"/>
    <w:rsid w:val="00AF17FE"/>
    <w:pPr>
      <w:tabs>
        <w:tab w:val="clear" w:pos="1582"/>
        <w:tab w:val="left" w:pos="2620"/>
      </w:tabs>
      <w:ind w:left="2138" w:hanging="2620"/>
    </w:pPr>
  </w:style>
  <w:style w:type="paragraph" w:customStyle="1" w:styleId="aExamsubparSymb">
    <w:name w:val="aExamsubpar Symb"/>
    <w:basedOn w:val="aExamssSymb"/>
    <w:rsid w:val="00AF17FE"/>
    <w:pPr>
      <w:tabs>
        <w:tab w:val="clear" w:pos="1582"/>
        <w:tab w:val="left" w:pos="2620"/>
      </w:tabs>
      <w:ind w:left="2138" w:hanging="2620"/>
    </w:pPr>
  </w:style>
  <w:style w:type="paragraph" w:customStyle="1" w:styleId="aNotesubparSymb">
    <w:name w:val="aNotesubpar Symb"/>
    <w:basedOn w:val="BillBasic"/>
    <w:next w:val="Normal"/>
    <w:rsid w:val="00AF17FE"/>
    <w:pPr>
      <w:tabs>
        <w:tab w:val="left" w:pos="2138"/>
        <w:tab w:val="left" w:pos="2937"/>
      </w:tabs>
      <w:ind w:left="2455" w:hanging="2937"/>
    </w:pPr>
    <w:rPr>
      <w:sz w:val="20"/>
    </w:rPr>
  </w:style>
  <w:style w:type="paragraph" w:customStyle="1" w:styleId="aNoteTextsubparSymb">
    <w:name w:val="aNoteTextsubpar Symb"/>
    <w:basedOn w:val="aNotesubparSymb"/>
    <w:rsid w:val="00AF17FE"/>
    <w:pPr>
      <w:tabs>
        <w:tab w:val="clear" w:pos="2138"/>
        <w:tab w:val="clear" w:pos="2937"/>
        <w:tab w:val="left" w:pos="2943"/>
      </w:tabs>
      <w:spacing w:before="60"/>
      <w:ind w:left="2943" w:hanging="3425"/>
    </w:pPr>
  </w:style>
  <w:style w:type="paragraph" w:customStyle="1" w:styleId="PenaltySymb">
    <w:name w:val="Penalty Symb"/>
    <w:basedOn w:val="AmainreturnSymb"/>
    <w:rsid w:val="00AF17FE"/>
  </w:style>
  <w:style w:type="paragraph" w:customStyle="1" w:styleId="PenaltyParaSymb">
    <w:name w:val="PenaltyPara Symb"/>
    <w:basedOn w:val="Normal"/>
    <w:rsid w:val="00AF17FE"/>
    <w:pPr>
      <w:tabs>
        <w:tab w:val="right" w:pos="1360"/>
      </w:tabs>
      <w:spacing w:before="60"/>
      <w:ind w:left="1599" w:hanging="2081"/>
      <w:jc w:val="both"/>
    </w:pPr>
  </w:style>
  <w:style w:type="paragraph" w:customStyle="1" w:styleId="FormulaSymb">
    <w:name w:val="Formula Symb"/>
    <w:basedOn w:val="BillBasic"/>
    <w:rsid w:val="00AF17FE"/>
    <w:pPr>
      <w:tabs>
        <w:tab w:val="left" w:pos="-480"/>
      </w:tabs>
      <w:spacing w:line="260" w:lineRule="atLeast"/>
      <w:ind w:hanging="480"/>
      <w:jc w:val="center"/>
    </w:pPr>
  </w:style>
  <w:style w:type="paragraph" w:customStyle="1" w:styleId="NormalSymb">
    <w:name w:val="Normal Symb"/>
    <w:basedOn w:val="Normal"/>
    <w:qFormat/>
    <w:rsid w:val="00AF17FE"/>
    <w:pPr>
      <w:ind w:hanging="482"/>
    </w:pPr>
  </w:style>
  <w:style w:type="character" w:styleId="PlaceholderText">
    <w:name w:val="Placeholder Text"/>
    <w:basedOn w:val="DefaultParagraphFont"/>
    <w:uiPriority w:val="99"/>
    <w:semiHidden/>
    <w:rsid w:val="00AF17FE"/>
    <w:rPr>
      <w:color w:val="808080"/>
    </w:rPr>
  </w:style>
  <w:style w:type="character" w:styleId="UnresolvedMention">
    <w:name w:val="Unresolved Mention"/>
    <w:basedOn w:val="DefaultParagraphFont"/>
    <w:uiPriority w:val="99"/>
    <w:semiHidden/>
    <w:unhideWhenUsed/>
    <w:rsid w:val="001C6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52638">
      <w:bodyDiv w:val="1"/>
      <w:marLeft w:val="0"/>
      <w:marRight w:val="0"/>
      <w:marTop w:val="0"/>
      <w:marBottom w:val="0"/>
      <w:divBdr>
        <w:top w:val="none" w:sz="0" w:space="0" w:color="auto"/>
        <w:left w:val="none" w:sz="0" w:space="0" w:color="auto"/>
        <w:bottom w:val="none" w:sz="0" w:space="0" w:color="auto"/>
        <w:right w:val="none" w:sz="0" w:space="0" w:color="auto"/>
      </w:divBdr>
    </w:div>
    <w:div w:id="996227821">
      <w:marLeft w:val="0"/>
      <w:marRight w:val="0"/>
      <w:marTop w:val="0"/>
      <w:marBottom w:val="0"/>
      <w:divBdr>
        <w:top w:val="none" w:sz="0" w:space="0" w:color="auto"/>
        <w:left w:val="none" w:sz="0" w:space="0" w:color="auto"/>
        <w:bottom w:val="none" w:sz="0" w:space="0" w:color="auto"/>
        <w:right w:val="single" w:sz="6" w:space="6" w:color="FFFFFF"/>
      </w:divBdr>
      <w:divsChild>
        <w:div w:id="996227848">
          <w:marLeft w:val="0"/>
          <w:marRight w:val="0"/>
          <w:marTop w:val="0"/>
          <w:marBottom w:val="0"/>
          <w:divBdr>
            <w:top w:val="none" w:sz="0" w:space="0" w:color="auto"/>
            <w:left w:val="none" w:sz="0" w:space="0" w:color="auto"/>
            <w:bottom w:val="none" w:sz="0" w:space="0" w:color="auto"/>
            <w:right w:val="none" w:sz="0" w:space="0" w:color="auto"/>
          </w:divBdr>
          <w:divsChild>
            <w:div w:id="996227872">
              <w:marLeft w:val="0"/>
              <w:marRight w:val="0"/>
              <w:marTop w:val="0"/>
              <w:marBottom w:val="0"/>
              <w:divBdr>
                <w:top w:val="none" w:sz="0" w:space="0" w:color="auto"/>
                <w:left w:val="none" w:sz="0" w:space="0" w:color="auto"/>
                <w:bottom w:val="none" w:sz="0" w:space="0" w:color="auto"/>
                <w:right w:val="none" w:sz="0" w:space="0" w:color="auto"/>
              </w:divBdr>
              <w:divsChild>
                <w:div w:id="996228061">
                  <w:marLeft w:val="340"/>
                  <w:marRight w:val="0"/>
                  <w:marTop w:val="160"/>
                  <w:marBottom w:val="200"/>
                  <w:divBdr>
                    <w:top w:val="none" w:sz="0" w:space="0" w:color="auto"/>
                    <w:left w:val="none" w:sz="0" w:space="0" w:color="auto"/>
                    <w:bottom w:val="none" w:sz="0" w:space="0" w:color="auto"/>
                    <w:right w:val="none" w:sz="0" w:space="0" w:color="auto"/>
                  </w:divBdr>
                  <w:divsChild>
                    <w:div w:id="996228047">
                      <w:marLeft w:val="340"/>
                      <w:marRight w:val="0"/>
                      <w:marTop w:val="160"/>
                      <w:marBottom w:val="200"/>
                      <w:divBdr>
                        <w:top w:val="none" w:sz="0" w:space="0" w:color="auto"/>
                        <w:left w:val="none" w:sz="0" w:space="0" w:color="auto"/>
                        <w:bottom w:val="none" w:sz="0" w:space="0" w:color="auto"/>
                        <w:right w:val="none" w:sz="0" w:space="0" w:color="auto"/>
                      </w:divBdr>
                    </w:div>
                    <w:div w:id="99622815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827">
      <w:marLeft w:val="0"/>
      <w:marRight w:val="0"/>
      <w:marTop w:val="0"/>
      <w:marBottom w:val="0"/>
      <w:divBdr>
        <w:top w:val="none" w:sz="0" w:space="0" w:color="auto"/>
        <w:left w:val="none" w:sz="0" w:space="0" w:color="auto"/>
        <w:bottom w:val="none" w:sz="0" w:space="0" w:color="auto"/>
        <w:right w:val="single" w:sz="6" w:space="6" w:color="FFFFFF"/>
      </w:divBdr>
      <w:divsChild>
        <w:div w:id="996228057">
          <w:marLeft w:val="0"/>
          <w:marRight w:val="0"/>
          <w:marTop w:val="0"/>
          <w:marBottom w:val="0"/>
          <w:divBdr>
            <w:top w:val="none" w:sz="0" w:space="0" w:color="auto"/>
            <w:left w:val="none" w:sz="0" w:space="0" w:color="auto"/>
            <w:bottom w:val="none" w:sz="0" w:space="0" w:color="auto"/>
            <w:right w:val="none" w:sz="0" w:space="0" w:color="auto"/>
          </w:divBdr>
          <w:divsChild>
            <w:div w:id="996228060">
              <w:marLeft w:val="0"/>
              <w:marRight w:val="0"/>
              <w:marTop w:val="0"/>
              <w:marBottom w:val="0"/>
              <w:divBdr>
                <w:top w:val="none" w:sz="0" w:space="0" w:color="auto"/>
                <w:left w:val="none" w:sz="0" w:space="0" w:color="auto"/>
                <w:bottom w:val="none" w:sz="0" w:space="0" w:color="auto"/>
                <w:right w:val="none" w:sz="0" w:space="0" w:color="auto"/>
              </w:divBdr>
              <w:divsChild>
                <w:div w:id="99622809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6227842">
      <w:marLeft w:val="0"/>
      <w:marRight w:val="0"/>
      <w:marTop w:val="0"/>
      <w:marBottom w:val="0"/>
      <w:divBdr>
        <w:top w:val="none" w:sz="0" w:space="0" w:color="auto"/>
        <w:left w:val="none" w:sz="0" w:space="0" w:color="auto"/>
        <w:bottom w:val="none" w:sz="0" w:space="0" w:color="auto"/>
        <w:right w:val="single" w:sz="6" w:space="6" w:color="FFFFFF"/>
      </w:divBdr>
      <w:divsChild>
        <w:div w:id="996228064">
          <w:marLeft w:val="0"/>
          <w:marRight w:val="0"/>
          <w:marTop w:val="0"/>
          <w:marBottom w:val="0"/>
          <w:divBdr>
            <w:top w:val="none" w:sz="0" w:space="0" w:color="auto"/>
            <w:left w:val="none" w:sz="0" w:space="0" w:color="auto"/>
            <w:bottom w:val="none" w:sz="0" w:space="0" w:color="auto"/>
            <w:right w:val="none" w:sz="0" w:space="0" w:color="auto"/>
          </w:divBdr>
          <w:divsChild>
            <w:div w:id="9962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50">
      <w:marLeft w:val="0"/>
      <w:marRight w:val="0"/>
      <w:marTop w:val="0"/>
      <w:marBottom w:val="0"/>
      <w:divBdr>
        <w:top w:val="none" w:sz="0" w:space="0" w:color="auto"/>
        <w:left w:val="none" w:sz="0" w:space="0" w:color="auto"/>
        <w:bottom w:val="none" w:sz="0" w:space="0" w:color="auto"/>
        <w:right w:val="single" w:sz="6" w:space="6" w:color="FFFFFF"/>
      </w:divBdr>
      <w:divsChild>
        <w:div w:id="996228026">
          <w:marLeft w:val="0"/>
          <w:marRight w:val="0"/>
          <w:marTop w:val="0"/>
          <w:marBottom w:val="0"/>
          <w:divBdr>
            <w:top w:val="none" w:sz="0" w:space="0" w:color="auto"/>
            <w:left w:val="none" w:sz="0" w:space="0" w:color="auto"/>
            <w:bottom w:val="none" w:sz="0" w:space="0" w:color="auto"/>
            <w:right w:val="none" w:sz="0" w:space="0" w:color="auto"/>
          </w:divBdr>
          <w:divsChild>
            <w:div w:id="996228163">
              <w:marLeft w:val="0"/>
              <w:marRight w:val="0"/>
              <w:marTop w:val="0"/>
              <w:marBottom w:val="0"/>
              <w:divBdr>
                <w:top w:val="none" w:sz="0" w:space="0" w:color="auto"/>
                <w:left w:val="none" w:sz="0" w:space="0" w:color="auto"/>
                <w:bottom w:val="none" w:sz="0" w:space="0" w:color="auto"/>
                <w:right w:val="none" w:sz="0" w:space="0" w:color="auto"/>
              </w:divBdr>
              <w:divsChild>
                <w:div w:id="996227832">
                  <w:marLeft w:val="340"/>
                  <w:marRight w:val="0"/>
                  <w:marTop w:val="160"/>
                  <w:marBottom w:val="200"/>
                  <w:divBdr>
                    <w:top w:val="none" w:sz="0" w:space="0" w:color="auto"/>
                    <w:left w:val="none" w:sz="0" w:space="0" w:color="auto"/>
                    <w:bottom w:val="none" w:sz="0" w:space="0" w:color="auto"/>
                    <w:right w:val="none" w:sz="0" w:space="0" w:color="auto"/>
                  </w:divBdr>
                  <w:divsChild>
                    <w:div w:id="996227918">
                      <w:marLeft w:val="340"/>
                      <w:marRight w:val="0"/>
                      <w:marTop w:val="160"/>
                      <w:marBottom w:val="200"/>
                      <w:divBdr>
                        <w:top w:val="none" w:sz="0" w:space="0" w:color="auto"/>
                        <w:left w:val="none" w:sz="0" w:space="0" w:color="auto"/>
                        <w:bottom w:val="none" w:sz="0" w:space="0" w:color="auto"/>
                        <w:right w:val="none" w:sz="0" w:space="0" w:color="auto"/>
                      </w:divBdr>
                      <w:divsChild>
                        <w:div w:id="99622793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857">
      <w:marLeft w:val="0"/>
      <w:marRight w:val="0"/>
      <w:marTop w:val="0"/>
      <w:marBottom w:val="0"/>
      <w:divBdr>
        <w:top w:val="none" w:sz="0" w:space="0" w:color="auto"/>
        <w:left w:val="none" w:sz="0" w:space="0" w:color="auto"/>
        <w:bottom w:val="none" w:sz="0" w:space="0" w:color="auto"/>
        <w:right w:val="single" w:sz="6" w:space="6" w:color="FFFFFF"/>
      </w:divBdr>
      <w:divsChild>
        <w:div w:id="996227963">
          <w:marLeft w:val="0"/>
          <w:marRight w:val="0"/>
          <w:marTop w:val="0"/>
          <w:marBottom w:val="0"/>
          <w:divBdr>
            <w:top w:val="none" w:sz="0" w:space="0" w:color="auto"/>
            <w:left w:val="none" w:sz="0" w:space="0" w:color="auto"/>
            <w:bottom w:val="none" w:sz="0" w:space="0" w:color="auto"/>
            <w:right w:val="none" w:sz="0" w:space="0" w:color="auto"/>
          </w:divBdr>
          <w:divsChild>
            <w:div w:id="996228094">
              <w:marLeft w:val="0"/>
              <w:marRight w:val="0"/>
              <w:marTop w:val="0"/>
              <w:marBottom w:val="0"/>
              <w:divBdr>
                <w:top w:val="none" w:sz="0" w:space="0" w:color="auto"/>
                <w:left w:val="none" w:sz="0" w:space="0" w:color="auto"/>
                <w:bottom w:val="none" w:sz="0" w:space="0" w:color="auto"/>
                <w:right w:val="none" w:sz="0" w:space="0" w:color="auto"/>
              </w:divBdr>
              <w:divsChild>
                <w:div w:id="996227905">
                  <w:marLeft w:val="340"/>
                  <w:marRight w:val="0"/>
                  <w:marTop w:val="160"/>
                  <w:marBottom w:val="200"/>
                  <w:divBdr>
                    <w:top w:val="none" w:sz="0" w:space="0" w:color="auto"/>
                    <w:left w:val="none" w:sz="0" w:space="0" w:color="auto"/>
                    <w:bottom w:val="none" w:sz="0" w:space="0" w:color="auto"/>
                    <w:right w:val="none" w:sz="0" w:space="0" w:color="auto"/>
                  </w:divBdr>
                  <w:divsChild>
                    <w:div w:id="996227873">
                      <w:marLeft w:val="340"/>
                      <w:marRight w:val="0"/>
                      <w:marTop w:val="160"/>
                      <w:marBottom w:val="200"/>
                      <w:divBdr>
                        <w:top w:val="none" w:sz="0" w:space="0" w:color="auto"/>
                        <w:left w:val="none" w:sz="0" w:space="0" w:color="auto"/>
                        <w:bottom w:val="none" w:sz="0" w:space="0" w:color="auto"/>
                        <w:right w:val="none" w:sz="0" w:space="0" w:color="auto"/>
                      </w:divBdr>
                      <w:divsChild>
                        <w:div w:id="996227940">
                          <w:marLeft w:val="340"/>
                          <w:marRight w:val="0"/>
                          <w:marTop w:val="160"/>
                          <w:marBottom w:val="200"/>
                          <w:divBdr>
                            <w:top w:val="none" w:sz="0" w:space="0" w:color="auto"/>
                            <w:left w:val="none" w:sz="0" w:space="0" w:color="auto"/>
                            <w:bottom w:val="none" w:sz="0" w:space="0" w:color="auto"/>
                            <w:right w:val="none" w:sz="0" w:space="0" w:color="auto"/>
                          </w:divBdr>
                          <w:divsChild>
                            <w:div w:id="99622796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27859">
      <w:marLeft w:val="0"/>
      <w:marRight w:val="0"/>
      <w:marTop w:val="0"/>
      <w:marBottom w:val="0"/>
      <w:divBdr>
        <w:top w:val="none" w:sz="0" w:space="0" w:color="auto"/>
        <w:left w:val="none" w:sz="0" w:space="0" w:color="auto"/>
        <w:bottom w:val="none" w:sz="0" w:space="0" w:color="auto"/>
        <w:right w:val="single" w:sz="6" w:space="6" w:color="FFFFFF"/>
      </w:divBdr>
      <w:divsChild>
        <w:div w:id="996227896">
          <w:marLeft w:val="0"/>
          <w:marRight w:val="0"/>
          <w:marTop w:val="0"/>
          <w:marBottom w:val="0"/>
          <w:divBdr>
            <w:top w:val="none" w:sz="0" w:space="0" w:color="auto"/>
            <w:left w:val="none" w:sz="0" w:space="0" w:color="auto"/>
            <w:bottom w:val="none" w:sz="0" w:space="0" w:color="auto"/>
            <w:right w:val="none" w:sz="0" w:space="0" w:color="auto"/>
          </w:divBdr>
          <w:divsChild>
            <w:div w:id="996228027">
              <w:marLeft w:val="0"/>
              <w:marRight w:val="0"/>
              <w:marTop w:val="0"/>
              <w:marBottom w:val="0"/>
              <w:divBdr>
                <w:top w:val="none" w:sz="0" w:space="0" w:color="auto"/>
                <w:left w:val="none" w:sz="0" w:space="0" w:color="auto"/>
                <w:bottom w:val="none" w:sz="0" w:space="0" w:color="auto"/>
                <w:right w:val="none" w:sz="0" w:space="0" w:color="auto"/>
              </w:divBdr>
              <w:divsChild>
                <w:div w:id="996227947">
                  <w:marLeft w:val="340"/>
                  <w:marRight w:val="0"/>
                  <w:marTop w:val="160"/>
                  <w:marBottom w:val="200"/>
                  <w:divBdr>
                    <w:top w:val="none" w:sz="0" w:space="0" w:color="auto"/>
                    <w:left w:val="none" w:sz="0" w:space="0" w:color="auto"/>
                    <w:bottom w:val="none" w:sz="0" w:space="0" w:color="auto"/>
                    <w:right w:val="none" w:sz="0" w:space="0" w:color="auto"/>
                  </w:divBdr>
                  <w:divsChild>
                    <w:div w:id="996228001">
                      <w:marLeft w:val="340"/>
                      <w:marRight w:val="0"/>
                      <w:marTop w:val="160"/>
                      <w:marBottom w:val="200"/>
                      <w:divBdr>
                        <w:top w:val="none" w:sz="0" w:space="0" w:color="auto"/>
                        <w:left w:val="none" w:sz="0" w:space="0" w:color="auto"/>
                        <w:bottom w:val="none" w:sz="0" w:space="0" w:color="auto"/>
                        <w:right w:val="none" w:sz="0" w:space="0" w:color="auto"/>
                      </w:divBdr>
                      <w:divsChild>
                        <w:div w:id="996228165">
                          <w:marLeft w:val="340"/>
                          <w:marRight w:val="0"/>
                          <w:marTop w:val="160"/>
                          <w:marBottom w:val="200"/>
                          <w:divBdr>
                            <w:top w:val="none" w:sz="0" w:space="0" w:color="auto"/>
                            <w:left w:val="none" w:sz="0" w:space="0" w:color="auto"/>
                            <w:bottom w:val="none" w:sz="0" w:space="0" w:color="auto"/>
                            <w:right w:val="none" w:sz="0" w:space="0" w:color="auto"/>
                          </w:divBdr>
                          <w:divsChild>
                            <w:div w:id="996228112">
                              <w:marLeft w:val="340"/>
                              <w:marRight w:val="0"/>
                              <w:marTop w:val="160"/>
                              <w:marBottom w:val="200"/>
                              <w:divBdr>
                                <w:top w:val="none" w:sz="0" w:space="0" w:color="auto"/>
                                <w:left w:val="none" w:sz="0" w:space="0" w:color="auto"/>
                                <w:bottom w:val="none" w:sz="0" w:space="0" w:color="auto"/>
                                <w:right w:val="none" w:sz="0" w:space="0" w:color="auto"/>
                              </w:divBdr>
                            </w:div>
                            <w:div w:id="996228147">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27876">
      <w:marLeft w:val="0"/>
      <w:marRight w:val="0"/>
      <w:marTop w:val="0"/>
      <w:marBottom w:val="0"/>
      <w:divBdr>
        <w:top w:val="none" w:sz="0" w:space="0" w:color="auto"/>
        <w:left w:val="none" w:sz="0" w:space="0" w:color="auto"/>
        <w:bottom w:val="none" w:sz="0" w:space="0" w:color="auto"/>
        <w:right w:val="single" w:sz="6" w:space="6" w:color="FFFFFF"/>
      </w:divBdr>
      <w:divsChild>
        <w:div w:id="996227888">
          <w:marLeft w:val="0"/>
          <w:marRight w:val="0"/>
          <w:marTop w:val="0"/>
          <w:marBottom w:val="0"/>
          <w:divBdr>
            <w:top w:val="none" w:sz="0" w:space="0" w:color="auto"/>
            <w:left w:val="none" w:sz="0" w:space="0" w:color="auto"/>
            <w:bottom w:val="none" w:sz="0" w:space="0" w:color="auto"/>
            <w:right w:val="none" w:sz="0" w:space="0" w:color="auto"/>
          </w:divBdr>
          <w:divsChild>
            <w:div w:id="996227931">
              <w:marLeft w:val="0"/>
              <w:marRight w:val="0"/>
              <w:marTop w:val="0"/>
              <w:marBottom w:val="0"/>
              <w:divBdr>
                <w:top w:val="none" w:sz="0" w:space="0" w:color="auto"/>
                <w:left w:val="none" w:sz="0" w:space="0" w:color="auto"/>
                <w:bottom w:val="none" w:sz="0" w:space="0" w:color="auto"/>
                <w:right w:val="none" w:sz="0" w:space="0" w:color="auto"/>
              </w:divBdr>
              <w:divsChild>
                <w:div w:id="996227999">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6227886">
      <w:marLeft w:val="0"/>
      <w:marRight w:val="0"/>
      <w:marTop w:val="0"/>
      <w:marBottom w:val="0"/>
      <w:divBdr>
        <w:top w:val="none" w:sz="0" w:space="0" w:color="auto"/>
        <w:left w:val="none" w:sz="0" w:space="0" w:color="auto"/>
        <w:bottom w:val="none" w:sz="0" w:space="0" w:color="auto"/>
        <w:right w:val="single" w:sz="6" w:space="6" w:color="FFFFFF"/>
      </w:divBdr>
      <w:divsChild>
        <w:div w:id="996227968">
          <w:marLeft w:val="0"/>
          <w:marRight w:val="0"/>
          <w:marTop w:val="0"/>
          <w:marBottom w:val="0"/>
          <w:divBdr>
            <w:top w:val="none" w:sz="0" w:space="0" w:color="auto"/>
            <w:left w:val="none" w:sz="0" w:space="0" w:color="auto"/>
            <w:bottom w:val="none" w:sz="0" w:space="0" w:color="auto"/>
            <w:right w:val="none" w:sz="0" w:space="0" w:color="auto"/>
          </w:divBdr>
          <w:divsChild>
            <w:div w:id="996228110">
              <w:marLeft w:val="0"/>
              <w:marRight w:val="0"/>
              <w:marTop w:val="0"/>
              <w:marBottom w:val="0"/>
              <w:divBdr>
                <w:top w:val="none" w:sz="0" w:space="0" w:color="auto"/>
                <w:left w:val="none" w:sz="0" w:space="0" w:color="auto"/>
                <w:bottom w:val="none" w:sz="0" w:space="0" w:color="auto"/>
                <w:right w:val="none" w:sz="0" w:space="0" w:color="auto"/>
              </w:divBdr>
              <w:divsChild>
                <w:div w:id="996228101">
                  <w:marLeft w:val="340"/>
                  <w:marRight w:val="0"/>
                  <w:marTop w:val="160"/>
                  <w:marBottom w:val="200"/>
                  <w:divBdr>
                    <w:top w:val="none" w:sz="0" w:space="0" w:color="auto"/>
                    <w:left w:val="none" w:sz="0" w:space="0" w:color="auto"/>
                    <w:bottom w:val="none" w:sz="0" w:space="0" w:color="auto"/>
                    <w:right w:val="none" w:sz="0" w:space="0" w:color="auto"/>
                  </w:divBdr>
                  <w:divsChild>
                    <w:div w:id="996227851">
                      <w:marLeft w:val="340"/>
                      <w:marRight w:val="0"/>
                      <w:marTop w:val="160"/>
                      <w:marBottom w:val="200"/>
                      <w:divBdr>
                        <w:top w:val="none" w:sz="0" w:space="0" w:color="auto"/>
                        <w:left w:val="none" w:sz="0" w:space="0" w:color="auto"/>
                        <w:bottom w:val="none" w:sz="0" w:space="0" w:color="auto"/>
                        <w:right w:val="none" w:sz="0" w:space="0" w:color="auto"/>
                      </w:divBdr>
                    </w:div>
                    <w:div w:id="996227862">
                      <w:marLeft w:val="340"/>
                      <w:marRight w:val="0"/>
                      <w:marTop w:val="160"/>
                      <w:marBottom w:val="200"/>
                      <w:divBdr>
                        <w:top w:val="none" w:sz="0" w:space="0" w:color="auto"/>
                        <w:left w:val="none" w:sz="0" w:space="0" w:color="auto"/>
                        <w:bottom w:val="none" w:sz="0" w:space="0" w:color="auto"/>
                        <w:right w:val="none" w:sz="0" w:space="0" w:color="auto"/>
                      </w:divBdr>
                    </w:div>
                    <w:div w:id="996227871">
                      <w:marLeft w:val="340"/>
                      <w:marRight w:val="0"/>
                      <w:marTop w:val="160"/>
                      <w:marBottom w:val="200"/>
                      <w:divBdr>
                        <w:top w:val="none" w:sz="0" w:space="0" w:color="auto"/>
                        <w:left w:val="none" w:sz="0" w:space="0" w:color="auto"/>
                        <w:bottom w:val="none" w:sz="0" w:space="0" w:color="auto"/>
                        <w:right w:val="none" w:sz="0" w:space="0" w:color="auto"/>
                      </w:divBdr>
                    </w:div>
                    <w:div w:id="996227911">
                      <w:marLeft w:val="340"/>
                      <w:marRight w:val="0"/>
                      <w:marTop w:val="160"/>
                      <w:marBottom w:val="200"/>
                      <w:divBdr>
                        <w:top w:val="none" w:sz="0" w:space="0" w:color="auto"/>
                        <w:left w:val="none" w:sz="0" w:space="0" w:color="auto"/>
                        <w:bottom w:val="none" w:sz="0" w:space="0" w:color="auto"/>
                        <w:right w:val="none" w:sz="0" w:space="0" w:color="auto"/>
                      </w:divBdr>
                      <w:divsChild>
                        <w:div w:id="996227916">
                          <w:marLeft w:val="340"/>
                          <w:marRight w:val="0"/>
                          <w:marTop w:val="160"/>
                          <w:marBottom w:val="200"/>
                          <w:divBdr>
                            <w:top w:val="none" w:sz="0" w:space="0" w:color="auto"/>
                            <w:left w:val="none" w:sz="0" w:space="0" w:color="auto"/>
                            <w:bottom w:val="none" w:sz="0" w:space="0" w:color="auto"/>
                            <w:right w:val="none" w:sz="0" w:space="0" w:color="auto"/>
                          </w:divBdr>
                        </w:div>
                        <w:div w:id="996227936">
                          <w:marLeft w:val="340"/>
                          <w:marRight w:val="0"/>
                          <w:marTop w:val="160"/>
                          <w:marBottom w:val="200"/>
                          <w:divBdr>
                            <w:top w:val="none" w:sz="0" w:space="0" w:color="auto"/>
                            <w:left w:val="none" w:sz="0" w:space="0" w:color="auto"/>
                            <w:bottom w:val="none" w:sz="0" w:space="0" w:color="auto"/>
                            <w:right w:val="none" w:sz="0" w:space="0" w:color="auto"/>
                          </w:divBdr>
                        </w:div>
                        <w:div w:id="996227978">
                          <w:marLeft w:val="340"/>
                          <w:marRight w:val="0"/>
                          <w:marTop w:val="160"/>
                          <w:marBottom w:val="200"/>
                          <w:divBdr>
                            <w:top w:val="none" w:sz="0" w:space="0" w:color="auto"/>
                            <w:left w:val="none" w:sz="0" w:space="0" w:color="auto"/>
                            <w:bottom w:val="none" w:sz="0" w:space="0" w:color="auto"/>
                            <w:right w:val="none" w:sz="0" w:space="0" w:color="auto"/>
                          </w:divBdr>
                        </w:div>
                      </w:divsChild>
                    </w:div>
                    <w:div w:id="996227939">
                      <w:marLeft w:val="340"/>
                      <w:marRight w:val="0"/>
                      <w:marTop w:val="160"/>
                      <w:marBottom w:val="200"/>
                      <w:divBdr>
                        <w:top w:val="none" w:sz="0" w:space="0" w:color="auto"/>
                        <w:left w:val="none" w:sz="0" w:space="0" w:color="auto"/>
                        <w:bottom w:val="none" w:sz="0" w:space="0" w:color="auto"/>
                        <w:right w:val="none" w:sz="0" w:space="0" w:color="auto"/>
                      </w:divBdr>
                      <w:divsChild>
                        <w:div w:id="996228009">
                          <w:marLeft w:val="340"/>
                          <w:marRight w:val="0"/>
                          <w:marTop w:val="160"/>
                          <w:marBottom w:val="200"/>
                          <w:divBdr>
                            <w:top w:val="none" w:sz="0" w:space="0" w:color="auto"/>
                            <w:left w:val="none" w:sz="0" w:space="0" w:color="auto"/>
                            <w:bottom w:val="none" w:sz="0" w:space="0" w:color="auto"/>
                            <w:right w:val="none" w:sz="0" w:space="0" w:color="auto"/>
                          </w:divBdr>
                        </w:div>
                      </w:divsChild>
                    </w:div>
                    <w:div w:id="996227981">
                      <w:marLeft w:val="340"/>
                      <w:marRight w:val="0"/>
                      <w:marTop w:val="160"/>
                      <w:marBottom w:val="200"/>
                      <w:divBdr>
                        <w:top w:val="none" w:sz="0" w:space="0" w:color="auto"/>
                        <w:left w:val="none" w:sz="0" w:space="0" w:color="auto"/>
                        <w:bottom w:val="none" w:sz="0" w:space="0" w:color="auto"/>
                        <w:right w:val="none" w:sz="0" w:space="0" w:color="auto"/>
                      </w:divBdr>
                      <w:divsChild>
                        <w:div w:id="996228028">
                          <w:marLeft w:val="340"/>
                          <w:marRight w:val="0"/>
                          <w:marTop w:val="160"/>
                          <w:marBottom w:val="200"/>
                          <w:divBdr>
                            <w:top w:val="none" w:sz="0" w:space="0" w:color="auto"/>
                            <w:left w:val="none" w:sz="0" w:space="0" w:color="auto"/>
                            <w:bottom w:val="none" w:sz="0" w:space="0" w:color="auto"/>
                            <w:right w:val="none" w:sz="0" w:space="0" w:color="auto"/>
                          </w:divBdr>
                        </w:div>
                      </w:divsChild>
                    </w:div>
                    <w:div w:id="996228016">
                      <w:marLeft w:val="340"/>
                      <w:marRight w:val="0"/>
                      <w:marTop w:val="160"/>
                      <w:marBottom w:val="200"/>
                      <w:divBdr>
                        <w:top w:val="none" w:sz="0" w:space="0" w:color="auto"/>
                        <w:left w:val="none" w:sz="0" w:space="0" w:color="auto"/>
                        <w:bottom w:val="none" w:sz="0" w:space="0" w:color="auto"/>
                        <w:right w:val="none" w:sz="0" w:space="0" w:color="auto"/>
                      </w:divBdr>
                    </w:div>
                    <w:div w:id="996228054">
                      <w:marLeft w:val="340"/>
                      <w:marRight w:val="0"/>
                      <w:marTop w:val="160"/>
                      <w:marBottom w:val="200"/>
                      <w:divBdr>
                        <w:top w:val="none" w:sz="0" w:space="0" w:color="auto"/>
                        <w:left w:val="none" w:sz="0" w:space="0" w:color="auto"/>
                        <w:bottom w:val="none" w:sz="0" w:space="0" w:color="auto"/>
                        <w:right w:val="none" w:sz="0" w:space="0" w:color="auto"/>
                      </w:divBdr>
                    </w:div>
                    <w:div w:id="996228066">
                      <w:marLeft w:val="340"/>
                      <w:marRight w:val="0"/>
                      <w:marTop w:val="160"/>
                      <w:marBottom w:val="200"/>
                      <w:divBdr>
                        <w:top w:val="none" w:sz="0" w:space="0" w:color="auto"/>
                        <w:left w:val="none" w:sz="0" w:space="0" w:color="auto"/>
                        <w:bottom w:val="none" w:sz="0" w:space="0" w:color="auto"/>
                        <w:right w:val="none" w:sz="0" w:space="0" w:color="auto"/>
                      </w:divBdr>
                    </w:div>
                    <w:div w:id="996228090">
                      <w:marLeft w:val="340"/>
                      <w:marRight w:val="0"/>
                      <w:marTop w:val="160"/>
                      <w:marBottom w:val="200"/>
                      <w:divBdr>
                        <w:top w:val="none" w:sz="0" w:space="0" w:color="auto"/>
                        <w:left w:val="none" w:sz="0" w:space="0" w:color="auto"/>
                        <w:bottom w:val="none" w:sz="0" w:space="0" w:color="auto"/>
                        <w:right w:val="none" w:sz="0" w:space="0" w:color="auto"/>
                      </w:divBdr>
                      <w:divsChild>
                        <w:div w:id="996228002">
                          <w:marLeft w:val="340"/>
                          <w:marRight w:val="0"/>
                          <w:marTop w:val="160"/>
                          <w:marBottom w:val="200"/>
                          <w:divBdr>
                            <w:top w:val="none" w:sz="0" w:space="0" w:color="auto"/>
                            <w:left w:val="none" w:sz="0" w:space="0" w:color="auto"/>
                            <w:bottom w:val="none" w:sz="0" w:space="0" w:color="auto"/>
                            <w:right w:val="none" w:sz="0" w:space="0" w:color="auto"/>
                          </w:divBdr>
                        </w:div>
                        <w:div w:id="996228161">
                          <w:marLeft w:val="340"/>
                          <w:marRight w:val="0"/>
                          <w:marTop w:val="160"/>
                          <w:marBottom w:val="200"/>
                          <w:divBdr>
                            <w:top w:val="none" w:sz="0" w:space="0" w:color="auto"/>
                            <w:left w:val="none" w:sz="0" w:space="0" w:color="auto"/>
                            <w:bottom w:val="none" w:sz="0" w:space="0" w:color="auto"/>
                            <w:right w:val="none" w:sz="0" w:space="0" w:color="auto"/>
                          </w:divBdr>
                        </w:div>
                      </w:divsChild>
                    </w:div>
                    <w:div w:id="99622814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890">
      <w:marLeft w:val="0"/>
      <w:marRight w:val="0"/>
      <w:marTop w:val="0"/>
      <w:marBottom w:val="0"/>
      <w:divBdr>
        <w:top w:val="none" w:sz="0" w:space="0" w:color="auto"/>
        <w:left w:val="none" w:sz="0" w:space="0" w:color="auto"/>
        <w:bottom w:val="none" w:sz="0" w:space="0" w:color="auto"/>
        <w:right w:val="single" w:sz="6" w:space="6" w:color="FFFFFF"/>
      </w:divBdr>
      <w:divsChild>
        <w:div w:id="996228048">
          <w:marLeft w:val="0"/>
          <w:marRight w:val="0"/>
          <w:marTop w:val="0"/>
          <w:marBottom w:val="0"/>
          <w:divBdr>
            <w:top w:val="none" w:sz="0" w:space="0" w:color="auto"/>
            <w:left w:val="none" w:sz="0" w:space="0" w:color="auto"/>
            <w:bottom w:val="none" w:sz="0" w:space="0" w:color="auto"/>
            <w:right w:val="none" w:sz="0" w:space="0" w:color="auto"/>
          </w:divBdr>
          <w:divsChild>
            <w:div w:id="996228004">
              <w:marLeft w:val="0"/>
              <w:marRight w:val="0"/>
              <w:marTop w:val="0"/>
              <w:marBottom w:val="0"/>
              <w:divBdr>
                <w:top w:val="none" w:sz="0" w:space="0" w:color="auto"/>
                <w:left w:val="none" w:sz="0" w:space="0" w:color="auto"/>
                <w:bottom w:val="none" w:sz="0" w:space="0" w:color="auto"/>
                <w:right w:val="none" w:sz="0" w:space="0" w:color="auto"/>
              </w:divBdr>
              <w:divsChild>
                <w:div w:id="996227991">
                  <w:marLeft w:val="340"/>
                  <w:marRight w:val="0"/>
                  <w:marTop w:val="160"/>
                  <w:marBottom w:val="200"/>
                  <w:divBdr>
                    <w:top w:val="none" w:sz="0" w:space="0" w:color="auto"/>
                    <w:left w:val="none" w:sz="0" w:space="0" w:color="auto"/>
                    <w:bottom w:val="none" w:sz="0" w:space="0" w:color="auto"/>
                    <w:right w:val="none" w:sz="0" w:space="0" w:color="auto"/>
                  </w:divBdr>
                  <w:divsChild>
                    <w:div w:id="996227884">
                      <w:marLeft w:val="340"/>
                      <w:marRight w:val="0"/>
                      <w:marTop w:val="160"/>
                      <w:marBottom w:val="200"/>
                      <w:divBdr>
                        <w:top w:val="none" w:sz="0" w:space="0" w:color="auto"/>
                        <w:left w:val="none" w:sz="0" w:space="0" w:color="auto"/>
                        <w:bottom w:val="none" w:sz="0" w:space="0" w:color="auto"/>
                        <w:right w:val="none" w:sz="0" w:space="0" w:color="auto"/>
                      </w:divBdr>
                      <w:divsChild>
                        <w:div w:id="996228007">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893">
      <w:marLeft w:val="0"/>
      <w:marRight w:val="0"/>
      <w:marTop w:val="0"/>
      <w:marBottom w:val="0"/>
      <w:divBdr>
        <w:top w:val="none" w:sz="0" w:space="0" w:color="auto"/>
        <w:left w:val="none" w:sz="0" w:space="0" w:color="auto"/>
        <w:bottom w:val="none" w:sz="0" w:space="0" w:color="auto"/>
        <w:right w:val="single" w:sz="6" w:space="6" w:color="FFFFFF"/>
      </w:divBdr>
      <w:divsChild>
        <w:div w:id="996228116">
          <w:marLeft w:val="0"/>
          <w:marRight w:val="0"/>
          <w:marTop w:val="0"/>
          <w:marBottom w:val="0"/>
          <w:divBdr>
            <w:top w:val="none" w:sz="0" w:space="0" w:color="auto"/>
            <w:left w:val="none" w:sz="0" w:space="0" w:color="auto"/>
            <w:bottom w:val="none" w:sz="0" w:space="0" w:color="auto"/>
            <w:right w:val="none" w:sz="0" w:space="0" w:color="auto"/>
          </w:divBdr>
          <w:divsChild>
            <w:div w:id="996228179">
              <w:marLeft w:val="0"/>
              <w:marRight w:val="0"/>
              <w:marTop w:val="0"/>
              <w:marBottom w:val="0"/>
              <w:divBdr>
                <w:top w:val="none" w:sz="0" w:space="0" w:color="auto"/>
                <w:left w:val="none" w:sz="0" w:space="0" w:color="auto"/>
                <w:bottom w:val="none" w:sz="0" w:space="0" w:color="auto"/>
                <w:right w:val="none" w:sz="0" w:space="0" w:color="auto"/>
              </w:divBdr>
              <w:divsChild>
                <w:div w:id="996228039">
                  <w:marLeft w:val="340"/>
                  <w:marRight w:val="0"/>
                  <w:marTop w:val="160"/>
                  <w:marBottom w:val="200"/>
                  <w:divBdr>
                    <w:top w:val="none" w:sz="0" w:space="0" w:color="auto"/>
                    <w:left w:val="none" w:sz="0" w:space="0" w:color="auto"/>
                    <w:bottom w:val="none" w:sz="0" w:space="0" w:color="auto"/>
                    <w:right w:val="none" w:sz="0" w:space="0" w:color="auto"/>
                  </w:divBdr>
                  <w:divsChild>
                    <w:div w:id="996227855">
                      <w:marLeft w:val="340"/>
                      <w:marRight w:val="0"/>
                      <w:marTop w:val="160"/>
                      <w:marBottom w:val="200"/>
                      <w:divBdr>
                        <w:top w:val="none" w:sz="0" w:space="0" w:color="auto"/>
                        <w:left w:val="none" w:sz="0" w:space="0" w:color="auto"/>
                        <w:bottom w:val="none" w:sz="0" w:space="0" w:color="auto"/>
                        <w:right w:val="none" w:sz="0" w:space="0" w:color="auto"/>
                      </w:divBdr>
                    </w:div>
                    <w:div w:id="996228031">
                      <w:marLeft w:val="340"/>
                      <w:marRight w:val="0"/>
                      <w:marTop w:val="160"/>
                      <w:marBottom w:val="200"/>
                      <w:divBdr>
                        <w:top w:val="none" w:sz="0" w:space="0" w:color="auto"/>
                        <w:left w:val="none" w:sz="0" w:space="0" w:color="auto"/>
                        <w:bottom w:val="none" w:sz="0" w:space="0" w:color="auto"/>
                        <w:right w:val="none" w:sz="0" w:space="0" w:color="auto"/>
                      </w:divBdr>
                    </w:div>
                    <w:div w:id="996228072">
                      <w:marLeft w:val="340"/>
                      <w:marRight w:val="0"/>
                      <w:marTop w:val="160"/>
                      <w:marBottom w:val="200"/>
                      <w:divBdr>
                        <w:top w:val="none" w:sz="0" w:space="0" w:color="auto"/>
                        <w:left w:val="none" w:sz="0" w:space="0" w:color="auto"/>
                        <w:bottom w:val="none" w:sz="0" w:space="0" w:color="auto"/>
                        <w:right w:val="none" w:sz="0" w:space="0" w:color="auto"/>
                      </w:divBdr>
                      <w:divsChild>
                        <w:div w:id="99622810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894">
      <w:marLeft w:val="0"/>
      <w:marRight w:val="0"/>
      <w:marTop w:val="0"/>
      <w:marBottom w:val="0"/>
      <w:divBdr>
        <w:top w:val="none" w:sz="0" w:space="0" w:color="auto"/>
        <w:left w:val="none" w:sz="0" w:space="0" w:color="auto"/>
        <w:bottom w:val="none" w:sz="0" w:space="0" w:color="auto"/>
        <w:right w:val="single" w:sz="6" w:space="6" w:color="FFFFFF"/>
      </w:divBdr>
      <w:divsChild>
        <w:div w:id="996228155">
          <w:marLeft w:val="0"/>
          <w:marRight w:val="0"/>
          <w:marTop w:val="0"/>
          <w:marBottom w:val="0"/>
          <w:divBdr>
            <w:top w:val="none" w:sz="0" w:space="0" w:color="auto"/>
            <w:left w:val="none" w:sz="0" w:space="0" w:color="auto"/>
            <w:bottom w:val="none" w:sz="0" w:space="0" w:color="auto"/>
            <w:right w:val="none" w:sz="0" w:space="0" w:color="auto"/>
          </w:divBdr>
          <w:divsChild>
            <w:div w:id="996227979">
              <w:marLeft w:val="0"/>
              <w:marRight w:val="0"/>
              <w:marTop w:val="0"/>
              <w:marBottom w:val="0"/>
              <w:divBdr>
                <w:top w:val="none" w:sz="0" w:space="0" w:color="auto"/>
                <w:left w:val="none" w:sz="0" w:space="0" w:color="auto"/>
                <w:bottom w:val="none" w:sz="0" w:space="0" w:color="auto"/>
                <w:right w:val="none" w:sz="0" w:space="0" w:color="auto"/>
              </w:divBdr>
              <w:divsChild>
                <w:div w:id="996227837">
                  <w:marLeft w:val="340"/>
                  <w:marRight w:val="0"/>
                  <w:marTop w:val="160"/>
                  <w:marBottom w:val="200"/>
                  <w:divBdr>
                    <w:top w:val="none" w:sz="0" w:space="0" w:color="auto"/>
                    <w:left w:val="none" w:sz="0" w:space="0" w:color="auto"/>
                    <w:bottom w:val="none" w:sz="0" w:space="0" w:color="auto"/>
                    <w:right w:val="none" w:sz="0" w:space="0" w:color="auto"/>
                  </w:divBdr>
                  <w:divsChild>
                    <w:div w:id="996227983">
                      <w:marLeft w:val="340"/>
                      <w:marRight w:val="0"/>
                      <w:marTop w:val="160"/>
                      <w:marBottom w:val="200"/>
                      <w:divBdr>
                        <w:top w:val="none" w:sz="0" w:space="0" w:color="auto"/>
                        <w:left w:val="none" w:sz="0" w:space="0" w:color="auto"/>
                        <w:bottom w:val="none" w:sz="0" w:space="0" w:color="auto"/>
                        <w:right w:val="none" w:sz="0" w:space="0" w:color="auto"/>
                      </w:divBdr>
                      <w:divsChild>
                        <w:div w:id="996227992">
                          <w:marLeft w:val="340"/>
                          <w:marRight w:val="0"/>
                          <w:marTop w:val="160"/>
                          <w:marBottom w:val="200"/>
                          <w:divBdr>
                            <w:top w:val="none" w:sz="0" w:space="0" w:color="auto"/>
                            <w:left w:val="none" w:sz="0" w:space="0" w:color="auto"/>
                            <w:bottom w:val="none" w:sz="0" w:space="0" w:color="auto"/>
                            <w:right w:val="none" w:sz="0" w:space="0" w:color="auto"/>
                          </w:divBdr>
                        </w:div>
                        <w:div w:id="99622813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908">
      <w:marLeft w:val="0"/>
      <w:marRight w:val="0"/>
      <w:marTop w:val="0"/>
      <w:marBottom w:val="0"/>
      <w:divBdr>
        <w:top w:val="none" w:sz="0" w:space="0" w:color="auto"/>
        <w:left w:val="none" w:sz="0" w:space="0" w:color="auto"/>
        <w:bottom w:val="none" w:sz="0" w:space="0" w:color="auto"/>
        <w:right w:val="single" w:sz="6" w:space="6" w:color="FFFFFF"/>
      </w:divBdr>
      <w:divsChild>
        <w:div w:id="996227996">
          <w:marLeft w:val="0"/>
          <w:marRight w:val="0"/>
          <w:marTop w:val="0"/>
          <w:marBottom w:val="0"/>
          <w:divBdr>
            <w:top w:val="none" w:sz="0" w:space="0" w:color="auto"/>
            <w:left w:val="none" w:sz="0" w:space="0" w:color="auto"/>
            <w:bottom w:val="none" w:sz="0" w:space="0" w:color="auto"/>
            <w:right w:val="none" w:sz="0" w:space="0" w:color="auto"/>
          </w:divBdr>
          <w:divsChild>
            <w:div w:id="996228013">
              <w:marLeft w:val="0"/>
              <w:marRight w:val="0"/>
              <w:marTop w:val="0"/>
              <w:marBottom w:val="0"/>
              <w:divBdr>
                <w:top w:val="none" w:sz="0" w:space="0" w:color="auto"/>
                <w:left w:val="none" w:sz="0" w:space="0" w:color="auto"/>
                <w:bottom w:val="none" w:sz="0" w:space="0" w:color="auto"/>
                <w:right w:val="none" w:sz="0" w:space="0" w:color="auto"/>
              </w:divBdr>
              <w:divsChild>
                <w:div w:id="996228098">
                  <w:marLeft w:val="340"/>
                  <w:marRight w:val="0"/>
                  <w:marTop w:val="160"/>
                  <w:marBottom w:val="200"/>
                  <w:divBdr>
                    <w:top w:val="none" w:sz="0" w:space="0" w:color="auto"/>
                    <w:left w:val="none" w:sz="0" w:space="0" w:color="auto"/>
                    <w:bottom w:val="none" w:sz="0" w:space="0" w:color="auto"/>
                    <w:right w:val="none" w:sz="0" w:space="0" w:color="auto"/>
                  </w:divBdr>
                  <w:divsChild>
                    <w:div w:id="99622813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28">
      <w:marLeft w:val="0"/>
      <w:marRight w:val="0"/>
      <w:marTop w:val="0"/>
      <w:marBottom w:val="0"/>
      <w:divBdr>
        <w:top w:val="none" w:sz="0" w:space="0" w:color="auto"/>
        <w:left w:val="none" w:sz="0" w:space="0" w:color="auto"/>
        <w:bottom w:val="none" w:sz="0" w:space="0" w:color="auto"/>
        <w:right w:val="single" w:sz="6" w:space="6" w:color="FFFFFF"/>
      </w:divBdr>
      <w:divsChild>
        <w:div w:id="996227954">
          <w:marLeft w:val="0"/>
          <w:marRight w:val="0"/>
          <w:marTop w:val="0"/>
          <w:marBottom w:val="0"/>
          <w:divBdr>
            <w:top w:val="none" w:sz="0" w:space="0" w:color="auto"/>
            <w:left w:val="none" w:sz="0" w:space="0" w:color="auto"/>
            <w:bottom w:val="none" w:sz="0" w:space="0" w:color="auto"/>
            <w:right w:val="none" w:sz="0" w:space="0" w:color="auto"/>
          </w:divBdr>
          <w:divsChild>
            <w:div w:id="996228170">
              <w:marLeft w:val="0"/>
              <w:marRight w:val="0"/>
              <w:marTop w:val="0"/>
              <w:marBottom w:val="0"/>
              <w:divBdr>
                <w:top w:val="none" w:sz="0" w:space="0" w:color="auto"/>
                <w:left w:val="none" w:sz="0" w:space="0" w:color="auto"/>
                <w:bottom w:val="none" w:sz="0" w:space="0" w:color="auto"/>
                <w:right w:val="none" w:sz="0" w:space="0" w:color="auto"/>
              </w:divBdr>
              <w:divsChild>
                <w:div w:id="996228117">
                  <w:marLeft w:val="340"/>
                  <w:marRight w:val="0"/>
                  <w:marTop w:val="160"/>
                  <w:marBottom w:val="200"/>
                  <w:divBdr>
                    <w:top w:val="none" w:sz="0" w:space="0" w:color="auto"/>
                    <w:left w:val="none" w:sz="0" w:space="0" w:color="auto"/>
                    <w:bottom w:val="none" w:sz="0" w:space="0" w:color="auto"/>
                    <w:right w:val="none" w:sz="0" w:space="0" w:color="auto"/>
                  </w:divBdr>
                  <w:divsChild>
                    <w:div w:id="99622783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35">
      <w:marLeft w:val="0"/>
      <w:marRight w:val="0"/>
      <w:marTop w:val="0"/>
      <w:marBottom w:val="0"/>
      <w:divBdr>
        <w:top w:val="none" w:sz="0" w:space="0" w:color="auto"/>
        <w:left w:val="none" w:sz="0" w:space="0" w:color="auto"/>
        <w:bottom w:val="none" w:sz="0" w:space="0" w:color="auto"/>
        <w:right w:val="single" w:sz="6" w:space="6" w:color="FFFFFF"/>
      </w:divBdr>
      <w:divsChild>
        <w:div w:id="996228127">
          <w:marLeft w:val="0"/>
          <w:marRight w:val="0"/>
          <w:marTop w:val="0"/>
          <w:marBottom w:val="0"/>
          <w:divBdr>
            <w:top w:val="none" w:sz="0" w:space="0" w:color="auto"/>
            <w:left w:val="none" w:sz="0" w:space="0" w:color="auto"/>
            <w:bottom w:val="none" w:sz="0" w:space="0" w:color="auto"/>
            <w:right w:val="none" w:sz="0" w:space="0" w:color="auto"/>
          </w:divBdr>
          <w:divsChild>
            <w:div w:id="996228019">
              <w:marLeft w:val="0"/>
              <w:marRight w:val="0"/>
              <w:marTop w:val="0"/>
              <w:marBottom w:val="0"/>
              <w:divBdr>
                <w:top w:val="none" w:sz="0" w:space="0" w:color="auto"/>
                <w:left w:val="none" w:sz="0" w:space="0" w:color="auto"/>
                <w:bottom w:val="none" w:sz="0" w:space="0" w:color="auto"/>
                <w:right w:val="none" w:sz="0" w:space="0" w:color="auto"/>
              </w:divBdr>
              <w:divsChild>
                <w:div w:id="996227847">
                  <w:marLeft w:val="340"/>
                  <w:marRight w:val="0"/>
                  <w:marTop w:val="160"/>
                  <w:marBottom w:val="200"/>
                  <w:divBdr>
                    <w:top w:val="none" w:sz="0" w:space="0" w:color="auto"/>
                    <w:left w:val="none" w:sz="0" w:space="0" w:color="auto"/>
                    <w:bottom w:val="none" w:sz="0" w:space="0" w:color="auto"/>
                    <w:right w:val="none" w:sz="0" w:space="0" w:color="auto"/>
                  </w:divBdr>
                  <w:divsChild>
                    <w:div w:id="996227903">
                      <w:marLeft w:val="340"/>
                      <w:marRight w:val="0"/>
                      <w:marTop w:val="160"/>
                      <w:marBottom w:val="200"/>
                      <w:divBdr>
                        <w:top w:val="none" w:sz="0" w:space="0" w:color="auto"/>
                        <w:left w:val="none" w:sz="0" w:space="0" w:color="auto"/>
                        <w:bottom w:val="none" w:sz="0" w:space="0" w:color="auto"/>
                        <w:right w:val="none" w:sz="0" w:space="0" w:color="auto"/>
                      </w:divBdr>
                      <w:divsChild>
                        <w:div w:id="996227953">
                          <w:marLeft w:val="340"/>
                          <w:marRight w:val="0"/>
                          <w:marTop w:val="160"/>
                          <w:marBottom w:val="200"/>
                          <w:divBdr>
                            <w:top w:val="none" w:sz="0" w:space="0" w:color="auto"/>
                            <w:left w:val="none" w:sz="0" w:space="0" w:color="auto"/>
                            <w:bottom w:val="none" w:sz="0" w:space="0" w:color="auto"/>
                            <w:right w:val="none" w:sz="0" w:space="0" w:color="auto"/>
                          </w:divBdr>
                        </w:div>
                      </w:divsChild>
                    </w:div>
                    <w:div w:id="996227906">
                      <w:marLeft w:val="340"/>
                      <w:marRight w:val="0"/>
                      <w:marTop w:val="160"/>
                      <w:marBottom w:val="200"/>
                      <w:divBdr>
                        <w:top w:val="none" w:sz="0" w:space="0" w:color="auto"/>
                        <w:left w:val="none" w:sz="0" w:space="0" w:color="auto"/>
                        <w:bottom w:val="none" w:sz="0" w:space="0" w:color="auto"/>
                        <w:right w:val="none" w:sz="0" w:space="0" w:color="auto"/>
                      </w:divBdr>
                    </w:div>
                    <w:div w:id="996228034">
                      <w:marLeft w:val="340"/>
                      <w:marRight w:val="0"/>
                      <w:marTop w:val="160"/>
                      <w:marBottom w:val="200"/>
                      <w:divBdr>
                        <w:top w:val="none" w:sz="0" w:space="0" w:color="auto"/>
                        <w:left w:val="none" w:sz="0" w:space="0" w:color="auto"/>
                        <w:bottom w:val="none" w:sz="0" w:space="0" w:color="auto"/>
                        <w:right w:val="none" w:sz="0" w:space="0" w:color="auto"/>
                      </w:divBdr>
                    </w:div>
                    <w:div w:id="99622805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58">
      <w:marLeft w:val="0"/>
      <w:marRight w:val="0"/>
      <w:marTop w:val="0"/>
      <w:marBottom w:val="0"/>
      <w:divBdr>
        <w:top w:val="none" w:sz="0" w:space="0" w:color="auto"/>
        <w:left w:val="none" w:sz="0" w:space="0" w:color="auto"/>
        <w:bottom w:val="none" w:sz="0" w:space="0" w:color="auto"/>
        <w:right w:val="single" w:sz="6" w:space="6" w:color="FFFFFF"/>
      </w:divBdr>
      <w:divsChild>
        <w:div w:id="996228062">
          <w:marLeft w:val="0"/>
          <w:marRight w:val="0"/>
          <w:marTop w:val="0"/>
          <w:marBottom w:val="0"/>
          <w:divBdr>
            <w:top w:val="none" w:sz="0" w:space="0" w:color="auto"/>
            <w:left w:val="none" w:sz="0" w:space="0" w:color="auto"/>
            <w:bottom w:val="none" w:sz="0" w:space="0" w:color="auto"/>
            <w:right w:val="none" w:sz="0" w:space="0" w:color="auto"/>
          </w:divBdr>
          <w:divsChild>
            <w:div w:id="996228164">
              <w:marLeft w:val="0"/>
              <w:marRight w:val="0"/>
              <w:marTop w:val="0"/>
              <w:marBottom w:val="0"/>
              <w:divBdr>
                <w:top w:val="none" w:sz="0" w:space="0" w:color="auto"/>
                <w:left w:val="none" w:sz="0" w:space="0" w:color="auto"/>
                <w:bottom w:val="none" w:sz="0" w:space="0" w:color="auto"/>
                <w:right w:val="none" w:sz="0" w:space="0" w:color="auto"/>
              </w:divBdr>
              <w:divsChild>
                <w:div w:id="996227932">
                  <w:marLeft w:val="340"/>
                  <w:marRight w:val="0"/>
                  <w:marTop w:val="160"/>
                  <w:marBottom w:val="200"/>
                  <w:divBdr>
                    <w:top w:val="none" w:sz="0" w:space="0" w:color="auto"/>
                    <w:left w:val="none" w:sz="0" w:space="0" w:color="auto"/>
                    <w:bottom w:val="none" w:sz="0" w:space="0" w:color="auto"/>
                    <w:right w:val="none" w:sz="0" w:space="0" w:color="auto"/>
                  </w:divBdr>
                  <w:divsChild>
                    <w:div w:id="996228115">
                      <w:marLeft w:val="340"/>
                      <w:marRight w:val="0"/>
                      <w:marTop w:val="160"/>
                      <w:marBottom w:val="200"/>
                      <w:divBdr>
                        <w:top w:val="none" w:sz="0" w:space="0" w:color="auto"/>
                        <w:left w:val="none" w:sz="0" w:space="0" w:color="auto"/>
                        <w:bottom w:val="none" w:sz="0" w:space="0" w:color="auto"/>
                        <w:right w:val="none" w:sz="0" w:space="0" w:color="auto"/>
                      </w:divBdr>
                      <w:divsChild>
                        <w:div w:id="996227921">
                          <w:marLeft w:val="340"/>
                          <w:marRight w:val="0"/>
                          <w:marTop w:val="160"/>
                          <w:marBottom w:val="200"/>
                          <w:divBdr>
                            <w:top w:val="none" w:sz="0" w:space="0" w:color="auto"/>
                            <w:left w:val="none" w:sz="0" w:space="0" w:color="auto"/>
                            <w:bottom w:val="none" w:sz="0" w:space="0" w:color="auto"/>
                            <w:right w:val="none" w:sz="0" w:space="0" w:color="auto"/>
                          </w:divBdr>
                        </w:div>
                        <w:div w:id="996227952">
                          <w:marLeft w:val="340"/>
                          <w:marRight w:val="0"/>
                          <w:marTop w:val="160"/>
                          <w:marBottom w:val="200"/>
                          <w:divBdr>
                            <w:top w:val="none" w:sz="0" w:space="0" w:color="auto"/>
                            <w:left w:val="none" w:sz="0" w:space="0" w:color="auto"/>
                            <w:bottom w:val="none" w:sz="0" w:space="0" w:color="auto"/>
                            <w:right w:val="none" w:sz="0" w:space="0" w:color="auto"/>
                          </w:divBdr>
                        </w:div>
                        <w:div w:id="99622814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965">
      <w:marLeft w:val="0"/>
      <w:marRight w:val="0"/>
      <w:marTop w:val="0"/>
      <w:marBottom w:val="0"/>
      <w:divBdr>
        <w:top w:val="none" w:sz="0" w:space="0" w:color="auto"/>
        <w:left w:val="none" w:sz="0" w:space="0" w:color="auto"/>
        <w:bottom w:val="none" w:sz="0" w:space="0" w:color="auto"/>
        <w:right w:val="single" w:sz="6" w:space="6" w:color="FFFFFF"/>
      </w:divBdr>
      <w:divsChild>
        <w:div w:id="996228162">
          <w:marLeft w:val="0"/>
          <w:marRight w:val="0"/>
          <w:marTop w:val="0"/>
          <w:marBottom w:val="0"/>
          <w:divBdr>
            <w:top w:val="none" w:sz="0" w:space="0" w:color="auto"/>
            <w:left w:val="none" w:sz="0" w:space="0" w:color="auto"/>
            <w:bottom w:val="none" w:sz="0" w:space="0" w:color="auto"/>
            <w:right w:val="none" w:sz="0" w:space="0" w:color="auto"/>
          </w:divBdr>
          <w:divsChild>
            <w:div w:id="996228014">
              <w:marLeft w:val="0"/>
              <w:marRight w:val="0"/>
              <w:marTop w:val="0"/>
              <w:marBottom w:val="0"/>
              <w:divBdr>
                <w:top w:val="none" w:sz="0" w:space="0" w:color="auto"/>
                <w:left w:val="none" w:sz="0" w:space="0" w:color="auto"/>
                <w:bottom w:val="none" w:sz="0" w:space="0" w:color="auto"/>
                <w:right w:val="none" w:sz="0" w:space="0" w:color="auto"/>
              </w:divBdr>
              <w:divsChild>
                <w:div w:id="996227922">
                  <w:marLeft w:val="340"/>
                  <w:marRight w:val="0"/>
                  <w:marTop w:val="160"/>
                  <w:marBottom w:val="200"/>
                  <w:divBdr>
                    <w:top w:val="none" w:sz="0" w:space="0" w:color="auto"/>
                    <w:left w:val="none" w:sz="0" w:space="0" w:color="auto"/>
                    <w:bottom w:val="none" w:sz="0" w:space="0" w:color="auto"/>
                    <w:right w:val="none" w:sz="0" w:space="0" w:color="auto"/>
                  </w:divBdr>
                  <w:divsChild>
                    <w:div w:id="99622786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69">
      <w:marLeft w:val="0"/>
      <w:marRight w:val="0"/>
      <w:marTop w:val="0"/>
      <w:marBottom w:val="0"/>
      <w:divBdr>
        <w:top w:val="none" w:sz="0" w:space="0" w:color="auto"/>
        <w:left w:val="none" w:sz="0" w:space="0" w:color="auto"/>
        <w:bottom w:val="none" w:sz="0" w:space="0" w:color="auto"/>
        <w:right w:val="single" w:sz="6" w:space="6" w:color="FFFFFF"/>
      </w:divBdr>
      <w:divsChild>
        <w:div w:id="996227828">
          <w:marLeft w:val="0"/>
          <w:marRight w:val="0"/>
          <w:marTop w:val="0"/>
          <w:marBottom w:val="0"/>
          <w:divBdr>
            <w:top w:val="none" w:sz="0" w:space="0" w:color="auto"/>
            <w:left w:val="none" w:sz="0" w:space="0" w:color="auto"/>
            <w:bottom w:val="none" w:sz="0" w:space="0" w:color="auto"/>
            <w:right w:val="none" w:sz="0" w:space="0" w:color="auto"/>
          </w:divBdr>
          <w:divsChild>
            <w:div w:id="996228150">
              <w:marLeft w:val="0"/>
              <w:marRight w:val="0"/>
              <w:marTop w:val="0"/>
              <w:marBottom w:val="0"/>
              <w:divBdr>
                <w:top w:val="none" w:sz="0" w:space="0" w:color="auto"/>
                <w:left w:val="none" w:sz="0" w:space="0" w:color="auto"/>
                <w:bottom w:val="none" w:sz="0" w:space="0" w:color="auto"/>
                <w:right w:val="none" w:sz="0" w:space="0" w:color="auto"/>
              </w:divBdr>
              <w:divsChild>
                <w:div w:id="996228032">
                  <w:marLeft w:val="340"/>
                  <w:marRight w:val="0"/>
                  <w:marTop w:val="160"/>
                  <w:marBottom w:val="200"/>
                  <w:divBdr>
                    <w:top w:val="none" w:sz="0" w:space="0" w:color="auto"/>
                    <w:left w:val="none" w:sz="0" w:space="0" w:color="auto"/>
                    <w:bottom w:val="none" w:sz="0" w:space="0" w:color="auto"/>
                    <w:right w:val="none" w:sz="0" w:space="0" w:color="auto"/>
                  </w:divBdr>
                  <w:divsChild>
                    <w:div w:id="996227838">
                      <w:marLeft w:val="340"/>
                      <w:marRight w:val="0"/>
                      <w:marTop w:val="160"/>
                      <w:marBottom w:val="200"/>
                      <w:divBdr>
                        <w:top w:val="none" w:sz="0" w:space="0" w:color="auto"/>
                        <w:left w:val="none" w:sz="0" w:space="0" w:color="auto"/>
                        <w:bottom w:val="none" w:sz="0" w:space="0" w:color="auto"/>
                        <w:right w:val="none" w:sz="0" w:space="0" w:color="auto"/>
                      </w:divBdr>
                      <w:divsChild>
                        <w:div w:id="996227946">
                          <w:marLeft w:val="340"/>
                          <w:marRight w:val="0"/>
                          <w:marTop w:val="160"/>
                          <w:marBottom w:val="200"/>
                          <w:divBdr>
                            <w:top w:val="none" w:sz="0" w:space="0" w:color="auto"/>
                            <w:left w:val="none" w:sz="0" w:space="0" w:color="auto"/>
                            <w:bottom w:val="none" w:sz="0" w:space="0" w:color="auto"/>
                            <w:right w:val="none" w:sz="0" w:space="0" w:color="auto"/>
                          </w:divBdr>
                        </w:div>
                      </w:divsChild>
                    </w:div>
                    <w:div w:id="996227910">
                      <w:marLeft w:val="340"/>
                      <w:marRight w:val="0"/>
                      <w:marTop w:val="160"/>
                      <w:marBottom w:val="200"/>
                      <w:divBdr>
                        <w:top w:val="none" w:sz="0" w:space="0" w:color="auto"/>
                        <w:left w:val="none" w:sz="0" w:space="0" w:color="auto"/>
                        <w:bottom w:val="none" w:sz="0" w:space="0" w:color="auto"/>
                        <w:right w:val="none" w:sz="0" w:space="0" w:color="auto"/>
                      </w:divBdr>
                    </w:div>
                    <w:div w:id="996228083">
                      <w:marLeft w:val="340"/>
                      <w:marRight w:val="0"/>
                      <w:marTop w:val="160"/>
                      <w:marBottom w:val="200"/>
                      <w:divBdr>
                        <w:top w:val="none" w:sz="0" w:space="0" w:color="auto"/>
                        <w:left w:val="none" w:sz="0" w:space="0" w:color="auto"/>
                        <w:bottom w:val="none" w:sz="0" w:space="0" w:color="auto"/>
                        <w:right w:val="none" w:sz="0" w:space="0" w:color="auto"/>
                      </w:divBdr>
                    </w:div>
                    <w:div w:id="996228091">
                      <w:marLeft w:val="340"/>
                      <w:marRight w:val="0"/>
                      <w:marTop w:val="160"/>
                      <w:marBottom w:val="200"/>
                      <w:divBdr>
                        <w:top w:val="none" w:sz="0" w:space="0" w:color="auto"/>
                        <w:left w:val="none" w:sz="0" w:space="0" w:color="auto"/>
                        <w:bottom w:val="none" w:sz="0" w:space="0" w:color="auto"/>
                        <w:right w:val="none" w:sz="0" w:space="0" w:color="auto"/>
                      </w:divBdr>
                      <w:divsChild>
                        <w:div w:id="996228126">
                          <w:marLeft w:val="340"/>
                          <w:marRight w:val="0"/>
                          <w:marTop w:val="160"/>
                          <w:marBottom w:val="200"/>
                          <w:divBdr>
                            <w:top w:val="none" w:sz="0" w:space="0" w:color="auto"/>
                            <w:left w:val="none" w:sz="0" w:space="0" w:color="auto"/>
                            <w:bottom w:val="none" w:sz="0" w:space="0" w:color="auto"/>
                            <w:right w:val="none" w:sz="0" w:space="0" w:color="auto"/>
                          </w:divBdr>
                        </w:div>
                      </w:divsChild>
                    </w:div>
                    <w:div w:id="996228114">
                      <w:marLeft w:val="340"/>
                      <w:marRight w:val="0"/>
                      <w:marTop w:val="160"/>
                      <w:marBottom w:val="200"/>
                      <w:divBdr>
                        <w:top w:val="none" w:sz="0" w:space="0" w:color="auto"/>
                        <w:left w:val="none" w:sz="0" w:space="0" w:color="auto"/>
                        <w:bottom w:val="none" w:sz="0" w:space="0" w:color="auto"/>
                        <w:right w:val="none" w:sz="0" w:space="0" w:color="auto"/>
                      </w:divBdr>
                    </w:div>
                    <w:div w:id="996228129">
                      <w:marLeft w:val="340"/>
                      <w:marRight w:val="0"/>
                      <w:marTop w:val="160"/>
                      <w:marBottom w:val="200"/>
                      <w:divBdr>
                        <w:top w:val="none" w:sz="0" w:space="0" w:color="auto"/>
                        <w:left w:val="none" w:sz="0" w:space="0" w:color="auto"/>
                        <w:bottom w:val="none" w:sz="0" w:space="0" w:color="auto"/>
                        <w:right w:val="none" w:sz="0" w:space="0" w:color="auto"/>
                      </w:divBdr>
                    </w:div>
                    <w:div w:id="996228134">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75">
      <w:marLeft w:val="0"/>
      <w:marRight w:val="0"/>
      <w:marTop w:val="0"/>
      <w:marBottom w:val="0"/>
      <w:divBdr>
        <w:top w:val="none" w:sz="0" w:space="0" w:color="auto"/>
        <w:left w:val="none" w:sz="0" w:space="0" w:color="auto"/>
        <w:bottom w:val="none" w:sz="0" w:space="0" w:color="auto"/>
        <w:right w:val="single" w:sz="6" w:space="6" w:color="FFFFFF"/>
      </w:divBdr>
      <w:divsChild>
        <w:div w:id="996228109">
          <w:marLeft w:val="0"/>
          <w:marRight w:val="0"/>
          <w:marTop w:val="0"/>
          <w:marBottom w:val="0"/>
          <w:divBdr>
            <w:top w:val="none" w:sz="0" w:space="0" w:color="auto"/>
            <w:left w:val="none" w:sz="0" w:space="0" w:color="auto"/>
            <w:bottom w:val="none" w:sz="0" w:space="0" w:color="auto"/>
            <w:right w:val="none" w:sz="0" w:space="0" w:color="auto"/>
          </w:divBdr>
          <w:divsChild>
            <w:div w:id="996227843">
              <w:marLeft w:val="0"/>
              <w:marRight w:val="0"/>
              <w:marTop w:val="0"/>
              <w:marBottom w:val="0"/>
              <w:divBdr>
                <w:top w:val="none" w:sz="0" w:space="0" w:color="auto"/>
                <w:left w:val="none" w:sz="0" w:space="0" w:color="auto"/>
                <w:bottom w:val="none" w:sz="0" w:space="0" w:color="auto"/>
                <w:right w:val="none" w:sz="0" w:space="0" w:color="auto"/>
              </w:divBdr>
              <w:divsChild>
                <w:div w:id="996228043">
                  <w:marLeft w:val="340"/>
                  <w:marRight w:val="0"/>
                  <w:marTop w:val="160"/>
                  <w:marBottom w:val="200"/>
                  <w:divBdr>
                    <w:top w:val="none" w:sz="0" w:space="0" w:color="auto"/>
                    <w:left w:val="none" w:sz="0" w:space="0" w:color="auto"/>
                    <w:bottom w:val="none" w:sz="0" w:space="0" w:color="auto"/>
                    <w:right w:val="none" w:sz="0" w:space="0" w:color="auto"/>
                  </w:divBdr>
                  <w:divsChild>
                    <w:div w:id="996227929">
                      <w:marLeft w:val="340"/>
                      <w:marRight w:val="0"/>
                      <w:marTop w:val="160"/>
                      <w:marBottom w:val="200"/>
                      <w:divBdr>
                        <w:top w:val="none" w:sz="0" w:space="0" w:color="auto"/>
                        <w:left w:val="none" w:sz="0" w:space="0" w:color="auto"/>
                        <w:bottom w:val="none" w:sz="0" w:space="0" w:color="auto"/>
                        <w:right w:val="none" w:sz="0" w:space="0" w:color="auto"/>
                      </w:divBdr>
                      <w:divsChild>
                        <w:div w:id="996227913">
                          <w:marLeft w:val="340"/>
                          <w:marRight w:val="0"/>
                          <w:marTop w:val="160"/>
                          <w:marBottom w:val="200"/>
                          <w:divBdr>
                            <w:top w:val="none" w:sz="0" w:space="0" w:color="auto"/>
                            <w:left w:val="none" w:sz="0" w:space="0" w:color="auto"/>
                            <w:bottom w:val="none" w:sz="0" w:space="0" w:color="auto"/>
                            <w:right w:val="none" w:sz="0" w:space="0" w:color="auto"/>
                          </w:divBdr>
                        </w:div>
                        <w:div w:id="996228040">
                          <w:marLeft w:val="340"/>
                          <w:marRight w:val="0"/>
                          <w:marTop w:val="160"/>
                          <w:marBottom w:val="200"/>
                          <w:divBdr>
                            <w:top w:val="none" w:sz="0" w:space="0" w:color="auto"/>
                            <w:left w:val="none" w:sz="0" w:space="0" w:color="auto"/>
                            <w:bottom w:val="none" w:sz="0" w:space="0" w:color="auto"/>
                            <w:right w:val="none" w:sz="0" w:space="0" w:color="auto"/>
                          </w:divBdr>
                        </w:div>
                        <w:div w:id="996228086">
                          <w:marLeft w:val="340"/>
                          <w:marRight w:val="0"/>
                          <w:marTop w:val="160"/>
                          <w:marBottom w:val="200"/>
                          <w:divBdr>
                            <w:top w:val="none" w:sz="0" w:space="0" w:color="auto"/>
                            <w:left w:val="none" w:sz="0" w:space="0" w:color="auto"/>
                            <w:bottom w:val="none" w:sz="0" w:space="0" w:color="auto"/>
                            <w:right w:val="none" w:sz="0" w:space="0" w:color="auto"/>
                          </w:divBdr>
                        </w:div>
                        <w:div w:id="99622816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984">
      <w:marLeft w:val="0"/>
      <w:marRight w:val="0"/>
      <w:marTop w:val="0"/>
      <w:marBottom w:val="0"/>
      <w:divBdr>
        <w:top w:val="none" w:sz="0" w:space="0" w:color="auto"/>
        <w:left w:val="none" w:sz="0" w:space="0" w:color="auto"/>
        <w:bottom w:val="none" w:sz="0" w:space="0" w:color="auto"/>
        <w:right w:val="single" w:sz="6" w:space="6" w:color="FFFFFF"/>
      </w:divBdr>
      <w:divsChild>
        <w:div w:id="996228035">
          <w:marLeft w:val="0"/>
          <w:marRight w:val="0"/>
          <w:marTop w:val="0"/>
          <w:marBottom w:val="0"/>
          <w:divBdr>
            <w:top w:val="none" w:sz="0" w:space="0" w:color="auto"/>
            <w:left w:val="none" w:sz="0" w:space="0" w:color="auto"/>
            <w:bottom w:val="none" w:sz="0" w:space="0" w:color="auto"/>
            <w:right w:val="none" w:sz="0" w:space="0" w:color="auto"/>
          </w:divBdr>
          <w:divsChild>
            <w:div w:id="996227902">
              <w:marLeft w:val="0"/>
              <w:marRight w:val="0"/>
              <w:marTop w:val="0"/>
              <w:marBottom w:val="0"/>
              <w:divBdr>
                <w:top w:val="none" w:sz="0" w:space="0" w:color="auto"/>
                <w:left w:val="none" w:sz="0" w:space="0" w:color="auto"/>
                <w:bottom w:val="none" w:sz="0" w:space="0" w:color="auto"/>
                <w:right w:val="none" w:sz="0" w:space="0" w:color="auto"/>
              </w:divBdr>
              <w:divsChild>
                <w:div w:id="996228084">
                  <w:marLeft w:val="340"/>
                  <w:marRight w:val="0"/>
                  <w:marTop w:val="160"/>
                  <w:marBottom w:val="200"/>
                  <w:divBdr>
                    <w:top w:val="none" w:sz="0" w:space="0" w:color="auto"/>
                    <w:left w:val="none" w:sz="0" w:space="0" w:color="auto"/>
                    <w:bottom w:val="none" w:sz="0" w:space="0" w:color="auto"/>
                    <w:right w:val="none" w:sz="0" w:space="0" w:color="auto"/>
                  </w:divBdr>
                  <w:divsChild>
                    <w:div w:id="996227990">
                      <w:marLeft w:val="340"/>
                      <w:marRight w:val="0"/>
                      <w:marTop w:val="160"/>
                      <w:marBottom w:val="200"/>
                      <w:divBdr>
                        <w:top w:val="none" w:sz="0" w:space="0" w:color="auto"/>
                        <w:left w:val="none" w:sz="0" w:space="0" w:color="auto"/>
                        <w:bottom w:val="none" w:sz="0" w:space="0" w:color="auto"/>
                        <w:right w:val="none" w:sz="0" w:space="0" w:color="auto"/>
                      </w:divBdr>
                      <w:divsChild>
                        <w:div w:id="99622810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986">
      <w:marLeft w:val="0"/>
      <w:marRight w:val="0"/>
      <w:marTop w:val="0"/>
      <w:marBottom w:val="0"/>
      <w:divBdr>
        <w:top w:val="none" w:sz="0" w:space="0" w:color="auto"/>
        <w:left w:val="none" w:sz="0" w:space="0" w:color="auto"/>
        <w:bottom w:val="none" w:sz="0" w:space="0" w:color="auto"/>
        <w:right w:val="single" w:sz="6" w:space="6" w:color="FFFFFF"/>
      </w:divBdr>
      <w:divsChild>
        <w:div w:id="996227944">
          <w:marLeft w:val="0"/>
          <w:marRight w:val="0"/>
          <w:marTop w:val="0"/>
          <w:marBottom w:val="0"/>
          <w:divBdr>
            <w:top w:val="none" w:sz="0" w:space="0" w:color="auto"/>
            <w:left w:val="none" w:sz="0" w:space="0" w:color="auto"/>
            <w:bottom w:val="none" w:sz="0" w:space="0" w:color="auto"/>
            <w:right w:val="none" w:sz="0" w:space="0" w:color="auto"/>
          </w:divBdr>
          <w:divsChild>
            <w:div w:id="996228070">
              <w:marLeft w:val="0"/>
              <w:marRight w:val="0"/>
              <w:marTop w:val="0"/>
              <w:marBottom w:val="0"/>
              <w:divBdr>
                <w:top w:val="none" w:sz="0" w:space="0" w:color="auto"/>
                <w:left w:val="none" w:sz="0" w:space="0" w:color="auto"/>
                <w:bottom w:val="none" w:sz="0" w:space="0" w:color="auto"/>
                <w:right w:val="none" w:sz="0" w:space="0" w:color="auto"/>
              </w:divBdr>
              <w:divsChild>
                <w:div w:id="996227934">
                  <w:marLeft w:val="340"/>
                  <w:marRight w:val="0"/>
                  <w:marTop w:val="160"/>
                  <w:marBottom w:val="200"/>
                  <w:divBdr>
                    <w:top w:val="none" w:sz="0" w:space="0" w:color="auto"/>
                    <w:left w:val="none" w:sz="0" w:space="0" w:color="auto"/>
                    <w:bottom w:val="none" w:sz="0" w:space="0" w:color="auto"/>
                    <w:right w:val="none" w:sz="0" w:space="0" w:color="auto"/>
                  </w:divBdr>
                  <w:divsChild>
                    <w:div w:id="99622817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87">
      <w:marLeft w:val="0"/>
      <w:marRight w:val="0"/>
      <w:marTop w:val="0"/>
      <w:marBottom w:val="0"/>
      <w:divBdr>
        <w:top w:val="none" w:sz="0" w:space="0" w:color="auto"/>
        <w:left w:val="none" w:sz="0" w:space="0" w:color="auto"/>
        <w:bottom w:val="none" w:sz="0" w:space="0" w:color="auto"/>
        <w:right w:val="single" w:sz="6" w:space="6" w:color="FFFFFF"/>
      </w:divBdr>
      <w:divsChild>
        <w:div w:id="996228113">
          <w:marLeft w:val="0"/>
          <w:marRight w:val="0"/>
          <w:marTop w:val="0"/>
          <w:marBottom w:val="0"/>
          <w:divBdr>
            <w:top w:val="none" w:sz="0" w:space="0" w:color="auto"/>
            <w:left w:val="none" w:sz="0" w:space="0" w:color="auto"/>
            <w:bottom w:val="none" w:sz="0" w:space="0" w:color="auto"/>
            <w:right w:val="none" w:sz="0" w:space="0" w:color="auto"/>
          </w:divBdr>
          <w:divsChild>
            <w:div w:id="996228008">
              <w:marLeft w:val="0"/>
              <w:marRight w:val="0"/>
              <w:marTop w:val="0"/>
              <w:marBottom w:val="0"/>
              <w:divBdr>
                <w:top w:val="none" w:sz="0" w:space="0" w:color="auto"/>
                <w:left w:val="none" w:sz="0" w:space="0" w:color="auto"/>
                <w:bottom w:val="none" w:sz="0" w:space="0" w:color="auto"/>
                <w:right w:val="none" w:sz="0" w:space="0" w:color="auto"/>
              </w:divBdr>
              <w:divsChild>
                <w:div w:id="996227994">
                  <w:marLeft w:val="340"/>
                  <w:marRight w:val="0"/>
                  <w:marTop w:val="160"/>
                  <w:marBottom w:val="200"/>
                  <w:divBdr>
                    <w:top w:val="none" w:sz="0" w:space="0" w:color="auto"/>
                    <w:left w:val="none" w:sz="0" w:space="0" w:color="auto"/>
                    <w:bottom w:val="none" w:sz="0" w:space="0" w:color="auto"/>
                    <w:right w:val="none" w:sz="0" w:space="0" w:color="auto"/>
                  </w:divBdr>
                  <w:divsChild>
                    <w:div w:id="996227826">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8011">
      <w:marLeft w:val="0"/>
      <w:marRight w:val="0"/>
      <w:marTop w:val="0"/>
      <w:marBottom w:val="0"/>
      <w:divBdr>
        <w:top w:val="none" w:sz="0" w:space="0" w:color="auto"/>
        <w:left w:val="none" w:sz="0" w:space="0" w:color="auto"/>
        <w:bottom w:val="none" w:sz="0" w:space="0" w:color="auto"/>
        <w:right w:val="single" w:sz="6" w:space="6" w:color="FFFFFF"/>
      </w:divBdr>
      <w:divsChild>
        <w:div w:id="996228119">
          <w:marLeft w:val="0"/>
          <w:marRight w:val="0"/>
          <w:marTop w:val="0"/>
          <w:marBottom w:val="0"/>
          <w:divBdr>
            <w:top w:val="none" w:sz="0" w:space="0" w:color="auto"/>
            <w:left w:val="none" w:sz="0" w:space="0" w:color="auto"/>
            <w:bottom w:val="none" w:sz="0" w:space="0" w:color="auto"/>
            <w:right w:val="none" w:sz="0" w:space="0" w:color="auto"/>
          </w:divBdr>
          <w:divsChild>
            <w:div w:id="996228128">
              <w:marLeft w:val="0"/>
              <w:marRight w:val="0"/>
              <w:marTop w:val="0"/>
              <w:marBottom w:val="0"/>
              <w:divBdr>
                <w:top w:val="none" w:sz="0" w:space="0" w:color="auto"/>
                <w:left w:val="none" w:sz="0" w:space="0" w:color="auto"/>
                <w:bottom w:val="none" w:sz="0" w:space="0" w:color="auto"/>
                <w:right w:val="none" w:sz="0" w:space="0" w:color="auto"/>
              </w:divBdr>
              <w:divsChild>
                <w:div w:id="996228044">
                  <w:marLeft w:val="340"/>
                  <w:marRight w:val="0"/>
                  <w:marTop w:val="160"/>
                  <w:marBottom w:val="200"/>
                  <w:divBdr>
                    <w:top w:val="none" w:sz="0" w:space="0" w:color="auto"/>
                    <w:left w:val="none" w:sz="0" w:space="0" w:color="auto"/>
                    <w:bottom w:val="none" w:sz="0" w:space="0" w:color="auto"/>
                    <w:right w:val="none" w:sz="0" w:space="0" w:color="auto"/>
                  </w:divBdr>
                  <w:divsChild>
                    <w:div w:id="996227835">
                      <w:marLeft w:val="340"/>
                      <w:marRight w:val="0"/>
                      <w:marTop w:val="160"/>
                      <w:marBottom w:val="200"/>
                      <w:divBdr>
                        <w:top w:val="none" w:sz="0" w:space="0" w:color="auto"/>
                        <w:left w:val="none" w:sz="0" w:space="0" w:color="auto"/>
                        <w:bottom w:val="none" w:sz="0" w:space="0" w:color="auto"/>
                        <w:right w:val="none" w:sz="0" w:space="0" w:color="auto"/>
                      </w:divBdr>
                      <w:divsChild>
                        <w:div w:id="996227818">
                          <w:marLeft w:val="340"/>
                          <w:marRight w:val="0"/>
                          <w:marTop w:val="160"/>
                          <w:marBottom w:val="200"/>
                          <w:divBdr>
                            <w:top w:val="none" w:sz="0" w:space="0" w:color="auto"/>
                            <w:left w:val="none" w:sz="0" w:space="0" w:color="auto"/>
                            <w:bottom w:val="none" w:sz="0" w:space="0" w:color="auto"/>
                            <w:right w:val="none" w:sz="0" w:space="0" w:color="auto"/>
                          </w:divBdr>
                        </w:div>
                        <w:div w:id="996227880">
                          <w:marLeft w:val="340"/>
                          <w:marRight w:val="0"/>
                          <w:marTop w:val="160"/>
                          <w:marBottom w:val="200"/>
                          <w:divBdr>
                            <w:top w:val="none" w:sz="0" w:space="0" w:color="auto"/>
                            <w:left w:val="none" w:sz="0" w:space="0" w:color="auto"/>
                            <w:bottom w:val="none" w:sz="0" w:space="0" w:color="auto"/>
                            <w:right w:val="none" w:sz="0" w:space="0" w:color="auto"/>
                          </w:divBdr>
                        </w:div>
                        <w:div w:id="996228149">
                          <w:marLeft w:val="340"/>
                          <w:marRight w:val="0"/>
                          <w:marTop w:val="160"/>
                          <w:marBottom w:val="200"/>
                          <w:divBdr>
                            <w:top w:val="none" w:sz="0" w:space="0" w:color="auto"/>
                            <w:left w:val="none" w:sz="0" w:space="0" w:color="auto"/>
                            <w:bottom w:val="none" w:sz="0" w:space="0" w:color="auto"/>
                            <w:right w:val="none" w:sz="0" w:space="0" w:color="auto"/>
                          </w:divBdr>
                        </w:div>
                        <w:div w:id="99622817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012">
      <w:marLeft w:val="0"/>
      <w:marRight w:val="0"/>
      <w:marTop w:val="0"/>
      <w:marBottom w:val="0"/>
      <w:divBdr>
        <w:top w:val="none" w:sz="0" w:space="0" w:color="auto"/>
        <w:left w:val="none" w:sz="0" w:space="0" w:color="auto"/>
        <w:bottom w:val="none" w:sz="0" w:space="0" w:color="auto"/>
        <w:right w:val="single" w:sz="6" w:space="6" w:color="FFFFFF"/>
      </w:divBdr>
      <w:divsChild>
        <w:div w:id="996227816">
          <w:marLeft w:val="0"/>
          <w:marRight w:val="0"/>
          <w:marTop w:val="0"/>
          <w:marBottom w:val="0"/>
          <w:divBdr>
            <w:top w:val="none" w:sz="0" w:space="0" w:color="auto"/>
            <w:left w:val="none" w:sz="0" w:space="0" w:color="auto"/>
            <w:bottom w:val="none" w:sz="0" w:space="0" w:color="auto"/>
            <w:right w:val="none" w:sz="0" w:space="0" w:color="auto"/>
          </w:divBdr>
          <w:divsChild>
            <w:div w:id="9962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8023">
      <w:marLeft w:val="0"/>
      <w:marRight w:val="0"/>
      <w:marTop w:val="0"/>
      <w:marBottom w:val="0"/>
      <w:divBdr>
        <w:top w:val="none" w:sz="0" w:space="0" w:color="auto"/>
        <w:left w:val="none" w:sz="0" w:space="0" w:color="auto"/>
        <w:bottom w:val="none" w:sz="0" w:space="0" w:color="auto"/>
        <w:right w:val="single" w:sz="6" w:space="6" w:color="FFFFFF"/>
      </w:divBdr>
      <w:divsChild>
        <w:div w:id="996228168">
          <w:marLeft w:val="0"/>
          <w:marRight w:val="0"/>
          <w:marTop w:val="0"/>
          <w:marBottom w:val="0"/>
          <w:divBdr>
            <w:top w:val="none" w:sz="0" w:space="0" w:color="auto"/>
            <w:left w:val="none" w:sz="0" w:space="0" w:color="auto"/>
            <w:bottom w:val="none" w:sz="0" w:space="0" w:color="auto"/>
            <w:right w:val="none" w:sz="0" w:space="0" w:color="auto"/>
          </w:divBdr>
          <w:divsChild>
            <w:div w:id="996227900">
              <w:marLeft w:val="0"/>
              <w:marRight w:val="0"/>
              <w:marTop w:val="0"/>
              <w:marBottom w:val="0"/>
              <w:divBdr>
                <w:top w:val="none" w:sz="0" w:space="0" w:color="auto"/>
                <w:left w:val="none" w:sz="0" w:space="0" w:color="auto"/>
                <w:bottom w:val="none" w:sz="0" w:space="0" w:color="auto"/>
                <w:right w:val="none" w:sz="0" w:space="0" w:color="auto"/>
              </w:divBdr>
              <w:divsChild>
                <w:div w:id="996227864">
                  <w:marLeft w:val="340"/>
                  <w:marRight w:val="0"/>
                  <w:marTop w:val="160"/>
                  <w:marBottom w:val="200"/>
                  <w:divBdr>
                    <w:top w:val="none" w:sz="0" w:space="0" w:color="auto"/>
                    <w:left w:val="none" w:sz="0" w:space="0" w:color="auto"/>
                    <w:bottom w:val="none" w:sz="0" w:space="0" w:color="auto"/>
                    <w:right w:val="none" w:sz="0" w:space="0" w:color="auto"/>
                  </w:divBdr>
                  <w:divsChild>
                    <w:div w:id="996227989">
                      <w:marLeft w:val="340"/>
                      <w:marRight w:val="0"/>
                      <w:marTop w:val="160"/>
                      <w:marBottom w:val="200"/>
                      <w:divBdr>
                        <w:top w:val="none" w:sz="0" w:space="0" w:color="auto"/>
                        <w:left w:val="none" w:sz="0" w:space="0" w:color="auto"/>
                        <w:bottom w:val="none" w:sz="0" w:space="0" w:color="auto"/>
                        <w:right w:val="none" w:sz="0" w:space="0" w:color="auto"/>
                      </w:divBdr>
                      <w:divsChild>
                        <w:div w:id="996227967">
                          <w:marLeft w:val="340"/>
                          <w:marRight w:val="0"/>
                          <w:marTop w:val="160"/>
                          <w:marBottom w:val="200"/>
                          <w:divBdr>
                            <w:top w:val="none" w:sz="0" w:space="0" w:color="auto"/>
                            <w:left w:val="none" w:sz="0" w:space="0" w:color="auto"/>
                            <w:bottom w:val="none" w:sz="0" w:space="0" w:color="auto"/>
                            <w:right w:val="none" w:sz="0" w:space="0" w:color="auto"/>
                          </w:divBdr>
                        </w:div>
                      </w:divsChild>
                    </w:div>
                    <w:div w:id="996228006">
                      <w:marLeft w:val="340"/>
                      <w:marRight w:val="0"/>
                      <w:marTop w:val="160"/>
                      <w:marBottom w:val="200"/>
                      <w:divBdr>
                        <w:top w:val="none" w:sz="0" w:space="0" w:color="auto"/>
                        <w:left w:val="none" w:sz="0" w:space="0" w:color="auto"/>
                        <w:bottom w:val="none" w:sz="0" w:space="0" w:color="auto"/>
                        <w:right w:val="none" w:sz="0" w:space="0" w:color="auto"/>
                      </w:divBdr>
                    </w:div>
                    <w:div w:id="996228095">
                      <w:marLeft w:val="340"/>
                      <w:marRight w:val="0"/>
                      <w:marTop w:val="160"/>
                      <w:marBottom w:val="200"/>
                      <w:divBdr>
                        <w:top w:val="none" w:sz="0" w:space="0" w:color="auto"/>
                        <w:left w:val="none" w:sz="0" w:space="0" w:color="auto"/>
                        <w:bottom w:val="none" w:sz="0" w:space="0" w:color="auto"/>
                        <w:right w:val="none" w:sz="0" w:space="0" w:color="auto"/>
                      </w:divBdr>
                      <w:divsChild>
                        <w:div w:id="996228087">
                          <w:marLeft w:val="340"/>
                          <w:marRight w:val="0"/>
                          <w:marTop w:val="160"/>
                          <w:marBottom w:val="200"/>
                          <w:divBdr>
                            <w:top w:val="none" w:sz="0" w:space="0" w:color="auto"/>
                            <w:left w:val="none" w:sz="0" w:space="0" w:color="auto"/>
                            <w:bottom w:val="none" w:sz="0" w:space="0" w:color="auto"/>
                            <w:right w:val="none" w:sz="0" w:space="0" w:color="auto"/>
                          </w:divBdr>
                        </w:div>
                      </w:divsChild>
                    </w:div>
                    <w:div w:id="996228096">
                      <w:marLeft w:val="340"/>
                      <w:marRight w:val="0"/>
                      <w:marTop w:val="160"/>
                      <w:marBottom w:val="200"/>
                      <w:divBdr>
                        <w:top w:val="none" w:sz="0" w:space="0" w:color="auto"/>
                        <w:left w:val="none" w:sz="0" w:space="0" w:color="auto"/>
                        <w:bottom w:val="none" w:sz="0" w:space="0" w:color="auto"/>
                        <w:right w:val="none" w:sz="0" w:space="0" w:color="auto"/>
                      </w:divBdr>
                    </w:div>
                    <w:div w:id="996228120">
                      <w:marLeft w:val="340"/>
                      <w:marRight w:val="0"/>
                      <w:marTop w:val="160"/>
                      <w:marBottom w:val="200"/>
                      <w:divBdr>
                        <w:top w:val="none" w:sz="0" w:space="0" w:color="auto"/>
                        <w:left w:val="none" w:sz="0" w:space="0" w:color="auto"/>
                        <w:bottom w:val="none" w:sz="0" w:space="0" w:color="auto"/>
                        <w:right w:val="none" w:sz="0" w:space="0" w:color="auto"/>
                      </w:divBdr>
                    </w:div>
                    <w:div w:id="996228142">
                      <w:marLeft w:val="340"/>
                      <w:marRight w:val="0"/>
                      <w:marTop w:val="160"/>
                      <w:marBottom w:val="200"/>
                      <w:divBdr>
                        <w:top w:val="none" w:sz="0" w:space="0" w:color="auto"/>
                        <w:left w:val="none" w:sz="0" w:space="0" w:color="auto"/>
                        <w:bottom w:val="none" w:sz="0" w:space="0" w:color="auto"/>
                        <w:right w:val="none" w:sz="0" w:space="0" w:color="auto"/>
                      </w:divBdr>
                      <w:divsChild>
                        <w:div w:id="996227815">
                          <w:marLeft w:val="340"/>
                          <w:marRight w:val="0"/>
                          <w:marTop w:val="160"/>
                          <w:marBottom w:val="200"/>
                          <w:divBdr>
                            <w:top w:val="none" w:sz="0" w:space="0" w:color="auto"/>
                            <w:left w:val="none" w:sz="0" w:space="0" w:color="auto"/>
                            <w:bottom w:val="none" w:sz="0" w:space="0" w:color="auto"/>
                            <w:right w:val="none" w:sz="0" w:space="0" w:color="auto"/>
                          </w:divBdr>
                        </w:div>
                        <w:div w:id="99622802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025">
      <w:marLeft w:val="0"/>
      <w:marRight w:val="0"/>
      <w:marTop w:val="0"/>
      <w:marBottom w:val="0"/>
      <w:divBdr>
        <w:top w:val="none" w:sz="0" w:space="0" w:color="auto"/>
        <w:left w:val="none" w:sz="0" w:space="0" w:color="auto"/>
        <w:bottom w:val="none" w:sz="0" w:space="0" w:color="auto"/>
        <w:right w:val="single" w:sz="6" w:space="6" w:color="FFFFFF"/>
      </w:divBdr>
      <w:divsChild>
        <w:div w:id="996228074">
          <w:marLeft w:val="0"/>
          <w:marRight w:val="0"/>
          <w:marTop w:val="0"/>
          <w:marBottom w:val="0"/>
          <w:divBdr>
            <w:top w:val="none" w:sz="0" w:space="0" w:color="auto"/>
            <w:left w:val="none" w:sz="0" w:space="0" w:color="auto"/>
            <w:bottom w:val="none" w:sz="0" w:space="0" w:color="auto"/>
            <w:right w:val="none" w:sz="0" w:space="0" w:color="auto"/>
          </w:divBdr>
          <w:divsChild>
            <w:div w:id="996227889">
              <w:marLeft w:val="0"/>
              <w:marRight w:val="0"/>
              <w:marTop w:val="0"/>
              <w:marBottom w:val="0"/>
              <w:divBdr>
                <w:top w:val="none" w:sz="0" w:space="0" w:color="auto"/>
                <w:left w:val="none" w:sz="0" w:space="0" w:color="auto"/>
                <w:bottom w:val="none" w:sz="0" w:space="0" w:color="auto"/>
                <w:right w:val="none" w:sz="0" w:space="0" w:color="auto"/>
              </w:divBdr>
              <w:divsChild>
                <w:div w:id="996227898">
                  <w:marLeft w:val="340"/>
                  <w:marRight w:val="0"/>
                  <w:marTop w:val="160"/>
                  <w:marBottom w:val="200"/>
                  <w:divBdr>
                    <w:top w:val="none" w:sz="0" w:space="0" w:color="auto"/>
                    <w:left w:val="none" w:sz="0" w:space="0" w:color="auto"/>
                    <w:bottom w:val="none" w:sz="0" w:space="0" w:color="auto"/>
                    <w:right w:val="none" w:sz="0" w:space="0" w:color="auto"/>
                  </w:divBdr>
                  <w:divsChild>
                    <w:div w:id="996227942">
                      <w:marLeft w:val="340"/>
                      <w:marRight w:val="0"/>
                      <w:marTop w:val="160"/>
                      <w:marBottom w:val="200"/>
                      <w:divBdr>
                        <w:top w:val="none" w:sz="0" w:space="0" w:color="auto"/>
                        <w:left w:val="none" w:sz="0" w:space="0" w:color="auto"/>
                        <w:bottom w:val="none" w:sz="0" w:space="0" w:color="auto"/>
                        <w:right w:val="none" w:sz="0" w:space="0" w:color="auto"/>
                      </w:divBdr>
                    </w:div>
                    <w:div w:id="996227977">
                      <w:marLeft w:val="340"/>
                      <w:marRight w:val="0"/>
                      <w:marTop w:val="160"/>
                      <w:marBottom w:val="200"/>
                      <w:divBdr>
                        <w:top w:val="none" w:sz="0" w:space="0" w:color="auto"/>
                        <w:left w:val="none" w:sz="0" w:space="0" w:color="auto"/>
                        <w:bottom w:val="none" w:sz="0" w:space="0" w:color="auto"/>
                        <w:right w:val="none" w:sz="0" w:space="0" w:color="auto"/>
                      </w:divBdr>
                      <w:divsChild>
                        <w:div w:id="996227988">
                          <w:marLeft w:val="340"/>
                          <w:marRight w:val="0"/>
                          <w:marTop w:val="160"/>
                          <w:marBottom w:val="200"/>
                          <w:divBdr>
                            <w:top w:val="none" w:sz="0" w:space="0" w:color="auto"/>
                            <w:left w:val="none" w:sz="0" w:space="0" w:color="auto"/>
                            <w:bottom w:val="none" w:sz="0" w:space="0" w:color="auto"/>
                            <w:right w:val="none" w:sz="0" w:space="0" w:color="auto"/>
                          </w:divBdr>
                        </w:div>
                      </w:divsChild>
                    </w:div>
                    <w:div w:id="996228082">
                      <w:marLeft w:val="340"/>
                      <w:marRight w:val="0"/>
                      <w:marTop w:val="160"/>
                      <w:marBottom w:val="200"/>
                      <w:divBdr>
                        <w:top w:val="none" w:sz="0" w:space="0" w:color="auto"/>
                        <w:left w:val="none" w:sz="0" w:space="0" w:color="auto"/>
                        <w:bottom w:val="none" w:sz="0" w:space="0" w:color="auto"/>
                        <w:right w:val="none" w:sz="0" w:space="0" w:color="auto"/>
                      </w:divBdr>
                    </w:div>
                    <w:div w:id="996228100">
                      <w:marLeft w:val="340"/>
                      <w:marRight w:val="0"/>
                      <w:marTop w:val="160"/>
                      <w:marBottom w:val="200"/>
                      <w:divBdr>
                        <w:top w:val="none" w:sz="0" w:space="0" w:color="auto"/>
                        <w:left w:val="none" w:sz="0" w:space="0" w:color="auto"/>
                        <w:bottom w:val="none" w:sz="0" w:space="0" w:color="auto"/>
                        <w:right w:val="none" w:sz="0" w:space="0" w:color="auto"/>
                      </w:divBdr>
                    </w:div>
                    <w:div w:id="99622813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8042">
      <w:marLeft w:val="0"/>
      <w:marRight w:val="0"/>
      <w:marTop w:val="0"/>
      <w:marBottom w:val="0"/>
      <w:divBdr>
        <w:top w:val="none" w:sz="0" w:space="0" w:color="auto"/>
        <w:left w:val="none" w:sz="0" w:space="0" w:color="auto"/>
        <w:bottom w:val="none" w:sz="0" w:space="0" w:color="auto"/>
        <w:right w:val="single" w:sz="6" w:space="6" w:color="FFFFFF"/>
      </w:divBdr>
      <w:divsChild>
        <w:div w:id="996227825">
          <w:marLeft w:val="0"/>
          <w:marRight w:val="0"/>
          <w:marTop w:val="0"/>
          <w:marBottom w:val="0"/>
          <w:divBdr>
            <w:top w:val="none" w:sz="0" w:space="0" w:color="auto"/>
            <w:left w:val="none" w:sz="0" w:space="0" w:color="auto"/>
            <w:bottom w:val="none" w:sz="0" w:space="0" w:color="auto"/>
            <w:right w:val="none" w:sz="0" w:space="0" w:color="auto"/>
          </w:divBdr>
          <w:divsChild>
            <w:div w:id="996227930">
              <w:marLeft w:val="0"/>
              <w:marRight w:val="0"/>
              <w:marTop w:val="0"/>
              <w:marBottom w:val="0"/>
              <w:divBdr>
                <w:top w:val="none" w:sz="0" w:space="0" w:color="auto"/>
                <w:left w:val="none" w:sz="0" w:space="0" w:color="auto"/>
                <w:bottom w:val="none" w:sz="0" w:space="0" w:color="auto"/>
                <w:right w:val="none" w:sz="0" w:space="0" w:color="auto"/>
              </w:divBdr>
              <w:divsChild>
                <w:div w:id="996228137">
                  <w:marLeft w:val="340"/>
                  <w:marRight w:val="0"/>
                  <w:marTop w:val="160"/>
                  <w:marBottom w:val="200"/>
                  <w:divBdr>
                    <w:top w:val="none" w:sz="0" w:space="0" w:color="auto"/>
                    <w:left w:val="none" w:sz="0" w:space="0" w:color="auto"/>
                    <w:bottom w:val="none" w:sz="0" w:space="0" w:color="auto"/>
                    <w:right w:val="none" w:sz="0" w:space="0" w:color="auto"/>
                  </w:divBdr>
                  <w:divsChild>
                    <w:div w:id="996227846">
                      <w:marLeft w:val="340"/>
                      <w:marRight w:val="0"/>
                      <w:marTop w:val="160"/>
                      <w:marBottom w:val="200"/>
                      <w:divBdr>
                        <w:top w:val="none" w:sz="0" w:space="0" w:color="auto"/>
                        <w:left w:val="none" w:sz="0" w:space="0" w:color="auto"/>
                        <w:bottom w:val="none" w:sz="0" w:space="0" w:color="auto"/>
                        <w:right w:val="none" w:sz="0" w:space="0" w:color="auto"/>
                      </w:divBdr>
                      <w:divsChild>
                        <w:div w:id="996227834">
                          <w:marLeft w:val="340"/>
                          <w:marRight w:val="0"/>
                          <w:marTop w:val="160"/>
                          <w:marBottom w:val="200"/>
                          <w:divBdr>
                            <w:top w:val="none" w:sz="0" w:space="0" w:color="auto"/>
                            <w:left w:val="none" w:sz="0" w:space="0" w:color="auto"/>
                            <w:bottom w:val="none" w:sz="0" w:space="0" w:color="auto"/>
                            <w:right w:val="none" w:sz="0" w:space="0" w:color="auto"/>
                          </w:divBdr>
                        </w:div>
                        <w:div w:id="996227956">
                          <w:marLeft w:val="340"/>
                          <w:marRight w:val="0"/>
                          <w:marTop w:val="160"/>
                          <w:marBottom w:val="200"/>
                          <w:divBdr>
                            <w:top w:val="none" w:sz="0" w:space="0" w:color="auto"/>
                            <w:left w:val="none" w:sz="0" w:space="0" w:color="auto"/>
                            <w:bottom w:val="none" w:sz="0" w:space="0" w:color="auto"/>
                            <w:right w:val="none" w:sz="0" w:space="0" w:color="auto"/>
                          </w:divBdr>
                        </w:div>
                      </w:divsChild>
                    </w:div>
                    <w:div w:id="996228015">
                      <w:marLeft w:val="340"/>
                      <w:marRight w:val="0"/>
                      <w:marTop w:val="160"/>
                      <w:marBottom w:val="200"/>
                      <w:divBdr>
                        <w:top w:val="none" w:sz="0" w:space="0" w:color="auto"/>
                        <w:left w:val="none" w:sz="0" w:space="0" w:color="auto"/>
                        <w:bottom w:val="none" w:sz="0" w:space="0" w:color="auto"/>
                        <w:right w:val="none" w:sz="0" w:space="0" w:color="auto"/>
                      </w:divBdr>
                    </w:div>
                    <w:div w:id="996228152">
                      <w:marLeft w:val="340"/>
                      <w:marRight w:val="0"/>
                      <w:marTop w:val="160"/>
                      <w:marBottom w:val="200"/>
                      <w:divBdr>
                        <w:top w:val="none" w:sz="0" w:space="0" w:color="auto"/>
                        <w:left w:val="none" w:sz="0" w:space="0" w:color="auto"/>
                        <w:bottom w:val="none" w:sz="0" w:space="0" w:color="auto"/>
                        <w:right w:val="none" w:sz="0" w:space="0" w:color="auto"/>
                      </w:divBdr>
                      <w:divsChild>
                        <w:div w:id="996227856">
                          <w:marLeft w:val="340"/>
                          <w:marRight w:val="0"/>
                          <w:marTop w:val="160"/>
                          <w:marBottom w:val="200"/>
                          <w:divBdr>
                            <w:top w:val="none" w:sz="0" w:space="0" w:color="auto"/>
                            <w:left w:val="none" w:sz="0" w:space="0" w:color="auto"/>
                            <w:bottom w:val="none" w:sz="0" w:space="0" w:color="auto"/>
                            <w:right w:val="none" w:sz="0" w:space="0" w:color="auto"/>
                          </w:divBdr>
                        </w:div>
                        <w:div w:id="996227950">
                          <w:marLeft w:val="340"/>
                          <w:marRight w:val="0"/>
                          <w:marTop w:val="160"/>
                          <w:marBottom w:val="200"/>
                          <w:divBdr>
                            <w:top w:val="none" w:sz="0" w:space="0" w:color="auto"/>
                            <w:left w:val="none" w:sz="0" w:space="0" w:color="auto"/>
                            <w:bottom w:val="none" w:sz="0" w:space="0" w:color="auto"/>
                            <w:right w:val="none" w:sz="0" w:space="0" w:color="auto"/>
                          </w:divBdr>
                        </w:div>
                        <w:div w:id="996228136">
                          <w:marLeft w:val="340"/>
                          <w:marRight w:val="0"/>
                          <w:marTop w:val="160"/>
                          <w:marBottom w:val="200"/>
                          <w:divBdr>
                            <w:top w:val="none" w:sz="0" w:space="0" w:color="auto"/>
                            <w:left w:val="none" w:sz="0" w:space="0" w:color="auto"/>
                            <w:bottom w:val="none" w:sz="0" w:space="0" w:color="auto"/>
                            <w:right w:val="none" w:sz="0" w:space="0" w:color="auto"/>
                          </w:divBdr>
                        </w:div>
                        <w:div w:id="996228174">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046">
      <w:marLeft w:val="0"/>
      <w:marRight w:val="0"/>
      <w:marTop w:val="0"/>
      <w:marBottom w:val="0"/>
      <w:divBdr>
        <w:top w:val="none" w:sz="0" w:space="0" w:color="auto"/>
        <w:left w:val="none" w:sz="0" w:space="0" w:color="auto"/>
        <w:bottom w:val="none" w:sz="0" w:space="0" w:color="auto"/>
        <w:right w:val="single" w:sz="6" w:space="6" w:color="FFFFFF"/>
      </w:divBdr>
      <w:divsChild>
        <w:div w:id="996228005">
          <w:marLeft w:val="0"/>
          <w:marRight w:val="0"/>
          <w:marTop w:val="0"/>
          <w:marBottom w:val="0"/>
          <w:divBdr>
            <w:top w:val="none" w:sz="0" w:space="0" w:color="auto"/>
            <w:left w:val="none" w:sz="0" w:space="0" w:color="auto"/>
            <w:bottom w:val="none" w:sz="0" w:space="0" w:color="auto"/>
            <w:right w:val="none" w:sz="0" w:space="0" w:color="auto"/>
          </w:divBdr>
          <w:divsChild>
            <w:div w:id="996227974">
              <w:marLeft w:val="0"/>
              <w:marRight w:val="0"/>
              <w:marTop w:val="0"/>
              <w:marBottom w:val="0"/>
              <w:divBdr>
                <w:top w:val="none" w:sz="0" w:space="0" w:color="auto"/>
                <w:left w:val="none" w:sz="0" w:space="0" w:color="auto"/>
                <w:bottom w:val="none" w:sz="0" w:space="0" w:color="auto"/>
                <w:right w:val="none" w:sz="0" w:space="0" w:color="auto"/>
              </w:divBdr>
              <w:divsChild>
                <w:div w:id="996227854">
                  <w:marLeft w:val="340"/>
                  <w:marRight w:val="0"/>
                  <w:marTop w:val="160"/>
                  <w:marBottom w:val="200"/>
                  <w:divBdr>
                    <w:top w:val="none" w:sz="0" w:space="0" w:color="auto"/>
                    <w:left w:val="none" w:sz="0" w:space="0" w:color="auto"/>
                    <w:bottom w:val="none" w:sz="0" w:space="0" w:color="auto"/>
                    <w:right w:val="none" w:sz="0" w:space="0" w:color="auto"/>
                  </w:divBdr>
                  <w:divsChild>
                    <w:div w:id="996227823">
                      <w:marLeft w:val="340"/>
                      <w:marRight w:val="0"/>
                      <w:marTop w:val="160"/>
                      <w:marBottom w:val="200"/>
                      <w:divBdr>
                        <w:top w:val="none" w:sz="0" w:space="0" w:color="auto"/>
                        <w:left w:val="none" w:sz="0" w:space="0" w:color="auto"/>
                        <w:bottom w:val="none" w:sz="0" w:space="0" w:color="auto"/>
                        <w:right w:val="none" w:sz="0" w:space="0" w:color="auto"/>
                      </w:divBdr>
                      <w:divsChild>
                        <w:div w:id="996227853">
                          <w:marLeft w:val="340"/>
                          <w:marRight w:val="0"/>
                          <w:marTop w:val="160"/>
                          <w:marBottom w:val="200"/>
                          <w:divBdr>
                            <w:top w:val="none" w:sz="0" w:space="0" w:color="auto"/>
                            <w:left w:val="none" w:sz="0" w:space="0" w:color="auto"/>
                            <w:bottom w:val="none" w:sz="0" w:space="0" w:color="auto"/>
                            <w:right w:val="none" w:sz="0" w:space="0" w:color="auto"/>
                          </w:divBdr>
                        </w:div>
                        <w:div w:id="996227985">
                          <w:marLeft w:val="340"/>
                          <w:marRight w:val="0"/>
                          <w:marTop w:val="160"/>
                          <w:marBottom w:val="200"/>
                          <w:divBdr>
                            <w:top w:val="none" w:sz="0" w:space="0" w:color="auto"/>
                            <w:left w:val="none" w:sz="0" w:space="0" w:color="auto"/>
                            <w:bottom w:val="none" w:sz="0" w:space="0" w:color="auto"/>
                            <w:right w:val="none" w:sz="0" w:space="0" w:color="auto"/>
                          </w:divBdr>
                        </w:div>
                      </w:divsChild>
                    </w:div>
                    <w:div w:id="996227845">
                      <w:marLeft w:val="340"/>
                      <w:marRight w:val="0"/>
                      <w:marTop w:val="160"/>
                      <w:marBottom w:val="200"/>
                      <w:divBdr>
                        <w:top w:val="none" w:sz="0" w:space="0" w:color="auto"/>
                        <w:left w:val="none" w:sz="0" w:space="0" w:color="auto"/>
                        <w:bottom w:val="none" w:sz="0" w:space="0" w:color="auto"/>
                        <w:right w:val="none" w:sz="0" w:space="0" w:color="auto"/>
                      </w:divBdr>
                    </w:div>
                    <w:div w:id="996227881">
                      <w:marLeft w:val="340"/>
                      <w:marRight w:val="0"/>
                      <w:marTop w:val="160"/>
                      <w:marBottom w:val="200"/>
                      <w:divBdr>
                        <w:top w:val="none" w:sz="0" w:space="0" w:color="auto"/>
                        <w:left w:val="none" w:sz="0" w:space="0" w:color="auto"/>
                        <w:bottom w:val="none" w:sz="0" w:space="0" w:color="auto"/>
                        <w:right w:val="none" w:sz="0" w:space="0" w:color="auto"/>
                      </w:divBdr>
                    </w:div>
                    <w:div w:id="996227897">
                      <w:marLeft w:val="340"/>
                      <w:marRight w:val="0"/>
                      <w:marTop w:val="160"/>
                      <w:marBottom w:val="200"/>
                      <w:divBdr>
                        <w:top w:val="none" w:sz="0" w:space="0" w:color="auto"/>
                        <w:left w:val="none" w:sz="0" w:space="0" w:color="auto"/>
                        <w:bottom w:val="none" w:sz="0" w:space="0" w:color="auto"/>
                        <w:right w:val="none" w:sz="0" w:space="0" w:color="auto"/>
                      </w:divBdr>
                      <w:divsChild>
                        <w:div w:id="996227878">
                          <w:marLeft w:val="340"/>
                          <w:marRight w:val="0"/>
                          <w:marTop w:val="160"/>
                          <w:marBottom w:val="200"/>
                          <w:divBdr>
                            <w:top w:val="none" w:sz="0" w:space="0" w:color="auto"/>
                            <w:left w:val="none" w:sz="0" w:space="0" w:color="auto"/>
                            <w:bottom w:val="none" w:sz="0" w:space="0" w:color="auto"/>
                            <w:right w:val="none" w:sz="0" w:space="0" w:color="auto"/>
                          </w:divBdr>
                        </w:div>
                      </w:divsChild>
                    </w:div>
                    <w:div w:id="99622799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8049">
      <w:marLeft w:val="0"/>
      <w:marRight w:val="0"/>
      <w:marTop w:val="0"/>
      <w:marBottom w:val="0"/>
      <w:divBdr>
        <w:top w:val="none" w:sz="0" w:space="0" w:color="auto"/>
        <w:left w:val="none" w:sz="0" w:space="0" w:color="auto"/>
        <w:bottom w:val="none" w:sz="0" w:space="0" w:color="auto"/>
        <w:right w:val="single" w:sz="6" w:space="6" w:color="FFFFFF"/>
      </w:divBdr>
      <w:divsChild>
        <w:div w:id="996227819">
          <w:marLeft w:val="0"/>
          <w:marRight w:val="0"/>
          <w:marTop w:val="0"/>
          <w:marBottom w:val="0"/>
          <w:divBdr>
            <w:top w:val="none" w:sz="0" w:space="0" w:color="auto"/>
            <w:left w:val="none" w:sz="0" w:space="0" w:color="auto"/>
            <w:bottom w:val="none" w:sz="0" w:space="0" w:color="auto"/>
            <w:right w:val="none" w:sz="0" w:space="0" w:color="auto"/>
          </w:divBdr>
          <w:divsChild>
            <w:div w:id="9962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8052">
      <w:marLeft w:val="0"/>
      <w:marRight w:val="0"/>
      <w:marTop w:val="0"/>
      <w:marBottom w:val="0"/>
      <w:divBdr>
        <w:top w:val="none" w:sz="0" w:space="0" w:color="auto"/>
        <w:left w:val="none" w:sz="0" w:space="0" w:color="auto"/>
        <w:bottom w:val="none" w:sz="0" w:space="0" w:color="auto"/>
        <w:right w:val="single" w:sz="6" w:space="6" w:color="FFFFFF"/>
      </w:divBdr>
      <w:divsChild>
        <w:div w:id="996228003">
          <w:marLeft w:val="0"/>
          <w:marRight w:val="0"/>
          <w:marTop w:val="0"/>
          <w:marBottom w:val="0"/>
          <w:divBdr>
            <w:top w:val="none" w:sz="0" w:space="0" w:color="auto"/>
            <w:left w:val="none" w:sz="0" w:space="0" w:color="auto"/>
            <w:bottom w:val="none" w:sz="0" w:space="0" w:color="auto"/>
            <w:right w:val="none" w:sz="0" w:space="0" w:color="auto"/>
          </w:divBdr>
          <w:divsChild>
            <w:div w:id="996228010">
              <w:marLeft w:val="0"/>
              <w:marRight w:val="0"/>
              <w:marTop w:val="0"/>
              <w:marBottom w:val="0"/>
              <w:divBdr>
                <w:top w:val="none" w:sz="0" w:space="0" w:color="auto"/>
                <w:left w:val="none" w:sz="0" w:space="0" w:color="auto"/>
                <w:bottom w:val="none" w:sz="0" w:space="0" w:color="auto"/>
                <w:right w:val="none" w:sz="0" w:space="0" w:color="auto"/>
              </w:divBdr>
              <w:divsChild>
                <w:div w:id="996227976">
                  <w:marLeft w:val="340"/>
                  <w:marRight w:val="0"/>
                  <w:marTop w:val="160"/>
                  <w:marBottom w:val="200"/>
                  <w:divBdr>
                    <w:top w:val="none" w:sz="0" w:space="0" w:color="auto"/>
                    <w:left w:val="none" w:sz="0" w:space="0" w:color="auto"/>
                    <w:bottom w:val="none" w:sz="0" w:space="0" w:color="auto"/>
                    <w:right w:val="none" w:sz="0" w:space="0" w:color="auto"/>
                  </w:divBdr>
                  <w:divsChild>
                    <w:div w:id="996227949">
                      <w:marLeft w:val="340"/>
                      <w:marRight w:val="0"/>
                      <w:marTop w:val="160"/>
                      <w:marBottom w:val="200"/>
                      <w:divBdr>
                        <w:top w:val="none" w:sz="0" w:space="0" w:color="auto"/>
                        <w:left w:val="none" w:sz="0" w:space="0" w:color="auto"/>
                        <w:bottom w:val="none" w:sz="0" w:space="0" w:color="auto"/>
                        <w:right w:val="none" w:sz="0" w:space="0" w:color="auto"/>
                      </w:divBdr>
                    </w:div>
                    <w:div w:id="99622817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8068">
      <w:marLeft w:val="0"/>
      <w:marRight w:val="0"/>
      <w:marTop w:val="0"/>
      <w:marBottom w:val="0"/>
      <w:divBdr>
        <w:top w:val="none" w:sz="0" w:space="0" w:color="auto"/>
        <w:left w:val="none" w:sz="0" w:space="0" w:color="auto"/>
        <w:bottom w:val="none" w:sz="0" w:space="0" w:color="auto"/>
        <w:right w:val="single" w:sz="6" w:space="6" w:color="FFFFFF"/>
      </w:divBdr>
      <w:divsChild>
        <w:div w:id="996227824">
          <w:marLeft w:val="0"/>
          <w:marRight w:val="0"/>
          <w:marTop w:val="0"/>
          <w:marBottom w:val="0"/>
          <w:divBdr>
            <w:top w:val="none" w:sz="0" w:space="0" w:color="auto"/>
            <w:left w:val="none" w:sz="0" w:space="0" w:color="auto"/>
            <w:bottom w:val="none" w:sz="0" w:space="0" w:color="auto"/>
            <w:right w:val="none" w:sz="0" w:space="0" w:color="auto"/>
          </w:divBdr>
          <w:divsChild>
            <w:div w:id="996228153">
              <w:marLeft w:val="0"/>
              <w:marRight w:val="0"/>
              <w:marTop w:val="0"/>
              <w:marBottom w:val="0"/>
              <w:divBdr>
                <w:top w:val="none" w:sz="0" w:space="0" w:color="auto"/>
                <w:left w:val="none" w:sz="0" w:space="0" w:color="auto"/>
                <w:bottom w:val="none" w:sz="0" w:space="0" w:color="auto"/>
                <w:right w:val="none" w:sz="0" w:space="0" w:color="auto"/>
              </w:divBdr>
              <w:divsChild>
                <w:div w:id="996228159">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6228071">
      <w:marLeft w:val="0"/>
      <w:marRight w:val="0"/>
      <w:marTop w:val="0"/>
      <w:marBottom w:val="0"/>
      <w:divBdr>
        <w:top w:val="none" w:sz="0" w:space="0" w:color="auto"/>
        <w:left w:val="none" w:sz="0" w:space="0" w:color="auto"/>
        <w:bottom w:val="none" w:sz="0" w:space="0" w:color="auto"/>
        <w:right w:val="single" w:sz="6" w:space="6" w:color="FFFFFF"/>
      </w:divBdr>
      <w:divsChild>
        <w:div w:id="996227822">
          <w:marLeft w:val="0"/>
          <w:marRight w:val="0"/>
          <w:marTop w:val="0"/>
          <w:marBottom w:val="0"/>
          <w:divBdr>
            <w:top w:val="none" w:sz="0" w:space="0" w:color="auto"/>
            <w:left w:val="none" w:sz="0" w:space="0" w:color="auto"/>
            <w:bottom w:val="none" w:sz="0" w:space="0" w:color="auto"/>
            <w:right w:val="none" w:sz="0" w:space="0" w:color="auto"/>
          </w:divBdr>
          <w:divsChild>
            <w:div w:id="996227814">
              <w:marLeft w:val="0"/>
              <w:marRight w:val="0"/>
              <w:marTop w:val="0"/>
              <w:marBottom w:val="0"/>
              <w:divBdr>
                <w:top w:val="none" w:sz="0" w:space="0" w:color="auto"/>
                <w:left w:val="none" w:sz="0" w:space="0" w:color="auto"/>
                <w:bottom w:val="none" w:sz="0" w:space="0" w:color="auto"/>
                <w:right w:val="none" w:sz="0" w:space="0" w:color="auto"/>
              </w:divBdr>
              <w:divsChild>
                <w:div w:id="996227868">
                  <w:marLeft w:val="340"/>
                  <w:marRight w:val="0"/>
                  <w:marTop w:val="160"/>
                  <w:marBottom w:val="200"/>
                  <w:divBdr>
                    <w:top w:val="none" w:sz="0" w:space="0" w:color="auto"/>
                    <w:left w:val="none" w:sz="0" w:space="0" w:color="auto"/>
                    <w:bottom w:val="none" w:sz="0" w:space="0" w:color="auto"/>
                    <w:right w:val="none" w:sz="0" w:space="0" w:color="auto"/>
                  </w:divBdr>
                  <w:divsChild>
                    <w:div w:id="996228145">
                      <w:marLeft w:val="340"/>
                      <w:marRight w:val="0"/>
                      <w:marTop w:val="160"/>
                      <w:marBottom w:val="200"/>
                      <w:divBdr>
                        <w:top w:val="none" w:sz="0" w:space="0" w:color="auto"/>
                        <w:left w:val="none" w:sz="0" w:space="0" w:color="auto"/>
                        <w:bottom w:val="none" w:sz="0" w:space="0" w:color="auto"/>
                        <w:right w:val="none" w:sz="0" w:space="0" w:color="auto"/>
                      </w:divBdr>
                      <w:divsChild>
                        <w:div w:id="996227840">
                          <w:marLeft w:val="340"/>
                          <w:marRight w:val="0"/>
                          <w:marTop w:val="160"/>
                          <w:marBottom w:val="200"/>
                          <w:divBdr>
                            <w:top w:val="none" w:sz="0" w:space="0" w:color="auto"/>
                            <w:left w:val="none" w:sz="0" w:space="0" w:color="auto"/>
                            <w:bottom w:val="none" w:sz="0" w:space="0" w:color="auto"/>
                            <w:right w:val="none" w:sz="0" w:space="0" w:color="auto"/>
                          </w:divBdr>
                        </w:div>
                        <w:div w:id="996227920">
                          <w:marLeft w:val="340"/>
                          <w:marRight w:val="0"/>
                          <w:marTop w:val="160"/>
                          <w:marBottom w:val="200"/>
                          <w:divBdr>
                            <w:top w:val="none" w:sz="0" w:space="0" w:color="auto"/>
                            <w:left w:val="none" w:sz="0" w:space="0" w:color="auto"/>
                            <w:bottom w:val="none" w:sz="0" w:space="0" w:color="auto"/>
                            <w:right w:val="none" w:sz="0" w:space="0" w:color="auto"/>
                          </w:divBdr>
                        </w:div>
                        <w:div w:id="99622795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073">
      <w:marLeft w:val="0"/>
      <w:marRight w:val="0"/>
      <w:marTop w:val="0"/>
      <w:marBottom w:val="0"/>
      <w:divBdr>
        <w:top w:val="none" w:sz="0" w:space="0" w:color="auto"/>
        <w:left w:val="none" w:sz="0" w:space="0" w:color="auto"/>
        <w:bottom w:val="none" w:sz="0" w:space="0" w:color="auto"/>
        <w:right w:val="single" w:sz="6" w:space="6" w:color="FFFFFF"/>
      </w:divBdr>
      <w:divsChild>
        <w:div w:id="996228173">
          <w:marLeft w:val="0"/>
          <w:marRight w:val="0"/>
          <w:marTop w:val="0"/>
          <w:marBottom w:val="0"/>
          <w:divBdr>
            <w:top w:val="none" w:sz="0" w:space="0" w:color="auto"/>
            <w:left w:val="none" w:sz="0" w:space="0" w:color="auto"/>
            <w:bottom w:val="none" w:sz="0" w:space="0" w:color="auto"/>
            <w:right w:val="none" w:sz="0" w:space="0" w:color="auto"/>
          </w:divBdr>
          <w:divsChild>
            <w:div w:id="996227927">
              <w:marLeft w:val="0"/>
              <w:marRight w:val="0"/>
              <w:marTop w:val="0"/>
              <w:marBottom w:val="0"/>
              <w:divBdr>
                <w:top w:val="none" w:sz="0" w:space="0" w:color="auto"/>
                <w:left w:val="none" w:sz="0" w:space="0" w:color="auto"/>
                <w:bottom w:val="none" w:sz="0" w:space="0" w:color="auto"/>
                <w:right w:val="none" w:sz="0" w:space="0" w:color="auto"/>
              </w:divBdr>
              <w:divsChild>
                <w:div w:id="996227858">
                  <w:marLeft w:val="340"/>
                  <w:marRight w:val="0"/>
                  <w:marTop w:val="160"/>
                  <w:marBottom w:val="200"/>
                  <w:divBdr>
                    <w:top w:val="none" w:sz="0" w:space="0" w:color="auto"/>
                    <w:left w:val="none" w:sz="0" w:space="0" w:color="auto"/>
                    <w:bottom w:val="none" w:sz="0" w:space="0" w:color="auto"/>
                    <w:right w:val="none" w:sz="0" w:space="0" w:color="auto"/>
                  </w:divBdr>
                  <w:divsChild>
                    <w:div w:id="996227945">
                      <w:marLeft w:val="340"/>
                      <w:marRight w:val="0"/>
                      <w:marTop w:val="160"/>
                      <w:marBottom w:val="200"/>
                      <w:divBdr>
                        <w:top w:val="none" w:sz="0" w:space="0" w:color="auto"/>
                        <w:left w:val="none" w:sz="0" w:space="0" w:color="auto"/>
                        <w:bottom w:val="none" w:sz="0" w:space="0" w:color="auto"/>
                        <w:right w:val="none" w:sz="0" w:space="0" w:color="auto"/>
                      </w:divBdr>
                      <w:divsChild>
                        <w:div w:id="996228097">
                          <w:marLeft w:val="340"/>
                          <w:marRight w:val="0"/>
                          <w:marTop w:val="160"/>
                          <w:marBottom w:val="200"/>
                          <w:divBdr>
                            <w:top w:val="none" w:sz="0" w:space="0" w:color="auto"/>
                            <w:left w:val="none" w:sz="0" w:space="0" w:color="auto"/>
                            <w:bottom w:val="none" w:sz="0" w:space="0" w:color="auto"/>
                            <w:right w:val="none" w:sz="0" w:space="0" w:color="auto"/>
                          </w:divBdr>
                        </w:div>
                      </w:divsChild>
                    </w:div>
                    <w:div w:id="996228167">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8081">
      <w:marLeft w:val="0"/>
      <w:marRight w:val="0"/>
      <w:marTop w:val="0"/>
      <w:marBottom w:val="0"/>
      <w:divBdr>
        <w:top w:val="none" w:sz="0" w:space="0" w:color="auto"/>
        <w:left w:val="none" w:sz="0" w:space="0" w:color="auto"/>
        <w:bottom w:val="none" w:sz="0" w:space="0" w:color="auto"/>
        <w:right w:val="single" w:sz="6" w:space="6" w:color="FFFFFF"/>
      </w:divBdr>
      <w:divsChild>
        <w:div w:id="996228077">
          <w:marLeft w:val="0"/>
          <w:marRight w:val="0"/>
          <w:marTop w:val="0"/>
          <w:marBottom w:val="0"/>
          <w:divBdr>
            <w:top w:val="none" w:sz="0" w:space="0" w:color="auto"/>
            <w:left w:val="none" w:sz="0" w:space="0" w:color="auto"/>
            <w:bottom w:val="none" w:sz="0" w:space="0" w:color="auto"/>
            <w:right w:val="none" w:sz="0" w:space="0" w:color="auto"/>
          </w:divBdr>
          <w:divsChild>
            <w:div w:id="996228140">
              <w:marLeft w:val="0"/>
              <w:marRight w:val="0"/>
              <w:marTop w:val="0"/>
              <w:marBottom w:val="0"/>
              <w:divBdr>
                <w:top w:val="none" w:sz="0" w:space="0" w:color="auto"/>
                <w:left w:val="none" w:sz="0" w:space="0" w:color="auto"/>
                <w:bottom w:val="none" w:sz="0" w:space="0" w:color="auto"/>
                <w:right w:val="none" w:sz="0" w:space="0" w:color="auto"/>
              </w:divBdr>
              <w:divsChild>
                <w:div w:id="99622801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6228093">
      <w:marLeft w:val="0"/>
      <w:marRight w:val="0"/>
      <w:marTop w:val="0"/>
      <w:marBottom w:val="0"/>
      <w:divBdr>
        <w:top w:val="none" w:sz="0" w:space="0" w:color="auto"/>
        <w:left w:val="none" w:sz="0" w:space="0" w:color="auto"/>
        <w:bottom w:val="none" w:sz="0" w:space="0" w:color="auto"/>
        <w:right w:val="single" w:sz="6" w:space="6" w:color="FFFFFF"/>
      </w:divBdr>
      <w:divsChild>
        <w:div w:id="996227833">
          <w:marLeft w:val="0"/>
          <w:marRight w:val="0"/>
          <w:marTop w:val="0"/>
          <w:marBottom w:val="0"/>
          <w:divBdr>
            <w:top w:val="none" w:sz="0" w:space="0" w:color="auto"/>
            <w:left w:val="none" w:sz="0" w:space="0" w:color="auto"/>
            <w:bottom w:val="none" w:sz="0" w:space="0" w:color="auto"/>
            <w:right w:val="none" w:sz="0" w:space="0" w:color="auto"/>
          </w:divBdr>
          <w:divsChild>
            <w:div w:id="996227865">
              <w:marLeft w:val="0"/>
              <w:marRight w:val="0"/>
              <w:marTop w:val="0"/>
              <w:marBottom w:val="0"/>
              <w:divBdr>
                <w:top w:val="none" w:sz="0" w:space="0" w:color="auto"/>
                <w:left w:val="none" w:sz="0" w:space="0" w:color="auto"/>
                <w:bottom w:val="none" w:sz="0" w:space="0" w:color="auto"/>
                <w:right w:val="none" w:sz="0" w:space="0" w:color="auto"/>
              </w:divBdr>
              <w:divsChild>
                <w:div w:id="996227891">
                  <w:marLeft w:val="340"/>
                  <w:marRight w:val="0"/>
                  <w:marTop w:val="160"/>
                  <w:marBottom w:val="200"/>
                  <w:divBdr>
                    <w:top w:val="none" w:sz="0" w:space="0" w:color="auto"/>
                    <w:left w:val="none" w:sz="0" w:space="0" w:color="auto"/>
                    <w:bottom w:val="none" w:sz="0" w:space="0" w:color="auto"/>
                    <w:right w:val="none" w:sz="0" w:space="0" w:color="auto"/>
                  </w:divBdr>
                  <w:divsChild>
                    <w:div w:id="996227971">
                      <w:marLeft w:val="340"/>
                      <w:marRight w:val="0"/>
                      <w:marTop w:val="160"/>
                      <w:marBottom w:val="200"/>
                      <w:divBdr>
                        <w:top w:val="none" w:sz="0" w:space="0" w:color="auto"/>
                        <w:left w:val="none" w:sz="0" w:space="0" w:color="auto"/>
                        <w:bottom w:val="none" w:sz="0" w:space="0" w:color="auto"/>
                        <w:right w:val="none" w:sz="0" w:space="0" w:color="auto"/>
                      </w:divBdr>
                      <w:divsChild>
                        <w:div w:id="996228079">
                          <w:marLeft w:val="340"/>
                          <w:marRight w:val="0"/>
                          <w:marTop w:val="160"/>
                          <w:marBottom w:val="200"/>
                          <w:divBdr>
                            <w:top w:val="none" w:sz="0" w:space="0" w:color="auto"/>
                            <w:left w:val="none" w:sz="0" w:space="0" w:color="auto"/>
                            <w:bottom w:val="none" w:sz="0" w:space="0" w:color="auto"/>
                            <w:right w:val="none" w:sz="0" w:space="0" w:color="auto"/>
                          </w:divBdr>
                        </w:div>
                        <w:div w:id="99622813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06">
      <w:marLeft w:val="0"/>
      <w:marRight w:val="0"/>
      <w:marTop w:val="0"/>
      <w:marBottom w:val="0"/>
      <w:divBdr>
        <w:top w:val="none" w:sz="0" w:space="0" w:color="auto"/>
        <w:left w:val="none" w:sz="0" w:space="0" w:color="auto"/>
        <w:bottom w:val="none" w:sz="0" w:space="0" w:color="auto"/>
        <w:right w:val="single" w:sz="6" w:space="6" w:color="FFFFFF"/>
      </w:divBdr>
      <w:divsChild>
        <w:div w:id="996227887">
          <w:marLeft w:val="0"/>
          <w:marRight w:val="0"/>
          <w:marTop w:val="0"/>
          <w:marBottom w:val="0"/>
          <w:divBdr>
            <w:top w:val="none" w:sz="0" w:space="0" w:color="auto"/>
            <w:left w:val="none" w:sz="0" w:space="0" w:color="auto"/>
            <w:bottom w:val="none" w:sz="0" w:space="0" w:color="auto"/>
            <w:right w:val="none" w:sz="0" w:space="0" w:color="auto"/>
          </w:divBdr>
          <w:divsChild>
            <w:div w:id="996227962">
              <w:marLeft w:val="0"/>
              <w:marRight w:val="0"/>
              <w:marTop w:val="0"/>
              <w:marBottom w:val="0"/>
              <w:divBdr>
                <w:top w:val="none" w:sz="0" w:space="0" w:color="auto"/>
                <w:left w:val="none" w:sz="0" w:space="0" w:color="auto"/>
                <w:bottom w:val="none" w:sz="0" w:space="0" w:color="auto"/>
                <w:right w:val="none" w:sz="0" w:space="0" w:color="auto"/>
              </w:divBdr>
              <w:divsChild>
                <w:div w:id="996227869">
                  <w:marLeft w:val="340"/>
                  <w:marRight w:val="0"/>
                  <w:marTop w:val="160"/>
                  <w:marBottom w:val="200"/>
                  <w:divBdr>
                    <w:top w:val="none" w:sz="0" w:space="0" w:color="auto"/>
                    <w:left w:val="none" w:sz="0" w:space="0" w:color="auto"/>
                    <w:bottom w:val="none" w:sz="0" w:space="0" w:color="auto"/>
                    <w:right w:val="none" w:sz="0" w:space="0" w:color="auto"/>
                  </w:divBdr>
                  <w:divsChild>
                    <w:div w:id="996227943">
                      <w:marLeft w:val="340"/>
                      <w:marRight w:val="0"/>
                      <w:marTop w:val="160"/>
                      <w:marBottom w:val="200"/>
                      <w:divBdr>
                        <w:top w:val="none" w:sz="0" w:space="0" w:color="auto"/>
                        <w:left w:val="none" w:sz="0" w:space="0" w:color="auto"/>
                        <w:bottom w:val="none" w:sz="0" w:space="0" w:color="auto"/>
                        <w:right w:val="none" w:sz="0" w:space="0" w:color="auto"/>
                      </w:divBdr>
                    </w:div>
                    <w:div w:id="996228063">
                      <w:marLeft w:val="340"/>
                      <w:marRight w:val="0"/>
                      <w:marTop w:val="160"/>
                      <w:marBottom w:val="200"/>
                      <w:divBdr>
                        <w:top w:val="none" w:sz="0" w:space="0" w:color="auto"/>
                        <w:left w:val="none" w:sz="0" w:space="0" w:color="auto"/>
                        <w:bottom w:val="none" w:sz="0" w:space="0" w:color="auto"/>
                        <w:right w:val="none" w:sz="0" w:space="0" w:color="auto"/>
                      </w:divBdr>
                      <w:divsChild>
                        <w:div w:id="996228156">
                          <w:marLeft w:val="340"/>
                          <w:marRight w:val="0"/>
                          <w:marTop w:val="160"/>
                          <w:marBottom w:val="200"/>
                          <w:divBdr>
                            <w:top w:val="none" w:sz="0" w:space="0" w:color="auto"/>
                            <w:left w:val="none" w:sz="0" w:space="0" w:color="auto"/>
                            <w:bottom w:val="none" w:sz="0" w:space="0" w:color="auto"/>
                            <w:right w:val="none" w:sz="0" w:space="0" w:color="auto"/>
                          </w:divBdr>
                        </w:div>
                      </w:divsChild>
                    </w:div>
                    <w:div w:id="996228069">
                      <w:marLeft w:val="340"/>
                      <w:marRight w:val="0"/>
                      <w:marTop w:val="160"/>
                      <w:marBottom w:val="200"/>
                      <w:divBdr>
                        <w:top w:val="none" w:sz="0" w:space="0" w:color="auto"/>
                        <w:left w:val="none" w:sz="0" w:space="0" w:color="auto"/>
                        <w:bottom w:val="none" w:sz="0" w:space="0" w:color="auto"/>
                        <w:right w:val="none" w:sz="0" w:space="0" w:color="auto"/>
                      </w:divBdr>
                      <w:divsChild>
                        <w:div w:id="996227877">
                          <w:marLeft w:val="340"/>
                          <w:marRight w:val="0"/>
                          <w:marTop w:val="160"/>
                          <w:marBottom w:val="200"/>
                          <w:divBdr>
                            <w:top w:val="none" w:sz="0" w:space="0" w:color="auto"/>
                            <w:left w:val="none" w:sz="0" w:space="0" w:color="auto"/>
                            <w:bottom w:val="none" w:sz="0" w:space="0" w:color="auto"/>
                            <w:right w:val="none" w:sz="0" w:space="0" w:color="auto"/>
                          </w:divBdr>
                        </w:div>
                        <w:div w:id="996227907">
                          <w:marLeft w:val="340"/>
                          <w:marRight w:val="0"/>
                          <w:marTop w:val="160"/>
                          <w:marBottom w:val="200"/>
                          <w:divBdr>
                            <w:top w:val="none" w:sz="0" w:space="0" w:color="auto"/>
                            <w:left w:val="none" w:sz="0" w:space="0" w:color="auto"/>
                            <w:bottom w:val="none" w:sz="0" w:space="0" w:color="auto"/>
                            <w:right w:val="none" w:sz="0" w:space="0" w:color="auto"/>
                          </w:divBdr>
                        </w:div>
                        <w:div w:id="99622798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11">
      <w:marLeft w:val="0"/>
      <w:marRight w:val="0"/>
      <w:marTop w:val="0"/>
      <w:marBottom w:val="0"/>
      <w:divBdr>
        <w:top w:val="none" w:sz="0" w:space="0" w:color="auto"/>
        <w:left w:val="none" w:sz="0" w:space="0" w:color="auto"/>
        <w:bottom w:val="none" w:sz="0" w:space="0" w:color="auto"/>
        <w:right w:val="single" w:sz="6" w:space="6" w:color="FFFFFF"/>
      </w:divBdr>
      <w:divsChild>
        <w:div w:id="996227867">
          <w:marLeft w:val="0"/>
          <w:marRight w:val="0"/>
          <w:marTop w:val="0"/>
          <w:marBottom w:val="0"/>
          <w:divBdr>
            <w:top w:val="none" w:sz="0" w:space="0" w:color="auto"/>
            <w:left w:val="none" w:sz="0" w:space="0" w:color="auto"/>
            <w:bottom w:val="none" w:sz="0" w:space="0" w:color="auto"/>
            <w:right w:val="none" w:sz="0" w:space="0" w:color="auto"/>
          </w:divBdr>
          <w:divsChild>
            <w:div w:id="996228041">
              <w:marLeft w:val="0"/>
              <w:marRight w:val="0"/>
              <w:marTop w:val="0"/>
              <w:marBottom w:val="0"/>
              <w:divBdr>
                <w:top w:val="none" w:sz="0" w:space="0" w:color="auto"/>
                <w:left w:val="none" w:sz="0" w:space="0" w:color="auto"/>
                <w:bottom w:val="none" w:sz="0" w:space="0" w:color="auto"/>
                <w:right w:val="none" w:sz="0" w:space="0" w:color="auto"/>
              </w:divBdr>
              <w:divsChild>
                <w:div w:id="996227966">
                  <w:marLeft w:val="340"/>
                  <w:marRight w:val="0"/>
                  <w:marTop w:val="160"/>
                  <w:marBottom w:val="200"/>
                  <w:divBdr>
                    <w:top w:val="none" w:sz="0" w:space="0" w:color="auto"/>
                    <w:left w:val="none" w:sz="0" w:space="0" w:color="auto"/>
                    <w:bottom w:val="none" w:sz="0" w:space="0" w:color="auto"/>
                    <w:right w:val="none" w:sz="0" w:space="0" w:color="auto"/>
                  </w:divBdr>
                  <w:divsChild>
                    <w:div w:id="996228055">
                      <w:marLeft w:val="340"/>
                      <w:marRight w:val="0"/>
                      <w:marTop w:val="160"/>
                      <w:marBottom w:val="200"/>
                      <w:divBdr>
                        <w:top w:val="none" w:sz="0" w:space="0" w:color="auto"/>
                        <w:left w:val="none" w:sz="0" w:space="0" w:color="auto"/>
                        <w:bottom w:val="none" w:sz="0" w:space="0" w:color="auto"/>
                        <w:right w:val="none" w:sz="0" w:space="0" w:color="auto"/>
                      </w:divBdr>
                      <w:divsChild>
                        <w:div w:id="996227817">
                          <w:marLeft w:val="340"/>
                          <w:marRight w:val="0"/>
                          <w:marTop w:val="160"/>
                          <w:marBottom w:val="200"/>
                          <w:divBdr>
                            <w:top w:val="none" w:sz="0" w:space="0" w:color="auto"/>
                            <w:left w:val="none" w:sz="0" w:space="0" w:color="auto"/>
                            <w:bottom w:val="none" w:sz="0" w:space="0" w:color="auto"/>
                            <w:right w:val="none" w:sz="0" w:space="0" w:color="auto"/>
                          </w:divBdr>
                        </w:div>
                        <w:div w:id="996227957">
                          <w:marLeft w:val="340"/>
                          <w:marRight w:val="0"/>
                          <w:marTop w:val="160"/>
                          <w:marBottom w:val="200"/>
                          <w:divBdr>
                            <w:top w:val="none" w:sz="0" w:space="0" w:color="auto"/>
                            <w:left w:val="none" w:sz="0" w:space="0" w:color="auto"/>
                            <w:bottom w:val="none" w:sz="0" w:space="0" w:color="auto"/>
                            <w:right w:val="none" w:sz="0" w:space="0" w:color="auto"/>
                          </w:divBdr>
                        </w:div>
                        <w:div w:id="99622798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21">
      <w:marLeft w:val="0"/>
      <w:marRight w:val="0"/>
      <w:marTop w:val="0"/>
      <w:marBottom w:val="0"/>
      <w:divBdr>
        <w:top w:val="none" w:sz="0" w:space="0" w:color="auto"/>
        <w:left w:val="none" w:sz="0" w:space="0" w:color="auto"/>
        <w:bottom w:val="none" w:sz="0" w:space="0" w:color="auto"/>
        <w:right w:val="single" w:sz="6" w:space="6" w:color="FFFFFF"/>
      </w:divBdr>
      <w:divsChild>
        <w:div w:id="996228103">
          <w:marLeft w:val="0"/>
          <w:marRight w:val="0"/>
          <w:marTop w:val="0"/>
          <w:marBottom w:val="0"/>
          <w:divBdr>
            <w:top w:val="none" w:sz="0" w:space="0" w:color="auto"/>
            <w:left w:val="none" w:sz="0" w:space="0" w:color="auto"/>
            <w:bottom w:val="none" w:sz="0" w:space="0" w:color="auto"/>
            <w:right w:val="none" w:sz="0" w:space="0" w:color="auto"/>
          </w:divBdr>
          <w:divsChild>
            <w:div w:id="996228146">
              <w:marLeft w:val="0"/>
              <w:marRight w:val="0"/>
              <w:marTop w:val="0"/>
              <w:marBottom w:val="0"/>
              <w:divBdr>
                <w:top w:val="none" w:sz="0" w:space="0" w:color="auto"/>
                <w:left w:val="none" w:sz="0" w:space="0" w:color="auto"/>
                <w:bottom w:val="none" w:sz="0" w:space="0" w:color="auto"/>
                <w:right w:val="none" w:sz="0" w:space="0" w:color="auto"/>
              </w:divBdr>
              <w:divsChild>
                <w:div w:id="996227917">
                  <w:marLeft w:val="340"/>
                  <w:marRight w:val="0"/>
                  <w:marTop w:val="160"/>
                  <w:marBottom w:val="200"/>
                  <w:divBdr>
                    <w:top w:val="none" w:sz="0" w:space="0" w:color="auto"/>
                    <w:left w:val="none" w:sz="0" w:space="0" w:color="auto"/>
                    <w:bottom w:val="none" w:sz="0" w:space="0" w:color="auto"/>
                    <w:right w:val="none" w:sz="0" w:space="0" w:color="auto"/>
                  </w:divBdr>
                  <w:divsChild>
                    <w:div w:id="996227820">
                      <w:marLeft w:val="340"/>
                      <w:marRight w:val="0"/>
                      <w:marTop w:val="160"/>
                      <w:marBottom w:val="200"/>
                      <w:divBdr>
                        <w:top w:val="none" w:sz="0" w:space="0" w:color="auto"/>
                        <w:left w:val="none" w:sz="0" w:space="0" w:color="auto"/>
                        <w:bottom w:val="none" w:sz="0" w:space="0" w:color="auto"/>
                        <w:right w:val="none" w:sz="0" w:space="0" w:color="auto"/>
                      </w:divBdr>
                      <w:divsChild>
                        <w:div w:id="996228080">
                          <w:marLeft w:val="340"/>
                          <w:marRight w:val="0"/>
                          <w:marTop w:val="160"/>
                          <w:marBottom w:val="200"/>
                          <w:divBdr>
                            <w:top w:val="none" w:sz="0" w:space="0" w:color="auto"/>
                            <w:left w:val="none" w:sz="0" w:space="0" w:color="auto"/>
                            <w:bottom w:val="none" w:sz="0" w:space="0" w:color="auto"/>
                            <w:right w:val="none" w:sz="0" w:space="0" w:color="auto"/>
                          </w:divBdr>
                        </w:div>
                      </w:divsChild>
                    </w:div>
                    <w:div w:id="996228024">
                      <w:marLeft w:val="340"/>
                      <w:marRight w:val="0"/>
                      <w:marTop w:val="160"/>
                      <w:marBottom w:val="200"/>
                      <w:divBdr>
                        <w:top w:val="none" w:sz="0" w:space="0" w:color="auto"/>
                        <w:left w:val="none" w:sz="0" w:space="0" w:color="auto"/>
                        <w:bottom w:val="none" w:sz="0" w:space="0" w:color="auto"/>
                        <w:right w:val="none" w:sz="0" w:space="0" w:color="auto"/>
                      </w:divBdr>
                      <w:divsChild>
                        <w:div w:id="996227964">
                          <w:marLeft w:val="340"/>
                          <w:marRight w:val="0"/>
                          <w:marTop w:val="160"/>
                          <w:marBottom w:val="200"/>
                          <w:divBdr>
                            <w:top w:val="none" w:sz="0" w:space="0" w:color="auto"/>
                            <w:left w:val="none" w:sz="0" w:space="0" w:color="auto"/>
                            <w:bottom w:val="none" w:sz="0" w:space="0" w:color="auto"/>
                            <w:right w:val="none" w:sz="0" w:space="0" w:color="auto"/>
                          </w:divBdr>
                        </w:div>
                        <w:div w:id="996228051">
                          <w:marLeft w:val="340"/>
                          <w:marRight w:val="0"/>
                          <w:marTop w:val="160"/>
                          <w:marBottom w:val="200"/>
                          <w:divBdr>
                            <w:top w:val="none" w:sz="0" w:space="0" w:color="auto"/>
                            <w:left w:val="none" w:sz="0" w:space="0" w:color="auto"/>
                            <w:bottom w:val="none" w:sz="0" w:space="0" w:color="auto"/>
                            <w:right w:val="none" w:sz="0" w:space="0" w:color="auto"/>
                          </w:divBdr>
                        </w:div>
                        <w:div w:id="996228059">
                          <w:marLeft w:val="340"/>
                          <w:marRight w:val="0"/>
                          <w:marTop w:val="160"/>
                          <w:marBottom w:val="200"/>
                          <w:divBdr>
                            <w:top w:val="none" w:sz="0" w:space="0" w:color="auto"/>
                            <w:left w:val="none" w:sz="0" w:space="0" w:color="auto"/>
                            <w:bottom w:val="none" w:sz="0" w:space="0" w:color="auto"/>
                            <w:right w:val="none" w:sz="0" w:space="0" w:color="auto"/>
                          </w:divBdr>
                        </w:div>
                        <w:div w:id="996228065">
                          <w:marLeft w:val="340"/>
                          <w:marRight w:val="0"/>
                          <w:marTop w:val="160"/>
                          <w:marBottom w:val="200"/>
                          <w:divBdr>
                            <w:top w:val="none" w:sz="0" w:space="0" w:color="auto"/>
                            <w:left w:val="none" w:sz="0" w:space="0" w:color="auto"/>
                            <w:bottom w:val="none" w:sz="0" w:space="0" w:color="auto"/>
                            <w:right w:val="none" w:sz="0" w:space="0" w:color="auto"/>
                          </w:divBdr>
                        </w:div>
                        <w:div w:id="99622811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24">
      <w:marLeft w:val="0"/>
      <w:marRight w:val="0"/>
      <w:marTop w:val="0"/>
      <w:marBottom w:val="0"/>
      <w:divBdr>
        <w:top w:val="none" w:sz="0" w:space="0" w:color="auto"/>
        <w:left w:val="none" w:sz="0" w:space="0" w:color="auto"/>
        <w:bottom w:val="none" w:sz="0" w:space="0" w:color="auto"/>
        <w:right w:val="single" w:sz="6" w:space="6" w:color="FFFFFF"/>
      </w:divBdr>
      <w:divsChild>
        <w:div w:id="996228030">
          <w:marLeft w:val="0"/>
          <w:marRight w:val="0"/>
          <w:marTop w:val="0"/>
          <w:marBottom w:val="0"/>
          <w:divBdr>
            <w:top w:val="none" w:sz="0" w:space="0" w:color="auto"/>
            <w:left w:val="none" w:sz="0" w:space="0" w:color="auto"/>
            <w:bottom w:val="none" w:sz="0" w:space="0" w:color="auto"/>
            <w:right w:val="none" w:sz="0" w:space="0" w:color="auto"/>
          </w:divBdr>
          <w:divsChild>
            <w:div w:id="996227849">
              <w:marLeft w:val="0"/>
              <w:marRight w:val="0"/>
              <w:marTop w:val="0"/>
              <w:marBottom w:val="0"/>
              <w:divBdr>
                <w:top w:val="none" w:sz="0" w:space="0" w:color="auto"/>
                <w:left w:val="none" w:sz="0" w:space="0" w:color="auto"/>
                <w:bottom w:val="none" w:sz="0" w:space="0" w:color="auto"/>
                <w:right w:val="none" w:sz="0" w:space="0" w:color="auto"/>
              </w:divBdr>
              <w:divsChild>
                <w:div w:id="996228088">
                  <w:marLeft w:val="340"/>
                  <w:marRight w:val="0"/>
                  <w:marTop w:val="160"/>
                  <w:marBottom w:val="200"/>
                  <w:divBdr>
                    <w:top w:val="none" w:sz="0" w:space="0" w:color="auto"/>
                    <w:left w:val="none" w:sz="0" w:space="0" w:color="auto"/>
                    <w:bottom w:val="none" w:sz="0" w:space="0" w:color="auto"/>
                    <w:right w:val="none" w:sz="0" w:space="0" w:color="auto"/>
                  </w:divBdr>
                  <w:divsChild>
                    <w:div w:id="996228157">
                      <w:marLeft w:val="340"/>
                      <w:marRight w:val="0"/>
                      <w:marTop w:val="160"/>
                      <w:marBottom w:val="200"/>
                      <w:divBdr>
                        <w:top w:val="none" w:sz="0" w:space="0" w:color="auto"/>
                        <w:left w:val="none" w:sz="0" w:space="0" w:color="auto"/>
                        <w:bottom w:val="none" w:sz="0" w:space="0" w:color="auto"/>
                        <w:right w:val="none" w:sz="0" w:space="0" w:color="auto"/>
                      </w:divBdr>
                      <w:divsChild>
                        <w:div w:id="996227997">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31">
      <w:marLeft w:val="0"/>
      <w:marRight w:val="0"/>
      <w:marTop w:val="0"/>
      <w:marBottom w:val="0"/>
      <w:divBdr>
        <w:top w:val="none" w:sz="0" w:space="0" w:color="auto"/>
        <w:left w:val="none" w:sz="0" w:space="0" w:color="auto"/>
        <w:bottom w:val="none" w:sz="0" w:space="0" w:color="auto"/>
        <w:right w:val="single" w:sz="6" w:space="6" w:color="FFFFFF"/>
      </w:divBdr>
      <w:divsChild>
        <w:div w:id="996227955">
          <w:marLeft w:val="0"/>
          <w:marRight w:val="0"/>
          <w:marTop w:val="0"/>
          <w:marBottom w:val="0"/>
          <w:divBdr>
            <w:top w:val="none" w:sz="0" w:space="0" w:color="auto"/>
            <w:left w:val="none" w:sz="0" w:space="0" w:color="auto"/>
            <w:bottom w:val="none" w:sz="0" w:space="0" w:color="auto"/>
            <w:right w:val="none" w:sz="0" w:space="0" w:color="auto"/>
          </w:divBdr>
          <w:divsChild>
            <w:div w:id="996228078">
              <w:marLeft w:val="0"/>
              <w:marRight w:val="0"/>
              <w:marTop w:val="0"/>
              <w:marBottom w:val="0"/>
              <w:divBdr>
                <w:top w:val="none" w:sz="0" w:space="0" w:color="auto"/>
                <w:left w:val="none" w:sz="0" w:space="0" w:color="auto"/>
                <w:bottom w:val="none" w:sz="0" w:space="0" w:color="auto"/>
                <w:right w:val="none" w:sz="0" w:space="0" w:color="auto"/>
              </w:divBdr>
              <w:divsChild>
                <w:div w:id="996227831">
                  <w:marLeft w:val="340"/>
                  <w:marRight w:val="0"/>
                  <w:marTop w:val="160"/>
                  <w:marBottom w:val="200"/>
                  <w:divBdr>
                    <w:top w:val="none" w:sz="0" w:space="0" w:color="auto"/>
                    <w:left w:val="none" w:sz="0" w:space="0" w:color="auto"/>
                    <w:bottom w:val="none" w:sz="0" w:space="0" w:color="auto"/>
                    <w:right w:val="none" w:sz="0" w:space="0" w:color="auto"/>
                  </w:divBdr>
                  <w:divsChild>
                    <w:div w:id="996227844">
                      <w:marLeft w:val="340"/>
                      <w:marRight w:val="0"/>
                      <w:marTop w:val="160"/>
                      <w:marBottom w:val="200"/>
                      <w:divBdr>
                        <w:top w:val="none" w:sz="0" w:space="0" w:color="auto"/>
                        <w:left w:val="none" w:sz="0" w:space="0" w:color="auto"/>
                        <w:bottom w:val="none" w:sz="0" w:space="0" w:color="auto"/>
                        <w:right w:val="none" w:sz="0" w:space="0" w:color="auto"/>
                      </w:divBdr>
                      <w:divsChild>
                        <w:div w:id="996227972">
                          <w:marLeft w:val="340"/>
                          <w:marRight w:val="0"/>
                          <w:marTop w:val="160"/>
                          <w:marBottom w:val="200"/>
                          <w:divBdr>
                            <w:top w:val="none" w:sz="0" w:space="0" w:color="auto"/>
                            <w:left w:val="none" w:sz="0" w:space="0" w:color="auto"/>
                            <w:bottom w:val="none" w:sz="0" w:space="0" w:color="auto"/>
                            <w:right w:val="none" w:sz="0" w:space="0" w:color="auto"/>
                          </w:divBdr>
                        </w:div>
                        <w:div w:id="996228033">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43">
      <w:marLeft w:val="0"/>
      <w:marRight w:val="0"/>
      <w:marTop w:val="0"/>
      <w:marBottom w:val="0"/>
      <w:divBdr>
        <w:top w:val="none" w:sz="0" w:space="0" w:color="auto"/>
        <w:left w:val="none" w:sz="0" w:space="0" w:color="auto"/>
        <w:bottom w:val="none" w:sz="0" w:space="0" w:color="auto"/>
        <w:right w:val="single" w:sz="6" w:space="6" w:color="FFFFFF"/>
      </w:divBdr>
      <w:divsChild>
        <w:div w:id="996227836">
          <w:marLeft w:val="0"/>
          <w:marRight w:val="0"/>
          <w:marTop w:val="0"/>
          <w:marBottom w:val="0"/>
          <w:divBdr>
            <w:top w:val="none" w:sz="0" w:space="0" w:color="auto"/>
            <w:left w:val="none" w:sz="0" w:space="0" w:color="auto"/>
            <w:bottom w:val="none" w:sz="0" w:space="0" w:color="auto"/>
            <w:right w:val="none" w:sz="0" w:space="0" w:color="auto"/>
          </w:divBdr>
          <w:divsChild>
            <w:div w:id="996227923">
              <w:marLeft w:val="0"/>
              <w:marRight w:val="0"/>
              <w:marTop w:val="0"/>
              <w:marBottom w:val="0"/>
              <w:divBdr>
                <w:top w:val="none" w:sz="0" w:space="0" w:color="auto"/>
                <w:left w:val="none" w:sz="0" w:space="0" w:color="auto"/>
                <w:bottom w:val="none" w:sz="0" w:space="0" w:color="auto"/>
                <w:right w:val="none" w:sz="0" w:space="0" w:color="auto"/>
              </w:divBdr>
              <w:divsChild>
                <w:div w:id="996227866">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6228166">
      <w:marLeft w:val="0"/>
      <w:marRight w:val="0"/>
      <w:marTop w:val="0"/>
      <w:marBottom w:val="0"/>
      <w:divBdr>
        <w:top w:val="none" w:sz="0" w:space="0" w:color="auto"/>
        <w:left w:val="none" w:sz="0" w:space="0" w:color="auto"/>
        <w:bottom w:val="none" w:sz="0" w:space="0" w:color="auto"/>
        <w:right w:val="single" w:sz="6" w:space="6" w:color="FFFFFF"/>
      </w:divBdr>
      <w:divsChild>
        <w:div w:id="996228125">
          <w:marLeft w:val="0"/>
          <w:marRight w:val="0"/>
          <w:marTop w:val="0"/>
          <w:marBottom w:val="0"/>
          <w:divBdr>
            <w:top w:val="none" w:sz="0" w:space="0" w:color="auto"/>
            <w:left w:val="none" w:sz="0" w:space="0" w:color="auto"/>
            <w:bottom w:val="none" w:sz="0" w:space="0" w:color="auto"/>
            <w:right w:val="none" w:sz="0" w:space="0" w:color="auto"/>
          </w:divBdr>
          <w:divsChild>
            <w:div w:id="996227970">
              <w:marLeft w:val="0"/>
              <w:marRight w:val="0"/>
              <w:marTop w:val="0"/>
              <w:marBottom w:val="0"/>
              <w:divBdr>
                <w:top w:val="none" w:sz="0" w:space="0" w:color="auto"/>
                <w:left w:val="none" w:sz="0" w:space="0" w:color="auto"/>
                <w:bottom w:val="none" w:sz="0" w:space="0" w:color="auto"/>
                <w:right w:val="none" w:sz="0" w:space="0" w:color="auto"/>
              </w:divBdr>
              <w:divsChild>
                <w:div w:id="996228144">
                  <w:marLeft w:val="340"/>
                  <w:marRight w:val="0"/>
                  <w:marTop w:val="160"/>
                  <w:marBottom w:val="200"/>
                  <w:divBdr>
                    <w:top w:val="none" w:sz="0" w:space="0" w:color="auto"/>
                    <w:left w:val="none" w:sz="0" w:space="0" w:color="auto"/>
                    <w:bottom w:val="none" w:sz="0" w:space="0" w:color="auto"/>
                    <w:right w:val="none" w:sz="0" w:space="0" w:color="auto"/>
                  </w:divBdr>
                  <w:divsChild>
                    <w:div w:id="996228177">
                      <w:marLeft w:val="340"/>
                      <w:marRight w:val="0"/>
                      <w:marTop w:val="160"/>
                      <w:marBottom w:val="200"/>
                      <w:divBdr>
                        <w:top w:val="none" w:sz="0" w:space="0" w:color="auto"/>
                        <w:left w:val="none" w:sz="0" w:space="0" w:color="auto"/>
                        <w:bottom w:val="none" w:sz="0" w:space="0" w:color="auto"/>
                        <w:right w:val="none" w:sz="0" w:space="0" w:color="auto"/>
                      </w:divBdr>
                      <w:divsChild>
                        <w:div w:id="996227937">
                          <w:marLeft w:val="340"/>
                          <w:marRight w:val="0"/>
                          <w:marTop w:val="160"/>
                          <w:marBottom w:val="200"/>
                          <w:divBdr>
                            <w:top w:val="none" w:sz="0" w:space="0" w:color="auto"/>
                            <w:left w:val="none" w:sz="0" w:space="0" w:color="auto"/>
                            <w:bottom w:val="none" w:sz="0" w:space="0" w:color="auto"/>
                            <w:right w:val="none" w:sz="0" w:space="0" w:color="auto"/>
                          </w:divBdr>
                          <w:divsChild>
                            <w:div w:id="996227870">
                              <w:marLeft w:val="340"/>
                              <w:marRight w:val="0"/>
                              <w:marTop w:val="160"/>
                              <w:marBottom w:val="200"/>
                              <w:divBdr>
                                <w:top w:val="none" w:sz="0" w:space="0" w:color="auto"/>
                                <w:left w:val="none" w:sz="0" w:space="0" w:color="auto"/>
                                <w:bottom w:val="none" w:sz="0" w:space="0" w:color="auto"/>
                                <w:right w:val="none" w:sz="0" w:space="0" w:color="auto"/>
                              </w:divBdr>
                            </w:div>
                            <w:div w:id="996227919">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28169">
      <w:marLeft w:val="0"/>
      <w:marRight w:val="0"/>
      <w:marTop w:val="0"/>
      <w:marBottom w:val="0"/>
      <w:divBdr>
        <w:top w:val="none" w:sz="0" w:space="0" w:color="auto"/>
        <w:left w:val="none" w:sz="0" w:space="0" w:color="auto"/>
        <w:bottom w:val="none" w:sz="0" w:space="0" w:color="auto"/>
        <w:right w:val="single" w:sz="6" w:space="6" w:color="FFFFFF"/>
      </w:divBdr>
      <w:divsChild>
        <w:div w:id="996228123">
          <w:marLeft w:val="0"/>
          <w:marRight w:val="0"/>
          <w:marTop w:val="0"/>
          <w:marBottom w:val="0"/>
          <w:divBdr>
            <w:top w:val="none" w:sz="0" w:space="0" w:color="auto"/>
            <w:left w:val="none" w:sz="0" w:space="0" w:color="auto"/>
            <w:bottom w:val="none" w:sz="0" w:space="0" w:color="auto"/>
            <w:right w:val="none" w:sz="0" w:space="0" w:color="auto"/>
          </w:divBdr>
          <w:divsChild>
            <w:div w:id="996227909">
              <w:marLeft w:val="0"/>
              <w:marRight w:val="0"/>
              <w:marTop w:val="0"/>
              <w:marBottom w:val="0"/>
              <w:divBdr>
                <w:top w:val="none" w:sz="0" w:space="0" w:color="auto"/>
                <w:left w:val="none" w:sz="0" w:space="0" w:color="auto"/>
                <w:bottom w:val="none" w:sz="0" w:space="0" w:color="auto"/>
                <w:right w:val="none" w:sz="0" w:space="0" w:color="auto"/>
              </w:divBdr>
              <w:divsChild>
                <w:div w:id="996227901">
                  <w:marLeft w:val="340"/>
                  <w:marRight w:val="0"/>
                  <w:marTop w:val="160"/>
                  <w:marBottom w:val="200"/>
                  <w:divBdr>
                    <w:top w:val="none" w:sz="0" w:space="0" w:color="auto"/>
                    <w:left w:val="none" w:sz="0" w:space="0" w:color="auto"/>
                    <w:bottom w:val="none" w:sz="0" w:space="0" w:color="auto"/>
                    <w:right w:val="none" w:sz="0" w:space="0" w:color="auto"/>
                  </w:divBdr>
                  <w:divsChild>
                    <w:div w:id="996227852">
                      <w:marLeft w:val="340"/>
                      <w:marRight w:val="0"/>
                      <w:marTop w:val="160"/>
                      <w:marBottom w:val="200"/>
                      <w:divBdr>
                        <w:top w:val="none" w:sz="0" w:space="0" w:color="auto"/>
                        <w:left w:val="none" w:sz="0" w:space="0" w:color="auto"/>
                        <w:bottom w:val="none" w:sz="0" w:space="0" w:color="auto"/>
                        <w:right w:val="none" w:sz="0" w:space="0" w:color="auto"/>
                      </w:divBdr>
                    </w:div>
                    <w:div w:id="996227915">
                      <w:marLeft w:val="340"/>
                      <w:marRight w:val="0"/>
                      <w:marTop w:val="160"/>
                      <w:marBottom w:val="200"/>
                      <w:divBdr>
                        <w:top w:val="none" w:sz="0" w:space="0" w:color="auto"/>
                        <w:left w:val="none" w:sz="0" w:space="0" w:color="auto"/>
                        <w:bottom w:val="none" w:sz="0" w:space="0" w:color="auto"/>
                        <w:right w:val="none" w:sz="0" w:space="0" w:color="auto"/>
                      </w:divBdr>
                      <w:divsChild>
                        <w:div w:id="996227973">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996227904">
                  <w:marLeft w:val="340"/>
                  <w:marRight w:val="0"/>
                  <w:marTop w:val="160"/>
                  <w:marBottom w:val="200"/>
                  <w:divBdr>
                    <w:top w:val="none" w:sz="0" w:space="0" w:color="auto"/>
                    <w:left w:val="none" w:sz="0" w:space="0" w:color="auto"/>
                    <w:bottom w:val="none" w:sz="0" w:space="0" w:color="auto"/>
                    <w:right w:val="none" w:sz="0" w:space="0" w:color="auto"/>
                  </w:divBdr>
                  <w:divsChild>
                    <w:div w:id="996227998">
                      <w:marLeft w:val="340"/>
                      <w:marRight w:val="0"/>
                      <w:marTop w:val="160"/>
                      <w:marBottom w:val="200"/>
                      <w:divBdr>
                        <w:top w:val="none" w:sz="0" w:space="0" w:color="auto"/>
                        <w:left w:val="none" w:sz="0" w:space="0" w:color="auto"/>
                        <w:bottom w:val="none" w:sz="0" w:space="0" w:color="auto"/>
                        <w:right w:val="none" w:sz="0" w:space="0" w:color="auto"/>
                      </w:divBdr>
                    </w:div>
                  </w:divsChild>
                </w:div>
                <w:div w:id="996228037">
                  <w:marLeft w:val="340"/>
                  <w:marRight w:val="0"/>
                  <w:marTop w:val="160"/>
                  <w:marBottom w:val="200"/>
                  <w:divBdr>
                    <w:top w:val="none" w:sz="0" w:space="0" w:color="auto"/>
                    <w:left w:val="none" w:sz="0" w:space="0" w:color="auto"/>
                    <w:bottom w:val="none" w:sz="0" w:space="0" w:color="auto"/>
                    <w:right w:val="none" w:sz="0" w:space="0" w:color="auto"/>
                  </w:divBdr>
                </w:div>
                <w:div w:id="996228050">
                  <w:marLeft w:val="340"/>
                  <w:marRight w:val="0"/>
                  <w:marTop w:val="160"/>
                  <w:marBottom w:val="200"/>
                  <w:divBdr>
                    <w:top w:val="none" w:sz="0" w:space="0" w:color="auto"/>
                    <w:left w:val="none" w:sz="0" w:space="0" w:color="auto"/>
                    <w:bottom w:val="none" w:sz="0" w:space="0" w:color="auto"/>
                    <w:right w:val="none" w:sz="0" w:space="0" w:color="auto"/>
                  </w:divBdr>
                  <w:divsChild>
                    <w:div w:id="996227885">
                      <w:marLeft w:val="340"/>
                      <w:marRight w:val="0"/>
                      <w:marTop w:val="160"/>
                      <w:marBottom w:val="200"/>
                      <w:divBdr>
                        <w:top w:val="none" w:sz="0" w:space="0" w:color="auto"/>
                        <w:left w:val="none" w:sz="0" w:space="0" w:color="auto"/>
                        <w:bottom w:val="none" w:sz="0" w:space="0" w:color="auto"/>
                        <w:right w:val="none" w:sz="0" w:space="0" w:color="auto"/>
                      </w:divBdr>
                    </w:div>
                    <w:div w:id="996227933">
                      <w:marLeft w:val="340"/>
                      <w:marRight w:val="0"/>
                      <w:marTop w:val="160"/>
                      <w:marBottom w:val="200"/>
                      <w:divBdr>
                        <w:top w:val="none" w:sz="0" w:space="0" w:color="auto"/>
                        <w:left w:val="none" w:sz="0" w:space="0" w:color="auto"/>
                        <w:bottom w:val="none" w:sz="0" w:space="0" w:color="auto"/>
                        <w:right w:val="none" w:sz="0" w:space="0" w:color="auto"/>
                      </w:divBdr>
                    </w:div>
                    <w:div w:id="996228076">
                      <w:marLeft w:val="340"/>
                      <w:marRight w:val="0"/>
                      <w:marTop w:val="160"/>
                      <w:marBottom w:val="200"/>
                      <w:divBdr>
                        <w:top w:val="none" w:sz="0" w:space="0" w:color="auto"/>
                        <w:left w:val="none" w:sz="0" w:space="0" w:color="auto"/>
                        <w:bottom w:val="none" w:sz="0" w:space="0" w:color="auto"/>
                        <w:right w:val="none" w:sz="0" w:space="0" w:color="auto"/>
                      </w:divBdr>
                    </w:div>
                    <w:div w:id="996228151">
                      <w:marLeft w:val="340"/>
                      <w:marRight w:val="0"/>
                      <w:marTop w:val="160"/>
                      <w:marBottom w:val="200"/>
                      <w:divBdr>
                        <w:top w:val="none" w:sz="0" w:space="0" w:color="auto"/>
                        <w:left w:val="none" w:sz="0" w:space="0" w:color="auto"/>
                        <w:bottom w:val="none" w:sz="0" w:space="0" w:color="auto"/>
                        <w:right w:val="none" w:sz="0" w:space="0" w:color="auto"/>
                      </w:divBdr>
                    </w:div>
                  </w:divsChild>
                </w:div>
                <w:div w:id="996228056">
                  <w:marLeft w:val="340"/>
                  <w:marRight w:val="0"/>
                  <w:marTop w:val="160"/>
                  <w:marBottom w:val="200"/>
                  <w:divBdr>
                    <w:top w:val="none" w:sz="0" w:space="0" w:color="auto"/>
                    <w:left w:val="none" w:sz="0" w:space="0" w:color="auto"/>
                    <w:bottom w:val="none" w:sz="0" w:space="0" w:color="auto"/>
                    <w:right w:val="none" w:sz="0" w:space="0" w:color="auto"/>
                  </w:divBdr>
                  <w:divsChild>
                    <w:div w:id="996228038">
                      <w:marLeft w:val="340"/>
                      <w:marRight w:val="0"/>
                      <w:marTop w:val="160"/>
                      <w:marBottom w:val="200"/>
                      <w:divBdr>
                        <w:top w:val="none" w:sz="0" w:space="0" w:color="auto"/>
                        <w:left w:val="none" w:sz="0" w:space="0" w:color="auto"/>
                        <w:bottom w:val="none" w:sz="0" w:space="0" w:color="auto"/>
                        <w:right w:val="none" w:sz="0" w:space="0" w:color="auto"/>
                      </w:divBdr>
                      <w:divsChild>
                        <w:div w:id="996227841">
                          <w:marLeft w:val="340"/>
                          <w:marRight w:val="0"/>
                          <w:marTop w:val="160"/>
                          <w:marBottom w:val="200"/>
                          <w:divBdr>
                            <w:top w:val="none" w:sz="0" w:space="0" w:color="auto"/>
                            <w:left w:val="none" w:sz="0" w:space="0" w:color="auto"/>
                            <w:bottom w:val="none" w:sz="0" w:space="0" w:color="auto"/>
                            <w:right w:val="none" w:sz="0" w:space="0" w:color="auto"/>
                          </w:divBdr>
                        </w:div>
                        <w:div w:id="996227899">
                          <w:marLeft w:val="340"/>
                          <w:marRight w:val="0"/>
                          <w:marTop w:val="160"/>
                          <w:marBottom w:val="200"/>
                          <w:divBdr>
                            <w:top w:val="none" w:sz="0" w:space="0" w:color="auto"/>
                            <w:left w:val="none" w:sz="0" w:space="0" w:color="auto"/>
                            <w:bottom w:val="none" w:sz="0" w:space="0" w:color="auto"/>
                            <w:right w:val="none" w:sz="0" w:space="0" w:color="auto"/>
                          </w:divBdr>
                        </w:div>
                        <w:div w:id="996228036">
                          <w:marLeft w:val="340"/>
                          <w:marRight w:val="0"/>
                          <w:marTop w:val="160"/>
                          <w:marBottom w:val="200"/>
                          <w:divBdr>
                            <w:top w:val="none" w:sz="0" w:space="0" w:color="auto"/>
                            <w:left w:val="none" w:sz="0" w:space="0" w:color="auto"/>
                            <w:bottom w:val="none" w:sz="0" w:space="0" w:color="auto"/>
                            <w:right w:val="none" w:sz="0" w:space="0" w:color="auto"/>
                          </w:divBdr>
                        </w:div>
                      </w:divsChild>
                    </w:div>
                    <w:div w:id="996228107">
                      <w:marLeft w:val="340"/>
                      <w:marRight w:val="0"/>
                      <w:marTop w:val="160"/>
                      <w:marBottom w:val="200"/>
                      <w:divBdr>
                        <w:top w:val="none" w:sz="0" w:space="0" w:color="auto"/>
                        <w:left w:val="none" w:sz="0" w:space="0" w:color="auto"/>
                        <w:bottom w:val="none" w:sz="0" w:space="0" w:color="auto"/>
                        <w:right w:val="none" w:sz="0" w:space="0" w:color="auto"/>
                      </w:divBdr>
                    </w:div>
                  </w:divsChild>
                </w:div>
                <w:div w:id="996228133">
                  <w:marLeft w:val="340"/>
                  <w:marRight w:val="0"/>
                  <w:marTop w:val="160"/>
                  <w:marBottom w:val="200"/>
                  <w:divBdr>
                    <w:top w:val="none" w:sz="0" w:space="0" w:color="auto"/>
                    <w:left w:val="none" w:sz="0" w:space="0" w:color="auto"/>
                    <w:bottom w:val="none" w:sz="0" w:space="0" w:color="auto"/>
                    <w:right w:val="none" w:sz="0" w:space="0" w:color="auto"/>
                  </w:divBdr>
                  <w:divsChild>
                    <w:div w:id="996227883">
                      <w:marLeft w:val="340"/>
                      <w:marRight w:val="0"/>
                      <w:marTop w:val="160"/>
                      <w:marBottom w:val="200"/>
                      <w:divBdr>
                        <w:top w:val="none" w:sz="0" w:space="0" w:color="auto"/>
                        <w:left w:val="none" w:sz="0" w:space="0" w:color="auto"/>
                        <w:bottom w:val="none" w:sz="0" w:space="0" w:color="auto"/>
                        <w:right w:val="none" w:sz="0" w:space="0" w:color="auto"/>
                      </w:divBdr>
                      <w:divsChild>
                        <w:div w:id="996228029">
                          <w:marLeft w:val="340"/>
                          <w:marRight w:val="0"/>
                          <w:marTop w:val="160"/>
                          <w:marBottom w:val="200"/>
                          <w:divBdr>
                            <w:top w:val="none" w:sz="0" w:space="0" w:color="auto"/>
                            <w:left w:val="none" w:sz="0" w:space="0" w:color="auto"/>
                            <w:bottom w:val="none" w:sz="0" w:space="0" w:color="auto"/>
                            <w:right w:val="none" w:sz="0" w:space="0" w:color="auto"/>
                          </w:divBdr>
                        </w:div>
                        <w:div w:id="996228108">
                          <w:marLeft w:val="340"/>
                          <w:marRight w:val="0"/>
                          <w:marTop w:val="160"/>
                          <w:marBottom w:val="200"/>
                          <w:divBdr>
                            <w:top w:val="none" w:sz="0" w:space="0" w:color="auto"/>
                            <w:left w:val="none" w:sz="0" w:space="0" w:color="auto"/>
                            <w:bottom w:val="none" w:sz="0" w:space="0" w:color="auto"/>
                            <w:right w:val="none" w:sz="0" w:space="0" w:color="auto"/>
                          </w:divBdr>
                        </w:div>
                      </w:divsChild>
                    </w:div>
                    <w:div w:id="996227993">
                      <w:marLeft w:val="340"/>
                      <w:marRight w:val="0"/>
                      <w:marTop w:val="160"/>
                      <w:marBottom w:val="200"/>
                      <w:divBdr>
                        <w:top w:val="none" w:sz="0" w:space="0" w:color="auto"/>
                        <w:left w:val="none" w:sz="0" w:space="0" w:color="auto"/>
                        <w:bottom w:val="none" w:sz="0" w:space="0" w:color="auto"/>
                        <w:right w:val="none" w:sz="0" w:space="0" w:color="auto"/>
                      </w:divBdr>
                      <w:divsChild>
                        <w:div w:id="996227839">
                          <w:marLeft w:val="340"/>
                          <w:marRight w:val="0"/>
                          <w:marTop w:val="160"/>
                          <w:marBottom w:val="200"/>
                          <w:divBdr>
                            <w:top w:val="none" w:sz="0" w:space="0" w:color="auto"/>
                            <w:left w:val="none" w:sz="0" w:space="0" w:color="auto"/>
                            <w:bottom w:val="none" w:sz="0" w:space="0" w:color="auto"/>
                            <w:right w:val="none" w:sz="0" w:space="0" w:color="auto"/>
                          </w:divBdr>
                        </w:div>
                      </w:divsChild>
                    </w:div>
                    <w:div w:id="996228020">
                      <w:marLeft w:val="340"/>
                      <w:marRight w:val="0"/>
                      <w:marTop w:val="160"/>
                      <w:marBottom w:val="200"/>
                      <w:divBdr>
                        <w:top w:val="none" w:sz="0" w:space="0" w:color="auto"/>
                        <w:left w:val="none" w:sz="0" w:space="0" w:color="auto"/>
                        <w:bottom w:val="none" w:sz="0" w:space="0" w:color="auto"/>
                        <w:right w:val="none" w:sz="0" w:space="0" w:color="auto"/>
                      </w:divBdr>
                    </w:div>
                    <w:div w:id="996228085">
                      <w:marLeft w:val="340"/>
                      <w:marRight w:val="0"/>
                      <w:marTop w:val="160"/>
                      <w:marBottom w:val="200"/>
                      <w:divBdr>
                        <w:top w:val="none" w:sz="0" w:space="0" w:color="auto"/>
                        <w:left w:val="none" w:sz="0" w:space="0" w:color="auto"/>
                        <w:bottom w:val="none" w:sz="0" w:space="0" w:color="auto"/>
                        <w:right w:val="none" w:sz="0" w:space="0" w:color="auto"/>
                      </w:divBdr>
                      <w:divsChild>
                        <w:div w:id="996227861">
                          <w:marLeft w:val="340"/>
                          <w:marRight w:val="0"/>
                          <w:marTop w:val="160"/>
                          <w:marBottom w:val="200"/>
                          <w:divBdr>
                            <w:top w:val="none" w:sz="0" w:space="0" w:color="auto"/>
                            <w:left w:val="none" w:sz="0" w:space="0" w:color="auto"/>
                            <w:bottom w:val="none" w:sz="0" w:space="0" w:color="auto"/>
                            <w:right w:val="none" w:sz="0" w:space="0" w:color="auto"/>
                          </w:divBdr>
                        </w:div>
                        <w:div w:id="996227879">
                          <w:marLeft w:val="340"/>
                          <w:marRight w:val="0"/>
                          <w:marTop w:val="160"/>
                          <w:marBottom w:val="200"/>
                          <w:divBdr>
                            <w:top w:val="none" w:sz="0" w:space="0" w:color="auto"/>
                            <w:left w:val="none" w:sz="0" w:space="0" w:color="auto"/>
                            <w:bottom w:val="none" w:sz="0" w:space="0" w:color="auto"/>
                            <w:right w:val="none" w:sz="0" w:space="0" w:color="auto"/>
                          </w:divBdr>
                        </w:div>
                        <w:div w:id="996227914">
                          <w:marLeft w:val="340"/>
                          <w:marRight w:val="0"/>
                          <w:marTop w:val="160"/>
                          <w:marBottom w:val="200"/>
                          <w:divBdr>
                            <w:top w:val="none" w:sz="0" w:space="0" w:color="auto"/>
                            <w:left w:val="none" w:sz="0" w:space="0" w:color="auto"/>
                            <w:bottom w:val="none" w:sz="0" w:space="0" w:color="auto"/>
                            <w:right w:val="none" w:sz="0" w:space="0" w:color="auto"/>
                          </w:divBdr>
                        </w:div>
                        <w:div w:id="996228017">
                          <w:marLeft w:val="340"/>
                          <w:marRight w:val="0"/>
                          <w:marTop w:val="160"/>
                          <w:marBottom w:val="200"/>
                          <w:divBdr>
                            <w:top w:val="none" w:sz="0" w:space="0" w:color="auto"/>
                            <w:left w:val="none" w:sz="0" w:space="0" w:color="auto"/>
                            <w:bottom w:val="none" w:sz="0" w:space="0" w:color="auto"/>
                            <w:right w:val="none" w:sz="0" w:space="0" w:color="auto"/>
                          </w:divBdr>
                        </w:div>
                        <w:div w:id="996228075">
                          <w:marLeft w:val="340"/>
                          <w:marRight w:val="0"/>
                          <w:marTop w:val="160"/>
                          <w:marBottom w:val="200"/>
                          <w:divBdr>
                            <w:top w:val="none" w:sz="0" w:space="0" w:color="auto"/>
                            <w:left w:val="none" w:sz="0" w:space="0" w:color="auto"/>
                            <w:bottom w:val="none" w:sz="0" w:space="0" w:color="auto"/>
                            <w:right w:val="none" w:sz="0" w:space="0" w:color="auto"/>
                          </w:divBdr>
                        </w:div>
                        <w:div w:id="996228122">
                          <w:marLeft w:val="340"/>
                          <w:marRight w:val="0"/>
                          <w:marTop w:val="160"/>
                          <w:marBottom w:val="200"/>
                          <w:divBdr>
                            <w:top w:val="none" w:sz="0" w:space="0" w:color="auto"/>
                            <w:left w:val="none" w:sz="0" w:space="0" w:color="auto"/>
                            <w:bottom w:val="none" w:sz="0" w:space="0" w:color="auto"/>
                            <w:right w:val="none" w:sz="0" w:space="0" w:color="auto"/>
                          </w:divBdr>
                        </w:div>
                        <w:div w:id="996228154">
                          <w:marLeft w:val="340"/>
                          <w:marRight w:val="0"/>
                          <w:marTop w:val="160"/>
                          <w:marBottom w:val="200"/>
                          <w:divBdr>
                            <w:top w:val="none" w:sz="0" w:space="0" w:color="auto"/>
                            <w:left w:val="none" w:sz="0" w:space="0" w:color="auto"/>
                            <w:bottom w:val="none" w:sz="0" w:space="0" w:color="auto"/>
                            <w:right w:val="none" w:sz="0" w:space="0" w:color="auto"/>
                          </w:divBdr>
                        </w:div>
                      </w:divsChild>
                    </w:div>
                    <w:div w:id="996228139">
                      <w:marLeft w:val="340"/>
                      <w:marRight w:val="0"/>
                      <w:marTop w:val="160"/>
                      <w:marBottom w:val="200"/>
                      <w:divBdr>
                        <w:top w:val="none" w:sz="0" w:space="0" w:color="auto"/>
                        <w:left w:val="none" w:sz="0" w:space="0" w:color="auto"/>
                        <w:bottom w:val="none" w:sz="0" w:space="0" w:color="auto"/>
                        <w:right w:val="none" w:sz="0" w:space="0" w:color="auto"/>
                      </w:divBdr>
                      <w:divsChild>
                        <w:div w:id="99622787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75">
      <w:marLeft w:val="0"/>
      <w:marRight w:val="0"/>
      <w:marTop w:val="0"/>
      <w:marBottom w:val="0"/>
      <w:divBdr>
        <w:top w:val="none" w:sz="0" w:space="0" w:color="auto"/>
        <w:left w:val="none" w:sz="0" w:space="0" w:color="auto"/>
        <w:bottom w:val="none" w:sz="0" w:space="0" w:color="auto"/>
        <w:right w:val="single" w:sz="6" w:space="6" w:color="FFFFFF"/>
      </w:divBdr>
      <w:divsChild>
        <w:div w:id="996227892">
          <w:marLeft w:val="0"/>
          <w:marRight w:val="0"/>
          <w:marTop w:val="0"/>
          <w:marBottom w:val="0"/>
          <w:divBdr>
            <w:top w:val="none" w:sz="0" w:space="0" w:color="auto"/>
            <w:left w:val="none" w:sz="0" w:space="0" w:color="auto"/>
            <w:bottom w:val="none" w:sz="0" w:space="0" w:color="auto"/>
            <w:right w:val="none" w:sz="0" w:space="0" w:color="auto"/>
          </w:divBdr>
          <w:divsChild>
            <w:div w:id="996227924">
              <w:marLeft w:val="0"/>
              <w:marRight w:val="0"/>
              <w:marTop w:val="0"/>
              <w:marBottom w:val="0"/>
              <w:divBdr>
                <w:top w:val="none" w:sz="0" w:space="0" w:color="auto"/>
                <w:left w:val="none" w:sz="0" w:space="0" w:color="auto"/>
                <w:bottom w:val="none" w:sz="0" w:space="0" w:color="auto"/>
                <w:right w:val="none" w:sz="0" w:space="0" w:color="auto"/>
              </w:divBdr>
              <w:divsChild>
                <w:div w:id="996228099">
                  <w:marLeft w:val="340"/>
                  <w:marRight w:val="0"/>
                  <w:marTop w:val="160"/>
                  <w:marBottom w:val="200"/>
                  <w:divBdr>
                    <w:top w:val="none" w:sz="0" w:space="0" w:color="auto"/>
                    <w:left w:val="none" w:sz="0" w:space="0" w:color="auto"/>
                    <w:bottom w:val="none" w:sz="0" w:space="0" w:color="auto"/>
                    <w:right w:val="none" w:sz="0" w:space="0" w:color="auto"/>
                  </w:divBdr>
                  <w:divsChild>
                    <w:div w:id="996227895">
                      <w:marLeft w:val="340"/>
                      <w:marRight w:val="0"/>
                      <w:marTop w:val="160"/>
                      <w:marBottom w:val="200"/>
                      <w:divBdr>
                        <w:top w:val="none" w:sz="0" w:space="0" w:color="auto"/>
                        <w:left w:val="none" w:sz="0" w:space="0" w:color="auto"/>
                        <w:bottom w:val="none" w:sz="0" w:space="0" w:color="auto"/>
                        <w:right w:val="none" w:sz="0" w:space="0" w:color="auto"/>
                      </w:divBdr>
                      <w:divsChild>
                        <w:div w:id="996227959">
                          <w:marLeft w:val="340"/>
                          <w:marRight w:val="0"/>
                          <w:marTop w:val="160"/>
                          <w:marBottom w:val="200"/>
                          <w:divBdr>
                            <w:top w:val="none" w:sz="0" w:space="0" w:color="auto"/>
                            <w:left w:val="none" w:sz="0" w:space="0" w:color="auto"/>
                            <w:bottom w:val="none" w:sz="0" w:space="0" w:color="auto"/>
                            <w:right w:val="none" w:sz="0" w:space="0" w:color="auto"/>
                          </w:divBdr>
                          <w:divsChild>
                            <w:div w:id="996227829">
                              <w:marLeft w:val="340"/>
                              <w:marRight w:val="0"/>
                              <w:marTop w:val="160"/>
                              <w:marBottom w:val="200"/>
                              <w:divBdr>
                                <w:top w:val="none" w:sz="0" w:space="0" w:color="auto"/>
                                <w:left w:val="none" w:sz="0" w:space="0" w:color="auto"/>
                                <w:bottom w:val="none" w:sz="0" w:space="0" w:color="auto"/>
                                <w:right w:val="none" w:sz="0" w:space="0" w:color="auto"/>
                              </w:divBdr>
                            </w:div>
                          </w:divsChild>
                        </w:div>
                        <w:div w:id="996228045">
                          <w:marLeft w:val="340"/>
                          <w:marRight w:val="0"/>
                          <w:marTop w:val="160"/>
                          <w:marBottom w:val="200"/>
                          <w:divBdr>
                            <w:top w:val="none" w:sz="0" w:space="0" w:color="auto"/>
                            <w:left w:val="none" w:sz="0" w:space="0" w:color="auto"/>
                            <w:bottom w:val="none" w:sz="0" w:space="0" w:color="auto"/>
                            <w:right w:val="none" w:sz="0" w:space="0" w:color="auto"/>
                          </w:divBdr>
                        </w:div>
                      </w:divsChild>
                    </w:div>
                    <w:div w:id="996228089">
                      <w:marLeft w:val="340"/>
                      <w:marRight w:val="0"/>
                      <w:marTop w:val="160"/>
                      <w:marBottom w:val="200"/>
                      <w:divBdr>
                        <w:top w:val="none" w:sz="0" w:space="0" w:color="auto"/>
                        <w:left w:val="none" w:sz="0" w:space="0" w:color="auto"/>
                        <w:bottom w:val="none" w:sz="0" w:space="0" w:color="auto"/>
                        <w:right w:val="none" w:sz="0" w:space="0" w:color="auto"/>
                      </w:divBdr>
                      <w:divsChild>
                        <w:div w:id="996228067">
                          <w:marLeft w:val="340"/>
                          <w:marRight w:val="0"/>
                          <w:marTop w:val="160"/>
                          <w:marBottom w:val="200"/>
                          <w:divBdr>
                            <w:top w:val="none" w:sz="0" w:space="0" w:color="auto"/>
                            <w:left w:val="none" w:sz="0" w:space="0" w:color="auto"/>
                            <w:bottom w:val="none" w:sz="0" w:space="0" w:color="auto"/>
                            <w:right w:val="none" w:sz="0" w:space="0" w:color="auto"/>
                          </w:divBdr>
                          <w:divsChild>
                            <w:div w:id="99622796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28176">
      <w:marLeft w:val="0"/>
      <w:marRight w:val="0"/>
      <w:marTop w:val="0"/>
      <w:marBottom w:val="0"/>
      <w:divBdr>
        <w:top w:val="none" w:sz="0" w:space="0" w:color="auto"/>
        <w:left w:val="none" w:sz="0" w:space="0" w:color="auto"/>
        <w:bottom w:val="none" w:sz="0" w:space="0" w:color="auto"/>
        <w:right w:val="single" w:sz="6" w:space="6" w:color="FFFFFF"/>
      </w:divBdr>
      <w:divsChild>
        <w:div w:id="996228000">
          <w:marLeft w:val="0"/>
          <w:marRight w:val="0"/>
          <w:marTop w:val="0"/>
          <w:marBottom w:val="0"/>
          <w:divBdr>
            <w:top w:val="none" w:sz="0" w:space="0" w:color="auto"/>
            <w:left w:val="none" w:sz="0" w:space="0" w:color="auto"/>
            <w:bottom w:val="none" w:sz="0" w:space="0" w:color="auto"/>
            <w:right w:val="none" w:sz="0" w:space="0" w:color="auto"/>
          </w:divBdr>
          <w:divsChild>
            <w:div w:id="996228104">
              <w:marLeft w:val="0"/>
              <w:marRight w:val="0"/>
              <w:marTop w:val="0"/>
              <w:marBottom w:val="0"/>
              <w:divBdr>
                <w:top w:val="none" w:sz="0" w:space="0" w:color="auto"/>
                <w:left w:val="none" w:sz="0" w:space="0" w:color="auto"/>
                <w:bottom w:val="none" w:sz="0" w:space="0" w:color="auto"/>
                <w:right w:val="none" w:sz="0" w:space="0" w:color="auto"/>
              </w:divBdr>
              <w:divsChild>
                <w:div w:id="996228021">
                  <w:marLeft w:val="340"/>
                  <w:marRight w:val="0"/>
                  <w:marTop w:val="160"/>
                  <w:marBottom w:val="200"/>
                  <w:divBdr>
                    <w:top w:val="none" w:sz="0" w:space="0" w:color="auto"/>
                    <w:left w:val="none" w:sz="0" w:space="0" w:color="auto"/>
                    <w:bottom w:val="none" w:sz="0" w:space="0" w:color="auto"/>
                    <w:right w:val="none" w:sz="0" w:space="0" w:color="auto"/>
                  </w:divBdr>
                  <w:divsChild>
                    <w:div w:id="996227874">
                      <w:marLeft w:val="340"/>
                      <w:marRight w:val="0"/>
                      <w:marTop w:val="160"/>
                      <w:marBottom w:val="200"/>
                      <w:divBdr>
                        <w:top w:val="none" w:sz="0" w:space="0" w:color="auto"/>
                        <w:left w:val="none" w:sz="0" w:space="0" w:color="auto"/>
                        <w:bottom w:val="none" w:sz="0" w:space="0" w:color="auto"/>
                        <w:right w:val="none" w:sz="0" w:space="0" w:color="auto"/>
                      </w:divBdr>
                    </w:div>
                    <w:div w:id="996227912">
                      <w:marLeft w:val="340"/>
                      <w:marRight w:val="0"/>
                      <w:marTop w:val="160"/>
                      <w:marBottom w:val="200"/>
                      <w:divBdr>
                        <w:top w:val="none" w:sz="0" w:space="0" w:color="auto"/>
                        <w:left w:val="none" w:sz="0" w:space="0" w:color="auto"/>
                        <w:bottom w:val="none" w:sz="0" w:space="0" w:color="auto"/>
                        <w:right w:val="none" w:sz="0" w:space="0" w:color="auto"/>
                      </w:divBdr>
                    </w:div>
                    <w:div w:id="996227925">
                      <w:marLeft w:val="340"/>
                      <w:marRight w:val="0"/>
                      <w:marTop w:val="160"/>
                      <w:marBottom w:val="200"/>
                      <w:divBdr>
                        <w:top w:val="none" w:sz="0" w:space="0" w:color="auto"/>
                        <w:left w:val="none" w:sz="0" w:space="0" w:color="auto"/>
                        <w:bottom w:val="none" w:sz="0" w:space="0" w:color="auto"/>
                        <w:right w:val="none" w:sz="0" w:space="0" w:color="auto"/>
                      </w:divBdr>
                      <w:divsChild>
                        <w:div w:id="996227882">
                          <w:marLeft w:val="340"/>
                          <w:marRight w:val="0"/>
                          <w:marTop w:val="160"/>
                          <w:marBottom w:val="200"/>
                          <w:divBdr>
                            <w:top w:val="none" w:sz="0" w:space="0" w:color="auto"/>
                            <w:left w:val="none" w:sz="0" w:space="0" w:color="auto"/>
                            <w:bottom w:val="none" w:sz="0" w:space="0" w:color="auto"/>
                            <w:right w:val="none" w:sz="0" w:space="0" w:color="auto"/>
                          </w:divBdr>
                        </w:div>
                      </w:divsChild>
                    </w:div>
                    <w:div w:id="996227926">
                      <w:marLeft w:val="340"/>
                      <w:marRight w:val="0"/>
                      <w:marTop w:val="160"/>
                      <w:marBottom w:val="200"/>
                      <w:divBdr>
                        <w:top w:val="none" w:sz="0" w:space="0" w:color="auto"/>
                        <w:left w:val="none" w:sz="0" w:space="0" w:color="auto"/>
                        <w:bottom w:val="none" w:sz="0" w:space="0" w:color="auto"/>
                        <w:right w:val="none" w:sz="0" w:space="0" w:color="auto"/>
                      </w:divBdr>
                    </w:div>
                    <w:div w:id="99622794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mlaw.gov.au/Series/C2004A04858" TargetMode="External"/><Relationship Id="rId299" Type="http://schemas.openxmlformats.org/officeDocument/2006/relationships/hyperlink" Target="http://www.legislation.act.gov.au/a/2011-48" TargetMode="External"/><Relationship Id="rId303" Type="http://schemas.openxmlformats.org/officeDocument/2006/relationships/hyperlink" Target="http://www.legislation.act.gov.au/a/2013-39/default.asp" TargetMode="External"/><Relationship Id="rId21" Type="http://schemas.openxmlformats.org/officeDocument/2006/relationships/footer" Target="footer3.xml"/><Relationship Id="rId42" Type="http://schemas.openxmlformats.org/officeDocument/2006/relationships/hyperlink" Target="http://www.legislation.nsw.gov.au/maintop/view/inforce/act+25+1995+cd+0+N" TargetMode="External"/><Relationship Id="rId63" Type="http://schemas.openxmlformats.org/officeDocument/2006/relationships/hyperlink" Target="http://www.legislation.act.gov.au/a/2008-19" TargetMode="External"/><Relationship Id="rId84" Type="http://schemas.openxmlformats.org/officeDocument/2006/relationships/footer" Target="footer11.xml"/><Relationship Id="rId138" Type="http://schemas.openxmlformats.org/officeDocument/2006/relationships/hyperlink" Target="http://www.comlaw.gov.au/Series/C2004A04858" TargetMode="External"/><Relationship Id="rId159" Type="http://schemas.openxmlformats.org/officeDocument/2006/relationships/hyperlink" Target="http://www.legislation.nsw.gov.au/maintop/view/inforce/act+25+1995+cd+0+N" TargetMode="External"/><Relationship Id="rId324" Type="http://schemas.openxmlformats.org/officeDocument/2006/relationships/header" Target="header21.xml"/><Relationship Id="rId170" Type="http://schemas.openxmlformats.org/officeDocument/2006/relationships/hyperlink" Target="http://www.legislation.nsw.gov.au/maintop/view/inforce/act+25+1995+cd+0+N" TargetMode="External"/><Relationship Id="rId191" Type="http://schemas.openxmlformats.org/officeDocument/2006/relationships/hyperlink" Target="http://www.legislation.act.gov.au/a/2001-14" TargetMode="External"/><Relationship Id="rId205" Type="http://schemas.openxmlformats.org/officeDocument/2006/relationships/hyperlink" Target="http://www.legislation.nsw.gov.au/maintop/view/inforce/act+25+1995+cd+0+N" TargetMode="External"/><Relationship Id="rId226" Type="http://schemas.openxmlformats.org/officeDocument/2006/relationships/hyperlink" Target="http://www.comlaw.gov.au/Details/C2012C00319" TargetMode="External"/><Relationship Id="rId247" Type="http://schemas.openxmlformats.org/officeDocument/2006/relationships/hyperlink" Target="http://www.legislation.act.gov.au/a/2016-42/default.asp" TargetMode="External"/><Relationship Id="rId107" Type="http://schemas.openxmlformats.org/officeDocument/2006/relationships/hyperlink" Target="http://www.comlaw.gov.au/Details/C2013C00113" TargetMode="External"/><Relationship Id="rId268" Type="http://schemas.openxmlformats.org/officeDocument/2006/relationships/hyperlink" Target="http://www.legislation.act.gov.au/a/2011-47" TargetMode="External"/><Relationship Id="rId289" Type="http://schemas.openxmlformats.org/officeDocument/2006/relationships/hyperlink" Target="http://www.legislation.act.gov.au/a/2011-47"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nsw.gov.au/maintop/view/inforce/act+25+1995+cd+0+N" TargetMode="External"/><Relationship Id="rId53" Type="http://schemas.openxmlformats.org/officeDocument/2006/relationships/hyperlink" Target="http://www.legislation.act.gov.au/a/1992-8" TargetMode="External"/><Relationship Id="rId74" Type="http://schemas.openxmlformats.org/officeDocument/2006/relationships/hyperlink" Target="http://www.comlaw.gov.au/Series/C2004A04858" TargetMode="External"/><Relationship Id="rId128" Type="http://schemas.openxmlformats.org/officeDocument/2006/relationships/hyperlink" Target="http://www.comlaw.gov.au/Series/C2004A04858" TargetMode="External"/><Relationship Id="rId149" Type="http://schemas.openxmlformats.org/officeDocument/2006/relationships/hyperlink" Target="http://www.comlaw.gov.au/Series/C2004A04858" TargetMode="External"/><Relationship Id="rId314" Type="http://schemas.openxmlformats.org/officeDocument/2006/relationships/hyperlink" Target="http://www.legislation.act.gov.au/a/2017-14/default.asp" TargetMode="External"/><Relationship Id="rId5" Type="http://schemas.openxmlformats.org/officeDocument/2006/relationships/footnotes" Target="footnotes.xml"/><Relationship Id="rId95" Type="http://schemas.openxmlformats.org/officeDocument/2006/relationships/hyperlink" Target="http://www.legislation.act.gov.au/a/2001-14" TargetMode="External"/><Relationship Id="rId160" Type="http://schemas.openxmlformats.org/officeDocument/2006/relationships/hyperlink" Target="http://www.comlaw.gov.au/Series/C2004A04858" TargetMode="External"/><Relationship Id="rId181" Type="http://schemas.openxmlformats.org/officeDocument/2006/relationships/footer" Target="footer17.xml"/><Relationship Id="rId216" Type="http://schemas.openxmlformats.org/officeDocument/2006/relationships/hyperlink" Target="http://www.legislation.nsw.gov.au/maintop/view/inforce/act+25+1995+cd+0+N" TargetMode="External"/><Relationship Id="rId237" Type="http://schemas.openxmlformats.org/officeDocument/2006/relationships/hyperlink" Target="http://www.legislation.act.gov.au/a/2011-48" TargetMode="External"/><Relationship Id="rId258" Type="http://schemas.openxmlformats.org/officeDocument/2006/relationships/hyperlink" Target="http://www.legislation.act.gov.au/a/2011-47" TargetMode="External"/><Relationship Id="rId279" Type="http://schemas.openxmlformats.org/officeDocument/2006/relationships/hyperlink" Target="http://www.legislation.act.gov.au/a/2011-47" TargetMode="External"/><Relationship Id="rId22" Type="http://schemas.openxmlformats.org/officeDocument/2006/relationships/header" Target="header4.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16-42" TargetMode="External"/><Relationship Id="rId118" Type="http://schemas.openxmlformats.org/officeDocument/2006/relationships/hyperlink" Target="http://www.comlaw.gov.au/Series/C2004A04858" TargetMode="External"/><Relationship Id="rId139" Type="http://schemas.openxmlformats.org/officeDocument/2006/relationships/hyperlink" Target="http://www.comlaw.gov.au/Details/C2006C00178" TargetMode="External"/><Relationship Id="rId290" Type="http://schemas.openxmlformats.org/officeDocument/2006/relationships/hyperlink" Target="http://www.legislation.act.gov.au/a/2011-47" TargetMode="External"/><Relationship Id="rId304" Type="http://schemas.openxmlformats.org/officeDocument/2006/relationships/hyperlink" Target="http://www.legislation.act.gov.au/a/2013-44" TargetMode="External"/><Relationship Id="rId325" Type="http://schemas.openxmlformats.org/officeDocument/2006/relationships/footer" Target="footer24.xml"/><Relationship Id="rId85" Type="http://schemas.openxmlformats.org/officeDocument/2006/relationships/footer" Target="footer12.xml"/><Relationship Id="rId150" Type="http://schemas.openxmlformats.org/officeDocument/2006/relationships/hyperlink" Target="http://www.comlaw.gov.au/Series/C2004A04858" TargetMode="External"/><Relationship Id="rId171" Type="http://schemas.openxmlformats.org/officeDocument/2006/relationships/hyperlink" Target="http://www.comlaw.gov.au/Series/C2004A04858" TargetMode="External"/><Relationship Id="rId192" Type="http://schemas.openxmlformats.org/officeDocument/2006/relationships/hyperlink" Target="http://www.legislation.act.gov.au/a/2001-14" TargetMode="External"/><Relationship Id="rId206" Type="http://schemas.openxmlformats.org/officeDocument/2006/relationships/hyperlink" Target="http://www.legislation.act.gov.au/a/2001-14" TargetMode="External"/><Relationship Id="rId227" Type="http://schemas.openxmlformats.org/officeDocument/2006/relationships/hyperlink" Target="http://www.comlaw.gov.au/Series/C2004A04858" TargetMode="External"/><Relationship Id="rId248" Type="http://schemas.openxmlformats.org/officeDocument/2006/relationships/hyperlink" Target="http://www.legislation.act.gov.au/a/2017-14/default.asp" TargetMode="External"/><Relationship Id="rId269" Type="http://schemas.openxmlformats.org/officeDocument/2006/relationships/hyperlink" Target="http://www.legislation.act.gov.au/a/2011-47" TargetMode="External"/><Relationship Id="rId12" Type="http://schemas.openxmlformats.org/officeDocument/2006/relationships/hyperlink" Target="http://www.legislation.act.gov.au/a/2001-14" TargetMode="External"/><Relationship Id="rId33" Type="http://schemas.openxmlformats.org/officeDocument/2006/relationships/hyperlink" Target="http://www.comlaw.gov.au/Series/C2004A04858" TargetMode="External"/><Relationship Id="rId108" Type="http://schemas.openxmlformats.org/officeDocument/2006/relationships/hyperlink" Target="http://www.legislation.act.gov.au/a/2003-8" TargetMode="External"/><Relationship Id="rId129" Type="http://schemas.openxmlformats.org/officeDocument/2006/relationships/hyperlink" Target="http://www.comlaw.gov.au/Series/C2004A04858" TargetMode="External"/><Relationship Id="rId280" Type="http://schemas.openxmlformats.org/officeDocument/2006/relationships/hyperlink" Target="http://www.legislation.act.gov.au/a/2017-14/default.asp" TargetMode="External"/><Relationship Id="rId315" Type="http://schemas.openxmlformats.org/officeDocument/2006/relationships/hyperlink" Target="http://www.legislation.act.gov.au/a/2018-9/" TargetMode="External"/><Relationship Id="rId54" Type="http://schemas.openxmlformats.org/officeDocument/2006/relationships/hyperlink" Target="http://www.legislation.act.gov.au/a/1991-34" TargetMode="External"/><Relationship Id="rId75" Type="http://schemas.openxmlformats.org/officeDocument/2006/relationships/hyperlink" Target="http://www.comlaw.gov.au/Series/C2004A04858" TargetMode="External"/><Relationship Id="rId96" Type="http://schemas.openxmlformats.org/officeDocument/2006/relationships/hyperlink" Target="http://www.legislation.act.gov.au/a/1991-34" TargetMode="External"/><Relationship Id="rId140" Type="http://schemas.openxmlformats.org/officeDocument/2006/relationships/hyperlink" Target="http://www.comlaw.gov.au/Series/C2004A04858" TargetMode="External"/><Relationship Id="rId161" Type="http://schemas.openxmlformats.org/officeDocument/2006/relationships/hyperlink" Target="http://www.comlaw.gov.au/Series/C2004A04858" TargetMode="External"/><Relationship Id="rId182" Type="http://schemas.openxmlformats.org/officeDocument/2006/relationships/hyperlink" Target="http://www.legislation.act.gov.au/a/2001-14" TargetMode="External"/><Relationship Id="rId217" Type="http://schemas.openxmlformats.org/officeDocument/2006/relationships/hyperlink" Target="http://www.comlaw.gov.au/Series/C2004A04858" TargetMode="External"/><Relationship Id="rId6" Type="http://schemas.openxmlformats.org/officeDocument/2006/relationships/endnotes" Target="endnotes.xml"/><Relationship Id="rId238" Type="http://schemas.openxmlformats.org/officeDocument/2006/relationships/hyperlink" Target="http://www.legislation.act.gov.au/cn/2012-4/default.asp" TargetMode="External"/><Relationship Id="rId259" Type="http://schemas.openxmlformats.org/officeDocument/2006/relationships/hyperlink" Target="http://www.legislation.act.gov.au/a/2011-47" TargetMode="External"/><Relationship Id="rId23" Type="http://schemas.openxmlformats.org/officeDocument/2006/relationships/header" Target="header5.xml"/><Relationship Id="rId119" Type="http://schemas.openxmlformats.org/officeDocument/2006/relationships/hyperlink" Target="http://www.comlaw.gov.au/Series/C2004A04858" TargetMode="External"/><Relationship Id="rId270" Type="http://schemas.openxmlformats.org/officeDocument/2006/relationships/hyperlink" Target="http://www.legislation.act.gov.au/a/2015-40" TargetMode="External"/><Relationship Id="rId291" Type="http://schemas.openxmlformats.org/officeDocument/2006/relationships/hyperlink" Target="http://www.legislation.act.gov.au/a/2013-44" TargetMode="External"/><Relationship Id="rId305" Type="http://schemas.openxmlformats.org/officeDocument/2006/relationships/hyperlink" Target="http://www.legislation.act.gov.au/a/2013-44" TargetMode="External"/><Relationship Id="rId326" Type="http://schemas.openxmlformats.org/officeDocument/2006/relationships/footer" Target="footer25.xml"/><Relationship Id="rId44" Type="http://schemas.openxmlformats.org/officeDocument/2006/relationships/hyperlink" Target="http://www.comlaw.gov.au/Series/C2004A04858" TargetMode="External"/><Relationship Id="rId65" Type="http://schemas.openxmlformats.org/officeDocument/2006/relationships/hyperlink" Target="http://www.comlaw.gov.au/Series/C2004A04858" TargetMode="External"/><Relationship Id="rId86" Type="http://schemas.openxmlformats.org/officeDocument/2006/relationships/hyperlink" Target="http://www.comlaw.gov.au/Series/C2004A04858" TargetMode="External"/><Relationship Id="rId130" Type="http://schemas.openxmlformats.org/officeDocument/2006/relationships/hyperlink" Target="http://www.comlaw.gov.au/Series/C2004A04858" TargetMode="External"/><Relationship Id="rId151" Type="http://schemas.openxmlformats.org/officeDocument/2006/relationships/hyperlink" Target="http://www.comlaw.gov.au/Series/C2004A04858" TargetMode="External"/><Relationship Id="rId172" Type="http://schemas.openxmlformats.org/officeDocument/2006/relationships/hyperlink" Target="http://www.legislation.act.gov.au/a/2001-14" TargetMode="External"/><Relationship Id="rId193" Type="http://schemas.openxmlformats.org/officeDocument/2006/relationships/hyperlink" Target="http://www.comlaw.gov.au/Series/C2004A04858" TargetMode="External"/><Relationship Id="rId207" Type="http://schemas.openxmlformats.org/officeDocument/2006/relationships/hyperlink" Target="http://www.comlaw.gov.au/Series/C2004A04858" TargetMode="External"/><Relationship Id="rId228" Type="http://schemas.openxmlformats.org/officeDocument/2006/relationships/hyperlink" Target="http://www.legislation.nsw.gov.au/maintop/view/inforce/act+25+1995+cd+0+N" TargetMode="External"/><Relationship Id="rId249" Type="http://schemas.openxmlformats.org/officeDocument/2006/relationships/hyperlink" Target="http://www.legislation.act.gov.au/a/2018-9/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comlaw.gov.au/Series/C2004A04858" TargetMode="External"/><Relationship Id="rId260" Type="http://schemas.openxmlformats.org/officeDocument/2006/relationships/hyperlink" Target="http://www.legislation.act.gov.au/a/2011-47" TargetMode="External"/><Relationship Id="rId281" Type="http://schemas.openxmlformats.org/officeDocument/2006/relationships/hyperlink" Target="http://www.legislation.act.gov.au/a/2011-47" TargetMode="External"/><Relationship Id="rId316" Type="http://schemas.openxmlformats.org/officeDocument/2006/relationships/hyperlink" Target="http://www.legislation.act.gov.au/a/2018-9/" TargetMode="External"/><Relationship Id="rId34" Type="http://schemas.openxmlformats.org/officeDocument/2006/relationships/hyperlink" Target="http://www.comlaw.gov.au/Series/C2004A04858" TargetMode="External"/><Relationship Id="rId55" Type="http://schemas.openxmlformats.org/officeDocument/2006/relationships/hyperlink" Target="http://www.comlaw.gov.au/Series/C2004A04858" TargetMode="External"/><Relationship Id="rId76" Type="http://schemas.openxmlformats.org/officeDocument/2006/relationships/header" Target="header6.xml"/><Relationship Id="rId97" Type="http://schemas.openxmlformats.org/officeDocument/2006/relationships/hyperlink" Target="http://www.comlaw.gov.au/Series/C2004A04858" TargetMode="External"/><Relationship Id="rId120" Type="http://schemas.openxmlformats.org/officeDocument/2006/relationships/hyperlink" Target="http://www.comlaw.gov.au/Series/C2004A04858" TargetMode="External"/><Relationship Id="rId141" Type="http://schemas.openxmlformats.org/officeDocument/2006/relationships/hyperlink" Target="http://www.comlaw.gov.au/Series/C2004A04858" TargetMode="External"/><Relationship Id="rId7" Type="http://schemas.openxmlformats.org/officeDocument/2006/relationships/image" Target="media/image1.png"/><Relationship Id="rId162" Type="http://schemas.openxmlformats.org/officeDocument/2006/relationships/hyperlink" Target="http://www.comlaw.gov.au/Series/C2004A04858" TargetMode="External"/><Relationship Id="rId183" Type="http://schemas.openxmlformats.org/officeDocument/2006/relationships/hyperlink" Target="http://www.legislation.act.gov.au/a/2001-14" TargetMode="External"/><Relationship Id="rId218" Type="http://schemas.openxmlformats.org/officeDocument/2006/relationships/hyperlink" Target="http://www.legislation.nsw.gov.au/maintop/view/inforce/act+25+1995+cd+0+N" TargetMode="External"/><Relationship Id="rId239" Type="http://schemas.openxmlformats.org/officeDocument/2006/relationships/hyperlink" Target="http://www.legislation.act.gov.au/a/2013-39" TargetMode="External"/><Relationship Id="rId250" Type="http://schemas.openxmlformats.org/officeDocument/2006/relationships/hyperlink" Target="http://www.legislation.act.gov.au/a/2018-46/" TargetMode="External"/><Relationship Id="rId271" Type="http://schemas.openxmlformats.org/officeDocument/2006/relationships/hyperlink" Target="http://www.legislation.act.gov.au/a/2018-46/" TargetMode="External"/><Relationship Id="rId292" Type="http://schemas.openxmlformats.org/officeDocument/2006/relationships/hyperlink" Target="http://www.legislation.act.gov.au/a/2011-47" TargetMode="External"/><Relationship Id="rId306" Type="http://schemas.openxmlformats.org/officeDocument/2006/relationships/hyperlink" Target="http://www.legislation.act.gov.au/a/2013-44" TargetMode="External"/><Relationship Id="rId24" Type="http://schemas.openxmlformats.org/officeDocument/2006/relationships/footer" Target="footer4.xml"/><Relationship Id="rId45" Type="http://schemas.openxmlformats.org/officeDocument/2006/relationships/hyperlink" Target="http://www.legislation.nsw.gov.au/maintop/view/inforce/act+25+1995+cd+0+N" TargetMode="External"/><Relationship Id="rId66" Type="http://schemas.openxmlformats.org/officeDocument/2006/relationships/hyperlink" Target="http://www.legislation.nsw.gov.au/maintop/view/inforce/act+25+1995+cd+0+N" TargetMode="External"/><Relationship Id="rId87" Type="http://schemas.openxmlformats.org/officeDocument/2006/relationships/hyperlink" Target="http://www.comlaw.gov.au/Series/C2004A04858" TargetMode="External"/><Relationship Id="rId110" Type="http://schemas.openxmlformats.org/officeDocument/2006/relationships/hyperlink" Target="http://www.comlaw.gov.au/Series/C2004A04858" TargetMode="External"/><Relationship Id="rId131" Type="http://schemas.openxmlformats.org/officeDocument/2006/relationships/hyperlink" Target="http://www.legislation.act.gov.au/a/2001-14" TargetMode="External"/><Relationship Id="rId327" Type="http://schemas.openxmlformats.org/officeDocument/2006/relationships/header" Target="header22.xml"/><Relationship Id="rId152" Type="http://schemas.openxmlformats.org/officeDocument/2006/relationships/hyperlink" Target="http://www.comlaw.gov.au/Series/C2004A04858" TargetMode="External"/><Relationship Id="rId173" Type="http://schemas.openxmlformats.org/officeDocument/2006/relationships/header" Target="header10.xml"/><Relationship Id="rId194" Type="http://schemas.openxmlformats.org/officeDocument/2006/relationships/hyperlink" Target="http://www.comlaw.gov.au/Series/C2004A04858" TargetMode="External"/><Relationship Id="rId208" Type="http://schemas.openxmlformats.org/officeDocument/2006/relationships/hyperlink" Target="http://www.comlaw.gov.au/Series/C2004A04858" TargetMode="External"/><Relationship Id="rId229" Type="http://schemas.openxmlformats.org/officeDocument/2006/relationships/header" Target="header16.xml"/><Relationship Id="rId240" Type="http://schemas.openxmlformats.org/officeDocument/2006/relationships/hyperlink" Target="http://www.legislation.act.gov.au/cn/2013-11" TargetMode="External"/><Relationship Id="rId261" Type="http://schemas.openxmlformats.org/officeDocument/2006/relationships/hyperlink" Target="http://www.legislation.act.gov.au/a/2011-47" TargetMode="External"/><Relationship Id="rId14" Type="http://schemas.openxmlformats.org/officeDocument/2006/relationships/hyperlink" Target="http://www.legislation.act.gov.au/a/2001-14" TargetMode="External"/><Relationship Id="rId35" Type="http://schemas.openxmlformats.org/officeDocument/2006/relationships/hyperlink" Target="http://www.comlaw.gov.au/Series/C2004A04858" TargetMode="External"/><Relationship Id="rId56" Type="http://schemas.openxmlformats.org/officeDocument/2006/relationships/hyperlink" Target="http://www.comlaw.gov.au/Series/C2004A00818" TargetMode="External"/><Relationship Id="rId77" Type="http://schemas.openxmlformats.org/officeDocument/2006/relationships/header" Target="header7.xml"/><Relationship Id="rId100" Type="http://schemas.openxmlformats.org/officeDocument/2006/relationships/hyperlink" Target="http://www.comlaw.gov.au/Series/C2004A04858" TargetMode="External"/><Relationship Id="rId282" Type="http://schemas.openxmlformats.org/officeDocument/2006/relationships/hyperlink" Target="http://www.legislation.act.gov.au/a/2011-47" TargetMode="External"/><Relationship Id="rId317" Type="http://schemas.openxmlformats.org/officeDocument/2006/relationships/hyperlink" Target="http://www.legislation.act.gov.au/a/2018-46/"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nsw.gov.au/maintop/view/inforce/act+25+1995+cd+0+N" TargetMode="External"/><Relationship Id="rId72" Type="http://schemas.openxmlformats.org/officeDocument/2006/relationships/hyperlink" Target="http://www.comlaw.gov.au/Series/C2004A04858" TargetMode="External"/><Relationship Id="rId93" Type="http://schemas.openxmlformats.org/officeDocument/2006/relationships/hyperlink" Target="http://www.legislation.act.gov.au/a/2001-14" TargetMode="External"/><Relationship Id="rId98" Type="http://schemas.openxmlformats.org/officeDocument/2006/relationships/hyperlink" Target="http://www.comlaw.gov.au/Series/C2004A04858" TargetMode="External"/><Relationship Id="rId121" Type="http://schemas.openxmlformats.org/officeDocument/2006/relationships/hyperlink" Target="http://www.comlaw.gov.au/Series/C2004A04858" TargetMode="External"/><Relationship Id="rId142" Type="http://schemas.openxmlformats.org/officeDocument/2006/relationships/hyperlink" Target="http://www.comlaw.gov.au/Series/C2004A04858" TargetMode="External"/><Relationship Id="rId163" Type="http://schemas.openxmlformats.org/officeDocument/2006/relationships/hyperlink" Target="http://www.comlaw.gov.au/Series/C2004A04858" TargetMode="External"/><Relationship Id="rId184" Type="http://schemas.openxmlformats.org/officeDocument/2006/relationships/hyperlink" Target="http://www.comlaw.gov.au/Series/C2004A04858" TargetMode="External"/><Relationship Id="rId189" Type="http://schemas.openxmlformats.org/officeDocument/2006/relationships/hyperlink" Target="http://www.comlaw.gov.au/Series/C2004A04858" TargetMode="External"/><Relationship Id="rId219" Type="http://schemas.openxmlformats.org/officeDocument/2006/relationships/hyperlink" Target="http://www.legislation.act.gov.au/a/2006-25" TargetMode="External"/><Relationship Id="rId3" Type="http://schemas.openxmlformats.org/officeDocument/2006/relationships/settings" Target="settings.xml"/><Relationship Id="rId214" Type="http://schemas.openxmlformats.org/officeDocument/2006/relationships/hyperlink" Target="http://www.legislation.act.gov.au/a/2001-14" TargetMode="External"/><Relationship Id="rId230" Type="http://schemas.openxmlformats.org/officeDocument/2006/relationships/header" Target="header17.xml"/><Relationship Id="rId235" Type="http://schemas.openxmlformats.org/officeDocument/2006/relationships/hyperlink" Target="http://www.legislation.act.gov.au/a/2011-47" TargetMode="External"/><Relationship Id="rId251" Type="http://schemas.openxmlformats.org/officeDocument/2006/relationships/hyperlink" Target="http://www.legislation.act.gov.au/a/2019-17/default.asp" TargetMode="External"/><Relationship Id="rId256" Type="http://schemas.openxmlformats.org/officeDocument/2006/relationships/hyperlink" Target="http://www.legislation.act.gov.au/a/2013-39" TargetMode="External"/><Relationship Id="rId277" Type="http://schemas.openxmlformats.org/officeDocument/2006/relationships/hyperlink" Target="http://www.legislation.act.gov.au/a/2011-47" TargetMode="External"/><Relationship Id="rId298" Type="http://schemas.openxmlformats.org/officeDocument/2006/relationships/hyperlink" Target="http://www.legislation.act.gov.au/a/2011-47" TargetMode="External"/><Relationship Id="rId25" Type="http://schemas.openxmlformats.org/officeDocument/2006/relationships/footer" Target="footer5.xml"/><Relationship Id="rId46" Type="http://schemas.openxmlformats.org/officeDocument/2006/relationships/hyperlink" Target="http://www.comlaw.gov.au/Series/C2004A04858" TargetMode="External"/><Relationship Id="rId67" Type="http://schemas.openxmlformats.org/officeDocument/2006/relationships/hyperlink" Target="http://www.comlaw.gov.au/Series/C2004A04858" TargetMode="External"/><Relationship Id="rId116" Type="http://schemas.openxmlformats.org/officeDocument/2006/relationships/hyperlink" Target="http://www.legislation.act.gov.au/updates/humanrights/humanrights.asp" TargetMode="External"/><Relationship Id="rId137" Type="http://schemas.openxmlformats.org/officeDocument/2006/relationships/hyperlink" Target="http://www.comlaw.gov.au/Series/C2004A04858" TargetMode="External"/><Relationship Id="rId158" Type="http://schemas.openxmlformats.org/officeDocument/2006/relationships/hyperlink" Target="http://www.comlaw.gov.au/Series/C2004A04858" TargetMode="External"/><Relationship Id="rId272" Type="http://schemas.openxmlformats.org/officeDocument/2006/relationships/hyperlink" Target="http://www.legislation.act.gov.au/a/2011-47" TargetMode="External"/><Relationship Id="rId293" Type="http://schemas.openxmlformats.org/officeDocument/2006/relationships/hyperlink" Target="http://www.legislation.act.gov.au/a/2011-47" TargetMode="External"/><Relationship Id="rId302" Type="http://schemas.openxmlformats.org/officeDocument/2006/relationships/hyperlink" Target="http://www.legislation.act.gov.au/a/2013-39/default.asp" TargetMode="External"/><Relationship Id="rId307" Type="http://schemas.openxmlformats.org/officeDocument/2006/relationships/hyperlink" Target="http://www.legislation.act.gov.au/a/2013-39/default.asp" TargetMode="External"/><Relationship Id="rId323" Type="http://schemas.openxmlformats.org/officeDocument/2006/relationships/header" Target="header20.xml"/><Relationship Id="rId328" Type="http://schemas.openxmlformats.org/officeDocument/2006/relationships/footer" Target="footer26.xml"/><Relationship Id="rId20" Type="http://schemas.openxmlformats.org/officeDocument/2006/relationships/header" Target="header3.xml"/><Relationship Id="rId41" Type="http://schemas.openxmlformats.org/officeDocument/2006/relationships/hyperlink" Target="http://www.comlaw.gov.au/Series/C2004A04858" TargetMode="External"/><Relationship Id="rId62" Type="http://schemas.openxmlformats.org/officeDocument/2006/relationships/hyperlink" Target="http://www.legislation.act.gov.au/a/1900-40" TargetMode="External"/><Relationship Id="rId83" Type="http://schemas.openxmlformats.org/officeDocument/2006/relationships/footer" Target="footer10.xml"/><Relationship Id="rId88" Type="http://schemas.openxmlformats.org/officeDocument/2006/relationships/hyperlink" Target="http://www.comlaw.gov.au/Series/C2004A04858" TargetMode="External"/><Relationship Id="rId111" Type="http://schemas.openxmlformats.org/officeDocument/2006/relationships/hyperlink" Target="http://www.legislation.act.gov.au/a/2002-51" TargetMode="External"/><Relationship Id="rId132" Type="http://schemas.openxmlformats.org/officeDocument/2006/relationships/hyperlink" Target="http://www.comlaw.gov.au/Series/C2004A04858" TargetMode="External"/><Relationship Id="rId153" Type="http://schemas.openxmlformats.org/officeDocument/2006/relationships/hyperlink" Target="http://www.legislation.act.gov.au/a/2001-14" TargetMode="External"/><Relationship Id="rId174" Type="http://schemas.openxmlformats.org/officeDocument/2006/relationships/header" Target="header11.xml"/><Relationship Id="rId179" Type="http://schemas.openxmlformats.org/officeDocument/2006/relationships/header" Target="header13.xml"/><Relationship Id="rId195" Type="http://schemas.openxmlformats.org/officeDocument/2006/relationships/hyperlink" Target="http://www.comlaw.gov.au/Series/C2004A00818" TargetMode="External"/><Relationship Id="rId209" Type="http://schemas.openxmlformats.org/officeDocument/2006/relationships/hyperlink" Target="http://www.legislation.nsw.gov.au/maintop/view/inforce/act+25+1995+cd+0+N" TargetMode="External"/><Relationship Id="rId190" Type="http://schemas.openxmlformats.org/officeDocument/2006/relationships/hyperlink" Target="http://www.legislation.nsw.gov.au/maintop/view/inforce/act+25+1995+cd+0+N" TargetMode="External"/><Relationship Id="rId204" Type="http://schemas.openxmlformats.org/officeDocument/2006/relationships/hyperlink" Target="http://www.comlaw.gov.au/Series/C2004A04858" TargetMode="External"/><Relationship Id="rId220" Type="http://schemas.openxmlformats.org/officeDocument/2006/relationships/hyperlink" Target="http://www.legislation.act.gov.au/a/2001-14" TargetMode="External"/><Relationship Id="rId225" Type="http://schemas.openxmlformats.org/officeDocument/2006/relationships/footer" Target="footer19.xml"/><Relationship Id="rId241" Type="http://schemas.openxmlformats.org/officeDocument/2006/relationships/hyperlink" Target="http://www.legislation.act.gov.au/a/2013-44" TargetMode="External"/><Relationship Id="rId246" Type="http://schemas.openxmlformats.org/officeDocument/2006/relationships/hyperlink" Target="http://www.legislation.act.gov.au/a/2017-10/default.asp" TargetMode="External"/><Relationship Id="rId267" Type="http://schemas.openxmlformats.org/officeDocument/2006/relationships/hyperlink" Target="http://www.legislation.act.gov.au/a/2011-47" TargetMode="External"/><Relationship Id="rId288" Type="http://schemas.openxmlformats.org/officeDocument/2006/relationships/hyperlink" Target="http://www.legislation.act.gov.au/a/2011-47"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4858" TargetMode="External"/><Relationship Id="rId57" Type="http://schemas.openxmlformats.org/officeDocument/2006/relationships/hyperlink" Target="http://www.comlaw.gov.au/Details/C2013C00002" TargetMode="External"/><Relationship Id="rId106" Type="http://schemas.openxmlformats.org/officeDocument/2006/relationships/hyperlink" Target="http://www.legislation.act.gov.au/sl/2006-29" TargetMode="External"/><Relationship Id="rId127" Type="http://schemas.openxmlformats.org/officeDocument/2006/relationships/hyperlink" Target="http://www.comlaw.gov.au/Series/C2004A04858" TargetMode="External"/><Relationship Id="rId262" Type="http://schemas.openxmlformats.org/officeDocument/2006/relationships/hyperlink" Target="http://www.legislation.act.gov.au/a/2011-47" TargetMode="External"/><Relationship Id="rId283" Type="http://schemas.openxmlformats.org/officeDocument/2006/relationships/hyperlink" Target="http://www.legislation.act.gov.au/a/2013-44" TargetMode="External"/><Relationship Id="rId313" Type="http://schemas.openxmlformats.org/officeDocument/2006/relationships/hyperlink" Target="http://www.legislation.act.gov.au/a/2017-14/default.asp" TargetMode="External"/><Relationship Id="rId318" Type="http://schemas.openxmlformats.org/officeDocument/2006/relationships/hyperlink" Target="http://www.legislation.act.gov.au/a/2018-46/" TargetMode="External"/><Relationship Id="rId10" Type="http://schemas.openxmlformats.org/officeDocument/2006/relationships/hyperlink" Target="http://www.legislation.act.gov.au/a/2001-14" TargetMode="External"/><Relationship Id="rId31" Type="http://schemas.openxmlformats.org/officeDocument/2006/relationships/hyperlink" Target="http://www.comlaw.gov.au/Series/C2004A04858" TargetMode="External"/><Relationship Id="rId52" Type="http://schemas.openxmlformats.org/officeDocument/2006/relationships/hyperlink" Target="http://www.legislation.act.gov.au/a/2001-14" TargetMode="External"/><Relationship Id="rId73" Type="http://schemas.openxmlformats.org/officeDocument/2006/relationships/hyperlink" Target="http://www.comlaw.gov.au/Series/C2004A04858" TargetMode="External"/><Relationship Id="rId78" Type="http://schemas.openxmlformats.org/officeDocument/2006/relationships/footer" Target="footer7.xml"/><Relationship Id="rId94" Type="http://schemas.openxmlformats.org/officeDocument/2006/relationships/hyperlink" Target="http://www.legislation.act.gov.au/a/2001-14" TargetMode="External"/><Relationship Id="rId99" Type="http://schemas.openxmlformats.org/officeDocument/2006/relationships/hyperlink" Target="http://www.legislation.nsw.gov.au/maintop/view/inforce/act+25+1995+cd+0+N" TargetMode="External"/><Relationship Id="rId101" Type="http://schemas.openxmlformats.org/officeDocument/2006/relationships/hyperlink" Target="http://www.legislation.nsw.gov.au/maintop/view/inforce/act+25+1995+cd+0+N" TargetMode="External"/><Relationship Id="rId122" Type="http://schemas.openxmlformats.org/officeDocument/2006/relationships/hyperlink" Target="http://www.comlaw.gov.au/Series/C2004A04858" TargetMode="External"/><Relationship Id="rId143" Type="http://schemas.openxmlformats.org/officeDocument/2006/relationships/hyperlink" Target="http://www.comlaw.gov.au/Series/C2004A04858" TargetMode="External"/><Relationship Id="rId148" Type="http://schemas.openxmlformats.org/officeDocument/2006/relationships/hyperlink" Target="http://www.comlaw.gov.au/Series/C2004A04858" TargetMode="External"/><Relationship Id="rId164" Type="http://schemas.openxmlformats.org/officeDocument/2006/relationships/hyperlink" Target="http://www.comlaw.gov.au/Series/C2004A04858" TargetMode="External"/><Relationship Id="rId169" Type="http://schemas.openxmlformats.org/officeDocument/2006/relationships/hyperlink" Target="http://www.legislation.nsw.gov.au/maintop/view/inforce/act+25+1995+cd+0+N" TargetMode="External"/><Relationship Id="rId185" Type="http://schemas.openxmlformats.org/officeDocument/2006/relationships/hyperlink" Target="http://www.legislation.act.gov.au/a/2006-25"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footer" Target="footer16.xml"/><Relationship Id="rId210" Type="http://schemas.openxmlformats.org/officeDocument/2006/relationships/hyperlink" Target="http://www.legislation.act.gov.au/a/2001-14" TargetMode="External"/><Relationship Id="rId215" Type="http://schemas.openxmlformats.org/officeDocument/2006/relationships/hyperlink" Target="http://www.legislation.act.gov.au/a/2001-14" TargetMode="External"/><Relationship Id="rId236" Type="http://schemas.openxmlformats.org/officeDocument/2006/relationships/hyperlink" Target="http://www.legislation.act.gov.au/cn/2012-4/default.asp" TargetMode="External"/><Relationship Id="rId257" Type="http://schemas.openxmlformats.org/officeDocument/2006/relationships/hyperlink" Target="http://www.legislation.act.gov.au/a/2019-17/default.asp" TargetMode="External"/><Relationship Id="rId278" Type="http://schemas.openxmlformats.org/officeDocument/2006/relationships/hyperlink" Target="http://www.legislation.act.gov.au/a/2011-47" TargetMode="External"/><Relationship Id="rId26" Type="http://schemas.openxmlformats.org/officeDocument/2006/relationships/footer" Target="footer6.xml"/><Relationship Id="rId231" Type="http://schemas.openxmlformats.org/officeDocument/2006/relationships/footer" Target="footer20.xml"/><Relationship Id="rId252" Type="http://schemas.openxmlformats.org/officeDocument/2006/relationships/hyperlink" Target="http://www.legislation.act.gov.au/a/2011-48" TargetMode="External"/><Relationship Id="rId273" Type="http://schemas.openxmlformats.org/officeDocument/2006/relationships/hyperlink" Target="http://www.legislation.act.gov.au/a/2011-47" TargetMode="External"/><Relationship Id="rId294" Type="http://schemas.openxmlformats.org/officeDocument/2006/relationships/hyperlink" Target="http://www.legislation.act.gov.au/a/2011-47" TargetMode="External"/><Relationship Id="rId308" Type="http://schemas.openxmlformats.org/officeDocument/2006/relationships/hyperlink" Target="http://www.legislation.act.gov.au/a/2015-40" TargetMode="External"/><Relationship Id="rId329" Type="http://schemas.openxmlformats.org/officeDocument/2006/relationships/header" Target="header23.xml"/><Relationship Id="rId47" Type="http://schemas.openxmlformats.org/officeDocument/2006/relationships/hyperlink" Target="http://www.comlaw.gov.au/Series/C2004A04858" TargetMode="External"/><Relationship Id="rId68" Type="http://schemas.openxmlformats.org/officeDocument/2006/relationships/hyperlink" Target="http://www.comlaw.gov.au/Series/C2004A04858" TargetMode="External"/><Relationship Id="rId89" Type="http://schemas.openxmlformats.org/officeDocument/2006/relationships/hyperlink" Target="http://www.comlaw.gov.au/Series/C2004A04858" TargetMode="External"/><Relationship Id="rId112" Type="http://schemas.openxmlformats.org/officeDocument/2006/relationships/hyperlink" Target="http://www.legislation.act.gov.au/a/1967-47" TargetMode="External"/><Relationship Id="rId133" Type="http://schemas.openxmlformats.org/officeDocument/2006/relationships/hyperlink" Target="http://www.legislation.nsw.gov.au/maintop/view/inforce/act+25+1995+cd+0+N" TargetMode="External"/><Relationship Id="rId154" Type="http://schemas.openxmlformats.org/officeDocument/2006/relationships/hyperlink" Target="http://www.comlaw.gov.au/Series/C2004A04858" TargetMode="External"/><Relationship Id="rId175" Type="http://schemas.openxmlformats.org/officeDocument/2006/relationships/footer" Target="footer13.xml"/><Relationship Id="rId196" Type="http://schemas.openxmlformats.org/officeDocument/2006/relationships/hyperlink" Target="http://www.comlaw.gov.au/Series/C2004A04858" TargetMode="External"/><Relationship Id="rId200" Type="http://schemas.openxmlformats.org/officeDocument/2006/relationships/hyperlink" Target="http://www.legislation.nsw.gov.au/maintop/view/inforce/act+25+1995+cd+0+N" TargetMode="External"/><Relationship Id="rId16" Type="http://schemas.openxmlformats.org/officeDocument/2006/relationships/header" Target="header1.xml"/><Relationship Id="rId221" Type="http://schemas.openxmlformats.org/officeDocument/2006/relationships/hyperlink" Target="http://www.comlaw.gov.au/Details/C2012C00931" TargetMode="External"/><Relationship Id="rId242" Type="http://schemas.openxmlformats.org/officeDocument/2006/relationships/hyperlink" Target="http://www.legislation.act.gov.au/a/2015-40" TargetMode="External"/><Relationship Id="rId263" Type="http://schemas.openxmlformats.org/officeDocument/2006/relationships/hyperlink" Target="http://www.legislation.act.gov.au/a/2011-47" TargetMode="External"/><Relationship Id="rId284" Type="http://schemas.openxmlformats.org/officeDocument/2006/relationships/hyperlink" Target="http://www.legislation.act.gov.au/a/2018-9/default.asp" TargetMode="External"/><Relationship Id="rId319" Type="http://schemas.openxmlformats.org/officeDocument/2006/relationships/header" Target="header18.xml"/><Relationship Id="rId37" Type="http://schemas.openxmlformats.org/officeDocument/2006/relationships/hyperlink" Target="http://www.comlaw.gov.au/Series/C2004A04858" TargetMode="External"/><Relationship Id="rId58" Type="http://schemas.openxmlformats.org/officeDocument/2006/relationships/hyperlink" Target="http://www.legislation.act.gov.au/a/2002-51" TargetMode="External"/><Relationship Id="rId79" Type="http://schemas.openxmlformats.org/officeDocument/2006/relationships/footer" Target="footer8.xml"/><Relationship Id="rId102" Type="http://schemas.openxmlformats.org/officeDocument/2006/relationships/hyperlink" Target="http://www.comlaw.gov.au/Series/C2004A04858" TargetMode="External"/><Relationship Id="rId123" Type="http://schemas.openxmlformats.org/officeDocument/2006/relationships/hyperlink" Target="http://www.comlaw.gov.au/Series/C2004A04858" TargetMode="External"/><Relationship Id="rId144" Type="http://schemas.openxmlformats.org/officeDocument/2006/relationships/hyperlink" Target="http://www.comlaw.gov.au/Series/C2004A04858" TargetMode="External"/><Relationship Id="rId330" Type="http://schemas.openxmlformats.org/officeDocument/2006/relationships/footer" Target="footer27.xml"/><Relationship Id="rId90" Type="http://schemas.openxmlformats.org/officeDocument/2006/relationships/hyperlink" Target="http://www.comlaw.gov.au/Series/C2004A04858"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a/2006-25" TargetMode="External"/><Relationship Id="rId211" Type="http://schemas.openxmlformats.org/officeDocument/2006/relationships/hyperlink" Target="http://www.comlaw.gov.au/Series/C2004A04858" TargetMode="External"/><Relationship Id="rId232" Type="http://schemas.openxmlformats.org/officeDocument/2006/relationships/footer" Target="footer21.xml"/><Relationship Id="rId253" Type="http://schemas.openxmlformats.org/officeDocument/2006/relationships/hyperlink" Target="http://www.legislation.act.gov.au/a/2015-40" TargetMode="External"/><Relationship Id="rId274" Type="http://schemas.openxmlformats.org/officeDocument/2006/relationships/hyperlink" Target="http://www.legislation.act.gov.au/a/2011-47" TargetMode="External"/><Relationship Id="rId295" Type="http://schemas.openxmlformats.org/officeDocument/2006/relationships/hyperlink" Target="http://www.legislation.act.gov.au/a/2013-44" TargetMode="External"/><Relationship Id="rId309" Type="http://schemas.openxmlformats.org/officeDocument/2006/relationships/hyperlink" Target="http://www.legislation.act.gov.au/a/2015-40" TargetMode="External"/><Relationship Id="rId27" Type="http://schemas.openxmlformats.org/officeDocument/2006/relationships/hyperlink" Target="http://www.comlaw.gov.au/Series/C2004A04858" TargetMode="External"/><Relationship Id="rId48" Type="http://schemas.openxmlformats.org/officeDocument/2006/relationships/hyperlink" Target="http://www.comlaw.gov.au/Series/C2004A04858" TargetMode="External"/><Relationship Id="rId69" Type="http://schemas.openxmlformats.org/officeDocument/2006/relationships/hyperlink" Target="http://www.comlaw.gov.au/Series/C2004A04858" TargetMode="External"/><Relationship Id="rId113" Type="http://schemas.openxmlformats.org/officeDocument/2006/relationships/hyperlink" Target="http://www.comlaw.gov.au/Series/C2004A04858" TargetMode="External"/><Relationship Id="rId134" Type="http://schemas.openxmlformats.org/officeDocument/2006/relationships/hyperlink" Target="http://www.comlaw.gov.au/Series/C2004A04858" TargetMode="External"/><Relationship Id="rId320" Type="http://schemas.openxmlformats.org/officeDocument/2006/relationships/header" Target="header19.xml"/><Relationship Id="rId80" Type="http://schemas.openxmlformats.org/officeDocument/2006/relationships/footer" Target="footer9.xml"/><Relationship Id="rId155" Type="http://schemas.openxmlformats.org/officeDocument/2006/relationships/hyperlink" Target="http://www.comlaw.gov.au/Series/C2004A04858" TargetMode="External"/><Relationship Id="rId176" Type="http://schemas.openxmlformats.org/officeDocument/2006/relationships/footer" Target="footer14.xml"/><Relationship Id="rId197" Type="http://schemas.openxmlformats.org/officeDocument/2006/relationships/hyperlink" Target="http://www.comlaw.gov.au/Series/C2004A04858" TargetMode="External"/><Relationship Id="rId201" Type="http://schemas.openxmlformats.org/officeDocument/2006/relationships/hyperlink" Target="http://www.legislation.act.gov.au/a/2001-14" TargetMode="External"/><Relationship Id="rId222" Type="http://schemas.openxmlformats.org/officeDocument/2006/relationships/header" Target="header14.xml"/><Relationship Id="rId243" Type="http://schemas.openxmlformats.org/officeDocument/2006/relationships/hyperlink" Target="http://www.legislation.act.gov.au/a/2016-42/default.asp" TargetMode="External"/><Relationship Id="rId264" Type="http://schemas.openxmlformats.org/officeDocument/2006/relationships/hyperlink" Target="http://www.legislation.act.gov.au/a/2011-47" TargetMode="External"/><Relationship Id="rId285" Type="http://schemas.openxmlformats.org/officeDocument/2006/relationships/hyperlink" Target="http://www.legislation.act.gov.au/a/2011-48" TargetMode="External"/><Relationship Id="rId17" Type="http://schemas.openxmlformats.org/officeDocument/2006/relationships/header" Target="header2.xml"/><Relationship Id="rId38" Type="http://schemas.openxmlformats.org/officeDocument/2006/relationships/hyperlink" Target="http://www.comlaw.gov.au/Series/C2004A04858" TargetMode="External"/><Relationship Id="rId59" Type="http://schemas.openxmlformats.org/officeDocument/2006/relationships/hyperlink" Target="http://www.legislation.act.gov.au/a/2001-14" TargetMode="External"/><Relationship Id="rId103" Type="http://schemas.openxmlformats.org/officeDocument/2006/relationships/hyperlink" Target="http://www.comlaw.gov.au/Series/C2004A04858" TargetMode="External"/><Relationship Id="rId124" Type="http://schemas.openxmlformats.org/officeDocument/2006/relationships/hyperlink" Target="http://www.comlaw.gov.au/Series/C2004A04858" TargetMode="External"/><Relationship Id="rId310" Type="http://schemas.openxmlformats.org/officeDocument/2006/relationships/hyperlink" Target="http://www.legislation.act.gov.au/a/2016-42/default.asp" TargetMode="External"/><Relationship Id="rId70" Type="http://schemas.openxmlformats.org/officeDocument/2006/relationships/hyperlink" Target="http://www.comlaw.gov.au/Series/C2004A04858" TargetMode="External"/><Relationship Id="rId91" Type="http://schemas.openxmlformats.org/officeDocument/2006/relationships/hyperlink" Target="http://www.comlaw.gov.au/Series/C2004A04858" TargetMode="External"/><Relationship Id="rId145" Type="http://schemas.openxmlformats.org/officeDocument/2006/relationships/hyperlink" Target="http://www.comlaw.gov.au/Series/C2004A04858" TargetMode="External"/><Relationship Id="rId166" Type="http://schemas.openxmlformats.org/officeDocument/2006/relationships/hyperlink" Target="http://www.legislation.act.gov.au/a/2001-14" TargetMode="External"/><Relationship Id="rId187" Type="http://schemas.openxmlformats.org/officeDocument/2006/relationships/hyperlink" Target="http://www.legislation.act.gov.au/a/2006-25"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www.legislation.nsw.gov.au/maintop/view/inforce/act+25+1995+cd+0+N" TargetMode="External"/><Relationship Id="rId233" Type="http://schemas.openxmlformats.org/officeDocument/2006/relationships/hyperlink" Target="http://www.legislation.act.gov.au/a/2001-14" TargetMode="External"/><Relationship Id="rId254" Type="http://schemas.openxmlformats.org/officeDocument/2006/relationships/hyperlink" Target="http://www.legislation.act.gov.au/a/2016-42/default.asp" TargetMode="External"/><Relationship Id="rId28" Type="http://schemas.openxmlformats.org/officeDocument/2006/relationships/hyperlink" Target="http://www.legislation.nsw.gov.au/maintop/view/inforce/act+25+1995+cd+0+N" TargetMode="External"/><Relationship Id="rId49" Type="http://schemas.openxmlformats.org/officeDocument/2006/relationships/hyperlink" Target="http://www.comlaw.gov.au/Series/C2004A04858" TargetMode="External"/><Relationship Id="rId114" Type="http://schemas.openxmlformats.org/officeDocument/2006/relationships/hyperlink" Target="http://www.comlaw.gov.au/Series/C2004A04858" TargetMode="External"/><Relationship Id="rId275" Type="http://schemas.openxmlformats.org/officeDocument/2006/relationships/hyperlink" Target="http://www.legislation.act.gov.au/a/2011-47" TargetMode="External"/><Relationship Id="rId296" Type="http://schemas.openxmlformats.org/officeDocument/2006/relationships/hyperlink" Target="http://www.legislation.act.gov.au/a/2011-47" TargetMode="External"/><Relationship Id="rId300" Type="http://schemas.openxmlformats.org/officeDocument/2006/relationships/hyperlink" Target="http://www.legislation.act.gov.au/a/2013-39" TargetMode="External"/><Relationship Id="rId60" Type="http://schemas.openxmlformats.org/officeDocument/2006/relationships/hyperlink" Target="http://www.comlaw.gov.au/Series/C2004A04858" TargetMode="External"/><Relationship Id="rId81" Type="http://schemas.openxmlformats.org/officeDocument/2006/relationships/header" Target="header8.xml"/><Relationship Id="rId135" Type="http://schemas.openxmlformats.org/officeDocument/2006/relationships/hyperlink" Target="http://www.comlaw.gov.au/Series/C2004A04858" TargetMode="External"/><Relationship Id="rId156" Type="http://schemas.openxmlformats.org/officeDocument/2006/relationships/hyperlink" Target="http://www.legislation.act.gov.au/a/1984-79" TargetMode="External"/><Relationship Id="rId177" Type="http://schemas.openxmlformats.org/officeDocument/2006/relationships/footer" Target="footer15.xml"/><Relationship Id="rId198" Type="http://schemas.openxmlformats.org/officeDocument/2006/relationships/hyperlink" Target="http://www.comlaw.gov.au/Details/C2013C00069" TargetMode="External"/><Relationship Id="rId321" Type="http://schemas.openxmlformats.org/officeDocument/2006/relationships/footer" Target="footer22.xml"/><Relationship Id="rId202" Type="http://schemas.openxmlformats.org/officeDocument/2006/relationships/hyperlink" Target="http://www.legislation.act.gov.au/a/2001-14" TargetMode="External"/><Relationship Id="rId223" Type="http://schemas.openxmlformats.org/officeDocument/2006/relationships/header" Target="header15.xml"/><Relationship Id="rId244" Type="http://schemas.openxmlformats.org/officeDocument/2006/relationships/hyperlink" Target="http://www.legislation.act.gov.au/a/2017-10/default.asp" TargetMode="External"/><Relationship Id="rId18" Type="http://schemas.openxmlformats.org/officeDocument/2006/relationships/footer" Target="footer1.xml"/><Relationship Id="rId39" Type="http://schemas.openxmlformats.org/officeDocument/2006/relationships/hyperlink" Target="http://www.comlaw.gov.au/Series/C2004A04858" TargetMode="External"/><Relationship Id="rId265" Type="http://schemas.openxmlformats.org/officeDocument/2006/relationships/hyperlink" Target="http://www.legislation.act.gov.au/a/2011-47" TargetMode="External"/><Relationship Id="rId286" Type="http://schemas.openxmlformats.org/officeDocument/2006/relationships/hyperlink" Target="http://www.legislation.act.gov.au/a/2011-47" TargetMode="External"/><Relationship Id="rId50" Type="http://schemas.openxmlformats.org/officeDocument/2006/relationships/hyperlink" Target="http://www.comlaw.gov.au/Series/C2004A04858" TargetMode="External"/><Relationship Id="rId104" Type="http://schemas.openxmlformats.org/officeDocument/2006/relationships/hyperlink" Target="http://www.comlaw.gov.au/Series/C2004A04858" TargetMode="External"/><Relationship Id="rId125" Type="http://schemas.openxmlformats.org/officeDocument/2006/relationships/hyperlink" Target="http://www.comlaw.gov.au/Series/C2004A04858" TargetMode="External"/><Relationship Id="rId146" Type="http://schemas.openxmlformats.org/officeDocument/2006/relationships/hyperlink" Target="http://www.comlaw.gov.au/Series/C2004A04858" TargetMode="External"/><Relationship Id="rId167" Type="http://schemas.openxmlformats.org/officeDocument/2006/relationships/hyperlink" Target="http://www.legislation.nsw.gov.au/maintop/view/inforce/act+25+1995+cd+0+N" TargetMode="External"/><Relationship Id="rId188" Type="http://schemas.openxmlformats.org/officeDocument/2006/relationships/hyperlink" Target="http://www.legislation.act.gov.au/a/2006-25" TargetMode="External"/><Relationship Id="rId311" Type="http://schemas.openxmlformats.org/officeDocument/2006/relationships/hyperlink" Target="http://www.legislation.act.gov.au/a/2016-42/default.asp" TargetMode="External"/><Relationship Id="rId332" Type="http://schemas.openxmlformats.org/officeDocument/2006/relationships/theme" Target="theme/theme1.xml"/><Relationship Id="rId71" Type="http://schemas.openxmlformats.org/officeDocument/2006/relationships/hyperlink" Target="http://www.comlaw.gov.au/Series/C2004A04858" TargetMode="External"/><Relationship Id="rId92" Type="http://schemas.openxmlformats.org/officeDocument/2006/relationships/hyperlink" Target="http://www.comlaw.gov.au/Series/C2004A04858" TargetMode="External"/><Relationship Id="rId213" Type="http://schemas.openxmlformats.org/officeDocument/2006/relationships/hyperlink" Target="http://www.legislation.nsw.gov.au/maintop/view/inforce/act+25+1995+cd+0+N" TargetMode="External"/><Relationship Id="rId234" Type="http://schemas.openxmlformats.org/officeDocument/2006/relationships/hyperlink" Target="http://www.legislation.act.gov.au/cn/2012-4/default.asp" TargetMode="External"/><Relationship Id="rId2" Type="http://schemas.openxmlformats.org/officeDocument/2006/relationships/styles" Target="styles.xml"/><Relationship Id="rId29" Type="http://schemas.openxmlformats.org/officeDocument/2006/relationships/hyperlink" Target="http://www.comlaw.gov.au/Series/C2004A04858" TargetMode="External"/><Relationship Id="rId255" Type="http://schemas.openxmlformats.org/officeDocument/2006/relationships/hyperlink" Target="http://www.legislation.act.gov.au/a/2013-39" TargetMode="External"/><Relationship Id="rId276" Type="http://schemas.openxmlformats.org/officeDocument/2006/relationships/hyperlink" Target="http://www.legislation.act.gov.au/a/2011-47" TargetMode="External"/><Relationship Id="rId297" Type="http://schemas.openxmlformats.org/officeDocument/2006/relationships/hyperlink" Target="http://www.legislation.act.gov.au/a/2011-48" TargetMode="External"/><Relationship Id="rId40" Type="http://schemas.openxmlformats.org/officeDocument/2006/relationships/hyperlink" Target="http://www.comlaw.gov.au/Series/C2004A04858" TargetMode="External"/><Relationship Id="rId115" Type="http://schemas.openxmlformats.org/officeDocument/2006/relationships/hyperlink" Target="http://www.comlaw.gov.au/Series/C2004A04858" TargetMode="External"/><Relationship Id="rId136" Type="http://schemas.openxmlformats.org/officeDocument/2006/relationships/hyperlink" Target="http://www.comlaw.gov.au/Series/C2004A04858" TargetMode="External"/><Relationship Id="rId157" Type="http://schemas.openxmlformats.org/officeDocument/2006/relationships/hyperlink" Target="http://www.legislation.act.gov.au/a/2001-14" TargetMode="External"/><Relationship Id="rId178" Type="http://schemas.openxmlformats.org/officeDocument/2006/relationships/header" Target="header12.xml"/><Relationship Id="rId301" Type="http://schemas.openxmlformats.org/officeDocument/2006/relationships/hyperlink" Target="http://www.legislation.act.gov.au/a/2013-39" TargetMode="External"/><Relationship Id="rId322" Type="http://schemas.openxmlformats.org/officeDocument/2006/relationships/footer" Target="footer23.xml"/><Relationship Id="rId61" Type="http://schemas.openxmlformats.org/officeDocument/2006/relationships/hyperlink" Target="http://www.comlaw.gov.au/Series/C2004A04858" TargetMode="External"/><Relationship Id="rId82" Type="http://schemas.openxmlformats.org/officeDocument/2006/relationships/header" Target="header9.xml"/><Relationship Id="rId199" Type="http://schemas.openxmlformats.org/officeDocument/2006/relationships/hyperlink" Target="http://www.comlaw.gov.au/Series/C2004A04858" TargetMode="External"/><Relationship Id="rId203" Type="http://schemas.openxmlformats.org/officeDocument/2006/relationships/hyperlink" Target="http://www.legislation.act.gov.au/a/2001-10" TargetMode="External"/><Relationship Id="rId19" Type="http://schemas.openxmlformats.org/officeDocument/2006/relationships/footer" Target="footer2.xml"/><Relationship Id="rId224" Type="http://schemas.openxmlformats.org/officeDocument/2006/relationships/footer" Target="footer18.xml"/><Relationship Id="rId245" Type="http://schemas.openxmlformats.org/officeDocument/2006/relationships/hyperlink" Target="http://www.legislation.act.gov.au/a/2017-10/default.asp" TargetMode="External"/><Relationship Id="rId266" Type="http://schemas.openxmlformats.org/officeDocument/2006/relationships/hyperlink" Target="http://www.legislation.act.gov.au/a/2011-47" TargetMode="External"/><Relationship Id="rId287" Type="http://schemas.openxmlformats.org/officeDocument/2006/relationships/hyperlink" Target="http://www.legislation.act.gov.au/a/2011-47" TargetMode="External"/><Relationship Id="rId30" Type="http://schemas.openxmlformats.org/officeDocument/2006/relationships/hyperlink" Target="http://www.legislation.act.gov.au/a/2001-14" TargetMode="External"/><Relationship Id="rId105" Type="http://schemas.openxmlformats.org/officeDocument/2006/relationships/hyperlink" Target="http://www.comlaw.gov.au/Series/C2004A04858" TargetMode="External"/><Relationship Id="rId126" Type="http://schemas.openxmlformats.org/officeDocument/2006/relationships/hyperlink" Target="http://www.comlaw.gov.au/Series/C2004A04858" TargetMode="External"/><Relationship Id="rId147" Type="http://schemas.openxmlformats.org/officeDocument/2006/relationships/hyperlink" Target="http://www.comlaw.gov.au/Series/C2004A04858" TargetMode="External"/><Relationship Id="rId168" Type="http://schemas.openxmlformats.org/officeDocument/2006/relationships/hyperlink" Target="http://www.comlaw.gov.au/Series/C2004A04858" TargetMode="External"/><Relationship Id="rId312" Type="http://schemas.openxmlformats.org/officeDocument/2006/relationships/hyperlink" Target="http://www.legislation.act.gov.au/a/2017-10/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206</Pages>
  <Words>43425</Words>
  <Characters>211740</Characters>
  <Application>Microsoft Office Word</Application>
  <DocSecurity>0</DocSecurity>
  <Lines>5279</Lines>
  <Paragraphs>2759</Paragraphs>
  <ScaleCrop>false</ScaleCrop>
  <HeadingPairs>
    <vt:vector size="2" baseType="variant">
      <vt:variant>
        <vt:lpstr>Title</vt:lpstr>
      </vt:variant>
      <vt:variant>
        <vt:i4>1</vt:i4>
      </vt:variant>
    </vt:vector>
  </HeadingPairs>
  <TitlesOfParts>
    <vt:vector size="1" baseType="lpstr">
      <vt:lpstr>Evidence Act 2011</vt:lpstr>
    </vt:vector>
  </TitlesOfParts>
  <Manager>Section</Manager>
  <Company>Section</Company>
  <LinksUpToDate>false</LinksUpToDate>
  <CharactersWithSpaces>254221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2011</dc:title>
  <dc:creator>ACT PCO</dc:creator>
  <cp:keywords>R09</cp:keywords>
  <dc:description/>
  <cp:lastModifiedBy>PCODCS</cp:lastModifiedBy>
  <cp:revision>4</cp:revision>
  <cp:lastPrinted>2019-06-17T06:55:00Z</cp:lastPrinted>
  <dcterms:created xsi:type="dcterms:W3CDTF">2020-03-05T04:17:00Z</dcterms:created>
  <dcterms:modified xsi:type="dcterms:W3CDTF">2020-03-05T04:17:00Z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-08/03/20</vt:lpwstr>
  </property>
  <property fmtid="{D5CDD505-2E9C-101B-9397-08002B2CF9AE}" pid="5" name="RepubDt">
    <vt:lpwstr>21/06/19</vt:lpwstr>
  </property>
  <property fmtid="{D5CDD505-2E9C-101B-9397-08002B2CF9AE}" pid="6" name="StartDt">
    <vt:lpwstr>21/06/19</vt:lpwstr>
  </property>
  <property fmtid="{D5CDD505-2E9C-101B-9397-08002B2CF9AE}" pid="7" name="DMSID">
    <vt:lpwstr>1057251</vt:lpwstr>
  </property>
  <property fmtid="{D5CDD505-2E9C-101B-9397-08002B2CF9AE}" pid="8" name="JMSREQUIREDCHECKIN">
    <vt:lpwstr/>
  </property>
  <property fmtid="{D5CDD505-2E9C-101B-9397-08002B2CF9AE}" pid="9" name="CHECKEDOUTFROMJMS">
    <vt:lpwstr/>
  </property>
</Properties>
</file>