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9751E" w14:textId="77777777" w:rsidR="00E9799D" w:rsidRDefault="00E9799D" w:rsidP="00666D05">
      <w:pPr>
        <w:spacing w:before="480"/>
        <w:jc w:val="center"/>
      </w:pPr>
      <w:bookmarkStart w:id="0" w:name="_GoBack"/>
      <w:bookmarkEnd w:id="0"/>
      <w:r>
        <w:rPr>
          <w:noProof/>
          <w:lang w:eastAsia="en-AU"/>
        </w:rPr>
        <w:drawing>
          <wp:inline distT="0" distB="0" distL="0" distR="0" wp14:anchorId="78CE4A24" wp14:editId="1CFF457C">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38ECFFF" w14:textId="77777777" w:rsidR="00E9799D" w:rsidRDefault="00E9799D">
      <w:pPr>
        <w:jc w:val="center"/>
        <w:rPr>
          <w:rFonts w:ascii="Arial" w:hAnsi="Arial"/>
        </w:rPr>
      </w:pPr>
      <w:r>
        <w:rPr>
          <w:rFonts w:ascii="Arial" w:hAnsi="Arial"/>
        </w:rPr>
        <w:t>Australian Capital Territory</w:t>
      </w:r>
    </w:p>
    <w:p w14:paraId="1DBF812E" w14:textId="30B73575" w:rsidR="00276764" w:rsidRPr="00F66CFF" w:rsidRDefault="004C1D6F">
      <w:pPr>
        <w:pStyle w:val="Billname1"/>
      </w:pPr>
      <w:fldSimple w:instr=" REF Citation \*charformat  \* MERGEFORMAT ">
        <w:r w:rsidR="008F08EB">
          <w:t>Long Service Leave (Portable Schemes) Amendment Act 2019</w:t>
        </w:r>
      </w:fldSimple>
    </w:p>
    <w:p w14:paraId="56CB9016" w14:textId="057B0F34" w:rsidR="00276764" w:rsidRPr="00F66CFF" w:rsidRDefault="004C1D6F">
      <w:pPr>
        <w:pStyle w:val="ActNo"/>
      </w:pPr>
      <w:fldSimple w:instr=" DOCPROPERTY &quot;Category&quot;  \* MERGEFORMAT ">
        <w:r w:rsidR="008F08EB">
          <w:t>A2019-44</w:t>
        </w:r>
      </w:fldSimple>
    </w:p>
    <w:p w14:paraId="5A6375AE" w14:textId="77777777" w:rsidR="00276764" w:rsidRPr="00F66CFF" w:rsidRDefault="00276764" w:rsidP="00F66CFF">
      <w:pPr>
        <w:pStyle w:val="Placeholder"/>
        <w:suppressLineNumbers/>
      </w:pPr>
      <w:r w:rsidRPr="00F66CFF">
        <w:rPr>
          <w:rStyle w:val="charContents"/>
          <w:sz w:val="16"/>
        </w:rPr>
        <w:t xml:space="preserve">  </w:t>
      </w:r>
      <w:r w:rsidRPr="00F66CFF">
        <w:rPr>
          <w:rStyle w:val="charPage"/>
        </w:rPr>
        <w:t xml:space="preserve">  </w:t>
      </w:r>
    </w:p>
    <w:p w14:paraId="34A67E4F" w14:textId="77777777" w:rsidR="00276764" w:rsidRPr="00F66CFF" w:rsidRDefault="00276764">
      <w:pPr>
        <w:pStyle w:val="N-TOCheading"/>
      </w:pPr>
      <w:r w:rsidRPr="00F66CFF">
        <w:rPr>
          <w:rStyle w:val="charContents"/>
        </w:rPr>
        <w:t>Contents</w:t>
      </w:r>
    </w:p>
    <w:p w14:paraId="72487E54" w14:textId="77777777" w:rsidR="00276764" w:rsidRPr="00F66CFF" w:rsidRDefault="00276764">
      <w:pPr>
        <w:pStyle w:val="N-9pt"/>
      </w:pPr>
      <w:r w:rsidRPr="00F66CFF">
        <w:tab/>
      </w:r>
      <w:r w:rsidRPr="00F66CFF">
        <w:rPr>
          <w:rStyle w:val="charPage"/>
        </w:rPr>
        <w:t>Page</w:t>
      </w:r>
    </w:p>
    <w:p w14:paraId="6223505A" w14:textId="315FE55F" w:rsidR="001E6C18" w:rsidRDefault="001E6C18">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552808" w:history="1">
        <w:r w:rsidRPr="00D44E36">
          <w:t>1</w:t>
        </w:r>
        <w:r>
          <w:rPr>
            <w:rFonts w:asciiTheme="minorHAnsi" w:eastAsiaTheme="minorEastAsia" w:hAnsiTheme="minorHAnsi" w:cstheme="minorBidi"/>
            <w:sz w:val="22"/>
            <w:szCs w:val="22"/>
            <w:lang w:eastAsia="en-AU"/>
          </w:rPr>
          <w:tab/>
        </w:r>
        <w:r w:rsidRPr="00D44E36">
          <w:t>Name of Act</w:t>
        </w:r>
        <w:r>
          <w:tab/>
        </w:r>
        <w:r>
          <w:fldChar w:fldCharType="begin"/>
        </w:r>
        <w:r>
          <w:instrText xml:space="preserve"> PAGEREF _Toc22552808 \h </w:instrText>
        </w:r>
        <w:r>
          <w:fldChar w:fldCharType="separate"/>
        </w:r>
        <w:r w:rsidR="008F08EB">
          <w:t>2</w:t>
        </w:r>
        <w:r>
          <w:fldChar w:fldCharType="end"/>
        </w:r>
      </w:hyperlink>
    </w:p>
    <w:p w14:paraId="7FCE8600" w14:textId="0C964DEC" w:rsidR="001E6C18" w:rsidRDefault="001E6C18">
      <w:pPr>
        <w:pStyle w:val="TOC5"/>
        <w:rPr>
          <w:rFonts w:asciiTheme="minorHAnsi" w:eastAsiaTheme="minorEastAsia" w:hAnsiTheme="minorHAnsi" w:cstheme="minorBidi"/>
          <w:sz w:val="22"/>
          <w:szCs w:val="22"/>
          <w:lang w:eastAsia="en-AU"/>
        </w:rPr>
      </w:pPr>
      <w:r>
        <w:tab/>
      </w:r>
      <w:hyperlink w:anchor="_Toc22552809" w:history="1">
        <w:r w:rsidRPr="00D44E36">
          <w:t>2</w:t>
        </w:r>
        <w:r>
          <w:rPr>
            <w:rFonts w:asciiTheme="minorHAnsi" w:eastAsiaTheme="minorEastAsia" w:hAnsiTheme="minorHAnsi" w:cstheme="minorBidi"/>
            <w:sz w:val="22"/>
            <w:szCs w:val="22"/>
            <w:lang w:eastAsia="en-AU"/>
          </w:rPr>
          <w:tab/>
        </w:r>
        <w:r w:rsidRPr="00D44E36">
          <w:t>Commencement</w:t>
        </w:r>
        <w:r>
          <w:tab/>
        </w:r>
        <w:r>
          <w:fldChar w:fldCharType="begin"/>
        </w:r>
        <w:r>
          <w:instrText xml:space="preserve"> PAGEREF _Toc22552809 \h </w:instrText>
        </w:r>
        <w:r>
          <w:fldChar w:fldCharType="separate"/>
        </w:r>
        <w:r w:rsidR="008F08EB">
          <w:t>2</w:t>
        </w:r>
        <w:r>
          <w:fldChar w:fldCharType="end"/>
        </w:r>
      </w:hyperlink>
    </w:p>
    <w:p w14:paraId="30F7B120" w14:textId="6FCE192D" w:rsidR="001E6C18" w:rsidRDefault="001E6C18">
      <w:pPr>
        <w:pStyle w:val="TOC5"/>
        <w:rPr>
          <w:rFonts w:asciiTheme="minorHAnsi" w:eastAsiaTheme="minorEastAsia" w:hAnsiTheme="minorHAnsi" w:cstheme="minorBidi"/>
          <w:sz w:val="22"/>
          <w:szCs w:val="22"/>
          <w:lang w:eastAsia="en-AU"/>
        </w:rPr>
      </w:pPr>
      <w:r>
        <w:tab/>
      </w:r>
      <w:hyperlink w:anchor="_Toc22552810" w:history="1">
        <w:r w:rsidRPr="00D44E36">
          <w:t>3</w:t>
        </w:r>
        <w:r>
          <w:rPr>
            <w:rFonts w:asciiTheme="minorHAnsi" w:eastAsiaTheme="minorEastAsia" w:hAnsiTheme="minorHAnsi" w:cstheme="minorBidi"/>
            <w:sz w:val="22"/>
            <w:szCs w:val="22"/>
            <w:lang w:eastAsia="en-AU"/>
          </w:rPr>
          <w:tab/>
        </w:r>
        <w:r w:rsidRPr="00D44E36">
          <w:t>Legislation amended</w:t>
        </w:r>
        <w:r>
          <w:tab/>
        </w:r>
        <w:r>
          <w:fldChar w:fldCharType="begin"/>
        </w:r>
        <w:r>
          <w:instrText xml:space="preserve"> PAGEREF _Toc22552810 \h </w:instrText>
        </w:r>
        <w:r>
          <w:fldChar w:fldCharType="separate"/>
        </w:r>
        <w:r w:rsidR="008F08EB">
          <w:t>2</w:t>
        </w:r>
        <w:r>
          <w:fldChar w:fldCharType="end"/>
        </w:r>
      </w:hyperlink>
    </w:p>
    <w:p w14:paraId="2952EDAC" w14:textId="52E4B3CA" w:rsidR="001E6C18" w:rsidRDefault="001E6C18">
      <w:pPr>
        <w:pStyle w:val="TOC5"/>
        <w:rPr>
          <w:rFonts w:asciiTheme="minorHAnsi" w:eastAsiaTheme="minorEastAsia" w:hAnsiTheme="minorHAnsi" w:cstheme="minorBidi"/>
          <w:sz w:val="22"/>
          <w:szCs w:val="22"/>
          <w:lang w:eastAsia="en-AU"/>
        </w:rPr>
      </w:pPr>
      <w:r>
        <w:tab/>
      </w:r>
      <w:hyperlink w:anchor="_Toc22552811" w:history="1">
        <w:r w:rsidRPr="00D44E36">
          <w:t>4</w:t>
        </w:r>
        <w:r>
          <w:rPr>
            <w:rFonts w:asciiTheme="minorHAnsi" w:eastAsiaTheme="minorEastAsia" w:hAnsiTheme="minorHAnsi" w:cstheme="minorBidi"/>
            <w:sz w:val="22"/>
            <w:szCs w:val="22"/>
            <w:lang w:eastAsia="en-AU"/>
          </w:rPr>
          <w:tab/>
        </w:r>
        <w:r w:rsidRPr="00D44E36">
          <w:t>Section 10</w:t>
        </w:r>
        <w:r>
          <w:tab/>
        </w:r>
        <w:r>
          <w:fldChar w:fldCharType="begin"/>
        </w:r>
        <w:r>
          <w:instrText xml:space="preserve"> PAGEREF _Toc22552811 \h </w:instrText>
        </w:r>
        <w:r>
          <w:fldChar w:fldCharType="separate"/>
        </w:r>
        <w:r w:rsidR="008F08EB">
          <w:t>2</w:t>
        </w:r>
        <w:r>
          <w:fldChar w:fldCharType="end"/>
        </w:r>
      </w:hyperlink>
    </w:p>
    <w:p w14:paraId="6D74992D" w14:textId="53E2C9D2" w:rsidR="001E6C18" w:rsidRDefault="001E6C18">
      <w:pPr>
        <w:pStyle w:val="TOC5"/>
        <w:rPr>
          <w:rFonts w:asciiTheme="minorHAnsi" w:eastAsiaTheme="minorEastAsia" w:hAnsiTheme="minorHAnsi" w:cstheme="minorBidi"/>
          <w:sz w:val="22"/>
          <w:szCs w:val="22"/>
          <w:lang w:eastAsia="en-AU"/>
        </w:rPr>
      </w:pPr>
      <w:r>
        <w:tab/>
      </w:r>
      <w:hyperlink w:anchor="_Toc22552812" w:history="1">
        <w:r w:rsidRPr="00F66CFF">
          <w:rPr>
            <w:rStyle w:val="CharSectNo"/>
          </w:rPr>
          <w:t>5</w:t>
        </w:r>
        <w:r w:rsidRPr="00F66CFF">
          <w:tab/>
          <w:t>Service credit—employee’s prior service</w:t>
        </w:r>
        <w:r>
          <w:br/>
        </w:r>
        <w:r w:rsidRPr="00F66CFF">
          <w:t>Section 47 (1)</w:t>
        </w:r>
        <w:r>
          <w:tab/>
        </w:r>
        <w:r>
          <w:fldChar w:fldCharType="begin"/>
        </w:r>
        <w:r>
          <w:instrText xml:space="preserve"> PAGEREF _Toc22552812 \h </w:instrText>
        </w:r>
        <w:r>
          <w:fldChar w:fldCharType="separate"/>
        </w:r>
        <w:r w:rsidR="008F08EB">
          <w:t>3</w:t>
        </w:r>
        <w:r>
          <w:fldChar w:fldCharType="end"/>
        </w:r>
      </w:hyperlink>
    </w:p>
    <w:p w14:paraId="2D254E4E" w14:textId="6E6E27AE" w:rsidR="001E6C18" w:rsidRDefault="001E6C18">
      <w:pPr>
        <w:pStyle w:val="TOC5"/>
        <w:rPr>
          <w:rFonts w:asciiTheme="minorHAnsi" w:eastAsiaTheme="minorEastAsia" w:hAnsiTheme="minorHAnsi" w:cstheme="minorBidi"/>
          <w:sz w:val="22"/>
          <w:szCs w:val="22"/>
          <w:lang w:eastAsia="en-AU"/>
        </w:rPr>
      </w:pPr>
      <w:r>
        <w:tab/>
      </w:r>
      <w:hyperlink w:anchor="_Toc22552813" w:history="1">
        <w:r w:rsidRPr="00D44E36">
          <w:t>6</w:t>
        </w:r>
        <w:r>
          <w:rPr>
            <w:rFonts w:asciiTheme="minorHAnsi" w:eastAsiaTheme="minorEastAsia" w:hAnsiTheme="minorHAnsi" w:cstheme="minorBidi"/>
            <w:sz w:val="22"/>
            <w:szCs w:val="22"/>
            <w:lang w:eastAsia="en-AU"/>
          </w:rPr>
          <w:tab/>
        </w:r>
        <w:r w:rsidRPr="00D44E36">
          <w:t>Section 47 (3) and example and note</w:t>
        </w:r>
        <w:r>
          <w:tab/>
        </w:r>
        <w:r>
          <w:fldChar w:fldCharType="begin"/>
        </w:r>
        <w:r>
          <w:instrText xml:space="preserve"> PAGEREF _Toc22552813 \h </w:instrText>
        </w:r>
        <w:r>
          <w:fldChar w:fldCharType="separate"/>
        </w:r>
        <w:r w:rsidR="008F08EB">
          <w:t>3</w:t>
        </w:r>
        <w:r>
          <w:fldChar w:fldCharType="end"/>
        </w:r>
      </w:hyperlink>
    </w:p>
    <w:p w14:paraId="0B39E307" w14:textId="3BB32B5F" w:rsidR="001E6C18" w:rsidRDefault="001E6C18">
      <w:pPr>
        <w:pStyle w:val="TOC5"/>
        <w:rPr>
          <w:rFonts w:asciiTheme="minorHAnsi" w:eastAsiaTheme="minorEastAsia" w:hAnsiTheme="minorHAnsi" w:cstheme="minorBidi"/>
          <w:sz w:val="22"/>
          <w:szCs w:val="22"/>
          <w:lang w:eastAsia="en-AU"/>
        </w:rPr>
      </w:pPr>
      <w:r>
        <w:tab/>
      </w:r>
      <w:hyperlink w:anchor="_Toc22552814" w:history="1">
        <w:r w:rsidRPr="00D44E36">
          <w:t>7</w:t>
        </w:r>
        <w:r>
          <w:rPr>
            <w:rFonts w:asciiTheme="minorHAnsi" w:eastAsiaTheme="minorEastAsia" w:hAnsiTheme="minorHAnsi" w:cstheme="minorBidi"/>
            <w:sz w:val="22"/>
            <w:szCs w:val="22"/>
            <w:lang w:eastAsia="en-AU"/>
          </w:rPr>
          <w:tab/>
        </w:r>
        <w:r w:rsidRPr="00D44E36">
          <w:t>New section 47A</w:t>
        </w:r>
        <w:r>
          <w:tab/>
        </w:r>
        <w:r>
          <w:fldChar w:fldCharType="begin"/>
        </w:r>
        <w:r>
          <w:instrText xml:space="preserve"> PAGEREF _Toc22552814 \h </w:instrText>
        </w:r>
        <w:r>
          <w:fldChar w:fldCharType="separate"/>
        </w:r>
        <w:r w:rsidR="008F08EB">
          <w:t>3</w:t>
        </w:r>
        <w:r>
          <w:fldChar w:fldCharType="end"/>
        </w:r>
      </w:hyperlink>
    </w:p>
    <w:p w14:paraId="46C72B1B" w14:textId="5B6D7E87" w:rsidR="001E6C18" w:rsidRDefault="001E6C18">
      <w:pPr>
        <w:pStyle w:val="TOC5"/>
        <w:rPr>
          <w:rFonts w:asciiTheme="minorHAnsi" w:eastAsiaTheme="minorEastAsia" w:hAnsiTheme="minorHAnsi" w:cstheme="minorBidi"/>
          <w:sz w:val="22"/>
          <w:szCs w:val="22"/>
          <w:lang w:eastAsia="en-AU"/>
        </w:rPr>
      </w:pPr>
      <w:r>
        <w:tab/>
      </w:r>
      <w:hyperlink w:anchor="_Toc22552815" w:history="1">
        <w:r w:rsidRPr="00D44E36">
          <w:t>8</w:t>
        </w:r>
        <w:r>
          <w:rPr>
            <w:rFonts w:asciiTheme="minorHAnsi" w:eastAsiaTheme="minorEastAsia" w:hAnsiTheme="minorHAnsi" w:cstheme="minorBidi"/>
            <w:sz w:val="22"/>
            <w:szCs w:val="22"/>
            <w:lang w:eastAsia="en-AU"/>
          </w:rPr>
          <w:tab/>
        </w:r>
        <w:r w:rsidRPr="00D44E36">
          <w:t>Section 49</w:t>
        </w:r>
        <w:r>
          <w:tab/>
        </w:r>
        <w:r>
          <w:fldChar w:fldCharType="begin"/>
        </w:r>
        <w:r>
          <w:instrText xml:space="preserve"> PAGEREF _Toc22552815 \h </w:instrText>
        </w:r>
        <w:r>
          <w:fldChar w:fldCharType="separate"/>
        </w:r>
        <w:r w:rsidR="008F08EB">
          <w:t>4</w:t>
        </w:r>
        <w:r>
          <w:fldChar w:fldCharType="end"/>
        </w:r>
      </w:hyperlink>
    </w:p>
    <w:p w14:paraId="61CD810D" w14:textId="3D320947" w:rsidR="001E6C18" w:rsidRDefault="001E6C18">
      <w:pPr>
        <w:pStyle w:val="TOC5"/>
        <w:rPr>
          <w:rFonts w:asciiTheme="minorHAnsi" w:eastAsiaTheme="minorEastAsia" w:hAnsiTheme="minorHAnsi" w:cstheme="minorBidi"/>
          <w:sz w:val="22"/>
          <w:szCs w:val="22"/>
          <w:lang w:eastAsia="en-AU"/>
        </w:rPr>
      </w:pPr>
      <w:r>
        <w:tab/>
      </w:r>
      <w:hyperlink w:anchor="_Toc22552816" w:history="1">
        <w:r w:rsidRPr="00D44E36">
          <w:t>9</w:t>
        </w:r>
        <w:r>
          <w:rPr>
            <w:rFonts w:asciiTheme="minorHAnsi" w:eastAsiaTheme="minorEastAsia" w:hAnsiTheme="minorHAnsi" w:cstheme="minorBidi"/>
            <w:sz w:val="22"/>
            <w:szCs w:val="22"/>
            <w:lang w:eastAsia="en-AU"/>
          </w:rPr>
          <w:tab/>
        </w:r>
        <w:r w:rsidRPr="00D44E36">
          <w:t>Section 52</w:t>
        </w:r>
        <w:r>
          <w:tab/>
        </w:r>
        <w:r>
          <w:fldChar w:fldCharType="begin"/>
        </w:r>
        <w:r>
          <w:instrText xml:space="preserve"> PAGEREF _Toc22552816 \h </w:instrText>
        </w:r>
        <w:r>
          <w:fldChar w:fldCharType="separate"/>
        </w:r>
        <w:r w:rsidR="008F08EB">
          <w:t>6</w:t>
        </w:r>
        <w:r>
          <w:fldChar w:fldCharType="end"/>
        </w:r>
      </w:hyperlink>
    </w:p>
    <w:p w14:paraId="23DCAC30" w14:textId="460FC1FF" w:rsidR="001E6C18" w:rsidRDefault="001E6C18">
      <w:pPr>
        <w:pStyle w:val="TOC5"/>
        <w:rPr>
          <w:rFonts w:asciiTheme="minorHAnsi" w:eastAsiaTheme="minorEastAsia" w:hAnsiTheme="minorHAnsi" w:cstheme="minorBidi"/>
          <w:sz w:val="22"/>
          <w:szCs w:val="22"/>
          <w:lang w:eastAsia="en-AU"/>
        </w:rPr>
      </w:pPr>
      <w:r>
        <w:lastRenderedPageBreak/>
        <w:tab/>
      </w:r>
      <w:hyperlink w:anchor="_Toc22552817" w:history="1">
        <w:r w:rsidRPr="00F66CFF">
          <w:rPr>
            <w:rStyle w:val="CharSectNo"/>
          </w:rPr>
          <w:t>10</w:t>
        </w:r>
        <w:r w:rsidRPr="00F66CFF">
          <w:tab/>
          <w:t>Quarterly returns by contractors</w:t>
        </w:r>
        <w:r>
          <w:br/>
        </w:r>
        <w:r w:rsidRPr="00F66CFF">
          <w:t xml:space="preserve">Section 54 (4), definition of </w:t>
        </w:r>
        <w:r w:rsidRPr="00F66CFF">
          <w:rPr>
            <w:rStyle w:val="charItals"/>
          </w:rPr>
          <w:t>required information</w:t>
        </w:r>
        <w:r w:rsidRPr="00F66CFF">
          <w:t>, paragraph (a)</w:t>
        </w:r>
        <w:r>
          <w:tab/>
        </w:r>
        <w:r>
          <w:fldChar w:fldCharType="begin"/>
        </w:r>
        <w:r>
          <w:instrText xml:space="preserve"> PAGEREF _Toc22552817 \h </w:instrText>
        </w:r>
        <w:r>
          <w:fldChar w:fldCharType="separate"/>
        </w:r>
        <w:r w:rsidR="008F08EB">
          <w:t>8</w:t>
        </w:r>
        <w:r>
          <w:fldChar w:fldCharType="end"/>
        </w:r>
      </w:hyperlink>
    </w:p>
    <w:p w14:paraId="63C66675" w14:textId="2C177D98" w:rsidR="001E6C18" w:rsidRDefault="001E6C18">
      <w:pPr>
        <w:pStyle w:val="TOC5"/>
        <w:rPr>
          <w:rFonts w:asciiTheme="minorHAnsi" w:eastAsiaTheme="minorEastAsia" w:hAnsiTheme="minorHAnsi" w:cstheme="minorBidi"/>
          <w:sz w:val="22"/>
          <w:szCs w:val="22"/>
          <w:lang w:eastAsia="en-AU"/>
        </w:rPr>
      </w:pPr>
      <w:r>
        <w:tab/>
      </w:r>
      <w:hyperlink w:anchor="_Toc22552818" w:history="1">
        <w:r w:rsidRPr="00F66CFF">
          <w:rPr>
            <w:rStyle w:val="CharSectNo"/>
          </w:rPr>
          <w:t>11</w:t>
        </w:r>
        <w:r w:rsidRPr="00F66CFF">
          <w:tab/>
          <w:t>Minor changes to levy—employers and contractors</w:t>
        </w:r>
        <w:r>
          <w:br/>
        </w:r>
        <w:r w:rsidRPr="00F66CFF">
          <w:t>Section 56A (2) and (3) and note</w:t>
        </w:r>
        <w:r>
          <w:tab/>
        </w:r>
        <w:r>
          <w:fldChar w:fldCharType="begin"/>
        </w:r>
        <w:r>
          <w:instrText xml:space="preserve"> PAGEREF _Toc22552818 \h </w:instrText>
        </w:r>
        <w:r>
          <w:fldChar w:fldCharType="separate"/>
        </w:r>
        <w:r w:rsidR="008F08EB">
          <w:t>8</w:t>
        </w:r>
        <w:r>
          <w:fldChar w:fldCharType="end"/>
        </w:r>
      </w:hyperlink>
    </w:p>
    <w:p w14:paraId="4D55791C" w14:textId="407ECA4B" w:rsidR="001E6C18" w:rsidRDefault="001E6C18">
      <w:pPr>
        <w:pStyle w:val="TOC5"/>
        <w:rPr>
          <w:rFonts w:asciiTheme="minorHAnsi" w:eastAsiaTheme="minorEastAsia" w:hAnsiTheme="minorHAnsi" w:cstheme="minorBidi"/>
          <w:sz w:val="22"/>
          <w:szCs w:val="22"/>
          <w:lang w:eastAsia="en-AU"/>
        </w:rPr>
      </w:pPr>
      <w:r>
        <w:tab/>
      </w:r>
      <w:hyperlink w:anchor="_Toc22552819" w:history="1">
        <w:r w:rsidRPr="00F66CFF">
          <w:rPr>
            <w:rStyle w:val="CharSectNo"/>
          </w:rPr>
          <w:t>12</w:t>
        </w:r>
        <w:r w:rsidRPr="00F66CFF">
          <w:tab/>
          <w:t>Employers to keep records</w:t>
        </w:r>
        <w:r>
          <w:br/>
        </w:r>
        <w:r w:rsidRPr="00F66CFF">
          <w:t>Section 57 (2)</w:t>
        </w:r>
        <w:r>
          <w:tab/>
        </w:r>
        <w:r>
          <w:fldChar w:fldCharType="begin"/>
        </w:r>
        <w:r>
          <w:instrText xml:space="preserve"> PAGEREF _Toc22552819 \h </w:instrText>
        </w:r>
        <w:r>
          <w:fldChar w:fldCharType="separate"/>
        </w:r>
        <w:r w:rsidR="008F08EB">
          <w:t>9</w:t>
        </w:r>
        <w:r>
          <w:fldChar w:fldCharType="end"/>
        </w:r>
      </w:hyperlink>
    </w:p>
    <w:p w14:paraId="63140282" w14:textId="7BCBEB16" w:rsidR="001E6C18" w:rsidRDefault="001E6C18">
      <w:pPr>
        <w:pStyle w:val="TOC5"/>
        <w:rPr>
          <w:rFonts w:asciiTheme="minorHAnsi" w:eastAsiaTheme="minorEastAsia" w:hAnsiTheme="minorHAnsi" w:cstheme="minorBidi"/>
          <w:sz w:val="22"/>
          <w:szCs w:val="22"/>
          <w:lang w:eastAsia="en-AU"/>
        </w:rPr>
      </w:pPr>
      <w:r>
        <w:tab/>
      </w:r>
      <w:hyperlink w:anchor="_Toc22552820" w:history="1">
        <w:r w:rsidRPr="00D44E36">
          <w:t>13</w:t>
        </w:r>
        <w:r>
          <w:rPr>
            <w:rFonts w:asciiTheme="minorHAnsi" w:eastAsiaTheme="minorEastAsia" w:hAnsiTheme="minorHAnsi" w:cstheme="minorBidi"/>
            <w:sz w:val="22"/>
            <w:szCs w:val="22"/>
            <w:lang w:eastAsia="en-AU"/>
          </w:rPr>
          <w:tab/>
        </w:r>
        <w:r w:rsidRPr="00D44E36">
          <w:t>New part 5A</w:t>
        </w:r>
        <w:r>
          <w:tab/>
        </w:r>
        <w:r>
          <w:fldChar w:fldCharType="begin"/>
        </w:r>
        <w:r>
          <w:instrText xml:space="preserve"> PAGEREF _Toc22552820 \h </w:instrText>
        </w:r>
        <w:r>
          <w:fldChar w:fldCharType="separate"/>
        </w:r>
        <w:r w:rsidR="008F08EB">
          <w:t>9</w:t>
        </w:r>
        <w:r>
          <w:fldChar w:fldCharType="end"/>
        </w:r>
      </w:hyperlink>
    </w:p>
    <w:p w14:paraId="11B11F2E" w14:textId="201C8B87" w:rsidR="001E6C18" w:rsidRDefault="001E6C18">
      <w:pPr>
        <w:pStyle w:val="TOC5"/>
        <w:rPr>
          <w:rFonts w:asciiTheme="minorHAnsi" w:eastAsiaTheme="minorEastAsia" w:hAnsiTheme="minorHAnsi" w:cstheme="minorBidi"/>
          <w:sz w:val="22"/>
          <w:szCs w:val="22"/>
          <w:lang w:eastAsia="en-AU"/>
        </w:rPr>
      </w:pPr>
      <w:r>
        <w:tab/>
      </w:r>
      <w:hyperlink w:anchor="_Toc22552821" w:history="1">
        <w:r w:rsidRPr="00F66CFF">
          <w:rPr>
            <w:rStyle w:val="CharSectNo"/>
          </w:rPr>
          <w:t>14</w:t>
        </w:r>
        <w:r w:rsidRPr="00F66CFF">
          <w:tab/>
          <w:t>Removing people from workers register</w:t>
        </w:r>
        <w:r>
          <w:br/>
        </w:r>
        <w:r w:rsidRPr="00F66CFF">
          <w:t>New section 65 (3) (d)</w:t>
        </w:r>
        <w:r>
          <w:tab/>
        </w:r>
        <w:r>
          <w:fldChar w:fldCharType="begin"/>
        </w:r>
        <w:r>
          <w:instrText xml:space="preserve"> PAGEREF _Toc22552821 \h </w:instrText>
        </w:r>
        <w:r>
          <w:fldChar w:fldCharType="separate"/>
        </w:r>
        <w:r w:rsidR="008F08EB">
          <w:t>11</w:t>
        </w:r>
        <w:r>
          <w:fldChar w:fldCharType="end"/>
        </w:r>
      </w:hyperlink>
    </w:p>
    <w:p w14:paraId="5305D50B" w14:textId="00942AF1" w:rsidR="001E6C18" w:rsidRDefault="001E6C18">
      <w:pPr>
        <w:pStyle w:val="TOC5"/>
        <w:rPr>
          <w:rFonts w:asciiTheme="minorHAnsi" w:eastAsiaTheme="minorEastAsia" w:hAnsiTheme="minorHAnsi" w:cstheme="minorBidi"/>
          <w:sz w:val="22"/>
          <w:szCs w:val="22"/>
          <w:lang w:eastAsia="en-AU"/>
        </w:rPr>
      </w:pPr>
      <w:r>
        <w:tab/>
      </w:r>
      <w:hyperlink w:anchor="_Toc22552822" w:history="1">
        <w:r w:rsidRPr="00D44E36">
          <w:t>15</w:t>
        </w:r>
        <w:r>
          <w:rPr>
            <w:rFonts w:asciiTheme="minorHAnsi" w:eastAsiaTheme="minorEastAsia" w:hAnsiTheme="minorHAnsi" w:cstheme="minorBidi"/>
            <w:sz w:val="22"/>
            <w:szCs w:val="22"/>
            <w:lang w:eastAsia="en-AU"/>
          </w:rPr>
          <w:tab/>
        </w:r>
        <w:r w:rsidRPr="00D44E36">
          <w:t>Section 76</w:t>
        </w:r>
        <w:r>
          <w:tab/>
        </w:r>
        <w:r>
          <w:fldChar w:fldCharType="begin"/>
        </w:r>
        <w:r>
          <w:instrText xml:space="preserve"> PAGEREF _Toc22552822 \h </w:instrText>
        </w:r>
        <w:r>
          <w:fldChar w:fldCharType="separate"/>
        </w:r>
        <w:r w:rsidR="008F08EB">
          <w:t>11</w:t>
        </w:r>
        <w:r>
          <w:fldChar w:fldCharType="end"/>
        </w:r>
      </w:hyperlink>
    </w:p>
    <w:p w14:paraId="21CADCB7" w14:textId="0CD06957" w:rsidR="001E6C18" w:rsidRDefault="001E6C18">
      <w:pPr>
        <w:pStyle w:val="TOC5"/>
        <w:rPr>
          <w:rFonts w:asciiTheme="minorHAnsi" w:eastAsiaTheme="minorEastAsia" w:hAnsiTheme="minorHAnsi" w:cstheme="minorBidi"/>
          <w:sz w:val="22"/>
          <w:szCs w:val="22"/>
          <w:lang w:eastAsia="en-AU"/>
        </w:rPr>
      </w:pPr>
      <w:r>
        <w:tab/>
      </w:r>
      <w:hyperlink w:anchor="_Toc22552823" w:history="1">
        <w:r w:rsidRPr="00F66CFF">
          <w:rPr>
            <w:rStyle w:val="CharSectNo"/>
          </w:rPr>
          <w:t>16</w:t>
        </w:r>
        <w:r w:rsidRPr="00F66CFF">
          <w:tab/>
          <w:t>Authority reimbursement of certain payments</w:t>
        </w:r>
        <w:r>
          <w:br/>
        </w:r>
        <w:r w:rsidRPr="00F66CFF">
          <w:t>Section 89A (2)</w:t>
        </w:r>
        <w:r>
          <w:tab/>
        </w:r>
        <w:r>
          <w:fldChar w:fldCharType="begin"/>
        </w:r>
        <w:r>
          <w:instrText xml:space="preserve"> PAGEREF _Toc22552823 \h </w:instrText>
        </w:r>
        <w:r>
          <w:fldChar w:fldCharType="separate"/>
        </w:r>
        <w:r w:rsidR="008F08EB">
          <w:t>14</w:t>
        </w:r>
        <w:r>
          <w:fldChar w:fldCharType="end"/>
        </w:r>
      </w:hyperlink>
    </w:p>
    <w:p w14:paraId="7E822A86" w14:textId="1E5DBC87" w:rsidR="001E6C18" w:rsidRDefault="001E6C18">
      <w:pPr>
        <w:pStyle w:val="TOC5"/>
        <w:rPr>
          <w:rFonts w:asciiTheme="minorHAnsi" w:eastAsiaTheme="minorEastAsia" w:hAnsiTheme="minorHAnsi" w:cstheme="minorBidi"/>
          <w:sz w:val="22"/>
          <w:szCs w:val="22"/>
          <w:lang w:eastAsia="en-AU"/>
        </w:rPr>
      </w:pPr>
      <w:r>
        <w:tab/>
      </w:r>
      <w:hyperlink w:anchor="_Toc22552824" w:history="1">
        <w:r w:rsidRPr="00D44E36">
          <w:t>17</w:t>
        </w:r>
        <w:r>
          <w:rPr>
            <w:rFonts w:asciiTheme="minorHAnsi" w:eastAsiaTheme="minorEastAsia" w:hAnsiTheme="minorHAnsi" w:cstheme="minorBidi"/>
            <w:sz w:val="22"/>
            <w:szCs w:val="22"/>
            <w:lang w:eastAsia="en-AU"/>
          </w:rPr>
          <w:tab/>
        </w:r>
        <w:r w:rsidRPr="00D44E36">
          <w:t>Schedule 1, section 1.5</w:t>
        </w:r>
        <w:r>
          <w:tab/>
        </w:r>
        <w:r>
          <w:fldChar w:fldCharType="begin"/>
        </w:r>
        <w:r>
          <w:instrText xml:space="preserve"> PAGEREF _Toc22552824 \h </w:instrText>
        </w:r>
        <w:r>
          <w:fldChar w:fldCharType="separate"/>
        </w:r>
        <w:r w:rsidR="008F08EB">
          <w:t>15</w:t>
        </w:r>
        <w:r>
          <w:fldChar w:fldCharType="end"/>
        </w:r>
      </w:hyperlink>
    </w:p>
    <w:p w14:paraId="62A652E9" w14:textId="7E10A80C" w:rsidR="001E6C18" w:rsidRDefault="001E6C18">
      <w:pPr>
        <w:pStyle w:val="TOC5"/>
        <w:rPr>
          <w:rFonts w:asciiTheme="minorHAnsi" w:eastAsiaTheme="minorEastAsia" w:hAnsiTheme="minorHAnsi" w:cstheme="minorBidi"/>
          <w:sz w:val="22"/>
          <w:szCs w:val="22"/>
          <w:lang w:eastAsia="en-AU"/>
        </w:rPr>
      </w:pPr>
      <w:r>
        <w:tab/>
      </w:r>
      <w:hyperlink w:anchor="_Toc22552825" w:history="1">
        <w:r w:rsidRPr="00F66CFF">
          <w:rPr>
            <w:rStyle w:val="CharSectNo"/>
          </w:rPr>
          <w:t>18</w:t>
        </w:r>
        <w:r w:rsidRPr="00F66CFF">
          <w:tab/>
          <w:t>How are leave payments worked out for the building and construction industry?</w:t>
        </w:r>
        <w:r>
          <w:br/>
        </w:r>
        <w:r w:rsidRPr="00F66CFF">
          <w:t>Schedule 1, section 1.11, example and note</w:t>
        </w:r>
        <w:r>
          <w:tab/>
        </w:r>
        <w:r>
          <w:fldChar w:fldCharType="begin"/>
        </w:r>
        <w:r>
          <w:instrText xml:space="preserve"> PAGEREF _Toc22552825 \h </w:instrText>
        </w:r>
        <w:r>
          <w:fldChar w:fldCharType="separate"/>
        </w:r>
        <w:r w:rsidR="008F08EB">
          <w:t>16</w:t>
        </w:r>
        <w:r>
          <w:fldChar w:fldCharType="end"/>
        </w:r>
      </w:hyperlink>
    </w:p>
    <w:p w14:paraId="21C794C8" w14:textId="7A4B3B6D" w:rsidR="001E6C18" w:rsidRDefault="001E6C18">
      <w:pPr>
        <w:pStyle w:val="TOC5"/>
        <w:rPr>
          <w:rFonts w:asciiTheme="minorHAnsi" w:eastAsiaTheme="minorEastAsia" w:hAnsiTheme="minorHAnsi" w:cstheme="minorBidi"/>
          <w:sz w:val="22"/>
          <w:szCs w:val="22"/>
          <w:lang w:eastAsia="en-AU"/>
        </w:rPr>
      </w:pPr>
      <w:r>
        <w:tab/>
      </w:r>
      <w:hyperlink w:anchor="_Toc22552826" w:history="1">
        <w:r w:rsidRPr="00F66CFF">
          <w:rPr>
            <w:rStyle w:val="CharSectNo"/>
          </w:rPr>
          <w:t>19</w:t>
        </w:r>
        <w:r w:rsidRPr="00F66CFF">
          <w:tab/>
          <w:t>Leave payments for service as registered contractor—building and construction industry</w:t>
        </w:r>
        <w:r>
          <w:br/>
        </w:r>
        <w:r w:rsidRPr="00F66CFF">
          <w:t xml:space="preserve">Schedule 1, section 1.13 (4), definitions of </w:t>
        </w:r>
        <w:r w:rsidRPr="00F66CFF">
          <w:rPr>
            <w:rStyle w:val="charItals"/>
          </w:rPr>
          <w:t>FB</w:t>
        </w:r>
        <w:r w:rsidRPr="00F66CFF">
          <w:t xml:space="preserve">, </w:t>
        </w:r>
        <w:r w:rsidRPr="00F66CFF">
          <w:rPr>
            <w:rStyle w:val="charItals"/>
          </w:rPr>
          <w:t>FE</w:t>
        </w:r>
        <w:r w:rsidRPr="00F66CFF">
          <w:t xml:space="preserve">, </w:t>
        </w:r>
        <w:r w:rsidRPr="00F66CFF">
          <w:rPr>
            <w:rStyle w:val="charItals"/>
          </w:rPr>
          <w:t>I</w:t>
        </w:r>
        <w:r w:rsidRPr="00F66CFF">
          <w:t xml:space="preserve"> and </w:t>
        </w:r>
        <w:r w:rsidRPr="00F66CFF">
          <w:rPr>
            <w:rStyle w:val="charItals"/>
          </w:rPr>
          <w:t>total equity</w:t>
        </w:r>
        <w:r>
          <w:tab/>
        </w:r>
        <w:r>
          <w:fldChar w:fldCharType="begin"/>
        </w:r>
        <w:r>
          <w:instrText xml:space="preserve"> PAGEREF _Toc22552826 \h </w:instrText>
        </w:r>
        <w:r>
          <w:fldChar w:fldCharType="separate"/>
        </w:r>
        <w:r w:rsidR="008F08EB">
          <w:t>16</w:t>
        </w:r>
        <w:r>
          <w:fldChar w:fldCharType="end"/>
        </w:r>
      </w:hyperlink>
    </w:p>
    <w:p w14:paraId="00A371DC" w14:textId="25C635CB" w:rsidR="001E6C18" w:rsidRDefault="001E6C18">
      <w:pPr>
        <w:pStyle w:val="TOC5"/>
        <w:rPr>
          <w:rFonts w:asciiTheme="minorHAnsi" w:eastAsiaTheme="minorEastAsia" w:hAnsiTheme="minorHAnsi" w:cstheme="minorBidi"/>
          <w:sz w:val="22"/>
          <w:szCs w:val="22"/>
          <w:lang w:eastAsia="en-AU"/>
        </w:rPr>
      </w:pPr>
      <w:r>
        <w:tab/>
      </w:r>
      <w:hyperlink w:anchor="_Toc22552827" w:history="1">
        <w:r w:rsidRPr="00F66CFF">
          <w:rPr>
            <w:rStyle w:val="CharSectNo"/>
          </w:rPr>
          <w:t>20</w:t>
        </w:r>
        <w:r w:rsidRPr="00F66CFF">
          <w:tab/>
          <w:t xml:space="preserve">Leave payments for service as registered employee—contract cleaning industry </w:t>
        </w:r>
        <w:r>
          <w:br/>
        </w:r>
        <w:r w:rsidRPr="00F66CFF">
          <w:t xml:space="preserve">Schedule 2, section 2.12 (2), definition of </w:t>
        </w:r>
        <w:r w:rsidRPr="00F66CFF">
          <w:rPr>
            <w:rStyle w:val="charItals"/>
          </w:rPr>
          <w:t xml:space="preserve">R </w:t>
        </w:r>
        <w:r w:rsidRPr="00F66CFF">
          <w:t>and example and note</w:t>
        </w:r>
        <w:r>
          <w:tab/>
        </w:r>
        <w:r>
          <w:fldChar w:fldCharType="begin"/>
        </w:r>
        <w:r>
          <w:instrText xml:space="preserve"> PAGEREF _Toc22552827 \h </w:instrText>
        </w:r>
        <w:r>
          <w:fldChar w:fldCharType="separate"/>
        </w:r>
        <w:r w:rsidR="008F08EB">
          <w:t>17</w:t>
        </w:r>
        <w:r>
          <w:fldChar w:fldCharType="end"/>
        </w:r>
      </w:hyperlink>
    </w:p>
    <w:p w14:paraId="1953B70D" w14:textId="18A67913" w:rsidR="001E6C18" w:rsidRDefault="001E6C18">
      <w:pPr>
        <w:pStyle w:val="TOC5"/>
        <w:rPr>
          <w:rFonts w:asciiTheme="minorHAnsi" w:eastAsiaTheme="minorEastAsia" w:hAnsiTheme="minorHAnsi" w:cstheme="minorBidi"/>
          <w:sz w:val="22"/>
          <w:szCs w:val="22"/>
          <w:lang w:eastAsia="en-AU"/>
        </w:rPr>
      </w:pPr>
      <w:r>
        <w:tab/>
      </w:r>
      <w:hyperlink w:anchor="_Toc22552828" w:history="1">
        <w:r w:rsidRPr="00F66CFF">
          <w:rPr>
            <w:rStyle w:val="CharSectNo"/>
          </w:rPr>
          <w:t>21</w:t>
        </w:r>
        <w:r w:rsidRPr="00F66CFF">
          <w:tab/>
          <w:t>Leave payments for service as registered contractor—contract cleaning industry</w:t>
        </w:r>
        <w:r>
          <w:br/>
        </w:r>
        <w:r w:rsidRPr="00F66CFF">
          <w:t xml:space="preserve">Schedule 2, section 2.13 (4), definitions of </w:t>
        </w:r>
        <w:r w:rsidRPr="00F66CFF">
          <w:rPr>
            <w:rStyle w:val="charItals"/>
          </w:rPr>
          <w:t>FB</w:t>
        </w:r>
        <w:r w:rsidRPr="00F66CFF">
          <w:t xml:space="preserve">, </w:t>
        </w:r>
        <w:r w:rsidRPr="00F66CFF">
          <w:rPr>
            <w:rStyle w:val="charItals"/>
          </w:rPr>
          <w:t>FE</w:t>
        </w:r>
        <w:r w:rsidRPr="00F66CFF">
          <w:t xml:space="preserve">, </w:t>
        </w:r>
        <w:r w:rsidRPr="00F66CFF">
          <w:rPr>
            <w:rStyle w:val="charItals"/>
          </w:rPr>
          <w:t>I</w:t>
        </w:r>
        <w:r w:rsidRPr="00F66CFF">
          <w:t xml:space="preserve"> and </w:t>
        </w:r>
        <w:r w:rsidRPr="00F66CFF">
          <w:rPr>
            <w:rStyle w:val="charItals"/>
          </w:rPr>
          <w:t>total equity</w:t>
        </w:r>
        <w:r>
          <w:tab/>
        </w:r>
        <w:r>
          <w:fldChar w:fldCharType="begin"/>
        </w:r>
        <w:r>
          <w:instrText xml:space="preserve"> PAGEREF _Toc22552828 \h </w:instrText>
        </w:r>
        <w:r>
          <w:fldChar w:fldCharType="separate"/>
        </w:r>
        <w:r w:rsidR="008F08EB">
          <w:t>18</w:t>
        </w:r>
        <w:r>
          <w:fldChar w:fldCharType="end"/>
        </w:r>
      </w:hyperlink>
    </w:p>
    <w:p w14:paraId="3BA2350E" w14:textId="36E74E2C" w:rsidR="001E6C18" w:rsidRDefault="001E6C18">
      <w:pPr>
        <w:pStyle w:val="TOC5"/>
        <w:rPr>
          <w:rFonts w:asciiTheme="minorHAnsi" w:eastAsiaTheme="minorEastAsia" w:hAnsiTheme="minorHAnsi" w:cstheme="minorBidi"/>
          <w:sz w:val="22"/>
          <w:szCs w:val="22"/>
          <w:lang w:eastAsia="en-AU"/>
        </w:rPr>
      </w:pPr>
      <w:r>
        <w:tab/>
      </w:r>
      <w:hyperlink w:anchor="_Toc22552829" w:history="1">
        <w:r w:rsidRPr="00F66CFF">
          <w:rPr>
            <w:rStyle w:val="CharSectNo"/>
          </w:rPr>
          <w:t>22</w:t>
        </w:r>
        <w:r w:rsidRPr="00F66CFF">
          <w:tab/>
          <w:t xml:space="preserve">What is the </w:t>
        </w:r>
        <w:r w:rsidRPr="00F66CFF">
          <w:rPr>
            <w:rStyle w:val="charItals"/>
          </w:rPr>
          <w:t>community sector industry</w:t>
        </w:r>
        <w:r w:rsidRPr="00F66CFF">
          <w:t>?</w:t>
        </w:r>
        <w:r>
          <w:br/>
        </w:r>
        <w:r w:rsidRPr="00F66CFF">
          <w:t>Schedule 3, section 3.1 (a)</w:t>
        </w:r>
        <w:r>
          <w:tab/>
        </w:r>
        <w:r>
          <w:fldChar w:fldCharType="begin"/>
        </w:r>
        <w:r>
          <w:instrText xml:space="preserve"> PAGEREF _Toc22552829 \h </w:instrText>
        </w:r>
        <w:r>
          <w:fldChar w:fldCharType="separate"/>
        </w:r>
        <w:r w:rsidR="008F08EB">
          <w:t>18</w:t>
        </w:r>
        <w:r>
          <w:fldChar w:fldCharType="end"/>
        </w:r>
      </w:hyperlink>
    </w:p>
    <w:p w14:paraId="58DA3C6E" w14:textId="1D91AF35" w:rsidR="001E6C18" w:rsidRDefault="001E6C18">
      <w:pPr>
        <w:pStyle w:val="TOC5"/>
        <w:rPr>
          <w:rFonts w:asciiTheme="minorHAnsi" w:eastAsiaTheme="minorEastAsia" w:hAnsiTheme="minorHAnsi" w:cstheme="minorBidi"/>
          <w:sz w:val="22"/>
          <w:szCs w:val="22"/>
          <w:lang w:eastAsia="en-AU"/>
        </w:rPr>
      </w:pPr>
      <w:r>
        <w:tab/>
      </w:r>
      <w:hyperlink w:anchor="_Toc22552830" w:history="1">
        <w:r w:rsidRPr="00D44E36">
          <w:t>23</w:t>
        </w:r>
        <w:r>
          <w:rPr>
            <w:rFonts w:asciiTheme="minorHAnsi" w:eastAsiaTheme="minorEastAsia" w:hAnsiTheme="minorHAnsi" w:cstheme="minorBidi"/>
            <w:sz w:val="22"/>
            <w:szCs w:val="22"/>
            <w:lang w:eastAsia="en-AU"/>
          </w:rPr>
          <w:tab/>
        </w:r>
        <w:r w:rsidRPr="00D44E36">
          <w:t>Schedule 3, new section 3.1 (2)</w:t>
        </w:r>
        <w:r>
          <w:tab/>
        </w:r>
        <w:r>
          <w:fldChar w:fldCharType="begin"/>
        </w:r>
        <w:r>
          <w:instrText xml:space="preserve"> PAGEREF _Toc22552830 \h </w:instrText>
        </w:r>
        <w:r>
          <w:fldChar w:fldCharType="separate"/>
        </w:r>
        <w:r w:rsidR="008F08EB">
          <w:t>19</w:t>
        </w:r>
        <w:r>
          <w:fldChar w:fldCharType="end"/>
        </w:r>
      </w:hyperlink>
    </w:p>
    <w:p w14:paraId="474D1E21" w14:textId="790FCA01" w:rsidR="001E6C18" w:rsidRDefault="001E6C18">
      <w:pPr>
        <w:pStyle w:val="TOC5"/>
        <w:rPr>
          <w:rFonts w:asciiTheme="minorHAnsi" w:eastAsiaTheme="minorEastAsia" w:hAnsiTheme="minorHAnsi" w:cstheme="minorBidi"/>
          <w:sz w:val="22"/>
          <w:szCs w:val="22"/>
          <w:lang w:eastAsia="en-AU"/>
        </w:rPr>
      </w:pPr>
      <w:r>
        <w:tab/>
      </w:r>
      <w:hyperlink w:anchor="_Toc22552831" w:history="1">
        <w:r w:rsidRPr="00F66CFF">
          <w:rPr>
            <w:rStyle w:val="CharSectNo"/>
          </w:rPr>
          <w:t>24</w:t>
        </w:r>
        <w:r w:rsidRPr="00F66CFF">
          <w:tab/>
          <w:t>Service credit—community sector industry—s 64</w:t>
        </w:r>
        <w:r>
          <w:br/>
        </w:r>
        <w:r w:rsidRPr="00F66CFF">
          <w:t>Schedule 3, section 3.5 (1)</w:t>
        </w:r>
        <w:r>
          <w:tab/>
        </w:r>
        <w:r>
          <w:fldChar w:fldCharType="begin"/>
        </w:r>
        <w:r>
          <w:instrText xml:space="preserve"> PAGEREF _Toc22552831 \h </w:instrText>
        </w:r>
        <w:r>
          <w:fldChar w:fldCharType="separate"/>
        </w:r>
        <w:r w:rsidR="008F08EB">
          <w:t>19</w:t>
        </w:r>
        <w:r>
          <w:fldChar w:fldCharType="end"/>
        </w:r>
      </w:hyperlink>
    </w:p>
    <w:p w14:paraId="7489AD7B" w14:textId="1B7D4BBD" w:rsidR="001E6C18" w:rsidRDefault="001E6C18">
      <w:pPr>
        <w:pStyle w:val="TOC5"/>
        <w:rPr>
          <w:rFonts w:asciiTheme="minorHAnsi" w:eastAsiaTheme="minorEastAsia" w:hAnsiTheme="minorHAnsi" w:cstheme="minorBidi"/>
          <w:sz w:val="22"/>
          <w:szCs w:val="22"/>
          <w:lang w:eastAsia="en-AU"/>
        </w:rPr>
      </w:pPr>
      <w:r>
        <w:tab/>
      </w:r>
      <w:hyperlink w:anchor="_Toc22552832" w:history="1">
        <w:r w:rsidRPr="00D44E36">
          <w:t>25</w:t>
        </w:r>
        <w:r>
          <w:rPr>
            <w:rFonts w:asciiTheme="minorHAnsi" w:eastAsiaTheme="minorEastAsia" w:hAnsiTheme="minorHAnsi" w:cstheme="minorBidi"/>
            <w:sz w:val="22"/>
            <w:szCs w:val="22"/>
            <w:lang w:eastAsia="en-AU"/>
          </w:rPr>
          <w:tab/>
        </w:r>
        <w:r w:rsidRPr="00D44E36">
          <w:t>Schedule 3, section 3.5 (1), example</w:t>
        </w:r>
        <w:r>
          <w:tab/>
        </w:r>
        <w:r>
          <w:fldChar w:fldCharType="begin"/>
        </w:r>
        <w:r>
          <w:instrText xml:space="preserve"> PAGEREF _Toc22552832 \h </w:instrText>
        </w:r>
        <w:r>
          <w:fldChar w:fldCharType="separate"/>
        </w:r>
        <w:r w:rsidR="008F08EB">
          <w:t>20</w:t>
        </w:r>
        <w:r>
          <w:fldChar w:fldCharType="end"/>
        </w:r>
      </w:hyperlink>
    </w:p>
    <w:p w14:paraId="60D12B30" w14:textId="11C37EEA" w:rsidR="001E6C18" w:rsidRDefault="001E6C18">
      <w:pPr>
        <w:pStyle w:val="TOC5"/>
        <w:rPr>
          <w:rFonts w:asciiTheme="minorHAnsi" w:eastAsiaTheme="minorEastAsia" w:hAnsiTheme="minorHAnsi" w:cstheme="minorBidi"/>
          <w:sz w:val="22"/>
          <w:szCs w:val="22"/>
          <w:lang w:eastAsia="en-AU"/>
        </w:rPr>
      </w:pPr>
      <w:r>
        <w:tab/>
      </w:r>
      <w:hyperlink w:anchor="_Toc22552833" w:history="1">
        <w:r w:rsidRPr="00F66CFF">
          <w:rPr>
            <w:rStyle w:val="CharSectNo"/>
          </w:rPr>
          <w:t>26</w:t>
        </w:r>
        <w:r w:rsidRPr="00F66CFF">
          <w:tab/>
          <w:t>Leave payments for service as registered employee—community sector industry</w:t>
        </w:r>
        <w:r>
          <w:br/>
        </w:r>
        <w:r w:rsidRPr="00F66CFF">
          <w:t xml:space="preserve">Schedule 3, section 3.13 (2), definition of </w:t>
        </w:r>
        <w:r w:rsidRPr="00F66CFF">
          <w:rPr>
            <w:rStyle w:val="charItals"/>
          </w:rPr>
          <w:t xml:space="preserve">R </w:t>
        </w:r>
        <w:r w:rsidRPr="00F66CFF">
          <w:t>and example and note</w:t>
        </w:r>
        <w:r>
          <w:tab/>
        </w:r>
        <w:r>
          <w:fldChar w:fldCharType="begin"/>
        </w:r>
        <w:r>
          <w:instrText xml:space="preserve"> PAGEREF _Toc22552833 \h </w:instrText>
        </w:r>
        <w:r>
          <w:fldChar w:fldCharType="separate"/>
        </w:r>
        <w:r w:rsidR="008F08EB">
          <w:t>20</w:t>
        </w:r>
        <w:r>
          <w:fldChar w:fldCharType="end"/>
        </w:r>
      </w:hyperlink>
    </w:p>
    <w:p w14:paraId="5372B2AB" w14:textId="211243ED" w:rsidR="001E6C18" w:rsidRDefault="001E6C18">
      <w:pPr>
        <w:pStyle w:val="TOC5"/>
        <w:rPr>
          <w:rFonts w:asciiTheme="minorHAnsi" w:eastAsiaTheme="minorEastAsia" w:hAnsiTheme="minorHAnsi" w:cstheme="minorBidi"/>
          <w:sz w:val="22"/>
          <w:szCs w:val="22"/>
          <w:lang w:eastAsia="en-AU"/>
        </w:rPr>
      </w:pPr>
      <w:r>
        <w:lastRenderedPageBreak/>
        <w:tab/>
      </w:r>
      <w:hyperlink w:anchor="_Toc22552834" w:history="1">
        <w:r w:rsidRPr="00F66CFF">
          <w:rPr>
            <w:rStyle w:val="CharSectNo"/>
          </w:rPr>
          <w:t>27</w:t>
        </w:r>
        <w:r w:rsidRPr="00F66CFF">
          <w:tab/>
          <w:t>Leave payments for service as registered contractor—community sector industry</w:t>
        </w:r>
        <w:r>
          <w:br/>
        </w:r>
        <w:r w:rsidRPr="00F66CFF">
          <w:t xml:space="preserve">Schedule 3, section 3.14 (4), definitions of </w:t>
        </w:r>
        <w:r w:rsidRPr="00F66CFF">
          <w:rPr>
            <w:rStyle w:val="charItals"/>
          </w:rPr>
          <w:t>FB</w:t>
        </w:r>
        <w:r w:rsidRPr="00F66CFF">
          <w:t xml:space="preserve">, </w:t>
        </w:r>
        <w:r w:rsidRPr="00F66CFF">
          <w:rPr>
            <w:rStyle w:val="charItals"/>
          </w:rPr>
          <w:t>FE</w:t>
        </w:r>
        <w:r w:rsidRPr="00F66CFF">
          <w:t xml:space="preserve">, </w:t>
        </w:r>
        <w:r w:rsidRPr="00F66CFF">
          <w:rPr>
            <w:rStyle w:val="charItals"/>
          </w:rPr>
          <w:t>I</w:t>
        </w:r>
        <w:r w:rsidRPr="00F66CFF">
          <w:t xml:space="preserve"> and </w:t>
        </w:r>
        <w:r w:rsidRPr="00F66CFF">
          <w:rPr>
            <w:rStyle w:val="charItals"/>
          </w:rPr>
          <w:t>total equity</w:t>
        </w:r>
        <w:r>
          <w:tab/>
        </w:r>
        <w:r>
          <w:fldChar w:fldCharType="begin"/>
        </w:r>
        <w:r>
          <w:instrText xml:space="preserve"> PAGEREF _Toc22552834 \h </w:instrText>
        </w:r>
        <w:r>
          <w:fldChar w:fldCharType="separate"/>
        </w:r>
        <w:r w:rsidR="008F08EB">
          <w:t>21</w:t>
        </w:r>
        <w:r>
          <w:fldChar w:fldCharType="end"/>
        </w:r>
      </w:hyperlink>
    </w:p>
    <w:p w14:paraId="723D28FA" w14:textId="2BFB16B1" w:rsidR="001E6C18" w:rsidRDefault="001E6C18">
      <w:pPr>
        <w:pStyle w:val="TOC5"/>
        <w:rPr>
          <w:rFonts w:asciiTheme="minorHAnsi" w:eastAsiaTheme="minorEastAsia" w:hAnsiTheme="minorHAnsi" w:cstheme="minorBidi"/>
          <w:sz w:val="22"/>
          <w:szCs w:val="22"/>
          <w:lang w:eastAsia="en-AU"/>
        </w:rPr>
      </w:pPr>
      <w:r>
        <w:tab/>
      </w:r>
      <w:hyperlink w:anchor="_Toc22552835" w:history="1">
        <w:r w:rsidRPr="00F66CFF">
          <w:rPr>
            <w:rStyle w:val="CharSectNo"/>
          </w:rPr>
          <w:t>28</w:t>
        </w:r>
        <w:r w:rsidRPr="00F66CFF">
          <w:tab/>
          <w:t>Service credit—security industry—s 64</w:t>
        </w:r>
        <w:r>
          <w:br/>
        </w:r>
        <w:r w:rsidRPr="00F66CFF">
          <w:t>Schedule 4, section 4.5 (1), example</w:t>
        </w:r>
        <w:r>
          <w:tab/>
        </w:r>
        <w:r>
          <w:fldChar w:fldCharType="begin"/>
        </w:r>
        <w:r>
          <w:instrText xml:space="preserve"> PAGEREF _Toc22552835 \h </w:instrText>
        </w:r>
        <w:r>
          <w:fldChar w:fldCharType="separate"/>
        </w:r>
        <w:r w:rsidR="008F08EB">
          <w:t>21</w:t>
        </w:r>
        <w:r>
          <w:fldChar w:fldCharType="end"/>
        </w:r>
      </w:hyperlink>
    </w:p>
    <w:p w14:paraId="2F59FD60" w14:textId="0CD2B50C" w:rsidR="001E6C18" w:rsidRDefault="001E6C18">
      <w:pPr>
        <w:pStyle w:val="TOC5"/>
        <w:rPr>
          <w:rFonts w:asciiTheme="minorHAnsi" w:eastAsiaTheme="minorEastAsia" w:hAnsiTheme="minorHAnsi" w:cstheme="minorBidi"/>
          <w:sz w:val="22"/>
          <w:szCs w:val="22"/>
          <w:lang w:eastAsia="en-AU"/>
        </w:rPr>
      </w:pPr>
      <w:r>
        <w:tab/>
      </w:r>
      <w:hyperlink w:anchor="_Toc22552836" w:history="1">
        <w:r w:rsidRPr="00F66CFF">
          <w:rPr>
            <w:rStyle w:val="CharSectNo"/>
          </w:rPr>
          <w:t>29</w:t>
        </w:r>
        <w:r w:rsidRPr="00F66CFF">
          <w:tab/>
          <w:t>How are payments worked out for the security industry?</w:t>
        </w:r>
        <w:r>
          <w:br/>
        </w:r>
        <w:r w:rsidRPr="00F66CFF">
          <w:t>Schedule 4, section 4.12, example and note</w:t>
        </w:r>
        <w:r>
          <w:tab/>
        </w:r>
        <w:r>
          <w:fldChar w:fldCharType="begin"/>
        </w:r>
        <w:r>
          <w:instrText xml:space="preserve"> PAGEREF _Toc22552836 \h </w:instrText>
        </w:r>
        <w:r>
          <w:fldChar w:fldCharType="separate"/>
        </w:r>
        <w:r w:rsidR="008F08EB">
          <w:t>22</w:t>
        </w:r>
        <w:r>
          <w:fldChar w:fldCharType="end"/>
        </w:r>
      </w:hyperlink>
    </w:p>
    <w:p w14:paraId="2A5A1DC6" w14:textId="5DB56F62" w:rsidR="001E6C18" w:rsidRDefault="001E6C18">
      <w:pPr>
        <w:pStyle w:val="TOC5"/>
        <w:rPr>
          <w:rFonts w:asciiTheme="minorHAnsi" w:eastAsiaTheme="minorEastAsia" w:hAnsiTheme="minorHAnsi" w:cstheme="minorBidi"/>
          <w:sz w:val="22"/>
          <w:szCs w:val="22"/>
          <w:lang w:eastAsia="en-AU"/>
        </w:rPr>
      </w:pPr>
      <w:r>
        <w:tab/>
      </w:r>
      <w:hyperlink w:anchor="_Toc22552837" w:history="1">
        <w:r w:rsidRPr="00F66CFF">
          <w:rPr>
            <w:rStyle w:val="CharSectNo"/>
          </w:rPr>
          <w:t>30</w:t>
        </w:r>
        <w:r w:rsidRPr="00F66CFF">
          <w:tab/>
          <w:t>Leave payments for service as registered employee—security industry</w:t>
        </w:r>
        <w:r>
          <w:br/>
        </w:r>
        <w:r w:rsidRPr="00F66CFF">
          <w:t xml:space="preserve">Schedule 4, section 4.13, definition of </w:t>
        </w:r>
        <w:r w:rsidRPr="00F66CFF">
          <w:rPr>
            <w:rStyle w:val="charItals"/>
          </w:rPr>
          <w:t xml:space="preserve">R </w:t>
        </w:r>
        <w:r w:rsidRPr="00F66CFF">
          <w:t>and example and note</w:t>
        </w:r>
        <w:r>
          <w:tab/>
        </w:r>
        <w:r>
          <w:fldChar w:fldCharType="begin"/>
        </w:r>
        <w:r>
          <w:instrText xml:space="preserve"> PAGEREF _Toc22552837 \h </w:instrText>
        </w:r>
        <w:r>
          <w:fldChar w:fldCharType="separate"/>
        </w:r>
        <w:r w:rsidR="008F08EB">
          <w:t>22</w:t>
        </w:r>
        <w:r>
          <w:fldChar w:fldCharType="end"/>
        </w:r>
      </w:hyperlink>
    </w:p>
    <w:p w14:paraId="5E34FCDC" w14:textId="6081DFFB" w:rsidR="001E6C18" w:rsidRDefault="001E6C18">
      <w:pPr>
        <w:pStyle w:val="TOC5"/>
        <w:rPr>
          <w:rFonts w:asciiTheme="minorHAnsi" w:eastAsiaTheme="minorEastAsia" w:hAnsiTheme="minorHAnsi" w:cstheme="minorBidi"/>
          <w:sz w:val="22"/>
          <w:szCs w:val="22"/>
          <w:lang w:eastAsia="en-AU"/>
        </w:rPr>
      </w:pPr>
      <w:r>
        <w:tab/>
      </w:r>
      <w:hyperlink w:anchor="_Toc22552838" w:history="1">
        <w:r w:rsidRPr="00F66CFF">
          <w:rPr>
            <w:rStyle w:val="CharSectNo"/>
          </w:rPr>
          <w:t>31</w:t>
        </w:r>
        <w:r w:rsidRPr="00F66CFF">
          <w:tab/>
          <w:t>Leave payments for service as registered contractor—security industry</w:t>
        </w:r>
        <w:r>
          <w:br/>
        </w:r>
        <w:r w:rsidRPr="00F66CFF">
          <w:t>Schedule 4, new section 4.14 (4)</w:t>
        </w:r>
        <w:r>
          <w:tab/>
        </w:r>
        <w:r>
          <w:fldChar w:fldCharType="begin"/>
        </w:r>
        <w:r>
          <w:instrText xml:space="preserve"> PAGEREF _Toc22552838 \h </w:instrText>
        </w:r>
        <w:r>
          <w:fldChar w:fldCharType="separate"/>
        </w:r>
        <w:r w:rsidR="008F08EB">
          <w:t>23</w:t>
        </w:r>
        <w:r>
          <w:fldChar w:fldCharType="end"/>
        </w:r>
      </w:hyperlink>
    </w:p>
    <w:p w14:paraId="31D56C26" w14:textId="3658337F" w:rsidR="001E6C18" w:rsidRDefault="001E6C18">
      <w:pPr>
        <w:pStyle w:val="TOC5"/>
        <w:rPr>
          <w:rFonts w:asciiTheme="minorHAnsi" w:eastAsiaTheme="minorEastAsia" w:hAnsiTheme="minorHAnsi" w:cstheme="minorBidi"/>
          <w:sz w:val="22"/>
          <w:szCs w:val="22"/>
          <w:lang w:eastAsia="en-AU"/>
        </w:rPr>
      </w:pPr>
      <w:r>
        <w:tab/>
      </w:r>
      <w:hyperlink w:anchor="_Toc22552839" w:history="1">
        <w:r w:rsidRPr="00F66CFF">
          <w:rPr>
            <w:rStyle w:val="CharSectNo"/>
          </w:rPr>
          <w:t>32</w:t>
        </w:r>
        <w:r w:rsidRPr="00F66CFF">
          <w:tab/>
          <w:t>Reviewable decisions</w:t>
        </w:r>
        <w:r>
          <w:br/>
        </w:r>
        <w:r w:rsidRPr="00F66CFF">
          <w:t>Schedule 5, items 9 and 10</w:t>
        </w:r>
        <w:r>
          <w:tab/>
        </w:r>
        <w:r>
          <w:fldChar w:fldCharType="begin"/>
        </w:r>
        <w:r>
          <w:instrText xml:space="preserve"> PAGEREF _Toc22552839 \h </w:instrText>
        </w:r>
        <w:r>
          <w:fldChar w:fldCharType="separate"/>
        </w:r>
        <w:r w:rsidR="008F08EB">
          <w:t>24</w:t>
        </w:r>
        <w:r>
          <w:fldChar w:fldCharType="end"/>
        </w:r>
      </w:hyperlink>
    </w:p>
    <w:p w14:paraId="63A2BAAE" w14:textId="57036729" w:rsidR="001E6C18" w:rsidRDefault="001E6C18">
      <w:pPr>
        <w:pStyle w:val="TOC5"/>
        <w:rPr>
          <w:rFonts w:asciiTheme="minorHAnsi" w:eastAsiaTheme="minorEastAsia" w:hAnsiTheme="minorHAnsi" w:cstheme="minorBidi"/>
          <w:sz w:val="22"/>
          <w:szCs w:val="22"/>
          <w:lang w:eastAsia="en-AU"/>
        </w:rPr>
      </w:pPr>
      <w:r>
        <w:tab/>
      </w:r>
      <w:hyperlink w:anchor="_Toc22552840" w:history="1">
        <w:r w:rsidRPr="00D44E36">
          <w:t>33</w:t>
        </w:r>
        <w:r>
          <w:rPr>
            <w:rFonts w:asciiTheme="minorHAnsi" w:eastAsiaTheme="minorEastAsia" w:hAnsiTheme="minorHAnsi" w:cstheme="minorBidi"/>
            <w:sz w:val="22"/>
            <w:szCs w:val="22"/>
            <w:lang w:eastAsia="en-AU"/>
          </w:rPr>
          <w:tab/>
        </w:r>
        <w:r w:rsidRPr="00D44E36">
          <w:t xml:space="preserve">Dictionary, definition of </w:t>
        </w:r>
        <w:r w:rsidRPr="00D44E36">
          <w:rPr>
            <w:i/>
          </w:rPr>
          <w:t>contractor</w:t>
        </w:r>
        <w:r>
          <w:tab/>
        </w:r>
        <w:r>
          <w:fldChar w:fldCharType="begin"/>
        </w:r>
        <w:r>
          <w:instrText xml:space="preserve"> PAGEREF _Toc22552840 \h </w:instrText>
        </w:r>
        <w:r>
          <w:fldChar w:fldCharType="separate"/>
        </w:r>
        <w:r w:rsidR="008F08EB">
          <w:t>24</w:t>
        </w:r>
        <w:r>
          <w:fldChar w:fldCharType="end"/>
        </w:r>
      </w:hyperlink>
    </w:p>
    <w:p w14:paraId="74E08CFC" w14:textId="4FB003E0" w:rsidR="001E6C18" w:rsidRDefault="001E6C18">
      <w:pPr>
        <w:pStyle w:val="TOC5"/>
        <w:rPr>
          <w:rFonts w:asciiTheme="minorHAnsi" w:eastAsiaTheme="minorEastAsia" w:hAnsiTheme="minorHAnsi" w:cstheme="minorBidi"/>
          <w:sz w:val="22"/>
          <w:szCs w:val="22"/>
          <w:lang w:eastAsia="en-AU"/>
        </w:rPr>
      </w:pPr>
      <w:r>
        <w:tab/>
      </w:r>
      <w:hyperlink w:anchor="_Toc22552841" w:history="1">
        <w:r w:rsidRPr="00D44E36">
          <w:t>34</w:t>
        </w:r>
        <w:r>
          <w:rPr>
            <w:rFonts w:asciiTheme="minorHAnsi" w:eastAsiaTheme="minorEastAsia" w:hAnsiTheme="minorHAnsi" w:cstheme="minorBidi"/>
            <w:sz w:val="22"/>
            <w:szCs w:val="22"/>
            <w:lang w:eastAsia="en-AU"/>
          </w:rPr>
          <w:tab/>
        </w:r>
        <w:r w:rsidRPr="00D44E36">
          <w:t xml:space="preserve">Dictionary, new definition of </w:t>
        </w:r>
        <w:r w:rsidRPr="00D44E36">
          <w:rPr>
            <w:i/>
          </w:rPr>
          <w:t>voluntary member</w:t>
        </w:r>
        <w:r>
          <w:tab/>
        </w:r>
        <w:r>
          <w:fldChar w:fldCharType="begin"/>
        </w:r>
        <w:r>
          <w:instrText xml:space="preserve"> PAGEREF _Toc22552841 \h </w:instrText>
        </w:r>
        <w:r>
          <w:fldChar w:fldCharType="separate"/>
        </w:r>
        <w:r w:rsidR="008F08EB">
          <w:t>24</w:t>
        </w:r>
        <w:r>
          <w:fldChar w:fldCharType="end"/>
        </w:r>
      </w:hyperlink>
    </w:p>
    <w:p w14:paraId="658D8F57" w14:textId="388C5BBF" w:rsidR="001E6C18" w:rsidRDefault="001E6C18">
      <w:pPr>
        <w:pStyle w:val="TOC5"/>
        <w:rPr>
          <w:rFonts w:asciiTheme="minorHAnsi" w:eastAsiaTheme="minorEastAsia" w:hAnsiTheme="minorHAnsi" w:cstheme="minorBidi"/>
          <w:sz w:val="22"/>
          <w:szCs w:val="22"/>
          <w:lang w:eastAsia="en-AU"/>
        </w:rPr>
      </w:pPr>
      <w:r>
        <w:tab/>
      </w:r>
      <w:hyperlink w:anchor="_Toc22552842" w:history="1">
        <w:r w:rsidRPr="00D44E36">
          <w:t>35</w:t>
        </w:r>
        <w:r>
          <w:rPr>
            <w:rFonts w:asciiTheme="minorHAnsi" w:eastAsiaTheme="minorEastAsia" w:hAnsiTheme="minorHAnsi" w:cstheme="minorBidi"/>
            <w:sz w:val="22"/>
            <w:szCs w:val="22"/>
            <w:lang w:eastAsia="en-AU"/>
          </w:rPr>
          <w:tab/>
        </w:r>
        <w:r w:rsidRPr="00D44E36">
          <w:t xml:space="preserve">Further amendments, mentions of </w:t>
        </w:r>
        <w:r w:rsidRPr="00D44E36">
          <w:rPr>
            <w:i/>
          </w:rPr>
          <w:t>contractor</w:t>
        </w:r>
        <w:r>
          <w:tab/>
        </w:r>
        <w:r>
          <w:fldChar w:fldCharType="begin"/>
        </w:r>
        <w:r>
          <w:instrText xml:space="preserve"> PAGEREF _Toc22552842 \h </w:instrText>
        </w:r>
        <w:r>
          <w:fldChar w:fldCharType="separate"/>
        </w:r>
        <w:r w:rsidR="008F08EB">
          <w:t>25</w:t>
        </w:r>
        <w:r>
          <w:fldChar w:fldCharType="end"/>
        </w:r>
      </w:hyperlink>
    </w:p>
    <w:p w14:paraId="02C0D6C0" w14:textId="32DF08E0" w:rsidR="001E6C18" w:rsidRDefault="001E6C18">
      <w:pPr>
        <w:pStyle w:val="TOC5"/>
        <w:rPr>
          <w:rFonts w:asciiTheme="minorHAnsi" w:eastAsiaTheme="minorEastAsia" w:hAnsiTheme="minorHAnsi" w:cstheme="minorBidi"/>
          <w:sz w:val="22"/>
          <w:szCs w:val="22"/>
          <w:lang w:eastAsia="en-AU"/>
        </w:rPr>
      </w:pPr>
      <w:r>
        <w:tab/>
      </w:r>
      <w:hyperlink w:anchor="_Toc22552843" w:history="1">
        <w:r w:rsidRPr="00D44E36">
          <w:t>36</w:t>
        </w:r>
        <w:r>
          <w:rPr>
            <w:rFonts w:asciiTheme="minorHAnsi" w:eastAsiaTheme="minorEastAsia" w:hAnsiTheme="minorHAnsi" w:cstheme="minorBidi"/>
            <w:sz w:val="22"/>
            <w:szCs w:val="22"/>
            <w:lang w:eastAsia="en-AU"/>
          </w:rPr>
          <w:tab/>
        </w:r>
        <w:r w:rsidRPr="00D44E36">
          <w:t xml:space="preserve">Further amendments, mentions of </w:t>
        </w:r>
        <w:r w:rsidRPr="00D44E36">
          <w:rPr>
            <w:i/>
          </w:rPr>
          <w:t>contractors</w:t>
        </w:r>
        <w:r>
          <w:tab/>
        </w:r>
        <w:r>
          <w:fldChar w:fldCharType="begin"/>
        </w:r>
        <w:r>
          <w:instrText xml:space="preserve"> PAGEREF _Toc22552843 \h </w:instrText>
        </w:r>
        <w:r>
          <w:fldChar w:fldCharType="separate"/>
        </w:r>
        <w:r w:rsidR="008F08EB">
          <w:t>26</w:t>
        </w:r>
        <w:r>
          <w:fldChar w:fldCharType="end"/>
        </w:r>
      </w:hyperlink>
    </w:p>
    <w:p w14:paraId="3AFB2492" w14:textId="133226CB" w:rsidR="001E6C18" w:rsidRDefault="001E6C18">
      <w:pPr>
        <w:pStyle w:val="TOC5"/>
        <w:rPr>
          <w:rFonts w:asciiTheme="minorHAnsi" w:eastAsiaTheme="minorEastAsia" w:hAnsiTheme="minorHAnsi" w:cstheme="minorBidi"/>
          <w:sz w:val="22"/>
          <w:szCs w:val="22"/>
          <w:lang w:eastAsia="en-AU"/>
        </w:rPr>
      </w:pPr>
      <w:r>
        <w:tab/>
      </w:r>
      <w:hyperlink w:anchor="_Toc22552844" w:history="1">
        <w:r w:rsidRPr="00D44E36">
          <w:t>37</w:t>
        </w:r>
        <w:r>
          <w:rPr>
            <w:rFonts w:asciiTheme="minorHAnsi" w:eastAsiaTheme="minorEastAsia" w:hAnsiTheme="minorHAnsi" w:cstheme="minorBidi"/>
            <w:sz w:val="22"/>
            <w:szCs w:val="22"/>
            <w:lang w:eastAsia="en-AU"/>
          </w:rPr>
          <w:tab/>
        </w:r>
        <w:r w:rsidRPr="00D44E36">
          <w:t xml:space="preserve">Further amendments, mentions of </w:t>
        </w:r>
        <w:r w:rsidRPr="00D44E36">
          <w:rPr>
            <w:i/>
          </w:rPr>
          <w:t>contractor’s</w:t>
        </w:r>
        <w:r>
          <w:tab/>
        </w:r>
        <w:r>
          <w:fldChar w:fldCharType="begin"/>
        </w:r>
        <w:r>
          <w:instrText xml:space="preserve"> PAGEREF _Toc22552844 \h </w:instrText>
        </w:r>
        <w:r>
          <w:fldChar w:fldCharType="separate"/>
        </w:r>
        <w:r w:rsidR="008F08EB">
          <w:t>27</w:t>
        </w:r>
        <w:r>
          <w:fldChar w:fldCharType="end"/>
        </w:r>
      </w:hyperlink>
    </w:p>
    <w:p w14:paraId="4FB6BDF2" w14:textId="77777777" w:rsidR="00276764" w:rsidRPr="00F66CFF" w:rsidRDefault="001E6C18">
      <w:pPr>
        <w:pStyle w:val="BillBasic"/>
      </w:pPr>
      <w:r>
        <w:fldChar w:fldCharType="end"/>
      </w:r>
    </w:p>
    <w:p w14:paraId="30A1D3A4" w14:textId="77777777" w:rsidR="00F66CFF" w:rsidRDefault="00F66CFF">
      <w:pPr>
        <w:pStyle w:val="01Contents"/>
        <w:sectPr w:rsidR="00F66CFF" w:rsidSect="00E9799D">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326"/>
        </w:sectPr>
      </w:pPr>
    </w:p>
    <w:p w14:paraId="26CBF307" w14:textId="77777777" w:rsidR="00E9799D" w:rsidRDefault="00E9799D" w:rsidP="00666D05">
      <w:pPr>
        <w:spacing w:before="480"/>
        <w:jc w:val="center"/>
      </w:pPr>
      <w:r>
        <w:rPr>
          <w:noProof/>
          <w:lang w:eastAsia="en-AU"/>
        </w:rPr>
        <w:lastRenderedPageBreak/>
        <w:drawing>
          <wp:inline distT="0" distB="0" distL="0" distR="0" wp14:anchorId="5156E27E" wp14:editId="0D3BE4E7">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9371613" w14:textId="77777777" w:rsidR="00E9799D" w:rsidRDefault="00E9799D">
      <w:pPr>
        <w:jc w:val="center"/>
        <w:rPr>
          <w:rFonts w:ascii="Arial" w:hAnsi="Arial"/>
        </w:rPr>
      </w:pPr>
      <w:r>
        <w:rPr>
          <w:rFonts w:ascii="Arial" w:hAnsi="Arial"/>
        </w:rPr>
        <w:t>Australian Capital Territory</w:t>
      </w:r>
    </w:p>
    <w:p w14:paraId="1D525BAA" w14:textId="40398ACA" w:rsidR="00276764" w:rsidRPr="00F66CFF" w:rsidRDefault="00E9799D" w:rsidP="00F66CFF">
      <w:pPr>
        <w:pStyle w:val="Billname"/>
        <w:suppressLineNumbers/>
      </w:pPr>
      <w:bookmarkStart w:id="1" w:name="citation"/>
      <w:r>
        <w:t>Long Service Leave (Portable Schemes) Amendment Act 2019</w:t>
      </w:r>
      <w:bookmarkEnd w:id="1"/>
    </w:p>
    <w:p w14:paraId="7B933915" w14:textId="38BEDA43" w:rsidR="00276764" w:rsidRPr="00F66CFF" w:rsidRDefault="004C1D6F" w:rsidP="00F66CFF">
      <w:pPr>
        <w:pStyle w:val="ActNo"/>
        <w:suppressLineNumbers/>
      </w:pPr>
      <w:fldSimple w:instr=" DOCPROPERTY &quot;Category&quot;  \* MERGEFORMAT ">
        <w:r w:rsidR="008F08EB">
          <w:t>A2019-44</w:t>
        </w:r>
      </w:fldSimple>
    </w:p>
    <w:p w14:paraId="5A01E0E6" w14:textId="77777777" w:rsidR="00276764" w:rsidRPr="00F66CFF" w:rsidRDefault="00276764" w:rsidP="00F66CFF">
      <w:pPr>
        <w:pStyle w:val="N-line3"/>
        <w:suppressLineNumbers/>
      </w:pPr>
    </w:p>
    <w:p w14:paraId="320B2042" w14:textId="0CC814C2" w:rsidR="00276764" w:rsidRPr="00F66CFF" w:rsidRDefault="00276764" w:rsidP="00F66CFF">
      <w:pPr>
        <w:pStyle w:val="LongTitle"/>
        <w:suppressLineNumbers/>
      </w:pPr>
      <w:r w:rsidRPr="00F66CFF">
        <w:t xml:space="preserve">An Act to amend the </w:t>
      </w:r>
      <w:bookmarkStart w:id="2" w:name="AmCitation"/>
      <w:r w:rsidR="00BE53B4" w:rsidRPr="00F66CFF">
        <w:rPr>
          <w:rStyle w:val="charCitHyperlinkItal"/>
        </w:rPr>
        <w:fldChar w:fldCharType="begin"/>
      </w:r>
      <w:r w:rsidR="00666D05">
        <w:rPr>
          <w:rStyle w:val="charCitHyperlinkItal"/>
        </w:rPr>
        <w:instrText>HYPERLINK "http://www.legislation.act.gov.au/a/2009-25" \o "A2009-25"</w:instrText>
      </w:r>
      <w:r w:rsidR="00BE53B4" w:rsidRPr="00F66CFF">
        <w:rPr>
          <w:rStyle w:val="charCitHyperlinkItal"/>
        </w:rPr>
        <w:fldChar w:fldCharType="separate"/>
      </w:r>
      <w:r w:rsidR="00BE53B4" w:rsidRPr="00F66CFF">
        <w:rPr>
          <w:rStyle w:val="charCitHyperlinkItal"/>
        </w:rPr>
        <w:t>Long Service Leave (Portable Schemes) Act 2009</w:t>
      </w:r>
      <w:r w:rsidR="00BE53B4" w:rsidRPr="00F66CFF">
        <w:rPr>
          <w:rStyle w:val="charCitHyperlinkItal"/>
        </w:rPr>
        <w:fldChar w:fldCharType="end"/>
      </w:r>
      <w:bookmarkEnd w:id="2"/>
    </w:p>
    <w:p w14:paraId="6FE14A2F" w14:textId="77777777" w:rsidR="00276764" w:rsidRPr="00F66CFF" w:rsidRDefault="00276764" w:rsidP="00F66CFF">
      <w:pPr>
        <w:pStyle w:val="N-line3"/>
        <w:suppressLineNumbers/>
      </w:pPr>
    </w:p>
    <w:p w14:paraId="30E7CE7B" w14:textId="77777777" w:rsidR="00276764" w:rsidRPr="00F66CFF" w:rsidRDefault="00276764" w:rsidP="00F66CFF">
      <w:pPr>
        <w:pStyle w:val="Placeholder"/>
        <w:suppressLineNumbers/>
      </w:pPr>
      <w:r w:rsidRPr="00F66CFF">
        <w:rPr>
          <w:rStyle w:val="charContents"/>
          <w:sz w:val="16"/>
        </w:rPr>
        <w:t xml:space="preserve">  </w:t>
      </w:r>
      <w:r w:rsidRPr="00F66CFF">
        <w:rPr>
          <w:rStyle w:val="charPage"/>
        </w:rPr>
        <w:t xml:space="preserve">  </w:t>
      </w:r>
    </w:p>
    <w:p w14:paraId="47E9239E" w14:textId="77777777" w:rsidR="00276764" w:rsidRPr="00F66CFF" w:rsidRDefault="00276764" w:rsidP="00F66CFF">
      <w:pPr>
        <w:pStyle w:val="Placeholder"/>
        <w:suppressLineNumbers/>
      </w:pPr>
      <w:r w:rsidRPr="00F66CFF">
        <w:rPr>
          <w:rStyle w:val="CharChapNo"/>
        </w:rPr>
        <w:t xml:space="preserve">  </w:t>
      </w:r>
      <w:r w:rsidRPr="00F66CFF">
        <w:rPr>
          <w:rStyle w:val="CharChapText"/>
        </w:rPr>
        <w:t xml:space="preserve">  </w:t>
      </w:r>
    </w:p>
    <w:p w14:paraId="5608438E" w14:textId="77777777" w:rsidR="00276764" w:rsidRPr="00F66CFF" w:rsidRDefault="00276764" w:rsidP="00F66CFF">
      <w:pPr>
        <w:pStyle w:val="Placeholder"/>
        <w:suppressLineNumbers/>
      </w:pPr>
      <w:r w:rsidRPr="00F66CFF">
        <w:rPr>
          <w:rStyle w:val="CharPartNo"/>
        </w:rPr>
        <w:t xml:space="preserve">  </w:t>
      </w:r>
      <w:r w:rsidRPr="00F66CFF">
        <w:rPr>
          <w:rStyle w:val="CharPartText"/>
        </w:rPr>
        <w:t xml:space="preserve">  </w:t>
      </w:r>
    </w:p>
    <w:p w14:paraId="161492A7" w14:textId="77777777" w:rsidR="00276764" w:rsidRPr="00F66CFF" w:rsidRDefault="00276764" w:rsidP="00F66CFF">
      <w:pPr>
        <w:pStyle w:val="Placeholder"/>
        <w:suppressLineNumbers/>
      </w:pPr>
      <w:r w:rsidRPr="00F66CFF">
        <w:rPr>
          <w:rStyle w:val="CharDivNo"/>
        </w:rPr>
        <w:t xml:space="preserve">  </w:t>
      </w:r>
      <w:r w:rsidRPr="00F66CFF">
        <w:rPr>
          <w:rStyle w:val="CharDivText"/>
        </w:rPr>
        <w:t xml:space="preserve">  </w:t>
      </w:r>
    </w:p>
    <w:p w14:paraId="2E4AD202" w14:textId="77777777" w:rsidR="00276764" w:rsidRPr="00F66CFF" w:rsidRDefault="00276764" w:rsidP="00F66CFF">
      <w:pPr>
        <w:pStyle w:val="Notified"/>
        <w:suppressLineNumbers/>
      </w:pPr>
    </w:p>
    <w:p w14:paraId="07675931" w14:textId="77777777" w:rsidR="00276764" w:rsidRPr="00F66CFF" w:rsidRDefault="00276764" w:rsidP="00F66CFF">
      <w:pPr>
        <w:pStyle w:val="EnactingWords"/>
        <w:suppressLineNumbers/>
      </w:pPr>
      <w:r w:rsidRPr="00F66CFF">
        <w:t>The Legislative Assembly for the Australian Capital Territory enacts as follows:</w:t>
      </w:r>
    </w:p>
    <w:p w14:paraId="22D564B3" w14:textId="77777777" w:rsidR="00276764" w:rsidRPr="00F66CFF" w:rsidRDefault="00276764" w:rsidP="00F66CFF">
      <w:pPr>
        <w:pStyle w:val="PageBreak"/>
        <w:suppressLineNumbers/>
      </w:pPr>
      <w:r w:rsidRPr="00F66CFF">
        <w:br w:type="page"/>
      </w:r>
    </w:p>
    <w:p w14:paraId="6F84EDD5" w14:textId="77777777" w:rsidR="00276764" w:rsidRPr="00F66CFF" w:rsidRDefault="00F66CFF" w:rsidP="00F66CFF">
      <w:pPr>
        <w:pStyle w:val="AH5Sec"/>
        <w:shd w:val="pct25" w:color="auto" w:fill="auto"/>
      </w:pPr>
      <w:bookmarkStart w:id="3" w:name="_Toc22552808"/>
      <w:r w:rsidRPr="00F66CFF">
        <w:rPr>
          <w:rStyle w:val="CharSectNo"/>
        </w:rPr>
        <w:lastRenderedPageBreak/>
        <w:t>1</w:t>
      </w:r>
      <w:r w:rsidRPr="00F66CFF">
        <w:tab/>
      </w:r>
      <w:r w:rsidR="00276764" w:rsidRPr="00F66CFF">
        <w:t>Name of Act</w:t>
      </w:r>
      <w:bookmarkEnd w:id="3"/>
    </w:p>
    <w:p w14:paraId="59A4F72B" w14:textId="547CFF02" w:rsidR="00276764" w:rsidRPr="00F66CFF" w:rsidRDefault="00276764">
      <w:pPr>
        <w:pStyle w:val="Amainreturn"/>
      </w:pPr>
      <w:r w:rsidRPr="00F66CFF">
        <w:t xml:space="preserve">This Act is the </w:t>
      </w:r>
      <w:r w:rsidRPr="00F66CFF">
        <w:rPr>
          <w:i/>
        </w:rPr>
        <w:fldChar w:fldCharType="begin"/>
      </w:r>
      <w:r w:rsidRPr="00F66CFF">
        <w:rPr>
          <w:i/>
        </w:rPr>
        <w:instrText xml:space="preserve"> TITLE</w:instrText>
      </w:r>
      <w:r w:rsidRPr="00F66CFF">
        <w:rPr>
          <w:i/>
        </w:rPr>
        <w:fldChar w:fldCharType="separate"/>
      </w:r>
      <w:r w:rsidR="008F08EB">
        <w:rPr>
          <w:i/>
        </w:rPr>
        <w:t>Long Service Leave (Portable Schemes) Amendment Act 2019</w:t>
      </w:r>
      <w:r w:rsidRPr="00F66CFF">
        <w:rPr>
          <w:i/>
        </w:rPr>
        <w:fldChar w:fldCharType="end"/>
      </w:r>
      <w:r w:rsidRPr="00F66CFF">
        <w:t>.</w:t>
      </w:r>
    </w:p>
    <w:p w14:paraId="28AB10F4" w14:textId="77777777" w:rsidR="00276764" w:rsidRPr="00F66CFF" w:rsidRDefault="00F66CFF" w:rsidP="00F66CFF">
      <w:pPr>
        <w:pStyle w:val="AH5Sec"/>
        <w:shd w:val="pct25" w:color="auto" w:fill="auto"/>
      </w:pPr>
      <w:bookmarkStart w:id="4" w:name="_Toc22552809"/>
      <w:r w:rsidRPr="00F66CFF">
        <w:rPr>
          <w:rStyle w:val="CharSectNo"/>
        </w:rPr>
        <w:t>2</w:t>
      </w:r>
      <w:r w:rsidRPr="00F66CFF">
        <w:tab/>
      </w:r>
      <w:r w:rsidR="00276764" w:rsidRPr="00F66CFF">
        <w:t>Commencement</w:t>
      </w:r>
      <w:bookmarkEnd w:id="4"/>
    </w:p>
    <w:p w14:paraId="45B61C6F" w14:textId="77777777" w:rsidR="00276764" w:rsidRPr="00F66CFF" w:rsidRDefault="00276764" w:rsidP="00F66CFF">
      <w:pPr>
        <w:pStyle w:val="Amainreturn"/>
        <w:keepNext/>
      </w:pPr>
      <w:r w:rsidRPr="00F66CFF">
        <w:t xml:space="preserve">This Act commences on </w:t>
      </w:r>
      <w:r w:rsidR="005E4DC1" w:rsidRPr="00F66CFF">
        <w:t>1 January 2020</w:t>
      </w:r>
      <w:r w:rsidRPr="00F66CFF">
        <w:t>.</w:t>
      </w:r>
    </w:p>
    <w:p w14:paraId="766DA636" w14:textId="5A4FCC69" w:rsidR="00276764" w:rsidRPr="00F66CFF" w:rsidRDefault="00276764">
      <w:pPr>
        <w:pStyle w:val="aNote"/>
      </w:pPr>
      <w:r w:rsidRPr="00F66CFF">
        <w:rPr>
          <w:rStyle w:val="charItals"/>
        </w:rPr>
        <w:t>Note</w:t>
      </w:r>
      <w:r w:rsidRPr="00F66CFF">
        <w:rPr>
          <w:rStyle w:val="charItals"/>
        </w:rPr>
        <w:tab/>
      </w:r>
      <w:r w:rsidRPr="00F66CFF">
        <w:t xml:space="preserve">The naming and commencement provisions automatically commence on the notification day (see </w:t>
      </w:r>
      <w:hyperlink r:id="rId15" w:tooltip="A2001-14" w:history="1">
        <w:r w:rsidR="00BE53B4" w:rsidRPr="00F66CFF">
          <w:rPr>
            <w:rStyle w:val="charCitHyperlinkAbbrev"/>
          </w:rPr>
          <w:t>Legislation Act</w:t>
        </w:r>
      </w:hyperlink>
      <w:r w:rsidRPr="00F66CFF">
        <w:t>, s 75 (1)).</w:t>
      </w:r>
    </w:p>
    <w:p w14:paraId="678E684A" w14:textId="77777777" w:rsidR="00276764" w:rsidRPr="00F66CFF" w:rsidRDefault="00F66CFF" w:rsidP="00F66CFF">
      <w:pPr>
        <w:pStyle w:val="AH5Sec"/>
        <w:shd w:val="pct25" w:color="auto" w:fill="auto"/>
      </w:pPr>
      <w:bookmarkStart w:id="5" w:name="_Toc22552810"/>
      <w:r w:rsidRPr="00F66CFF">
        <w:rPr>
          <w:rStyle w:val="CharSectNo"/>
        </w:rPr>
        <w:t>3</w:t>
      </w:r>
      <w:r w:rsidRPr="00F66CFF">
        <w:tab/>
      </w:r>
      <w:r w:rsidR="00276764" w:rsidRPr="00F66CFF">
        <w:t>Legislation amended</w:t>
      </w:r>
      <w:bookmarkEnd w:id="5"/>
    </w:p>
    <w:p w14:paraId="5D43D6B1" w14:textId="4261CC6F" w:rsidR="00276764" w:rsidRPr="00F66CFF" w:rsidRDefault="00276764">
      <w:pPr>
        <w:pStyle w:val="Amainreturn"/>
      </w:pPr>
      <w:r w:rsidRPr="00F66CFF">
        <w:t xml:space="preserve">This Act amends the </w:t>
      </w:r>
      <w:hyperlink r:id="rId16" w:tooltip="A2009-25" w:history="1">
        <w:r w:rsidR="00BE53B4" w:rsidRPr="00F66CFF">
          <w:rPr>
            <w:rStyle w:val="charCitHyperlinkItal"/>
          </w:rPr>
          <w:t>Long Service Leave (Portable Schemes) Act 2009</w:t>
        </w:r>
      </w:hyperlink>
      <w:r w:rsidRPr="00F66CFF">
        <w:t>.</w:t>
      </w:r>
    </w:p>
    <w:p w14:paraId="0E902F27" w14:textId="77777777" w:rsidR="00160F1E" w:rsidRPr="00F66CFF" w:rsidRDefault="00F66CFF" w:rsidP="00F66CFF">
      <w:pPr>
        <w:pStyle w:val="AH5Sec"/>
        <w:shd w:val="pct25" w:color="auto" w:fill="auto"/>
      </w:pPr>
      <w:bookmarkStart w:id="6" w:name="_Toc22552811"/>
      <w:r w:rsidRPr="00F66CFF">
        <w:rPr>
          <w:rStyle w:val="CharSectNo"/>
        </w:rPr>
        <w:t>4</w:t>
      </w:r>
      <w:r w:rsidRPr="00F66CFF">
        <w:tab/>
      </w:r>
      <w:r w:rsidR="000462B7" w:rsidRPr="00F66CFF">
        <w:t>Section 10</w:t>
      </w:r>
      <w:bookmarkEnd w:id="6"/>
    </w:p>
    <w:p w14:paraId="4C6D9F64" w14:textId="77777777" w:rsidR="000462B7" w:rsidRPr="00F66CFF" w:rsidRDefault="000462B7" w:rsidP="000462B7">
      <w:pPr>
        <w:pStyle w:val="direction"/>
      </w:pPr>
      <w:r w:rsidRPr="00F66CFF">
        <w:t>substitute</w:t>
      </w:r>
    </w:p>
    <w:p w14:paraId="2488B052" w14:textId="77777777" w:rsidR="000462B7" w:rsidRPr="00F66CFF" w:rsidRDefault="000462B7" w:rsidP="000462B7">
      <w:pPr>
        <w:pStyle w:val="IH5Sec"/>
      </w:pPr>
      <w:r w:rsidRPr="00F66CFF">
        <w:t>10</w:t>
      </w:r>
      <w:r w:rsidRPr="00F66CFF">
        <w:tab/>
        <w:t xml:space="preserve">Who is a </w:t>
      </w:r>
      <w:r w:rsidRPr="00F66CFF">
        <w:rPr>
          <w:rStyle w:val="charItals"/>
        </w:rPr>
        <w:t>volunt</w:t>
      </w:r>
      <w:r w:rsidR="00A01CB2" w:rsidRPr="00F66CFF">
        <w:rPr>
          <w:rStyle w:val="charItals"/>
        </w:rPr>
        <w:t>ary</w:t>
      </w:r>
      <w:r w:rsidRPr="00F66CFF">
        <w:rPr>
          <w:rStyle w:val="charItals"/>
        </w:rPr>
        <w:t xml:space="preserve"> member</w:t>
      </w:r>
      <w:r w:rsidRPr="00F66CFF">
        <w:t>?</w:t>
      </w:r>
    </w:p>
    <w:p w14:paraId="2AE11055" w14:textId="77777777" w:rsidR="000462B7" w:rsidRPr="00F66CFF" w:rsidRDefault="000462B7" w:rsidP="000462B7">
      <w:pPr>
        <w:pStyle w:val="IMain"/>
      </w:pPr>
      <w:r w:rsidRPr="00F66CFF">
        <w:tab/>
        <w:t>(1)</w:t>
      </w:r>
      <w:r w:rsidRPr="00F66CFF">
        <w:tab/>
        <w:t xml:space="preserve">An individual is </w:t>
      </w:r>
      <w:r w:rsidR="0016099A" w:rsidRPr="00F66CFF">
        <w:t xml:space="preserve">a </w:t>
      </w:r>
      <w:r w:rsidR="00A01CB2" w:rsidRPr="00F66CFF">
        <w:rPr>
          <w:rStyle w:val="charBoldItals"/>
        </w:rPr>
        <w:t>voluntary</w:t>
      </w:r>
      <w:r w:rsidR="0016099A" w:rsidRPr="00F66CFF">
        <w:rPr>
          <w:rStyle w:val="charBoldItals"/>
        </w:rPr>
        <w:t xml:space="preserve"> member</w:t>
      </w:r>
      <w:r w:rsidRPr="00F66CFF">
        <w:t xml:space="preserve"> for a covered industry if—</w:t>
      </w:r>
    </w:p>
    <w:p w14:paraId="173C5EDA" w14:textId="77777777" w:rsidR="000462B7" w:rsidRPr="00F66CFF" w:rsidRDefault="000462B7" w:rsidP="000462B7">
      <w:pPr>
        <w:pStyle w:val="Ipara"/>
      </w:pPr>
      <w:r w:rsidRPr="00F66CFF">
        <w:tab/>
        <w:t>(a)</w:t>
      </w:r>
      <w:r w:rsidRPr="00F66CFF">
        <w:tab/>
        <w:t>the individual is—</w:t>
      </w:r>
    </w:p>
    <w:p w14:paraId="020FA019" w14:textId="77777777" w:rsidR="000462B7" w:rsidRPr="00F66CFF" w:rsidRDefault="000462B7" w:rsidP="000462B7">
      <w:pPr>
        <w:pStyle w:val="Isubpara"/>
      </w:pPr>
      <w:r w:rsidRPr="00F66CFF">
        <w:tab/>
        <w:t>(i)</w:t>
      </w:r>
      <w:r w:rsidRPr="00F66CFF">
        <w:tab/>
        <w:t>a contractor; or</w:t>
      </w:r>
    </w:p>
    <w:p w14:paraId="2C7D9CD3" w14:textId="77777777" w:rsidR="0065533C" w:rsidRPr="00F66CFF" w:rsidRDefault="000462B7" w:rsidP="000462B7">
      <w:pPr>
        <w:pStyle w:val="Isubpara"/>
      </w:pPr>
      <w:r w:rsidRPr="00F66CFF">
        <w:tab/>
        <w:t>(ii)</w:t>
      </w:r>
      <w:r w:rsidRPr="00F66CFF">
        <w:tab/>
        <w:t xml:space="preserve">a working director; </w:t>
      </w:r>
      <w:r w:rsidR="00B2477A" w:rsidRPr="00F66CFF">
        <w:t>or</w:t>
      </w:r>
    </w:p>
    <w:p w14:paraId="69F617E7" w14:textId="77777777" w:rsidR="000462B7" w:rsidRPr="00F66CFF" w:rsidRDefault="0065533C" w:rsidP="0065533C">
      <w:pPr>
        <w:pStyle w:val="Isubpara"/>
      </w:pPr>
      <w:r w:rsidRPr="00F66CFF">
        <w:tab/>
        <w:t>(iii)</w:t>
      </w:r>
      <w:r w:rsidRPr="00F66CFF">
        <w:tab/>
        <w:t xml:space="preserve">declared to be a </w:t>
      </w:r>
      <w:r w:rsidR="00A01CB2" w:rsidRPr="00F66CFF">
        <w:t>voluntary</w:t>
      </w:r>
      <w:r w:rsidRPr="00F66CFF">
        <w:t xml:space="preserve"> member for the industry under section 12; </w:t>
      </w:r>
      <w:r w:rsidR="000462B7" w:rsidRPr="00F66CFF">
        <w:t>and</w:t>
      </w:r>
    </w:p>
    <w:p w14:paraId="20FFF42D" w14:textId="77777777" w:rsidR="000462B7" w:rsidRPr="00F66CFF" w:rsidRDefault="000462B7" w:rsidP="000462B7">
      <w:pPr>
        <w:pStyle w:val="Ipara"/>
      </w:pPr>
      <w:r w:rsidRPr="00F66CFF">
        <w:tab/>
        <w:t>(b)</w:t>
      </w:r>
      <w:r w:rsidRPr="00F66CFF">
        <w:tab/>
        <w:t xml:space="preserve">the individual is not declared not to be a </w:t>
      </w:r>
      <w:r w:rsidR="00A01CB2" w:rsidRPr="00F66CFF">
        <w:t>voluntary</w:t>
      </w:r>
      <w:r w:rsidRPr="00F66CFF">
        <w:t xml:space="preserve"> member for the industry under section 13.</w:t>
      </w:r>
    </w:p>
    <w:p w14:paraId="16473479" w14:textId="77777777" w:rsidR="000462B7" w:rsidRPr="00F66CFF" w:rsidRDefault="000462B7" w:rsidP="000462B7">
      <w:pPr>
        <w:pStyle w:val="IMain"/>
      </w:pPr>
      <w:r w:rsidRPr="00F66CFF">
        <w:tab/>
        <w:t>(2)</w:t>
      </w:r>
      <w:r w:rsidRPr="00F66CFF">
        <w:tab/>
        <w:t>In this section:</w:t>
      </w:r>
    </w:p>
    <w:p w14:paraId="44B4BC6E" w14:textId="77777777" w:rsidR="000462B7" w:rsidRPr="00F66CFF" w:rsidRDefault="000462B7" w:rsidP="00F66CFF">
      <w:pPr>
        <w:pStyle w:val="aDef"/>
      </w:pPr>
      <w:r w:rsidRPr="00F66CFF">
        <w:rPr>
          <w:rStyle w:val="charBoldItals"/>
        </w:rPr>
        <w:t>contractor</w:t>
      </w:r>
      <w:r w:rsidRPr="00F66CFF">
        <w:t xml:space="preserve"> means an individual </w:t>
      </w:r>
      <w:r w:rsidR="00B2477A" w:rsidRPr="00F66CFF">
        <w:t xml:space="preserve">(other than an employee) </w:t>
      </w:r>
      <w:r w:rsidRPr="00F66CFF">
        <w:t>who carries out work in the industry for another person for fee or reward on the individual’s own account.</w:t>
      </w:r>
    </w:p>
    <w:p w14:paraId="64ADA3D2" w14:textId="77777777" w:rsidR="000462B7" w:rsidRPr="00F66CFF" w:rsidRDefault="000462B7" w:rsidP="00F66CFF">
      <w:pPr>
        <w:pStyle w:val="aDef"/>
      </w:pPr>
      <w:r w:rsidRPr="00F66CFF">
        <w:rPr>
          <w:rStyle w:val="charBoldItals"/>
        </w:rPr>
        <w:lastRenderedPageBreak/>
        <w:t>working director</w:t>
      </w:r>
      <w:r w:rsidRPr="00F66CFF">
        <w:t xml:space="preserve"> means a person who is both a director and an employee of a company.</w:t>
      </w:r>
    </w:p>
    <w:p w14:paraId="7472A3A6" w14:textId="77777777" w:rsidR="007360AB" w:rsidRPr="00F66CFF" w:rsidRDefault="00F66CFF" w:rsidP="00F66CFF">
      <w:pPr>
        <w:pStyle w:val="AH5Sec"/>
        <w:shd w:val="pct25" w:color="auto" w:fill="auto"/>
      </w:pPr>
      <w:bookmarkStart w:id="7" w:name="_Toc22552812"/>
      <w:r w:rsidRPr="00F66CFF">
        <w:rPr>
          <w:rStyle w:val="CharSectNo"/>
        </w:rPr>
        <w:t>5</w:t>
      </w:r>
      <w:r w:rsidRPr="00F66CFF">
        <w:tab/>
      </w:r>
      <w:r w:rsidR="007360AB" w:rsidRPr="00F66CFF">
        <w:t>Service credit—employee’s prior service</w:t>
      </w:r>
      <w:r w:rsidR="007360AB" w:rsidRPr="00F66CFF">
        <w:br/>
        <w:t>Section 47 (1)</w:t>
      </w:r>
      <w:bookmarkEnd w:id="7"/>
    </w:p>
    <w:p w14:paraId="6CFD1AE0" w14:textId="77777777" w:rsidR="007360AB" w:rsidRPr="00F66CFF" w:rsidRDefault="00734B8B" w:rsidP="007360AB">
      <w:pPr>
        <w:pStyle w:val="direction"/>
      </w:pPr>
      <w:r w:rsidRPr="00F66CFF">
        <w:t>o</w:t>
      </w:r>
      <w:r w:rsidR="007360AB" w:rsidRPr="00F66CFF">
        <w:t>mit</w:t>
      </w:r>
    </w:p>
    <w:p w14:paraId="44FD0214" w14:textId="77777777" w:rsidR="007360AB" w:rsidRPr="00F66CFF" w:rsidRDefault="00734B8B" w:rsidP="007360AB">
      <w:pPr>
        <w:pStyle w:val="Amainreturn"/>
      </w:pPr>
      <w:r w:rsidRPr="00F66CFF">
        <w:t>n</w:t>
      </w:r>
      <w:r w:rsidR="007360AB" w:rsidRPr="00F66CFF">
        <w:t>o earlier than 4 years</w:t>
      </w:r>
    </w:p>
    <w:p w14:paraId="3945991A" w14:textId="77777777" w:rsidR="00C11C6C" w:rsidRPr="00F66CFF" w:rsidRDefault="00F66CFF" w:rsidP="00F66CFF">
      <w:pPr>
        <w:pStyle w:val="AH5Sec"/>
        <w:shd w:val="pct25" w:color="auto" w:fill="auto"/>
      </w:pPr>
      <w:bookmarkStart w:id="8" w:name="_Toc22552813"/>
      <w:r w:rsidRPr="00F66CFF">
        <w:rPr>
          <w:rStyle w:val="CharSectNo"/>
        </w:rPr>
        <w:t>6</w:t>
      </w:r>
      <w:r w:rsidRPr="00F66CFF">
        <w:tab/>
      </w:r>
      <w:r w:rsidR="00C11C6C" w:rsidRPr="00F66CFF">
        <w:t>Section 47 (3)</w:t>
      </w:r>
      <w:r w:rsidR="00FD4A23" w:rsidRPr="00F66CFF">
        <w:t xml:space="preserve"> and example and note</w:t>
      </w:r>
      <w:bookmarkEnd w:id="8"/>
    </w:p>
    <w:p w14:paraId="3E0F3A23" w14:textId="77777777" w:rsidR="00C05142" w:rsidRPr="00F66CFF" w:rsidRDefault="00C05142" w:rsidP="00C05142">
      <w:pPr>
        <w:pStyle w:val="direction"/>
      </w:pPr>
      <w:r w:rsidRPr="00F66CFF">
        <w:t>substitute</w:t>
      </w:r>
    </w:p>
    <w:p w14:paraId="69361353" w14:textId="77777777" w:rsidR="00C05142" w:rsidRPr="00F66CFF" w:rsidRDefault="00C05142" w:rsidP="00C05142">
      <w:pPr>
        <w:pStyle w:val="IMain"/>
      </w:pPr>
      <w:r w:rsidRPr="00F66CFF">
        <w:tab/>
        <w:t>(3)</w:t>
      </w:r>
      <w:r w:rsidRPr="00F66CFF">
        <w:tab/>
        <w:t xml:space="preserve">If subsection (2) does not apply, the registrar may credit the employee with 1 day of service in the workers register for the covered industry for each day of the employee’s service in the covered industry, up to a maximum of 1 year, </w:t>
      </w:r>
      <w:r w:rsidR="009B52AA" w:rsidRPr="00F66CFF">
        <w:t xml:space="preserve">before the employee’s registration </w:t>
      </w:r>
      <w:r w:rsidRPr="00F66CFF">
        <w:t>if the registrar is satisfied that the person was employed in the covered industry.</w:t>
      </w:r>
    </w:p>
    <w:p w14:paraId="5A904359" w14:textId="77777777" w:rsidR="00C05142" w:rsidRPr="00F66CFF" w:rsidRDefault="00C05142" w:rsidP="00C05142">
      <w:pPr>
        <w:pStyle w:val="aExamHdgss"/>
      </w:pPr>
      <w:r w:rsidRPr="00F66CFF">
        <w:t>Example</w:t>
      </w:r>
    </w:p>
    <w:p w14:paraId="6B749242" w14:textId="77777777" w:rsidR="00C05142" w:rsidRPr="00F66CFF" w:rsidRDefault="00C05142" w:rsidP="00C05142">
      <w:pPr>
        <w:pStyle w:val="aExamss"/>
        <w:keepNext/>
      </w:pPr>
      <w:r w:rsidRPr="00F66CFF">
        <w:t>The registrar is satisfied that Joe, before his registration day, had separate periods of service as an employee in the contract cleaning industry of 25 and 125 days.  The registrar may credit Joe in the workers register for the contract cleaning industry with 150 days (being less than 1 year) of service.</w:t>
      </w:r>
    </w:p>
    <w:p w14:paraId="721BE183" w14:textId="77777777" w:rsidR="00425D2A" w:rsidRPr="00F66CFF" w:rsidRDefault="00F66CFF" w:rsidP="00F66CFF">
      <w:pPr>
        <w:pStyle w:val="AH5Sec"/>
        <w:shd w:val="pct25" w:color="auto" w:fill="auto"/>
      </w:pPr>
      <w:bookmarkStart w:id="9" w:name="_Toc22552814"/>
      <w:r w:rsidRPr="00F66CFF">
        <w:rPr>
          <w:rStyle w:val="CharSectNo"/>
        </w:rPr>
        <w:t>7</w:t>
      </w:r>
      <w:r w:rsidRPr="00F66CFF">
        <w:tab/>
      </w:r>
      <w:r w:rsidR="00425D2A" w:rsidRPr="00F66CFF">
        <w:t>New section 47A</w:t>
      </w:r>
      <w:bookmarkEnd w:id="9"/>
    </w:p>
    <w:p w14:paraId="32A76264" w14:textId="77777777" w:rsidR="00425D2A" w:rsidRPr="00F66CFF" w:rsidRDefault="00425D2A" w:rsidP="00425D2A">
      <w:pPr>
        <w:pStyle w:val="direction"/>
      </w:pPr>
      <w:r w:rsidRPr="00F66CFF">
        <w:t>insert</w:t>
      </w:r>
    </w:p>
    <w:p w14:paraId="5A765D49" w14:textId="77777777" w:rsidR="00425D2A" w:rsidRPr="00F66CFF" w:rsidRDefault="00425D2A" w:rsidP="00425D2A">
      <w:pPr>
        <w:pStyle w:val="IH5Sec"/>
      </w:pPr>
      <w:r w:rsidRPr="00F66CFF">
        <w:t>47A</w:t>
      </w:r>
      <w:r w:rsidRPr="00F66CFF">
        <w:tab/>
      </w:r>
      <w:r w:rsidR="004414E0" w:rsidRPr="00F66CFF">
        <w:t>Service credit—</w:t>
      </w:r>
      <w:r w:rsidR="00526CB0" w:rsidRPr="00F66CFF">
        <w:t>unreported service</w:t>
      </w:r>
    </w:p>
    <w:p w14:paraId="09E593E3" w14:textId="77777777" w:rsidR="007362DE" w:rsidRPr="00F66CFF" w:rsidRDefault="00F66CFF" w:rsidP="00F66CFF">
      <w:pPr>
        <w:pStyle w:val="Amain"/>
      </w:pPr>
      <w:r>
        <w:tab/>
      </w:r>
      <w:r w:rsidRPr="00F66CFF">
        <w:t>(1)</w:t>
      </w:r>
      <w:r w:rsidRPr="00F66CFF">
        <w:tab/>
      </w:r>
      <w:r w:rsidR="00526CB0" w:rsidRPr="00F66CFF">
        <w:t>This section applies in relation to an employee’s service in a covered industry for work in the industry if</w:t>
      </w:r>
      <w:r w:rsidR="007362DE" w:rsidRPr="00F66CFF">
        <w:t>—</w:t>
      </w:r>
    </w:p>
    <w:p w14:paraId="47672130" w14:textId="77777777" w:rsidR="00346B90" w:rsidRPr="00F66CFF" w:rsidRDefault="00B077A6" w:rsidP="00B077A6">
      <w:pPr>
        <w:pStyle w:val="Ipara"/>
      </w:pPr>
      <w:r w:rsidRPr="00F66CFF">
        <w:tab/>
        <w:t>(a)</w:t>
      </w:r>
      <w:r w:rsidRPr="00F66CFF">
        <w:tab/>
      </w:r>
      <w:r w:rsidR="00526CB0" w:rsidRPr="00F66CFF">
        <w:t>the employee</w:t>
      </w:r>
      <w:r w:rsidR="007362DE" w:rsidRPr="00F66CFF">
        <w:t xml:space="preserve"> </w:t>
      </w:r>
      <w:r w:rsidR="00346B90" w:rsidRPr="00F66CFF">
        <w:t>is a registered worker in a covered industry; and</w:t>
      </w:r>
    </w:p>
    <w:p w14:paraId="5A711157" w14:textId="77777777" w:rsidR="00526CB0" w:rsidRPr="00F66CFF" w:rsidRDefault="00B077A6" w:rsidP="00B077A6">
      <w:pPr>
        <w:pStyle w:val="Ipara"/>
      </w:pPr>
      <w:r w:rsidRPr="00F66CFF">
        <w:tab/>
        <w:t>(b)</w:t>
      </w:r>
      <w:r w:rsidRPr="00F66CFF">
        <w:tab/>
      </w:r>
      <w:r w:rsidR="00346B90" w:rsidRPr="00F66CFF">
        <w:t>the</w:t>
      </w:r>
      <w:r w:rsidR="00526CB0" w:rsidRPr="00F66CFF">
        <w:t xml:space="preserve"> employe</w:t>
      </w:r>
      <w:r w:rsidR="00346B90" w:rsidRPr="00F66CFF">
        <w:t xml:space="preserve">e’s employer </w:t>
      </w:r>
      <w:r w:rsidR="00526CB0" w:rsidRPr="00F66CFF">
        <w:t>has failed to</w:t>
      </w:r>
      <w:r w:rsidRPr="00F66CFF">
        <w:t xml:space="preserve"> </w:t>
      </w:r>
      <w:r w:rsidR="00526CB0" w:rsidRPr="00F66CFF">
        <w:t xml:space="preserve">give the authority a return </w:t>
      </w:r>
      <w:r w:rsidR="00C11C6C" w:rsidRPr="00F66CFF">
        <w:t xml:space="preserve">(a </w:t>
      </w:r>
      <w:r w:rsidR="00C11C6C" w:rsidRPr="00F66CFF">
        <w:rPr>
          <w:rStyle w:val="charBoldItals"/>
        </w:rPr>
        <w:t>quarterly return</w:t>
      </w:r>
      <w:r w:rsidR="00C11C6C" w:rsidRPr="00F66CFF">
        <w:t xml:space="preserve">) </w:t>
      </w:r>
      <w:r w:rsidR="00526CB0" w:rsidRPr="00F66CFF">
        <w:t>under section 49; and</w:t>
      </w:r>
    </w:p>
    <w:p w14:paraId="3EB32DD1" w14:textId="77777777" w:rsidR="00526CB0" w:rsidRPr="00F66CFF" w:rsidRDefault="00B077A6" w:rsidP="000C0859">
      <w:pPr>
        <w:pStyle w:val="Ipara"/>
      </w:pPr>
      <w:r w:rsidRPr="00F66CFF">
        <w:lastRenderedPageBreak/>
        <w:tab/>
        <w:t>(c)</w:t>
      </w:r>
      <w:r w:rsidRPr="00F66CFF">
        <w:tab/>
      </w:r>
      <w:r w:rsidR="00346B90" w:rsidRPr="00F66CFF">
        <w:t>the employee’s employer</w:t>
      </w:r>
      <w:r w:rsidR="000C0859" w:rsidRPr="00F66CFF">
        <w:t xml:space="preserve"> </w:t>
      </w:r>
      <w:r w:rsidRPr="00F66CFF">
        <w:t>ceases to trade in the ACT</w:t>
      </w:r>
      <w:r w:rsidR="00526CB0" w:rsidRPr="00F66CFF">
        <w:t>.</w:t>
      </w:r>
    </w:p>
    <w:p w14:paraId="7AF18463" w14:textId="77777777" w:rsidR="00526CB0" w:rsidRPr="00F66CFF" w:rsidRDefault="00526CB0" w:rsidP="00526CB0">
      <w:pPr>
        <w:pStyle w:val="IMain"/>
      </w:pPr>
      <w:r w:rsidRPr="00F66CFF">
        <w:tab/>
        <w:t>(2)</w:t>
      </w:r>
      <w:r w:rsidRPr="00F66CFF">
        <w:tab/>
        <w:t xml:space="preserve">The registrar may credit the employee with 1 day of service in the workers register for the covered industry for each day of </w:t>
      </w:r>
      <w:r w:rsidR="000C0859" w:rsidRPr="00F66CFF">
        <w:t xml:space="preserve">the employee’s </w:t>
      </w:r>
      <w:r w:rsidRPr="00F66CFF">
        <w:t>service</w:t>
      </w:r>
      <w:r w:rsidR="000C0859" w:rsidRPr="00F66CFF">
        <w:t xml:space="preserve"> in the covered industry</w:t>
      </w:r>
      <w:r w:rsidR="00B077A6" w:rsidRPr="00F66CFF">
        <w:t>, up to a maximum of</w:t>
      </w:r>
      <w:r w:rsidRPr="00F66CFF">
        <w:t xml:space="preserve"> 1</w:t>
      </w:r>
      <w:r w:rsidR="00B077A6" w:rsidRPr="00F66CFF">
        <w:t xml:space="preserve"> </w:t>
      </w:r>
      <w:r w:rsidRPr="00F66CFF">
        <w:t>year</w:t>
      </w:r>
      <w:r w:rsidR="00B077A6" w:rsidRPr="00F66CFF">
        <w:t>,</w:t>
      </w:r>
      <w:r w:rsidR="007362DE" w:rsidRPr="00F66CFF">
        <w:t xml:space="preserve"> if the registrar is satisfied that—</w:t>
      </w:r>
    </w:p>
    <w:p w14:paraId="1E70C586" w14:textId="77777777" w:rsidR="007362DE" w:rsidRPr="00F66CFF" w:rsidRDefault="007362DE" w:rsidP="00346B90">
      <w:pPr>
        <w:pStyle w:val="Ipara"/>
      </w:pPr>
      <w:r w:rsidRPr="00F66CFF">
        <w:tab/>
        <w:t>(a)</w:t>
      </w:r>
      <w:r w:rsidRPr="00F66CFF">
        <w:tab/>
        <w:t>the employee was</w:t>
      </w:r>
      <w:r w:rsidR="00346B90" w:rsidRPr="00F66CFF">
        <w:t xml:space="preserve"> </w:t>
      </w:r>
      <w:r w:rsidRPr="00F66CFF">
        <w:t xml:space="preserve">employed in the covered industry; and </w:t>
      </w:r>
    </w:p>
    <w:p w14:paraId="67566D62" w14:textId="77777777" w:rsidR="007362DE" w:rsidRPr="00F66CFF" w:rsidRDefault="007362DE" w:rsidP="007362DE">
      <w:pPr>
        <w:pStyle w:val="Ipara"/>
      </w:pPr>
      <w:r w:rsidRPr="00F66CFF">
        <w:tab/>
        <w:t>(b)</w:t>
      </w:r>
      <w:r w:rsidRPr="00F66CFF">
        <w:tab/>
      </w:r>
      <w:r w:rsidR="00346B90" w:rsidRPr="00F66CFF">
        <w:t xml:space="preserve">a </w:t>
      </w:r>
      <w:r w:rsidR="00C11C6C" w:rsidRPr="00F66CFF">
        <w:t xml:space="preserve">quarterly </w:t>
      </w:r>
      <w:r w:rsidR="00346B90" w:rsidRPr="00F66CFF">
        <w:t xml:space="preserve">return </w:t>
      </w:r>
      <w:r w:rsidR="00C11C6C" w:rsidRPr="00F66CFF">
        <w:t xml:space="preserve">has not been given to the authority </w:t>
      </w:r>
      <w:r w:rsidRPr="00F66CFF">
        <w:t>in relation to the employee’s day of service.</w:t>
      </w:r>
    </w:p>
    <w:p w14:paraId="79AF4248" w14:textId="77777777" w:rsidR="00DE0FE3" w:rsidRPr="00F66CFF" w:rsidRDefault="00DE0FE3" w:rsidP="00FD4A23">
      <w:pPr>
        <w:pStyle w:val="aExamHdgss"/>
      </w:pPr>
      <w:r w:rsidRPr="00F66CFF">
        <w:t>Example</w:t>
      </w:r>
    </w:p>
    <w:p w14:paraId="538EC3C2" w14:textId="77777777" w:rsidR="00DE0FE3" w:rsidRPr="00F66CFF" w:rsidRDefault="00DE0FE3" w:rsidP="00FD4A23">
      <w:pPr>
        <w:pStyle w:val="aExamss"/>
      </w:pPr>
      <w:r w:rsidRPr="00F66CFF">
        <w:t xml:space="preserve">Belinda worked </w:t>
      </w:r>
      <w:r w:rsidR="00840390" w:rsidRPr="00F66CFF">
        <w:t xml:space="preserve">in the security industry </w:t>
      </w:r>
      <w:r w:rsidRPr="00F66CFF">
        <w:t xml:space="preserve">for </w:t>
      </w:r>
      <w:r w:rsidR="00840390" w:rsidRPr="00F66CFF">
        <w:t>Moonlight Security Pty Ltd for</w:t>
      </w:r>
      <w:r w:rsidR="00FD4A23" w:rsidRPr="00F66CFF">
        <w:t> </w:t>
      </w:r>
      <w:r w:rsidR="00840390" w:rsidRPr="00F66CFF">
        <w:t>30</w:t>
      </w:r>
      <w:r w:rsidR="00FD4A23" w:rsidRPr="00F66CFF">
        <w:t> </w:t>
      </w:r>
      <w:r w:rsidR="00840390" w:rsidRPr="00F66CFF">
        <w:t>days in the quarter before the company ceased trading and went into liquidation without giving a return to the authority for the period Belinda worked.  She then started work in the same covered industry for Bob the Bouncer for 45 days.  Bob the Bouncer also failed to give a return in relation to Belinda’s employment, but continues to operate in the industry.  The registrar is satisfied that Belinda works as an employee in the security industry, and that quarterly returns have not be</w:t>
      </w:r>
      <w:r w:rsidR="00FD4A23" w:rsidRPr="00F66CFF">
        <w:t>en</w:t>
      </w:r>
      <w:r w:rsidR="00840390" w:rsidRPr="00F66CFF">
        <w:t xml:space="preserve"> given to the authority in relation to Belinda’s employment with either employer.  The registrar may credit Belinda in the workers register for the security industry with </w:t>
      </w:r>
      <w:r w:rsidR="0074494A" w:rsidRPr="00F66CFF">
        <w:t>75</w:t>
      </w:r>
      <w:r w:rsidR="00840390" w:rsidRPr="00F66CFF">
        <w:t xml:space="preserve"> days (being less than 1 year) of service. </w:t>
      </w:r>
    </w:p>
    <w:p w14:paraId="26F8D035" w14:textId="77777777" w:rsidR="000D1D34" w:rsidRPr="00F66CFF" w:rsidRDefault="00F66CFF" w:rsidP="00F66CFF">
      <w:pPr>
        <w:pStyle w:val="AH5Sec"/>
        <w:shd w:val="pct25" w:color="auto" w:fill="auto"/>
      </w:pPr>
      <w:bookmarkStart w:id="10" w:name="_Toc22552815"/>
      <w:r w:rsidRPr="00F66CFF">
        <w:rPr>
          <w:rStyle w:val="CharSectNo"/>
        </w:rPr>
        <w:t>8</w:t>
      </w:r>
      <w:r w:rsidRPr="00F66CFF">
        <w:tab/>
      </w:r>
      <w:r w:rsidR="000D1D34" w:rsidRPr="00F66CFF">
        <w:t>Section 49</w:t>
      </w:r>
      <w:bookmarkEnd w:id="10"/>
    </w:p>
    <w:p w14:paraId="325835DB" w14:textId="77777777" w:rsidR="001E00B8" w:rsidRPr="00F66CFF" w:rsidRDefault="001E00B8" w:rsidP="001E00B8">
      <w:pPr>
        <w:pStyle w:val="direction"/>
      </w:pPr>
      <w:r w:rsidRPr="00F66CFF">
        <w:t>substitute</w:t>
      </w:r>
    </w:p>
    <w:p w14:paraId="7D16D9AA" w14:textId="77777777" w:rsidR="001E00B8" w:rsidRPr="00F66CFF" w:rsidRDefault="001E00B8" w:rsidP="001E00B8">
      <w:pPr>
        <w:pStyle w:val="IH5Sec"/>
      </w:pPr>
      <w:r w:rsidRPr="00F66CFF">
        <w:t>49</w:t>
      </w:r>
      <w:r w:rsidRPr="00F66CFF">
        <w:tab/>
        <w:t>Quarterly returns by employers</w:t>
      </w:r>
    </w:p>
    <w:p w14:paraId="70A9370E" w14:textId="77777777" w:rsidR="001E00B8" w:rsidRPr="00F66CFF" w:rsidRDefault="001E00B8" w:rsidP="00F66CFF">
      <w:pPr>
        <w:pStyle w:val="IMain"/>
        <w:keepNext/>
      </w:pPr>
      <w:r w:rsidRPr="00F66CFF">
        <w:tab/>
        <w:t>(1)</w:t>
      </w:r>
      <w:r w:rsidRPr="00F66CFF">
        <w:tab/>
        <w:t xml:space="preserve">A person who is an employer for a covered industry during a quarter must give the authority a return (a </w:t>
      </w:r>
      <w:r w:rsidRPr="00F66CFF">
        <w:rPr>
          <w:rStyle w:val="charBoldItals"/>
        </w:rPr>
        <w:t>quarterly return</w:t>
      </w:r>
      <w:r w:rsidRPr="00F66CFF">
        <w:t>) containing the required information for the quarter.</w:t>
      </w:r>
    </w:p>
    <w:p w14:paraId="26B20E4C" w14:textId="77777777" w:rsidR="002369D6" w:rsidRPr="00F66CFF" w:rsidRDefault="002369D6" w:rsidP="002369D6">
      <w:pPr>
        <w:pStyle w:val="aNote"/>
      </w:pPr>
      <w:r w:rsidRPr="00F66CFF">
        <w:rPr>
          <w:rStyle w:val="charItals"/>
        </w:rPr>
        <w:t>Note</w:t>
      </w:r>
      <w:r w:rsidRPr="00F66CFF">
        <w:rPr>
          <w:rStyle w:val="charItals"/>
        </w:rPr>
        <w:tab/>
      </w:r>
      <w:r w:rsidRPr="00F66CFF">
        <w:t>A late fee is payable if a quarterly return is not given to the authority within the later of 1 month after the end of the quarter and any additional time allowed by the registrar (see s 49A).</w:t>
      </w:r>
    </w:p>
    <w:p w14:paraId="17DB36FA" w14:textId="77777777" w:rsidR="001E00B8" w:rsidRPr="00F66CFF" w:rsidRDefault="001E00B8" w:rsidP="001E00B8">
      <w:pPr>
        <w:pStyle w:val="IMain"/>
      </w:pPr>
      <w:r w:rsidRPr="00F66CFF">
        <w:tab/>
        <w:t>(2)</w:t>
      </w:r>
      <w:r w:rsidRPr="00F66CFF">
        <w:tab/>
        <w:t>A person commits an offence if the person—</w:t>
      </w:r>
    </w:p>
    <w:p w14:paraId="4FD8E598" w14:textId="77777777" w:rsidR="001E00B8" w:rsidRPr="00F66CFF" w:rsidRDefault="001E00B8" w:rsidP="001E00B8">
      <w:pPr>
        <w:pStyle w:val="Ipara"/>
      </w:pPr>
      <w:r w:rsidRPr="00F66CFF">
        <w:tab/>
        <w:t>(a)</w:t>
      </w:r>
      <w:r w:rsidRPr="00F66CFF">
        <w:tab/>
        <w:t>is required to give the authority a quarterly return for a quarter; and</w:t>
      </w:r>
    </w:p>
    <w:p w14:paraId="4EECCAB7" w14:textId="77777777" w:rsidR="001E00B8" w:rsidRPr="00F66CFF" w:rsidRDefault="001E00B8" w:rsidP="001E00B8">
      <w:pPr>
        <w:pStyle w:val="Ipara"/>
      </w:pPr>
      <w:r w:rsidRPr="00F66CFF">
        <w:lastRenderedPageBreak/>
        <w:tab/>
        <w:t>(b)</w:t>
      </w:r>
      <w:r w:rsidRPr="00F66CFF">
        <w:tab/>
        <w:t>fails to give the quarterly return to the authority within</w:t>
      </w:r>
      <w:r w:rsidR="00384DC9" w:rsidRPr="00F66CFF">
        <w:t xml:space="preserve"> the later of</w:t>
      </w:r>
      <w:r w:rsidRPr="00F66CFF">
        <w:t>—</w:t>
      </w:r>
    </w:p>
    <w:p w14:paraId="6D29A7CB" w14:textId="77777777" w:rsidR="001E00B8" w:rsidRPr="00F66CFF" w:rsidRDefault="001E00B8" w:rsidP="001E00B8">
      <w:pPr>
        <w:pStyle w:val="Isubpara"/>
      </w:pPr>
      <w:r w:rsidRPr="00F66CFF">
        <w:tab/>
        <w:t>(i)</w:t>
      </w:r>
      <w:r w:rsidRPr="00F66CFF">
        <w:tab/>
      </w:r>
      <w:r w:rsidR="009443CE" w:rsidRPr="00F66CFF">
        <w:t>3</w:t>
      </w:r>
      <w:r w:rsidRPr="00F66CFF">
        <w:t xml:space="preserve"> month</w:t>
      </w:r>
      <w:r w:rsidR="009443CE" w:rsidRPr="00F66CFF">
        <w:t>s</w:t>
      </w:r>
      <w:r w:rsidRPr="00F66CFF">
        <w:t xml:space="preserve"> after the end of the quarter; </w:t>
      </w:r>
      <w:r w:rsidR="00384DC9" w:rsidRPr="00F66CFF">
        <w:t>and</w:t>
      </w:r>
    </w:p>
    <w:p w14:paraId="7217045D" w14:textId="77777777" w:rsidR="001E00B8" w:rsidRPr="00F66CFF" w:rsidRDefault="001E00B8" w:rsidP="00F66CFF">
      <w:pPr>
        <w:pStyle w:val="Isubpara"/>
        <w:keepNext/>
      </w:pPr>
      <w:r w:rsidRPr="00F66CFF">
        <w:tab/>
        <w:t>(ii)</w:t>
      </w:r>
      <w:r w:rsidRPr="00F66CFF">
        <w:tab/>
        <w:t>any additional time the registrar allows.</w:t>
      </w:r>
    </w:p>
    <w:p w14:paraId="780F5A18" w14:textId="77777777" w:rsidR="001E00B8" w:rsidRPr="00F66CFF" w:rsidRDefault="001E00B8" w:rsidP="001E00B8">
      <w:pPr>
        <w:pStyle w:val="Penalty"/>
      </w:pPr>
      <w:r w:rsidRPr="00F66CFF">
        <w:t xml:space="preserve">Maximum penalty:  20 penalty units. </w:t>
      </w:r>
    </w:p>
    <w:p w14:paraId="000043BB" w14:textId="77777777" w:rsidR="001E00B8" w:rsidRPr="00F66CFF" w:rsidRDefault="00384DC9" w:rsidP="00F66CFF">
      <w:pPr>
        <w:pStyle w:val="IMain"/>
        <w:keepNext/>
      </w:pPr>
      <w:r w:rsidRPr="00F66CFF">
        <w:tab/>
        <w:t>(3)</w:t>
      </w:r>
      <w:r w:rsidRPr="00F66CFF">
        <w:tab/>
        <w:t>This section</w:t>
      </w:r>
      <w:r w:rsidR="001E00B8" w:rsidRPr="00F66CFF">
        <w:t xml:space="preserve"> does not apply in relation to an employee who carried out work for the employer for less than 5 days during the quarter.</w:t>
      </w:r>
    </w:p>
    <w:p w14:paraId="25331DE6" w14:textId="3CEC9491" w:rsidR="00697D73" w:rsidRPr="00F66CFF" w:rsidRDefault="00697D73" w:rsidP="00697D73">
      <w:pPr>
        <w:pStyle w:val="aNote"/>
      </w:pPr>
      <w:r w:rsidRPr="00F66CFF">
        <w:rPr>
          <w:rStyle w:val="charItals"/>
        </w:rPr>
        <w:t>Note</w:t>
      </w:r>
      <w:r w:rsidRPr="00F66CFF">
        <w:rPr>
          <w:rStyle w:val="charItals"/>
        </w:rPr>
        <w:tab/>
      </w:r>
      <w:r w:rsidRPr="00F66CFF">
        <w:t xml:space="preserve">The defendant has an evidential burden in relation to </w:t>
      </w:r>
      <w:r w:rsidR="00384DC9" w:rsidRPr="00F66CFF">
        <w:t>a</w:t>
      </w:r>
      <w:r w:rsidRPr="00F66CFF">
        <w:t xml:space="preserve"> matter mentioned in s (3) (see </w:t>
      </w:r>
      <w:hyperlink r:id="rId17" w:tooltip="A2002-51" w:history="1">
        <w:r w:rsidR="00BE53B4" w:rsidRPr="00F66CFF">
          <w:rPr>
            <w:rStyle w:val="charCitHyperlinkAbbrev"/>
          </w:rPr>
          <w:t>Criminal Code</w:t>
        </w:r>
      </w:hyperlink>
      <w:r w:rsidRPr="00F66CFF">
        <w:t>, s 58).</w:t>
      </w:r>
    </w:p>
    <w:p w14:paraId="350EC68A" w14:textId="77777777" w:rsidR="001E00B8" w:rsidRPr="00F66CFF" w:rsidRDefault="001E00B8" w:rsidP="001E00B8">
      <w:pPr>
        <w:pStyle w:val="IMain"/>
      </w:pPr>
      <w:r w:rsidRPr="00F66CFF">
        <w:tab/>
        <w:t>(</w:t>
      </w:r>
      <w:r w:rsidR="00B2477A" w:rsidRPr="00F66CFF">
        <w:t>4</w:t>
      </w:r>
      <w:r w:rsidRPr="00F66CFF">
        <w:t>)</w:t>
      </w:r>
      <w:r w:rsidRPr="00F66CFF">
        <w:tab/>
        <w:t>An offence against this section is a strict liability offence.</w:t>
      </w:r>
    </w:p>
    <w:p w14:paraId="12E3766D" w14:textId="77777777" w:rsidR="001E00B8" w:rsidRPr="00F66CFF" w:rsidRDefault="001E00B8" w:rsidP="00864543">
      <w:pPr>
        <w:pStyle w:val="IMain"/>
        <w:spacing w:before="240"/>
      </w:pPr>
      <w:r w:rsidRPr="00F66CFF">
        <w:tab/>
        <w:t>(</w:t>
      </w:r>
      <w:r w:rsidR="00B2477A" w:rsidRPr="00F66CFF">
        <w:t>5</w:t>
      </w:r>
      <w:r w:rsidRPr="00F66CFF">
        <w:t>)</w:t>
      </w:r>
      <w:r w:rsidRPr="00F66CFF">
        <w:tab/>
        <w:t xml:space="preserve">The registrar may allow additional time </w:t>
      </w:r>
      <w:r w:rsidR="00A86992" w:rsidRPr="00F66CFF">
        <w:t>under</w:t>
      </w:r>
      <w:r w:rsidRPr="00F66CFF">
        <w:t xml:space="preserve"> subsection</w:t>
      </w:r>
      <w:r w:rsidR="00864543" w:rsidRPr="00F66CFF">
        <w:t> </w:t>
      </w:r>
      <w:r w:rsidRPr="00F66CFF">
        <w:t>(2)</w:t>
      </w:r>
      <w:r w:rsidR="00864543" w:rsidRPr="00F66CFF">
        <w:t xml:space="preserve"> (b) (ii) </w:t>
      </w:r>
      <w:r w:rsidRPr="00F66CFF">
        <w:t xml:space="preserve">before or after the end of the </w:t>
      </w:r>
      <w:r w:rsidR="009443CE" w:rsidRPr="00F66CFF">
        <w:t>3</w:t>
      </w:r>
      <w:r w:rsidRPr="00F66CFF">
        <w:t>-month period mentioned in subsection</w:t>
      </w:r>
      <w:r w:rsidR="00864543" w:rsidRPr="00F66CFF">
        <w:t> </w:t>
      </w:r>
      <w:r w:rsidRPr="00F66CFF">
        <w:t>(2) (</w:t>
      </w:r>
      <w:r w:rsidR="00864543" w:rsidRPr="00F66CFF">
        <w:t>b</w:t>
      </w:r>
      <w:r w:rsidRPr="00F66CFF">
        <w:t>)</w:t>
      </w:r>
      <w:r w:rsidR="00864543" w:rsidRPr="00F66CFF">
        <w:t xml:space="preserve"> (i)</w:t>
      </w:r>
      <w:r w:rsidRPr="00F66CFF">
        <w:t>.</w:t>
      </w:r>
    </w:p>
    <w:p w14:paraId="3B42E25B" w14:textId="77777777" w:rsidR="00864543" w:rsidRPr="00F66CFF" w:rsidRDefault="00864543" w:rsidP="00864543">
      <w:pPr>
        <w:pStyle w:val="IMain"/>
      </w:pPr>
      <w:r w:rsidRPr="00F66CFF">
        <w:tab/>
        <w:t>(</w:t>
      </w:r>
      <w:r w:rsidR="00A86992" w:rsidRPr="00F66CFF">
        <w:t>6</w:t>
      </w:r>
      <w:r w:rsidRPr="00F66CFF">
        <w:t>)</w:t>
      </w:r>
      <w:r w:rsidRPr="00F66CFF">
        <w:tab/>
        <w:t>In this section:</w:t>
      </w:r>
    </w:p>
    <w:p w14:paraId="0FF27DBA" w14:textId="77777777" w:rsidR="00864543" w:rsidRPr="00F66CFF" w:rsidRDefault="00864543" w:rsidP="00F66CFF">
      <w:pPr>
        <w:pStyle w:val="aDef"/>
      </w:pPr>
      <w:r w:rsidRPr="00F66CFF">
        <w:rPr>
          <w:rStyle w:val="charBoldItals"/>
        </w:rPr>
        <w:t>required information</w:t>
      </w:r>
      <w:r w:rsidRPr="00F66CFF">
        <w:t>, for an employer for a quarter, means—</w:t>
      </w:r>
    </w:p>
    <w:p w14:paraId="64CDF2AE" w14:textId="77777777" w:rsidR="00864543" w:rsidRPr="00F66CFF" w:rsidRDefault="00864543" w:rsidP="00864543">
      <w:pPr>
        <w:pStyle w:val="Idefpara"/>
      </w:pPr>
      <w:r w:rsidRPr="00F66CFF">
        <w:tab/>
        <w:t>(a)</w:t>
      </w:r>
      <w:r w:rsidRPr="00F66CFF">
        <w:tab/>
        <w:t>the name of each of the employer’s employees who carried out work for the employer during the quarter; and</w:t>
      </w:r>
    </w:p>
    <w:p w14:paraId="4BE3DA32" w14:textId="77777777" w:rsidR="00864543" w:rsidRPr="00F66CFF" w:rsidRDefault="00864543" w:rsidP="00864543">
      <w:pPr>
        <w:pStyle w:val="Idefpara"/>
      </w:pPr>
      <w:r w:rsidRPr="00F66CFF">
        <w:tab/>
        <w:t>(b)</w:t>
      </w:r>
      <w:r w:rsidRPr="00F66CFF">
        <w:tab/>
        <w:t>for each of the employer’s employees—</w:t>
      </w:r>
    </w:p>
    <w:p w14:paraId="7F3699F6" w14:textId="77777777" w:rsidR="00864543" w:rsidRPr="00F66CFF" w:rsidRDefault="00864543" w:rsidP="00864543">
      <w:pPr>
        <w:pStyle w:val="Idefsubpara"/>
      </w:pPr>
      <w:r w:rsidRPr="00F66CFF">
        <w:tab/>
        <w:t>(i)</w:t>
      </w:r>
      <w:r w:rsidRPr="00F66CFF">
        <w:tab/>
        <w:t>the total ordinary remuneration paid or payable by the employer to the employee for work done during the quarter; and</w:t>
      </w:r>
    </w:p>
    <w:p w14:paraId="6CBD5E7C" w14:textId="77777777" w:rsidR="00864543" w:rsidRPr="00F66CFF" w:rsidRDefault="00864543" w:rsidP="00864543">
      <w:pPr>
        <w:pStyle w:val="Idefsubpara"/>
      </w:pPr>
      <w:r w:rsidRPr="00F66CFF">
        <w:tab/>
        <w:t>(ii)</w:t>
      </w:r>
      <w:r w:rsidRPr="00F66CFF">
        <w:tab/>
        <w:t>the number of days, or part days, during the quarter to which the remuneration relates; and</w:t>
      </w:r>
    </w:p>
    <w:p w14:paraId="37DEBF72" w14:textId="77777777" w:rsidR="00864543" w:rsidRPr="00F66CFF" w:rsidRDefault="00864543" w:rsidP="00864543">
      <w:pPr>
        <w:pStyle w:val="Idefpara"/>
      </w:pPr>
      <w:r w:rsidRPr="00F66CFF">
        <w:tab/>
        <w:t>(c)</w:t>
      </w:r>
      <w:r w:rsidRPr="00F66CFF">
        <w:tab/>
        <w:t>anything else prescribed by regulation.</w:t>
      </w:r>
    </w:p>
    <w:p w14:paraId="776350C0" w14:textId="77777777" w:rsidR="00864543" w:rsidRPr="00F66CFF" w:rsidRDefault="00864543" w:rsidP="00864543">
      <w:pPr>
        <w:pStyle w:val="IH5Sec"/>
      </w:pPr>
      <w:r w:rsidRPr="00F66CFF">
        <w:lastRenderedPageBreak/>
        <w:t>49A</w:t>
      </w:r>
      <w:r w:rsidRPr="00F66CFF">
        <w:tab/>
        <w:t>Late fee—quarterly return</w:t>
      </w:r>
    </w:p>
    <w:p w14:paraId="381DDBDF" w14:textId="77777777" w:rsidR="00850574" w:rsidRPr="00F66CFF" w:rsidRDefault="00850574" w:rsidP="00850574">
      <w:pPr>
        <w:pStyle w:val="IMain"/>
      </w:pPr>
      <w:r w:rsidRPr="00F66CFF">
        <w:tab/>
        <w:t>(1)</w:t>
      </w:r>
      <w:r w:rsidRPr="00F66CFF">
        <w:tab/>
      </w:r>
      <w:r w:rsidR="00864543" w:rsidRPr="00F66CFF">
        <w:t xml:space="preserve">This section applies if an employer for a covered industry fails to give the authority a </w:t>
      </w:r>
      <w:r w:rsidR="00D4326F" w:rsidRPr="00F66CFF">
        <w:t xml:space="preserve">quarterly </w:t>
      </w:r>
      <w:r w:rsidR="00864543" w:rsidRPr="00F66CFF">
        <w:t xml:space="preserve">return </w:t>
      </w:r>
      <w:r w:rsidR="00697D73" w:rsidRPr="00F66CFF">
        <w:t>mentioned in section 49 (1)</w:t>
      </w:r>
      <w:r w:rsidR="00864543" w:rsidRPr="00F66CFF">
        <w:t xml:space="preserve"> </w:t>
      </w:r>
      <w:r w:rsidRPr="00F66CFF">
        <w:t>within</w:t>
      </w:r>
      <w:r w:rsidR="00384DC9" w:rsidRPr="00F66CFF">
        <w:t xml:space="preserve"> the later of</w:t>
      </w:r>
      <w:r w:rsidRPr="00F66CFF">
        <w:t>—</w:t>
      </w:r>
    </w:p>
    <w:p w14:paraId="6C88D93E" w14:textId="77777777" w:rsidR="00850574" w:rsidRPr="00F66CFF" w:rsidRDefault="00850574" w:rsidP="00850574">
      <w:pPr>
        <w:pStyle w:val="Ipara"/>
      </w:pPr>
      <w:r w:rsidRPr="00F66CFF">
        <w:tab/>
        <w:t>(a)</w:t>
      </w:r>
      <w:r w:rsidRPr="00F66CFF">
        <w:tab/>
      </w:r>
      <w:r w:rsidR="009443CE" w:rsidRPr="00F66CFF">
        <w:t>1</w:t>
      </w:r>
      <w:r w:rsidRPr="00F66CFF">
        <w:t xml:space="preserve"> month after the end of the quarter; </w:t>
      </w:r>
      <w:r w:rsidR="00384DC9" w:rsidRPr="00F66CFF">
        <w:t>and</w:t>
      </w:r>
    </w:p>
    <w:p w14:paraId="59031A8E" w14:textId="77777777" w:rsidR="00850574" w:rsidRPr="00F66CFF" w:rsidRDefault="00850574" w:rsidP="00850574">
      <w:pPr>
        <w:pStyle w:val="Ipara"/>
      </w:pPr>
      <w:r w:rsidRPr="00F66CFF">
        <w:tab/>
        <w:t>(b)</w:t>
      </w:r>
      <w:r w:rsidRPr="00F66CFF">
        <w:tab/>
        <w:t>any additional time the registrar allows.</w:t>
      </w:r>
    </w:p>
    <w:p w14:paraId="671E9D50" w14:textId="77777777" w:rsidR="00850574" w:rsidRPr="00F66CFF" w:rsidRDefault="00850574" w:rsidP="00850574">
      <w:pPr>
        <w:pStyle w:val="IMain"/>
      </w:pPr>
      <w:r w:rsidRPr="00F66CFF">
        <w:tab/>
        <w:t>(2)</w:t>
      </w:r>
      <w:r w:rsidRPr="00F66CFF">
        <w:tab/>
        <w:t xml:space="preserve">The employer is liable to pay to the authority a late fee of $200 for each month or part of a month, up to a maximum of $400, </w:t>
      </w:r>
      <w:r w:rsidR="00B2477A" w:rsidRPr="00F66CFF">
        <w:t xml:space="preserve">that the employer fails to give the authority the quarterly return after the </w:t>
      </w:r>
      <w:r w:rsidR="00697D73" w:rsidRPr="00F66CFF">
        <w:t xml:space="preserve">later of the </w:t>
      </w:r>
      <w:r w:rsidR="00B2477A" w:rsidRPr="00F66CFF">
        <w:t>period</w:t>
      </w:r>
      <w:r w:rsidR="00697D73" w:rsidRPr="00F66CFF">
        <w:t>s</w:t>
      </w:r>
      <w:r w:rsidR="00B2477A" w:rsidRPr="00F66CFF">
        <w:t xml:space="preserve"> stated in subsection (1)</w:t>
      </w:r>
      <w:r w:rsidRPr="00F66CFF">
        <w:t>.</w:t>
      </w:r>
    </w:p>
    <w:p w14:paraId="1C85FD33" w14:textId="77777777" w:rsidR="00DD7826" w:rsidRPr="00F66CFF" w:rsidRDefault="00DD7826" w:rsidP="00DD7826">
      <w:pPr>
        <w:pStyle w:val="IMain"/>
      </w:pPr>
      <w:r w:rsidRPr="00F66CFF">
        <w:tab/>
        <w:t>(3)</w:t>
      </w:r>
      <w:r w:rsidRPr="00F66CFF">
        <w:tab/>
        <w:t>However, the registrar may waive all or part of a late fee if satisfied that the circumstances for the failure—</w:t>
      </w:r>
    </w:p>
    <w:p w14:paraId="5B4F6006" w14:textId="77777777" w:rsidR="00DD7826" w:rsidRPr="00F66CFF" w:rsidRDefault="00DD7826" w:rsidP="00DD7826">
      <w:pPr>
        <w:pStyle w:val="Ipara"/>
      </w:pPr>
      <w:r w:rsidRPr="00F66CFF">
        <w:tab/>
        <w:t>(a)</w:t>
      </w:r>
      <w:r w:rsidRPr="00F66CFF">
        <w:tab/>
        <w:t>were not caused by the employer; or</w:t>
      </w:r>
    </w:p>
    <w:p w14:paraId="0F239F7F" w14:textId="77777777" w:rsidR="00DD7826" w:rsidRPr="00F66CFF" w:rsidRDefault="00DD7826" w:rsidP="00F66CFF">
      <w:pPr>
        <w:pStyle w:val="Ipara"/>
        <w:keepNext/>
      </w:pPr>
      <w:r w:rsidRPr="00F66CFF">
        <w:tab/>
        <w:t>(b)</w:t>
      </w:r>
      <w:r w:rsidRPr="00F66CFF">
        <w:tab/>
        <w:t>make it unfair or unreasonable to charge the late fee.</w:t>
      </w:r>
    </w:p>
    <w:p w14:paraId="64AA9264" w14:textId="5B0C5B23" w:rsidR="00DD7826" w:rsidRPr="00F66CFF" w:rsidRDefault="00DD7826" w:rsidP="00DD7826">
      <w:pPr>
        <w:pStyle w:val="aNote"/>
      </w:pPr>
      <w:r w:rsidRPr="00F66CFF">
        <w:rPr>
          <w:rStyle w:val="charItals"/>
        </w:rPr>
        <w:t>Note</w:t>
      </w:r>
      <w:r w:rsidRPr="00F66CFF">
        <w:rPr>
          <w:rStyle w:val="charItals"/>
        </w:rPr>
        <w:tab/>
      </w:r>
      <w:r w:rsidRPr="00F66CFF">
        <w:t xml:space="preserve">An amount owing under a law may be recovered as a debt in a court of competent jurisdiction or the ACAT (see </w:t>
      </w:r>
      <w:hyperlink r:id="rId18" w:tooltip="A2001-14" w:history="1">
        <w:r w:rsidR="00BE53B4" w:rsidRPr="00F66CFF">
          <w:rPr>
            <w:rStyle w:val="charCitHyperlinkAbbrev"/>
          </w:rPr>
          <w:t>Legislation Act</w:t>
        </w:r>
      </w:hyperlink>
      <w:r w:rsidRPr="00F66CFF">
        <w:t>, s 177).</w:t>
      </w:r>
    </w:p>
    <w:p w14:paraId="7EBEFC90" w14:textId="77777777" w:rsidR="007669F7" w:rsidRPr="00F66CFF" w:rsidRDefault="00F66CFF" w:rsidP="00F66CFF">
      <w:pPr>
        <w:pStyle w:val="AH5Sec"/>
        <w:shd w:val="pct25" w:color="auto" w:fill="auto"/>
      </w:pPr>
      <w:bookmarkStart w:id="11" w:name="_Toc22552816"/>
      <w:r w:rsidRPr="00F66CFF">
        <w:rPr>
          <w:rStyle w:val="CharSectNo"/>
        </w:rPr>
        <w:t>9</w:t>
      </w:r>
      <w:r w:rsidRPr="00F66CFF">
        <w:tab/>
      </w:r>
      <w:r w:rsidR="007669F7" w:rsidRPr="00F66CFF">
        <w:t>Section 52</w:t>
      </w:r>
      <w:bookmarkEnd w:id="11"/>
    </w:p>
    <w:p w14:paraId="7FEC1246" w14:textId="77777777" w:rsidR="007669F7" w:rsidRPr="00F66CFF" w:rsidRDefault="007669F7" w:rsidP="007669F7">
      <w:pPr>
        <w:pStyle w:val="direction"/>
      </w:pPr>
      <w:r w:rsidRPr="00F66CFF">
        <w:t>substitute</w:t>
      </w:r>
    </w:p>
    <w:p w14:paraId="1E861246" w14:textId="77777777" w:rsidR="007669F7" w:rsidRPr="00F66CFF" w:rsidRDefault="007669F7" w:rsidP="007669F7">
      <w:pPr>
        <w:pStyle w:val="IH5Sec"/>
      </w:pPr>
      <w:r w:rsidRPr="00F66CFF">
        <w:t>52</w:t>
      </w:r>
      <w:r w:rsidRPr="00F66CFF">
        <w:tab/>
        <w:t>Interest payable on levy payment</w:t>
      </w:r>
    </w:p>
    <w:p w14:paraId="1877D13D" w14:textId="77777777" w:rsidR="007669F7" w:rsidRPr="00F66CFF" w:rsidRDefault="007669F7" w:rsidP="007669F7">
      <w:pPr>
        <w:pStyle w:val="IMain"/>
      </w:pPr>
      <w:r w:rsidRPr="00F66CFF">
        <w:tab/>
        <w:t>(1)</w:t>
      </w:r>
      <w:r w:rsidRPr="00F66CFF">
        <w:tab/>
        <w:t>This section applies if an employer for a covered industry fails to pay the authority the levy payable under section 50</w:t>
      </w:r>
      <w:r w:rsidR="00A86992" w:rsidRPr="00F66CFF">
        <w:t>,</w:t>
      </w:r>
      <w:r w:rsidRPr="00F66CFF">
        <w:t xml:space="preserve"> in relation to a return for a quarter at the time the return is required to be given to the authority under section 49</w:t>
      </w:r>
      <w:r w:rsidR="00FD4A23" w:rsidRPr="00F66CFF">
        <w:t xml:space="preserve"> (1)</w:t>
      </w:r>
      <w:r w:rsidRPr="00F66CFF">
        <w:t>.</w:t>
      </w:r>
    </w:p>
    <w:p w14:paraId="47A2C16A" w14:textId="77777777" w:rsidR="007669F7" w:rsidRPr="00F66CFF" w:rsidRDefault="007669F7" w:rsidP="007669F7">
      <w:pPr>
        <w:pStyle w:val="IMain"/>
      </w:pPr>
      <w:r w:rsidRPr="00F66CFF">
        <w:tab/>
        <w:t>(2)</w:t>
      </w:r>
      <w:r w:rsidRPr="00F66CFF">
        <w:tab/>
        <w:t xml:space="preserve">The employer is liable to pay to the authority interest </w:t>
      </w:r>
      <w:r w:rsidR="007D4AFE" w:rsidRPr="00F66CFF">
        <w:t>on the amount of the levy unpaid</w:t>
      </w:r>
      <w:r w:rsidR="00A86992" w:rsidRPr="00F66CFF">
        <w:t>,</w:t>
      </w:r>
      <w:r w:rsidR="00101C1B" w:rsidRPr="00F66CFF">
        <w:t xml:space="preserve"> </w:t>
      </w:r>
      <w:r w:rsidR="004D080C" w:rsidRPr="00F66CFF">
        <w:t>work</w:t>
      </w:r>
      <w:r w:rsidR="00101C1B" w:rsidRPr="00F66CFF">
        <w:t xml:space="preserve">ed </w:t>
      </w:r>
      <w:r w:rsidR="004D080C" w:rsidRPr="00F66CFF">
        <w:t xml:space="preserve">out </w:t>
      </w:r>
      <w:r w:rsidR="00101C1B" w:rsidRPr="00F66CFF">
        <w:t xml:space="preserve">daily from the end of the last day for payment until the day it is paid at the interest rate from time to time </w:t>
      </w:r>
      <w:r w:rsidR="00C80FBF" w:rsidRPr="00F66CFF">
        <w:t>worked out</w:t>
      </w:r>
      <w:r w:rsidR="00101C1B" w:rsidRPr="00F66CFF">
        <w:t xml:space="preserve"> under </w:t>
      </w:r>
      <w:r w:rsidR="00C80FBF" w:rsidRPr="00F66CFF">
        <w:t>section 5</w:t>
      </w:r>
      <w:r w:rsidR="001A570E" w:rsidRPr="00F66CFF">
        <w:t>3</w:t>
      </w:r>
      <w:r w:rsidR="00101C1B" w:rsidRPr="00F66CFF">
        <w:t>.</w:t>
      </w:r>
    </w:p>
    <w:p w14:paraId="49E2D873" w14:textId="77777777" w:rsidR="00E96397" w:rsidRPr="00F66CFF" w:rsidRDefault="00E96397" w:rsidP="00E96397">
      <w:pPr>
        <w:pStyle w:val="IMain"/>
      </w:pPr>
      <w:r w:rsidRPr="00F66CFF">
        <w:lastRenderedPageBreak/>
        <w:tab/>
        <w:t>(3)</w:t>
      </w:r>
      <w:r w:rsidRPr="00F66CFF">
        <w:tab/>
        <w:t xml:space="preserve">However, the registrar may waive all or part </w:t>
      </w:r>
      <w:r w:rsidR="002C0EE7" w:rsidRPr="00F66CFF">
        <w:t xml:space="preserve">of the </w:t>
      </w:r>
      <w:r w:rsidRPr="00F66CFF">
        <w:t>interest if satisfied that the circumstances for the failure—</w:t>
      </w:r>
    </w:p>
    <w:p w14:paraId="1E967E8F" w14:textId="77777777" w:rsidR="00E96397" w:rsidRPr="00F66CFF" w:rsidRDefault="00E96397" w:rsidP="00E96397">
      <w:pPr>
        <w:pStyle w:val="Ipara"/>
      </w:pPr>
      <w:r w:rsidRPr="00F66CFF">
        <w:tab/>
        <w:t>(a)</w:t>
      </w:r>
      <w:r w:rsidRPr="00F66CFF">
        <w:tab/>
        <w:t>were not caused by the employer; or</w:t>
      </w:r>
    </w:p>
    <w:p w14:paraId="0E81F211" w14:textId="77777777" w:rsidR="00E96397" w:rsidRPr="00F66CFF" w:rsidRDefault="00E96397" w:rsidP="00F66CFF">
      <w:pPr>
        <w:pStyle w:val="Ipara"/>
        <w:keepNext/>
      </w:pPr>
      <w:r w:rsidRPr="00F66CFF">
        <w:tab/>
        <w:t>(b)</w:t>
      </w:r>
      <w:r w:rsidRPr="00F66CFF">
        <w:tab/>
        <w:t xml:space="preserve">make it unfair or unreasonable to charge the </w:t>
      </w:r>
      <w:r w:rsidR="002C0EE7" w:rsidRPr="00F66CFF">
        <w:t>premium rate component</w:t>
      </w:r>
      <w:r w:rsidRPr="00F66CFF">
        <w:t>.</w:t>
      </w:r>
    </w:p>
    <w:p w14:paraId="2A303FE8" w14:textId="04112D1A" w:rsidR="00E96397" w:rsidRPr="00F66CFF" w:rsidRDefault="00E96397" w:rsidP="00F9095F">
      <w:pPr>
        <w:pStyle w:val="aNote"/>
        <w:rPr>
          <w:lang w:eastAsia="en-AU"/>
        </w:rPr>
      </w:pPr>
      <w:r w:rsidRPr="00F66CFF">
        <w:rPr>
          <w:rStyle w:val="charItals"/>
        </w:rPr>
        <w:t>Note</w:t>
      </w:r>
      <w:r w:rsidRPr="00F66CFF">
        <w:rPr>
          <w:rStyle w:val="charItals"/>
        </w:rPr>
        <w:tab/>
      </w:r>
      <w:r w:rsidRPr="00F66CFF">
        <w:rPr>
          <w:lang w:eastAsia="en-AU"/>
        </w:rPr>
        <w:t xml:space="preserve">An amount owing under a law may be recovered as a debt in a court of competent jurisdiction or the ACAT (see </w:t>
      </w:r>
      <w:hyperlink r:id="rId19" w:tooltip="A2001-14" w:history="1">
        <w:r w:rsidR="00BE53B4" w:rsidRPr="00F66CFF">
          <w:rPr>
            <w:rStyle w:val="charCitHyperlinkAbbrev"/>
          </w:rPr>
          <w:t>Legislation Act</w:t>
        </w:r>
      </w:hyperlink>
      <w:r w:rsidRPr="00F66CFF">
        <w:rPr>
          <w:lang w:eastAsia="en-AU"/>
        </w:rPr>
        <w:t>, s 177).</w:t>
      </w:r>
    </w:p>
    <w:p w14:paraId="181076EF" w14:textId="77777777" w:rsidR="00E96397" w:rsidRPr="00F66CFF" w:rsidRDefault="00E96397" w:rsidP="00E96397">
      <w:pPr>
        <w:pStyle w:val="IMain"/>
        <w:rPr>
          <w:lang w:eastAsia="en-AU"/>
        </w:rPr>
      </w:pPr>
      <w:r w:rsidRPr="00F66CFF">
        <w:rPr>
          <w:lang w:eastAsia="en-AU"/>
        </w:rPr>
        <w:tab/>
        <w:t>(4)</w:t>
      </w:r>
      <w:r w:rsidRPr="00F66CFF">
        <w:rPr>
          <w:lang w:eastAsia="en-AU"/>
        </w:rPr>
        <w:tab/>
        <w:t>If a court finds a person guilty of an offence under section 50</w:t>
      </w:r>
      <w:r w:rsidR="00A86992" w:rsidRPr="00F66CFF">
        <w:rPr>
          <w:lang w:eastAsia="en-AU"/>
        </w:rPr>
        <w:t xml:space="preserve">, </w:t>
      </w:r>
      <w:r w:rsidRPr="00F66CFF">
        <w:rPr>
          <w:lang w:eastAsia="en-AU"/>
        </w:rPr>
        <w:t>whether or not it convicts the person, the court may, whether or not it imposes a penalty on the person, order the person to pay the authority—</w:t>
      </w:r>
    </w:p>
    <w:p w14:paraId="4AAF6586" w14:textId="77777777" w:rsidR="00E96397" w:rsidRPr="00F66CFF" w:rsidRDefault="00E96397" w:rsidP="00E96397">
      <w:pPr>
        <w:pStyle w:val="Ipara"/>
        <w:rPr>
          <w:lang w:eastAsia="en-AU"/>
        </w:rPr>
      </w:pPr>
      <w:r w:rsidRPr="00F66CFF">
        <w:rPr>
          <w:lang w:eastAsia="en-AU"/>
        </w:rPr>
        <w:tab/>
        <w:t>(a)</w:t>
      </w:r>
      <w:r w:rsidRPr="00F66CFF">
        <w:rPr>
          <w:lang w:eastAsia="en-AU"/>
        </w:rPr>
        <w:tab/>
      </w:r>
      <w:r w:rsidR="007444A1" w:rsidRPr="00F66CFF">
        <w:rPr>
          <w:lang w:eastAsia="en-AU"/>
        </w:rPr>
        <w:t xml:space="preserve">the levy to which the prosecution relates; and </w:t>
      </w:r>
    </w:p>
    <w:p w14:paraId="45D69015" w14:textId="77777777" w:rsidR="00E96397" w:rsidRPr="00F66CFF" w:rsidRDefault="00E96397" w:rsidP="00E96397">
      <w:pPr>
        <w:pStyle w:val="Ipara"/>
        <w:rPr>
          <w:lang w:eastAsia="en-AU"/>
        </w:rPr>
      </w:pPr>
      <w:r w:rsidRPr="00F66CFF">
        <w:rPr>
          <w:lang w:eastAsia="en-AU"/>
        </w:rPr>
        <w:tab/>
        <w:t>(b)</w:t>
      </w:r>
      <w:r w:rsidRPr="00F66CFF">
        <w:rPr>
          <w:lang w:eastAsia="en-AU"/>
        </w:rPr>
        <w:tab/>
      </w:r>
      <w:r w:rsidR="007444A1" w:rsidRPr="00F66CFF">
        <w:rPr>
          <w:lang w:eastAsia="en-AU"/>
        </w:rPr>
        <w:t xml:space="preserve">the interest accrued on the amount of the levy unpaid. </w:t>
      </w:r>
    </w:p>
    <w:p w14:paraId="53625DA1" w14:textId="77777777" w:rsidR="00101C1B" w:rsidRPr="00F66CFF" w:rsidRDefault="008812A1" w:rsidP="00101C1B">
      <w:pPr>
        <w:pStyle w:val="IH5Sec"/>
      </w:pPr>
      <w:r w:rsidRPr="00F66CFF">
        <w:t>53</w:t>
      </w:r>
      <w:r w:rsidR="00101C1B" w:rsidRPr="00F66CFF">
        <w:tab/>
        <w:t>Interest rate</w:t>
      </w:r>
    </w:p>
    <w:p w14:paraId="7FAEC7D2" w14:textId="77777777" w:rsidR="00101C1B" w:rsidRPr="00F66CFF" w:rsidRDefault="00101C1B" w:rsidP="00101C1B">
      <w:pPr>
        <w:pStyle w:val="IMain"/>
      </w:pPr>
      <w:r w:rsidRPr="00F66CFF">
        <w:tab/>
        <w:t>(1)</w:t>
      </w:r>
      <w:r w:rsidRPr="00F66CFF">
        <w:tab/>
        <w:t>The interest rate is the sum of—</w:t>
      </w:r>
    </w:p>
    <w:p w14:paraId="6F34B76D" w14:textId="77777777" w:rsidR="00101C1B" w:rsidRPr="00F66CFF" w:rsidRDefault="00101C1B" w:rsidP="00101C1B">
      <w:pPr>
        <w:pStyle w:val="Ipara"/>
      </w:pPr>
      <w:r w:rsidRPr="00F66CFF">
        <w:tab/>
        <w:t>(a)</w:t>
      </w:r>
      <w:r w:rsidRPr="00F66CFF">
        <w:tab/>
        <w:t xml:space="preserve">the </w:t>
      </w:r>
      <w:r w:rsidR="00C80FBF" w:rsidRPr="00F66CFF">
        <w:t>discount</w:t>
      </w:r>
      <w:r w:rsidRPr="00F66CFF">
        <w:t xml:space="preserve"> rate component; and</w:t>
      </w:r>
    </w:p>
    <w:p w14:paraId="546DBF6A" w14:textId="77777777" w:rsidR="00101C1B" w:rsidRPr="00F66CFF" w:rsidRDefault="00101C1B" w:rsidP="00101C1B">
      <w:pPr>
        <w:pStyle w:val="Ipara"/>
      </w:pPr>
      <w:r w:rsidRPr="00F66CFF">
        <w:tab/>
        <w:t>(b)</w:t>
      </w:r>
      <w:r w:rsidRPr="00F66CFF">
        <w:tab/>
        <w:t xml:space="preserve">the premium </w:t>
      </w:r>
      <w:r w:rsidR="00C80FBF" w:rsidRPr="00F66CFF">
        <w:t xml:space="preserve">rate </w:t>
      </w:r>
      <w:r w:rsidRPr="00F66CFF">
        <w:t>component.</w:t>
      </w:r>
    </w:p>
    <w:p w14:paraId="1155383A" w14:textId="77777777" w:rsidR="00ED4AD4" w:rsidRPr="00F66CFF" w:rsidRDefault="00C80FBF" w:rsidP="00C80FBF">
      <w:pPr>
        <w:pStyle w:val="IMain"/>
      </w:pPr>
      <w:r w:rsidRPr="00F66CFF">
        <w:tab/>
        <w:t>(2)</w:t>
      </w:r>
      <w:r w:rsidRPr="00F66CFF">
        <w:tab/>
      </w:r>
      <w:r w:rsidR="00101C1B" w:rsidRPr="00F66CFF">
        <w:t xml:space="preserve">The </w:t>
      </w:r>
      <w:r w:rsidR="00ED4AD4" w:rsidRPr="00F66CFF">
        <w:t xml:space="preserve">Minister </w:t>
      </w:r>
      <w:r w:rsidR="00C32F86" w:rsidRPr="00F66CFF">
        <w:t>m</w:t>
      </w:r>
      <w:r w:rsidR="00963DF2" w:rsidRPr="00F66CFF">
        <w:t>ust,</w:t>
      </w:r>
      <w:r w:rsidR="00C32F86" w:rsidRPr="00F66CFF">
        <w:t xml:space="preserve"> </w:t>
      </w:r>
      <w:r w:rsidR="00963DF2" w:rsidRPr="00F66CFF">
        <w:t xml:space="preserve">after consultation with the governing board, </w:t>
      </w:r>
      <w:r w:rsidR="00C32F86" w:rsidRPr="00F66CFF">
        <w:t xml:space="preserve">make guidelines </w:t>
      </w:r>
      <w:r w:rsidR="00963DF2" w:rsidRPr="00F66CFF">
        <w:t>for determining the interest rate</w:t>
      </w:r>
      <w:r w:rsidR="002369D6" w:rsidRPr="00F66CFF">
        <w:t xml:space="preserve"> components mentioned in subsection (1)</w:t>
      </w:r>
      <w:r w:rsidR="00963DF2" w:rsidRPr="00F66CFF">
        <w:t>.</w:t>
      </w:r>
    </w:p>
    <w:p w14:paraId="0D5AC012" w14:textId="77777777" w:rsidR="00963DF2" w:rsidRPr="00F66CFF" w:rsidRDefault="00963DF2" w:rsidP="00F66CFF">
      <w:pPr>
        <w:pStyle w:val="IMain"/>
        <w:keepNext/>
      </w:pPr>
      <w:r w:rsidRPr="00F66CFF">
        <w:tab/>
        <w:t>(3)</w:t>
      </w:r>
      <w:r w:rsidRPr="00F66CFF">
        <w:tab/>
        <w:t>A guideline is a disallowable instrument.</w:t>
      </w:r>
    </w:p>
    <w:p w14:paraId="6D873273" w14:textId="21FBFAB1" w:rsidR="00963DF2" w:rsidRPr="00F66CFF" w:rsidRDefault="00963DF2">
      <w:pPr>
        <w:pStyle w:val="aNote"/>
      </w:pPr>
      <w:r w:rsidRPr="00F66CFF">
        <w:rPr>
          <w:rStyle w:val="charItals"/>
        </w:rPr>
        <w:t>Note</w:t>
      </w:r>
      <w:r w:rsidRPr="00F66CFF">
        <w:rPr>
          <w:rStyle w:val="charItals"/>
        </w:rPr>
        <w:tab/>
      </w:r>
      <w:r w:rsidRPr="00F66CFF">
        <w:t xml:space="preserve">A disallowable instrument must be notified, and presented to the Legislative Assembly, under the </w:t>
      </w:r>
      <w:hyperlink r:id="rId20" w:tooltip="A2001-14" w:history="1">
        <w:r w:rsidR="00BE53B4" w:rsidRPr="00F66CFF">
          <w:rPr>
            <w:rStyle w:val="charCitHyperlinkAbbrev"/>
          </w:rPr>
          <w:t>Legislation Act</w:t>
        </w:r>
      </w:hyperlink>
      <w:r w:rsidRPr="00F66CFF">
        <w:t>.</w:t>
      </w:r>
    </w:p>
    <w:p w14:paraId="76A763A7" w14:textId="77777777" w:rsidR="006C7597" w:rsidRPr="00F66CFF" w:rsidRDefault="00963DF2" w:rsidP="00963DF2">
      <w:pPr>
        <w:pStyle w:val="IMain"/>
      </w:pPr>
      <w:r w:rsidRPr="00F66CFF">
        <w:tab/>
        <w:t>(4)</w:t>
      </w:r>
      <w:r w:rsidRPr="00F66CFF">
        <w:tab/>
        <w:t>The governing board must</w:t>
      </w:r>
      <w:r w:rsidR="006C7597" w:rsidRPr="00F66CFF">
        <w:t>—</w:t>
      </w:r>
    </w:p>
    <w:p w14:paraId="0EA703DE" w14:textId="77777777" w:rsidR="00963DF2" w:rsidRPr="00F66CFF" w:rsidRDefault="006C7597" w:rsidP="006C7597">
      <w:pPr>
        <w:pStyle w:val="Ipara"/>
      </w:pPr>
      <w:r w:rsidRPr="00F66CFF">
        <w:tab/>
        <w:t>(a)</w:t>
      </w:r>
      <w:r w:rsidRPr="00F66CFF">
        <w:tab/>
      </w:r>
      <w:r w:rsidR="00963DF2" w:rsidRPr="00F66CFF">
        <w:t>in accordance with the guidelines, determine</w:t>
      </w:r>
      <w:r w:rsidR="002369D6" w:rsidRPr="00F66CFF">
        <w:t xml:space="preserve"> the interest rate; and</w:t>
      </w:r>
    </w:p>
    <w:p w14:paraId="384C1B6A" w14:textId="77777777" w:rsidR="00101C1B" w:rsidRPr="00F66CFF" w:rsidRDefault="006C7597" w:rsidP="006C7597">
      <w:pPr>
        <w:pStyle w:val="Ipara"/>
      </w:pPr>
      <w:r w:rsidRPr="00F66CFF">
        <w:tab/>
        <w:t>(b)</w:t>
      </w:r>
      <w:r w:rsidRPr="00F66CFF">
        <w:tab/>
        <w:t>tell the Minister, in writing, about the determination</w:t>
      </w:r>
      <w:r w:rsidR="00101C1B" w:rsidRPr="00F66CFF">
        <w:t>.</w:t>
      </w:r>
    </w:p>
    <w:p w14:paraId="5AC47B16" w14:textId="77777777" w:rsidR="00C80FBF" w:rsidRPr="00F66CFF" w:rsidRDefault="00C80FBF" w:rsidP="00F66CFF">
      <w:pPr>
        <w:pStyle w:val="IMain"/>
        <w:keepNext/>
      </w:pPr>
      <w:r w:rsidRPr="00F66CFF">
        <w:lastRenderedPageBreak/>
        <w:tab/>
        <w:t>(</w:t>
      </w:r>
      <w:r w:rsidR="00963DF2" w:rsidRPr="00F66CFF">
        <w:t>5</w:t>
      </w:r>
      <w:r w:rsidRPr="00F66CFF">
        <w:t>)</w:t>
      </w:r>
      <w:r w:rsidRPr="00F66CFF">
        <w:tab/>
        <w:t>A determination is a notifiable instrument.</w:t>
      </w:r>
    </w:p>
    <w:p w14:paraId="3EB2E311" w14:textId="5ACD0D46" w:rsidR="00C80FBF" w:rsidRPr="00F66CFF" w:rsidRDefault="00C80FBF">
      <w:pPr>
        <w:pStyle w:val="aNote"/>
      </w:pPr>
      <w:r w:rsidRPr="00F66CFF">
        <w:rPr>
          <w:rStyle w:val="charItals"/>
        </w:rPr>
        <w:t>Note</w:t>
      </w:r>
      <w:r w:rsidRPr="00F66CFF">
        <w:rPr>
          <w:rStyle w:val="charItals"/>
        </w:rPr>
        <w:tab/>
      </w:r>
      <w:r w:rsidRPr="00F66CFF">
        <w:t xml:space="preserve">A notifiable instrument must be notified under the </w:t>
      </w:r>
      <w:hyperlink r:id="rId21" w:tooltip="A2001-14" w:history="1">
        <w:r w:rsidR="00BE53B4" w:rsidRPr="00F66CFF">
          <w:rPr>
            <w:rStyle w:val="charCitHyperlinkAbbrev"/>
          </w:rPr>
          <w:t>Legislation Act</w:t>
        </w:r>
      </w:hyperlink>
      <w:r w:rsidRPr="00F66CFF">
        <w:t>.</w:t>
      </w:r>
    </w:p>
    <w:p w14:paraId="6FBDE87A" w14:textId="77777777" w:rsidR="00B23256" w:rsidRPr="00F66CFF" w:rsidRDefault="00F66CFF" w:rsidP="00F66CFF">
      <w:pPr>
        <w:pStyle w:val="AH5Sec"/>
        <w:shd w:val="pct25" w:color="auto" w:fill="auto"/>
      </w:pPr>
      <w:bookmarkStart w:id="12" w:name="_Toc22552817"/>
      <w:r w:rsidRPr="00F66CFF">
        <w:rPr>
          <w:rStyle w:val="CharSectNo"/>
        </w:rPr>
        <w:t>10</w:t>
      </w:r>
      <w:r w:rsidRPr="00F66CFF">
        <w:tab/>
      </w:r>
      <w:r w:rsidR="00B23256" w:rsidRPr="00F66CFF">
        <w:t>Quarterly returns by contractors</w:t>
      </w:r>
      <w:r w:rsidR="00B23256" w:rsidRPr="00F66CFF">
        <w:br/>
        <w:t xml:space="preserve">Section 54 (4), definition of </w:t>
      </w:r>
      <w:r w:rsidR="00B23256" w:rsidRPr="00F66CFF">
        <w:rPr>
          <w:rStyle w:val="charItals"/>
        </w:rPr>
        <w:t>required information</w:t>
      </w:r>
      <w:r w:rsidR="00B23256" w:rsidRPr="00F66CFF">
        <w:t>, paragraph (a)</w:t>
      </w:r>
      <w:bookmarkEnd w:id="12"/>
    </w:p>
    <w:p w14:paraId="638C8056" w14:textId="77777777" w:rsidR="00BE5623" w:rsidRPr="00F66CFF" w:rsidRDefault="00BE5623" w:rsidP="00BE5623">
      <w:pPr>
        <w:pStyle w:val="direction"/>
      </w:pPr>
      <w:r w:rsidRPr="00F66CFF">
        <w:t>omit</w:t>
      </w:r>
    </w:p>
    <w:p w14:paraId="2024525D" w14:textId="77777777" w:rsidR="00BE5623" w:rsidRPr="00F66CFF" w:rsidRDefault="00BE5623" w:rsidP="00BE5623">
      <w:pPr>
        <w:pStyle w:val="Amainreturn"/>
      </w:pPr>
      <w:r w:rsidRPr="00F66CFF">
        <w:t>weekdays</w:t>
      </w:r>
    </w:p>
    <w:p w14:paraId="2C787B93" w14:textId="77777777" w:rsidR="00BE5623" w:rsidRPr="00F66CFF" w:rsidRDefault="00BE5623" w:rsidP="00BE5623">
      <w:pPr>
        <w:pStyle w:val="direction"/>
      </w:pPr>
      <w:r w:rsidRPr="00F66CFF">
        <w:t>substitute</w:t>
      </w:r>
    </w:p>
    <w:p w14:paraId="25297C50" w14:textId="77777777" w:rsidR="00BE5623" w:rsidRPr="00F66CFF" w:rsidRDefault="00BE5623" w:rsidP="00BE5623">
      <w:pPr>
        <w:pStyle w:val="Amainreturn"/>
      </w:pPr>
      <w:r w:rsidRPr="00F66CFF">
        <w:t>days</w:t>
      </w:r>
    </w:p>
    <w:p w14:paraId="4392CE99" w14:textId="77777777" w:rsidR="0017754B" w:rsidRPr="00F66CFF" w:rsidRDefault="00F66CFF" w:rsidP="00F66CFF">
      <w:pPr>
        <w:pStyle w:val="AH5Sec"/>
        <w:shd w:val="pct25" w:color="auto" w:fill="auto"/>
      </w:pPr>
      <w:bookmarkStart w:id="13" w:name="_Toc22552818"/>
      <w:r w:rsidRPr="00F66CFF">
        <w:rPr>
          <w:rStyle w:val="CharSectNo"/>
        </w:rPr>
        <w:t>11</w:t>
      </w:r>
      <w:r w:rsidRPr="00F66CFF">
        <w:tab/>
      </w:r>
      <w:r w:rsidR="0017754B" w:rsidRPr="00F66CFF">
        <w:t>Minor changes to levy—employers and contractors</w:t>
      </w:r>
      <w:r w:rsidR="0017754B" w:rsidRPr="00F66CFF">
        <w:br/>
        <w:t>Section 56A (2)</w:t>
      </w:r>
      <w:r w:rsidR="00A01CB2" w:rsidRPr="00F66CFF">
        <w:t xml:space="preserve"> and (3)</w:t>
      </w:r>
      <w:r w:rsidR="00844CE0" w:rsidRPr="00F66CFF">
        <w:t xml:space="preserve"> </w:t>
      </w:r>
      <w:r w:rsidR="008812A1" w:rsidRPr="00F66CFF">
        <w:t>and</w:t>
      </w:r>
      <w:r w:rsidR="00844CE0" w:rsidRPr="00F66CFF">
        <w:t xml:space="preserve"> note</w:t>
      </w:r>
      <w:bookmarkEnd w:id="13"/>
    </w:p>
    <w:p w14:paraId="720C8CA2" w14:textId="77777777" w:rsidR="0017754B" w:rsidRPr="00F66CFF" w:rsidRDefault="0017754B" w:rsidP="0017754B">
      <w:pPr>
        <w:pStyle w:val="direction"/>
      </w:pPr>
      <w:r w:rsidRPr="00F66CFF">
        <w:t>substitute</w:t>
      </w:r>
    </w:p>
    <w:p w14:paraId="667C26E0" w14:textId="77777777" w:rsidR="0017754B" w:rsidRPr="00F66CFF" w:rsidRDefault="0017754B" w:rsidP="0017754B">
      <w:pPr>
        <w:pStyle w:val="IMain"/>
      </w:pPr>
      <w:r w:rsidRPr="00F66CFF">
        <w:tab/>
        <w:t>(2)</w:t>
      </w:r>
      <w:r w:rsidRPr="00F66CFF">
        <w:tab/>
        <w:t>If the governing board determines the levy—</w:t>
      </w:r>
    </w:p>
    <w:p w14:paraId="43EC3B50" w14:textId="77777777" w:rsidR="0017754B" w:rsidRPr="00F66CFF" w:rsidRDefault="0017754B" w:rsidP="0017754B">
      <w:pPr>
        <w:pStyle w:val="Ipara"/>
      </w:pPr>
      <w:r w:rsidRPr="00F66CFF">
        <w:tab/>
        <w:t>(a)</w:t>
      </w:r>
      <w:r w:rsidRPr="00F66CFF">
        <w:tab/>
        <w:t>if the levy is payable by employers—the determination repeals a determination made by the Minister under section 51 (2); and</w:t>
      </w:r>
    </w:p>
    <w:p w14:paraId="58AC4108" w14:textId="77777777" w:rsidR="0017754B" w:rsidRPr="00F66CFF" w:rsidRDefault="0017754B" w:rsidP="0017754B">
      <w:pPr>
        <w:pStyle w:val="Ipara"/>
      </w:pPr>
      <w:r w:rsidRPr="00F66CFF">
        <w:tab/>
        <w:t>(b)</w:t>
      </w:r>
      <w:r w:rsidRPr="00F66CFF">
        <w:tab/>
        <w:t xml:space="preserve">if the levy is payable by registered </w:t>
      </w:r>
      <w:r w:rsidR="00A01CB2" w:rsidRPr="00F66CFF">
        <w:t>voluntary</w:t>
      </w:r>
      <w:r w:rsidRPr="00F66CFF">
        <w:t xml:space="preserve"> members—the determination repeals a determination made by the Minister under section 56 (</w:t>
      </w:r>
      <w:r w:rsidR="008812A1" w:rsidRPr="00F66CFF">
        <w:t>1</w:t>
      </w:r>
      <w:r w:rsidR="00212E7F" w:rsidRPr="00F66CFF">
        <w:t>); and</w:t>
      </w:r>
    </w:p>
    <w:p w14:paraId="6347A8FF" w14:textId="77777777" w:rsidR="00212E7F" w:rsidRPr="00F66CFF" w:rsidRDefault="00212E7F" w:rsidP="00212E7F">
      <w:pPr>
        <w:pStyle w:val="Ipara"/>
      </w:pPr>
      <w:r w:rsidRPr="00F66CFF">
        <w:tab/>
        <w:t>(c)</w:t>
      </w:r>
      <w:r w:rsidRPr="00F66CFF">
        <w:tab/>
        <w:t>the governing board must tell the Minister, in writing, about the determination.</w:t>
      </w:r>
    </w:p>
    <w:p w14:paraId="4F2B175A" w14:textId="77777777" w:rsidR="00A01CB2" w:rsidRPr="00F66CFF" w:rsidRDefault="00A01CB2" w:rsidP="00F66CFF">
      <w:pPr>
        <w:pStyle w:val="IMain"/>
        <w:keepNext/>
      </w:pPr>
      <w:r w:rsidRPr="00F66CFF">
        <w:tab/>
        <w:t>(3)</w:t>
      </w:r>
      <w:r w:rsidRPr="00F66CFF">
        <w:tab/>
        <w:t>A determination is a disallowable instrument.</w:t>
      </w:r>
    </w:p>
    <w:p w14:paraId="432BB3EF" w14:textId="07832062" w:rsidR="00844CE0" w:rsidRPr="00F66CFF" w:rsidRDefault="00844CE0">
      <w:pPr>
        <w:pStyle w:val="aNote"/>
      </w:pPr>
      <w:r w:rsidRPr="00F66CFF">
        <w:rPr>
          <w:rStyle w:val="charItals"/>
        </w:rPr>
        <w:t>Note</w:t>
      </w:r>
      <w:r w:rsidRPr="00F66CFF">
        <w:rPr>
          <w:rStyle w:val="charItals"/>
        </w:rPr>
        <w:tab/>
      </w:r>
      <w:r w:rsidRPr="00F66CFF">
        <w:t xml:space="preserve">A disallowable instrument must be notified, and presented to the Legislative Assembly, under the </w:t>
      </w:r>
      <w:hyperlink r:id="rId22" w:tooltip="A2001-14" w:history="1">
        <w:r w:rsidR="00BE53B4" w:rsidRPr="00F66CFF">
          <w:rPr>
            <w:rStyle w:val="charCitHyperlinkAbbrev"/>
          </w:rPr>
          <w:t>Legislation Act</w:t>
        </w:r>
      </w:hyperlink>
      <w:r w:rsidRPr="00F66CFF">
        <w:t>.</w:t>
      </w:r>
    </w:p>
    <w:p w14:paraId="7EA2A24D" w14:textId="77777777" w:rsidR="00A30FC9" w:rsidRPr="00F66CFF" w:rsidRDefault="00F66CFF" w:rsidP="00F66CFF">
      <w:pPr>
        <w:pStyle w:val="AH5Sec"/>
        <w:shd w:val="pct25" w:color="auto" w:fill="auto"/>
      </w:pPr>
      <w:bookmarkStart w:id="14" w:name="_Toc22552819"/>
      <w:r w:rsidRPr="00F66CFF">
        <w:rPr>
          <w:rStyle w:val="CharSectNo"/>
        </w:rPr>
        <w:lastRenderedPageBreak/>
        <w:t>12</w:t>
      </w:r>
      <w:r w:rsidRPr="00F66CFF">
        <w:tab/>
      </w:r>
      <w:r w:rsidR="002C4D3B" w:rsidRPr="00F66CFF">
        <w:t>Employers to keep records</w:t>
      </w:r>
      <w:r w:rsidR="002C4D3B" w:rsidRPr="00F66CFF">
        <w:br/>
        <w:t>Section 57 (2)</w:t>
      </w:r>
      <w:bookmarkEnd w:id="14"/>
    </w:p>
    <w:p w14:paraId="403952F1" w14:textId="77777777" w:rsidR="002C4D3B" w:rsidRPr="00F66CFF" w:rsidRDefault="002C4D3B" w:rsidP="002C4D3B">
      <w:pPr>
        <w:pStyle w:val="direction"/>
      </w:pPr>
      <w:r w:rsidRPr="00F66CFF">
        <w:t>omit</w:t>
      </w:r>
    </w:p>
    <w:p w14:paraId="722FC1D6" w14:textId="77777777" w:rsidR="002C4D3B" w:rsidRPr="00F66CFF" w:rsidRDefault="002C4D3B" w:rsidP="002C4D3B">
      <w:pPr>
        <w:pStyle w:val="Amainreturn"/>
      </w:pPr>
      <w:r w:rsidRPr="00F66CFF">
        <w:t>6 years</w:t>
      </w:r>
    </w:p>
    <w:p w14:paraId="2D2C2A3A" w14:textId="77777777" w:rsidR="002C4D3B" w:rsidRPr="00F66CFF" w:rsidRDefault="002C4D3B" w:rsidP="002C4D3B">
      <w:pPr>
        <w:pStyle w:val="direction"/>
      </w:pPr>
      <w:r w:rsidRPr="00F66CFF">
        <w:t>substitute</w:t>
      </w:r>
    </w:p>
    <w:p w14:paraId="125CB3BD" w14:textId="77777777" w:rsidR="002C4D3B" w:rsidRPr="00F66CFF" w:rsidRDefault="002C4D3B" w:rsidP="002C4D3B">
      <w:pPr>
        <w:pStyle w:val="Amainreturn"/>
      </w:pPr>
      <w:r w:rsidRPr="00F66CFF">
        <w:t>7 years</w:t>
      </w:r>
    </w:p>
    <w:p w14:paraId="096803C6" w14:textId="77777777" w:rsidR="00032F53" w:rsidRPr="00F66CFF" w:rsidRDefault="00F66CFF" w:rsidP="00F66CFF">
      <w:pPr>
        <w:pStyle w:val="AH5Sec"/>
        <w:shd w:val="pct25" w:color="auto" w:fill="auto"/>
      </w:pPr>
      <w:bookmarkStart w:id="15" w:name="_Toc22552820"/>
      <w:r w:rsidRPr="00F66CFF">
        <w:rPr>
          <w:rStyle w:val="CharSectNo"/>
        </w:rPr>
        <w:t>13</w:t>
      </w:r>
      <w:r w:rsidRPr="00F66CFF">
        <w:tab/>
      </w:r>
      <w:r w:rsidR="00032F53" w:rsidRPr="00F66CFF">
        <w:t>New part 5A</w:t>
      </w:r>
      <w:bookmarkEnd w:id="15"/>
    </w:p>
    <w:p w14:paraId="7665798D" w14:textId="77777777" w:rsidR="00D55417" w:rsidRPr="00F66CFF" w:rsidRDefault="00D55417" w:rsidP="00D55417">
      <w:pPr>
        <w:pStyle w:val="direction"/>
      </w:pPr>
      <w:r w:rsidRPr="00F66CFF">
        <w:t>insert</w:t>
      </w:r>
    </w:p>
    <w:p w14:paraId="2DF50006" w14:textId="77777777" w:rsidR="00D55417" w:rsidRPr="00F66CFF" w:rsidRDefault="00D55417" w:rsidP="00D55417">
      <w:pPr>
        <w:pStyle w:val="IH2Part"/>
      </w:pPr>
      <w:r w:rsidRPr="00F66CFF">
        <w:t>Part 5A</w:t>
      </w:r>
      <w:r w:rsidRPr="00F66CFF">
        <w:tab/>
        <w:t>Liability of compa</w:t>
      </w:r>
      <w:r w:rsidR="009E7DB0" w:rsidRPr="00F66CFF">
        <w:t xml:space="preserve">ny </w:t>
      </w:r>
      <w:r w:rsidRPr="00F66CFF">
        <w:t>directors</w:t>
      </w:r>
      <w:r w:rsidR="009E7DB0" w:rsidRPr="00F66CFF">
        <w:t xml:space="preserve"> to pay </w:t>
      </w:r>
      <w:r w:rsidR="00FF72E9" w:rsidRPr="00F66CFF">
        <w:t>levy</w:t>
      </w:r>
    </w:p>
    <w:p w14:paraId="2B0EABF1" w14:textId="77777777" w:rsidR="00445ABC" w:rsidRPr="00F66CFF" w:rsidRDefault="00445ABC" w:rsidP="00445ABC">
      <w:pPr>
        <w:pStyle w:val="IH5Sec"/>
      </w:pPr>
      <w:r w:rsidRPr="00F66CFF">
        <w:t>58A</w:t>
      </w:r>
      <w:r w:rsidRPr="00F66CFF">
        <w:tab/>
        <w:t>Application—pt 5A</w:t>
      </w:r>
    </w:p>
    <w:p w14:paraId="6CE6F425" w14:textId="77777777" w:rsidR="009A569C" w:rsidRPr="00F66CFF" w:rsidRDefault="00445ABC" w:rsidP="00A86992">
      <w:pPr>
        <w:pStyle w:val="Amainreturn"/>
      </w:pPr>
      <w:r w:rsidRPr="00F66CFF">
        <w:t xml:space="preserve">This part applies </w:t>
      </w:r>
      <w:r w:rsidR="00752129" w:rsidRPr="00F66CFF">
        <w:t>if</w:t>
      </w:r>
      <w:r w:rsidR="009A569C" w:rsidRPr="00F66CFF">
        <w:t>—</w:t>
      </w:r>
    </w:p>
    <w:p w14:paraId="73312719" w14:textId="77777777" w:rsidR="00445ABC" w:rsidRPr="00F66CFF" w:rsidRDefault="009A569C" w:rsidP="009A569C">
      <w:pPr>
        <w:pStyle w:val="Ipara"/>
      </w:pPr>
      <w:r w:rsidRPr="00F66CFF">
        <w:tab/>
        <w:t>(a)</w:t>
      </w:r>
      <w:r w:rsidRPr="00F66CFF">
        <w:tab/>
      </w:r>
      <w:r w:rsidR="00445ABC" w:rsidRPr="00F66CFF">
        <w:t xml:space="preserve">a </w:t>
      </w:r>
      <w:r w:rsidR="00D22873" w:rsidRPr="00F66CFF">
        <w:t>company</w:t>
      </w:r>
      <w:r w:rsidR="00440457" w:rsidRPr="00F66CFF">
        <w:t xml:space="preserve"> (the </w:t>
      </w:r>
      <w:r w:rsidR="00440457" w:rsidRPr="00F66CFF">
        <w:rPr>
          <w:rStyle w:val="charBoldItals"/>
        </w:rPr>
        <w:t>defunct company</w:t>
      </w:r>
      <w:r w:rsidR="00440457" w:rsidRPr="00F66CFF">
        <w:t>)</w:t>
      </w:r>
      <w:r w:rsidR="00445ABC" w:rsidRPr="00F66CFF">
        <w:t>—</w:t>
      </w:r>
    </w:p>
    <w:p w14:paraId="3FB5ED6F" w14:textId="77777777" w:rsidR="00445ABC" w:rsidRPr="00F66CFF" w:rsidRDefault="009A569C" w:rsidP="009A569C">
      <w:pPr>
        <w:pStyle w:val="Isubpara"/>
      </w:pPr>
      <w:r w:rsidRPr="00F66CFF">
        <w:tab/>
        <w:t>(i)</w:t>
      </w:r>
      <w:r w:rsidRPr="00F66CFF">
        <w:tab/>
      </w:r>
      <w:r w:rsidR="00752129" w:rsidRPr="00F66CFF">
        <w:t xml:space="preserve">is </w:t>
      </w:r>
      <w:r w:rsidR="00445ABC" w:rsidRPr="00F66CFF">
        <w:t>an employer in a covered industry; and</w:t>
      </w:r>
    </w:p>
    <w:p w14:paraId="41627ED6" w14:textId="77777777" w:rsidR="00445ABC" w:rsidRPr="00F66CFF" w:rsidRDefault="00440457" w:rsidP="00440457">
      <w:pPr>
        <w:pStyle w:val="Isubpara"/>
      </w:pPr>
      <w:r w:rsidRPr="00F66CFF">
        <w:tab/>
        <w:t>(ii)</w:t>
      </w:r>
      <w:r w:rsidRPr="00F66CFF">
        <w:tab/>
      </w:r>
      <w:r w:rsidR="00752129" w:rsidRPr="00F66CFF">
        <w:t xml:space="preserve">fails to pay the authority a levy payable by the </w:t>
      </w:r>
      <w:r w:rsidR="00D22873" w:rsidRPr="00F66CFF">
        <w:t>company</w:t>
      </w:r>
      <w:r w:rsidR="00752129" w:rsidRPr="00F66CFF">
        <w:t xml:space="preserve"> under section 5</w:t>
      </w:r>
      <w:r w:rsidR="002852C2" w:rsidRPr="00F66CFF">
        <w:t>0</w:t>
      </w:r>
      <w:r w:rsidR="00752129" w:rsidRPr="00F66CFF">
        <w:t xml:space="preserve"> for a quarter; and</w:t>
      </w:r>
    </w:p>
    <w:p w14:paraId="7AA8A477" w14:textId="77777777" w:rsidR="007A096B" w:rsidRPr="00F66CFF" w:rsidRDefault="00440457" w:rsidP="00440457">
      <w:pPr>
        <w:pStyle w:val="Isubpara"/>
      </w:pPr>
      <w:r w:rsidRPr="00F66CFF">
        <w:tab/>
        <w:t>(iii)</w:t>
      </w:r>
      <w:r w:rsidRPr="00F66CFF">
        <w:tab/>
      </w:r>
      <w:r w:rsidR="00F77E2A" w:rsidRPr="00F66CFF">
        <w:t>dispose</w:t>
      </w:r>
      <w:r w:rsidR="00F722D8" w:rsidRPr="00F66CFF">
        <w:t>s</w:t>
      </w:r>
      <w:r w:rsidR="00F77E2A" w:rsidRPr="00F66CFF">
        <w:t xml:space="preserve"> of property </w:t>
      </w:r>
      <w:r w:rsidR="007A096B" w:rsidRPr="00F66CFF">
        <w:t xml:space="preserve">(a </w:t>
      </w:r>
      <w:r w:rsidR="007A096B" w:rsidRPr="00F66CFF">
        <w:rPr>
          <w:rStyle w:val="charBoldItals"/>
        </w:rPr>
        <w:t>creditor-defeating disposition</w:t>
      </w:r>
      <w:r w:rsidR="007A096B" w:rsidRPr="00F66CFF">
        <w:t xml:space="preserve">) </w:t>
      </w:r>
      <w:r w:rsidR="00F77E2A" w:rsidRPr="00F66CFF">
        <w:t xml:space="preserve">in a </w:t>
      </w:r>
      <w:r w:rsidR="007A096B" w:rsidRPr="00F66CFF">
        <w:t>way that has the effect of—</w:t>
      </w:r>
    </w:p>
    <w:p w14:paraId="32BA696F" w14:textId="77777777" w:rsidR="00752129" w:rsidRPr="00F66CFF" w:rsidRDefault="007A096B" w:rsidP="007A096B">
      <w:pPr>
        <w:pStyle w:val="Isubsubpara"/>
      </w:pPr>
      <w:r w:rsidRPr="00F66CFF">
        <w:tab/>
        <w:t>(A)</w:t>
      </w:r>
      <w:r w:rsidRPr="00F66CFF">
        <w:tab/>
        <w:t>preventing the property becoming available for the benefit of the company’s creditors in the winding-up of the company; or</w:t>
      </w:r>
    </w:p>
    <w:p w14:paraId="346B9912" w14:textId="77777777" w:rsidR="007A096B" w:rsidRPr="00F66CFF" w:rsidRDefault="007A096B" w:rsidP="007A096B">
      <w:pPr>
        <w:pStyle w:val="Isubsubpara"/>
      </w:pPr>
      <w:r w:rsidRPr="00F66CFF">
        <w:tab/>
        <w:t>(B)</w:t>
      </w:r>
      <w:r w:rsidRPr="00F66CFF">
        <w:tab/>
        <w:t>hindering, or significantly delaying, the process of making the property available for the benefit of the company’s creditors in the winding-up of the company; and</w:t>
      </w:r>
    </w:p>
    <w:p w14:paraId="1EDC27E6" w14:textId="77777777" w:rsidR="00440457" w:rsidRPr="00F66CFF" w:rsidRDefault="00440457" w:rsidP="00440457">
      <w:pPr>
        <w:pStyle w:val="Isubpara"/>
      </w:pPr>
      <w:r w:rsidRPr="00F66CFF">
        <w:lastRenderedPageBreak/>
        <w:tab/>
        <w:t>(iv)</w:t>
      </w:r>
      <w:r w:rsidRPr="00F66CFF">
        <w:tab/>
      </w:r>
      <w:r w:rsidR="00F77E2A" w:rsidRPr="00F66CFF">
        <w:t>ceases to trade</w:t>
      </w:r>
      <w:r w:rsidRPr="00F66CFF">
        <w:t>; and</w:t>
      </w:r>
    </w:p>
    <w:p w14:paraId="7EF36CA8" w14:textId="77777777" w:rsidR="00440457" w:rsidRPr="00F66CFF" w:rsidRDefault="00440457" w:rsidP="00440457">
      <w:pPr>
        <w:pStyle w:val="Ipara"/>
      </w:pPr>
      <w:r w:rsidRPr="00F66CFF">
        <w:tab/>
        <w:t>(b)</w:t>
      </w:r>
      <w:r w:rsidRPr="00F66CFF">
        <w:tab/>
        <w:t xml:space="preserve">another company (the </w:t>
      </w:r>
      <w:r w:rsidRPr="00F66CFF">
        <w:rPr>
          <w:rStyle w:val="charBoldItals"/>
        </w:rPr>
        <w:t>phoenix company</w:t>
      </w:r>
      <w:r w:rsidRPr="00F66CFF">
        <w:t>) is incorporated that—</w:t>
      </w:r>
    </w:p>
    <w:p w14:paraId="5B9C5B85" w14:textId="77777777" w:rsidR="00440457" w:rsidRPr="00F66CFF" w:rsidRDefault="00440457" w:rsidP="00440457">
      <w:pPr>
        <w:pStyle w:val="Isubpara"/>
      </w:pPr>
      <w:r w:rsidRPr="00F66CFF">
        <w:tab/>
        <w:t>(i)</w:t>
      </w:r>
      <w:r w:rsidRPr="00F66CFF">
        <w:tab/>
        <w:t>is an employer in the covered industry; and</w:t>
      </w:r>
    </w:p>
    <w:p w14:paraId="186FEC23" w14:textId="77777777" w:rsidR="00440457" w:rsidRPr="00F66CFF" w:rsidRDefault="00440457" w:rsidP="00440457">
      <w:pPr>
        <w:pStyle w:val="Isubpara"/>
      </w:pPr>
      <w:r w:rsidRPr="00F66CFF">
        <w:tab/>
        <w:t>(ii)</w:t>
      </w:r>
      <w:r w:rsidRPr="00F66CFF">
        <w:tab/>
        <w:t xml:space="preserve">conducts substantially the same business as the </w:t>
      </w:r>
      <w:r w:rsidR="00B46F95" w:rsidRPr="00F66CFF">
        <w:t xml:space="preserve">business conducted by the </w:t>
      </w:r>
      <w:r w:rsidRPr="00F66CFF">
        <w:t>defunct company; and</w:t>
      </w:r>
    </w:p>
    <w:p w14:paraId="18C2C6FF" w14:textId="77777777" w:rsidR="00FB7A52" w:rsidRPr="00F66CFF" w:rsidRDefault="007A096B" w:rsidP="007A096B">
      <w:pPr>
        <w:pStyle w:val="Ipara"/>
      </w:pPr>
      <w:r w:rsidRPr="00F66CFF">
        <w:tab/>
        <w:t>(</w:t>
      </w:r>
      <w:r w:rsidR="00353474" w:rsidRPr="00F66CFF">
        <w:t>c</w:t>
      </w:r>
      <w:r w:rsidRPr="00F66CFF">
        <w:t>)</w:t>
      </w:r>
      <w:r w:rsidRPr="00F66CFF">
        <w:tab/>
        <w:t xml:space="preserve">at least 1 of the directors of the phoenix company was a director of the defunct company at the time </w:t>
      </w:r>
      <w:r w:rsidR="00FB04E1" w:rsidRPr="00F66CFF">
        <w:t>the credit</w:t>
      </w:r>
      <w:r w:rsidR="008812A1" w:rsidRPr="00F66CFF">
        <w:t>or</w:t>
      </w:r>
      <w:r w:rsidR="008812A1" w:rsidRPr="00F66CFF">
        <w:noBreakHyphen/>
      </w:r>
      <w:r w:rsidR="00FB04E1" w:rsidRPr="00F66CFF">
        <w:t>defeating disposition happened.</w:t>
      </w:r>
      <w:r w:rsidR="00F77E2A" w:rsidRPr="00F66CFF">
        <w:t xml:space="preserve"> </w:t>
      </w:r>
    </w:p>
    <w:p w14:paraId="0358D4AB" w14:textId="77777777" w:rsidR="004651EF" w:rsidRPr="00F66CFF" w:rsidRDefault="004651EF" w:rsidP="004651EF">
      <w:pPr>
        <w:pStyle w:val="IH5Sec"/>
      </w:pPr>
      <w:r w:rsidRPr="00F66CFF">
        <w:t>58B</w:t>
      </w:r>
      <w:r w:rsidRPr="00F66CFF">
        <w:tab/>
      </w:r>
      <w:r w:rsidR="00B46F95" w:rsidRPr="00F66CFF">
        <w:t>Liability of directors to pay levy</w:t>
      </w:r>
    </w:p>
    <w:p w14:paraId="01E36829" w14:textId="77777777" w:rsidR="002852C2" w:rsidRPr="00F66CFF" w:rsidRDefault="00F66CFF" w:rsidP="00F66CFF">
      <w:pPr>
        <w:pStyle w:val="IMain"/>
        <w:ind w:left="1095" w:hanging="465"/>
      </w:pPr>
      <w:r w:rsidRPr="00F66CFF">
        <w:t>(1)</w:t>
      </w:r>
      <w:r w:rsidRPr="00F66CFF">
        <w:tab/>
      </w:r>
      <w:r w:rsidR="00353474" w:rsidRPr="00F66CFF">
        <w:t>This section applies if</w:t>
      </w:r>
      <w:r w:rsidR="002852C2" w:rsidRPr="00F66CFF">
        <w:t>—</w:t>
      </w:r>
    </w:p>
    <w:p w14:paraId="0C1F9DAD" w14:textId="77777777" w:rsidR="00353474" w:rsidRPr="00F66CFF" w:rsidRDefault="002852C2" w:rsidP="002852C2">
      <w:pPr>
        <w:pStyle w:val="Ipara"/>
      </w:pPr>
      <w:r w:rsidRPr="00F66CFF">
        <w:tab/>
        <w:t>(a)</w:t>
      </w:r>
      <w:r w:rsidRPr="00F66CFF">
        <w:tab/>
      </w:r>
      <w:r w:rsidR="00353474" w:rsidRPr="00F66CFF">
        <w:t>a person—</w:t>
      </w:r>
    </w:p>
    <w:p w14:paraId="33F0B2D8" w14:textId="77777777" w:rsidR="00353474" w:rsidRPr="00F66CFF" w:rsidRDefault="002852C2" w:rsidP="002852C2">
      <w:pPr>
        <w:pStyle w:val="Isubpara"/>
      </w:pPr>
      <w:r w:rsidRPr="00F66CFF">
        <w:tab/>
        <w:t>(i)</w:t>
      </w:r>
      <w:r w:rsidRPr="00F66CFF">
        <w:tab/>
        <w:t>is a director of a phoenix company</w:t>
      </w:r>
      <w:r w:rsidR="00353474" w:rsidRPr="00F66CFF">
        <w:t>; and</w:t>
      </w:r>
    </w:p>
    <w:p w14:paraId="3409CD65" w14:textId="77777777" w:rsidR="002852C2" w:rsidRPr="00F66CFF" w:rsidRDefault="002852C2" w:rsidP="002852C2">
      <w:pPr>
        <w:pStyle w:val="Isubpara"/>
      </w:pPr>
      <w:r w:rsidRPr="00F66CFF">
        <w:tab/>
        <w:t>(ii)</w:t>
      </w:r>
      <w:r w:rsidRPr="00F66CFF">
        <w:tab/>
        <w:t xml:space="preserve">was a director of a defunct company at the time </w:t>
      </w:r>
      <w:r w:rsidR="00C45FBD" w:rsidRPr="00F66CFF">
        <w:t xml:space="preserve">the company made </w:t>
      </w:r>
      <w:r w:rsidRPr="00F66CFF">
        <w:t>a credit</w:t>
      </w:r>
      <w:r w:rsidR="00697D73" w:rsidRPr="00F66CFF">
        <w:t>or</w:t>
      </w:r>
      <w:r w:rsidRPr="00F66CFF">
        <w:t>-defeating disposition; and</w:t>
      </w:r>
    </w:p>
    <w:p w14:paraId="77196A7A" w14:textId="77777777" w:rsidR="007A096B" w:rsidRPr="00F66CFF" w:rsidRDefault="002852C2" w:rsidP="002852C2">
      <w:pPr>
        <w:pStyle w:val="Ipara"/>
      </w:pPr>
      <w:r w:rsidRPr="00F66CFF">
        <w:tab/>
        <w:t>(b)</w:t>
      </w:r>
      <w:r w:rsidRPr="00F66CFF">
        <w:tab/>
        <w:t>the levy payable by the defunct company under section 50 remains unpaid</w:t>
      </w:r>
      <w:r w:rsidR="00353474" w:rsidRPr="00F66CFF">
        <w:t>.</w:t>
      </w:r>
    </w:p>
    <w:p w14:paraId="2516B728" w14:textId="77777777" w:rsidR="00353474" w:rsidRPr="00F66CFF" w:rsidRDefault="00353474" w:rsidP="00353474">
      <w:pPr>
        <w:pStyle w:val="IMain"/>
      </w:pPr>
      <w:r w:rsidRPr="00F66CFF">
        <w:tab/>
        <w:t>(2)</w:t>
      </w:r>
      <w:r w:rsidRPr="00F66CFF">
        <w:tab/>
        <w:t>The authority may recover as a debt from the person</w:t>
      </w:r>
      <w:r w:rsidR="002852C2" w:rsidRPr="00F66CFF">
        <w:t>—</w:t>
      </w:r>
    </w:p>
    <w:p w14:paraId="737D39E4" w14:textId="77777777" w:rsidR="002852C2" w:rsidRPr="00F66CFF" w:rsidRDefault="002852C2" w:rsidP="002852C2">
      <w:pPr>
        <w:pStyle w:val="Ipara"/>
      </w:pPr>
      <w:r w:rsidRPr="00F66CFF">
        <w:tab/>
        <w:t>(a)</w:t>
      </w:r>
      <w:r w:rsidRPr="00F66CFF">
        <w:tab/>
        <w:t>the amount of the levy that remains unpaid; and</w:t>
      </w:r>
    </w:p>
    <w:p w14:paraId="2622E128" w14:textId="77777777" w:rsidR="002852C2" w:rsidRPr="00F66CFF" w:rsidRDefault="002852C2" w:rsidP="002852C2">
      <w:pPr>
        <w:pStyle w:val="Ipara"/>
      </w:pPr>
      <w:r w:rsidRPr="00F66CFF">
        <w:tab/>
        <w:t>(b)</w:t>
      </w:r>
      <w:r w:rsidRPr="00F66CFF">
        <w:tab/>
        <w:t xml:space="preserve">any interest payable under section 52 on the amount of the levy unpaid; and </w:t>
      </w:r>
    </w:p>
    <w:p w14:paraId="232482CA" w14:textId="77777777" w:rsidR="002852C2" w:rsidRPr="00F66CFF" w:rsidRDefault="002852C2" w:rsidP="00F66CFF">
      <w:pPr>
        <w:pStyle w:val="Ipara"/>
        <w:keepNext/>
      </w:pPr>
      <w:r w:rsidRPr="00F66CFF">
        <w:tab/>
        <w:t>(</w:t>
      </w:r>
      <w:r w:rsidR="008812A1" w:rsidRPr="00F66CFF">
        <w:t>c</w:t>
      </w:r>
      <w:r w:rsidRPr="00F66CFF">
        <w:t>)</w:t>
      </w:r>
      <w:r w:rsidRPr="00F66CFF">
        <w:tab/>
        <w:t>any costs reasonably incurred by the authority in recovering the unpaid levy.</w:t>
      </w:r>
    </w:p>
    <w:p w14:paraId="4ABA4F42" w14:textId="4C7DFCEF" w:rsidR="001D5A44" w:rsidRPr="00F66CFF" w:rsidRDefault="001D5A44" w:rsidP="00697D73">
      <w:pPr>
        <w:pStyle w:val="aNote"/>
        <w:rPr>
          <w:lang w:eastAsia="en-AU"/>
        </w:rPr>
      </w:pPr>
      <w:r w:rsidRPr="00F66CFF">
        <w:rPr>
          <w:rStyle w:val="charItals"/>
        </w:rPr>
        <w:t>Note</w:t>
      </w:r>
      <w:r w:rsidRPr="00F66CFF">
        <w:rPr>
          <w:rStyle w:val="charItals"/>
        </w:rPr>
        <w:tab/>
      </w:r>
      <w:r w:rsidRPr="00F66CFF">
        <w:rPr>
          <w:lang w:eastAsia="en-AU"/>
        </w:rPr>
        <w:t xml:space="preserve">An amount owing under a law may be recovered as a debt in a court of competent jurisdiction or the ACAT (see </w:t>
      </w:r>
      <w:hyperlink r:id="rId23" w:tooltip="A2001-14" w:history="1">
        <w:r w:rsidR="00BE53B4" w:rsidRPr="00F66CFF">
          <w:rPr>
            <w:rStyle w:val="charCitHyperlinkAbbrev"/>
          </w:rPr>
          <w:t>Legislation Act</w:t>
        </w:r>
      </w:hyperlink>
      <w:r w:rsidRPr="00F66CFF">
        <w:rPr>
          <w:lang w:eastAsia="en-AU"/>
        </w:rPr>
        <w:t>, s 177).</w:t>
      </w:r>
    </w:p>
    <w:p w14:paraId="687F6294" w14:textId="77777777" w:rsidR="002852C2" w:rsidRPr="00F66CFF" w:rsidRDefault="002852C2" w:rsidP="002852C2">
      <w:pPr>
        <w:pStyle w:val="IMain"/>
      </w:pPr>
      <w:r w:rsidRPr="00F66CFF">
        <w:lastRenderedPageBreak/>
        <w:tab/>
        <w:t>(3)</w:t>
      </w:r>
      <w:r w:rsidRPr="00F66CFF">
        <w:tab/>
      </w:r>
      <w:r w:rsidR="00D600C5" w:rsidRPr="00F66CFF">
        <w:t xml:space="preserve">If 2 or more people are together </w:t>
      </w:r>
      <w:r w:rsidR="000235B3" w:rsidRPr="00F66CFF">
        <w:t xml:space="preserve">and separately </w:t>
      </w:r>
      <w:r w:rsidR="00D600C5" w:rsidRPr="00F66CFF">
        <w:t xml:space="preserve">liable to pay an amount under subsection (2), the authority may recover the whole of the amount from them, or any of them, or any 1 of them. </w:t>
      </w:r>
    </w:p>
    <w:p w14:paraId="79F5AC2B" w14:textId="77777777" w:rsidR="00316F7D" w:rsidRPr="00F66CFF" w:rsidRDefault="00316F7D" w:rsidP="00316F7D">
      <w:pPr>
        <w:pStyle w:val="IMain"/>
      </w:pPr>
      <w:r w:rsidRPr="00F66CFF">
        <w:tab/>
        <w:t>(4)</w:t>
      </w:r>
      <w:r w:rsidRPr="00F66CFF">
        <w:tab/>
        <w:t>In this section:</w:t>
      </w:r>
    </w:p>
    <w:p w14:paraId="60DAD6BE" w14:textId="77777777" w:rsidR="00316F7D" w:rsidRPr="00F66CFF" w:rsidRDefault="00316F7D" w:rsidP="00F66CFF">
      <w:pPr>
        <w:pStyle w:val="aDef"/>
      </w:pPr>
      <w:r w:rsidRPr="00F66CFF">
        <w:rPr>
          <w:rStyle w:val="charBoldItals"/>
        </w:rPr>
        <w:t>creditor-defeating disposition</w:t>
      </w:r>
      <w:r w:rsidRPr="00F66CFF">
        <w:t>—see section 58A (a) (iii).</w:t>
      </w:r>
    </w:p>
    <w:p w14:paraId="466D313B" w14:textId="77777777" w:rsidR="00316F7D" w:rsidRPr="00F66CFF" w:rsidRDefault="00316F7D" w:rsidP="00F66CFF">
      <w:pPr>
        <w:pStyle w:val="aDef"/>
      </w:pPr>
      <w:r w:rsidRPr="00F66CFF">
        <w:rPr>
          <w:rStyle w:val="charBoldItals"/>
        </w:rPr>
        <w:t>defunct company</w:t>
      </w:r>
      <w:r w:rsidRPr="00F66CFF">
        <w:t>—see section 58A (a).</w:t>
      </w:r>
    </w:p>
    <w:p w14:paraId="66068816" w14:textId="77777777" w:rsidR="00316F7D" w:rsidRPr="00F66CFF" w:rsidRDefault="00316F7D" w:rsidP="00F66CFF">
      <w:pPr>
        <w:pStyle w:val="aDef"/>
      </w:pPr>
      <w:r w:rsidRPr="00F66CFF">
        <w:rPr>
          <w:rStyle w:val="charBoldItals"/>
        </w:rPr>
        <w:t>phoenix company</w:t>
      </w:r>
      <w:r w:rsidRPr="00F66CFF">
        <w:t>—see section 58A (b).</w:t>
      </w:r>
    </w:p>
    <w:p w14:paraId="239FA429" w14:textId="77777777" w:rsidR="002C4D3B" w:rsidRPr="00F66CFF" w:rsidRDefault="00F66CFF" w:rsidP="00F66CFF">
      <w:pPr>
        <w:pStyle w:val="AH5Sec"/>
        <w:shd w:val="pct25" w:color="auto" w:fill="auto"/>
      </w:pPr>
      <w:bookmarkStart w:id="16" w:name="_Toc22552821"/>
      <w:r w:rsidRPr="00F66CFF">
        <w:rPr>
          <w:rStyle w:val="CharSectNo"/>
        </w:rPr>
        <w:t>14</w:t>
      </w:r>
      <w:r w:rsidRPr="00F66CFF">
        <w:tab/>
      </w:r>
      <w:r w:rsidR="002C4D3B" w:rsidRPr="00F66CFF">
        <w:t>Removing people from workers register</w:t>
      </w:r>
      <w:r w:rsidR="002C4D3B" w:rsidRPr="00F66CFF">
        <w:br/>
        <w:t>New section 65 (3) (d)</w:t>
      </w:r>
      <w:bookmarkEnd w:id="16"/>
    </w:p>
    <w:p w14:paraId="3E698F83" w14:textId="77777777" w:rsidR="002C4D3B" w:rsidRPr="00F66CFF" w:rsidRDefault="002C4D3B" w:rsidP="002C4D3B">
      <w:pPr>
        <w:pStyle w:val="direction"/>
      </w:pPr>
      <w:r w:rsidRPr="00F66CFF">
        <w:t>insert</w:t>
      </w:r>
    </w:p>
    <w:p w14:paraId="72B36D87" w14:textId="77777777" w:rsidR="002C4D3B" w:rsidRPr="00F66CFF" w:rsidRDefault="002C4D3B" w:rsidP="002C4D3B">
      <w:pPr>
        <w:pStyle w:val="Ipara"/>
      </w:pPr>
      <w:r w:rsidRPr="00F66CFF">
        <w:tab/>
        <w:t>(d)</w:t>
      </w:r>
      <w:r w:rsidRPr="00F66CFF">
        <w:tab/>
        <w:t>schedule 4, section 4.9 (Entitlement to payment instead of leave—security industry).</w:t>
      </w:r>
    </w:p>
    <w:p w14:paraId="687DC52F" w14:textId="77777777" w:rsidR="00D7481E" w:rsidRPr="00F66CFF" w:rsidRDefault="00F66CFF" w:rsidP="00F66CFF">
      <w:pPr>
        <w:pStyle w:val="AH5Sec"/>
        <w:shd w:val="pct25" w:color="auto" w:fill="auto"/>
      </w:pPr>
      <w:bookmarkStart w:id="17" w:name="_Toc22552822"/>
      <w:r w:rsidRPr="00F66CFF">
        <w:rPr>
          <w:rStyle w:val="CharSectNo"/>
        </w:rPr>
        <w:t>15</w:t>
      </w:r>
      <w:r w:rsidRPr="00F66CFF">
        <w:tab/>
      </w:r>
      <w:r w:rsidR="002B34CB" w:rsidRPr="00F66CFF">
        <w:t>Section 76</w:t>
      </w:r>
      <w:bookmarkEnd w:id="17"/>
    </w:p>
    <w:p w14:paraId="3C0280B4" w14:textId="77777777" w:rsidR="002B34CB" w:rsidRPr="00F66CFF" w:rsidRDefault="002B34CB" w:rsidP="002B34CB">
      <w:pPr>
        <w:pStyle w:val="direction"/>
      </w:pPr>
      <w:r w:rsidRPr="00F66CFF">
        <w:t>substitute</w:t>
      </w:r>
    </w:p>
    <w:p w14:paraId="4710510E" w14:textId="77777777" w:rsidR="002B34CB" w:rsidRPr="00F66CFF" w:rsidRDefault="002B34CB" w:rsidP="002B34CB">
      <w:pPr>
        <w:pStyle w:val="IH5Sec"/>
      </w:pPr>
      <w:r w:rsidRPr="00F66CFF">
        <w:t>76</w:t>
      </w:r>
      <w:r w:rsidRPr="00F66CFF">
        <w:tab/>
        <w:t xml:space="preserve">Power to </w:t>
      </w:r>
      <w:r w:rsidR="005C48F8" w:rsidRPr="00F66CFF">
        <w:t xml:space="preserve">obtain, </w:t>
      </w:r>
      <w:r w:rsidRPr="00F66CFF">
        <w:t>inspect and copy records</w:t>
      </w:r>
    </w:p>
    <w:p w14:paraId="580273DB" w14:textId="77777777" w:rsidR="005C48F8" w:rsidRPr="00F66CFF" w:rsidRDefault="002B34CB" w:rsidP="005C48F8">
      <w:pPr>
        <w:pStyle w:val="IMain"/>
      </w:pPr>
      <w:r w:rsidRPr="00F66CFF">
        <w:tab/>
        <w:t>(1)</w:t>
      </w:r>
      <w:r w:rsidRPr="00F66CFF">
        <w:tab/>
        <w:t xml:space="preserve">An inspector </w:t>
      </w:r>
      <w:r w:rsidR="005C48F8" w:rsidRPr="00F66CFF">
        <w:t>may, in writing, require an</w:t>
      </w:r>
      <w:r w:rsidR="00EB732A" w:rsidRPr="00F66CFF">
        <w:t>y of the following</w:t>
      </w:r>
      <w:r w:rsidR="005C48F8" w:rsidRPr="00F66CFF">
        <w:t xml:space="preserve"> to give the inspector information, or produce documents or anything else, that the </w:t>
      </w:r>
      <w:r w:rsidR="00EB732A" w:rsidRPr="00F66CFF">
        <w:t>person</w:t>
      </w:r>
      <w:r w:rsidR="005C48F8" w:rsidRPr="00F66CFF">
        <w:t xml:space="preserve"> has, or has access to</w:t>
      </w:r>
      <w:r w:rsidR="00EB732A" w:rsidRPr="00F66CFF">
        <w:t>,</w:t>
      </w:r>
      <w:r w:rsidR="005C48F8" w:rsidRPr="00F66CFF">
        <w:t xml:space="preserve"> that are reasonably required by the inspector for this Act</w:t>
      </w:r>
      <w:r w:rsidR="00EB732A" w:rsidRPr="00F66CFF">
        <w:t>:</w:t>
      </w:r>
    </w:p>
    <w:p w14:paraId="7123765E" w14:textId="77777777" w:rsidR="00EB732A" w:rsidRPr="00F66CFF" w:rsidRDefault="00EB732A" w:rsidP="00EB732A">
      <w:pPr>
        <w:pStyle w:val="Ipara"/>
      </w:pPr>
      <w:r w:rsidRPr="00F66CFF">
        <w:tab/>
        <w:t>(a)</w:t>
      </w:r>
      <w:r w:rsidRPr="00F66CFF">
        <w:tab/>
      </w:r>
      <w:r w:rsidR="006048C7" w:rsidRPr="00F66CFF">
        <w:t xml:space="preserve">an </w:t>
      </w:r>
      <w:r w:rsidRPr="00F66CFF">
        <w:t>employer for a covered industry;</w:t>
      </w:r>
    </w:p>
    <w:p w14:paraId="7880DDDE" w14:textId="77777777" w:rsidR="00EB732A" w:rsidRPr="00F66CFF" w:rsidRDefault="00EB732A" w:rsidP="00481A52">
      <w:pPr>
        <w:pStyle w:val="Ipara"/>
        <w:keepNext/>
      </w:pPr>
      <w:r w:rsidRPr="00F66CFF">
        <w:lastRenderedPageBreak/>
        <w:tab/>
        <w:t>(b)</w:t>
      </w:r>
      <w:r w:rsidRPr="00F66CFF">
        <w:tab/>
      </w:r>
      <w:r w:rsidR="006048C7" w:rsidRPr="00F66CFF">
        <w:t xml:space="preserve">a </w:t>
      </w:r>
      <w:r w:rsidR="00A01CB2" w:rsidRPr="00F66CFF">
        <w:t>voluntary</w:t>
      </w:r>
      <w:r w:rsidRPr="00F66CFF">
        <w:t xml:space="preserve"> member for a covered industry;</w:t>
      </w:r>
    </w:p>
    <w:p w14:paraId="02CC993E" w14:textId="77777777" w:rsidR="00EB732A" w:rsidRPr="00F66CFF" w:rsidRDefault="00EB732A" w:rsidP="00481A52">
      <w:pPr>
        <w:pStyle w:val="Ipara"/>
        <w:keepNext/>
      </w:pPr>
      <w:r w:rsidRPr="00F66CFF">
        <w:tab/>
        <w:t>(c)</w:t>
      </w:r>
      <w:r w:rsidRPr="00F66CFF">
        <w:tab/>
        <w:t xml:space="preserve">a bank or other financial institution that </w:t>
      </w:r>
      <w:r w:rsidR="006048C7" w:rsidRPr="00F66CFF">
        <w:t xml:space="preserve">holds accounts for an employer, or </w:t>
      </w:r>
      <w:r w:rsidR="00A01CB2" w:rsidRPr="00F66CFF">
        <w:t>voluntary</w:t>
      </w:r>
      <w:r w:rsidR="006048C7" w:rsidRPr="00F66CFF">
        <w:t xml:space="preserve"> member, for a covered industry;</w:t>
      </w:r>
    </w:p>
    <w:p w14:paraId="7E1FA248" w14:textId="77777777" w:rsidR="006048C7" w:rsidRPr="00F66CFF" w:rsidRDefault="006048C7" w:rsidP="00481A52">
      <w:pPr>
        <w:pStyle w:val="Ipara"/>
        <w:keepNext/>
      </w:pPr>
      <w:r w:rsidRPr="00F66CFF">
        <w:tab/>
        <w:t>(d)</w:t>
      </w:r>
      <w:r w:rsidRPr="00F66CFF">
        <w:tab/>
        <w:t xml:space="preserve">an accountant or bookkeeper engaged by an employer, or </w:t>
      </w:r>
      <w:r w:rsidR="00A01CB2" w:rsidRPr="00F66CFF">
        <w:t>voluntary</w:t>
      </w:r>
      <w:r w:rsidRPr="00F66CFF">
        <w:t xml:space="preserve"> member, for a covered industry.</w:t>
      </w:r>
    </w:p>
    <w:p w14:paraId="1EA19E4B" w14:textId="77777777" w:rsidR="005C48F8" w:rsidRPr="00F66CFF" w:rsidRDefault="005C48F8" w:rsidP="002F51D7">
      <w:pPr>
        <w:pStyle w:val="aExamHdgss"/>
      </w:pPr>
      <w:r w:rsidRPr="00F66CFF">
        <w:t>Example</w:t>
      </w:r>
    </w:p>
    <w:p w14:paraId="394270A6" w14:textId="77777777" w:rsidR="005C48F8" w:rsidRPr="00F66CFF" w:rsidRDefault="00EB732A" w:rsidP="002F51D7">
      <w:pPr>
        <w:pStyle w:val="aExamss"/>
      </w:pPr>
      <w:r w:rsidRPr="00F66CFF">
        <w:t>request and obtain by email a list of employees</w:t>
      </w:r>
    </w:p>
    <w:p w14:paraId="44E85C22" w14:textId="77777777" w:rsidR="00EB732A" w:rsidRPr="00F66CFF" w:rsidRDefault="00EB732A" w:rsidP="00EB732A">
      <w:pPr>
        <w:pStyle w:val="IMain"/>
      </w:pPr>
      <w:r w:rsidRPr="00F66CFF">
        <w:tab/>
        <w:t>(2)</w:t>
      </w:r>
      <w:r w:rsidRPr="00F66CFF">
        <w:tab/>
        <w:t>An inspector who enters premises under this part may, for this Act, do 1 or more of the following in relation to the premises or anything at the premises:</w:t>
      </w:r>
    </w:p>
    <w:p w14:paraId="2123574D" w14:textId="77777777" w:rsidR="00EB732A" w:rsidRPr="00F66CFF" w:rsidRDefault="00EB732A" w:rsidP="00EB732A">
      <w:pPr>
        <w:pStyle w:val="Ipara"/>
      </w:pPr>
      <w:r w:rsidRPr="00F66CFF">
        <w:tab/>
        <w:t>(a)</w:t>
      </w:r>
      <w:r w:rsidRPr="00F66CFF">
        <w:tab/>
        <w:t>examine anything;</w:t>
      </w:r>
    </w:p>
    <w:p w14:paraId="63D8DB5E" w14:textId="77777777" w:rsidR="00EB732A" w:rsidRPr="00F66CFF" w:rsidRDefault="00EB732A" w:rsidP="00EB732A">
      <w:pPr>
        <w:pStyle w:val="Ipara"/>
      </w:pPr>
      <w:r w:rsidRPr="00F66CFF">
        <w:tab/>
        <w:t>(b)</w:t>
      </w:r>
      <w:r w:rsidRPr="00F66CFF">
        <w:tab/>
        <w:t>examine and copy, or take extracts from, documents relating to a contravention, or possible contravention, of this Act;</w:t>
      </w:r>
    </w:p>
    <w:p w14:paraId="1164A069" w14:textId="77777777" w:rsidR="00EB732A" w:rsidRPr="00F66CFF" w:rsidRDefault="00EB732A" w:rsidP="00EB732A">
      <w:pPr>
        <w:pStyle w:val="Ipara"/>
      </w:pPr>
      <w:r w:rsidRPr="00F66CFF">
        <w:tab/>
        <w:t>(c)</w:t>
      </w:r>
      <w:r w:rsidRPr="00F66CFF">
        <w:tab/>
        <w:t>take photographs, films, or audio, video or other recordings;</w:t>
      </w:r>
    </w:p>
    <w:p w14:paraId="5C6A87E7" w14:textId="77777777" w:rsidR="00EB732A" w:rsidRPr="00F66CFF" w:rsidRDefault="00EB732A" w:rsidP="00EB732A">
      <w:pPr>
        <w:pStyle w:val="Ipara"/>
      </w:pPr>
      <w:r w:rsidRPr="00F66CFF">
        <w:tab/>
        <w:t>(d)</w:t>
      </w:r>
      <w:r w:rsidRPr="00F66CFF">
        <w:tab/>
        <w:t xml:space="preserve">require the occupier, or </w:t>
      </w:r>
      <w:r w:rsidR="006048C7" w:rsidRPr="00F66CFF">
        <w:t>anyone at the premises</w:t>
      </w:r>
      <w:r w:rsidRPr="00F66CFF">
        <w:t xml:space="preserve">, to give </w:t>
      </w:r>
      <w:r w:rsidR="006048C7" w:rsidRPr="00F66CFF">
        <w:t xml:space="preserve">information, answer questions, or produce documents or anything else (whether the information, document or other thing is at the premises or elsewhere) that the occupier or person at the premises has, or has access to, that are reasonably necessary to exercise a function under this </w:t>
      </w:r>
      <w:r w:rsidR="007C214C" w:rsidRPr="00F66CFF">
        <w:t>Act</w:t>
      </w:r>
      <w:r w:rsidR="006048C7" w:rsidRPr="00F66CFF">
        <w:t>;</w:t>
      </w:r>
    </w:p>
    <w:p w14:paraId="7DEC85C0" w14:textId="77777777" w:rsidR="006048C7" w:rsidRPr="00F66CFF" w:rsidRDefault="006048C7" w:rsidP="006048C7">
      <w:pPr>
        <w:pStyle w:val="Ipara"/>
      </w:pPr>
      <w:r w:rsidRPr="00F66CFF">
        <w:tab/>
        <w:t>(e)</w:t>
      </w:r>
      <w:r w:rsidRPr="00F66CFF">
        <w:tab/>
      </w:r>
      <w:r w:rsidR="007C214C" w:rsidRPr="00F66CFF">
        <w:t>require the occupier, or anyone else at the premises, to give the inspector copies of documents produced under paragraph (d) that are reasonably necessary to exercise a function under this Act;</w:t>
      </w:r>
    </w:p>
    <w:p w14:paraId="75D418F9" w14:textId="77777777" w:rsidR="007C214C" w:rsidRPr="00F66CFF" w:rsidRDefault="007C214C" w:rsidP="00481A52">
      <w:pPr>
        <w:pStyle w:val="Ipara"/>
        <w:keepNext/>
      </w:pPr>
      <w:r w:rsidRPr="00F66CFF">
        <w:lastRenderedPageBreak/>
        <w:tab/>
        <w:t>(f)</w:t>
      </w:r>
      <w:r w:rsidRPr="00F66CFF">
        <w:tab/>
        <w:t>require the occupier, or anyone else at the premises, to give the inspector reasonable help to exercise a power under this part.</w:t>
      </w:r>
    </w:p>
    <w:p w14:paraId="64CEFCF8" w14:textId="77777777" w:rsidR="00835EB8" w:rsidRPr="00F66CFF" w:rsidRDefault="00835EB8" w:rsidP="002F51D7">
      <w:pPr>
        <w:pStyle w:val="aExamHdgss"/>
      </w:pPr>
      <w:r w:rsidRPr="00F66CFF">
        <w:t>Example—par (d)</w:t>
      </w:r>
    </w:p>
    <w:p w14:paraId="73CBA150" w14:textId="77777777" w:rsidR="007C214C" w:rsidRPr="00F66CFF" w:rsidRDefault="007C214C" w:rsidP="00481A52">
      <w:pPr>
        <w:pStyle w:val="aExamss"/>
        <w:keepNext/>
        <w:keepLines/>
      </w:pPr>
      <w:r w:rsidRPr="00F66CFF">
        <w:t>An inspector is conducting an inspection at a construction site.  The inspector forms the view that relevant documents are held at the head office of the company operating the construction site.  A person at the premises may be required to produce the documents that are held at the head office.</w:t>
      </w:r>
    </w:p>
    <w:p w14:paraId="65F8777E" w14:textId="185D328C" w:rsidR="007C214C" w:rsidRPr="00F66CFF" w:rsidRDefault="007C214C" w:rsidP="007C214C">
      <w:pPr>
        <w:pStyle w:val="aNote"/>
        <w:keepNext/>
        <w:rPr>
          <w:snapToGrid w:val="0"/>
          <w:color w:val="000000"/>
        </w:rPr>
      </w:pPr>
      <w:r w:rsidRPr="00F66CFF">
        <w:rPr>
          <w:rStyle w:val="charItals"/>
        </w:rPr>
        <w:t xml:space="preserve">Note </w:t>
      </w:r>
      <w:r w:rsidRPr="00F66CFF">
        <w:rPr>
          <w:rStyle w:val="charItals"/>
        </w:rPr>
        <w:tab/>
      </w:r>
      <w:r w:rsidRPr="00F66CFF">
        <w:rPr>
          <w:snapToGrid w:val="0"/>
          <w:color w:val="000000"/>
        </w:rPr>
        <w:t xml:space="preserve">A reference to an Act includes a reference to statutory instruments </w:t>
      </w:r>
      <w:r w:rsidRPr="00F66CFF">
        <w:t>made</w:t>
      </w:r>
      <w:r w:rsidRPr="00F66CFF">
        <w:rPr>
          <w:snapToGrid w:val="0"/>
          <w:color w:val="000000"/>
        </w:rPr>
        <w:t xml:space="preserve"> or in force under the Act, including regulations and any law or instrument applied, adopted or incorporated by the Act (see </w:t>
      </w:r>
      <w:hyperlink r:id="rId24" w:tooltip="A2001-14" w:history="1">
        <w:r w:rsidR="00BE53B4" w:rsidRPr="00F66CFF">
          <w:rPr>
            <w:rStyle w:val="charCitHyperlinkAbbrev"/>
          </w:rPr>
          <w:t>Legislation Act</w:t>
        </w:r>
      </w:hyperlink>
      <w:r w:rsidRPr="00F66CFF">
        <w:rPr>
          <w:snapToGrid w:val="0"/>
          <w:color w:val="000000"/>
        </w:rPr>
        <w:t>, s 104).</w:t>
      </w:r>
    </w:p>
    <w:p w14:paraId="080CF950" w14:textId="77777777" w:rsidR="007C214C" w:rsidRPr="00F66CFF" w:rsidRDefault="00835EB8" w:rsidP="00F66CFF">
      <w:pPr>
        <w:pStyle w:val="IMain"/>
        <w:keepNext/>
      </w:pPr>
      <w:r w:rsidRPr="00F66CFF">
        <w:tab/>
        <w:t>(3)</w:t>
      </w:r>
      <w:r w:rsidRPr="00F66CFF">
        <w:tab/>
      </w:r>
      <w:r w:rsidR="007C214C" w:rsidRPr="00F66CFF">
        <w:t>A person must take reasonable steps to comply with a requirement made of the person under subsection (1)</w:t>
      </w:r>
      <w:r w:rsidR="005C3CBD" w:rsidRPr="00F66CFF">
        <w:t xml:space="preserve"> or </w:t>
      </w:r>
      <w:r w:rsidR="00C45FBD" w:rsidRPr="00F66CFF">
        <w:t xml:space="preserve">subsection </w:t>
      </w:r>
      <w:r w:rsidR="005C3CBD" w:rsidRPr="00F66CFF">
        <w:t xml:space="preserve">(2) </w:t>
      </w:r>
      <w:r w:rsidR="007C214C" w:rsidRPr="00F66CFF">
        <w:t>(</w:t>
      </w:r>
      <w:r w:rsidRPr="00F66CFF">
        <w:t>d</w:t>
      </w:r>
      <w:r w:rsidR="007C214C" w:rsidRPr="00F66CFF">
        <w:t>)</w:t>
      </w:r>
      <w:r w:rsidRPr="00F66CFF">
        <w:t>, (e)</w:t>
      </w:r>
      <w:r w:rsidR="007C214C" w:rsidRPr="00F66CFF">
        <w:t xml:space="preserve"> or</w:t>
      </w:r>
      <w:r w:rsidR="00A86992" w:rsidRPr="00F66CFF">
        <w:t> </w:t>
      </w:r>
      <w:r w:rsidR="007C214C" w:rsidRPr="00F66CFF">
        <w:t>(</w:t>
      </w:r>
      <w:r w:rsidRPr="00F66CFF">
        <w:t>f</w:t>
      </w:r>
      <w:r w:rsidR="007C214C" w:rsidRPr="00F66CFF">
        <w:t>).</w:t>
      </w:r>
    </w:p>
    <w:p w14:paraId="74C5320C" w14:textId="77777777" w:rsidR="007C214C" w:rsidRPr="00F66CFF" w:rsidRDefault="007C214C" w:rsidP="007C214C">
      <w:pPr>
        <w:pStyle w:val="Penalty"/>
        <w:keepNext/>
      </w:pPr>
      <w:r w:rsidRPr="00F66CFF">
        <w:t>Maximum penalty:  50 penalty units.</w:t>
      </w:r>
    </w:p>
    <w:p w14:paraId="4C1DFB35" w14:textId="77777777" w:rsidR="003C5312" w:rsidRPr="00F66CFF" w:rsidRDefault="003C5312" w:rsidP="003C5312">
      <w:pPr>
        <w:pStyle w:val="IH5Sec"/>
      </w:pPr>
      <w:r w:rsidRPr="00F66CFF">
        <w:t>76A</w:t>
      </w:r>
      <w:r w:rsidRPr="00F66CFF">
        <w:tab/>
        <w:t>Abrogation of privilege against self-incrimination</w:t>
      </w:r>
    </w:p>
    <w:p w14:paraId="353AFC0B" w14:textId="77777777" w:rsidR="00FF1DFF" w:rsidRPr="00F66CFF" w:rsidRDefault="00FF1DFF" w:rsidP="00FF1DFF">
      <w:pPr>
        <w:pStyle w:val="IMain"/>
      </w:pPr>
      <w:r w:rsidRPr="00F66CFF">
        <w:tab/>
        <w:t>(1)</w:t>
      </w:r>
      <w:r w:rsidRPr="00F66CFF">
        <w:tab/>
        <w:t>A person is not excused from answering a question or providing information or a document under this part on the ground that the answer to the question, or the information or document, may tend to incriminate the person or expose the person to a penalty.</w:t>
      </w:r>
    </w:p>
    <w:p w14:paraId="32E3F907" w14:textId="77777777" w:rsidR="00FF1DFF" w:rsidRPr="00F66CFF" w:rsidRDefault="00FF1DFF" w:rsidP="00FF1DFF">
      <w:pPr>
        <w:pStyle w:val="IMain"/>
      </w:pPr>
      <w:r w:rsidRPr="00F66CFF">
        <w:tab/>
        <w:t>(2)</w:t>
      </w:r>
      <w:r w:rsidRPr="00F66CFF">
        <w:tab/>
        <w:t>However, any information, document or thing obtained, directly or indirectly, because of the giving of the answer or the production of the document is not admissible in evidence against the person in a civil or criminal proceeding, other than a proceeding for an offence arising out of the false or misleading nature of the answer, information or document.</w:t>
      </w:r>
    </w:p>
    <w:p w14:paraId="6ED562DF" w14:textId="77777777" w:rsidR="00FF1DFF" w:rsidRPr="00F66CFF" w:rsidRDefault="00FF1DFF" w:rsidP="00FF1DFF">
      <w:pPr>
        <w:pStyle w:val="IH5Sec"/>
      </w:pPr>
      <w:r w:rsidRPr="00F66CFF">
        <w:lastRenderedPageBreak/>
        <w:t>76B</w:t>
      </w:r>
      <w:r w:rsidRPr="00F66CFF">
        <w:tab/>
        <w:t>Warning to be given</w:t>
      </w:r>
    </w:p>
    <w:p w14:paraId="0B3F0358" w14:textId="77777777" w:rsidR="00FF1DFF" w:rsidRPr="00F66CFF" w:rsidRDefault="000F544B" w:rsidP="00481A52">
      <w:pPr>
        <w:pStyle w:val="IMain"/>
        <w:keepNext/>
      </w:pPr>
      <w:r w:rsidRPr="00F66CFF">
        <w:tab/>
        <w:t>(1)</w:t>
      </w:r>
      <w:r w:rsidRPr="00F66CFF">
        <w:tab/>
      </w:r>
      <w:r w:rsidR="00D96645" w:rsidRPr="00F66CFF">
        <w:t>Before requiring a p</w:t>
      </w:r>
      <w:r w:rsidRPr="00F66CFF">
        <w:t>er</w:t>
      </w:r>
      <w:r w:rsidR="00D96645" w:rsidRPr="00F66CFF">
        <w:t xml:space="preserve">son to answer </w:t>
      </w:r>
      <w:r w:rsidRPr="00F66CFF">
        <w:t>a question or provide information or a document under this part, an inspector must—</w:t>
      </w:r>
    </w:p>
    <w:p w14:paraId="0B70040A" w14:textId="77777777" w:rsidR="000F544B" w:rsidRPr="00F66CFF" w:rsidRDefault="000F544B" w:rsidP="000F544B">
      <w:pPr>
        <w:pStyle w:val="Ipara"/>
      </w:pPr>
      <w:r w:rsidRPr="00F66CFF">
        <w:tab/>
        <w:t>(a)</w:t>
      </w:r>
      <w:r w:rsidRPr="00F66CFF">
        <w:tab/>
        <w:t xml:space="preserve">warn the person that failure to </w:t>
      </w:r>
      <w:r w:rsidR="00436102" w:rsidRPr="00F66CFF">
        <w:t xml:space="preserve">take reasonable steps to </w:t>
      </w:r>
      <w:r w:rsidRPr="00F66CFF">
        <w:t xml:space="preserve">comply with </w:t>
      </w:r>
      <w:r w:rsidR="00436102" w:rsidRPr="00F66CFF">
        <w:t>a</w:t>
      </w:r>
      <w:r w:rsidRPr="00F66CFF">
        <w:t xml:space="preserve"> requirement mentioned in section 76 (</w:t>
      </w:r>
      <w:r w:rsidR="008812A1" w:rsidRPr="00F66CFF">
        <w:t>2</w:t>
      </w:r>
      <w:r w:rsidRPr="00F66CFF">
        <w:t>) would constitute an offence; and</w:t>
      </w:r>
    </w:p>
    <w:p w14:paraId="6357A888" w14:textId="77777777" w:rsidR="000F544B" w:rsidRPr="00F66CFF" w:rsidRDefault="000F544B" w:rsidP="000F544B">
      <w:pPr>
        <w:pStyle w:val="Ipara"/>
      </w:pPr>
      <w:r w:rsidRPr="00F66CFF">
        <w:tab/>
        <w:t>(b)</w:t>
      </w:r>
      <w:r w:rsidRPr="00F66CFF">
        <w:tab/>
        <w:t>warn the person about the effect of section 76A.</w:t>
      </w:r>
    </w:p>
    <w:p w14:paraId="34E94C63" w14:textId="77777777" w:rsidR="000F544B" w:rsidRPr="00F66CFF" w:rsidRDefault="000F544B" w:rsidP="000F544B">
      <w:pPr>
        <w:pStyle w:val="IMain"/>
      </w:pPr>
      <w:r w:rsidRPr="00F66CFF">
        <w:tab/>
        <w:t>(2)</w:t>
      </w:r>
      <w:r w:rsidRPr="00F66CFF">
        <w:tab/>
      </w:r>
      <w:r w:rsidR="00A0087C" w:rsidRPr="00F66CFF">
        <w:t>It is not an offence for an individual to refuse to answer a question put by an inspector or provide information or a document to an inspector under this part on the ground that the question, information or document might tend to incriminate the individual, unless the individual was first given the warning in subsection (1) (b).</w:t>
      </w:r>
    </w:p>
    <w:p w14:paraId="752449C7" w14:textId="77777777" w:rsidR="00A0087C" w:rsidRPr="00F66CFF" w:rsidRDefault="00A0087C" w:rsidP="00A0087C">
      <w:pPr>
        <w:pStyle w:val="IMain"/>
      </w:pPr>
      <w:r w:rsidRPr="00F66CFF">
        <w:tab/>
        <w:t>(3)</w:t>
      </w:r>
      <w:r w:rsidRPr="00F66CFF">
        <w:tab/>
        <w:t>Nothing in this section prevents an inspector from obtaining and using evidence given to the inspector voluntar</w:t>
      </w:r>
      <w:r w:rsidR="001526C3" w:rsidRPr="00F66CFF">
        <w:t>ily</w:t>
      </w:r>
      <w:r w:rsidRPr="00F66CFF">
        <w:t xml:space="preserve"> by any person.</w:t>
      </w:r>
    </w:p>
    <w:p w14:paraId="0C2F5301" w14:textId="77777777" w:rsidR="006E0ECE" w:rsidRPr="00F66CFF" w:rsidRDefault="00F66CFF" w:rsidP="00F66CFF">
      <w:pPr>
        <w:pStyle w:val="AH5Sec"/>
        <w:shd w:val="pct25" w:color="auto" w:fill="auto"/>
      </w:pPr>
      <w:bookmarkStart w:id="18" w:name="_Toc22552823"/>
      <w:r w:rsidRPr="00F66CFF">
        <w:rPr>
          <w:rStyle w:val="CharSectNo"/>
        </w:rPr>
        <w:t>16</w:t>
      </w:r>
      <w:r w:rsidRPr="00F66CFF">
        <w:tab/>
      </w:r>
      <w:r w:rsidR="00F9095F" w:rsidRPr="00F66CFF">
        <w:t>Authority reimbursement of certain payments</w:t>
      </w:r>
      <w:r w:rsidR="00F9095F" w:rsidRPr="00F66CFF">
        <w:br/>
        <w:t>Section 89A (2)</w:t>
      </w:r>
      <w:bookmarkEnd w:id="18"/>
    </w:p>
    <w:p w14:paraId="0E8FFCA5" w14:textId="77777777" w:rsidR="00F9095F" w:rsidRPr="00F66CFF" w:rsidRDefault="00F9095F" w:rsidP="00F9095F">
      <w:pPr>
        <w:pStyle w:val="direction"/>
      </w:pPr>
      <w:r w:rsidRPr="00F66CFF">
        <w:t>substitute</w:t>
      </w:r>
    </w:p>
    <w:p w14:paraId="44DC1105" w14:textId="77777777" w:rsidR="00F9095F" w:rsidRPr="00F66CFF" w:rsidRDefault="00F9095F" w:rsidP="00F9095F">
      <w:pPr>
        <w:pStyle w:val="IMain"/>
      </w:pPr>
      <w:r w:rsidRPr="00F66CFF">
        <w:tab/>
        <w:t>(2)</w:t>
      </w:r>
      <w:r w:rsidRPr="00F66CFF">
        <w:tab/>
        <w:t>If the registrar is satisfied that the employer has paid a long service leave entitlement to the employee under a corresponding law, the registrar may reimburse the lesser of—</w:t>
      </w:r>
    </w:p>
    <w:p w14:paraId="4985C6CE" w14:textId="77777777" w:rsidR="00F9095F" w:rsidRPr="00F66CFF" w:rsidRDefault="009B755E" w:rsidP="009B755E">
      <w:pPr>
        <w:pStyle w:val="Ipara"/>
      </w:pPr>
      <w:r w:rsidRPr="00F66CFF">
        <w:tab/>
        <w:t>(</w:t>
      </w:r>
      <w:r w:rsidR="00CE1E56" w:rsidRPr="00F66CFF">
        <w:t>a</w:t>
      </w:r>
      <w:r w:rsidRPr="00F66CFF">
        <w:t>)</w:t>
      </w:r>
      <w:r w:rsidRPr="00F66CFF">
        <w:tab/>
      </w:r>
      <w:r w:rsidR="00F9095F" w:rsidRPr="00F66CFF">
        <w:t xml:space="preserve">the amount the employer paid </w:t>
      </w:r>
      <w:r w:rsidR="00384DC9" w:rsidRPr="00F66CFF">
        <w:t xml:space="preserve">to </w:t>
      </w:r>
      <w:r w:rsidR="00F9095F" w:rsidRPr="00F66CFF">
        <w:t>the employee; and</w:t>
      </w:r>
    </w:p>
    <w:p w14:paraId="2C28AC72" w14:textId="77777777" w:rsidR="00F9095F" w:rsidRPr="00F66CFF" w:rsidRDefault="00CE1E56" w:rsidP="009B755E">
      <w:pPr>
        <w:pStyle w:val="Ipara"/>
      </w:pPr>
      <w:r w:rsidRPr="00F66CFF">
        <w:tab/>
        <w:t>(b)</w:t>
      </w:r>
      <w:r w:rsidRPr="00F66CFF">
        <w:tab/>
      </w:r>
      <w:r w:rsidR="00F9095F" w:rsidRPr="00F66CFF">
        <w:t>the amount the authority would have paid the employee.</w:t>
      </w:r>
    </w:p>
    <w:p w14:paraId="2F6C6290" w14:textId="77777777" w:rsidR="00C62044" w:rsidRPr="00F66CFF" w:rsidRDefault="00F66CFF" w:rsidP="00F66CFF">
      <w:pPr>
        <w:pStyle w:val="AH5Sec"/>
        <w:shd w:val="pct25" w:color="auto" w:fill="auto"/>
      </w:pPr>
      <w:bookmarkStart w:id="19" w:name="_Toc22552824"/>
      <w:r w:rsidRPr="00F66CFF">
        <w:rPr>
          <w:rStyle w:val="CharSectNo"/>
        </w:rPr>
        <w:lastRenderedPageBreak/>
        <w:t>17</w:t>
      </w:r>
      <w:r w:rsidRPr="00F66CFF">
        <w:tab/>
      </w:r>
      <w:r w:rsidR="00C62044" w:rsidRPr="00F66CFF">
        <w:t>Schedule 1, section 1.5</w:t>
      </w:r>
      <w:bookmarkEnd w:id="19"/>
    </w:p>
    <w:p w14:paraId="6C0DFD49" w14:textId="77777777" w:rsidR="00C62044" w:rsidRPr="00F66CFF" w:rsidRDefault="00C62044" w:rsidP="00C62044">
      <w:pPr>
        <w:pStyle w:val="direction"/>
      </w:pPr>
      <w:r w:rsidRPr="00F66CFF">
        <w:t>substitute</w:t>
      </w:r>
    </w:p>
    <w:p w14:paraId="6FBAC497" w14:textId="77777777" w:rsidR="00C31B7F" w:rsidRPr="00F66CFF" w:rsidRDefault="00C31B7F" w:rsidP="00C31B7F">
      <w:pPr>
        <w:pStyle w:val="ISchclauseheading"/>
      </w:pPr>
      <w:r w:rsidRPr="00F66CFF">
        <w:t>1.5</w:t>
      </w:r>
      <w:r w:rsidRPr="00F66CFF">
        <w:tab/>
        <w:t>Long service leave formula—building and construction industry</w:t>
      </w:r>
    </w:p>
    <w:p w14:paraId="6B14C46C" w14:textId="77777777" w:rsidR="00C31B7F" w:rsidRPr="00F66CFF" w:rsidRDefault="00C31B7F" w:rsidP="00C31B7F">
      <w:pPr>
        <w:pStyle w:val="Amainreturn"/>
      </w:pPr>
      <w:r w:rsidRPr="00F66CFF">
        <w:t xml:space="preserve">The </w:t>
      </w:r>
      <w:r w:rsidRPr="00F66CFF">
        <w:rPr>
          <w:rStyle w:val="charBoldItals"/>
        </w:rPr>
        <w:t>long service leave formula</w:t>
      </w:r>
      <w:r w:rsidRPr="00F66CFF">
        <w:t xml:space="preserve"> for the building and construction industry is—</w:t>
      </w:r>
    </w:p>
    <w:p w14:paraId="16C04EE9" w14:textId="77777777" w:rsidR="00C31B7F" w:rsidRPr="00F66CFF" w:rsidRDefault="00CE1E56" w:rsidP="00CE1E56">
      <w:pPr>
        <w:pStyle w:val="Ipara"/>
      </w:pPr>
      <w:r w:rsidRPr="00F66CFF">
        <w:tab/>
        <w:t>(a)</w:t>
      </w:r>
      <w:r w:rsidRPr="00F66CFF">
        <w:tab/>
      </w:r>
      <w:r w:rsidR="00C31B7F" w:rsidRPr="00F66CFF">
        <w:t>for service before 20 December 1996</w:t>
      </w:r>
      <w:r w:rsidR="00A86992" w:rsidRPr="00F66CFF">
        <w:t>—</w:t>
      </w:r>
    </w:p>
    <w:p w14:paraId="6A9FF4DE" w14:textId="77777777" w:rsidR="00C31B7F" w:rsidRPr="00F66CFF" w:rsidRDefault="00C31B7F" w:rsidP="00C31B7F">
      <w:pPr>
        <w:pStyle w:val="Formula"/>
        <w:keepNext/>
        <w:ind w:left="2552"/>
      </w:pPr>
      <m:oMathPara>
        <m:oMathParaPr>
          <m:jc m:val="left"/>
        </m:oMathParaPr>
        <m:oMath>
          <m:r>
            <m:rPr>
              <m:nor/>
            </m:rPr>
            <m:t>W</m:t>
          </m:r>
          <m:r>
            <m:rPr>
              <m:nor/>
            </m:rPr>
            <w:rPr>
              <w:rFonts w:ascii="Cambria Math"/>
            </w:rPr>
            <m:t xml:space="preserve"> </m:t>
          </m:r>
          <m:r>
            <m:rPr>
              <m:nor/>
            </m:rPr>
            <m:t>=</m:t>
          </m:r>
          <m:r>
            <m:rPr>
              <m:nor/>
            </m:rPr>
            <w:rPr>
              <w:rFonts w:ascii="Cambria Math"/>
            </w:rPr>
            <m:t xml:space="preserve"> </m:t>
          </m:r>
          <m:r>
            <m:rPr>
              <m:nor/>
            </m:rPr>
            <m:t>0.8667</m:t>
          </m:r>
          <m:r>
            <m:rPr>
              <m:nor/>
            </m:rPr>
            <w:rPr>
              <w:rFonts w:ascii="Cambria Math"/>
            </w:rPr>
            <m:t xml:space="preserve"> </m:t>
          </m:r>
          <m:r>
            <m:rPr>
              <m:nor/>
            </m:rPr>
            <w:rPr>
              <w:rFonts w:ascii="Cambria Math" w:hAnsi="Cambria Math"/>
            </w:rPr>
            <m:t xml:space="preserve">× </m:t>
          </m:r>
          <m:f>
            <m:fPr>
              <m:ctrlPr>
                <w:rPr>
                  <w:rStyle w:val="charItals"/>
                  <w:rFonts w:ascii="Cambria Math" w:hAnsi="Cambria Math"/>
                  <w:i w:val="0"/>
                </w:rPr>
              </m:ctrlPr>
            </m:fPr>
            <m:num>
              <m:r>
                <m:rPr>
                  <m:nor/>
                </m:rPr>
                <w:rPr>
                  <w:rStyle w:val="charItals"/>
                  <w:i w:val="0"/>
                </w:rPr>
                <m:t>RS</m:t>
              </m:r>
            </m:num>
            <m:den>
              <m:r>
                <m:rPr>
                  <m:nor/>
                </m:rPr>
                <w:rPr>
                  <w:rStyle w:val="charItals"/>
                  <w:i w:val="0"/>
                </w:rPr>
                <m:t>220</m:t>
              </m:r>
            </m:den>
          </m:f>
        </m:oMath>
      </m:oMathPara>
    </w:p>
    <w:p w14:paraId="1581D9A5" w14:textId="77777777" w:rsidR="00C31B7F" w:rsidRPr="00F66CFF" w:rsidRDefault="00CE1E56" w:rsidP="00CE1E56">
      <w:pPr>
        <w:pStyle w:val="Ipara"/>
      </w:pPr>
      <w:r w:rsidRPr="00F66CFF">
        <w:tab/>
        <w:t>(b)</w:t>
      </w:r>
      <w:r w:rsidRPr="00F66CFF">
        <w:tab/>
      </w:r>
      <w:r w:rsidR="00C31B7F" w:rsidRPr="00F66CFF">
        <w:t>for service on or after 20 December 1996</w:t>
      </w:r>
      <w:r w:rsidR="00A86992" w:rsidRPr="00F66CFF">
        <w:t>—</w:t>
      </w:r>
    </w:p>
    <w:p w14:paraId="31873F1F" w14:textId="77777777" w:rsidR="00C31B7F" w:rsidRPr="00F66CFF" w:rsidRDefault="00C31B7F" w:rsidP="00C31B7F">
      <w:pPr>
        <w:pStyle w:val="Formula"/>
        <w:keepNext/>
        <w:ind w:left="2552"/>
      </w:pPr>
      <m:oMathPara>
        <m:oMathParaPr>
          <m:jc m:val="left"/>
        </m:oMathParaPr>
        <m:oMath>
          <m:r>
            <m:rPr>
              <m:nor/>
            </m:rPr>
            <m:t>W</m:t>
          </m:r>
          <m:r>
            <m:rPr>
              <m:nor/>
            </m:rPr>
            <w:rPr>
              <w:rFonts w:ascii="Cambria Math"/>
            </w:rPr>
            <m:t xml:space="preserve"> </m:t>
          </m:r>
          <m:r>
            <m:rPr>
              <m:nor/>
            </m:rPr>
            <m:t>=</m:t>
          </m:r>
          <m:r>
            <m:rPr>
              <m:nor/>
            </m:rPr>
            <w:rPr>
              <w:rFonts w:ascii="Cambria Math"/>
            </w:rPr>
            <m:t xml:space="preserve"> </m:t>
          </m:r>
          <m:r>
            <m:rPr>
              <m:nor/>
            </m:rPr>
            <m:t>1.3</m:t>
          </m:r>
          <m:r>
            <m:rPr>
              <m:nor/>
            </m:rPr>
            <w:rPr>
              <w:rFonts w:ascii="Cambria Math"/>
            </w:rPr>
            <m:t xml:space="preserve"> </m:t>
          </m:r>
          <m:r>
            <m:rPr>
              <m:nor/>
            </m:rPr>
            <w:rPr>
              <w:rFonts w:ascii="Cambria Math" w:hAnsi="Cambria Math"/>
            </w:rPr>
            <m:t xml:space="preserve">× </m:t>
          </m:r>
          <m:f>
            <m:fPr>
              <m:ctrlPr>
                <w:rPr>
                  <w:rStyle w:val="charItals"/>
                  <w:rFonts w:ascii="Cambria Math" w:hAnsi="Cambria Math"/>
                  <w:i w:val="0"/>
                </w:rPr>
              </m:ctrlPr>
            </m:fPr>
            <m:num>
              <m:r>
                <m:rPr>
                  <m:nor/>
                </m:rPr>
                <w:rPr>
                  <w:rStyle w:val="charItals"/>
                  <w:i w:val="0"/>
                </w:rPr>
                <m:t>RS</m:t>
              </m:r>
            </m:num>
            <m:den>
              <m:r>
                <m:rPr>
                  <m:nor/>
                </m:rPr>
                <w:rPr>
                  <w:rStyle w:val="charItals"/>
                  <w:i w:val="0"/>
                </w:rPr>
                <m:t>220</m:t>
              </m:r>
            </m:den>
          </m:f>
        </m:oMath>
      </m:oMathPara>
    </w:p>
    <w:p w14:paraId="2C8D5A3C" w14:textId="77777777" w:rsidR="00C31B7F" w:rsidRPr="00F66CFF" w:rsidRDefault="00C31B7F" w:rsidP="00F66CFF">
      <w:pPr>
        <w:pStyle w:val="aDef"/>
      </w:pPr>
      <w:r w:rsidRPr="00F66CFF">
        <w:rPr>
          <w:rStyle w:val="charBoldItals"/>
        </w:rPr>
        <w:t>RS</w:t>
      </w:r>
      <w:r w:rsidRPr="00666D05">
        <w:rPr>
          <w:rStyle w:val="charBoldItals"/>
          <w:b w:val="0"/>
          <w:bCs/>
          <w:i w:val="0"/>
          <w:iCs/>
        </w:rPr>
        <w:t xml:space="preserve"> </w:t>
      </w:r>
      <w:r w:rsidRPr="00F66CFF">
        <w:t>means the registered worker’s number of days recognised service.</w:t>
      </w:r>
    </w:p>
    <w:p w14:paraId="45CB7EB2" w14:textId="77777777" w:rsidR="00C31B7F" w:rsidRPr="00F66CFF" w:rsidRDefault="00C31B7F" w:rsidP="00F66CFF">
      <w:pPr>
        <w:pStyle w:val="aDef"/>
      </w:pPr>
      <w:r w:rsidRPr="00F66CFF">
        <w:rPr>
          <w:rStyle w:val="charBoldItals"/>
        </w:rPr>
        <w:t>W</w:t>
      </w:r>
      <w:r w:rsidRPr="00F66CFF">
        <w:t xml:space="preserve"> means the number of weeks long service leave held by the registered worker.</w:t>
      </w:r>
    </w:p>
    <w:p w14:paraId="2AC856C5" w14:textId="77777777" w:rsidR="00AC3D41" w:rsidRPr="00F66CFF" w:rsidRDefault="00F66CFF" w:rsidP="00F66CFF">
      <w:pPr>
        <w:pStyle w:val="AH5Sec"/>
        <w:shd w:val="pct25" w:color="auto" w:fill="auto"/>
      </w:pPr>
      <w:bookmarkStart w:id="20" w:name="_Toc22552825"/>
      <w:r w:rsidRPr="00F66CFF">
        <w:rPr>
          <w:rStyle w:val="CharSectNo"/>
        </w:rPr>
        <w:lastRenderedPageBreak/>
        <w:t>18</w:t>
      </w:r>
      <w:r w:rsidRPr="00F66CFF">
        <w:tab/>
      </w:r>
      <w:r w:rsidR="00A86992" w:rsidRPr="00F66CFF">
        <w:t>How are leave payments worked out for the building and construction industry?</w:t>
      </w:r>
      <w:r w:rsidR="00A86992" w:rsidRPr="00F66CFF">
        <w:br/>
      </w:r>
      <w:r w:rsidR="00AC3D41" w:rsidRPr="00F66CFF">
        <w:t>Schedule 1, section 1.11, example</w:t>
      </w:r>
      <w:r w:rsidR="001526C3" w:rsidRPr="00F66CFF">
        <w:t xml:space="preserve"> and note</w:t>
      </w:r>
      <w:bookmarkEnd w:id="20"/>
    </w:p>
    <w:p w14:paraId="62B590D1" w14:textId="77777777" w:rsidR="00AC3D41" w:rsidRPr="00F66CFF" w:rsidRDefault="00AC3D41" w:rsidP="00AC3D41">
      <w:pPr>
        <w:pStyle w:val="direction"/>
      </w:pPr>
      <w:r w:rsidRPr="00F66CFF">
        <w:t>substitute</w:t>
      </w:r>
    </w:p>
    <w:p w14:paraId="6A81862D" w14:textId="77777777" w:rsidR="00AC3D41" w:rsidRPr="00F66CFF" w:rsidRDefault="00AC3D41" w:rsidP="00CE6EA9">
      <w:pPr>
        <w:pStyle w:val="aExamHdgss"/>
      </w:pPr>
      <w:r w:rsidRPr="00F66CFF">
        <w:t>Example</w:t>
      </w:r>
    </w:p>
    <w:p w14:paraId="06056DE7" w14:textId="77777777" w:rsidR="00AC3D41" w:rsidRPr="00F66CFF" w:rsidRDefault="00AC3D41" w:rsidP="00481A52">
      <w:pPr>
        <w:pStyle w:val="aExamss"/>
        <w:keepNext/>
        <w:keepLines/>
      </w:pPr>
      <w:r w:rsidRPr="00F66CFF">
        <w:t>John has 10 years of service in the building and construction industry</w:t>
      </w:r>
      <w:r w:rsidR="001526C3" w:rsidRPr="00F66CFF">
        <w:t>,</w:t>
      </w:r>
      <w:r w:rsidRPr="00F66CFF">
        <w:t xml:space="preserve"> giving him an entitlement to 13 weeks long service leave.  He first worked in the industry as a registered employee and accrued 7 weeks of the entitlement in that capacity.  John then worked as a registered </w:t>
      </w:r>
      <w:r w:rsidR="00A01CB2" w:rsidRPr="00F66CFF">
        <w:t>voluntary</w:t>
      </w:r>
      <w:r w:rsidR="00C45FBD" w:rsidRPr="00F66CFF">
        <w:t xml:space="preserve"> member</w:t>
      </w:r>
      <w:r w:rsidRPr="00F66CFF">
        <w:t xml:space="preserve"> and accrued 6 weeks of the entitlement in that capacity. </w:t>
      </w:r>
    </w:p>
    <w:p w14:paraId="1955EC92" w14:textId="77777777" w:rsidR="00AC3D41" w:rsidRPr="00F66CFF" w:rsidRDefault="00AC3D41" w:rsidP="00AC3D41">
      <w:pPr>
        <w:pStyle w:val="aExamss"/>
        <w:keepNext/>
      </w:pPr>
      <w:r w:rsidRPr="00F66CFF">
        <w:t>John decides to take 9 weeks long service leave.  The payment for the leave is the total of the following amounts:</w:t>
      </w:r>
    </w:p>
    <w:p w14:paraId="1061529E" w14:textId="77777777" w:rsidR="00AC3D41" w:rsidRPr="00F66CFF" w:rsidRDefault="00F66CFF" w:rsidP="00F66CFF">
      <w:pPr>
        <w:pStyle w:val="aExamBulletss"/>
        <w:tabs>
          <w:tab w:val="left" w:pos="1500"/>
        </w:tabs>
      </w:pPr>
      <w:r w:rsidRPr="00F66CFF">
        <w:rPr>
          <w:rFonts w:ascii="Symbol" w:hAnsi="Symbol"/>
        </w:rPr>
        <w:t></w:t>
      </w:r>
      <w:r w:rsidRPr="00F66CFF">
        <w:rPr>
          <w:rFonts w:ascii="Symbol" w:hAnsi="Symbol"/>
        </w:rPr>
        <w:tab/>
      </w:r>
      <w:r w:rsidR="00AC3D41" w:rsidRPr="00F66CFF">
        <w:t>the amount calculated under section 1.12 where ‘D’ is 1185 (ie it took 1185 days of service as a registered employee to accrue the first 7 weeks of his long service leave entitlement);</w:t>
      </w:r>
    </w:p>
    <w:p w14:paraId="00AB2602" w14:textId="77777777" w:rsidR="00AC3D41" w:rsidRPr="00F66CFF" w:rsidRDefault="00F66CFF" w:rsidP="00F66CFF">
      <w:pPr>
        <w:pStyle w:val="aExamBulletss"/>
        <w:tabs>
          <w:tab w:val="left" w:pos="1500"/>
        </w:tabs>
      </w:pPr>
      <w:r w:rsidRPr="00F66CFF">
        <w:rPr>
          <w:rFonts w:ascii="Symbol" w:hAnsi="Symbol"/>
        </w:rPr>
        <w:t></w:t>
      </w:r>
      <w:r w:rsidRPr="00F66CFF">
        <w:rPr>
          <w:rFonts w:ascii="Symbol" w:hAnsi="Symbol"/>
        </w:rPr>
        <w:tab/>
      </w:r>
      <w:r w:rsidR="00AC3D41" w:rsidRPr="00F66CFF">
        <w:t xml:space="preserve">the amount calculated under section 1.13 which is the total of the amounts paid to </w:t>
      </w:r>
      <w:r w:rsidR="00C45FBD" w:rsidRPr="00F66CFF">
        <w:t xml:space="preserve">the </w:t>
      </w:r>
      <w:r w:rsidR="00AC3D41" w:rsidRPr="00F66CFF">
        <w:t xml:space="preserve">authority under section 56 for his first 1.54 years work as a registered </w:t>
      </w:r>
      <w:r w:rsidR="00A01CB2" w:rsidRPr="00F66CFF">
        <w:t>voluntary</w:t>
      </w:r>
      <w:r w:rsidR="00C45FBD" w:rsidRPr="00F66CFF">
        <w:t xml:space="preserve"> member</w:t>
      </w:r>
      <w:r w:rsidR="00AC3D41" w:rsidRPr="00F66CFF">
        <w:t xml:space="preserve"> (ie it took 338 days of service as a registered </w:t>
      </w:r>
      <w:r w:rsidR="00A01CB2" w:rsidRPr="00F66CFF">
        <w:t>voluntary</w:t>
      </w:r>
      <w:r w:rsidR="00C45FBD" w:rsidRPr="00F66CFF">
        <w:t xml:space="preserve"> member</w:t>
      </w:r>
      <w:r w:rsidR="00AC3D41" w:rsidRPr="00F66CFF">
        <w:t xml:space="preserve"> to accrue the next 2 weeks of his long service leave entitlement) and the interest under section 1.13 on those amounts.</w:t>
      </w:r>
    </w:p>
    <w:p w14:paraId="40DDCD74" w14:textId="77777777" w:rsidR="00BB3CC4" w:rsidRPr="00F66CFF" w:rsidRDefault="00F66CFF" w:rsidP="00F66CFF">
      <w:pPr>
        <w:pStyle w:val="AH5Sec"/>
        <w:keepLines/>
        <w:shd w:val="pct25" w:color="auto" w:fill="auto"/>
      </w:pPr>
      <w:bookmarkStart w:id="21" w:name="_Toc22552826"/>
      <w:r w:rsidRPr="00F66CFF">
        <w:rPr>
          <w:rStyle w:val="CharSectNo"/>
        </w:rPr>
        <w:t>19</w:t>
      </w:r>
      <w:r w:rsidRPr="00F66CFF">
        <w:tab/>
      </w:r>
      <w:r w:rsidR="00A86992" w:rsidRPr="00F66CFF">
        <w:t xml:space="preserve">Leave payments for service as registered </w:t>
      </w:r>
      <w:r w:rsidR="00AD4A2D" w:rsidRPr="00F66CFF">
        <w:t>contractor</w:t>
      </w:r>
      <w:r w:rsidR="00A86992" w:rsidRPr="00F66CFF">
        <w:t>—building and construction industry</w:t>
      </w:r>
      <w:r w:rsidR="00A86992" w:rsidRPr="00F66CFF">
        <w:br/>
      </w:r>
      <w:r w:rsidR="00BB3CC4" w:rsidRPr="00F66CFF">
        <w:t>Schedule 1, section 1.1</w:t>
      </w:r>
      <w:r w:rsidR="00D73168" w:rsidRPr="00F66CFF">
        <w:t>3</w:t>
      </w:r>
      <w:r w:rsidR="00BB3CC4" w:rsidRPr="00F66CFF">
        <w:t xml:space="preserve"> (4), definitions of </w:t>
      </w:r>
      <w:r w:rsidR="00BB3CC4" w:rsidRPr="00F66CFF">
        <w:rPr>
          <w:rStyle w:val="charItals"/>
        </w:rPr>
        <w:t>FB</w:t>
      </w:r>
      <w:r w:rsidR="00BB3CC4" w:rsidRPr="00F66CFF">
        <w:t xml:space="preserve">, </w:t>
      </w:r>
      <w:r w:rsidR="00BB3CC4" w:rsidRPr="00F66CFF">
        <w:rPr>
          <w:rStyle w:val="charItals"/>
        </w:rPr>
        <w:t>FE</w:t>
      </w:r>
      <w:r w:rsidR="00BB3CC4" w:rsidRPr="00F66CFF">
        <w:t xml:space="preserve">, </w:t>
      </w:r>
      <w:r w:rsidR="00BB3CC4" w:rsidRPr="00F66CFF">
        <w:rPr>
          <w:rStyle w:val="charItals"/>
        </w:rPr>
        <w:t>I</w:t>
      </w:r>
      <w:r w:rsidR="00BB3CC4" w:rsidRPr="00F66CFF">
        <w:t xml:space="preserve"> and </w:t>
      </w:r>
      <w:r w:rsidR="00BB3CC4" w:rsidRPr="00F66CFF">
        <w:rPr>
          <w:rStyle w:val="charItals"/>
        </w:rPr>
        <w:t>total equity</w:t>
      </w:r>
      <w:bookmarkEnd w:id="21"/>
    </w:p>
    <w:p w14:paraId="181FB3DC" w14:textId="77777777" w:rsidR="00BB3CC4" w:rsidRPr="00F66CFF" w:rsidRDefault="00BB3CC4" w:rsidP="00481A52">
      <w:pPr>
        <w:pStyle w:val="direction"/>
        <w:keepNext w:val="0"/>
      </w:pPr>
      <w:r w:rsidRPr="00F66CFF">
        <w:t>omit</w:t>
      </w:r>
    </w:p>
    <w:p w14:paraId="1343C043" w14:textId="77777777" w:rsidR="00AC3D41" w:rsidRPr="00F66CFF" w:rsidRDefault="00F66CFF" w:rsidP="00481A52">
      <w:pPr>
        <w:pStyle w:val="AH5Sec"/>
        <w:keepLines/>
        <w:shd w:val="pct25" w:color="auto" w:fill="auto"/>
      </w:pPr>
      <w:bookmarkStart w:id="22" w:name="_Toc22552827"/>
      <w:r w:rsidRPr="00F66CFF">
        <w:rPr>
          <w:rStyle w:val="CharSectNo"/>
        </w:rPr>
        <w:lastRenderedPageBreak/>
        <w:t>20</w:t>
      </w:r>
      <w:r w:rsidRPr="00F66CFF">
        <w:tab/>
      </w:r>
      <w:r w:rsidR="00AD4A2D" w:rsidRPr="00F66CFF">
        <w:t xml:space="preserve">Leave payments for service as registered employee—contract cleaning industry </w:t>
      </w:r>
      <w:r w:rsidR="00AD4A2D" w:rsidRPr="00F66CFF">
        <w:br/>
      </w:r>
      <w:r w:rsidR="00AC3D41" w:rsidRPr="00F66CFF">
        <w:t xml:space="preserve">Schedule 2, section 2.12 (2), definition of </w:t>
      </w:r>
      <w:r w:rsidR="00AC3D41" w:rsidRPr="00F66CFF">
        <w:rPr>
          <w:rStyle w:val="charItals"/>
        </w:rPr>
        <w:t>R</w:t>
      </w:r>
      <w:r w:rsidR="001526C3" w:rsidRPr="00F66CFF">
        <w:rPr>
          <w:rStyle w:val="charItals"/>
        </w:rPr>
        <w:t xml:space="preserve"> </w:t>
      </w:r>
      <w:r w:rsidR="001526C3" w:rsidRPr="00F66CFF">
        <w:t>and example and note</w:t>
      </w:r>
      <w:bookmarkEnd w:id="22"/>
    </w:p>
    <w:p w14:paraId="29338CCE" w14:textId="77777777" w:rsidR="00AC3D41" w:rsidRPr="00F66CFF" w:rsidRDefault="00AC3D41" w:rsidP="00AC3D41">
      <w:pPr>
        <w:pStyle w:val="direction"/>
      </w:pPr>
      <w:r w:rsidRPr="00F66CFF">
        <w:t>substitute</w:t>
      </w:r>
    </w:p>
    <w:p w14:paraId="39AD72BC" w14:textId="77777777" w:rsidR="00AC3D41" w:rsidRPr="00F66CFF" w:rsidRDefault="00AC3D41" w:rsidP="00481A52">
      <w:pPr>
        <w:pStyle w:val="aDef"/>
        <w:keepNext/>
      </w:pPr>
      <w:r w:rsidRPr="00F66CFF">
        <w:rPr>
          <w:rStyle w:val="charBoldItals"/>
        </w:rPr>
        <w:t>R</w:t>
      </w:r>
      <w:r w:rsidRPr="00F66CFF">
        <w:t xml:space="preserve"> is—</w:t>
      </w:r>
    </w:p>
    <w:p w14:paraId="4E175D1B" w14:textId="4A68D08B" w:rsidR="00AC3D41" w:rsidRPr="00F66CFF" w:rsidRDefault="00AC3D41" w:rsidP="00AC3D41">
      <w:pPr>
        <w:pStyle w:val="Idefpara"/>
      </w:pPr>
      <w:r w:rsidRPr="00F66CFF">
        <w:tab/>
        <w:t>(a)</w:t>
      </w:r>
      <w:r w:rsidRPr="00F66CFF">
        <w:tab/>
        <w:t>if the registered worker is receiving compensation under the</w:t>
      </w:r>
      <w:r w:rsidR="009443CE" w:rsidRPr="00F66CFF">
        <w:t xml:space="preserve"> </w:t>
      </w:r>
      <w:hyperlink r:id="rId25" w:tooltip="A1951-2" w:history="1">
        <w:r w:rsidR="00BE53B4" w:rsidRPr="00F66CFF">
          <w:rPr>
            <w:rStyle w:val="charCitHyperlinkItal"/>
          </w:rPr>
          <w:t>Workers Compensation Act 1951</w:t>
        </w:r>
      </w:hyperlink>
      <w:r w:rsidRPr="00F66CFF">
        <w:t>—the weekly average of the ordinary remuneration received by the worker during the 4 quarters before the injury to which the compensation relates happened; or</w:t>
      </w:r>
    </w:p>
    <w:p w14:paraId="715BA13C" w14:textId="77777777" w:rsidR="00AC3D41" w:rsidRPr="00F66CFF" w:rsidRDefault="00AC3D41" w:rsidP="00AC3D41">
      <w:pPr>
        <w:pStyle w:val="Idefpara"/>
      </w:pPr>
      <w:r w:rsidRPr="00F66CFF">
        <w:tab/>
        <w:t>(b)</w:t>
      </w:r>
      <w:r w:rsidRPr="00F66CFF">
        <w:tab/>
        <w:t>in any other case—the highest of the weekly averages of the ordinary remuneration received by the registered worker during each of the following periods that applies to the worker:</w:t>
      </w:r>
    </w:p>
    <w:p w14:paraId="63455F20" w14:textId="77777777" w:rsidR="00AC3D41" w:rsidRPr="00F66CFF" w:rsidRDefault="00AC3D41" w:rsidP="00AC3D41">
      <w:pPr>
        <w:pStyle w:val="Idefsubpara"/>
      </w:pPr>
      <w:r w:rsidRPr="00F66CFF">
        <w:tab/>
        <w:t>(i)</w:t>
      </w:r>
      <w:r w:rsidRPr="00F66CFF">
        <w:tab/>
        <w:t xml:space="preserve">the most recent 2 quarters of service as a registered employee before the designated day; </w:t>
      </w:r>
    </w:p>
    <w:p w14:paraId="775F30DA" w14:textId="77777777" w:rsidR="00C112DD" w:rsidRPr="00F66CFF" w:rsidRDefault="00C112DD" w:rsidP="00C112DD">
      <w:pPr>
        <w:pStyle w:val="Idefsubpara"/>
      </w:pPr>
      <w:r w:rsidRPr="00F66CFF">
        <w:tab/>
        <w:t>(ii)</w:t>
      </w:r>
      <w:r w:rsidRPr="00F66CFF">
        <w:tab/>
      </w:r>
      <w:r w:rsidR="00AC3D41" w:rsidRPr="00F66CFF">
        <w:t>the most recent 4 quarters of service as a registered employee before the designated day</w:t>
      </w:r>
      <w:r w:rsidRPr="00F66CFF">
        <w:t>;</w:t>
      </w:r>
    </w:p>
    <w:p w14:paraId="19E2206C" w14:textId="77777777" w:rsidR="00C112DD" w:rsidRPr="00F66CFF" w:rsidRDefault="00C112DD" w:rsidP="00C112DD">
      <w:pPr>
        <w:pStyle w:val="Idefsubpara"/>
      </w:pPr>
      <w:r w:rsidRPr="00F66CFF">
        <w:tab/>
        <w:t>(iii)</w:t>
      </w:r>
      <w:r w:rsidRPr="00F66CFF">
        <w:tab/>
        <w:t>the most recent 20 quarters of service as a registered worker before the designated day;</w:t>
      </w:r>
    </w:p>
    <w:p w14:paraId="13028137" w14:textId="77777777" w:rsidR="00AC3D41" w:rsidRPr="00F66CFF" w:rsidRDefault="00C112DD" w:rsidP="00481A52">
      <w:pPr>
        <w:pStyle w:val="Idefsubpara"/>
        <w:keepNext/>
      </w:pPr>
      <w:r w:rsidRPr="00F66CFF">
        <w:lastRenderedPageBreak/>
        <w:tab/>
        <w:t>(iv)</w:t>
      </w:r>
      <w:r w:rsidRPr="00F66CFF">
        <w:tab/>
        <w:t>the most recent 40 quarters of service as a registered worker before the designated day</w:t>
      </w:r>
      <w:r w:rsidR="00AC3D41" w:rsidRPr="00F66CFF">
        <w:t>.</w:t>
      </w:r>
    </w:p>
    <w:p w14:paraId="6223D460" w14:textId="77777777" w:rsidR="00C112DD" w:rsidRPr="00F66CFF" w:rsidRDefault="00C112DD" w:rsidP="00CE6EA9">
      <w:pPr>
        <w:pStyle w:val="aExamHdgss"/>
      </w:pPr>
      <w:r w:rsidRPr="00F66CFF">
        <w:t>Example—</w:t>
      </w:r>
      <w:r w:rsidRPr="00F66CFF">
        <w:rPr>
          <w:rStyle w:val="charItals"/>
        </w:rPr>
        <w:t>R</w:t>
      </w:r>
      <w:r w:rsidR="00315B10" w:rsidRPr="00F66CFF">
        <w:t>, par (b)</w:t>
      </w:r>
    </w:p>
    <w:p w14:paraId="139745F6" w14:textId="77777777" w:rsidR="00C112DD" w:rsidRPr="00F66CFF" w:rsidRDefault="00C112DD" w:rsidP="00481A52">
      <w:pPr>
        <w:pStyle w:val="aExamss"/>
        <w:keepNext/>
      </w:pPr>
      <w:r w:rsidRPr="00F66CFF">
        <w:t xml:space="preserve">Henry has worked in the cleaning industry for 7 years.  The periods in par (b) (i), (ii) and (iii) apply to Henry because he has completed more than 20 quarters (or 5 years), but less than 40 quarters (or 10 years), relevant service. </w:t>
      </w:r>
    </w:p>
    <w:p w14:paraId="2D63B51A" w14:textId="77777777" w:rsidR="00C112DD" w:rsidRPr="00F66CFF" w:rsidRDefault="00C112DD" w:rsidP="00481A52">
      <w:pPr>
        <w:pStyle w:val="aExamss"/>
        <w:keepNext/>
        <w:keepLines/>
      </w:pPr>
      <w:r w:rsidRPr="00F66CFF">
        <w:t xml:space="preserve">Henry’s average weekly income for the 2 quarters before the designated day is $283.  His weekly averages for the 4 and 20 quarters before the designated day are $427 and $375, respectively.  Accordingly, </w:t>
      </w:r>
      <w:r w:rsidR="00AD4A2D" w:rsidRPr="00F66CFF">
        <w:t>‘R’</w:t>
      </w:r>
      <w:r w:rsidRPr="00F66CFF">
        <w:t xml:space="preserve"> is $427 because it is the highest of the weekly averages.</w:t>
      </w:r>
    </w:p>
    <w:p w14:paraId="65276BE7" w14:textId="77777777" w:rsidR="00BB3CC4" w:rsidRPr="00F66CFF" w:rsidRDefault="00F66CFF" w:rsidP="00F66CFF">
      <w:pPr>
        <w:pStyle w:val="AH5Sec"/>
        <w:shd w:val="pct25" w:color="auto" w:fill="auto"/>
      </w:pPr>
      <w:bookmarkStart w:id="23" w:name="_Toc22552828"/>
      <w:r w:rsidRPr="00F66CFF">
        <w:rPr>
          <w:rStyle w:val="CharSectNo"/>
        </w:rPr>
        <w:t>21</w:t>
      </w:r>
      <w:r w:rsidRPr="00F66CFF">
        <w:tab/>
      </w:r>
      <w:r w:rsidR="00AD4A2D" w:rsidRPr="00F66CFF">
        <w:t>Leave payments for service as registered contractor—contract cleaning industry</w:t>
      </w:r>
      <w:r w:rsidR="00AD4A2D" w:rsidRPr="00F66CFF">
        <w:br/>
      </w:r>
      <w:r w:rsidR="00BB3CC4" w:rsidRPr="00F66CFF">
        <w:t xml:space="preserve">Schedule 2, section 2.13 (4), definitions of </w:t>
      </w:r>
      <w:r w:rsidR="00BB3CC4" w:rsidRPr="00F66CFF">
        <w:rPr>
          <w:rStyle w:val="charItals"/>
        </w:rPr>
        <w:t>FB</w:t>
      </w:r>
      <w:r w:rsidR="00BB3CC4" w:rsidRPr="00F66CFF">
        <w:t xml:space="preserve">, </w:t>
      </w:r>
      <w:r w:rsidR="00BB3CC4" w:rsidRPr="00F66CFF">
        <w:rPr>
          <w:rStyle w:val="charItals"/>
        </w:rPr>
        <w:t>FE</w:t>
      </w:r>
      <w:r w:rsidR="00BB3CC4" w:rsidRPr="00F66CFF">
        <w:t xml:space="preserve">, </w:t>
      </w:r>
      <w:r w:rsidR="00BB3CC4" w:rsidRPr="00F66CFF">
        <w:rPr>
          <w:rStyle w:val="charItals"/>
        </w:rPr>
        <w:t>I</w:t>
      </w:r>
      <w:r w:rsidR="00BB3CC4" w:rsidRPr="00F66CFF">
        <w:t xml:space="preserve"> and </w:t>
      </w:r>
      <w:r w:rsidR="00BB3CC4" w:rsidRPr="00F66CFF">
        <w:rPr>
          <w:rStyle w:val="charItals"/>
        </w:rPr>
        <w:t>total equity</w:t>
      </w:r>
      <w:bookmarkEnd w:id="23"/>
    </w:p>
    <w:p w14:paraId="3463655E" w14:textId="77777777" w:rsidR="00BB3CC4" w:rsidRPr="00F66CFF" w:rsidRDefault="00BB3CC4" w:rsidP="00BB3CC4">
      <w:pPr>
        <w:pStyle w:val="direction"/>
      </w:pPr>
      <w:r w:rsidRPr="00F66CFF">
        <w:t>omit</w:t>
      </w:r>
    </w:p>
    <w:p w14:paraId="6434A8EE" w14:textId="77777777" w:rsidR="00C7694C" w:rsidRPr="00F66CFF" w:rsidRDefault="00F66CFF" w:rsidP="00F66CFF">
      <w:pPr>
        <w:pStyle w:val="AH5Sec"/>
        <w:shd w:val="pct25" w:color="auto" w:fill="auto"/>
      </w:pPr>
      <w:bookmarkStart w:id="24" w:name="_Toc22552829"/>
      <w:r w:rsidRPr="00F66CFF">
        <w:rPr>
          <w:rStyle w:val="CharSectNo"/>
        </w:rPr>
        <w:t>22</w:t>
      </w:r>
      <w:r w:rsidRPr="00F66CFF">
        <w:tab/>
      </w:r>
      <w:r w:rsidR="00C7694C" w:rsidRPr="00F66CFF">
        <w:t xml:space="preserve">What is the </w:t>
      </w:r>
      <w:r w:rsidR="00C7694C" w:rsidRPr="00F66CFF">
        <w:rPr>
          <w:rStyle w:val="charItals"/>
        </w:rPr>
        <w:t>community sector industry</w:t>
      </w:r>
      <w:r w:rsidR="00C7694C" w:rsidRPr="00F66CFF">
        <w:t>?</w:t>
      </w:r>
      <w:r w:rsidR="00C7694C" w:rsidRPr="00F66CFF">
        <w:br/>
        <w:t>Schedule 3, section 3.1 (a)</w:t>
      </w:r>
      <w:bookmarkEnd w:id="24"/>
    </w:p>
    <w:p w14:paraId="53418DDF" w14:textId="77777777" w:rsidR="00C7694C" w:rsidRPr="00F66CFF" w:rsidRDefault="00C7694C" w:rsidP="00C7694C">
      <w:pPr>
        <w:pStyle w:val="direction"/>
      </w:pPr>
      <w:r w:rsidRPr="00F66CFF">
        <w:t>substitute</w:t>
      </w:r>
    </w:p>
    <w:p w14:paraId="14EC94EE" w14:textId="77777777" w:rsidR="00C7694C" w:rsidRPr="00F66CFF" w:rsidRDefault="00C7694C" w:rsidP="00C7694C">
      <w:pPr>
        <w:pStyle w:val="Idefpara"/>
      </w:pPr>
      <w:r w:rsidRPr="00F66CFF">
        <w:tab/>
        <w:t>(a)</w:t>
      </w:r>
      <w:r w:rsidRPr="00F66CFF">
        <w:tab/>
        <w:t>in relation to the ACT</w:t>
      </w:r>
      <w:r w:rsidR="006656D8" w:rsidRPr="00F66CFF">
        <w:t>, any of the following:</w:t>
      </w:r>
    </w:p>
    <w:p w14:paraId="531A3E09" w14:textId="77777777" w:rsidR="00C7694C" w:rsidRPr="00F66CFF" w:rsidRDefault="00C7694C" w:rsidP="00C7694C">
      <w:pPr>
        <w:pStyle w:val="Idefsubpara"/>
      </w:pPr>
      <w:r w:rsidRPr="00F66CFF">
        <w:tab/>
        <w:t>(i)</w:t>
      </w:r>
      <w:r w:rsidRPr="00F66CFF">
        <w:tab/>
        <w:t xml:space="preserve">the industry of providing </w:t>
      </w:r>
      <w:r w:rsidR="00F329A3" w:rsidRPr="00F66CFF">
        <w:t xml:space="preserve">education and </w:t>
      </w:r>
      <w:r w:rsidRPr="00F66CFF">
        <w:t xml:space="preserve">care services; </w:t>
      </w:r>
    </w:p>
    <w:p w14:paraId="30CAB55D" w14:textId="77777777" w:rsidR="00C7694C" w:rsidRPr="00F66CFF" w:rsidRDefault="00C7694C" w:rsidP="00C7694C">
      <w:pPr>
        <w:pStyle w:val="Idefsubpara"/>
      </w:pPr>
      <w:r w:rsidRPr="00F66CFF">
        <w:tab/>
        <w:t>(ii)</w:t>
      </w:r>
      <w:r w:rsidRPr="00F66CFF">
        <w:tab/>
        <w:t xml:space="preserve">the industry of providing residential aged care services; </w:t>
      </w:r>
    </w:p>
    <w:p w14:paraId="6B9C7F4F" w14:textId="77777777" w:rsidR="00C7694C" w:rsidRPr="00F66CFF" w:rsidRDefault="00C7694C" w:rsidP="00C7694C">
      <w:pPr>
        <w:pStyle w:val="Idefsubpara"/>
      </w:pPr>
      <w:r w:rsidRPr="00F66CFF">
        <w:tab/>
        <w:t>(iii)</w:t>
      </w:r>
      <w:r w:rsidRPr="00F66CFF">
        <w:tab/>
        <w:t xml:space="preserve">the industry of providing community aged care services; </w:t>
      </w:r>
    </w:p>
    <w:p w14:paraId="6DCCE153" w14:textId="77777777" w:rsidR="006656D8" w:rsidRPr="00F66CFF" w:rsidRDefault="006656D8" w:rsidP="006656D8">
      <w:pPr>
        <w:pStyle w:val="Idefsubpara"/>
      </w:pPr>
      <w:r w:rsidRPr="00F66CFF">
        <w:tab/>
        <w:t>(iv)</w:t>
      </w:r>
      <w:r w:rsidRPr="00F66CFF">
        <w:tab/>
        <w:t xml:space="preserve">the industry of providing employment placement services for disabled people; </w:t>
      </w:r>
    </w:p>
    <w:p w14:paraId="67ED0F15" w14:textId="77777777" w:rsidR="00C7694C" w:rsidRPr="00F66CFF" w:rsidRDefault="00C7694C" w:rsidP="00C7694C">
      <w:pPr>
        <w:pStyle w:val="Idefsubpara"/>
      </w:pPr>
      <w:r w:rsidRPr="00F66CFF">
        <w:tab/>
        <w:t>(v)</w:t>
      </w:r>
      <w:r w:rsidRPr="00F66CFF">
        <w:tab/>
        <w:t>the industry of providing the following residential care services:</w:t>
      </w:r>
    </w:p>
    <w:p w14:paraId="0C68820E" w14:textId="77777777" w:rsidR="00C7694C" w:rsidRPr="00F66CFF" w:rsidRDefault="00C7694C" w:rsidP="00C7694C">
      <w:pPr>
        <w:pStyle w:val="Isubsubpara"/>
      </w:pPr>
      <w:r w:rsidRPr="00F66CFF">
        <w:tab/>
        <w:t>(A)</w:t>
      </w:r>
      <w:r w:rsidRPr="00F66CFF">
        <w:tab/>
        <w:t xml:space="preserve">care accommodation or homes for disadvantaged people where nursing or medical care is not provided as a major service; </w:t>
      </w:r>
    </w:p>
    <w:p w14:paraId="20521C5E" w14:textId="77777777" w:rsidR="00C7694C" w:rsidRPr="00F66CFF" w:rsidRDefault="00C7694C" w:rsidP="00C7694C">
      <w:pPr>
        <w:pStyle w:val="Isubsubpara"/>
      </w:pPr>
      <w:r w:rsidRPr="00F66CFF">
        <w:lastRenderedPageBreak/>
        <w:tab/>
        <w:t>(B)</w:t>
      </w:r>
      <w:r w:rsidRPr="00F66CFF">
        <w:tab/>
        <w:t xml:space="preserve">residential corrective services for young offenders; </w:t>
      </w:r>
    </w:p>
    <w:p w14:paraId="09170E5B" w14:textId="77777777" w:rsidR="002369D6" w:rsidRPr="00F66CFF" w:rsidRDefault="002369D6" w:rsidP="002369D6">
      <w:pPr>
        <w:pStyle w:val="Idefsubpara"/>
      </w:pPr>
      <w:r w:rsidRPr="00F66CFF">
        <w:tab/>
        <w:t>(vi)</w:t>
      </w:r>
      <w:r w:rsidRPr="00F66CFF">
        <w:tab/>
        <w:t xml:space="preserve">the industry of providing community service advocacy services; </w:t>
      </w:r>
    </w:p>
    <w:p w14:paraId="548E621E" w14:textId="77777777" w:rsidR="00C7694C" w:rsidRPr="00F66CFF" w:rsidRDefault="00C7694C" w:rsidP="00C7694C">
      <w:pPr>
        <w:pStyle w:val="Idefsubpara"/>
      </w:pPr>
      <w:r w:rsidRPr="00F66CFF">
        <w:tab/>
        <w:t>(v</w:t>
      </w:r>
      <w:r w:rsidR="006656D8" w:rsidRPr="00F66CFF">
        <w:t>ii</w:t>
      </w:r>
      <w:r w:rsidRPr="00F66CFF">
        <w:t>)</w:t>
      </w:r>
      <w:r w:rsidRPr="00F66CFF">
        <w:tab/>
        <w:t xml:space="preserve">the industry of providing non-residential care welfare services (including fund-raising services for welfare services) not included in </w:t>
      </w:r>
      <w:r w:rsidR="006656D8" w:rsidRPr="00F66CFF">
        <w:t>subparagraphs (i) to (vi)</w:t>
      </w:r>
      <w:r w:rsidRPr="00F66CFF">
        <w:t xml:space="preserve">; </w:t>
      </w:r>
      <w:r w:rsidR="006656D8" w:rsidRPr="00F66CFF">
        <w:t>and</w:t>
      </w:r>
    </w:p>
    <w:p w14:paraId="7557076A" w14:textId="77777777" w:rsidR="00231DA2" w:rsidRPr="00F66CFF" w:rsidRDefault="00F66CFF" w:rsidP="00F66CFF">
      <w:pPr>
        <w:pStyle w:val="AH5Sec"/>
        <w:shd w:val="pct25" w:color="auto" w:fill="auto"/>
      </w:pPr>
      <w:bookmarkStart w:id="25" w:name="_Toc22552830"/>
      <w:r w:rsidRPr="00F66CFF">
        <w:rPr>
          <w:rStyle w:val="CharSectNo"/>
        </w:rPr>
        <w:t>23</w:t>
      </w:r>
      <w:r w:rsidRPr="00F66CFF">
        <w:tab/>
      </w:r>
      <w:r w:rsidR="00231DA2" w:rsidRPr="00F66CFF">
        <w:t>Schedule 3, new section 3.1 (2)</w:t>
      </w:r>
      <w:bookmarkEnd w:id="25"/>
    </w:p>
    <w:p w14:paraId="26C46AA4" w14:textId="77777777" w:rsidR="00231DA2" w:rsidRPr="00F66CFF" w:rsidRDefault="004312D5" w:rsidP="00231DA2">
      <w:pPr>
        <w:pStyle w:val="direction"/>
      </w:pPr>
      <w:r w:rsidRPr="00F66CFF">
        <w:t xml:space="preserve">after the note, </w:t>
      </w:r>
      <w:r w:rsidR="00231DA2" w:rsidRPr="00F66CFF">
        <w:t>insert</w:t>
      </w:r>
    </w:p>
    <w:p w14:paraId="583BD63D" w14:textId="77777777" w:rsidR="00231DA2" w:rsidRPr="00F66CFF" w:rsidRDefault="00231DA2" w:rsidP="00231DA2">
      <w:pPr>
        <w:pStyle w:val="IMain"/>
      </w:pPr>
      <w:r w:rsidRPr="00F66CFF">
        <w:tab/>
        <w:t>(2)</w:t>
      </w:r>
      <w:r w:rsidRPr="00F66CFF">
        <w:tab/>
        <w:t>In this section:</w:t>
      </w:r>
    </w:p>
    <w:p w14:paraId="0A96D900" w14:textId="77777777" w:rsidR="00231DA2" w:rsidRPr="00F66CFF" w:rsidRDefault="00231DA2" w:rsidP="00F66CFF">
      <w:pPr>
        <w:pStyle w:val="aDef"/>
        <w:keepNext/>
      </w:pPr>
      <w:r w:rsidRPr="00F66CFF">
        <w:rPr>
          <w:rStyle w:val="charBoldItals"/>
        </w:rPr>
        <w:t>education and care service</w:t>
      </w:r>
      <w:r w:rsidR="00D956C1" w:rsidRPr="00F66CFF">
        <w:t xml:space="preserve"> means an approved education and care service under the </w:t>
      </w:r>
      <w:r w:rsidR="00D956C1" w:rsidRPr="00F66CFF">
        <w:rPr>
          <w:rStyle w:val="charItals"/>
        </w:rPr>
        <w:t>Education and Care Services National Law (ACT)</w:t>
      </w:r>
      <w:r w:rsidR="00B26A45" w:rsidRPr="00F66CFF">
        <w:t>, section 5 (1)</w:t>
      </w:r>
      <w:r w:rsidR="00D956C1" w:rsidRPr="00F66CFF">
        <w:t>.</w:t>
      </w:r>
    </w:p>
    <w:p w14:paraId="580F8B9F" w14:textId="736CE1C4" w:rsidR="00B26A45" w:rsidRPr="00F66CFF" w:rsidRDefault="00A26257" w:rsidP="00A26257">
      <w:pPr>
        <w:pStyle w:val="aNote"/>
      </w:pPr>
      <w:r w:rsidRPr="00F66CFF">
        <w:t>Note</w:t>
      </w:r>
      <w:r w:rsidRPr="00F66CFF">
        <w:tab/>
      </w:r>
      <w:r w:rsidR="00B26A45" w:rsidRPr="00F66CFF">
        <w:t>The</w:t>
      </w:r>
      <w:r w:rsidRPr="00F66CFF">
        <w:t xml:space="preserve"> </w:t>
      </w:r>
      <w:hyperlink r:id="rId26" w:tooltip="A2011-42" w:history="1">
        <w:r w:rsidR="00BE53B4" w:rsidRPr="00F66CFF">
          <w:rPr>
            <w:rStyle w:val="charCitHyperlinkItal"/>
          </w:rPr>
          <w:t>Education and Care Services National Law (ACT) Act 2011</w:t>
        </w:r>
      </w:hyperlink>
      <w:r w:rsidR="00B26A45" w:rsidRPr="00F66CFF">
        <w:t>, s 6 applies the Education and Care Services National Law set out in the</w:t>
      </w:r>
      <w:r w:rsidRPr="00F66CFF">
        <w:t xml:space="preserve"> </w:t>
      </w:r>
      <w:hyperlink r:id="rId27" w:tooltip="A2010-69 (Vic)" w:history="1">
        <w:r w:rsidR="00BE53B4" w:rsidRPr="00F66CFF">
          <w:rPr>
            <w:rStyle w:val="charCitHyperlinkItal"/>
          </w:rPr>
          <w:t>Education and Care Services National Law Act 2010</w:t>
        </w:r>
      </w:hyperlink>
      <w:r w:rsidRPr="00F66CFF">
        <w:t xml:space="preserve"> </w:t>
      </w:r>
      <w:r w:rsidR="00B26A45" w:rsidRPr="00F66CFF">
        <w:t>(Vic), schedule as if it were an ACT law called the</w:t>
      </w:r>
      <w:r w:rsidRPr="00F66CFF">
        <w:t xml:space="preserve"> </w:t>
      </w:r>
      <w:r w:rsidR="00B26A45" w:rsidRPr="00F66CFF">
        <w:rPr>
          <w:rStyle w:val="charItals"/>
        </w:rPr>
        <w:t>Education</w:t>
      </w:r>
      <w:r w:rsidRPr="00F66CFF">
        <w:rPr>
          <w:rStyle w:val="charItals"/>
        </w:rPr>
        <w:t xml:space="preserve"> </w:t>
      </w:r>
      <w:r w:rsidR="00B26A45" w:rsidRPr="00F66CFF">
        <w:rPr>
          <w:rStyle w:val="charItals"/>
        </w:rPr>
        <w:t>and</w:t>
      </w:r>
      <w:r w:rsidRPr="00F66CFF">
        <w:rPr>
          <w:rStyle w:val="charItals"/>
        </w:rPr>
        <w:t xml:space="preserve"> </w:t>
      </w:r>
      <w:r w:rsidR="00B26A45" w:rsidRPr="00F66CFF">
        <w:rPr>
          <w:rStyle w:val="charItals"/>
        </w:rPr>
        <w:t>Care Services National Law (ACT)</w:t>
      </w:r>
      <w:r w:rsidR="00B26A45" w:rsidRPr="00F66CFF">
        <w:t>.</w:t>
      </w:r>
    </w:p>
    <w:p w14:paraId="676C3C8F" w14:textId="77777777" w:rsidR="005C3CBD" w:rsidRPr="00F66CFF" w:rsidRDefault="00F66CFF" w:rsidP="00F66CFF">
      <w:pPr>
        <w:pStyle w:val="AH5Sec"/>
        <w:shd w:val="pct25" w:color="auto" w:fill="auto"/>
      </w:pPr>
      <w:bookmarkStart w:id="26" w:name="_Toc22552831"/>
      <w:r w:rsidRPr="00F66CFF">
        <w:rPr>
          <w:rStyle w:val="CharSectNo"/>
        </w:rPr>
        <w:t>24</w:t>
      </w:r>
      <w:r w:rsidRPr="00F66CFF">
        <w:tab/>
      </w:r>
      <w:r w:rsidR="00AD4A2D" w:rsidRPr="00F66CFF">
        <w:t>Service credit—community sector industry—s 64</w:t>
      </w:r>
      <w:r w:rsidR="00AD4A2D" w:rsidRPr="00F66CFF">
        <w:br/>
      </w:r>
      <w:r w:rsidR="00A866DE" w:rsidRPr="00F66CFF">
        <w:t>Schedule 3, section 3.5 (1)</w:t>
      </w:r>
      <w:bookmarkEnd w:id="26"/>
    </w:p>
    <w:p w14:paraId="3E5C2612" w14:textId="77777777" w:rsidR="00A866DE" w:rsidRPr="00F66CFF" w:rsidRDefault="00A866DE" w:rsidP="00A866DE">
      <w:pPr>
        <w:pStyle w:val="direction"/>
      </w:pPr>
      <w:r w:rsidRPr="00F66CFF">
        <w:t>omit</w:t>
      </w:r>
    </w:p>
    <w:p w14:paraId="702D5E7F" w14:textId="77777777" w:rsidR="00A866DE" w:rsidRPr="00F66CFF" w:rsidRDefault="00A866DE" w:rsidP="00A866DE">
      <w:pPr>
        <w:pStyle w:val="Amainreturn"/>
      </w:pPr>
      <w:r w:rsidRPr="00F66CFF">
        <w:t>community sector industry work</w:t>
      </w:r>
    </w:p>
    <w:p w14:paraId="178F25CD" w14:textId="77777777" w:rsidR="00A866DE" w:rsidRPr="00F66CFF" w:rsidRDefault="00A866DE" w:rsidP="00A866DE">
      <w:pPr>
        <w:pStyle w:val="direction"/>
      </w:pPr>
      <w:r w:rsidRPr="00F66CFF">
        <w:t>substitute</w:t>
      </w:r>
    </w:p>
    <w:p w14:paraId="69A9E018" w14:textId="77777777" w:rsidR="00A866DE" w:rsidRPr="00F66CFF" w:rsidRDefault="00A866DE" w:rsidP="00A866DE">
      <w:pPr>
        <w:pStyle w:val="Amainreturn"/>
      </w:pPr>
      <w:r w:rsidRPr="00F66CFF">
        <w:t>community sector work</w:t>
      </w:r>
    </w:p>
    <w:p w14:paraId="3506E285" w14:textId="77777777" w:rsidR="00A866DE" w:rsidRPr="00F66CFF" w:rsidRDefault="00F66CFF" w:rsidP="00F66CFF">
      <w:pPr>
        <w:pStyle w:val="AH5Sec"/>
        <w:shd w:val="pct25" w:color="auto" w:fill="auto"/>
      </w:pPr>
      <w:bookmarkStart w:id="27" w:name="_Toc22552832"/>
      <w:r w:rsidRPr="00F66CFF">
        <w:rPr>
          <w:rStyle w:val="CharSectNo"/>
        </w:rPr>
        <w:lastRenderedPageBreak/>
        <w:t>25</w:t>
      </w:r>
      <w:r w:rsidRPr="00F66CFF">
        <w:tab/>
      </w:r>
      <w:r w:rsidR="00A866DE" w:rsidRPr="00F66CFF">
        <w:t>Schedule 3, section 3.5 (1)</w:t>
      </w:r>
      <w:r w:rsidR="00AD4A2D" w:rsidRPr="00F66CFF">
        <w:t>,</w:t>
      </w:r>
      <w:r w:rsidR="00A866DE" w:rsidRPr="00F66CFF">
        <w:t xml:space="preserve"> example</w:t>
      </w:r>
      <w:bookmarkEnd w:id="27"/>
    </w:p>
    <w:p w14:paraId="642CCE13" w14:textId="77777777" w:rsidR="00A866DE" w:rsidRPr="00F66CFF" w:rsidRDefault="00A866DE" w:rsidP="00A866DE">
      <w:pPr>
        <w:pStyle w:val="direction"/>
      </w:pPr>
      <w:r w:rsidRPr="00F66CFF">
        <w:t>omit</w:t>
      </w:r>
    </w:p>
    <w:p w14:paraId="25EA8CDD" w14:textId="77777777" w:rsidR="00A866DE" w:rsidRPr="00F66CFF" w:rsidRDefault="00A866DE" w:rsidP="00481A52">
      <w:pPr>
        <w:pStyle w:val="Amainreturn"/>
        <w:keepNext/>
        <w:rPr>
          <w:sz w:val="20"/>
        </w:rPr>
      </w:pPr>
      <w:r w:rsidRPr="00F66CFF">
        <w:rPr>
          <w:sz w:val="20"/>
        </w:rPr>
        <w:t>cleaning work</w:t>
      </w:r>
    </w:p>
    <w:p w14:paraId="322ACB95" w14:textId="77777777" w:rsidR="00A866DE" w:rsidRPr="00F66CFF" w:rsidRDefault="00A866DE" w:rsidP="00A866DE">
      <w:pPr>
        <w:pStyle w:val="direction"/>
      </w:pPr>
      <w:r w:rsidRPr="00F66CFF">
        <w:t>substitute</w:t>
      </w:r>
    </w:p>
    <w:p w14:paraId="2ED0F00B" w14:textId="77777777" w:rsidR="00A866DE" w:rsidRPr="00F66CFF" w:rsidRDefault="00A866DE" w:rsidP="00A866DE">
      <w:pPr>
        <w:pStyle w:val="Amainreturn"/>
        <w:rPr>
          <w:sz w:val="20"/>
        </w:rPr>
      </w:pPr>
      <w:r w:rsidRPr="00F66CFF">
        <w:rPr>
          <w:sz w:val="20"/>
        </w:rPr>
        <w:t>community sector work</w:t>
      </w:r>
    </w:p>
    <w:p w14:paraId="20959277" w14:textId="77777777" w:rsidR="00C112DD" w:rsidRPr="00F66CFF" w:rsidRDefault="00F66CFF" w:rsidP="00F66CFF">
      <w:pPr>
        <w:pStyle w:val="AH5Sec"/>
        <w:shd w:val="pct25" w:color="auto" w:fill="auto"/>
      </w:pPr>
      <w:bookmarkStart w:id="28" w:name="_Toc22552833"/>
      <w:r w:rsidRPr="00F66CFF">
        <w:rPr>
          <w:rStyle w:val="CharSectNo"/>
        </w:rPr>
        <w:t>26</w:t>
      </w:r>
      <w:r w:rsidRPr="00F66CFF">
        <w:tab/>
      </w:r>
      <w:r w:rsidR="00AD4A2D" w:rsidRPr="00F66CFF">
        <w:t>Leave payments for service as registered employee—community sector industry</w:t>
      </w:r>
      <w:r w:rsidR="00AD4A2D" w:rsidRPr="00F66CFF">
        <w:br/>
      </w:r>
      <w:r w:rsidR="00C112DD" w:rsidRPr="00F66CFF">
        <w:t>Schedule 3, section 3.13</w:t>
      </w:r>
      <w:r w:rsidR="00C62044" w:rsidRPr="00F66CFF">
        <w:t xml:space="preserve"> (2)</w:t>
      </w:r>
      <w:r w:rsidR="00C112DD" w:rsidRPr="00F66CFF">
        <w:t xml:space="preserve">, definition of </w:t>
      </w:r>
      <w:r w:rsidR="00C112DD" w:rsidRPr="00F66CFF">
        <w:rPr>
          <w:rStyle w:val="charItals"/>
        </w:rPr>
        <w:t>R</w:t>
      </w:r>
      <w:r w:rsidR="001526C3" w:rsidRPr="00F66CFF">
        <w:rPr>
          <w:rStyle w:val="charItals"/>
        </w:rPr>
        <w:t xml:space="preserve"> </w:t>
      </w:r>
      <w:r w:rsidR="001526C3" w:rsidRPr="00F66CFF">
        <w:t>and example and note</w:t>
      </w:r>
      <w:bookmarkEnd w:id="28"/>
    </w:p>
    <w:p w14:paraId="2520A91D" w14:textId="77777777" w:rsidR="00C112DD" w:rsidRPr="00F66CFF" w:rsidRDefault="00C112DD" w:rsidP="00C112DD">
      <w:pPr>
        <w:pStyle w:val="direction"/>
      </w:pPr>
      <w:r w:rsidRPr="00F66CFF">
        <w:t>substitute</w:t>
      </w:r>
    </w:p>
    <w:p w14:paraId="710474C1" w14:textId="77777777" w:rsidR="00C112DD" w:rsidRPr="00F66CFF" w:rsidRDefault="00C112DD" w:rsidP="00F66CFF">
      <w:pPr>
        <w:pStyle w:val="aDef"/>
      </w:pPr>
      <w:r w:rsidRPr="00F66CFF">
        <w:rPr>
          <w:rStyle w:val="charBoldItals"/>
        </w:rPr>
        <w:t>R</w:t>
      </w:r>
      <w:r w:rsidRPr="00F66CFF">
        <w:t xml:space="preserve"> is—</w:t>
      </w:r>
    </w:p>
    <w:p w14:paraId="53000B4B" w14:textId="331E1031" w:rsidR="00C112DD" w:rsidRPr="00F66CFF" w:rsidRDefault="00C112DD" w:rsidP="00C112DD">
      <w:pPr>
        <w:pStyle w:val="Idefpara"/>
      </w:pPr>
      <w:r w:rsidRPr="00F66CFF">
        <w:tab/>
        <w:t>(a)</w:t>
      </w:r>
      <w:r w:rsidRPr="00F66CFF">
        <w:tab/>
        <w:t>if the registered worker is receiving compensation under the</w:t>
      </w:r>
      <w:r w:rsidR="009443CE" w:rsidRPr="00F66CFF">
        <w:t xml:space="preserve"> </w:t>
      </w:r>
      <w:hyperlink r:id="rId28" w:tooltip="A1951-2" w:history="1">
        <w:r w:rsidR="00BE53B4" w:rsidRPr="00F66CFF">
          <w:rPr>
            <w:rStyle w:val="charCitHyperlinkItal"/>
          </w:rPr>
          <w:t>Workers Compensation Act 1951</w:t>
        </w:r>
      </w:hyperlink>
      <w:r w:rsidRPr="00F66CFF">
        <w:t>—the weekly average of the ordinary remuneration received by the worker during the 4 quarters before the injury to which the compensation relates happened; or</w:t>
      </w:r>
    </w:p>
    <w:p w14:paraId="43BE2DC3" w14:textId="77777777" w:rsidR="00C112DD" w:rsidRPr="00F66CFF" w:rsidRDefault="00C112DD" w:rsidP="00C112DD">
      <w:pPr>
        <w:pStyle w:val="Idefpara"/>
      </w:pPr>
      <w:r w:rsidRPr="00F66CFF">
        <w:tab/>
        <w:t>(b)</w:t>
      </w:r>
      <w:r w:rsidRPr="00F66CFF">
        <w:tab/>
        <w:t>in any other case—the highest of the weekly averages of the ordinary remuneration received by the registered worker during each of the following periods that applies to the worker:</w:t>
      </w:r>
    </w:p>
    <w:p w14:paraId="71EE72CB" w14:textId="77777777" w:rsidR="00C112DD" w:rsidRPr="00F66CFF" w:rsidRDefault="00C112DD" w:rsidP="00C112DD">
      <w:pPr>
        <w:pStyle w:val="Idefsubpara"/>
      </w:pPr>
      <w:r w:rsidRPr="00F66CFF">
        <w:tab/>
        <w:t>(i)</w:t>
      </w:r>
      <w:r w:rsidRPr="00F66CFF">
        <w:tab/>
        <w:t xml:space="preserve">the most recent 2 quarters of service as a registered employee before the designated day; </w:t>
      </w:r>
    </w:p>
    <w:p w14:paraId="63B6D798" w14:textId="77777777" w:rsidR="00C112DD" w:rsidRPr="00F66CFF" w:rsidRDefault="00C112DD" w:rsidP="00C112DD">
      <w:pPr>
        <w:pStyle w:val="Idefsubpara"/>
      </w:pPr>
      <w:r w:rsidRPr="00F66CFF">
        <w:tab/>
        <w:t>(ii)</w:t>
      </w:r>
      <w:r w:rsidRPr="00F66CFF">
        <w:tab/>
        <w:t>the most recent 4 quarters of service as a registered employee before the designated day;</w:t>
      </w:r>
    </w:p>
    <w:p w14:paraId="7879DA2D" w14:textId="77777777" w:rsidR="00C112DD" w:rsidRPr="00F66CFF" w:rsidRDefault="00C112DD" w:rsidP="00481A52">
      <w:pPr>
        <w:pStyle w:val="Idefsubpara"/>
        <w:keepNext/>
      </w:pPr>
      <w:r w:rsidRPr="00F66CFF">
        <w:lastRenderedPageBreak/>
        <w:tab/>
        <w:t>(iii)</w:t>
      </w:r>
      <w:r w:rsidRPr="00F66CFF">
        <w:tab/>
        <w:t>the most recent 20 quarters of service as a registered worker before the designated day.</w:t>
      </w:r>
    </w:p>
    <w:p w14:paraId="75B3E921" w14:textId="77777777" w:rsidR="00C112DD" w:rsidRPr="00F66CFF" w:rsidRDefault="00C112DD" w:rsidP="00C112DD">
      <w:pPr>
        <w:pStyle w:val="aExamHdgss"/>
      </w:pPr>
      <w:r w:rsidRPr="00F66CFF">
        <w:t>Example—</w:t>
      </w:r>
      <w:r w:rsidRPr="00F66CFF">
        <w:rPr>
          <w:rStyle w:val="charItals"/>
        </w:rPr>
        <w:t>R</w:t>
      </w:r>
      <w:r w:rsidR="00315B10" w:rsidRPr="00F66CFF">
        <w:t>, par (b)</w:t>
      </w:r>
    </w:p>
    <w:p w14:paraId="12038FB3" w14:textId="77777777" w:rsidR="00C62044" w:rsidRPr="00F66CFF" w:rsidRDefault="00C62044" w:rsidP="00481A52">
      <w:pPr>
        <w:pStyle w:val="aExamss"/>
        <w:keepNext/>
      </w:pPr>
      <w:r w:rsidRPr="00F66CFF">
        <w:t>Harry has worked in the community sector industry for 5 years.  The periods in par (b) (i), (ii) and (iii) apply to Harry because he has completed more than 20 quarters (or 5 years) relevant service.</w:t>
      </w:r>
    </w:p>
    <w:p w14:paraId="2DAC917B" w14:textId="77777777" w:rsidR="00C62044" w:rsidRPr="00F66CFF" w:rsidRDefault="00C62044" w:rsidP="00C62044">
      <w:pPr>
        <w:pStyle w:val="aExamss"/>
      </w:pPr>
      <w:r w:rsidRPr="00F66CFF">
        <w:t xml:space="preserve">Harry’s average weekly income for the 2 quarters before the designated day is $283.  His weekly averages for the 4 and 20 quarters before the designated day are $427 and $375, respectively.  Accordingly, </w:t>
      </w:r>
      <w:r w:rsidR="00AD4A2D" w:rsidRPr="00F66CFF">
        <w:t>‘R’</w:t>
      </w:r>
      <w:r w:rsidRPr="00F66CFF">
        <w:t xml:space="preserve"> is $427 because it is the highest of the weekly averages.</w:t>
      </w:r>
    </w:p>
    <w:p w14:paraId="5055F226" w14:textId="77777777" w:rsidR="00BB3CC4" w:rsidRPr="00F66CFF" w:rsidRDefault="00F66CFF" w:rsidP="00F66CFF">
      <w:pPr>
        <w:pStyle w:val="AH5Sec"/>
        <w:keepLines/>
        <w:shd w:val="pct25" w:color="auto" w:fill="auto"/>
      </w:pPr>
      <w:bookmarkStart w:id="29" w:name="_Toc22552834"/>
      <w:r w:rsidRPr="00F66CFF">
        <w:rPr>
          <w:rStyle w:val="CharSectNo"/>
        </w:rPr>
        <w:t>27</w:t>
      </w:r>
      <w:r w:rsidRPr="00F66CFF">
        <w:tab/>
      </w:r>
      <w:r w:rsidR="00AD4A2D" w:rsidRPr="00F66CFF">
        <w:t>Leave payments for service as registered contractor—community sector industry</w:t>
      </w:r>
      <w:r w:rsidR="00AD4A2D" w:rsidRPr="00F66CFF">
        <w:br/>
      </w:r>
      <w:r w:rsidR="00BB3CC4" w:rsidRPr="00F66CFF">
        <w:t xml:space="preserve">Schedule 3, section 3.14 (4), definitions of </w:t>
      </w:r>
      <w:r w:rsidR="00BB3CC4" w:rsidRPr="00F66CFF">
        <w:rPr>
          <w:rStyle w:val="charItals"/>
        </w:rPr>
        <w:t>FB</w:t>
      </w:r>
      <w:r w:rsidR="00BB3CC4" w:rsidRPr="00F66CFF">
        <w:t xml:space="preserve">, </w:t>
      </w:r>
      <w:r w:rsidR="00BB3CC4" w:rsidRPr="00F66CFF">
        <w:rPr>
          <w:rStyle w:val="charItals"/>
        </w:rPr>
        <w:t>FE</w:t>
      </w:r>
      <w:r w:rsidR="00BB3CC4" w:rsidRPr="00F66CFF">
        <w:t xml:space="preserve">, </w:t>
      </w:r>
      <w:r w:rsidR="00BB3CC4" w:rsidRPr="00F66CFF">
        <w:rPr>
          <w:rStyle w:val="charItals"/>
        </w:rPr>
        <w:t>I</w:t>
      </w:r>
      <w:r w:rsidR="00BB3CC4" w:rsidRPr="00F66CFF">
        <w:t xml:space="preserve"> and </w:t>
      </w:r>
      <w:r w:rsidR="00BB3CC4" w:rsidRPr="00F66CFF">
        <w:rPr>
          <w:rStyle w:val="charItals"/>
        </w:rPr>
        <w:t>total equity</w:t>
      </w:r>
      <w:bookmarkEnd w:id="29"/>
    </w:p>
    <w:p w14:paraId="0C378D2D" w14:textId="77777777" w:rsidR="00BB3CC4" w:rsidRPr="00F66CFF" w:rsidRDefault="00BB3CC4" w:rsidP="00BB3CC4">
      <w:pPr>
        <w:pStyle w:val="direction"/>
      </w:pPr>
      <w:r w:rsidRPr="00F66CFF">
        <w:t>omit</w:t>
      </w:r>
    </w:p>
    <w:p w14:paraId="4A2FA401" w14:textId="77777777" w:rsidR="00A866DE" w:rsidRPr="00F66CFF" w:rsidRDefault="00F66CFF" w:rsidP="00F66CFF">
      <w:pPr>
        <w:pStyle w:val="AH5Sec"/>
        <w:shd w:val="pct25" w:color="auto" w:fill="auto"/>
      </w:pPr>
      <w:bookmarkStart w:id="30" w:name="_Toc22552835"/>
      <w:r w:rsidRPr="00F66CFF">
        <w:rPr>
          <w:rStyle w:val="CharSectNo"/>
        </w:rPr>
        <w:t>28</w:t>
      </w:r>
      <w:r w:rsidRPr="00F66CFF">
        <w:tab/>
      </w:r>
      <w:r w:rsidR="00AD4A2D" w:rsidRPr="00F66CFF">
        <w:t>Service credit—security industry—s 64</w:t>
      </w:r>
      <w:r w:rsidR="00AD4A2D" w:rsidRPr="00F66CFF">
        <w:br/>
      </w:r>
      <w:r w:rsidR="00A866DE" w:rsidRPr="00F66CFF">
        <w:t>Schedule 4, section 4.5 (1), example</w:t>
      </w:r>
      <w:bookmarkEnd w:id="30"/>
    </w:p>
    <w:p w14:paraId="20B39E18" w14:textId="77777777" w:rsidR="00A866DE" w:rsidRPr="00F66CFF" w:rsidRDefault="00A866DE" w:rsidP="00A866DE">
      <w:pPr>
        <w:pStyle w:val="direction"/>
      </w:pPr>
      <w:r w:rsidRPr="00F66CFF">
        <w:t>omit</w:t>
      </w:r>
    </w:p>
    <w:p w14:paraId="25C4CF7E" w14:textId="77777777" w:rsidR="00A866DE" w:rsidRPr="00F66CFF" w:rsidRDefault="00A866DE" w:rsidP="00A866DE">
      <w:pPr>
        <w:pStyle w:val="Amainreturn"/>
        <w:rPr>
          <w:sz w:val="20"/>
        </w:rPr>
      </w:pPr>
      <w:r w:rsidRPr="00F66CFF">
        <w:rPr>
          <w:sz w:val="20"/>
        </w:rPr>
        <w:t>cleaning work</w:t>
      </w:r>
    </w:p>
    <w:p w14:paraId="0A58E746" w14:textId="77777777" w:rsidR="00A866DE" w:rsidRPr="00F66CFF" w:rsidRDefault="00A866DE" w:rsidP="00A866DE">
      <w:pPr>
        <w:pStyle w:val="direction"/>
      </w:pPr>
      <w:r w:rsidRPr="00F66CFF">
        <w:t>substitute</w:t>
      </w:r>
    </w:p>
    <w:p w14:paraId="0FAD1B62" w14:textId="77777777" w:rsidR="00A866DE" w:rsidRPr="00F66CFF" w:rsidRDefault="00A866DE" w:rsidP="00A866DE">
      <w:pPr>
        <w:pStyle w:val="Amainreturn"/>
        <w:rPr>
          <w:sz w:val="20"/>
        </w:rPr>
      </w:pPr>
      <w:r w:rsidRPr="00F66CFF">
        <w:rPr>
          <w:sz w:val="20"/>
        </w:rPr>
        <w:t>security work</w:t>
      </w:r>
    </w:p>
    <w:p w14:paraId="7F0045DB" w14:textId="77777777" w:rsidR="00F92E49" w:rsidRPr="00F66CFF" w:rsidRDefault="00F66CFF" w:rsidP="00F66CFF">
      <w:pPr>
        <w:pStyle w:val="AH5Sec"/>
        <w:shd w:val="pct25" w:color="auto" w:fill="auto"/>
      </w:pPr>
      <w:bookmarkStart w:id="31" w:name="_Toc22552836"/>
      <w:r w:rsidRPr="00F66CFF">
        <w:rPr>
          <w:rStyle w:val="CharSectNo"/>
        </w:rPr>
        <w:lastRenderedPageBreak/>
        <w:t>29</w:t>
      </w:r>
      <w:r w:rsidRPr="00F66CFF">
        <w:tab/>
      </w:r>
      <w:r w:rsidR="00AD4A2D" w:rsidRPr="00F66CFF">
        <w:t>How are payments worked out for the security industry?</w:t>
      </w:r>
      <w:r w:rsidR="00AD4A2D" w:rsidRPr="00F66CFF">
        <w:br/>
      </w:r>
      <w:r w:rsidR="00F92E49" w:rsidRPr="00F66CFF">
        <w:t>Schedule 4, section 4.12, example</w:t>
      </w:r>
      <w:r w:rsidR="00551569" w:rsidRPr="00F66CFF">
        <w:t xml:space="preserve"> and note</w:t>
      </w:r>
      <w:bookmarkEnd w:id="31"/>
    </w:p>
    <w:p w14:paraId="4884D8CC" w14:textId="77777777" w:rsidR="00F92E49" w:rsidRPr="00F66CFF" w:rsidRDefault="00F92E49" w:rsidP="00F92E49">
      <w:pPr>
        <w:pStyle w:val="direction"/>
      </w:pPr>
      <w:r w:rsidRPr="00F66CFF">
        <w:t>substitute</w:t>
      </w:r>
    </w:p>
    <w:p w14:paraId="2B7DD5DD" w14:textId="77777777" w:rsidR="00F92E49" w:rsidRPr="00F66CFF" w:rsidRDefault="00F92E49" w:rsidP="00CE6EA9">
      <w:pPr>
        <w:pStyle w:val="aExamHdgss"/>
      </w:pPr>
      <w:r w:rsidRPr="00F66CFF">
        <w:t>Example</w:t>
      </w:r>
    </w:p>
    <w:p w14:paraId="15824B44" w14:textId="77777777" w:rsidR="00F92E49" w:rsidRPr="00F66CFF" w:rsidRDefault="00F92E49" w:rsidP="00F92E49">
      <w:pPr>
        <w:pStyle w:val="aExamss"/>
        <w:keepNext/>
        <w:keepLines/>
      </w:pPr>
      <w:r w:rsidRPr="00F66CFF">
        <w:t xml:space="preserve">Trevor has 7 years of service in the security industry giving him an entitlement to </w:t>
      </w:r>
      <w:r w:rsidR="00C72B92" w:rsidRPr="00F66CFF">
        <w:t>6</w:t>
      </w:r>
      <w:r w:rsidRPr="00F66CFF">
        <w:t>.</w:t>
      </w:r>
      <w:r w:rsidR="00C72B92" w:rsidRPr="00F66CFF">
        <w:t>0669</w:t>
      </w:r>
      <w:r w:rsidRPr="00F66CFF">
        <w:t xml:space="preserve"> weeks long service leave.  He first worked in the industry as a registered employee and accrued </w:t>
      </w:r>
      <w:r w:rsidR="00C72B92" w:rsidRPr="00F66CFF">
        <w:t xml:space="preserve">4.3335 </w:t>
      </w:r>
      <w:r w:rsidRPr="00F66CFF">
        <w:t xml:space="preserve">weeks of the entitlement in that capacity.  Trevor then worked as a registered </w:t>
      </w:r>
      <w:r w:rsidR="00A01CB2" w:rsidRPr="00F66CFF">
        <w:t>voluntary</w:t>
      </w:r>
      <w:r w:rsidR="00C45FBD" w:rsidRPr="00F66CFF">
        <w:t xml:space="preserve"> member</w:t>
      </w:r>
      <w:r w:rsidRPr="00F66CFF">
        <w:t xml:space="preserve"> and accrued </w:t>
      </w:r>
      <w:r w:rsidR="00C72B92" w:rsidRPr="00F66CFF">
        <w:t>1</w:t>
      </w:r>
      <w:r w:rsidRPr="00F66CFF">
        <w:t>.</w:t>
      </w:r>
      <w:r w:rsidR="00C72B92" w:rsidRPr="00F66CFF">
        <w:t>7</w:t>
      </w:r>
      <w:r w:rsidRPr="00F66CFF">
        <w:t>33</w:t>
      </w:r>
      <w:r w:rsidR="00C72B92" w:rsidRPr="00F66CFF">
        <w:t>4</w:t>
      </w:r>
      <w:r w:rsidRPr="00F66CFF">
        <w:t xml:space="preserve"> weeks of the entitlement in that capacity. </w:t>
      </w:r>
    </w:p>
    <w:p w14:paraId="428E2A39" w14:textId="77777777" w:rsidR="00F92E49" w:rsidRPr="00F66CFF" w:rsidRDefault="00F92E49" w:rsidP="00F92E49">
      <w:pPr>
        <w:pStyle w:val="aExamss"/>
        <w:keepNext/>
      </w:pPr>
      <w:r w:rsidRPr="00F66CFF">
        <w:t xml:space="preserve">Trevor decides to take </w:t>
      </w:r>
      <w:r w:rsidR="00C72B92" w:rsidRPr="00F66CFF">
        <w:t>6</w:t>
      </w:r>
      <w:r w:rsidRPr="00F66CFF">
        <w:t>.</w:t>
      </w:r>
      <w:r w:rsidR="00C72B92" w:rsidRPr="00F66CFF">
        <w:t>0669</w:t>
      </w:r>
      <w:r w:rsidRPr="00F66CFF">
        <w:t xml:space="preserve"> weeks long service leave.  The payment for the leave is the total of the following amounts:</w:t>
      </w:r>
    </w:p>
    <w:p w14:paraId="62F6A139" w14:textId="77777777" w:rsidR="00F92E49" w:rsidRPr="00F66CFF" w:rsidRDefault="00F66CFF" w:rsidP="00F66CFF">
      <w:pPr>
        <w:pStyle w:val="aExamBulletss"/>
        <w:tabs>
          <w:tab w:val="left" w:pos="1500"/>
        </w:tabs>
      </w:pPr>
      <w:r w:rsidRPr="00F66CFF">
        <w:rPr>
          <w:rFonts w:ascii="Symbol" w:hAnsi="Symbol"/>
        </w:rPr>
        <w:t></w:t>
      </w:r>
      <w:r w:rsidRPr="00F66CFF">
        <w:rPr>
          <w:rFonts w:ascii="Symbol" w:hAnsi="Symbol"/>
        </w:rPr>
        <w:tab/>
      </w:r>
      <w:r w:rsidR="00F92E49" w:rsidRPr="00F66CFF">
        <w:t xml:space="preserve">the amount calculated under s 4.13 where ‘D’ is </w:t>
      </w:r>
      <w:r w:rsidR="00C72B92" w:rsidRPr="00F66CFF">
        <w:t>1825</w:t>
      </w:r>
      <w:r w:rsidR="00F92E49" w:rsidRPr="00F66CFF">
        <w:t xml:space="preserve"> (ie it took </w:t>
      </w:r>
      <w:r w:rsidR="00C72B92" w:rsidRPr="00F66CFF">
        <w:t>1825</w:t>
      </w:r>
      <w:r w:rsidR="00F92E49" w:rsidRPr="00F66CFF">
        <w:t xml:space="preserve"> days of service as a registered employee to accrue the first </w:t>
      </w:r>
      <w:r w:rsidR="00C72B92" w:rsidRPr="00F66CFF">
        <w:t>4.3335</w:t>
      </w:r>
      <w:r w:rsidR="00F92E49" w:rsidRPr="00F66CFF">
        <w:t xml:space="preserve"> weeks of his long service leave entitlement);</w:t>
      </w:r>
    </w:p>
    <w:p w14:paraId="2A9403B7" w14:textId="77777777" w:rsidR="00F92E49" w:rsidRPr="00F66CFF" w:rsidRDefault="00F66CFF" w:rsidP="00F66CFF">
      <w:pPr>
        <w:pStyle w:val="aExamBulletss"/>
        <w:tabs>
          <w:tab w:val="left" w:pos="1500"/>
        </w:tabs>
      </w:pPr>
      <w:r w:rsidRPr="00F66CFF">
        <w:rPr>
          <w:rFonts w:ascii="Symbol" w:hAnsi="Symbol"/>
        </w:rPr>
        <w:t></w:t>
      </w:r>
      <w:r w:rsidRPr="00F66CFF">
        <w:rPr>
          <w:rFonts w:ascii="Symbol" w:hAnsi="Symbol"/>
        </w:rPr>
        <w:tab/>
      </w:r>
      <w:r w:rsidR="00F92E49" w:rsidRPr="00F66CFF">
        <w:t xml:space="preserve">the amount calculated under s 4.14 which is the total of the amounts paid to the authority under s 56 for his </w:t>
      </w:r>
      <w:r w:rsidR="00C72B92" w:rsidRPr="00F66CFF">
        <w:t>730</w:t>
      </w:r>
      <w:r w:rsidR="00F92E49" w:rsidRPr="00F66CFF">
        <w:t xml:space="preserve"> days work as a registered </w:t>
      </w:r>
      <w:r w:rsidR="00A01CB2" w:rsidRPr="00F66CFF">
        <w:t>voluntary</w:t>
      </w:r>
      <w:r w:rsidR="00C45FBD" w:rsidRPr="00F66CFF">
        <w:t xml:space="preserve"> member</w:t>
      </w:r>
      <w:r w:rsidR="00F92E49" w:rsidRPr="00F66CFF">
        <w:t xml:space="preserve"> (ie it took that period of service as a registered </w:t>
      </w:r>
      <w:r w:rsidR="00A01CB2" w:rsidRPr="00F66CFF">
        <w:t>voluntary</w:t>
      </w:r>
      <w:r w:rsidR="00C45FBD" w:rsidRPr="00F66CFF">
        <w:t xml:space="preserve"> member</w:t>
      </w:r>
      <w:r w:rsidR="00F92E49" w:rsidRPr="00F66CFF">
        <w:t xml:space="preserve"> to accrue the next </w:t>
      </w:r>
      <w:r w:rsidR="00C72B92" w:rsidRPr="00F66CFF">
        <w:t>1</w:t>
      </w:r>
      <w:r w:rsidR="00F92E49" w:rsidRPr="00F66CFF">
        <w:t>.</w:t>
      </w:r>
      <w:r w:rsidR="00C72B92" w:rsidRPr="00F66CFF">
        <w:t>7</w:t>
      </w:r>
      <w:r w:rsidR="00F92E49" w:rsidRPr="00F66CFF">
        <w:t>33</w:t>
      </w:r>
      <w:r w:rsidR="00C72B92" w:rsidRPr="00F66CFF">
        <w:t>4</w:t>
      </w:r>
      <w:r w:rsidR="00F92E49" w:rsidRPr="00F66CFF">
        <w:t> weeks of his long service leave entitlement) and the interest under s 4.14 on those amounts.</w:t>
      </w:r>
    </w:p>
    <w:p w14:paraId="0B5F4E90" w14:textId="77777777" w:rsidR="00C112DD" w:rsidRPr="00F66CFF" w:rsidRDefault="00F66CFF" w:rsidP="00F66CFF">
      <w:pPr>
        <w:pStyle w:val="AH5Sec"/>
        <w:shd w:val="pct25" w:color="auto" w:fill="auto"/>
      </w:pPr>
      <w:bookmarkStart w:id="32" w:name="_Toc22552837"/>
      <w:r w:rsidRPr="00F66CFF">
        <w:rPr>
          <w:rStyle w:val="CharSectNo"/>
        </w:rPr>
        <w:t>30</w:t>
      </w:r>
      <w:r w:rsidRPr="00F66CFF">
        <w:tab/>
      </w:r>
      <w:r w:rsidR="00AD4A2D" w:rsidRPr="00F66CFF">
        <w:t>Leave payments for service as registered</w:t>
      </w:r>
      <w:r w:rsidR="001B6F89" w:rsidRPr="00F66CFF">
        <w:t xml:space="preserve"> employee—security industry</w:t>
      </w:r>
      <w:r w:rsidR="001B6F89" w:rsidRPr="00F66CFF">
        <w:br/>
      </w:r>
      <w:r w:rsidR="00C62044" w:rsidRPr="00F66CFF">
        <w:t xml:space="preserve">Schedule 4, section 4.13, definition of </w:t>
      </w:r>
      <w:r w:rsidR="00C62044" w:rsidRPr="00F66CFF">
        <w:rPr>
          <w:rStyle w:val="charItals"/>
        </w:rPr>
        <w:t>R</w:t>
      </w:r>
      <w:r w:rsidR="00551569" w:rsidRPr="00F66CFF">
        <w:rPr>
          <w:rStyle w:val="charItals"/>
        </w:rPr>
        <w:t xml:space="preserve"> </w:t>
      </w:r>
      <w:r w:rsidR="00551569" w:rsidRPr="00F66CFF">
        <w:t>and example and note</w:t>
      </w:r>
      <w:bookmarkEnd w:id="32"/>
    </w:p>
    <w:p w14:paraId="62559DF0" w14:textId="77777777" w:rsidR="00C62044" w:rsidRPr="00F66CFF" w:rsidRDefault="00C62044" w:rsidP="00C62044">
      <w:pPr>
        <w:pStyle w:val="direction"/>
      </w:pPr>
      <w:r w:rsidRPr="00F66CFF">
        <w:t>substitute</w:t>
      </w:r>
    </w:p>
    <w:p w14:paraId="0998DFCD" w14:textId="77777777" w:rsidR="00C62044" w:rsidRPr="00F66CFF" w:rsidRDefault="00C62044" w:rsidP="00F66CFF">
      <w:pPr>
        <w:pStyle w:val="aDef"/>
      </w:pPr>
      <w:r w:rsidRPr="00F66CFF">
        <w:rPr>
          <w:rStyle w:val="charBoldItals"/>
        </w:rPr>
        <w:t>R</w:t>
      </w:r>
      <w:r w:rsidRPr="00F66CFF">
        <w:t xml:space="preserve"> is—</w:t>
      </w:r>
    </w:p>
    <w:p w14:paraId="48CE6642" w14:textId="23600889" w:rsidR="00C62044" w:rsidRPr="00F66CFF" w:rsidRDefault="00C62044" w:rsidP="00C62044">
      <w:pPr>
        <w:pStyle w:val="Idefpara"/>
      </w:pPr>
      <w:r w:rsidRPr="00F66CFF">
        <w:tab/>
        <w:t>(a)</w:t>
      </w:r>
      <w:r w:rsidRPr="00F66CFF">
        <w:tab/>
        <w:t>if the registered worker is receiving compensation under the</w:t>
      </w:r>
      <w:r w:rsidR="009443CE" w:rsidRPr="00F66CFF">
        <w:t xml:space="preserve"> </w:t>
      </w:r>
      <w:hyperlink r:id="rId29" w:tooltip="A1951-2" w:history="1">
        <w:r w:rsidR="00BE53B4" w:rsidRPr="00F66CFF">
          <w:rPr>
            <w:rStyle w:val="charCitHyperlinkItal"/>
          </w:rPr>
          <w:t>Workers Compensation Act 1951</w:t>
        </w:r>
      </w:hyperlink>
      <w:r w:rsidRPr="00F66CFF">
        <w:t>—the weekly average of the ordinary remuneration received by the worker during the 4 quarters before the injury to which the compensation relates happened; or</w:t>
      </w:r>
    </w:p>
    <w:p w14:paraId="3135C0F4" w14:textId="77777777" w:rsidR="00C62044" w:rsidRPr="00F66CFF" w:rsidRDefault="00C62044" w:rsidP="00C62044">
      <w:pPr>
        <w:pStyle w:val="Idefpara"/>
      </w:pPr>
      <w:r w:rsidRPr="00F66CFF">
        <w:lastRenderedPageBreak/>
        <w:tab/>
        <w:t>(b)</w:t>
      </w:r>
      <w:r w:rsidRPr="00F66CFF">
        <w:tab/>
        <w:t>in any other case—the highest of the weekly averages of the ordinary remuneration received by the registered worker during each of the following periods that applies to the worker:</w:t>
      </w:r>
    </w:p>
    <w:p w14:paraId="76381559" w14:textId="77777777" w:rsidR="00C62044" w:rsidRPr="00F66CFF" w:rsidRDefault="00C62044" w:rsidP="00C62044">
      <w:pPr>
        <w:pStyle w:val="Idefsubpara"/>
      </w:pPr>
      <w:r w:rsidRPr="00F66CFF">
        <w:tab/>
        <w:t>(i)</w:t>
      </w:r>
      <w:r w:rsidRPr="00F66CFF">
        <w:tab/>
        <w:t xml:space="preserve">the most recent 2 quarters of service as a registered employee before the designated day; </w:t>
      </w:r>
    </w:p>
    <w:p w14:paraId="6097E6D3" w14:textId="77777777" w:rsidR="00C62044" w:rsidRPr="00F66CFF" w:rsidRDefault="00C62044" w:rsidP="00C62044">
      <w:pPr>
        <w:pStyle w:val="Idefsubpara"/>
      </w:pPr>
      <w:r w:rsidRPr="00F66CFF">
        <w:tab/>
        <w:t>(ii)</w:t>
      </w:r>
      <w:r w:rsidRPr="00F66CFF">
        <w:tab/>
        <w:t>the most recent 4 quarters of service as a registered employee before the designated day;</w:t>
      </w:r>
    </w:p>
    <w:p w14:paraId="3E7F1148" w14:textId="77777777" w:rsidR="00C62044" w:rsidRPr="00F66CFF" w:rsidRDefault="00C62044" w:rsidP="00C62044">
      <w:pPr>
        <w:pStyle w:val="Idefsubpara"/>
      </w:pPr>
      <w:r w:rsidRPr="00F66CFF">
        <w:tab/>
        <w:t>(iii)</w:t>
      </w:r>
      <w:r w:rsidRPr="00F66CFF">
        <w:tab/>
        <w:t>the most recent 20 quarters of service as a registered worker before the designated day.</w:t>
      </w:r>
    </w:p>
    <w:p w14:paraId="2BC6CED3" w14:textId="77777777" w:rsidR="00C62044" w:rsidRPr="00F66CFF" w:rsidRDefault="00C62044" w:rsidP="00C62044">
      <w:pPr>
        <w:pStyle w:val="aExamHdgss"/>
      </w:pPr>
      <w:r w:rsidRPr="00F66CFF">
        <w:t>Example—</w:t>
      </w:r>
      <w:r w:rsidRPr="00F66CFF">
        <w:rPr>
          <w:rStyle w:val="charItals"/>
        </w:rPr>
        <w:t>R</w:t>
      </w:r>
      <w:r w:rsidR="00315B10" w:rsidRPr="00F66CFF">
        <w:t>, par (b)</w:t>
      </w:r>
    </w:p>
    <w:p w14:paraId="04F93C10" w14:textId="77777777" w:rsidR="00C62044" w:rsidRPr="00F66CFF" w:rsidRDefault="0000557B" w:rsidP="00C62044">
      <w:pPr>
        <w:pStyle w:val="aExamss"/>
      </w:pPr>
      <w:r w:rsidRPr="00F66CFF">
        <w:t>Danijela</w:t>
      </w:r>
      <w:r w:rsidR="00C62044" w:rsidRPr="00F66CFF">
        <w:t xml:space="preserve"> has worked in the security industry for 5 years.  The periods in par (b) (i), (ii) and (iii) apply to </w:t>
      </w:r>
      <w:r w:rsidRPr="00F66CFF">
        <w:t>Danijela</w:t>
      </w:r>
      <w:r w:rsidR="00C62044" w:rsidRPr="00F66CFF">
        <w:t xml:space="preserve"> because </w:t>
      </w:r>
      <w:r w:rsidRPr="00F66CFF">
        <w:t>s</w:t>
      </w:r>
      <w:r w:rsidR="00C62044" w:rsidRPr="00F66CFF">
        <w:t>he has completed more than 20 quarters (or 5 years) relevant service.</w:t>
      </w:r>
    </w:p>
    <w:p w14:paraId="6881E942" w14:textId="77777777" w:rsidR="00C62044" w:rsidRPr="00F66CFF" w:rsidRDefault="0000557B" w:rsidP="00C62044">
      <w:pPr>
        <w:pStyle w:val="aExamss"/>
      </w:pPr>
      <w:r w:rsidRPr="00F66CFF">
        <w:t>Danijela</w:t>
      </w:r>
      <w:r w:rsidR="00C62044" w:rsidRPr="00F66CFF">
        <w:t>’s average weekly income for the 2 quarters before the designated day is $283.  H</w:t>
      </w:r>
      <w:r w:rsidRPr="00F66CFF">
        <w:t>er</w:t>
      </w:r>
      <w:r w:rsidR="00C62044" w:rsidRPr="00F66CFF">
        <w:t xml:space="preserve"> weekly averages for the 4 and 20 quarters before the designated day are $427 and $375, respectively.  Accordingly, </w:t>
      </w:r>
      <w:r w:rsidR="001B6F89" w:rsidRPr="00F66CFF">
        <w:t>‘R’</w:t>
      </w:r>
      <w:r w:rsidR="00C62044" w:rsidRPr="00F66CFF">
        <w:t xml:space="preserve"> is $427 because it is the highest of the weekly averages.</w:t>
      </w:r>
    </w:p>
    <w:p w14:paraId="5ADE72B3" w14:textId="77777777" w:rsidR="00BB3CC4" w:rsidRPr="00F66CFF" w:rsidRDefault="00F66CFF" w:rsidP="00F66CFF">
      <w:pPr>
        <w:pStyle w:val="AH5Sec"/>
        <w:shd w:val="pct25" w:color="auto" w:fill="auto"/>
      </w:pPr>
      <w:bookmarkStart w:id="33" w:name="_Toc22552838"/>
      <w:r w:rsidRPr="00F66CFF">
        <w:rPr>
          <w:rStyle w:val="CharSectNo"/>
        </w:rPr>
        <w:t>31</w:t>
      </w:r>
      <w:r w:rsidRPr="00F66CFF">
        <w:tab/>
      </w:r>
      <w:r w:rsidR="001B6F89" w:rsidRPr="00F66CFF">
        <w:t>Leave payments for service as registered contractor—security industry</w:t>
      </w:r>
      <w:r w:rsidR="001B6F89" w:rsidRPr="00F66CFF">
        <w:br/>
      </w:r>
      <w:r w:rsidR="00BB3CC4" w:rsidRPr="00F66CFF">
        <w:t>Schedule 4, new section 4.14 (4)</w:t>
      </w:r>
      <w:bookmarkEnd w:id="33"/>
    </w:p>
    <w:p w14:paraId="22E3222F" w14:textId="77777777" w:rsidR="00BB3CC4" w:rsidRPr="00F66CFF" w:rsidRDefault="00BB3CC4" w:rsidP="00BB3CC4">
      <w:pPr>
        <w:pStyle w:val="direction"/>
      </w:pPr>
      <w:r w:rsidRPr="00F66CFF">
        <w:t>insert</w:t>
      </w:r>
    </w:p>
    <w:p w14:paraId="7EA320CA" w14:textId="77777777" w:rsidR="00BB3CC4" w:rsidRPr="00F66CFF" w:rsidRDefault="00BB3CC4" w:rsidP="00BB3CC4">
      <w:pPr>
        <w:pStyle w:val="ISchMain"/>
      </w:pPr>
      <w:r w:rsidRPr="00F66CFF">
        <w:tab/>
        <w:t>(4)</w:t>
      </w:r>
      <w:r w:rsidRPr="00F66CFF">
        <w:tab/>
        <w:t>In this section:</w:t>
      </w:r>
    </w:p>
    <w:p w14:paraId="532DDCAB" w14:textId="77777777" w:rsidR="00BB3CC4" w:rsidRPr="00F66CFF" w:rsidRDefault="00BB3CC4" w:rsidP="00F66CFF">
      <w:pPr>
        <w:pStyle w:val="aDef"/>
      </w:pPr>
      <w:r w:rsidRPr="00F66CFF">
        <w:rPr>
          <w:rStyle w:val="charBoldItals"/>
        </w:rPr>
        <w:t>designated day</w:t>
      </w:r>
      <w:r w:rsidRPr="00F66CFF">
        <w:t xml:space="preserve"> means—</w:t>
      </w:r>
    </w:p>
    <w:p w14:paraId="21776C8E" w14:textId="77777777" w:rsidR="00BB3CC4" w:rsidRPr="00F66CFF" w:rsidRDefault="00BB3CC4" w:rsidP="00BB3CC4">
      <w:pPr>
        <w:pStyle w:val="Idefpara"/>
      </w:pPr>
      <w:r w:rsidRPr="00F66CFF">
        <w:tab/>
        <w:t>(a)</w:t>
      </w:r>
      <w:r w:rsidRPr="00F66CFF">
        <w:tab/>
        <w:t>if the registered worker is taking long service leave—the day the leave begins; and</w:t>
      </w:r>
    </w:p>
    <w:p w14:paraId="7D8C54A8" w14:textId="77777777" w:rsidR="00BB3CC4" w:rsidRPr="00F66CFF" w:rsidRDefault="00BB3CC4" w:rsidP="00BB3CC4">
      <w:pPr>
        <w:pStyle w:val="Idefpara"/>
      </w:pPr>
      <w:r w:rsidRPr="00F66CFF">
        <w:tab/>
        <w:t>(b)</w:t>
      </w:r>
      <w:r w:rsidRPr="00F66CFF">
        <w:tab/>
        <w:t>if the registered worker is being paid instead of taking long service leave—the day the payment is made.</w:t>
      </w:r>
    </w:p>
    <w:p w14:paraId="0B989F67" w14:textId="77777777" w:rsidR="009D1591" w:rsidRPr="00F66CFF" w:rsidRDefault="00F66CFF" w:rsidP="00F66CFF">
      <w:pPr>
        <w:pStyle w:val="AH5Sec"/>
        <w:shd w:val="pct25" w:color="auto" w:fill="auto"/>
      </w:pPr>
      <w:bookmarkStart w:id="34" w:name="_Toc22552839"/>
      <w:r w:rsidRPr="00F66CFF">
        <w:rPr>
          <w:rStyle w:val="CharSectNo"/>
        </w:rPr>
        <w:lastRenderedPageBreak/>
        <w:t>32</w:t>
      </w:r>
      <w:r w:rsidRPr="00F66CFF">
        <w:tab/>
      </w:r>
      <w:r w:rsidR="001D5A44" w:rsidRPr="00F66CFF">
        <w:t>Reviewable decisions</w:t>
      </w:r>
      <w:r w:rsidR="001D5A44" w:rsidRPr="00F66CFF">
        <w:br/>
      </w:r>
      <w:r w:rsidR="009D1591" w:rsidRPr="00F66CFF">
        <w:t>Schedule 5</w:t>
      </w:r>
      <w:r w:rsidR="001D5A44" w:rsidRPr="00F66CFF">
        <w:t>, item</w:t>
      </w:r>
      <w:r w:rsidR="00A10B39" w:rsidRPr="00F66CFF">
        <w:t>s 9 and</w:t>
      </w:r>
      <w:r w:rsidR="001D5A44" w:rsidRPr="00F66CFF">
        <w:t xml:space="preserve"> 10</w:t>
      </w:r>
      <w:bookmarkEnd w:id="34"/>
    </w:p>
    <w:p w14:paraId="7927FB52" w14:textId="77777777" w:rsidR="001D5A44" w:rsidRPr="00F66CFF" w:rsidRDefault="001D5A44" w:rsidP="001D5A44">
      <w:pPr>
        <w:pStyle w:val="direction"/>
      </w:pPr>
      <w:r w:rsidRPr="00F66CFF">
        <w:t>substitute</w:t>
      </w:r>
    </w:p>
    <w:tbl>
      <w:tblPr>
        <w:tblW w:w="7673"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200"/>
        <w:gridCol w:w="1680"/>
        <w:gridCol w:w="1800"/>
        <w:gridCol w:w="1803"/>
        <w:gridCol w:w="1190"/>
      </w:tblGrid>
      <w:tr w:rsidR="001D5A44" w:rsidRPr="00F66CFF" w14:paraId="58AA37C8" w14:textId="77777777" w:rsidTr="001D5A44">
        <w:trPr>
          <w:cantSplit/>
        </w:trPr>
        <w:tc>
          <w:tcPr>
            <w:tcW w:w="1200" w:type="dxa"/>
            <w:tcBorders>
              <w:top w:val="single" w:sz="4" w:space="0" w:color="C0C0C0"/>
              <w:left w:val="single" w:sz="4" w:space="0" w:color="C0C0C0"/>
              <w:bottom w:val="single" w:sz="4" w:space="0" w:color="C0C0C0"/>
              <w:right w:val="single" w:sz="4" w:space="0" w:color="C0C0C0"/>
            </w:tcBorders>
          </w:tcPr>
          <w:p w14:paraId="0DE16EE1" w14:textId="77777777" w:rsidR="001D5A44" w:rsidRPr="00F66CFF" w:rsidRDefault="001D5A44" w:rsidP="00697D73">
            <w:pPr>
              <w:pStyle w:val="TableText"/>
              <w:rPr>
                <w:sz w:val="22"/>
                <w:szCs w:val="22"/>
              </w:rPr>
            </w:pPr>
            <w:r w:rsidRPr="00F66CFF">
              <w:rPr>
                <w:sz w:val="22"/>
                <w:szCs w:val="22"/>
              </w:rPr>
              <w:t>9</w:t>
            </w:r>
          </w:p>
        </w:tc>
        <w:tc>
          <w:tcPr>
            <w:tcW w:w="1680" w:type="dxa"/>
            <w:tcBorders>
              <w:top w:val="single" w:sz="4" w:space="0" w:color="C0C0C0"/>
              <w:left w:val="single" w:sz="4" w:space="0" w:color="C0C0C0"/>
              <w:bottom w:val="single" w:sz="4" w:space="0" w:color="C0C0C0"/>
              <w:right w:val="single" w:sz="4" w:space="0" w:color="C0C0C0"/>
            </w:tcBorders>
          </w:tcPr>
          <w:p w14:paraId="1C676B68" w14:textId="77777777" w:rsidR="001D5A44" w:rsidRPr="00F66CFF" w:rsidRDefault="001D5A44" w:rsidP="00697D73">
            <w:pPr>
              <w:pStyle w:val="TableText"/>
              <w:rPr>
                <w:sz w:val="22"/>
                <w:szCs w:val="22"/>
              </w:rPr>
            </w:pPr>
            <w:r w:rsidRPr="00F66CFF">
              <w:rPr>
                <w:sz w:val="22"/>
                <w:szCs w:val="22"/>
              </w:rPr>
              <w:t>49 (2) (b) (ii)</w:t>
            </w:r>
          </w:p>
        </w:tc>
        <w:tc>
          <w:tcPr>
            <w:tcW w:w="1800" w:type="dxa"/>
            <w:tcBorders>
              <w:top w:val="single" w:sz="4" w:space="0" w:color="C0C0C0"/>
              <w:left w:val="single" w:sz="4" w:space="0" w:color="C0C0C0"/>
              <w:bottom w:val="single" w:sz="4" w:space="0" w:color="C0C0C0"/>
              <w:right w:val="single" w:sz="4" w:space="0" w:color="C0C0C0"/>
            </w:tcBorders>
          </w:tcPr>
          <w:p w14:paraId="46903B10" w14:textId="77777777" w:rsidR="001D5A44" w:rsidRPr="00F66CFF" w:rsidRDefault="001D5A44" w:rsidP="00697D73">
            <w:pPr>
              <w:pStyle w:val="TableText"/>
              <w:rPr>
                <w:sz w:val="22"/>
                <w:szCs w:val="22"/>
              </w:rPr>
            </w:pPr>
            <w:r w:rsidRPr="00F66CFF">
              <w:rPr>
                <w:sz w:val="22"/>
                <w:szCs w:val="22"/>
              </w:rPr>
              <w:t>refuse to allow employer additional time for giving return to authority</w:t>
            </w:r>
          </w:p>
        </w:tc>
        <w:tc>
          <w:tcPr>
            <w:tcW w:w="1803" w:type="dxa"/>
            <w:tcBorders>
              <w:top w:val="single" w:sz="4" w:space="0" w:color="C0C0C0"/>
              <w:left w:val="single" w:sz="4" w:space="0" w:color="C0C0C0"/>
              <w:bottom w:val="single" w:sz="4" w:space="0" w:color="C0C0C0"/>
              <w:right w:val="single" w:sz="4" w:space="0" w:color="C0C0C0"/>
            </w:tcBorders>
          </w:tcPr>
          <w:p w14:paraId="2636BD31" w14:textId="77777777" w:rsidR="001D5A44" w:rsidRPr="00F66CFF" w:rsidRDefault="001D5A44" w:rsidP="00697D73">
            <w:pPr>
              <w:pStyle w:val="TableText"/>
              <w:rPr>
                <w:sz w:val="22"/>
                <w:szCs w:val="22"/>
              </w:rPr>
            </w:pPr>
            <w:r w:rsidRPr="00F66CFF">
              <w:rPr>
                <w:sz w:val="22"/>
                <w:szCs w:val="22"/>
              </w:rPr>
              <w:t>employer</w:t>
            </w:r>
          </w:p>
        </w:tc>
        <w:tc>
          <w:tcPr>
            <w:tcW w:w="1190" w:type="dxa"/>
            <w:tcBorders>
              <w:top w:val="single" w:sz="4" w:space="0" w:color="C0C0C0"/>
              <w:left w:val="single" w:sz="4" w:space="0" w:color="C0C0C0"/>
              <w:bottom w:val="single" w:sz="4" w:space="0" w:color="C0C0C0"/>
              <w:right w:val="single" w:sz="4" w:space="0" w:color="C0C0C0"/>
            </w:tcBorders>
          </w:tcPr>
          <w:p w14:paraId="1D04B541" w14:textId="77777777" w:rsidR="001D5A44" w:rsidRPr="00F66CFF" w:rsidRDefault="001D5A44" w:rsidP="00697D73">
            <w:pPr>
              <w:pStyle w:val="TableText"/>
              <w:rPr>
                <w:sz w:val="22"/>
                <w:szCs w:val="22"/>
              </w:rPr>
            </w:pPr>
            <w:r w:rsidRPr="00F66CFF">
              <w:rPr>
                <w:sz w:val="22"/>
                <w:szCs w:val="22"/>
              </w:rPr>
              <w:t>registrar</w:t>
            </w:r>
          </w:p>
        </w:tc>
      </w:tr>
      <w:tr w:rsidR="001D5A44" w:rsidRPr="00F66CFF" w14:paraId="0140A862" w14:textId="77777777" w:rsidTr="00697D73">
        <w:trPr>
          <w:cantSplit/>
        </w:trPr>
        <w:tc>
          <w:tcPr>
            <w:tcW w:w="1200" w:type="dxa"/>
          </w:tcPr>
          <w:p w14:paraId="152AE434" w14:textId="77777777" w:rsidR="001D5A44" w:rsidRPr="00F66CFF" w:rsidRDefault="001D5A44" w:rsidP="00697D73">
            <w:pPr>
              <w:pStyle w:val="TableText"/>
              <w:rPr>
                <w:sz w:val="22"/>
                <w:szCs w:val="22"/>
              </w:rPr>
            </w:pPr>
            <w:r w:rsidRPr="00F66CFF">
              <w:rPr>
                <w:sz w:val="22"/>
                <w:szCs w:val="22"/>
              </w:rPr>
              <w:t>9A</w:t>
            </w:r>
          </w:p>
        </w:tc>
        <w:tc>
          <w:tcPr>
            <w:tcW w:w="1680" w:type="dxa"/>
          </w:tcPr>
          <w:p w14:paraId="29814BA0" w14:textId="77777777" w:rsidR="001D5A44" w:rsidRPr="00F66CFF" w:rsidRDefault="001D5A44" w:rsidP="00697D73">
            <w:pPr>
              <w:pStyle w:val="TableText"/>
              <w:rPr>
                <w:sz w:val="22"/>
                <w:szCs w:val="22"/>
              </w:rPr>
            </w:pPr>
            <w:r w:rsidRPr="00F66CFF">
              <w:rPr>
                <w:sz w:val="22"/>
                <w:szCs w:val="22"/>
              </w:rPr>
              <w:t>49A (1) (b)</w:t>
            </w:r>
          </w:p>
        </w:tc>
        <w:tc>
          <w:tcPr>
            <w:tcW w:w="1800" w:type="dxa"/>
          </w:tcPr>
          <w:p w14:paraId="603EFD75" w14:textId="77777777" w:rsidR="001D5A44" w:rsidRPr="00F66CFF" w:rsidRDefault="001D5A44" w:rsidP="00697D73">
            <w:pPr>
              <w:pStyle w:val="TableText"/>
              <w:rPr>
                <w:sz w:val="22"/>
                <w:szCs w:val="22"/>
              </w:rPr>
            </w:pPr>
            <w:r w:rsidRPr="00F66CFF">
              <w:rPr>
                <w:sz w:val="22"/>
                <w:szCs w:val="22"/>
              </w:rPr>
              <w:t>refuse to allow employer additional time for giving return to authority</w:t>
            </w:r>
          </w:p>
        </w:tc>
        <w:tc>
          <w:tcPr>
            <w:tcW w:w="1803" w:type="dxa"/>
          </w:tcPr>
          <w:p w14:paraId="6B8E6484" w14:textId="77777777" w:rsidR="001D5A44" w:rsidRPr="00F66CFF" w:rsidRDefault="001D5A44" w:rsidP="00697D73">
            <w:pPr>
              <w:pStyle w:val="TableText"/>
              <w:rPr>
                <w:sz w:val="22"/>
                <w:szCs w:val="22"/>
              </w:rPr>
            </w:pPr>
            <w:r w:rsidRPr="00F66CFF">
              <w:rPr>
                <w:sz w:val="22"/>
                <w:szCs w:val="22"/>
              </w:rPr>
              <w:t>employer</w:t>
            </w:r>
          </w:p>
        </w:tc>
        <w:tc>
          <w:tcPr>
            <w:tcW w:w="1190" w:type="dxa"/>
          </w:tcPr>
          <w:p w14:paraId="50B31530" w14:textId="77777777" w:rsidR="001D5A44" w:rsidRPr="00F66CFF" w:rsidRDefault="001D5A44" w:rsidP="00697D73">
            <w:pPr>
              <w:pStyle w:val="TableText"/>
              <w:rPr>
                <w:sz w:val="22"/>
                <w:szCs w:val="22"/>
              </w:rPr>
            </w:pPr>
            <w:r w:rsidRPr="00F66CFF">
              <w:rPr>
                <w:sz w:val="22"/>
                <w:szCs w:val="22"/>
              </w:rPr>
              <w:t>registrar</w:t>
            </w:r>
          </w:p>
        </w:tc>
      </w:tr>
      <w:tr w:rsidR="001D5A44" w:rsidRPr="00F66CFF" w14:paraId="260B9A46" w14:textId="77777777" w:rsidTr="00697D73">
        <w:trPr>
          <w:cantSplit/>
        </w:trPr>
        <w:tc>
          <w:tcPr>
            <w:tcW w:w="1200" w:type="dxa"/>
          </w:tcPr>
          <w:p w14:paraId="28887831" w14:textId="77777777" w:rsidR="001D5A44" w:rsidRPr="00F66CFF" w:rsidRDefault="00551569" w:rsidP="00697D73">
            <w:pPr>
              <w:pStyle w:val="TableText"/>
              <w:rPr>
                <w:sz w:val="22"/>
                <w:szCs w:val="22"/>
              </w:rPr>
            </w:pPr>
            <w:r w:rsidRPr="00F66CFF">
              <w:rPr>
                <w:sz w:val="22"/>
                <w:szCs w:val="22"/>
              </w:rPr>
              <w:t>9B</w:t>
            </w:r>
          </w:p>
        </w:tc>
        <w:tc>
          <w:tcPr>
            <w:tcW w:w="1680" w:type="dxa"/>
          </w:tcPr>
          <w:p w14:paraId="1677B94F" w14:textId="77777777" w:rsidR="001D5A44" w:rsidRPr="00F66CFF" w:rsidRDefault="001D5A44" w:rsidP="00697D73">
            <w:pPr>
              <w:pStyle w:val="TableText"/>
              <w:rPr>
                <w:sz w:val="22"/>
                <w:szCs w:val="22"/>
              </w:rPr>
            </w:pPr>
            <w:r w:rsidRPr="00F66CFF">
              <w:rPr>
                <w:sz w:val="22"/>
                <w:szCs w:val="22"/>
              </w:rPr>
              <w:t>49A (3)</w:t>
            </w:r>
          </w:p>
        </w:tc>
        <w:tc>
          <w:tcPr>
            <w:tcW w:w="1800" w:type="dxa"/>
          </w:tcPr>
          <w:p w14:paraId="0A0CD1F3" w14:textId="77777777" w:rsidR="001D5A44" w:rsidRPr="00F66CFF" w:rsidRDefault="001D5A44" w:rsidP="00697D73">
            <w:pPr>
              <w:pStyle w:val="TableText"/>
              <w:rPr>
                <w:sz w:val="22"/>
                <w:szCs w:val="22"/>
              </w:rPr>
            </w:pPr>
            <w:r w:rsidRPr="00F66CFF">
              <w:rPr>
                <w:sz w:val="22"/>
                <w:szCs w:val="22"/>
              </w:rPr>
              <w:t xml:space="preserve">refuse to </w:t>
            </w:r>
            <w:r w:rsidR="00551569" w:rsidRPr="00F66CFF">
              <w:rPr>
                <w:sz w:val="22"/>
                <w:szCs w:val="22"/>
              </w:rPr>
              <w:t>waive</w:t>
            </w:r>
            <w:r w:rsidRPr="00F66CFF">
              <w:rPr>
                <w:sz w:val="22"/>
                <w:szCs w:val="22"/>
              </w:rPr>
              <w:t xml:space="preserve"> all or part of </w:t>
            </w:r>
            <w:r w:rsidR="00551569" w:rsidRPr="00F66CFF">
              <w:rPr>
                <w:sz w:val="22"/>
                <w:szCs w:val="22"/>
              </w:rPr>
              <w:t>late fee payable by</w:t>
            </w:r>
            <w:r w:rsidRPr="00F66CFF">
              <w:rPr>
                <w:sz w:val="22"/>
                <w:szCs w:val="22"/>
              </w:rPr>
              <w:t xml:space="preserve"> employer</w:t>
            </w:r>
          </w:p>
        </w:tc>
        <w:tc>
          <w:tcPr>
            <w:tcW w:w="1803" w:type="dxa"/>
          </w:tcPr>
          <w:p w14:paraId="28DF02A0" w14:textId="77777777" w:rsidR="001D5A44" w:rsidRPr="00F66CFF" w:rsidRDefault="001D5A44" w:rsidP="00697D73">
            <w:pPr>
              <w:pStyle w:val="TableText"/>
              <w:rPr>
                <w:sz w:val="22"/>
                <w:szCs w:val="22"/>
              </w:rPr>
            </w:pPr>
            <w:r w:rsidRPr="00F66CFF">
              <w:rPr>
                <w:sz w:val="22"/>
                <w:szCs w:val="22"/>
              </w:rPr>
              <w:t>employer</w:t>
            </w:r>
          </w:p>
        </w:tc>
        <w:tc>
          <w:tcPr>
            <w:tcW w:w="1190" w:type="dxa"/>
          </w:tcPr>
          <w:p w14:paraId="0E747DD2" w14:textId="77777777" w:rsidR="001D5A44" w:rsidRPr="00F66CFF" w:rsidRDefault="001D5A44" w:rsidP="00697D73">
            <w:pPr>
              <w:pStyle w:val="TableText"/>
              <w:rPr>
                <w:sz w:val="22"/>
                <w:szCs w:val="22"/>
              </w:rPr>
            </w:pPr>
            <w:r w:rsidRPr="00F66CFF">
              <w:rPr>
                <w:sz w:val="22"/>
                <w:szCs w:val="22"/>
              </w:rPr>
              <w:t>registrar</w:t>
            </w:r>
          </w:p>
        </w:tc>
      </w:tr>
      <w:tr w:rsidR="00551569" w:rsidRPr="00F66CFF" w14:paraId="64F9C5CB" w14:textId="77777777" w:rsidTr="00697D73">
        <w:trPr>
          <w:cantSplit/>
        </w:trPr>
        <w:tc>
          <w:tcPr>
            <w:tcW w:w="1200" w:type="dxa"/>
          </w:tcPr>
          <w:p w14:paraId="262A3B5F" w14:textId="77777777" w:rsidR="00551569" w:rsidRPr="00F66CFF" w:rsidRDefault="00551569" w:rsidP="00697D73">
            <w:pPr>
              <w:pStyle w:val="TableText"/>
              <w:rPr>
                <w:sz w:val="22"/>
                <w:szCs w:val="22"/>
              </w:rPr>
            </w:pPr>
            <w:r w:rsidRPr="00F66CFF">
              <w:rPr>
                <w:sz w:val="22"/>
                <w:szCs w:val="22"/>
              </w:rPr>
              <w:t>10</w:t>
            </w:r>
          </w:p>
        </w:tc>
        <w:tc>
          <w:tcPr>
            <w:tcW w:w="1680" w:type="dxa"/>
          </w:tcPr>
          <w:p w14:paraId="3D3475BB" w14:textId="77777777" w:rsidR="00551569" w:rsidRPr="00F66CFF" w:rsidRDefault="00551569" w:rsidP="00697D73">
            <w:pPr>
              <w:pStyle w:val="TableText"/>
              <w:rPr>
                <w:sz w:val="22"/>
                <w:szCs w:val="22"/>
              </w:rPr>
            </w:pPr>
            <w:r w:rsidRPr="00F66CFF">
              <w:rPr>
                <w:sz w:val="22"/>
                <w:szCs w:val="22"/>
              </w:rPr>
              <w:t>52 (3)</w:t>
            </w:r>
          </w:p>
        </w:tc>
        <w:tc>
          <w:tcPr>
            <w:tcW w:w="1800" w:type="dxa"/>
          </w:tcPr>
          <w:p w14:paraId="20954A55" w14:textId="77777777" w:rsidR="00551569" w:rsidRPr="00F66CFF" w:rsidRDefault="00551569" w:rsidP="00697D73">
            <w:pPr>
              <w:pStyle w:val="TableText"/>
              <w:rPr>
                <w:sz w:val="22"/>
                <w:szCs w:val="22"/>
              </w:rPr>
            </w:pPr>
            <w:r w:rsidRPr="00F66CFF">
              <w:rPr>
                <w:sz w:val="22"/>
                <w:szCs w:val="22"/>
              </w:rPr>
              <w:t>refuse to waive all or part of interest payable by employer</w:t>
            </w:r>
          </w:p>
        </w:tc>
        <w:tc>
          <w:tcPr>
            <w:tcW w:w="1803" w:type="dxa"/>
          </w:tcPr>
          <w:p w14:paraId="1A51744D" w14:textId="77777777" w:rsidR="00551569" w:rsidRPr="00F66CFF" w:rsidRDefault="00551569" w:rsidP="00697D73">
            <w:pPr>
              <w:pStyle w:val="TableText"/>
              <w:rPr>
                <w:sz w:val="22"/>
                <w:szCs w:val="22"/>
              </w:rPr>
            </w:pPr>
            <w:r w:rsidRPr="00F66CFF">
              <w:rPr>
                <w:sz w:val="22"/>
                <w:szCs w:val="22"/>
              </w:rPr>
              <w:t>employer</w:t>
            </w:r>
          </w:p>
        </w:tc>
        <w:tc>
          <w:tcPr>
            <w:tcW w:w="1190" w:type="dxa"/>
          </w:tcPr>
          <w:p w14:paraId="41E76425" w14:textId="77777777" w:rsidR="00551569" w:rsidRPr="00F66CFF" w:rsidRDefault="00551569" w:rsidP="00697D73">
            <w:pPr>
              <w:pStyle w:val="TableText"/>
              <w:rPr>
                <w:sz w:val="22"/>
                <w:szCs w:val="22"/>
              </w:rPr>
            </w:pPr>
            <w:r w:rsidRPr="00F66CFF">
              <w:rPr>
                <w:sz w:val="22"/>
                <w:szCs w:val="22"/>
              </w:rPr>
              <w:t>registrar</w:t>
            </w:r>
          </w:p>
        </w:tc>
      </w:tr>
    </w:tbl>
    <w:p w14:paraId="5D25DB3B" w14:textId="77777777" w:rsidR="001D5164" w:rsidRPr="00F66CFF" w:rsidRDefault="00F66CFF" w:rsidP="00F66CFF">
      <w:pPr>
        <w:pStyle w:val="AH5Sec"/>
        <w:shd w:val="pct25" w:color="auto" w:fill="auto"/>
      </w:pPr>
      <w:bookmarkStart w:id="35" w:name="_Toc22552840"/>
      <w:r w:rsidRPr="00F66CFF">
        <w:rPr>
          <w:rStyle w:val="CharSectNo"/>
        </w:rPr>
        <w:t>33</w:t>
      </w:r>
      <w:r w:rsidRPr="00F66CFF">
        <w:tab/>
      </w:r>
      <w:r w:rsidR="001D5164" w:rsidRPr="00F66CFF">
        <w:t xml:space="preserve">Dictionary, definition of </w:t>
      </w:r>
      <w:r w:rsidR="001D5164" w:rsidRPr="00F66CFF">
        <w:rPr>
          <w:rStyle w:val="charItals"/>
        </w:rPr>
        <w:t>contractor</w:t>
      </w:r>
      <w:bookmarkEnd w:id="35"/>
    </w:p>
    <w:p w14:paraId="10584226" w14:textId="77777777" w:rsidR="001D5164" w:rsidRPr="00F66CFF" w:rsidRDefault="001D5164" w:rsidP="001D5164">
      <w:pPr>
        <w:pStyle w:val="direction"/>
      </w:pPr>
      <w:r w:rsidRPr="00F66CFF">
        <w:t>omit</w:t>
      </w:r>
    </w:p>
    <w:p w14:paraId="24EE6BDF" w14:textId="77777777" w:rsidR="008337C1" w:rsidRPr="00F66CFF" w:rsidRDefault="00F66CFF" w:rsidP="00F66CFF">
      <w:pPr>
        <w:pStyle w:val="AH5Sec"/>
        <w:shd w:val="pct25" w:color="auto" w:fill="auto"/>
      </w:pPr>
      <w:bookmarkStart w:id="36" w:name="_Toc22552841"/>
      <w:r w:rsidRPr="00F66CFF">
        <w:rPr>
          <w:rStyle w:val="CharSectNo"/>
        </w:rPr>
        <w:t>34</w:t>
      </w:r>
      <w:r w:rsidRPr="00F66CFF">
        <w:tab/>
      </w:r>
      <w:r w:rsidR="008337C1" w:rsidRPr="00F66CFF">
        <w:t xml:space="preserve">Dictionary, new definition of </w:t>
      </w:r>
      <w:r w:rsidR="00A01CB2" w:rsidRPr="00F66CFF">
        <w:rPr>
          <w:rStyle w:val="charItals"/>
        </w:rPr>
        <w:t>voluntary</w:t>
      </w:r>
      <w:r w:rsidR="008337C1" w:rsidRPr="00F66CFF">
        <w:rPr>
          <w:rStyle w:val="charItals"/>
        </w:rPr>
        <w:t xml:space="preserve"> member</w:t>
      </w:r>
      <w:bookmarkEnd w:id="36"/>
    </w:p>
    <w:p w14:paraId="69AD0919" w14:textId="77777777" w:rsidR="008337C1" w:rsidRPr="00F66CFF" w:rsidRDefault="008337C1" w:rsidP="008337C1">
      <w:pPr>
        <w:pStyle w:val="direction"/>
      </w:pPr>
      <w:r w:rsidRPr="00F66CFF">
        <w:t>insert</w:t>
      </w:r>
    </w:p>
    <w:p w14:paraId="2E43020A" w14:textId="77777777" w:rsidR="008337C1" w:rsidRPr="00F66CFF" w:rsidRDefault="00A01CB2" w:rsidP="00F66CFF">
      <w:pPr>
        <w:pStyle w:val="aDef"/>
      </w:pPr>
      <w:r w:rsidRPr="00F66CFF">
        <w:rPr>
          <w:rStyle w:val="charBoldItals"/>
        </w:rPr>
        <w:t>voluntary</w:t>
      </w:r>
      <w:r w:rsidR="008337C1" w:rsidRPr="00F66CFF">
        <w:rPr>
          <w:rStyle w:val="charBoldItals"/>
        </w:rPr>
        <w:t xml:space="preserve"> member</w:t>
      </w:r>
      <w:r w:rsidR="008337C1" w:rsidRPr="00F66CFF">
        <w:t>—see section 10.</w:t>
      </w:r>
    </w:p>
    <w:p w14:paraId="5BB1FA12" w14:textId="77777777" w:rsidR="00210CC6" w:rsidRPr="00F66CFF" w:rsidRDefault="00F66CFF" w:rsidP="00F66CFF">
      <w:pPr>
        <w:pStyle w:val="AH5Sec"/>
        <w:shd w:val="pct25" w:color="auto" w:fill="auto"/>
      </w:pPr>
      <w:bookmarkStart w:id="37" w:name="_Toc22552842"/>
      <w:r w:rsidRPr="00F66CFF">
        <w:rPr>
          <w:rStyle w:val="CharSectNo"/>
        </w:rPr>
        <w:lastRenderedPageBreak/>
        <w:t>35</w:t>
      </w:r>
      <w:r w:rsidRPr="00F66CFF">
        <w:tab/>
      </w:r>
      <w:r w:rsidR="009462E4" w:rsidRPr="00F66CFF">
        <w:t xml:space="preserve">Further amendments, mentions of </w:t>
      </w:r>
      <w:r w:rsidR="009462E4" w:rsidRPr="00F66CFF">
        <w:rPr>
          <w:rStyle w:val="charItals"/>
        </w:rPr>
        <w:t>contractor</w:t>
      </w:r>
      <w:bookmarkEnd w:id="37"/>
    </w:p>
    <w:p w14:paraId="55D36678" w14:textId="77777777" w:rsidR="009462E4" w:rsidRPr="00F66CFF" w:rsidRDefault="009462E4" w:rsidP="009462E4">
      <w:pPr>
        <w:pStyle w:val="direction"/>
      </w:pPr>
      <w:r w:rsidRPr="00F66CFF">
        <w:t>omit</w:t>
      </w:r>
    </w:p>
    <w:p w14:paraId="2A0EF2F2" w14:textId="77777777" w:rsidR="009462E4" w:rsidRPr="00F66CFF" w:rsidRDefault="009462E4" w:rsidP="00481A52">
      <w:pPr>
        <w:pStyle w:val="Amainreturn"/>
        <w:keepNext/>
      </w:pPr>
      <w:r w:rsidRPr="00F66CFF">
        <w:t>contractor</w:t>
      </w:r>
    </w:p>
    <w:p w14:paraId="1A8AF03A" w14:textId="77777777" w:rsidR="009462E4" w:rsidRPr="00F66CFF" w:rsidRDefault="009462E4" w:rsidP="009462E4">
      <w:pPr>
        <w:pStyle w:val="direction"/>
      </w:pPr>
      <w:r w:rsidRPr="00F66CFF">
        <w:t>substitute</w:t>
      </w:r>
    </w:p>
    <w:p w14:paraId="5F2EB164" w14:textId="77777777" w:rsidR="009462E4" w:rsidRPr="00F66CFF" w:rsidRDefault="00A01CB2" w:rsidP="009462E4">
      <w:pPr>
        <w:pStyle w:val="Amainreturn"/>
      </w:pPr>
      <w:r w:rsidRPr="00F66CFF">
        <w:t>voluntary</w:t>
      </w:r>
      <w:r w:rsidR="009462E4" w:rsidRPr="00F66CFF">
        <w:t xml:space="preserve"> member</w:t>
      </w:r>
    </w:p>
    <w:p w14:paraId="1D583EBE" w14:textId="77777777" w:rsidR="009462E4" w:rsidRPr="00F66CFF" w:rsidRDefault="009462E4" w:rsidP="009462E4">
      <w:pPr>
        <w:pStyle w:val="direction"/>
      </w:pPr>
      <w:r w:rsidRPr="00F66CFF">
        <w:t>in</w:t>
      </w:r>
    </w:p>
    <w:p w14:paraId="5D6BCAB3"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section 8</w:t>
      </w:r>
    </w:p>
    <w:p w14:paraId="0B4C2067"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 xml:space="preserve">section 11, definition of </w:t>
      </w:r>
      <w:r w:rsidR="009462E4" w:rsidRPr="00F66CFF">
        <w:rPr>
          <w:rStyle w:val="charBoldItals"/>
        </w:rPr>
        <w:t>work</w:t>
      </w:r>
      <w:r w:rsidR="001B6F89" w:rsidRPr="00F66CFF">
        <w:t>, paragraph (b) (ii)</w:t>
      </w:r>
    </w:p>
    <w:p w14:paraId="0283CE10"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sections 12</w:t>
      </w:r>
      <w:r w:rsidR="001B6F89" w:rsidRPr="00F66CFF">
        <w:t xml:space="preserve"> (2) (c)</w:t>
      </w:r>
      <w:r w:rsidR="009462E4" w:rsidRPr="00F66CFF">
        <w:t xml:space="preserve"> and 13</w:t>
      </w:r>
      <w:r w:rsidR="001B6F89" w:rsidRPr="00F66CFF">
        <w:t xml:space="preserve"> (2) (c) </w:t>
      </w:r>
    </w:p>
    <w:p w14:paraId="1584E999"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section 48</w:t>
      </w:r>
    </w:p>
    <w:p w14:paraId="27024563"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section</w:t>
      </w:r>
      <w:r w:rsidR="00693E6B" w:rsidRPr="00F66CFF">
        <w:t>s</w:t>
      </w:r>
      <w:r w:rsidR="009462E4" w:rsidRPr="00F66CFF">
        <w:t xml:space="preserve"> 54</w:t>
      </w:r>
      <w:r w:rsidR="00693E6B" w:rsidRPr="00F66CFF">
        <w:t xml:space="preserve"> and </w:t>
      </w:r>
      <w:r w:rsidR="009D1591" w:rsidRPr="00F66CFF">
        <w:t>55</w:t>
      </w:r>
    </w:p>
    <w:p w14:paraId="1D2CB74A"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section 58</w:t>
      </w:r>
      <w:r w:rsidR="009D1591" w:rsidRPr="00F66CFF">
        <w:t xml:space="preserve"> (1) and (2)</w:t>
      </w:r>
    </w:p>
    <w:p w14:paraId="578060EE"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 xml:space="preserve">section 60 </w:t>
      </w:r>
      <w:r w:rsidR="009D1591" w:rsidRPr="00F66CFF">
        <w:t>(2) (b)</w:t>
      </w:r>
    </w:p>
    <w:p w14:paraId="73137C80" w14:textId="77777777" w:rsidR="009D1591"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D1591" w:rsidRPr="00F66CFF">
        <w:t>section 61 (1) (b)</w:t>
      </w:r>
    </w:p>
    <w:p w14:paraId="4D9C25DF" w14:textId="77777777" w:rsidR="009D1591"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D1591" w:rsidRPr="00F66CFF">
        <w:t>section 62 (4)</w:t>
      </w:r>
    </w:p>
    <w:p w14:paraId="7A65C116"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section 65</w:t>
      </w:r>
      <w:r w:rsidR="009D1591" w:rsidRPr="00F66CFF">
        <w:t xml:space="preserve"> (4) (c)</w:t>
      </w:r>
    </w:p>
    <w:p w14:paraId="2CAD6A78"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section 67</w:t>
      </w:r>
      <w:r w:rsidR="009D1591" w:rsidRPr="00F66CFF">
        <w:t xml:space="preserve"> (d)</w:t>
      </w:r>
    </w:p>
    <w:p w14:paraId="13DA52A4"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schedule 1, section 1.4</w:t>
      </w:r>
      <w:r w:rsidR="00E0432D" w:rsidRPr="00F66CFF">
        <w:t>A</w:t>
      </w:r>
      <w:r w:rsidR="009D1591" w:rsidRPr="00F66CFF">
        <w:t xml:space="preserve"> (3) (c)</w:t>
      </w:r>
    </w:p>
    <w:p w14:paraId="39A11746" w14:textId="77777777" w:rsidR="00E0432D"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E0432D" w:rsidRPr="00F66CFF">
        <w:t>schedule 1, section 1.9</w:t>
      </w:r>
      <w:r w:rsidR="009D1591" w:rsidRPr="00F66CFF">
        <w:t xml:space="preserve"> (1)</w:t>
      </w:r>
    </w:p>
    <w:p w14:paraId="7406AD05"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schedule 1, section 1.11</w:t>
      </w:r>
      <w:r w:rsidR="009D1591" w:rsidRPr="00F66CFF">
        <w:t xml:space="preserve"> (1) (b)</w:t>
      </w:r>
    </w:p>
    <w:p w14:paraId="3F289BCB"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schedule 1, section 1.13</w:t>
      </w:r>
    </w:p>
    <w:p w14:paraId="13ED81B5"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schedule 2, section 2.4A</w:t>
      </w:r>
      <w:r w:rsidR="009D1591" w:rsidRPr="00F66CFF">
        <w:t xml:space="preserve"> (3) (c)</w:t>
      </w:r>
    </w:p>
    <w:p w14:paraId="1995B0C2"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schedule 2, section 2.9</w:t>
      </w:r>
      <w:r w:rsidR="009D1591" w:rsidRPr="00F66CFF">
        <w:t xml:space="preserve"> (1)</w:t>
      </w:r>
    </w:p>
    <w:p w14:paraId="1EAAB834"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schedule 2, section 2.11</w:t>
      </w:r>
    </w:p>
    <w:p w14:paraId="16695F70"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schedule 2, section 2.13</w:t>
      </w:r>
    </w:p>
    <w:p w14:paraId="637EF62C"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schedule 3, section 3.5A</w:t>
      </w:r>
      <w:r w:rsidR="009D1591" w:rsidRPr="00F66CFF">
        <w:t xml:space="preserve"> (3) (c)</w:t>
      </w:r>
    </w:p>
    <w:p w14:paraId="18B6CF74"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schedule 3, section 3.10</w:t>
      </w:r>
      <w:r w:rsidR="009D1591" w:rsidRPr="00F66CFF">
        <w:t xml:space="preserve"> (1)</w:t>
      </w:r>
    </w:p>
    <w:p w14:paraId="384143F9" w14:textId="77777777" w:rsidR="009462E4" w:rsidRPr="00F66CFF" w:rsidRDefault="00F66CFF" w:rsidP="00F66CFF">
      <w:pPr>
        <w:pStyle w:val="Amainbullet"/>
        <w:tabs>
          <w:tab w:val="left" w:pos="1500"/>
        </w:tabs>
      </w:pPr>
      <w:r w:rsidRPr="00F66CFF">
        <w:rPr>
          <w:rFonts w:ascii="Symbol" w:hAnsi="Symbol"/>
          <w:sz w:val="20"/>
        </w:rPr>
        <w:lastRenderedPageBreak/>
        <w:t></w:t>
      </w:r>
      <w:r w:rsidRPr="00F66CFF">
        <w:rPr>
          <w:rFonts w:ascii="Symbol" w:hAnsi="Symbol"/>
          <w:sz w:val="20"/>
        </w:rPr>
        <w:tab/>
      </w:r>
      <w:r w:rsidR="009462E4" w:rsidRPr="00F66CFF">
        <w:t>schedule 3, section 3.12</w:t>
      </w:r>
    </w:p>
    <w:p w14:paraId="3AD96F17"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schedule 3, section 3.14</w:t>
      </w:r>
    </w:p>
    <w:p w14:paraId="428791B5"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schedule 4, section 4.5</w:t>
      </w:r>
      <w:r w:rsidR="00E0432D" w:rsidRPr="00F66CFF">
        <w:t>A</w:t>
      </w:r>
      <w:r w:rsidR="009D1591" w:rsidRPr="00F66CFF">
        <w:t xml:space="preserve"> (3) (c)</w:t>
      </w:r>
    </w:p>
    <w:p w14:paraId="65EDAA1D" w14:textId="77777777" w:rsidR="006B5C37"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6B5C37" w:rsidRPr="00F66CFF">
        <w:t>schedule 4, section 4.10</w:t>
      </w:r>
      <w:r w:rsidR="009D1591" w:rsidRPr="00F66CFF">
        <w:t xml:space="preserve"> (1)</w:t>
      </w:r>
    </w:p>
    <w:p w14:paraId="69A400CF"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schedule 4, section 4.12</w:t>
      </w:r>
      <w:r w:rsidR="009D1591" w:rsidRPr="00F66CFF">
        <w:t xml:space="preserve"> (1) (b)</w:t>
      </w:r>
    </w:p>
    <w:p w14:paraId="53C00314"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schedule 4, section 4.14</w:t>
      </w:r>
    </w:p>
    <w:p w14:paraId="0842F61A" w14:textId="77777777" w:rsidR="009462E4"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62E4" w:rsidRPr="00F66CFF">
        <w:t>schedule 5, items 7, 8 and 11</w:t>
      </w:r>
    </w:p>
    <w:p w14:paraId="0BE80323" w14:textId="77777777" w:rsidR="002C4D3B" w:rsidRPr="00F66CFF" w:rsidRDefault="00F66CFF" w:rsidP="00F66CFF">
      <w:pPr>
        <w:pStyle w:val="AH5Sec"/>
        <w:shd w:val="pct25" w:color="auto" w:fill="auto"/>
      </w:pPr>
      <w:bookmarkStart w:id="38" w:name="_Toc22552843"/>
      <w:r w:rsidRPr="00F66CFF">
        <w:rPr>
          <w:rStyle w:val="CharSectNo"/>
        </w:rPr>
        <w:t>36</w:t>
      </w:r>
      <w:r w:rsidRPr="00F66CFF">
        <w:tab/>
      </w:r>
      <w:r w:rsidR="009462E4" w:rsidRPr="00F66CFF">
        <w:t xml:space="preserve">Further amendments, mentions of </w:t>
      </w:r>
      <w:r w:rsidR="009462E4" w:rsidRPr="00F66CFF">
        <w:rPr>
          <w:rStyle w:val="charItals"/>
        </w:rPr>
        <w:t>contractors</w:t>
      </w:r>
      <w:bookmarkEnd w:id="38"/>
    </w:p>
    <w:p w14:paraId="5ECD1853" w14:textId="77777777" w:rsidR="009462E4" w:rsidRPr="00F66CFF" w:rsidRDefault="009462E4" w:rsidP="009462E4">
      <w:pPr>
        <w:pStyle w:val="direction"/>
      </w:pPr>
      <w:r w:rsidRPr="00F66CFF">
        <w:t>omit</w:t>
      </w:r>
    </w:p>
    <w:p w14:paraId="7D2B1458" w14:textId="77777777" w:rsidR="009462E4" w:rsidRPr="00F66CFF" w:rsidRDefault="009462E4" w:rsidP="009462E4">
      <w:pPr>
        <w:pStyle w:val="Amainreturn"/>
      </w:pPr>
      <w:r w:rsidRPr="00F66CFF">
        <w:t>contractors</w:t>
      </w:r>
    </w:p>
    <w:p w14:paraId="78B87F42" w14:textId="77777777" w:rsidR="009462E4" w:rsidRPr="00F66CFF" w:rsidRDefault="009462E4" w:rsidP="009462E4">
      <w:pPr>
        <w:pStyle w:val="direction"/>
      </w:pPr>
      <w:r w:rsidRPr="00F66CFF">
        <w:t>substitute</w:t>
      </w:r>
    </w:p>
    <w:p w14:paraId="58F6FA97" w14:textId="77777777" w:rsidR="009462E4" w:rsidRPr="00F66CFF" w:rsidRDefault="00A01CB2" w:rsidP="009462E4">
      <w:pPr>
        <w:pStyle w:val="Amainreturn"/>
      </w:pPr>
      <w:r w:rsidRPr="00F66CFF">
        <w:t>voluntary</w:t>
      </w:r>
      <w:r w:rsidR="009462E4" w:rsidRPr="00F66CFF">
        <w:t xml:space="preserve"> members</w:t>
      </w:r>
    </w:p>
    <w:p w14:paraId="15F85730" w14:textId="77777777" w:rsidR="009462E4" w:rsidRPr="00F66CFF" w:rsidRDefault="009462E4" w:rsidP="009462E4">
      <w:pPr>
        <w:pStyle w:val="direction"/>
      </w:pPr>
      <w:r w:rsidRPr="00F66CFF">
        <w:t>in</w:t>
      </w:r>
    </w:p>
    <w:p w14:paraId="7335883A" w14:textId="77777777" w:rsidR="000E19DD"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0E19DD" w:rsidRPr="00F66CFF">
        <w:t xml:space="preserve">section </w:t>
      </w:r>
      <w:r w:rsidR="006B5C37" w:rsidRPr="00F66CFF">
        <w:t>3</w:t>
      </w:r>
      <w:r w:rsidR="000E19DD" w:rsidRPr="00F66CFF">
        <w:t>8</w:t>
      </w:r>
      <w:r w:rsidR="00A10B39" w:rsidRPr="00F66CFF">
        <w:t xml:space="preserve"> (1) (b)</w:t>
      </w:r>
    </w:p>
    <w:p w14:paraId="67B81753" w14:textId="77777777" w:rsidR="000E19DD"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0E19DD" w:rsidRPr="00F66CFF">
        <w:t>section 48</w:t>
      </w:r>
      <w:r w:rsidR="00A10B39" w:rsidRPr="00F66CFF">
        <w:t xml:space="preserve"> (2)</w:t>
      </w:r>
    </w:p>
    <w:p w14:paraId="1C63A78B" w14:textId="77777777" w:rsidR="000E19DD"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0E19DD" w:rsidRPr="00F66CFF">
        <w:t>section</w:t>
      </w:r>
      <w:r w:rsidR="00947B7A" w:rsidRPr="00F66CFF">
        <w:t>s</w:t>
      </w:r>
      <w:r w:rsidR="000E19DD" w:rsidRPr="00F66CFF">
        <w:t xml:space="preserve"> 54</w:t>
      </w:r>
      <w:r w:rsidR="00947B7A" w:rsidRPr="00F66CFF">
        <w:t xml:space="preserve"> </w:t>
      </w:r>
      <w:r w:rsidR="00A10B39" w:rsidRPr="00F66CFF">
        <w:t>and 55 headings</w:t>
      </w:r>
    </w:p>
    <w:p w14:paraId="361F318D" w14:textId="77777777" w:rsidR="00A10B39"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A10B39" w:rsidRPr="00F66CFF">
        <w:t>sections 56 and 56A</w:t>
      </w:r>
    </w:p>
    <w:p w14:paraId="65BCAE96" w14:textId="77777777" w:rsidR="000E19DD"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0E19DD" w:rsidRPr="00F66CFF">
        <w:t>section 58</w:t>
      </w:r>
      <w:r w:rsidR="00A10B39" w:rsidRPr="00F66CFF">
        <w:t xml:space="preserve"> heading</w:t>
      </w:r>
    </w:p>
    <w:p w14:paraId="12828B75" w14:textId="77777777" w:rsidR="000E19DD"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0E19DD" w:rsidRPr="00F66CFF">
        <w:t xml:space="preserve">section 60 </w:t>
      </w:r>
      <w:r w:rsidR="00A10B39" w:rsidRPr="00F66CFF">
        <w:t>(1)</w:t>
      </w:r>
    </w:p>
    <w:p w14:paraId="352CCE9D" w14:textId="77777777" w:rsidR="00A10B39"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A10B39" w:rsidRPr="00F66CFF">
        <w:t>section 61 (1) (b)</w:t>
      </w:r>
    </w:p>
    <w:p w14:paraId="12FF1EFA" w14:textId="77777777" w:rsidR="00A10B39"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A10B39" w:rsidRPr="00F66CFF">
        <w:t>section 62 (4)</w:t>
      </w:r>
    </w:p>
    <w:p w14:paraId="60540A4D" w14:textId="77777777" w:rsidR="000E19DD"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0E19DD" w:rsidRPr="00F66CFF">
        <w:t>section 67</w:t>
      </w:r>
      <w:r w:rsidR="00A10B39" w:rsidRPr="00F66CFF">
        <w:t xml:space="preserve"> (d)</w:t>
      </w:r>
    </w:p>
    <w:p w14:paraId="131C0FA1" w14:textId="77777777" w:rsidR="00947B7A"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7B7A" w:rsidRPr="00F66CFF">
        <w:t>section 76</w:t>
      </w:r>
      <w:r w:rsidR="00A10B39" w:rsidRPr="00F66CFF">
        <w:t xml:space="preserve"> (1)</w:t>
      </w:r>
      <w:r w:rsidR="0000557B" w:rsidRPr="00F66CFF">
        <w:t>, example</w:t>
      </w:r>
    </w:p>
    <w:p w14:paraId="36905D4B" w14:textId="77777777" w:rsidR="00947B7A"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7B7A" w:rsidRPr="00F66CFF">
        <w:t>section 79I</w:t>
      </w:r>
    </w:p>
    <w:p w14:paraId="5B57DCDD" w14:textId="77777777" w:rsidR="00947B7A"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7B7A" w:rsidRPr="00F66CFF">
        <w:t>section 79K</w:t>
      </w:r>
      <w:r w:rsidR="00A10B39" w:rsidRPr="00F66CFF">
        <w:t xml:space="preserve"> (a)</w:t>
      </w:r>
    </w:p>
    <w:p w14:paraId="54C0E339" w14:textId="77777777" w:rsidR="00947B7A"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7B7A" w:rsidRPr="00F66CFF">
        <w:t>section 79N</w:t>
      </w:r>
      <w:r w:rsidR="00A10B39" w:rsidRPr="00F66CFF">
        <w:t xml:space="preserve"> (3)</w:t>
      </w:r>
    </w:p>
    <w:p w14:paraId="06D9F2DA" w14:textId="77777777" w:rsidR="00947B7A"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7B7A" w:rsidRPr="00F66CFF">
        <w:t>section 83</w:t>
      </w:r>
    </w:p>
    <w:p w14:paraId="7246534F" w14:textId="77777777" w:rsidR="000E19DD" w:rsidRPr="00F66CFF" w:rsidRDefault="00F66CFF" w:rsidP="00F66CFF">
      <w:pPr>
        <w:pStyle w:val="Amainbullet"/>
        <w:tabs>
          <w:tab w:val="left" w:pos="1500"/>
        </w:tabs>
      </w:pPr>
      <w:r w:rsidRPr="00F66CFF">
        <w:rPr>
          <w:rFonts w:ascii="Symbol" w:hAnsi="Symbol"/>
          <w:sz w:val="20"/>
        </w:rPr>
        <w:lastRenderedPageBreak/>
        <w:t></w:t>
      </w:r>
      <w:r w:rsidRPr="00F66CFF">
        <w:rPr>
          <w:rFonts w:ascii="Symbol" w:hAnsi="Symbol"/>
          <w:sz w:val="20"/>
        </w:rPr>
        <w:tab/>
      </w:r>
      <w:r w:rsidR="000E19DD" w:rsidRPr="00F66CFF">
        <w:t>schedule 1, section 1.4</w:t>
      </w:r>
      <w:r w:rsidR="00A10B39" w:rsidRPr="00F66CFF">
        <w:t xml:space="preserve"> (1), note</w:t>
      </w:r>
    </w:p>
    <w:p w14:paraId="0EF6EDCC" w14:textId="77777777" w:rsidR="000E19DD"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0E19DD" w:rsidRPr="00F66CFF">
        <w:t>schedule 1, section 1.13</w:t>
      </w:r>
      <w:r w:rsidR="00A10B39" w:rsidRPr="00F66CFF">
        <w:t xml:space="preserve"> (1) (a)</w:t>
      </w:r>
    </w:p>
    <w:p w14:paraId="320D5465" w14:textId="77777777" w:rsidR="000E19DD"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0E19DD" w:rsidRPr="00F66CFF">
        <w:t>schedule 2, section 2.4</w:t>
      </w:r>
      <w:r w:rsidR="00A10B39" w:rsidRPr="00F66CFF">
        <w:t xml:space="preserve"> (1), note 1</w:t>
      </w:r>
    </w:p>
    <w:p w14:paraId="446B83C1" w14:textId="77777777" w:rsidR="000E19DD"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0E19DD" w:rsidRPr="00F66CFF">
        <w:t>schedule 2, section 2.13</w:t>
      </w:r>
      <w:r w:rsidR="00A10B39" w:rsidRPr="00F66CFF">
        <w:t xml:space="preserve"> (1) (a)</w:t>
      </w:r>
    </w:p>
    <w:p w14:paraId="6BAA4D84" w14:textId="77777777" w:rsidR="000E19DD"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0E19DD" w:rsidRPr="00F66CFF">
        <w:t>schedule 3, section 3.5</w:t>
      </w:r>
      <w:r w:rsidR="00A10B39" w:rsidRPr="00F66CFF">
        <w:t xml:space="preserve"> (1), note 1</w:t>
      </w:r>
    </w:p>
    <w:p w14:paraId="7F6CA8F3" w14:textId="77777777" w:rsidR="000E19DD"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0E19DD" w:rsidRPr="00F66CFF">
        <w:t>schedule 3, section 3.14</w:t>
      </w:r>
      <w:r w:rsidR="00A10B39" w:rsidRPr="00F66CFF">
        <w:t xml:space="preserve"> (1) (a)</w:t>
      </w:r>
    </w:p>
    <w:p w14:paraId="069A76FB" w14:textId="77777777" w:rsidR="000E19DD"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0E19DD" w:rsidRPr="00F66CFF">
        <w:t>schedule 4, section 4.5</w:t>
      </w:r>
      <w:r w:rsidR="00A10B39" w:rsidRPr="00F66CFF">
        <w:t xml:space="preserve"> (1), note 1</w:t>
      </w:r>
    </w:p>
    <w:p w14:paraId="6ED322AB" w14:textId="77777777" w:rsidR="000E19DD"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0E19DD" w:rsidRPr="00F66CFF">
        <w:t>schedule 4, section 4.14</w:t>
      </w:r>
      <w:r w:rsidR="00A10B39" w:rsidRPr="00F66CFF">
        <w:t xml:space="preserve"> (1) (a)</w:t>
      </w:r>
    </w:p>
    <w:p w14:paraId="34E5EFC2" w14:textId="77777777" w:rsidR="009462E4" w:rsidRPr="00F66CFF" w:rsidRDefault="00F66CFF" w:rsidP="00F66CFF">
      <w:pPr>
        <w:pStyle w:val="AH5Sec"/>
        <w:shd w:val="pct25" w:color="auto" w:fill="auto"/>
      </w:pPr>
      <w:bookmarkStart w:id="39" w:name="_Toc22552844"/>
      <w:r w:rsidRPr="00F66CFF">
        <w:rPr>
          <w:rStyle w:val="CharSectNo"/>
        </w:rPr>
        <w:t>37</w:t>
      </w:r>
      <w:r w:rsidRPr="00F66CFF">
        <w:tab/>
      </w:r>
      <w:r w:rsidR="00947B7A" w:rsidRPr="00F66CFF">
        <w:t xml:space="preserve">Further amendments, mentions of </w:t>
      </w:r>
      <w:r w:rsidR="00947B7A" w:rsidRPr="00F66CFF">
        <w:rPr>
          <w:rStyle w:val="charItals"/>
        </w:rPr>
        <w:t>contractor’s</w:t>
      </w:r>
      <w:bookmarkEnd w:id="39"/>
    </w:p>
    <w:p w14:paraId="742BC635" w14:textId="77777777" w:rsidR="00947B7A" w:rsidRPr="00F66CFF" w:rsidRDefault="00947B7A" w:rsidP="00947B7A">
      <w:pPr>
        <w:pStyle w:val="direction"/>
      </w:pPr>
      <w:r w:rsidRPr="00F66CFF">
        <w:t>omit</w:t>
      </w:r>
    </w:p>
    <w:p w14:paraId="4E5FCC33" w14:textId="77777777" w:rsidR="00947B7A" w:rsidRPr="00F66CFF" w:rsidRDefault="00947B7A" w:rsidP="00947B7A">
      <w:pPr>
        <w:pStyle w:val="Amainreturn"/>
      </w:pPr>
      <w:r w:rsidRPr="00F66CFF">
        <w:t>contractor’s</w:t>
      </w:r>
    </w:p>
    <w:p w14:paraId="4C299E90" w14:textId="77777777" w:rsidR="00947B7A" w:rsidRPr="00F66CFF" w:rsidRDefault="00947B7A" w:rsidP="00947B7A">
      <w:pPr>
        <w:pStyle w:val="direction"/>
      </w:pPr>
      <w:r w:rsidRPr="00F66CFF">
        <w:t>substitute</w:t>
      </w:r>
    </w:p>
    <w:p w14:paraId="73B4D293" w14:textId="77777777" w:rsidR="00947B7A" w:rsidRPr="00F66CFF" w:rsidRDefault="00A01CB2" w:rsidP="00947B7A">
      <w:pPr>
        <w:pStyle w:val="Amainreturn"/>
      </w:pPr>
      <w:r w:rsidRPr="00F66CFF">
        <w:t>voluntary</w:t>
      </w:r>
      <w:r w:rsidR="00947B7A" w:rsidRPr="00F66CFF">
        <w:t xml:space="preserve"> member’s</w:t>
      </w:r>
    </w:p>
    <w:p w14:paraId="7AFF508D" w14:textId="77777777" w:rsidR="00947B7A" w:rsidRPr="00F66CFF" w:rsidRDefault="00947B7A" w:rsidP="00947B7A">
      <w:pPr>
        <w:pStyle w:val="direction"/>
      </w:pPr>
      <w:r w:rsidRPr="00F66CFF">
        <w:t>in</w:t>
      </w:r>
    </w:p>
    <w:p w14:paraId="2FC23ADE" w14:textId="77777777" w:rsidR="00947B7A"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7B7A" w:rsidRPr="00F66CFF">
        <w:t>section 48</w:t>
      </w:r>
    </w:p>
    <w:p w14:paraId="4959240D" w14:textId="77777777" w:rsidR="00947B7A"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7B7A" w:rsidRPr="00F66CFF">
        <w:t>section 54</w:t>
      </w:r>
      <w:r w:rsidR="00A10B39" w:rsidRPr="00F66CFF">
        <w:t xml:space="preserve"> (4), definition of </w:t>
      </w:r>
      <w:r w:rsidR="00A10B39" w:rsidRPr="00F66CFF">
        <w:rPr>
          <w:rStyle w:val="charBoldItals"/>
        </w:rPr>
        <w:t>required information</w:t>
      </w:r>
      <w:r w:rsidR="00A10B39" w:rsidRPr="00F66CFF">
        <w:t>, paragraph (b)</w:t>
      </w:r>
    </w:p>
    <w:p w14:paraId="7BC8D28C" w14:textId="77777777" w:rsidR="00947B7A"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7B7A" w:rsidRPr="00F66CFF">
        <w:t>section 58</w:t>
      </w:r>
      <w:r w:rsidR="00A10B39" w:rsidRPr="00F66CFF">
        <w:t xml:space="preserve"> (1)</w:t>
      </w:r>
    </w:p>
    <w:p w14:paraId="62423E2B" w14:textId="77777777" w:rsidR="00947B7A"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7B7A" w:rsidRPr="00F66CFF">
        <w:t>schedule 1, section 1.4</w:t>
      </w:r>
      <w:r w:rsidR="006B5C37" w:rsidRPr="00F66CFF">
        <w:t>A</w:t>
      </w:r>
      <w:r w:rsidR="00A10B39" w:rsidRPr="00F66CFF">
        <w:t xml:space="preserve"> (3) (c)</w:t>
      </w:r>
    </w:p>
    <w:p w14:paraId="2257D476" w14:textId="77777777" w:rsidR="00947B7A"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7B7A" w:rsidRPr="00F66CFF">
        <w:t>schedule 2, section 2.4A</w:t>
      </w:r>
      <w:r w:rsidR="00A10B39" w:rsidRPr="00F66CFF">
        <w:t xml:space="preserve"> (3) (c)</w:t>
      </w:r>
    </w:p>
    <w:p w14:paraId="1E7E685E" w14:textId="77777777" w:rsidR="00947B7A"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7B7A" w:rsidRPr="00F66CFF">
        <w:t>schedule 3, section 3.5A</w:t>
      </w:r>
      <w:r w:rsidR="00A10B39" w:rsidRPr="00F66CFF">
        <w:t xml:space="preserve"> (3) (c)</w:t>
      </w:r>
    </w:p>
    <w:p w14:paraId="7276AC25" w14:textId="77777777" w:rsidR="00947B7A" w:rsidRPr="00F66CFF" w:rsidRDefault="00F66CFF" w:rsidP="00F66CFF">
      <w:pPr>
        <w:pStyle w:val="Amainbullet"/>
        <w:tabs>
          <w:tab w:val="left" w:pos="1500"/>
        </w:tabs>
      </w:pPr>
      <w:r w:rsidRPr="00F66CFF">
        <w:rPr>
          <w:rFonts w:ascii="Symbol" w:hAnsi="Symbol"/>
          <w:sz w:val="20"/>
        </w:rPr>
        <w:t></w:t>
      </w:r>
      <w:r w:rsidRPr="00F66CFF">
        <w:rPr>
          <w:rFonts w:ascii="Symbol" w:hAnsi="Symbol"/>
          <w:sz w:val="20"/>
        </w:rPr>
        <w:tab/>
      </w:r>
      <w:r w:rsidR="00947B7A" w:rsidRPr="00F66CFF">
        <w:t>schedule 4, section 4.5</w:t>
      </w:r>
      <w:r w:rsidR="006B5C37" w:rsidRPr="00F66CFF">
        <w:t>A</w:t>
      </w:r>
      <w:r w:rsidR="00A10B39" w:rsidRPr="00F66CFF">
        <w:t xml:space="preserve"> (3) (c)</w:t>
      </w:r>
    </w:p>
    <w:p w14:paraId="4DB70B04" w14:textId="77777777" w:rsidR="00F66CFF" w:rsidRDefault="00F66CFF">
      <w:pPr>
        <w:pStyle w:val="02Text"/>
        <w:sectPr w:rsidR="00F66CFF" w:rsidSect="00E9799D">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pgNumType w:start="1"/>
          <w:cols w:space="720"/>
          <w:titlePg/>
          <w:docGrid w:linePitch="326"/>
        </w:sectPr>
      </w:pPr>
    </w:p>
    <w:p w14:paraId="022E70CC" w14:textId="77777777" w:rsidR="00276764" w:rsidRPr="00F66CFF" w:rsidRDefault="00276764">
      <w:pPr>
        <w:pStyle w:val="EndNoteHeading"/>
      </w:pPr>
      <w:r w:rsidRPr="00F66CFF">
        <w:lastRenderedPageBreak/>
        <w:t>Endnotes</w:t>
      </w:r>
    </w:p>
    <w:p w14:paraId="4AA9FB81" w14:textId="77777777" w:rsidR="00276764" w:rsidRPr="00F66CFF" w:rsidRDefault="00276764">
      <w:pPr>
        <w:pStyle w:val="EndNoteSubHeading"/>
      </w:pPr>
      <w:r w:rsidRPr="00F66CFF">
        <w:t>1</w:t>
      </w:r>
      <w:r w:rsidRPr="00F66CFF">
        <w:tab/>
        <w:t>Presentation speech</w:t>
      </w:r>
    </w:p>
    <w:p w14:paraId="762262F2" w14:textId="372B07E1" w:rsidR="00276764" w:rsidRPr="00F66CFF" w:rsidRDefault="00276764">
      <w:pPr>
        <w:pStyle w:val="EndNoteText"/>
      </w:pPr>
      <w:r w:rsidRPr="00F66CFF">
        <w:tab/>
        <w:t>Presentation speech made in the Legislative Assembly on</w:t>
      </w:r>
      <w:r w:rsidR="0098758A">
        <w:t xml:space="preserve"> 24 October 2019.</w:t>
      </w:r>
    </w:p>
    <w:p w14:paraId="203AE204" w14:textId="77777777" w:rsidR="00276764" w:rsidRPr="00F66CFF" w:rsidRDefault="00276764">
      <w:pPr>
        <w:pStyle w:val="EndNoteSubHeading"/>
      </w:pPr>
      <w:r w:rsidRPr="00F66CFF">
        <w:t>2</w:t>
      </w:r>
      <w:r w:rsidRPr="00F66CFF">
        <w:tab/>
        <w:t>Notification</w:t>
      </w:r>
    </w:p>
    <w:p w14:paraId="0DFD6FEC" w14:textId="3634365A" w:rsidR="00276764" w:rsidRPr="00F66CFF" w:rsidRDefault="00276764">
      <w:pPr>
        <w:pStyle w:val="EndNoteText"/>
      </w:pPr>
      <w:r w:rsidRPr="00F66CFF">
        <w:tab/>
        <w:t xml:space="preserve">Notified under the </w:t>
      </w:r>
      <w:hyperlink r:id="rId35" w:tooltip="A2001-14" w:history="1">
        <w:r w:rsidR="00BE53B4" w:rsidRPr="00F66CFF">
          <w:rPr>
            <w:rStyle w:val="charCitHyperlinkAbbrev"/>
          </w:rPr>
          <w:t>Legislation Act</w:t>
        </w:r>
      </w:hyperlink>
      <w:r w:rsidRPr="00F66CFF">
        <w:t xml:space="preserve"> on</w:t>
      </w:r>
      <w:r w:rsidR="00E9799D">
        <w:t xml:space="preserve"> 6 December 2019.</w:t>
      </w:r>
    </w:p>
    <w:p w14:paraId="4EBB7A9D" w14:textId="77777777" w:rsidR="00276764" w:rsidRPr="00F66CFF" w:rsidRDefault="00276764">
      <w:pPr>
        <w:pStyle w:val="EndNoteSubHeading"/>
      </w:pPr>
      <w:r w:rsidRPr="00F66CFF">
        <w:t>3</w:t>
      </w:r>
      <w:r w:rsidRPr="00F66CFF">
        <w:tab/>
        <w:t>Republications of amended laws</w:t>
      </w:r>
    </w:p>
    <w:p w14:paraId="095BB6A0" w14:textId="0C15F895" w:rsidR="00276764" w:rsidRPr="00F66CFF" w:rsidRDefault="00276764">
      <w:pPr>
        <w:pStyle w:val="EndNoteText"/>
      </w:pPr>
      <w:r w:rsidRPr="00F66CFF">
        <w:tab/>
        <w:t xml:space="preserve">For the latest republication of amended laws, see </w:t>
      </w:r>
      <w:hyperlink r:id="rId36" w:history="1">
        <w:r w:rsidR="00BE53B4" w:rsidRPr="00F66CFF">
          <w:rPr>
            <w:rStyle w:val="charCitHyperlinkAbbrev"/>
          </w:rPr>
          <w:t>www.legislation.act.gov.au</w:t>
        </w:r>
      </w:hyperlink>
      <w:r w:rsidRPr="00F66CFF">
        <w:t>.</w:t>
      </w:r>
    </w:p>
    <w:p w14:paraId="1E79C695" w14:textId="77777777" w:rsidR="00276764" w:rsidRPr="00F66CFF" w:rsidRDefault="00276764">
      <w:pPr>
        <w:pStyle w:val="N-line2"/>
      </w:pPr>
    </w:p>
    <w:p w14:paraId="40C40D48" w14:textId="77777777" w:rsidR="00F66CFF" w:rsidRDefault="00F66CFF">
      <w:pPr>
        <w:pStyle w:val="05EndNote"/>
        <w:sectPr w:rsidR="00F66CFF" w:rsidSect="00E9799D">
          <w:headerReference w:type="even" r:id="rId37"/>
          <w:headerReference w:type="default" r:id="rId38"/>
          <w:footerReference w:type="even" r:id="rId39"/>
          <w:footerReference w:type="default" r:id="rId40"/>
          <w:pgSz w:w="11907" w:h="16839" w:code="9"/>
          <w:pgMar w:top="3000" w:right="1900" w:bottom="2500" w:left="2300" w:header="2480" w:footer="2100" w:gutter="0"/>
          <w:cols w:space="720"/>
          <w:docGrid w:linePitch="326"/>
        </w:sectPr>
      </w:pPr>
    </w:p>
    <w:p w14:paraId="0E189CDA" w14:textId="424280D3" w:rsidR="00F66CFF" w:rsidRDefault="00F66CFF" w:rsidP="00E9799D"/>
    <w:p w14:paraId="293711D9" w14:textId="295596A8" w:rsidR="00E9799D" w:rsidRDefault="00E9799D">
      <w:pPr>
        <w:pStyle w:val="BillBasic"/>
      </w:pPr>
      <w:r>
        <w:t xml:space="preserve">I certify that the above is a true copy of the Long Service Leave (Portable Schemes) Amendment Bill 2019, which was passed by the Legislative Assembly on 26 November 2019. </w:t>
      </w:r>
    </w:p>
    <w:p w14:paraId="40B47438" w14:textId="77777777" w:rsidR="00E9799D" w:rsidRDefault="00E9799D"/>
    <w:p w14:paraId="65DB5FA2" w14:textId="77777777" w:rsidR="00E9799D" w:rsidRDefault="00E9799D"/>
    <w:p w14:paraId="2BF0BB25" w14:textId="77777777" w:rsidR="00E9799D" w:rsidRDefault="00E9799D"/>
    <w:p w14:paraId="4D48467E" w14:textId="77777777" w:rsidR="00E9799D" w:rsidRDefault="00E9799D"/>
    <w:p w14:paraId="68C5379F" w14:textId="77777777" w:rsidR="00E9799D" w:rsidRDefault="00E9799D">
      <w:pPr>
        <w:pStyle w:val="BillBasic"/>
        <w:jc w:val="right"/>
      </w:pPr>
      <w:r>
        <w:t>Clerk of the Legislative Assembly</w:t>
      </w:r>
    </w:p>
    <w:p w14:paraId="0C54E7B7" w14:textId="312ED73B" w:rsidR="00E9799D" w:rsidRDefault="00E9799D" w:rsidP="00E9799D"/>
    <w:p w14:paraId="6D03B20C" w14:textId="41D2585E" w:rsidR="00E9799D" w:rsidRDefault="00E9799D" w:rsidP="00E9799D"/>
    <w:p w14:paraId="3D94D81A" w14:textId="12334201" w:rsidR="00E9799D" w:rsidRDefault="00E9799D" w:rsidP="00E9799D">
      <w:pPr>
        <w:suppressLineNumbers/>
      </w:pPr>
    </w:p>
    <w:p w14:paraId="5377CAB2" w14:textId="35A8008E" w:rsidR="00E9799D" w:rsidRDefault="00E9799D" w:rsidP="00E9799D">
      <w:pPr>
        <w:suppressLineNumbers/>
      </w:pPr>
    </w:p>
    <w:p w14:paraId="092A2506" w14:textId="30DB1E10" w:rsidR="00E9799D" w:rsidRDefault="00E9799D" w:rsidP="00E9799D">
      <w:pPr>
        <w:suppressLineNumbers/>
      </w:pPr>
    </w:p>
    <w:p w14:paraId="611D1F35" w14:textId="35431476" w:rsidR="00E9799D" w:rsidRDefault="00E9799D" w:rsidP="00E9799D">
      <w:pPr>
        <w:suppressLineNumbers/>
      </w:pPr>
    </w:p>
    <w:p w14:paraId="6974D565" w14:textId="422B7E6D" w:rsidR="00E9799D" w:rsidRDefault="00E9799D" w:rsidP="00E9799D">
      <w:pPr>
        <w:suppressLineNumbers/>
      </w:pPr>
    </w:p>
    <w:p w14:paraId="199DE34F" w14:textId="5925FAA8" w:rsidR="00E9799D" w:rsidRDefault="00E9799D" w:rsidP="00E9799D">
      <w:pPr>
        <w:suppressLineNumbers/>
      </w:pPr>
    </w:p>
    <w:p w14:paraId="210DD846" w14:textId="2B2EB5B8" w:rsidR="00E9799D" w:rsidRDefault="00E9799D" w:rsidP="00E9799D">
      <w:pPr>
        <w:suppressLineNumbers/>
      </w:pPr>
    </w:p>
    <w:p w14:paraId="39FE27D7" w14:textId="664B2E55" w:rsidR="00E9799D" w:rsidRDefault="00E9799D" w:rsidP="00E9799D">
      <w:pPr>
        <w:suppressLineNumbers/>
      </w:pPr>
    </w:p>
    <w:p w14:paraId="6D3D5ACD" w14:textId="65D16833" w:rsidR="00E9799D" w:rsidRDefault="00E9799D" w:rsidP="00E9799D">
      <w:pPr>
        <w:suppressLineNumbers/>
      </w:pPr>
    </w:p>
    <w:p w14:paraId="2D9764F0" w14:textId="2408210F" w:rsidR="00E9799D" w:rsidRDefault="00E9799D" w:rsidP="00E9799D">
      <w:pPr>
        <w:suppressLineNumbers/>
      </w:pPr>
    </w:p>
    <w:p w14:paraId="3EF3C3DB" w14:textId="649019C0" w:rsidR="00E9799D" w:rsidRDefault="00E9799D">
      <w:pPr>
        <w:jc w:val="center"/>
        <w:rPr>
          <w:sz w:val="18"/>
        </w:rPr>
      </w:pPr>
      <w:r>
        <w:rPr>
          <w:sz w:val="18"/>
        </w:rPr>
        <w:t xml:space="preserve">© Australian Capital Territory </w:t>
      </w:r>
      <w:r>
        <w:rPr>
          <w:noProof/>
          <w:sz w:val="18"/>
        </w:rPr>
        <w:t>2019</w:t>
      </w:r>
    </w:p>
    <w:sectPr w:rsidR="00E9799D" w:rsidSect="00E9799D">
      <w:headerReference w:type="even" r:id="rId41"/>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D2814" w14:textId="77777777" w:rsidR="00666D05" w:rsidRDefault="00666D05">
      <w:r>
        <w:separator/>
      </w:r>
    </w:p>
  </w:endnote>
  <w:endnote w:type="continuationSeparator" w:id="0">
    <w:p w14:paraId="4A5B9D11" w14:textId="77777777" w:rsidR="00666D05" w:rsidRDefault="0066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43"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3B490" w14:textId="77777777" w:rsidR="00666D05" w:rsidRDefault="00666D0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66D05" w:rsidRPr="00CB3D59" w14:paraId="33DC927B" w14:textId="77777777">
      <w:tc>
        <w:tcPr>
          <w:tcW w:w="845" w:type="pct"/>
        </w:tcPr>
        <w:p w14:paraId="7892DF90" w14:textId="77777777" w:rsidR="00666D05" w:rsidRPr="0097645D" w:rsidRDefault="00666D05" w:rsidP="007D3A36">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sidR="004C1D6F">
            <w:rPr>
              <w:rStyle w:val="PageNumber"/>
              <w:rFonts w:cs="Arial"/>
              <w:noProof/>
              <w:szCs w:val="18"/>
            </w:rPr>
            <w:t>2</w:t>
          </w:r>
          <w:r w:rsidRPr="0097645D">
            <w:rPr>
              <w:rStyle w:val="PageNumber"/>
              <w:rFonts w:cs="Arial"/>
              <w:szCs w:val="18"/>
            </w:rPr>
            <w:fldChar w:fldCharType="end"/>
          </w:r>
        </w:p>
      </w:tc>
      <w:tc>
        <w:tcPr>
          <w:tcW w:w="3090" w:type="pct"/>
        </w:tcPr>
        <w:p w14:paraId="35977CB1" w14:textId="4C7AE061" w:rsidR="00666D05" w:rsidRPr="00783A18" w:rsidRDefault="004C1D6F" w:rsidP="007D3A36">
          <w:pPr>
            <w:pStyle w:val="Footer"/>
            <w:spacing w:line="240" w:lineRule="auto"/>
            <w:jc w:val="center"/>
            <w:rPr>
              <w:rFonts w:ascii="Times New Roman" w:hAnsi="Times New Roman"/>
              <w:sz w:val="24"/>
              <w:szCs w:val="24"/>
            </w:rPr>
          </w:pPr>
          <w:fldSimple w:instr=" REF Citation *\charformat  \* MERGEFORMAT ">
            <w:r w:rsidR="00CF12D3">
              <w:t>Long Service Leave (Portable Schemes) Amendment Act 2019</w:t>
            </w:r>
          </w:fldSimple>
        </w:p>
        <w:p w14:paraId="0F976300" w14:textId="79F36F67" w:rsidR="00666D05" w:rsidRPr="00783A18" w:rsidRDefault="00666D05" w:rsidP="007D3A36">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CF12D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CF12D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CF12D3">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3DBDC287" w14:textId="3396C7F2" w:rsidR="00666D05" w:rsidRPr="00743346" w:rsidRDefault="00666D05" w:rsidP="007D3A36">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CF12D3">
            <w:rPr>
              <w:rFonts w:cs="Arial"/>
              <w:szCs w:val="18"/>
            </w:rPr>
            <w:t>A2019-44</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CF12D3">
            <w:rPr>
              <w:rFonts w:cs="Arial"/>
              <w:szCs w:val="18"/>
            </w:rPr>
            <w:t xml:space="preserve">  </w:t>
          </w:r>
          <w:r w:rsidRPr="00743346">
            <w:rPr>
              <w:rFonts w:cs="Arial"/>
              <w:szCs w:val="18"/>
            </w:rPr>
            <w:fldChar w:fldCharType="end"/>
          </w:r>
        </w:p>
      </w:tc>
    </w:tr>
  </w:tbl>
  <w:p w14:paraId="2FEC3F91" w14:textId="5F18D758" w:rsidR="00666D05" w:rsidRPr="00B56A5F" w:rsidRDefault="004C1D6F" w:rsidP="00B56A5F">
    <w:pPr>
      <w:pStyle w:val="Status"/>
      <w:rPr>
        <w:rFonts w:cs="Arial"/>
      </w:rPr>
    </w:pPr>
    <w:r w:rsidRPr="00B56A5F">
      <w:rPr>
        <w:rFonts w:cs="Arial"/>
      </w:rPr>
      <w:fldChar w:fldCharType="begin"/>
    </w:r>
    <w:r w:rsidRPr="00B56A5F">
      <w:rPr>
        <w:rFonts w:cs="Arial"/>
      </w:rPr>
      <w:instrText xml:space="preserve"> DOCPROPERTY "Status" </w:instrText>
    </w:r>
    <w:r w:rsidRPr="00B56A5F">
      <w:rPr>
        <w:rFonts w:cs="Arial"/>
      </w:rPr>
      <w:fldChar w:fldCharType="separate"/>
    </w:r>
    <w:r w:rsidR="00CF12D3" w:rsidRPr="00B56A5F">
      <w:rPr>
        <w:rFonts w:cs="Arial"/>
      </w:rPr>
      <w:t xml:space="preserve"> </w:t>
    </w:r>
    <w:r w:rsidRPr="00B56A5F">
      <w:rPr>
        <w:rFonts w:cs="Arial"/>
      </w:rPr>
      <w:fldChar w:fldCharType="end"/>
    </w:r>
    <w:r w:rsidR="00B56A5F" w:rsidRPr="00B56A5F">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19FC0" w14:textId="77777777" w:rsidR="00666D05" w:rsidRDefault="00666D05">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666D05" w:rsidRPr="00CB3D59" w14:paraId="1CDC1A82" w14:textId="77777777">
      <w:tc>
        <w:tcPr>
          <w:tcW w:w="1060" w:type="pct"/>
        </w:tcPr>
        <w:p w14:paraId="704A44EA" w14:textId="70BB2EE0" w:rsidR="00666D05" w:rsidRPr="00743346" w:rsidRDefault="00666D05" w:rsidP="007D3A36">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CF12D3">
            <w:rPr>
              <w:rFonts w:cs="Arial"/>
              <w:szCs w:val="18"/>
            </w:rPr>
            <w:t>A2019-44</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CF12D3">
            <w:rPr>
              <w:rFonts w:cs="Arial"/>
              <w:szCs w:val="18"/>
            </w:rPr>
            <w:t xml:space="preserve">  </w:t>
          </w:r>
          <w:r w:rsidRPr="00743346">
            <w:rPr>
              <w:rFonts w:cs="Arial"/>
              <w:szCs w:val="18"/>
            </w:rPr>
            <w:fldChar w:fldCharType="end"/>
          </w:r>
        </w:p>
      </w:tc>
      <w:tc>
        <w:tcPr>
          <w:tcW w:w="3094" w:type="pct"/>
        </w:tcPr>
        <w:p w14:paraId="6C42BFBD" w14:textId="5AF60318" w:rsidR="00666D05" w:rsidRPr="00783A18" w:rsidRDefault="004C1D6F" w:rsidP="007D3A36">
          <w:pPr>
            <w:pStyle w:val="Footer"/>
            <w:spacing w:line="240" w:lineRule="auto"/>
            <w:jc w:val="center"/>
            <w:rPr>
              <w:rFonts w:ascii="Times New Roman" w:hAnsi="Times New Roman"/>
              <w:sz w:val="24"/>
              <w:szCs w:val="24"/>
            </w:rPr>
          </w:pPr>
          <w:fldSimple w:instr=" REF Citation *\charformat  \* MERGEFORMAT ">
            <w:r w:rsidR="00CF12D3">
              <w:t>Long Service Leave (Portable Schemes) Amendment Act 2019</w:t>
            </w:r>
          </w:fldSimple>
        </w:p>
        <w:p w14:paraId="57C2A3E1" w14:textId="46217230" w:rsidR="00666D05" w:rsidRPr="00783A18" w:rsidRDefault="00666D05" w:rsidP="007D3A36">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CF12D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CF12D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CF12D3">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6115D012" w14:textId="77777777" w:rsidR="00666D05" w:rsidRPr="0097645D" w:rsidRDefault="00666D05" w:rsidP="007D3A36">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sidR="004C1D6F">
            <w:rPr>
              <w:rStyle w:val="PageNumber"/>
              <w:rFonts w:cs="Arial"/>
              <w:noProof/>
              <w:szCs w:val="18"/>
            </w:rPr>
            <w:t>3</w:t>
          </w:r>
          <w:r w:rsidRPr="0097645D">
            <w:rPr>
              <w:rStyle w:val="PageNumber"/>
              <w:rFonts w:cs="Arial"/>
              <w:szCs w:val="18"/>
            </w:rPr>
            <w:fldChar w:fldCharType="end"/>
          </w:r>
        </w:p>
      </w:tc>
    </w:tr>
  </w:tbl>
  <w:p w14:paraId="42F1AA25" w14:textId="0C7AD3B7" w:rsidR="00666D05" w:rsidRPr="00B56A5F" w:rsidRDefault="004C1D6F" w:rsidP="00B56A5F">
    <w:pPr>
      <w:pStyle w:val="Status"/>
      <w:rPr>
        <w:rFonts w:cs="Arial"/>
      </w:rPr>
    </w:pPr>
    <w:r w:rsidRPr="00B56A5F">
      <w:rPr>
        <w:rFonts w:cs="Arial"/>
      </w:rPr>
      <w:fldChar w:fldCharType="begin"/>
    </w:r>
    <w:r w:rsidRPr="00B56A5F">
      <w:rPr>
        <w:rFonts w:cs="Arial"/>
      </w:rPr>
      <w:instrText xml:space="preserve"> DOCPROPERTY "Status" </w:instrText>
    </w:r>
    <w:r w:rsidRPr="00B56A5F">
      <w:rPr>
        <w:rFonts w:cs="Arial"/>
      </w:rPr>
      <w:fldChar w:fldCharType="separate"/>
    </w:r>
    <w:r w:rsidR="00CF12D3" w:rsidRPr="00B56A5F">
      <w:rPr>
        <w:rFonts w:cs="Arial"/>
      </w:rPr>
      <w:t xml:space="preserve"> </w:t>
    </w:r>
    <w:r w:rsidRPr="00B56A5F">
      <w:rPr>
        <w:rFonts w:cs="Arial"/>
      </w:rPr>
      <w:fldChar w:fldCharType="end"/>
    </w:r>
    <w:r w:rsidR="00B56A5F" w:rsidRPr="00B56A5F">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4BC6C" w14:textId="77777777" w:rsidR="00666D05" w:rsidRDefault="00666D05">
    <w:pPr>
      <w:rPr>
        <w:sz w:val="16"/>
      </w:rPr>
    </w:pPr>
  </w:p>
  <w:p w14:paraId="6E5D78A9" w14:textId="3C6CE81B" w:rsidR="00666D05" w:rsidRDefault="00666D0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CF12D3">
      <w:rPr>
        <w:rFonts w:ascii="Arial" w:hAnsi="Arial"/>
        <w:sz w:val="12"/>
      </w:rPr>
      <w:t>J2019-377</w:t>
    </w:r>
    <w:r>
      <w:rPr>
        <w:rFonts w:ascii="Arial" w:hAnsi="Arial"/>
        <w:sz w:val="12"/>
      </w:rPr>
      <w:fldChar w:fldCharType="end"/>
    </w:r>
  </w:p>
  <w:p w14:paraId="12EAEE4C" w14:textId="173CA461" w:rsidR="00666D05" w:rsidRPr="00B56A5F" w:rsidRDefault="004C1D6F" w:rsidP="00B56A5F">
    <w:pPr>
      <w:pStyle w:val="Status"/>
      <w:tabs>
        <w:tab w:val="center" w:pos="3853"/>
        <w:tab w:val="left" w:pos="4575"/>
      </w:tabs>
      <w:rPr>
        <w:rFonts w:cs="Arial"/>
      </w:rPr>
    </w:pPr>
    <w:r w:rsidRPr="00B56A5F">
      <w:rPr>
        <w:rFonts w:cs="Arial"/>
      </w:rPr>
      <w:fldChar w:fldCharType="begin"/>
    </w:r>
    <w:r w:rsidRPr="00B56A5F">
      <w:rPr>
        <w:rFonts w:cs="Arial"/>
      </w:rPr>
      <w:instrText xml:space="preserve"> DOCPROPERTY "Status" </w:instrText>
    </w:r>
    <w:r w:rsidRPr="00B56A5F">
      <w:rPr>
        <w:rFonts w:cs="Arial"/>
      </w:rPr>
      <w:fldChar w:fldCharType="separate"/>
    </w:r>
    <w:r w:rsidR="00CF12D3" w:rsidRPr="00B56A5F">
      <w:rPr>
        <w:rFonts w:cs="Arial"/>
      </w:rPr>
      <w:t xml:space="preserve"> </w:t>
    </w:r>
    <w:r w:rsidRPr="00B56A5F">
      <w:rPr>
        <w:rFonts w:cs="Arial"/>
      </w:rPr>
      <w:fldChar w:fldCharType="end"/>
    </w:r>
    <w:r w:rsidR="00B56A5F" w:rsidRPr="00B56A5F">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CAE8D" w14:textId="77777777" w:rsidR="00666D05" w:rsidRDefault="00666D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66D05" w:rsidRPr="00CB3D59" w14:paraId="2BAE6613" w14:textId="77777777">
      <w:tc>
        <w:tcPr>
          <w:tcW w:w="847" w:type="pct"/>
        </w:tcPr>
        <w:p w14:paraId="25311C02" w14:textId="77777777" w:rsidR="00666D05" w:rsidRPr="006D109C" w:rsidRDefault="00666D05" w:rsidP="007D3A36">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sidR="004C1D6F">
            <w:rPr>
              <w:rStyle w:val="PageNumber"/>
              <w:rFonts w:cs="Arial"/>
              <w:noProof/>
              <w:szCs w:val="18"/>
            </w:rPr>
            <w:t>18</w:t>
          </w:r>
          <w:r w:rsidRPr="006D109C">
            <w:rPr>
              <w:rStyle w:val="PageNumber"/>
              <w:rFonts w:cs="Arial"/>
              <w:szCs w:val="18"/>
            </w:rPr>
            <w:fldChar w:fldCharType="end"/>
          </w:r>
        </w:p>
      </w:tc>
      <w:tc>
        <w:tcPr>
          <w:tcW w:w="3092" w:type="pct"/>
        </w:tcPr>
        <w:p w14:paraId="680C48D3" w14:textId="5374D332" w:rsidR="00666D05" w:rsidRPr="006D109C" w:rsidRDefault="00666D05" w:rsidP="007D3A36">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F12D3" w:rsidRPr="00CF12D3">
            <w:rPr>
              <w:rFonts w:cs="Arial"/>
              <w:szCs w:val="18"/>
            </w:rPr>
            <w:t>Long Service Leave (</w:t>
          </w:r>
          <w:r w:rsidR="00CF12D3">
            <w:t>Portable Schemes) Amendment Act 2019</w:t>
          </w:r>
          <w:r>
            <w:rPr>
              <w:rFonts w:cs="Arial"/>
              <w:szCs w:val="18"/>
            </w:rPr>
            <w:fldChar w:fldCharType="end"/>
          </w:r>
        </w:p>
        <w:p w14:paraId="3A52A729" w14:textId="4A29A11F" w:rsidR="00666D05" w:rsidRPr="00783A18" w:rsidRDefault="00666D05" w:rsidP="007D3A36">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CF12D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CF12D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CF12D3">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0FE3A7F0" w14:textId="043801CF" w:rsidR="00666D05" w:rsidRPr="006D109C" w:rsidRDefault="00666D05" w:rsidP="007D3A36">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CF12D3">
            <w:rPr>
              <w:rFonts w:cs="Arial"/>
              <w:szCs w:val="18"/>
            </w:rPr>
            <w:t>A2019-44</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CF12D3">
            <w:rPr>
              <w:rFonts w:cs="Arial"/>
              <w:szCs w:val="18"/>
            </w:rPr>
            <w:t xml:space="preserve">  </w:t>
          </w:r>
          <w:r w:rsidRPr="006D109C">
            <w:rPr>
              <w:rFonts w:cs="Arial"/>
              <w:szCs w:val="18"/>
            </w:rPr>
            <w:fldChar w:fldCharType="end"/>
          </w:r>
        </w:p>
      </w:tc>
    </w:tr>
  </w:tbl>
  <w:p w14:paraId="5C8EB01B" w14:textId="367DC6B6" w:rsidR="00666D05" w:rsidRPr="00B56A5F" w:rsidRDefault="004C1D6F" w:rsidP="00B56A5F">
    <w:pPr>
      <w:pStyle w:val="Status"/>
      <w:rPr>
        <w:rFonts w:cs="Arial"/>
      </w:rPr>
    </w:pPr>
    <w:r w:rsidRPr="00B56A5F">
      <w:rPr>
        <w:rFonts w:cs="Arial"/>
      </w:rPr>
      <w:fldChar w:fldCharType="begin"/>
    </w:r>
    <w:r w:rsidRPr="00B56A5F">
      <w:rPr>
        <w:rFonts w:cs="Arial"/>
      </w:rPr>
      <w:instrText xml:space="preserve"> DOCPROPERTY "Status" </w:instrText>
    </w:r>
    <w:r w:rsidRPr="00B56A5F">
      <w:rPr>
        <w:rFonts w:cs="Arial"/>
      </w:rPr>
      <w:fldChar w:fldCharType="separate"/>
    </w:r>
    <w:r w:rsidR="00CF12D3" w:rsidRPr="00B56A5F">
      <w:rPr>
        <w:rFonts w:cs="Arial"/>
      </w:rPr>
      <w:t xml:space="preserve"> </w:t>
    </w:r>
    <w:r w:rsidRPr="00B56A5F">
      <w:rPr>
        <w:rFonts w:cs="Arial"/>
      </w:rPr>
      <w:fldChar w:fldCharType="end"/>
    </w:r>
    <w:r w:rsidR="00B56A5F" w:rsidRPr="00B56A5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85453" w14:textId="77777777" w:rsidR="00666D05" w:rsidRDefault="00666D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66D05" w:rsidRPr="00CB3D59" w14:paraId="3488AA10" w14:textId="77777777">
      <w:tc>
        <w:tcPr>
          <w:tcW w:w="1061" w:type="pct"/>
        </w:tcPr>
        <w:p w14:paraId="13F7E24D" w14:textId="7B330113" w:rsidR="00666D05" w:rsidRPr="006D109C" w:rsidRDefault="00666D05" w:rsidP="007D3A36">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CF12D3">
            <w:rPr>
              <w:rFonts w:cs="Arial"/>
              <w:szCs w:val="18"/>
            </w:rPr>
            <w:t>A2019-44</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CF12D3">
            <w:rPr>
              <w:rFonts w:cs="Arial"/>
              <w:szCs w:val="18"/>
            </w:rPr>
            <w:t xml:space="preserve">  </w:t>
          </w:r>
          <w:r w:rsidRPr="006D109C">
            <w:rPr>
              <w:rFonts w:cs="Arial"/>
              <w:szCs w:val="18"/>
            </w:rPr>
            <w:fldChar w:fldCharType="end"/>
          </w:r>
        </w:p>
      </w:tc>
      <w:tc>
        <w:tcPr>
          <w:tcW w:w="3092" w:type="pct"/>
        </w:tcPr>
        <w:p w14:paraId="27B157E6" w14:textId="7405B24D" w:rsidR="00666D05" w:rsidRPr="006D109C" w:rsidRDefault="00666D05" w:rsidP="007D3A36">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F12D3" w:rsidRPr="00CF12D3">
            <w:rPr>
              <w:rFonts w:cs="Arial"/>
              <w:szCs w:val="18"/>
            </w:rPr>
            <w:t>Long Service Leave (</w:t>
          </w:r>
          <w:r w:rsidR="00CF12D3">
            <w:t>Portable Schemes) Amendment Act 2019</w:t>
          </w:r>
          <w:r>
            <w:rPr>
              <w:rFonts w:cs="Arial"/>
              <w:szCs w:val="18"/>
            </w:rPr>
            <w:fldChar w:fldCharType="end"/>
          </w:r>
        </w:p>
        <w:p w14:paraId="5985E7AC" w14:textId="25415AEF" w:rsidR="00666D05" w:rsidRPr="00783A18" w:rsidRDefault="00666D05" w:rsidP="007D3A36">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CF12D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CF12D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CF12D3">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01159884" w14:textId="77777777" w:rsidR="00666D05" w:rsidRPr="006D109C" w:rsidRDefault="00666D05" w:rsidP="007D3A36">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sidR="004C1D6F">
            <w:rPr>
              <w:rStyle w:val="PageNumber"/>
              <w:rFonts w:cs="Arial"/>
              <w:noProof/>
              <w:szCs w:val="18"/>
            </w:rPr>
            <w:t>19</w:t>
          </w:r>
          <w:r w:rsidRPr="006D109C">
            <w:rPr>
              <w:rStyle w:val="PageNumber"/>
              <w:rFonts w:cs="Arial"/>
              <w:szCs w:val="18"/>
            </w:rPr>
            <w:fldChar w:fldCharType="end"/>
          </w:r>
        </w:p>
      </w:tc>
    </w:tr>
  </w:tbl>
  <w:p w14:paraId="79F104CC" w14:textId="3FA19FD7" w:rsidR="00666D05" w:rsidRPr="00B56A5F" w:rsidRDefault="004C1D6F" w:rsidP="00B56A5F">
    <w:pPr>
      <w:pStyle w:val="Status"/>
      <w:rPr>
        <w:rFonts w:cs="Arial"/>
      </w:rPr>
    </w:pPr>
    <w:r w:rsidRPr="00B56A5F">
      <w:rPr>
        <w:rFonts w:cs="Arial"/>
      </w:rPr>
      <w:fldChar w:fldCharType="begin"/>
    </w:r>
    <w:r w:rsidRPr="00B56A5F">
      <w:rPr>
        <w:rFonts w:cs="Arial"/>
      </w:rPr>
      <w:instrText xml:space="preserve"> DOCPROPERTY "Status" </w:instrText>
    </w:r>
    <w:r w:rsidRPr="00B56A5F">
      <w:rPr>
        <w:rFonts w:cs="Arial"/>
      </w:rPr>
      <w:fldChar w:fldCharType="separate"/>
    </w:r>
    <w:r w:rsidR="00CF12D3" w:rsidRPr="00B56A5F">
      <w:rPr>
        <w:rFonts w:cs="Arial"/>
      </w:rPr>
      <w:t xml:space="preserve"> </w:t>
    </w:r>
    <w:r w:rsidRPr="00B56A5F">
      <w:rPr>
        <w:rFonts w:cs="Arial"/>
      </w:rPr>
      <w:fldChar w:fldCharType="end"/>
    </w:r>
    <w:r w:rsidR="00B56A5F" w:rsidRPr="00B56A5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6BF97" w14:textId="77777777" w:rsidR="00666D05" w:rsidRDefault="00666D05">
    <w:pPr>
      <w:rPr>
        <w:sz w:val="16"/>
      </w:rPr>
    </w:pPr>
  </w:p>
  <w:p w14:paraId="5B90D287" w14:textId="0D0D146B" w:rsidR="00666D05" w:rsidRDefault="00666D0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CF12D3">
      <w:rPr>
        <w:rFonts w:ascii="Arial" w:hAnsi="Arial"/>
        <w:sz w:val="12"/>
      </w:rPr>
      <w:t>J2019-377</w:t>
    </w:r>
    <w:r>
      <w:rPr>
        <w:rFonts w:ascii="Arial" w:hAnsi="Arial"/>
        <w:sz w:val="12"/>
      </w:rPr>
      <w:fldChar w:fldCharType="end"/>
    </w:r>
  </w:p>
  <w:p w14:paraId="5DE97A9B" w14:textId="570A4262" w:rsidR="00666D05" w:rsidRPr="00B56A5F" w:rsidRDefault="004C1D6F" w:rsidP="00B56A5F">
    <w:pPr>
      <w:pStyle w:val="Status"/>
      <w:rPr>
        <w:rFonts w:cs="Arial"/>
      </w:rPr>
    </w:pPr>
    <w:r w:rsidRPr="00B56A5F">
      <w:rPr>
        <w:rFonts w:cs="Arial"/>
      </w:rPr>
      <w:fldChar w:fldCharType="begin"/>
    </w:r>
    <w:r w:rsidRPr="00B56A5F">
      <w:rPr>
        <w:rFonts w:cs="Arial"/>
      </w:rPr>
      <w:instrText xml:space="preserve"> DOCPROPERTY "Status" </w:instrText>
    </w:r>
    <w:r w:rsidRPr="00B56A5F">
      <w:rPr>
        <w:rFonts w:cs="Arial"/>
      </w:rPr>
      <w:fldChar w:fldCharType="separate"/>
    </w:r>
    <w:r w:rsidR="00CF12D3" w:rsidRPr="00B56A5F">
      <w:rPr>
        <w:rFonts w:cs="Arial"/>
      </w:rPr>
      <w:t xml:space="preserve"> </w:t>
    </w:r>
    <w:r w:rsidRPr="00B56A5F">
      <w:rPr>
        <w:rFonts w:cs="Arial"/>
      </w:rPr>
      <w:fldChar w:fldCharType="end"/>
    </w:r>
    <w:r w:rsidR="00B56A5F" w:rsidRPr="00B56A5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A6311" w14:textId="77777777" w:rsidR="00666D05" w:rsidRDefault="00666D0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666D05" w14:paraId="1733CD0E" w14:textId="77777777">
      <w:trPr>
        <w:jc w:val="center"/>
      </w:trPr>
      <w:tc>
        <w:tcPr>
          <w:tcW w:w="1240" w:type="dxa"/>
        </w:tcPr>
        <w:p w14:paraId="29B734DB" w14:textId="77777777" w:rsidR="00666D05" w:rsidRDefault="00666D0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C1D6F">
            <w:rPr>
              <w:rStyle w:val="PageNumber"/>
              <w:noProof/>
            </w:rPr>
            <w:t>28</w:t>
          </w:r>
          <w:r>
            <w:rPr>
              <w:rStyle w:val="PageNumber"/>
            </w:rPr>
            <w:fldChar w:fldCharType="end"/>
          </w:r>
        </w:p>
      </w:tc>
      <w:tc>
        <w:tcPr>
          <w:tcW w:w="4527" w:type="dxa"/>
        </w:tcPr>
        <w:p w14:paraId="74737971" w14:textId="3CF2DAEA" w:rsidR="00666D05" w:rsidRDefault="004C1D6F">
          <w:pPr>
            <w:pStyle w:val="Footer"/>
            <w:jc w:val="center"/>
          </w:pPr>
          <w:fldSimple w:instr=" REF Citation *\charformat ">
            <w:r w:rsidR="00CF12D3">
              <w:t>Long Service Leave (Portable Schemes) Amendment Act 2019</w:t>
            </w:r>
          </w:fldSimple>
        </w:p>
        <w:p w14:paraId="0D06D39F" w14:textId="5B644357" w:rsidR="00666D05" w:rsidRDefault="004C1D6F">
          <w:pPr>
            <w:pStyle w:val="Footer"/>
            <w:spacing w:before="0"/>
            <w:jc w:val="center"/>
          </w:pPr>
          <w:fldSimple w:instr=" DOCPROPERTY &quot;Eff&quot;  *\charformat ">
            <w:r w:rsidR="00CF12D3">
              <w:t xml:space="preserve"> </w:t>
            </w:r>
          </w:fldSimple>
          <w:fldSimple w:instr=" DOCPROPERTY &quot;StartDt&quot;  *\charformat ">
            <w:r w:rsidR="00CF12D3">
              <w:t xml:space="preserve">  </w:t>
            </w:r>
          </w:fldSimple>
          <w:fldSimple w:instr=" DOCPROPERTY &quot;EndDt&quot;  *\charformat ">
            <w:r w:rsidR="00CF12D3">
              <w:t xml:space="preserve">  </w:t>
            </w:r>
          </w:fldSimple>
        </w:p>
      </w:tc>
      <w:tc>
        <w:tcPr>
          <w:tcW w:w="1553" w:type="dxa"/>
        </w:tcPr>
        <w:p w14:paraId="59F14012" w14:textId="46600767" w:rsidR="00666D05" w:rsidRDefault="004C1D6F">
          <w:pPr>
            <w:pStyle w:val="Footer"/>
            <w:jc w:val="right"/>
          </w:pPr>
          <w:fldSimple w:instr=" DOCPROPERTY &quot;Category&quot;  *\charformat  ">
            <w:r w:rsidR="00CF12D3">
              <w:t>A2019-44</w:t>
            </w:r>
          </w:fldSimple>
          <w:r w:rsidR="00666D05">
            <w:br/>
          </w:r>
          <w:fldSimple w:instr=" DOCPROPERTY &quot;RepubDt&quot;  *\charformat  ">
            <w:r w:rsidR="00CF12D3">
              <w:t xml:space="preserve">  </w:t>
            </w:r>
          </w:fldSimple>
        </w:p>
      </w:tc>
    </w:tr>
  </w:tbl>
  <w:p w14:paraId="394E55BF" w14:textId="4722D1A8" w:rsidR="00666D05" w:rsidRPr="00B56A5F" w:rsidRDefault="004C1D6F" w:rsidP="00B56A5F">
    <w:pPr>
      <w:pStyle w:val="Status"/>
      <w:rPr>
        <w:rFonts w:cs="Arial"/>
      </w:rPr>
    </w:pPr>
    <w:r w:rsidRPr="00B56A5F">
      <w:rPr>
        <w:rFonts w:cs="Arial"/>
      </w:rPr>
      <w:fldChar w:fldCharType="begin"/>
    </w:r>
    <w:r w:rsidRPr="00B56A5F">
      <w:rPr>
        <w:rFonts w:cs="Arial"/>
      </w:rPr>
      <w:instrText xml:space="preserve"> DOCPROPERTY "Status" </w:instrText>
    </w:r>
    <w:r w:rsidRPr="00B56A5F">
      <w:rPr>
        <w:rFonts w:cs="Arial"/>
      </w:rPr>
      <w:fldChar w:fldCharType="separate"/>
    </w:r>
    <w:r w:rsidR="00CF12D3" w:rsidRPr="00B56A5F">
      <w:rPr>
        <w:rFonts w:cs="Arial"/>
      </w:rPr>
      <w:t xml:space="preserve"> </w:t>
    </w:r>
    <w:r w:rsidRPr="00B56A5F">
      <w:rPr>
        <w:rFonts w:cs="Arial"/>
      </w:rPr>
      <w:fldChar w:fldCharType="end"/>
    </w:r>
    <w:r w:rsidR="00B56A5F" w:rsidRPr="00B56A5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DD351" w14:textId="77777777" w:rsidR="00666D05" w:rsidRDefault="00666D0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666D05" w14:paraId="5056835F" w14:textId="77777777">
      <w:trPr>
        <w:jc w:val="center"/>
      </w:trPr>
      <w:tc>
        <w:tcPr>
          <w:tcW w:w="1553" w:type="dxa"/>
        </w:tcPr>
        <w:p w14:paraId="7920C335" w14:textId="6B4DD25C" w:rsidR="00666D05" w:rsidRDefault="004C1D6F">
          <w:pPr>
            <w:pStyle w:val="Footer"/>
          </w:pPr>
          <w:fldSimple w:instr=" DOCPROPERTY &quot;Category&quot;  *\charformat  ">
            <w:r w:rsidR="00CF12D3">
              <w:t>A2019-44</w:t>
            </w:r>
          </w:fldSimple>
          <w:r w:rsidR="00666D05">
            <w:br/>
          </w:r>
          <w:fldSimple w:instr=" DOCPROPERTY &quot;RepubDt&quot;  *\charformat  ">
            <w:r w:rsidR="00CF12D3">
              <w:t xml:space="preserve">  </w:t>
            </w:r>
          </w:fldSimple>
        </w:p>
      </w:tc>
      <w:tc>
        <w:tcPr>
          <w:tcW w:w="4527" w:type="dxa"/>
        </w:tcPr>
        <w:p w14:paraId="78EDC0F6" w14:textId="1EF16681" w:rsidR="00666D05" w:rsidRDefault="004C1D6F">
          <w:pPr>
            <w:pStyle w:val="Footer"/>
            <w:jc w:val="center"/>
          </w:pPr>
          <w:fldSimple w:instr=" REF Citation *\charformat ">
            <w:r w:rsidR="00CF12D3">
              <w:t>Long Service Leave (Portable Schemes) Amendment Act 2019</w:t>
            </w:r>
          </w:fldSimple>
        </w:p>
        <w:p w14:paraId="54108F2F" w14:textId="236E2CED" w:rsidR="00666D05" w:rsidRDefault="004C1D6F">
          <w:pPr>
            <w:pStyle w:val="Footer"/>
            <w:spacing w:before="0"/>
            <w:jc w:val="center"/>
          </w:pPr>
          <w:fldSimple w:instr=" DOCPROPERTY &quot;Eff&quot;  *\charformat ">
            <w:r w:rsidR="00CF12D3">
              <w:t xml:space="preserve"> </w:t>
            </w:r>
          </w:fldSimple>
          <w:fldSimple w:instr=" DOCPROPERTY &quot;StartDt&quot;  *\charformat ">
            <w:r w:rsidR="00CF12D3">
              <w:t xml:space="preserve">  </w:t>
            </w:r>
          </w:fldSimple>
          <w:fldSimple w:instr=" DOCPROPERTY &quot;EndDt&quot;  *\charformat ">
            <w:r w:rsidR="00CF12D3">
              <w:t xml:space="preserve">  </w:t>
            </w:r>
          </w:fldSimple>
        </w:p>
      </w:tc>
      <w:tc>
        <w:tcPr>
          <w:tcW w:w="1240" w:type="dxa"/>
        </w:tcPr>
        <w:p w14:paraId="1A51D49E" w14:textId="77777777" w:rsidR="00666D05" w:rsidRDefault="00666D0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1FAA26A" w14:textId="123CF229" w:rsidR="00666D05" w:rsidRPr="00B56A5F" w:rsidRDefault="004C1D6F" w:rsidP="00B56A5F">
    <w:pPr>
      <w:pStyle w:val="Status"/>
      <w:rPr>
        <w:rFonts w:cs="Arial"/>
      </w:rPr>
    </w:pPr>
    <w:r w:rsidRPr="00B56A5F">
      <w:rPr>
        <w:rFonts w:cs="Arial"/>
      </w:rPr>
      <w:fldChar w:fldCharType="begin"/>
    </w:r>
    <w:r w:rsidRPr="00B56A5F">
      <w:rPr>
        <w:rFonts w:cs="Arial"/>
      </w:rPr>
      <w:instrText xml:space="preserve"> DOCPROPERTY "Status" </w:instrText>
    </w:r>
    <w:r w:rsidRPr="00B56A5F">
      <w:rPr>
        <w:rFonts w:cs="Arial"/>
      </w:rPr>
      <w:fldChar w:fldCharType="separate"/>
    </w:r>
    <w:r w:rsidR="00CF12D3" w:rsidRPr="00B56A5F">
      <w:rPr>
        <w:rFonts w:cs="Arial"/>
      </w:rPr>
      <w:t xml:space="preserve"> </w:t>
    </w:r>
    <w:r w:rsidRPr="00B56A5F">
      <w:rPr>
        <w:rFonts w:cs="Arial"/>
      </w:rPr>
      <w:fldChar w:fldCharType="end"/>
    </w:r>
    <w:r w:rsidR="00B56A5F" w:rsidRPr="00B56A5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FDE3C" w14:textId="77777777" w:rsidR="00666D05" w:rsidRDefault="00666D05">
      <w:r>
        <w:separator/>
      </w:r>
    </w:p>
  </w:footnote>
  <w:footnote w:type="continuationSeparator" w:id="0">
    <w:p w14:paraId="384CE4EE" w14:textId="77777777" w:rsidR="00666D05" w:rsidRDefault="00666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666D05" w:rsidRPr="00CB3D59" w14:paraId="424D74DF" w14:textId="77777777">
      <w:tc>
        <w:tcPr>
          <w:tcW w:w="900" w:type="pct"/>
        </w:tcPr>
        <w:p w14:paraId="6169F512" w14:textId="77777777" w:rsidR="00666D05" w:rsidRPr="00783A18" w:rsidRDefault="00666D05">
          <w:pPr>
            <w:pStyle w:val="HeaderEven"/>
            <w:rPr>
              <w:rFonts w:ascii="Times New Roman" w:hAnsi="Times New Roman"/>
              <w:sz w:val="24"/>
              <w:szCs w:val="24"/>
            </w:rPr>
          </w:pPr>
        </w:p>
      </w:tc>
      <w:tc>
        <w:tcPr>
          <w:tcW w:w="4100" w:type="pct"/>
        </w:tcPr>
        <w:p w14:paraId="38EB9F5D" w14:textId="77777777" w:rsidR="00666D05" w:rsidRPr="00783A18" w:rsidRDefault="00666D05">
          <w:pPr>
            <w:pStyle w:val="HeaderEven"/>
            <w:rPr>
              <w:rFonts w:ascii="Times New Roman" w:hAnsi="Times New Roman"/>
              <w:sz w:val="24"/>
              <w:szCs w:val="24"/>
            </w:rPr>
          </w:pPr>
        </w:p>
      </w:tc>
    </w:tr>
    <w:tr w:rsidR="00666D05" w:rsidRPr="00CB3D59" w14:paraId="23B8F729" w14:textId="77777777">
      <w:tc>
        <w:tcPr>
          <w:tcW w:w="4100" w:type="pct"/>
          <w:gridSpan w:val="2"/>
          <w:tcBorders>
            <w:bottom w:val="single" w:sz="4" w:space="0" w:color="auto"/>
          </w:tcBorders>
        </w:tcPr>
        <w:p w14:paraId="308970CB" w14:textId="5E22C20F" w:rsidR="00666D05" w:rsidRPr="0097645D" w:rsidRDefault="004C1D6F" w:rsidP="007D3A36">
          <w:pPr>
            <w:pStyle w:val="HeaderEven6"/>
            <w:rPr>
              <w:rFonts w:cs="Arial"/>
              <w:szCs w:val="18"/>
            </w:rPr>
          </w:pPr>
          <w:fldSimple w:instr=" STYLEREF charContents \* MERGEFORMAT ">
            <w:r w:rsidR="00B56A5F">
              <w:rPr>
                <w:noProof/>
              </w:rPr>
              <w:t>Contents</w:t>
            </w:r>
          </w:fldSimple>
        </w:p>
      </w:tc>
    </w:tr>
  </w:tbl>
  <w:p w14:paraId="09EEAA74" w14:textId="000D35B2" w:rsidR="00666D05" w:rsidRDefault="00666D05">
    <w:pPr>
      <w:pStyle w:val="N-9pt"/>
    </w:pPr>
    <w:r>
      <w:tab/>
    </w:r>
    <w:fldSimple w:instr=" STYLEREF charPage \* MERGEFORMAT ">
      <w:r w:rsidR="00B56A5F">
        <w:rPr>
          <w:noProof/>
        </w:rPr>
        <w:t>Page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666D05" w:rsidRPr="00CB3D59" w14:paraId="3648F5E8" w14:textId="77777777">
      <w:tc>
        <w:tcPr>
          <w:tcW w:w="4100" w:type="pct"/>
        </w:tcPr>
        <w:p w14:paraId="408BCBCA" w14:textId="77777777" w:rsidR="00666D05" w:rsidRPr="00783A18" w:rsidRDefault="00666D05" w:rsidP="007D3A36">
          <w:pPr>
            <w:pStyle w:val="HeaderOdd"/>
            <w:jc w:val="left"/>
            <w:rPr>
              <w:rFonts w:ascii="Times New Roman" w:hAnsi="Times New Roman"/>
              <w:sz w:val="24"/>
              <w:szCs w:val="24"/>
            </w:rPr>
          </w:pPr>
        </w:p>
      </w:tc>
      <w:tc>
        <w:tcPr>
          <w:tcW w:w="900" w:type="pct"/>
        </w:tcPr>
        <w:p w14:paraId="4E15D2E8" w14:textId="77777777" w:rsidR="00666D05" w:rsidRPr="00783A18" w:rsidRDefault="00666D05" w:rsidP="007D3A36">
          <w:pPr>
            <w:pStyle w:val="HeaderOdd"/>
            <w:jc w:val="left"/>
            <w:rPr>
              <w:rFonts w:ascii="Times New Roman" w:hAnsi="Times New Roman"/>
              <w:sz w:val="24"/>
              <w:szCs w:val="24"/>
            </w:rPr>
          </w:pPr>
        </w:p>
      </w:tc>
    </w:tr>
    <w:tr w:rsidR="00666D05" w:rsidRPr="00CB3D59" w14:paraId="552ECC18" w14:textId="77777777">
      <w:tc>
        <w:tcPr>
          <w:tcW w:w="900" w:type="pct"/>
          <w:gridSpan w:val="2"/>
          <w:tcBorders>
            <w:bottom w:val="single" w:sz="4" w:space="0" w:color="auto"/>
          </w:tcBorders>
        </w:tcPr>
        <w:p w14:paraId="280EA724" w14:textId="46153564" w:rsidR="00666D05" w:rsidRPr="0097645D" w:rsidRDefault="004C1D6F" w:rsidP="007D3A36">
          <w:pPr>
            <w:pStyle w:val="HeaderOdd6"/>
            <w:jc w:val="left"/>
            <w:rPr>
              <w:rFonts w:cs="Arial"/>
              <w:szCs w:val="18"/>
            </w:rPr>
          </w:pPr>
          <w:fldSimple w:instr=" STYLEREF charContents \* MERGEFORMAT ">
            <w:r w:rsidR="00B56A5F">
              <w:rPr>
                <w:noProof/>
              </w:rPr>
              <w:t>Contents</w:t>
            </w:r>
          </w:fldSimple>
        </w:p>
      </w:tc>
    </w:tr>
  </w:tbl>
  <w:p w14:paraId="7F58A183" w14:textId="50933498" w:rsidR="00666D05" w:rsidRDefault="00666D05">
    <w:pPr>
      <w:pStyle w:val="N-9pt"/>
    </w:pPr>
    <w:r>
      <w:tab/>
    </w:r>
    <w:fldSimple w:instr=" STYLEREF charPage \* MERGEFORMAT ">
      <w:r w:rsidR="00B56A5F">
        <w:rPr>
          <w:noProof/>
        </w:rPr>
        <w:t>Page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75536" w14:textId="77777777" w:rsidR="00B56A5F" w:rsidRDefault="00B56A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642"/>
      <w:gridCol w:w="6065"/>
    </w:tblGrid>
    <w:tr w:rsidR="00666D05" w:rsidRPr="00CB3D59" w14:paraId="2073CF19" w14:textId="77777777" w:rsidTr="007D3A36">
      <w:tc>
        <w:tcPr>
          <w:tcW w:w="1701" w:type="dxa"/>
        </w:tcPr>
        <w:p w14:paraId="664840EF" w14:textId="1248B62A" w:rsidR="00666D05" w:rsidRPr="006D109C" w:rsidRDefault="00666D05">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7CF00EC6" w14:textId="15DC2E1C" w:rsidR="00666D05" w:rsidRPr="006D109C" w:rsidRDefault="00666D05">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666D05" w:rsidRPr="00CB3D59" w14:paraId="3CB2C958" w14:textId="77777777" w:rsidTr="007D3A36">
      <w:tc>
        <w:tcPr>
          <w:tcW w:w="1701" w:type="dxa"/>
        </w:tcPr>
        <w:p w14:paraId="15DCADA7" w14:textId="7E8FA4C8" w:rsidR="00666D05" w:rsidRPr="006D109C" w:rsidRDefault="00666D05">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4DFEA2A7" w14:textId="1EFD421F" w:rsidR="00666D05" w:rsidRPr="006D109C" w:rsidRDefault="00666D05">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666D05" w:rsidRPr="00CB3D59" w14:paraId="6D4EDD4B" w14:textId="77777777" w:rsidTr="007D3A36">
      <w:trPr>
        <w:cantSplit/>
      </w:trPr>
      <w:tc>
        <w:tcPr>
          <w:tcW w:w="1701" w:type="dxa"/>
          <w:gridSpan w:val="2"/>
          <w:tcBorders>
            <w:bottom w:val="single" w:sz="4" w:space="0" w:color="auto"/>
          </w:tcBorders>
        </w:tcPr>
        <w:p w14:paraId="31E3054B" w14:textId="14B6592F" w:rsidR="00666D05" w:rsidRPr="006D109C" w:rsidRDefault="00666D05" w:rsidP="007D3A36">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CF12D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B56A5F">
            <w:rPr>
              <w:rFonts w:cs="Arial"/>
              <w:noProof/>
              <w:szCs w:val="18"/>
            </w:rPr>
            <w:t>36</w:t>
          </w:r>
          <w:r w:rsidRPr="006D109C">
            <w:rPr>
              <w:rFonts w:cs="Arial"/>
              <w:szCs w:val="18"/>
            </w:rPr>
            <w:fldChar w:fldCharType="end"/>
          </w:r>
        </w:p>
      </w:tc>
    </w:tr>
  </w:tbl>
  <w:p w14:paraId="058C784A" w14:textId="77777777" w:rsidR="00666D05" w:rsidRDefault="00666D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068"/>
      <w:gridCol w:w="1639"/>
    </w:tblGrid>
    <w:tr w:rsidR="00666D05" w:rsidRPr="00CB3D59" w14:paraId="23E5B6FE" w14:textId="77777777" w:rsidTr="007D3A36">
      <w:tc>
        <w:tcPr>
          <w:tcW w:w="6320" w:type="dxa"/>
        </w:tcPr>
        <w:p w14:paraId="15439693" w14:textId="19FE843F" w:rsidR="00666D05" w:rsidRPr="006D109C" w:rsidRDefault="00666D0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5CF45174" w14:textId="0933191A" w:rsidR="00666D05" w:rsidRPr="006D109C" w:rsidRDefault="00666D0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666D05" w:rsidRPr="00CB3D59" w14:paraId="694D366B" w14:textId="77777777" w:rsidTr="007D3A36">
      <w:tc>
        <w:tcPr>
          <w:tcW w:w="6320" w:type="dxa"/>
        </w:tcPr>
        <w:p w14:paraId="3EA9FEAC" w14:textId="7FC86F00" w:rsidR="00666D05" w:rsidRPr="006D109C" w:rsidRDefault="00666D0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1A9BE281" w14:textId="790F0704" w:rsidR="00666D05" w:rsidRPr="006D109C" w:rsidRDefault="00666D0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666D05" w:rsidRPr="00CB3D59" w14:paraId="395E98E2" w14:textId="77777777" w:rsidTr="007D3A36">
      <w:trPr>
        <w:cantSplit/>
      </w:trPr>
      <w:tc>
        <w:tcPr>
          <w:tcW w:w="1701" w:type="dxa"/>
          <w:gridSpan w:val="2"/>
          <w:tcBorders>
            <w:bottom w:val="single" w:sz="4" w:space="0" w:color="auto"/>
          </w:tcBorders>
        </w:tcPr>
        <w:p w14:paraId="522D929E" w14:textId="4FE9C831" w:rsidR="00666D05" w:rsidRPr="006D109C" w:rsidRDefault="00666D05" w:rsidP="007D3A36">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CF12D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B56A5F">
            <w:rPr>
              <w:rFonts w:cs="Arial"/>
              <w:noProof/>
              <w:szCs w:val="18"/>
            </w:rPr>
            <w:t>37</w:t>
          </w:r>
          <w:r w:rsidRPr="006D109C">
            <w:rPr>
              <w:rFonts w:cs="Arial"/>
              <w:szCs w:val="18"/>
            </w:rPr>
            <w:fldChar w:fldCharType="end"/>
          </w:r>
        </w:p>
      </w:tc>
    </w:tr>
  </w:tbl>
  <w:p w14:paraId="7D1BD5A3" w14:textId="77777777" w:rsidR="00666D05" w:rsidRDefault="00666D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1304"/>
      <w:gridCol w:w="6403"/>
    </w:tblGrid>
    <w:tr w:rsidR="00666D05" w14:paraId="42BEF9E2" w14:textId="77777777">
      <w:trPr>
        <w:jc w:val="center"/>
      </w:trPr>
      <w:tc>
        <w:tcPr>
          <w:tcW w:w="1234" w:type="dxa"/>
        </w:tcPr>
        <w:p w14:paraId="737FF1DD" w14:textId="77777777" w:rsidR="00666D05" w:rsidRDefault="00666D05">
          <w:pPr>
            <w:pStyle w:val="HeaderEven"/>
          </w:pPr>
        </w:p>
      </w:tc>
      <w:tc>
        <w:tcPr>
          <w:tcW w:w="6062" w:type="dxa"/>
        </w:tcPr>
        <w:p w14:paraId="0E6E910B" w14:textId="77777777" w:rsidR="00666D05" w:rsidRDefault="00666D05">
          <w:pPr>
            <w:pStyle w:val="HeaderEven"/>
          </w:pPr>
        </w:p>
      </w:tc>
    </w:tr>
    <w:tr w:rsidR="00666D05" w14:paraId="389D41E6" w14:textId="77777777">
      <w:trPr>
        <w:jc w:val="center"/>
      </w:trPr>
      <w:tc>
        <w:tcPr>
          <w:tcW w:w="1234" w:type="dxa"/>
        </w:tcPr>
        <w:p w14:paraId="3385375B" w14:textId="77777777" w:rsidR="00666D05" w:rsidRDefault="00666D05">
          <w:pPr>
            <w:pStyle w:val="HeaderEven"/>
          </w:pPr>
        </w:p>
      </w:tc>
      <w:tc>
        <w:tcPr>
          <w:tcW w:w="6062" w:type="dxa"/>
        </w:tcPr>
        <w:p w14:paraId="18A97940" w14:textId="77777777" w:rsidR="00666D05" w:rsidRDefault="00666D05">
          <w:pPr>
            <w:pStyle w:val="HeaderEven"/>
          </w:pPr>
        </w:p>
      </w:tc>
    </w:tr>
    <w:tr w:rsidR="00666D05" w14:paraId="0D17E6BF" w14:textId="77777777">
      <w:trPr>
        <w:cantSplit/>
        <w:jc w:val="center"/>
      </w:trPr>
      <w:tc>
        <w:tcPr>
          <w:tcW w:w="7296" w:type="dxa"/>
          <w:gridSpan w:val="2"/>
          <w:tcBorders>
            <w:bottom w:val="single" w:sz="4" w:space="0" w:color="auto"/>
          </w:tcBorders>
        </w:tcPr>
        <w:p w14:paraId="03F5F07F" w14:textId="77777777" w:rsidR="00666D05" w:rsidRDefault="00666D05">
          <w:pPr>
            <w:pStyle w:val="HeaderEven6"/>
          </w:pPr>
        </w:p>
      </w:tc>
    </w:tr>
  </w:tbl>
  <w:p w14:paraId="68FBE01C" w14:textId="77777777" w:rsidR="00666D05" w:rsidRDefault="00666D0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6403"/>
      <w:gridCol w:w="1304"/>
    </w:tblGrid>
    <w:tr w:rsidR="00666D05" w14:paraId="2D476496" w14:textId="77777777">
      <w:trPr>
        <w:jc w:val="center"/>
      </w:trPr>
      <w:tc>
        <w:tcPr>
          <w:tcW w:w="6062" w:type="dxa"/>
        </w:tcPr>
        <w:p w14:paraId="7FBE207C" w14:textId="77777777" w:rsidR="00666D05" w:rsidRDefault="00666D05">
          <w:pPr>
            <w:pStyle w:val="HeaderOdd"/>
          </w:pPr>
        </w:p>
      </w:tc>
      <w:tc>
        <w:tcPr>
          <w:tcW w:w="1234" w:type="dxa"/>
        </w:tcPr>
        <w:p w14:paraId="3BF125E4" w14:textId="77777777" w:rsidR="00666D05" w:rsidRDefault="00666D05">
          <w:pPr>
            <w:pStyle w:val="HeaderOdd"/>
          </w:pPr>
        </w:p>
      </w:tc>
    </w:tr>
    <w:tr w:rsidR="00666D05" w14:paraId="1C79B1B6" w14:textId="77777777">
      <w:trPr>
        <w:jc w:val="center"/>
      </w:trPr>
      <w:tc>
        <w:tcPr>
          <w:tcW w:w="6062" w:type="dxa"/>
        </w:tcPr>
        <w:p w14:paraId="26EA9048" w14:textId="77777777" w:rsidR="00666D05" w:rsidRDefault="00666D05">
          <w:pPr>
            <w:pStyle w:val="HeaderOdd"/>
          </w:pPr>
        </w:p>
      </w:tc>
      <w:tc>
        <w:tcPr>
          <w:tcW w:w="1234" w:type="dxa"/>
        </w:tcPr>
        <w:p w14:paraId="0FADE011" w14:textId="77777777" w:rsidR="00666D05" w:rsidRDefault="00666D05">
          <w:pPr>
            <w:pStyle w:val="HeaderOdd"/>
          </w:pPr>
        </w:p>
      </w:tc>
    </w:tr>
    <w:tr w:rsidR="00666D05" w14:paraId="2D13E1A5" w14:textId="77777777">
      <w:trPr>
        <w:jc w:val="center"/>
      </w:trPr>
      <w:tc>
        <w:tcPr>
          <w:tcW w:w="7296" w:type="dxa"/>
          <w:gridSpan w:val="2"/>
          <w:tcBorders>
            <w:bottom w:val="single" w:sz="4" w:space="0" w:color="auto"/>
          </w:tcBorders>
        </w:tcPr>
        <w:p w14:paraId="03A35C2D" w14:textId="77777777" w:rsidR="00666D05" w:rsidRDefault="00666D05">
          <w:pPr>
            <w:pStyle w:val="HeaderOdd6"/>
          </w:pPr>
        </w:p>
      </w:tc>
    </w:tr>
  </w:tbl>
  <w:p w14:paraId="6EC452BA" w14:textId="77777777" w:rsidR="00666D05" w:rsidRDefault="00666D0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666D05" w:rsidRPr="00E06D02" w14:paraId="3A40374D" w14:textId="77777777" w:rsidTr="00567644">
      <w:trPr>
        <w:jc w:val="center"/>
      </w:trPr>
      <w:tc>
        <w:tcPr>
          <w:tcW w:w="1068" w:type="pct"/>
        </w:tcPr>
        <w:p w14:paraId="499FB680" w14:textId="77777777" w:rsidR="00666D05" w:rsidRPr="00567644" w:rsidRDefault="00666D05" w:rsidP="00567644">
          <w:pPr>
            <w:pStyle w:val="HeaderEven"/>
            <w:tabs>
              <w:tab w:val="left" w:pos="700"/>
            </w:tabs>
            <w:ind w:left="697" w:hanging="697"/>
            <w:rPr>
              <w:rFonts w:cs="Arial"/>
              <w:szCs w:val="18"/>
            </w:rPr>
          </w:pPr>
        </w:p>
      </w:tc>
      <w:tc>
        <w:tcPr>
          <w:tcW w:w="3932" w:type="pct"/>
        </w:tcPr>
        <w:p w14:paraId="0F2930C2" w14:textId="77777777" w:rsidR="00666D05" w:rsidRPr="00567644" w:rsidRDefault="00666D05" w:rsidP="00567644">
          <w:pPr>
            <w:pStyle w:val="HeaderEven"/>
            <w:tabs>
              <w:tab w:val="left" w:pos="700"/>
            </w:tabs>
            <w:ind w:left="697" w:hanging="697"/>
            <w:rPr>
              <w:rFonts w:cs="Arial"/>
              <w:szCs w:val="18"/>
            </w:rPr>
          </w:pPr>
        </w:p>
      </w:tc>
    </w:tr>
    <w:tr w:rsidR="00666D05" w:rsidRPr="00E06D02" w14:paraId="470E8D04" w14:textId="77777777" w:rsidTr="00567644">
      <w:trPr>
        <w:jc w:val="center"/>
      </w:trPr>
      <w:tc>
        <w:tcPr>
          <w:tcW w:w="1068" w:type="pct"/>
        </w:tcPr>
        <w:p w14:paraId="4C9660FC" w14:textId="77777777" w:rsidR="00666D05" w:rsidRPr="00567644" w:rsidRDefault="00666D05" w:rsidP="00567644">
          <w:pPr>
            <w:pStyle w:val="HeaderEven"/>
            <w:tabs>
              <w:tab w:val="left" w:pos="700"/>
            </w:tabs>
            <w:ind w:left="697" w:hanging="697"/>
            <w:rPr>
              <w:rFonts w:cs="Arial"/>
              <w:szCs w:val="18"/>
            </w:rPr>
          </w:pPr>
        </w:p>
      </w:tc>
      <w:tc>
        <w:tcPr>
          <w:tcW w:w="3932" w:type="pct"/>
        </w:tcPr>
        <w:p w14:paraId="40137F7C" w14:textId="77777777" w:rsidR="00666D05" w:rsidRPr="00567644" w:rsidRDefault="00666D05" w:rsidP="00567644">
          <w:pPr>
            <w:pStyle w:val="HeaderEven"/>
            <w:tabs>
              <w:tab w:val="left" w:pos="700"/>
            </w:tabs>
            <w:ind w:left="697" w:hanging="697"/>
            <w:rPr>
              <w:rFonts w:cs="Arial"/>
              <w:szCs w:val="18"/>
            </w:rPr>
          </w:pPr>
        </w:p>
      </w:tc>
    </w:tr>
    <w:tr w:rsidR="00666D05" w:rsidRPr="00E06D02" w14:paraId="2975CC37" w14:textId="77777777" w:rsidTr="00567644">
      <w:trPr>
        <w:cantSplit/>
        <w:jc w:val="center"/>
      </w:trPr>
      <w:tc>
        <w:tcPr>
          <w:tcW w:w="4997" w:type="pct"/>
          <w:gridSpan w:val="2"/>
          <w:tcBorders>
            <w:bottom w:val="single" w:sz="4" w:space="0" w:color="auto"/>
          </w:tcBorders>
        </w:tcPr>
        <w:p w14:paraId="1444AB8C" w14:textId="77777777" w:rsidR="00666D05" w:rsidRPr="00567644" w:rsidRDefault="00666D05" w:rsidP="00567644">
          <w:pPr>
            <w:pStyle w:val="HeaderEven6"/>
            <w:tabs>
              <w:tab w:val="left" w:pos="700"/>
            </w:tabs>
            <w:ind w:left="697" w:hanging="697"/>
            <w:rPr>
              <w:szCs w:val="18"/>
            </w:rPr>
          </w:pPr>
        </w:p>
      </w:tc>
    </w:tr>
  </w:tbl>
  <w:p w14:paraId="27280FDB" w14:textId="77777777" w:rsidR="00666D05" w:rsidRDefault="00666D05"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1"/>
  </w:num>
  <w:num w:numId="3">
    <w:abstractNumId w:val="3"/>
  </w:num>
  <w:num w:numId="4">
    <w:abstractNumId w:val="6"/>
  </w:num>
  <w:num w:numId="5">
    <w:abstractNumId w:val="12"/>
  </w:num>
  <w:num w:numId="6">
    <w:abstractNumId w:val="5"/>
  </w:num>
  <w:num w:numId="7">
    <w:abstractNumId w:val="9"/>
  </w:num>
  <w:num w:numId="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64"/>
    <w:rsid w:val="000009EF"/>
    <w:rsid w:val="00000C1F"/>
    <w:rsid w:val="00001072"/>
    <w:rsid w:val="000038FA"/>
    <w:rsid w:val="000043A6"/>
    <w:rsid w:val="00004573"/>
    <w:rsid w:val="0000557B"/>
    <w:rsid w:val="00005825"/>
    <w:rsid w:val="00010513"/>
    <w:rsid w:val="0001347E"/>
    <w:rsid w:val="0002034F"/>
    <w:rsid w:val="000215AA"/>
    <w:rsid w:val="000235B3"/>
    <w:rsid w:val="0002517D"/>
    <w:rsid w:val="00025988"/>
    <w:rsid w:val="00027EC2"/>
    <w:rsid w:val="00030F02"/>
    <w:rsid w:val="0003249F"/>
    <w:rsid w:val="00032F53"/>
    <w:rsid w:val="00033611"/>
    <w:rsid w:val="00036A2C"/>
    <w:rsid w:val="000417E5"/>
    <w:rsid w:val="000420DE"/>
    <w:rsid w:val="000437F0"/>
    <w:rsid w:val="000448E6"/>
    <w:rsid w:val="00045582"/>
    <w:rsid w:val="000462B7"/>
    <w:rsid w:val="00046E24"/>
    <w:rsid w:val="00047170"/>
    <w:rsid w:val="00047369"/>
    <w:rsid w:val="000474F2"/>
    <w:rsid w:val="000510F0"/>
    <w:rsid w:val="00052B1E"/>
    <w:rsid w:val="00055507"/>
    <w:rsid w:val="00055E30"/>
    <w:rsid w:val="00063210"/>
    <w:rsid w:val="00064576"/>
    <w:rsid w:val="000663A1"/>
    <w:rsid w:val="00066CFF"/>
    <w:rsid w:val="00066F6A"/>
    <w:rsid w:val="000702A7"/>
    <w:rsid w:val="00072B06"/>
    <w:rsid w:val="00072ED8"/>
    <w:rsid w:val="000812D4"/>
    <w:rsid w:val="00081D6E"/>
    <w:rsid w:val="0008211A"/>
    <w:rsid w:val="00083C32"/>
    <w:rsid w:val="000906B4"/>
    <w:rsid w:val="00091575"/>
    <w:rsid w:val="000949A6"/>
    <w:rsid w:val="00095165"/>
    <w:rsid w:val="0009641C"/>
    <w:rsid w:val="000978C2"/>
    <w:rsid w:val="000A2213"/>
    <w:rsid w:val="000A5DCB"/>
    <w:rsid w:val="000A5E52"/>
    <w:rsid w:val="000A637A"/>
    <w:rsid w:val="000B0B4A"/>
    <w:rsid w:val="000B16DC"/>
    <w:rsid w:val="000B1C99"/>
    <w:rsid w:val="000B3404"/>
    <w:rsid w:val="000B4951"/>
    <w:rsid w:val="000B5685"/>
    <w:rsid w:val="000B66A0"/>
    <w:rsid w:val="000B729E"/>
    <w:rsid w:val="000C0859"/>
    <w:rsid w:val="000C54A0"/>
    <w:rsid w:val="000C687C"/>
    <w:rsid w:val="000C7832"/>
    <w:rsid w:val="000C7850"/>
    <w:rsid w:val="000D1D34"/>
    <w:rsid w:val="000D54F2"/>
    <w:rsid w:val="000E19DD"/>
    <w:rsid w:val="000E29CA"/>
    <w:rsid w:val="000E5145"/>
    <w:rsid w:val="000E576D"/>
    <w:rsid w:val="000E58C9"/>
    <w:rsid w:val="000F2735"/>
    <w:rsid w:val="000F329E"/>
    <w:rsid w:val="000F3FB4"/>
    <w:rsid w:val="000F544B"/>
    <w:rsid w:val="001002C3"/>
    <w:rsid w:val="00101528"/>
    <w:rsid w:val="00101C1B"/>
    <w:rsid w:val="001033CB"/>
    <w:rsid w:val="001047CB"/>
    <w:rsid w:val="001053AD"/>
    <w:rsid w:val="001058DF"/>
    <w:rsid w:val="00107F85"/>
    <w:rsid w:val="001210D2"/>
    <w:rsid w:val="0012610D"/>
    <w:rsid w:val="00126287"/>
    <w:rsid w:val="0013046D"/>
    <w:rsid w:val="001315A1"/>
    <w:rsid w:val="00132957"/>
    <w:rsid w:val="001343A6"/>
    <w:rsid w:val="0013531D"/>
    <w:rsid w:val="00136FBE"/>
    <w:rsid w:val="00147781"/>
    <w:rsid w:val="00150851"/>
    <w:rsid w:val="001520FC"/>
    <w:rsid w:val="001526C3"/>
    <w:rsid w:val="001533C1"/>
    <w:rsid w:val="00153482"/>
    <w:rsid w:val="00154977"/>
    <w:rsid w:val="001570F0"/>
    <w:rsid w:val="001572E4"/>
    <w:rsid w:val="0016099A"/>
    <w:rsid w:val="00160DF7"/>
    <w:rsid w:val="00160F1E"/>
    <w:rsid w:val="00164204"/>
    <w:rsid w:val="0017182C"/>
    <w:rsid w:val="00172D13"/>
    <w:rsid w:val="001741FF"/>
    <w:rsid w:val="00176AE6"/>
    <w:rsid w:val="0017754B"/>
    <w:rsid w:val="00180311"/>
    <w:rsid w:val="001815FB"/>
    <w:rsid w:val="00181D8C"/>
    <w:rsid w:val="001842C7"/>
    <w:rsid w:val="0019297A"/>
    <w:rsid w:val="00192D1E"/>
    <w:rsid w:val="00193D6B"/>
    <w:rsid w:val="00195101"/>
    <w:rsid w:val="001A351C"/>
    <w:rsid w:val="001A3B6D"/>
    <w:rsid w:val="001A570E"/>
    <w:rsid w:val="001B1114"/>
    <w:rsid w:val="001B1AD4"/>
    <w:rsid w:val="001B218A"/>
    <w:rsid w:val="001B3B53"/>
    <w:rsid w:val="001B449A"/>
    <w:rsid w:val="001B6311"/>
    <w:rsid w:val="001B6BC0"/>
    <w:rsid w:val="001B6F89"/>
    <w:rsid w:val="001B78CC"/>
    <w:rsid w:val="001C1644"/>
    <w:rsid w:val="001C29CC"/>
    <w:rsid w:val="001C4A67"/>
    <w:rsid w:val="001C547E"/>
    <w:rsid w:val="001C7EBB"/>
    <w:rsid w:val="001D08E3"/>
    <w:rsid w:val="001D09C2"/>
    <w:rsid w:val="001D15FB"/>
    <w:rsid w:val="001D1702"/>
    <w:rsid w:val="001D1D33"/>
    <w:rsid w:val="001D1F85"/>
    <w:rsid w:val="001D5164"/>
    <w:rsid w:val="001D53F0"/>
    <w:rsid w:val="001D55FF"/>
    <w:rsid w:val="001D56B4"/>
    <w:rsid w:val="001D5A44"/>
    <w:rsid w:val="001D73DF"/>
    <w:rsid w:val="001E00B8"/>
    <w:rsid w:val="001E0780"/>
    <w:rsid w:val="001E0BBC"/>
    <w:rsid w:val="001E1A01"/>
    <w:rsid w:val="001E4694"/>
    <w:rsid w:val="001E5D92"/>
    <w:rsid w:val="001E6C18"/>
    <w:rsid w:val="001E79DB"/>
    <w:rsid w:val="001F3DB4"/>
    <w:rsid w:val="001F4FBD"/>
    <w:rsid w:val="001F55E5"/>
    <w:rsid w:val="001F5A2B"/>
    <w:rsid w:val="00200557"/>
    <w:rsid w:val="002012E6"/>
    <w:rsid w:val="00202420"/>
    <w:rsid w:val="00203655"/>
    <w:rsid w:val="002037B2"/>
    <w:rsid w:val="00204E34"/>
    <w:rsid w:val="0020610F"/>
    <w:rsid w:val="00210CC6"/>
    <w:rsid w:val="00210E9A"/>
    <w:rsid w:val="00212E7F"/>
    <w:rsid w:val="00217C8C"/>
    <w:rsid w:val="00220592"/>
    <w:rsid w:val="002207C6"/>
    <w:rsid w:val="002208AF"/>
    <w:rsid w:val="0022149F"/>
    <w:rsid w:val="002222A8"/>
    <w:rsid w:val="00222383"/>
    <w:rsid w:val="00225307"/>
    <w:rsid w:val="002263A5"/>
    <w:rsid w:val="00230336"/>
    <w:rsid w:val="00231509"/>
    <w:rsid w:val="00231DA2"/>
    <w:rsid w:val="002337F1"/>
    <w:rsid w:val="00234574"/>
    <w:rsid w:val="002369D6"/>
    <w:rsid w:val="002409EB"/>
    <w:rsid w:val="00246F34"/>
    <w:rsid w:val="002502C9"/>
    <w:rsid w:val="00256093"/>
    <w:rsid w:val="00256E0F"/>
    <w:rsid w:val="00260019"/>
    <w:rsid w:val="0026001C"/>
    <w:rsid w:val="002612B5"/>
    <w:rsid w:val="00261F08"/>
    <w:rsid w:val="00263163"/>
    <w:rsid w:val="0026444E"/>
    <w:rsid w:val="002644DC"/>
    <w:rsid w:val="00267BE3"/>
    <w:rsid w:val="002702D4"/>
    <w:rsid w:val="00272968"/>
    <w:rsid w:val="00273B6D"/>
    <w:rsid w:val="00273D3B"/>
    <w:rsid w:val="00275CE9"/>
    <w:rsid w:val="00276764"/>
    <w:rsid w:val="00282B0F"/>
    <w:rsid w:val="002852C2"/>
    <w:rsid w:val="00287065"/>
    <w:rsid w:val="00290D70"/>
    <w:rsid w:val="002932D2"/>
    <w:rsid w:val="0029692F"/>
    <w:rsid w:val="002A0A86"/>
    <w:rsid w:val="002A3FB9"/>
    <w:rsid w:val="002A6F4D"/>
    <w:rsid w:val="002A756E"/>
    <w:rsid w:val="002B2682"/>
    <w:rsid w:val="002B34CB"/>
    <w:rsid w:val="002B58FC"/>
    <w:rsid w:val="002C0EE7"/>
    <w:rsid w:val="002C241D"/>
    <w:rsid w:val="002C4D3B"/>
    <w:rsid w:val="002C5DB3"/>
    <w:rsid w:val="002C7985"/>
    <w:rsid w:val="002D09CB"/>
    <w:rsid w:val="002D1A58"/>
    <w:rsid w:val="002D26EA"/>
    <w:rsid w:val="002D2A42"/>
    <w:rsid w:val="002D2FE5"/>
    <w:rsid w:val="002E01EA"/>
    <w:rsid w:val="002E144D"/>
    <w:rsid w:val="002E6E0C"/>
    <w:rsid w:val="002F43A0"/>
    <w:rsid w:val="002F51D7"/>
    <w:rsid w:val="002F696A"/>
    <w:rsid w:val="003003EC"/>
    <w:rsid w:val="00303D53"/>
    <w:rsid w:val="003068E0"/>
    <w:rsid w:val="003108D1"/>
    <w:rsid w:val="0031143F"/>
    <w:rsid w:val="00314266"/>
    <w:rsid w:val="00314F06"/>
    <w:rsid w:val="00315B10"/>
    <w:rsid w:val="00315B62"/>
    <w:rsid w:val="00316F7D"/>
    <w:rsid w:val="003179E8"/>
    <w:rsid w:val="00317FDC"/>
    <w:rsid w:val="0032063D"/>
    <w:rsid w:val="00330621"/>
    <w:rsid w:val="00331203"/>
    <w:rsid w:val="0033219B"/>
    <w:rsid w:val="003344D3"/>
    <w:rsid w:val="00336345"/>
    <w:rsid w:val="00342E3D"/>
    <w:rsid w:val="0034336E"/>
    <w:rsid w:val="00344CB8"/>
    <w:rsid w:val="0034583F"/>
    <w:rsid w:val="00346B90"/>
    <w:rsid w:val="003478D2"/>
    <w:rsid w:val="00353474"/>
    <w:rsid w:val="00353FF3"/>
    <w:rsid w:val="00355AD9"/>
    <w:rsid w:val="003574D1"/>
    <w:rsid w:val="00361BE3"/>
    <w:rsid w:val="003646D5"/>
    <w:rsid w:val="003659ED"/>
    <w:rsid w:val="003700C0"/>
    <w:rsid w:val="00370AE8"/>
    <w:rsid w:val="00372EF0"/>
    <w:rsid w:val="00375B2E"/>
    <w:rsid w:val="00377D1F"/>
    <w:rsid w:val="00381D64"/>
    <w:rsid w:val="00384DC9"/>
    <w:rsid w:val="00385097"/>
    <w:rsid w:val="003911D0"/>
    <w:rsid w:val="00391C6F"/>
    <w:rsid w:val="00394154"/>
    <w:rsid w:val="0039435E"/>
    <w:rsid w:val="00394AB7"/>
    <w:rsid w:val="00396646"/>
    <w:rsid w:val="00396B0E"/>
    <w:rsid w:val="003A02AD"/>
    <w:rsid w:val="003A0664"/>
    <w:rsid w:val="003A160E"/>
    <w:rsid w:val="003A44BB"/>
    <w:rsid w:val="003A779F"/>
    <w:rsid w:val="003A7A6C"/>
    <w:rsid w:val="003B01DB"/>
    <w:rsid w:val="003B0F80"/>
    <w:rsid w:val="003B2C7A"/>
    <w:rsid w:val="003B31A1"/>
    <w:rsid w:val="003B6218"/>
    <w:rsid w:val="003B6D60"/>
    <w:rsid w:val="003B6F90"/>
    <w:rsid w:val="003C0702"/>
    <w:rsid w:val="003C0A3A"/>
    <w:rsid w:val="003C50A2"/>
    <w:rsid w:val="003C5312"/>
    <w:rsid w:val="003C6DE9"/>
    <w:rsid w:val="003C6EDF"/>
    <w:rsid w:val="003C7B9C"/>
    <w:rsid w:val="003D034A"/>
    <w:rsid w:val="003D0740"/>
    <w:rsid w:val="003D4AAE"/>
    <w:rsid w:val="003D4C75"/>
    <w:rsid w:val="003D7254"/>
    <w:rsid w:val="003E0653"/>
    <w:rsid w:val="003E6B00"/>
    <w:rsid w:val="003E7FDB"/>
    <w:rsid w:val="003F06EE"/>
    <w:rsid w:val="003F3B87"/>
    <w:rsid w:val="003F4912"/>
    <w:rsid w:val="003F5904"/>
    <w:rsid w:val="003F5B82"/>
    <w:rsid w:val="003F7A0F"/>
    <w:rsid w:val="003F7DB2"/>
    <w:rsid w:val="004005F0"/>
    <w:rsid w:val="0040136F"/>
    <w:rsid w:val="004033B4"/>
    <w:rsid w:val="00403645"/>
    <w:rsid w:val="00404FE0"/>
    <w:rsid w:val="00410C20"/>
    <w:rsid w:val="004110BA"/>
    <w:rsid w:val="004159A3"/>
    <w:rsid w:val="00416A4F"/>
    <w:rsid w:val="00416F52"/>
    <w:rsid w:val="00423AC4"/>
    <w:rsid w:val="00425D2A"/>
    <w:rsid w:val="0042799E"/>
    <w:rsid w:val="004312D5"/>
    <w:rsid w:val="00433064"/>
    <w:rsid w:val="00435893"/>
    <w:rsid w:val="004358D2"/>
    <w:rsid w:val="00436102"/>
    <w:rsid w:val="00440457"/>
    <w:rsid w:val="0044067A"/>
    <w:rsid w:val="00440811"/>
    <w:rsid w:val="004414E0"/>
    <w:rsid w:val="00442F56"/>
    <w:rsid w:val="00443ADD"/>
    <w:rsid w:val="00444785"/>
    <w:rsid w:val="00445ABC"/>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651EF"/>
    <w:rsid w:val="00470B8D"/>
    <w:rsid w:val="00472639"/>
    <w:rsid w:val="00472DD2"/>
    <w:rsid w:val="00475017"/>
    <w:rsid w:val="004751D3"/>
    <w:rsid w:val="00475F03"/>
    <w:rsid w:val="00476DCA"/>
    <w:rsid w:val="00480A8E"/>
    <w:rsid w:val="00481A52"/>
    <w:rsid w:val="00482C91"/>
    <w:rsid w:val="0048525E"/>
    <w:rsid w:val="00486FE2"/>
    <w:rsid w:val="004875BE"/>
    <w:rsid w:val="00487D5F"/>
    <w:rsid w:val="00491236"/>
    <w:rsid w:val="00491D7C"/>
    <w:rsid w:val="00493ED5"/>
    <w:rsid w:val="00494267"/>
    <w:rsid w:val="00497D33"/>
    <w:rsid w:val="004A1E58"/>
    <w:rsid w:val="004A2333"/>
    <w:rsid w:val="004A2FDC"/>
    <w:rsid w:val="004A32C4"/>
    <w:rsid w:val="004A3D43"/>
    <w:rsid w:val="004A419B"/>
    <w:rsid w:val="004B0E9D"/>
    <w:rsid w:val="004B5B98"/>
    <w:rsid w:val="004C1D6F"/>
    <w:rsid w:val="004C2A16"/>
    <w:rsid w:val="004C724A"/>
    <w:rsid w:val="004D080C"/>
    <w:rsid w:val="004D42A8"/>
    <w:rsid w:val="004D4557"/>
    <w:rsid w:val="004D53B8"/>
    <w:rsid w:val="004E2567"/>
    <w:rsid w:val="004E2568"/>
    <w:rsid w:val="004E3576"/>
    <w:rsid w:val="004F1050"/>
    <w:rsid w:val="004F25B3"/>
    <w:rsid w:val="004F6688"/>
    <w:rsid w:val="00501495"/>
    <w:rsid w:val="00503AE3"/>
    <w:rsid w:val="005055B0"/>
    <w:rsid w:val="0050662E"/>
    <w:rsid w:val="00512972"/>
    <w:rsid w:val="00514F25"/>
    <w:rsid w:val="00515082"/>
    <w:rsid w:val="00515D68"/>
    <w:rsid w:val="00515E14"/>
    <w:rsid w:val="005171DC"/>
    <w:rsid w:val="0052097D"/>
    <w:rsid w:val="005218EE"/>
    <w:rsid w:val="005249B7"/>
    <w:rsid w:val="00524CBC"/>
    <w:rsid w:val="005259D1"/>
    <w:rsid w:val="00526CB0"/>
    <w:rsid w:val="00531AF6"/>
    <w:rsid w:val="005337EA"/>
    <w:rsid w:val="0053499F"/>
    <w:rsid w:val="00542E65"/>
    <w:rsid w:val="00543214"/>
    <w:rsid w:val="00543739"/>
    <w:rsid w:val="0054378B"/>
    <w:rsid w:val="00544938"/>
    <w:rsid w:val="00546068"/>
    <w:rsid w:val="005474CA"/>
    <w:rsid w:val="00547C35"/>
    <w:rsid w:val="00551569"/>
    <w:rsid w:val="00552735"/>
    <w:rsid w:val="00552FFB"/>
    <w:rsid w:val="00553EA6"/>
    <w:rsid w:val="005569CD"/>
    <w:rsid w:val="00562392"/>
    <w:rsid w:val="005623AE"/>
    <w:rsid w:val="0056302F"/>
    <w:rsid w:val="0056474D"/>
    <w:rsid w:val="005658C2"/>
    <w:rsid w:val="00567644"/>
    <w:rsid w:val="00567CF2"/>
    <w:rsid w:val="00567EA9"/>
    <w:rsid w:val="00570680"/>
    <w:rsid w:val="005710D7"/>
    <w:rsid w:val="00571859"/>
    <w:rsid w:val="00574382"/>
    <w:rsid w:val="00574534"/>
    <w:rsid w:val="00575646"/>
    <w:rsid w:val="005768D1"/>
    <w:rsid w:val="00580EBD"/>
    <w:rsid w:val="00582B86"/>
    <w:rsid w:val="005840DF"/>
    <w:rsid w:val="005859BF"/>
    <w:rsid w:val="00585C35"/>
    <w:rsid w:val="00587DFD"/>
    <w:rsid w:val="0059278C"/>
    <w:rsid w:val="005945E1"/>
    <w:rsid w:val="00595ED7"/>
    <w:rsid w:val="00596BB3"/>
    <w:rsid w:val="005A4EE0"/>
    <w:rsid w:val="005A5916"/>
    <w:rsid w:val="005B6C66"/>
    <w:rsid w:val="005C28C5"/>
    <w:rsid w:val="005C297B"/>
    <w:rsid w:val="005C2E30"/>
    <w:rsid w:val="005C3189"/>
    <w:rsid w:val="005C3CBD"/>
    <w:rsid w:val="005C4167"/>
    <w:rsid w:val="005C48F8"/>
    <w:rsid w:val="005C4AF9"/>
    <w:rsid w:val="005C78C9"/>
    <w:rsid w:val="005D1B78"/>
    <w:rsid w:val="005D425A"/>
    <w:rsid w:val="005D47C0"/>
    <w:rsid w:val="005D5061"/>
    <w:rsid w:val="005E077A"/>
    <w:rsid w:val="005E0ECD"/>
    <w:rsid w:val="005E139F"/>
    <w:rsid w:val="005E14CB"/>
    <w:rsid w:val="005E178E"/>
    <w:rsid w:val="005E3659"/>
    <w:rsid w:val="005E4DC1"/>
    <w:rsid w:val="005E5186"/>
    <w:rsid w:val="005E749D"/>
    <w:rsid w:val="005F56A8"/>
    <w:rsid w:val="005F58E5"/>
    <w:rsid w:val="006048C7"/>
    <w:rsid w:val="006065D7"/>
    <w:rsid w:val="006065EF"/>
    <w:rsid w:val="00610E78"/>
    <w:rsid w:val="00612BA6"/>
    <w:rsid w:val="00614787"/>
    <w:rsid w:val="00616641"/>
    <w:rsid w:val="00616C21"/>
    <w:rsid w:val="00622136"/>
    <w:rsid w:val="00622BB4"/>
    <w:rsid w:val="006236B5"/>
    <w:rsid w:val="006253B7"/>
    <w:rsid w:val="00627491"/>
    <w:rsid w:val="006320A3"/>
    <w:rsid w:val="00634663"/>
    <w:rsid w:val="00637343"/>
    <w:rsid w:val="00641035"/>
    <w:rsid w:val="00641C9A"/>
    <w:rsid w:val="00641CC6"/>
    <w:rsid w:val="006430DD"/>
    <w:rsid w:val="00643F71"/>
    <w:rsid w:val="00646AED"/>
    <w:rsid w:val="00646CA9"/>
    <w:rsid w:val="00646DF5"/>
    <w:rsid w:val="006473C1"/>
    <w:rsid w:val="00651669"/>
    <w:rsid w:val="00651FCE"/>
    <w:rsid w:val="006522E1"/>
    <w:rsid w:val="00654C2B"/>
    <w:rsid w:val="0065533C"/>
    <w:rsid w:val="006564B9"/>
    <w:rsid w:val="00656C84"/>
    <w:rsid w:val="006570FC"/>
    <w:rsid w:val="00660E96"/>
    <w:rsid w:val="00663500"/>
    <w:rsid w:val="006647A0"/>
    <w:rsid w:val="006656D8"/>
    <w:rsid w:val="00666D05"/>
    <w:rsid w:val="00667638"/>
    <w:rsid w:val="00671280"/>
    <w:rsid w:val="00671AC6"/>
    <w:rsid w:val="00673674"/>
    <w:rsid w:val="00675E77"/>
    <w:rsid w:val="00675EAC"/>
    <w:rsid w:val="00680547"/>
    <w:rsid w:val="00680887"/>
    <w:rsid w:val="00680A95"/>
    <w:rsid w:val="00680C78"/>
    <w:rsid w:val="006835F8"/>
    <w:rsid w:val="0068447C"/>
    <w:rsid w:val="00685233"/>
    <w:rsid w:val="006855FC"/>
    <w:rsid w:val="00687A2B"/>
    <w:rsid w:val="00693C2C"/>
    <w:rsid w:val="00693E6B"/>
    <w:rsid w:val="00694725"/>
    <w:rsid w:val="006978BF"/>
    <w:rsid w:val="00697D73"/>
    <w:rsid w:val="006B5C37"/>
    <w:rsid w:val="006C02F6"/>
    <w:rsid w:val="006C08D3"/>
    <w:rsid w:val="006C265F"/>
    <w:rsid w:val="006C332F"/>
    <w:rsid w:val="006C3D19"/>
    <w:rsid w:val="006C552F"/>
    <w:rsid w:val="006C7597"/>
    <w:rsid w:val="006C7AAC"/>
    <w:rsid w:val="006D0757"/>
    <w:rsid w:val="006D07E0"/>
    <w:rsid w:val="006D3568"/>
    <w:rsid w:val="006D3AEF"/>
    <w:rsid w:val="006D589F"/>
    <w:rsid w:val="006D5E5B"/>
    <w:rsid w:val="006D756E"/>
    <w:rsid w:val="006E0A8E"/>
    <w:rsid w:val="006E0ECE"/>
    <w:rsid w:val="006E2568"/>
    <w:rsid w:val="006E272E"/>
    <w:rsid w:val="006E2DC7"/>
    <w:rsid w:val="006F2595"/>
    <w:rsid w:val="006F6520"/>
    <w:rsid w:val="00700158"/>
    <w:rsid w:val="00701638"/>
    <w:rsid w:val="00702F8D"/>
    <w:rsid w:val="00703E9F"/>
    <w:rsid w:val="00704185"/>
    <w:rsid w:val="00706105"/>
    <w:rsid w:val="00712115"/>
    <w:rsid w:val="007123AC"/>
    <w:rsid w:val="00715DE2"/>
    <w:rsid w:val="00716D6A"/>
    <w:rsid w:val="00726FD8"/>
    <w:rsid w:val="00730107"/>
    <w:rsid w:val="00730EBF"/>
    <w:rsid w:val="007319BE"/>
    <w:rsid w:val="007327A5"/>
    <w:rsid w:val="0073456C"/>
    <w:rsid w:val="00734B8B"/>
    <w:rsid w:val="00734DC1"/>
    <w:rsid w:val="007360AB"/>
    <w:rsid w:val="007362DE"/>
    <w:rsid w:val="00737580"/>
    <w:rsid w:val="0074064C"/>
    <w:rsid w:val="007421C8"/>
    <w:rsid w:val="00743755"/>
    <w:rsid w:val="007437FB"/>
    <w:rsid w:val="007444A1"/>
    <w:rsid w:val="0074494A"/>
    <w:rsid w:val="007449BF"/>
    <w:rsid w:val="0074503E"/>
    <w:rsid w:val="007473D0"/>
    <w:rsid w:val="00747C76"/>
    <w:rsid w:val="00750265"/>
    <w:rsid w:val="00751DF6"/>
    <w:rsid w:val="00752129"/>
    <w:rsid w:val="00753207"/>
    <w:rsid w:val="00753320"/>
    <w:rsid w:val="00753ABC"/>
    <w:rsid w:val="00756CF6"/>
    <w:rsid w:val="0075703F"/>
    <w:rsid w:val="00757268"/>
    <w:rsid w:val="0075734B"/>
    <w:rsid w:val="00761B09"/>
    <w:rsid w:val="00761C8E"/>
    <w:rsid w:val="00762E3C"/>
    <w:rsid w:val="00763210"/>
    <w:rsid w:val="00763EBC"/>
    <w:rsid w:val="0076666F"/>
    <w:rsid w:val="007669F7"/>
    <w:rsid w:val="00766B26"/>
    <w:rsid w:val="00766D30"/>
    <w:rsid w:val="00770EB6"/>
    <w:rsid w:val="0077185E"/>
    <w:rsid w:val="00776635"/>
    <w:rsid w:val="00776724"/>
    <w:rsid w:val="007807B1"/>
    <w:rsid w:val="0078210C"/>
    <w:rsid w:val="00784BA5"/>
    <w:rsid w:val="0078654C"/>
    <w:rsid w:val="00786614"/>
    <w:rsid w:val="00790420"/>
    <w:rsid w:val="00792C4D"/>
    <w:rsid w:val="00793841"/>
    <w:rsid w:val="00793FEA"/>
    <w:rsid w:val="00794CA5"/>
    <w:rsid w:val="007979AF"/>
    <w:rsid w:val="007A096B"/>
    <w:rsid w:val="007A3D83"/>
    <w:rsid w:val="007A3FCA"/>
    <w:rsid w:val="007A6970"/>
    <w:rsid w:val="007A70B1"/>
    <w:rsid w:val="007A7919"/>
    <w:rsid w:val="007B0D31"/>
    <w:rsid w:val="007B1D57"/>
    <w:rsid w:val="007B32F0"/>
    <w:rsid w:val="007B3910"/>
    <w:rsid w:val="007B7AD6"/>
    <w:rsid w:val="007B7D81"/>
    <w:rsid w:val="007C0463"/>
    <w:rsid w:val="007C214C"/>
    <w:rsid w:val="007C29F6"/>
    <w:rsid w:val="007C3BD1"/>
    <w:rsid w:val="007C401E"/>
    <w:rsid w:val="007D2426"/>
    <w:rsid w:val="007D3A36"/>
    <w:rsid w:val="007D3EA1"/>
    <w:rsid w:val="007D4AFE"/>
    <w:rsid w:val="007D78B4"/>
    <w:rsid w:val="007E10D3"/>
    <w:rsid w:val="007E54BB"/>
    <w:rsid w:val="007E6376"/>
    <w:rsid w:val="007F0503"/>
    <w:rsid w:val="007F0D05"/>
    <w:rsid w:val="007F228D"/>
    <w:rsid w:val="007F30A9"/>
    <w:rsid w:val="007F3E33"/>
    <w:rsid w:val="00800B18"/>
    <w:rsid w:val="00804649"/>
    <w:rsid w:val="00806717"/>
    <w:rsid w:val="008073DD"/>
    <w:rsid w:val="008109A6"/>
    <w:rsid w:val="00810DFB"/>
    <w:rsid w:val="00811382"/>
    <w:rsid w:val="00820CF5"/>
    <w:rsid w:val="008211B6"/>
    <w:rsid w:val="008255E8"/>
    <w:rsid w:val="008267A3"/>
    <w:rsid w:val="00827747"/>
    <w:rsid w:val="0083086E"/>
    <w:rsid w:val="0083262F"/>
    <w:rsid w:val="008337C1"/>
    <w:rsid w:val="00833D0D"/>
    <w:rsid w:val="00834DA5"/>
    <w:rsid w:val="00835EB8"/>
    <w:rsid w:val="00836340"/>
    <w:rsid w:val="00837C3E"/>
    <w:rsid w:val="00837DCE"/>
    <w:rsid w:val="00840390"/>
    <w:rsid w:val="00843CDB"/>
    <w:rsid w:val="00844CE0"/>
    <w:rsid w:val="00850545"/>
    <w:rsid w:val="00850574"/>
    <w:rsid w:val="008628C6"/>
    <w:rsid w:val="008630BC"/>
    <w:rsid w:val="00864543"/>
    <w:rsid w:val="00865893"/>
    <w:rsid w:val="00866E4A"/>
    <w:rsid w:val="00866F6F"/>
    <w:rsid w:val="00867846"/>
    <w:rsid w:val="0087063D"/>
    <w:rsid w:val="008718D0"/>
    <w:rsid w:val="008719B7"/>
    <w:rsid w:val="00875E43"/>
    <w:rsid w:val="00875F55"/>
    <w:rsid w:val="008803D6"/>
    <w:rsid w:val="008812A1"/>
    <w:rsid w:val="00883905"/>
    <w:rsid w:val="00883D8E"/>
    <w:rsid w:val="00884870"/>
    <w:rsid w:val="00884D43"/>
    <w:rsid w:val="008907B4"/>
    <w:rsid w:val="0089158A"/>
    <w:rsid w:val="00892401"/>
    <w:rsid w:val="0089523E"/>
    <w:rsid w:val="008955D1"/>
    <w:rsid w:val="008957EE"/>
    <w:rsid w:val="00896657"/>
    <w:rsid w:val="008A012C"/>
    <w:rsid w:val="008A3E95"/>
    <w:rsid w:val="008A4C1E"/>
    <w:rsid w:val="008B6788"/>
    <w:rsid w:val="008B779C"/>
    <w:rsid w:val="008B7D6F"/>
    <w:rsid w:val="008C1F06"/>
    <w:rsid w:val="008C30F5"/>
    <w:rsid w:val="008C72B4"/>
    <w:rsid w:val="008D5A07"/>
    <w:rsid w:val="008D6275"/>
    <w:rsid w:val="008E1838"/>
    <w:rsid w:val="008E2C2B"/>
    <w:rsid w:val="008E3EA7"/>
    <w:rsid w:val="008E5040"/>
    <w:rsid w:val="008E5B5E"/>
    <w:rsid w:val="008E7EE9"/>
    <w:rsid w:val="008F08EB"/>
    <w:rsid w:val="008F13A0"/>
    <w:rsid w:val="008F27EA"/>
    <w:rsid w:val="008F283D"/>
    <w:rsid w:val="008F39EB"/>
    <w:rsid w:val="008F3CA6"/>
    <w:rsid w:val="008F740F"/>
    <w:rsid w:val="009005E6"/>
    <w:rsid w:val="00900ACF"/>
    <w:rsid w:val="009016CF"/>
    <w:rsid w:val="0090415D"/>
    <w:rsid w:val="00911C30"/>
    <w:rsid w:val="00911E4C"/>
    <w:rsid w:val="00913FC8"/>
    <w:rsid w:val="00916C91"/>
    <w:rsid w:val="00920330"/>
    <w:rsid w:val="009210B1"/>
    <w:rsid w:val="00922821"/>
    <w:rsid w:val="00923380"/>
    <w:rsid w:val="0092414A"/>
    <w:rsid w:val="00924E20"/>
    <w:rsid w:val="00925BBA"/>
    <w:rsid w:val="00927090"/>
    <w:rsid w:val="00930553"/>
    <w:rsid w:val="00930ACD"/>
    <w:rsid w:val="00931E41"/>
    <w:rsid w:val="00932168"/>
    <w:rsid w:val="00932ADC"/>
    <w:rsid w:val="00934806"/>
    <w:rsid w:val="009369D8"/>
    <w:rsid w:val="00941DAF"/>
    <w:rsid w:val="009443CE"/>
    <w:rsid w:val="009453C3"/>
    <w:rsid w:val="009462E4"/>
    <w:rsid w:val="00947B7A"/>
    <w:rsid w:val="009531DF"/>
    <w:rsid w:val="00954381"/>
    <w:rsid w:val="00955D15"/>
    <w:rsid w:val="0095612A"/>
    <w:rsid w:val="00956A58"/>
    <w:rsid w:val="00956FCD"/>
    <w:rsid w:val="0095751B"/>
    <w:rsid w:val="00957E40"/>
    <w:rsid w:val="00963019"/>
    <w:rsid w:val="00963647"/>
    <w:rsid w:val="00963864"/>
    <w:rsid w:val="00963DF2"/>
    <w:rsid w:val="009651DD"/>
    <w:rsid w:val="00965301"/>
    <w:rsid w:val="00967AFD"/>
    <w:rsid w:val="00972325"/>
    <w:rsid w:val="00973C57"/>
    <w:rsid w:val="00976895"/>
    <w:rsid w:val="009771FA"/>
    <w:rsid w:val="00981C9E"/>
    <w:rsid w:val="00984748"/>
    <w:rsid w:val="0098758A"/>
    <w:rsid w:val="00987D2C"/>
    <w:rsid w:val="00993D24"/>
    <w:rsid w:val="009966FF"/>
    <w:rsid w:val="00997034"/>
    <w:rsid w:val="009971A9"/>
    <w:rsid w:val="009A0FDB"/>
    <w:rsid w:val="009A37D5"/>
    <w:rsid w:val="009A569C"/>
    <w:rsid w:val="009A7EC2"/>
    <w:rsid w:val="009B0A60"/>
    <w:rsid w:val="009B4592"/>
    <w:rsid w:val="009B52AA"/>
    <w:rsid w:val="009B56CF"/>
    <w:rsid w:val="009B60AA"/>
    <w:rsid w:val="009B755E"/>
    <w:rsid w:val="009C12E7"/>
    <w:rsid w:val="009C137D"/>
    <w:rsid w:val="009C166E"/>
    <w:rsid w:val="009C17F8"/>
    <w:rsid w:val="009C2421"/>
    <w:rsid w:val="009C634A"/>
    <w:rsid w:val="009D063C"/>
    <w:rsid w:val="009D0A91"/>
    <w:rsid w:val="009D1380"/>
    <w:rsid w:val="009D1591"/>
    <w:rsid w:val="009D20AA"/>
    <w:rsid w:val="009D22FC"/>
    <w:rsid w:val="009D3904"/>
    <w:rsid w:val="009D3D77"/>
    <w:rsid w:val="009D4319"/>
    <w:rsid w:val="009D558E"/>
    <w:rsid w:val="009D57E5"/>
    <w:rsid w:val="009D65DD"/>
    <w:rsid w:val="009D6C80"/>
    <w:rsid w:val="009E2846"/>
    <w:rsid w:val="009E2EF5"/>
    <w:rsid w:val="009E4187"/>
    <w:rsid w:val="009E435E"/>
    <w:rsid w:val="009E4BA9"/>
    <w:rsid w:val="009E7DB0"/>
    <w:rsid w:val="009F3664"/>
    <w:rsid w:val="009F55FD"/>
    <w:rsid w:val="009F5B59"/>
    <w:rsid w:val="009F7F80"/>
    <w:rsid w:val="00A0087C"/>
    <w:rsid w:val="00A01CB2"/>
    <w:rsid w:val="00A04A82"/>
    <w:rsid w:val="00A05C7B"/>
    <w:rsid w:val="00A05FB5"/>
    <w:rsid w:val="00A0780F"/>
    <w:rsid w:val="00A10B39"/>
    <w:rsid w:val="00A11572"/>
    <w:rsid w:val="00A11A8D"/>
    <w:rsid w:val="00A121CC"/>
    <w:rsid w:val="00A15D01"/>
    <w:rsid w:val="00A22C01"/>
    <w:rsid w:val="00A24DFA"/>
    <w:rsid w:val="00A24FAC"/>
    <w:rsid w:val="00A26257"/>
    <w:rsid w:val="00A2668A"/>
    <w:rsid w:val="00A27C2E"/>
    <w:rsid w:val="00A30FC9"/>
    <w:rsid w:val="00A327C2"/>
    <w:rsid w:val="00A32BF6"/>
    <w:rsid w:val="00A36991"/>
    <w:rsid w:val="00A40F41"/>
    <w:rsid w:val="00A4114C"/>
    <w:rsid w:val="00A4319D"/>
    <w:rsid w:val="00A43BFF"/>
    <w:rsid w:val="00A449F3"/>
    <w:rsid w:val="00A464E4"/>
    <w:rsid w:val="00A476AE"/>
    <w:rsid w:val="00A504B6"/>
    <w:rsid w:val="00A5089E"/>
    <w:rsid w:val="00A5140C"/>
    <w:rsid w:val="00A52521"/>
    <w:rsid w:val="00A5319F"/>
    <w:rsid w:val="00A53D3B"/>
    <w:rsid w:val="00A55454"/>
    <w:rsid w:val="00A62896"/>
    <w:rsid w:val="00A63852"/>
    <w:rsid w:val="00A63DC2"/>
    <w:rsid w:val="00A64826"/>
    <w:rsid w:val="00A64E41"/>
    <w:rsid w:val="00A673BC"/>
    <w:rsid w:val="00A72452"/>
    <w:rsid w:val="00A72AB5"/>
    <w:rsid w:val="00A74954"/>
    <w:rsid w:val="00A74B30"/>
    <w:rsid w:val="00A76646"/>
    <w:rsid w:val="00A8007F"/>
    <w:rsid w:val="00A81EF8"/>
    <w:rsid w:val="00A8252E"/>
    <w:rsid w:val="00A83CA7"/>
    <w:rsid w:val="00A84644"/>
    <w:rsid w:val="00A85172"/>
    <w:rsid w:val="00A85940"/>
    <w:rsid w:val="00A86199"/>
    <w:rsid w:val="00A866DE"/>
    <w:rsid w:val="00A8681F"/>
    <w:rsid w:val="00A86992"/>
    <w:rsid w:val="00A90489"/>
    <w:rsid w:val="00A90CA7"/>
    <w:rsid w:val="00A919E1"/>
    <w:rsid w:val="00A920DF"/>
    <w:rsid w:val="00A93CC6"/>
    <w:rsid w:val="00A96D7A"/>
    <w:rsid w:val="00A97C49"/>
    <w:rsid w:val="00AA42D4"/>
    <w:rsid w:val="00AA4F7F"/>
    <w:rsid w:val="00AA58FD"/>
    <w:rsid w:val="00AA6D95"/>
    <w:rsid w:val="00AA78AB"/>
    <w:rsid w:val="00AB13F3"/>
    <w:rsid w:val="00AB2573"/>
    <w:rsid w:val="00AB34A5"/>
    <w:rsid w:val="00AB365E"/>
    <w:rsid w:val="00AB53B3"/>
    <w:rsid w:val="00AB6309"/>
    <w:rsid w:val="00AB6C0F"/>
    <w:rsid w:val="00AB78E7"/>
    <w:rsid w:val="00AB7EE1"/>
    <w:rsid w:val="00AC0074"/>
    <w:rsid w:val="00AC3434"/>
    <w:rsid w:val="00AC39F8"/>
    <w:rsid w:val="00AC3B3B"/>
    <w:rsid w:val="00AC3D41"/>
    <w:rsid w:val="00AC6727"/>
    <w:rsid w:val="00AC7147"/>
    <w:rsid w:val="00AD4A2D"/>
    <w:rsid w:val="00AD5394"/>
    <w:rsid w:val="00AD73C9"/>
    <w:rsid w:val="00AE21F1"/>
    <w:rsid w:val="00AE3DC2"/>
    <w:rsid w:val="00AE4ED6"/>
    <w:rsid w:val="00AE541E"/>
    <w:rsid w:val="00AE56F2"/>
    <w:rsid w:val="00AE6611"/>
    <w:rsid w:val="00AE6A93"/>
    <w:rsid w:val="00AE7A99"/>
    <w:rsid w:val="00B007EF"/>
    <w:rsid w:val="00B0146F"/>
    <w:rsid w:val="00B01C0E"/>
    <w:rsid w:val="00B0214C"/>
    <w:rsid w:val="00B02798"/>
    <w:rsid w:val="00B02B41"/>
    <w:rsid w:val="00B0371D"/>
    <w:rsid w:val="00B048F6"/>
    <w:rsid w:val="00B04F31"/>
    <w:rsid w:val="00B077A6"/>
    <w:rsid w:val="00B12806"/>
    <w:rsid w:val="00B12F98"/>
    <w:rsid w:val="00B15B90"/>
    <w:rsid w:val="00B17B89"/>
    <w:rsid w:val="00B23256"/>
    <w:rsid w:val="00B2418D"/>
    <w:rsid w:val="00B2477A"/>
    <w:rsid w:val="00B24A04"/>
    <w:rsid w:val="00B26A45"/>
    <w:rsid w:val="00B273D6"/>
    <w:rsid w:val="00B310BA"/>
    <w:rsid w:val="00B3290A"/>
    <w:rsid w:val="00B34E4A"/>
    <w:rsid w:val="00B3618D"/>
    <w:rsid w:val="00B36347"/>
    <w:rsid w:val="00B40D84"/>
    <w:rsid w:val="00B41E45"/>
    <w:rsid w:val="00B43442"/>
    <w:rsid w:val="00B43E29"/>
    <w:rsid w:val="00B4566C"/>
    <w:rsid w:val="00B46F95"/>
    <w:rsid w:val="00B4773C"/>
    <w:rsid w:val="00B50039"/>
    <w:rsid w:val="00B511D9"/>
    <w:rsid w:val="00B5282A"/>
    <w:rsid w:val="00B538F4"/>
    <w:rsid w:val="00B545FE"/>
    <w:rsid w:val="00B56A5F"/>
    <w:rsid w:val="00B56BE7"/>
    <w:rsid w:val="00B6012B"/>
    <w:rsid w:val="00B60142"/>
    <w:rsid w:val="00B606F4"/>
    <w:rsid w:val="00B620F6"/>
    <w:rsid w:val="00B666F6"/>
    <w:rsid w:val="00B6704F"/>
    <w:rsid w:val="00B71167"/>
    <w:rsid w:val="00B724E8"/>
    <w:rsid w:val="00B749FA"/>
    <w:rsid w:val="00B77AEF"/>
    <w:rsid w:val="00B83B16"/>
    <w:rsid w:val="00B855F0"/>
    <w:rsid w:val="00B861FF"/>
    <w:rsid w:val="00B86983"/>
    <w:rsid w:val="00B91703"/>
    <w:rsid w:val="00B923AC"/>
    <w:rsid w:val="00B9300F"/>
    <w:rsid w:val="00B95B1D"/>
    <w:rsid w:val="00B9665F"/>
    <w:rsid w:val="00B975EA"/>
    <w:rsid w:val="00BA0398"/>
    <w:rsid w:val="00BA08B4"/>
    <w:rsid w:val="00BA268E"/>
    <w:rsid w:val="00BA27C8"/>
    <w:rsid w:val="00BA5216"/>
    <w:rsid w:val="00BA564E"/>
    <w:rsid w:val="00BB0F03"/>
    <w:rsid w:val="00BB166E"/>
    <w:rsid w:val="00BB3115"/>
    <w:rsid w:val="00BB39B4"/>
    <w:rsid w:val="00BB3CC4"/>
    <w:rsid w:val="00BB4184"/>
    <w:rsid w:val="00BB4AC3"/>
    <w:rsid w:val="00BB4B83"/>
    <w:rsid w:val="00BB5A48"/>
    <w:rsid w:val="00BB73F0"/>
    <w:rsid w:val="00BC014C"/>
    <w:rsid w:val="00BC14BD"/>
    <w:rsid w:val="00BC1EF9"/>
    <w:rsid w:val="00BC398D"/>
    <w:rsid w:val="00BC3B10"/>
    <w:rsid w:val="00BC4898"/>
    <w:rsid w:val="00BC6ACF"/>
    <w:rsid w:val="00BD3506"/>
    <w:rsid w:val="00BD50B0"/>
    <w:rsid w:val="00BD5C2E"/>
    <w:rsid w:val="00BE272A"/>
    <w:rsid w:val="00BE3666"/>
    <w:rsid w:val="00BE37CC"/>
    <w:rsid w:val="00BE39CA"/>
    <w:rsid w:val="00BE53B4"/>
    <w:rsid w:val="00BE5623"/>
    <w:rsid w:val="00BE5ABE"/>
    <w:rsid w:val="00BE62C2"/>
    <w:rsid w:val="00BE7F9A"/>
    <w:rsid w:val="00BF302E"/>
    <w:rsid w:val="00BF31E6"/>
    <w:rsid w:val="00BF5F8B"/>
    <w:rsid w:val="00BF62D8"/>
    <w:rsid w:val="00BF7F05"/>
    <w:rsid w:val="00C01BCA"/>
    <w:rsid w:val="00C02FCB"/>
    <w:rsid w:val="00C03188"/>
    <w:rsid w:val="00C05142"/>
    <w:rsid w:val="00C070F2"/>
    <w:rsid w:val="00C112DD"/>
    <w:rsid w:val="00C11853"/>
    <w:rsid w:val="00C11C6C"/>
    <w:rsid w:val="00C12406"/>
    <w:rsid w:val="00C12B87"/>
    <w:rsid w:val="00C13661"/>
    <w:rsid w:val="00C14B20"/>
    <w:rsid w:val="00C27723"/>
    <w:rsid w:val="00C30267"/>
    <w:rsid w:val="00C31B7F"/>
    <w:rsid w:val="00C32F86"/>
    <w:rsid w:val="00C33D9A"/>
    <w:rsid w:val="00C34982"/>
    <w:rsid w:val="00C35828"/>
    <w:rsid w:val="00C36A36"/>
    <w:rsid w:val="00C408F8"/>
    <w:rsid w:val="00C41E35"/>
    <w:rsid w:val="00C429F3"/>
    <w:rsid w:val="00C44145"/>
    <w:rsid w:val="00C45FBD"/>
    <w:rsid w:val="00C46309"/>
    <w:rsid w:val="00C47253"/>
    <w:rsid w:val="00C553CE"/>
    <w:rsid w:val="00C61DA2"/>
    <w:rsid w:val="00C62044"/>
    <w:rsid w:val="00C66894"/>
    <w:rsid w:val="00C67A6D"/>
    <w:rsid w:val="00C71B6A"/>
    <w:rsid w:val="00C72B92"/>
    <w:rsid w:val="00C7694C"/>
    <w:rsid w:val="00C771B0"/>
    <w:rsid w:val="00C7765D"/>
    <w:rsid w:val="00C805EF"/>
    <w:rsid w:val="00C80FBF"/>
    <w:rsid w:val="00C810B5"/>
    <w:rsid w:val="00C81169"/>
    <w:rsid w:val="00C812D0"/>
    <w:rsid w:val="00C8149E"/>
    <w:rsid w:val="00C8212A"/>
    <w:rsid w:val="00C82A58"/>
    <w:rsid w:val="00C84EDE"/>
    <w:rsid w:val="00C85A4F"/>
    <w:rsid w:val="00C87AB0"/>
    <w:rsid w:val="00C91D31"/>
    <w:rsid w:val="00C96409"/>
    <w:rsid w:val="00C97CE3"/>
    <w:rsid w:val="00CA27A3"/>
    <w:rsid w:val="00CA72F3"/>
    <w:rsid w:val="00CB0228"/>
    <w:rsid w:val="00CB1742"/>
    <w:rsid w:val="00CB2461"/>
    <w:rsid w:val="00CB2912"/>
    <w:rsid w:val="00CB383A"/>
    <w:rsid w:val="00CB4BCC"/>
    <w:rsid w:val="00CB6A2E"/>
    <w:rsid w:val="00CB7ACF"/>
    <w:rsid w:val="00CC00D7"/>
    <w:rsid w:val="00CC19E0"/>
    <w:rsid w:val="00CC40AF"/>
    <w:rsid w:val="00CC540C"/>
    <w:rsid w:val="00CC5D20"/>
    <w:rsid w:val="00CD081E"/>
    <w:rsid w:val="00CD0FE1"/>
    <w:rsid w:val="00CD1FA2"/>
    <w:rsid w:val="00CD33FB"/>
    <w:rsid w:val="00CD4299"/>
    <w:rsid w:val="00CD492A"/>
    <w:rsid w:val="00CE1E56"/>
    <w:rsid w:val="00CE307C"/>
    <w:rsid w:val="00CE3DFA"/>
    <w:rsid w:val="00CE4265"/>
    <w:rsid w:val="00CE6EA1"/>
    <w:rsid w:val="00CE6EA9"/>
    <w:rsid w:val="00CE6FA1"/>
    <w:rsid w:val="00CF12D3"/>
    <w:rsid w:val="00CF1542"/>
    <w:rsid w:val="00CF1953"/>
    <w:rsid w:val="00CF2697"/>
    <w:rsid w:val="00CF4D23"/>
    <w:rsid w:val="00CF77AE"/>
    <w:rsid w:val="00D02191"/>
    <w:rsid w:val="00D0246D"/>
    <w:rsid w:val="00D02E41"/>
    <w:rsid w:val="00D030E4"/>
    <w:rsid w:val="00D06C2B"/>
    <w:rsid w:val="00D1089A"/>
    <w:rsid w:val="00D114B4"/>
    <w:rsid w:val="00D1314F"/>
    <w:rsid w:val="00D1514D"/>
    <w:rsid w:val="00D15165"/>
    <w:rsid w:val="00D16B8B"/>
    <w:rsid w:val="00D16EDC"/>
    <w:rsid w:val="00D174D8"/>
    <w:rsid w:val="00D1783E"/>
    <w:rsid w:val="00D22821"/>
    <w:rsid w:val="00D22873"/>
    <w:rsid w:val="00D26430"/>
    <w:rsid w:val="00D32398"/>
    <w:rsid w:val="00D34B85"/>
    <w:rsid w:val="00D34E4F"/>
    <w:rsid w:val="00D36B21"/>
    <w:rsid w:val="00D36EF6"/>
    <w:rsid w:val="00D40830"/>
    <w:rsid w:val="00D41B0A"/>
    <w:rsid w:val="00D4288C"/>
    <w:rsid w:val="00D4326F"/>
    <w:rsid w:val="00D43CA9"/>
    <w:rsid w:val="00D43F88"/>
    <w:rsid w:val="00D44B05"/>
    <w:rsid w:val="00D46296"/>
    <w:rsid w:val="00D510F3"/>
    <w:rsid w:val="00D51BDC"/>
    <w:rsid w:val="00D5257A"/>
    <w:rsid w:val="00D55417"/>
    <w:rsid w:val="00D5650B"/>
    <w:rsid w:val="00D600C5"/>
    <w:rsid w:val="00D63802"/>
    <w:rsid w:val="00D63A38"/>
    <w:rsid w:val="00D67262"/>
    <w:rsid w:val="00D72E30"/>
    <w:rsid w:val="00D73168"/>
    <w:rsid w:val="00D7481E"/>
    <w:rsid w:val="00D8098E"/>
    <w:rsid w:val="00D8155E"/>
    <w:rsid w:val="00D83C00"/>
    <w:rsid w:val="00D8504F"/>
    <w:rsid w:val="00D85CA5"/>
    <w:rsid w:val="00D91037"/>
    <w:rsid w:val="00D928DD"/>
    <w:rsid w:val="00D93CCE"/>
    <w:rsid w:val="00D941AF"/>
    <w:rsid w:val="00D956C1"/>
    <w:rsid w:val="00D96645"/>
    <w:rsid w:val="00DA2D77"/>
    <w:rsid w:val="00DA2EB6"/>
    <w:rsid w:val="00DA4966"/>
    <w:rsid w:val="00DA4EB0"/>
    <w:rsid w:val="00DA5FED"/>
    <w:rsid w:val="00DA6058"/>
    <w:rsid w:val="00DA6B0A"/>
    <w:rsid w:val="00DA78FE"/>
    <w:rsid w:val="00DB10BF"/>
    <w:rsid w:val="00DB2577"/>
    <w:rsid w:val="00DB379C"/>
    <w:rsid w:val="00DB3ED7"/>
    <w:rsid w:val="00DB42B9"/>
    <w:rsid w:val="00DB58F5"/>
    <w:rsid w:val="00DB6E04"/>
    <w:rsid w:val="00DB74F1"/>
    <w:rsid w:val="00DB7B4B"/>
    <w:rsid w:val="00DB7DFF"/>
    <w:rsid w:val="00DC05D1"/>
    <w:rsid w:val="00DC0990"/>
    <w:rsid w:val="00DC0D89"/>
    <w:rsid w:val="00DC0ED8"/>
    <w:rsid w:val="00DC2B12"/>
    <w:rsid w:val="00DD1349"/>
    <w:rsid w:val="00DD17E9"/>
    <w:rsid w:val="00DD46AE"/>
    <w:rsid w:val="00DD46C2"/>
    <w:rsid w:val="00DD5243"/>
    <w:rsid w:val="00DD7826"/>
    <w:rsid w:val="00DE0FE3"/>
    <w:rsid w:val="00DE1ADA"/>
    <w:rsid w:val="00DE5F53"/>
    <w:rsid w:val="00DE60F1"/>
    <w:rsid w:val="00DF1CAD"/>
    <w:rsid w:val="00DF3C40"/>
    <w:rsid w:val="00DF796D"/>
    <w:rsid w:val="00DF7F9A"/>
    <w:rsid w:val="00E0432D"/>
    <w:rsid w:val="00E06316"/>
    <w:rsid w:val="00E06664"/>
    <w:rsid w:val="00E06BB2"/>
    <w:rsid w:val="00E06DE5"/>
    <w:rsid w:val="00E079B9"/>
    <w:rsid w:val="00E10F9E"/>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428B8"/>
    <w:rsid w:val="00E54E35"/>
    <w:rsid w:val="00E5643C"/>
    <w:rsid w:val="00E57927"/>
    <w:rsid w:val="00E61E25"/>
    <w:rsid w:val="00E63C36"/>
    <w:rsid w:val="00E6433C"/>
    <w:rsid w:val="00E65503"/>
    <w:rsid w:val="00E66CD2"/>
    <w:rsid w:val="00E7277E"/>
    <w:rsid w:val="00E73B26"/>
    <w:rsid w:val="00E74724"/>
    <w:rsid w:val="00E76C83"/>
    <w:rsid w:val="00E808D2"/>
    <w:rsid w:val="00E83DB1"/>
    <w:rsid w:val="00E84E6A"/>
    <w:rsid w:val="00E858BC"/>
    <w:rsid w:val="00E85C22"/>
    <w:rsid w:val="00E868AB"/>
    <w:rsid w:val="00E875B2"/>
    <w:rsid w:val="00E92F84"/>
    <w:rsid w:val="00E93562"/>
    <w:rsid w:val="00E96397"/>
    <w:rsid w:val="00E9774F"/>
    <w:rsid w:val="00E9799D"/>
    <w:rsid w:val="00EA64A5"/>
    <w:rsid w:val="00EA737E"/>
    <w:rsid w:val="00EA76D0"/>
    <w:rsid w:val="00EB0EB4"/>
    <w:rsid w:val="00EB1433"/>
    <w:rsid w:val="00EB3272"/>
    <w:rsid w:val="00EB33B2"/>
    <w:rsid w:val="00EB60D9"/>
    <w:rsid w:val="00EB627F"/>
    <w:rsid w:val="00EB732A"/>
    <w:rsid w:val="00EC0738"/>
    <w:rsid w:val="00EC078A"/>
    <w:rsid w:val="00EC3630"/>
    <w:rsid w:val="00EC3A35"/>
    <w:rsid w:val="00EC4C15"/>
    <w:rsid w:val="00EC5E52"/>
    <w:rsid w:val="00ED1900"/>
    <w:rsid w:val="00ED2D1C"/>
    <w:rsid w:val="00ED2ED4"/>
    <w:rsid w:val="00ED4AD4"/>
    <w:rsid w:val="00ED591E"/>
    <w:rsid w:val="00ED758F"/>
    <w:rsid w:val="00EE1106"/>
    <w:rsid w:val="00EE2CCC"/>
    <w:rsid w:val="00EE40A9"/>
    <w:rsid w:val="00EE4FC4"/>
    <w:rsid w:val="00EE6501"/>
    <w:rsid w:val="00EE7763"/>
    <w:rsid w:val="00EE7B49"/>
    <w:rsid w:val="00EF3D84"/>
    <w:rsid w:val="00EF42EB"/>
    <w:rsid w:val="00EF4B42"/>
    <w:rsid w:val="00EF5C18"/>
    <w:rsid w:val="00F00FEB"/>
    <w:rsid w:val="00F016D8"/>
    <w:rsid w:val="00F034F8"/>
    <w:rsid w:val="00F04CD5"/>
    <w:rsid w:val="00F0540D"/>
    <w:rsid w:val="00F10450"/>
    <w:rsid w:val="00F121C7"/>
    <w:rsid w:val="00F149EE"/>
    <w:rsid w:val="00F1614C"/>
    <w:rsid w:val="00F1615C"/>
    <w:rsid w:val="00F17809"/>
    <w:rsid w:val="00F20D7B"/>
    <w:rsid w:val="00F23479"/>
    <w:rsid w:val="00F25EDF"/>
    <w:rsid w:val="00F2647F"/>
    <w:rsid w:val="00F27521"/>
    <w:rsid w:val="00F279ED"/>
    <w:rsid w:val="00F30499"/>
    <w:rsid w:val="00F3083D"/>
    <w:rsid w:val="00F319BF"/>
    <w:rsid w:val="00F329A3"/>
    <w:rsid w:val="00F344CC"/>
    <w:rsid w:val="00F347CD"/>
    <w:rsid w:val="00F353C4"/>
    <w:rsid w:val="00F37466"/>
    <w:rsid w:val="00F37ADF"/>
    <w:rsid w:val="00F403D7"/>
    <w:rsid w:val="00F437A1"/>
    <w:rsid w:val="00F4575C"/>
    <w:rsid w:val="00F459A0"/>
    <w:rsid w:val="00F45AC2"/>
    <w:rsid w:val="00F4663D"/>
    <w:rsid w:val="00F5321D"/>
    <w:rsid w:val="00F54850"/>
    <w:rsid w:val="00F553D8"/>
    <w:rsid w:val="00F57421"/>
    <w:rsid w:val="00F57811"/>
    <w:rsid w:val="00F60EAF"/>
    <w:rsid w:val="00F62247"/>
    <w:rsid w:val="00F65665"/>
    <w:rsid w:val="00F66CFF"/>
    <w:rsid w:val="00F67166"/>
    <w:rsid w:val="00F722D8"/>
    <w:rsid w:val="00F726EE"/>
    <w:rsid w:val="00F75671"/>
    <w:rsid w:val="00F765E2"/>
    <w:rsid w:val="00F7783F"/>
    <w:rsid w:val="00F77BAC"/>
    <w:rsid w:val="00F77E2A"/>
    <w:rsid w:val="00F80A32"/>
    <w:rsid w:val="00F8205B"/>
    <w:rsid w:val="00F84268"/>
    <w:rsid w:val="00F8631C"/>
    <w:rsid w:val="00F86758"/>
    <w:rsid w:val="00F8677F"/>
    <w:rsid w:val="00F9095F"/>
    <w:rsid w:val="00F91FD9"/>
    <w:rsid w:val="00F92E49"/>
    <w:rsid w:val="00F945BD"/>
    <w:rsid w:val="00F96676"/>
    <w:rsid w:val="00F97BCF"/>
    <w:rsid w:val="00FA338B"/>
    <w:rsid w:val="00FA6994"/>
    <w:rsid w:val="00FA6F31"/>
    <w:rsid w:val="00FB04E1"/>
    <w:rsid w:val="00FB1248"/>
    <w:rsid w:val="00FB1BC4"/>
    <w:rsid w:val="00FB293B"/>
    <w:rsid w:val="00FB49E9"/>
    <w:rsid w:val="00FB4FC8"/>
    <w:rsid w:val="00FB7419"/>
    <w:rsid w:val="00FB7A52"/>
    <w:rsid w:val="00FC2652"/>
    <w:rsid w:val="00FC28D6"/>
    <w:rsid w:val="00FC2D85"/>
    <w:rsid w:val="00FC2E84"/>
    <w:rsid w:val="00FD04B6"/>
    <w:rsid w:val="00FD4A23"/>
    <w:rsid w:val="00FD5148"/>
    <w:rsid w:val="00FD65B4"/>
    <w:rsid w:val="00FD73A4"/>
    <w:rsid w:val="00FD7989"/>
    <w:rsid w:val="00FD79BB"/>
    <w:rsid w:val="00FE1CED"/>
    <w:rsid w:val="00FE260E"/>
    <w:rsid w:val="00FE2D06"/>
    <w:rsid w:val="00FE39B9"/>
    <w:rsid w:val="00FE3DD1"/>
    <w:rsid w:val="00FE3E27"/>
    <w:rsid w:val="00FE64D2"/>
    <w:rsid w:val="00FF0AB5"/>
    <w:rsid w:val="00FF16D1"/>
    <w:rsid w:val="00FF1DFF"/>
    <w:rsid w:val="00FF2A9C"/>
    <w:rsid w:val="00FF452B"/>
    <w:rsid w:val="00FF50AB"/>
    <w:rsid w:val="00FF618E"/>
    <w:rsid w:val="00FF6289"/>
    <w:rsid w:val="00FF72E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25B80CC7"/>
  <w15:docId w15:val="{64524666-FEF6-4F63-846A-F21477D8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66CFF"/>
    <w:pPr>
      <w:tabs>
        <w:tab w:val="left" w:pos="0"/>
      </w:tabs>
    </w:pPr>
    <w:rPr>
      <w:sz w:val="24"/>
      <w:lang w:eastAsia="en-US"/>
    </w:rPr>
  </w:style>
  <w:style w:type="paragraph" w:styleId="Heading1">
    <w:name w:val="heading 1"/>
    <w:basedOn w:val="Normal"/>
    <w:next w:val="Normal"/>
    <w:qFormat/>
    <w:rsid w:val="00F66CF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66CF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66CFF"/>
    <w:pPr>
      <w:keepNext/>
      <w:spacing w:before="140"/>
      <w:outlineLvl w:val="2"/>
    </w:pPr>
    <w:rPr>
      <w:b/>
    </w:rPr>
  </w:style>
  <w:style w:type="paragraph" w:styleId="Heading4">
    <w:name w:val="heading 4"/>
    <w:basedOn w:val="Normal"/>
    <w:next w:val="Normal"/>
    <w:qFormat/>
    <w:rsid w:val="00F66CFF"/>
    <w:pPr>
      <w:keepNext/>
      <w:spacing w:before="240" w:after="60"/>
      <w:outlineLvl w:val="3"/>
    </w:pPr>
    <w:rPr>
      <w:rFonts w:ascii="Arial" w:hAnsi="Arial"/>
      <w:b/>
      <w:bCs/>
      <w:sz w:val="22"/>
      <w:szCs w:val="28"/>
    </w:rPr>
  </w:style>
  <w:style w:type="paragraph" w:styleId="Heading5">
    <w:name w:val="heading 5"/>
    <w:basedOn w:val="Normal"/>
    <w:next w:val="Normal"/>
    <w:qFormat/>
    <w:rsid w:val="00634663"/>
    <w:pPr>
      <w:numPr>
        <w:ilvl w:val="4"/>
        <w:numId w:val="1"/>
      </w:numPr>
      <w:spacing w:before="240" w:after="60"/>
      <w:outlineLvl w:val="4"/>
    </w:pPr>
    <w:rPr>
      <w:sz w:val="22"/>
    </w:rPr>
  </w:style>
  <w:style w:type="paragraph" w:styleId="Heading6">
    <w:name w:val="heading 6"/>
    <w:basedOn w:val="Normal"/>
    <w:next w:val="Normal"/>
    <w:qFormat/>
    <w:rsid w:val="00634663"/>
    <w:pPr>
      <w:numPr>
        <w:ilvl w:val="5"/>
        <w:numId w:val="1"/>
      </w:numPr>
      <w:spacing w:before="240" w:after="60"/>
      <w:outlineLvl w:val="5"/>
    </w:pPr>
    <w:rPr>
      <w:i/>
      <w:sz w:val="22"/>
    </w:rPr>
  </w:style>
  <w:style w:type="paragraph" w:styleId="Heading7">
    <w:name w:val="heading 7"/>
    <w:basedOn w:val="Normal"/>
    <w:next w:val="Normal"/>
    <w:qFormat/>
    <w:rsid w:val="00634663"/>
    <w:pPr>
      <w:numPr>
        <w:ilvl w:val="6"/>
        <w:numId w:val="1"/>
      </w:numPr>
      <w:spacing w:before="240" w:after="60"/>
      <w:outlineLvl w:val="6"/>
    </w:pPr>
    <w:rPr>
      <w:rFonts w:ascii="Arial" w:hAnsi="Arial"/>
      <w:sz w:val="20"/>
    </w:rPr>
  </w:style>
  <w:style w:type="paragraph" w:styleId="Heading8">
    <w:name w:val="heading 8"/>
    <w:basedOn w:val="Normal"/>
    <w:next w:val="Normal"/>
    <w:qFormat/>
    <w:rsid w:val="00634663"/>
    <w:pPr>
      <w:numPr>
        <w:ilvl w:val="7"/>
        <w:numId w:val="1"/>
      </w:numPr>
      <w:spacing w:before="240" w:after="60"/>
      <w:outlineLvl w:val="7"/>
    </w:pPr>
    <w:rPr>
      <w:rFonts w:ascii="Arial" w:hAnsi="Arial"/>
      <w:i/>
      <w:sz w:val="20"/>
    </w:rPr>
  </w:style>
  <w:style w:type="paragraph" w:styleId="Heading9">
    <w:name w:val="heading 9"/>
    <w:basedOn w:val="Normal"/>
    <w:next w:val="Normal"/>
    <w:qFormat/>
    <w:rsid w:val="0063466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F66CF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66CFF"/>
  </w:style>
  <w:style w:type="paragraph" w:customStyle="1" w:styleId="00ClientCover">
    <w:name w:val="00ClientCover"/>
    <w:basedOn w:val="Normal"/>
    <w:rsid w:val="00F66CFF"/>
  </w:style>
  <w:style w:type="paragraph" w:customStyle="1" w:styleId="02Text">
    <w:name w:val="02Text"/>
    <w:basedOn w:val="Normal"/>
    <w:rsid w:val="00F66CFF"/>
  </w:style>
  <w:style w:type="paragraph" w:customStyle="1" w:styleId="BillBasic">
    <w:name w:val="BillBasic"/>
    <w:link w:val="BillBasicChar"/>
    <w:rsid w:val="00F66CFF"/>
    <w:pPr>
      <w:spacing w:before="140"/>
      <w:jc w:val="both"/>
    </w:pPr>
    <w:rPr>
      <w:sz w:val="24"/>
      <w:lang w:eastAsia="en-US"/>
    </w:rPr>
  </w:style>
  <w:style w:type="paragraph" w:styleId="Header">
    <w:name w:val="header"/>
    <w:basedOn w:val="Normal"/>
    <w:link w:val="HeaderChar"/>
    <w:rsid w:val="00F66CFF"/>
    <w:pPr>
      <w:tabs>
        <w:tab w:val="center" w:pos="4153"/>
        <w:tab w:val="right" w:pos="8306"/>
      </w:tabs>
    </w:pPr>
  </w:style>
  <w:style w:type="paragraph" w:styleId="Footer">
    <w:name w:val="footer"/>
    <w:basedOn w:val="Normal"/>
    <w:link w:val="FooterChar"/>
    <w:rsid w:val="00F66CFF"/>
    <w:pPr>
      <w:spacing w:before="120" w:line="240" w:lineRule="exact"/>
    </w:pPr>
    <w:rPr>
      <w:rFonts w:ascii="Arial" w:hAnsi="Arial"/>
      <w:sz w:val="18"/>
    </w:rPr>
  </w:style>
  <w:style w:type="paragraph" w:customStyle="1" w:styleId="Billname">
    <w:name w:val="Billname"/>
    <w:basedOn w:val="Normal"/>
    <w:rsid w:val="00F66CFF"/>
    <w:pPr>
      <w:spacing w:before="1220"/>
    </w:pPr>
    <w:rPr>
      <w:rFonts w:ascii="Arial" w:hAnsi="Arial"/>
      <w:b/>
      <w:sz w:val="40"/>
    </w:rPr>
  </w:style>
  <w:style w:type="paragraph" w:customStyle="1" w:styleId="BillBasicHeading">
    <w:name w:val="BillBasicHeading"/>
    <w:basedOn w:val="BillBasic"/>
    <w:rsid w:val="00F66CFF"/>
    <w:pPr>
      <w:keepNext/>
      <w:tabs>
        <w:tab w:val="left" w:pos="2600"/>
      </w:tabs>
      <w:jc w:val="left"/>
    </w:pPr>
    <w:rPr>
      <w:rFonts w:ascii="Arial" w:hAnsi="Arial"/>
      <w:b/>
    </w:rPr>
  </w:style>
  <w:style w:type="paragraph" w:customStyle="1" w:styleId="EnactingWordsRules">
    <w:name w:val="EnactingWordsRules"/>
    <w:basedOn w:val="EnactingWords"/>
    <w:rsid w:val="00F66CFF"/>
    <w:pPr>
      <w:spacing w:before="240"/>
    </w:pPr>
  </w:style>
  <w:style w:type="paragraph" w:customStyle="1" w:styleId="EnactingWords">
    <w:name w:val="EnactingWords"/>
    <w:basedOn w:val="BillBasic"/>
    <w:rsid w:val="00F66CFF"/>
    <w:pPr>
      <w:spacing w:before="120"/>
    </w:pPr>
  </w:style>
  <w:style w:type="paragraph" w:customStyle="1" w:styleId="Amain">
    <w:name w:val="A main"/>
    <w:basedOn w:val="BillBasic"/>
    <w:link w:val="AmainChar"/>
    <w:rsid w:val="00F66CFF"/>
    <w:pPr>
      <w:tabs>
        <w:tab w:val="right" w:pos="900"/>
        <w:tab w:val="left" w:pos="1100"/>
      </w:tabs>
      <w:ind w:left="1100" w:hanging="1100"/>
      <w:outlineLvl w:val="5"/>
    </w:pPr>
  </w:style>
  <w:style w:type="paragraph" w:customStyle="1" w:styleId="Amainreturn">
    <w:name w:val="A main return"/>
    <w:basedOn w:val="BillBasic"/>
    <w:rsid w:val="00F66CFF"/>
    <w:pPr>
      <w:ind w:left="1100"/>
    </w:pPr>
  </w:style>
  <w:style w:type="paragraph" w:customStyle="1" w:styleId="Apara">
    <w:name w:val="A para"/>
    <w:basedOn w:val="BillBasic"/>
    <w:link w:val="AparaChar"/>
    <w:rsid w:val="00F66CFF"/>
    <w:pPr>
      <w:tabs>
        <w:tab w:val="right" w:pos="1400"/>
        <w:tab w:val="left" w:pos="1600"/>
      </w:tabs>
      <w:ind w:left="1600" w:hanging="1600"/>
      <w:outlineLvl w:val="6"/>
    </w:pPr>
  </w:style>
  <w:style w:type="paragraph" w:customStyle="1" w:styleId="Asubpara">
    <w:name w:val="A subpara"/>
    <w:basedOn w:val="BillBasic"/>
    <w:rsid w:val="00F66CFF"/>
    <w:pPr>
      <w:tabs>
        <w:tab w:val="right" w:pos="1900"/>
        <w:tab w:val="left" w:pos="2100"/>
      </w:tabs>
      <w:ind w:left="2100" w:hanging="2100"/>
      <w:outlineLvl w:val="7"/>
    </w:pPr>
  </w:style>
  <w:style w:type="paragraph" w:customStyle="1" w:styleId="Asubsubpara">
    <w:name w:val="A subsubpara"/>
    <w:basedOn w:val="BillBasic"/>
    <w:rsid w:val="00F66CFF"/>
    <w:pPr>
      <w:tabs>
        <w:tab w:val="right" w:pos="2400"/>
        <w:tab w:val="left" w:pos="2600"/>
      </w:tabs>
      <w:ind w:left="2600" w:hanging="2600"/>
      <w:outlineLvl w:val="8"/>
    </w:pPr>
  </w:style>
  <w:style w:type="paragraph" w:customStyle="1" w:styleId="aDef">
    <w:name w:val="aDef"/>
    <w:basedOn w:val="BillBasic"/>
    <w:link w:val="aDefChar"/>
    <w:rsid w:val="00F66CFF"/>
    <w:pPr>
      <w:ind w:left="1100"/>
    </w:pPr>
  </w:style>
  <w:style w:type="paragraph" w:customStyle="1" w:styleId="aExamHead">
    <w:name w:val="aExam Head"/>
    <w:basedOn w:val="BillBasicHeading"/>
    <w:next w:val="aExam"/>
    <w:rsid w:val="00F66CFF"/>
    <w:pPr>
      <w:tabs>
        <w:tab w:val="clear" w:pos="2600"/>
      </w:tabs>
      <w:ind w:left="1100"/>
    </w:pPr>
    <w:rPr>
      <w:sz w:val="18"/>
    </w:rPr>
  </w:style>
  <w:style w:type="paragraph" w:customStyle="1" w:styleId="aExam">
    <w:name w:val="aExam"/>
    <w:basedOn w:val="aNoteSymb"/>
    <w:rsid w:val="00F66CFF"/>
    <w:pPr>
      <w:spacing w:before="60"/>
      <w:ind w:left="1100" w:firstLine="0"/>
    </w:pPr>
  </w:style>
  <w:style w:type="paragraph" w:customStyle="1" w:styleId="aNote">
    <w:name w:val="aNote"/>
    <w:basedOn w:val="BillBasic"/>
    <w:link w:val="aNoteChar"/>
    <w:rsid w:val="00F66CFF"/>
    <w:pPr>
      <w:ind w:left="1900" w:hanging="800"/>
    </w:pPr>
    <w:rPr>
      <w:sz w:val="20"/>
    </w:rPr>
  </w:style>
  <w:style w:type="paragraph" w:customStyle="1" w:styleId="HeaderEven">
    <w:name w:val="HeaderEven"/>
    <w:basedOn w:val="Normal"/>
    <w:rsid w:val="00F66CFF"/>
    <w:rPr>
      <w:rFonts w:ascii="Arial" w:hAnsi="Arial"/>
      <w:sz w:val="18"/>
    </w:rPr>
  </w:style>
  <w:style w:type="paragraph" w:customStyle="1" w:styleId="HeaderEven6">
    <w:name w:val="HeaderEven6"/>
    <w:basedOn w:val="HeaderEven"/>
    <w:rsid w:val="00F66CFF"/>
    <w:pPr>
      <w:spacing w:before="120" w:after="60"/>
    </w:pPr>
  </w:style>
  <w:style w:type="paragraph" w:customStyle="1" w:styleId="HeaderOdd6">
    <w:name w:val="HeaderOdd6"/>
    <w:basedOn w:val="HeaderEven6"/>
    <w:rsid w:val="00F66CFF"/>
    <w:pPr>
      <w:jc w:val="right"/>
    </w:pPr>
  </w:style>
  <w:style w:type="paragraph" w:customStyle="1" w:styleId="HeaderOdd">
    <w:name w:val="HeaderOdd"/>
    <w:basedOn w:val="HeaderEven"/>
    <w:rsid w:val="00F66CFF"/>
    <w:pPr>
      <w:jc w:val="right"/>
    </w:pPr>
  </w:style>
  <w:style w:type="paragraph" w:customStyle="1" w:styleId="N-TOCheading">
    <w:name w:val="N-TOCheading"/>
    <w:basedOn w:val="BillBasicHeading"/>
    <w:next w:val="N-9pt"/>
    <w:rsid w:val="00F66CFF"/>
    <w:pPr>
      <w:pBdr>
        <w:bottom w:val="single" w:sz="4" w:space="1" w:color="auto"/>
      </w:pBdr>
      <w:spacing w:before="800"/>
    </w:pPr>
    <w:rPr>
      <w:sz w:val="32"/>
    </w:rPr>
  </w:style>
  <w:style w:type="paragraph" w:customStyle="1" w:styleId="N-9pt">
    <w:name w:val="N-9pt"/>
    <w:basedOn w:val="BillBasic"/>
    <w:next w:val="BillBasic"/>
    <w:rsid w:val="00F66CFF"/>
    <w:pPr>
      <w:keepNext/>
      <w:tabs>
        <w:tab w:val="right" w:pos="7707"/>
      </w:tabs>
      <w:spacing w:before="120"/>
    </w:pPr>
    <w:rPr>
      <w:rFonts w:ascii="Arial" w:hAnsi="Arial"/>
      <w:sz w:val="18"/>
    </w:rPr>
  </w:style>
  <w:style w:type="paragraph" w:customStyle="1" w:styleId="N-14pt">
    <w:name w:val="N-14pt"/>
    <w:basedOn w:val="BillBasic"/>
    <w:rsid w:val="00F66CFF"/>
    <w:pPr>
      <w:spacing w:before="0"/>
    </w:pPr>
    <w:rPr>
      <w:b/>
      <w:sz w:val="28"/>
    </w:rPr>
  </w:style>
  <w:style w:type="paragraph" w:customStyle="1" w:styleId="N-16pt">
    <w:name w:val="N-16pt"/>
    <w:basedOn w:val="BillBasic"/>
    <w:rsid w:val="00F66CFF"/>
    <w:pPr>
      <w:spacing w:before="800"/>
    </w:pPr>
    <w:rPr>
      <w:b/>
      <w:sz w:val="32"/>
    </w:rPr>
  </w:style>
  <w:style w:type="paragraph" w:customStyle="1" w:styleId="N-line3">
    <w:name w:val="N-line3"/>
    <w:basedOn w:val="BillBasic"/>
    <w:next w:val="BillBasic"/>
    <w:rsid w:val="00F66CFF"/>
    <w:pPr>
      <w:pBdr>
        <w:bottom w:val="single" w:sz="12" w:space="1" w:color="auto"/>
      </w:pBdr>
      <w:spacing w:before="60"/>
    </w:pPr>
  </w:style>
  <w:style w:type="paragraph" w:customStyle="1" w:styleId="Comment">
    <w:name w:val="Comment"/>
    <w:basedOn w:val="BillBasic"/>
    <w:rsid w:val="00F66CFF"/>
    <w:pPr>
      <w:tabs>
        <w:tab w:val="left" w:pos="1800"/>
      </w:tabs>
      <w:ind w:left="1300"/>
      <w:jc w:val="left"/>
    </w:pPr>
    <w:rPr>
      <w:b/>
      <w:sz w:val="18"/>
    </w:rPr>
  </w:style>
  <w:style w:type="paragraph" w:customStyle="1" w:styleId="FooterInfo">
    <w:name w:val="FooterInfo"/>
    <w:basedOn w:val="Normal"/>
    <w:rsid w:val="00F66CFF"/>
    <w:pPr>
      <w:tabs>
        <w:tab w:val="right" w:pos="7707"/>
      </w:tabs>
    </w:pPr>
    <w:rPr>
      <w:rFonts w:ascii="Arial" w:hAnsi="Arial"/>
      <w:sz w:val="18"/>
    </w:rPr>
  </w:style>
  <w:style w:type="paragraph" w:customStyle="1" w:styleId="AH1Chapter">
    <w:name w:val="A H1 Chapter"/>
    <w:basedOn w:val="BillBasicHeading"/>
    <w:next w:val="AH2Part"/>
    <w:rsid w:val="00F66CFF"/>
    <w:pPr>
      <w:spacing w:before="320"/>
      <w:ind w:left="2600" w:hanging="2600"/>
      <w:outlineLvl w:val="0"/>
    </w:pPr>
    <w:rPr>
      <w:sz w:val="34"/>
    </w:rPr>
  </w:style>
  <w:style w:type="paragraph" w:customStyle="1" w:styleId="AH2Part">
    <w:name w:val="A H2 Part"/>
    <w:basedOn w:val="BillBasicHeading"/>
    <w:next w:val="AH3Div"/>
    <w:rsid w:val="00F66CFF"/>
    <w:pPr>
      <w:spacing w:before="380"/>
      <w:ind w:left="2600" w:hanging="2600"/>
      <w:outlineLvl w:val="1"/>
    </w:pPr>
    <w:rPr>
      <w:sz w:val="32"/>
    </w:rPr>
  </w:style>
  <w:style w:type="paragraph" w:customStyle="1" w:styleId="AH3Div">
    <w:name w:val="A H3 Div"/>
    <w:basedOn w:val="BillBasicHeading"/>
    <w:next w:val="AH5Sec"/>
    <w:rsid w:val="00F66CFF"/>
    <w:pPr>
      <w:spacing w:before="240"/>
      <w:ind w:left="2600" w:hanging="2600"/>
      <w:outlineLvl w:val="2"/>
    </w:pPr>
    <w:rPr>
      <w:sz w:val="28"/>
    </w:rPr>
  </w:style>
  <w:style w:type="paragraph" w:customStyle="1" w:styleId="AH5Sec">
    <w:name w:val="A H5 Sec"/>
    <w:basedOn w:val="BillBasicHeading"/>
    <w:next w:val="Amain"/>
    <w:link w:val="AH5SecChar"/>
    <w:rsid w:val="00F66CFF"/>
    <w:pPr>
      <w:tabs>
        <w:tab w:val="clear" w:pos="2600"/>
        <w:tab w:val="left" w:pos="1100"/>
      </w:tabs>
      <w:spacing w:before="240"/>
      <w:ind w:left="1100" w:hanging="1100"/>
      <w:outlineLvl w:val="4"/>
    </w:pPr>
  </w:style>
  <w:style w:type="paragraph" w:customStyle="1" w:styleId="direction">
    <w:name w:val="direction"/>
    <w:basedOn w:val="BillBasic"/>
    <w:next w:val="AmainreturnSymb"/>
    <w:rsid w:val="00F66CFF"/>
    <w:pPr>
      <w:keepNext/>
      <w:ind w:left="1100"/>
    </w:pPr>
    <w:rPr>
      <w:i/>
    </w:rPr>
  </w:style>
  <w:style w:type="paragraph" w:customStyle="1" w:styleId="AH4SubDiv">
    <w:name w:val="A H4 SubDiv"/>
    <w:basedOn w:val="BillBasicHeading"/>
    <w:next w:val="AH5Sec"/>
    <w:rsid w:val="00F66CFF"/>
    <w:pPr>
      <w:spacing w:before="240"/>
      <w:ind w:left="2600" w:hanging="2600"/>
      <w:outlineLvl w:val="3"/>
    </w:pPr>
    <w:rPr>
      <w:sz w:val="26"/>
    </w:rPr>
  </w:style>
  <w:style w:type="paragraph" w:customStyle="1" w:styleId="Sched-heading">
    <w:name w:val="Sched-heading"/>
    <w:basedOn w:val="BillBasicHeading"/>
    <w:next w:val="refSymb"/>
    <w:rsid w:val="00F66CFF"/>
    <w:pPr>
      <w:spacing w:before="380"/>
      <w:ind w:left="2600" w:hanging="2600"/>
      <w:outlineLvl w:val="0"/>
    </w:pPr>
    <w:rPr>
      <w:sz w:val="34"/>
    </w:rPr>
  </w:style>
  <w:style w:type="paragraph" w:customStyle="1" w:styleId="ref">
    <w:name w:val="ref"/>
    <w:basedOn w:val="BillBasic"/>
    <w:next w:val="Normal"/>
    <w:rsid w:val="00F66CFF"/>
    <w:pPr>
      <w:spacing w:before="60"/>
    </w:pPr>
    <w:rPr>
      <w:sz w:val="18"/>
    </w:rPr>
  </w:style>
  <w:style w:type="paragraph" w:customStyle="1" w:styleId="Sched-Part">
    <w:name w:val="Sched-Part"/>
    <w:basedOn w:val="BillBasicHeading"/>
    <w:next w:val="Sched-Form"/>
    <w:rsid w:val="00F66CFF"/>
    <w:pPr>
      <w:spacing w:before="380"/>
      <w:ind w:left="2600" w:hanging="2600"/>
      <w:outlineLvl w:val="1"/>
    </w:pPr>
    <w:rPr>
      <w:sz w:val="32"/>
    </w:rPr>
  </w:style>
  <w:style w:type="paragraph" w:customStyle="1" w:styleId="ShadedSchClause">
    <w:name w:val="Shaded Sch Clause"/>
    <w:basedOn w:val="Schclauseheading"/>
    <w:next w:val="direction"/>
    <w:rsid w:val="00F66CFF"/>
    <w:pPr>
      <w:shd w:val="pct25" w:color="auto" w:fill="auto"/>
      <w:outlineLvl w:val="3"/>
    </w:pPr>
  </w:style>
  <w:style w:type="paragraph" w:customStyle="1" w:styleId="Sched-Form">
    <w:name w:val="Sched-Form"/>
    <w:basedOn w:val="BillBasicHeading"/>
    <w:next w:val="Schclauseheading"/>
    <w:rsid w:val="00F66CFF"/>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F66CFF"/>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F66CFF"/>
    <w:pPr>
      <w:spacing w:before="320"/>
      <w:ind w:left="2600" w:hanging="2600"/>
      <w:jc w:val="both"/>
      <w:outlineLvl w:val="0"/>
    </w:pPr>
    <w:rPr>
      <w:sz w:val="34"/>
    </w:rPr>
  </w:style>
  <w:style w:type="paragraph" w:styleId="TOC7">
    <w:name w:val="toc 7"/>
    <w:basedOn w:val="TOC2"/>
    <w:next w:val="Normal"/>
    <w:autoRedefine/>
    <w:rsid w:val="00F66CFF"/>
    <w:pPr>
      <w:keepNext w:val="0"/>
      <w:spacing w:before="120"/>
    </w:pPr>
    <w:rPr>
      <w:sz w:val="20"/>
    </w:rPr>
  </w:style>
  <w:style w:type="paragraph" w:styleId="TOC2">
    <w:name w:val="toc 2"/>
    <w:basedOn w:val="Normal"/>
    <w:next w:val="Normal"/>
    <w:autoRedefine/>
    <w:rsid w:val="00F66CFF"/>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F66CFF"/>
    <w:pPr>
      <w:keepNext/>
      <w:tabs>
        <w:tab w:val="left" w:pos="400"/>
      </w:tabs>
      <w:spacing w:before="0"/>
      <w:jc w:val="left"/>
    </w:pPr>
    <w:rPr>
      <w:rFonts w:ascii="Arial" w:hAnsi="Arial"/>
      <w:b/>
      <w:sz w:val="28"/>
    </w:rPr>
  </w:style>
  <w:style w:type="paragraph" w:customStyle="1" w:styleId="EndNote2">
    <w:name w:val="EndNote2"/>
    <w:basedOn w:val="BillBasic"/>
    <w:rsid w:val="00634663"/>
    <w:pPr>
      <w:keepNext/>
      <w:tabs>
        <w:tab w:val="left" w:pos="240"/>
      </w:tabs>
      <w:spacing w:before="320"/>
      <w:jc w:val="left"/>
    </w:pPr>
    <w:rPr>
      <w:b/>
      <w:sz w:val="18"/>
    </w:rPr>
  </w:style>
  <w:style w:type="paragraph" w:customStyle="1" w:styleId="IH1Chap">
    <w:name w:val="I H1 Chap"/>
    <w:basedOn w:val="BillBasicHeading"/>
    <w:next w:val="Normal"/>
    <w:rsid w:val="00F66CFF"/>
    <w:pPr>
      <w:spacing w:before="320"/>
      <w:ind w:left="2600" w:hanging="2600"/>
    </w:pPr>
    <w:rPr>
      <w:sz w:val="34"/>
    </w:rPr>
  </w:style>
  <w:style w:type="paragraph" w:customStyle="1" w:styleId="IH2Part">
    <w:name w:val="I H2 Part"/>
    <w:basedOn w:val="BillBasicHeading"/>
    <w:next w:val="Normal"/>
    <w:rsid w:val="00F66CFF"/>
    <w:pPr>
      <w:spacing w:before="380"/>
      <w:ind w:left="2600" w:hanging="2600"/>
    </w:pPr>
    <w:rPr>
      <w:sz w:val="32"/>
    </w:rPr>
  </w:style>
  <w:style w:type="paragraph" w:customStyle="1" w:styleId="IH3Div">
    <w:name w:val="I H3 Div"/>
    <w:basedOn w:val="BillBasicHeading"/>
    <w:next w:val="Normal"/>
    <w:rsid w:val="00F66CFF"/>
    <w:pPr>
      <w:spacing w:before="240"/>
      <w:ind w:left="2600" w:hanging="2600"/>
    </w:pPr>
    <w:rPr>
      <w:sz w:val="28"/>
    </w:rPr>
  </w:style>
  <w:style w:type="paragraph" w:customStyle="1" w:styleId="IH5Sec">
    <w:name w:val="I H5 Sec"/>
    <w:basedOn w:val="BillBasicHeading"/>
    <w:next w:val="Normal"/>
    <w:rsid w:val="00F66CFF"/>
    <w:pPr>
      <w:tabs>
        <w:tab w:val="clear" w:pos="2600"/>
        <w:tab w:val="left" w:pos="1100"/>
      </w:tabs>
      <w:spacing w:before="240"/>
      <w:ind w:left="1100" w:hanging="1100"/>
    </w:pPr>
  </w:style>
  <w:style w:type="paragraph" w:customStyle="1" w:styleId="IH4SubDiv">
    <w:name w:val="I H4 SubDiv"/>
    <w:basedOn w:val="BillBasicHeading"/>
    <w:next w:val="Normal"/>
    <w:rsid w:val="00F66CFF"/>
    <w:pPr>
      <w:spacing w:before="240"/>
      <w:ind w:left="2600" w:hanging="2600"/>
      <w:jc w:val="both"/>
    </w:pPr>
    <w:rPr>
      <w:sz w:val="26"/>
    </w:rPr>
  </w:style>
  <w:style w:type="character" w:styleId="LineNumber">
    <w:name w:val="line number"/>
    <w:basedOn w:val="DefaultParagraphFont"/>
    <w:rsid w:val="00F66CFF"/>
    <w:rPr>
      <w:rFonts w:ascii="Arial" w:hAnsi="Arial"/>
      <w:sz w:val="16"/>
    </w:rPr>
  </w:style>
  <w:style w:type="paragraph" w:customStyle="1" w:styleId="PageBreak">
    <w:name w:val="PageBreak"/>
    <w:basedOn w:val="Normal"/>
    <w:rsid w:val="00F66CFF"/>
    <w:rPr>
      <w:sz w:val="4"/>
    </w:rPr>
  </w:style>
  <w:style w:type="paragraph" w:customStyle="1" w:styleId="04Dictionary">
    <w:name w:val="04Dictionary"/>
    <w:basedOn w:val="Normal"/>
    <w:rsid w:val="00F66CFF"/>
  </w:style>
  <w:style w:type="paragraph" w:customStyle="1" w:styleId="N-line1">
    <w:name w:val="N-line1"/>
    <w:basedOn w:val="BillBasic"/>
    <w:rsid w:val="00F66CFF"/>
    <w:pPr>
      <w:pBdr>
        <w:bottom w:val="single" w:sz="4" w:space="0" w:color="auto"/>
      </w:pBdr>
      <w:spacing w:before="100"/>
      <w:ind w:left="2980" w:right="3020"/>
      <w:jc w:val="center"/>
    </w:pPr>
  </w:style>
  <w:style w:type="paragraph" w:customStyle="1" w:styleId="N-line2">
    <w:name w:val="N-line2"/>
    <w:basedOn w:val="Normal"/>
    <w:rsid w:val="00F66CFF"/>
    <w:pPr>
      <w:pBdr>
        <w:bottom w:val="single" w:sz="8" w:space="0" w:color="auto"/>
      </w:pBdr>
    </w:pPr>
  </w:style>
  <w:style w:type="paragraph" w:customStyle="1" w:styleId="EndNote">
    <w:name w:val="EndNote"/>
    <w:basedOn w:val="BillBasicHeading"/>
    <w:rsid w:val="00F66CFF"/>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F66CFF"/>
    <w:pPr>
      <w:tabs>
        <w:tab w:val="left" w:pos="700"/>
      </w:tabs>
      <w:spacing w:before="160"/>
      <w:ind w:left="700" w:hanging="700"/>
    </w:pPr>
    <w:rPr>
      <w:rFonts w:ascii="Arial (W1)" w:hAnsi="Arial (W1)"/>
    </w:rPr>
  </w:style>
  <w:style w:type="paragraph" w:customStyle="1" w:styleId="PenaltyHeading">
    <w:name w:val="PenaltyHeading"/>
    <w:basedOn w:val="Normal"/>
    <w:rsid w:val="00F66CFF"/>
    <w:pPr>
      <w:tabs>
        <w:tab w:val="left" w:pos="1100"/>
      </w:tabs>
      <w:spacing w:before="120"/>
      <w:ind w:left="1100" w:hanging="1100"/>
    </w:pPr>
    <w:rPr>
      <w:rFonts w:ascii="Arial" w:hAnsi="Arial"/>
      <w:b/>
      <w:sz w:val="20"/>
    </w:rPr>
  </w:style>
  <w:style w:type="paragraph" w:customStyle="1" w:styleId="05EndNote">
    <w:name w:val="05EndNote"/>
    <w:basedOn w:val="Normal"/>
    <w:rsid w:val="00F66CFF"/>
  </w:style>
  <w:style w:type="paragraph" w:customStyle="1" w:styleId="03Schedule">
    <w:name w:val="03Schedule"/>
    <w:basedOn w:val="Normal"/>
    <w:rsid w:val="00F66CFF"/>
  </w:style>
  <w:style w:type="paragraph" w:customStyle="1" w:styleId="ISched-heading">
    <w:name w:val="I Sched-heading"/>
    <w:basedOn w:val="BillBasicHeading"/>
    <w:next w:val="Normal"/>
    <w:rsid w:val="00F66CFF"/>
    <w:pPr>
      <w:spacing w:before="320"/>
      <w:ind w:left="2600" w:hanging="2600"/>
    </w:pPr>
    <w:rPr>
      <w:sz w:val="34"/>
    </w:rPr>
  </w:style>
  <w:style w:type="paragraph" w:customStyle="1" w:styleId="ISched-Part">
    <w:name w:val="I Sched-Part"/>
    <w:basedOn w:val="BillBasicHeading"/>
    <w:rsid w:val="00F66CFF"/>
    <w:pPr>
      <w:spacing w:before="380"/>
      <w:ind w:left="2600" w:hanging="2600"/>
    </w:pPr>
    <w:rPr>
      <w:sz w:val="32"/>
    </w:rPr>
  </w:style>
  <w:style w:type="paragraph" w:customStyle="1" w:styleId="ISched-form">
    <w:name w:val="I Sched-form"/>
    <w:basedOn w:val="BillBasicHeading"/>
    <w:rsid w:val="00F66CFF"/>
    <w:pPr>
      <w:tabs>
        <w:tab w:val="right" w:pos="7200"/>
      </w:tabs>
      <w:spacing w:before="240"/>
      <w:ind w:left="2600" w:hanging="2600"/>
    </w:pPr>
    <w:rPr>
      <w:sz w:val="28"/>
    </w:rPr>
  </w:style>
  <w:style w:type="paragraph" w:customStyle="1" w:styleId="ISchclauseheading">
    <w:name w:val="I Sch clause heading"/>
    <w:basedOn w:val="BillBasic"/>
    <w:rsid w:val="00F66CFF"/>
    <w:pPr>
      <w:keepNext/>
      <w:tabs>
        <w:tab w:val="left" w:pos="1100"/>
      </w:tabs>
      <w:spacing w:before="240"/>
      <w:ind w:left="1100" w:hanging="1100"/>
      <w:jc w:val="left"/>
    </w:pPr>
    <w:rPr>
      <w:rFonts w:ascii="Arial" w:hAnsi="Arial"/>
      <w:b/>
    </w:rPr>
  </w:style>
  <w:style w:type="paragraph" w:customStyle="1" w:styleId="IMain">
    <w:name w:val="I Main"/>
    <w:basedOn w:val="Amain"/>
    <w:rsid w:val="00F66CFF"/>
  </w:style>
  <w:style w:type="paragraph" w:customStyle="1" w:styleId="Ipara">
    <w:name w:val="I para"/>
    <w:basedOn w:val="Apara"/>
    <w:rsid w:val="00F66CFF"/>
    <w:pPr>
      <w:outlineLvl w:val="9"/>
    </w:pPr>
  </w:style>
  <w:style w:type="paragraph" w:customStyle="1" w:styleId="Isubpara">
    <w:name w:val="I subpara"/>
    <w:basedOn w:val="Asubpara"/>
    <w:rsid w:val="00F66CF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66CFF"/>
    <w:pPr>
      <w:tabs>
        <w:tab w:val="clear" w:pos="2400"/>
        <w:tab w:val="clear" w:pos="2600"/>
        <w:tab w:val="right" w:pos="2460"/>
        <w:tab w:val="left" w:pos="2660"/>
      </w:tabs>
      <w:ind w:left="2660" w:hanging="2660"/>
    </w:pPr>
  </w:style>
  <w:style w:type="character" w:customStyle="1" w:styleId="CharSectNo">
    <w:name w:val="CharSectNo"/>
    <w:basedOn w:val="DefaultParagraphFont"/>
    <w:rsid w:val="00F66CFF"/>
  </w:style>
  <w:style w:type="character" w:customStyle="1" w:styleId="CharDivNo">
    <w:name w:val="CharDivNo"/>
    <w:basedOn w:val="DefaultParagraphFont"/>
    <w:rsid w:val="00F66CFF"/>
  </w:style>
  <w:style w:type="character" w:customStyle="1" w:styleId="CharDivText">
    <w:name w:val="CharDivText"/>
    <w:basedOn w:val="DefaultParagraphFont"/>
    <w:rsid w:val="00F66CFF"/>
  </w:style>
  <w:style w:type="character" w:customStyle="1" w:styleId="CharPartNo">
    <w:name w:val="CharPartNo"/>
    <w:basedOn w:val="DefaultParagraphFont"/>
    <w:rsid w:val="00F66CFF"/>
  </w:style>
  <w:style w:type="paragraph" w:customStyle="1" w:styleId="Placeholder">
    <w:name w:val="Placeholder"/>
    <w:basedOn w:val="Normal"/>
    <w:rsid w:val="00F66CFF"/>
    <w:rPr>
      <w:sz w:val="10"/>
    </w:rPr>
  </w:style>
  <w:style w:type="paragraph" w:styleId="PlainText">
    <w:name w:val="Plain Text"/>
    <w:basedOn w:val="Normal"/>
    <w:rsid w:val="00F66CFF"/>
    <w:rPr>
      <w:rFonts w:ascii="Courier New" w:hAnsi="Courier New"/>
      <w:sz w:val="20"/>
    </w:rPr>
  </w:style>
  <w:style w:type="character" w:customStyle="1" w:styleId="CharChapNo">
    <w:name w:val="CharChapNo"/>
    <w:basedOn w:val="DefaultParagraphFont"/>
    <w:rsid w:val="00F66CFF"/>
  </w:style>
  <w:style w:type="character" w:customStyle="1" w:styleId="CharChapText">
    <w:name w:val="CharChapText"/>
    <w:basedOn w:val="DefaultParagraphFont"/>
    <w:rsid w:val="00F66CFF"/>
  </w:style>
  <w:style w:type="character" w:customStyle="1" w:styleId="CharPartText">
    <w:name w:val="CharPartText"/>
    <w:basedOn w:val="DefaultParagraphFont"/>
    <w:rsid w:val="00F66CFF"/>
  </w:style>
  <w:style w:type="paragraph" w:styleId="TOC1">
    <w:name w:val="toc 1"/>
    <w:basedOn w:val="Normal"/>
    <w:next w:val="Normal"/>
    <w:autoRedefine/>
    <w:rsid w:val="00F66CFF"/>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F66CF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F66CF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66CF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F66CFF"/>
  </w:style>
  <w:style w:type="paragraph" w:styleId="Title">
    <w:name w:val="Title"/>
    <w:basedOn w:val="Normal"/>
    <w:qFormat/>
    <w:rsid w:val="00634663"/>
    <w:pPr>
      <w:spacing w:before="240" w:after="60"/>
      <w:jc w:val="center"/>
      <w:outlineLvl w:val="0"/>
    </w:pPr>
    <w:rPr>
      <w:rFonts w:ascii="Arial" w:hAnsi="Arial"/>
      <w:b/>
      <w:kern w:val="28"/>
      <w:sz w:val="32"/>
    </w:rPr>
  </w:style>
  <w:style w:type="paragraph" w:styleId="Signature">
    <w:name w:val="Signature"/>
    <w:basedOn w:val="Normal"/>
    <w:rsid w:val="00F66CFF"/>
    <w:pPr>
      <w:ind w:left="4252"/>
    </w:pPr>
  </w:style>
  <w:style w:type="paragraph" w:customStyle="1" w:styleId="ActNo">
    <w:name w:val="ActNo"/>
    <w:basedOn w:val="BillBasicHeading"/>
    <w:rsid w:val="00F66CFF"/>
    <w:pPr>
      <w:keepNext w:val="0"/>
      <w:tabs>
        <w:tab w:val="clear" w:pos="2600"/>
      </w:tabs>
      <w:spacing w:before="220"/>
    </w:pPr>
  </w:style>
  <w:style w:type="paragraph" w:customStyle="1" w:styleId="aParaNote">
    <w:name w:val="aParaNote"/>
    <w:basedOn w:val="BillBasic"/>
    <w:rsid w:val="00F66CFF"/>
    <w:pPr>
      <w:ind w:left="2840" w:hanging="1240"/>
    </w:pPr>
    <w:rPr>
      <w:sz w:val="20"/>
    </w:rPr>
  </w:style>
  <w:style w:type="paragraph" w:customStyle="1" w:styleId="aExamNum">
    <w:name w:val="aExamNum"/>
    <w:basedOn w:val="aExam"/>
    <w:rsid w:val="00F66CFF"/>
    <w:pPr>
      <w:ind w:left="1500" w:hanging="400"/>
    </w:pPr>
  </w:style>
  <w:style w:type="paragraph" w:customStyle="1" w:styleId="LongTitle">
    <w:name w:val="LongTitle"/>
    <w:basedOn w:val="BillBasic"/>
    <w:rsid w:val="00F66CFF"/>
    <w:pPr>
      <w:spacing w:before="300"/>
    </w:pPr>
  </w:style>
  <w:style w:type="paragraph" w:customStyle="1" w:styleId="Minister">
    <w:name w:val="Minister"/>
    <w:basedOn w:val="BillBasic"/>
    <w:rsid w:val="00F66CFF"/>
    <w:pPr>
      <w:spacing w:before="640"/>
      <w:jc w:val="right"/>
    </w:pPr>
    <w:rPr>
      <w:caps/>
    </w:rPr>
  </w:style>
  <w:style w:type="paragraph" w:customStyle="1" w:styleId="DateLine">
    <w:name w:val="DateLine"/>
    <w:basedOn w:val="BillBasic"/>
    <w:rsid w:val="00F66CFF"/>
    <w:pPr>
      <w:tabs>
        <w:tab w:val="left" w:pos="4320"/>
      </w:tabs>
    </w:pPr>
  </w:style>
  <w:style w:type="paragraph" w:customStyle="1" w:styleId="madeunder">
    <w:name w:val="made under"/>
    <w:basedOn w:val="BillBasic"/>
    <w:rsid w:val="00F66CFF"/>
    <w:pPr>
      <w:spacing w:before="240"/>
    </w:pPr>
  </w:style>
  <w:style w:type="paragraph" w:customStyle="1" w:styleId="EndNoteSubHeading">
    <w:name w:val="EndNoteSubHeading"/>
    <w:basedOn w:val="Normal"/>
    <w:next w:val="EndNoteText"/>
    <w:rsid w:val="00634663"/>
    <w:pPr>
      <w:keepNext/>
      <w:tabs>
        <w:tab w:val="left" w:pos="700"/>
      </w:tabs>
      <w:spacing w:before="240"/>
      <w:ind w:left="700" w:hanging="700"/>
    </w:pPr>
    <w:rPr>
      <w:rFonts w:ascii="Arial" w:hAnsi="Arial"/>
      <w:b/>
      <w:sz w:val="20"/>
    </w:rPr>
  </w:style>
  <w:style w:type="paragraph" w:customStyle="1" w:styleId="EndNoteText">
    <w:name w:val="EndNoteText"/>
    <w:basedOn w:val="BillBasic"/>
    <w:rsid w:val="00F66CFF"/>
    <w:pPr>
      <w:tabs>
        <w:tab w:val="left" w:pos="700"/>
        <w:tab w:val="right" w:pos="6160"/>
      </w:tabs>
      <w:spacing w:before="80"/>
      <w:ind w:left="700" w:hanging="700"/>
    </w:pPr>
    <w:rPr>
      <w:sz w:val="20"/>
    </w:rPr>
  </w:style>
  <w:style w:type="paragraph" w:customStyle="1" w:styleId="BillBasicItalics">
    <w:name w:val="BillBasicItalics"/>
    <w:basedOn w:val="BillBasic"/>
    <w:rsid w:val="00F66CFF"/>
    <w:rPr>
      <w:i/>
    </w:rPr>
  </w:style>
  <w:style w:type="paragraph" w:customStyle="1" w:styleId="00SigningPage">
    <w:name w:val="00SigningPage"/>
    <w:basedOn w:val="Normal"/>
    <w:rsid w:val="00F66CFF"/>
  </w:style>
  <w:style w:type="paragraph" w:customStyle="1" w:styleId="Aparareturn">
    <w:name w:val="A para return"/>
    <w:basedOn w:val="BillBasic"/>
    <w:rsid w:val="00F66CFF"/>
    <w:pPr>
      <w:ind w:left="1600"/>
    </w:pPr>
  </w:style>
  <w:style w:type="paragraph" w:customStyle="1" w:styleId="Asubparareturn">
    <w:name w:val="A subpara return"/>
    <w:basedOn w:val="BillBasic"/>
    <w:rsid w:val="00F66CFF"/>
    <w:pPr>
      <w:ind w:left="2100"/>
    </w:pPr>
  </w:style>
  <w:style w:type="paragraph" w:customStyle="1" w:styleId="CommentNum">
    <w:name w:val="CommentNum"/>
    <w:basedOn w:val="Comment"/>
    <w:rsid w:val="00F66CFF"/>
    <w:pPr>
      <w:ind w:left="1800" w:hanging="1800"/>
    </w:pPr>
  </w:style>
  <w:style w:type="paragraph" w:styleId="TOC8">
    <w:name w:val="toc 8"/>
    <w:basedOn w:val="TOC3"/>
    <w:next w:val="Normal"/>
    <w:autoRedefine/>
    <w:rsid w:val="00F66CFF"/>
    <w:pPr>
      <w:keepNext w:val="0"/>
      <w:spacing w:before="120"/>
    </w:pPr>
  </w:style>
  <w:style w:type="paragraph" w:customStyle="1" w:styleId="Judges">
    <w:name w:val="Judges"/>
    <w:basedOn w:val="Minister"/>
    <w:rsid w:val="00F66CFF"/>
    <w:pPr>
      <w:spacing w:before="180"/>
    </w:pPr>
  </w:style>
  <w:style w:type="paragraph" w:customStyle="1" w:styleId="BillFor">
    <w:name w:val="BillFor"/>
    <w:basedOn w:val="BillBasicHeading"/>
    <w:rsid w:val="00F66CFF"/>
    <w:pPr>
      <w:keepNext w:val="0"/>
      <w:spacing w:before="320"/>
      <w:jc w:val="both"/>
    </w:pPr>
    <w:rPr>
      <w:sz w:val="28"/>
    </w:rPr>
  </w:style>
  <w:style w:type="paragraph" w:customStyle="1" w:styleId="draft">
    <w:name w:val="draft"/>
    <w:basedOn w:val="Normal"/>
    <w:rsid w:val="00F66CF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F66CFF"/>
    <w:pPr>
      <w:spacing w:line="260" w:lineRule="atLeast"/>
      <w:jc w:val="center"/>
    </w:pPr>
  </w:style>
  <w:style w:type="paragraph" w:customStyle="1" w:styleId="Amainbullet">
    <w:name w:val="A main bullet"/>
    <w:basedOn w:val="BillBasic"/>
    <w:rsid w:val="00F66CFF"/>
    <w:pPr>
      <w:spacing w:before="60"/>
      <w:ind w:left="1500" w:hanging="400"/>
    </w:pPr>
  </w:style>
  <w:style w:type="paragraph" w:customStyle="1" w:styleId="Aparabullet">
    <w:name w:val="A para bullet"/>
    <w:basedOn w:val="BillBasic"/>
    <w:rsid w:val="00F66CFF"/>
    <w:pPr>
      <w:spacing w:before="60"/>
      <w:ind w:left="2000" w:hanging="400"/>
    </w:pPr>
  </w:style>
  <w:style w:type="paragraph" w:customStyle="1" w:styleId="Asubparabullet">
    <w:name w:val="A subpara bullet"/>
    <w:basedOn w:val="BillBasic"/>
    <w:rsid w:val="00F66CFF"/>
    <w:pPr>
      <w:spacing w:before="60"/>
      <w:ind w:left="2540" w:hanging="400"/>
    </w:pPr>
  </w:style>
  <w:style w:type="paragraph" w:customStyle="1" w:styleId="aDefpara">
    <w:name w:val="aDef para"/>
    <w:basedOn w:val="Apara"/>
    <w:rsid w:val="00F66CFF"/>
  </w:style>
  <w:style w:type="paragraph" w:customStyle="1" w:styleId="aDefsubpara">
    <w:name w:val="aDef subpara"/>
    <w:basedOn w:val="Asubpara"/>
    <w:rsid w:val="00F66CFF"/>
  </w:style>
  <w:style w:type="paragraph" w:customStyle="1" w:styleId="Idefpara">
    <w:name w:val="I def para"/>
    <w:basedOn w:val="Ipara"/>
    <w:rsid w:val="00F66CFF"/>
  </w:style>
  <w:style w:type="paragraph" w:customStyle="1" w:styleId="Idefsubpara">
    <w:name w:val="I def subpara"/>
    <w:basedOn w:val="Isubpara"/>
    <w:rsid w:val="00F66CFF"/>
  </w:style>
  <w:style w:type="paragraph" w:customStyle="1" w:styleId="Notified">
    <w:name w:val="Notified"/>
    <w:basedOn w:val="BillBasic"/>
    <w:rsid w:val="00F66CFF"/>
    <w:pPr>
      <w:spacing w:before="360"/>
      <w:jc w:val="right"/>
    </w:pPr>
    <w:rPr>
      <w:i/>
    </w:rPr>
  </w:style>
  <w:style w:type="paragraph" w:customStyle="1" w:styleId="03ScheduleLandscape">
    <w:name w:val="03ScheduleLandscape"/>
    <w:basedOn w:val="Normal"/>
    <w:rsid w:val="00F66CFF"/>
  </w:style>
  <w:style w:type="paragraph" w:customStyle="1" w:styleId="IDict-Heading">
    <w:name w:val="I Dict-Heading"/>
    <w:basedOn w:val="BillBasicHeading"/>
    <w:rsid w:val="00F66CFF"/>
    <w:pPr>
      <w:spacing w:before="320"/>
      <w:ind w:left="2600" w:hanging="2600"/>
      <w:jc w:val="both"/>
    </w:pPr>
    <w:rPr>
      <w:sz w:val="34"/>
    </w:rPr>
  </w:style>
  <w:style w:type="paragraph" w:customStyle="1" w:styleId="02TextLandscape">
    <w:name w:val="02TextLandscape"/>
    <w:basedOn w:val="Normal"/>
    <w:rsid w:val="00F66CFF"/>
  </w:style>
  <w:style w:type="paragraph" w:styleId="Salutation">
    <w:name w:val="Salutation"/>
    <w:basedOn w:val="Normal"/>
    <w:next w:val="Normal"/>
    <w:rsid w:val="00634663"/>
  </w:style>
  <w:style w:type="paragraph" w:customStyle="1" w:styleId="aNoteBullet">
    <w:name w:val="aNoteBullet"/>
    <w:basedOn w:val="aNoteSymb"/>
    <w:rsid w:val="00F66CFF"/>
    <w:pPr>
      <w:tabs>
        <w:tab w:val="left" w:pos="2200"/>
      </w:tabs>
      <w:spacing w:before="60"/>
      <w:ind w:left="2600" w:hanging="700"/>
    </w:pPr>
  </w:style>
  <w:style w:type="paragraph" w:customStyle="1" w:styleId="aNotess">
    <w:name w:val="aNotess"/>
    <w:basedOn w:val="BillBasic"/>
    <w:rsid w:val="00634663"/>
    <w:pPr>
      <w:ind w:left="1900" w:hanging="800"/>
    </w:pPr>
    <w:rPr>
      <w:sz w:val="20"/>
    </w:rPr>
  </w:style>
  <w:style w:type="paragraph" w:customStyle="1" w:styleId="aParaNoteBullet">
    <w:name w:val="aParaNoteBullet"/>
    <w:basedOn w:val="aParaNote"/>
    <w:rsid w:val="00F66CFF"/>
    <w:pPr>
      <w:tabs>
        <w:tab w:val="left" w:pos="2700"/>
      </w:tabs>
      <w:spacing w:before="60"/>
      <w:ind w:left="3100" w:hanging="700"/>
    </w:pPr>
  </w:style>
  <w:style w:type="paragraph" w:customStyle="1" w:styleId="aNotepar">
    <w:name w:val="aNotepar"/>
    <w:basedOn w:val="BillBasic"/>
    <w:next w:val="Normal"/>
    <w:rsid w:val="00F66CFF"/>
    <w:pPr>
      <w:ind w:left="2400" w:hanging="800"/>
    </w:pPr>
    <w:rPr>
      <w:sz w:val="20"/>
    </w:rPr>
  </w:style>
  <w:style w:type="paragraph" w:customStyle="1" w:styleId="aNoteTextpar">
    <w:name w:val="aNoteTextpar"/>
    <w:basedOn w:val="aNotepar"/>
    <w:rsid w:val="00F66CFF"/>
    <w:pPr>
      <w:spacing w:before="60"/>
      <w:ind w:firstLine="0"/>
    </w:pPr>
  </w:style>
  <w:style w:type="paragraph" w:customStyle="1" w:styleId="MinisterWord">
    <w:name w:val="MinisterWord"/>
    <w:basedOn w:val="Normal"/>
    <w:rsid w:val="00F66CFF"/>
    <w:pPr>
      <w:spacing w:before="60"/>
      <w:jc w:val="right"/>
    </w:pPr>
  </w:style>
  <w:style w:type="paragraph" w:customStyle="1" w:styleId="aExamPara">
    <w:name w:val="aExamPara"/>
    <w:basedOn w:val="aExam"/>
    <w:rsid w:val="00F66CFF"/>
    <w:pPr>
      <w:tabs>
        <w:tab w:val="right" w:pos="1720"/>
        <w:tab w:val="left" w:pos="2000"/>
        <w:tab w:val="left" w:pos="2300"/>
      </w:tabs>
      <w:ind w:left="2400" w:hanging="1300"/>
    </w:pPr>
  </w:style>
  <w:style w:type="paragraph" w:customStyle="1" w:styleId="aExamNumText">
    <w:name w:val="aExamNumText"/>
    <w:basedOn w:val="aExam"/>
    <w:rsid w:val="00F66CFF"/>
    <w:pPr>
      <w:ind w:left="1500"/>
    </w:pPr>
  </w:style>
  <w:style w:type="paragraph" w:customStyle="1" w:styleId="aExamBullet">
    <w:name w:val="aExamBullet"/>
    <w:basedOn w:val="aExam"/>
    <w:rsid w:val="00F66CFF"/>
    <w:pPr>
      <w:tabs>
        <w:tab w:val="left" w:pos="1500"/>
        <w:tab w:val="left" w:pos="2300"/>
      </w:tabs>
      <w:ind w:left="1900" w:hanging="800"/>
    </w:pPr>
  </w:style>
  <w:style w:type="paragraph" w:customStyle="1" w:styleId="aNotePara">
    <w:name w:val="aNotePara"/>
    <w:basedOn w:val="aNote"/>
    <w:rsid w:val="00F66CFF"/>
    <w:pPr>
      <w:tabs>
        <w:tab w:val="right" w:pos="2140"/>
        <w:tab w:val="left" w:pos="2400"/>
      </w:tabs>
      <w:spacing w:before="60"/>
      <w:ind w:left="2400" w:hanging="1300"/>
    </w:pPr>
  </w:style>
  <w:style w:type="paragraph" w:customStyle="1" w:styleId="aExplanHeading">
    <w:name w:val="aExplanHeading"/>
    <w:basedOn w:val="BillBasicHeading"/>
    <w:next w:val="Normal"/>
    <w:rsid w:val="00F66CFF"/>
    <w:rPr>
      <w:rFonts w:ascii="Arial (W1)" w:hAnsi="Arial (W1)"/>
      <w:sz w:val="18"/>
    </w:rPr>
  </w:style>
  <w:style w:type="paragraph" w:customStyle="1" w:styleId="aExplanText">
    <w:name w:val="aExplanText"/>
    <w:basedOn w:val="BillBasic"/>
    <w:rsid w:val="00F66CFF"/>
    <w:rPr>
      <w:sz w:val="20"/>
    </w:rPr>
  </w:style>
  <w:style w:type="paragraph" w:customStyle="1" w:styleId="aParaNotePara">
    <w:name w:val="aParaNotePara"/>
    <w:basedOn w:val="aNoteParaSymb"/>
    <w:rsid w:val="00F66CFF"/>
    <w:pPr>
      <w:tabs>
        <w:tab w:val="clear" w:pos="2140"/>
        <w:tab w:val="clear" w:pos="2400"/>
        <w:tab w:val="right" w:pos="2644"/>
      </w:tabs>
      <w:ind w:left="3320" w:hanging="1720"/>
    </w:pPr>
  </w:style>
  <w:style w:type="character" w:customStyle="1" w:styleId="charBold">
    <w:name w:val="charBold"/>
    <w:basedOn w:val="DefaultParagraphFont"/>
    <w:rsid w:val="00F66CFF"/>
    <w:rPr>
      <w:b/>
    </w:rPr>
  </w:style>
  <w:style w:type="character" w:customStyle="1" w:styleId="charBoldItals">
    <w:name w:val="charBoldItals"/>
    <w:basedOn w:val="DefaultParagraphFont"/>
    <w:rsid w:val="00F66CFF"/>
    <w:rPr>
      <w:b/>
      <w:i/>
    </w:rPr>
  </w:style>
  <w:style w:type="character" w:customStyle="1" w:styleId="charItals">
    <w:name w:val="charItals"/>
    <w:basedOn w:val="DefaultParagraphFont"/>
    <w:rsid w:val="00F66CFF"/>
    <w:rPr>
      <w:i/>
    </w:rPr>
  </w:style>
  <w:style w:type="character" w:customStyle="1" w:styleId="charUnderline">
    <w:name w:val="charUnderline"/>
    <w:basedOn w:val="DefaultParagraphFont"/>
    <w:rsid w:val="00F66CFF"/>
    <w:rPr>
      <w:u w:val="single"/>
    </w:rPr>
  </w:style>
  <w:style w:type="paragraph" w:customStyle="1" w:styleId="TableHd">
    <w:name w:val="TableHd"/>
    <w:basedOn w:val="Normal"/>
    <w:rsid w:val="00F66CFF"/>
    <w:pPr>
      <w:keepNext/>
      <w:spacing w:before="300"/>
      <w:ind w:left="1200" w:hanging="1200"/>
    </w:pPr>
    <w:rPr>
      <w:rFonts w:ascii="Arial" w:hAnsi="Arial"/>
      <w:b/>
      <w:sz w:val="20"/>
    </w:rPr>
  </w:style>
  <w:style w:type="paragraph" w:customStyle="1" w:styleId="TableColHd">
    <w:name w:val="TableColHd"/>
    <w:basedOn w:val="Normal"/>
    <w:rsid w:val="00F66CFF"/>
    <w:pPr>
      <w:keepNext/>
      <w:spacing w:after="60"/>
    </w:pPr>
    <w:rPr>
      <w:rFonts w:ascii="Arial" w:hAnsi="Arial"/>
      <w:b/>
      <w:sz w:val="18"/>
    </w:rPr>
  </w:style>
  <w:style w:type="paragraph" w:customStyle="1" w:styleId="PenaltyPara">
    <w:name w:val="PenaltyPara"/>
    <w:basedOn w:val="Normal"/>
    <w:rsid w:val="00F66CFF"/>
    <w:pPr>
      <w:tabs>
        <w:tab w:val="right" w:pos="1360"/>
      </w:tabs>
      <w:spacing w:before="60"/>
      <w:ind w:left="1600" w:hanging="1600"/>
      <w:jc w:val="both"/>
    </w:pPr>
  </w:style>
  <w:style w:type="paragraph" w:customStyle="1" w:styleId="tablepara">
    <w:name w:val="table para"/>
    <w:basedOn w:val="Normal"/>
    <w:rsid w:val="00F66CFF"/>
    <w:pPr>
      <w:tabs>
        <w:tab w:val="right" w:pos="800"/>
        <w:tab w:val="left" w:pos="1100"/>
      </w:tabs>
      <w:spacing w:before="80" w:after="60"/>
      <w:ind w:left="1100" w:hanging="1100"/>
    </w:pPr>
  </w:style>
  <w:style w:type="paragraph" w:customStyle="1" w:styleId="tablesubpara">
    <w:name w:val="table subpara"/>
    <w:basedOn w:val="Normal"/>
    <w:rsid w:val="00F66CFF"/>
    <w:pPr>
      <w:tabs>
        <w:tab w:val="right" w:pos="1500"/>
        <w:tab w:val="left" w:pos="1800"/>
      </w:tabs>
      <w:spacing w:before="80" w:after="60"/>
      <w:ind w:left="1800" w:hanging="1800"/>
    </w:pPr>
  </w:style>
  <w:style w:type="paragraph" w:customStyle="1" w:styleId="TableText">
    <w:name w:val="TableText"/>
    <w:basedOn w:val="Normal"/>
    <w:rsid w:val="00F66CFF"/>
    <w:pPr>
      <w:spacing w:before="60" w:after="60"/>
    </w:pPr>
  </w:style>
  <w:style w:type="paragraph" w:customStyle="1" w:styleId="IshadedH5Sec">
    <w:name w:val="I shaded H5 Sec"/>
    <w:basedOn w:val="AH5Sec"/>
    <w:rsid w:val="00F66CFF"/>
    <w:pPr>
      <w:shd w:val="pct25" w:color="auto" w:fill="auto"/>
      <w:outlineLvl w:val="9"/>
    </w:pPr>
  </w:style>
  <w:style w:type="paragraph" w:customStyle="1" w:styleId="IshadedSchClause">
    <w:name w:val="I shaded Sch Clause"/>
    <w:basedOn w:val="IshadedH5Sec"/>
    <w:rsid w:val="00F66CFF"/>
  </w:style>
  <w:style w:type="paragraph" w:customStyle="1" w:styleId="Penalty">
    <w:name w:val="Penalty"/>
    <w:basedOn w:val="Amainreturn"/>
    <w:rsid w:val="00F66CFF"/>
  </w:style>
  <w:style w:type="paragraph" w:customStyle="1" w:styleId="aNoteText">
    <w:name w:val="aNoteText"/>
    <w:basedOn w:val="aNoteSymb"/>
    <w:rsid w:val="00F66CFF"/>
    <w:pPr>
      <w:spacing w:before="60"/>
      <w:ind w:firstLine="0"/>
    </w:pPr>
  </w:style>
  <w:style w:type="paragraph" w:customStyle="1" w:styleId="aExamINum">
    <w:name w:val="aExamINum"/>
    <w:basedOn w:val="aExam"/>
    <w:rsid w:val="00634663"/>
    <w:pPr>
      <w:tabs>
        <w:tab w:val="left" w:pos="1500"/>
      </w:tabs>
      <w:ind w:left="1500" w:hanging="400"/>
    </w:pPr>
  </w:style>
  <w:style w:type="paragraph" w:customStyle="1" w:styleId="AExamIPara">
    <w:name w:val="AExamIPara"/>
    <w:basedOn w:val="aExam"/>
    <w:rsid w:val="00F66CFF"/>
    <w:pPr>
      <w:tabs>
        <w:tab w:val="right" w:pos="1720"/>
        <w:tab w:val="left" w:pos="2000"/>
      </w:tabs>
      <w:ind w:left="2000" w:hanging="900"/>
    </w:pPr>
  </w:style>
  <w:style w:type="paragraph" w:customStyle="1" w:styleId="AH3sec">
    <w:name w:val="A H3 sec"/>
    <w:basedOn w:val="Normal"/>
    <w:next w:val="Amain"/>
    <w:rsid w:val="00634663"/>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F66CFF"/>
    <w:pPr>
      <w:tabs>
        <w:tab w:val="clear" w:pos="2600"/>
      </w:tabs>
      <w:ind w:left="1100"/>
    </w:pPr>
    <w:rPr>
      <w:sz w:val="18"/>
    </w:rPr>
  </w:style>
  <w:style w:type="paragraph" w:customStyle="1" w:styleId="aExamss">
    <w:name w:val="aExamss"/>
    <w:basedOn w:val="aNoteSymb"/>
    <w:rsid w:val="00F66CFF"/>
    <w:pPr>
      <w:spacing w:before="60"/>
      <w:ind w:left="1100" w:firstLine="0"/>
    </w:pPr>
  </w:style>
  <w:style w:type="paragraph" w:customStyle="1" w:styleId="aExamHdgpar">
    <w:name w:val="aExamHdgpar"/>
    <w:basedOn w:val="aExamHdgss"/>
    <w:next w:val="Normal"/>
    <w:rsid w:val="00F66CFF"/>
    <w:pPr>
      <w:ind w:left="1600"/>
    </w:pPr>
  </w:style>
  <w:style w:type="paragraph" w:customStyle="1" w:styleId="aExampar">
    <w:name w:val="aExampar"/>
    <w:basedOn w:val="aExamss"/>
    <w:rsid w:val="00F66CFF"/>
    <w:pPr>
      <w:ind w:left="1600"/>
    </w:pPr>
  </w:style>
  <w:style w:type="paragraph" w:customStyle="1" w:styleId="aExamINumss">
    <w:name w:val="aExamINumss"/>
    <w:basedOn w:val="aExamss"/>
    <w:rsid w:val="00F66CFF"/>
    <w:pPr>
      <w:tabs>
        <w:tab w:val="left" w:pos="1500"/>
      </w:tabs>
      <w:ind w:left="1500" w:hanging="400"/>
    </w:pPr>
  </w:style>
  <w:style w:type="paragraph" w:customStyle="1" w:styleId="aExamINumpar">
    <w:name w:val="aExamINumpar"/>
    <w:basedOn w:val="aExampar"/>
    <w:rsid w:val="00F66CFF"/>
    <w:pPr>
      <w:tabs>
        <w:tab w:val="left" w:pos="2000"/>
      </w:tabs>
      <w:ind w:left="2000" w:hanging="400"/>
    </w:pPr>
  </w:style>
  <w:style w:type="paragraph" w:customStyle="1" w:styleId="aExamNumTextss">
    <w:name w:val="aExamNumTextss"/>
    <w:basedOn w:val="aExamss"/>
    <w:rsid w:val="00F66CFF"/>
    <w:pPr>
      <w:ind w:left="1500"/>
    </w:pPr>
  </w:style>
  <w:style w:type="paragraph" w:customStyle="1" w:styleId="aExamNumTextpar">
    <w:name w:val="aExamNumTextpar"/>
    <w:basedOn w:val="aExampar"/>
    <w:rsid w:val="00634663"/>
    <w:pPr>
      <w:ind w:left="2000"/>
    </w:pPr>
  </w:style>
  <w:style w:type="paragraph" w:customStyle="1" w:styleId="aExamBulletss">
    <w:name w:val="aExamBulletss"/>
    <w:basedOn w:val="aExamss"/>
    <w:rsid w:val="00F66CFF"/>
    <w:pPr>
      <w:ind w:left="1500" w:hanging="400"/>
    </w:pPr>
  </w:style>
  <w:style w:type="paragraph" w:customStyle="1" w:styleId="aExamBulletpar">
    <w:name w:val="aExamBulletpar"/>
    <w:basedOn w:val="aExampar"/>
    <w:rsid w:val="00F66CFF"/>
    <w:pPr>
      <w:ind w:left="2000" w:hanging="400"/>
    </w:pPr>
  </w:style>
  <w:style w:type="paragraph" w:customStyle="1" w:styleId="aExamHdgsubpar">
    <w:name w:val="aExamHdgsubpar"/>
    <w:basedOn w:val="aExamHdgss"/>
    <w:next w:val="Normal"/>
    <w:rsid w:val="00F66CFF"/>
    <w:pPr>
      <w:ind w:left="2140"/>
    </w:pPr>
  </w:style>
  <w:style w:type="paragraph" w:customStyle="1" w:styleId="aExamsubpar">
    <w:name w:val="aExamsubpar"/>
    <w:basedOn w:val="aExamss"/>
    <w:rsid w:val="00F66CFF"/>
    <w:pPr>
      <w:ind w:left="2140"/>
    </w:pPr>
  </w:style>
  <w:style w:type="paragraph" w:customStyle="1" w:styleId="aExamNumsubpar">
    <w:name w:val="aExamNumsubpar"/>
    <w:basedOn w:val="aExamsubpar"/>
    <w:rsid w:val="00F66CFF"/>
    <w:pPr>
      <w:tabs>
        <w:tab w:val="clear" w:pos="1100"/>
        <w:tab w:val="clear" w:pos="2381"/>
        <w:tab w:val="left" w:pos="2569"/>
      </w:tabs>
      <w:ind w:left="2569" w:hanging="403"/>
    </w:pPr>
  </w:style>
  <w:style w:type="paragraph" w:customStyle="1" w:styleId="aExamNumTextsubpar">
    <w:name w:val="aExamNumTextsubpar"/>
    <w:basedOn w:val="aExampar"/>
    <w:rsid w:val="00634663"/>
    <w:pPr>
      <w:ind w:left="2540"/>
    </w:pPr>
  </w:style>
  <w:style w:type="paragraph" w:customStyle="1" w:styleId="aExamBulletsubpar">
    <w:name w:val="aExamBulletsubpar"/>
    <w:basedOn w:val="aExamsubpar"/>
    <w:rsid w:val="00F66CFF"/>
    <w:pPr>
      <w:numPr>
        <w:numId w:val="7"/>
      </w:numPr>
      <w:tabs>
        <w:tab w:val="clear" w:pos="1100"/>
        <w:tab w:val="clear" w:pos="2381"/>
        <w:tab w:val="left" w:pos="2569"/>
      </w:tabs>
      <w:ind w:left="2569" w:hanging="403"/>
    </w:pPr>
  </w:style>
  <w:style w:type="paragraph" w:customStyle="1" w:styleId="aNoteTextss">
    <w:name w:val="aNoteTextss"/>
    <w:basedOn w:val="Normal"/>
    <w:rsid w:val="00F66CFF"/>
    <w:pPr>
      <w:spacing w:before="60"/>
      <w:ind w:left="1900"/>
      <w:jc w:val="both"/>
    </w:pPr>
    <w:rPr>
      <w:sz w:val="20"/>
    </w:rPr>
  </w:style>
  <w:style w:type="paragraph" w:customStyle="1" w:styleId="aNoteParass">
    <w:name w:val="aNoteParass"/>
    <w:basedOn w:val="Normal"/>
    <w:rsid w:val="00F66CFF"/>
    <w:pPr>
      <w:tabs>
        <w:tab w:val="right" w:pos="2140"/>
        <w:tab w:val="left" w:pos="2400"/>
      </w:tabs>
      <w:spacing w:before="60"/>
      <w:ind w:left="2400" w:hanging="1300"/>
      <w:jc w:val="both"/>
    </w:pPr>
    <w:rPr>
      <w:sz w:val="20"/>
    </w:rPr>
  </w:style>
  <w:style w:type="paragraph" w:customStyle="1" w:styleId="aNoteParapar">
    <w:name w:val="aNoteParapar"/>
    <w:basedOn w:val="aNotepar"/>
    <w:rsid w:val="00F66CFF"/>
    <w:pPr>
      <w:tabs>
        <w:tab w:val="right" w:pos="2640"/>
      </w:tabs>
      <w:spacing w:before="60"/>
      <w:ind w:left="2920" w:hanging="1320"/>
    </w:pPr>
  </w:style>
  <w:style w:type="paragraph" w:customStyle="1" w:styleId="aNotesubpar">
    <w:name w:val="aNotesubpar"/>
    <w:basedOn w:val="BillBasic"/>
    <w:next w:val="Normal"/>
    <w:rsid w:val="00F66CFF"/>
    <w:pPr>
      <w:ind w:left="2940" w:hanging="800"/>
    </w:pPr>
    <w:rPr>
      <w:sz w:val="20"/>
    </w:rPr>
  </w:style>
  <w:style w:type="paragraph" w:customStyle="1" w:styleId="aNoteTextsubpar">
    <w:name w:val="aNoteTextsubpar"/>
    <w:basedOn w:val="aNotesubpar"/>
    <w:rsid w:val="00F66CFF"/>
    <w:pPr>
      <w:spacing w:before="60"/>
      <w:ind w:firstLine="0"/>
    </w:pPr>
  </w:style>
  <w:style w:type="paragraph" w:customStyle="1" w:styleId="aNoteParasubpar">
    <w:name w:val="aNoteParasubpar"/>
    <w:basedOn w:val="aNotesubpar"/>
    <w:rsid w:val="00634663"/>
    <w:pPr>
      <w:tabs>
        <w:tab w:val="right" w:pos="3180"/>
      </w:tabs>
      <w:spacing w:before="60"/>
      <w:ind w:left="3460" w:hanging="1320"/>
    </w:pPr>
  </w:style>
  <w:style w:type="paragraph" w:customStyle="1" w:styleId="aNoteBulletsubpar">
    <w:name w:val="aNoteBulletsubpar"/>
    <w:basedOn w:val="aNotesubpar"/>
    <w:rsid w:val="00F66CFF"/>
    <w:pPr>
      <w:numPr>
        <w:numId w:val="3"/>
      </w:numPr>
      <w:tabs>
        <w:tab w:val="clear" w:pos="3300"/>
        <w:tab w:val="left" w:pos="3345"/>
      </w:tabs>
      <w:spacing w:before="60"/>
    </w:pPr>
  </w:style>
  <w:style w:type="paragraph" w:customStyle="1" w:styleId="aNoteBulletss">
    <w:name w:val="aNoteBulletss"/>
    <w:basedOn w:val="Normal"/>
    <w:rsid w:val="00F66CFF"/>
    <w:pPr>
      <w:spacing w:before="60"/>
      <w:ind w:left="2300" w:hanging="400"/>
      <w:jc w:val="both"/>
    </w:pPr>
    <w:rPr>
      <w:sz w:val="20"/>
    </w:rPr>
  </w:style>
  <w:style w:type="paragraph" w:customStyle="1" w:styleId="aNoteBulletpar">
    <w:name w:val="aNoteBulletpar"/>
    <w:basedOn w:val="aNotepar"/>
    <w:rsid w:val="00F66CFF"/>
    <w:pPr>
      <w:spacing w:before="60"/>
      <w:ind w:left="2800" w:hanging="400"/>
    </w:pPr>
  </w:style>
  <w:style w:type="paragraph" w:customStyle="1" w:styleId="aExplanBullet">
    <w:name w:val="aExplanBullet"/>
    <w:basedOn w:val="Normal"/>
    <w:rsid w:val="00F66CFF"/>
    <w:pPr>
      <w:spacing w:before="140"/>
      <w:ind w:left="400" w:hanging="400"/>
      <w:jc w:val="both"/>
    </w:pPr>
    <w:rPr>
      <w:snapToGrid w:val="0"/>
      <w:sz w:val="20"/>
    </w:rPr>
  </w:style>
  <w:style w:type="paragraph" w:customStyle="1" w:styleId="AuthLaw">
    <w:name w:val="AuthLaw"/>
    <w:basedOn w:val="BillBasic"/>
    <w:rsid w:val="00634663"/>
    <w:rPr>
      <w:rFonts w:ascii="Arial" w:hAnsi="Arial"/>
      <w:b/>
      <w:sz w:val="20"/>
    </w:rPr>
  </w:style>
  <w:style w:type="paragraph" w:customStyle="1" w:styleId="aExamNumpar">
    <w:name w:val="aExamNumpar"/>
    <w:basedOn w:val="aExamINumss"/>
    <w:rsid w:val="00634663"/>
    <w:pPr>
      <w:tabs>
        <w:tab w:val="clear" w:pos="1500"/>
        <w:tab w:val="left" w:pos="2000"/>
      </w:tabs>
      <w:ind w:left="2000"/>
    </w:pPr>
  </w:style>
  <w:style w:type="paragraph" w:customStyle="1" w:styleId="Schsectionheading">
    <w:name w:val="Sch section heading"/>
    <w:basedOn w:val="BillBasic"/>
    <w:next w:val="Amain"/>
    <w:rsid w:val="00634663"/>
    <w:pPr>
      <w:spacing w:before="240"/>
      <w:jc w:val="left"/>
      <w:outlineLvl w:val="4"/>
    </w:pPr>
    <w:rPr>
      <w:rFonts w:ascii="Arial" w:hAnsi="Arial"/>
      <w:b/>
    </w:rPr>
  </w:style>
  <w:style w:type="paragraph" w:customStyle="1" w:styleId="SchAmain">
    <w:name w:val="Sch A main"/>
    <w:basedOn w:val="Amain"/>
    <w:rsid w:val="00F66CFF"/>
  </w:style>
  <w:style w:type="paragraph" w:customStyle="1" w:styleId="SchApara">
    <w:name w:val="Sch A para"/>
    <w:basedOn w:val="Apara"/>
    <w:rsid w:val="00F66CFF"/>
  </w:style>
  <w:style w:type="paragraph" w:customStyle="1" w:styleId="SchAsubpara">
    <w:name w:val="Sch A subpara"/>
    <w:basedOn w:val="Asubpara"/>
    <w:rsid w:val="00F66CFF"/>
  </w:style>
  <w:style w:type="paragraph" w:customStyle="1" w:styleId="SchAsubsubpara">
    <w:name w:val="Sch A subsubpara"/>
    <w:basedOn w:val="Asubsubpara"/>
    <w:rsid w:val="00F66CFF"/>
  </w:style>
  <w:style w:type="paragraph" w:customStyle="1" w:styleId="TOCOL1">
    <w:name w:val="TOCOL 1"/>
    <w:basedOn w:val="TOC1"/>
    <w:rsid w:val="00F66CFF"/>
  </w:style>
  <w:style w:type="paragraph" w:customStyle="1" w:styleId="TOCOL2">
    <w:name w:val="TOCOL 2"/>
    <w:basedOn w:val="TOC2"/>
    <w:rsid w:val="00F66CFF"/>
    <w:pPr>
      <w:keepNext w:val="0"/>
    </w:pPr>
  </w:style>
  <w:style w:type="paragraph" w:customStyle="1" w:styleId="TOCOL3">
    <w:name w:val="TOCOL 3"/>
    <w:basedOn w:val="TOC3"/>
    <w:rsid w:val="00F66CFF"/>
    <w:pPr>
      <w:keepNext w:val="0"/>
    </w:pPr>
  </w:style>
  <w:style w:type="paragraph" w:customStyle="1" w:styleId="TOCOL4">
    <w:name w:val="TOCOL 4"/>
    <w:basedOn w:val="TOC4"/>
    <w:rsid w:val="00F66CFF"/>
    <w:pPr>
      <w:keepNext w:val="0"/>
    </w:pPr>
  </w:style>
  <w:style w:type="paragraph" w:customStyle="1" w:styleId="TOCOL5">
    <w:name w:val="TOCOL 5"/>
    <w:basedOn w:val="TOC5"/>
    <w:rsid w:val="00F66CFF"/>
    <w:pPr>
      <w:tabs>
        <w:tab w:val="left" w:pos="400"/>
      </w:tabs>
    </w:pPr>
  </w:style>
  <w:style w:type="paragraph" w:customStyle="1" w:styleId="TOCOL6">
    <w:name w:val="TOCOL 6"/>
    <w:basedOn w:val="TOC6"/>
    <w:rsid w:val="00F66CFF"/>
    <w:pPr>
      <w:keepNext w:val="0"/>
    </w:pPr>
  </w:style>
  <w:style w:type="paragraph" w:customStyle="1" w:styleId="TOCOL7">
    <w:name w:val="TOCOL 7"/>
    <w:basedOn w:val="TOC7"/>
    <w:rsid w:val="00F66CFF"/>
  </w:style>
  <w:style w:type="paragraph" w:customStyle="1" w:styleId="TOCOL8">
    <w:name w:val="TOCOL 8"/>
    <w:basedOn w:val="TOC8"/>
    <w:rsid w:val="00F66CFF"/>
  </w:style>
  <w:style w:type="paragraph" w:customStyle="1" w:styleId="TOCOL9">
    <w:name w:val="TOCOL 9"/>
    <w:basedOn w:val="TOC9"/>
    <w:rsid w:val="00F66CFF"/>
    <w:pPr>
      <w:ind w:right="0"/>
    </w:pPr>
  </w:style>
  <w:style w:type="paragraph" w:styleId="TOC9">
    <w:name w:val="toc 9"/>
    <w:basedOn w:val="Normal"/>
    <w:next w:val="Normal"/>
    <w:autoRedefine/>
    <w:rsid w:val="00F66CFF"/>
    <w:pPr>
      <w:ind w:left="1920" w:right="600"/>
    </w:pPr>
  </w:style>
  <w:style w:type="paragraph" w:customStyle="1" w:styleId="Billname1">
    <w:name w:val="Billname1"/>
    <w:basedOn w:val="Normal"/>
    <w:rsid w:val="00F66CFF"/>
    <w:pPr>
      <w:tabs>
        <w:tab w:val="left" w:pos="2400"/>
      </w:tabs>
      <w:spacing w:before="1220"/>
    </w:pPr>
    <w:rPr>
      <w:rFonts w:ascii="Arial" w:hAnsi="Arial"/>
      <w:b/>
      <w:sz w:val="40"/>
    </w:rPr>
  </w:style>
  <w:style w:type="paragraph" w:customStyle="1" w:styleId="TableText10">
    <w:name w:val="TableText10"/>
    <w:basedOn w:val="TableText"/>
    <w:rsid w:val="00F66CFF"/>
    <w:rPr>
      <w:sz w:val="20"/>
    </w:rPr>
  </w:style>
  <w:style w:type="paragraph" w:customStyle="1" w:styleId="TablePara10">
    <w:name w:val="TablePara10"/>
    <w:basedOn w:val="tablepara"/>
    <w:rsid w:val="00F66CF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66CFF"/>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F66CFF"/>
  </w:style>
  <w:style w:type="character" w:customStyle="1" w:styleId="charPage">
    <w:name w:val="charPage"/>
    <w:basedOn w:val="DefaultParagraphFont"/>
    <w:rsid w:val="00F66CFF"/>
  </w:style>
  <w:style w:type="character" w:styleId="PageNumber">
    <w:name w:val="page number"/>
    <w:basedOn w:val="DefaultParagraphFont"/>
    <w:rsid w:val="00F66CFF"/>
  </w:style>
  <w:style w:type="paragraph" w:customStyle="1" w:styleId="Letterhead">
    <w:name w:val="Letterhead"/>
    <w:rsid w:val="00634663"/>
    <w:pPr>
      <w:widowControl w:val="0"/>
      <w:spacing w:after="180"/>
      <w:jc w:val="right"/>
    </w:pPr>
    <w:rPr>
      <w:rFonts w:ascii="Arial" w:hAnsi="Arial"/>
      <w:sz w:val="32"/>
      <w:lang w:eastAsia="en-US"/>
    </w:rPr>
  </w:style>
  <w:style w:type="paragraph" w:customStyle="1" w:styleId="IShadedschclause0">
    <w:name w:val="I Shaded sch clause"/>
    <w:basedOn w:val="IH5Sec"/>
    <w:rsid w:val="00634663"/>
    <w:pPr>
      <w:shd w:val="pct15" w:color="auto" w:fill="FFFFFF"/>
      <w:tabs>
        <w:tab w:val="clear" w:pos="1100"/>
        <w:tab w:val="left" w:pos="700"/>
      </w:tabs>
      <w:ind w:left="700" w:hanging="700"/>
    </w:pPr>
  </w:style>
  <w:style w:type="paragraph" w:customStyle="1" w:styleId="Billfooter">
    <w:name w:val="Billfooter"/>
    <w:basedOn w:val="Normal"/>
    <w:rsid w:val="00634663"/>
    <w:pPr>
      <w:tabs>
        <w:tab w:val="right" w:pos="7200"/>
      </w:tabs>
      <w:jc w:val="both"/>
    </w:pPr>
    <w:rPr>
      <w:sz w:val="18"/>
    </w:rPr>
  </w:style>
  <w:style w:type="paragraph" w:styleId="BalloonText">
    <w:name w:val="Balloon Text"/>
    <w:basedOn w:val="Normal"/>
    <w:link w:val="BalloonTextChar"/>
    <w:uiPriority w:val="99"/>
    <w:unhideWhenUsed/>
    <w:rsid w:val="00F66CFF"/>
    <w:rPr>
      <w:rFonts w:ascii="Tahoma" w:hAnsi="Tahoma" w:cs="Tahoma"/>
      <w:sz w:val="16"/>
      <w:szCs w:val="16"/>
    </w:rPr>
  </w:style>
  <w:style w:type="character" w:customStyle="1" w:styleId="BalloonTextChar">
    <w:name w:val="Balloon Text Char"/>
    <w:basedOn w:val="DefaultParagraphFont"/>
    <w:link w:val="BalloonText"/>
    <w:uiPriority w:val="99"/>
    <w:rsid w:val="00F66CFF"/>
    <w:rPr>
      <w:rFonts w:ascii="Tahoma" w:hAnsi="Tahoma" w:cs="Tahoma"/>
      <w:sz w:val="16"/>
      <w:szCs w:val="16"/>
      <w:lang w:eastAsia="en-US"/>
    </w:rPr>
  </w:style>
  <w:style w:type="paragraph" w:customStyle="1" w:styleId="00AssAm">
    <w:name w:val="00AssAm"/>
    <w:basedOn w:val="00SigningPage"/>
    <w:rsid w:val="00634663"/>
  </w:style>
  <w:style w:type="character" w:customStyle="1" w:styleId="FooterChar">
    <w:name w:val="Footer Char"/>
    <w:basedOn w:val="DefaultParagraphFont"/>
    <w:link w:val="Footer"/>
    <w:rsid w:val="00F66CFF"/>
    <w:rPr>
      <w:rFonts w:ascii="Arial" w:hAnsi="Arial"/>
      <w:sz w:val="18"/>
      <w:lang w:eastAsia="en-US"/>
    </w:rPr>
  </w:style>
  <w:style w:type="character" w:customStyle="1" w:styleId="HeaderChar">
    <w:name w:val="Header Char"/>
    <w:basedOn w:val="DefaultParagraphFont"/>
    <w:link w:val="Header"/>
    <w:rsid w:val="00634663"/>
    <w:rPr>
      <w:sz w:val="24"/>
      <w:lang w:eastAsia="en-US"/>
    </w:rPr>
  </w:style>
  <w:style w:type="paragraph" w:customStyle="1" w:styleId="01aPreamble">
    <w:name w:val="01aPreamble"/>
    <w:basedOn w:val="Normal"/>
    <w:qFormat/>
    <w:rsid w:val="00F66CFF"/>
  </w:style>
  <w:style w:type="paragraph" w:customStyle="1" w:styleId="TableBullet">
    <w:name w:val="TableBullet"/>
    <w:basedOn w:val="TableText10"/>
    <w:qFormat/>
    <w:rsid w:val="00F66CFF"/>
    <w:pPr>
      <w:numPr>
        <w:numId w:val="4"/>
      </w:numPr>
    </w:pPr>
  </w:style>
  <w:style w:type="paragraph" w:customStyle="1" w:styleId="BillCrest">
    <w:name w:val="Bill Crest"/>
    <w:basedOn w:val="Normal"/>
    <w:next w:val="Normal"/>
    <w:rsid w:val="00F66CFF"/>
    <w:pPr>
      <w:tabs>
        <w:tab w:val="center" w:pos="3160"/>
      </w:tabs>
      <w:spacing w:after="60"/>
    </w:pPr>
    <w:rPr>
      <w:sz w:val="216"/>
    </w:rPr>
  </w:style>
  <w:style w:type="paragraph" w:customStyle="1" w:styleId="BillNo">
    <w:name w:val="BillNo"/>
    <w:basedOn w:val="BillBasicHeading"/>
    <w:rsid w:val="00F66CFF"/>
    <w:pPr>
      <w:keepNext w:val="0"/>
      <w:spacing w:before="240"/>
      <w:jc w:val="both"/>
    </w:pPr>
  </w:style>
  <w:style w:type="paragraph" w:customStyle="1" w:styleId="aNoteBulletann">
    <w:name w:val="aNoteBulletann"/>
    <w:basedOn w:val="aNotess"/>
    <w:rsid w:val="00634663"/>
    <w:pPr>
      <w:tabs>
        <w:tab w:val="left" w:pos="2200"/>
      </w:tabs>
      <w:spacing w:before="0"/>
      <w:ind w:left="0" w:firstLine="0"/>
    </w:pPr>
  </w:style>
  <w:style w:type="paragraph" w:customStyle="1" w:styleId="aNoteBulletparann">
    <w:name w:val="aNoteBulletparann"/>
    <w:basedOn w:val="aNotepar"/>
    <w:rsid w:val="00634663"/>
    <w:pPr>
      <w:tabs>
        <w:tab w:val="left" w:pos="2700"/>
      </w:tabs>
      <w:spacing w:before="0"/>
      <w:ind w:left="0" w:firstLine="0"/>
    </w:pPr>
  </w:style>
  <w:style w:type="paragraph" w:customStyle="1" w:styleId="TableNumbered">
    <w:name w:val="TableNumbered"/>
    <w:basedOn w:val="TableText10"/>
    <w:qFormat/>
    <w:rsid w:val="00F66CFF"/>
    <w:pPr>
      <w:numPr>
        <w:numId w:val="5"/>
      </w:numPr>
    </w:pPr>
  </w:style>
  <w:style w:type="paragraph" w:customStyle="1" w:styleId="ISchMain">
    <w:name w:val="I Sch Main"/>
    <w:basedOn w:val="BillBasic"/>
    <w:rsid w:val="00F66CFF"/>
    <w:pPr>
      <w:tabs>
        <w:tab w:val="right" w:pos="900"/>
        <w:tab w:val="left" w:pos="1100"/>
      </w:tabs>
      <w:ind w:left="1100" w:hanging="1100"/>
    </w:pPr>
  </w:style>
  <w:style w:type="paragraph" w:customStyle="1" w:styleId="ISchpara">
    <w:name w:val="I Sch para"/>
    <w:basedOn w:val="BillBasic"/>
    <w:rsid w:val="00F66CFF"/>
    <w:pPr>
      <w:tabs>
        <w:tab w:val="right" w:pos="1400"/>
        <w:tab w:val="left" w:pos="1600"/>
      </w:tabs>
      <w:ind w:left="1600" w:hanging="1600"/>
    </w:pPr>
  </w:style>
  <w:style w:type="paragraph" w:customStyle="1" w:styleId="ISchsubpara">
    <w:name w:val="I Sch subpara"/>
    <w:basedOn w:val="BillBasic"/>
    <w:rsid w:val="00F66CFF"/>
    <w:pPr>
      <w:tabs>
        <w:tab w:val="right" w:pos="1940"/>
        <w:tab w:val="left" w:pos="2140"/>
      </w:tabs>
      <w:ind w:left="2140" w:hanging="2140"/>
    </w:pPr>
  </w:style>
  <w:style w:type="paragraph" w:customStyle="1" w:styleId="ISchsubsubpara">
    <w:name w:val="I Sch subsubpara"/>
    <w:basedOn w:val="BillBasic"/>
    <w:rsid w:val="00F66CFF"/>
    <w:pPr>
      <w:tabs>
        <w:tab w:val="right" w:pos="2460"/>
        <w:tab w:val="left" w:pos="2660"/>
      </w:tabs>
      <w:ind w:left="2660" w:hanging="2660"/>
    </w:pPr>
  </w:style>
  <w:style w:type="character" w:customStyle="1" w:styleId="aNoteChar">
    <w:name w:val="aNote Char"/>
    <w:basedOn w:val="DefaultParagraphFont"/>
    <w:link w:val="aNote"/>
    <w:locked/>
    <w:rsid w:val="00F66CFF"/>
    <w:rPr>
      <w:lang w:eastAsia="en-US"/>
    </w:rPr>
  </w:style>
  <w:style w:type="character" w:customStyle="1" w:styleId="charCitHyperlinkAbbrev">
    <w:name w:val="charCitHyperlinkAbbrev"/>
    <w:basedOn w:val="Hyperlink"/>
    <w:uiPriority w:val="1"/>
    <w:rsid w:val="00F66CFF"/>
    <w:rPr>
      <w:color w:val="0000FF" w:themeColor="hyperlink"/>
      <w:u w:val="none"/>
    </w:rPr>
  </w:style>
  <w:style w:type="character" w:styleId="Hyperlink">
    <w:name w:val="Hyperlink"/>
    <w:basedOn w:val="DefaultParagraphFont"/>
    <w:uiPriority w:val="99"/>
    <w:unhideWhenUsed/>
    <w:rsid w:val="00F66CFF"/>
    <w:rPr>
      <w:color w:val="0000FF" w:themeColor="hyperlink"/>
      <w:u w:val="single"/>
    </w:rPr>
  </w:style>
  <w:style w:type="character" w:customStyle="1" w:styleId="charCitHyperlinkItal">
    <w:name w:val="charCitHyperlinkItal"/>
    <w:basedOn w:val="Hyperlink"/>
    <w:uiPriority w:val="1"/>
    <w:rsid w:val="00F66CFF"/>
    <w:rPr>
      <w:i/>
      <w:color w:val="0000FF" w:themeColor="hyperlink"/>
      <w:u w:val="none"/>
    </w:rPr>
  </w:style>
  <w:style w:type="character" w:customStyle="1" w:styleId="AH5SecChar">
    <w:name w:val="A H5 Sec Char"/>
    <w:basedOn w:val="DefaultParagraphFont"/>
    <w:link w:val="AH5Sec"/>
    <w:locked/>
    <w:rsid w:val="00634663"/>
    <w:rPr>
      <w:rFonts w:ascii="Arial" w:hAnsi="Arial"/>
      <w:b/>
      <w:sz w:val="24"/>
      <w:lang w:eastAsia="en-US"/>
    </w:rPr>
  </w:style>
  <w:style w:type="character" w:customStyle="1" w:styleId="BillBasicChar">
    <w:name w:val="BillBasic Char"/>
    <w:basedOn w:val="DefaultParagraphFont"/>
    <w:link w:val="BillBasic"/>
    <w:locked/>
    <w:rsid w:val="00634663"/>
    <w:rPr>
      <w:sz w:val="24"/>
      <w:lang w:eastAsia="en-US"/>
    </w:rPr>
  </w:style>
  <w:style w:type="paragraph" w:customStyle="1" w:styleId="Status">
    <w:name w:val="Status"/>
    <w:basedOn w:val="Normal"/>
    <w:rsid w:val="00F66CFF"/>
    <w:pPr>
      <w:spacing w:before="280"/>
      <w:jc w:val="center"/>
    </w:pPr>
    <w:rPr>
      <w:rFonts w:ascii="Arial" w:hAnsi="Arial"/>
      <w:sz w:val="14"/>
    </w:rPr>
  </w:style>
  <w:style w:type="paragraph" w:customStyle="1" w:styleId="FooterInfoCentre">
    <w:name w:val="FooterInfoCentre"/>
    <w:basedOn w:val="FooterInfo"/>
    <w:rsid w:val="00F66CFF"/>
    <w:pPr>
      <w:spacing w:before="60"/>
      <w:jc w:val="center"/>
    </w:pPr>
  </w:style>
  <w:style w:type="paragraph" w:customStyle="1" w:styleId="CoverTextBullet">
    <w:name w:val="CoverTextBullet"/>
    <w:basedOn w:val="CoverText"/>
    <w:qFormat/>
    <w:rsid w:val="00F66CFF"/>
    <w:pPr>
      <w:numPr>
        <w:numId w:val="6"/>
      </w:numPr>
    </w:pPr>
    <w:rPr>
      <w:color w:val="000000"/>
    </w:rPr>
  </w:style>
  <w:style w:type="character" w:customStyle="1" w:styleId="aDefChar">
    <w:name w:val="aDef Char"/>
    <w:basedOn w:val="DefaultParagraphFont"/>
    <w:link w:val="aDef"/>
    <w:locked/>
    <w:rsid w:val="00101C1B"/>
    <w:rPr>
      <w:sz w:val="24"/>
      <w:lang w:eastAsia="en-US"/>
    </w:rPr>
  </w:style>
  <w:style w:type="character" w:customStyle="1" w:styleId="AparaChar">
    <w:name w:val="A para Char"/>
    <w:basedOn w:val="DefaultParagraphFont"/>
    <w:link w:val="Apara"/>
    <w:locked/>
    <w:rsid w:val="00101C1B"/>
    <w:rPr>
      <w:sz w:val="24"/>
      <w:lang w:eastAsia="en-US"/>
    </w:rPr>
  </w:style>
  <w:style w:type="character" w:customStyle="1" w:styleId="AmainChar">
    <w:name w:val="A main Char"/>
    <w:basedOn w:val="DefaultParagraphFont"/>
    <w:link w:val="Amain"/>
    <w:locked/>
    <w:rsid w:val="00101C1B"/>
    <w:rPr>
      <w:sz w:val="24"/>
      <w:lang w:eastAsia="en-US"/>
    </w:rPr>
  </w:style>
  <w:style w:type="character" w:styleId="Emphasis">
    <w:name w:val="Emphasis"/>
    <w:basedOn w:val="DefaultParagraphFont"/>
    <w:uiPriority w:val="20"/>
    <w:qFormat/>
    <w:rsid w:val="00B26A45"/>
    <w:rPr>
      <w:i/>
      <w:iCs/>
    </w:rPr>
  </w:style>
  <w:style w:type="character" w:customStyle="1" w:styleId="UnresolvedMention1">
    <w:name w:val="Unresolved Mention1"/>
    <w:basedOn w:val="DefaultParagraphFont"/>
    <w:uiPriority w:val="99"/>
    <w:semiHidden/>
    <w:unhideWhenUsed/>
    <w:rsid w:val="00BE53B4"/>
    <w:rPr>
      <w:color w:val="605E5C"/>
      <w:shd w:val="clear" w:color="auto" w:fill="E1DFDD"/>
    </w:rPr>
  </w:style>
  <w:style w:type="paragraph" w:customStyle="1" w:styleId="00Spine">
    <w:name w:val="00Spine"/>
    <w:basedOn w:val="Normal"/>
    <w:rsid w:val="00F66CFF"/>
  </w:style>
  <w:style w:type="paragraph" w:customStyle="1" w:styleId="05Endnote0">
    <w:name w:val="05Endnote"/>
    <w:basedOn w:val="Normal"/>
    <w:rsid w:val="00F66CFF"/>
  </w:style>
  <w:style w:type="paragraph" w:customStyle="1" w:styleId="06Copyright">
    <w:name w:val="06Copyright"/>
    <w:basedOn w:val="Normal"/>
    <w:rsid w:val="00F66CFF"/>
  </w:style>
  <w:style w:type="paragraph" w:customStyle="1" w:styleId="RepubNo">
    <w:name w:val="RepubNo"/>
    <w:basedOn w:val="BillBasicHeading"/>
    <w:rsid w:val="00F66CFF"/>
    <w:pPr>
      <w:keepNext w:val="0"/>
      <w:spacing w:before="600"/>
      <w:jc w:val="both"/>
    </w:pPr>
    <w:rPr>
      <w:sz w:val="26"/>
    </w:rPr>
  </w:style>
  <w:style w:type="paragraph" w:customStyle="1" w:styleId="EffectiveDate">
    <w:name w:val="EffectiveDate"/>
    <w:basedOn w:val="Normal"/>
    <w:rsid w:val="00F66CFF"/>
    <w:pPr>
      <w:spacing w:before="120"/>
    </w:pPr>
    <w:rPr>
      <w:rFonts w:ascii="Arial" w:hAnsi="Arial"/>
      <w:b/>
      <w:sz w:val="26"/>
    </w:rPr>
  </w:style>
  <w:style w:type="paragraph" w:customStyle="1" w:styleId="CoverInForce">
    <w:name w:val="CoverInForce"/>
    <w:basedOn w:val="BillBasicHeading"/>
    <w:rsid w:val="00F66CFF"/>
    <w:pPr>
      <w:keepNext w:val="0"/>
      <w:spacing w:before="400"/>
    </w:pPr>
    <w:rPr>
      <w:b w:val="0"/>
    </w:rPr>
  </w:style>
  <w:style w:type="paragraph" w:customStyle="1" w:styleId="CoverHeading">
    <w:name w:val="CoverHeading"/>
    <w:basedOn w:val="Normal"/>
    <w:rsid w:val="00F66CFF"/>
    <w:rPr>
      <w:rFonts w:ascii="Arial" w:hAnsi="Arial"/>
      <w:b/>
    </w:rPr>
  </w:style>
  <w:style w:type="paragraph" w:customStyle="1" w:styleId="CoverSubHdg">
    <w:name w:val="CoverSubHdg"/>
    <w:basedOn w:val="CoverHeading"/>
    <w:rsid w:val="00F66CFF"/>
    <w:pPr>
      <w:spacing w:before="120"/>
    </w:pPr>
    <w:rPr>
      <w:sz w:val="20"/>
    </w:rPr>
  </w:style>
  <w:style w:type="paragraph" w:customStyle="1" w:styleId="CoverActName">
    <w:name w:val="CoverActName"/>
    <w:basedOn w:val="BillBasicHeading"/>
    <w:rsid w:val="00F66CFF"/>
    <w:pPr>
      <w:keepNext w:val="0"/>
      <w:spacing w:before="260"/>
    </w:pPr>
  </w:style>
  <w:style w:type="paragraph" w:customStyle="1" w:styleId="CoverText">
    <w:name w:val="CoverText"/>
    <w:basedOn w:val="Normal"/>
    <w:uiPriority w:val="99"/>
    <w:rsid w:val="00F66CFF"/>
    <w:pPr>
      <w:spacing w:before="100"/>
      <w:jc w:val="both"/>
    </w:pPr>
    <w:rPr>
      <w:sz w:val="20"/>
    </w:rPr>
  </w:style>
  <w:style w:type="paragraph" w:customStyle="1" w:styleId="CoverTextPara">
    <w:name w:val="CoverTextPara"/>
    <w:basedOn w:val="CoverText"/>
    <w:rsid w:val="00F66CFF"/>
    <w:pPr>
      <w:tabs>
        <w:tab w:val="right" w:pos="600"/>
        <w:tab w:val="left" w:pos="840"/>
      </w:tabs>
      <w:ind w:left="840" w:hanging="840"/>
    </w:pPr>
  </w:style>
  <w:style w:type="paragraph" w:customStyle="1" w:styleId="AH1ChapterSymb">
    <w:name w:val="A H1 Chapter Symb"/>
    <w:basedOn w:val="AH1Chapter"/>
    <w:next w:val="AH2Part"/>
    <w:rsid w:val="00F66CFF"/>
    <w:pPr>
      <w:tabs>
        <w:tab w:val="clear" w:pos="2600"/>
        <w:tab w:val="left" w:pos="0"/>
      </w:tabs>
      <w:ind w:left="2480" w:hanging="2960"/>
    </w:pPr>
  </w:style>
  <w:style w:type="paragraph" w:customStyle="1" w:styleId="AH2PartSymb">
    <w:name w:val="A H2 Part Symb"/>
    <w:basedOn w:val="AH2Part"/>
    <w:next w:val="AH3Div"/>
    <w:rsid w:val="00F66CFF"/>
    <w:pPr>
      <w:tabs>
        <w:tab w:val="clear" w:pos="2600"/>
        <w:tab w:val="left" w:pos="0"/>
      </w:tabs>
      <w:ind w:left="2480" w:hanging="2960"/>
    </w:pPr>
  </w:style>
  <w:style w:type="paragraph" w:customStyle="1" w:styleId="AH3DivSymb">
    <w:name w:val="A H3 Div Symb"/>
    <w:basedOn w:val="AH3Div"/>
    <w:next w:val="AH5Sec"/>
    <w:rsid w:val="00F66CFF"/>
    <w:pPr>
      <w:tabs>
        <w:tab w:val="clear" w:pos="2600"/>
        <w:tab w:val="left" w:pos="0"/>
      </w:tabs>
      <w:ind w:left="2480" w:hanging="2960"/>
    </w:pPr>
  </w:style>
  <w:style w:type="paragraph" w:customStyle="1" w:styleId="AH4SubDivSymb">
    <w:name w:val="A H4 SubDiv Symb"/>
    <w:basedOn w:val="AH4SubDiv"/>
    <w:next w:val="AH5Sec"/>
    <w:rsid w:val="00F66CFF"/>
    <w:pPr>
      <w:tabs>
        <w:tab w:val="clear" w:pos="2600"/>
        <w:tab w:val="left" w:pos="0"/>
      </w:tabs>
      <w:ind w:left="2480" w:hanging="2960"/>
    </w:pPr>
  </w:style>
  <w:style w:type="paragraph" w:customStyle="1" w:styleId="AH5SecSymb">
    <w:name w:val="A H5 Sec Symb"/>
    <w:basedOn w:val="AH5Sec"/>
    <w:next w:val="Amain"/>
    <w:rsid w:val="00F66CFF"/>
    <w:pPr>
      <w:tabs>
        <w:tab w:val="clear" w:pos="1100"/>
        <w:tab w:val="left" w:pos="0"/>
      </w:tabs>
      <w:ind w:hanging="1580"/>
    </w:pPr>
  </w:style>
  <w:style w:type="paragraph" w:customStyle="1" w:styleId="AmainSymb">
    <w:name w:val="A main Symb"/>
    <w:basedOn w:val="Amain"/>
    <w:rsid w:val="00F66CFF"/>
    <w:pPr>
      <w:tabs>
        <w:tab w:val="left" w:pos="0"/>
      </w:tabs>
      <w:ind w:left="1120" w:hanging="1600"/>
    </w:pPr>
  </w:style>
  <w:style w:type="paragraph" w:customStyle="1" w:styleId="AparaSymb">
    <w:name w:val="A para Symb"/>
    <w:basedOn w:val="Apara"/>
    <w:rsid w:val="00F66CFF"/>
    <w:pPr>
      <w:tabs>
        <w:tab w:val="right" w:pos="0"/>
      </w:tabs>
      <w:ind w:hanging="2080"/>
    </w:pPr>
  </w:style>
  <w:style w:type="paragraph" w:customStyle="1" w:styleId="Assectheading">
    <w:name w:val="A ssect heading"/>
    <w:basedOn w:val="Amain"/>
    <w:rsid w:val="00F66CFF"/>
    <w:pPr>
      <w:keepNext/>
      <w:tabs>
        <w:tab w:val="clear" w:pos="900"/>
        <w:tab w:val="clear" w:pos="1100"/>
      </w:tabs>
      <w:spacing w:before="300"/>
      <w:ind w:left="0" w:firstLine="0"/>
      <w:outlineLvl w:val="9"/>
    </w:pPr>
    <w:rPr>
      <w:i/>
    </w:rPr>
  </w:style>
  <w:style w:type="paragraph" w:customStyle="1" w:styleId="AsubparaSymb">
    <w:name w:val="A subpara Symb"/>
    <w:basedOn w:val="Asubpara"/>
    <w:rsid w:val="00F66CFF"/>
    <w:pPr>
      <w:tabs>
        <w:tab w:val="left" w:pos="0"/>
      </w:tabs>
      <w:ind w:left="2098" w:hanging="2580"/>
    </w:pPr>
  </w:style>
  <w:style w:type="paragraph" w:customStyle="1" w:styleId="Actdetails">
    <w:name w:val="Act details"/>
    <w:basedOn w:val="Normal"/>
    <w:rsid w:val="00F66CFF"/>
    <w:pPr>
      <w:spacing w:before="20"/>
      <w:ind w:left="1400"/>
    </w:pPr>
    <w:rPr>
      <w:rFonts w:ascii="Arial" w:hAnsi="Arial"/>
      <w:sz w:val="20"/>
    </w:rPr>
  </w:style>
  <w:style w:type="paragraph" w:customStyle="1" w:styleId="AmdtsEntriesDefL2">
    <w:name w:val="AmdtsEntriesDefL2"/>
    <w:basedOn w:val="Normal"/>
    <w:rsid w:val="00F66CFF"/>
    <w:pPr>
      <w:tabs>
        <w:tab w:val="left" w:pos="3000"/>
      </w:tabs>
      <w:ind w:left="3100" w:hanging="2000"/>
    </w:pPr>
    <w:rPr>
      <w:rFonts w:ascii="Arial" w:hAnsi="Arial"/>
      <w:sz w:val="18"/>
    </w:rPr>
  </w:style>
  <w:style w:type="paragraph" w:customStyle="1" w:styleId="AmdtsEntries">
    <w:name w:val="AmdtsEntries"/>
    <w:basedOn w:val="BillBasicHeading"/>
    <w:rsid w:val="00F66CFF"/>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F66CFF"/>
    <w:pPr>
      <w:tabs>
        <w:tab w:val="clear" w:pos="2600"/>
      </w:tabs>
      <w:spacing w:before="120"/>
      <w:ind w:left="1100"/>
    </w:pPr>
    <w:rPr>
      <w:sz w:val="18"/>
    </w:rPr>
  </w:style>
  <w:style w:type="paragraph" w:customStyle="1" w:styleId="Asamby">
    <w:name w:val="As am by"/>
    <w:basedOn w:val="Normal"/>
    <w:next w:val="Normal"/>
    <w:rsid w:val="00F66CFF"/>
    <w:pPr>
      <w:spacing w:before="240"/>
      <w:ind w:left="1100"/>
    </w:pPr>
    <w:rPr>
      <w:rFonts w:ascii="Arial" w:hAnsi="Arial"/>
      <w:sz w:val="20"/>
    </w:rPr>
  </w:style>
  <w:style w:type="character" w:customStyle="1" w:styleId="charSymb">
    <w:name w:val="charSymb"/>
    <w:basedOn w:val="DefaultParagraphFont"/>
    <w:rsid w:val="00F66CFF"/>
    <w:rPr>
      <w:rFonts w:ascii="Arial" w:hAnsi="Arial"/>
      <w:sz w:val="24"/>
      <w:bdr w:val="single" w:sz="4" w:space="0" w:color="auto"/>
    </w:rPr>
  </w:style>
  <w:style w:type="character" w:customStyle="1" w:styleId="charTableNo">
    <w:name w:val="charTableNo"/>
    <w:basedOn w:val="DefaultParagraphFont"/>
    <w:rsid w:val="00F66CFF"/>
  </w:style>
  <w:style w:type="character" w:customStyle="1" w:styleId="charTableText">
    <w:name w:val="charTableText"/>
    <w:basedOn w:val="DefaultParagraphFont"/>
    <w:rsid w:val="00F66CFF"/>
  </w:style>
  <w:style w:type="paragraph" w:customStyle="1" w:styleId="Dict-HeadingSymb">
    <w:name w:val="Dict-Heading Symb"/>
    <w:basedOn w:val="Dict-Heading"/>
    <w:rsid w:val="00F66CFF"/>
    <w:pPr>
      <w:tabs>
        <w:tab w:val="left" w:pos="0"/>
      </w:tabs>
      <w:ind w:left="2480" w:hanging="2960"/>
    </w:pPr>
  </w:style>
  <w:style w:type="paragraph" w:customStyle="1" w:styleId="EarlierRepubEntries">
    <w:name w:val="EarlierRepubEntries"/>
    <w:basedOn w:val="Normal"/>
    <w:rsid w:val="00F66CFF"/>
    <w:pPr>
      <w:spacing w:before="60" w:after="60"/>
    </w:pPr>
    <w:rPr>
      <w:rFonts w:ascii="Arial" w:hAnsi="Arial"/>
      <w:sz w:val="18"/>
    </w:rPr>
  </w:style>
  <w:style w:type="paragraph" w:customStyle="1" w:styleId="EarlierRepubHdg">
    <w:name w:val="EarlierRepubHdg"/>
    <w:basedOn w:val="Normal"/>
    <w:rsid w:val="00F66CFF"/>
    <w:pPr>
      <w:keepNext/>
    </w:pPr>
    <w:rPr>
      <w:rFonts w:ascii="Arial" w:hAnsi="Arial"/>
      <w:b/>
      <w:sz w:val="20"/>
    </w:rPr>
  </w:style>
  <w:style w:type="paragraph" w:customStyle="1" w:styleId="Endnote20">
    <w:name w:val="Endnote2"/>
    <w:basedOn w:val="Normal"/>
    <w:rsid w:val="00F66CFF"/>
    <w:pPr>
      <w:keepNext/>
      <w:tabs>
        <w:tab w:val="left" w:pos="1100"/>
      </w:tabs>
      <w:spacing w:before="360"/>
    </w:pPr>
    <w:rPr>
      <w:rFonts w:ascii="Arial" w:hAnsi="Arial"/>
      <w:b/>
    </w:rPr>
  </w:style>
  <w:style w:type="paragraph" w:customStyle="1" w:styleId="Endnote3">
    <w:name w:val="Endnote3"/>
    <w:basedOn w:val="Normal"/>
    <w:rsid w:val="00F66CFF"/>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F66CF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F66CFF"/>
    <w:pPr>
      <w:spacing w:before="60"/>
      <w:ind w:left="1100"/>
      <w:jc w:val="both"/>
    </w:pPr>
    <w:rPr>
      <w:sz w:val="20"/>
    </w:rPr>
  </w:style>
  <w:style w:type="paragraph" w:customStyle="1" w:styleId="EndNoteParas">
    <w:name w:val="EndNoteParas"/>
    <w:basedOn w:val="EndNoteTextEPS"/>
    <w:rsid w:val="00F66CFF"/>
    <w:pPr>
      <w:tabs>
        <w:tab w:val="right" w:pos="1432"/>
      </w:tabs>
      <w:ind w:left="1840" w:hanging="1840"/>
    </w:pPr>
  </w:style>
  <w:style w:type="paragraph" w:customStyle="1" w:styleId="EndnotesAbbrev">
    <w:name w:val="EndnotesAbbrev"/>
    <w:basedOn w:val="Normal"/>
    <w:rsid w:val="00F66CFF"/>
    <w:pPr>
      <w:spacing w:before="20"/>
    </w:pPr>
    <w:rPr>
      <w:rFonts w:ascii="Arial" w:hAnsi="Arial"/>
      <w:color w:val="000000"/>
      <w:sz w:val="16"/>
    </w:rPr>
  </w:style>
  <w:style w:type="paragraph" w:customStyle="1" w:styleId="EPSCoverTop">
    <w:name w:val="EPSCoverTop"/>
    <w:basedOn w:val="Normal"/>
    <w:rsid w:val="00F66CFF"/>
    <w:pPr>
      <w:jc w:val="right"/>
    </w:pPr>
    <w:rPr>
      <w:rFonts w:ascii="Arial" w:hAnsi="Arial"/>
      <w:sz w:val="20"/>
    </w:rPr>
  </w:style>
  <w:style w:type="paragraph" w:customStyle="1" w:styleId="LegHistNote">
    <w:name w:val="LegHistNote"/>
    <w:basedOn w:val="Actdetails"/>
    <w:rsid w:val="00F66CFF"/>
    <w:pPr>
      <w:spacing w:before="60"/>
      <w:ind w:left="2700" w:right="-60" w:hanging="1300"/>
    </w:pPr>
    <w:rPr>
      <w:sz w:val="18"/>
    </w:rPr>
  </w:style>
  <w:style w:type="paragraph" w:customStyle="1" w:styleId="LongTitleSymb">
    <w:name w:val="LongTitleSymb"/>
    <w:basedOn w:val="LongTitle"/>
    <w:rsid w:val="00F66CFF"/>
    <w:pPr>
      <w:ind w:hanging="480"/>
    </w:pPr>
  </w:style>
  <w:style w:type="paragraph" w:styleId="MacroText">
    <w:name w:val="macro"/>
    <w:link w:val="MacroTextChar"/>
    <w:semiHidden/>
    <w:rsid w:val="00F66CF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F66CFF"/>
    <w:rPr>
      <w:rFonts w:ascii="Courier New" w:hAnsi="Courier New" w:cs="Courier New"/>
      <w:lang w:eastAsia="en-US"/>
    </w:rPr>
  </w:style>
  <w:style w:type="paragraph" w:customStyle="1" w:styleId="NewAct">
    <w:name w:val="New Act"/>
    <w:basedOn w:val="Normal"/>
    <w:next w:val="Actdetails"/>
    <w:rsid w:val="00F66CFF"/>
    <w:pPr>
      <w:keepNext/>
      <w:spacing w:before="180"/>
      <w:ind w:left="1100"/>
    </w:pPr>
    <w:rPr>
      <w:rFonts w:ascii="Arial" w:hAnsi="Arial"/>
      <w:b/>
      <w:sz w:val="20"/>
    </w:rPr>
  </w:style>
  <w:style w:type="paragraph" w:customStyle="1" w:styleId="NewReg">
    <w:name w:val="New Reg"/>
    <w:basedOn w:val="NewAct"/>
    <w:next w:val="Actdetails"/>
    <w:rsid w:val="00F66CFF"/>
  </w:style>
  <w:style w:type="paragraph" w:customStyle="1" w:styleId="RenumProvEntries">
    <w:name w:val="RenumProvEntries"/>
    <w:basedOn w:val="Normal"/>
    <w:rsid w:val="00F66CFF"/>
    <w:pPr>
      <w:spacing w:before="60"/>
    </w:pPr>
    <w:rPr>
      <w:rFonts w:ascii="Arial" w:hAnsi="Arial"/>
      <w:sz w:val="20"/>
    </w:rPr>
  </w:style>
  <w:style w:type="paragraph" w:customStyle="1" w:styleId="RenumProvHdg">
    <w:name w:val="RenumProvHdg"/>
    <w:basedOn w:val="Normal"/>
    <w:rsid w:val="00F66CFF"/>
    <w:rPr>
      <w:rFonts w:ascii="Arial" w:hAnsi="Arial"/>
      <w:b/>
      <w:sz w:val="22"/>
    </w:rPr>
  </w:style>
  <w:style w:type="paragraph" w:customStyle="1" w:styleId="RenumProvHeader">
    <w:name w:val="RenumProvHeader"/>
    <w:basedOn w:val="Normal"/>
    <w:rsid w:val="00F66CFF"/>
    <w:rPr>
      <w:rFonts w:ascii="Arial" w:hAnsi="Arial"/>
      <w:b/>
      <w:sz w:val="22"/>
    </w:rPr>
  </w:style>
  <w:style w:type="paragraph" w:customStyle="1" w:styleId="RenumProvSubsectEntries">
    <w:name w:val="RenumProvSubsectEntries"/>
    <w:basedOn w:val="RenumProvEntries"/>
    <w:rsid w:val="00F66CFF"/>
    <w:pPr>
      <w:ind w:left="252"/>
    </w:pPr>
  </w:style>
  <w:style w:type="paragraph" w:customStyle="1" w:styleId="RenumTableHdg">
    <w:name w:val="RenumTableHdg"/>
    <w:basedOn w:val="Normal"/>
    <w:rsid w:val="00F66CFF"/>
    <w:pPr>
      <w:spacing w:before="120"/>
    </w:pPr>
    <w:rPr>
      <w:rFonts w:ascii="Arial" w:hAnsi="Arial"/>
      <w:b/>
      <w:sz w:val="20"/>
    </w:rPr>
  </w:style>
  <w:style w:type="paragraph" w:customStyle="1" w:styleId="SchclauseheadingSymb">
    <w:name w:val="Sch clause heading Symb"/>
    <w:basedOn w:val="Schclauseheading"/>
    <w:rsid w:val="00F66CFF"/>
    <w:pPr>
      <w:tabs>
        <w:tab w:val="left" w:pos="0"/>
      </w:tabs>
      <w:ind w:left="980" w:hanging="1460"/>
    </w:pPr>
  </w:style>
  <w:style w:type="paragraph" w:customStyle="1" w:styleId="SchSubClause">
    <w:name w:val="Sch SubClause"/>
    <w:basedOn w:val="Schclauseheading"/>
    <w:rsid w:val="00F66CFF"/>
    <w:rPr>
      <w:b w:val="0"/>
    </w:rPr>
  </w:style>
  <w:style w:type="paragraph" w:customStyle="1" w:styleId="Sched-FormSymb">
    <w:name w:val="Sched-Form Symb"/>
    <w:basedOn w:val="Sched-Form"/>
    <w:rsid w:val="00F66CFF"/>
    <w:pPr>
      <w:tabs>
        <w:tab w:val="left" w:pos="0"/>
      </w:tabs>
      <w:ind w:left="2480" w:hanging="2960"/>
    </w:pPr>
  </w:style>
  <w:style w:type="paragraph" w:customStyle="1" w:styleId="Sched-headingSymb">
    <w:name w:val="Sched-heading Symb"/>
    <w:basedOn w:val="Sched-heading"/>
    <w:rsid w:val="00F66CFF"/>
    <w:pPr>
      <w:tabs>
        <w:tab w:val="left" w:pos="0"/>
      </w:tabs>
      <w:ind w:left="2480" w:hanging="2960"/>
    </w:pPr>
  </w:style>
  <w:style w:type="paragraph" w:customStyle="1" w:styleId="Sched-PartSymb">
    <w:name w:val="Sched-Part Symb"/>
    <w:basedOn w:val="Sched-Part"/>
    <w:rsid w:val="00F66CFF"/>
    <w:pPr>
      <w:tabs>
        <w:tab w:val="left" w:pos="0"/>
      </w:tabs>
      <w:ind w:left="2480" w:hanging="2960"/>
    </w:pPr>
  </w:style>
  <w:style w:type="paragraph" w:styleId="Subtitle">
    <w:name w:val="Subtitle"/>
    <w:basedOn w:val="Normal"/>
    <w:link w:val="SubtitleChar"/>
    <w:qFormat/>
    <w:rsid w:val="00F66CFF"/>
    <w:pPr>
      <w:spacing w:after="60"/>
      <w:jc w:val="center"/>
      <w:outlineLvl w:val="1"/>
    </w:pPr>
    <w:rPr>
      <w:rFonts w:ascii="Arial" w:hAnsi="Arial"/>
    </w:rPr>
  </w:style>
  <w:style w:type="character" w:customStyle="1" w:styleId="SubtitleChar">
    <w:name w:val="Subtitle Char"/>
    <w:basedOn w:val="DefaultParagraphFont"/>
    <w:link w:val="Subtitle"/>
    <w:rsid w:val="00F66CFF"/>
    <w:rPr>
      <w:rFonts w:ascii="Arial" w:hAnsi="Arial"/>
      <w:sz w:val="24"/>
      <w:lang w:eastAsia="en-US"/>
    </w:rPr>
  </w:style>
  <w:style w:type="paragraph" w:customStyle="1" w:styleId="TLegEntries">
    <w:name w:val="TLegEntries"/>
    <w:basedOn w:val="Normal"/>
    <w:rsid w:val="00F66CFF"/>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F66CFF"/>
    <w:pPr>
      <w:ind w:firstLine="0"/>
    </w:pPr>
    <w:rPr>
      <w:b/>
    </w:rPr>
  </w:style>
  <w:style w:type="paragraph" w:customStyle="1" w:styleId="EndNoteTextPub">
    <w:name w:val="EndNoteTextPub"/>
    <w:basedOn w:val="Normal"/>
    <w:rsid w:val="00F66CFF"/>
    <w:pPr>
      <w:spacing w:before="60"/>
      <w:ind w:left="1100"/>
      <w:jc w:val="both"/>
    </w:pPr>
    <w:rPr>
      <w:sz w:val="20"/>
    </w:rPr>
  </w:style>
  <w:style w:type="paragraph" w:customStyle="1" w:styleId="TOC10">
    <w:name w:val="TOC 10"/>
    <w:basedOn w:val="TOC5"/>
    <w:rsid w:val="00F66CFF"/>
    <w:rPr>
      <w:szCs w:val="24"/>
    </w:rPr>
  </w:style>
  <w:style w:type="character" w:customStyle="1" w:styleId="charNotBold">
    <w:name w:val="charNotBold"/>
    <w:basedOn w:val="DefaultParagraphFont"/>
    <w:rsid w:val="00F66CFF"/>
    <w:rPr>
      <w:rFonts w:ascii="Arial" w:hAnsi="Arial"/>
      <w:sz w:val="20"/>
    </w:rPr>
  </w:style>
  <w:style w:type="paragraph" w:customStyle="1" w:styleId="ShadedSchClauseSymb">
    <w:name w:val="Shaded Sch Clause Symb"/>
    <w:basedOn w:val="ShadedSchClause"/>
    <w:rsid w:val="00F66CFF"/>
    <w:pPr>
      <w:tabs>
        <w:tab w:val="left" w:pos="0"/>
      </w:tabs>
      <w:ind w:left="975" w:hanging="1457"/>
    </w:pPr>
  </w:style>
  <w:style w:type="character" w:customStyle="1" w:styleId="Heading3Char">
    <w:name w:val="Heading 3 Char"/>
    <w:aliases w:val="h3 Char,sec Char"/>
    <w:basedOn w:val="DefaultParagraphFont"/>
    <w:link w:val="Heading3"/>
    <w:rsid w:val="00F66CFF"/>
    <w:rPr>
      <w:b/>
      <w:sz w:val="24"/>
      <w:lang w:eastAsia="en-US"/>
    </w:rPr>
  </w:style>
  <w:style w:type="paragraph" w:customStyle="1" w:styleId="Sched-Form-18Space">
    <w:name w:val="Sched-Form-18Space"/>
    <w:basedOn w:val="Normal"/>
    <w:rsid w:val="00F66CFF"/>
    <w:pPr>
      <w:spacing w:before="360" w:after="60"/>
    </w:pPr>
    <w:rPr>
      <w:sz w:val="22"/>
    </w:rPr>
  </w:style>
  <w:style w:type="paragraph" w:customStyle="1" w:styleId="FormRule">
    <w:name w:val="FormRule"/>
    <w:basedOn w:val="Normal"/>
    <w:rsid w:val="00F66CFF"/>
    <w:pPr>
      <w:pBdr>
        <w:top w:val="single" w:sz="4" w:space="1" w:color="auto"/>
      </w:pBdr>
      <w:spacing w:before="160" w:after="40"/>
      <w:ind w:left="3220" w:right="3260"/>
    </w:pPr>
    <w:rPr>
      <w:sz w:val="8"/>
    </w:rPr>
  </w:style>
  <w:style w:type="paragraph" w:customStyle="1" w:styleId="OldAmdtsEntries">
    <w:name w:val="OldAmdtsEntries"/>
    <w:basedOn w:val="BillBasicHeading"/>
    <w:rsid w:val="00F66CFF"/>
    <w:pPr>
      <w:tabs>
        <w:tab w:val="clear" w:pos="2600"/>
        <w:tab w:val="left" w:leader="dot" w:pos="2700"/>
      </w:tabs>
      <w:ind w:left="2700" w:hanging="2000"/>
    </w:pPr>
    <w:rPr>
      <w:sz w:val="18"/>
    </w:rPr>
  </w:style>
  <w:style w:type="paragraph" w:customStyle="1" w:styleId="OldAmdt2ndLine">
    <w:name w:val="OldAmdt2ndLine"/>
    <w:basedOn w:val="OldAmdtsEntries"/>
    <w:rsid w:val="00F66CFF"/>
    <w:pPr>
      <w:tabs>
        <w:tab w:val="left" w:pos="2700"/>
      </w:tabs>
      <w:spacing w:before="0"/>
    </w:pPr>
  </w:style>
  <w:style w:type="paragraph" w:customStyle="1" w:styleId="parainpara">
    <w:name w:val="para in para"/>
    <w:rsid w:val="00F66CFF"/>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F66CFF"/>
    <w:pPr>
      <w:spacing w:after="60"/>
      <w:ind w:left="2800"/>
    </w:pPr>
    <w:rPr>
      <w:rFonts w:ascii="ACTCrest" w:hAnsi="ACTCrest"/>
      <w:sz w:val="216"/>
    </w:rPr>
  </w:style>
  <w:style w:type="paragraph" w:customStyle="1" w:styleId="Actbullet">
    <w:name w:val="Act bullet"/>
    <w:basedOn w:val="Normal"/>
    <w:uiPriority w:val="99"/>
    <w:rsid w:val="00F66CFF"/>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F66CFF"/>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F66CFF"/>
    <w:rPr>
      <w:b w:val="0"/>
      <w:sz w:val="32"/>
    </w:rPr>
  </w:style>
  <w:style w:type="paragraph" w:customStyle="1" w:styleId="MH1Chapter">
    <w:name w:val="M H1 Chapter"/>
    <w:basedOn w:val="AH1Chapter"/>
    <w:rsid w:val="00F66CFF"/>
    <w:pPr>
      <w:tabs>
        <w:tab w:val="clear" w:pos="2600"/>
        <w:tab w:val="left" w:pos="2720"/>
      </w:tabs>
      <w:ind w:left="4000" w:hanging="3300"/>
    </w:pPr>
  </w:style>
  <w:style w:type="paragraph" w:customStyle="1" w:styleId="ModH1Chapter">
    <w:name w:val="Mod H1 Chapter"/>
    <w:basedOn w:val="IH1ChapSymb"/>
    <w:rsid w:val="00F66CFF"/>
    <w:pPr>
      <w:tabs>
        <w:tab w:val="clear" w:pos="2600"/>
        <w:tab w:val="left" w:pos="3300"/>
      </w:tabs>
      <w:ind w:left="3300"/>
    </w:pPr>
  </w:style>
  <w:style w:type="paragraph" w:customStyle="1" w:styleId="ModH2Part">
    <w:name w:val="Mod H2 Part"/>
    <w:basedOn w:val="IH2PartSymb"/>
    <w:rsid w:val="00F66CFF"/>
    <w:pPr>
      <w:tabs>
        <w:tab w:val="clear" w:pos="2600"/>
        <w:tab w:val="left" w:pos="3300"/>
      </w:tabs>
      <w:ind w:left="3300"/>
    </w:pPr>
  </w:style>
  <w:style w:type="paragraph" w:customStyle="1" w:styleId="ModH3Div">
    <w:name w:val="Mod H3 Div"/>
    <w:basedOn w:val="IH3DivSymb"/>
    <w:rsid w:val="00F66CFF"/>
    <w:pPr>
      <w:tabs>
        <w:tab w:val="clear" w:pos="2600"/>
        <w:tab w:val="left" w:pos="3300"/>
      </w:tabs>
      <w:ind w:left="3300"/>
    </w:pPr>
  </w:style>
  <w:style w:type="paragraph" w:customStyle="1" w:styleId="ModH4SubDiv">
    <w:name w:val="Mod H4 SubDiv"/>
    <w:basedOn w:val="IH4SubDivSymb"/>
    <w:rsid w:val="00F66CFF"/>
    <w:pPr>
      <w:tabs>
        <w:tab w:val="clear" w:pos="2600"/>
        <w:tab w:val="left" w:pos="3300"/>
      </w:tabs>
      <w:ind w:left="3300"/>
    </w:pPr>
  </w:style>
  <w:style w:type="paragraph" w:customStyle="1" w:styleId="ModH5Sec">
    <w:name w:val="Mod H5 Sec"/>
    <w:basedOn w:val="IH5SecSymb"/>
    <w:rsid w:val="00F66CFF"/>
    <w:pPr>
      <w:tabs>
        <w:tab w:val="clear" w:pos="1100"/>
        <w:tab w:val="left" w:pos="1800"/>
      </w:tabs>
      <w:ind w:left="2200"/>
    </w:pPr>
  </w:style>
  <w:style w:type="paragraph" w:customStyle="1" w:styleId="Modmain">
    <w:name w:val="Mod main"/>
    <w:basedOn w:val="Amain"/>
    <w:rsid w:val="00F66CFF"/>
    <w:pPr>
      <w:tabs>
        <w:tab w:val="clear" w:pos="900"/>
        <w:tab w:val="clear" w:pos="1100"/>
        <w:tab w:val="right" w:pos="1600"/>
        <w:tab w:val="left" w:pos="1800"/>
      </w:tabs>
      <w:ind w:left="2200"/>
    </w:pPr>
  </w:style>
  <w:style w:type="paragraph" w:customStyle="1" w:styleId="Modpara">
    <w:name w:val="Mod para"/>
    <w:basedOn w:val="BillBasic"/>
    <w:rsid w:val="00F66CFF"/>
    <w:pPr>
      <w:tabs>
        <w:tab w:val="right" w:pos="2100"/>
        <w:tab w:val="left" w:pos="2300"/>
      </w:tabs>
      <w:ind w:left="2700" w:hanging="1600"/>
      <w:outlineLvl w:val="6"/>
    </w:pPr>
  </w:style>
  <w:style w:type="paragraph" w:customStyle="1" w:styleId="Modsubpara">
    <w:name w:val="Mod subpara"/>
    <w:basedOn w:val="Asubpara"/>
    <w:rsid w:val="00F66CFF"/>
    <w:pPr>
      <w:tabs>
        <w:tab w:val="clear" w:pos="1900"/>
        <w:tab w:val="clear" w:pos="2100"/>
        <w:tab w:val="right" w:pos="2640"/>
        <w:tab w:val="left" w:pos="2840"/>
      </w:tabs>
      <w:ind w:left="3240" w:hanging="2140"/>
    </w:pPr>
  </w:style>
  <w:style w:type="paragraph" w:customStyle="1" w:styleId="Modsubsubpara">
    <w:name w:val="Mod subsubpara"/>
    <w:basedOn w:val="AsubsubparaSymb"/>
    <w:rsid w:val="00F66CFF"/>
    <w:pPr>
      <w:tabs>
        <w:tab w:val="clear" w:pos="2400"/>
        <w:tab w:val="clear" w:pos="2600"/>
        <w:tab w:val="right" w:pos="3160"/>
        <w:tab w:val="left" w:pos="3360"/>
      </w:tabs>
      <w:ind w:left="3760" w:hanging="2660"/>
    </w:pPr>
  </w:style>
  <w:style w:type="paragraph" w:customStyle="1" w:styleId="Modmainreturn">
    <w:name w:val="Mod main return"/>
    <w:basedOn w:val="AmainreturnSymb"/>
    <w:rsid w:val="00F66CFF"/>
    <w:pPr>
      <w:ind w:left="1800"/>
    </w:pPr>
  </w:style>
  <w:style w:type="paragraph" w:customStyle="1" w:styleId="Modparareturn">
    <w:name w:val="Mod para return"/>
    <w:basedOn w:val="AparareturnSymb"/>
    <w:rsid w:val="00F66CFF"/>
    <w:pPr>
      <w:ind w:left="2300"/>
    </w:pPr>
  </w:style>
  <w:style w:type="paragraph" w:customStyle="1" w:styleId="Modsubparareturn">
    <w:name w:val="Mod subpara return"/>
    <w:basedOn w:val="AsubparareturnSymb"/>
    <w:rsid w:val="00F66CFF"/>
    <w:pPr>
      <w:ind w:left="3040"/>
    </w:pPr>
  </w:style>
  <w:style w:type="paragraph" w:customStyle="1" w:styleId="Modref">
    <w:name w:val="Mod ref"/>
    <w:basedOn w:val="refSymb"/>
    <w:rsid w:val="00F66CFF"/>
    <w:pPr>
      <w:ind w:left="1100"/>
    </w:pPr>
  </w:style>
  <w:style w:type="paragraph" w:customStyle="1" w:styleId="ModaNote">
    <w:name w:val="Mod aNote"/>
    <w:basedOn w:val="aNoteSymb"/>
    <w:rsid w:val="00F66CFF"/>
    <w:pPr>
      <w:tabs>
        <w:tab w:val="left" w:pos="2600"/>
      </w:tabs>
      <w:ind w:left="2600"/>
    </w:pPr>
  </w:style>
  <w:style w:type="paragraph" w:customStyle="1" w:styleId="ModNote">
    <w:name w:val="Mod Note"/>
    <w:basedOn w:val="aNoteSymb"/>
    <w:rsid w:val="00F66CFF"/>
    <w:pPr>
      <w:tabs>
        <w:tab w:val="left" w:pos="2600"/>
      </w:tabs>
      <w:ind w:left="2600"/>
    </w:pPr>
  </w:style>
  <w:style w:type="paragraph" w:customStyle="1" w:styleId="ApprFormHd">
    <w:name w:val="ApprFormHd"/>
    <w:basedOn w:val="Sched-heading"/>
    <w:rsid w:val="00F66CFF"/>
    <w:pPr>
      <w:ind w:left="0" w:firstLine="0"/>
    </w:pPr>
  </w:style>
  <w:style w:type="paragraph" w:customStyle="1" w:styleId="AmdtEntries">
    <w:name w:val="AmdtEntries"/>
    <w:basedOn w:val="BillBasicHeading"/>
    <w:rsid w:val="00F66CFF"/>
    <w:pPr>
      <w:keepNext w:val="0"/>
      <w:tabs>
        <w:tab w:val="clear" w:pos="2600"/>
      </w:tabs>
      <w:spacing w:before="0"/>
      <w:ind w:left="3200" w:hanging="2100"/>
    </w:pPr>
    <w:rPr>
      <w:sz w:val="18"/>
    </w:rPr>
  </w:style>
  <w:style w:type="paragraph" w:customStyle="1" w:styleId="AmdtEntriesDefL2">
    <w:name w:val="AmdtEntriesDefL2"/>
    <w:basedOn w:val="AmdtEntries"/>
    <w:rsid w:val="00F66CFF"/>
    <w:pPr>
      <w:tabs>
        <w:tab w:val="left" w:pos="3000"/>
      </w:tabs>
      <w:ind w:left="3600" w:hanging="2500"/>
    </w:pPr>
  </w:style>
  <w:style w:type="paragraph" w:customStyle="1" w:styleId="Actdetailsnote">
    <w:name w:val="Act details note"/>
    <w:basedOn w:val="Actdetails"/>
    <w:uiPriority w:val="99"/>
    <w:rsid w:val="00F66CFF"/>
    <w:pPr>
      <w:ind w:left="1620" w:right="-60" w:hanging="720"/>
    </w:pPr>
    <w:rPr>
      <w:sz w:val="18"/>
    </w:rPr>
  </w:style>
  <w:style w:type="paragraph" w:customStyle="1" w:styleId="DetailsNo">
    <w:name w:val="Details No"/>
    <w:basedOn w:val="Actdetails"/>
    <w:uiPriority w:val="99"/>
    <w:rsid w:val="00F66CFF"/>
    <w:pPr>
      <w:ind w:left="0"/>
    </w:pPr>
    <w:rPr>
      <w:sz w:val="18"/>
    </w:rPr>
  </w:style>
  <w:style w:type="paragraph" w:customStyle="1" w:styleId="AssectheadingSymb">
    <w:name w:val="A ssect heading Symb"/>
    <w:basedOn w:val="Amain"/>
    <w:rsid w:val="00F66CF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66CFF"/>
    <w:pPr>
      <w:tabs>
        <w:tab w:val="left" w:pos="0"/>
        <w:tab w:val="right" w:pos="2400"/>
        <w:tab w:val="left" w:pos="2600"/>
      </w:tabs>
      <w:ind w:left="2602" w:hanging="3084"/>
      <w:outlineLvl w:val="8"/>
    </w:pPr>
  </w:style>
  <w:style w:type="paragraph" w:customStyle="1" w:styleId="AmainreturnSymb">
    <w:name w:val="A main return Symb"/>
    <w:basedOn w:val="BillBasic"/>
    <w:rsid w:val="00F66CFF"/>
    <w:pPr>
      <w:tabs>
        <w:tab w:val="left" w:pos="1582"/>
      </w:tabs>
      <w:ind w:left="1100" w:hanging="1582"/>
    </w:pPr>
  </w:style>
  <w:style w:type="paragraph" w:customStyle="1" w:styleId="AparareturnSymb">
    <w:name w:val="A para return Symb"/>
    <w:basedOn w:val="BillBasic"/>
    <w:rsid w:val="00F66CFF"/>
    <w:pPr>
      <w:tabs>
        <w:tab w:val="left" w:pos="2081"/>
      </w:tabs>
      <w:ind w:left="1599" w:hanging="2081"/>
    </w:pPr>
  </w:style>
  <w:style w:type="paragraph" w:customStyle="1" w:styleId="AsubparareturnSymb">
    <w:name w:val="A subpara return Symb"/>
    <w:basedOn w:val="BillBasic"/>
    <w:rsid w:val="00F66CFF"/>
    <w:pPr>
      <w:tabs>
        <w:tab w:val="left" w:pos="2580"/>
      </w:tabs>
      <w:ind w:left="2098" w:hanging="2580"/>
    </w:pPr>
  </w:style>
  <w:style w:type="paragraph" w:customStyle="1" w:styleId="aDefSymb">
    <w:name w:val="aDef Symb"/>
    <w:basedOn w:val="BillBasic"/>
    <w:rsid w:val="00F66CFF"/>
    <w:pPr>
      <w:tabs>
        <w:tab w:val="left" w:pos="1582"/>
      </w:tabs>
      <w:ind w:left="1100" w:hanging="1582"/>
    </w:pPr>
  </w:style>
  <w:style w:type="paragraph" w:customStyle="1" w:styleId="aDefparaSymb">
    <w:name w:val="aDef para Symb"/>
    <w:basedOn w:val="Apara"/>
    <w:rsid w:val="00F66CFF"/>
    <w:pPr>
      <w:tabs>
        <w:tab w:val="clear" w:pos="1600"/>
        <w:tab w:val="left" w:pos="0"/>
        <w:tab w:val="left" w:pos="1599"/>
      </w:tabs>
      <w:ind w:left="1599" w:hanging="2081"/>
    </w:pPr>
  </w:style>
  <w:style w:type="paragraph" w:customStyle="1" w:styleId="aDefsubparaSymb">
    <w:name w:val="aDef subpara Symb"/>
    <w:basedOn w:val="Asubpara"/>
    <w:rsid w:val="00F66CFF"/>
    <w:pPr>
      <w:tabs>
        <w:tab w:val="left" w:pos="0"/>
      </w:tabs>
      <w:ind w:left="2098" w:hanging="2580"/>
    </w:pPr>
  </w:style>
  <w:style w:type="paragraph" w:customStyle="1" w:styleId="SchAmainSymb">
    <w:name w:val="Sch A main Symb"/>
    <w:basedOn w:val="Amain"/>
    <w:rsid w:val="00F66CFF"/>
    <w:pPr>
      <w:tabs>
        <w:tab w:val="left" w:pos="0"/>
      </w:tabs>
      <w:ind w:hanging="1580"/>
    </w:pPr>
  </w:style>
  <w:style w:type="paragraph" w:customStyle="1" w:styleId="SchAparaSymb">
    <w:name w:val="Sch A para Symb"/>
    <w:basedOn w:val="Apara"/>
    <w:rsid w:val="00F66CFF"/>
    <w:pPr>
      <w:tabs>
        <w:tab w:val="left" w:pos="0"/>
      </w:tabs>
      <w:ind w:hanging="2080"/>
    </w:pPr>
  </w:style>
  <w:style w:type="paragraph" w:customStyle="1" w:styleId="SchAsubparaSymb">
    <w:name w:val="Sch A subpara Symb"/>
    <w:basedOn w:val="Asubpara"/>
    <w:rsid w:val="00F66CFF"/>
    <w:pPr>
      <w:tabs>
        <w:tab w:val="left" w:pos="0"/>
      </w:tabs>
      <w:ind w:hanging="2580"/>
    </w:pPr>
  </w:style>
  <w:style w:type="paragraph" w:customStyle="1" w:styleId="SchAsubsubparaSymb">
    <w:name w:val="Sch A subsubpara Symb"/>
    <w:basedOn w:val="AsubsubparaSymb"/>
    <w:rsid w:val="00F66CFF"/>
  </w:style>
  <w:style w:type="paragraph" w:customStyle="1" w:styleId="refSymb">
    <w:name w:val="ref Symb"/>
    <w:basedOn w:val="BillBasic"/>
    <w:next w:val="Normal"/>
    <w:rsid w:val="00F66CFF"/>
    <w:pPr>
      <w:tabs>
        <w:tab w:val="left" w:pos="-480"/>
      </w:tabs>
      <w:spacing w:before="60"/>
      <w:ind w:hanging="480"/>
    </w:pPr>
    <w:rPr>
      <w:sz w:val="18"/>
    </w:rPr>
  </w:style>
  <w:style w:type="paragraph" w:customStyle="1" w:styleId="IshadedH5SecSymb">
    <w:name w:val="I shaded H5 Sec Symb"/>
    <w:basedOn w:val="AH5Sec"/>
    <w:rsid w:val="00F66CF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66CFF"/>
    <w:pPr>
      <w:tabs>
        <w:tab w:val="clear" w:pos="-1580"/>
      </w:tabs>
      <w:ind w:left="975" w:hanging="1457"/>
    </w:pPr>
  </w:style>
  <w:style w:type="paragraph" w:customStyle="1" w:styleId="IH1ChapSymb">
    <w:name w:val="I H1 Chap Symb"/>
    <w:basedOn w:val="BillBasicHeading"/>
    <w:next w:val="Normal"/>
    <w:rsid w:val="00F66CF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66CF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66CF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66CF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66CFF"/>
    <w:pPr>
      <w:tabs>
        <w:tab w:val="clear" w:pos="2600"/>
        <w:tab w:val="left" w:pos="-1580"/>
        <w:tab w:val="left" w:pos="0"/>
        <w:tab w:val="left" w:pos="1100"/>
      </w:tabs>
      <w:spacing w:before="240"/>
      <w:ind w:left="1100" w:hanging="1580"/>
    </w:pPr>
  </w:style>
  <w:style w:type="paragraph" w:customStyle="1" w:styleId="IMainSymb">
    <w:name w:val="I Main Symb"/>
    <w:basedOn w:val="Amain"/>
    <w:rsid w:val="00F66CFF"/>
    <w:pPr>
      <w:tabs>
        <w:tab w:val="left" w:pos="0"/>
      </w:tabs>
      <w:ind w:hanging="1580"/>
    </w:pPr>
  </w:style>
  <w:style w:type="paragraph" w:customStyle="1" w:styleId="IparaSymb">
    <w:name w:val="I para Symb"/>
    <w:basedOn w:val="Apara"/>
    <w:rsid w:val="00F66CFF"/>
    <w:pPr>
      <w:tabs>
        <w:tab w:val="left" w:pos="0"/>
      </w:tabs>
      <w:ind w:hanging="2080"/>
      <w:outlineLvl w:val="9"/>
    </w:pPr>
  </w:style>
  <w:style w:type="paragraph" w:customStyle="1" w:styleId="IsubparaSymb">
    <w:name w:val="I subpara Symb"/>
    <w:basedOn w:val="Asubpara"/>
    <w:rsid w:val="00F66CF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66CFF"/>
    <w:pPr>
      <w:tabs>
        <w:tab w:val="clear" w:pos="2400"/>
        <w:tab w:val="clear" w:pos="2600"/>
        <w:tab w:val="right" w:pos="2460"/>
        <w:tab w:val="left" w:pos="2660"/>
      </w:tabs>
      <w:ind w:left="2660" w:hanging="3140"/>
    </w:pPr>
  </w:style>
  <w:style w:type="paragraph" w:customStyle="1" w:styleId="IdefparaSymb">
    <w:name w:val="I def para Symb"/>
    <w:basedOn w:val="IparaSymb"/>
    <w:rsid w:val="00F66CFF"/>
    <w:pPr>
      <w:ind w:left="1599" w:hanging="2081"/>
    </w:pPr>
  </w:style>
  <w:style w:type="paragraph" w:customStyle="1" w:styleId="IdefsubparaSymb">
    <w:name w:val="I def subpara Symb"/>
    <w:basedOn w:val="IsubparaSymb"/>
    <w:rsid w:val="00F66CFF"/>
    <w:pPr>
      <w:ind w:left="2138"/>
    </w:pPr>
  </w:style>
  <w:style w:type="paragraph" w:customStyle="1" w:styleId="ISched-headingSymb">
    <w:name w:val="I Sched-heading Symb"/>
    <w:basedOn w:val="BillBasicHeading"/>
    <w:next w:val="Normal"/>
    <w:rsid w:val="00F66CFF"/>
    <w:pPr>
      <w:tabs>
        <w:tab w:val="left" w:pos="-3080"/>
        <w:tab w:val="left" w:pos="0"/>
      </w:tabs>
      <w:spacing w:before="320"/>
      <w:ind w:left="2600" w:hanging="3080"/>
    </w:pPr>
    <w:rPr>
      <w:sz w:val="34"/>
    </w:rPr>
  </w:style>
  <w:style w:type="paragraph" w:customStyle="1" w:styleId="ISched-PartSymb">
    <w:name w:val="I Sched-Part Symb"/>
    <w:basedOn w:val="BillBasicHeading"/>
    <w:rsid w:val="00F66CFF"/>
    <w:pPr>
      <w:tabs>
        <w:tab w:val="left" w:pos="-3080"/>
        <w:tab w:val="left" w:pos="0"/>
      </w:tabs>
      <w:spacing w:before="380"/>
      <w:ind w:left="2600" w:hanging="3080"/>
    </w:pPr>
    <w:rPr>
      <w:sz w:val="32"/>
    </w:rPr>
  </w:style>
  <w:style w:type="paragraph" w:customStyle="1" w:styleId="ISched-formSymb">
    <w:name w:val="I Sched-form Symb"/>
    <w:basedOn w:val="BillBasicHeading"/>
    <w:rsid w:val="00F66CF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66CF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66CF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66CFF"/>
    <w:pPr>
      <w:tabs>
        <w:tab w:val="left" w:pos="1100"/>
      </w:tabs>
      <w:spacing w:before="60"/>
      <w:ind w:left="1500" w:hanging="1986"/>
    </w:pPr>
  </w:style>
  <w:style w:type="paragraph" w:customStyle="1" w:styleId="aExamHdgssSymb">
    <w:name w:val="aExamHdgss Symb"/>
    <w:basedOn w:val="BillBasicHeading"/>
    <w:next w:val="Normal"/>
    <w:rsid w:val="00F66CFF"/>
    <w:pPr>
      <w:tabs>
        <w:tab w:val="clear" w:pos="2600"/>
        <w:tab w:val="left" w:pos="1582"/>
      </w:tabs>
      <w:ind w:left="1100" w:hanging="1582"/>
    </w:pPr>
    <w:rPr>
      <w:sz w:val="18"/>
    </w:rPr>
  </w:style>
  <w:style w:type="paragraph" w:customStyle="1" w:styleId="aExamssSymb">
    <w:name w:val="aExamss Symb"/>
    <w:basedOn w:val="aNote"/>
    <w:rsid w:val="00F66CFF"/>
    <w:pPr>
      <w:tabs>
        <w:tab w:val="left" w:pos="1582"/>
      </w:tabs>
      <w:spacing w:before="60"/>
      <w:ind w:left="1100" w:hanging="1582"/>
    </w:pPr>
  </w:style>
  <w:style w:type="paragraph" w:customStyle="1" w:styleId="aExamINumssSymb">
    <w:name w:val="aExamINumss Symb"/>
    <w:basedOn w:val="aExamssSymb"/>
    <w:rsid w:val="00F66CFF"/>
    <w:pPr>
      <w:tabs>
        <w:tab w:val="left" w:pos="1100"/>
      </w:tabs>
      <w:ind w:left="1500" w:hanging="1986"/>
    </w:pPr>
  </w:style>
  <w:style w:type="paragraph" w:customStyle="1" w:styleId="aExamNumTextssSymb">
    <w:name w:val="aExamNumTextss Symb"/>
    <w:basedOn w:val="aExamssSymb"/>
    <w:rsid w:val="00F66CFF"/>
    <w:pPr>
      <w:tabs>
        <w:tab w:val="clear" w:pos="1582"/>
        <w:tab w:val="left" w:pos="1985"/>
      </w:tabs>
      <w:ind w:left="1503" w:hanging="1985"/>
    </w:pPr>
  </w:style>
  <w:style w:type="paragraph" w:customStyle="1" w:styleId="AExamIParaSymb">
    <w:name w:val="AExamIPara Symb"/>
    <w:basedOn w:val="aExam"/>
    <w:rsid w:val="00F66CFF"/>
    <w:pPr>
      <w:tabs>
        <w:tab w:val="right" w:pos="1718"/>
      </w:tabs>
      <w:ind w:left="1984" w:hanging="2466"/>
    </w:pPr>
  </w:style>
  <w:style w:type="paragraph" w:customStyle="1" w:styleId="aExamBulletssSymb">
    <w:name w:val="aExamBulletss Symb"/>
    <w:basedOn w:val="aExamssSymb"/>
    <w:rsid w:val="00F66CFF"/>
    <w:pPr>
      <w:tabs>
        <w:tab w:val="left" w:pos="1100"/>
      </w:tabs>
      <w:ind w:left="1500" w:hanging="1986"/>
    </w:pPr>
  </w:style>
  <w:style w:type="paragraph" w:customStyle="1" w:styleId="aNoteSymb">
    <w:name w:val="aNote Symb"/>
    <w:basedOn w:val="BillBasic"/>
    <w:rsid w:val="00F66CFF"/>
    <w:pPr>
      <w:tabs>
        <w:tab w:val="left" w:pos="1100"/>
        <w:tab w:val="left" w:pos="2381"/>
      </w:tabs>
      <w:ind w:left="1899" w:hanging="2381"/>
    </w:pPr>
    <w:rPr>
      <w:sz w:val="20"/>
    </w:rPr>
  </w:style>
  <w:style w:type="paragraph" w:customStyle="1" w:styleId="aNoteTextssSymb">
    <w:name w:val="aNoteTextss Symb"/>
    <w:basedOn w:val="Normal"/>
    <w:rsid w:val="00F66CFF"/>
    <w:pPr>
      <w:tabs>
        <w:tab w:val="clear" w:pos="0"/>
        <w:tab w:val="left" w:pos="1418"/>
      </w:tabs>
      <w:spacing w:before="60"/>
      <w:ind w:left="1417" w:hanging="1899"/>
      <w:jc w:val="both"/>
    </w:pPr>
    <w:rPr>
      <w:sz w:val="20"/>
    </w:rPr>
  </w:style>
  <w:style w:type="paragraph" w:customStyle="1" w:styleId="aNoteParaSymb">
    <w:name w:val="aNotePara Symb"/>
    <w:basedOn w:val="aNoteSymb"/>
    <w:rsid w:val="00F66CF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66CF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F66CFF"/>
    <w:pPr>
      <w:tabs>
        <w:tab w:val="left" w:pos="1616"/>
        <w:tab w:val="left" w:pos="2495"/>
      </w:tabs>
      <w:spacing w:before="60"/>
      <w:ind w:left="2013" w:hanging="2495"/>
    </w:pPr>
  </w:style>
  <w:style w:type="paragraph" w:customStyle="1" w:styleId="aExamHdgparSymb">
    <w:name w:val="aExamHdgpar Symb"/>
    <w:basedOn w:val="aExamHdgssSymb"/>
    <w:next w:val="Normal"/>
    <w:rsid w:val="00F66CFF"/>
    <w:pPr>
      <w:tabs>
        <w:tab w:val="clear" w:pos="1582"/>
        <w:tab w:val="left" w:pos="1599"/>
      </w:tabs>
      <w:ind w:left="1599" w:hanging="2081"/>
    </w:pPr>
  </w:style>
  <w:style w:type="paragraph" w:customStyle="1" w:styleId="aExamparSymb">
    <w:name w:val="aExampar Symb"/>
    <w:basedOn w:val="aExamssSymb"/>
    <w:rsid w:val="00F66CFF"/>
    <w:pPr>
      <w:tabs>
        <w:tab w:val="clear" w:pos="1582"/>
        <w:tab w:val="left" w:pos="1599"/>
      </w:tabs>
      <w:ind w:left="1599" w:hanging="2081"/>
    </w:pPr>
  </w:style>
  <w:style w:type="paragraph" w:customStyle="1" w:styleId="aExamINumparSymb">
    <w:name w:val="aExamINumpar Symb"/>
    <w:basedOn w:val="aExamparSymb"/>
    <w:rsid w:val="00F66CFF"/>
    <w:pPr>
      <w:tabs>
        <w:tab w:val="left" w:pos="2000"/>
      </w:tabs>
      <w:ind w:left="2041" w:hanging="2495"/>
    </w:pPr>
  </w:style>
  <w:style w:type="paragraph" w:customStyle="1" w:styleId="aExamBulletparSymb">
    <w:name w:val="aExamBulletpar Symb"/>
    <w:basedOn w:val="aExamparSymb"/>
    <w:rsid w:val="00F66CFF"/>
    <w:pPr>
      <w:tabs>
        <w:tab w:val="clear" w:pos="1599"/>
        <w:tab w:val="left" w:pos="1616"/>
        <w:tab w:val="left" w:pos="2495"/>
      </w:tabs>
      <w:ind w:left="2013" w:hanging="2495"/>
    </w:pPr>
  </w:style>
  <w:style w:type="paragraph" w:customStyle="1" w:styleId="aNoteparSymb">
    <w:name w:val="aNotepar Symb"/>
    <w:basedOn w:val="BillBasic"/>
    <w:next w:val="Normal"/>
    <w:rsid w:val="00F66CFF"/>
    <w:pPr>
      <w:tabs>
        <w:tab w:val="left" w:pos="1599"/>
        <w:tab w:val="left" w:pos="2398"/>
      </w:tabs>
      <w:ind w:left="2410" w:hanging="2892"/>
    </w:pPr>
    <w:rPr>
      <w:sz w:val="20"/>
    </w:rPr>
  </w:style>
  <w:style w:type="paragraph" w:customStyle="1" w:styleId="aNoteTextparSymb">
    <w:name w:val="aNoteTextpar Symb"/>
    <w:basedOn w:val="aNoteparSymb"/>
    <w:rsid w:val="00F66CFF"/>
    <w:pPr>
      <w:tabs>
        <w:tab w:val="clear" w:pos="1599"/>
        <w:tab w:val="clear" w:pos="2398"/>
        <w:tab w:val="left" w:pos="2880"/>
      </w:tabs>
      <w:spacing w:before="60"/>
      <w:ind w:left="2398" w:hanging="2880"/>
    </w:pPr>
  </w:style>
  <w:style w:type="paragraph" w:customStyle="1" w:styleId="aNoteParaparSymb">
    <w:name w:val="aNoteParapar Symb"/>
    <w:basedOn w:val="aNoteparSymb"/>
    <w:rsid w:val="00F66CFF"/>
    <w:pPr>
      <w:tabs>
        <w:tab w:val="right" w:pos="2640"/>
      </w:tabs>
      <w:spacing w:before="60"/>
      <w:ind w:left="2920" w:hanging="3402"/>
    </w:pPr>
  </w:style>
  <w:style w:type="paragraph" w:customStyle="1" w:styleId="aNoteBulletparSymb">
    <w:name w:val="aNoteBulletpar Symb"/>
    <w:basedOn w:val="aNoteparSymb"/>
    <w:rsid w:val="00F66CFF"/>
    <w:pPr>
      <w:tabs>
        <w:tab w:val="clear" w:pos="1599"/>
        <w:tab w:val="left" w:pos="3289"/>
      </w:tabs>
      <w:spacing w:before="60"/>
      <w:ind w:left="2807" w:hanging="3289"/>
    </w:pPr>
  </w:style>
  <w:style w:type="paragraph" w:customStyle="1" w:styleId="AsubparabulletSymb">
    <w:name w:val="A subpara bullet Symb"/>
    <w:basedOn w:val="BillBasic"/>
    <w:rsid w:val="00F66CFF"/>
    <w:pPr>
      <w:tabs>
        <w:tab w:val="left" w:pos="2138"/>
        <w:tab w:val="left" w:pos="3005"/>
      </w:tabs>
      <w:spacing w:before="60"/>
      <w:ind w:left="2523" w:hanging="3005"/>
    </w:pPr>
  </w:style>
  <w:style w:type="paragraph" w:customStyle="1" w:styleId="aExamHdgsubparSymb">
    <w:name w:val="aExamHdgsubpar Symb"/>
    <w:basedOn w:val="aExamHdgssSymb"/>
    <w:next w:val="Normal"/>
    <w:rsid w:val="00F66CFF"/>
    <w:pPr>
      <w:tabs>
        <w:tab w:val="clear" w:pos="1582"/>
        <w:tab w:val="left" w:pos="2620"/>
      </w:tabs>
      <w:ind w:left="2138" w:hanging="2620"/>
    </w:pPr>
  </w:style>
  <w:style w:type="paragraph" w:customStyle="1" w:styleId="aExamsubparSymb">
    <w:name w:val="aExamsubpar Symb"/>
    <w:basedOn w:val="aExamssSymb"/>
    <w:rsid w:val="00F66CFF"/>
    <w:pPr>
      <w:tabs>
        <w:tab w:val="clear" w:pos="1582"/>
        <w:tab w:val="left" w:pos="2620"/>
      </w:tabs>
      <w:ind w:left="2138" w:hanging="2620"/>
    </w:pPr>
  </w:style>
  <w:style w:type="paragraph" w:customStyle="1" w:styleId="aNotesubparSymb">
    <w:name w:val="aNotesubpar Symb"/>
    <w:basedOn w:val="BillBasic"/>
    <w:next w:val="Normal"/>
    <w:rsid w:val="00F66CFF"/>
    <w:pPr>
      <w:tabs>
        <w:tab w:val="left" w:pos="2138"/>
        <w:tab w:val="left" w:pos="2937"/>
      </w:tabs>
      <w:ind w:left="2455" w:hanging="2937"/>
    </w:pPr>
    <w:rPr>
      <w:sz w:val="20"/>
    </w:rPr>
  </w:style>
  <w:style w:type="paragraph" w:customStyle="1" w:styleId="aNoteTextsubparSymb">
    <w:name w:val="aNoteTextsubpar Symb"/>
    <w:basedOn w:val="aNotesubparSymb"/>
    <w:rsid w:val="00F66CFF"/>
    <w:pPr>
      <w:tabs>
        <w:tab w:val="clear" w:pos="2138"/>
        <w:tab w:val="clear" w:pos="2937"/>
        <w:tab w:val="left" w:pos="2943"/>
      </w:tabs>
      <w:spacing w:before="60"/>
      <w:ind w:left="2943" w:hanging="3425"/>
    </w:pPr>
  </w:style>
  <w:style w:type="paragraph" w:customStyle="1" w:styleId="PenaltySymb">
    <w:name w:val="Penalty Symb"/>
    <w:basedOn w:val="AmainreturnSymb"/>
    <w:rsid w:val="00F66CFF"/>
  </w:style>
  <w:style w:type="paragraph" w:customStyle="1" w:styleId="PenaltyParaSymb">
    <w:name w:val="PenaltyPara Symb"/>
    <w:basedOn w:val="Normal"/>
    <w:rsid w:val="00F66CFF"/>
    <w:pPr>
      <w:tabs>
        <w:tab w:val="right" w:pos="1360"/>
      </w:tabs>
      <w:spacing w:before="60"/>
      <w:ind w:left="1599" w:hanging="2081"/>
      <w:jc w:val="both"/>
    </w:pPr>
  </w:style>
  <w:style w:type="paragraph" w:customStyle="1" w:styleId="FormulaSymb">
    <w:name w:val="Formula Symb"/>
    <w:basedOn w:val="BillBasic"/>
    <w:rsid w:val="00F66CFF"/>
    <w:pPr>
      <w:tabs>
        <w:tab w:val="left" w:pos="-480"/>
      </w:tabs>
      <w:spacing w:line="260" w:lineRule="atLeast"/>
      <w:ind w:hanging="480"/>
      <w:jc w:val="center"/>
    </w:pPr>
  </w:style>
  <w:style w:type="paragraph" w:customStyle="1" w:styleId="NormalSymb">
    <w:name w:val="Normal Symb"/>
    <w:basedOn w:val="Normal"/>
    <w:qFormat/>
    <w:rsid w:val="00F66CFF"/>
    <w:pPr>
      <w:ind w:hanging="482"/>
    </w:pPr>
  </w:style>
  <w:style w:type="character" w:styleId="PlaceholderText">
    <w:name w:val="Placeholder Text"/>
    <w:basedOn w:val="DefaultParagraphFont"/>
    <w:uiPriority w:val="99"/>
    <w:semiHidden/>
    <w:rsid w:val="00F66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legislation.act.gov.au/a/2001-14" TargetMode="External"/><Relationship Id="rId26" Type="http://schemas.openxmlformats.org/officeDocument/2006/relationships/hyperlink" Target="http://www.legislation.act.gov.au/a/2011-42" TargetMode="Externa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www.legislation.act.gov.au/a/2001-14" TargetMode="External"/><Relationship Id="rId34" Type="http://schemas.openxmlformats.org/officeDocument/2006/relationships/footer" Target="footer6.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legislation.act.gov.au/a/2002-51" TargetMode="External"/><Relationship Id="rId25" Type="http://schemas.openxmlformats.org/officeDocument/2006/relationships/hyperlink" Target="http://www.legislation.act.gov.au/a/1951-2" TargetMode="External"/><Relationship Id="rId33" Type="http://schemas.openxmlformats.org/officeDocument/2006/relationships/footer" Target="footer5.xml"/><Relationship Id="rId38"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legislation.act.gov.au/a/2009-25" TargetMode="External"/><Relationship Id="rId20" Type="http://schemas.openxmlformats.org/officeDocument/2006/relationships/hyperlink" Target="http://www.legislation.act.gov.au/a/2001-14" TargetMode="External"/><Relationship Id="rId29" Type="http://schemas.openxmlformats.org/officeDocument/2006/relationships/hyperlink" Target="http://www.legislation.act.gov.au/a/1951-2"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legislation.act.gov.au/a/2001-14" TargetMode="External"/><Relationship Id="rId32" Type="http://schemas.openxmlformats.org/officeDocument/2006/relationships/footer" Target="footer4.xml"/><Relationship Id="rId37" Type="http://schemas.openxmlformats.org/officeDocument/2006/relationships/header" Target="header6.xml"/><Relationship Id="rId40"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yperlink" Target="http://www.legislation.act.gov.au/a/2001-14" TargetMode="External"/><Relationship Id="rId28" Type="http://schemas.openxmlformats.org/officeDocument/2006/relationships/hyperlink" Target="http://www.legislation.act.gov.au/a/1951-2" TargetMode="External"/><Relationship Id="rId36" Type="http://schemas.openxmlformats.org/officeDocument/2006/relationships/hyperlink" Target="http://www.legislation.act.gov.au" TargetMode="External"/><Relationship Id="rId10" Type="http://schemas.openxmlformats.org/officeDocument/2006/relationships/header" Target="header2.xml"/><Relationship Id="rId19" Type="http://schemas.openxmlformats.org/officeDocument/2006/relationships/hyperlink" Target="http://www.legislation.act.gov.au/a/2001-14"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legislation.act.gov.au/a/2001-14" TargetMode="External"/><Relationship Id="rId27" Type="http://schemas.openxmlformats.org/officeDocument/2006/relationships/hyperlink" Target="http://www.legislation.vic.gov.au/" TargetMode="External"/><Relationship Id="rId30" Type="http://schemas.openxmlformats.org/officeDocument/2006/relationships/header" Target="header4.xml"/><Relationship Id="rId35" Type="http://schemas.openxmlformats.org/officeDocument/2006/relationships/hyperlink" Target="http://www.legislation.act.gov.au/a/2001-14"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168BD-8677-45B8-984A-624D37B13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5208</Words>
  <Characters>25686</Characters>
  <Application>Microsoft Office Word</Application>
  <DocSecurity>0</DocSecurity>
  <Lines>770</Lines>
  <Paragraphs>444</Paragraphs>
  <ScaleCrop>false</ScaleCrop>
  <HeadingPairs>
    <vt:vector size="2" baseType="variant">
      <vt:variant>
        <vt:lpstr>Title</vt:lpstr>
      </vt:variant>
      <vt:variant>
        <vt:i4>1</vt:i4>
      </vt:variant>
    </vt:vector>
  </HeadingPairs>
  <TitlesOfParts>
    <vt:vector size="1" baseType="lpstr">
      <vt:lpstr>Long Service Leave (Portable Schemes) Amendment Act 2019</vt:lpstr>
    </vt:vector>
  </TitlesOfParts>
  <Manager>Section</Manager>
  <Company>Section</Company>
  <LinksUpToDate>false</LinksUpToDate>
  <CharactersWithSpaces>30706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Service Leave (Portable Schemes) Amendment Act 2019</dc:title>
  <dc:subject>Amendment</dc:subject>
  <dc:creator>ACT Government</dc:creator>
  <cp:keywords>D14</cp:keywords>
  <dc:description>J2019-377</dc:description>
  <cp:lastModifiedBy>PCODCS</cp:lastModifiedBy>
  <cp:revision>4</cp:revision>
  <cp:lastPrinted>2019-12-01T23:52:00Z</cp:lastPrinted>
  <dcterms:created xsi:type="dcterms:W3CDTF">2019-12-04T22:38:00Z</dcterms:created>
  <dcterms:modified xsi:type="dcterms:W3CDTF">2019-12-04T22:38:00Z</dcterms:modified>
  <cp:category>A2019-44</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Chief Minister, Treasury and Economic Development Directorate</vt:lpwstr>
  </property>
  <property fmtid="{D5CDD505-2E9C-101B-9397-08002B2CF9AE}" pid="4" name="ClientName1">
    <vt:lpwstr>Ellen Lukins</vt:lpwstr>
  </property>
  <property fmtid="{D5CDD505-2E9C-101B-9397-08002B2CF9AE}" pid="5" name="ClientEmail1">
    <vt:lpwstr>ellen.lukins@act.gov.au</vt:lpwstr>
  </property>
  <property fmtid="{D5CDD505-2E9C-101B-9397-08002B2CF9AE}" pid="6" name="ClientPh1">
    <vt:lpwstr>62053874</vt:lpwstr>
  </property>
  <property fmtid="{D5CDD505-2E9C-101B-9397-08002B2CF9AE}" pid="7" name="ClientName2">
    <vt:lpwstr>Kerry Van de Laarschot</vt:lpwstr>
  </property>
  <property fmtid="{D5CDD505-2E9C-101B-9397-08002B2CF9AE}" pid="8" name="ClientEmail2">
    <vt:lpwstr>Kerry.VanDeLaarschot@act.gov.au</vt:lpwstr>
  </property>
  <property fmtid="{D5CDD505-2E9C-101B-9397-08002B2CF9AE}" pid="9" name="ClientPh2">
    <vt:lpwstr>62050861</vt:lpwstr>
  </property>
  <property fmtid="{D5CDD505-2E9C-101B-9397-08002B2CF9AE}" pid="10" name="jobType">
    <vt:lpwstr>Drafting</vt:lpwstr>
  </property>
  <property fmtid="{D5CDD505-2E9C-101B-9397-08002B2CF9AE}" pid="11" name="DMSID">
    <vt:lpwstr>1125049</vt:lpwstr>
  </property>
  <property fmtid="{D5CDD505-2E9C-101B-9397-08002B2CF9AE}" pid="12" name="JMSREQUIREDCHECKIN">
    <vt:lpwstr/>
  </property>
  <property fmtid="{D5CDD505-2E9C-101B-9397-08002B2CF9AE}" pid="13" name="CHECKEDOUTFROMJMS">
    <vt:lpwstr/>
  </property>
  <property fmtid="{D5CDD505-2E9C-101B-9397-08002B2CF9AE}" pid="14" name="Citation">
    <vt:lpwstr>Long Service Leave (Portable Schemes) Amendment Bill 2019</vt:lpwstr>
  </property>
  <property fmtid="{D5CDD505-2E9C-101B-9397-08002B2CF9AE}" pid="15" name="AmCitation">
    <vt:lpwstr>Long Service Leave (Portable Schemes) Act 2009</vt:lpwstr>
  </property>
  <property fmtid="{D5CDD505-2E9C-101B-9397-08002B2CF9AE}" pid="16" name="ActName">
    <vt:lpwstr/>
  </property>
  <property fmtid="{D5CDD505-2E9C-101B-9397-08002B2CF9AE}" pid="17" name="DrafterName">
    <vt:lpwstr>David Metcalf</vt:lpwstr>
  </property>
  <property fmtid="{D5CDD505-2E9C-101B-9397-08002B2CF9AE}" pid="18" name="DrafterEmail">
    <vt:lpwstr>david.metcalf@act.gov.au</vt:lpwstr>
  </property>
  <property fmtid="{D5CDD505-2E9C-101B-9397-08002B2CF9AE}" pid="19" name="DrafterPh">
    <vt:lpwstr>62053779</vt:lpwstr>
  </property>
  <property fmtid="{D5CDD505-2E9C-101B-9397-08002B2CF9AE}" pid="20" name="SettlerName">
    <vt:lpwstr>Lyndall Kennedy</vt:lpwstr>
  </property>
  <property fmtid="{D5CDD505-2E9C-101B-9397-08002B2CF9AE}" pid="21" name="SettlerEmail">
    <vt:lpwstr>lyndall.kennedy@act.gov.au</vt:lpwstr>
  </property>
  <property fmtid="{D5CDD505-2E9C-101B-9397-08002B2CF9AE}" pid="22" name="SettlerPh">
    <vt:lpwstr>62077534</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