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B1C3" w14:textId="77777777" w:rsidR="0030498E" w:rsidRDefault="0030498E" w:rsidP="00C34C6C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2016F20" wp14:editId="4C10F89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B5B7D" w14:textId="77777777" w:rsidR="0030498E" w:rsidRDefault="0030498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50402FF" w14:textId="5208EB07" w:rsidR="00975578" w:rsidRPr="007F6445" w:rsidRDefault="00797B26" w:rsidP="00975578">
      <w:pPr>
        <w:pStyle w:val="Billname1"/>
      </w:pPr>
      <w:r w:rsidRPr="007F6445">
        <w:fldChar w:fldCharType="begin"/>
      </w:r>
      <w:r w:rsidR="004A597D" w:rsidRPr="007F6445">
        <w:instrText xml:space="preserve"> REF Citation \*charformat  \* MERGEFORMAT </w:instrText>
      </w:r>
      <w:r w:rsidRPr="007F6445">
        <w:fldChar w:fldCharType="separate"/>
      </w:r>
      <w:r w:rsidR="00D741F4" w:rsidRPr="00D741F4">
        <w:rPr>
          <w:lang w:val="en-US"/>
        </w:rPr>
        <w:t>Human Rights Commission Amendment Act</w:t>
      </w:r>
      <w:r w:rsidR="00D741F4">
        <w:t xml:space="preserve"> 2023</w:t>
      </w:r>
      <w:r w:rsidRPr="007F6445">
        <w:fldChar w:fldCharType="end"/>
      </w:r>
    </w:p>
    <w:p w14:paraId="55F3A529" w14:textId="034588EC" w:rsidR="00975578" w:rsidRPr="007F6445" w:rsidRDefault="00797B26" w:rsidP="00975578">
      <w:pPr>
        <w:pStyle w:val="ActNo"/>
      </w:pPr>
      <w:r w:rsidRPr="007F6445">
        <w:fldChar w:fldCharType="begin"/>
      </w:r>
      <w:r w:rsidR="00975578" w:rsidRPr="007F6445">
        <w:instrText xml:space="preserve"> DOCPROPERTY "Category"  \* MERGEFORMAT </w:instrText>
      </w:r>
      <w:r w:rsidRPr="007F6445">
        <w:fldChar w:fldCharType="separate"/>
      </w:r>
      <w:r w:rsidR="00682FD8">
        <w:t>A2023-29</w:t>
      </w:r>
      <w:r w:rsidRPr="007F6445">
        <w:fldChar w:fldCharType="end"/>
      </w:r>
    </w:p>
    <w:p w14:paraId="7F13FC65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ontents"/>
          <w:sz w:val="16"/>
        </w:rPr>
        <w:t xml:space="preserve">  </w:t>
      </w:r>
      <w:r w:rsidRPr="007F6445">
        <w:rPr>
          <w:rStyle w:val="charPage"/>
        </w:rPr>
        <w:t xml:space="preserve">  </w:t>
      </w:r>
    </w:p>
    <w:p w14:paraId="3CC69B1D" w14:textId="77777777" w:rsidR="00975578" w:rsidRPr="007F6445" w:rsidRDefault="00975578" w:rsidP="00975578">
      <w:pPr>
        <w:pStyle w:val="N-TOCheading"/>
      </w:pPr>
      <w:r w:rsidRPr="007F6445">
        <w:rPr>
          <w:rStyle w:val="charContents"/>
        </w:rPr>
        <w:t>Contents</w:t>
      </w:r>
    </w:p>
    <w:p w14:paraId="2A397B15" w14:textId="77777777" w:rsidR="00975578" w:rsidRPr="007F6445" w:rsidRDefault="00975578" w:rsidP="00975578">
      <w:pPr>
        <w:pStyle w:val="N-9pt"/>
      </w:pPr>
      <w:r w:rsidRPr="007F6445">
        <w:tab/>
      </w:r>
      <w:r w:rsidRPr="007F6445">
        <w:rPr>
          <w:rStyle w:val="charPage"/>
        </w:rPr>
        <w:t>Page</w:t>
      </w:r>
    </w:p>
    <w:p w14:paraId="58A85D87" w14:textId="520AFAF0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475972" w:history="1">
        <w:r w:rsidRPr="0055425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Name of Act</w:t>
        </w:r>
        <w:r>
          <w:tab/>
        </w:r>
        <w:r>
          <w:fldChar w:fldCharType="begin"/>
        </w:r>
        <w:r>
          <w:instrText xml:space="preserve"> PAGEREF _Toc130475972 \h </w:instrText>
        </w:r>
        <w:r>
          <w:fldChar w:fldCharType="separate"/>
        </w:r>
        <w:r w:rsidR="00D741F4">
          <w:t>2</w:t>
        </w:r>
        <w:r>
          <w:fldChar w:fldCharType="end"/>
        </w:r>
      </w:hyperlink>
    </w:p>
    <w:p w14:paraId="4E18DE7B" w14:textId="471128EE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3" w:history="1">
        <w:r w:rsidRPr="0055425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Commencement</w:t>
        </w:r>
        <w:r>
          <w:tab/>
        </w:r>
        <w:r>
          <w:fldChar w:fldCharType="begin"/>
        </w:r>
        <w:r>
          <w:instrText xml:space="preserve"> PAGEREF _Toc130475973 \h </w:instrText>
        </w:r>
        <w:r>
          <w:fldChar w:fldCharType="separate"/>
        </w:r>
        <w:r w:rsidR="00D741F4">
          <w:t>2</w:t>
        </w:r>
        <w:r>
          <w:fldChar w:fldCharType="end"/>
        </w:r>
      </w:hyperlink>
    </w:p>
    <w:p w14:paraId="2B1BF7BE" w14:textId="7D11A5FF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4" w:history="1">
        <w:r w:rsidRPr="0055425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Legislation amended</w:t>
        </w:r>
        <w:r>
          <w:tab/>
        </w:r>
        <w:r>
          <w:fldChar w:fldCharType="begin"/>
        </w:r>
        <w:r>
          <w:instrText xml:space="preserve"> PAGEREF _Toc130475974 \h </w:instrText>
        </w:r>
        <w:r>
          <w:fldChar w:fldCharType="separate"/>
        </w:r>
        <w:r w:rsidR="00D741F4">
          <w:t>2</w:t>
        </w:r>
        <w:r>
          <w:fldChar w:fldCharType="end"/>
        </w:r>
      </w:hyperlink>
    </w:p>
    <w:p w14:paraId="6AFBEC71" w14:textId="6AF8BA8A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5" w:history="1">
        <w:r w:rsidRPr="0055425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Human Rights Commission Regulation—sch 1</w:t>
        </w:r>
        <w:r>
          <w:tab/>
        </w:r>
        <w:r>
          <w:fldChar w:fldCharType="begin"/>
        </w:r>
        <w:r>
          <w:instrText xml:space="preserve"> PAGEREF _Toc130475975 \h </w:instrText>
        </w:r>
        <w:r>
          <w:fldChar w:fldCharType="separate"/>
        </w:r>
        <w:r w:rsidR="00D741F4">
          <w:t>2</w:t>
        </w:r>
        <w:r>
          <w:fldChar w:fldCharType="end"/>
        </w:r>
      </w:hyperlink>
    </w:p>
    <w:p w14:paraId="5DAAA2A3" w14:textId="5A2D9BEB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6" w:history="1">
        <w:r w:rsidRPr="00E459B3">
          <w:rPr>
            <w:rStyle w:val="CharSectNo"/>
          </w:rPr>
          <w:t>5</w:t>
        </w:r>
        <w:r w:rsidRPr="007F6445">
          <w:tab/>
          <w:t>When may someone complain about a health service?</w:t>
        </w:r>
        <w:r>
          <w:br/>
        </w:r>
        <w:r w:rsidRPr="007F6445">
          <w:t>New section 39 (1) (b) (iia)</w:t>
        </w:r>
        <w:r>
          <w:tab/>
        </w:r>
        <w:r>
          <w:fldChar w:fldCharType="begin"/>
        </w:r>
        <w:r>
          <w:instrText xml:space="preserve"> PAGEREF _Toc130475976 \h </w:instrText>
        </w:r>
        <w:r>
          <w:fldChar w:fldCharType="separate"/>
        </w:r>
        <w:r w:rsidR="00D741F4">
          <w:t>3</w:t>
        </w:r>
        <w:r>
          <w:fldChar w:fldCharType="end"/>
        </w:r>
      </w:hyperlink>
    </w:p>
    <w:p w14:paraId="762E1D28" w14:textId="3C90E651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7" w:history="1">
        <w:r w:rsidRPr="00E459B3">
          <w:rPr>
            <w:rStyle w:val="CharSectNo"/>
          </w:rPr>
          <w:t>6</w:t>
        </w:r>
        <w:r w:rsidRPr="007F6445">
          <w:tab/>
          <w:t>Purpose of considering complaints</w:t>
        </w:r>
        <w:r>
          <w:br/>
        </w:r>
        <w:r w:rsidRPr="007F6445">
          <w:t>Section 69</w:t>
        </w:r>
        <w:r>
          <w:tab/>
        </w:r>
        <w:r>
          <w:fldChar w:fldCharType="begin"/>
        </w:r>
        <w:r>
          <w:instrText xml:space="preserve"> PAGEREF _Toc130475977 \h </w:instrText>
        </w:r>
        <w:r>
          <w:fldChar w:fldCharType="separate"/>
        </w:r>
        <w:r w:rsidR="00D741F4">
          <w:t>3</w:t>
        </w:r>
        <w:r>
          <w:fldChar w:fldCharType="end"/>
        </w:r>
      </w:hyperlink>
    </w:p>
    <w:p w14:paraId="62216E7B" w14:textId="47858151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8" w:history="1">
        <w:r w:rsidRPr="0055425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section 69 (d)</w:t>
        </w:r>
        <w:r>
          <w:tab/>
        </w:r>
        <w:r>
          <w:fldChar w:fldCharType="begin"/>
        </w:r>
        <w:r>
          <w:instrText xml:space="preserve"> PAGEREF _Toc130475978 \h </w:instrText>
        </w:r>
        <w:r>
          <w:fldChar w:fldCharType="separate"/>
        </w:r>
        <w:r w:rsidR="00D741F4">
          <w:t>4</w:t>
        </w:r>
        <w:r>
          <w:fldChar w:fldCharType="end"/>
        </w:r>
      </w:hyperlink>
    </w:p>
    <w:p w14:paraId="379854B4" w14:textId="22C7B1D9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9" w:history="1">
        <w:r w:rsidRPr="00E459B3">
          <w:rPr>
            <w:rStyle w:val="CharSectNo"/>
          </w:rPr>
          <w:t>8</w:t>
        </w:r>
        <w:r w:rsidRPr="007F6445">
          <w:tab/>
          <w:t>Power to ask for information, documents and other things</w:t>
        </w:r>
        <w:r>
          <w:br/>
        </w:r>
        <w:r w:rsidRPr="007F6445">
          <w:t>Section 73 (4), note 1</w:t>
        </w:r>
        <w:r>
          <w:tab/>
        </w:r>
        <w:r>
          <w:fldChar w:fldCharType="begin"/>
        </w:r>
        <w:r>
          <w:instrText xml:space="preserve"> PAGEREF _Toc130475979 \h </w:instrText>
        </w:r>
        <w:r>
          <w:fldChar w:fldCharType="separate"/>
        </w:r>
        <w:r w:rsidR="00D741F4">
          <w:t>4</w:t>
        </w:r>
        <w:r>
          <w:fldChar w:fldCharType="end"/>
        </w:r>
      </w:hyperlink>
    </w:p>
    <w:p w14:paraId="69F64612" w14:textId="7E104510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475980" w:history="1">
        <w:r w:rsidRPr="00E459B3">
          <w:rPr>
            <w:rStyle w:val="CharSectNo"/>
          </w:rPr>
          <w:t>9</w:t>
        </w:r>
        <w:r w:rsidRPr="007F6445">
          <w:tab/>
          <w:t>Requiring attendance etc</w:t>
        </w:r>
        <w:r>
          <w:br/>
        </w:r>
        <w:r w:rsidRPr="007F6445">
          <w:t>Section 74 (7), note 1</w:t>
        </w:r>
        <w:r>
          <w:tab/>
        </w:r>
        <w:r>
          <w:fldChar w:fldCharType="begin"/>
        </w:r>
        <w:r>
          <w:instrText xml:space="preserve"> PAGEREF _Toc130475980 \h </w:instrText>
        </w:r>
        <w:r>
          <w:fldChar w:fldCharType="separate"/>
        </w:r>
        <w:r w:rsidR="00D741F4">
          <w:t>4</w:t>
        </w:r>
        <w:r>
          <w:fldChar w:fldCharType="end"/>
        </w:r>
      </w:hyperlink>
    </w:p>
    <w:p w14:paraId="27EB01B9" w14:textId="3235BE21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1" w:history="1">
        <w:r w:rsidRPr="00E459B3">
          <w:rPr>
            <w:rStyle w:val="CharSectNo"/>
          </w:rPr>
          <w:t>10</w:t>
        </w:r>
        <w:r w:rsidRPr="007F6445">
          <w:tab/>
          <w:t>Privileges against self-incrimination and exposure to civil penalty</w:t>
        </w:r>
        <w:r>
          <w:br/>
        </w:r>
        <w:r w:rsidRPr="007F6445">
          <w:t>New section 75 (2A)</w:t>
        </w:r>
        <w:r>
          <w:tab/>
        </w:r>
        <w:r>
          <w:fldChar w:fldCharType="begin"/>
        </w:r>
        <w:r>
          <w:instrText xml:space="preserve"> PAGEREF _Toc130475981 \h </w:instrText>
        </w:r>
        <w:r>
          <w:fldChar w:fldCharType="separate"/>
        </w:r>
        <w:r w:rsidR="00D741F4">
          <w:t>4</w:t>
        </w:r>
        <w:r>
          <w:fldChar w:fldCharType="end"/>
        </w:r>
      </w:hyperlink>
    </w:p>
    <w:p w14:paraId="7DADE03C" w14:textId="6DD93F3B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2" w:history="1">
        <w:r w:rsidRPr="0055425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Part 5 heading</w:t>
        </w:r>
        <w:r>
          <w:tab/>
        </w:r>
        <w:r>
          <w:fldChar w:fldCharType="begin"/>
        </w:r>
        <w:r>
          <w:instrText xml:space="preserve"> PAGEREF _Toc130475982 \h </w:instrText>
        </w:r>
        <w:r>
          <w:fldChar w:fldCharType="separate"/>
        </w:r>
        <w:r w:rsidR="00D741F4">
          <w:t>5</w:t>
        </w:r>
        <w:r>
          <w:fldChar w:fldCharType="end"/>
        </w:r>
      </w:hyperlink>
    </w:p>
    <w:p w14:paraId="12804952" w14:textId="5353398D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3" w:history="1">
        <w:r w:rsidRPr="00554257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divisions 5.3 and 5.4</w:t>
        </w:r>
        <w:r>
          <w:tab/>
        </w:r>
        <w:r>
          <w:fldChar w:fldCharType="begin"/>
        </w:r>
        <w:r>
          <w:instrText xml:space="preserve"> PAGEREF _Toc130475983 \h </w:instrText>
        </w:r>
        <w:r>
          <w:fldChar w:fldCharType="separate"/>
        </w:r>
        <w:r w:rsidR="00D741F4">
          <w:t>5</w:t>
        </w:r>
        <w:r>
          <w:fldChar w:fldCharType="end"/>
        </w:r>
      </w:hyperlink>
    </w:p>
    <w:p w14:paraId="5E899B70" w14:textId="67273B32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4" w:history="1">
        <w:r w:rsidRPr="00554257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schedule 1</w:t>
        </w:r>
        <w:r>
          <w:tab/>
        </w:r>
        <w:r>
          <w:fldChar w:fldCharType="begin"/>
        </w:r>
        <w:r>
          <w:instrText xml:space="preserve"> PAGEREF _Toc130475984 \h </w:instrText>
        </w:r>
        <w:r>
          <w:fldChar w:fldCharType="separate"/>
        </w:r>
        <w:r w:rsidR="00D741F4">
          <w:t>21</w:t>
        </w:r>
        <w:r>
          <w:fldChar w:fldCharType="end"/>
        </w:r>
      </w:hyperlink>
    </w:p>
    <w:p w14:paraId="601D10EB" w14:textId="745DEF2C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5" w:history="1">
        <w:r w:rsidRPr="0055425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Dictionary, note 2</w:t>
        </w:r>
        <w:r>
          <w:tab/>
        </w:r>
        <w:r>
          <w:fldChar w:fldCharType="begin"/>
        </w:r>
        <w:r>
          <w:instrText xml:space="preserve"> PAGEREF _Toc130475985 \h </w:instrText>
        </w:r>
        <w:r>
          <w:fldChar w:fldCharType="separate"/>
        </w:r>
        <w:r w:rsidR="00D741F4">
          <w:t>22</w:t>
        </w:r>
        <w:r>
          <w:fldChar w:fldCharType="end"/>
        </w:r>
      </w:hyperlink>
    </w:p>
    <w:p w14:paraId="561F0387" w14:textId="61748814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6" w:history="1">
        <w:r w:rsidRPr="0055425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 xml:space="preserve">Dictionary, new definition of </w:t>
        </w:r>
        <w:r w:rsidRPr="00554257">
          <w:rPr>
            <w:i/>
          </w:rPr>
          <w:t>code of conduct</w:t>
        </w:r>
        <w:r>
          <w:tab/>
        </w:r>
        <w:r>
          <w:fldChar w:fldCharType="begin"/>
        </w:r>
        <w:r>
          <w:instrText xml:space="preserve"> PAGEREF _Toc130475986 \h </w:instrText>
        </w:r>
        <w:r>
          <w:fldChar w:fldCharType="separate"/>
        </w:r>
        <w:r w:rsidR="00D741F4">
          <w:t>22</w:t>
        </w:r>
        <w:r>
          <w:fldChar w:fldCharType="end"/>
        </w:r>
      </w:hyperlink>
    </w:p>
    <w:p w14:paraId="7ED72B0E" w14:textId="50008E32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7" w:history="1">
        <w:r w:rsidRPr="0055425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 xml:space="preserve">Dictionary, definition of </w:t>
        </w:r>
        <w:r w:rsidRPr="00554257">
          <w:rPr>
            <w:i/>
          </w:rPr>
          <w:t>complaint</w:t>
        </w:r>
        <w:r w:rsidRPr="00554257">
          <w:t>, new paragraph (c)</w:t>
        </w:r>
        <w:r>
          <w:tab/>
        </w:r>
        <w:r>
          <w:fldChar w:fldCharType="begin"/>
        </w:r>
        <w:r>
          <w:instrText xml:space="preserve"> PAGEREF _Toc130475987 \h </w:instrText>
        </w:r>
        <w:r>
          <w:fldChar w:fldCharType="separate"/>
        </w:r>
        <w:r w:rsidR="00D741F4">
          <w:t>22</w:t>
        </w:r>
        <w:r>
          <w:fldChar w:fldCharType="end"/>
        </w:r>
      </w:hyperlink>
    </w:p>
    <w:p w14:paraId="1F9BB033" w14:textId="20875C64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8" w:history="1">
        <w:r w:rsidRPr="00554257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Dictionary, new definitions</w:t>
        </w:r>
        <w:r>
          <w:tab/>
        </w:r>
        <w:r>
          <w:fldChar w:fldCharType="begin"/>
        </w:r>
        <w:r>
          <w:instrText xml:space="preserve"> PAGEREF _Toc130475988 \h </w:instrText>
        </w:r>
        <w:r>
          <w:fldChar w:fldCharType="separate"/>
        </w:r>
        <w:r w:rsidR="00D741F4">
          <w:t>22</w:t>
        </w:r>
        <w:r>
          <w:fldChar w:fldCharType="end"/>
        </w:r>
      </w:hyperlink>
    </w:p>
    <w:p w14:paraId="32C34E99" w14:textId="32A5E31D" w:rsidR="00E459B3" w:rsidRDefault="007F1814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75989" w:history="1">
        <w:r w:rsidR="00E459B3" w:rsidRPr="00554257">
          <w:t>Schedule 1</w:t>
        </w:r>
        <w:r w:rsidR="00E459B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459B3" w:rsidRPr="00554257">
          <w:t>New Human Rights Commission Regulation</w:t>
        </w:r>
        <w:r w:rsidR="00E459B3">
          <w:tab/>
        </w:r>
        <w:r w:rsidR="00E459B3" w:rsidRPr="00E459B3">
          <w:rPr>
            <w:b w:val="0"/>
            <w:sz w:val="20"/>
          </w:rPr>
          <w:fldChar w:fldCharType="begin"/>
        </w:r>
        <w:r w:rsidR="00E459B3" w:rsidRPr="00E459B3">
          <w:rPr>
            <w:b w:val="0"/>
            <w:sz w:val="20"/>
          </w:rPr>
          <w:instrText xml:space="preserve"> PAGEREF _Toc130475989 \h </w:instrText>
        </w:r>
        <w:r w:rsidR="00E459B3" w:rsidRPr="00E459B3">
          <w:rPr>
            <w:b w:val="0"/>
            <w:sz w:val="20"/>
          </w:rPr>
        </w:r>
        <w:r w:rsidR="00E459B3" w:rsidRPr="00E459B3">
          <w:rPr>
            <w:b w:val="0"/>
            <w:sz w:val="20"/>
          </w:rPr>
          <w:fldChar w:fldCharType="separate"/>
        </w:r>
        <w:r w:rsidR="00D741F4">
          <w:rPr>
            <w:b w:val="0"/>
            <w:sz w:val="20"/>
          </w:rPr>
          <w:t>24</w:t>
        </w:r>
        <w:r w:rsidR="00E459B3" w:rsidRPr="00E459B3">
          <w:rPr>
            <w:b w:val="0"/>
            <w:sz w:val="20"/>
          </w:rPr>
          <w:fldChar w:fldCharType="end"/>
        </w:r>
      </w:hyperlink>
    </w:p>
    <w:p w14:paraId="7FBF198B" w14:textId="09AB14A8" w:rsidR="00975578" w:rsidRPr="007F6445" w:rsidRDefault="00E459B3" w:rsidP="00975578">
      <w:pPr>
        <w:pStyle w:val="BillBasic"/>
      </w:pPr>
      <w:r>
        <w:fldChar w:fldCharType="end"/>
      </w:r>
    </w:p>
    <w:p w14:paraId="120C6E99" w14:textId="77777777" w:rsidR="00E459B3" w:rsidRDefault="00E459B3">
      <w:pPr>
        <w:pStyle w:val="01Contents"/>
        <w:sectPr w:rsidR="00E459B3" w:rsidSect="003049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B0A14B3" w14:textId="77777777" w:rsidR="0030498E" w:rsidRDefault="0030498E" w:rsidP="00C34C6C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39988A6" wp14:editId="241C1F26">
            <wp:extent cx="1333500" cy="1181100"/>
            <wp:effectExtent l="19050" t="0" r="0" b="0"/>
            <wp:docPr id="3" name="Picture 3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8EF85" w14:textId="77777777" w:rsidR="0030498E" w:rsidRDefault="0030498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7C29866" w14:textId="4F97CC7A" w:rsidR="00975578" w:rsidRPr="007F6445" w:rsidRDefault="0030498E" w:rsidP="00E459B3">
      <w:pPr>
        <w:pStyle w:val="Billname"/>
        <w:suppressLineNumbers/>
      </w:pPr>
      <w:bookmarkStart w:id="0" w:name="citation"/>
      <w:r>
        <w:t>Human Rights Commission Amendment Act 2023</w:t>
      </w:r>
      <w:bookmarkEnd w:id="0"/>
    </w:p>
    <w:p w14:paraId="2F5D5F04" w14:textId="3892A8A7" w:rsidR="00975578" w:rsidRPr="007F6445" w:rsidRDefault="00797B26" w:rsidP="00E459B3">
      <w:pPr>
        <w:pStyle w:val="ActNo"/>
        <w:suppressLineNumbers/>
      </w:pPr>
      <w:r w:rsidRPr="007F6445">
        <w:fldChar w:fldCharType="begin"/>
      </w:r>
      <w:r w:rsidR="00975578" w:rsidRPr="007F6445">
        <w:instrText xml:space="preserve"> DOCPROPERTY "Category"  \* MERGEFORMAT </w:instrText>
      </w:r>
      <w:r w:rsidRPr="007F6445">
        <w:fldChar w:fldCharType="separate"/>
      </w:r>
      <w:r w:rsidR="00682FD8">
        <w:t>A2023-29</w:t>
      </w:r>
      <w:r w:rsidRPr="007F6445">
        <w:fldChar w:fldCharType="end"/>
      </w:r>
    </w:p>
    <w:p w14:paraId="2C12EDC0" w14:textId="77777777" w:rsidR="00975578" w:rsidRPr="007F6445" w:rsidRDefault="00975578" w:rsidP="00E459B3">
      <w:pPr>
        <w:pStyle w:val="N-line3"/>
        <w:suppressLineNumbers/>
      </w:pPr>
    </w:p>
    <w:p w14:paraId="0E27253A" w14:textId="1CAA5EEF" w:rsidR="00975578" w:rsidRPr="007F6445" w:rsidRDefault="00975578" w:rsidP="00E459B3">
      <w:pPr>
        <w:pStyle w:val="LongTitle"/>
        <w:suppressLineNumbers/>
      </w:pPr>
      <w:r w:rsidRPr="007F6445">
        <w:t xml:space="preserve">An Act to amend the </w:t>
      </w:r>
      <w:bookmarkStart w:id="1" w:name="AmCitation"/>
      <w:r w:rsidR="00DB0430" w:rsidRPr="00DB0430">
        <w:rPr>
          <w:rStyle w:val="charCitHyperlinkItal"/>
        </w:rPr>
        <w:fldChar w:fldCharType="begin"/>
      </w:r>
      <w:r w:rsidR="00DB0430">
        <w:rPr>
          <w:rStyle w:val="charCitHyperlinkItal"/>
        </w:rPr>
        <w:instrText>HYPERLINK "http://www.legislation.act.gov.au/a/2005-40" \o "A2005-40"</w:instrText>
      </w:r>
      <w:r w:rsidR="00DB0430" w:rsidRPr="00DB0430">
        <w:rPr>
          <w:rStyle w:val="charCitHyperlinkItal"/>
        </w:rPr>
      </w:r>
      <w:r w:rsidR="00DB0430" w:rsidRPr="00DB0430">
        <w:rPr>
          <w:rStyle w:val="charCitHyperlinkItal"/>
        </w:rPr>
        <w:fldChar w:fldCharType="separate"/>
      </w:r>
      <w:r w:rsidR="00DB0430" w:rsidRPr="00DB0430">
        <w:rPr>
          <w:rStyle w:val="charCitHyperlinkItal"/>
        </w:rPr>
        <w:t>Human Rights Commission Act 2005</w:t>
      </w:r>
      <w:r w:rsidR="00DB0430" w:rsidRPr="00DB0430">
        <w:rPr>
          <w:rStyle w:val="charCitHyperlinkItal"/>
        </w:rPr>
        <w:fldChar w:fldCharType="end"/>
      </w:r>
      <w:bookmarkEnd w:id="1"/>
      <w:r w:rsidRPr="007F6445">
        <w:t>, and for other purposes</w:t>
      </w:r>
    </w:p>
    <w:p w14:paraId="0ECBEC07" w14:textId="77777777" w:rsidR="00975578" w:rsidRPr="007F6445" w:rsidRDefault="00975578" w:rsidP="00E459B3">
      <w:pPr>
        <w:pStyle w:val="N-line3"/>
        <w:suppressLineNumbers/>
      </w:pPr>
    </w:p>
    <w:p w14:paraId="402A86BC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ontents"/>
          <w:sz w:val="16"/>
        </w:rPr>
        <w:t xml:space="preserve">  </w:t>
      </w:r>
      <w:r w:rsidRPr="007F6445">
        <w:rPr>
          <w:rStyle w:val="charPage"/>
        </w:rPr>
        <w:t xml:space="preserve">  </w:t>
      </w:r>
    </w:p>
    <w:p w14:paraId="3A7FAAFF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hapNo"/>
        </w:rPr>
        <w:t xml:space="preserve">  </w:t>
      </w:r>
      <w:r w:rsidRPr="007F6445">
        <w:rPr>
          <w:rStyle w:val="CharChapText"/>
        </w:rPr>
        <w:t xml:space="preserve">  </w:t>
      </w:r>
    </w:p>
    <w:p w14:paraId="4ECFC42A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PartNo"/>
        </w:rPr>
        <w:t xml:space="preserve">  </w:t>
      </w:r>
      <w:r w:rsidRPr="007F6445">
        <w:rPr>
          <w:rStyle w:val="CharPartText"/>
        </w:rPr>
        <w:t xml:space="preserve">  </w:t>
      </w:r>
    </w:p>
    <w:p w14:paraId="13A55CB2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DivNo"/>
        </w:rPr>
        <w:t xml:space="preserve">  </w:t>
      </w:r>
      <w:r w:rsidRPr="007F6445">
        <w:rPr>
          <w:rStyle w:val="CharDivText"/>
        </w:rPr>
        <w:t xml:space="preserve">  </w:t>
      </w:r>
    </w:p>
    <w:p w14:paraId="49E1DF8C" w14:textId="77777777" w:rsidR="00975578" w:rsidRPr="00DB0430" w:rsidRDefault="00975578" w:rsidP="00E459B3">
      <w:pPr>
        <w:pStyle w:val="Notified"/>
        <w:suppressLineNumbers/>
      </w:pPr>
    </w:p>
    <w:p w14:paraId="7949D140" w14:textId="77777777" w:rsidR="00975578" w:rsidRPr="007F6445" w:rsidRDefault="00975578" w:rsidP="00E459B3">
      <w:pPr>
        <w:pStyle w:val="EnactingWords"/>
        <w:suppressLineNumbers/>
      </w:pPr>
      <w:r w:rsidRPr="007F6445">
        <w:t>The Legislative Assembly for the Australian Capital Territory enacts as follows:</w:t>
      </w:r>
    </w:p>
    <w:p w14:paraId="1FED8AD3" w14:textId="77777777" w:rsidR="00975578" w:rsidRPr="007F6445" w:rsidRDefault="00975578" w:rsidP="00E459B3">
      <w:pPr>
        <w:pStyle w:val="PageBreak"/>
        <w:suppressLineNumbers/>
      </w:pPr>
      <w:r w:rsidRPr="007F6445">
        <w:br w:type="page"/>
      </w:r>
    </w:p>
    <w:p w14:paraId="76F37CD1" w14:textId="3A70BCEC" w:rsidR="0044269E" w:rsidRPr="007F6445" w:rsidRDefault="00E459B3" w:rsidP="00E459B3">
      <w:pPr>
        <w:pStyle w:val="AH5Sec"/>
        <w:shd w:val="pct25" w:color="auto" w:fill="auto"/>
      </w:pPr>
      <w:bookmarkStart w:id="2" w:name="_Toc130475972"/>
      <w:r w:rsidRPr="00E459B3">
        <w:rPr>
          <w:rStyle w:val="CharSectNo"/>
        </w:rPr>
        <w:lastRenderedPageBreak/>
        <w:t>1</w:t>
      </w:r>
      <w:r w:rsidRPr="007F6445">
        <w:tab/>
      </w:r>
      <w:r w:rsidR="0044269E" w:rsidRPr="007F6445">
        <w:t>Name of Act</w:t>
      </w:r>
      <w:bookmarkEnd w:id="2"/>
    </w:p>
    <w:p w14:paraId="760858A8" w14:textId="42ED6C54" w:rsidR="0044269E" w:rsidRPr="007F6445" w:rsidRDefault="0044269E" w:rsidP="0044269E">
      <w:pPr>
        <w:pStyle w:val="Amainreturn"/>
      </w:pPr>
      <w:r w:rsidRPr="007F6445">
        <w:t xml:space="preserve">This Act is the </w:t>
      </w:r>
      <w:r w:rsidRPr="007F6445">
        <w:rPr>
          <w:i/>
        </w:rPr>
        <w:fldChar w:fldCharType="begin"/>
      </w:r>
      <w:r w:rsidRPr="007F6445">
        <w:rPr>
          <w:i/>
        </w:rPr>
        <w:instrText xml:space="preserve"> TITLE</w:instrText>
      </w:r>
      <w:r w:rsidRPr="007F6445">
        <w:rPr>
          <w:i/>
        </w:rPr>
        <w:fldChar w:fldCharType="separate"/>
      </w:r>
      <w:r w:rsidR="00682FD8">
        <w:rPr>
          <w:i/>
        </w:rPr>
        <w:t>Human Rights Commission Amendment Act 2023</w:t>
      </w:r>
      <w:r w:rsidRPr="007F6445">
        <w:rPr>
          <w:i/>
        </w:rPr>
        <w:fldChar w:fldCharType="end"/>
      </w:r>
      <w:r w:rsidRPr="007F6445">
        <w:t>.</w:t>
      </w:r>
    </w:p>
    <w:p w14:paraId="393E1340" w14:textId="2D128478" w:rsidR="0044269E" w:rsidRPr="007F6445" w:rsidRDefault="00E459B3" w:rsidP="00E459B3">
      <w:pPr>
        <w:pStyle w:val="AH5Sec"/>
        <w:shd w:val="pct25" w:color="auto" w:fill="auto"/>
      </w:pPr>
      <w:bookmarkStart w:id="3" w:name="_Toc130475973"/>
      <w:r w:rsidRPr="00E459B3">
        <w:rPr>
          <w:rStyle w:val="CharSectNo"/>
        </w:rPr>
        <w:t>2</w:t>
      </w:r>
      <w:r w:rsidRPr="007F6445">
        <w:tab/>
      </w:r>
      <w:r w:rsidR="0044269E" w:rsidRPr="007F6445">
        <w:t>Commencement</w:t>
      </w:r>
      <w:bookmarkEnd w:id="3"/>
    </w:p>
    <w:p w14:paraId="1D755F96" w14:textId="00F3A454" w:rsidR="0044269E" w:rsidRPr="007F6445" w:rsidRDefault="00E459B3" w:rsidP="00E459B3">
      <w:pPr>
        <w:pStyle w:val="Amain"/>
        <w:keepNext/>
      </w:pPr>
      <w:r>
        <w:tab/>
      </w:r>
      <w:r w:rsidRPr="007F6445">
        <w:t>(1)</w:t>
      </w:r>
      <w:r w:rsidRPr="007F6445">
        <w:tab/>
      </w:r>
      <w:r w:rsidR="0044269E" w:rsidRPr="007F6445">
        <w:t xml:space="preserve">This Act </w:t>
      </w:r>
      <w:r w:rsidR="00106DF1" w:rsidRPr="007F6445">
        <w:t xml:space="preserve">(other than section 4) </w:t>
      </w:r>
      <w:r w:rsidR="0044269E" w:rsidRPr="007F6445">
        <w:t>commences on a day fixed by the Minister by written notice.</w:t>
      </w:r>
    </w:p>
    <w:p w14:paraId="3AE0AF18" w14:textId="23856C14" w:rsidR="0044269E" w:rsidRPr="007F6445" w:rsidRDefault="0044269E" w:rsidP="00E459B3">
      <w:pPr>
        <w:pStyle w:val="aNote"/>
        <w:keepNext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The naming and commencement provisions automatically commence on the notification day (see </w:t>
      </w:r>
      <w:hyperlink r:id="rId15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75 (1)).</w:t>
      </w:r>
    </w:p>
    <w:p w14:paraId="58AA0EFF" w14:textId="3D78F8AD" w:rsidR="0044269E" w:rsidRPr="007F6445" w:rsidRDefault="0044269E" w:rsidP="00E459B3">
      <w:pPr>
        <w:pStyle w:val="aNote"/>
        <w:keepNext/>
      </w:pPr>
      <w:r w:rsidRPr="00DB0430">
        <w:rPr>
          <w:rStyle w:val="charItals"/>
        </w:rPr>
        <w:t>Note 2</w:t>
      </w:r>
      <w:r w:rsidRPr="00DB0430">
        <w:rPr>
          <w:rStyle w:val="charItals"/>
        </w:rPr>
        <w:tab/>
      </w:r>
      <w:r w:rsidRPr="007F6445">
        <w:t xml:space="preserve">A single day or time may be fixed, or different days or times may be fixed, for the commencement of different provisions (see </w:t>
      </w:r>
      <w:hyperlink r:id="rId16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77</w:t>
      </w:r>
      <w:r w:rsidR="005F2291" w:rsidRPr="007F6445">
        <w:t xml:space="preserve"> </w:t>
      </w:r>
      <w:r w:rsidRPr="007F6445">
        <w:t>(1)).</w:t>
      </w:r>
    </w:p>
    <w:p w14:paraId="0F0E4054" w14:textId="5696C1E2" w:rsidR="0044269E" w:rsidRPr="007F6445" w:rsidRDefault="0044269E" w:rsidP="0044269E">
      <w:pPr>
        <w:pStyle w:val="aNote"/>
      </w:pPr>
      <w:r w:rsidRPr="00DB0430">
        <w:rPr>
          <w:rStyle w:val="charItals"/>
        </w:rPr>
        <w:t>Note 3</w:t>
      </w:r>
      <w:r w:rsidRPr="00DB0430">
        <w:rPr>
          <w:rStyle w:val="charItals"/>
        </w:rPr>
        <w:tab/>
      </w:r>
      <w:r w:rsidRPr="007F6445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79).</w:t>
      </w:r>
    </w:p>
    <w:p w14:paraId="156A6B6E" w14:textId="040D5DF3" w:rsidR="00106DF1" w:rsidRPr="007F6445" w:rsidRDefault="00E459B3" w:rsidP="00E459B3">
      <w:pPr>
        <w:pStyle w:val="Amain"/>
      </w:pPr>
      <w:r>
        <w:tab/>
      </w:r>
      <w:r w:rsidRPr="007F6445">
        <w:t>(2)</w:t>
      </w:r>
      <w:r w:rsidRPr="007F6445">
        <w:tab/>
      </w:r>
      <w:r w:rsidR="00106DF1" w:rsidRPr="007F6445">
        <w:t>Section 4 commences on this Act’s notification day.</w:t>
      </w:r>
    </w:p>
    <w:p w14:paraId="30C69B60" w14:textId="3E4C0458" w:rsidR="0044269E" w:rsidRPr="007F6445" w:rsidRDefault="00E459B3" w:rsidP="00E459B3">
      <w:pPr>
        <w:pStyle w:val="AH5Sec"/>
        <w:shd w:val="pct25" w:color="auto" w:fill="auto"/>
      </w:pPr>
      <w:bookmarkStart w:id="4" w:name="_Toc130475974"/>
      <w:r w:rsidRPr="00E459B3">
        <w:rPr>
          <w:rStyle w:val="CharSectNo"/>
        </w:rPr>
        <w:t>3</w:t>
      </w:r>
      <w:r w:rsidRPr="007F6445">
        <w:tab/>
      </w:r>
      <w:r w:rsidR="0044269E" w:rsidRPr="007F6445">
        <w:t>Legislation amended</w:t>
      </w:r>
      <w:bookmarkEnd w:id="4"/>
    </w:p>
    <w:p w14:paraId="4E4388F1" w14:textId="31D7B71B" w:rsidR="0044269E" w:rsidRPr="007F6445" w:rsidRDefault="0044269E" w:rsidP="0044269E">
      <w:pPr>
        <w:pStyle w:val="Amainreturn"/>
      </w:pPr>
      <w:r w:rsidRPr="007F6445">
        <w:t xml:space="preserve">This Act amends the </w:t>
      </w:r>
      <w:hyperlink r:id="rId18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Pr="007F6445">
        <w:t>.</w:t>
      </w:r>
    </w:p>
    <w:p w14:paraId="0FE961F1" w14:textId="26C3BD90" w:rsidR="0044269E" w:rsidRPr="007F6445" w:rsidRDefault="00E459B3" w:rsidP="00E459B3">
      <w:pPr>
        <w:pStyle w:val="AH5Sec"/>
        <w:shd w:val="pct25" w:color="auto" w:fill="auto"/>
      </w:pPr>
      <w:bookmarkStart w:id="5" w:name="_Toc130475975"/>
      <w:r w:rsidRPr="00E459B3">
        <w:rPr>
          <w:rStyle w:val="CharSectNo"/>
        </w:rPr>
        <w:t>4</w:t>
      </w:r>
      <w:r w:rsidRPr="007F6445">
        <w:tab/>
      </w:r>
      <w:r w:rsidR="00015D6C" w:rsidRPr="007F6445">
        <w:t xml:space="preserve">New </w:t>
      </w:r>
      <w:r w:rsidR="0044269E" w:rsidRPr="007F6445">
        <w:t>Human Rights Commission Regulation—sch 1</w:t>
      </w:r>
      <w:bookmarkEnd w:id="5"/>
    </w:p>
    <w:p w14:paraId="4C2CAE41" w14:textId="5B374639" w:rsidR="0088737E" w:rsidRDefault="00E459B3" w:rsidP="00E459B3">
      <w:pPr>
        <w:pStyle w:val="Amain"/>
      </w:pPr>
      <w:r>
        <w:tab/>
        <w:t>(1)</w:t>
      </w:r>
      <w:r>
        <w:tab/>
      </w:r>
      <w:r w:rsidR="0044269E" w:rsidRPr="007F6445">
        <w:t xml:space="preserve">The provisions set out in schedule 1 are taken to be a regulation made under the </w:t>
      </w:r>
      <w:hyperlink r:id="rId19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="0044269E" w:rsidRPr="007F6445">
        <w:t xml:space="preserve">, section </w:t>
      </w:r>
      <w:r w:rsidR="0044269E" w:rsidRPr="007F6445">
        <w:rPr>
          <w:lang w:eastAsia="en-AU"/>
        </w:rPr>
        <w:t>105</w:t>
      </w:r>
      <w:r w:rsidR="0044269E" w:rsidRPr="007F6445">
        <w:t>.</w:t>
      </w:r>
    </w:p>
    <w:p w14:paraId="647356AC" w14:textId="7518F3A7" w:rsidR="0044269E" w:rsidRPr="007F6445" w:rsidRDefault="00E459B3" w:rsidP="00E459B3">
      <w:pPr>
        <w:pStyle w:val="Amain"/>
      </w:pPr>
      <w:r>
        <w:tab/>
      </w:r>
      <w:r w:rsidRPr="007F6445">
        <w:t>(2)</w:t>
      </w:r>
      <w:r w:rsidRPr="007F6445">
        <w:tab/>
      </w:r>
      <w:r w:rsidR="0044269E" w:rsidRPr="007F6445">
        <w:t>The regulation—</w:t>
      </w:r>
    </w:p>
    <w:p w14:paraId="37D0DF73" w14:textId="480C3CED" w:rsidR="0044269E" w:rsidRPr="007F6445" w:rsidRDefault="00E459B3" w:rsidP="00E459B3">
      <w:pPr>
        <w:pStyle w:val="Apara"/>
      </w:pPr>
      <w:r>
        <w:tab/>
      </w:r>
      <w:r w:rsidRPr="007F6445">
        <w:t>(a)</w:t>
      </w:r>
      <w:r w:rsidRPr="007F6445">
        <w:tab/>
      </w:r>
      <w:r w:rsidR="0044269E" w:rsidRPr="007F6445">
        <w:t xml:space="preserve">is taken to be notified under the </w:t>
      </w:r>
      <w:hyperlink r:id="rId20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 xml:space="preserve"> on the day this Act is notified; and</w:t>
      </w:r>
    </w:p>
    <w:p w14:paraId="631905E2" w14:textId="22383A20" w:rsidR="0044269E" w:rsidRPr="007F6445" w:rsidRDefault="00E459B3" w:rsidP="00E459B3">
      <w:pPr>
        <w:pStyle w:val="Apara"/>
      </w:pPr>
      <w:r>
        <w:tab/>
      </w:r>
      <w:r w:rsidRPr="007F6445">
        <w:t>(b)</w:t>
      </w:r>
      <w:r w:rsidRPr="007F6445">
        <w:tab/>
      </w:r>
      <w:r w:rsidR="001B192E" w:rsidRPr="007F6445">
        <w:t>(other than sections 5 (b) and 6</w:t>
      </w:r>
      <w:r w:rsidR="007F6445">
        <w:t xml:space="preserve"> </w:t>
      </w:r>
      <w:r w:rsidR="001B192E" w:rsidRPr="007F6445">
        <w:t xml:space="preserve">(b)) </w:t>
      </w:r>
      <w:r w:rsidR="0044269E" w:rsidRPr="007F6445">
        <w:t xml:space="preserve">commences on the commencement of </w:t>
      </w:r>
      <w:r w:rsidR="003D0180" w:rsidRPr="007F6445">
        <w:t>schedule 1</w:t>
      </w:r>
      <w:r w:rsidR="0044269E" w:rsidRPr="007F6445">
        <w:t>; and</w:t>
      </w:r>
    </w:p>
    <w:p w14:paraId="52039767" w14:textId="05D9C07C" w:rsidR="0044269E" w:rsidRPr="007F6445" w:rsidRDefault="00E459B3" w:rsidP="00E459B3">
      <w:pPr>
        <w:pStyle w:val="Apara"/>
      </w:pPr>
      <w:r>
        <w:tab/>
      </w:r>
      <w:r w:rsidRPr="007F6445">
        <w:t>(c)</w:t>
      </w:r>
      <w:r w:rsidRPr="007F6445">
        <w:tab/>
      </w:r>
      <w:r w:rsidR="0044269E" w:rsidRPr="007F6445">
        <w:t xml:space="preserve">is not required to be presented to the Legislative Assembly under the </w:t>
      </w:r>
      <w:hyperlink r:id="rId21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>, section 64 (1); and</w:t>
      </w:r>
    </w:p>
    <w:p w14:paraId="6ED41E43" w14:textId="37867017" w:rsidR="0044269E" w:rsidRPr="007F6445" w:rsidRDefault="00E459B3" w:rsidP="00E459B3">
      <w:pPr>
        <w:pStyle w:val="Apara"/>
      </w:pPr>
      <w:r>
        <w:lastRenderedPageBreak/>
        <w:tab/>
      </w:r>
      <w:r w:rsidRPr="007F6445">
        <w:t>(d)</w:t>
      </w:r>
      <w:r w:rsidRPr="007F6445">
        <w:tab/>
      </w:r>
      <w:r w:rsidR="0044269E" w:rsidRPr="007F6445">
        <w:t xml:space="preserve">may be amended or repealed as if it had been made under the </w:t>
      </w:r>
      <w:hyperlink r:id="rId22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="0044269E" w:rsidRPr="007F6445">
        <w:t>, section</w:t>
      </w:r>
      <w:r w:rsidR="005F2291" w:rsidRPr="007F6445">
        <w:t xml:space="preserve"> </w:t>
      </w:r>
      <w:r w:rsidR="0044269E" w:rsidRPr="007F6445">
        <w:rPr>
          <w:lang w:eastAsia="en-AU"/>
        </w:rPr>
        <w:t>105</w:t>
      </w:r>
      <w:r w:rsidR="0044269E" w:rsidRPr="007F6445">
        <w:t>.</w:t>
      </w:r>
    </w:p>
    <w:p w14:paraId="707858C0" w14:textId="29071BD0" w:rsidR="001B192E" w:rsidRPr="007F6445" w:rsidRDefault="00E459B3" w:rsidP="00E459B3">
      <w:pPr>
        <w:pStyle w:val="Amain"/>
        <w:keepNext/>
      </w:pPr>
      <w:r>
        <w:tab/>
      </w:r>
      <w:r w:rsidRPr="007F6445">
        <w:t>(3)</w:t>
      </w:r>
      <w:r w:rsidRPr="007F6445">
        <w:tab/>
      </w:r>
      <w:r w:rsidR="001B192E" w:rsidRPr="007F6445">
        <w:t>The regulation, sections 5 (b) and 6 (b) commence on a day fixed by the Minister by written notice.</w:t>
      </w:r>
    </w:p>
    <w:p w14:paraId="07A50104" w14:textId="43AB65AA" w:rsidR="002119E2" w:rsidRPr="007F6445" w:rsidRDefault="002119E2" w:rsidP="00E459B3">
      <w:pPr>
        <w:pStyle w:val="aNote"/>
        <w:keepNext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A single day or time may be fixed, or different days or times may be fixed, for the commencement of different provisions (see </w:t>
      </w:r>
      <w:hyperlink r:id="rId2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77 (1)).</w:t>
      </w:r>
    </w:p>
    <w:p w14:paraId="6024AEB9" w14:textId="2F65692B" w:rsidR="002119E2" w:rsidRPr="007F6445" w:rsidRDefault="002119E2" w:rsidP="002119E2">
      <w:pPr>
        <w:pStyle w:val="aNote"/>
      </w:pPr>
      <w:r w:rsidRPr="00DB0430">
        <w:rPr>
          <w:rStyle w:val="charItals"/>
        </w:rPr>
        <w:t>Note 2</w:t>
      </w:r>
      <w:r w:rsidRPr="00DB0430">
        <w:rPr>
          <w:rStyle w:val="charItals"/>
        </w:rPr>
        <w:tab/>
      </w:r>
      <w:r w:rsidRPr="007F6445">
        <w:t xml:space="preserve">If a provision has not commenced within 6 months beginning on the notification day, it automatically commences on the first day after that period (see </w:t>
      </w:r>
      <w:hyperlink r:id="rId24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79).</w:t>
      </w:r>
    </w:p>
    <w:p w14:paraId="5A99D3FE" w14:textId="38284A68" w:rsidR="0044269E" w:rsidRPr="007F6445" w:rsidRDefault="00E459B3" w:rsidP="00E459B3">
      <w:pPr>
        <w:pStyle w:val="Amain"/>
      </w:pPr>
      <w:r>
        <w:tab/>
      </w:r>
      <w:r w:rsidRPr="007F6445">
        <w:t>(4)</w:t>
      </w:r>
      <w:r w:rsidRPr="007F6445">
        <w:tab/>
      </w:r>
      <w:r w:rsidR="0044269E" w:rsidRPr="007F6445">
        <w:t xml:space="preserve">This Act is taken to be an amending law for the </w:t>
      </w:r>
      <w:hyperlink r:id="rId25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>, section 89 (Automatic repeal of certain laws and provisions) despite this section not being a provision mentioned in section</w:t>
      </w:r>
      <w:r w:rsidR="000D3570">
        <w:t> </w:t>
      </w:r>
      <w:r w:rsidR="0044269E" w:rsidRPr="007F6445">
        <w:t>89</w:t>
      </w:r>
      <w:r w:rsidR="000D3570">
        <w:t> </w:t>
      </w:r>
      <w:r w:rsidR="0044269E" w:rsidRPr="007F6445">
        <w:t xml:space="preserve">(12), definition of </w:t>
      </w:r>
      <w:r w:rsidR="0044269E" w:rsidRPr="00DB0430">
        <w:rPr>
          <w:rStyle w:val="charBoldItals"/>
        </w:rPr>
        <w:t>amending law</w:t>
      </w:r>
      <w:r w:rsidR="0044269E" w:rsidRPr="007F6445">
        <w:t>.</w:t>
      </w:r>
    </w:p>
    <w:p w14:paraId="5A66A797" w14:textId="5BCDAF65" w:rsidR="0044269E" w:rsidRPr="007F6445" w:rsidRDefault="00E459B3" w:rsidP="00E459B3">
      <w:pPr>
        <w:pStyle w:val="AH5Sec"/>
        <w:shd w:val="pct25" w:color="auto" w:fill="auto"/>
      </w:pPr>
      <w:bookmarkStart w:id="6" w:name="_Toc130475976"/>
      <w:r w:rsidRPr="00E459B3">
        <w:rPr>
          <w:rStyle w:val="CharSectNo"/>
        </w:rPr>
        <w:t>5</w:t>
      </w:r>
      <w:r w:rsidRPr="007F6445">
        <w:tab/>
      </w:r>
      <w:r w:rsidR="0044269E" w:rsidRPr="007F6445">
        <w:t>When may someone complain about a health service?</w:t>
      </w:r>
      <w:r w:rsidR="0044269E" w:rsidRPr="007F6445">
        <w:br/>
        <w:t>New section 39 (1) (b) (iia)</w:t>
      </w:r>
      <w:bookmarkEnd w:id="6"/>
    </w:p>
    <w:p w14:paraId="2F383069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6F60FDE9" w14:textId="55BFC990" w:rsidR="003C09F0" w:rsidRPr="007F6445" w:rsidRDefault="0044269E" w:rsidP="00D00CAE">
      <w:pPr>
        <w:pStyle w:val="Isubpara"/>
      </w:pPr>
      <w:r w:rsidRPr="007F6445">
        <w:tab/>
        <w:t>(iia)</w:t>
      </w:r>
      <w:r w:rsidRPr="007F6445">
        <w:tab/>
        <w:t xml:space="preserve">the health care worker code of conduct prescribed under section </w:t>
      </w:r>
      <w:r w:rsidR="00311A51" w:rsidRPr="007F6445">
        <w:t>94</w:t>
      </w:r>
      <w:r w:rsidR="00106DF1" w:rsidRPr="007F6445">
        <w:t>C</w:t>
      </w:r>
      <w:r w:rsidRPr="007F6445">
        <w:t>;</w:t>
      </w:r>
    </w:p>
    <w:p w14:paraId="57B225F9" w14:textId="48756C6F" w:rsidR="00ED5272" w:rsidRPr="007F6445" w:rsidRDefault="00E459B3" w:rsidP="00E459B3">
      <w:pPr>
        <w:pStyle w:val="AH5Sec"/>
        <w:shd w:val="pct25" w:color="auto" w:fill="auto"/>
      </w:pPr>
      <w:bookmarkStart w:id="7" w:name="_Toc130475977"/>
      <w:r w:rsidRPr="00E459B3">
        <w:rPr>
          <w:rStyle w:val="CharSectNo"/>
        </w:rPr>
        <w:t>6</w:t>
      </w:r>
      <w:r w:rsidRPr="007F6445">
        <w:tab/>
      </w:r>
      <w:r w:rsidR="00ED5272" w:rsidRPr="007F6445">
        <w:t>Purpose of considering complaints</w:t>
      </w:r>
      <w:r w:rsidR="00ED5272" w:rsidRPr="007F6445">
        <w:br/>
      </w:r>
      <w:r w:rsidR="002703A0" w:rsidRPr="007F6445">
        <w:t>Section 69</w:t>
      </w:r>
      <w:bookmarkEnd w:id="7"/>
    </w:p>
    <w:p w14:paraId="740F6B8E" w14:textId="10DB7E62" w:rsidR="0017789F" w:rsidRPr="007F6445" w:rsidRDefault="0017789F" w:rsidP="0017789F">
      <w:pPr>
        <w:pStyle w:val="direction"/>
      </w:pPr>
      <w:r w:rsidRPr="007F6445">
        <w:t>omit</w:t>
      </w:r>
    </w:p>
    <w:p w14:paraId="4F8C1FA3" w14:textId="1365FAD6" w:rsidR="0017789F" w:rsidRPr="007F6445" w:rsidRDefault="002119E2" w:rsidP="0017789F">
      <w:pPr>
        <w:pStyle w:val="Amainreturn"/>
      </w:pPr>
      <w:r w:rsidRPr="007F6445">
        <w:t xml:space="preserve">following </w:t>
      </w:r>
      <w:r w:rsidR="0017789F" w:rsidRPr="007F6445">
        <w:t>3</w:t>
      </w:r>
      <w:r w:rsidRPr="007F6445">
        <w:t xml:space="preserve"> main purposes</w:t>
      </w:r>
    </w:p>
    <w:p w14:paraId="4A549F03" w14:textId="5D46A478" w:rsidR="002119E2" w:rsidRPr="007F6445" w:rsidRDefault="002119E2" w:rsidP="002119E2">
      <w:pPr>
        <w:pStyle w:val="direction"/>
      </w:pPr>
      <w:r w:rsidRPr="007F6445">
        <w:t>substitute</w:t>
      </w:r>
    </w:p>
    <w:p w14:paraId="7A2084C7" w14:textId="5794ADF1" w:rsidR="002119E2" w:rsidRPr="007F6445" w:rsidRDefault="002119E2" w:rsidP="002119E2">
      <w:pPr>
        <w:pStyle w:val="Amainreturn"/>
      </w:pPr>
      <w:r w:rsidRPr="007F6445">
        <w:t>following main purposes</w:t>
      </w:r>
    </w:p>
    <w:p w14:paraId="0FEE2F72" w14:textId="41E9FC00" w:rsidR="0017789F" w:rsidRPr="007F6445" w:rsidRDefault="00E459B3" w:rsidP="00E459B3">
      <w:pPr>
        <w:pStyle w:val="AH5Sec"/>
        <w:shd w:val="pct25" w:color="auto" w:fill="auto"/>
      </w:pPr>
      <w:bookmarkStart w:id="8" w:name="_Toc130475978"/>
      <w:r w:rsidRPr="00E459B3">
        <w:rPr>
          <w:rStyle w:val="CharSectNo"/>
        </w:rPr>
        <w:lastRenderedPageBreak/>
        <w:t>7</w:t>
      </w:r>
      <w:r w:rsidRPr="007F6445">
        <w:tab/>
      </w:r>
      <w:r w:rsidR="00C617B6" w:rsidRPr="007F6445">
        <w:t>New section 69 (d)</w:t>
      </w:r>
      <w:bookmarkEnd w:id="8"/>
    </w:p>
    <w:p w14:paraId="5F3A6F5A" w14:textId="1C0150ED" w:rsidR="00ED5272" w:rsidRPr="007F6445" w:rsidRDefault="00ED5272" w:rsidP="00ED5272">
      <w:pPr>
        <w:pStyle w:val="direction"/>
      </w:pPr>
      <w:r w:rsidRPr="007F6445">
        <w:t>insert</w:t>
      </w:r>
    </w:p>
    <w:p w14:paraId="7D1701D3" w14:textId="2D791C08" w:rsidR="00ED5272" w:rsidRPr="007F6445" w:rsidRDefault="00C617B6" w:rsidP="00C617B6">
      <w:pPr>
        <w:pStyle w:val="Ipara"/>
      </w:pPr>
      <w:r w:rsidRPr="007F6445">
        <w:tab/>
        <w:t>(d)</w:t>
      </w:r>
      <w:r w:rsidRPr="007F6445">
        <w:tab/>
        <w:t xml:space="preserve">for a health service complaint about </w:t>
      </w:r>
      <w:r w:rsidR="00EB15D5" w:rsidRPr="007F6445">
        <w:t>a health care worker a</w:t>
      </w:r>
      <w:r w:rsidRPr="007F6445">
        <w:t xml:space="preserve">cting </w:t>
      </w:r>
      <w:r w:rsidR="00EB15D5" w:rsidRPr="007F6445">
        <w:t>inconsistently with the code of conduct</w:t>
      </w:r>
      <w:r w:rsidRPr="007F6445">
        <w:t>—whether action should be taken against the worker under division 5.3 (Health care worker code of conduct).</w:t>
      </w:r>
    </w:p>
    <w:p w14:paraId="5837805D" w14:textId="786E7E23" w:rsidR="00FF3A34" w:rsidRPr="007F6445" w:rsidRDefault="00E459B3" w:rsidP="00E459B3">
      <w:pPr>
        <w:pStyle w:val="AH5Sec"/>
        <w:shd w:val="pct25" w:color="auto" w:fill="auto"/>
      </w:pPr>
      <w:bookmarkStart w:id="9" w:name="_Toc130475979"/>
      <w:r w:rsidRPr="00E459B3">
        <w:rPr>
          <w:rStyle w:val="CharSectNo"/>
        </w:rPr>
        <w:t>8</w:t>
      </w:r>
      <w:r w:rsidRPr="007F6445">
        <w:tab/>
      </w:r>
      <w:r w:rsidR="00FF3A34" w:rsidRPr="007F6445">
        <w:t>Power to ask for information, documents and other things</w:t>
      </w:r>
      <w:r w:rsidR="00FF3A34" w:rsidRPr="007F6445">
        <w:br/>
        <w:t>Section 73 (4), note 1</w:t>
      </w:r>
      <w:bookmarkEnd w:id="9"/>
    </w:p>
    <w:p w14:paraId="18F07480" w14:textId="5AC6B505" w:rsidR="00FF3A34" w:rsidRPr="007F6445" w:rsidRDefault="00FF3A34" w:rsidP="00FF3A34">
      <w:pPr>
        <w:pStyle w:val="direction"/>
      </w:pPr>
      <w:r w:rsidRPr="007F6445">
        <w:t>substitute</w:t>
      </w:r>
    </w:p>
    <w:p w14:paraId="141B7555" w14:textId="18A65CDB" w:rsidR="00FF3A34" w:rsidRPr="007F6445" w:rsidRDefault="00FF3A34" w:rsidP="00FF3A34">
      <w:pPr>
        <w:pStyle w:val="aNote"/>
        <w:rPr>
          <w:iCs/>
        </w:rPr>
      </w:pPr>
      <w:r w:rsidRPr="00DB0430">
        <w:rPr>
          <w:rStyle w:val="charItals"/>
        </w:rPr>
        <w:t>Note</w:t>
      </w:r>
      <w:r w:rsidR="007F6445" w:rsidRPr="00DB0430">
        <w:rPr>
          <w:rStyle w:val="charItals"/>
        </w:rPr>
        <w:t xml:space="preserve"> </w:t>
      </w:r>
      <w:r w:rsidRPr="00DB0430">
        <w:rPr>
          <w:rStyle w:val="charItals"/>
        </w:rPr>
        <w:t>1</w:t>
      </w:r>
      <w:r w:rsidRPr="00DB0430">
        <w:rPr>
          <w:rStyle w:val="charItals"/>
        </w:rPr>
        <w:tab/>
      </w:r>
      <w:r w:rsidRPr="007F6445">
        <w:rPr>
          <w:iCs/>
        </w:rPr>
        <w:t>See s</w:t>
      </w:r>
      <w:r w:rsidR="007F6445">
        <w:rPr>
          <w:iCs/>
        </w:rPr>
        <w:t xml:space="preserve"> </w:t>
      </w:r>
      <w:r w:rsidRPr="007F6445">
        <w:rPr>
          <w:iCs/>
        </w:rPr>
        <w:t xml:space="preserve">75 for when a person required </w:t>
      </w:r>
      <w:r w:rsidR="00A94CDD" w:rsidRPr="007F6445">
        <w:rPr>
          <w:iCs/>
        </w:rPr>
        <w:t xml:space="preserve">by a notice under this section </w:t>
      </w:r>
      <w:r w:rsidRPr="007F6445">
        <w:rPr>
          <w:iCs/>
        </w:rPr>
        <w:t>to provide information or produce</w:t>
      </w:r>
      <w:r w:rsidR="00A94CDD" w:rsidRPr="007F6445">
        <w:rPr>
          <w:iCs/>
        </w:rPr>
        <w:t xml:space="preserve"> a document or other thing cannot rely on the common law privileges against self-incrimination and exposure to the imposition of a civil penalty.</w:t>
      </w:r>
    </w:p>
    <w:p w14:paraId="564CE0D2" w14:textId="28524D5C" w:rsidR="00A94CDD" w:rsidRPr="007F6445" w:rsidRDefault="00E459B3" w:rsidP="00E459B3">
      <w:pPr>
        <w:pStyle w:val="AH5Sec"/>
        <w:shd w:val="pct25" w:color="auto" w:fill="auto"/>
      </w:pPr>
      <w:bookmarkStart w:id="10" w:name="_Toc130475980"/>
      <w:r w:rsidRPr="00E459B3">
        <w:rPr>
          <w:rStyle w:val="CharSectNo"/>
        </w:rPr>
        <w:t>9</w:t>
      </w:r>
      <w:r w:rsidRPr="007F6445">
        <w:tab/>
      </w:r>
      <w:r w:rsidR="00A94CDD" w:rsidRPr="007F6445">
        <w:t>Requiring attendance etc</w:t>
      </w:r>
      <w:r w:rsidR="00A94CDD" w:rsidRPr="007F6445">
        <w:br/>
        <w:t>Section 74 (7), note 1</w:t>
      </w:r>
      <w:bookmarkEnd w:id="10"/>
    </w:p>
    <w:p w14:paraId="5C4C8301" w14:textId="0F0A7265" w:rsidR="00A94CDD" w:rsidRPr="007F6445" w:rsidRDefault="00A94CDD" w:rsidP="00A94CDD">
      <w:pPr>
        <w:pStyle w:val="direction"/>
      </w:pPr>
      <w:r w:rsidRPr="007F6445">
        <w:t>substitute</w:t>
      </w:r>
    </w:p>
    <w:p w14:paraId="5F5F34CF" w14:textId="2AE69E45" w:rsidR="00A94CDD" w:rsidRPr="007F6445" w:rsidRDefault="00A94CDD" w:rsidP="00A94CDD">
      <w:pPr>
        <w:pStyle w:val="aNote"/>
        <w:rPr>
          <w:iCs/>
        </w:rPr>
      </w:pPr>
      <w:r w:rsidRPr="00DB0430">
        <w:rPr>
          <w:rStyle w:val="charItals"/>
        </w:rPr>
        <w:t>Note</w:t>
      </w:r>
      <w:r w:rsidR="007F6445" w:rsidRPr="00DB0430">
        <w:rPr>
          <w:rStyle w:val="charItals"/>
        </w:rPr>
        <w:t xml:space="preserve"> </w:t>
      </w:r>
      <w:r w:rsidRPr="00DB0430">
        <w:rPr>
          <w:rStyle w:val="charItals"/>
        </w:rPr>
        <w:t>1</w:t>
      </w:r>
      <w:r w:rsidRPr="00DB0430">
        <w:rPr>
          <w:rStyle w:val="charItals"/>
        </w:rPr>
        <w:tab/>
      </w:r>
      <w:r w:rsidRPr="007F6445">
        <w:rPr>
          <w:iCs/>
        </w:rPr>
        <w:t>See s</w:t>
      </w:r>
      <w:r w:rsidR="007F6445">
        <w:rPr>
          <w:iCs/>
        </w:rPr>
        <w:t xml:space="preserve"> </w:t>
      </w:r>
      <w:r w:rsidRPr="007F6445">
        <w:rPr>
          <w:iCs/>
        </w:rPr>
        <w:t xml:space="preserve">75 for when a person required by a notice under </w:t>
      </w:r>
      <w:r w:rsidR="006332CF" w:rsidRPr="007F6445">
        <w:rPr>
          <w:iCs/>
        </w:rPr>
        <w:t>s (1)</w:t>
      </w:r>
      <w:r w:rsidRPr="007F6445">
        <w:rPr>
          <w:iCs/>
        </w:rPr>
        <w:t xml:space="preserve"> to </w:t>
      </w:r>
      <w:r w:rsidR="006332CF" w:rsidRPr="007F6445">
        <w:rPr>
          <w:iCs/>
        </w:rPr>
        <w:t>attend before an interviewer to answer questions</w:t>
      </w:r>
      <w:r w:rsidRPr="007F6445">
        <w:rPr>
          <w:iCs/>
        </w:rPr>
        <w:t xml:space="preserve"> cannot rely on the common law privileges against self-incrimination and exposure to the imposition of a civil penalty.</w:t>
      </w:r>
    </w:p>
    <w:p w14:paraId="798A59C7" w14:textId="6CEBACD5" w:rsidR="00ED5272" w:rsidRPr="007F6445" w:rsidRDefault="00E459B3" w:rsidP="00E459B3">
      <w:pPr>
        <w:pStyle w:val="AH5Sec"/>
        <w:shd w:val="pct25" w:color="auto" w:fill="auto"/>
      </w:pPr>
      <w:bookmarkStart w:id="11" w:name="_Toc130475981"/>
      <w:r w:rsidRPr="00E459B3">
        <w:rPr>
          <w:rStyle w:val="CharSectNo"/>
        </w:rPr>
        <w:t>10</w:t>
      </w:r>
      <w:r w:rsidRPr="007F6445">
        <w:tab/>
      </w:r>
      <w:r w:rsidR="007E4440" w:rsidRPr="007F6445">
        <w:t>Privileges against self-incrimination and expos</w:t>
      </w:r>
      <w:r w:rsidR="00023ECD" w:rsidRPr="007F6445">
        <w:t>ure</w:t>
      </w:r>
      <w:r w:rsidR="007E4440" w:rsidRPr="007F6445">
        <w:t xml:space="preserve"> to civil penalty</w:t>
      </w:r>
      <w:r w:rsidR="001F6D21" w:rsidRPr="007F6445">
        <w:br/>
        <w:t>New section 7</w:t>
      </w:r>
      <w:r w:rsidR="00023ECD" w:rsidRPr="007F6445">
        <w:t>5</w:t>
      </w:r>
      <w:r w:rsidR="001F6D21" w:rsidRPr="007F6445">
        <w:t xml:space="preserve"> (</w:t>
      </w:r>
      <w:r w:rsidR="007E4440" w:rsidRPr="007F6445">
        <w:t>2A</w:t>
      </w:r>
      <w:r w:rsidR="001F6D21" w:rsidRPr="007F6445">
        <w:t>)</w:t>
      </w:r>
      <w:bookmarkEnd w:id="11"/>
    </w:p>
    <w:p w14:paraId="247B002E" w14:textId="510410B1" w:rsidR="007E4440" w:rsidRPr="007F6445" w:rsidRDefault="007E4440" w:rsidP="007E4440">
      <w:pPr>
        <w:pStyle w:val="direction"/>
      </w:pPr>
      <w:r w:rsidRPr="007F6445">
        <w:t>insert</w:t>
      </w:r>
    </w:p>
    <w:p w14:paraId="0BDC3C55" w14:textId="3380417A" w:rsidR="00BB3A27" w:rsidRPr="007F6445" w:rsidRDefault="007E4440" w:rsidP="00C617B6">
      <w:pPr>
        <w:pStyle w:val="IMain"/>
      </w:pPr>
      <w:r w:rsidRPr="007F6445">
        <w:tab/>
        <w:t>(2A)</w:t>
      </w:r>
      <w:r w:rsidRPr="007F6445">
        <w:tab/>
        <w:t xml:space="preserve">However, this section does not apply to a person </w:t>
      </w:r>
      <w:r w:rsidR="00BB3A27" w:rsidRPr="007F6445">
        <w:t>mentioned in subsection</w:t>
      </w:r>
      <w:r w:rsidR="007F6445">
        <w:t xml:space="preserve"> </w:t>
      </w:r>
      <w:r w:rsidR="00BB3A27" w:rsidRPr="007F6445">
        <w:t>(1) or (2) if</w:t>
      </w:r>
      <w:r w:rsidR="00C056A4" w:rsidRPr="00DB0430">
        <w:t xml:space="preserve"> t</w:t>
      </w:r>
      <w:r w:rsidR="00BB3A27" w:rsidRPr="007F6445">
        <w:t>he information, document or other thing</w:t>
      </w:r>
      <w:r w:rsidR="00C056A4" w:rsidRPr="007F6445">
        <w:t xml:space="preserve"> to be produced</w:t>
      </w:r>
      <w:r w:rsidR="00BB3A27" w:rsidRPr="007F6445">
        <w:t xml:space="preserve">, or question </w:t>
      </w:r>
      <w:r w:rsidR="00C056A4" w:rsidRPr="007F6445">
        <w:t xml:space="preserve">asked, </w:t>
      </w:r>
      <w:r w:rsidR="00BB3A27" w:rsidRPr="007F6445">
        <w:t xml:space="preserve">relates to </w:t>
      </w:r>
      <w:r w:rsidR="00111EB2" w:rsidRPr="007F6445">
        <w:t xml:space="preserve">a consideration of </w:t>
      </w:r>
      <w:r w:rsidR="00BB3A27" w:rsidRPr="007F6445">
        <w:t>a complaint under division 5.3 (Health care worker code of conduct).</w:t>
      </w:r>
    </w:p>
    <w:p w14:paraId="0FE1B600" w14:textId="3B094011" w:rsidR="0044269E" w:rsidRPr="007F6445" w:rsidRDefault="00E459B3" w:rsidP="00E459B3">
      <w:pPr>
        <w:pStyle w:val="AH5Sec"/>
        <w:shd w:val="pct25" w:color="auto" w:fill="auto"/>
      </w:pPr>
      <w:bookmarkStart w:id="12" w:name="_Toc130475982"/>
      <w:r w:rsidRPr="00E459B3">
        <w:rPr>
          <w:rStyle w:val="CharSectNo"/>
        </w:rPr>
        <w:lastRenderedPageBreak/>
        <w:t>11</w:t>
      </w:r>
      <w:r w:rsidRPr="007F6445">
        <w:tab/>
      </w:r>
      <w:r w:rsidR="0044269E" w:rsidRPr="007F6445">
        <w:t>Part 5 heading</w:t>
      </w:r>
      <w:bookmarkEnd w:id="12"/>
    </w:p>
    <w:p w14:paraId="610FD512" w14:textId="77777777" w:rsidR="0044269E" w:rsidRPr="007F6445" w:rsidRDefault="0044269E" w:rsidP="0044269E">
      <w:pPr>
        <w:pStyle w:val="direction"/>
      </w:pPr>
      <w:r w:rsidRPr="007F6445">
        <w:t>substitute</w:t>
      </w:r>
    </w:p>
    <w:p w14:paraId="376E00C9" w14:textId="77777777" w:rsidR="0044269E" w:rsidRPr="007F6445" w:rsidRDefault="0044269E" w:rsidP="0044269E">
      <w:pPr>
        <w:pStyle w:val="IH2Part"/>
      </w:pPr>
      <w:r w:rsidRPr="007F6445">
        <w:t>Part 5</w:t>
      </w:r>
      <w:r w:rsidRPr="007F6445">
        <w:tab/>
        <w:t>Additional matters for health service complaints</w:t>
      </w:r>
    </w:p>
    <w:p w14:paraId="1220F26B" w14:textId="208C2236" w:rsidR="0044269E" w:rsidRPr="007F6445" w:rsidRDefault="00E459B3" w:rsidP="00E459B3">
      <w:pPr>
        <w:pStyle w:val="AH5Sec"/>
        <w:shd w:val="pct25" w:color="auto" w:fill="auto"/>
      </w:pPr>
      <w:bookmarkStart w:id="13" w:name="_Toc130475983"/>
      <w:r w:rsidRPr="00E459B3">
        <w:rPr>
          <w:rStyle w:val="CharSectNo"/>
        </w:rPr>
        <w:t>12</w:t>
      </w:r>
      <w:r w:rsidRPr="007F6445">
        <w:tab/>
      </w:r>
      <w:r w:rsidR="0044269E" w:rsidRPr="007F6445">
        <w:t>New divisions 5.3 and 5.4</w:t>
      </w:r>
      <w:bookmarkEnd w:id="13"/>
    </w:p>
    <w:p w14:paraId="1500ACB8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55EECB03" w14:textId="77777777" w:rsidR="0044269E" w:rsidRPr="007F6445" w:rsidRDefault="0044269E" w:rsidP="0044269E">
      <w:pPr>
        <w:pStyle w:val="IH3Div"/>
        <w:rPr>
          <w:lang w:eastAsia="en-AU"/>
        </w:rPr>
      </w:pPr>
      <w:r w:rsidRPr="007F6445">
        <w:t>Division 5.3</w:t>
      </w:r>
      <w:r w:rsidRPr="007F6445">
        <w:tab/>
        <w:t>Health care worker code of conduct</w:t>
      </w:r>
    </w:p>
    <w:p w14:paraId="44EF0676" w14:textId="77777777" w:rsidR="0044269E" w:rsidRPr="007F6445" w:rsidRDefault="0044269E" w:rsidP="0044269E">
      <w:pPr>
        <w:pStyle w:val="IH5Sec"/>
      </w:pPr>
      <w:r w:rsidRPr="007F6445">
        <w:t>94A</w:t>
      </w:r>
      <w:r w:rsidRPr="007F6445">
        <w:tab/>
        <w:t>Definitions—div 5.3</w:t>
      </w:r>
    </w:p>
    <w:p w14:paraId="20D7A493" w14:textId="77777777" w:rsidR="0044269E" w:rsidRPr="007F6445" w:rsidRDefault="0044269E" w:rsidP="0044269E">
      <w:pPr>
        <w:pStyle w:val="Amainreturn"/>
      </w:pPr>
      <w:r w:rsidRPr="007F6445">
        <w:t>In this division:</w:t>
      </w:r>
    </w:p>
    <w:p w14:paraId="6C80D334" w14:textId="77777777" w:rsidR="0088737E" w:rsidRDefault="0044269E" w:rsidP="00E459B3">
      <w:pPr>
        <w:pStyle w:val="aDef"/>
      </w:pPr>
      <w:r w:rsidRPr="00DB0430">
        <w:rPr>
          <w:rStyle w:val="charBoldItals"/>
        </w:rPr>
        <w:t>code of conduct</w:t>
      </w:r>
      <w:r w:rsidRPr="007F6445">
        <w:t xml:space="preserve"> means the health care worker code of conduct prescribed under section </w:t>
      </w:r>
      <w:r w:rsidR="00311A51" w:rsidRPr="007F6445">
        <w:t>94</w:t>
      </w:r>
      <w:r w:rsidR="00BF0F82" w:rsidRPr="007F6445">
        <w:t>C</w:t>
      </w:r>
      <w:r w:rsidRPr="007F6445">
        <w:t>.</w:t>
      </w:r>
    </w:p>
    <w:p w14:paraId="7C918871" w14:textId="6925DC49" w:rsidR="0044269E" w:rsidRPr="007F6445" w:rsidRDefault="0044269E" w:rsidP="00E459B3">
      <w:pPr>
        <w:pStyle w:val="aDef"/>
      </w:pPr>
      <w:r w:rsidRPr="00DB0430">
        <w:rPr>
          <w:rStyle w:val="charBoldItals"/>
        </w:rPr>
        <w:t>complaint</w:t>
      </w:r>
      <w:r w:rsidRPr="007F6445">
        <w:t xml:space="preserve"> means </w:t>
      </w:r>
      <w:r w:rsidRPr="007F6445">
        <w:rPr>
          <w:lang w:eastAsia="en-AU"/>
        </w:rPr>
        <w:t>a complaint made under section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39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(1)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(b)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</w:t>
      </w:r>
      <w:r w:rsidRPr="007F6445">
        <w:t>iia</w:t>
      </w:r>
      <w:r w:rsidRPr="007F6445">
        <w:rPr>
          <w:lang w:eastAsia="en-AU"/>
        </w:rPr>
        <w:t xml:space="preserve">) that a </w:t>
      </w:r>
      <w:r w:rsidRPr="007F6445">
        <w:t>health care worker</w:t>
      </w:r>
      <w:r w:rsidRPr="007F6445">
        <w:rPr>
          <w:lang w:eastAsia="en-AU"/>
        </w:rPr>
        <w:t xml:space="preserve"> acted inconsistently with the </w:t>
      </w:r>
      <w:r w:rsidRPr="007F6445">
        <w:t>code of conduct.</w:t>
      </w:r>
    </w:p>
    <w:p w14:paraId="762C6410" w14:textId="77777777" w:rsidR="0044269E" w:rsidRPr="00DB0430" w:rsidRDefault="0044269E" w:rsidP="00E459B3">
      <w:pPr>
        <w:pStyle w:val="aDef"/>
      </w:pPr>
      <w:r w:rsidRPr="007F6445">
        <w:rPr>
          <w:rStyle w:val="charBoldItals"/>
        </w:rPr>
        <w:t>corresponding law</w:t>
      </w:r>
      <w:r w:rsidRPr="00DB0430">
        <w:t xml:space="preserve"> means a law, or part of a law, of a State that is—</w:t>
      </w:r>
    </w:p>
    <w:p w14:paraId="2007B453" w14:textId="77777777" w:rsidR="0044269E" w:rsidRPr="00DB0430" w:rsidRDefault="0044269E" w:rsidP="0044269E">
      <w:pPr>
        <w:pStyle w:val="Idefpara"/>
      </w:pPr>
      <w:r w:rsidRPr="00DB0430">
        <w:tab/>
        <w:t>(a)</w:t>
      </w:r>
      <w:r w:rsidRPr="00DB0430">
        <w:tab/>
        <w:t>about the conduct required of a health care worker; and</w:t>
      </w:r>
    </w:p>
    <w:p w14:paraId="629D8707" w14:textId="461B8238" w:rsidR="0044269E" w:rsidRPr="00DB0430" w:rsidRDefault="0044269E" w:rsidP="00E459B3">
      <w:pPr>
        <w:pStyle w:val="Idefpara"/>
        <w:keepNext/>
      </w:pPr>
      <w:r w:rsidRPr="00DB0430">
        <w:tab/>
        <w:t>(b)</w:t>
      </w:r>
      <w:r w:rsidRPr="00DB0430">
        <w:tab/>
        <w:t>prescribed by regulation as a corresponding law for this division.</w:t>
      </w:r>
    </w:p>
    <w:p w14:paraId="5051FE32" w14:textId="362EF55A" w:rsidR="0044269E" w:rsidRPr="007F6445" w:rsidRDefault="0044269E" w:rsidP="0044269E">
      <w:pPr>
        <w:pStyle w:val="aNote"/>
      </w:pPr>
      <w:r w:rsidRPr="00DB0430">
        <w:rPr>
          <w:rStyle w:val="charItals"/>
        </w:rPr>
        <w:t xml:space="preserve">Note </w:t>
      </w:r>
      <w:r w:rsidRPr="00DB0430">
        <w:rPr>
          <w:rStyle w:val="charItals"/>
        </w:rPr>
        <w:tab/>
      </w:r>
      <w:r w:rsidRPr="00DB0430">
        <w:rPr>
          <w:rStyle w:val="charBoldItals"/>
        </w:rPr>
        <w:t xml:space="preserve">State </w:t>
      </w:r>
      <w:r w:rsidRPr="007F6445">
        <w:rPr>
          <w:lang w:eastAsia="en-AU"/>
        </w:rPr>
        <w:t xml:space="preserve">includes the Northern Territory (see </w:t>
      </w:r>
      <w:hyperlink r:id="rId26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rPr>
          <w:lang w:eastAsia="en-AU"/>
        </w:rPr>
        <w:t>, dict, pt 1).</w:t>
      </w:r>
    </w:p>
    <w:p w14:paraId="74919828" w14:textId="5AD7F766" w:rsidR="0044269E" w:rsidRPr="007F6445" w:rsidRDefault="0044269E" w:rsidP="00E459B3">
      <w:pPr>
        <w:pStyle w:val="aDef"/>
      </w:pPr>
      <w:r w:rsidRPr="00DB0430">
        <w:rPr>
          <w:rStyle w:val="charBoldItals"/>
        </w:rPr>
        <w:t>final order</w:t>
      </w:r>
      <w:r w:rsidRPr="007F6445">
        <w:t>—see section 94</w:t>
      </w:r>
      <w:r w:rsidR="00B168FD" w:rsidRPr="007F6445">
        <w:t>H</w:t>
      </w:r>
      <w:r w:rsidRPr="007F6445">
        <w:t xml:space="preserve"> (1).</w:t>
      </w:r>
    </w:p>
    <w:p w14:paraId="18510082" w14:textId="0DF61A25" w:rsidR="000E4F36" w:rsidRPr="007F6445" w:rsidRDefault="000E4F36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—see section 94B.</w:t>
      </w:r>
    </w:p>
    <w:p w14:paraId="4EB9953A" w14:textId="2F316DEF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interim order</w:t>
      </w:r>
      <w:r w:rsidRPr="007F6445">
        <w:rPr>
          <w:lang w:eastAsia="en-AU"/>
        </w:rPr>
        <w:t>—see section 94</w:t>
      </w:r>
      <w:r w:rsidR="00B168FD" w:rsidRPr="007F6445">
        <w:rPr>
          <w:lang w:eastAsia="en-AU"/>
        </w:rPr>
        <w:t>G</w:t>
      </w:r>
      <w:r w:rsidRPr="007F6445">
        <w:rPr>
          <w:lang w:eastAsia="en-AU"/>
        </w:rPr>
        <w:t xml:space="preserve"> (1).</w:t>
      </w:r>
    </w:p>
    <w:p w14:paraId="409EBA4C" w14:textId="1213EF51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prohibition or condition order</w:t>
      </w:r>
      <w:r w:rsidRPr="007F6445">
        <w:rPr>
          <w:lang w:eastAsia="en-AU"/>
        </w:rPr>
        <w:t>, for a health care worker, means an order</w:t>
      </w:r>
      <w:r w:rsidRPr="007F6445">
        <w:t xml:space="preserve"> </w:t>
      </w:r>
      <w:r w:rsidRPr="007F6445">
        <w:rPr>
          <w:lang w:eastAsia="en-AU"/>
        </w:rPr>
        <w:t xml:space="preserve">made by the </w:t>
      </w:r>
      <w:r w:rsidR="00F77AB6" w:rsidRPr="007F6445">
        <w:rPr>
          <w:lang w:eastAsia="en-AU"/>
        </w:rPr>
        <w:t>commission</w:t>
      </w:r>
      <w:r w:rsidRPr="007F6445">
        <w:rPr>
          <w:lang w:eastAsia="en-AU"/>
        </w:rPr>
        <w:t>, in writing, to do any of the following:</w:t>
      </w:r>
    </w:p>
    <w:p w14:paraId="245DC27D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prohibit the health care worker from providing a health service;</w:t>
      </w:r>
    </w:p>
    <w:p w14:paraId="3BFAF6D3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prohibit the health care worker from offering, advertising or otherwise promoting a health service (including a health service provided by another person);</w:t>
      </w:r>
    </w:p>
    <w:p w14:paraId="25DBC616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prohibit the health care worker from holding themselves out or otherwise promoting themselves as a provider of a health service;</w:t>
      </w:r>
    </w:p>
    <w:p w14:paraId="400EE717" w14:textId="77777777" w:rsidR="0088737E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prohibit the health care worker from providing advice in relation to the provision of a health service (including a health service provided by another person);</w:t>
      </w:r>
    </w:p>
    <w:p w14:paraId="049065C1" w14:textId="2533674E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(e)</w:t>
      </w:r>
      <w:r w:rsidRPr="007F6445">
        <w:rPr>
          <w:lang w:eastAsia="en-AU"/>
        </w:rPr>
        <w:tab/>
        <w:t>place a condition on the provision of a health service by the health care worker.</w:t>
      </w:r>
    </w:p>
    <w:p w14:paraId="054A50C2" w14:textId="61BA3CBE" w:rsidR="00293532" w:rsidRPr="007F6445" w:rsidRDefault="000E0BBF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servant complaint</w:t>
      </w:r>
      <w:r w:rsidR="00293532" w:rsidRPr="007F6445">
        <w:rPr>
          <w:lang w:eastAsia="en-AU"/>
        </w:rPr>
        <w:t>—see section 94D (1).</w:t>
      </w:r>
    </w:p>
    <w:p w14:paraId="3FD484FC" w14:textId="77777777" w:rsidR="00334E5E" w:rsidRPr="007F6445" w:rsidRDefault="00334E5E" w:rsidP="00E459B3">
      <w:pPr>
        <w:pStyle w:val="aDef"/>
      </w:pPr>
      <w:r w:rsidRPr="00DB0430">
        <w:rPr>
          <w:rStyle w:val="charBoldItals"/>
        </w:rPr>
        <w:t>public service entity</w:t>
      </w:r>
      <w:r w:rsidRPr="007F6445">
        <w:t xml:space="preserve"> means either of the following:</w:t>
      </w:r>
    </w:p>
    <w:p w14:paraId="56FE81E0" w14:textId="77777777" w:rsidR="00334E5E" w:rsidRPr="007F6445" w:rsidRDefault="00334E5E" w:rsidP="00334E5E">
      <w:pPr>
        <w:pStyle w:val="Idefpara"/>
      </w:pPr>
      <w:r w:rsidRPr="007F6445">
        <w:tab/>
        <w:t>(a)</w:t>
      </w:r>
      <w:r w:rsidRPr="007F6445">
        <w:tab/>
        <w:t>the public service;</w:t>
      </w:r>
    </w:p>
    <w:p w14:paraId="7CC94F67" w14:textId="77777777" w:rsidR="00334E5E" w:rsidRPr="007F6445" w:rsidRDefault="00334E5E" w:rsidP="00334E5E">
      <w:pPr>
        <w:pStyle w:val="Idefpara"/>
      </w:pPr>
      <w:r w:rsidRPr="007F6445">
        <w:tab/>
        <w:t>(b)</w:t>
      </w:r>
      <w:r w:rsidRPr="007F6445">
        <w:tab/>
        <w:t>a statutory office-holder.</w:t>
      </w:r>
    </w:p>
    <w:p w14:paraId="329C3FCE" w14:textId="24D0C88C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statement</w:t>
      </w:r>
      <w:r w:rsidRPr="007F6445">
        <w:rPr>
          <w:lang w:eastAsia="en-AU"/>
        </w:rPr>
        <w:t xml:space="preserve"> means a public statement made by the commission under section 94</w:t>
      </w:r>
      <w:r w:rsidR="00B168FD" w:rsidRPr="007F6445">
        <w:rPr>
          <w:lang w:eastAsia="en-AU"/>
        </w:rPr>
        <w:t>I</w:t>
      </w:r>
      <w:r w:rsidRPr="007F6445">
        <w:rPr>
          <w:lang w:eastAsia="en-AU"/>
        </w:rPr>
        <w:t>.</w:t>
      </w:r>
    </w:p>
    <w:p w14:paraId="2F489F7F" w14:textId="7B416D0F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</w:t>
      </w:r>
      <w:r w:rsidRPr="007F6445">
        <w:rPr>
          <w:lang w:eastAsia="en-AU"/>
        </w:rPr>
        <w:t xml:space="preserve"> means the register of prohibition or condition orders under section 94</w:t>
      </w:r>
      <w:r w:rsidR="004567C8" w:rsidRPr="007F6445">
        <w:rPr>
          <w:lang w:eastAsia="en-AU"/>
        </w:rPr>
        <w:t>Q</w:t>
      </w:r>
      <w:r w:rsidRPr="007F6445">
        <w:rPr>
          <w:lang w:eastAsia="en-AU"/>
        </w:rPr>
        <w:t>.</w:t>
      </w:r>
    </w:p>
    <w:p w14:paraId="101BA6ED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relevant professional body</w:t>
      </w:r>
      <w:r w:rsidRPr="007F6445">
        <w:rPr>
          <w:lang w:eastAsia="en-AU"/>
        </w:rPr>
        <w:t>, for a health care worker, means a professional body—</w:t>
      </w:r>
    </w:p>
    <w:p w14:paraId="0FDF9922" w14:textId="36F390A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of which the health care worker is</w:t>
      </w:r>
      <w:r w:rsidR="00F77AB6" w:rsidRPr="007F6445">
        <w:rPr>
          <w:lang w:eastAsia="en-AU"/>
        </w:rPr>
        <w:t>, or is eligible to be,</w:t>
      </w:r>
      <w:r w:rsidRPr="007F6445">
        <w:rPr>
          <w:lang w:eastAsia="en-AU"/>
        </w:rPr>
        <w:t xml:space="preserve"> a member; or</w:t>
      </w:r>
    </w:p>
    <w:p w14:paraId="10026853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that has members who provide the health service provided by the health care worker; or</w:t>
      </w:r>
    </w:p>
    <w:p w14:paraId="4768E9C1" w14:textId="436FEB85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 xml:space="preserve">that the </w:t>
      </w:r>
      <w:r w:rsidR="00F77AB6" w:rsidRPr="007F6445">
        <w:rPr>
          <w:lang w:eastAsia="en-AU"/>
        </w:rPr>
        <w:t>commission</w:t>
      </w:r>
      <w:r w:rsidRPr="007F6445">
        <w:rPr>
          <w:lang w:eastAsia="en-AU"/>
        </w:rPr>
        <w:t xml:space="preserve"> is satisfied on reasonable grounds is relevant to the health care worker and the health service provided by the health care worker.</w:t>
      </w:r>
    </w:p>
    <w:p w14:paraId="047D752C" w14:textId="52FB06BF" w:rsidR="000E4F36" w:rsidRPr="007F6445" w:rsidRDefault="000E4F36" w:rsidP="000E4F36">
      <w:pPr>
        <w:pStyle w:val="IH5Sec"/>
        <w:rPr>
          <w:lang w:eastAsia="en-AU"/>
        </w:rPr>
      </w:pPr>
      <w:r w:rsidRPr="007F6445">
        <w:rPr>
          <w:lang w:eastAsia="en-AU"/>
        </w:rPr>
        <w:lastRenderedPageBreak/>
        <w:t>94B</w:t>
      </w:r>
      <w:r w:rsidRPr="007F6445">
        <w:rPr>
          <w:lang w:eastAsia="en-AU"/>
        </w:rPr>
        <w:tab/>
        <w:t xml:space="preserve">Meaning of </w:t>
      </w:r>
      <w:r w:rsidRPr="00DB0430">
        <w:rPr>
          <w:rStyle w:val="charItals"/>
        </w:rPr>
        <w:t>health care worker</w:t>
      </w:r>
      <w:r w:rsidR="00A01413" w:rsidRPr="007F6445">
        <w:rPr>
          <w:lang w:eastAsia="en-AU"/>
        </w:rPr>
        <w:t>—div 5.3</w:t>
      </w:r>
    </w:p>
    <w:p w14:paraId="2D11CF96" w14:textId="5E068145" w:rsidR="000E4F36" w:rsidRPr="007F6445" w:rsidRDefault="00DD6E3E" w:rsidP="00DD6E3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</w:r>
      <w:r w:rsidR="000E4F36" w:rsidRPr="007F6445">
        <w:rPr>
          <w:lang w:eastAsia="en-AU"/>
        </w:rPr>
        <w:t>In this division:</w:t>
      </w:r>
    </w:p>
    <w:p w14:paraId="2A41B7BA" w14:textId="77777777" w:rsidR="000E4F36" w:rsidRPr="007F6445" w:rsidRDefault="000E4F36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—</w:t>
      </w:r>
    </w:p>
    <w:p w14:paraId="36321324" w14:textId="77777777" w:rsidR="000E4F36" w:rsidRPr="007F6445" w:rsidRDefault="000E4F36" w:rsidP="000E4F36">
      <w:pPr>
        <w:pStyle w:val="Ipara"/>
      </w:pPr>
      <w:r w:rsidRPr="007F6445">
        <w:tab/>
        <w:t>(a)</w:t>
      </w:r>
      <w:r w:rsidRPr="007F6445">
        <w:tab/>
        <w:t>means an individual who provides a health service to another individual; but</w:t>
      </w:r>
    </w:p>
    <w:p w14:paraId="08352C29" w14:textId="77777777" w:rsidR="00363DDD" w:rsidRPr="007F6445" w:rsidRDefault="00363DDD" w:rsidP="00363DDD">
      <w:pPr>
        <w:pStyle w:val="Ipara"/>
      </w:pPr>
      <w:r w:rsidRPr="007F6445">
        <w:tab/>
        <w:t>(b)</w:t>
      </w:r>
      <w:r w:rsidRPr="007F6445">
        <w:tab/>
        <w:t>does not include an individual to the extent that the individual provides the health service—</w:t>
      </w:r>
    </w:p>
    <w:p w14:paraId="7AEBCFA6" w14:textId="77777777" w:rsidR="00363DDD" w:rsidRPr="007F6445" w:rsidRDefault="00363DDD" w:rsidP="00363DDD">
      <w:pPr>
        <w:pStyle w:val="Idefsubpara"/>
      </w:pPr>
      <w:r w:rsidRPr="007F6445">
        <w:tab/>
        <w:t>(i)</w:t>
      </w:r>
      <w:r w:rsidRPr="007F6445">
        <w:tab/>
        <w:t>as a health practitioner; or</w:t>
      </w:r>
    </w:p>
    <w:p w14:paraId="4389FA55" w14:textId="07D5D0A6" w:rsidR="00363DDD" w:rsidRPr="000D3570" w:rsidRDefault="00363DDD" w:rsidP="00363DDD">
      <w:pPr>
        <w:pStyle w:val="Idefsubpara"/>
        <w:rPr>
          <w:lang w:eastAsia="en-AU"/>
        </w:rPr>
      </w:pPr>
      <w:r w:rsidRPr="007F6445">
        <w:tab/>
      </w:r>
      <w:r w:rsidRPr="000D3570">
        <w:t>(ii)</w:t>
      </w:r>
      <w:r w:rsidRPr="000D3570">
        <w:tab/>
        <w:t>as a</w:t>
      </w:r>
      <w:r w:rsidR="005134ED" w:rsidRPr="000D3570">
        <w:t xml:space="preserve"> registered</w:t>
      </w:r>
      <w:r w:rsidRPr="000D3570">
        <w:rPr>
          <w:lang w:eastAsia="en-AU"/>
        </w:rPr>
        <w:t xml:space="preserve"> teacher</w:t>
      </w:r>
      <w:r w:rsidR="00985D09" w:rsidRPr="000D3570">
        <w:rPr>
          <w:lang w:eastAsia="en-AU"/>
        </w:rPr>
        <w:t xml:space="preserve"> carrying out teaching duties</w:t>
      </w:r>
      <w:r w:rsidRPr="000D3570">
        <w:rPr>
          <w:lang w:eastAsia="en-AU"/>
        </w:rPr>
        <w:t>.</w:t>
      </w:r>
    </w:p>
    <w:p w14:paraId="41B6DEEC" w14:textId="77777777" w:rsidR="000E4F36" w:rsidRPr="000D3570" w:rsidRDefault="000E4F36" w:rsidP="000E4F36">
      <w:pPr>
        <w:pStyle w:val="IMain"/>
        <w:rPr>
          <w:lang w:eastAsia="en-AU"/>
        </w:rPr>
      </w:pPr>
      <w:r w:rsidRPr="000D3570">
        <w:rPr>
          <w:lang w:eastAsia="en-AU"/>
        </w:rPr>
        <w:tab/>
        <w:t>(2)</w:t>
      </w:r>
      <w:r w:rsidRPr="000D3570">
        <w:rPr>
          <w:lang w:eastAsia="en-AU"/>
        </w:rPr>
        <w:tab/>
        <w:t>In this section:</w:t>
      </w:r>
    </w:p>
    <w:p w14:paraId="1F92EC7D" w14:textId="5D2A74F5" w:rsidR="000E4F36" w:rsidRPr="000D3570" w:rsidRDefault="005134ED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registered</w:t>
      </w:r>
      <w:r w:rsidR="000E4F36" w:rsidRPr="00DB0430">
        <w:rPr>
          <w:rStyle w:val="charBoldItals"/>
        </w:rPr>
        <w:t xml:space="preserve"> teacher</w:t>
      </w:r>
      <w:r w:rsidR="000E4F36" w:rsidRPr="000D3570">
        <w:rPr>
          <w:bCs/>
          <w:iCs/>
          <w:lang w:eastAsia="en-AU"/>
        </w:rPr>
        <w:t xml:space="preserve">—see the </w:t>
      </w:r>
      <w:hyperlink r:id="rId27" w:tooltip="A2010-55" w:history="1">
        <w:r w:rsidR="00DB0430" w:rsidRPr="00DB0430">
          <w:rPr>
            <w:rStyle w:val="charCitHyperlinkItal"/>
          </w:rPr>
          <w:t>ACT Teacher Quality Institute Act 2010</w:t>
        </w:r>
      </w:hyperlink>
      <w:r w:rsidR="000E4F36" w:rsidRPr="000D3570">
        <w:rPr>
          <w:bCs/>
          <w:iCs/>
          <w:lang w:eastAsia="en-AU"/>
        </w:rPr>
        <w:t xml:space="preserve">, </w:t>
      </w:r>
      <w:r w:rsidRPr="000D3570">
        <w:rPr>
          <w:bCs/>
          <w:iCs/>
          <w:lang w:eastAsia="en-AU"/>
        </w:rPr>
        <w:t>dictionary</w:t>
      </w:r>
      <w:r w:rsidR="000E4F36" w:rsidRPr="000D3570">
        <w:rPr>
          <w:bCs/>
          <w:iCs/>
          <w:lang w:eastAsia="en-AU"/>
        </w:rPr>
        <w:t>.</w:t>
      </w:r>
    </w:p>
    <w:p w14:paraId="6F71CE94" w14:textId="63EEB877" w:rsidR="00985D09" w:rsidRPr="000D3570" w:rsidRDefault="00985D09" w:rsidP="00E459B3">
      <w:pPr>
        <w:pStyle w:val="aDef"/>
        <w:rPr>
          <w:lang w:eastAsia="en-AU"/>
        </w:rPr>
      </w:pPr>
      <w:r w:rsidRPr="00DB0430">
        <w:rPr>
          <w:rStyle w:val="charBoldItals"/>
        </w:rPr>
        <w:t>teaching</w:t>
      </w:r>
      <w:r w:rsidRPr="000D3570">
        <w:rPr>
          <w:bCs/>
          <w:iCs/>
          <w:lang w:eastAsia="en-AU"/>
        </w:rPr>
        <w:t xml:space="preserve">—see the </w:t>
      </w:r>
      <w:hyperlink r:id="rId28" w:tooltip="A2010-55" w:history="1">
        <w:r w:rsidR="00DB0430" w:rsidRPr="00DB0430">
          <w:rPr>
            <w:rStyle w:val="charCitHyperlinkItal"/>
          </w:rPr>
          <w:t>ACT Teacher Quality Institute Act 2010</w:t>
        </w:r>
      </w:hyperlink>
      <w:r w:rsidRPr="000D3570">
        <w:rPr>
          <w:bCs/>
          <w:iCs/>
          <w:lang w:eastAsia="en-AU"/>
        </w:rPr>
        <w:t>, section 8.</w:t>
      </w:r>
    </w:p>
    <w:p w14:paraId="1EDC7465" w14:textId="3C0E1701" w:rsidR="0044269E" w:rsidRPr="007F6445" w:rsidRDefault="00311A51" w:rsidP="0044269E">
      <w:pPr>
        <w:pStyle w:val="IH5Sec"/>
      </w:pPr>
      <w:r w:rsidRPr="007F6445">
        <w:t>94</w:t>
      </w:r>
      <w:r w:rsidR="00826FF7" w:rsidRPr="007F6445">
        <w:t>C</w:t>
      </w:r>
      <w:r w:rsidR="0044269E" w:rsidRPr="007F6445">
        <w:tab/>
        <w:t>Code of conduct may be prescribed</w:t>
      </w:r>
    </w:p>
    <w:p w14:paraId="0A6A1405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A regulation may prescribe a code of conduct in relation to the provision of a health service by a health care worker.</w:t>
      </w:r>
    </w:p>
    <w:p w14:paraId="22A40EBC" w14:textId="77777777" w:rsidR="00D96812" w:rsidRPr="007F6445" w:rsidRDefault="00D96812" w:rsidP="00D96812">
      <w:pPr>
        <w:pStyle w:val="IH5Sec"/>
      </w:pPr>
      <w:r w:rsidRPr="007F6445">
        <w:t>94D</w:t>
      </w:r>
      <w:r w:rsidRPr="007F6445">
        <w:tab/>
        <w:t>Code of conduct breach by public servants</w:t>
      </w:r>
    </w:p>
    <w:p w14:paraId="0AD606C9" w14:textId="4264F3F4" w:rsidR="00D96812" w:rsidRPr="007F6445" w:rsidRDefault="00D96812" w:rsidP="00D96812">
      <w:pPr>
        <w:pStyle w:val="IMain"/>
      </w:pPr>
      <w:r w:rsidRPr="007F6445">
        <w:tab/>
        <w:t>(1)</w:t>
      </w:r>
      <w:r w:rsidRPr="007F6445">
        <w:tab/>
        <w:t xml:space="preserve">This section applies </w:t>
      </w:r>
      <w:r w:rsidR="00AA032B" w:rsidRPr="007F6445">
        <w:t>to a complaint made to</w:t>
      </w:r>
      <w:r w:rsidRPr="007F6445">
        <w:t xml:space="preserve"> the commission about a public servant acting inconsistently with the code of conduct in relation to the provision of a health service to another individual as part of their employment as a public servant</w:t>
      </w:r>
      <w:r w:rsidR="006809EE" w:rsidRPr="007F6445">
        <w:t xml:space="preserve"> (a</w:t>
      </w:r>
      <w:r w:rsidR="007F6445">
        <w:t xml:space="preserve"> </w:t>
      </w:r>
      <w:r w:rsidR="006809EE" w:rsidRPr="00DB0430">
        <w:rPr>
          <w:rStyle w:val="charBoldItals"/>
        </w:rPr>
        <w:t>public servant complaint</w:t>
      </w:r>
      <w:r w:rsidR="006809EE" w:rsidRPr="007F6445">
        <w:t>)</w:t>
      </w:r>
      <w:r w:rsidRPr="007F6445">
        <w:t>.</w:t>
      </w:r>
    </w:p>
    <w:p w14:paraId="0B605F7F" w14:textId="1B8C1847" w:rsidR="007031DE" w:rsidRPr="007F6445" w:rsidRDefault="007031DE" w:rsidP="00D96812">
      <w:pPr>
        <w:pStyle w:val="IMain"/>
      </w:pPr>
      <w:r w:rsidRPr="007F6445">
        <w:tab/>
        <w:t>(2)</w:t>
      </w:r>
      <w:r w:rsidRPr="007F6445">
        <w:tab/>
        <w:t xml:space="preserve">The Executive may determine a process </w:t>
      </w:r>
      <w:r w:rsidR="006809EE" w:rsidRPr="007F6445">
        <w:t xml:space="preserve">the commission and relevant public </w:t>
      </w:r>
      <w:r w:rsidR="00441BB2" w:rsidRPr="007F6445">
        <w:t>service</w:t>
      </w:r>
      <w:r w:rsidR="006809EE" w:rsidRPr="007F6445">
        <w:t xml:space="preserve"> entities must follow in </w:t>
      </w:r>
      <w:r w:rsidR="00F94060" w:rsidRPr="007F6445">
        <w:t>dealing</w:t>
      </w:r>
      <w:r w:rsidRPr="007F6445">
        <w:t xml:space="preserve"> </w:t>
      </w:r>
      <w:r w:rsidR="00F94060" w:rsidRPr="007F6445">
        <w:t xml:space="preserve">with </w:t>
      </w:r>
      <w:r w:rsidR="006809EE" w:rsidRPr="007F6445">
        <w:t xml:space="preserve">public </w:t>
      </w:r>
      <w:r w:rsidR="00AD711D" w:rsidRPr="007F6445">
        <w:t>servant</w:t>
      </w:r>
      <w:r w:rsidR="00F94060" w:rsidRPr="007F6445">
        <w:t xml:space="preserve"> complaint</w:t>
      </w:r>
      <w:r w:rsidR="00AA032B" w:rsidRPr="007F6445">
        <w:t>s</w:t>
      </w:r>
      <w:r w:rsidR="00F94060" w:rsidRPr="007F6445">
        <w:t>.</w:t>
      </w:r>
    </w:p>
    <w:p w14:paraId="7DC50745" w14:textId="6B099A5A" w:rsidR="00F94060" w:rsidRPr="007F6445" w:rsidRDefault="00F94060" w:rsidP="00F94060">
      <w:pPr>
        <w:pStyle w:val="IMain"/>
      </w:pPr>
      <w:r w:rsidRPr="007F6445">
        <w:tab/>
        <w:t>(</w:t>
      </w:r>
      <w:r w:rsidR="00BB2F67" w:rsidRPr="007F6445">
        <w:t>3</w:t>
      </w:r>
      <w:r w:rsidRPr="007F6445">
        <w:t>)</w:t>
      </w:r>
      <w:r w:rsidRPr="007F6445">
        <w:tab/>
        <w:t>Before determining a process, the Executive must consult the commission.</w:t>
      </w:r>
    </w:p>
    <w:p w14:paraId="63278A43" w14:textId="482DA535" w:rsidR="00465AC8" w:rsidRPr="007F6445" w:rsidRDefault="00465AC8" w:rsidP="00465AC8">
      <w:pPr>
        <w:pStyle w:val="IMain"/>
      </w:pPr>
      <w:r w:rsidRPr="007F6445">
        <w:lastRenderedPageBreak/>
        <w:tab/>
        <w:t>(</w:t>
      </w:r>
      <w:r w:rsidR="008371A5" w:rsidRPr="007F6445">
        <w:t>4</w:t>
      </w:r>
      <w:r w:rsidRPr="007F6445">
        <w:t>)</w:t>
      </w:r>
      <w:r w:rsidRPr="007F6445">
        <w:tab/>
        <w:t>The Executive must be reasonably satisfied</w:t>
      </w:r>
      <w:r w:rsidR="008E1CCB" w:rsidRPr="007F6445">
        <w:t xml:space="preserve"> </w:t>
      </w:r>
      <w:r w:rsidRPr="007F6445">
        <w:t xml:space="preserve">that a process determined under subsection (2) gives a health care worker who is the subject of a public servant complaint </w:t>
      </w:r>
      <w:r w:rsidR="004A14B3" w:rsidRPr="007F6445">
        <w:t>no less protection than that</w:t>
      </w:r>
      <w:r w:rsidRPr="007F6445">
        <w:t xml:space="preserve"> given to a health care worker who is the subject of a prohibition or condition order, or public statement, to which section</w:t>
      </w:r>
      <w:r w:rsidR="007F6445">
        <w:t xml:space="preserve"> </w:t>
      </w:r>
      <w:r w:rsidRPr="007F6445">
        <w:t>94F applies.</w:t>
      </w:r>
    </w:p>
    <w:p w14:paraId="1B43981C" w14:textId="0022041A" w:rsidR="00D96812" w:rsidRPr="007F6445" w:rsidRDefault="00D96812" w:rsidP="00D96812">
      <w:pPr>
        <w:pStyle w:val="IMain"/>
      </w:pPr>
      <w:r w:rsidRPr="007F6445">
        <w:tab/>
        <w:t>(</w:t>
      </w:r>
      <w:r w:rsidR="008371A5" w:rsidRPr="007F6445">
        <w:t>5</w:t>
      </w:r>
      <w:r w:rsidRPr="007F6445">
        <w:t>)</w:t>
      </w:r>
      <w:r w:rsidRPr="007F6445">
        <w:tab/>
      </w:r>
      <w:r w:rsidR="00C056A4" w:rsidRPr="007F6445">
        <w:t>A</w:t>
      </w:r>
      <w:r w:rsidRPr="007F6445">
        <w:t xml:space="preserve"> proce</w:t>
      </w:r>
      <w:r w:rsidR="00EB0891" w:rsidRPr="007F6445">
        <w:t>ss</w:t>
      </w:r>
      <w:r w:rsidRPr="007F6445">
        <w:t xml:space="preserve"> </w:t>
      </w:r>
      <w:r w:rsidR="00460DDF" w:rsidRPr="007F6445">
        <w:t>may</w:t>
      </w:r>
      <w:r w:rsidRPr="007F6445">
        <w:t xml:space="preserve"> include provision for the following:</w:t>
      </w:r>
    </w:p>
    <w:p w14:paraId="0B2F393A" w14:textId="3608213B" w:rsidR="00D96812" w:rsidRPr="007F6445" w:rsidRDefault="00D96812" w:rsidP="00D96812">
      <w:pPr>
        <w:pStyle w:val="Ipara"/>
      </w:pPr>
      <w:r w:rsidRPr="007F6445">
        <w:tab/>
        <w:t>(a)</w:t>
      </w:r>
      <w:r w:rsidRPr="007F6445">
        <w:tab/>
        <w:t xml:space="preserve">the </w:t>
      </w:r>
      <w:r w:rsidR="001936EB" w:rsidRPr="007F6445">
        <w:t>sharing of</w:t>
      </w:r>
      <w:r w:rsidRPr="007F6445">
        <w:t xml:space="preserve"> information </w:t>
      </w:r>
      <w:r w:rsidR="00866409" w:rsidRPr="007F6445">
        <w:t xml:space="preserve">mentioned in section 94E (1) </w:t>
      </w:r>
      <w:r w:rsidRPr="007F6445">
        <w:t xml:space="preserve">about </w:t>
      </w:r>
      <w:r w:rsidR="000D2002" w:rsidRPr="007F6445">
        <w:t xml:space="preserve">a </w:t>
      </w:r>
      <w:r w:rsidR="006809EE" w:rsidRPr="007F6445">
        <w:t xml:space="preserve">public </w:t>
      </w:r>
      <w:r w:rsidR="00AD711D" w:rsidRPr="007F6445">
        <w:t>servant</w:t>
      </w:r>
      <w:r w:rsidR="006809EE" w:rsidRPr="007F6445">
        <w:t xml:space="preserve"> </w:t>
      </w:r>
      <w:r w:rsidRPr="007F6445">
        <w:t>complaint</w:t>
      </w:r>
      <w:r w:rsidR="005134ED" w:rsidRPr="007F6445">
        <w:t xml:space="preserve"> </w:t>
      </w:r>
      <w:r w:rsidR="001936EB" w:rsidRPr="007F6445">
        <w:t>with</w:t>
      </w:r>
      <w:r w:rsidRPr="007F6445">
        <w:t xml:space="preserve"> the relevant public service entity;</w:t>
      </w:r>
    </w:p>
    <w:p w14:paraId="0E96F46C" w14:textId="11439F3F" w:rsidR="00087790" w:rsidRPr="007F6445" w:rsidRDefault="00087790" w:rsidP="00D96812">
      <w:pPr>
        <w:pStyle w:val="Ipara"/>
      </w:pPr>
      <w:r w:rsidRPr="007F6445">
        <w:tab/>
        <w:t>(</w:t>
      </w:r>
      <w:r w:rsidR="005134ED" w:rsidRPr="007F6445">
        <w:t>b</w:t>
      </w:r>
      <w:r w:rsidRPr="007F6445">
        <w:t>)</w:t>
      </w:r>
      <w:r w:rsidRPr="007F6445">
        <w:tab/>
        <w:t xml:space="preserve">who the relevant public </w:t>
      </w:r>
      <w:r w:rsidR="00062CCA" w:rsidRPr="007F6445">
        <w:t>service</w:t>
      </w:r>
      <w:r w:rsidRPr="007F6445">
        <w:t xml:space="preserve"> entity is for a particular complaint;</w:t>
      </w:r>
    </w:p>
    <w:p w14:paraId="48C899F9" w14:textId="026A1633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c</w:t>
      </w:r>
      <w:r w:rsidRPr="007F6445">
        <w:t>)</w:t>
      </w:r>
      <w:r w:rsidRPr="007F6445">
        <w:tab/>
        <w:t xml:space="preserve">the commission and the public sector standards commissioner to establish a relationship protocol to help ensure </w:t>
      </w:r>
      <w:r w:rsidR="006C6511" w:rsidRPr="007F6445">
        <w:t xml:space="preserve">public </w:t>
      </w:r>
      <w:r w:rsidR="00AD711D" w:rsidRPr="007F6445">
        <w:t>servant</w:t>
      </w:r>
      <w:r w:rsidR="006C6511" w:rsidRPr="007F6445">
        <w:t xml:space="preserve"> </w:t>
      </w:r>
      <w:r w:rsidRPr="007F6445">
        <w:t>complaints are dealt with promptly and efficiently;</w:t>
      </w:r>
    </w:p>
    <w:p w14:paraId="52C7CA76" w14:textId="164CAA16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d</w:t>
      </w:r>
      <w:r w:rsidRPr="007F6445">
        <w:t>)</w:t>
      </w:r>
      <w:r w:rsidRPr="007F6445">
        <w:tab/>
        <w:t>the commission not to make a final prohibition or condition order in relation to a</w:t>
      </w:r>
      <w:r w:rsidR="006C6511" w:rsidRPr="007F6445">
        <w:t xml:space="preserve"> public serv</w:t>
      </w:r>
      <w:r w:rsidR="00AD711D" w:rsidRPr="007F6445">
        <w:t>ant</w:t>
      </w:r>
      <w:r w:rsidRPr="007F6445">
        <w:t xml:space="preserve"> complaint while a misconduct procedure is being conducted, without the agreement of the public sector standards commissioner;</w:t>
      </w:r>
    </w:p>
    <w:p w14:paraId="55AEE503" w14:textId="5CEAAC0D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e</w:t>
      </w:r>
      <w:r w:rsidRPr="007F6445">
        <w:t>)</w:t>
      </w:r>
      <w:r w:rsidRPr="007F6445">
        <w:tab/>
        <w:t>the commission to be able to extend the period an interim order is in force</w:t>
      </w:r>
      <w:r w:rsidR="004E5726" w:rsidRPr="007F6445">
        <w:t xml:space="preserve"> while a misconduct procedure is conducted</w:t>
      </w:r>
      <w:r w:rsidRPr="007F6445">
        <w:t>.</w:t>
      </w:r>
    </w:p>
    <w:p w14:paraId="7E7282C2" w14:textId="77777777" w:rsidR="0088737E" w:rsidRDefault="00494CC8" w:rsidP="00D96812">
      <w:pPr>
        <w:pStyle w:val="IMain"/>
      </w:pPr>
      <w:r w:rsidRPr="007F6445">
        <w:tab/>
        <w:t>(</w:t>
      </w:r>
      <w:r w:rsidR="00062CCA" w:rsidRPr="007F6445">
        <w:t>6</w:t>
      </w:r>
      <w:r w:rsidRPr="007F6445">
        <w:t>)</w:t>
      </w:r>
      <w:r w:rsidRPr="007F6445">
        <w:tab/>
      </w:r>
      <w:r w:rsidR="00D96812" w:rsidRPr="007F6445">
        <w:t>A proce</w:t>
      </w:r>
      <w:r w:rsidR="008D25A7" w:rsidRPr="007F6445">
        <w:t>ss</w:t>
      </w:r>
      <w:r w:rsidR="00D96812" w:rsidRPr="007F6445">
        <w:t xml:space="preserve"> is a disallowable instrument.</w:t>
      </w:r>
    </w:p>
    <w:p w14:paraId="25F0CF6D" w14:textId="16C42956" w:rsidR="00D96812" w:rsidRPr="007F6445" w:rsidRDefault="00D96812" w:rsidP="00D96812">
      <w:pPr>
        <w:pStyle w:val="IMain"/>
      </w:pPr>
      <w:r w:rsidRPr="007F6445">
        <w:tab/>
        <w:t>(</w:t>
      </w:r>
      <w:r w:rsidR="00234406" w:rsidRPr="007F6445">
        <w:t>7</w:t>
      </w:r>
      <w:r w:rsidRPr="007F6445">
        <w:t>)</w:t>
      </w:r>
      <w:r w:rsidRPr="007F6445">
        <w:tab/>
        <w:t>In this section:</w:t>
      </w:r>
    </w:p>
    <w:p w14:paraId="22524DAF" w14:textId="1C4EEF07" w:rsidR="00D96812" w:rsidRPr="007F6445" w:rsidRDefault="00D96812" w:rsidP="00E459B3">
      <w:pPr>
        <w:pStyle w:val="aDef"/>
      </w:pPr>
      <w:r w:rsidRPr="00DB0430">
        <w:rPr>
          <w:rStyle w:val="charBoldItals"/>
        </w:rPr>
        <w:t>misconduct procedure</w:t>
      </w:r>
      <w:r w:rsidRPr="007F6445">
        <w:t xml:space="preserve"> means a misconduct procedure under the </w:t>
      </w:r>
      <w:hyperlink r:id="rId29" w:tooltip="A1994-37" w:history="1">
        <w:r w:rsidR="00DB0430" w:rsidRPr="00DB0430">
          <w:rPr>
            <w:rStyle w:val="charCitHyperlinkItal"/>
          </w:rPr>
          <w:t>Public Sector Management Act 1994</w:t>
        </w:r>
      </w:hyperlink>
      <w:r w:rsidRPr="00DB0430">
        <w:rPr>
          <w:rStyle w:val="charItals"/>
        </w:rPr>
        <w:t xml:space="preserve"> </w:t>
      </w:r>
      <w:r w:rsidRPr="007F6445">
        <w:t>or an enterprise agreement</w:t>
      </w:r>
      <w:r w:rsidR="003535EE" w:rsidRPr="007F6445">
        <w:t xml:space="preserve"> approved under the </w:t>
      </w:r>
      <w:hyperlink r:id="rId30" w:tooltip="Act No 28 of 2009 (Cwlth)" w:history="1">
        <w:r w:rsidR="00293E9A" w:rsidRPr="00293E9A">
          <w:rPr>
            <w:rStyle w:val="charCitHyperlinkItal"/>
          </w:rPr>
          <w:t>Fair Work Act 2009</w:t>
        </w:r>
      </w:hyperlink>
      <w:r w:rsidR="003535EE" w:rsidRPr="00DB0430">
        <w:rPr>
          <w:rStyle w:val="charItals"/>
        </w:rPr>
        <w:t xml:space="preserve"> </w:t>
      </w:r>
      <w:r w:rsidR="003535EE" w:rsidRPr="007F6445">
        <w:t>(Cwlth)</w:t>
      </w:r>
      <w:r w:rsidRPr="007F6445">
        <w:t>.</w:t>
      </w:r>
    </w:p>
    <w:p w14:paraId="32B8C6FD" w14:textId="6859C9C8" w:rsidR="00496770" w:rsidRPr="007F6445" w:rsidRDefault="00496770" w:rsidP="0044269E">
      <w:pPr>
        <w:pStyle w:val="IH5Sec"/>
      </w:pPr>
      <w:r w:rsidRPr="007F6445">
        <w:lastRenderedPageBreak/>
        <w:t>94</w:t>
      </w:r>
      <w:r w:rsidR="002A03F7" w:rsidRPr="007F6445">
        <w:t>E</w:t>
      </w:r>
      <w:r w:rsidRPr="007F6445">
        <w:tab/>
        <w:t>Code of conduct breach by public servants—information sharing</w:t>
      </w:r>
    </w:p>
    <w:p w14:paraId="02B96955" w14:textId="0041777E" w:rsidR="00496770" w:rsidRPr="007F6445" w:rsidRDefault="00DB1FC7" w:rsidP="005E6EAF">
      <w:pPr>
        <w:pStyle w:val="IMain"/>
        <w:keepLines/>
      </w:pPr>
      <w:r w:rsidRPr="007F6445">
        <w:tab/>
        <w:t>(1)</w:t>
      </w:r>
      <w:r w:rsidRPr="007F6445">
        <w:tab/>
      </w:r>
      <w:r w:rsidR="000E33C5" w:rsidRPr="007F6445">
        <w:t xml:space="preserve">The commission may disclose any information that has been disclosed to, or obtained by, the commission in the </w:t>
      </w:r>
      <w:r w:rsidR="003B7B02" w:rsidRPr="007F6445">
        <w:t xml:space="preserve">consideration of a </w:t>
      </w:r>
      <w:r w:rsidR="00AD711D" w:rsidRPr="007F6445">
        <w:t xml:space="preserve">public servant </w:t>
      </w:r>
      <w:r w:rsidR="003B7B02" w:rsidRPr="007F6445">
        <w:t>complaint</w:t>
      </w:r>
      <w:r w:rsidR="000E33C5" w:rsidRPr="007F6445">
        <w:t xml:space="preserve"> to an information sharing entity if the commission considers that—</w:t>
      </w:r>
    </w:p>
    <w:p w14:paraId="479AD15D" w14:textId="38DD375E" w:rsidR="000E33C5" w:rsidRPr="007F6445" w:rsidRDefault="000E33C5" w:rsidP="000E33C5">
      <w:pPr>
        <w:pStyle w:val="Ipara"/>
      </w:pPr>
      <w:r w:rsidRPr="007F6445">
        <w:tab/>
        <w:t>(a)</w:t>
      </w:r>
      <w:r w:rsidRPr="007F6445">
        <w:tab/>
        <w:t xml:space="preserve">the information is relevant to the exercise of the information </w:t>
      </w:r>
      <w:r w:rsidR="002A03F7" w:rsidRPr="007F6445">
        <w:t xml:space="preserve">sharing </w:t>
      </w:r>
      <w:r w:rsidRPr="007F6445">
        <w:t>entity’s functions; and</w:t>
      </w:r>
    </w:p>
    <w:p w14:paraId="1174FDCC" w14:textId="5C7B79F8" w:rsidR="000E33C5" w:rsidRPr="007F6445" w:rsidRDefault="000E33C5" w:rsidP="000E33C5">
      <w:pPr>
        <w:pStyle w:val="Ipara"/>
      </w:pPr>
      <w:r w:rsidRPr="007F6445">
        <w:tab/>
        <w:t>(b)</w:t>
      </w:r>
      <w:r w:rsidRPr="007F6445">
        <w:tab/>
        <w:t>the disclosure of the information to the information sharing entity is appropriate.</w:t>
      </w:r>
    </w:p>
    <w:p w14:paraId="5F0C8AA8" w14:textId="0D2191EC" w:rsidR="00C31ED5" w:rsidRPr="007F6445" w:rsidRDefault="00C31ED5" w:rsidP="00C31ED5">
      <w:pPr>
        <w:pStyle w:val="IMain"/>
      </w:pPr>
      <w:r w:rsidRPr="007F6445">
        <w:tab/>
        <w:t>(2)</w:t>
      </w:r>
      <w:r w:rsidRPr="007F6445">
        <w:tab/>
        <w:t>An information sharing entity</w:t>
      </w:r>
      <w:r w:rsidR="00961DEA" w:rsidRPr="007F6445">
        <w:t xml:space="preserve"> may disclose any information held by the entity</w:t>
      </w:r>
      <w:r w:rsidR="00DA5476" w:rsidRPr="007F6445">
        <w:t xml:space="preserve"> to the commission if the entity considers that—</w:t>
      </w:r>
    </w:p>
    <w:p w14:paraId="2B8D0E63" w14:textId="0AD5E345" w:rsidR="00DA5476" w:rsidRPr="007F6445" w:rsidRDefault="00DA5476" w:rsidP="00DA5476">
      <w:pPr>
        <w:pStyle w:val="Ipara"/>
      </w:pPr>
      <w:r w:rsidRPr="007F6445">
        <w:tab/>
        <w:t>(a)</w:t>
      </w:r>
      <w:r w:rsidRPr="007F6445">
        <w:tab/>
        <w:t>the information is relevant to the</w:t>
      </w:r>
      <w:r w:rsidR="001C2ACB" w:rsidRPr="007F6445">
        <w:t xml:space="preserve"> commission</w:t>
      </w:r>
      <w:r w:rsidR="00AF4DF2" w:rsidRPr="007F6445">
        <w:t>’</w:t>
      </w:r>
      <w:r w:rsidR="001C2ACB" w:rsidRPr="007F6445">
        <w:t>s</w:t>
      </w:r>
      <w:r w:rsidRPr="007F6445">
        <w:t xml:space="preserve"> </w:t>
      </w:r>
      <w:r w:rsidR="001C2ACB" w:rsidRPr="007F6445">
        <w:t xml:space="preserve">consideration of a </w:t>
      </w:r>
      <w:r w:rsidR="00B237D0" w:rsidRPr="007F6445">
        <w:t xml:space="preserve">public servant </w:t>
      </w:r>
      <w:r w:rsidR="001C2ACB" w:rsidRPr="007F6445">
        <w:t>complaint</w:t>
      </w:r>
      <w:r w:rsidRPr="007F6445">
        <w:t>; and</w:t>
      </w:r>
    </w:p>
    <w:p w14:paraId="07316A12" w14:textId="77777777" w:rsidR="0088737E" w:rsidRDefault="00DA5476" w:rsidP="00DA5476">
      <w:pPr>
        <w:pStyle w:val="Ipara"/>
      </w:pPr>
      <w:r w:rsidRPr="007F6445">
        <w:tab/>
        <w:t>(b)</w:t>
      </w:r>
      <w:r w:rsidRPr="007F6445">
        <w:tab/>
        <w:t>the disclosure of the information to the commission is appropriate.</w:t>
      </w:r>
    </w:p>
    <w:p w14:paraId="1D601F96" w14:textId="0A0F475D" w:rsidR="000E33C5" w:rsidRPr="007F6445" w:rsidRDefault="000E33C5" w:rsidP="000E33C5">
      <w:pPr>
        <w:pStyle w:val="IMain"/>
      </w:pPr>
      <w:r w:rsidRPr="007F6445">
        <w:tab/>
        <w:t>(</w:t>
      </w:r>
      <w:r w:rsidR="00292BCD" w:rsidRPr="007F6445">
        <w:t>3</w:t>
      </w:r>
      <w:r w:rsidRPr="007F6445">
        <w:t>)</w:t>
      </w:r>
      <w:r w:rsidRPr="007F6445">
        <w:tab/>
        <w:t>In this section:</w:t>
      </w:r>
    </w:p>
    <w:p w14:paraId="1C6FB9A1" w14:textId="5785292B" w:rsidR="00C31ED5" w:rsidRPr="007F6445" w:rsidRDefault="00C31ED5" w:rsidP="00E459B3">
      <w:pPr>
        <w:pStyle w:val="aDef"/>
      </w:pPr>
      <w:r w:rsidRPr="00DB0430">
        <w:rPr>
          <w:rStyle w:val="charBoldItals"/>
        </w:rPr>
        <w:t>head</w:t>
      </w:r>
      <w:r w:rsidRPr="007F6445">
        <w:t xml:space="preserve">, of </w:t>
      </w:r>
      <w:r w:rsidR="00292BCD" w:rsidRPr="007F6445">
        <w:t>a public service</w:t>
      </w:r>
      <w:r w:rsidRPr="007F6445">
        <w:t xml:space="preserve"> entity</w:t>
      </w:r>
      <w:r w:rsidR="00292BCD" w:rsidRPr="007F6445">
        <w:t>, means</w:t>
      </w:r>
      <w:r w:rsidR="00BA4F52" w:rsidRPr="007F6445">
        <w:t>—</w:t>
      </w:r>
    </w:p>
    <w:p w14:paraId="2A893448" w14:textId="3E2EBFA7" w:rsidR="00BA4F52" w:rsidRPr="007F6445" w:rsidRDefault="00BA4F52" w:rsidP="00BA4F52">
      <w:pPr>
        <w:pStyle w:val="Idefpara"/>
      </w:pPr>
      <w:r w:rsidRPr="007F6445">
        <w:tab/>
        <w:t>(a)</w:t>
      </w:r>
      <w:r w:rsidRPr="007F6445">
        <w:tab/>
        <w:t>for the public service—the head of service; and</w:t>
      </w:r>
    </w:p>
    <w:p w14:paraId="227B344C" w14:textId="473A81B5" w:rsidR="00BA4F52" w:rsidRPr="007F6445" w:rsidRDefault="00BA4F52" w:rsidP="00BA4F52">
      <w:pPr>
        <w:pStyle w:val="Idefpara"/>
      </w:pPr>
      <w:r w:rsidRPr="007F6445">
        <w:tab/>
        <w:t>(b)</w:t>
      </w:r>
      <w:r w:rsidRPr="007F6445">
        <w:tab/>
        <w:t>for an administrative unit—the director-general of the administrative unit; and</w:t>
      </w:r>
    </w:p>
    <w:p w14:paraId="2A8ECEA7" w14:textId="68946A7F" w:rsidR="00BA4F52" w:rsidRPr="007F6445" w:rsidRDefault="00BA4F52" w:rsidP="00BA4F52">
      <w:pPr>
        <w:pStyle w:val="Idefpara"/>
      </w:pPr>
      <w:r w:rsidRPr="007F6445">
        <w:tab/>
        <w:t>(c)</w:t>
      </w:r>
      <w:r w:rsidRPr="007F6445">
        <w:tab/>
        <w:t>for a statutory office-holder—the statutory office-holder</w:t>
      </w:r>
      <w:r w:rsidR="00D50EF2" w:rsidRPr="007F6445">
        <w:t>.</w:t>
      </w:r>
    </w:p>
    <w:p w14:paraId="5FB911B2" w14:textId="5F2DA0AE" w:rsidR="000E33C5" w:rsidRPr="007F6445" w:rsidRDefault="000E33C5" w:rsidP="00E459B3">
      <w:pPr>
        <w:pStyle w:val="aDef"/>
      </w:pPr>
      <w:r w:rsidRPr="00DB0430">
        <w:rPr>
          <w:rStyle w:val="charBoldItals"/>
        </w:rPr>
        <w:t xml:space="preserve">information sharing entity </w:t>
      </w:r>
      <w:r w:rsidRPr="007F6445">
        <w:rPr>
          <w:bCs/>
          <w:iCs/>
        </w:rPr>
        <w:t xml:space="preserve">means </w:t>
      </w:r>
      <w:r w:rsidR="0029518E" w:rsidRPr="007F6445">
        <w:t>either of the following:</w:t>
      </w:r>
    </w:p>
    <w:p w14:paraId="791F9D8C" w14:textId="35F73C9A" w:rsidR="003B7B02" w:rsidRPr="007F6445" w:rsidRDefault="000E33C5" w:rsidP="000E33C5">
      <w:pPr>
        <w:pStyle w:val="Idefpara"/>
      </w:pPr>
      <w:r w:rsidRPr="007F6445">
        <w:tab/>
        <w:t>(a)</w:t>
      </w:r>
      <w:r w:rsidRPr="007F6445">
        <w:tab/>
      </w:r>
      <w:r w:rsidR="003B7B02" w:rsidRPr="007F6445">
        <w:t>the public sector standards commissioner;</w:t>
      </w:r>
    </w:p>
    <w:p w14:paraId="791A9953" w14:textId="3FA718A1" w:rsidR="000E33C5" w:rsidRPr="007F6445" w:rsidRDefault="003B7B02" w:rsidP="000E33C5">
      <w:pPr>
        <w:pStyle w:val="Idefpara"/>
      </w:pPr>
      <w:r w:rsidRPr="007F6445">
        <w:tab/>
        <w:t>(b)</w:t>
      </w:r>
      <w:r w:rsidRPr="007F6445">
        <w:tab/>
      </w:r>
      <w:r w:rsidR="00960D0C" w:rsidRPr="007F6445">
        <w:t xml:space="preserve">the head of a public </w:t>
      </w:r>
      <w:r w:rsidR="00BA4F52" w:rsidRPr="007F6445">
        <w:t>service</w:t>
      </w:r>
      <w:r w:rsidR="00960D0C" w:rsidRPr="007F6445">
        <w:t xml:space="preserve"> entity</w:t>
      </w:r>
      <w:r w:rsidR="0029518E" w:rsidRPr="007F6445">
        <w:t>.</w:t>
      </w:r>
    </w:p>
    <w:p w14:paraId="7939532B" w14:textId="7F923E0D" w:rsidR="0044269E" w:rsidRPr="007F6445" w:rsidRDefault="0044269E" w:rsidP="0044269E">
      <w:pPr>
        <w:pStyle w:val="IH5Sec"/>
      </w:pPr>
      <w:r w:rsidRPr="007F6445">
        <w:lastRenderedPageBreak/>
        <w:t>94</w:t>
      </w:r>
      <w:r w:rsidR="00E253F5" w:rsidRPr="007F6445">
        <w:t>F</w:t>
      </w:r>
      <w:r w:rsidRPr="007F6445">
        <w:tab/>
        <w:t>Principles for making prohibition or condition order or public statement</w:t>
      </w:r>
    </w:p>
    <w:p w14:paraId="2738A38A" w14:textId="7F29B99F" w:rsidR="0044269E" w:rsidRPr="007F6445" w:rsidRDefault="0044269E" w:rsidP="0044269E">
      <w:pPr>
        <w:pStyle w:val="Amainreturn"/>
      </w:pPr>
      <w:r w:rsidRPr="007F6445">
        <w:t>In making a prohibition or condition order or public statement, the commission—</w:t>
      </w:r>
    </w:p>
    <w:p w14:paraId="42E6B5FB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must act with as little formality as reasonably practicable; and</w:t>
      </w:r>
    </w:p>
    <w:p w14:paraId="27E037A6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is bound by the rules of natural justice; and</w:t>
      </w:r>
    </w:p>
    <w:p w14:paraId="5FC3B07F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is not bound by the rules of evidence; and</w:t>
      </w:r>
    </w:p>
    <w:p w14:paraId="7156E621" w14:textId="19503385" w:rsidR="0044269E" w:rsidRPr="007F6445" w:rsidRDefault="0044269E" w:rsidP="00E459B3">
      <w:pPr>
        <w:pStyle w:val="Ipara"/>
        <w:keepNext/>
      </w:pPr>
      <w:r w:rsidRPr="007F6445">
        <w:tab/>
        <w:t>(d)</w:t>
      </w:r>
      <w:r w:rsidRPr="007F6445">
        <w:tab/>
        <w:t>before making a decision affecting a person, must give the person an opportunity to make submissions to the commission about the decision.</w:t>
      </w:r>
    </w:p>
    <w:p w14:paraId="2DC772B4" w14:textId="77777777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>The commission must deal with complaints promptly and efficiently (see s 45).</w:t>
      </w:r>
    </w:p>
    <w:p w14:paraId="578840D3" w14:textId="02C7F545" w:rsidR="0044269E" w:rsidRPr="007F6445" w:rsidRDefault="0044269E" w:rsidP="0044269E">
      <w:pPr>
        <w:pStyle w:val="IH5Sec"/>
      </w:pPr>
      <w:r w:rsidRPr="007F6445">
        <w:t>94</w:t>
      </w:r>
      <w:r w:rsidR="00E253F5" w:rsidRPr="007F6445">
        <w:t>G</w:t>
      </w:r>
      <w:r w:rsidRPr="007F6445">
        <w:tab/>
        <w:t xml:space="preserve">Interim prohibition </w:t>
      </w:r>
      <w:r w:rsidRPr="007F6445">
        <w:rPr>
          <w:lang w:eastAsia="en-AU"/>
        </w:rPr>
        <w:t xml:space="preserve">or condition </w:t>
      </w:r>
      <w:r w:rsidRPr="007F6445">
        <w:t>order</w:t>
      </w:r>
    </w:p>
    <w:p w14:paraId="212BCBE6" w14:textId="44B68D51" w:rsidR="0044269E" w:rsidRPr="007F6445" w:rsidRDefault="0044269E" w:rsidP="0044269E">
      <w:pPr>
        <w:pStyle w:val="IMain"/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</w:t>
      </w:r>
      <w:r w:rsidRPr="007F6445">
        <w:t xml:space="preserve">prohibition </w:t>
      </w:r>
      <w:r w:rsidRPr="007F6445">
        <w:rPr>
          <w:lang w:eastAsia="en-AU"/>
        </w:rPr>
        <w:t>or condition order in relation to a health care worker for a stated period of not more than 8</w:t>
      </w:r>
      <w:r w:rsidR="0008427A">
        <w:rPr>
          <w:lang w:eastAsia="en-AU"/>
        </w:rPr>
        <w:t> </w:t>
      </w:r>
      <w:r w:rsidRPr="007F6445">
        <w:rPr>
          <w:lang w:eastAsia="en-AU"/>
        </w:rPr>
        <w:t xml:space="preserve">weeks (an </w:t>
      </w:r>
      <w:r w:rsidRPr="00DB0430">
        <w:rPr>
          <w:rStyle w:val="charBoldItals"/>
        </w:rPr>
        <w:t>interim order</w:t>
      </w:r>
      <w:r w:rsidRPr="007F6445">
        <w:rPr>
          <w:lang w:eastAsia="en-AU"/>
        </w:rPr>
        <w:t>) if the commission—</w:t>
      </w:r>
    </w:p>
    <w:p w14:paraId="283A09F4" w14:textId="77777777" w:rsidR="0044269E" w:rsidRPr="007F6445" w:rsidRDefault="0044269E" w:rsidP="0044269E">
      <w:pPr>
        <w:pStyle w:val="Ipara"/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is considering a complaint in relation to the health care worker</w:t>
      </w:r>
      <w:r w:rsidRPr="007F6445">
        <w:t>; and</w:t>
      </w:r>
    </w:p>
    <w:p w14:paraId="559C8F7C" w14:textId="77777777" w:rsidR="0044269E" w:rsidRPr="007F6445" w:rsidRDefault="0044269E" w:rsidP="0044269E">
      <w:pPr>
        <w:pStyle w:val="Ipara"/>
        <w:rPr>
          <w:szCs w:val="24"/>
          <w:lang w:eastAsia="en-AU"/>
        </w:rPr>
      </w:pPr>
      <w:r w:rsidRPr="007F6445">
        <w:rPr>
          <w:szCs w:val="24"/>
          <w:lang w:eastAsia="en-AU"/>
        </w:rPr>
        <w:tab/>
        <w:t>(b)</w:t>
      </w:r>
      <w:r w:rsidRPr="007F6445">
        <w:rPr>
          <w:szCs w:val="24"/>
          <w:lang w:eastAsia="en-AU"/>
        </w:rPr>
        <w:tab/>
        <w:t>believes on reasonable grounds that—</w:t>
      </w:r>
    </w:p>
    <w:p w14:paraId="72396A93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szCs w:val="24"/>
          <w:lang w:eastAsia="en-AU"/>
        </w:rPr>
        <w:tab/>
        <w:t>(i)</w:t>
      </w:r>
      <w:r w:rsidRPr="007F6445">
        <w:rPr>
          <w:szCs w:val="24"/>
          <w:lang w:eastAsia="en-AU"/>
        </w:rPr>
        <w:tab/>
      </w:r>
      <w:r w:rsidRPr="007F6445">
        <w:rPr>
          <w:lang w:eastAsia="en-AU"/>
        </w:rPr>
        <w:t xml:space="preserve">the </w:t>
      </w:r>
      <w:r w:rsidRPr="007F6445">
        <w:t>health care worker</w:t>
      </w:r>
      <w:r w:rsidRPr="007F6445">
        <w:rPr>
          <w:lang w:eastAsia="en-AU"/>
        </w:rPr>
        <w:t xml:space="preserve"> acted inconsistently with the </w:t>
      </w:r>
      <w:r w:rsidRPr="007F6445">
        <w:t>code of conduct;</w:t>
      </w:r>
      <w:r w:rsidRPr="007F6445">
        <w:rPr>
          <w:lang w:eastAsia="en-AU"/>
        </w:rPr>
        <w:t xml:space="preserve"> and</w:t>
      </w:r>
    </w:p>
    <w:p w14:paraId="1FBA8423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 xml:space="preserve">there would be a serious risk to the health or safety of the public if the </w:t>
      </w:r>
      <w:r w:rsidRPr="007F6445">
        <w:t>health care worker</w:t>
      </w:r>
      <w:r w:rsidRPr="007F6445">
        <w:rPr>
          <w:lang w:eastAsia="en-AU"/>
        </w:rPr>
        <w:t xml:space="preserve"> continued to provide a health service.</w:t>
      </w:r>
    </w:p>
    <w:p w14:paraId="6DA16C9A" w14:textId="77777777" w:rsidR="0088737E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The period of the interim order must not be longer than the period reasonably required for the commission to decide if a final prohibition</w:t>
      </w:r>
      <w:r w:rsidR="00B32D53" w:rsidRPr="007F6445">
        <w:rPr>
          <w:lang w:eastAsia="en-AU"/>
        </w:rPr>
        <w:t xml:space="preserve"> or condition</w:t>
      </w:r>
      <w:r w:rsidRPr="007F6445">
        <w:rPr>
          <w:lang w:eastAsia="en-AU"/>
        </w:rPr>
        <w:t xml:space="preserve"> order is required.</w:t>
      </w:r>
    </w:p>
    <w:p w14:paraId="18CE73F3" w14:textId="0DBED942" w:rsidR="007616DD" w:rsidRPr="007F6445" w:rsidRDefault="007616DD" w:rsidP="0044269E">
      <w:pPr>
        <w:pStyle w:val="IMain"/>
        <w:rPr>
          <w:lang w:eastAsia="en-AU"/>
        </w:rPr>
      </w:pPr>
      <w:r w:rsidRPr="007F6445">
        <w:rPr>
          <w:lang w:eastAsia="en-AU"/>
        </w:rPr>
        <w:lastRenderedPageBreak/>
        <w:tab/>
        <w:t>(3)</w:t>
      </w:r>
      <w:r w:rsidRPr="007F6445">
        <w:rPr>
          <w:lang w:eastAsia="en-AU"/>
        </w:rPr>
        <w:tab/>
        <w:t xml:space="preserve">For a </w:t>
      </w:r>
      <w:r w:rsidR="00A97B2C" w:rsidRPr="007F6445">
        <w:rPr>
          <w:lang w:eastAsia="en-AU"/>
        </w:rPr>
        <w:t xml:space="preserve">public servant </w:t>
      </w:r>
      <w:r w:rsidRPr="007F6445">
        <w:rPr>
          <w:lang w:eastAsia="en-AU"/>
        </w:rPr>
        <w:t>complaint, the period of an interim order may be affected by the process determined under section</w:t>
      </w:r>
      <w:r w:rsidR="00A97B2C" w:rsidRPr="007F6445">
        <w:rPr>
          <w:lang w:eastAsia="en-AU"/>
        </w:rPr>
        <w:t xml:space="preserve"> 94D</w:t>
      </w:r>
      <w:r w:rsidRPr="007F6445">
        <w:rPr>
          <w:lang w:eastAsia="en-AU"/>
        </w:rPr>
        <w:t>.</w:t>
      </w:r>
    </w:p>
    <w:p w14:paraId="3678944C" w14:textId="3BD3C212" w:rsidR="0044269E" w:rsidRPr="007F6445" w:rsidRDefault="0044269E" w:rsidP="00E459B3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</w:t>
      </w:r>
      <w:r w:rsidR="009272E6" w:rsidRPr="007F6445">
        <w:rPr>
          <w:lang w:eastAsia="en-AU"/>
        </w:rPr>
        <w:t>4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As soon as practicable after making an interim order, the commission must give a copy of the order to the health care worker.</w:t>
      </w:r>
    </w:p>
    <w:p w14:paraId="4ADDF89B" w14:textId="661B5111" w:rsidR="0044269E" w:rsidRPr="00DB0430" w:rsidRDefault="0044269E" w:rsidP="0044269E">
      <w:pPr>
        <w:pStyle w:val="aNote"/>
      </w:pPr>
      <w:r w:rsidRPr="007F6445">
        <w:rPr>
          <w:rStyle w:val="charItals"/>
        </w:rPr>
        <w:t>Note</w:t>
      </w:r>
      <w:r w:rsidRPr="007F6445">
        <w:rPr>
          <w:rStyle w:val="charItals"/>
        </w:rPr>
        <w:tab/>
      </w:r>
      <w:r w:rsidRPr="00DB0430">
        <w:t xml:space="preserve">The commission must also give the health care worker </w:t>
      </w:r>
      <w:r w:rsidRPr="007F6445">
        <w:rPr>
          <w:lang w:eastAsia="en-AU"/>
        </w:rPr>
        <w:t>a statement of reasons (see s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94</w:t>
      </w:r>
      <w:r w:rsidR="00E253F5" w:rsidRPr="007F6445">
        <w:rPr>
          <w:lang w:eastAsia="en-AU"/>
        </w:rPr>
        <w:t>J</w:t>
      </w:r>
      <w:r w:rsidRPr="007F6445">
        <w:rPr>
          <w:lang w:eastAsia="en-AU"/>
        </w:rPr>
        <w:t>).</w:t>
      </w:r>
    </w:p>
    <w:p w14:paraId="048DC813" w14:textId="13BF77A0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</w:t>
      </w:r>
      <w:r w:rsidR="009272E6" w:rsidRPr="007F6445">
        <w:rPr>
          <w:lang w:eastAsia="en-AU"/>
        </w:rPr>
        <w:t>5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commission may give a copy of an interim order to—</w:t>
      </w:r>
    </w:p>
    <w:p w14:paraId="4E4122EB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and</w:t>
      </w:r>
    </w:p>
    <w:p w14:paraId="33E57D0B" w14:textId="2C3C4855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another person if satisfied on reasonable grounds </w:t>
      </w:r>
      <w:r w:rsidR="0019262D" w:rsidRPr="007F6445">
        <w:rPr>
          <w:lang w:eastAsia="en-AU"/>
        </w:rPr>
        <w:t>that i</w:t>
      </w:r>
      <w:r w:rsidRPr="007F6445">
        <w:rPr>
          <w:lang w:eastAsia="en-AU"/>
        </w:rPr>
        <w:t>t is in the interest of the health or safety of the public to do so.</w:t>
      </w:r>
    </w:p>
    <w:p w14:paraId="05FAE983" w14:textId="49A21F66" w:rsidR="00015D6C" w:rsidRPr="007F6445" w:rsidRDefault="00015D6C" w:rsidP="00093D28">
      <w:pPr>
        <w:pStyle w:val="aExamHdgpar"/>
      </w:pPr>
      <w:r w:rsidRPr="007F6445">
        <w:t>Example</w:t>
      </w:r>
      <w:r w:rsidR="00B32D53" w:rsidRPr="007F6445">
        <w:t>s</w:t>
      </w:r>
      <w:r w:rsidRPr="007F6445">
        <w:t>—par (b)</w:t>
      </w:r>
    </w:p>
    <w:p w14:paraId="05DD0A41" w14:textId="24BDCDC7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the health care worker’s employer</w:t>
      </w:r>
    </w:p>
    <w:p w14:paraId="0BDF13EB" w14:textId="5C578608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a related health service provider</w:t>
      </w:r>
    </w:p>
    <w:p w14:paraId="080BC99C" w14:textId="09A6BAC3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a client</w:t>
      </w:r>
    </w:p>
    <w:p w14:paraId="474211BB" w14:textId="3D95DB1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H</w:t>
      </w:r>
      <w:r w:rsidRPr="007F6445">
        <w:tab/>
        <w:t xml:space="preserve">Final prohibition </w:t>
      </w:r>
      <w:r w:rsidRPr="007F6445">
        <w:rPr>
          <w:lang w:eastAsia="en-AU"/>
        </w:rPr>
        <w:t>or condition</w:t>
      </w:r>
      <w:r w:rsidRPr="007F6445">
        <w:t xml:space="preserve"> order</w:t>
      </w:r>
    </w:p>
    <w:p w14:paraId="4CAF0548" w14:textId="24C292F4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</w:t>
      </w:r>
      <w:r w:rsidRPr="007F6445">
        <w:t xml:space="preserve">prohibition </w:t>
      </w:r>
      <w:r w:rsidRPr="007F6445">
        <w:rPr>
          <w:lang w:eastAsia="en-AU"/>
        </w:rPr>
        <w:t>or condition order in relation to a health care worker for a stated period, including a permanent order</w:t>
      </w:r>
      <w:r w:rsidR="008647B6" w:rsidRPr="007F6445">
        <w:rPr>
          <w:lang w:eastAsia="en-AU"/>
        </w:rPr>
        <w:t>,</w:t>
      </w:r>
      <w:r w:rsidRPr="007F6445">
        <w:rPr>
          <w:lang w:eastAsia="en-AU"/>
        </w:rPr>
        <w:t xml:space="preserve"> (a </w:t>
      </w:r>
      <w:r w:rsidRPr="00DB0430">
        <w:rPr>
          <w:rStyle w:val="charBoldItals"/>
        </w:rPr>
        <w:t>final order</w:t>
      </w:r>
      <w:r w:rsidRPr="007F6445">
        <w:rPr>
          <w:lang w:eastAsia="en-AU"/>
        </w:rPr>
        <w:t>) if—</w:t>
      </w:r>
    </w:p>
    <w:p w14:paraId="716A6688" w14:textId="6560A32A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szCs w:val="24"/>
          <w:lang w:eastAsia="en-AU"/>
        </w:rPr>
        <w:tab/>
        <w:t>(a)</w:t>
      </w:r>
      <w:r w:rsidRPr="007F6445">
        <w:rPr>
          <w:szCs w:val="24"/>
          <w:lang w:eastAsia="en-AU"/>
        </w:rPr>
        <w:tab/>
        <w:t xml:space="preserve">the commission is satisfied on reasonable grounds that </w:t>
      </w:r>
      <w:r w:rsidRPr="007F6445">
        <w:rPr>
          <w:lang w:eastAsia="en-AU"/>
        </w:rPr>
        <w:t>there would be a serious risk to the health or safety of the public if the health care worker continued to provide a health service; and</w:t>
      </w:r>
    </w:p>
    <w:p w14:paraId="19EC6545" w14:textId="2CE3EA09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</w:r>
      <w:r w:rsidR="00D6506B" w:rsidRPr="007F6445">
        <w:rPr>
          <w:lang w:eastAsia="en-AU"/>
        </w:rPr>
        <w:t>either</w:t>
      </w:r>
      <w:r w:rsidR="00730FA7" w:rsidRPr="007F6445">
        <w:rPr>
          <w:lang w:eastAsia="en-AU"/>
        </w:rPr>
        <w:t xml:space="preserve"> of the following apply:</w:t>
      </w:r>
    </w:p>
    <w:p w14:paraId="1CF5D745" w14:textId="4B273A24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(i)</w:t>
      </w:r>
      <w:r w:rsidRPr="007F6445">
        <w:rPr>
          <w:lang w:eastAsia="en-AU"/>
        </w:rPr>
        <w:tab/>
        <w:t>the commission—</w:t>
      </w:r>
    </w:p>
    <w:p w14:paraId="1E502552" w14:textId="77777777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has considered a complaint in relation to the health care worker; and</w:t>
      </w:r>
    </w:p>
    <w:p w14:paraId="21BD2BBC" w14:textId="77777777" w:rsidR="0088737E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is satisfied on reasonable grounds that the health care worker acted inconsistently with the code of conduct;</w:t>
      </w:r>
    </w:p>
    <w:p w14:paraId="3D5B6857" w14:textId="64D02F8D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lastRenderedPageBreak/>
        <w:tab/>
        <w:t>(ii)</w:t>
      </w:r>
      <w:r w:rsidRPr="007F6445">
        <w:rPr>
          <w:lang w:eastAsia="en-AU"/>
        </w:rPr>
        <w:tab/>
        <w:t>the health care worker is convicted of an offence under any of the following in relation to a health service provided by the health care worker:</w:t>
      </w:r>
    </w:p>
    <w:p w14:paraId="49823424" w14:textId="4FA7A28F" w:rsidR="0088737E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 xml:space="preserve">the </w:t>
      </w:r>
      <w:hyperlink r:id="rId31" w:tooltip="Act No 51 of 1974 (Cwlth)" w:history="1">
        <w:r w:rsidR="00293E9A" w:rsidRPr="00293E9A">
          <w:rPr>
            <w:rStyle w:val="charCitHyperlinkItal"/>
          </w:rPr>
          <w:t>Competition and Consumer Act 2010</w:t>
        </w:r>
      </w:hyperlink>
      <w:r w:rsidRPr="007F6445">
        <w:rPr>
          <w:lang w:eastAsia="en-AU"/>
        </w:rPr>
        <w:t xml:space="preserve"> (Cwlth);</w:t>
      </w:r>
    </w:p>
    <w:p w14:paraId="09DB5C13" w14:textId="397DA741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the </w:t>
      </w:r>
      <w:hyperlink r:id="rId32" w:tooltip="A1992-72" w:history="1">
        <w:r w:rsidR="00DB0430" w:rsidRPr="00DB0430">
          <w:rPr>
            <w:rStyle w:val="charCitHyperlinkItal"/>
          </w:rPr>
          <w:t>Fair Trading (Australian Consumer Law) Act 1992</w:t>
        </w:r>
      </w:hyperlink>
      <w:r w:rsidRPr="007F6445">
        <w:rPr>
          <w:lang w:eastAsia="en-AU"/>
        </w:rPr>
        <w:t>;</w:t>
      </w:r>
    </w:p>
    <w:p w14:paraId="4F62EBAD" w14:textId="49FB987D" w:rsidR="00BE3863" w:rsidRPr="007F6445" w:rsidRDefault="00BE3863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</w:t>
      </w:r>
      <w:r w:rsidR="00307F57" w:rsidRPr="007F6445">
        <w:rPr>
          <w:lang w:eastAsia="en-AU"/>
        </w:rPr>
        <w:t>C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the </w:t>
      </w:r>
      <w:hyperlink r:id="rId33" w:tooltip="A1993-13" w:history="1">
        <w:r w:rsidR="00DB0430" w:rsidRPr="00DB0430">
          <w:rPr>
            <w:rStyle w:val="charCitHyperlinkItal"/>
          </w:rPr>
          <w:t>Health Act 1993</w:t>
        </w:r>
      </w:hyperlink>
      <w:r w:rsidR="00307F57" w:rsidRPr="007F6445">
        <w:rPr>
          <w:lang w:eastAsia="en-AU"/>
        </w:rPr>
        <w:t>, section</w:t>
      </w:r>
      <w:r w:rsidR="005F2291" w:rsidRPr="007F6445">
        <w:rPr>
          <w:lang w:eastAsia="en-AU"/>
        </w:rPr>
        <w:t xml:space="preserve"> </w:t>
      </w:r>
      <w:r w:rsidR="00307F57" w:rsidRPr="007F6445">
        <w:rPr>
          <w:lang w:eastAsia="en-AU"/>
        </w:rPr>
        <w:t>127 (Provision of regulated health service by person not health practitioner);</w:t>
      </w:r>
    </w:p>
    <w:p w14:paraId="73DBBF29" w14:textId="65F3C4F3" w:rsidR="00307F57" w:rsidRPr="007F6445" w:rsidRDefault="00307F57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 xml:space="preserve">the </w:t>
      </w:r>
      <w:hyperlink r:id="rId34" w:history="1">
        <w:r w:rsidR="00536237" w:rsidRPr="00536237">
          <w:rPr>
            <w:rStyle w:val="charCitHyperlinkItal"/>
          </w:rPr>
          <w:t>Health Practitioner Regulation National Law (ACT)</w:t>
        </w:r>
      </w:hyperlink>
      <w:r w:rsidRPr="007F6445">
        <w:rPr>
          <w:lang w:eastAsia="en-AU"/>
        </w:rPr>
        <w:t>, part 7, division 10;</w:t>
      </w:r>
    </w:p>
    <w:p w14:paraId="3F6801F8" w14:textId="117A6B46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</w:t>
      </w:r>
      <w:r w:rsidR="00307F57" w:rsidRPr="007F6445">
        <w:rPr>
          <w:lang w:eastAsia="en-AU"/>
        </w:rPr>
        <w:t>E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</w:t>
      </w:r>
      <w:r w:rsidRPr="00DB0430">
        <w:rPr>
          <w:rStyle w:val="charItals"/>
        </w:rPr>
        <w:t xml:space="preserve"> </w:t>
      </w:r>
      <w:hyperlink r:id="rId35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="001D5FB8" w:rsidRPr="00DB0430">
        <w:rPr>
          <w:rStyle w:val="charItals"/>
        </w:rPr>
        <w:t>.</w:t>
      </w:r>
    </w:p>
    <w:p w14:paraId="1A529ADC" w14:textId="678ED6E0" w:rsidR="00BC6ED7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The period of the final order must not be longer than the period reasonably required to protect the health or safety of the public.</w:t>
      </w:r>
    </w:p>
    <w:p w14:paraId="111396D5" w14:textId="64DC6AF2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However, if the health care worker is a health practitioner, the commission must not make a final order without—</w:t>
      </w:r>
    </w:p>
    <w:p w14:paraId="378E2D7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giving the relevant board for the health practitioner a reasonable opportunity to respond to the proposed order; and</w:t>
      </w:r>
    </w:p>
    <w:p w14:paraId="6473F285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considering the response (if any).</w:t>
      </w:r>
    </w:p>
    <w:p w14:paraId="47253FC1" w14:textId="77777777" w:rsidR="0088737E" w:rsidRDefault="0044269E" w:rsidP="00E459B3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As soon as practicable after making a final order, the commission must give a copy of the order to the health care worker.</w:t>
      </w:r>
    </w:p>
    <w:p w14:paraId="5B2D70E4" w14:textId="23171249" w:rsidR="0044269E" w:rsidRPr="00DB0430" w:rsidRDefault="0044269E" w:rsidP="0044269E">
      <w:pPr>
        <w:pStyle w:val="aNote"/>
      </w:pPr>
      <w:r w:rsidRPr="007F6445">
        <w:rPr>
          <w:rStyle w:val="charItals"/>
        </w:rPr>
        <w:t>Note</w:t>
      </w:r>
      <w:r w:rsidRPr="007F6445">
        <w:rPr>
          <w:rStyle w:val="charItals"/>
        </w:rPr>
        <w:tab/>
      </w:r>
      <w:r w:rsidRPr="00DB0430">
        <w:t>The commission must also give the health care worker</w:t>
      </w:r>
      <w:r w:rsidRPr="007F6445">
        <w:rPr>
          <w:lang w:eastAsia="en-AU"/>
        </w:rPr>
        <w:t xml:space="preserve"> a statement of reasons (see s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94</w:t>
      </w:r>
      <w:r w:rsidR="00E36DC4" w:rsidRPr="007F6445">
        <w:rPr>
          <w:lang w:eastAsia="en-AU"/>
        </w:rPr>
        <w:t>J</w:t>
      </w:r>
      <w:r w:rsidRPr="007F6445">
        <w:rPr>
          <w:lang w:eastAsia="en-AU"/>
        </w:rPr>
        <w:t>).</w:t>
      </w:r>
    </w:p>
    <w:p w14:paraId="29A584FB" w14:textId="6829E4A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The commission may give a copy of a final order to—</w:t>
      </w:r>
    </w:p>
    <w:p w14:paraId="4DEB6BE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or</w:t>
      </w:r>
    </w:p>
    <w:p w14:paraId="5B98154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another person if satisfied on reasonable grounds that it is in the interest of the health or safety of the public to do so.</w:t>
      </w:r>
    </w:p>
    <w:p w14:paraId="6CE8C526" w14:textId="617C63F7" w:rsidR="0044269E" w:rsidRPr="007F6445" w:rsidRDefault="0044269E" w:rsidP="0044269E">
      <w:pPr>
        <w:pStyle w:val="IH5Sec"/>
      </w:pPr>
      <w:r w:rsidRPr="007F6445">
        <w:lastRenderedPageBreak/>
        <w:t>94</w:t>
      </w:r>
      <w:r w:rsidR="00E36DC4" w:rsidRPr="007F6445">
        <w:t>I</w:t>
      </w:r>
      <w:r w:rsidRPr="007F6445">
        <w:tab/>
        <w:t>Public statement about health care worker or health service</w:t>
      </w:r>
    </w:p>
    <w:p w14:paraId="38E03106" w14:textId="5D6FD6FF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public statement in relation to a health care worker if the commission </w:t>
      </w:r>
      <w:r w:rsidRPr="007F6445">
        <w:rPr>
          <w:szCs w:val="24"/>
          <w:lang w:eastAsia="en-AU"/>
        </w:rPr>
        <w:t>believes on reasonable grounds that there</w:t>
      </w:r>
      <w:r w:rsidRPr="007F6445">
        <w:rPr>
          <w:lang w:eastAsia="en-AU"/>
        </w:rPr>
        <w:t xml:space="preserve"> is a serious risk to the health or safety of the public in relation to—</w:t>
      </w:r>
    </w:p>
    <w:p w14:paraId="0BC59484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 health service provided or offered by the health care worker; or</w:t>
      </w:r>
    </w:p>
    <w:p w14:paraId="35DF3D8E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the health care worker being convicted of an offence under any of the following in relation to a health service provided by the health care worker:</w:t>
      </w:r>
    </w:p>
    <w:p w14:paraId="086BF52E" w14:textId="5340844C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(i)</w:t>
      </w:r>
      <w:r w:rsidRPr="007F6445">
        <w:rPr>
          <w:lang w:eastAsia="en-AU"/>
        </w:rPr>
        <w:tab/>
        <w:t xml:space="preserve">the </w:t>
      </w:r>
      <w:hyperlink r:id="rId36" w:tooltip="Act No 51 of 1974 (Cwlth)" w:history="1">
        <w:r w:rsidR="00293E9A" w:rsidRPr="00293E9A">
          <w:rPr>
            <w:rStyle w:val="charCitHyperlinkItal"/>
          </w:rPr>
          <w:t>Competition and Consumer Act 2010</w:t>
        </w:r>
      </w:hyperlink>
      <w:r w:rsidRPr="007F6445">
        <w:rPr>
          <w:lang w:eastAsia="en-AU"/>
        </w:rPr>
        <w:t xml:space="preserve"> (Cwlth);</w:t>
      </w:r>
    </w:p>
    <w:p w14:paraId="757D9712" w14:textId="07C8126F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 xml:space="preserve">the </w:t>
      </w:r>
      <w:hyperlink r:id="rId37" w:tooltip="A1992-72" w:history="1">
        <w:r w:rsidR="00DB0430" w:rsidRPr="00DB0430">
          <w:rPr>
            <w:rStyle w:val="charCitHyperlinkItal"/>
          </w:rPr>
          <w:t>Fair Trading (Australian Consumer Law) Act 1992</w:t>
        </w:r>
      </w:hyperlink>
      <w:r w:rsidRPr="007F6445">
        <w:rPr>
          <w:lang w:eastAsia="en-AU"/>
        </w:rPr>
        <w:t>;</w:t>
      </w:r>
    </w:p>
    <w:p w14:paraId="0D9C4AAB" w14:textId="10B4776C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(iii)</w:t>
      </w:r>
      <w:r w:rsidRPr="007F6445">
        <w:rPr>
          <w:lang w:eastAsia="en-AU"/>
        </w:rPr>
        <w:tab/>
        <w:t xml:space="preserve">the </w:t>
      </w:r>
      <w:hyperlink r:id="rId38" w:tooltip="A1993-13" w:history="1">
        <w:r w:rsidR="00DB0430" w:rsidRPr="00DB0430">
          <w:rPr>
            <w:rStyle w:val="charCitHyperlinkItal"/>
          </w:rPr>
          <w:t>Health Act 1993</w:t>
        </w:r>
      </w:hyperlink>
      <w:r w:rsidRPr="007F6445">
        <w:rPr>
          <w:lang w:eastAsia="en-AU"/>
        </w:rPr>
        <w:t>, section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127 (Provision of regulated health service by person not health practitioner);</w:t>
      </w:r>
    </w:p>
    <w:p w14:paraId="3FE92B1B" w14:textId="606864AB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(iv)</w:t>
      </w:r>
      <w:r w:rsidRPr="007F6445">
        <w:rPr>
          <w:lang w:eastAsia="en-AU"/>
        </w:rPr>
        <w:tab/>
        <w:t xml:space="preserve">the </w:t>
      </w:r>
      <w:hyperlink r:id="rId39" w:history="1">
        <w:r w:rsidR="00AF55C1" w:rsidRPr="00AF55C1">
          <w:rPr>
            <w:rStyle w:val="charCitHyperlinkItal"/>
          </w:rPr>
          <w:t>Health Practitioner Regulation National Law (ACT)</w:t>
        </w:r>
      </w:hyperlink>
      <w:r w:rsidRPr="007F6445">
        <w:rPr>
          <w:lang w:eastAsia="en-AU"/>
        </w:rPr>
        <w:t>, part 7, division 10;</w:t>
      </w:r>
    </w:p>
    <w:p w14:paraId="6F27925B" w14:textId="0F229A13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(v)</w:t>
      </w:r>
      <w:r w:rsidRPr="007F6445">
        <w:rPr>
          <w:lang w:eastAsia="en-AU"/>
        </w:rPr>
        <w:tab/>
        <w:t>the</w:t>
      </w:r>
      <w:r w:rsidRPr="00DB0430">
        <w:rPr>
          <w:rStyle w:val="charItals"/>
        </w:rPr>
        <w:t xml:space="preserve"> </w:t>
      </w:r>
      <w:hyperlink r:id="rId40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="005B146E" w:rsidRPr="007F6445">
        <w:rPr>
          <w:lang w:eastAsia="en-AU"/>
        </w:rPr>
        <w:t>.</w:t>
      </w:r>
    </w:p>
    <w:p w14:paraId="2865ED2E" w14:textId="21CA0002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 xml:space="preserve">The commission may make a public statement in relation to a health service if the commission </w:t>
      </w:r>
      <w:r w:rsidRPr="007F6445">
        <w:rPr>
          <w:szCs w:val="24"/>
          <w:lang w:eastAsia="en-AU"/>
        </w:rPr>
        <w:t>believes on reasonable grounds that there</w:t>
      </w:r>
      <w:r w:rsidRPr="007F6445">
        <w:rPr>
          <w:lang w:eastAsia="en-AU"/>
        </w:rPr>
        <w:t xml:space="preserve"> is a serious risk to the health or safety of the public arising from the health service.</w:t>
      </w:r>
    </w:p>
    <w:p w14:paraId="6948D620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A public statement may be made in any form.</w:t>
      </w:r>
    </w:p>
    <w:p w14:paraId="2A4B705A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 public statement made in relation to a health care worker may include any of the following:</w:t>
      </w:r>
    </w:p>
    <w:p w14:paraId="661D3B3C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identity of the health care worker;</w:t>
      </w:r>
    </w:p>
    <w:p w14:paraId="538CA580" w14:textId="6E1992AF" w:rsidR="0044269E" w:rsidRPr="007F6445" w:rsidRDefault="0044269E" w:rsidP="005E6EAF">
      <w:pPr>
        <w:pStyle w:val="Ipara"/>
        <w:keepNext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information, including a warning, about—</w:t>
      </w:r>
    </w:p>
    <w:p w14:paraId="55B607CD" w14:textId="77777777" w:rsidR="0044269E" w:rsidRPr="007F6445" w:rsidRDefault="0044269E" w:rsidP="005E6EAF">
      <w:pPr>
        <w:pStyle w:val="Isubpara"/>
        <w:keepNext/>
        <w:rPr>
          <w:lang w:eastAsia="en-AU"/>
        </w:rPr>
      </w:pPr>
      <w:r w:rsidRPr="007F6445">
        <w:rPr>
          <w:lang w:eastAsia="en-AU"/>
        </w:rPr>
        <w:tab/>
        <w:t>(i)</w:t>
      </w:r>
      <w:r w:rsidRPr="007F6445">
        <w:rPr>
          <w:lang w:eastAsia="en-AU"/>
        </w:rPr>
        <w:tab/>
        <w:t>the health care worker; or</w:t>
      </w:r>
    </w:p>
    <w:p w14:paraId="76F96774" w14:textId="77777777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the health service provided by the health care worker;</w:t>
      </w:r>
    </w:p>
    <w:p w14:paraId="58C96214" w14:textId="0A7649C9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if the health care worker provides the health service in connection with a provider—</w:t>
      </w:r>
    </w:p>
    <w:p w14:paraId="40C4896F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(i)</w:t>
      </w:r>
      <w:r w:rsidRPr="007F6445">
        <w:rPr>
          <w:lang w:eastAsia="en-AU"/>
        </w:rPr>
        <w:tab/>
        <w:t>the identity of the provider; and</w:t>
      </w:r>
    </w:p>
    <w:p w14:paraId="4ED93DF1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information, including a warning, about the provider;</w:t>
      </w:r>
    </w:p>
    <w:p w14:paraId="7F2A1F7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information contained in a final order made in relation to the health care worker.</w:t>
      </w:r>
    </w:p>
    <w:p w14:paraId="0E06EF8E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A public statement made in relation to a health service may contain information, including a warning, about the health service generally.</w:t>
      </w:r>
    </w:p>
    <w:p w14:paraId="3B20D8DA" w14:textId="2AEDF25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(6)</w:t>
      </w:r>
      <w:r w:rsidRPr="007F6445">
        <w:rPr>
          <w:lang w:eastAsia="en-AU"/>
        </w:rPr>
        <w:tab/>
        <w:t>The commission—</w:t>
      </w:r>
    </w:p>
    <w:p w14:paraId="762BFADC" w14:textId="77777777" w:rsidR="0044269E" w:rsidRPr="007F6445" w:rsidRDefault="0044269E" w:rsidP="0044269E">
      <w:pPr>
        <w:pStyle w:val="Ipara"/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 xml:space="preserve">may </w:t>
      </w:r>
      <w:r w:rsidRPr="007F6445">
        <w:t>vary or withdraw a public statement; and</w:t>
      </w:r>
    </w:p>
    <w:p w14:paraId="1043B7B2" w14:textId="4B2597EC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if a statement is varied or withdrawn—must set out the reason for the variation or withdrawal in the same form as the statement was made.</w:t>
      </w:r>
    </w:p>
    <w:p w14:paraId="10EADF30" w14:textId="1FF1352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J</w:t>
      </w:r>
      <w:r w:rsidRPr="007F6445">
        <w:tab/>
        <w:t>Statement of reasons for prohibition or condition order or public statement</w:t>
      </w:r>
    </w:p>
    <w:p w14:paraId="1D80FEC5" w14:textId="1E8B4F46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>If the commission makes a prohibition or condition order or a public statement in relation to a health care worker, the commission must give a statement of reasons for making the order or statement to—</w:t>
      </w:r>
    </w:p>
    <w:p w14:paraId="78BA863B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health care worker; and</w:t>
      </w:r>
    </w:p>
    <w:p w14:paraId="26BC8E41" w14:textId="187DD213" w:rsidR="0044269E" w:rsidRPr="007F6445" w:rsidRDefault="0044269E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for a final order or a </w:t>
      </w:r>
      <w:r w:rsidR="00FF65B7" w:rsidRPr="007F6445">
        <w:rPr>
          <w:lang w:eastAsia="en-AU"/>
        </w:rPr>
        <w:t xml:space="preserve">public </w:t>
      </w:r>
      <w:r w:rsidRPr="007F6445">
        <w:rPr>
          <w:lang w:eastAsia="en-AU"/>
        </w:rPr>
        <w:t>statement made in relation to a complaint made about the health care worker—the complainant.</w:t>
      </w:r>
    </w:p>
    <w:p w14:paraId="09E69D95" w14:textId="149F474E" w:rsidR="00B32D53" w:rsidRPr="007F6445" w:rsidRDefault="00B32D53" w:rsidP="00B32D53">
      <w:pPr>
        <w:pStyle w:val="aNote"/>
        <w:rPr>
          <w:lang w:eastAsia="en-AU"/>
        </w:rPr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 xml:space="preserve">For what must be included in a statement of reasons, see the </w:t>
      </w:r>
      <w:hyperlink r:id="rId41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179.</w:t>
      </w:r>
    </w:p>
    <w:p w14:paraId="2AAA212A" w14:textId="32F48F48" w:rsidR="0044269E" w:rsidRPr="007F6445" w:rsidRDefault="0044269E" w:rsidP="005E6EAF">
      <w:pPr>
        <w:pStyle w:val="IMain"/>
        <w:keepNext/>
        <w:rPr>
          <w:lang w:eastAsia="en-AU"/>
        </w:rPr>
      </w:pPr>
      <w:r w:rsidRPr="007F6445">
        <w:rPr>
          <w:lang w:eastAsia="en-AU"/>
        </w:rPr>
        <w:lastRenderedPageBreak/>
        <w:tab/>
        <w:t>(2)</w:t>
      </w:r>
      <w:r w:rsidRPr="007F6445">
        <w:rPr>
          <w:lang w:eastAsia="en-AU"/>
        </w:rPr>
        <w:tab/>
        <w:t>The commission may also do 1 or more of the following:</w:t>
      </w:r>
    </w:p>
    <w:p w14:paraId="5BC72205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make the statement of reasons publicly available;</w:t>
      </w:r>
    </w:p>
    <w:p w14:paraId="588A1D60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give a copy of the statement to any relevant professional body for the health care worker;</w:t>
      </w:r>
    </w:p>
    <w:p w14:paraId="68BB5D9C" w14:textId="5902B943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give a copy of the statement to another person if satisfied on reasonable grounds it is in the interest of the health or safety of the public to do so.</w:t>
      </w:r>
    </w:p>
    <w:p w14:paraId="4D9E6834" w14:textId="0AA1DECB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Before giving the statement of reasons to a person or making it publicly available, the commissio</w:t>
      </w:r>
      <w:r w:rsidR="009B294F" w:rsidRPr="007F6445">
        <w:rPr>
          <w:lang w:eastAsia="en-AU"/>
        </w:rPr>
        <w:t>n</w:t>
      </w:r>
      <w:r w:rsidRPr="007F6445">
        <w:rPr>
          <w:lang w:eastAsia="en-AU"/>
        </w:rPr>
        <w:t xml:space="preserve"> may remove confidential information from the statement if the commission sets out in the statement—</w:t>
      </w:r>
    </w:p>
    <w:p w14:paraId="51106B88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that information was removed because it was confidential; and</w:t>
      </w:r>
    </w:p>
    <w:p w14:paraId="7DFA15A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the nature of the information that was removed.</w:t>
      </w:r>
    </w:p>
    <w:p w14:paraId="7E1E5C72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szCs w:val="24"/>
          <w:lang w:eastAsia="en-AU"/>
        </w:rPr>
        <w:tab/>
        <w:t>(4)</w:t>
      </w:r>
      <w:r w:rsidRPr="007F6445">
        <w:rPr>
          <w:szCs w:val="24"/>
          <w:lang w:eastAsia="en-AU"/>
        </w:rPr>
        <w:tab/>
        <w:t>This section does not affect the power of a court to make an order for the discovery of a document or to require the giving of evidence or the production of documents to a court.</w:t>
      </w:r>
    </w:p>
    <w:p w14:paraId="6DCD7015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In this section:</w:t>
      </w:r>
    </w:p>
    <w:p w14:paraId="7D51BA67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confidential information</w:t>
      </w:r>
      <w:r w:rsidRPr="007F6445">
        <w:rPr>
          <w:lang w:eastAsia="en-AU"/>
        </w:rPr>
        <w:t>, in relation to a statement of reasons, means information—</w:t>
      </w:r>
    </w:p>
    <w:p w14:paraId="43690D76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that is not publicly available when the statement is made; and</w:t>
      </w:r>
    </w:p>
    <w:p w14:paraId="30362E14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that is about the personal or business affairs of a person other than the person who is given the statement; and</w:t>
      </w:r>
    </w:p>
    <w:p w14:paraId="29927050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where 1 or more of the following apply:</w:t>
      </w:r>
    </w:p>
    <w:p w14:paraId="1D9271DF" w14:textId="77777777" w:rsidR="0088737E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(i)</w:t>
      </w:r>
      <w:r w:rsidRPr="007F6445">
        <w:rPr>
          <w:lang w:eastAsia="en-AU"/>
        </w:rPr>
        <w:tab/>
        <w:t>the information was given to the commission in confidence;</w:t>
      </w:r>
    </w:p>
    <w:p w14:paraId="79237BEA" w14:textId="77777777" w:rsidR="0088737E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publishing the information would reveal a trade secret;</w:t>
      </w:r>
    </w:p>
    <w:p w14:paraId="11935BF2" w14:textId="162734DB" w:rsidR="0044269E" w:rsidRPr="007F6445" w:rsidRDefault="0044269E" w:rsidP="00B81E3F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(iii)</w:t>
      </w:r>
      <w:r w:rsidRPr="007F6445">
        <w:rPr>
          <w:lang w:eastAsia="en-AU"/>
        </w:rPr>
        <w:tab/>
        <w:t>the information was provided in compliance with a duty imposed under an Act;</w:t>
      </w:r>
    </w:p>
    <w:p w14:paraId="5D3AFBE6" w14:textId="0F30D6C7" w:rsidR="0044269E" w:rsidRPr="007F6445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lastRenderedPageBreak/>
        <w:tab/>
        <w:t>(iv)</w:t>
      </w:r>
      <w:r w:rsidRPr="007F6445">
        <w:rPr>
          <w:lang w:eastAsia="en-AU"/>
        </w:rPr>
        <w:tab/>
        <w:t>the commission would breach a law by providing the information.</w:t>
      </w:r>
    </w:p>
    <w:p w14:paraId="3ADE8E1B" w14:textId="7491F4A0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K</w:t>
      </w:r>
      <w:r w:rsidRPr="007F6445">
        <w:tab/>
        <w:t>Correction of public statement</w:t>
      </w:r>
    </w:p>
    <w:p w14:paraId="06FE7CB3" w14:textId="7EDA4F00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the commission becomes aware a public statement is incorrect in a material way.</w:t>
      </w:r>
    </w:p>
    <w:p w14:paraId="6C029F2A" w14:textId="743A595A" w:rsidR="0044269E" w:rsidRPr="007F6445" w:rsidRDefault="0044269E" w:rsidP="00E459B3">
      <w:pPr>
        <w:pStyle w:val="IMain"/>
        <w:keepNext/>
      </w:pPr>
      <w:r w:rsidRPr="007F6445">
        <w:tab/>
        <w:t>(2)</w:t>
      </w:r>
      <w:r w:rsidRPr="007F6445">
        <w:tab/>
        <w:t>The commission must make a statement setting out the correct information or withdraw the public statement.</w:t>
      </w:r>
    </w:p>
    <w:p w14:paraId="3BA0FAAE" w14:textId="4AA50193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>If a statement is changed or withdrawn</w:t>
      </w:r>
      <w:r w:rsidR="00015D6C" w:rsidRPr="007F6445">
        <w:t>,</w:t>
      </w:r>
      <w:r w:rsidRPr="007F6445">
        <w:t xml:space="preserve"> the</w:t>
      </w:r>
      <w:r w:rsidR="00FB0919" w:rsidRPr="007F6445">
        <w:t xml:space="preserve"> commission </w:t>
      </w:r>
      <w:r w:rsidRPr="007F6445">
        <w:t>must set out the reason for the change or withdrawal in the same form as the statement was made (see s 94</w:t>
      </w:r>
      <w:r w:rsidR="00E36DC4" w:rsidRPr="007F6445">
        <w:t>I</w:t>
      </w:r>
      <w:r w:rsidRPr="007F6445">
        <w:t xml:space="preserve"> (6)).</w:t>
      </w:r>
    </w:p>
    <w:p w14:paraId="29BDB8C2" w14:textId="54F8B62A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L</w:t>
      </w:r>
      <w:r w:rsidRPr="007F6445">
        <w:tab/>
        <w:t xml:space="preserve">Variation of </w:t>
      </w:r>
      <w:r w:rsidRPr="007F6445">
        <w:rPr>
          <w:lang w:eastAsia="en-AU"/>
        </w:rPr>
        <w:t>prohibition or condition order</w:t>
      </w:r>
    </w:p>
    <w:p w14:paraId="6E65B241" w14:textId="3D6A0A05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may, in writing, ask the commission to vary a prohibition or condition order made in relation to the health care worker if there has been a material change in a matter giving rise to the making of the order.</w:t>
      </w:r>
    </w:p>
    <w:p w14:paraId="4E746844" w14:textId="38584009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 xml:space="preserve">The commission must, on application or on </w:t>
      </w:r>
      <w:r w:rsidR="00FB0919" w:rsidRPr="007F6445">
        <w:t>its</w:t>
      </w:r>
      <w:r w:rsidRPr="007F6445">
        <w:t xml:space="preserve"> own initiative, vary an order if the commission is satisfied—</w:t>
      </w:r>
    </w:p>
    <w:p w14:paraId="62D0CDE5" w14:textId="25AF2DE3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 prohibition or condition in the order is no longer required to protect the health or safety of the public; or</w:t>
      </w:r>
    </w:p>
    <w:p w14:paraId="4C801356" w14:textId="33291C19" w:rsidR="004B7981" w:rsidRPr="007F6445" w:rsidRDefault="004B7981" w:rsidP="0044269E">
      <w:pPr>
        <w:pStyle w:val="Ipara"/>
      </w:pPr>
      <w:r w:rsidRPr="007F6445">
        <w:tab/>
        <w:t>(b)</w:t>
      </w:r>
      <w:r w:rsidRPr="007F6445">
        <w:tab/>
        <w:t xml:space="preserve">a prohibition or condition in the order </w:t>
      </w:r>
      <w:r w:rsidR="00DC2254" w:rsidRPr="007F6445">
        <w:t>is more restrictive than what</w:t>
      </w:r>
      <w:r w:rsidRPr="007F6445">
        <w:t xml:space="preserve"> is </w:t>
      </w:r>
      <w:r w:rsidR="00DC2254" w:rsidRPr="007F6445">
        <w:t xml:space="preserve">reasonably </w:t>
      </w:r>
      <w:r w:rsidRPr="007F6445">
        <w:t>required to protect the health or safety of the public; or</w:t>
      </w:r>
    </w:p>
    <w:p w14:paraId="7F77B82F" w14:textId="1B33DF03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DC2254" w:rsidRPr="007F6445">
        <w:rPr>
          <w:lang w:eastAsia="en-AU"/>
        </w:rPr>
        <w:t>c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period of the order is longer than the period reasonably required to protect the health or safety of the public.</w:t>
      </w:r>
    </w:p>
    <w:p w14:paraId="2EE1D5CA" w14:textId="663DC4F5" w:rsidR="0044269E" w:rsidRPr="007F6445" w:rsidRDefault="0044269E" w:rsidP="00B81E3F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However, if the health care worker is a health practitioner, the commission must not vary an order without—</w:t>
      </w:r>
    </w:p>
    <w:p w14:paraId="28D383D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giving the relevant board for the health practitioner a reasonable opportunity to respond to the proposed order; and</w:t>
      </w:r>
    </w:p>
    <w:p w14:paraId="5574D62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considering the response (if any).</w:t>
      </w:r>
    </w:p>
    <w:p w14:paraId="2F34E68A" w14:textId="77777777" w:rsidR="0088737E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As soon as practicable after varying an order, the commission must give a copy of the varied order to the health care worker.</w:t>
      </w:r>
    </w:p>
    <w:p w14:paraId="57C54E72" w14:textId="6155AF59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The commission may give a copy of a varied order to—</w:t>
      </w:r>
    </w:p>
    <w:p w14:paraId="475F4DF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or</w:t>
      </w:r>
    </w:p>
    <w:p w14:paraId="2E3E1149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another person if satisfied on reasonable grounds that it is in the interest of the health or safety of the public to do so.</w:t>
      </w:r>
    </w:p>
    <w:p w14:paraId="1E29E53A" w14:textId="081AA1C2" w:rsidR="0044269E" w:rsidRPr="007F6445" w:rsidRDefault="0044269E" w:rsidP="0044269E">
      <w:pPr>
        <w:pStyle w:val="IMain"/>
      </w:pPr>
      <w:r w:rsidRPr="007F6445">
        <w:tab/>
        <w:t>(6)</w:t>
      </w:r>
      <w:r w:rsidRPr="007F6445">
        <w:tab/>
        <w:t>If an order is varied</w:t>
      </w:r>
      <w:r w:rsidR="00015D6C" w:rsidRPr="007F6445">
        <w:t>,</w:t>
      </w:r>
      <w:r w:rsidRPr="007F6445">
        <w:t xml:space="preserve"> the commission must include on the register the reason for the variation.</w:t>
      </w:r>
    </w:p>
    <w:p w14:paraId="484BB564" w14:textId="66D7A25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M</w:t>
      </w:r>
      <w:r w:rsidRPr="007F6445">
        <w:tab/>
        <w:t xml:space="preserve">Cancellation of </w:t>
      </w:r>
      <w:r w:rsidRPr="007F6445">
        <w:rPr>
          <w:lang w:eastAsia="en-AU"/>
        </w:rPr>
        <w:t>prohibition or condition order</w:t>
      </w:r>
    </w:p>
    <w:p w14:paraId="1B7A9692" w14:textId="341086EB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 xml:space="preserve">A health care worker may, in writing, ask the </w:t>
      </w:r>
      <w:r w:rsidR="00B779CD" w:rsidRPr="007F6445">
        <w:t xml:space="preserve">commission </w:t>
      </w:r>
      <w:r w:rsidRPr="007F6445">
        <w:t>to cancel a prohibition or condition order made in relation to the health care worker if there has been a material change in a matter giving rise to the making of the order.</w:t>
      </w:r>
    </w:p>
    <w:p w14:paraId="48EF1F54" w14:textId="4242ECA6" w:rsidR="0044269E" w:rsidRPr="007F6445" w:rsidRDefault="0044269E" w:rsidP="0044269E">
      <w:pPr>
        <w:pStyle w:val="IMain"/>
        <w:rPr>
          <w:lang w:eastAsia="en-AU"/>
        </w:rPr>
      </w:pPr>
      <w:r w:rsidRPr="007F6445">
        <w:tab/>
        <w:t>(2)</w:t>
      </w:r>
      <w:r w:rsidRPr="007F6445">
        <w:tab/>
        <w:t xml:space="preserve">The </w:t>
      </w:r>
      <w:r w:rsidR="00B779CD" w:rsidRPr="007F6445">
        <w:t xml:space="preserve">commission </w:t>
      </w:r>
      <w:r w:rsidRPr="007F6445">
        <w:t xml:space="preserve">must, on application or on </w:t>
      </w:r>
      <w:r w:rsidR="00B779CD" w:rsidRPr="007F6445">
        <w:t>its</w:t>
      </w:r>
      <w:r w:rsidR="00A821E1" w:rsidRPr="007F6445">
        <w:t xml:space="preserve"> </w:t>
      </w:r>
      <w:r w:rsidRPr="007F6445">
        <w:t xml:space="preserve">own initiative, cancel an order if the </w:t>
      </w:r>
      <w:r w:rsidR="00B779CD" w:rsidRPr="007F6445">
        <w:t xml:space="preserve">commission </w:t>
      </w:r>
      <w:r w:rsidRPr="007F6445">
        <w:t>is satisfied the order is no longer required to protect the health or safety of the public</w:t>
      </w:r>
      <w:r w:rsidRPr="007F6445">
        <w:rPr>
          <w:lang w:eastAsia="en-AU"/>
        </w:rPr>
        <w:t>.</w:t>
      </w:r>
    </w:p>
    <w:p w14:paraId="1891AD83" w14:textId="1213932C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 xml:space="preserve">As soon as practicable after cancelling an order, the </w:t>
      </w:r>
      <w:r w:rsidR="00B779CD" w:rsidRPr="007F6445">
        <w:t xml:space="preserve">commission </w:t>
      </w:r>
      <w:r w:rsidRPr="007F6445">
        <w:rPr>
          <w:lang w:eastAsia="en-AU"/>
        </w:rPr>
        <w:t>must tell the following, in writing, the order is cancelled:</w:t>
      </w:r>
    </w:p>
    <w:p w14:paraId="27BA45D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health care worker;</w:t>
      </w:r>
    </w:p>
    <w:p w14:paraId="260082D1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any relevant professional body for the health care worker;</w:t>
      </w:r>
    </w:p>
    <w:p w14:paraId="3BE56490" w14:textId="1B7D039E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 xml:space="preserve">another person if satisfied on reasonable grounds that it is </w:t>
      </w:r>
      <w:r w:rsidR="00FF65B7" w:rsidRPr="007F6445">
        <w:rPr>
          <w:lang w:eastAsia="en-AU"/>
        </w:rPr>
        <w:t>ap</w:t>
      </w:r>
      <w:r w:rsidR="00E02F2E" w:rsidRPr="007F6445">
        <w:rPr>
          <w:lang w:eastAsia="en-AU"/>
        </w:rPr>
        <w:t>propriate to do so</w:t>
      </w:r>
      <w:r w:rsidRPr="007F6445">
        <w:rPr>
          <w:lang w:eastAsia="en-AU"/>
        </w:rPr>
        <w:t>.</w:t>
      </w:r>
    </w:p>
    <w:p w14:paraId="6A4FBA35" w14:textId="1FFA2C9C" w:rsidR="0044269E" w:rsidRPr="007F6445" w:rsidRDefault="0044269E" w:rsidP="0044269E">
      <w:pPr>
        <w:pStyle w:val="IMain"/>
      </w:pPr>
      <w:r w:rsidRPr="007F6445">
        <w:tab/>
        <w:t>(4)</w:t>
      </w:r>
      <w:r w:rsidRPr="007F6445">
        <w:tab/>
        <w:t>If an order is cancelled</w:t>
      </w:r>
      <w:r w:rsidR="00015D6C" w:rsidRPr="007F6445">
        <w:t>,</w:t>
      </w:r>
      <w:r w:rsidRPr="007F6445">
        <w:t xml:space="preserve"> the </w:t>
      </w:r>
      <w:r w:rsidR="00B779CD" w:rsidRPr="007F6445">
        <w:t xml:space="preserve">commission </w:t>
      </w:r>
      <w:r w:rsidRPr="007F6445">
        <w:t>must include on the register the reason for the cancellation.</w:t>
      </w:r>
    </w:p>
    <w:p w14:paraId="75AF8EAB" w14:textId="6D248211" w:rsidR="00F84863" w:rsidRPr="007F6445" w:rsidRDefault="00F84863" w:rsidP="0044269E">
      <w:pPr>
        <w:pStyle w:val="IH5Sec"/>
      </w:pPr>
      <w:r w:rsidRPr="007F6445">
        <w:lastRenderedPageBreak/>
        <w:t>94N</w:t>
      </w:r>
      <w:r w:rsidRPr="007F6445">
        <w:tab/>
        <w:t xml:space="preserve">Health care worker must give notice of </w:t>
      </w:r>
      <w:r w:rsidR="00046D78" w:rsidRPr="007F6445">
        <w:t xml:space="preserve">registration as </w:t>
      </w:r>
      <w:r w:rsidRPr="007F6445">
        <w:t>health practitioner</w:t>
      </w:r>
    </w:p>
    <w:p w14:paraId="7750F323" w14:textId="7C4349E7" w:rsidR="00F84863" w:rsidRPr="007F6445" w:rsidRDefault="00F84863" w:rsidP="00F84863">
      <w:pPr>
        <w:pStyle w:val="IMain"/>
      </w:pPr>
      <w:r w:rsidRPr="007F6445">
        <w:tab/>
        <w:t>(1)</w:t>
      </w:r>
      <w:r w:rsidRPr="007F6445">
        <w:tab/>
        <w:t>This section applies if—</w:t>
      </w:r>
    </w:p>
    <w:p w14:paraId="43EDE90E" w14:textId="63E1221F" w:rsidR="00F84863" w:rsidRPr="007F6445" w:rsidRDefault="00F84863" w:rsidP="00F84863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313F51" w:rsidRPr="007F6445">
        <w:rPr>
          <w:lang w:eastAsia="en-AU"/>
        </w:rPr>
        <w:t>a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a prohibition or condition order has been made in relation to </w:t>
      </w:r>
      <w:r w:rsidR="00313F51" w:rsidRPr="007F6445">
        <w:rPr>
          <w:lang w:eastAsia="en-AU"/>
        </w:rPr>
        <w:t>a</w:t>
      </w:r>
      <w:r w:rsidRPr="007F6445">
        <w:rPr>
          <w:lang w:eastAsia="en-AU"/>
        </w:rPr>
        <w:t xml:space="preserve"> person</w:t>
      </w:r>
      <w:r w:rsidR="00313F51" w:rsidRPr="007F6445">
        <w:rPr>
          <w:lang w:eastAsia="en-AU"/>
        </w:rPr>
        <w:t xml:space="preserve"> who is a health care worker</w:t>
      </w:r>
      <w:r w:rsidRPr="007F6445">
        <w:rPr>
          <w:lang w:eastAsia="en-AU"/>
        </w:rPr>
        <w:t>; and</w:t>
      </w:r>
    </w:p>
    <w:p w14:paraId="7B71D8B6" w14:textId="575583A4" w:rsidR="00F84863" w:rsidRPr="007F6445" w:rsidRDefault="00F84863" w:rsidP="00F84863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313F51" w:rsidRPr="007F6445">
        <w:rPr>
          <w:lang w:eastAsia="en-AU"/>
        </w:rPr>
        <w:t>b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during the period of the order, the person </w:t>
      </w:r>
      <w:r w:rsidR="00F53111" w:rsidRPr="007F6445">
        <w:rPr>
          <w:lang w:eastAsia="en-AU"/>
        </w:rPr>
        <w:t>becomes</w:t>
      </w:r>
      <w:r w:rsidRPr="007F6445">
        <w:rPr>
          <w:lang w:eastAsia="en-AU"/>
        </w:rPr>
        <w:t xml:space="preserve"> registered under the </w:t>
      </w:r>
      <w:hyperlink r:id="rId42" w:history="1">
        <w:r w:rsidR="00AF55C1" w:rsidRPr="00AF55C1">
          <w:rPr>
            <w:rStyle w:val="charCitHyperlinkItal"/>
          </w:rPr>
          <w:t>Health Practitioner Regulation National Law (ACT)</w:t>
        </w:r>
      </w:hyperlink>
      <w:r w:rsidR="00313F51" w:rsidRPr="007F6445">
        <w:rPr>
          <w:lang w:eastAsia="en-AU"/>
        </w:rPr>
        <w:t xml:space="preserve"> to practise </w:t>
      </w:r>
      <w:r w:rsidR="00046D78" w:rsidRPr="007F6445">
        <w:rPr>
          <w:lang w:eastAsia="en-AU"/>
        </w:rPr>
        <w:t xml:space="preserve">in </w:t>
      </w:r>
      <w:r w:rsidR="00313F51" w:rsidRPr="007F6445">
        <w:rPr>
          <w:lang w:eastAsia="en-AU"/>
        </w:rPr>
        <w:t>a health profession</w:t>
      </w:r>
      <w:r w:rsidRPr="007F6445">
        <w:rPr>
          <w:lang w:eastAsia="en-AU"/>
        </w:rPr>
        <w:t>.</w:t>
      </w:r>
    </w:p>
    <w:p w14:paraId="38FB6FC9" w14:textId="77777777" w:rsidR="0088737E" w:rsidRDefault="00F84863" w:rsidP="00F84863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 xml:space="preserve">The person must give the </w:t>
      </w:r>
      <w:r w:rsidR="00B779CD" w:rsidRPr="007F6445">
        <w:t xml:space="preserve">commission </w:t>
      </w:r>
      <w:r w:rsidRPr="007F6445">
        <w:rPr>
          <w:lang w:eastAsia="en-AU"/>
        </w:rPr>
        <w:t xml:space="preserve">written notice </w:t>
      </w:r>
      <w:r w:rsidR="00C67E31" w:rsidRPr="007F6445">
        <w:rPr>
          <w:lang w:eastAsia="en-AU"/>
        </w:rPr>
        <w:t>of the registration</w:t>
      </w:r>
      <w:r w:rsidR="00681405" w:rsidRPr="007F6445">
        <w:rPr>
          <w:lang w:eastAsia="en-AU"/>
        </w:rPr>
        <w:t xml:space="preserve"> as soon as practicable after being registered.</w:t>
      </w:r>
    </w:p>
    <w:p w14:paraId="2479A53D" w14:textId="7CA74B29" w:rsidR="00681405" w:rsidRPr="007F6445" w:rsidRDefault="00681405" w:rsidP="00681405">
      <w:pPr>
        <w:pStyle w:val="IMain"/>
      </w:pPr>
      <w:r w:rsidRPr="007F6445">
        <w:tab/>
        <w:t>(3)</w:t>
      </w:r>
      <w:r w:rsidRPr="007F6445">
        <w:tab/>
        <w:t xml:space="preserve">The </w:t>
      </w:r>
      <w:r w:rsidR="00B779CD" w:rsidRPr="007F6445">
        <w:t xml:space="preserve">commission </w:t>
      </w:r>
      <w:r w:rsidRPr="007F6445">
        <w:t>may exchange information with the relevant board for the health pr</w:t>
      </w:r>
      <w:r w:rsidR="00C67E31" w:rsidRPr="007F6445">
        <w:t>ofession</w:t>
      </w:r>
      <w:r w:rsidRPr="007F6445">
        <w:t xml:space="preserve"> in which the person has been registered about</w:t>
      </w:r>
      <w:r w:rsidR="00C67E31" w:rsidRPr="007F6445">
        <w:t>—</w:t>
      </w:r>
    </w:p>
    <w:p w14:paraId="69C4EDCC" w14:textId="20B69444" w:rsidR="00681405" w:rsidRPr="007F6445" w:rsidRDefault="00681405" w:rsidP="00681405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person’s compliance with the code of conduct;</w:t>
      </w:r>
      <w:r w:rsidR="00C67E31" w:rsidRPr="007F6445">
        <w:rPr>
          <w:lang w:eastAsia="en-AU"/>
        </w:rPr>
        <w:t xml:space="preserve"> and</w:t>
      </w:r>
    </w:p>
    <w:p w14:paraId="42E3A6BE" w14:textId="4C6164FF" w:rsidR="00681405" w:rsidRPr="007F6445" w:rsidRDefault="00681405" w:rsidP="00681405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</w:r>
      <w:r w:rsidR="00046D78" w:rsidRPr="007F6445">
        <w:rPr>
          <w:lang w:eastAsia="en-AU"/>
        </w:rPr>
        <w:t xml:space="preserve">any </w:t>
      </w:r>
      <w:r w:rsidRPr="007F6445">
        <w:rPr>
          <w:lang w:eastAsia="en-AU"/>
        </w:rPr>
        <w:t xml:space="preserve">action taken in relation to </w:t>
      </w:r>
      <w:r w:rsidR="00434BC7" w:rsidRPr="007F6445">
        <w:rPr>
          <w:lang w:eastAsia="en-AU"/>
        </w:rPr>
        <w:t>the person</w:t>
      </w:r>
      <w:r w:rsidRPr="007F6445">
        <w:rPr>
          <w:lang w:eastAsia="en-AU"/>
        </w:rPr>
        <w:t xml:space="preserve"> for acting inconsistently with the code of conduct.</w:t>
      </w:r>
    </w:p>
    <w:p w14:paraId="0FA7718D" w14:textId="5FE00392" w:rsidR="0044269E" w:rsidRPr="007F6445" w:rsidRDefault="0044269E" w:rsidP="0044269E">
      <w:pPr>
        <w:pStyle w:val="IH5Sec"/>
      </w:pPr>
      <w:r w:rsidRPr="007F6445">
        <w:t>94</w:t>
      </w:r>
      <w:r w:rsidR="002249FF" w:rsidRPr="007F6445">
        <w:t>O</w:t>
      </w:r>
      <w:r w:rsidRPr="007F6445">
        <w:tab/>
        <w:t>Non-compliance with prohibition or condition order</w:t>
      </w:r>
    </w:p>
    <w:p w14:paraId="25BBF016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A person commits an offence if—</w:t>
      </w:r>
    </w:p>
    <w:p w14:paraId="35F648DF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 is a health care worker; and</w:t>
      </w:r>
    </w:p>
    <w:p w14:paraId="4456546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 prohibition or condition order has been made in relation to the person; and</w:t>
      </w:r>
    </w:p>
    <w:p w14:paraId="3EF1A307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the person has been given a copy of the prohibition or condition order; and</w:t>
      </w:r>
    </w:p>
    <w:p w14:paraId="57081DAE" w14:textId="77777777" w:rsidR="0044269E" w:rsidRPr="007F6445" w:rsidRDefault="0044269E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the person contravenes the order.</w:t>
      </w:r>
    </w:p>
    <w:p w14:paraId="6D6789C1" w14:textId="46D0DD01" w:rsidR="0044269E" w:rsidRPr="007F6445" w:rsidRDefault="0044269E" w:rsidP="0044269E">
      <w:pPr>
        <w:pStyle w:val="Penalty"/>
        <w:rPr>
          <w:lang w:eastAsia="en-AU"/>
        </w:rPr>
      </w:pPr>
      <w:r w:rsidRPr="007F6445">
        <w:rPr>
          <w:lang w:eastAsia="en-AU"/>
        </w:rPr>
        <w:t>Maximum penalty: 100 penalty units, imprisonment for 12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months, or both.</w:t>
      </w:r>
    </w:p>
    <w:p w14:paraId="0C4CCF1A" w14:textId="2B901B53" w:rsidR="00921B06" w:rsidRPr="007F6445" w:rsidRDefault="00921B06" w:rsidP="00921B06">
      <w:pPr>
        <w:pStyle w:val="IH5Sec"/>
      </w:pPr>
      <w:r w:rsidRPr="007F6445">
        <w:lastRenderedPageBreak/>
        <w:t>94</w:t>
      </w:r>
      <w:r w:rsidR="00723CF1" w:rsidRPr="007F6445">
        <w:t>P</w:t>
      </w:r>
      <w:r w:rsidRPr="007F6445">
        <w:tab/>
        <w:t>Non-compliance with corresponding prohibition or condition order</w:t>
      </w:r>
    </w:p>
    <w:p w14:paraId="79B1BEA8" w14:textId="77777777" w:rsidR="00921B06" w:rsidRPr="007F6445" w:rsidRDefault="00921B06" w:rsidP="00921B06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>A person commits an offence if—</w:t>
      </w:r>
    </w:p>
    <w:p w14:paraId="32EC254C" w14:textId="77777777" w:rsidR="00921B06" w:rsidRPr="007F6445" w:rsidRDefault="00921B06" w:rsidP="00921B06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 is a health care worker; and</w:t>
      </w:r>
    </w:p>
    <w:p w14:paraId="285FAE9A" w14:textId="025365A4" w:rsidR="00921B06" w:rsidRPr="007F6445" w:rsidRDefault="00921B06" w:rsidP="00921B06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 corresponding prohibition or condition order is in force in relation to the person in a State; and</w:t>
      </w:r>
    </w:p>
    <w:p w14:paraId="79BA0330" w14:textId="77777777" w:rsidR="00921B06" w:rsidRPr="007F6445" w:rsidRDefault="00921B06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the person provides a health service in the ACT that would contravene the order if it were in force in the ACT.</w:t>
      </w:r>
    </w:p>
    <w:p w14:paraId="70193FF2" w14:textId="49A84C26" w:rsidR="00921B06" w:rsidRPr="007F6445" w:rsidRDefault="00921B06" w:rsidP="00E459B3">
      <w:pPr>
        <w:pStyle w:val="Penalty"/>
        <w:keepNext/>
        <w:rPr>
          <w:lang w:eastAsia="en-AU"/>
        </w:rPr>
      </w:pPr>
      <w:r w:rsidRPr="007F6445">
        <w:rPr>
          <w:lang w:eastAsia="en-AU"/>
        </w:rPr>
        <w:t>Maximum penalty: 100 penalty units, imprisonment for 12 months, or both.</w:t>
      </w:r>
    </w:p>
    <w:p w14:paraId="7C47C527" w14:textId="795EF047" w:rsidR="004B64DA" w:rsidRPr="007F6445" w:rsidRDefault="004B64DA" w:rsidP="004B64DA">
      <w:pPr>
        <w:pStyle w:val="aNote"/>
      </w:pPr>
      <w:r w:rsidRPr="00DB0430">
        <w:rPr>
          <w:rStyle w:val="charItals"/>
        </w:rPr>
        <w:t xml:space="preserve">Note </w:t>
      </w:r>
      <w:r w:rsidRPr="00DB0430">
        <w:rPr>
          <w:rStyle w:val="charItals"/>
        </w:rPr>
        <w:tab/>
      </w:r>
      <w:r w:rsidRPr="00DB0430">
        <w:rPr>
          <w:rStyle w:val="charBoldItals"/>
        </w:rPr>
        <w:t xml:space="preserve">State </w:t>
      </w:r>
      <w:r w:rsidRPr="007F6445">
        <w:rPr>
          <w:lang w:eastAsia="en-AU"/>
        </w:rPr>
        <w:t xml:space="preserve">includes the Northern Territory (see </w:t>
      </w:r>
      <w:hyperlink r:id="rId4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rPr>
          <w:lang w:eastAsia="en-AU"/>
        </w:rPr>
        <w:t>, dict, pt 1).</w:t>
      </w:r>
    </w:p>
    <w:p w14:paraId="13B71C54" w14:textId="77777777" w:rsidR="00921B06" w:rsidRPr="007F6445" w:rsidRDefault="00921B06" w:rsidP="00921B06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In this section:</w:t>
      </w:r>
    </w:p>
    <w:p w14:paraId="72C68E44" w14:textId="77777777" w:rsidR="00921B06" w:rsidRPr="00DB0430" w:rsidRDefault="00921B06" w:rsidP="00E459B3">
      <w:pPr>
        <w:pStyle w:val="aDef"/>
      </w:pPr>
      <w:r w:rsidRPr="007F6445">
        <w:rPr>
          <w:rStyle w:val="charBoldItals"/>
        </w:rPr>
        <w:t>corresponding prohibition or condition order</w:t>
      </w:r>
      <w:r w:rsidRPr="00DB0430">
        <w:t xml:space="preserve"> means an order made under a corresponding law that—</w:t>
      </w:r>
    </w:p>
    <w:p w14:paraId="464CB90B" w14:textId="45DA3532" w:rsidR="00921B06" w:rsidRPr="00DB0430" w:rsidRDefault="00921B06" w:rsidP="00921B06">
      <w:pPr>
        <w:pStyle w:val="Idefpara"/>
      </w:pPr>
      <w:r w:rsidRPr="00DB0430">
        <w:tab/>
        <w:t>(a)</w:t>
      </w:r>
      <w:r w:rsidRPr="00DB0430">
        <w:tab/>
        <w:t>corresponds</w:t>
      </w:r>
      <w:r w:rsidR="004B64DA" w:rsidRPr="00DB0430">
        <w:t>,</w:t>
      </w:r>
      <w:r w:rsidRPr="00DB0430">
        <w:t xml:space="preserve"> or substantially corresponds</w:t>
      </w:r>
      <w:r w:rsidR="004B64DA" w:rsidRPr="00DB0430">
        <w:t>,</w:t>
      </w:r>
      <w:r w:rsidRPr="00DB0430">
        <w:t xml:space="preserve"> to a prohibition or condition order made under this division; and</w:t>
      </w:r>
    </w:p>
    <w:p w14:paraId="0863BC08" w14:textId="5BBE4B69" w:rsidR="00921B06" w:rsidRPr="00DB0430" w:rsidRDefault="00921B06" w:rsidP="00921B06">
      <w:pPr>
        <w:pStyle w:val="Idefpara"/>
      </w:pPr>
      <w:r w:rsidRPr="00DB0430">
        <w:tab/>
        <w:t>(b)</w:t>
      </w:r>
      <w:r w:rsidRPr="00DB0430">
        <w:tab/>
        <w:t>is prescribed by regulation as a corresponding prohibition or condition order for this division.</w:t>
      </w:r>
    </w:p>
    <w:p w14:paraId="381CA062" w14:textId="4030018B" w:rsidR="0044269E" w:rsidRPr="007F6445" w:rsidRDefault="0044269E" w:rsidP="0044269E">
      <w:pPr>
        <w:pStyle w:val="IH5Sec"/>
        <w:rPr>
          <w:lang w:eastAsia="en-AU"/>
        </w:rPr>
      </w:pPr>
      <w:r w:rsidRPr="007F6445">
        <w:rPr>
          <w:rFonts w:ascii="Helvetica" w:hAnsi="Helvetica" w:cs="Helvetica"/>
          <w:lang w:eastAsia="en-AU"/>
        </w:rPr>
        <w:t>94</w:t>
      </w:r>
      <w:r w:rsidR="00723CF1" w:rsidRPr="007F6445">
        <w:rPr>
          <w:rFonts w:ascii="Helvetica" w:hAnsi="Helvetica" w:cs="Helvetica"/>
          <w:lang w:eastAsia="en-AU"/>
        </w:rPr>
        <w:t>Q</w:t>
      </w:r>
      <w:r w:rsidRPr="007F6445">
        <w:rPr>
          <w:rFonts w:ascii="Helvetica" w:hAnsi="Helvetica" w:cs="Helvetica"/>
          <w:lang w:eastAsia="en-AU"/>
        </w:rPr>
        <w:tab/>
      </w:r>
      <w:r w:rsidR="00183D77" w:rsidRPr="007F6445">
        <w:t xml:space="preserve">Commission </w:t>
      </w:r>
      <w:r w:rsidRPr="007F6445">
        <w:rPr>
          <w:rFonts w:ascii="Helvetica" w:hAnsi="Helvetica" w:cs="Helvetica"/>
          <w:lang w:eastAsia="en-AU"/>
        </w:rPr>
        <w:t>to keep register</w:t>
      </w:r>
    </w:p>
    <w:p w14:paraId="3D419F67" w14:textId="0A3EC370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 xml:space="preserve">The </w:t>
      </w:r>
      <w:r w:rsidR="00183D77" w:rsidRPr="007F6445">
        <w:t xml:space="preserve">commission </w:t>
      </w:r>
      <w:r w:rsidRPr="007F6445">
        <w:rPr>
          <w:lang w:eastAsia="en-AU"/>
        </w:rPr>
        <w:t>must—</w:t>
      </w:r>
    </w:p>
    <w:p w14:paraId="198CF70E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keep a register of prohibition or condition orders made; and</w:t>
      </w:r>
    </w:p>
    <w:p w14:paraId="4FEE963F" w14:textId="198035A2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ensure that </w:t>
      </w:r>
      <w:r w:rsidRPr="007F6445">
        <w:rPr>
          <w:szCs w:val="24"/>
          <w:lang w:eastAsia="en-AU"/>
        </w:rPr>
        <w:t xml:space="preserve">current prohibition </w:t>
      </w:r>
      <w:r w:rsidRPr="007F6445">
        <w:rPr>
          <w:lang w:eastAsia="en-AU"/>
        </w:rPr>
        <w:t xml:space="preserve">or condition </w:t>
      </w:r>
      <w:r w:rsidRPr="007F6445">
        <w:rPr>
          <w:szCs w:val="24"/>
          <w:lang w:eastAsia="en-AU"/>
        </w:rPr>
        <w:t xml:space="preserve">orders are accessible at all times free of charge on a website approved by the </w:t>
      </w:r>
      <w:r w:rsidR="00183D77" w:rsidRPr="007F6445">
        <w:t>commission</w:t>
      </w:r>
      <w:r w:rsidRPr="007F6445">
        <w:rPr>
          <w:szCs w:val="24"/>
          <w:lang w:eastAsia="en-AU"/>
        </w:rPr>
        <w:t>.</w:t>
      </w:r>
    </w:p>
    <w:p w14:paraId="0F06D7A4" w14:textId="5A4CC1E9" w:rsidR="0044269E" w:rsidRPr="007F6445" w:rsidRDefault="0044269E" w:rsidP="0044269E">
      <w:pPr>
        <w:pStyle w:val="IH5Sec"/>
      </w:pPr>
      <w:r w:rsidRPr="007F6445">
        <w:lastRenderedPageBreak/>
        <w:t>94</w:t>
      </w:r>
      <w:r w:rsidR="00723CF1" w:rsidRPr="007F6445">
        <w:t>R</w:t>
      </w:r>
      <w:r w:rsidRPr="007F6445">
        <w:tab/>
        <w:t>Exchange of information</w:t>
      </w:r>
    </w:p>
    <w:p w14:paraId="148B5F82" w14:textId="2CF5F11C" w:rsidR="0044269E" w:rsidRPr="007F6445" w:rsidRDefault="0044269E" w:rsidP="0044269E">
      <w:pPr>
        <w:pStyle w:val="Amainreturn"/>
      </w:pPr>
      <w:r w:rsidRPr="007F6445">
        <w:t xml:space="preserve">The </w:t>
      </w:r>
      <w:r w:rsidR="00183D77" w:rsidRPr="007F6445">
        <w:t xml:space="preserve">commission </w:t>
      </w:r>
      <w:r w:rsidRPr="007F6445">
        <w:t xml:space="preserve">may exchange information with an </w:t>
      </w:r>
      <w:r w:rsidRPr="00DB0430">
        <w:t>entity responsible for administering or upholding a corresponding law</w:t>
      </w:r>
      <w:r w:rsidRPr="007F6445">
        <w:t xml:space="preserve"> about the following:</w:t>
      </w:r>
    </w:p>
    <w:p w14:paraId="41DBC928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 health care worker’s compliance with the code of conduct or a corresponding law;</w:t>
      </w:r>
    </w:p>
    <w:p w14:paraId="27C0CF96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action taken in relation to a health care worker for acting inconsistently with the code of conduct or a corresponding law.</w:t>
      </w:r>
    </w:p>
    <w:p w14:paraId="2AE86EFB" w14:textId="77777777" w:rsidR="0044269E" w:rsidRPr="007F6445" w:rsidRDefault="0044269E" w:rsidP="0044269E">
      <w:pPr>
        <w:pStyle w:val="IH3Div"/>
      </w:pPr>
      <w:r w:rsidRPr="007F6445">
        <w:rPr>
          <w:rStyle w:val="charBoldItals"/>
          <w:b/>
          <w:i w:val="0"/>
        </w:rPr>
        <w:t>Division 5.4</w:t>
      </w:r>
      <w:r w:rsidRPr="007F6445">
        <w:rPr>
          <w:rStyle w:val="charBoldItals"/>
          <w:b/>
          <w:i w:val="0"/>
        </w:rPr>
        <w:tab/>
      </w:r>
      <w:r w:rsidRPr="007F6445">
        <w:t>Notification and review of decisions</w:t>
      </w:r>
    </w:p>
    <w:p w14:paraId="31F66395" w14:textId="22C51E8C" w:rsidR="0044269E" w:rsidRPr="007F6445" w:rsidRDefault="0044269E" w:rsidP="0044269E">
      <w:pPr>
        <w:pStyle w:val="IH5Sec"/>
      </w:pPr>
      <w:r w:rsidRPr="007F6445">
        <w:t>94</w:t>
      </w:r>
      <w:r w:rsidR="00723CF1" w:rsidRPr="007F6445">
        <w:t>S</w:t>
      </w:r>
      <w:r w:rsidRPr="007F6445">
        <w:tab/>
        <w:t xml:space="preserve">Meaning of </w:t>
      </w:r>
      <w:r w:rsidRPr="007F6445">
        <w:rPr>
          <w:rStyle w:val="charItals"/>
        </w:rPr>
        <w:t>reviewable decision</w:t>
      </w:r>
      <w:r w:rsidRPr="007F6445">
        <w:t>––div 5.4</w:t>
      </w:r>
    </w:p>
    <w:p w14:paraId="54572125" w14:textId="77777777" w:rsidR="0044269E" w:rsidRPr="007F6445" w:rsidRDefault="0044269E" w:rsidP="0044269E">
      <w:pPr>
        <w:pStyle w:val="Amainreturn"/>
        <w:keepNext/>
      </w:pPr>
      <w:r w:rsidRPr="007F6445">
        <w:t>In this division:</w:t>
      </w:r>
    </w:p>
    <w:p w14:paraId="2D9F765D" w14:textId="6D608F78" w:rsidR="0044269E" w:rsidRPr="007F6445" w:rsidRDefault="0044269E" w:rsidP="00E459B3">
      <w:pPr>
        <w:pStyle w:val="aDef"/>
      </w:pPr>
      <w:r w:rsidRPr="007F6445">
        <w:rPr>
          <w:rStyle w:val="charBoldItals"/>
        </w:rPr>
        <w:t>reviewable decision</w:t>
      </w:r>
      <w:r w:rsidRPr="007F6445">
        <w:t xml:space="preserve"> means a decision mentioned in schedule</w:t>
      </w:r>
      <w:r w:rsidR="005F2291" w:rsidRPr="007F6445">
        <w:t xml:space="preserve"> </w:t>
      </w:r>
      <w:r w:rsidRPr="007F6445">
        <w:t>1,</w:t>
      </w:r>
      <w:r w:rsidR="005F2291" w:rsidRPr="007F6445">
        <w:t xml:space="preserve"> </w:t>
      </w:r>
      <w:r w:rsidRPr="007F6445">
        <w:t>column 3 under a provision of this Act mentioned in column 2 in relation to the decision.</w:t>
      </w:r>
    </w:p>
    <w:p w14:paraId="598C932B" w14:textId="300E0B22" w:rsidR="0044269E" w:rsidRPr="007F6445" w:rsidRDefault="0044269E" w:rsidP="0044269E">
      <w:pPr>
        <w:pStyle w:val="IH5Sec"/>
      </w:pPr>
      <w:r w:rsidRPr="007F6445">
        <w:t>94</w:t>
      </w:r>
      <w:r w:rsidR="00723CF1" w:rsidRPr="007F6445">
        <w:t>T</w:t>
      </w:r>
      <w:r w:rsidRPr="007F6445">
        <w:tab/>
        <w:t>Reviewable decision notices</w:t>
      </w:r>
    </w:p>
    <w:p w14:paraId="0AAF0052" w14:textId="77777777" w:rsidR="0088737E" w:rsidRDefault="0044269E" w:rsidP="0044269E">
      <w:pPr>
        <w:pStyle w:val="Amainreturn"/>
        <w:keepNext/>
      </w:pPr>
      <w:r w:rsidRPr="007F6445">
        <w:t xml:space="preserve">If the </w:t>
      </w:r>
      <w:r w:rsidR="00183D77" w:rsidRPr="007F6445">
        <w:t xml:space="preserve">commission </w:t>
      </w:r>
      <w:r w:rsidRPr="007F6445">
        <w:t xml:space="preserve">makes a reviewable decision, the </w:t>
      </w:r>
      <w:r w:rsidR="00183D77" w:rsidRPr="007F6445">
        <w:t xml:space="preserve">commission </w:t>
      </w:r>
      <w:r w:rsidRPr="007F6445">
        <w:t>must give a reviewable decision notice to each entity mentioned in schedule</w:t>
      </w:r>
      <w:r w:rsidR="005F2291" w:rsidRPr="007F6445">
        <w:t xml:space="preserve"> </w:t>
      </w:r>
      <w:r w:rsidRPr="007F6445">
        <w:t>1, column 4 in relation to the decision.</w:t>
      </w:r>
    </w:p>
    <w:p w14:paraId="144E5D5A" w14:textId="66DB3936" w:rsidR="0044269E" w:rsidRPr="007F6445" w:rsidRDefault="0044269E" w:rsidP="00E459B3">
      <w:pPr>
        <w:pStyle w:val="aNote"/>
        <w:keepNext/>
      </w:pPr>
      <w:r w:rsidRPr="007F6445">
        <w:rPr>
          <w:rStyle w:val="charItals"/>
        </w:rPr>
        <w:t>Note 1</w:t>
      </w:r>
      <w:r w:rsidRPr="007F6445">
        <w:rPr>
          <w:rStyle w:val="charItals"/>
        </w:rPr>
        <w:tab/>
      </w:r>
      <w:r w:rsidRPr="007F6445">
        <w:t xml:space="preserve">The </w:t>
      </w:r>
      <w:r w:rsidR="00183D77" w:rsidRPr="007F6445">
        <w:t xml:space="preserve">commission </w:t>
      </w:r>
      <w:r w:rsidRPr="007F6445">
        <w:t xml:space="preserve">must also take reasonable steps to give a reviewable decision notice to any other person whose interests are affected by the decision (see </w:t>
      </w:r>
      <w:hyperlink r:id="rId44" w:tooltip="A2008-35" w:history="1">
        <w:r w:rsidR="00DB0430" w:rsidRPr="00DB0430">
          <w:rPr>
            <w:rStyle w:val="charCitHyperlinkItal"/>
          </w:rPr>
          <w:t>ACT Civil and Administrative Tribunal Act 2008</w:t>
        </w:r>
      </w:hyperlink>
      <w:r w:rsidRPr="007F6445">
        <w:t>, s</w:t>
      </w:r>
      <w:r w:rsidR="005F2291" w:rsidRPr="007F6445">
        <w:t xml:space="preserve"> </w:t>
      </w:r>
      <w:r w:rsidRPr="007F6445">
        <w:t>67A).</w:t>
      </w:r>
    </w:p>
    <w:p w14:paraId="3FC6A3E0" w14:textId="31A03210" w:rsidR="0088737E" w:rsidRDefault="0044269E" w:rsidP="0044269E">
      <w:pPr>
        <w:pStyle w:val="aNote"/>
      </w:pPr>
      <w:r w:rsidRPr="007F6445">
        <w:rPr>
          <w:rStyle w:val="charItals"/>
        </w:rPr>
        <w:t>Note 2</w:t>
      </w:r>
      <w:r w:rsidRPr="007F6445">
        <w:rPr>
          <w:rStyle w:val="charItals"/>
        </w:rPr>
        <w:tab/>
      </w:r>
      <w:r w:rsidRPr="007F6445">
        <w:t xml:space="preserve">The requirements for reviewable decision notices are prescribed under the </w:t>
      </w:r>
      <w:hyperlink r:id="rId45" w:tooltip="A2008-35" w:history="1">
        <w:r w:rsidR="00DB0430" w:rsidRPr="00DB0430">
          <w:rPr>
            <w:rStyle w:val="charCitHyperlinkItal"/>
          </w:rPr>
          <w:t>ACT Civil and Administrative Tribunal Act 2008</w:t>
        </w:r>
      </w:hyperlink>
      <w:r w:rsidRPr="007F6445">
        <w:t>.</w:t>
      </w:r>
    </w:p>
    <w:p w14:paraId="0614E818" w14:textId="76AC019C" w:rsidR="0044269E" w:rsidRPr="007F6445" w:rsidRDefault="0044269E" w:rsidP="0044269E">
      <w:pPr>
        <w:pStyle w:val="IH5Sec"/>
      </w:pPr>
      <w:r w:rsidRPr="007F6445">
        <w:lastRenderedPageBreak/>
        <w:t>94</w:t>
      </w:r>
      <w:r w:rsidR="00723CF1" w:rsidRPr="007F6445">
        <w:t>U</w:t>
      </w:r>
      <w:r w:rsidRPr="007F6445">
        <w:tab/>
        <w:t>Applications for review</w:t>
      </w:r>
    </w:p>
    <w:p w14:paraId="6B1886D1" w14:textId="695C4923" w:rsidR="0044269E" w:rsidRDefault="0044269E" w:rsidP="0044269E">
      <w:pPr>
        <w:pStyle w:val="Amainreturn"/>
        <w:keepNext/>
      </w:pPr>
      <w:r w:rsidRPr="007F6445">
        <w:t>An entity mentioned in schedule</w:t>
      </w:r>
      <w:r w:rsidR="005F2291" w:rsidRPr="007F6445">
        <w:t xml:space="preserve"> </w:t>
      </w:r>
      <w:r w:rsidRPr="007F6445">
        <w:t>1, column 4 in relation to a reviewable decision may apply to the ACAT for a review of the decision.</w:t>
      </w:r>
    </w:p>
    <w:p w14:paraId="146EBF33" w14:textId="3A8A8D90" w:rsidR="00652051" w:rsidRPr="007F6445" w:rsidRDefault="00652051" w:rsidP="00652051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>
        <w:t xml:space="preserve">If a form is approved under the </w:t>
      </w:r>
      <w:hyperlink r:id="rId46" w:tooltip="A2008-35" w:history="1">
        <w:r w:rsidR="00DB0430" w:rsidRPr="00DB0430">
          <w:rPr>
            <w:rStyle w:val="charCitHyperlinkItal"/>
          </w:rPr>
          <w:t>ACT Civil and Administrative Tribunal Act 2008</w:t>
        </w:r>
      </w:hyperlink>
      <w:r w:rsidRPr="00DB0430">
        <w:rPr>
          <w:rStyle w:val="charItals"/>
        </w:rPr>
        <w:t xml:space="preserve"> </w:t>
      </w:r>
      <w:r>
        <w:t>for the application, the form must be used.</w:t>
      </w:r>
    </w:p>
    <w:p w14:paraId="26F8FAEC" w14:textId="2EB5A5CF" w:rsidR="0044269E" w:rsidRPr="007F6445" w:rsidRDefault="00E459B3" w:rsidP="00E459B3">
      <w:pPr>
        <w:pStyle w:val="AH5Sec"/>
        <w:shd w:val="pct25" w:color="auto" w:fill="auto"/>
      </w:pPr>
      <w:bookmarkStart w:id="14" w:name="_Toc130475984"/>
      <w:r w:rsidRPr="00E459B3">
        <w:rPr>
          <w:rStyle w:val="CharSectNo"/>
        </w:rPr>
        <w:t>13</w:t>
      </w:r>
      <w:r w:rsidRPr="007F6445">
        <w:tab/>
      </w:r>
      <w:r w:rsidR="0044269E" w:rsidRPr="007F6445">
        <w:t>New schedule 1</w:t>
      </w:r>
      <w:bookmarkEnd w:id="14"/>
    </w:p>
    <w:p w14:paraId="38BEFCB0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11F0B452" w14:textId="77777777" w:rsidR="0044269E" w:rsidRPr="007F6445" w:rsidRDefault="0044269E" w:rsidP="0044269E">
      <w:pPr>
        <w:pStyle w:val="ISched-heading"/>
      </w:pPr>
      <w:r w:rsidRPr="007F6445">
        <w:t>Schedule 1</w:t>
      </w:r>
      <w:r w:rsidRPr="007F6445">
        <w:tab/>
        <w:t>Reviewable decisions</w:t>
      </w:r>
    </w:p>
    <w:p w14:paraId="5A427319" w14:textId="77777777" w:rsidR="0044269E" w:rsidRPr="007F6445" w:rsidRDefault="0044269E" w:rsidP="00204282">
      <w:pPr>
        <w:pStyle w:val="ref"/>
        <w:spacing w:after="120"/>
      </w:pPr>
      <w:r w:rsidRPr="007F6445">
        <w:t>(see div 5.4)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44269E" w:rsidRPr="007F6445" w14:paraId="458C4C07" w14:textId="77777777" w:rsidTr="00311A51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2466098" w14:textId="77777777" w:rsidR="0044269E" w:rsidRPr="007F6445" w:rsidRDefault="0044269E" w:rsidP="00311A51">
            <w:pPr>
              <w:pStyle w:val="TableColHd"/>
            </w:pPr>
            <w:r w:rsidRPr="007F6445">
              <w:t>column 1</w:t>
            </w:r>
          </w:p>
          <w:p w14:paraId="20F4913F" w14:textId="77777777" w:rsidR="0044269E" w:rsidRPr="007F6445" w:rsidRDefault="0044269E" w:rsidP="00311A51">
            <w:pPr>
              <w:pStyle w:val="TableColHd"/>
            </w:pPr>
            <w:r w:rsidRPr="007F644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174D22F" w14:textId="77777777" w:rsidR="0044269E" w:rsidRPr="007F6445" w:rsidRDefault="0044269E" w:rsidP="00311A51">
            <w:pPr>
              <w:pStyle w:val="TableColHd"/>
            </w:pPr>
            <w:r w:rsidRPr="007F6445">
              <w:t>column 2</w:t>
            </w:r>
          </w:p>
          <w:p w14:paraId="59B04D08" w14:textId="77777777" w:rsidR="0044269E" w:rsidRPr="007F6445" w:rsidRDefault="0044269E" w:rsidP="00311A51">
            <w:pPr>
              <w:pStyle w:val="TableColHd"/>
            </w:pPr>
            <w:r w:rsidRPr="007F6445">
              <w:t>section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B8824B0" w14:textId="77777777" w:rsidR="0044269E" w:rsidRPr="007F6445" w:rsidRDefault="0044269E" w:rsidP="00311A51">
            <w:pPr>
              <w:pStyle w:val="TableColHd"/>
            </w:pPr>
            <w:r w:rsidRPr="007F6445">
              <w:t>column 3</w:t>
            </w:r>
          </w:p>
          <w:p w14:paraId="10F46CA6" w14:textId="77777777" w:rsidR="0044269E" w:rsidRPr="007F6445" w:rsidRDefault="0044269E" w:rsidP="00311A51">
            <w:pPr>
              <w:pStyle w:val="TableColHd"/>
            </w:pPr>
            <w:r w:rsidRPr="007F6445">
              <w:t>decision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0BF8E7B0" w14:textId="77777777" w:rsidR="0044269E" w:rsidRPr="007F6445" w:rsidRDefault="0044269E" w:rsidP="00311A51">
            <w:pPr>
              <w:pStyle w:val="TableColHd"/>
            </w:pPr>
            <w:r w:rsidRPr="007F6445">
              <w:t>column 4</w:t>
            </w:r>
          </w:p>
          <w:p w14:paraId="66DCF412" w14:textId="77777777" w:rsidR="0044269E" w:rsidRPr="007F6445" w:rsidRDefault="0044269E" w:rsidP="00311A51">
            <w:pPr>
              <w:pStyle w:val="TableColHd"/>
            </w:pPr>
            <w:r w:rsidRPr="007F6445">
              <w:t>entity</w:t>
            </w:r>
          </w:p>
        </w:tc>
      </w:tr>
      <w:tr w:rsidR="0044269E" w:rsidRPr="007F6445" w14:paraId="12006B49" w14:textId="77777777" w:rsidTr="00311A51">
        <w:trPr>
          <w:cantSplit/>
        </w:trPr>
        <w:tc>
          <w:tcPr>
            <w:tcW w:w="1200" w:type="dxa"/>
          </w:tcPr>
          <w:p w14:paraId="324D7B31" w14:textId="7D475549" w:rsidR="0044269E" w:rsidRPr="007F6445" w:rsidRDefault="001A25CE" w:rsidP="001A25CE">
            <w:pPr>
              <w:pStyle w:val="TableText10"/>
            </w:pPr>
            <w:r w:rsidRPr="007F6445">
              <w:t>1</w:t>
            </w:r>
          </w:p>
        </w:tc>
        <w:tc>
          <w:tcPr>
            <w:tcW w:w="2107" w:type="dxa"/>
          </w:tcPr>
          <w:p w14:paraId="617BC7B0" w14:textId="1FD0DA25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G</w:t>
            </w:r>
            <w:r w:rsidRPr="007F6445">
              <w:t xml:space="preserve"> (1)</w:t>
            </w:r>
          </w:p>
        </w:tc>
        <w:tc>
          <w:tcPr>
            <w:tcW w:w="2107" w:type="dxa"/>
          </w:tcPr>
          <w:p w14:paraId="64A89050" w14:textId="77777777" w:rsidR="0044269E" w:rsidRPr="007F6445" w:rsidRDefault="0044269E" w:rsidP="00311A51">
            <w:pPr>
              <w:pStyle w:val="TableText10"/>
            </w:pPr>
            <w:r w:rsidRPr="007F6445">
              <w:t>make interim order</w:t>
            </w:r>
          </w:p>
        </w:tc>
        <w:tc>
          <w:tcPr>
            <w:tcW w:w="2534" w:type="dxa"/>
          </w:tcPr>
          <w:p w14:paraId="31B5440D" w14:textId="77777777" w:rsidR="0044269E" w:rsidRPr="007F6445" w:rsidRDefault="0044269E" w:rsidP="00311A51">
            <w:pPr>
              <w:pStyle w:val="TableText10"/>
            </w:pPr>
            <w:r w:rsidRPr="007F6445">
              <w:t>person subject to interim order</w:t>
            </w:r>
          </w:p>
        </w:tc>
      </w:tr>
      <w:tr w:rsidR="0044269E" w:rsidRPr="007F6445" w14:paraId="06AA80E4" w14:textId="77777777" w:rsidTr="00311A51">
        <w:trPr>
          <w:cantSplit/>
        </w:trPr>
        <w:tc>
          <w:tcPr>
            <w:tcW w:w="1200" w:type="dxa"/>
          </w:tcPr>
          <w:p w14:paraId="35208AB7" w14:textId="349FCD4D" w:rsidR="0044269E" w:rsidRPr="007F6445" w:rsidRDefault="001A25CE" w:rsidP="001A25CE">
            <w:pPr>
              <w:pStyle w:val="TableText10"/>
            </w:pPr>
            <w:r w:rsidRPr="007F6445">
              <w:t>2</w:t>
            </w:r>
          </w:p>
        </w:tc>
        <w:tc>
          <w:tcPr>
            <w:tcW w:w="2107" w:type="dxa"/>
          </w:tcPr>
          <w:p w14:paraId="3C7654FD" w14:textId="7C1F08EE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H</w:t>
            </w:r>
            <w:r w:rsidRPr="007F6445">
              <w:t xml:space="preserve"> (1) </w:t>
            </w:r>
          </w:p>
        </w:tc>
        <w:tc>
          <w:tcPr>
            <w:tcW w:w="2107" w:type="dxa"/>
          </w:tcPr>
          <w:p w14:paraId="22A744D4" w14:textId="77777777" w:rsidR="0044269E" w:rsidRPr="007F6445" w:rsidRDefault="0044269E" w:rsidP="00311A51">
            <w:pPr>
              <w:pStyle w:val="TableText10"/>
            </w:pPr>
            <w:r w:rsidRPr="007F6445">
              <w:t>make final order</w:t>
            </w:r>
          </w:p>
        </w:tc>
        <w:tc>
          <w:tcPr>
            <w:tcW w:w="2534" w:type="dxa"/>
          </w:tcPr>
          <w:p w14:paraId="06084778" w14:textId="77777777" w:rsidR="0044269E" w:rsidRPr="007F6445" w:rsidRDefault="0044269E" w:rsidP="00311A51">
            <w:pPr>
              <w:pStyle w:val="TableText10"/>
            </w:pPr>
            <w:r w:rsidRPr="007F6445">
              <w:t>person subject to final order</w:t>
            </w:r>
          </w:p>
        </w:tc>
      </w:tr>
      <w:tr w:rsidR="0044269E" w:rsidRPr="007F6445" w14:paraId="5961E222" w14:textId="77777777" w:rsidTr="00311A51">
        <w:trPr>
          <w:cantSplit/>
        </w:trPr>
        <w:tc>
          <w:tcPr>
            <w:tcW w:w="1200" w:type="dxa"/>
          </w:tcPr>
          <w:p w14:paraId="561F6A71" w14:textId="7193DF82" w:rsidR="0044269E" w:rsidRPr="007F6445" w:rsidRDefault="001A25CE" w:rsidP="001A25CE">
            <w:pPr>
              <w:pStyle w:val="TableText10"/>
            </w:pPr>
            <w:r w:rsidRPr="007F6445">
              <w:t>3</w:t>
            </w:r>
          </w:p>
        </w:tc>
        <w:tc>
          <w:tcPr>
            <w:tcW w:w="2107" w:type="dxa"/>
          </w:tcPr>
          <w:p w14:paraId="0E43530F" w14:textId="0A7D93B3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I</w:t>
            </w:r>
          </w:p>
        </w:tc>
        <w:tc>
          <w:tcPr>
            <w:tcW w:w="2107" w:type="dxa"/>
          </w:tcPr>
          <w:p w14:paraId="47D63067" w14:textId="77777777" w:rsidR="0044269E" w:rsidRPr="007F6445" w:rsidRDefault="0044269E" w:rsidP="00311A51">
            <w:pPr>
              <w:pStyle w:val="TableText10"/>
            </w:pPr>
            <w:r w:rsidRPr="007F6445">
              <w:t xml:space="preserve">make, vary or withdraw public statement </w:t>
            </w:r>
          </w:p>
        </w:tc>
        <w:tc>
          <w:tcPr>
            <w:tcW w:w="2534" w:type="dxa"/>
          </w:tcPr>
          <w:p w14:paraId="7F0BC3F8" w14:textId="2BEC98FB" w:rsidR="0044269E" w:rsidRPr="007F6445" w:rsidRDefault="00E459B3" w:rsidP="00E459B3">
            <w:pPr>
              <w:pStyle w:val="TableText10"/>
              <w:ind w:left="432" w:hanging="432"/>
            </w:pPr>
            <w:r w:rsidRPr="007F6445">
              <w:rPr>
                <w:rFonts w:ascii="Symbol" w:hAnsi="Symbol"/>
              </w:rPr>
              <w:t></w:t>
            </w:r>
            <w:r w:rsidRPr="007F6445">
              <w:rPr>
                <w:rFonts w:ascii="Symbol" w:hAnsi="Symbol"/>
              </w:rPr>
              <w:tab/>
            </w:r>
            <w:r w:rsidR="0044269E" w:rsidRPr="007F6445">
              <w:t>person mentioned in public statement</w:t>
            </w:r>
          </w:p>
          <w:p w14:paraId="0169F829" w14:textId="0C7CD463" w:rsidR="0044269E" w:rsidRPr="007F6445" w:rsidRDefault="00E459B3" w:rsidP="00E459B3">
            <w:pPr>
              <w:pStyle w:val="TableText10"/>
              <w:ind w:left="432" w:hanging="432"/>
            </w:pPr>
            <w:r w:rsidRPr="007F6445">
              <w:rPr>
                <w:rFonts w:ascii="Symbol" w:hAnsi="Symbol"/>
              </w:rPr>
              <w:t></w:t>
            </w:r>
            <w:r w:rsidRPr="007F6445">
              <w:rPr>
                <w:rFonts w:ascii="Symbol" w:hAnsi="Symbol"/>
              </w:rPr>
              <w:tab/>
            </w:r>
            <w:r w:rsidR="0044269E" w:rsidRPr="007F6445">
              <w:t>person providing health service mentioned in public statement</w:t>
            </w:r>
          </w:p>
        </w:tc>
      </w:tr>
      <w:tr w:rsidR="0044269E" w:rsidRPr="007F6445" w14:paraId="45D587C1" w14:textId="77777777" w:rsidTr="00311A51">
        <w:trPr>
          <w:cantSplit/>
        </w:trPr>
        <w:tc>
          <w:tcPr>
            <w:tcW w:w="1200" w:type="dxa"/>
          </w:tcPr>
          <w:p w14:paraId="1B2D16C2" w14:textId="50F26494" w:rsidR="0044269E" w:rsidRPr="007F6445" w:rsidRDefault="001A25CE" w:rsidP="001A25CE">
            <w:pPr>
              <w:pStyle w:val="TableText10"/>
            </w:pPr>
            <w:r w:rsidRPr="007F6445">
              <w:t>4</w:t>
            </w:r>
          </w:p>
        </w:tc>
        <w:tc>
          <w:tcPr>
            <w:tcW w:w="2107" w:type="dxa"/>
          </w:tcPr>
          <w:p w14:paraId="2BCEDEB4" w14:textId="7393B5A6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L</w:t>
            </w:r>
          </w:p>
        </w:tc>
        <w:tc>
          <w:tcPr>
            <w:tcW w:w="2107" w:type="dxa"/>
          </w:tcPr>
          <w:p w14:paraId="3A426B25" w14:textId="77777777" w:rsidR="0044269E" w:rsidRPr="007F6445" w:rsidRDefault="0044269E" w:rsidP="00311A51">
            <w:pPr>
              <w:pStyle w:val="TableText10"/>
            </w:pPr>
            <w:r w:rsidRPr="007F6445">
              <w:t xml:space="preserve">not vary </w:t>
            </w:r>
            <w:r w:rsidRPr="007F6445">
              <w:rPr>
                <w:lang w:eastAsia="en-AU"/>
              </w:rPr>
              <w:t>prohibition or condition order</w:t>
            </w:r>
          </w:p>
        </w:tc>
        <w:tc>
          <w:tcPr>
            <w:tcW w:w="2534" w:type="dxa"/>
          </w:tcPr>
          <w:p w14:paraId="2115366C" w14:textId="77777777" w:rsidR="0044269E" w:rsidRPr="007F6445" w:rsidRDefault="0044269E" w:rsidP="00311A51">
            <w:pPr>
              <w:pStyle w:val="TableText10"/>
            </w:pPr>
            <w:r w:rsidRPr="007F6445">
              <w:t>person requesting variation</w:t>
            </w:r>
          </w:p>
        </w:tc>
      </w:tr>
      <w:tr w:rsidR="0044269E" w:rsidRPr="007F6445" w14:paraId="15CA56B5" w14:textId="77777777" w:rsidTr="00311A51">
        <w:trPr>
          <w:cantSplit/>
        </w:trPr>
        <w:tc>
          <w:tcPr>
            <w:tcW w:w="1200" w:type="dxa"/>
          </w:tcPr>
          <w:p w14:paraId="2BC5CBA2" w14:textId="7E096066" w:rsidR="0044269E" w:rsidRPr="007F6445" w:rsidRDefault="001A25CE" w:rsidP="001A25CE">
            <w:pPr>
              <w:pStyle w:val="TableText10"/>
            </w:pPr>
            <w:r w:rsidRPr="007F6445">
              <w:t>5</w:t>
            </w:r>
          </w:p>
        </w:tc>
        <w:tc>
          <w:tcPr>
            <w:tcW w:w="2107" w:type="dxa"/>
          </w:tcPr>
          <w:p w14:paraId="5E21DB7E" w14:textId="6A0B1498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M</w:t>
            </w:r>
          </w:p>
        </w:tc>
        <w:tc>
          <w:tcPr>
            <w:tcW w:w="2107" w:type="dxa"/>
          </w:tcPr>
          <w:p w14:paraId="53EE6237" w14:textId="77777777" w:rsidR="0044269E" w:rsidRPr="007F6445" w:rsidRDefault="0044269E" w:rsidP="00311A51">
            <w:pPr>
              <w:pStyle w:val="TableText10"/>
            </w:pPr>
            <w:r w:rsidRPr="007F6445">
              <w:t xml:space="preserve">not cancel </w:t>
            </w:r>
            <w:r w:rsidRPr="007F6445">
              <w:rPr>
                <w:lang w:eastAsia="en-AU"/>
              </w:rPr>
              <w:t>prohibition or condition order</w:t>
            </w:r>
          </w:p>
        </w:tc>
        <w:tc>
          <w:tcPr>
            <w:tcW w:w="2534" w:type="dxa"/>
          </w:tcPr>
          <w:p w14:paraId="7B3AB1F7" w14:textId="77777777" w:rsidR="0044269E" w:rsidRPr="007F6445" w:rsidRDefault="0044269E" w:rsidP="00311A51">
            <w:pPr>
              <w:pStyle w:val="TableText10"/>
            </w:pPr>
            <w:r w:rsidRPr="007F6445">
              <w:t>person requesting cancellation</w:t>
            </w:r>
          </w:p>
        </w:tc>
      </w:tr>
    </w:tbl>
    <w:p w14:paraId="0E6D088B" w14:textId="7D8C5A9A" w:rsidR="006962EB" w:rsidRPr="007F6445" w:rsidRDefault="00E459B3" w:rsidP="00E459B3">
      <w:pPr>
        <w:pStyle w:val="AH5Sec"/>
        <w:shd w:val="pct25" w:color="auto" w:fill="auto"/>
      </w:pPr>
      <w:bookmarkStart w:id="15" w:name="_Toc130475985"/>
      <w:r w:rsidRPr="00E459B3">
        <w:rPr>
          <w:rStyle w:val="CharSectNo"/>
        </w:rPr>
        <w:lastRenderedPageBreak/>
        <w:t>14</w:t>
      </w:r>
      <w:r w:rsidRPr="007F6445">
        <w:tab/>
      </w:r>
      <w:r w:rsidR="006962EB" w:rsidRPr="007F6445">
        <w:t>Dictionary, note 2</w:t>
      </w:r>
      <w:bookmarkEnd w:id="15"/>
    </w:p>
    <w:p w14:paraId="07ED651C" w14:textId="77777777" w:rsidR="006962EB" w:rsidRPr="007F6445" w:rsidRDefault="006962EB" w:rsidP="006962EB">
      <w:pPr>
        <w:pStyle w:val="direction"/>
      </w:pPr>
      <w:r w:rsidRPr="007F6445">
        <w:t>insert</w:t>
      </w:r>
    </w:p>
    <w:p w14:paraId="394CA7E2" w14:textId="7D45E5C3" w:rsidR="00FF1D4E" w:rsidRPr="007F6445" w:rsidRDefault="00E459B3" w:rsidP="00B81E3F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FF1D4E" w:rsidRPr="007F6445">
        <w:t>head of service</w:t>
      </w:r>
    </w:p>
    <w:p w14:paraId="154C8611" w14:textId="3F4CB844" w:rsidR="008919FB" w:rsidRPr="007F6445" w:rsidRDefault="00E459B3" w:rsidP="00B81E3F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8919FB" w:rsidRPr="007F6445">
        <w:t>person (see s 160)</w:t>
      </w:r>
    </w:p>
    <w:p w14:paraId="3414D115" w14:textId="09D80537" w:rsidR="00E928B0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E928B0" w:rsidRPr="007F6445">
        <w:t>public sector standards commissioner</w:t>
      </w:r>
    </w:p>
    <w:p w14:paraId="33BFEB7B" w14:textId="7FCA2AC7" w:rsidR="006962EB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6962EB" w:rsidRPr="007F6445">
        <w:t>public servant</w:t>
      </w:r>
    </w:p>
    <w:p w14:paraId="64B99517" w14:textId="6F252A06" w:rsidR="0044269E" w:rsidRPr="007F6445" w:rsidRDefault="00E459B3" w:rsidP="00E459B3">
      <w:pPr>
        <w:pStyle w:val="AH5Sec"/>
        <w:shd w:val="pct25" w:color="auto" w:fill="auto"/>
      </w:pPr>
      <w:bookmarkStart w:id="16" w:name="_Toc130475986"/>
      <w:r w:rsidRPr="00E459B3">
        <w:rPr>
          <w:rStyle w:val="CharSectNo"/>
        </w:rPr>
        <w:t>15</w:t>
      </w:r>
      <w:r w:rsidRPr="007F6445">
        <w:tab/>
      </w:r>
      <w:r w:rsidR="0044269E" w:rsidRPr="007F6445">
        <w:t xml:space="preserve">Dictionary, new definition of </w:t>
      </w:r>
      <w:r w:rsidR="0044269E" w:rsidRPr="00DB0430">
        <w:rPr>
          <w:rStyle w:val="charItals"/>
        </w:rPr>
        <w:t>code of conduct</w:t>
      </w:r>
      <w:bookmarkEnd w:id="16"/>
    </w:p>
    <w:p w14:paraId="3E99712B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1F9741FC" w14:textId="77777777" w:rsidR="0044269E" w:rsidRPr="007F6445" w:rsidRDefault="0044269E" w:rsidP="00E459B3">
      <w:pPr>
        <w:pStyle w:val="aDef"/>
      </w:pPr>
      <w:r w:rsidRPr="00DB0430">
        <w:rPr>
          <w:rStyle w:val="charBoldItals"/>
        </w:rPr>
        <w:t>code of conduct</w:t>
      </w:r>
      <w:r w:rsidRPr="007F6445">
        <w:t>, for division 5.3 (Health care worker code of conduct)—see section 94A.</w:t>
      </w:r>
    </w:p>
    <w:p w14:paraId="08CB1F57" w14:textId="60C7E190" w:rsidR="0044269E" w:rsidRPr="007F6445" w:rsidRDefault="00E459B3" w:rsidP="00E459B3">
      <w:pPr>
        <w:pStyle w:val="AH5Sec"/>
        <w:shd w:val="pct25" w:color="auto" w:fill="auto"/>
      </w:pPr>
      <w:bookmarkStart w:id="17" w:name="_Toc130475987"/>
      <w:r w:rsidRPr="00E459B3">
        <w:rPr>
          <w:rStyle w:val="CharSectNo"/>
        </w:rPr>
        <w:t>16</w:t>
      </w:r>
      <w:r w:rsidRPr="007F6445">
        <w:tab/>
      </w:r>
      <w:r w:rsidR="0044269E" w:rsidRPr="007F6445">
        <w:t xml:space="preserve">Dictionary, definition of </w:t>
      </w:r>
      <w:r w:rsidR="0044269E" w:rsidRPr="00DB0430">
        <w:rPr>
          <w:rStyle w:val="charItals"/>
        </w:rPr>
        <w:t>complaint</w:t>
      </w:r>
      <w:r w:rsidR="0044269E" w:rsidRPr="007F6445">
        <w:t>, new paragraph (c)</w:t>
      </w:r>
      <w:bookmarkEnd w:id="17"/>
    </w:p>
    <w:p w14:paraId="737E0852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45122913" w14:textId="77777777" w:rsidR="0044269E" w:rsidRPr="007F6445" w:rsidRDefault="0044269E" w:rsidP="0044269E">
      <w:pPr>
        <w:pStyle w:val="Idefpara"/>
      </w:pPr>
      <w:r w:rsidRPr="007F6445">
        <w:tab/>
        <w:t>(c)</w:t>
      </w:r>
      <w:r w:rsidRPr="007F6445">
        <w:tab/>
        <w:t>for division 5.3 (Health care worker code of conduct)—see section 94A.</w:t>
      </w:r>
    </w:p>
    <w:p w14:paraId="64BE9E55" w14:textId="5FA890CD" w:rsidR="0044269E" w:rsidRPr="007F6445" w:rsidRDefault="00E459B3" w:rsidP="00E459B3">
      <w:pPr>
        <w:pStyle w:val="AH5Sec"/>
        <w:shd w:val="pct25" w:color="auto" w:fill="auto"/>
      </w:pPr>
      <w:bookmarkStart w:id="18" w:name="_Toc130475988"/>
      <w:r w:rsidRPr="00E459B3">
        <w:rPr>
          <w:rStyle w:val="CharSectNo"/>
        </w:rPr>
        <w:t>17</w:t>
      </w:r>
      <w:r w:rsidRPr="007F6445">
        <w:tab/>
      </w:r>
      <w:r w:rsidR="0044269E" w:rsidRPr="007F6445">
        <w:t>Dictionary, new definitions</w:t>
      </w:r>
      <w:bookmarkEnd w:id="18"/>
    </w:p>
    <w:p w14:paraId="7FCD1A50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7A775D6E" w14:textId="6EBA9A6B" w:rsidR="0044269E" w:rsidRPr="007F6445" w:rsidRDefault="005E7345" w:rsidP="00E459B3">
      <w:pPr>
        <w:pStyle w:val="aDef"/>
        <w:rPr>
          <w:lang w:eastAsia="en-AU"/>
        </w:rPr>
      </w:pPr>
      <w:r w:rsidRPr="007F6445">
        <w:rPr>
          <w:rStyle w:val="charBoldItals"/>
        </w:rPr>
        <w:t>corresponding law</w:t>
      </w:r>
      <w:r w:rsidR="0044269E" w:rsidRPr="007F6445">
        <w:t>, for division 5.3 (Health care worker code of conduct)—see section 94A</w:t>
      </w:r>
      <w:r w:rsidR="0044269E" w:rsidRPr="007F6445">
        <w:rPr>
          <w:lang w:eastAsia="en-AU"/>
        </w:rPr>
        <w:t>.</w:t>
      </w:r>
    </w:p>
    <w:p w14:paraId="5048343B" w14:textId="2159B436" w:rsidR="0044269E" w:rsidRPr="007F6445" w:rsidRDefault="0044269E" w:rsidP="00E459B3">
      <w:pPr>
        <w:pStyle w:val="aDef"/>
      </w:pPr>
      <w:r w:rsidRPr="00DB0430">
        <w:rPr>
          <w:rStyle w:val="charBoldItals"/>
        </w:rPr>
        <w:t>final order</w:t>
      </w:r>
      <w:r w:rsidRPr="007F6445">
        <w:t>, for division 5.3 (Health care worker code of conduct)—see section 94</w:t>
      </w:r>
      <w:r w:rsidR="005452BD" w:rsidRPr="007F6445">
        <w:t>H</w:t>
      </w:r>
      <w:r w:rsidRPr="007F6445">
        <w:t xml:space="preserve"> (1).</w:t>
      </w:r>
    </w:p>
    <w:p w14:paraId="7D088B3B" w14:textId="70C58C0C" w:rsidR="0044269E" w:rsidRPr="007F6445" w:rsidRDefault="0044269E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, for division 5.3 (Health care worker code of conduct)—see section 94</w:t>
      </w:r>
      <w:r w:rsidR="009D49C7" w:rsidRPr="007F6445">
        <w:t>B</w:t>
      </w:r>
      <w:r w:rsidRPr="007F6445">
        <w:t>.</w:t>
      </w:r>
    </w:p>
    <w:p w14:paraId="4BD2416E" w14:textId="41FAA4E0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interim order</w:t>
      </w:r>
      <w:r w:rsidRPr="007F6445">
        <w:t>, for division 5.3 (Health care worker code of conduct)—see section 94</w:t>
      </w:r>
      <w:r w:rsidR="005452BD" w:rsidRPr="007F6445">
        <w:t>G</w:t>
      </w:r>
      <w:r w:rsidRPr="007F6445">
        <w:t xml:space="preserve"> (1)</w:t>
      </w:r>
      <w:r w:rsidRPr="007F6445">
        <w:rPr>
          <w:lang w:eastAsia="en-AU"/>
        </w:rPr>
        <w:t>.</w:t>
      </w:r>
    </w:p>
    <w:p w14:paraId="5C25017C" w14:textId="25EB1F34" w:rsidR="0044269E" w:rsidRPr="007F6445" w:rsidRDefault="0044269E" w:rsidP="00E459B3">
      <w:pPr>
        <w:pStyle w:val="aDef"/>
      </w:pPr>
      <w:r w:rsidRPr="00DB0430">
        <w:rPr>
          <w:rStyle w:val="charBoldItals"/>
        </w:rPr>
        <w:t>prohibition or condition order</w:t>
      </w:r>
      <w:r w:rsidRPr="007F6445">
        <w:t>, for a health care worker, for division</w:t>
      </w:r>
      <w:r w:rsidR="00485FD3">
        <w:t> </w:t>
      </w:r>
      <w:r w:rsidRPr="007F6445">
        <w:t>5.3 (Health care worker code of conduct)—see section</w:t>
      </w:r>
      <w:r w:rsidR="00204282">
        <w:t> </w:t>
      </w:r>
      <w:r w:rsidRPr="007F6445">
        <w:t>94A.</w:t>
      </w:r>
    </w:p>
    <w:p w14:paraId="3CE5B48E" w14:textId="1936C8D8" w:rsidR="00AD711D" w:rsidRPr="007F6445" w:rsidRDefault="00AD711D" w:rsidP="00E459B3">
      <w:pPr>
        <w:pStyle w:val="aDef"/>
        <w:rPr>
          <w:lang w:eastAsia="en-AU"/>
        </w:rPr>
      </w:pPr>
      <w:r w:rsidRPr="00DB0430">
        <w:rPr>
          <w:rStyle w:val="charBoldItals"/>
        </w:rPr>
        <w:lastRenderedPageBreak/>
        <w:t>public servant complaint</w:t>
      </w:r>
      <w:r w:rsidRPr="007F6445">
        <w:t>, for division 5.3 (Health care worker code of conduct)—see section 94</w:t>
      </w:r>
      <w:r w:rsidR="00B237D0" w:rsidRPr="007F6445">
        <w:t>D (1)</w:t>
      </w:r>
      <w:r w:rsidRPr="007F6445">
        <w:t>.</w:t>
      </w:r>
    </w:p>
    <w:p w14:paraId="7EFD9EF4" w14:textId="75E1138D" w:rsidR="00334E5E" w:rsidRPr="007F6445" w:rsidRDefault="00334E5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service entity</w:t>
      </w:r>
      <w:r w:rsidRPr="007F6445">
        <w:t>, for division 5.3 (Health care worker code of conduct)—see section 94A.</w:t>
      </w:r>
    </w:p>
    <w:p w14:paraId="12B6DACD" w14:textId="2F41D938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statement</w:t>
      </w:r>
      <w:r w:rsidRPr="007F6445">
        <w:t>, for division 5.3 (Health care worker code of conduct)—see section 94A.</w:t>
      </w:r>
    </w:p>
    <w:p w14:paraId="0BF49B68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</w:t>
      </w:r>
      <w:r w:rsidRPr="007F6445">
        <w:t>, for division 5.3 (Health care worker code of conduct)—see section 94A.</w:t>
      </w:r>
    </w:p>
    <w:p w14:paraId="41FA8959" w14:textId="60B55224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relevant professional body</w:t>
      </w:r>
      <w:r w:rsidRPr="007F6445">
        <w:rPr>
          <w:lang w:eastAsia="en-AU"/>
        </w:rPr>
        <w:t>, for a health care worker</w:t>
      </w:r>
      <w:r w:rsidRPr="007F6445">
        <w:t>, for division</w:t>
      </w:r>
      <w:r w:rsidR="00204282">
        <w:t> </w:t>
      </w:r>
      <w:r w:rsidRPr="007F6445">
        <w:t>5.3 (Health care worker code of conduct)—see section</w:t>
      </w:r>
      <w:r w:rsidR="00204282">
        <w:t> </w:t>
      </w:r>
      <w:r w:rsidRPr="007F6445">
        <w:t>94A</w:t>
      </w:r>
      <w:r w:rsidRPr="007F6445">
        <w:rPr>
          <w:lang w:eastAsia="en-AU"/>
        </w:rPr>
        <w:t>.</w:t>
      </w:r>
    </w:p>
    <w:p w14:paraId="4373E762" w14:textId="192C387D" w:rsidR="0044269E" w:rsidRPr="007F6445" w:rsidRDefault="0044269E" w:rsidP="00E459B3">
      <w:pPr>
        <w:pStyle w:val="aDef"/>
      </w:pPr>
      <w:r w:rsidRPr="00DB0430">
        <w:rPr>
          <w:rStyle w:val="charBoldItals"/>
        </w:rPr>
        <w:t>reviewable decision</w:t>
      </w:r>
      <w:r w:rsidRPr="007F6445">
        <w:t>, for division 5.4 (Notification and review of decisions)—see section 94</w:t>
      </w:r>
      <w:r w:rsidR="004567C8" w:rsidRPr="007F6445">
        <w:t>S</w:t>
      </w:r>
      <w:r w:rsidRPr="007F6445">
        <w:t>.</w:t>
      </w:r>
    </w:p>
    <w:p w14:paraId="3303677C" w14:textId="77777777" w:rsidR="00E459B3" w:rsidRDefault="00E459B3">
      <w:pPr>
        <w:pStyle w:val="02Text"/>
        <w:sectPr w:rsidR="00E459B3" w:rsidSect="0030498E"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D196C89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0365C028" w14:textId="3F66A3D9" w:rsidR="0044269E" w:rsidRPr="00E459B3" w:rsidRDefault="00E459B3" w:rsidP="00E459B3">
      <w:pPr>
        <w:pStyle w:val="Sched-heading"/>
      </w:pPr>
      <w:bookmarkStart w:id="19" w:name="_Toc130475989"/>
      <w:r w:rsidRPr="00E459B3">
        <w:rPr>
          <w:rStyle w:val="CharChapNo"/>
        </w:rPr>
        <w:lastRenderedPageBreak/>
        <w:t>Schedule 1</w:t>
      </w:r>
      <w:r w:rsidRPr="007F6445">
        <w:tab/>
      </w:r>
      <w:r w:rsidR="0044269E" w:rsidRPr="00E459B3">
        <w:rPr>
          <w:rStyle w:val="CharChapText"/>
        </w:rPr>
        <w:t>New Human Rights Commission Regulation</w:t>
      </w:r>
      <w:bookmarkEnd w:id="19"/>
    </w:p>
    <w:p w14:paraId="71895FB9" w14:textId="77777777" w:rsidR="0044269E" w:rsidRPr="007F6445" w:rsidRDefault="0044269E" w:rsidP="0044269E">
      <w:pPr>
        <w:pStyle w:val="ref"/>
      </w:pPr>
      <w:r w:rsidRPr="007F6445">
        <w:t>(see s 4)</w:t>
      </w:r>
    </w:p>
    <w:p w14:paraId="3E2A27F4" w14:textId="77777777" w:rsidR="0044269E" w:rsidRPr="007F6445" w:rsidRDefault="0044269E" w:rsidP="00B81E3F">
      <w:pPr>
        <w:suppressLineNumbers/>
        <w:jc w:val="center"/>
      </w:pPr>
      <w:r w:rsidRPr="007F6445">
        <w:t xml:space="preserve"> </w:t>
      </w:r>
      <w:r w:rsidRPr="007F6445">
        <w:rPr>
          <w:noProof/>
          <w:lang w:eastAsia="en-AU"/>
        </w:rPr>
        <w:drawing>
          <wp:inline distT="0" distB="0" distL="0" distR="0" wp14:anchorId="69AF6E6F" wp14:editId="0A2C93A9">
            <wp:extent cx="1328420" cy="1173480"/>
            <wp:effectExtent l="0" t="0" r="0" b="0"/>
            <wp:docPr id="1" name="Picture 1" descr="G:\pco\1 Office Administration\Information Technology\ACTCrest\Black&amp;White\ACT Crest high res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co\1 Office Administration\Information Technology\ACTCrest\Black&amp;White\ACT Crest high res small.t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9D45" w14:textId="77777777" w:rsidR="0044269E" w:rsidRPr="007F6445" w:rsidRDefault="0044269E" w:rsidP="00B81E3F">
      <w:pPr>
        <w:suppressLineNumbers/>
        <w:jc w:val="center"/>
        <w:rPr>
          <w:rFonts w:ascii="Arial" w:hAnsi="Arial"/>
        </w:rPr>
      </w:pPr>
      <w:r w:rsidRPr="007F6445">
        <w:rPr>
          <w:rFonts w:ascii="Arial" w:hAnsi="Arial"/>
        </w:rPr>
        <w:t>Australian Capital Territory</w:t>
      </w:r>
    </w:p>
    <w:p w14:paraId="59DD53E8" w14:textId="03D1DCA8" w:rsidR="0044269E" w:rsidRPr="007F6445" w:rsidRDefault="0044269E" w:rsidP="00204282">
      <w:pPr>
        <w:spacing w:before="700" w:after="100"/>
        <w:rPr>
          <w:rFonts w:ascii="Arial" w:hAnsi="Arial" w:cs="Arial"/>
          <w:b/>
          <w:sz w:val="40"/>
          <w:szCs w:val="40"/>
        </w:rPr>
      </w:pPr>
      <w:r w:rsidRPr="007F6445">
        <w:rPr>
          <w:rFonts w:ascii="Arial" w:hAnsi="Arial" w:cs="Arial"/>
          <w:b/>
          <w:sz w:val="40"/>
          <w:szCs w:val="40"/>
        </w:rPr>
        <w:t>Human Rights Commission Regulation</w:t>
      </w:r>
      <w:r w:rsidR="00204282">
        <w:rPr>
          <w:rFonts w:ascii="Arial" w:hAnsi="Arial" w:cs="Arial"/>
          <w:b/>
          <w:sz w:val="40"/>
          <w:szCs w:val="40"/>
        </w:rPr>
        <w:t> </w:t>
      </w:r>
      <w:r w:rsidRPr="007F6445">
        <w:rPr>
          <w:rFonts w:ascii="Arial" w:hAnsi="Arial" w:cs="Arial"/>
          <w:b/>
          <w:sz w:val="40"/>
          <w:szCs w:val="40"/>
        </w:rPr>
        <w:t>202</w:t>
      </w:r>
      <w:r w:rsidR="00EB5946" w:rsidRPr="007F6445">
        <w:rPr>
          <w:rFonts w:ascii="Arial" w:hAnsi="Arial" w:cs="Arial"/>
          <w:b/>
          <w:sz w:val="40"/>
          <w:szCs w:val="40"/>
        </w:rPr>
        <w:t>3</w:t>
      </w:r>
    </w:p>
    <w:p w14:paraId="1AE8BE3B" w14:textId="45F31A19" w:rsidR="0044269E" w:rsidRPr="007F6445" w:rsidRDefault="0044269E" w:rsidP="00204282">
      <w:pPr>
        <w:pStyle w:val="ActNo"/>
      </w:pPr>
      <w:r w:rsidRPr="007F6445">
        <w:t>Subordinate Law SL202</w:t>
      </w:r>
      <w:r w:rsidR="00EB5946" w:rsidRPr="007F6445">
        <w:t>3</w:t>
      </w:r>
      <w:r w:rsidRPr="007F6445">
        <w:t>-</w:t>
      </w:r>
    </w:p>
    <w:p w14:paraId="6DD693D4" w14:textId="77777777" w:rsidR="0044269E" w:rsidRPr="007F6445" w:rsidRDefault="0044269E" w:rsidP="00204282">
      <w:pPr>
        <w:pStyle w:val="madeunder"/>
        <w:spacing w:before="300"/>
      </w:pPr>
      <w:r w:rsidRPr="007F6445">
        <w:t>made under the</w:t>
      </w:r>
    </w:p>
    <w:p w14:paraId="5BF22745" w14:textId="77777777" w:rsidR="0044269E" w:rsidRPr="007F6445" w:rsidRDefault="0044269E" w:rsidP="00204282">
      <w:pPr>
        <w:pStyle w:val="AuthLaw"/>
      </w:pPr>
      <w:r w:rsidRPr="007F6445">
        <w:t>Human Rights Commission Act 2005</w:t>
      </w:r>
    </w:p>
    <w:p w14:paraId="73D97AA0" w14:textId="77777777" w:rsidR="0044269E" w:rsidRPr="007F6445" w:rsidRDefault="0044269E" w:rsidP="00204282">
      <w:pPr>
        <w:pStyle w:val="N-line3"/>
        <w:suppressLineNumbers/>
      </w:pPr>
    </w:p>
    <w:p w14:paraId="79422FED" w14:textId="77777777" w:rsidR="0044269E" w:rsidRPr="007F6445" w:rsidRDefault="0044269E" w:rsidP="00204282">
      <w:pPr>
        <w:suppressLineNumbers/>
      </w:pPr>
    </w:p>
    <w:p w14:paraId="7B359533" w14:textId="77777777" w:rsidR="0044269E" w:rsidRPr="007F6445" w:rsidRDefault="0044269E" w:rsidP="0044269E">
      <w:pPr>
        <w:pStyle w:val="IH2Part"/>
      </w:pPr>
      <w:r w:rsidRPr="007F6445">
        <w:t>Part 1</w:t>
      </w:r>
      <w:r w:rsidRPr="007F6445">
        <w:tab/>
        <w:t>Preliminary</w:t>
      </w:r>
    </w:p>
    <w:p w14:paraId="51A9BA57" w14:textId="77777777" w:rsidR="0044269E" w:rsidRPr="007F6445" w:rsidRDefault="0044269E" w:rsidP="0044269E">
      <w:pPr>
        <w:pStyle w:val="IH5Sec"/>
      </w:pPr>
      <w:r w:rsidRPr="007F6445">
        <w:t>1</w:t>
      </w:r>
      <w:r w:rsidRPr="007F6445">
        <w:tab/>
        <w:t>Name of regulation</w:t>
      </w:r>
    </w:p>
    <w:p w14:paraId="775E7C56" w14:textId="1B0B0A1F" w:rsidR="0044269E" w:rsidRPr="007F6445" w:rsidRDefault="0044269E" w:rsidP="0044269E">
      <w:pPr>
        <w:pStyle w:val="Amainreturn"/>
      </w:pPr>
      <w:r w:rsidRPr="007F6445">
        <w:t xml:space="preserve">This regulation is the </w:t>
      </w:r>
      <w:r w:rsidRPr="00DB0430">
        <w:rPr>
          <w:rStyle w:val="charItals"/>
        </w:rPr>
        <w:t>Human Rights Commission Regulation 202</w:t>
      </w:r>
      <w:r w:rsidR="00EB5946" w:rsidRPr="00DB0430">
        <w:rPr>
          <w:rStyle w:val="charItals"/>
        </w:rPr>
        <w:t>3</w:t>
      </w:r>
      <w:r w:rsidRPr="007F6445">
        <w:t>.</w:t>
      </w:r>
    </w:p>
    <w:p w14:paraId="7ED4DC2F" w14:textId="77777777" w:rsidR="0044269E" w:rsidRPr="007F6445" w:rsidRDefault="0044269E" w:rsidP="0044269E">
      <w:pPr>
        <w:pStyle w:val="IH5Sec"/>
      </w:pPr>
      <w:r w:rsidRPr="007F6445">
        <w:lastRenderedPageBreak/>
        <w:t>2</w:t>
      </w:r>
      <w:r w:rsidRPr="007F6445">
        <w:tab/>
        <w:t>Dictionary</w:t>
      </w:r>
    </w:p>
    <w:p w14:paraId="470FFB79" w14:textId="77777777" w:rsidR="0044269E" w:rsidRPr="007F6445" w:rsidRDefault="0044269E" w:rsidP="00E459B3">
      <w:pPr>
        <w:pStyle w:val="Amainreturn"/>
        <w:keepNext/>
      </w:pPr>
      <w:r w:rsidRPr="007F6445">
        <w:t>The dictionary at the end of this regulation is part of this regulation.</w:t>
      </w:r>
    </w:p>
    <w:p w14:paraId="4B2F294C" w14:textId="77777777" w:rsidR="0044269E" w:rsidRPr="007F6445" w:rsidRDefault="0044269E" w:rsidP="0044269E">
      <w:pPr>
        <w:pStyle w:val="aNote"/>
      </w:pPr>
      <w:r w:rsidRPr="007F6445">
        <w:rPr>
          <w:rStyle w:val="charItals"/>
        </w:rPr>
        <w:t>Note 1</w:t>
      </w:r>
      <w:r w:rsidRPr="007F6445">
        <w:tab/>
        <w:t>The dictionary at the end of this regulation defines certain terms used in this regulation, and includes references (</w:t>
      </w:r>
      <w:r w:rsidRPr="007F6445">
        <w:rPr>
          <w:rStyle w:val="charBoldItals"/>
        </w:rPr>
        <w:t>signpost definitions</w:t>
      </w:r>
      <w:r w:rsidRPr="007F6445">
        <w:t>) to other terms defined elsewhere in this regulation.</w:t>
      </w:r>
    </w:p>
    <w:p w14:paraId="6B50285E" w14:textId="01309083" w:rsidR="0044269E" w:rsidRPr="007F6445" w:rsidRDefault="0044269E" w:rsidP="00E459B3">
      <w:pPr>
        <w:pStyle w:val="aNoteTextss"/>
        <w:keepNext/>
      </w:pPr>
      <w:r w:rsidRPr="007F6445">
        <w:t>For example, the signpost definition ‘</w:t>
      </w:r>
      <w:r w:rsidRPr="00DB0430">
        <w:rPr>
          <w:rStyle w:val="charBoldItals"/>
        </w:rPr>
        <w:t>client</w:t>
      </w:r>
      <w:r w:rsidRPr="007F6445">
        <w:t xml:space="preserve">, of a health care worker, for part 2 (Code of conduct for health care workers—Act, s </w:t>
      </w:r>
      <w:r w:rsidR="00311A51" w:rsidRPr="007F6445">
        <w:t>94</w:t>
      </w:r>
      <w:r w:rsidR="0039312A" w:rsidRPr="007F6445">
        <w:t>C</w:t>
      </w:r>
      <w:r w:rsidRPr="007F6445">
        <w:t>)—see section 4</w:t>
      </w:r>
      <w:r w:rsidRPr="007F6445">
        <w:rPr>
          <w:lang w:eastAsia="en-AU"/>
        </w:rPr>
        <w:t>.</w:t>
      </w:r>
      <w:r w:rsidRPr="007F6445">
        <w:t>’ means that the term ‘client’ is defined in that section for pt 2.</w:t>
      </w:r>
    </w:p>
    <w:p w14:paraId="7D297D3B" w14:textId="050FA8C3" w:rsidR="0044269E" w:rsidRPr="007F6445" w:rsidRDefault="0044269E" w:rsidP="0044269E">
      <w:pPr>
        <w:pStyle w:val="aNote"/>
      </w:pPr>
      <w:r w:rsidRPr="007F6445">
        <w:rPr>
          <w:rStyle w:val="charItals"/>
        </w:rPr>
        <w:t>Note 2</w:t>
      </w:r>
      <w:r w:rsidRPr="007F6445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5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155 and s</w:t>
      </w:r>
      <w:r w:rsidR="005F2291" w:rsidRPr="007F6445">
        <w:t xml:space="preserve"> </w:t>
      </w:r>
      <w:r w:rsidRPr="007F6445">
        <w:t>156</w:t>
      </w:r>
      <w:r w:rsidR="005F2291" w:rsidRPr="007F6445">
        <w:t xml:space="preserve"> </w:t>
      </w:r>
      <w:r w:rsidRPr="007F6445">
        <w:t>(1)).</w:t>
      </w:r>
    </w:p>
    <w:p w14:paraId="3BB62D9B" w14:textId="77777777" w:rsidR="0044269E" w:rsidRPr="007F6445" w:rsidRDefault="0044269E" w:rsidP="0044269E">
      <w:pPr>
        <w:pStyle w:val="IH5Sec"/>
      </w:pPr>
      <w:r w:rsidRPr="007F6445">
        <w:t>3</w:t>
      </w:r>
      <w:r w:rsidRPr="007F6445">
        <w:tab/>
        <w:t>Notes</w:t>
      </w:r>
    </w:p>
    <w:p w14:paraId="57005FCF" w14:textId="77777777" w:rsidR="0044269E" w:rsidRPr="007F6445" w:rsidRDefault="0044269E" w:rsidP="0044269E">
      <w:pPr>
        <w:pStyle w:val="Amainreturn"/>
        <w:keepNext/>
      </w:pPr>
      <w:r w:rsidRPr="007F6445">
        <w:t>A note included in this regulation is explanatory and is not part of this regulation.</w:t>
      </w:r>
    </w:p>
    <w:p w14:paraId="4468737F" w14:textId="0FFCB824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 xml:space="preserve">See the </w:t>
      </w:r>
      <w:hyperlink r:id="rId54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127</w:t>
      </w:r>
      <w:r w:rsidR="005F2291" w:rsidRPr="007F6445">
        <w:t xml:space="preserve"> </w:t>
      </w:r>
      <w:r w:rsidRPr="007F6445">
        <w:t>(1), (4) and (5) for the legal status of notes.</w:t>
      </w:r>
    </w:p>
    <w:p w14:paraId="7623AD2B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51B74940" w14:textId="332D3173" w:rsidR="0044269E" w:rsidRPr="007F6445" w:rsidRDefault="0044269E" w:rsidP="0044269E">
      <w:pPr>
        <w:pStyle w:val="IH2Part"/>
        <w:rPr>
          <w:lang w:eastAsia="en-AU"/>
        </w:rPr>
      </w:pPr>
      <w:r w:rsidRPr="007F6445">
        <w:lastRenderedPageBreak/>
        <w:t>Part 2</w:t>
      </w:r>
      <w:r w:rsidRPr="007F6445">
        <w:tab/>
        <w:t xml:space="preserve">Code of conduct for </w:t>
      </w:r>
      <w:r w:rsidRPr="007F6445">
        <w:rPr>
          <w:lang w:eastAsia="en-AU"/>
        </w:rPr>
        <w:t>health care workers—Act, s</w:t>
      </w:r>
      <w:r w:rsidR="005F2291" w:rsidRPr="007F6445">
        <w:rPr>
          <w:lang w:eastAsia="en-AU"/>
        </w:rPr>
        <w:t xml:space="preserve"> </w:t>
      </w:r>
      <w:r w:rsidR="00311A51" w:rsidRPr="007F6445">
        <w:rPr>
          <w:lang w:eastAsia="en-AU"/>
        </w:rPr>
        <w:t>94</w:t>
      </w:r>
      <w:r w:rsidR="00730FA7" w:rsidRPr="007F6445">
        <w:rPr>
          <w:lang w:eastAsia="en-AU"/>
        </w:rPr>
        <w:t>C</w:t>
      </w:r>
    </w:p>
    <w:p w14:paraId="7F81F530" w14:textId="77777777" w:rsidR="0044269E" w:rsidRPr="007F6445" w:rsidRDefault="0044269E" w:rsidP="0044269E">
      <w:pPr>
        <w:pStyle w:val="IH5Sec"/>
      </w:pPr>
      <w:r w:rsidRPr="007F6445">
        <w:t>4</w:t>
      </w:r>
      <w:r w:rsidRPr="007F6445">
        <w:tab/>
        <w:t xml:space="preserve">Meaning of </w:t>
      </w:r>
      <w:r w:rsidRPr="00DB0430">
        <w:rPr>
          <w:rStyle w:val="charItals"/>
        </w:rPr>
        <w:t>client</w:t>
      </w:r>
      <w:r w:rsidRPr="007F6445">
        <w:t>—pt 2</w:t>
      </w:r>
    </w:p>
    <w:p w14:paraId="37A82394" w14:textId="77777777" w:rsidR="0044269E" w:rsidRPr="007F6445" w:rsidRDefault="0044269E" w:rsidP="0044269E">
      <w:pPr>
        <w:pStyle w:val="Amainreturn"/>
      </w:pPr>
      <w:r w:rsidRPr="007F6445">
        <w:t>In this part:</w:t>
      </w:r>
    </w:p>
    <w:p w14:paraId="4869C965" w14:textId="77777777" w:rsidR="0044269E" w:rsidRPr="007F6445" w:rsidRDefault="0044269E" w:rsidP="00E459B3">
      <w:pPr>
        <w:pStyle w:val="aDef"/>
      </w:pPr>
      <w:r w:rsidRPr="00DB0430">
        <w:rPr>
          <w:rStyle w:val="charBoldItals"/>
        </w:rPr>
        <w:t>client</w:t>
      </w:r>
      <w:r w:rsidRPr="007F6445">
        <w:t>, of a health care worker, means an individual to whom a health service is provided or offered by the health care worker.</w:t>
      </w:r>
    </w:p>
    <w:p w14:paraId="1D5FFF5C" w14:textId="77777777" w:rsidR="0044269E" w:rsidRPr="007F6445" w:rsidRDefault="0044269E" w:rsidP="0044269E">
      <w:pPr>
        <w:pStyle w:val="IH5Sec"/>
      </w:pPr>
      <w:r w:rsidRPr="007F6445">
        <w:t>5</w:t>
      </w:r>
      <w:r w:rsidRPr="007F6445">
        <w:tab/>
        <w:t>Prescribed corresponding law</w:t>
      </w:r>
    </w:p>
    <w:p w14:paraId="06D433D5" w14:textId="77777777" w:rsidR="0044269E" w:rsidRPr="007F6445" w:rsidRDefault="0044269E" w:rsidP="0044269E">
      <w:pPr>
        <w:pStyle w:val="Amainreturn"/>
      </w:pPr>
      <w:r w:rsidRPr="007F6445">
        <w:t>For the Act, division 5.3 (Health care worker code of conduct), the following laws are prescribed:</w:t>
      </w:r>
    </w:p>
    <w:p w14:paraId="15D529D4" w14:textId="08361886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the </w:t>
      </w:r>
      <w:hyperlink r:id="rId55" w:tooltip="A2004-22 (SA)" w:history="1">
        <w:r w:rsidR="00293E9A"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</w:t>
      </w:r>
      <w:r w:rsidR="002A49B5" w:rsidRPr="007F6445">
        <w:t>;</w:t>
      </w:r>
    </w:p>
    <w:p w14:paraId="56F45390" w14:textId="1BEDE673" w:rsidR="009E6FF1" w:rsidRPr="007F6445" w:rsidRDefault="009E6FF1" w:rsidP="0044269E">
      <w:pPr>
        <w:pStyle w:val="Ipara"/>
      </w:pPr>
      <w:r w:rsidRPr="007F6445">
        <w:tab/>
        <w:t>(b)</w:t>
      </w:r>
      <w:r w:rsidRPr="007F6445">
        <w:tab/>
        <w:t xml:space="preserve">the </w:t>
      </w:r>
      <w:hyperlink r:id="rId56" w:tooltip="A1995-75 (WA)" w:history="1">
        <w:r w:rsidR="00C51FF0"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(WA);</w:t>
      </w:r>
    </w:p>
    <w:p w14:paraId="2DB26D61" w14:textId="13B41982" w:rsidR="0044269E" w:rsidRPr="007F6445" w:rsidRDefault="0044269E" w:rsidP="0044269E">
      <w:pPr>
        <w:pStyle w:val="Ipara"/>
        <w:rPr>
          <w:iCs/>
          <w:color w:val="000000"/>
          <w:szCs w:val="24"/>
        </w:rPr>
      </w:pPr>
      <w:r w:rsidRPr="007F6445">
        <w:tab/>
        <w:t>(</w:t>
      </w:r>
      <w:r w:rsidR="009E6FF1" w:rsidRPr="007F6445">
        <w:t>c</w:t>
      </w:r>
      <w:r w:rsidRPr="007F6445">
        <w:t>)</w:t>
      </w:r>
      <w:r w:rsidRPr="007F6445">
        <w:tab/>
        <w:t>th</w:t>
      </w:r>
      <w:r w:rsidRPr="007F6445">
        <w:rPr>
          <w:iCs/>
          <w:color w:val="000000"/>
          <w:szCs w:val="24"/>
        </w:rPr>
        <w:t xml:space="preserve">e </w:t>
      </w:r>
      <w:hyperlink r:id="rId57" w:tooltip="A1993-105 (NSW)" w:history="1">
        <w:r w:rsidR="00B87ADC"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(NSW);</w:t>
      </w:r>
    </w:p>
    <w:p w14:paraId="311AE108" w14:textId="54F60621" w:rsidR="0044269E" w:rsidRPr="007F6445" w:rsidRDefault="0044269E" w:rsidP="0044269E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</w:t>
      </w:r>
      <w:r w:rsidR="009E6FF1" w:rsidRPr="007F6445">
        <w:rPr>
          <w:iCs/>
          <w:color w:val="000000"/>
          <w:szCs w:val="24"/>
        </w:rPr>
        <w:t>d</w:t>
      </w:r>
      <w:r w:rsidRPr="007F6445">
        <w:rPr>
          <w:iCs/>
          <w:color w:val="000000"/>
          <w:szCs w:val="24"/>
        </w:rPr>
        <w:t>)</w:t>
      </w:r>
      <w:r w:rsidRPr="007F6445">
        <w:rPr>
          <w:iCs/>
          <w:color w:val="000000"/>
          <w:szCs w:val="24"/>
        </w:rPr>
        <w:tab/>
        <w:t xml:space="preserve">the </w:t>
      </w:r>
      <w:hyperlink r:id="rId58" w:tooltip="A2016-22 (Vic)" w:history="1">
        <w:r w:rsidR="00B87ADC"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(Vic);</w:t>
      </w:r>
    </w:p>
    <w:p w14:paraId="6F37AB9F" w14:textId="652799A7" w:rsidR="0044269E" w:rsidRPr="007F6445" w:rsidRDefault="0044269E" w:rsidP="00E459B3">
      <w:pPr>
        <w:pStyle w:val="Ipara"/>
        <w:keepNext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</w:t>
      </w:r>
      <w:r w:rsidR="009E6FF1" w:rsidRPr="007F6445">
        <w:rPr>
          <w:iCs/>
          <w:color w:val="000000"/>
          <w:szCs w:val="24"/>
        </w:rPr>
        <w:t>e</w:t>
      </w:r>
      <w:r w:rsidRPr="007F6445">
        <w:rPr>
          <w:iCs/>
          <w:color w:val="000000"/>
          <w:szCs w:val="24"/>
        </w:rPr>
        <w:t>)</w:t>
      </w:r>
      <w:r w:rsidRPr="007F6445">
        <w:rPr>
          <w:iCs/>
          <w:color w:val="000000"/>
          <w:szCs w:val="24"/>
        </w:rPr>
        <w:tab/>
        <w:t xml:space="preserve">the </w:t>
      </w:r>
      <w:hyperlink r:id="rId59" w:tooltip="A2013-36 (Qld)" w:history="1">
        <w:r w:rsidR="00864CF2"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>(Qld)</w:t>
      </w:r>
      <w:r w:rsidR="002A49B5" w:rsidRPr="007F6445">
        <w:rPr>
          <w:szCs w:val="24"/>
        </w:rPr>
        <w:t>.</w:t>
      </w:r>
    </w:p>
    <w:p w14:paraId="45BFEA0C" w14:textId="6998A695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rPr>
          <w:snapToGrid w:val="0"/>
        </w:rPr>
        <w:t>A reference to an Act includes a reference to the statutory instruments made or in force under the Act, including any regulation (</w:t>
      </w:r>
      <w:r w:rsidRPr="007F6445">
        <w:t xml:space="preserve">see </w:t>
      </w:r>
      <w:hyperlink r:id="rId60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104).</w:t>
      </w:r>
    </w:p>
    <w:p w14:paraId="3DEA6B69" w14:textId="336C2355" w:rsidR="00456465" w:rsidRPr="007F6445" w:rsidRDefault="0044269E" w:rsidP="0044269E">
      <w:pPr>
        <w:pStyle w:val="IH5Sec"/>
      </w:pPr>
      <w:r w:rsidRPr="007F6445">
        <w:t>6</w:t>
      </w:r>
      <w:r w:rsidRPr="007F6445">
        <w:tab/>
      </w:r>
      <w:r w:rsidR="00456465" w:rsidRPr="007F6445">
        <w:t>Corresponding prohibition or condition order</w:t>
      </w:r>
      <w:r w:rsidR="00C95EB3" w:rsidRPr="007F6445">
        <w:t>s</w:t>
      </w:r>
    </w:p>
    <w:p w14:paraId="5E11EC0F" w14:textId="68F8BCC5" w:rsidR="002A49B5" w:rsidRPr="007F6445" w:rsidRDefault="002A49B5" w:rsidP="002A49B5">
      <w:pPr>
        <w:pStyle w:val="Amainreturn"/>
      </w:pPr>
      <w:r w:rsidRPr="007F6445">
        <w:t xml:space="preserve">For the Act, division 5.3 (Health care worker code of conduct), the following </w:t>
      </w:r>
      <w:r w:rsidR="00C95EB3" w:rsidRPr="007F6445">
        <w:t>orders</w:t>
      </w:r>
      <w:r w:rsidRPr="007F6445">
        <w:t xml:space="preserve"> are prescribed:</w:t>
      </w:r>
    </w:p>
    <w:p w14:paraId="7099F043" w14:textId="26F854C8" w:rsidR="002A49B5" w:rsidRPr="007F6445" w:rsidRDefault="002A49B5" w:rsidP="002A49B5">
      <w:pPr>
        <w:pStyle w:val="Ipara"/>
      </w:pPr>
      <w:r w:rsidRPr="007F6445">
        <w:tab/>
        <w:t>(a)</w:t>
      </w:r>
      <w:r w:rsidRPr="007F6445">
        <w:tab/>
      </w:r>
      <w:r w:rsidR="00DB51D0" w:rsidRPr="007F6445">
        <w:t xml:space="preserve">an order under </w:t>
      </w:r>
      <w:r w:rsidRPr="007F6445">
        <w:t xml:space="preserve">the </w:t>
      </w:r>
      <w:hyperlink r:id="rId61" w:tooltip="A2004-22 (SA)" w:history="1">
        <w:r w:rsidR="00864CF2"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(SA), section</w:t>
      </w:r>
      <w:r w:rsidR="007F6445">
        <w:t xml:space="preserve"> </w:t>
      </w:r>
      <w:r w:rsidRPr="007F6445">
        <w:t xml:space="preserve">56B (Interim action) </w:t>
      </w:r>
      <w:r w:rsidR="00DB51D0" w:rsidRPr="007F6445">
        <w:t>or</w:t>
      </w:r>
      <w:r w:rsidRPr="007F6445">
        <w:t xml:space="preserve"> section 56C (Commissioner may take action);</w:t>
      </w:r>
    </w:p>
    <w:p w14:paraId="5CA31AFF" w14:textId="6E45A9E9" w:rsidR="002A49B5" w:rsidRPr="007F6445" w:rsidRDefault="002A49B5" w:rsidP="002A49B5">
      <w:pPr>
        <w:pStyle w:val="Ipara"/>
      </w:pPr>
      <w:r w:rsidRPr="007F6445">
        <w:tab/>
        <w:t>(b)</w:t>
      </w:r>
      <w:r w:rsidRPr="007F6445">
        <w:tab/>
      </w:r>
      <w:r w:rsidR="00DB51D0" w:rsidRPr="007F6445">
        <w:t xml:space="preserve">an order under </w:t>
      </w:r>
      <w:r w:rsidRPr="007F6445">
        <w:t xml:space="preserve">the </w:t>
      </w:r>
      <w:hyperlink r:id="rId62" w:tooltip="A1995-75 (WA)" w:history="1">
        <w:r w:rsidR="00C51FF0"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(WA), part 3D, division 1 (Interim prohibition orders) </w:t>
      </w:r>
      <w:r w:rsidR="00DB51D0" w:rsidRPr="007F6445">
        <w:t>or</w:t>
      </w:r>
      <w:r w:rsidRPr="007F6445">
        <w:t xml:space="preserve"> division 2 (Prohibition orders);</w:t>
      </w:r>
    </w:p>
    <w:p w14:paraId="784F8EC3" w14:textId="31F047C5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lastRenderedPageBreak/>
        <w:tab/>
        <w:t>(c)</w:t>
      </w:r>
      <w:r w:rsidRPr="007F6445">
        <w:tab/>
      </w:r>
      <w:r w:rsidR="00DB51D0" w:rsidRPr="007F6445">
        <w:t xml:space="preserve">an order under </w:t>
      </w:r>
      <w:r w:rsidRPr="007F6445">
        <w:t>th</w:t>
      </w:r>
      <w:r w:rsidRPr="007F6445">
        <w:rPr>
          <w:iCs/>
          <w:color w:val="000000"/>
          <w:szCs w:val="24"/>
        </w:rPr>
        <w:t xml:space="preserve">e </w:t>
      </w:r>
      <w:hyperlink r:id="rId63" w:tooltip="A1993-105 (NSW)" w:history="1">
        <w:r w:rsidR="00864CF2"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(NSW), section 41AA (Interim protection orders) </w:t>
      </w:r>
      <w:r w:rsidR="00DB51D0" w:rsidRPr="007F6445">
        <w:rPr>
          <w:iCs/>
          <w:color w:val="000000"/>
          <w:szCs w:val="24"/>
        </w:rPr>
        <w:t>or</w:t>
      </w:r>
      <w:r w:rsidRPr="007F6445">
        <w:rPr>
          <w:iCs/>
          <w:color w:val="000000"/>
          <w:szCs w:val="24"/>
        </w:rPr>
        <w:t xml:space="preserve"> section 41A (Prohibition orders and public statements);</w:t>
      </w:r>
    </w:p>
    <w:p w14:paraId="1F24BEC9" w14:textId="54C22B12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(d)</w:t>
      </w:r>
      <w:r w:rsidRPr="007F6445">
        <w:rPr>
          <w:iCs/>
          <w:color w:val="000000"/>
          <w:szCs w:val="24"/>
        </w:rPr>
        <w:tab/>
      </w:r>
      <w:r w:rsidR="00DB51D0" w:rsidRPr="007F6445">
        <w:rPr>
          <w:iCs/>
          <w:color w:val="000000"/>
          <w:szCs w:val="24"/>
        </w:rPr>
        <w:t xml:space="preserve">an order under </w:t>
      </w:r>
      <w:r w:rsidRPr="007F6445">
        <w:rPr>
          <w:iCs/>
          <w:color w:val="000000"/>
          <w:szCs w:val="24"/>
        </w:rPr>
        <w:t xml:space="preserve">the </w:t>
      </w:r>
      <w:hyperlink r:id="rId64" w:tooltip="A2016-22 (Vic)" w:history="1">
        <w:r w:rsidR="00864CF2"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(Vic), part 8, division</w:t>
      </w:r>
      <w:r w:rsidR="007F6445">
        <w:rPr>
          <w:iCs/>
          <w:color w:val="000000"/>
          <w:szCs w:val="24"/>
        </w:rPr>
        <w:t xml:space="preserve"> </w:t>
      </w:r>
      <w:r w:rsidRPr="007F6445">
        <w:rPr>
          <w:iCs/>
          <w:color w:val="000000"/>
          <w:szCs w:val="24"/>
        </w:rPr>
        <w:t xml:space="preserve">1 (Interim prohibition orders) </w:t>
      </w:r>
      <w:r w:rsidR="00DB51D0" w:rsidRPr="007F6445">
        <w:rPr>
          <w:iCs/>
          <w:color w:val="000000"/>
          <w:szCs w:val="24"/>
        </w:rPr>
        <w:t>or</w:t>
      </w:r>
      <w:r w:rsidRPr="007F6445">
        <w:rPr>
          <w:iCs/>
          <w:color w:val="000000"/>
          <w:szCs w:val="24"/>
        </w:rPr>
        <w:t xml:space="preserve"> division 2 (Prohibition orders);</w:t>
      </w:r>
    </w:p>
    <w:p w14:paraId="5FB7E6E1" w14:textId="383DAB1C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(e)</w:t>
      </w:r>
      <w:r w:rsidRPr="007F6445">
        <w:rPr>
          <w:iCs/>
          <w:color w:val="000000"/>
          <w:szCs w:val="24"/>
        </w:rPr>
        <w:tab/>
      </w:r>
      <w:r w:rsidR="00DB51D0" w:rsidRPr="007F6445">
        <w:rPr>
          <w:iCs/>
          <w:color w:val="000000"/>
          <w:szCs w:val="24"/>
        </w:rPr>
        <w:t xml:space="preserve">an order under </w:t>
      </w:r>
      <w:r w:rsidRPr="007F6445">
        <w:rPr>
          <w:iCs/>
          <w:color w:val="000000"/>
          <w:szCs w:val="24"/>
        </w:rPr>
        <w:t xml:space="preserve">the </w:t>
      </w:r>
      <w:hyperlink r:id="rId65" w:tooltip="A2013-36 (Qld)" w:history="1">
        <w:r w:rsidR="00864CF2"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 xml:space="preserve">(Qld), part 7, division 2 (Interim prohibition orders) </w:t>
      </w:r>
      <w:r w:rsidR="00DB51D0" w:rsidRPr="007F6445">
        <w:rPr>
          <w:szCs w:val="24"/>
        </w:rPr>
        <w:t>or</w:t>
      </w:r>
      <w:r w:rsidRPr="007F6445">
        <w:rPr>
          <w:szCs w:val="24"/>
        </w:rPr>
        <w:t xml:space="preserve"> part 8A (Prohibition orders)</w:t>
      </w:r>
      <w:r w:rsidRPr="007F6445">
        <w:rPr>
          <w:iCs/>
          <w:color w:val="000000"/>
          <w:szCs w:val="24"/>
        </w:rPr>
        <w:t>.</w:t>
      </w:r>
    </w:p>
    <w:p w14:paraId="6E82AECA" w14:textId="426473B8" w:rsidR="0044269E" w:rsidRPr="007F6445" w:rsidRDefault="00DB51D0" w:rsidP="0044269E">
      <w:pPr>
        <w:pStyle w:val="IH5Sec"/>
      </w:pPr>
      <w:r w:rsidRPr="007F6445">
        <w:t>7</w:t>
      </w:r>
      <w:r w:rsidR="00456465" w:rsidRPr="007F6445">
        <w:tab/>
      </w:r>
      <w:r w:rsidR="0044269E" w:rsidRPr="007F6445">
        <w:t>Application of code of conduct</w:t>
      </w:r>
    </w:p>
    <w:p w14:paraId="267872D2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This code applies to a health care worker.</w:t>
      </w:r>
    </w:p>
    <w:p w14:paraId="3A6CAE2F" w14:textId="114A1F3D" w:rsidR="0044269E" w:rsidRPr="007F6445" w:rsidRDefault="00DB51D0" w:rsidP="0044269E">
      <w:pPr>
        <w:pStyle w:val="IH5Sec"/>
      </w:pPr>
      <w:r w:rsidRPr="007F6445">
        <w:t>8</w:t>
      </w:r>
      <w:r w:rsidR="0044269E" w:rsidRPr="007F6445">
        <w:tab/>
        <w:t>Health care worker must provide safe and ethical health service</w:t>
      </w:r>
    </w:p>
    <w:p w14:paraId="766301BC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provide a health service in a safe and ethical way.</w:t>
      </w:r>
    </w:p>
    <w:p w14:paraId="4F468022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5EAE757C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be competent to provide the health service; and</w:t>
      </w:r>
    </w:p>
    <w:p w14:paraId="65DE0DC8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have the experience, training and qualification required to provide the health service; and</w:t>
      </w:r>
    </w:p>
    <w:p w14:paraId="12C3958A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only prescribe or recommend a treatment or appliance to a client that the health care worker believes serves the needs of the client; and</w:t>
      </w:r>
    </w:p>
    <w:p w14:paraId="744C877A" w14:textId="77777777" w:rsidR="0044269E" w:rsidRPr="007F6445" w:rsidRDefault="0044269E" w:rsidP="0044269E">
      <w:pPr>
        <w:pStyle w:val="Ipara"/>
      </w:pPr>
      <w:r w:rsidRPr="007F6445">
        <w:tab/>
        <w:t>(d)</w:t>
      </w:r>
      <w:r w:rsidRPr="007F6445">
        <w:tab/>
        <w:t>recognise the limit of the treatment the health care worker can provide; and</w:t>
      </w:r>
    </w:p>
    <w:p w14:paraId="36F643F0" w14:textId="77777777" w:rsidR="0044269E" w:rsidRPr="007F6445" w:rsidRDefault="0044269E" w:rsidP="0044269E">
      <w:pPr>
        <w:pStyle w:val="Ipara"/>
      </w:pPr>
      <w:r w:rsidRPr="007F6445">
        <w:tab/>
        <w:t>(e)</w:t>
      </w:r>
      <w:r w:rsidRPr="007F6445">
        <w:tab/>
        <w:t>if appropriate, refer a client to another competent health service; and</w:t>
      </w:r>
    </w:p>
    <w:p w14:paraId="20992854" w14:textId="77777777" w:rsidR="0044269E" w:rsidRPr="007F6445" w:rsidRDefault="0044269E" w:rsidP="00B81E3F">
      <w:pPr>
        <w:pStyle w:val="Ipara"/>
        <w:keepNext/>
      </w:pPr>
      <w:r w:rsidRPr="007F6445">
        <w:lastRenderedPageBreak/>
        <w:tab/>
        <w:t>(f)</w:t>
      </w:r>
      <w:r w:rsidRPr="007F6445">
        <w:tab/>
        <w:t>if appropriate, recommend a client seek another opinion or health service; and</w:t>
      </w:r>
    </w:p>
    <w:p w14:paraId="2EACE5B3" w14:textId="77777777" w:rsidR="0044269E" w:rsidRPr="007F6445" w:rsidRDefault="0044269E" w:rsidP="0044269E">
      <w:pPr>
        <w:pStyle w:val="Ipara"/>
      </w:pPr>
      <w:r w:rsidRPr="007F6445">
        <w:tab/>
        <w:t>(g)</w:t>
      </w:r>
      <w:r w:rsidRPr="007F6445">
        <w:tab/>
        <w:t>if required and practicable, assist a client to find another appropriate health service; and</w:t>
      </w:r>
    </w:p>
    <w:p w14:paraId="39F4CCEF" w14:textId="77777777" w:rsidR="0044269E" w:rsidRPr="007F6445" w:rsidRDefault="0044269E" w:rsidP="0044269E">
      <w:pPr>
        <w:pStyle w:val="Ipara"/>
      </w:pPr>
      <w:r w:rsidRPr="007F6445">
        <w:tab/>
        <w:t>(h)</w:t>
      </w:r>
      <w:r w:rsidRPr="007F6445">
        <w:tab/>
        <w:t>encourage a client to tell the client’s treating doctor (if any) about the health service being provided by the health care worker; and</w:t>
      </w:r>
    </w:p>
    <w:p w14:paraId="7F66BC8B" w14:textId="77777777" w:rsidR="0044269E" w:rsidRPr="007F6445" w:rsidRDefault="0044269E" w:rsidP="0044269E">
      <w:pPr>
        <w:pStyle w:val="Ipara"/>
      </w:pPr>
      <w:r w:rsidRPr="007F6445">
        <w:tab/>
        <w:t>(i)</w:t>
      </w:r>
      <w:r w:rsidRPr="007F6445">
        <w:tab/>
        <w:t>provide a health service in a manner that is sensitive to the cultural needs of a client; and</w:t>
      </w:r>
    </w:p>
    <w:p w14:paraId="235C2AE4" w14:textId="77777777" w:rsidR="0044269E" w:rsidRPr="007F6445" w:rsidRDefault="0044269E" w:rsidP="0044269E">
      <w:pPr>
        <w:pStyle w:val="Ipara"/>
      </w:pPr>
      <w:r w:rsidRPr="007F6445">
        <w:tab/>
        <w:t>(j)</w:t>
      </w:r>
      <w:r w:rsidRPr="007F6445">
        <w:tab/>
        <w:t>if the health care worker is, or should be, aware a client is taking or receiving another health service—understand the interaction between the health services and tell the client about any possible adverse interaction.</w:t>
      </w:r>
    </w:p>
    <w:p w14:paraId="21E63330" w14:textId="0ABAE304" w:rsidR="0044269E" w:rsidRPr="007F6445" w:rsidRDefault="00A3037F" w:rsidP="0044269E">
      <w:pPr>
        <w:pStyle w:val="IH5Sec"/>
      </w:pPr>
      <w:r w:rsidRPr="007F6445">
        <w:t>9</w:t>
      </w:r>
      <w:r w:rsidR="0044269E" w:rsidRPr="007F6445">
        <w:tab/>
        <w:t>Health care worker must have client consent</w:t>
      </w:r>
    </w:p>
    <w:p w14:paraId="1746816C" w14:textId="77777777" w:rsidR="0044269E" w:rsidRPr="007F6445" w:rsidRDefault="0044269E" w:rsidP="0044269E">
      <w:pPr>
        <w:pStyle w:val="Amainreturn"/>
      </w:pPr>
      <w:r w:rsidRPr="007F6445">
        <w:t>Before a health care worker provides a health service to a client, the health care worker must be satisfied on reasonable grounds that the client consents to the health service.</w:t>
      </w:r>
    </w:p>
    <w:p w14:paraId="06DFBC91" w14:textId="25660E50" w:rsidR="0044269E" w:rsidRPr="007F6445" w:rsidRDefault="00A3037F" w:rsidP="0044269E">
      <w:pPr>
        <w:pStyle w:val="IH5Sec"/>
      </w:pPr>
      <w:r w:rsidRPr="007F6445">
        <w:t>10</w:t>
      </w:r>
      <w:r w:rsidR="0044269E" w:rsidRPr="007F6445">
        <w:tab/>
        <w:t>Health care worker must not claim to cure cancer or terminal illness</w:t>
      </w:r>
    </w:p>
    <w:p w14:paraId="33BC79B1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claim to be qualified, able or willing to cure cancer or another terminal illness.</w:t>
      </w:r>
    </w:p>
    <w:p w14:paraId="6B48115D" w14:textId="428998EC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may claim to be able to treat or alleviate the symptoms of cancer or another terminal illness only if the claim can be substantiated.</w:t>
      </w:r>
    </w:p>
    <w:p w14:paraId="46CF01A3" w14:textId="191E5817" w:rsidR="0044269E" w:rsidRPr="007F6445" w:rsidRDefault="00A3037F" w:rsidP="0044269E">
      <w:pPr>
        <w:pStyle w:val="IH5Sec"/>
      </w:pPr>
      <w:r w:rsidRPr="007F6445">
        <w:lastRenderedPageBreak/>
        <w:t>11</w:t>
      </w:r>
      <w:r w:rsidR="0044269E" w:rsidRPr="007F6445">
        <w:tab/>
        <w:t>Health care worker must not misinform</w:t>
      </w:r>
    </w:p>
    <w:p w14:paraId="0E7EB6F0" w14:textId="77777777" w:rsidR="0044269E" w:rsidRPr="007F6445" w:rsidRDefault="0044269E" w:rsidP="00B81E3F">
      <w:pPr>
        <w:pStyle w:val="IMain"/>
        <w:keepNext/>
      </w:pPr>
      <w:r w:rsidRPr="007F6445">
        <w:tab/>
        <w:t>(1)</w:t>
      </w:r>
      <w:r w:rsidRPr="007F6445">
        <w:tab/>
        <w:t>This section applies to information a health care worker gives a person in relation to a health service.</w:t>
      </w:r>
    </w:p>
    <w:p w14:paraId="2E3CDE2B" w14:textId="77777777" w:rsidR="0044269E" w:rsidRPr="007F6445" w:rsidRDefault="0044269E" w:rsidP="0044269E">
      <w:pPr>
        <w:pStyle w:val="aExamHdgss"/>
      </w:pPr>
      <w:r w:rsidRPr="007F6445">
        <w:t>Examples</w:t>
      </w:r>
    </w:p>
    <w:p w14:paraId="7023EE4F" w14:textId="0A4976FE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information given when consulting a client</w:t>
      </w:r>
    </w:p>
    <w:p w14:paraId="2D7A52F9" w14:textId="0A842343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information included in an advertisement</w:t>
      </w:r>
    </w:p>
    <w:p w14:paraId="48CDE11D" w14:textId="5431833A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 xml:space="preserve">information given to a </w:t>
      </w:r>
      <w:r w:rsidR="0044269E" w:rsidRPr="007F6445">
        <w:rPr>
          <w:lang w:eastAsia="en-AU"/>
        </w:rPr>
        <w:t>professional body for a health service</w:t>
      </w:r>
    </w:p>
    <w:p w14:paraId="1D41FA64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 not—</w:t>
      </w:r>
    </w:p>
    <w:p w14:paraId="072F948A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give false, misleading or deceptive information about, or otherwise misrepresent, any of the following:</w:t>
      </w:r>
    </w:p>
    <w:p w14:paraId="57F68588" w14:textId="77777777" w:rsidR="0088737E" w:rsidRDefault="0044269E" w:rsidP="0044269E">
      <w:pPr>
        <w:pStyle w:val="Isubpara"/>
      </w:pPr>
      <w:r w:rsidRPr="007F6445">
        <w:tab/>
        <w:t>(i)</w:t>
      </w:r>
      <w:r w:rsidRPr="007F6445">
        <w:tab/>
        <w:t>a health service the health care worker provides;</w:t>
      </w:r>
    </w:p>
    <w:p w14:paraId="1C6BF649" w14:textId="60953A9D" w:rsidR="0044269E" w:rsidRPr="007F6445" w:rsidRDefault="0044269E" w:rsidP="0044269E">
      <w:pPr>
        <w:pStyle w:val="Isubpara"/>
      </w:pPr>
      <w:r w:rsidRPr="007F6445">
        <w:tab/>
        <w:t>(ii)</w:t>
      </w:r>
      <w:r w:rsidRPr="007F6445">
        <w:tab/>
        <w:t>the health care worker’s competence to provide a health service;</w:t>
      </w:r>
    </w:p>
    <w:p w14:paraId="30C11D86" w14:textId="77777777" w:rsidR="0088737E" w:rsidRDefault="0044269E" w:rsidP="0044269E">
      <w:pPr>
        <w:pStyle w:val="Isubpara"/>
      </w:pPr>
      <w:r w:rsidRPr="007F6445">
        <w:tab/>
        <w:t>(iii)</w:t>
      </w:r>
      <w:r w:rsidRPr="007F6445">
        <w:tab/>
        <w:t>the health care worker’s experience, training and qualification in relation to providing a health service;</w:t>
      </w:r>
    </w:p>
    <w:p w14:paraId="5731B274" w14:textId="77777777" w:rsidR="0088737E" w:rsidRDefault="0044269E" w:rsidP="0044269E">
      <w:pPr>
        <w:pStyle w:val="Isubpara"/>
      </w:pPr>
      <w:r w:rsidRPr="007F6445">
        <w:tab/>
        <w:t>(iv)</w:t>
      </w:r>
      <w:r w:rsidRPr="007F6445">
        <w:tab/>
        <w:t>the health care worker’s professional affiliation;</w:t>
      </w:r>
    </w:p>
    <w:p w14:paraId="238BBF67" w14:textId="7B967C76" w:rsidR="0044269E" w:rsidRPr="007F6445" w:rsidRDefault="0044269E" w:rsidP="0044269E">
      <w:pPr>
        <w:pStyle w:val="Isubpara"/>
      </w:pPr>
      <w:r w:rsidRPr="007F6445">
        <w:tab/>
        <w:t>(v)</w:t>
      </w:r>
      <w:r w:rsidRPr="007F6445">
        <w:tab/>
        <w:t>the health care worker’s ability to provide treatment; or</w:t>
      </w:r>
    </w:p>
    <w:p w14:paraId="65C92694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make a claim about the efficacy of a health service if the claim cannot be substantiated.</w:t>
      </w:r>
    </w:p>
    <w:p w14:paraId="733186F5" w14:textId="77777777" w:rsidR="0088737E" w:rsidRDefault="00A3037F" w:rsidP="0044269E">
      <w:pPr>
        <w:pStyle w:val="IH5Sec"/>
      </w:pPr>
      <w:r w:rsidRPr="007F6445">
        <w:t>12</w:t>
      </w:r>
      <w:r w:rsidR="0044269E" w:rsidRPr="007F6445">
        <w:tab/>
        <w:t>Health care worker must provide accurate advice</w:t>
      </w:r>
    </w:p>
    <w:p w14:paraId="6913F0A3" w14:textId="70D9EBA2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to advice a health care worker gives a client in relation to a health service provided to the client.</w:t>
      </w:r>
    </w:p>
    <w:p w14:paraId="3D038C7C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4C3140C5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allow the client to make an informed choice in relation to the health service, and other health services; and</w:t>
      </w:r>
    </w:p>
    <w:p w14:paraId="188EA999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not attempt to dissuade the client from seeking or continuing medical treatment; and</w:t>
      </w:r>
    </w:p>
    <w:p w14:paraId="55B49B51" w14:textId="77777777" w:rsidR="0088737E" w:rsidRDefault="0044269E" w:rsidP="0044269E">
      <w:pPr>
        <w:pStyle w:val="Ipara"/>
      </w:pPr>
      <w:r w:rsidRPr="007F6445">
        <w:lastRenderedPageBreak/>
        <w:tab/>
        <w:t>(c)</w:t>
      </w:r>
      <w:r w:rsidRPr="007F6445">
        <w:tab/>
        <w:t>communicate and co-operate with colleagues, other health service providers and relevant entities in the best interests of a client.</w:t>
      </w:r>
    </w:p>
    <w:p w14:paraId="757FBEA8" w14:textId="4E134E6D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However, subsection (2) does not prevent a health care worker from telling a client that the health care worker believes a health service provided by the health care worker will not benefit, or continue to benefit, the client.</w:t>
      </w:r>
    </w:p>
    <w:p w14:paraId="40C23435" w14:textId="190152F6" w:rsidR="0044269E" w:rsidRPr="007F6445" w:rsidRDefault="00A3037F" w:rsidP="0044269E">
      <w:pPr>
        <w:pStyle w:val="IH5Sec"/>
      </w:pPr>
      <w:r w:rsidRPr="007F6445">
        <w:t>13</w:t>
      </w:r>
      <w:r w:rsidR="0044269E" w:rsidRPr="007F6445">
        <w:tab/>
        <w:t>Health care worker must not exploit client—financial misconduct</w:t>
      </w:r>
    </w:p>
    <w:p w14:paraId="6DF5C9E2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financially exploit a client.</w:t>
      </w:r>
    </w:p>
    <w:p w14:paraId="0D797391" w14:textId="0CB7459A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07532E9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only provide a health service to a client that is designed to maintain or improve the client’s health or wellbeing; and</w:t>
      </w:r>
    </w:p>
    <w:p w14:paraId="1D2DF639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not accept or offer financial inducements or gifts in relation to a client referral arrangement with another health care worker; and</w:t>
      </w:r>
    </w:p>
    <w:p w14:paraId="2FDAF6E2" w14:textId="77777777" w:rsidR="0088737E" w:rsidRDefault="0044269E" w:rsidP="0044269E">
      <w:pPr>
        <w:pStyle w:val="Ipara"/>
      </w:pPr>
      <w:r w:rsidRPr="007F6445">
        <w:tab/>
        <w:t>(c)</w:t>
      </w:r>
      <w:r w:rsidRPr="007F6445">
        <w:tab/>
        <w:t>not ask a client to give, lend or bequeath money or gifts that will benefit the health care worker directly or indirectly.</w:t>
      </w:r>
    </w:p>
    <w:p w14:paraId="7D3D2B84" w14:textId="094ED200" w:rsidR="0044269E" w:rsidRPr="007F6445" w:rsidRDefault="00A3037F" w:rsidP="0044269E">
      <w:pPr>
        <w:pStyle w:val="IH5Sec"/>
      </w:pPr>
      <w:r w:rsidRPr="007F6445">
        <w:t>14</w:t>
      </w:r>
      <w:r w:rsidR="0044269E" w:rsidRPr="007F6445">
        <w:tab/>
        <w:t>Health care worker must not exploit client—sexual misconduct</w:t>
      </w:r>
    </w:p>
    <w:p w14:paraId="2DBA3D49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engage in behaviour of a sexual or other inappropriate close personal nature with a client.</w:t>
      </w:r>
    </w:p>
    <w:p w14:paraId="63122CB2" w14:textId="77777777" w:rsidR="0088737E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must not engage in a sexual or other close personal, physical or emotional relationship with a client.</w:t>
      </w:r>
    </w:p>
    <w:p w14:paraId="62B52BC5" w14:textId="77777777" w:rsidR="0088737E" w:rsidRDefault="0044269E" w:rsidP="0044269E">
      <w:pPr>
        <w:pStyle w:val="IMain"/>
      </w:pPr>
      <w:r w:rsidRPr="007F6445">
        <w:tab/>
        <w:t>(3)</w:t>
      </w:r>
      <w:r w:rsidRPr="007F6445">
        <w:tab/>
        <w:t>A health care worker must ensure there is a reasonable period after the health care worker stops providing a health service to a client before starting a sexual or close personal relationship with the former client.</w:t>
      </w:r>
    </w:p>
    <w:p w14:paraId="148D8B44" w14:textId="4B49A113" w:rsidR="0044269E" w:rsidRPr="007F6445" w:rsidRDefault="00A3037F" w:rsidP="0044269E">
      <w:pPr>
        <w:pStyle w:val="IH5Sec"/>
      </w:pPr>
      <w:r w:rsidRPr="007F6445">
        <w:lastRenderedPageBreak/>
        <w:t>15</w:t>
      </w:r>
      <w:r w:rsidR="0044269E" w:rsidRPr="007F6445">
        <w:tab/>
        <w:t>Health care worker must mitigate harm</w:t>
      </w:r>
    </w:p>
    <w:p w14:paraId="15246BF3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If an adverse event occurs in connection with providing a health service to a client, a health care worker must take appropriate and timely measures to minimise harm to the client.</w:t>
      </w:r>
    </w:p>
    <w:p w14:paraId="314DFE41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must, as soon as practicable after the adverse event occurs—</w:t>
      </w:r>
    </w:p>
    <w:p w14:paraId="1A8462DA" w14:textId="77777777" w:rsidR="0088737E" w:rsidRDefault="0044269E" w:rsidP="0044269E">
      <w:pPr>
        <w:pStyle w:val="Ipara"/>
      </w:pPr>
      <w:r w:rsidRPr="007F6445">
        <w:tab/>
        <w:t>(a)</w:t>
      </w:r>
      <w:r w:rsidRPr="007F6445">
        <w:tab/>
        <w:t>tell the client about the adverse event; and</w:t>
      </w:r>
    </w:p>
    <w:p w14:paraId="1629C33A" w14:textId="5B5D048C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for a serious adverse event—obtain appropriate emergency assistance; and</w:t>
      </w:r>
    </w:p>
    <w:p w14:paraId="5B33376C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take steps to reduce the risk of a similar adverse event occurring; and</w:t>
      </w:r>
    </w:p>
    <w:p w14:paraId="63E92442" w14:textId="77777777" w:rsidR="0088737E" w:rsidRDefault="0044269E" w:rsidP="0044269E">
      <w:pPr>
        <w:pStyle w:val="Ipara"/>
      </w:pPr>
      <w:r w:rsidRPr="007F6445">
        <w:tab/>
        <w:t>(d)</w:t>
      </w:r>
      <w:r w:rsidRPr="007F6445">
        <w:tab/>
        <w:t>report the adverse event to any relevant authority.</w:t>
      </w:r>
    </w:p>
    <w:p w14:paraId="3C57E9CF" w14:textId="63D0FF90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A health care worker must ensure that appropriate first aid is available to deal with any adverse event.</w:t>
      </w:r>
    </w:p>
    <w:p w14:paraId="13B18A2F" w14:textId="59D78A76" w:rsidR="0044269E" w:rsidRPr="007F6445" w:rsidRDefault="00A3037F" w:rsidP="0044269E">
      <w:pPr>
        <w:pStyle w:val="IH5Sec"/>
      </w:pPr>
      <w:r w:rsidRPr="007F6445">
        <w:t>16</w:t>
      </w:r>
      <w:r w:rsidR="0044269E" w:rsidRPr="007F6445">
        <w:tab/>
        <w:t>Health care worker must control infection</w:t>
      </w:r>
    </w:p>
    <w:p w14:paraId="40B9499D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take reasonable precautions for the control of infection in the course of providing a health service.</w:t>
      </w:r>
    </w:p>
    <w:p w14:paraId="62B485C2" w14:textId="3E46318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 xml:space="preserve">Without limiting subsection (1), a health care worker who carries out skin penetration or another invasive procedure must comply with the </w:t>
      </w:r>
      <w:hyperlink r:id="rId66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Pr="007F6445">
        <w:t>, including the following:</w:t>
      </w:r>
    </w:p>
    <w:p w14:paraId="427C506C" w14:textId="248B9740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any declaration made under that </w:t>
      </w:r>
      <w:hyperlink r:id="rId67" w:tooltip="Public Health Act 1997" w:history="1">
        <w:r w:rsidR="00AF55C1" w:rsidRPr="00AF55C1">
          <w:rPr>
            <w:rStyle w:val="charCitHyperlinkAbbrev"/>
          </w:rPr>
          <w:t>Act</w:t>
        </w:r>
      </w:hyperlink>
      <w:r w:rsidRPr="007F6445">
        <w:t>, section 18 (Public health risk activities and procedures—declaration);</w:t>
      </w:r>
    </w:p>
    <w:p w14:paraId="36261D1F" w14:textId="2E48D49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any code about infection control made under that </w:t>
      </w:r>
      <w:hyperlink r:id="rId68" w:tooltip="Public Health Act 1997" w:history="1">
        <w:r w:rsidR="00AF55C1" w:rsidRPr="00AF55C1">
          <w:rPr>
            <w:rStyle w:val="charCitHyperlinkAbbrev"/>
          </w:rPr>
          <w:t>Act</w:t>
        </w:r>
      </w:hyperlink>
      <w:r w:rsidRPr="007F6445">
        <w:t>, section</w:t>
      </w:r>
      <w:r w:rsidR="00485FD3">
        <w:t> </w:t>
      </w:r>
      <w:r w:rsidRPr="007F6445">
        <w:t>133 (Codes of practice).</w:t>
      </w:r>
    </w:p>
    <w:p w14:paraId="72189EA2" w14:textId="77777777" w:rsidR="0088737E" w:rsidRDefault="00A3037F" w:rsidP="0044269E">
      <w:pPr>
        <w:pStyle w:val="IH5Sec"/>
      </w:pPr>
      <w:r w:rsidRPr="007F6445">
        <w:lastRenderedPageBreak/>
        <w:t>17</w:t>
      </w:r>
      <w:r w:rsidR="0044269E" w:rsidRPr="007F6445">
        <w:tab/>
        <w:t>Health care worker with transmissible condition</w:t>
      </w:r>
    </w:p>
    <w:p w14:paraId="514899E3" w14:textId="1F49ED12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a health care worker is diagnosed with a medical condition that has a risk of transmission to a client of the health care worker.</w:t>
      </w:r>
    </w:p>
    <w:p w14:paraId="69447BFE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0355BA03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seek advice from a health practitioner about how to avoid transmitting the condition to a client; and</w:t>
      </w:r>
    </w:p>
    <w:p w14:paraId="20E4C8E0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provide a health service in a way that does not transmit the condition.</w:t>
      </w:r>
    </w:p>
    <w:p w14:paraId="0E76C3A6" w14:textId="358A978D" w:rsidR="0044269E" w:rsidRPr="007F6445" w:rsidRDefault="00A3037F" w:rsidP="0044269E">
      <w:pPr>
        <w:pStyle w:val="IH5Sec"/>
      </w:pPr>
      <w:r w:rsidRPr="007F6445">
        <w:t>18</w:t>
      </w:r>
      <w:r w:rsidR="0044269E" w:rsidRPr="007F6445">
        <w:tab/>
        <w:t>Health care worker under influence of intoxicating or unlawful substance</w:t>
      </w:r>
    </w:p>
    <w:p w14:paraId="5111A2AE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provide a health service while under the influence of an intoxicating or unlawful substance.</w:t>
      </w:r>
    </w:p>
    <w:p w14:paraId="11C24D5E" w14:textId="03FB0C40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may provide a health service while under the influence of a medicine if—</w:t>
      </w:r>
    </w:p>
    <w:p w14:paraId="661EBCED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the health care worker follows the advice of the prescribing health practitioner or dispensing pharmacist about the impact of the medicine on the health care worker’s ability to provide a health service; and</w:t>
      </w:r>
    </w:p>
    <w:p w14:paraId="1A8D42E3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the health care worker’s capacity to provide the service is not impaired.</w:t>
      </w:r>
    </w:p>
    <w:p w14:paraId="52240CCF" w14:textId="12CB411A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In this section:</w:t>
      </w:r>
    </w:p>
    <w:p w14:paraId="4C0C3951" w14:textId="033DDFD0" w:rsidR="0044269E" w:rsidRPr="007F6445" w:rsidRDefault="0044269E" w:rsidP="00E459B3">
      <w:pPr>
        <w:pStyle w:val="aDef"/>
      </w:pPr>
      <w:r w:rsidRPr="00DB0430">
        <w:rPr>
          <w:rStyle w:val="charBoldItals"/>
        </w:rPr>
        <w:t>medicine</w:t>
      </w:r>
      <w:r w:rsidRPr="007F6445">
        <w:t xml:space="preserve">—see the </w:t>
      </w:r>
      <w:hyperlink r:id="rId69" w:tooltip="A2008-26" w:history="1">
        <w:r w:rsidR="00DB0430" w:rsidRPr="00DB0430">
          <w:rPr>
            <w:rStyle w:val="charCitHyperlinkItal"/>
          </w:rPr>
          <w:t>Medicines, Poisons and Therapeutic Goods Act 2008</w:t>
        </w:r>
      </w:hyperlink>
      <w:r w:rsidRPr="007F6445">
        <w:t>, section 11.</w:t>
      </w:r>
    </w:p>
    <w:p w14:paraId="0BFFA348" w14:textId="7D200EC6" w:rsidR="0044269E" w:rsidRPr="007F6445" w:rsidRDefault="00A3037F" w:rsidP="0044269E">
      <w:pPr>
        <w:pStyle w:val="IH5Sec"/>
      </w:pPr>
      <w:r w:rsidRPr="007F6445">
        <w:lastRenderedPageBreak/>
        <w:t>19</w:t>
      </w:r>
      <w:r w:rsidR="0044269E" w:rsidRPr="007F6445">
        <w:tab/>
        <w:t>Health care worker with impairment etc</w:t>
      </w:r>
    </w:p>
    <w:p w14:paraId="6927C63D" w14:textId="77777777" w:rsidR="0044269E" w:rsidRPr="007F6445" w:rsidRDefault="0044269E" w:rsidP="009D6305">
      <w:pPr>
        <w:pStyle w:val="IMain"/>
        <w:keepNext/>
      </w:pPr>
      <w:r w:rsidRPr="007F6445">
        <w:tab/>
        <w:t>(1)</w:t>
      </w:r>
      <w:r w:rsidRPr="007F6445">
        <w:tab/>
        <w:t>This section applies if a health care worker has a physical or mental impairment, disability, condition or disorder (including an addiction).</w:t>
      </w:r>
    </w:p>
    <w:p w14:paraId="35ECFE22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5FDE2E6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ask a relevant health practitioner to determine whether and how the health care worker should modify, suspend or end the provision of the health service to minimise the risk of harm to a client; and</w:t>
      </w:r>
    </w:p>
    <w:p w14:paraId="69A5F269" w14:textId="0C677480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follow the advice of the health practitioner.</w:t>
      </w:r>
    </w:p>
    <w:p w14:paraId="1E51A8AC" w14:textId="22BD270E" w:rsidR="0044269E" w:rsidRPr="007F6445" w:rsidRDefault="00A3037F" w:rsidP="0044269E">
      <w:pPr>
        <w:pStyle w:val="IH5Sec"/>
      </w:pPr>
      <w:r w:rsidRPr="007F6445">
        <w:t>20</w:t>
      </w:r>
      <w:r w:rsidR="0044269E" w:rsidRPr="007F6445">
        <w:tab/>
        <w:t>Health care worker must comply with privacy laws</w:t>
      </w:r>
    </w:p>
    <w:p w14:paraId="3DC091FF" w14:textId="77777777" w:rsidR="0044269E" w:rsidRPr="007F6445" w:rsidRDefault="0044269E" w:rsidP="0044269E">
      <w:pPr>
        <w:pStyle w:val="Amainreturn"/>
      </w:pPr>
      <w:r w:rsidRPr="007F6445">
        <w:t>A health care worker must comply with privacy laws that apply to a client’s health information, including—</w:t>
      </w:r>
    </w:p>
    <w:p w14:paraId="1FADB05E" w14:textId="189FBC2E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the </w:t>
      </w:r>
      <w:hyperlink r:id="rId70" w:tooltip="A1997-125" w:history="1">
        <w:r w:rsidR="00DB0430" w:rsidRPr="00DB0430">
          <w:rPr>
            <w:rStyle w:val="charCitHyperlinkItal"/>
          </w:rPr>
          <w:t>Health Records (Privacy and Access) Act 1997</w:t>
        </w:r>
      </w:hyperlink>
      <w:r w:rsidRPr="007F6445">
        <w:t>; and</w:t>
      </w:r>
    </w:p>
    <w:p w14:paraId="6553B99F" w14:textId="611595D0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the </w:t>
      </w:r>
      <w:hyperlink r:id="rId71" w:tooltip="A2014-24" w:history="1">
        <w:r w:rsidR="00DB0430" w:rsidRPr="00DB0430">
          <w:rPr>
            <w:rStyle w:val="charCitHyperlinkItal"/>
          </w:rPr>
          <w:t>Information Privacy Act 2014</w:t>
        </w:r>
      </w:hyperlink>
      <w:r w:rsidRPr="007F6445">
        <w:t>; and</w:t>
      </w:r>
    </w:p>
    <w:p w14:paraId="580500CC" w14:textId="5C0C5290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 xml:space="preserve">the </w:t>
      </w:r>
      <w:hyperlink r:id="rId72" w:tooltip="Act 1988 No 119 (Cwlth)" w:history="1">
        <w:r w:rsidR="00DB0430" w:rsidRPr="00DB0430">
          <w:rPr>
            <w:rStyle w:val="charCitHyperlinkItal"/>
          </w:rPr>
          <w:t>Privacy Act 1988</w:t>
        </w:r>
      </w:hyperlink>
      <w:r w:rsidR="005F2291" w:rsidRPr="007F6445">
        <w:rPr>
          <w:iCs/>
        </w:rPr>
        <w:t xml:space="preserve"> </w:t>
      </w:r>
      <w:r w:rsidRPr="007F6445">
        <w:t>(Cwlth).</w:t>
      </w:r>
    </w:p>
    <w:p w14:paraId="52FC6B7F" w14:textId="3AF1E606" w:rsidR="0044269E" w:rsidRPr="007F6445" w:rsidRDefault="00A3037F" w:rsidP="0044269E">
      <w:pPr>
        <w:pStyle w:val="IH5Sec"/>
      </w:pPr>
      <w:r w:rsidRPr="007F6445">
        <w:t>21</w:t>
      </w:r>
      <w:r w:rsidR="0044269E" w:rsidRPr="007F6445">
        <w:tab/>
        <w:t>Health care worker must keep records</w:t>
      </w:r>
    </w:p>
    <w:p w14:paraId="38B4DBBA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it is reasonably likely that information about the provision of a health service to a client by a health care worker will be relevant to the ongoing health or wellbeing of the client after the health service is provided.</w:t>
      </w:r>
    </w:p>
    <w:p w14:paraId="0D5E3A54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72F04E2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make accurate, legible and up-to-date records in relation to the health service provided to the client; and</w:t>
      </w:r>
    </w:p>
    <w:p w14:paraId="07F228E0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keep the record secure; and</w:t>
      </w:r>
    </w:p>
    <w:p w14:paraId="7016C79A" w14:textId="066FDC6A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prevent unauthorised access to the record; and</w:t>
      </w:r>
    </w:p>
    <w:p w14:paraId="34F461EC" w14:textId="77777777" w:rsidR="0044269E" w:rsidRPr="007F6445" w:rsidRDefault="0044269E" w:rsidP="0044269E">
      <w:pPr>
        <w:pStyle w:val="Ipara"/>
      </w:pPr>
      <w:r w:rsidRPr="007F6445">
        <w:lastRenderedPageBreak/>
        <w:tab/>
        <w:t>(d)</w:t>
      </w:r>
      <w:r w:rsidRPr="007F6445">
        <w:tab/>
        <w:t>if a client asks for information in a record about the client—give the client access to the information; and</w:t>
      </w:r>
    </w:p>
    <w:p w14:paraId="1E5D61B2" w14:textId="2B737CFA" w:rsidR="0044269E" w:rsidRPr="007F6445" w:rsidRDefault="0044269E" w:rsidP="0044269E">
      <w:pPr>
        <w:pStyle w:val="Ipara"/>
      </w:pPr>
      <w:r w:rsidRPr="007F6445">
        <w:tab/>
        <w:t>(e)</w:t>
      </w:r>
      <w:r w:rsidRPr="007F6445">
        <w:tab/>
        <w:t>if a client or the client’s legal representative asks for the transfer of a record about the client—transfer the record in a timely manner.</w:t>
      </w:r>
    </w:p>
    <w:p w14:paraId="7F799DA9" w14:textId="1CFEB67A" w:rsidR="0044269E" w:rsidRPr="007F6445" w:rsidRDefault="00A3037F" w:rsidP="0044269E">
      <w:pPr>
        <w:pStyle w:val="IH5Sec"/>
      </w:pPr>
      <w:r w:rsidRPr="007F6445">
        <w:t>22</w:t>
      </w:r>
      <w:r w:rsidR="0044269E" w:rsidRPr="007F6445">
        <w:tab/>
        <w:t>Health care worker must have insurance</w:t>
      </w:r>
    </w:p>
    <w:p w14:paraId="77A25ED7" w14:textId="4D901A54" w:rsidR="0044269E" w:rsidRPr="007F6445" w:rsidRDefault="0044269E" w:rsidP="0044269E">
      <w:pPr>
        <w:pStyle w:val="Amainreturn"/>
      </w:pPr>
      <w:r w:rsidRPr="007F6445">
        <w:t>A health care worker must have appropriate indemnity insurance arrangements in relation to the health care worker’s practice.</w:t>
      </w:r>
    </w:p>
    <w:p w14:paraId="2B1D6773" w14:textId="1B674E55" w:rsidR="0044269E" w:rsidRPr="007F6445" w:rsidRDefault="00A3037F" w:rsidP="0044269E">
      <w:pPr>
        <w:pStyle w:val="IH5Sec"/>
      </w:pPr>
      <w:r w:rsidRPr="007F6445">
        <w:t>23</w:t>
      </w:r>
      <w:r w:rsidR="0044269E" w:rsidRPr="007F6445">
        <w:tab/>
        <w:t>Health care worker must report concern about conduct of other health care worker</w:t>
      </w:r>
    </w:p>
    <w:p w14:paraId="22167EAC" w14:textId="2C4EE4FB" w:rsidR="0044269E" w:rsidRPr="007F6445" w:rsidRDefault="0044269E" w:rsidP="0044269E">
      <w:pPr>
        <w:pStyle w:val="Amainreturn"/>
      </w:pPr>
      <w:r w:rsidRPr="007F6445">
        <w:t xml:space="preserve">A health care worker must tell the </w:t>
      </w:r>
      <w:r w:rsidR="00347EC1" w:rsidRPr="007F6445">
        <w:t xml:space="preserve">commission </w:t>
      </w:r>
      <w:r w:rsidRPr="007F6445">
        <w:t>if the health care worker believes on reasonable grounds that another health care worker has put a client at serious risk of harm.</w:t>
      </w:r>
    </w:p>
    <w:p w14:paraId="5406426F" w14:textId="72AB29E7" w:rsidR="0044269E" w:rsidRPr="007F6445" w:rsidRDefault="00A3037F" w:rsidP="0044269E">
      <w:pPr>
        <w:pStyle w:val="IH5Sec"/>
      </w:pPr>
      <w:r w:rsidRPr="007F6445">
        <w:t>24</w:t>
      </w:r>
      <w:r w:rsidR="0044269E" w:rsidRPr="007F6445">
        <w:tab/>
        <w:t>Health care worker must display code and other information</w:t>
      </w:r>
    </w:p>
    <w:p w14:paraId="0F2F6DC6" w14:textId="69B32A34" w:rsidR="0044269E" w:rsidRPr="007F6445" w:rsidRDefault="0044269E" w:rsidP="0044269E">
      <w:pPr>
        <w:pStyle w:val="Amainreturn"/>
      </w:pPr>
      <w:r w:rsidRPr="007F6445">
        <w:t>A health care worker must make the following easily visible and accessible at all premises where the health care worker provides a health service:</w:t>
      </w:r>
    </w:p>
    <w:p w14:paraId="2993096A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the code of conduct;</w:t>
      </w:r>
    </w:p>
    <w:p w14:paraId="08DD021A" w14:textId="1966EF80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information about how a client may make a complaint to the </w:t>
      </w:r>
      <w:r w:rsidR="00347EC1" w:rsidRPr="007F6445">
        <w:t>commission</w:t>
      </w:r>
      <w:r w:rsidRPr="007F6445">
        <w:t>.</w:t>
      </w:r>
    </w:p>
    <w:p w14:paraId="21A643B6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028073AA" w14:textId="77777777" w:rsidR="0044269E" w:rsidRPr="007F6445" w:rsidRDefault="0044269E" w:rsidP="0044269E">
      <w:pPr>
        <w:pStyle w:val="IDict-Heading"/>
      </w:pPr>
      <w:r w:rsidRPr="007F6445">
        <w:lastRenderedPageBreak/>
        <w:t>Dictionary</w:t>
      </w:r>
    </w:p>
    <w:p w14:paraId="14E1EC5E" w14:textId="77777777" w:rsidR="0044269E" w:rsidRPr="007F6445" w:rsidRDefault="0044269E" w:rsidP="00E459B3">
      <w:pPr>
        <w:pStyle w:val="ref"/>
        <w:keepNext/>
      </w:pPr>
      <w:r w:rsidRPr="007F6445">
        <w:t>(see s 2)</w:t>
      </w:r>
    </w:p>
    <w:p w14:paraId="14BCE5FF" w14:textId="233B1282" w:rsidR="00024829" w:rsidRPr="007F6445" w:rsidRDefault="00024829">
      <w:pPr>
        <w:pStyle w:val="aNote"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The </w:t>
      </w:r>
      <w:hyperlink r:id="rId7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 xml:space="preserve"> contains definitions relevant to this regulation. For</w:t>
      </w:r>
      <w:r w:rsidR="007F6445">
        <w:t xml:space="preserve"> </w:t>
      </w:r>
      <w:r w:rsidRPr="007F6445">
        <w:t>example:</w:t>
      </w:r>
    </w:p>
    <w:p w14:paraId="0BFF73C8" w14:textId="4122194D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practitioner</w:t>
      </w:r>
    </w:p>
    <w:p w14:paraId="2141DDA0" w14:textId="63760170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may (see s 146)</w:t>
      </w:r>
    </w:p>
    <w:p w14:paraId="76E0182A" w14:textId="6F2E6F70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must (see s 146)</w:t>
      </w:r>
    </w:p>
    <w:p w14:paraId="0E0C09AF" w14:textId="68AA7A9B" w:rsidR="0044269E" w:rsidRPr="007F6445" w:rsidRDefault="00E459B3" w:rsidP="00E459B3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person (see s 160)</w:t>
      </w:r>
      <w:r w:rsidR="008919FB" w:rsidRPr="007F6445">
        <w:t>.</w:t>
      </w:r>
    </w:p>
    <w:p w14:paraId="7EDC2CF4" w14:textId="26AA3CF2" w:rsidR="0044269E" w:rsidRPr="007F6445" w:rsidRDefault="0044269E" w:rsidP="00695A53">
      <w:pPr>
        <w:pStyle w:val="aNote"/>
      </w:pPr>
      <w:r w:rsidRPr="007F6445">
        <w:rPr>
          <w:rStyle w:val="charItals"/>
        </w:rPr>
        <w:t xml:space="preserve">Note </w:t>
      </w:r>
      <w:r w:rsidR="005A3B55" w:rsidRPr="007F6445">
        <w:rPr>
          <w:rStyle w:val="charItals"/>
        </w:rPr>
        <w:t>2</w:t>
      </w:r>
      <w:r w:rsidRPr="007F6445">
        <w:rPr>
          <w:rStyle w:val="charItals"/>
        </w:rPr>
        <w:tab/>
      </w:r>
      <w:r w:rsidRPr="007F6445">
        <w:t xml:space="preserve">Terms used in this regulation have the same meaning that they have in the </w:t>
      </w:r>
      <w:hyperlink r:id="rId74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Pr="007F6445">
        <w:t xml:space="preserve">. For example, the following terms are defined in the </w:t>
      </w:r>
      <w:hyperlink r:id="rId75" w:tooltip="A2005-40" w:history="1">
        <w:r w:rsidR="00DB0430" w:rsidRPr="00DB0430">
          <w:rPr>
            <w:rStyle w:val="charCitHyperlinkItal"/>
          </w:rPr>
          <w:t>Human Rights Commission Act 2005</w:t>
        </w:r>
      </w:hyperlink>
      <w:r w:rsidRPr="007F6445">
        <w:t>, dict:</w:t>
      </w:r>
    </w:p>
    <w:p w14:paraId="5FB57730" w14:textId="6EC07737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code of conduct</w:t>
      </w:r>
    </w:p>
    <w:p w14:paraId="77CB8473" w14:textId="03FBD253" w:rsidR="00E928B0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E928B0" w:rsidRPr="007F6445">
        <w:t>commission</w:t>
      </w:r>
    </w:p>
    <w:p w14:paraId="4FAA51AA" w14:textId="0C2509F6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complaint</w:t>
      </w:r>
    </w:p>
    <w:p w14:paraId="540BCFCE" w14:textId="26364C97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care worker</w:t>
      </w:r>
    </w:p>
    <w:p w14:paraId="64300500" w14:textId="307C28CF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service (see s 7)</w:t>
      </w:r>
    </w:p>
    <w:p w14:paraId="213CB1CF" w14:textId="66B10791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relevant professional body.</w:t>
      </w:r>
    </w:p>
    <w:p w14:paraId="307E1FC0" w14:textId="6A1E8B90" w:rsidR="0044269E" w:rsidRPr="007F6445" w:rsidRDefault="0044269E" w:rsidP="00E459B3">
      <w:pPr>
        <w:pStyle w:val="aDef"/>
      </w:pPr>
      <w:r w:rsidRPr="00DB0430">
        <w:rPr>
          <w:rStyle w:val="charBoldItals"/>
        </w:rPr>
        <w:t>client</w:t>
      </w:r>
      <w:r w:rsidRPr="007F6445">
        <w:t xml:space="preserve">, of a health care worker, for part 2 (Code of conduct for health care workers—Act, s </w:t>
      </w:r>
      <w:r w:rsidR="00311A51" w:rsidRPr="007F6445">
        <w:t>94</w:t>
      </w:r>
      <w:r w:rsidR="00730FA7" w:rsidRPr="007F6445">
        <w:t>C</w:t>
      </w:r>
      <w:r w:rsidRPr="007F6445">
        <w:t>)—see section 4.</w:t>
      </w:r>
    </w:p>
    <w:p w14:paraId="677BDC98" w14:textId="77777777" w:rsidR="00E459B3" w:rsidRDefault="00E459B3">
      <w:pPr>
        <w:pStyle w:val="03Schedule"/>
        <w:sectPr w:rsidR="00E459B3" w:rsidSect="0030498E">
          <w:headerReference w:type="even" r:id="rId76"/>
          <w:headerReference w:type="default" r:id="rId77"/>
          <w:footerReference w:type="even" r:id="rId78"/>
          <w:footerReference w:type="default" r:id="rId7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77C2ACA7" w14:textId="5C1D9CBB" w:rsidR="00975578" w:rsidRPr="007F6445" w:rsidRDefault="00975578" w:rsidP="00975578">
      <w:pPr>
        <w:pStyle w:val="EndNoteHeading"/>
      </w:pPr>
      <w:r w:rsidRPr="007F6445">
        <w:lastRenderedPageBreak/>
        <w:t>Endnotes</w:t>
      </w:r>
    </w:p>
    <w:p w14:paraId="0266869F" w14:textId="77777777" w:rsidR="00975578" w:rsidRPr="007F6445" w:rsidRDefault="00975578" w:rsidP="00975578">
      <w:pPr>
        <w:pStyle w:val="EndNoteSubHeading"/>
      </w:pPr>
      <w:r w:rsidRPr="007F6445">
        <w:t>1</w:t>
      </w:r>
      <w:r w:rsidRPr="007F6445">
        <w:tab/>
        <w:t>Presentation speech</w:t>
      </w:r>
    </w:p>
    <w:p w14:paraId="3247304B" w14:textId="3F6B99CD" w:rsidR="00975578" w:rsidRPr="007F6445" w:rsidRDefault="00975578" w:rsidP="00975578">
      <w:pPr>
        <w:pStyle w:val="EndNoteText"/>
      </w:pPr>
      <w:r w:rsidRPr="007F6445">
        <w:tab/>
        <w:t>Presentation speech made in the Legislative Assembly on</w:t>
      </w:r>
      <w:r w:rsidR="007853B3">
        <w:t xml:space="preserve"> 30 March 2023.</w:t>
      </w:r>
    </w:p>
    <w:p w14:paraId="70147F5E" w14:textId="77777777" w:rsidR="00975578" w:rsidRPr="007F6445" w:rsidRDefault="00975578" w:rsidP="00975578">
      <w:pPr>
        <w:pStyle w:val="EndNoteSubHeading"/>
      </w:pPr>
      <w:r w:rsidRPr="007F6445">
        <w:t>2</w:t>
      </w:r>
      <w:r w:rsidRPr="007F6445">
        <w:tab/>
        <w:t>Notification</w:t>
      </w:r>
    </w:p>
    <w:p w14:paraId="5D672CFC" w14:textId="0FE0755B" w:rsidR="00975578" w:rsidRPr="007F6445" w:rsidRDefault="00975578" w:rsidP="00975578">
      <w:pPr>
        <w:pStyle w:val="EndNoteText"/>
      </w:pPr>
      <w:r w:rsidRPr="007F6445">
        <w:tab/>
        <w:t xml:space="preserve">Notified under the </w:t>
      </w:r>
      <w:hyperlink r:id="rId80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 xml:space="preserve"> on</w:t>
      </w:r>
      <w:r w:rsidR="0030498E">
        <w:t xml:space="preserve"> 7 July 2023.</w:t>
      </w:r>
    </w:p>
    <w:p w14:paraId="5A35B8DB" w14:textId="77777777" w:rsidR="00975578" w:rsidRPr="007F6445" w:rsidRDefault="00975578" w:rsidP="00975578">
      <w:pPr>
        <w:pStyle w:val="EndNoteSubHeading"/>
      </w:pPr>
      <w:r w:rsidRPr="007F6445">
        <w:t>3</w:t>
      </w:r>
      <w:r w:rsidRPr="007F6445">
        <w:tab/>
        <w:t>Republications of amended laws</w:t>
      </w:r>
    </w:p>
    <w:p w14:paraId="5A018652" w14:textId="5507F4F5" w:rsidR="00975578" w:rsidRPr="007F6445" w:rsidRDefault="00975578" w:rsidP="00975578">
      <w:pPr>
        <w:pStyle w:val="EndNoteText"/>
      </w:pPr>
      <w:r w:rsidRPr="007F6445">
        <w:tab/>
        <w:t xml:space="preserve">For the latest republication of amended laws, see </w:t>
      </w:r>
      <w:hyperlink r:id="rId81" w:history="1">
        <w:r w:rsidR="00DB0430" w:rsidRPr="00DB0430">
          <w:rPr>
            <w:rStyle w:val="charCitHyperlinkAbbrev"/>
          </w:rPr>
          <w:t>www.legislation.act.gov.au</w:t>
        </w:r>
      </w:hyperlink>
      <w:r w:rsidRPr="007F6445">
        <w:t>.</w:t>
      </w:r>
    </w:p>
    <w:p w14:paraId="078ACCB0" w14:textId="77777777" w:rsidR="00975578" w:rsidRPr="007F6445" w:rsidRDefault="00975578" w:rsidP="00975578">
      <w:pPr>
        <w:pStyle w:val="N-line2"/>
      </w:pPr>
    </w:p>
    <w:p w14:paraId="5232E223" w14:textId="77777777" w:rsidR="00E459B3" w:rsidRDefault="00E459B3">
      <w:pPr>
        <w:pStyle w:val="05EndNote"/>
        <w:sectPr w:rsidR="00E459B3" w:rsidSect="0030498E">
          <w:headerReference w:type="even" r:id="rId82"/>
          <w:headerReference w:type="default" r:id="rId83"/>
          <w:footerReference w:type="even" r:id="rId84"/>
          <w:footerReference w:type="default" r:id="rId8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8CB2192" w14:textId="610D3144" w:rsidR="00E459B3" w:rsidRDefault="00E459B3" w:rsidP="0030498E"/>
    <w:p w14:paraId="4A6E3CF7" w14:textId="48AD48F4" w:rsidR="0030498E" w:rsidRDefault="0030498E">
      <w:pPr>
        <w:pStyle w:val="BillBasic"/>
      </w:pPr>
      <w:r>
        <w:t xml:space="preserve">I certify that the above is a true copy of the Human Rights Commission Amendment Bill 2023, which was passed by the Legislative Assembly on 28 June 2023. </w:t>
      </w:r>
    </w:p>
    <w:p w14:paraId="02259A4A" w14:textId="77777777" w:rsidR="0030498E" w:rsidRDefault="0030498E"/>
    <w:p w14:paraId="779CB217" w14:textId="77777777" w:rsidR="0030498E" w:rsidRDefault="0030498E"/>
    <w:p w14:paraId="516918D0" w14:textId="77777777" w:rsidR="0030498E" w:rsidRDefault="0030498E"/>
    <w:p w14:paraId="47E9C917" w14:textId="77777777" w:rsidR="0030498E" w:rsidRDefault="0030498E"/>
    <w:p w14:paraId="6ED455EA" w14:textId="6872DA5E" w:rsidR="0030498E" w:rsidRDefault="000375A1">
      <w:pPr>
        <w:pStyle w:val="BillBasic"/>
        <w:jc w:val="right"/>
      </w:pPr>
      <w:r>
        <w:t xml:space="preserve">Acting </w:t>
      </w:r>
      <w:r w:rsidR="0030498E">
        <w:t>Clerk of the Legislative Assembly</w:t>
      </w:r>
    </w:p>
    <w:p w14:paraId="5227F30A" w14:textId="78A7D5E5" w:rsidR="0030498E" w:rsidRDefault="0030498E" w:rsidP="0030498E"/>
    <w:p w14:paraId="59C59BB0" w14:textId="0CF2A58D" w:rsidR="0030498E" w:rsidRDefault="0030498E" w:rsidP="0030498E"/>
    <w:p w14:paraId="53C5DA4E" w14:textId="6854B222" w:rsidR="0030498E" w:rsidRDefault="0030498E" w:rsidP="0030498E">
      <w:pPr>
        <w:suppressLineNumbers/>
      </w:pPr>
    </w:p>
    <w:p w14:paraId="1442AD5A" w14:textId="5D0117DB" w:rsidR="0030498E" w:rsidRDefault="0030498E" w:rsidP="0030498E">
      <w:pPr>
        <w:suppressLineNumbers/>
      </w:pPr>
    </w:p>
    <w:p w14:paraId="0DFD1550" w14:textId="41274EFE" w:rsidR="0030498E" w:rsidRDefault="0030498E" w:rsidP="0030498E">
      <w:pPr>
        <w:suppressLineNumbers/>
      </w:pPr>
    </w:p>
    <w:p w14:paraId="1C0E3134" w14:textId="678263F1" w:rsidR="0030498E" w:rsidRDefault="0030498E" w:rsidP="0030498E">
      <w:pPr>
        <w:suppressLineNumbers/>
      </w:pPr>
    </w:p>
    <w:p w14:paraId="1040FC68" w14:textId="281FCBD1" w:rsidR="0030498E" w:rsidRDefault="0030498E" w:rsidP="0030498E">
      <w:pPr>
        <w:suppressLineNumbers/>
      </w:pPr>
    </w:p>
    <w:p w14:paraId="66DAE6F1" w14:textId="76DA9978" w:rsidR="0030498E" w:rsidRDefault="0030498E" w:rsidP="0030498E">
      <w:pPr>
        <w:suppressLineNumbers/>
      </w:pPr>
    </w:p>
    <w:p w14:paraId="3B3E7C57" w14:textId="6734F73C" w:rsidR="0030498E" w:rsidRDefault="0030498E" w:rsidP="0030498E">
      <w:pPr>
        <w:suppressLineNumbers/>
      </w:pPr>
    </w:p>
    <w:p w14:paraId="75FDACA2" w14:textId="1FD4BC03" w:rsidR="0030498E" w:rsidRDefault="0030498E" w:rsidP="0030498E">
      <w:pPr>
        <w:suppressLineNumbers/>
      </w:pPr>
    </w:p>
    <w:p w14:paraId="3F3D8DFD" w14:textId="377D0704" w:rsidR="0030498E" w:rsidRDefault="0030498E" w:rsidP="0030498E">
      <w:pPr>
        <w:suppressLineNumbers/>
      </w:pPr>
    </w:p>
    <w:p w14:paraId="5282F1B4" w14:textId="047F6AA6" w:rsidR="0030498E" w:rsidRDefault="0030498E" w:rsidP="0030498E">
      <w:pPr>
        <w:suppressLineNumbers/>
      </w:pPr>
    </w:p>
    <w:p w14:paraId="272B1722" w14:textId="3B232900" w:rsidR="0030498E" w:rsidRDefault="0030498E" w:rsidP="0030498E">
      <w:pPr>
        <w:suppressLineNumbers/>
      </w:pPr>
    </w:p>
    <w:p w14:paraId="715EB379" w14:textId="74042101" w:rsidR="0030498E" w:rsidRDefault="0030498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30498E" w:rsidSect="0030498E">
      <w:headerReference w:type="even" r:id="rId86"/>
      <w:headerReference w:type="default" r:id="rId87"/>
      <w:headerReference w:type="first" r:id="rId8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7200" w14:textId="77777777" w:rsidR="007811C5" w:rsidRDefault="007811C5">
      <w:r>
        <w:separator/>
      </w:r>
    </w:p>
  </w:endnote>
  <w:endnote w:type="continuationSeparator" w:id="0">
    <w:p w14:paraId="2EA24D54" w14:textId="77777777" w:rsidR="007811C5" w:rsidRDefault="007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D9F8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459B3" w:rsidRPr="00CB3D59" w14:paraId="1CA8D6E2" w14:textId="77777777">
      <w:tc>
        <w:tcPr>
          <w:tcW w:w="845" w:type="pct"/>
        </w:tcPr>
        <w:p w14:paraId="0876C575" w14:textId="77777777" w:rsidR="00E459B3" w:rsidRPr="0097645D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F81BC1F" w14:textId="523B3352" w:rsidR="00E459B3" w:rsidRPr="00783A18" w:rsidRDefault="007F1814" w:rsidP="00C34C6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741F4">
            <w:t>Human Rights Commission Amendment Act 2023</w:t>
          </w:r>
          <w:r>
            <w:fldChar w:fldCharType="end"/>
          </w:r>
        </w:p>
        <w:p w14:paraId="3F1AC7F4" w14:textId="50FDC2C3" w:rsidR="00E459B3" w:rsidRPr="00783A18" w:rsidRDefault="00E459B3" w:rsidP="00C34C6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175BB8E" w14:textId="4BF4A2F1" w:rsidR="00E459B3" w:rsidRPr="00743346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4485A99" w14:textId="1C96EB7E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037A" w14:textId="77777777" w:rsidR="00E459B3" w:rsidRDefault="00E459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14:paraId="5A1E9DF3" w14:textId="77777777">
      <w:trPr>
        <w:jc w:val="center"/>
      </w:trPr>
      <w:tc>
        <w:tcPr>
          <w:tcW w:w="1553" w:type="dxa"/>
        </w:tcPr>
        <w:p w14:paraId="5D094D63" w14:textId="05F7709E" w:rsidR="00E459B3" w:rsidRDefault="007F181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741F4">
            <w:t>A2023-29</w:t>
          </w:r>
          <w:r>
            <w:fldChar w:fldCharType="end"/>
          </w:r>
          <w:r w:rsidR="00E459B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8EAC8A6" w14:textId="66453086" w:rsidR="00E459B3" w:rsidRDefault="007F18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741F4">
            <w:t>Human Rights Commission Amendment Act 2023</w:t>
          </w:r>
          <w:r>
            <w:fldChar w:fldCharType="end"/>
          </w:r>
        </w:p>
        <w:p w14:paraId="7220618B" w14:textId="2C857B20" w:rsidR="00E459B3" w:rsidRDefault="007F18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741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</w:instrText>
          </w:r>
          <w:r>
            <w:instrText xml:space="preserve">  *\charformat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F4AF825" w14:textId="77777777" w:rsidR="00E459B3" w:rsidRDefault="00E459B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39E4C71" w14:textId="568BA55C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627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459B3" w:rsidRPr="00CB3D59" w14:paraId="36143802" w14:textId="77777777">
      <w:tc>
        <w:tcPr>
          <w:tcW w:w="1060" w:type="pct"/>
        </w:tcPr>
        <w:p w14:paraId="44C8F57A" w14:textId="188AABBB" w:rsidR="00E459B3" w:rsidRPr="00743346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C7E24F5" w14:textId="7B78D382" w:rsidR="00E459B3" w:rsidRPr="00783A18" w:rsidRDefault="007F1814" w:rsidP="00C34C6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741F4">
            <w:t>Human Rights Commission Amendment Act 2023</w:t>
          </w:r>
          <w:r>
            <w:fldChar w:fldCharType="end"/>
          </w:r>
        </w:p>
        <w:p w14:paraId="3E5CAA77" w14:textId="453E3F8B" w:rsidR="00E459B3" w:rsidRPr="00783A18" w:rsidRDefault="00E459B3" w:rsidP="00C34C6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4045A98" w14:textId="77777777" w:rsidR="00E459B3" w:rsidRPr="0097645D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B586CF" w14:textId="5EB9E519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79B2" w14:textId="77777777" w:rsidR="00E459B3" w:rsidRDefault="00E459B3">
    <w:pPr>
      <w:rPr>
        <w:sz w:val="16"/>
      </w:rPr>
    </w:pPr>
  </w:p>
  <w:p w14:paraId="6CE772BC" w14:textId="41937605" w:rsidR="00E459B3" w:rsidRDefault="00E459B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741F4">
      <w:rPr>
        <w:rFonts w:ascii="Arial" w:hAnsi="Arial"/>
        <w:sz w:val="12"/>
      </w:rPr>
      <w:t>J2015-690</w:t>
    </w:r>
    <w:r>
      <w:rPr>
        <w:rFonts w:ascii="Arial" w:hAnsi="Arial"/>
        <w:sz w:val="12"/>
      </w:rPr>
      <w:fldChar w:fldCharType="end"/>
    </w:r>
  </w:p>
  <w:p w14:paraId="062984AC" w14:textId="7496F820" w:rsidR="00E459B3" w:rsidRPr="007F1814" w:rsidRDefault="007F1814" w:rsidP="007F1814">
    <w:pPr>
      <w:pStyle w:val="Status"/>
      <w:tabs>
        <w:tab w:val="center" w:pos="3853"/>
        <w:tab w:val="left" w:pos="4575"/>
      </w:tabs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781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:rsidRPr="00CB3D59" w14:paraId="21E177EA" w14:textId="77777777">
      <w:tc>
        <w:tcPr>
          <w:tcW w:w="847" w:type="pct"/>
        </w:tcPr>
        <w:p w14:paraId="43C7898D" w14:textId="77777777" w:rsidR="00E459B3" w:rsidRPr="006D109C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8F4D052" w14:textId="142A4677" w:rsidR="00E459B3" w:rsidRPr="006D109C" w:rsidRDefault="00E459B3" w:rsidP="00C34C6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 w:rsidRPr="00D741F4">
            <w:rPr>
              <w:rFonts w:cs="Arial"/>
              <w:szCs w:val="18"/>
            </w:rPr>
            <w:t>Human Rights Commission Amendment</w:t>
          </w:r>
          <w:r w:rsidR="00D741F4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42E8BB6C" w14:textId="3F46AF83" w:rsidR="00E459B3" w:rsidRPr="00783A18" w:rsidRDefault="00E459B3" w:rsidP="00C34C6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56AEBB5" w14:textId="757D91B3" w:rsidR="00E459B3" w:rsidRPr="006D109C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C21AE8" w14:textId="75EFE80C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538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:rsidRPr="00CB3D59" w14:paraId="6C2C743C" w14:textId="77777777">
      <w:tc>
        <w:tcPr>
          <w:tcW w:w="1061" w:type="pct"/>
        </w:tcPr>
        <w:p w14:paraId="68DEC34F" w14:textId="21BC9918" w:rsidR="00E459B3" w:rsidRPr="006D109C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F78FDC" w14:textId="0E9A9D5C" w:rsidR="00E459B3" w:rsidRPr="006D109C" w:rsidRDefault="00E459B3" w:rsidP="00C34C6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 w:rsidRPr="00D741F4">
            <w:rPr>
              <w:rFonts w:cs="Arial"/>
              <w:szCs w:val="18"/>
            </w:rPr>
            <w:t>Human Rights Commission Amendment</w:t>
          </w:r>
          <w:r w:rsidR="00D741F4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6856B373" w14:textId="042D673A" w:rsidR="00E459B3" w:rsidRPr="00783A18" w:rsidRDefault="00E459B3" w:rsidP="00C34C6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41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12F3C62" w14:textId="77777777" w:rsidR="00E459B3" w:rsidRPr="006D109C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740C93" w14:textId="5999A230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205" w14:textId="77777777" w:rsidR="00E459B3" w:rsidRDefault="00E459B3">
    <w:pPr>
      <w:rPr>
        <w:sz w:val="16"/>
      </w:rPr>
    </w:pPr>
  </w:p>
  <w:p w14:paraId="5806C10A" w14:textId="6CEF6FC4" w:rsidR="00E459B3" w:rsidRDefault="00E459B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741F4">
      <w:rPr>
        <w:rFonts w:ascii="Arial" w:hAnsi="Arial"/>
        <w:sz w:val="12"/>
      </w:rPr>
      <w:t>J2015-690</w:t>
    </w:r>
    <w:r>
      <w:rPr>
        <w:rFonts w:ascii="Arial" w:hAnsi="Arial"/>
        <w:sz w:val="12"/>
      </w:rPr>
      <w:fldChar w:fldCharType="end"/>
    </w:r>
  </w:p>
  <w:p w14:paraId="16287174" w14:textId="64D4FA77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785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:rsidRPr="00CB3D59" w14:paraId="6991CBFA" w14:textId="77777777">
      <w:tc>
        <w:tcPr>
          <w:tcW w:w="847" w:type="pct"/>
        </w:tcPr>
        <w:p w14:paraId="351C4B5D" w14:textId="77777777" w:rsidR="00E459B3" w:rsidRPr="00F02A14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8404A8" w14:textId="7570EEFE" w:rsidR="00E459B3" w:rsidRPr="00F02A14" w:rsidRDefault="00E459B3" w:rsidP="00C34C6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 w:rsidRPr="00D741F4">
            <w:rPr>
              <w:rFonts w:cs="Arial"/>
              <w:szCs w:val="18"/>
            </w:rPr>
            <w:t>Human Rights Commission Amendment</w:t>
          </w:r>
          <w:r w:rsidR="00D741F4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78B35AA6" w14:textId="7F9880E2" w:rsidR="00E459B3" w:rsidRPr="00F02A14" w:rsidRDefault="00E459B3" w:rsidP="00C34C6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3A9864C" w14:textId="2AB0DE27" w:rsidR="00E459B3" w:rsidRPr="00F02A14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194B22C5" w14:textId="6E9B4AA6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7AF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:rsidRPr="00CB3D59" w14:paraId="44572CDD" w14:textId="77777777">
      <w:tc>
        <w:tcPr>
          <w:tcW w:w="1061" w:type="pct"/>
        </w:tcPr>
        <w:p w14:paraId="162F759C" w14:textId="6A98DB95" w:rsidR="00E459B3" w:rsidRPr="00F02A14" w:rsidRDefault="00E459B3" w:rsidP="00C34C6C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A2023-29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5BF9DD7" w14:textId="6CBFA607" w:rsidR="00E459B3" w:rsidRPr="00F02A14" w:rsidRDefault="00E459B3" w:rsidP="00C34C6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 w:rsidRPr="00D741F4">
            <w:rPr>
              <w:rFonts w:cs="Arial"/>
              <w:szCs w:val="18"/>
            </w:rPr>
            <w:t>Human Rights Commission Amendment</w:t>
          </w:r>
          <w:r w:rsidR="00D741F4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1317157A" w14:textId="24498828" w:rsidR="00E459B3" w:rsidRPr="00F02A14" w:rsidRDefault="00E459B3" w:rsidP="00C34C6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79FB106" w14:textId="77777777" w:rsidR="00E459B3" w:rsidRPr="00F02A14" w:rsidRDefault="00E459B3" w:rsidP="00C34C6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60F386" w14:textId="0FA601AF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9408" w14:textId="77777777" w:rsidR="00E459B3" w:rsidRDefault="00E459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14:paraId="7655727B" w14:textId="77777777">
      <w:trPr>
        <w:jc w:val="center"/>
      </w:trPr>
      <w:tc>
        <w:tcPr>
          <w:tcW w:w="1240" w:type="dxa"/>
        </w:tcPr>
        <w:p w14:paraId="1FF3C489" w14:textId="77777777" w:rsidR="00E459B3" w:rsidRDefault="00E459B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5C77623" w14:textId="426F5FE5" w:rsidR="00E459B3" w:rsidRDefault="007F18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741F4">
            <w:t>Human Rights Commission Amendment Act 2023</w:t>
          </w:r>
          <w:r>
            <w:fldChar w:fldCharType="end"/>
          </w:r>
        </w:p>
        <w:p w14:paraId="300C09A9" w14:textId="7D5AA9CE" w:rsidR="00E459B3" w:rsidRDefault="007F18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741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DB7647" w14:textId="0318582C" w:rsidR="00E459B3" w:rsidRDefault="007F181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741F4">
            <w:t>A2023-29</w:t>
          </w:r>
          <w:r>
            <w:fldChar w:fldCharType="end"/>
          </w:r>
          <w:r w:rsidR="00E459B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741F4">
            <w:t xml:space="preserve">  </w:t>
          </w:r>
          <w:r>
            <w:fldChar w:fldCharType="end"/>
          </w:r>
        </w:p>
      </w:tc>
    </w:tr>
  </w:tbl>
  <w:p w14:paraId="4715E014" w14:textId="4653995B" w:rsidR="00E459B3" w:rsidRPr="007F1814" w:rsidRDefault="007F1814" w:rsidP="007F1814">
    <w:pPr>
      <w:pStyle w:val="Status"/>
      <w:rPr>
        <w:rFonts w:cs="Arial"/>
      </w:rPr>
    </w:pPr>
    <w:r w:rsidRPr="007F1814">
      <w:rPr>
        <w:rFonts w:cs="Arial"/>
      </w:rPr>
      <w:fldChar w:fldCharType="begin"/>
    </w:r>
    <w:r w:rsidRPr="007F1814">
      <w:rPr>
        <w:rFonts w:cs="Arial"/>
      </w:rPr>
      <w:instrText xml:space="preserve"> DOCPROPERTY "Status" </w:instrText>
    </w:r>
    <w:r w:rsidRPr="007F1814">
      <w:rPr>
        <w:rFonts w:cs="Arial"/>
      </w:rPr>
      <w:fldChar w:fldCharType="separate"/>
    </w:r>
    <w:r w:rsidR="00D741F4" w:rsidRPr="007F1814">
      <w:rPr>
        <w:rFonts w:cs="Arial"/>
      </w:rPr>
      <w:t xml:space="preserve"> </w:t>
    </w:r>
    <w:r w:rsidRPr="007F1814">
      <w:rPr>
        <w:rFonts w:cs="Arial"/>
      </w:rPr>
      <w:fldChar w:fldCharType="end"/>
    </w:r>
    <w:r w:rsidRPr="007F181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F669" w14:textId="77777777" w:rsidR="007811C5" w:rsidRDefault="007811C5">
      <w:r>
        <w:separator/>
      </w:r>
    </w:p>
  </w:footnote>
  <w:footnote w:type="continuationSeparator" w:id="0">
    <w:p w14:paraId="555EEDFE" w14:textId="77777777" w:rsidR="007811C5" w:rsidRDefault="0078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459B3" w:rsidRPr="00CB3D59" w14:paraId="31E7ECB3" w14:textId="77777777">
      <w:tc>
        <w:tcPr>
          <w:tcW w:w="900" w:type="pct"/>
        </w:tcPr>
        <w:p w14:paraId="01FB944A" w14:textId="77777777" w:rsidR="00E459B3" w:rsidRPr="00783A18" w:rsidRDefault="00E459B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B7490E8" w14:textId="77777777" w:rsidR="00E459B3" w:rsidRPr="00783A18" w:rsidRDefault="00E459B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459B3" w:rsidRPr="00CB3D59" w14:paraId="5815029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9706665" w14:textId="65A9DB6D" w:rsidR="00E459B3" w:rsidRPr="0097645D" w:rsidRDefault="007F1814" w:rsidP="00C34C6C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91122CA" w14:textId="6A10A596" w:rsidR="00E459B3" w:rsidRDefault="00E459B3">
    <w:pPr>
      <w:pStyle w:val="N-9pt"/>
    </w:pPr>
    <w:r>
      <w:tab/>
    </w:r>
    <w:r w:rsidR="007F1814">
      <w:fldChar w:fldCharType="begin"/>
    </w:r>
    <w:r w:rsidR="007F1814">
      <w:instrText xml:space="preserve"> STYLEREF charPage \* MERGEFORMAT </w:instrText>
    </w:r>
    <w:r w:rsidR="007F1814">
      <w:fldChar w:fldCharType="separate"/>
    </w:r>
    <w:r w:rsidR="007F1814">
      <w:rPr>
        <w:noProof/>
      </w:rPr>
      <w:t>Page</w:t>
    </w:r>
    <w:r w:rsidR="007F1814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15D6C" w:rsidRPr="00E06D02" w14:paraId="001236CA" w14:textId="77777777" w:rsidTr="00567644">
      <w:trPr>
        <w:jc w:val="center"/>
      </w:trPr>
      <w:tc>
        <w:tcPr>
          <w:tcW w:w="1068" w:type="pct"/>
        </w:tcPr>
        <w:p w14:paraId="317D688B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207AC2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15D6C" w:rsidRPr="00E06D02" w14:paraId="34854C7B" w14:textId="77777777" w:rsidTr="00567644">
      <w:trPr>
        <w:jc w:val="center"/>
      </w:trPr>
      <w:tc>
        <w:tcPr>
          <w:tcW w:w="1068" w:type="pct"/>
        </w:tcPr>
        <w:p w14:paraId="55CC9818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F3B577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15D6C" w:rsidRPr="00E06D02" w14:paraId="711E5AF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8D3D1A3" w14:textId="77777777" w:rsidR="00015D6C" w:rsidRPr="00567644" w:rsidRDefault="00015D6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493ABCA" w14:textId="77777777" w:rsidR="00015D6C" w:rsidRDefault="00015D6C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7CC3" w14:textId="77777777" w:rsidR="00015D6C" w:rsidRPr="0030498E" w:rsidRDefault="00015D6C" w:rsidP="0030498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81A" w14:textId="77777777" w:rsidR="00015D6C" w:rsidRPr="0030498E" w:rsidRDefault="00015D6C" w:rsidP="00304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459B3" w:rsidRPr="00CB3D59" w14:paraId="12AAE0D5" w14:textId="77777777">
      <w:tc>
        <w:tcPr>
          <w:tcW w:w="4100" w:type="pct"/>
        </w:tcPr>
        <w:p w14:paraId="2F4F7AC4" w14:textId="77777777" w:rsidR="00E459B3" w:rsidRPr="00783A18" w:rsidRDefault="00E459B3" w:rsidP="00C34C6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725729E" w14:textId="77777777" w:rsidR="00E459B3" w:rsidRPr="00783A18" w:rsidRDefault="00E459B3" w:rsidP="00C34C6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459B3" w:rsidRPr="00CB3D59" w14:paraId="096C68B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07FFF28" w14:textId="16903F42" w:rsidR="00E459B3" w:rsidRPr="0097645D" w:rsidRDefault="00E459B3" w:rsidP="00C34C6C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F9FD63" w14:textId="04508ADF" w:rsidR="00E459B3" w:rsidRDefault="00E459B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471" w14:textId="77777777" w:rsidR="007F1814" w:rsidRDefault="007F18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459B3" w:rsidRPr="00CB3D59" w14:paraId="4A2DA6CB" w14:textId="77777777" w:rsidTr="00C34C6C">
      <w:tc>
        <w:tcPr>
          <w:tcW w:w="1701" w:type="dxa"/>
        </w:tcPr>
        <w:p w14:paraId="24A5DF95" w14:textId="510EB19E" w:rsidR="00E459B3" w:rsidRPr="006D109C" w:rsidRDefault="00E459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7F2150" w14:textId="700B14C9" w:rsidR="00E459B3" w:rsidRPr="006D109C" w:rsidRDefault="00E459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508F3D0C" w14:textId="77777777" w:rsidTr="00C34C6C">
      <w:tc>
        <w:tcPr>
          <w:tcW w:w="1701" w:type="dxa"/>
        </w:tcPr>
        <w:p w14:paraId="5464A471" w14:textId="71A840B2" w:rsidR="00E459B3" w:rsidRPr="006D109C" w:rsidRDefault="00E459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4057611" w14:textId="10CA4EC7" w:rsidR="00E459B3" w:rsidRPr="006D109C" w:rsidRDefault="00E459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1EEF702F" w14:textId="77777777" w:rsidTr="00C34C6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25CB28" w14:textId="06B67B82" w:rsidR="00E459B3" w:rsidRPr="006D109C" w:rsidRDefault="00E459B3" w:rsidP="00C34C6C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F1814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AF8CD2" w14:textId="77777777" w:rsidR="00E459B3" w:rsidRDefault="00E459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459B3" w:rsidRPr="00CB3D59" w14:paraId="0CFC2BE4" w14:textId="77777777" w:rsidTr="00C34C6C">
      <w:tc>
        <w:tcPr>
          <w:tcW w:w="6320" w:type="dxa"/>
        </w:tcPr>
        <w:p w14:paraId="19828E69" w14:textId="002C6F48" w:rsidR="00E459B3" w:rsidRPr="006D109C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09E1E46" w14:textId="3125C79F" w:rsidR="00E459B3" w:rsidRPr="006D109C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65AEA6E7" w14:textId="77777777" w:rsidTr="00C34C6C">
      <w:tc>
        <w:tcPr>
          <w:tcW w:w="6320" w:type="dxa"/>
        </w:tcPr>
        <w:p w14:paraId="412C6FBE" w14:textId="5A7CF75A" w:rsidR="00E459B3" w:rsidRPr="006D109C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0C7A26A" w14:textId="76090E41" w:rsidR="00E459B3" w:rsidRPr="006D109C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2D18B797" w14:textId="77777777" w:rsidTr="00C34C6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845E96B" w14:textId="205C3132" w:rsidR="00E459B3" w:rsidRPr="006D109C" w:rsidRDefault="00E459B3" w:rsidP="00C34C6C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741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F1814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47F04D" w14:textId="77777777" w:rsidR="00E459B3" w:rsidRDefault="00E459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459B3" w:rsidRPr="00CB3D59" w14:paraId="47904252" w14:textId="77777777">
      <w:trPr>
        <w:jc w:val="center"/>
      </w:trPr>
      <w:tc>
        <w:tcPr>
          <w:tcW w:w="1560" w:type="dxa"/>
        </w:tcPr>
        <w:p w14:paraId="15CAA497" w14:textId="1232473A" w:rsidR="00E459B3" w:rsidRPr="00F02A14" w:rsidRDefault="00E459B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F1814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A18E184" w14:textId="0230622E" w:rsidR="00E459B3" w:rsidRPr="00F02A14" w:rsidRDefault="00E459B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F1814">
            <w:rPr>
              <w:rFonts w:cs="Arial"/>
              <w:noProof/>
              <w:szCs w:val="18"/>
            </w:rPr>
            <w:t>New Human Rights Commission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4617A084" w14:textId="77777777">
      <w:trPr>
        <w:jc w:val="center"/>
      </w:trPr>
      <w:tc>
        <w:tcPr>
          <w:tcW w:w="1560" w:type="dxa"/>
        </w:tcPr>
        <w:p w14:paraId="044D1491" w14:textId="65D1A75D" w:rsidR="00E459B3" w:rsidRPr="00F02A14" w:rsidRDefault="00E459B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C1AAAD0" w14:textId="42E195AC" w:rsidR="00E459B3" w:rsidRPr="00F02A14" w:rsidRDefault="00E459B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24CF7A7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75AF37" w14:textId="77777777" w:rsidR="00E459B3" w:rsidRPr="00783A18" w:rsidRDefault="00E459B3" w:rsidP="00C34C6C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69AFF60" w14:textId="77777777" w:rsidR="00E459B3" w:rsidRDefault="00E459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459B3" w:rsidRPr="00CB3D59" w14:paraId="7624BEC3" w14:textId="77777777">
      <w:trPr>
        <w:jc w:val="center"/>
      </w:trPr>
      <w:tc>
        <w:tcPr>
          <w:tcW w:w="5741" w:type="dxa"/>
        </w:tcPr>
        <w:p w14:paraId="1F7F8EEB" w14:textId="6EA9CBAE" w:rsidR="00E459B3" w:rsidRPr="00F02A14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F1814">
            <w:rPr>
              <w:rFonts w:cs="Arial"/>
              <w:noProof/>
              <w:szCs w:val="18"/>
            </w:rPr>
            <w:t>New Human Rights Commission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B9AA123" w14:textId="78D4384D" w:rsidR="00E459B3" w:rsidRPr="00F02A14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F1814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2A02B0BC" w14:textId="77777777">
      <w:trPr>
        <w:jc w:val="center"/>
      </w:trPr>
      <w:tc>
        <w:tcPr>
          <w:tcW w:w="5741" w:type="dxa"/>
        </w:tcPr>
        <w:p w14:paraId="7AB73333" w14:textId="6CC211F7" w:rsidR="00E459B3" w:rsidRPr="00F02A14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1342F2D" w14:textId="3F13E811" w:rsidR="00E459B3" w:rsidRPr="00F02A14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537A017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42D88A" w14:textId="77777777" w:rsidR="00E459B3" w:rsidRPr="00783A18" w:rsidRDefault="00E459B3" w:rsidP="00C34C6C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A97428C" w14:textId="77777777" w:rsidR="00E459B3" w:rsidRDefault="00E459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459B3" w14:paraId="5DEAF175" w14:textId="77777777">
      <w:trPr>
        <w:jc w:val="center"/>
      </w:trPr>
      <w:tc>
        <w:tcPr>
          <w:tcW w:w="1234" w:type="dxa"/>
        </w:tcPr>
        <w:p w14:paraId="051A31CF" w14:textId="77777777" w:rsidR="00E459B3" w:rsidRDefault="00E459B3">
          <w:pPr>
            <w:pStyle w:val="HeaderEven"/>
          </w:pPr>
        </w:p>
      </w:tc>
      <w:tc>
        <w:tcPr>
          <w:tcW w:w="6062" w:type="dxa"/>
        </w:tcPr>
        <w:p w14:paraId="58F5848D" w14:textId="77777777" w:rsidR="00E459B3" w:rsidRDefault="00E459B3">
          <w:pPr>
            <w:pStyle w:val="HeaderEven"/>
          </w:pPr>
        </w:p>
      </w:tc>
    </w:tr>
    <w:tr w:rsidR="00E459B3" w14:paraId="6A426D66" w14:textId="77777777">
      <w:trPr>
        <w:jc w:val="center"/>
      </w:trPr>
      <w:tc>
        <w:tcPr>
          <w:tcW w:w="1234" w:type="dxa"/>
        </w:tcPr>
        <w:p w14:paraId="193E0659" w14:textId="77777777" w:rsidR="00E459B3" w:rsidRDefault="00E459B3">
          <w:pPr>
            <w:pStyle w:val="HeaderEven"/>
          </w:pPr>
        </w:p>
      </w:tc>
      <w:tc>
        <w:tcPr>
          <w:tcW w:w="6062" w:type="dxa"/>
        </w:tcPr>
        <w:p w14:paraId="7B864CEF" w14:textId="77777777" w:rsidR="00E459B3" w:rsidRDefault="00E459B3">
          <w:pPr>
            <w:pStyle w:val="HeaderEven"/>
          </w:pPr>
        </w:p>
      </w:tc>
    </w:tr>
    <w:tr w:rsidR="00E459B3" w14:paraId="711363D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6BD692" w14:textId="77777777" w:rsidR="00E459B3" w:rsidRDefault="00E459B3">
          <w:pPr>
            <w:pStyle w:val="HeaderEven6"/>
          </w:pPr>
        </w:p>
      </w:tc>
    </w:tr>
  </w:tbl>
  <w:p w14:paraId="0FE965C1" w14:textId="77777777" w:rsidR="00E459B3" w:rsidRDefault="00E459B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459B3" w14:paraId="2E22F8CD" w14:textId="77777777">
      <w:trPr>
        <w:jc w:val="center"/>
      </w:trPr>
      <w:tc>
        <w:tcPr>
          <w:tcW w:w="6062" w:type="dxa"/>
        </w:tcPr>
        <w:p w14:paraId="50B036E3" w14:textId="77777777" w:rsidR="00E459B3" w:rsidRDefault="00E459B3">
          <w:pPr>
            <w:pStyle w:val="HeaderOdd"/>
          </w:pPr>
        </w:p>
      </w:tc>
      <w:tc>
        <w:tcPr>
          <w:tcW w:w="1234" w:type="dxa"/>
        </w:tcPr>
        <w:p w14:paraId="13368898" w14:textId="77777777" w:rsidR="00E459B3" w:rsidRDefault="00E459B3">
          <w:pPr>
            <w:pStyle w:val="HeaderOdd"/>
          </w:pPr>
        </w:p>
      </w:tc>
    </w:tr>
    <w:tr w:rsidR="00E459B3" w14:paraId="7B9D24E4" w14:textId="77777777">
      <w:trPr>
        <w:jc w:val="center"/>
      </w:trPr>
      <w:tc>
        <w:tcPr>
          <w:tcW w:w="6062" w:type="dxa"/>
        </w:tcPr>
        <w:p w14:paraId="0EAF9230" w14:textId="77777777" w:rsidR="00E459B3" w:rsidRDefault="00E459B3">
          <w:pPr>
            <w:pStyle w:val="HeaderOdd"/>
          </w:pPr>
        </w:p>
      </w:tc>
      <w:tc>
        <w:tcPr>
          <w:tcW w:w="1234" w:type="dxa"/>
        </w:tcPr>
        <w:p w14:paraId="0087FA62" w14:textId="77777777" w:rsidR="00E459B3" w:rsidRDefault="00E459B3">
          <w:pPr>
            <w:pStyle w:val="HeaderOdd"/>
          </w:pPr>
        </w:p>
      </w:tc>
    </w:tr>
    <w:tr w:rsidR="00E459B3" w14:paraId="66F5B0B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9D2DDF" w14:textId="77777777" w:rsidR="00E459B3" w:rsidRDefault="00E459B3">
          <w:pPr>
            <w:pStyle w:val="HeaderOdd6"/>
          </w:pPr>
        </w:p>
      </w:tc>
    </w:tr>
  </w:tbl>
  <w:p w14:paraId="7A89E546" w14:textId="77777777" w:rsidR="00E459B3" w:rsidRDefault="00E45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5B25A1E"/>
    <w:multiLevelType w:val="multilevel"/>
    <w:tmpl w:val="F2D8C7E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82E64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36250121">
    <w:abstractNumId w:val="26"/>
  </w:num>
  <w:num w:numId="2" w16cid:durableId="354581687">
    <w:abstractNumId w:val="30"/>
  </w:num>
  <w:num w:numId="3" w16cid:durableId="443576359">
    <w:abstractNumId w:val="42"/>
  </w:num>
  <w:num w:numId="4" w16cid:durableId="1606232002">
    <w:abstractNumId w:val="29"/>
  </w:num>
  <w:num w:numId="5" w16cid:durableId="1102263143">
    <w:abstractNumId w:val="10"/>
  </w:num>
  <w:num w:numId="6" w16cid:durableId="1698314658">
    <w:abstractNumId w:val="33"/>
  </w:num>
  <w:num w:numId="7" w16cid:durableId="945230009">
    <w:abstractNumId w:val="28"/>
  </w:num>
  <w:num w:numId="8" w16cid:durableId="240067852">
    <w:abstractNumId w:val="41"/>
  </w:num>
  <w:num w:numId="9" w16cid:durableId="1151019930">
    <w:abstractNumId w:val="36"/>
  </w:num>
  <w:num w:numId="10" w16cid:durableId="1432818067">
    <w:abstractNumId w:val="24"/>
  </w:num>
  <w:num w:numId="11" w16cid:durableId="1989046722">
    <w:abstractNumId w:val="15"/>
  </w:num>
  <w:num w:numId="12" w16cid:durableId="291667283">
    <w:abstractNumId w:val="37"/>
  </w:num>
  <w:num w:numId="13" w16cid:durableId="1771588585">
    <w:abstractNumId w:val="19"/>
  </w:num>
  <w:num w:numId="14" w16cid:durableId="331178763">
    <w:abstractNumId w:val="12"/>
  </w:num>
  <w:num w:numId="15" w16cid:durableId="1883402752">
    <w:abstractNumId w:val="25"/>
  </w:num>
  <w:num w:numId="16" w16cid:durableId="1415318150">
    <w:abstractNumId w:val="44"/>
  </w:num>
  <w:num w:numId="17" w16cid:durableId="389963369">
    <w:abstractNumId w:val="22"/>
  </w:num>
  <w:num w:numId="18" w16cid:durableId="1429353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3143709">
    <w:abstractNumId w:val="27"/>
    <w:lvlOverride w:ilvl="0">
      <w:startOverride w:val="1"/>
    </w:lvlOverride>
  </w:num>
  <w:num w:numId="20" w16cid:durableId="157384123">
    <w:abstractNumId w:val="20"/>
  </w:num>
  <w:num w:numId="21" w16cid:durableId="2026252284">
    <w:abstractNumId w:val="43"/>
    <w:lvlOverride w:ilvl="0">
      <w:startOverride w:val="1"/>
    </w:lvlOverride>
  </w:num>
  <w:num w:numId="22" w16cid:durableId="1486630470">
    <w:abstractNumId w:val="39"/>
  </w:num>
  <w:num w:numId="23" w16cid:durableId="1698191426">
    <w:abstractNumId w:val="21"/>
  </w:num>
  <w:num w:numId="24" w16cid:durableId="526138180">
    <w:abstractNumId w:val="27"/>
  </w:num>
  <w:num w:numId="25" w16cid:durableId="1594245655">
    <w:abstractNumId w:val="34"/>
  </w:num>
  <w:num w:numId="26" w16cid:durableId="663633837">
    <w:abstractNumId w:val="43"/>
  </w:num>
  <w:num w:numId="27" w16cid:durableId="318537228">
    <w:abstractNumId w:val="23"/>
  </w:num>
  <w:num w:numId="28" w16cid:durableId="1958024958">
    <w:abstractNumId w:val="18"/>
  </w:num>
  <w:num w:numId="29" w16cid:durableId="914633467">
    <w:abstractNumId w:val="40"/>
  </w:num>
  <w:num w:numId="30" w16cid:durableId="258830321">
    <w:abstractNumId w:val="11"/>
  </w:num>
  <w:num w:numId="31" w16cid:durableId="1011907252">
    <w:abstractNumId w:val="32"/>
  </w:num>
  <w:num w:numId="32" w16cid:durableId="494734769">
    <w:abstractNumId w:val="16"/>
  </w:num>
  <w:num w:numId="33" w16cid:durableId="1659112984">
    <w:abstractNumId w:val="9"/>
  </w:num>
  <w:num w:numId="34" w16cid:durableId="2117866054">
    <w:abstractNumId w:val="31"/>
  </w:num>
  <w:num w:numId="35" w16cid:durableId="814492759">
    <w:abstractNumId w:val="7"/>
  </w:num>
  <w:num w:numId="36" w16cid:durableId="1078594984">
    <w:abstractNumId w:val="6"/>
  </w:num>
  <w:num w:numId="37" w16cid:durableId="182594254">
    <w:abstractNumId w:val="5"/>
  </w:num>
  <w:num w:numId="38" w16cid:durableId="1736002808">
    <w:abstractNumId w:val="4"/>
  </w:num>
  <w:num w:numId="39" w16cid:durableId="2140872372">
    <w:abstractNumId w:val="8"/>
  </w:num>
  <w:num w:numId="40" w16cid:durableId="438452209">
    <w:abstractNumId w:val="3"/>
  </w:num>
  <w:num w:numId="41" w16cid:durableId="1376082354">
    <w:abstractNumId w:val="2"/>
  </w:num>
  <w:num w:numId="42" w16cid:durableId="1218778612">
    <w:abstractNumId w:val="1"/>
  </w:num>
  <w:num w:numId="43" w16cid:durableId="1574000347">
    <w:abstractNumId w:val="0"/>
  </w:num>
  <w:num w:numId="44" w16cid:durableId="1757433537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0D"/>
    <w:rsid w:val="00000C1F"/>
    <w:rsid w:val="00002B35"/>
    <w:rsid w:val="00002BCC"/>
    <w:rsid w:val="00002BFE"/>
    <w:rsid w:val="000038FA"/>
    <w:rsid w:val="000041DC"/>
    <w:rsid w:val="00004573"/>
    <w:rsid w:val="00004839"/>
    <w:rsid w:val="00006AF4"/>
    <w:rsid w:val="00011433"/>
    <w:rsid w:val="00011953"/>
    <w:rsid w:val="00011BDB"/>
    <w:rsid w:val="00012012"/>
    <w:rsid w:val="0001347E"/>
    <w:rsid w:val="0001393A"/>
    <w:rsid w:val="00015D6C"/>
    <w:rsid w:val="00016F03"/>
    <w:rsid w:val="0002034F"/>
    <w:rsid w:val="0002115F"/>
    <w:rsid w:val="00021346"/>
    <w:rsid w:val="000215AA"/>
    <w:rsid w:val="00022733"/>
    <w:rsid w:val="00023A54"/>
    <w:rsid w:val="00023ECD"/>
    <w:rsid w:val="00024829"/>
    <w:rsid w:val="00024C2B"/>
    <w:rsid w:val="0002517D"/>
    <w:rsid w:val="000258CC"/>
    <w:rsid w:val="00025988"/>
    <w:rsid w:val="00026123"/>
    <w:rsid w:val="00027EB5"/>
    <w:rsid w:val="00030813"/>
    <w:rsid w:val="00031B52"/>
    <w:rsid w:val="0003249F"/>
    <w:rsid w:val="0003401E"/>
    <w:rsid w:val="000345A9"/>
    <w:rsid w:val="0003552A"/>
    <w:rsid w:val="000375A1"/>
    <w:rsid w:val="00037D68"/>
    <w:rsid w:val="00040210"/>
    <w:rsid w:val="000403D2"/>
    <w:rsid w:val="000417E5"/>
    <w:rsid w:val="00041B1D"/>
    <w:rsid w:val="000420DE"/>
    <w:rsid w:val="00043313"/>
    <w:rsid w:val="00043645"/>
    <w:rsid w:val="00044492"/>
    <w:rsid w:val="000448E6"/>
    <w:rsid w:val="0004561E"/>
    <w:rsid w:val="00046D78"/>
    <w:rsid w:val="00046E24"/>
    <w:rsid w:val="00047170"/>
    <w:rsid w:val="00047369"/>
    <w:rsid w:val="000474F2"/>
    <w:rsid w:val="000510F0"/>
    <w:rsid w:val="000524C3"/>
    <w:rsid w:val="00052B1E"/>
    <w:rsid w:val="00055507"/>
    <w:rsid w:val="00055F2B"/>
    <w:rsid w:val="00060BF5"/>
    <w:rsid w:val="00060DCB"/>
    <w:rsid w:val="0006144C"/>
    <w:rsid w:val="000622EA"/>
    <w:rsid w:val="00062CCA"/>
    <w:rsid w:val="00063210"/>
    <w:rsid w:val="000635F1"/>
    <w:rsid w:val="00063D9B"/>
    <w:rsid w:val="00064576"/>
    <w:rsid w:val="00066367"/>
    <w:rsid w:val="00066F6A"/>
    <w:rsid w:val="0007066D"/>
    <w:rsid w:val="00070977"/>
    <w:rsid w:val="00071761"/>
    <w:rsid w:val="00071B4C"/>
    <w:rsid w:val="00072B06"/>
    <w:rsid w:val="00072ED8"/>
    <w:rsid w:val="000740C6"/>
    <w:rsid w:val="00074EF5"/>
    <w:rsid w:val="000810F2"/>
    <w:rsid w:val="000812D4"/>
    <w:rsid w:val="00082312"/>
    <w:rsid w:val="00083C32"/>
    <w:rsid w:val="0008427A"/>
    <w:rsid w:val="0008437F"/>
    <w:rsid w:val="00084F72"/>
    <w:rsid w:val="000874BF"/>
    <w:rsid w:val="00087790"/>
    <w:rsid w:val="000906B4"/>
    <w:rsid w:val="00091575"/>
    <w:rsid w:val="00093D28"/>
    <w:rsid w:val="000944B0"/>
    <w:rsid w:val="00095165"/>
    <w:rsid w:val="00095818"/>
    <w:rsid w:val="00095A73"/>
    <w:rsid w:val="00095BFC"/>
    <w:rsid w:val="000960CC"/>
    <w:rsid w:val="0009641C"/>
    <w:rsid w:val="00096BA4"/>
    <w:rsid w:val="000974A7"/>
    <w:rsid w:val="000A06CE"/>
    <w:rsid w:val="000A1E61"/>
    <w:rsid w:val="000A24EC"/>
    <w:rsid w:val="000A2637"/>
    <w:rsid w:val="000A475F"/>
    <w:rsid w:val="000A4859"/>
    <w:rsid w:val="000A55A5"/>
    <w:rsid w:val="000A5DCB"/>
    <w:rsid w:val="000A6A09"/>
    <w:rsid w:val="000A6AF2"/>
    <w:rsid w:val="000A7D9C"/>
    <w:rsid w:val="000B16DC"/>
    <w:rsid w:val="000B1C99"/>
    <w:rsid w:val="000B252E"/>
    <w:rsid w:val="000B3404"/>
    <w:rsid w:val="000B3646"/>
    <w:rsid w:val="000B4951"/>
    <w:rsid w:val="000B49B6"/>
    <w:rsid w:val="000B4A58"/>
    <w:rsid w:val="000B5344"/>
    <w:rsid w:val="000B6E31"/>
    <w:rsid w:val="000C01FC"/>
    <w:rsid w:val="000C2189"/>
    <w:rsid w:val="000C3210"/>
    <w:rsid w:val="000C5B62"/>
    <w:rsid w:val="000C5C11"/>
    <w:rsid w:val="000C687C"/>
    <w:rsid w:val="000C7090"/>
    <w:rsid w:val="000C7832"/>
    <w:rsid w:val="000C7850"/>
    <w:rsid w:val="000D2002"/>
    <w:rsid w:val="000D20E2"/>
    <w:rsid w:val="000D23D9"/>
    <w:rsid w:val="000D23EA"/>
    <w:rsid w:val="000D3570"/>
    <w:rsid w:val="000D6CF8"/>
    <w:rsid w:val="000D70D0"/>
    <w:rsid w:val="000D7538"/>
    <w:rsid w:val="000E0BBF"/>
    <w:rsid w:val="000E26DB"/>
    <w:rsid w:val="000E28C3"/>
    <w:rsid w:val="000E29CA"/>
    <w:rsid w:val="000E2EEC"/>
    <w:rsid w:val="000E305E"/>
    <w:rsid w:val="000E33C5"/>
    <w:rsid w:val="000E383A"/>
    <w:rsid w:val="000E3E25"/>
    <w:rsid w:val="000E491E"/>
    <w:rsid w:val="000E4960"/>
    <w:rsid w:val="000E4F36"/>
    <w:rsid w:val="000E576D"/>
    <w:rsid w:val="000E5948"/>
    <w:rsid w:val="000F2735"/>
    <w:rsid w:val="000F408D"/>
    <w:rsid w:val="000F4ADF"/>
    <w:rsid w:val="000F78E6"/>
    <w:rsid w:val="001002C3"/>
    <w:rsid w:val="00100D7C"/>
    <w:rsid w:val="00101416"/>
    <w:rsid w:val="00101528"/>
    <w:rsid w:val="001023CC"/>
    <w:rsid w:val="001033CB"/>
    <w:rsid w:val="00103718"/>
    <w:rsid w:val="001044F7"/>
    <w:rsid w:val="00104798"/>
    <w:rsid w:val="001047CB"/>
    <w:rsid w:val="001053AD"/>
    <w:rsid w:val="001058DF"/>
    <w:rsid w:val="00106DF1"/>
    <w:rsid w:val="001077A5"/>
    <w:rsid w:val="00111EB2"/>
    <w:rsid w:val="00113294"/>
    <w:rsid w:val="001137A3"/>
    <w:rsid w:val="00114B21"/>
    <w:rsid w:val="00116F6B"/>
    <w:rsid w:val="001229C3"/>
    <w:rsid w:val="00122B32"/>
    <w:rsid w:val="00123483"/>
    <w:rsid w:val="00126773"/>
    <w:rsid w:val="00127949"/>
    <w:rsid w:val="00127F78"/>
    <w:rsid w:val="00127FC1"/>
    <w:rsid w:val="0013046D"/>
    <w:rsid w:val="001315A1"/>
    <w:rsid w:val="001342C8"/>
    <w:rsid w:val="001343A6"/>
    <w:rsid w:val="0013531D"/>
    <w:rsid w:val="001359D9"/>
    <w:rsid w:val="001367EC"/>
    <w:rsid w:val="00136FBB"/>
    <w:rsid w:val="00137518"/>
    <w:rsid w:val="00146174"/>
    <w:rsid w:val="00146B1F"/>
    <w:rsid w:val="00146B2C"/>
    <w:rsid w:val="001470EB"/>
    <w:rsid w:val="00147781"/>
    <w:rsid w:val="00150851"/>
    <w:rsid w:val="001512C9"/>
    <w:rsid w:val="0015146A"/>
    <w:rsid w:val="00153598"/>
    <w:rsid w:val="00154977"/>
    <w:rsid w:val="001572E4"/>
    <w:rsid w:val="00157CD2"/>
    <w:rsid w:val="00157F2B"/>
    <w:rsid w:val="00160DF7"/>
    <w:rsid w:val="00161A81"/>
    <w:rsid w:val="00163506"/>
    <w:rsid w:val="00163A88"/>
    <w:rsid w:val="00164204"/>
    <w:rsid w:val="00166B7C"/>
    <w:rsid w:val="0016742C"/>
    <w:rsid w:val="001705CD"/>
    <w:rsid w:val="0017182C"/>
    <w:rsid w:val="00172D13"/>
    <w:rsid w:val="00173D1C"/>
    <w:rsid w:val="00173E0A"/>
    <w:rsid w:val="00176AE6"/>
    <w:rsid w:val="0017789F"/>
    <w:rsid w:val="00180311"/>
    <w:rsid w:val="00180BE6"/>
    <w:rsid w:val="001815FB"/>
    <w:rsid w:val="001818DD"/>
    <w:rsid w:val="00181D8C"/>
    <w:rsid w:val="00182B63"/>
    <w:rsid w:val="00183D77"/>
    <w:rsid w:val="001842C7"/>
    <w:rsid w:val="00185EA9"/>
    <w:rsid w:val="00186D86"/>
    <w:rsid w:val="0019262D"/>
    <w:rsid w:val="0019297A"/>
    <w:rsid w:val="001936EB"/>
    <w:rsid w:val="00193D6B"/>
    <w:rsid w:val="001A009E"/>
    <w:rsid w:val="001A25CE"/>
    <w:rsid w:val="001A2E92"/>
    <w:rsid w:val="001A351C"/>
    <w:rsid w:val="001A357F"/>
    <w:rsid w:val="001A3B6D"/>
    <w:rsid w:val="001A4343"/>
    <w:rsid w:val="001A4DCB"/>
    <w:rsid w:val="001A5277"/>
    <w:rsid w:val="001A7F1A"/>
    <w:rsid w:val="001B192E"/>
    <w:rsid w:val="001B218A"/>
    <w:rsid w:val="001B449A"/>
    <w:rsid w:val="001B55B1"/>
    <w:rsid w:val="001B6311"/>
    <w:rsid w:val="001B6AB3"/>
    <w:rsid w:val="001B6BC0"/>
    <w:rsid w:val="001C0A8D"/>
    <w:rsid w:val="001C2076"/>
    <w:rsid w:val="001C29CC"/>
    <w:rsid w:val="001C2ACB"/>
    <w:rsid w:val="001C547E"/>
    <w:rsid w:val="001C5EA9"/>
    <w:rsid w:val="001C5F0A"/>
    <w:rsid w:val="001D09C2"/>
    <w:rsid w:val="001D15FB"/>
    <w:rsid w:val="001D1F85"/>
    <w:rsid w:val="001D24B4"/>
    <w:rsid w:val="001D26BE"/>
    <w:rsid w:val="001D2A51"/>
    <w:rsid w:val="001D498D"/>
    <w:rsid w:val="001D4EF7"/>
    <w:rsid w:val="001D58E4"/>
    <w:rsid w:val="001D5FB8"/>
    <w:rsid w:val="001D6E27"/>
    <w:rsid w:val="001D73DF"/>
    <w:rsid w:val="001E034B"/>
    <w:rsid w:val="001E0780"/>
    <w:rsid w:val="001E1A01"/>
    <w:rsid w:val="001E2256"/>
    <w:rsid w:val="001E3A95"/>
    <w:rsid w:val="001E4694"/>
    <w:rsid w:val="001E5D92"/>
    <w:rsid w:val="001E5F27"/>
    <w:rsid w:val="001E68B1"/>
    <w:rsid w:val="001E76E2"/>
    <w:rsid w:val="001F2520"/>
    <w:rsid w:val="001F354C"/>
    <w:rsid w:val="001F3DB4"/>
    <w:rsid w:val="001F55E5"/>
    <w:rsid w:val="001F5A2B"/>
    <w:rsid w:val="001F69B6"/>
    <w:rsid w:val="001F6A63"/>
    <w:rsid w:val="001F6D21"/>
    <w:rsid w:val="001F7ACD"/>
    <w:rsid w:val="001F7D8A"/>
    <w:rsid w:val="0020034F"/>
    <w:rsid w:val="00200557"/>
    <w:rsid w:val="00201060"/>
    <w:rsid w:val="002012E6"/>
    <w:rsid w:val="002028D8"/>
    <w:rsid w:val="00203655"/>
    <w:rsid w:val="002037B2"/>
    <w:rsid w:val="00204282"/>
    <w:rsid w:val="00204E34"/>
    <w:rsid w:val="00205FD3"/>
    <w:rsid w:val="0020610F"/>
    <w:rsid w:val="002102DC"/>
    <w:rsid w:val="002119E2"/>
    <w:rsid w:val="002161AF"/>
    <w:rsid w:val="00217C8C"/>
    <w:rsid w:val="002208AF"/>
    <w:rsid w:val="0022149F"/>
    <w:rsid w:val="002222A8"/>
    <w:rsid w:val="002226CB"/>
    <w:rsid w:val="00222CED"/>
    <w:rsid w:val="00222FDE"/>
    <w:rsid w:val="00224478"/>
    <w:rsid w:val="002249FF"/>
    <w:rsid w:val="00225307"/>
    <w:rsid w:val="00226D3E"/>
    <w:rsid w:val="00231509"/>
    <w:rsid w:val="0023159E"/>
    <w:rsid w:val="00232A79"/>
    <w:rsid w:val="00233701"/>
    <w:rsid w:val="002337F1"/>
    <w:rsid w:val="00233D2A"/>
    <w:rsid w:val="00234406"/>
    <w:rsid w:val="00234574"/>
    <w:rsid w:val="00236990"/>
    <w:rsid w:val="002409EB"/>
    <w:rsid w:val="00240ADF"/>
    <w:rsid w:val="00241D06"/>
    <w:rsid w:val="002436E4"/>
    <w:rsid w:val="002439BC"/>
    <w:rsid w:val="00246DDE"/>
    <w:rsid w:val="00246F34"/>
    <w:rsid w:val="00247864"/>
    <w:rsid w:val="002502C9"/>
    <w:rsid w:val="00250F5F"/>
    <w:rsid w:val="00252A9D"/>
    <w:rsid w:val="00252D44"/>
    <w:rsid w:val="00253F25"/>
    <w:rsid w:val="00255C61"/>
    <w:rsid w:val="00256093"/>
    <w:rsid w:val="00256E0F"/>
    <w:rsid w:val="00257190"/>
    <w:rsid w:val="00260019"/>
    <w:rsid w:val="00260E18"/>
    <w:rsid w:val="002612B5"/>
    <w:rsid w:val="002616DB"/>
    <w:rsid w:val="00262143"/>
    <w:rsid w:val="00263163"/>
    <w:rsid w:val="00263A28"/>
    <w:rsid w:val="002644DC"/>
    <w:rsid w:val="002671A2"/>
    <w:rsid w:val="002703A0"/>
    <w:rsid w:val="00271C69"/>
    <w:rsid w:val="00271EAA"/>
    <w:rsid w:val="00272609"/>
    <w:rsid w:val="00273B6D"/>
    <w:rsid w:val="00275A74"/>
    <w:rsid w:val="00275CE9"/>
    <w:rsid w:val="00277052"/>
    <w:rsid w:val="002811AE"/>
    <w:rsid w:val="00281C20"/>
    <w:rsid w:val="0028276B"/>
    <w:rsid w:val="00283128"/>
    <w:rsid w:val="002850F5"/>
    <w:rsid w:val="00286DC1"/>
    <w:rsid w:val="00287065"/>
    <w:rsid w:val="00287C36"/>
    <w:rsid w:val="00290D70"/>
    <w:rsid w:val="002913AF"/>
    <w:rsid w:val="00292BCD"/>
    <w:rsid w:val="00293532"/>
    <w:rsid w:val="00293602"/>
    <w:rsid w:val="00293CAF"/>
    <w:rsid w:val="00293E9A"/>
    <w:rsid w:val="0029518E"/>
    <w:rsid w:val="002954CB"/>
    <w:rsid w:val="002960A4"/>
    <w:rsid w:val="002961BB"/>
    <w:rsid w:val="0029692F"/>
    <w:rsid w:val="002A03F7"/>
    <w:rsid w:val="002A3876"/>
    <w:rsid w:val="002A49B5"/>
    <w:rsid w:val="002A6F4D"/>
    <w:rsid w:val="002A756E"/>
    <w:rsid w:val="002B05F3"/>
    <w:rsid w:val="002B1A6D"/>
    <w:rsid w:val="002B2682"/>
    <w:rsid w:val="002B3F26"/>
    <w:rsid w:val="002B4427"/>
    <w:rsid w:val="002B4746"/>
    <w:rsid w:val="002B4B14"/>
    <w:rsid w:val="002B58FC"/>
    <w:rsid w:val="002B7C9E"/>
    <w:rsid w:val="002C369E"/>
    <w:rsid w:val="002C5DB3"/>
    <w:rsid w:val="002C63A8"/>
    <w:rsid w:val="002D09CB"/>
    <w:rsid w:val="002D110D"/>
    <w:rsid w:val="002D26EA"/>
    <w:rsid w:val="002D2A42"/>
    <w:rsid w:val="002D2FE5"/>
    <w:rsid w:val="002D34F9"/>
    <w:rsid w:val="002D46D5"/>
    <w:rsid w:val="002D7B14"/>
    <w:rsid w:val="002D7B85"/>
    <w:rsid w:val="002D7CB9"/>
    <w:rsid w:val="002E0F5E"/>
    <w:rsid w:val="002E144D"/>
    <w:rsid w:val="002E5F9F"/>
    <w:rsid w:val="002F17F0"/>
    <w:rsid w:val="002F1F6E"/>
    <w:rsid w:val="002F2F41"/>
    <w:rsid w:val="002F4165"/>
    <w:rsid w:val="002F41DC"/>
    <w:rsid w:val="002F43A0"/>
    <w:rsid w:val="002F67E7"/>
    <w:rsid w:val="002F696A"/>
    <w:rsid w:val="002F7566"/>
    <w:rsid w:val="003003EC"/>
    <w:rsid w:val="00300CCB"/>
    <w:rsid w:val="003035C1"/>
    <w:rsid w:val="00303D53"/>
    <w:rsid w:val="0030498E"/>
    <w:rsid w:val="003055AC"/>
    <w:rsid w:val="0030572A"/>
    <w:rsid w:val="00305E3D"/>
    <w:rsid w:val="00306426"/>
    <w:rsid w:val="003068E0"/>
    <w:rsid w:val="0030785A"/>
    <w:rsid w:val="003078C4"/>
    <w:rsid w:val="00307F57"/>
    <w:rsid w:val="0031143F"/>
    <w:rsid w:val="0031145D"/>
    <w:rsid w:val="00311A51"/>
    <w:rsid w:val="003130E6"/>
    <w:rsid w:val="00313F51"/>
    <w:rsid w:val="00314266"/>
    <w:rsid w:val="00315B62"/>
    <w:rsid w:val="00316961"/>
    <w:rsid w:val="003179E8"/>
    <w:rsid w:val="0032059A"/>
    <w:rsid w:val="0032063D"/>
    <w:rsid w:val="00321046"/>
    <w:rsid w:val="00322D71"/>
    <w:rsid w:val="00323F49"/>
    <w:rsid w:val="00325C40"/>
    <w:rsid w:val="003311FF"/>
    <w:rsid w:val="00331203"/>
    <w:rsid w:val="00331B60"/>
    <w:rsid w:val="00331C3B"/>
    <w:rsid w:val="00334E5E"/>
    <w:rsid w:val="00335E6A"/>
    <w:rsid w:val="00335FEE"/>
    <w:rsid w:val="00336345"/>
    <w:rsid w:val="003370C7"/>
    <w:rsid w:val="00337444"/>
    <w:rsid w:val="00340658"/>
    <w:rsid w:val="003411EA"/>
    <w:rsid w:val="00342134"/>
    <w:rsid w:val="00342765"/>
    <w:rsid w:val="00342AC8"/>
    <w:rsid w:val="00342E3D"/>
    <w:rsid w:val="0034336E"/>
    <w:rsid w:val="00344AD0"/>
    <w:rsid w:val="00345289"/>
    <w:rsid w:val="0034583F"/>
    <w:rsid w:val="003462AD"/>
    <w:rsid w:val="003478D2"/>
    <w:rsid w:val="00347EC1"/>
    <w:rsid w:val="00347F75"/>
    <w:rsid w:val="00350399"/>
    <w:rsid w:val="00352F94"/>
    <w:rsid w:val="0035343E"/>
    <w:rsid w:val="003535EE"/>
    <w:rsid w:val="00353DD0"/>
    <w:rsid w:val="00357015"/>
    <w:rsid w:val="003574D1"/>
    <w:rsid w:val="00357E5C"/>
    <w:rsid w:val="003609BD"/>
    <w:rsid w:val="003612F2"/>
    <w:rsid w:val="00362AE6"/>
    <w:rsid w:val="0036387D"/>
    <w:rsid w:val="00363DDD"/>
    <w:rsid w:val="003646D5"/>
    <w:rsid w:val="003659ED"/>
    <w:rsid w:val="003700C0"/>
    <w:rsid w:val="003726CF"/>
    <w:rsid w:val="00372EF0"/>
    <w:rsid w:val="0037446D"/>
    <w:rsid w:val="003747C6"/>
    <w:rsid w:val="00374C37"/>
    <w:rsid w:val="00374D1F"/>
    <w:rsid w:val="00375B2E"/>
    <w:rsid w:val="00377D1F"/>
    <w:rsid w:val="0038190B"/>
    <w:rsid w:val="00381D64"/>
    <w:rsid w:val="00382D80"/>
    <w:rsid w:val="00385097"/>
    <w:rsid w:val="003860D3"/>
    <w:rsid w:val="00386260"/>
    <w:rsid w:val="00391A6F"/>
    <w:rsid w:val="00391C6F"/>
    <w:rsid w:val="00392ED5"/>
    <w:rsid w:val="0039312A"/>
    <w:rsid w:val="0039369D"/>
    <w:rsid w:val="003943C7"/>
    <w:rsid w:val="00396646"/>
    <w:rsid w:val="00396B0E"/>
    <w:rsid w:val="003A0664"/>
    <w:rsid w:val="003A0BE7"/>
    <w:rsid w:val="003A160E"/>
    <w:rsid w:val="003A2A58"/>
    <w:rsid w:val="003A4218"/>
    <w:rsid w:val="003A7198"/>
    <w:rsid w:val="003A779F"/>
    <w:rsid w:val="003A7823"/>
    <w:rsid w:val="003A7895"/>
    <w:rsid w:val="003A7A6C"/>
    <w:rsid w:val="003B01DB"/>
    <w:rsid w:val="003B0397"/>
    <w:rsid w:val="003B0D05"/>
    <w:rsid w:val="003B0F80"/>
    <w:rsid w:val="003B16FD"/>
    <w:rsid w:val="003B1DB6"/>
    <w:rsid w:val="003B225E"/>
    <w:rsid w:val="003B28A7"/>
    <w:rsid w:val="003B2C7A"/>
    <w:rsid w:val="003B2F82"/>
    <w:rsid w:val="003B31A1"/>
    <w:rsid w:val="003B4B9B"/>
    <w:rsid w:val="003B587F"/>
    <w:rsid w:val="003B654D"/>
    <w:rsid w:val="003B7B02"/>
    <w:rsid w:val="003B7D76"/>
    <w:rsid w:val="003C0702"/>
    <w:rsid w:val="003C09F0"/>
    <w:rsid w:val="003C1D6E"/>
    <w:rsid w:val="003C2A59"/>
    <w:rsid w:val="003C403C"/>
    <w:rsid w:val="003C50A2"/>
    <w:rsid w:val="003C58AC"/>
    <w:rsid w:val="003C6C4D"/>
    <w:rsid w:val="003C6DE9"/>
    <w:rsid w:val="003C6EDF"/>
    <w:rsid w:val="003D0180"/>
    <w:rsid w:val="003D0574"/>
    <w:rsid w:val="003D0740"/>
    <w:rsid w:val="003D4AAE"/>
    <w:rsid w:val="003D4C75"/>
    <w:rsid w:val="003D63CA"/>
    <w:rsid w:val="003D649F"/>
    <w:rsid w:val="003D7254"/>
    <w:rsid w:val="003E0653"/>
    <w:rsid w:val="003E0D7A"/>
    <w:rsid w:val="003E273C"/>
    <w:rsid w:val="003E2822"/>
    <w:rsid w:val="003E2DF5"/>
    <w:rsid w:val="003E3090"/>
    <w:rsid w:val="003E3B1B"/>
    <w:rsid w:val="003E450B"/>
    <w:rsid w:val="003E6554"/>
    <w:rsid w:val="003E6700"/>
    <w:rsid w:val="003E6B00"/>
    <w:rsid w:val="003E7D34"/>
    <w:rsid w:val="003E7FDB"/>
    <w:rsid w:val="003F002E"/>
    <w:rsid w:val="003F06EE"/>
    <w:rsid w:val="003F14BB"/>
    <w:rsid w:val="003F177C"/>
    <w:rsid w:val="003F17D1"/>
    <w:rsid w:val="003F2CBE"/>
    <w:rsid w:val="003F36AF"/>
    <w:rsid w:val="003F3992"/>
    <w:rsid w:val="003F3D04"/>
    <w:rsid w:val="003F4499"/>
    <w:rsid w:val="003F4912"/>
    <w:rsid w:val="003F5904"/>
    <w:rsid w:val="003F5A44"/>
    <w:rsid w:val="003F7120"/>
    <w:rsid w:val="003F7995"/>
    <w:rsid w:val="003F7EFE"/>
    <w:rsid w:val="0040058B"/>
    <w:rsid w:val="004005F0"/>
    <w:rsid w:val="00400618"/>
    <w:rsid w:val="0040136F"/>
    <w:rsid w:val="00401775"/>
    <w:rsid w:val="004019DE"/>
    <w:rsid w:val="004026DB"/>
    <w:rsid w:val="00402CEB"/>
    <w:rsid w:val="00403645"/>
    <w:rsid w:val="004047E0"/>
    <w:rsid w:val="00404FE0"/>
    <w:rsid w:val="00406E85"/>
    <w:rsid w:val="00407602"/>
    <w:rsid w:val="00410C20"/>
    <w:rsid w:val="004110BA"/>
    <w:rsid w:val="00411829"/>
    <w:rsid w:val="00412995"/>
    <w:rsid w:val="004131C7"/>
    <w:rsid w:val="00413449"/>
    <w:rsid w:val="00416A4F"/>
    <w:rsid w:val="004179BD"/>
    <w:rsid w:val="004207F3"/>
    <w:rsid w:val="0042088E"/>
    <w:rsid w:val="004211C2"/>
    <w:rsid w:val="00421270"/>
    <w:rsid w:val="00423AC4"/>
    <w:rsid w:val="004245D0"/>
    <w:rsid w:val="00424620"/>
    <w:rsid w:val="004259ED"/>
    <w:rsid w:val="00425C4E"/>
    <w:rsid w:val="004273E7"/>
    <w:rsid w:val="0042766D"/>
    <w:rsid w:val="0043231E"/>
    <w:rsid w:val="004327BB"/>
    <w:rsid w:val="00433064"/>
    <w:rsid w:val="00434BC7"/>
    <w:rsid w:val="00434EAA"/>
    <w:rsid w:val="00435130"/>
    <w:rsid w:val="00435893"/>
    <w:rsid w:val="00435AC4"/>
    <w:rsid w:val="0043621D"/>
    <w:rsid w:val="004378AF"/>
    <w:rsid w:val="00437C7A"/>
    <w:rsid w:val="0044067A"/>
    <w:rsid w:val="00440811"/>
    <w:rsid w:val="00440A55"/>
    <w:rsid w:val="00441176"/>
    <w:rsid w:val="00441BB2"/>
    <w:rsid w:val="0044269E"/>
    <w:rsid w:val="00442D10"/>
    <w:rsid w:val="00442F3F"/>
    <w:rsid w:val="00443ADD"/>
    <w:rsid w:val="0044451A"/>
    <w:rsid w:val="00444526"/>
    <w:rsid w:val="00444785"/>
    <w:rsid w:val="00446F27"/>
    <w:rsid w:val="004476AE"/>
    <w:rsid w:val="00447C31"/>
    <w:rsid w:val="004510ED"/>
    <w:rsid w:val="00452DCB"/>
    <w:rsid w:val="00453313"/>
    <w:rsid w:val="004536AA"/>
    <w:rsid w:val="0045398D"/>
    <w:rsid w:val="00454039"/>
    <w:rsid w:val="004548A8"/>
    <w:rsid w:val="00455046"/>
    <w:rsid w:val="00455F78"/>
    <w:rsid w:val="00456074"/>
    <w:rsid w:val="0045638E"/>
    <w:rsid w:val="00456465"/>
    <w:rsid w:val="004567C8"/>
    <w:rsid w:val="0045786F"/>
    <w:rsid w:val="0046076C"/>
    <w:rsid w:val="00460A67"/>
    <w:rsid w:val="00460DDF"/>
    <w:rsid w:val="004614FB"/>
    <w:rsid w:val="00461D78"/>
    <w:rsid w:val="00462B21"/>
    <w:rsid w:val="00465AC8"/>
    <w:rsid w:val="00466570"/>
    <w:rsid w:val="00467DCE"/>
    <w:rsid w:val="00471667"/>
    <w:rsid w:val="00472639"/>
    <w:rsid w:val="00472DD2"/>
    <w:rsid w:val="00473B72"/>
    <w:rsid w:val="00475017"/>
    <w:rsid w:val="00475609"/>
    <w:rsid w:val="00476DCA"/>
    <w:rsid w:val="00477B0C"/>
    <w:rsid w:val="00477D9F"/>
    <w:rsid w:val="00480712"/>
    <w:rsid w:val="00480A8E"/>
    <w:rsid w:val="00480C37"/>
    <w:rsid w:val="00481D21"/>
    <w:rsid w:val="00481FA3"/>
    <w:rsid w:val="0048278B"/>
    <w:rsid w:val="004832D9"/>
    <w:rsid w:val="00485FD3"/>
    <w:rsid w:val="0048746A"/>
    <w:rsid w:val="004875BE"/>
    <w:rsid w:val="00487D5F"/>
    <w:rsid w:val="00487F80"/>
    <w:rsid w:val="00491D7C"/>
    <w:rsid w:val="0049332E"/>
    <w:rsid w:val="00493CB5"/>
    <w:rsid w:val="00493ED5"/>
    <w:rsid w:val="00494267"/>
    <w:rsid w:val="00494CC8"/>
    <w:rsid w:val="0049608F"/>
    <w:rsid w:val="00496770"/>
    <w:rsid w:val="00496A37"/>
    <w:rsid w:val="00497D33"/>
    <w:rsid w:val="004A1158"/>
    <w:rsid w:val="004A14B3"/>
    <w:rsid w:val="004A1B3B"/>
    <w:rsid w:val="004A1E58"/>
    <w:rsid w:val="004A2333"/>
    <w:rsid w:val="004A26E1"/>
    <w:rsid w:val="004A2A9F"/>
    <w:rsid w:val="004A2F56"/>
    <w:rsid w:val="004A2FDC"/>
    <w:rsid w:val="004A3D43"/>
    <w:rsid w:val="004A48BF"/>
    <w:rsid w:val="004A597D"/>
    <w:rsid w:val="004A77AC"/>
    <w:rsid w:val="004A78AA"/>
    <w:rsid w:val="004A7A5C"/>
    <w:rsid w:val="004B0E9D"/>
    <w:rsid w:val="004B1A00"/>
    <w:rsid w:val="004B3AA2"/>
    <w:rsid w:val="004B3C29"/>
    <w:rsid w:val="004B3C9E"/>
    <w:rsid w:val="004B4BBA"/>
    <w:rsid w:val="004B5A26"/>
    <w:rsid w:val="004B5B98"/>
    <w:rsid w:val="004B64DA"/>
    <w:rsid w:val="004B6FBC"/>
    <w:rsid w:val="004B783A"/>
    <w:rsid w:val="004B7981"/>
    <w:rsid w:val="004C22B9"/>
    <w:rsid w:val="004C2A16"/>
    <w:rsid w:val="004C4494"/>
    <w:rsid w:val="004C4BF5"/>
    <w:rsid w:val="004C724A"/>
    <w:rsid w:val="004D1582"/>
    <w:rsid w:val="004D2093"/>
    <w:rsid w:val="004D4557"/>
    <w:rsid w:val="004D4FFC"/>
    <w:rsid w:val="004D53B8"/>
    <w:rsid w:val="004D58B9"/>
    <w:rsid w:val="004D63AA"/>
    <w:rsid w:val="004E1CE7"/>
    <w:rsid w:val="004E2567"/>
    <w:rsid w:val="004E2568"/>
    <w:rsid w:val="004E288E"/>
    <w:rsid w:val="004E2F3C"/>
    <w:rsid w:val="004E3576"/>
    <w:rsid w:val="004E5726"/>
    <w:rsid w:val="004E64D6"/>
    <w:rsid w:val="004E6BBA"/>
    <w:rsid w:val="004F020B"/>
    <w:rsid w:val="004F1050"/>
    <w:rsid w:val="004F25B3"/>
    <w:rsid w:val="004F4613"/>
    <w:rsid w:val="004F46D2"/>
    <w:rsid w:val="004F5466"/>
    <w:rsid w:val="004F5860"/>
    <w:rsid w:val="004F61BE"/>
    <w:rsid w:val="004F6688"/>
    <w:rsid w:val="005005B3"/>
    <w:rsid w:val="00501495"/>
    <w:rsid w:val="00501668"/>
    <w:rsid w:val="00503AE3"/>
    <w:rsid w:val="00505D2A"/>
    <w:rsid w:val="0050662E"/>
    <w:rsid w:val="005075D9"/>
    <w:rsid w:val="00512972"/>
    <w:rsid w:val="005134ED"/>
    <w:rsid w:val="0051438D"/>
    <w:rsid w:val="00515082"/>
    <w:rsid w:val="005152C0"/>
    <w:rsid w:val="00515835"/>
    <w:rsid w:val="00515874"/>
    <w:rsid w:val="00515E14"/>
    <w:rsid w:val="005171DC"/>
    <w:rsid w:val="005203D1"/>
    <w:rsid w:val="0052097D"/>
    <w:rsid w:val="005218EE"/>
    <w:rsid w:val="00521A97"/>
    <w:rsid w:val="005228E1"/>
    <w:rsid w:val="00523EEA"/>
    <w:rsid w:val="00524CBC"/>
    <w:rsid w:val="005259D1"/>
    <w:rsid w:val="00526158"/>
    <w:rsid w:val="005264E1"/>
    <w:rsid w:val="0052702E"/>
    <w:rsid w:val="005271DC"/>
    <w:rsid w:val="00527379"/>
    <w:rsid w:val="0053036A"/>
    <w:rsid w:val="00531AF6"/>
    <w:rsid w:val="005337EA"/>
    <w:rsid w:val="0053499F"/>
    <w:rsid w:val="00534CF8"/>
    <w:rsid w:val="00536237"/>
    <w:rsid w:val="00537753"/>
    <w:rsid w:val="005408F2"/>
    <w:rsid w:val="00543739"/>
    <w:rsid w:val="0054378B"/>
    <w:rsid w:val="00544938"/>
    <w:rsid w:val="005452BD"/>
    <w:rsid w:val="005474CA"/>
    <w:rsid w:val="005479CC"/>
    <w:rsid w:val="00547C35"/>
    <w:rsid w:val="00550E63"/>
    <w:rsid w:val="00551537"/>
    <w:rsid w:val="00552595"/>
    <w:rsid w:val="00552735"/>
    <w:rsid w:val="00552FFB"/>
    <w:rsid w:val="00553EA6"/>
    <w:rsid w:val="0055483E"/>
    <w:rsid w:val="00554A33"/>
    <w:rsid w:val="005554A0"/>
    <w:rsid w:val="00556E6F"/>
    <w:rsid w:val="00560BA2"/>
    <w:rsid w:val="00560D58"/>
    <w:rsid w:val="005610C3"/>
    <w:rsid w:val="00562392"/>
    <w:rsid w:val="0056302F"/>
    <w:rsid w:val="00564EA7"/>
    <w:rsid w:val="00565576"/>
    <w:rsid w:val="005658C2"/>
    <w:rsid w:val="0056612E"/>
    <w:rsid w:val="00566BD7"/>
    <w:rsid w:val="00567644"/>
    <w:rsid w:val="00567CF2"/>
    <w:rsid w:val="00570680"/>
    <w:rsid w:val="00570F1D"/>
    <w:rsid w:val="005710D7"/>
    <w:rsid w:val="005713E7"/>
    <w:rsid w:val="00571A46"/>
    <w:rsid w:val="00571A64"/>
    <w:rsid w:val="0057423C"/>
    <w:rsid w:val="00574382"/>
    <w:rsid w:val="005755D1"/>
    <w:rsid w:val="00575646"/>
    <w:rsid w:val="005762B0"/>
    <w:rsid w:val="005768D1"/>
    <w:rsid w:val="00576B83"/>
    <w:rsid w:val="00577DAD"/>
    <w:rsid w:val="005803CE"/>
    <w:rsid w:val="0058135C"/>
    <w:rsid w:val="005834F0"/>
    <w:rsid w:val="00583EE5"/>
    <w:rsid w:val="005840DF"/>
    <w:rsid w:val="00585422"/>
    <w:rsid w:val="005859BF"/>
    <w:rsid w:val="00586369"/>
    <w:rsid w:val="0058692E"/>
    <w:rsid w:val="00587DFD"/>
    <w:rsid w:val="0059076B"/>
    <w:rsid w:val="0059185F"/>
    <w:rsid w:val="00591877"/>
    <w:rsid w:val="0059278C"/>
    <w:rsid w:val="0059335D"/>
    <w:rsid w:val="005939E0"/>
    <w:rsid w:val="00594070"/>
    <w:rsid w:val="00595096"/>
    <w:rsid w:val="00595351"/>
    <w:rsid w:val="005968F8"/>
    <w:rsid w:val="00596BB3"/>
    <w:rsid w:val="00597078"/>
    <w:rsid w:val="005A06DE"/>
    <w:rsid w:val="005A15D1"/>
    <w:rsid w:val="005A3B55"/>
    <w:rsid w:val="005A44C7"/>
    <w:rsid w:val="005A4EE0"/>
    <w:rsid w:val="005A5916"/>
    <w:rsid w:val="005B146E"/>
    <w:rsid w:val="005B14CA"/>
    <w:rsid w:val="005B3059"/>
    <w:rsid w:val="005B75E3"/>
    <w:rsid w:val="005B7A3D"/>
    <w:rsid w:val="005C083F"/>
    <w:rsid w:val="005C0F3F"/>
    <w:rsid w:val="005C1F1B"/>
    <w:rsid w:val="005C274C"/>
    <w:rsid w:val="005C28C5"/>
    <w:rsid w:val="005C2E30"/>
    <w:rsid w:val="005C3189"/>
    <w:rsid w:val="005C4167"/>
    <w:rsid w:val="005C50B7"/>
    <w:rsid w:val="005C674C"/>
    <w:rsid w:val="005C6942"/>
    <w:rsid w:val="005C6E97"/>
    <w:rsid w:val="005D045C"/>
    <w:rsid w:val="005D0CDB"/>
    <w:rsid w:val="005D0D99"/>
    <w:rsid w:val="005D1B78"/>
    <w:rsid w:val="005D3C48"/>
    <w:rsid w:val="005D3E45"/>
    <w:rsid w:val="005D425A"/>
    <w:rsid w:val="005D47C0"/>
    <w:rsid w:val="005D590B"/>
    <w:rsid w:val="005E077A"/>
    <w:rsid w:val="005E0ECD"/>
    <w:rsid w:val="005E14CB"/>
    <w:rsid w:val="005E1D1F"/>
    <w:rsid w:val="005E2527"/>
    <w:rsid w:val="005E252D"/>
    <w:rsid w:val="005E2E56"/>
    <w:rsid w:val="005E30E5"/>
    <w:rsid w:val="005E3659"/>
    <w:rsid w:val="005E5186"/>
    <w:rsid w:val="005E6313"/>
    <w:rsid w:val="005E6825"/>
    <w:rsid w:val="005E6EAF"/>
    <w:rsid w:val="005E72E5"/>
    <w:rsid w:val="005E7345"/>
    <w:rsid w:val="005E749D"/>
    <w:rsid w:val="005F045C"/>
    <w:rsid w:val="005F2291"/>
    <w:rsid w:val="005F2332"/>
    <w:rsid w:val="005F2A4A"/>
    <w:rsid w:val="005F3317"/>
    <w:rsid w:val="005F55A7"/>
    <w:rsid w:val="005F56A8"/>
    <w:rsid w:val="005F58E5"/>
    <w:rsid w:val="006004F4"/>
    <w:rsid w:val="006030AB"/>
    <w:rsid w:val="00603290"/>
    <w:rsid w:val="00604589"/>
    <w:rsid w:val="006078A6"/>
    <w:rsid w:val="006119EE"/>
    <w:rsid w:val="00612BA6"/>
    <w:rsid w:val="00612E50"/>
    <w:rsid w:val="006136A8"/>
    <w:rsid w:val="00616696"/>
    <w:rsid w:val="00616C21"/>
    <w:rsid w:val="006202FF"/>
    <w:rsid w:val="006236B5"/>
    <w:rsid w:val="00624100"/>
    <w:rsid w:val="006253B7"/>
    <w:rsid w:val="00625869"/>
    <w:rsid w:val="00626932"/>
    <w:rsid w:val="00630FD3"/>
    <w:rsid w:val="006314BE"/>
    <w:rsid w:val="006320A3"/>
    <w:rsid w:val="00632509"/>
    <w:rsid w:val="00632774"/>
    <w:rsid w:val="006332CF"/>
    <w:rsid w:val="00633384"/>
    <w:rsid w:val="006364B0"/>
    <w:rsid w:val="006365C6"/>
    <w:rsid w:val="0063794C"/>
    <w:rsid w:val="00637EF3"/>
    <w:rsid w:val="00641563"/>
    <w:rsid w:val="00641C0A"/>
    <w:rsid w:val="00643F71"/>
    <w:rsid w:val="00646AED"/>
    <w:rsid w:val="006473C1"/>
    <w:rsid w:val="00651669"/>
    <w:rsid w:val="00651FCE"/>
    <w:rsid w:val="00652051"/>
    <w:rsid w:val="006522E1"/>
    <w:rsid w:val="006529AB"/>
    <w:rsid w:val="0065354E"/>
    <w:rsid w:val="00653B86"/>
    <w:rsid w:val="006564B9"/>
    <w:rsid w:val="00656C84"/>
    <w:rsid w:val="006570FC"/>
    <w:rsid w:val="00657A4A"/>
    <w:rsid w:val="00660E96"/>
    <w:rsid w:val="00664E38"/>
    <w:rsid w:val="00665E4E"/>
    <w:rsid w:val="00671280"/>
    <w:rsid w:val="00671AC6"/>
    <w:rsid w:val="0067435F"/>
    <w:rsid w:val="0067490A"/>
    <w:rsid w:val="006767AF"/>
    <w:rsid w:val="006769E4"/>
    <w:rsid w:val="0067748A"/>
    <w:rsid w:val="00677745"/>
    <w:rsid w:val="00680067"/>
    <w:rsid w:val="00680887"/>
    <w:rsid w:val="006809EE"/>
    <w:rsid w:val="00681405"/>
    <w:rsid w:val="0068149A"/>
    <w:rsid w:val="006822A7"/>
    <w:rsid w:val="00682FD8"/>
    <w:rsid w:val="00682FEB"/>
    <w:rsid w:val="00684403"/>
    <w:rsid w:val="0068447C"/>
    <w:rsid w:val="006847AA"/>
    <w:rsid w:val="00685233"/>
    <w:rsid w:val="006855FC"/>
    <w:rsid w:val="0068569C"/>
    <w:rsid w:val="006864A4"/>
    <w:rsid w:val="00686958"/>
    <w:rsid w:val="00687A2B"/>
    <w:rsid w:val="00687B65"/>
    <w:rsid w:val="006900AC"/>
    <w:rsid w:val="00692F6D"/>
    <w:rsid w:val="006930CF"/>
    <w:rsid w:val="00693C2C"/>
    <w:rsid w:val="00693C2F"/>
    <w:rsid w:val="00694F6F"/>
    <w:rsid w:val="00695489"/>
    <w:rsid w:val="00695A53"/>
    <w:rsid w:val="00695EFA"/>
    <w:rsid w:val="006962EB"/>
    <w:rsid w:val="006963D4"/>
    <w:rsid w:val="006A02CE"/>
    <w:rsid w:val="006A08D6"/>
    <w:rsid w:val="006A0938"/>
    <w:rsid w:val="006A1D86"/>
    <w:rsid w:val="006A2522"/>
    <w:rsid w:val="006A3D44"/>
    <w:rsid w:val="006A45A3"/>
    <w:rsid w:val="006B0789"/>
    <w:rsid w:val="006B0DBC"/>
    <w:rsid w:val="006B1000"/>
    <w:rsid w:val="006B13F4"/>
    <w:rsid w:val="006B28C6"/>
    <w:rsid w:val="006B327B"/>
    <w:rsid w:val="006B33DE"/>
    <w:rsid w:val="006B5123"/>
    <w:rsid w:val="006B527C"/>
    <w:rsid w:val="006C02F6"/>
    <w:rsid w:val="006C08D3"/>
    <w:rsid w:val="006C265F"/>
    <w:rsid w:val="006C332F"/>
    <w:rsid w:val="006C37C8"/>
    <w:rsid w:val="006C3D19"/>
    <w:rsid w:val="006C5348"/>
    <w:rsid w:val="006C552F"/>
    <w:rsid w:val="006C6511"/>
    <w:rsid w:val="006C79EA"/>
    <w:rsid w:val="006C7AAC"/>
    <w:rsid w:val="006D07E0"/>
    <w:rsid w:val="006D1547"/>
    <w:rsid w:val="006D1810"/>
    <w:rsid w:val="006D3568"/>
    <w:rsid w:val="006D39B7"/>
    <w:rsid w:val="006D526F"/>
    <w:rsid w:val="006D595D"/>
    <w:rsid w:val="006D6841"/>
    <w:rsid w:val="006D6A59"/>
    <w:rsid w:val="006D703A"/>
    <w:rsid w:val="006D756E"/>
    <w:rsid w:val="006E2568"/>
    <w:rsid w:val="006E272E"/>
    <w:rsid w:val="006E2BB0"/>
    <w:rsid w:val="006E5B88"/>
    <w:rsid w:val="006E6368"/>
    <w:rsid w:val="006F0550"/>
    <w:rsid w:val="006F1291"/>
    <w:rsid w:val="006F2595"/>
    <w:rsid w:val="006F4DE2"/>
    <w:rsid w:val="006F516C"/>
    <w:rsid w:val="006F64DA"/>
    <w:rsid w:val="006F6520"/>
    <w:rsid w:val="006F7592"/>
    <w:rsid w:val="006F7AA4"/>
    <w:rsid w:val="00700091"/>
    <w:rsid w:val="00700158"/>
    <w:rsid w:val="007017CB"/>
    <w:rsid w:val="00702F8D"/>
    <w:rsid w:val="007031DE"/>
    <w:rsid w:val="007036F5"/>
    <w:rsid w:val="00704185"/>
    <w:rsid w:val="00704F95"/>
    <w:rsid w:val="007050FA"/>
    <w:rsid w:val="00706B20"/>
    <w:rsid w:val="00707652"/>
    <w:rsid w:val="00710C8D"/>
    <w:rsid w:val="0071124B"/>
    <w:rsid w:val="007123AC"/>
    <w:rsid w:val="00715DE2"/>
    <w:rsid w:val="00716D6A"/>
    <w:rsid w:val="007174DD"/>
    <w:rsid w:val="00717B2A"/>
    <w:rsid w:val="007215E1"/>
    <w:rsid w:val="0072384C"/>
    <w:rsid w:val="00723CF1"/>
    <w:rsid w:val="00724FB0"/>
    <w:rsid w:val="00726000"/>
    <w:rsid w:val="00726FD8"/>
    <w:rsid w:val="00730107"/>
    <w:rsid w:val="00730EBF"/>
    <w:rsid w:val="00730FA7"/>
    <w:rsid w:val="00731216"/>
    <w:rsid w:val="0073336A"/>
    <w:rsid w:val="0073456C"/>
    <w:rsid w:val="00736191"/>
    <w:rsid w:val="00736780"/>
    <w:rsid w:val="00737580"/>
    <w:rsid w:val="00740EDD"/>
    <w:rsid w:val="007421C8"/>
    <w:rsid w:val="00743755"/>
    <w:rsid w:val="00744088"/>
    <w:rsid w:val="00744A6F"/>
    <w:rsid w:val="0074503E"/>
    <w:rsid w:val="00745198"/>
    <w:rsid w:val="00746C7F"/>
    <w:rsid w:val="00747C76"/>
    <w:rsid w:val="00750265"/>
    <w:rsid w:val="00751800"/>
    <w:rsid w:val="007529B2"/>
    <w:rsid w:val="007533DF"/>
    <w:rsid w:val="00753ABC"/>
    <w:rsid w:val="00754191"/>
    <w:rsid w:val="00754636"/>
    <w:rsid w:val="00754AEA"/>
    <w:rsid w:val="00755C8F"/>
    <w:rsid w:val="00756936"/>
    <w:rsid w:val="00756CF6"/>
    <w:rsid w:val="00757268"/>
    <w:rsid w:val="00757344"/>
    <w:rsid w:val="0075734B"/>
    <w:rsid w:val="007616DD"/>
    <w:rsid w:val="00761C8E"/>
    <w:rsid w:val="00762E3C"/>
    <w:rsid w:val="00763210"/>
    <w:rsid w:val="00763EBC"/>
    <w:rsid w:val="0076666F"/>
    <w:rsid w:val="00766789"/>
    <w:rsid w:val="00766D30"/>
    <w:rsid w:val="00770370"/>
    <w:rsid w:val="0077185E"/>
    <w:rsid w:val="0077390D"/>
    <w:rsid w:val="00773F16"/>
    <w:rsid w:val="00774660"/>
    <w:rsid w:val="00776460"/>
    <w:rsid w:val="00776635"/>
    <w:rsid w:val="00776724"/>
    <w:rsid w:val="007769E1"/>
    <w:rsid w:val="007773A3"/>
    <w:rsid w:val="007805C8"/>
    <w:rsid w:val="007807B1"/>
    <w:rsid w:val="007811C5"/>
    <w:rsid w:val="0078150A"/>
    <w:rsid w:val="00782956"/>
    <w:rsid w:val="00783CC9"/>
    <w:rsid w:val="007843BB"/>
    <w:rsid w:val="00784BA5"/>
    <w:rsid w:val="00785151"/>
    <w:rsid w:val="007853B3"/>
    <w:rsid w:val="00785B60"/>
    <w:rsid w:val="0078654C"/>
    <w:rsid w:val="00786A8E"/>
    <w:rsid w:val="00786AFF"/>
    <w:rsid w:val="00787860"/>
    <w:rsid w:val="007900C0"/>
    <w:rsid w:val="007905FE"/>
    <w:rsid w:val="00790A93"/>
    <w:rsid w:val="00790C57"/>
    <w:rsid w:val="00790DBF"/>
    <w:rsid w:val="00792E44"/>
    <w:rsid w:val="00793841"/>
    <w:rsid w:val="00793FEA"/>
    <w:rsid w:val="0079502C"/>
    <w:rsid w:val="00795345"/>
    <w:rsid w:val="007979AF"/>
    <w:rsid w:val="00797A97"/>
    <w:rsid w:val="00797B26"/>
    <w:rsid w:val="007A1E46"/>
    <w:rsid w:val="007A278C"/>
    <w:rsid w:val="007A3A72"/>
    <w:rsid w:val="007A6970"/>
    <w:rsid w:val="007B0D31"/>
    <w:rsid w:val="007B206D"/>
    <w:rsid w:val="007B3910"/>
    <w:rsid w:val="007B7D81"/>
    <w:rsid w:val="007C026B"/>
    <w:rsid w:val="007C1AAA"/>
    <w:rsid w:val="007C29F6"/>
    <w:rsid w:val="007C2A51"/>
    <w:rsid w:val="007C31EF"/>
    <w:rsid w:val="007C3BD1"/>
    <w:rsid w:val="007C4462"/>
    <w:rsid w:val="007C596D"/>
    <w:rsid w:val="007C6AD6"/>
    <w:rsid w:val="007C7854"/>
    <w:rsid w:val="007D1400"/>
    <w:rsid w:val="007D2426"/>
    <w:rsid w:val="007D2E7C"/>
    <w:rsid w:val="007D3B73"/>
    <w:rsid w:val="007D3C5F"/>
    <w:rsid w:val="007D3EA1"/>
    <w:rsid w:val="007D65BB"/>
    <w:rsid w:val="007D78B4"/>
    <w:rsid w:val="007E0141"/>
    <w:rsid w:val="007E0A29"/>
    <w:rsid w:val="007E10D3"/>
    <w:rsid w:val="007E1D68"/>
    <w:rsid w:val="007E2DF2"/>
    <w:rsid w:val="007E360F"/>
    <w:rsid w:val="007E4440"/>
    <w:rsid w:val="007E54BB"/>
    <w:rsid w:val="007E6376"/>
    <w:rsid w:val="007F1814"/>
    <w:rsid w:val="007F228D"/>
    <w:rsid w:val="007F30A9"/>
    <w:rsid w:val="007F3E33"/>
    <w:rsid w:val="007F5A3D"/>
    <w:rsid w:val="007F621C"/>
    <w:rsid w:val="007F6445"/>
    <w:rsid w:val="007F645D"/>
    <w:rsid w:val="007F7B3E"/>
    <w:rsid w:val="00800B18"/>
    <w:rsid w:val="00800E29"/>
    <w:rsid w:val="00803609"/>
    <w:rsid w:val="00804649"/>
    <w:rsid w:val="00804744"/>
    <w:rsid w:val="00804EDB"/>
    <w:rsid w:val="0080650E"/>
    <w:rsid w:val="00806A2F"/>
    <w:rsid w:val="00807352"/>
    <w:rsid w:val="00810986"/>
    <w:rsid w:val="008109A6"/>
    <w:rsid w:val="00811382"/>
    <w:rsid w:val="00812966"/>
    <w:rsid w:val="00816245"/>
    <w:rsid w:val="00817DE5"/>
    <w:rsid w:val="00820739"/>
    <w:rsid w:val="00820CF5"/>
    <w:rsid w:val="008211B6"/>
    <w:rsid w:val="0082349A"/>
    <w:rsid w:val="00824892"/>
    <w:rsid w:val="0082554E"/>
    <w:rsid w:val="008255E8"/>
    <w:rsid w:val="0082637E"/>
    <w:rsid w:val="00826438"/>
    <w:rsid w:val="00826FF7"/>
    <w:rsid w:val="0083086E"/>
    <w:rsid w:val="00833D0D"/>
    <w:rsid w:val="00834DA5"/>
    <w:rsid w:val="008371A5"/>
    <w:rsid w:val="00837C3E"/>
    <w:rsid w:val="00837DCE"/>
    <w:rsid w:val="00842553"/>
    <w:rsid w:val="0084443A"/>
    <w:rsid w:val="00844799"/>
    <w:rsid w:val="00845B1F"/>
    <w:rsid w:val="00846064"/>
    <w:rsid w:val="00846F00"/>
    <w:rsid w:val="00850545"/>
    <w:rsid w:val="008521E0"/>
    <w:rsid w:val="0086188D"/>
    <w:rsid w:val="008630BC"/>
    <w:rsid w:val="008647B6"/>
    <w:rsid w:val="00864CF2"/>
    <w:rsid w:val="0086627B"/>
    <w:rsid w:val="00866409"/>
    <w:rsid w:val="00866E4A"/>
    <w:rsid w:val="00866F6F"/>
    <w:rsid w:val="0087025C"/>
    <w:rsid w:val="00870375"/>
    <w:rsid w:val="008712BF"/>
    <w:rsid w:val="008716A9"/>
    <w:rsid w:val="00874B05"/>
    <w:rsid w:val="00875E43"/>
    <w:rsid w:val="00875F55"/>
    <w:rsid w:val="008803D6"/>
    <w:rsid w:val="00881151"/>
    <w:rsid w:val="008812F7"/>
    <w:rsid w:val="0088360B"/>
    <w:rsid w:val="00884870"/>
    <w:rsid w:val="0088737E"/>
    <w:rsid w:val="0088788A"/>
    <w:rsid w:val="00890B77"/>
    <w:rsid w:val="008919FB"/>
    <w:rsid w:val="008937C0"/>
    <w:rsid w:val="00893A33"/>
    <w:rsid w:val="00893A3D"/>
    <w:rsid w:val="00893C5F"/>
    <w:rsid w:val="0089523E"/>
    <w:rsid w:val="008955D1"/>
    <w:rsid w:val="008957B6"/>
    <w:rsid w:val="008A012C"/>
    <w:rsid w:val="008A1348"/>
    <w:rsid w:val="008A3E95"/>
    <w:rsid w:val="008A4C1E"/>
    <w:rsid w:val="008A5CD6"/>
    <w:rsid w:val="008A5F40"/>
    <w:rsid w:val="008B0ADD"/>
    <w:rsid w:val="008B1C1F"/>
    <w:rsid w:val="008B304B"/>
    <w:rsid w:val="008B4BEA"/>
    <w:rsid w:val="008B5365"/>
    <w:rsid w:val="008B6788"/>
    <w:rsid w:val="008B7CC0"/>
    <w:rsid w:val="008B7D6F"/>
    <w:rsid w:val="008C15A7"/>
    <w:rsid w:val="008C1F06"/>
    <w:rsid w:val="008C50E1"/>
    <w:rsid w:val="008C72B4"/>
    <w:rsid w:val="008D19F7"/>
    <w:rsid w:val="008D25A7"/>
    <w:rsid w:val="008D45E5"/>
    <w:rsid w:val="008D6275"/>
    <w:rsid w:val="008D640B"/>
    <w:rsid w:val="008D6A49"/>
    <w:rsid w:val="008D77A7"/>
    <w:rsid w:val="008E1736"/>
    <w:rsid w:val="008E1838"/>
    <w:rsid w:val="008E1CCB"/>
    <w:rsid w:val="008E2A5D"/>
    <w:rsid w:val="008E2C2B"/>
    <w:rsid w:val="008E3189"/>
    <w:rsid w:val="008E3E29"/>
    <w:rsid w:val="008E3EA7"/>
    <w:rsid w:val="008E3EBB"/>
    <w:rsid w:val="008E5040"/>
    <w:rsid w:val="008E7EE9"/>
    <w:rsid w:val="008F0D89"/>
    <w:rsid w:val="008F13A0"/>
    <w:rsid w:val="008F13B5"/>
    <w:rsid w:val="008F4138"/>
    <w:rsid w:val="008F4D5B"/>
    <w:rsid w:val="008F65F7"/>
    <w:rsid w:val="008F740F"/>
    <w:rsid w:val="008F7ECB"/>
    <w:rsid w:val="009005E6"/>
    <w:rsid w:val="00900ACF"/>
    <w:rsid w:val="009016CF"/>
    <w:rsid w:val="00901BD8"/>
    <w:rsid w:val="00901F44"/>
    <w:rsid w:val="0090249F"/>
    <w:rsid w:val="00904701"/>
    <w:rsid w:val="009056A5"/>
    <w:rsid w:val="009069F2"/>
    <w:rsid w:val="00906B17"/>
    <w:rsid w:val="00911D0A"/>
    <w:rsid w:val="00913FC8"/>
    <w:rsid w:val="00915CC4"/>
    <w:rsid w:val="00916EA8"/>
    <w:rsid w:val="00920330"/>
    <w:rsid w:val="009209EB"/>
    <w:rsid w:val="00920A43"/>
    <w:rsid w:val="00920ACC"/>
    <w:rsid w:val="00921B06"/>
    <w:rsid w:val="00922821"/>
    <w:rsid w:val="00923370"/>
    <w:rsid w:val="00923380"/>
    <w:rsid w:val="00924965"/>
    <w:rsid w:val="00924A56"/>
    <w:rsid w:val="00925BBA"/>
    <w:rsid w:val="00927090"/>
    <w:rsid w:val="009272E6"/>
    <w:rsid w:val="0093086A"/>
    <w:rsid w:val="00930ACD"/>
    <w:rsid w:val="009311D9"/>
    <w:rsid w:val="00932ADC"/>
    <w:rsid w:val="00933AAC"/>
    <w:rsid w:val="00934806"/>
    <w:rsid w:val="00935419"/>
    <w:rsid w:val="00937083"/>
    <w:rsid w:val="009428BA"/>
    <w:rsid w:val="00945207"/>
    <w:rsid w:val="009453C3"/>
    <w:rsid w:val="0094580C"/>
    <w:rsid w:val="00945FC6"/>
    <w:rsid w:val="00946819"/>
    <w:rsid w:val="0095010C"/>
    <w:rsid w:val="0095266C"/>
    <w:rsid w:val="009531DF"/>
    <w:rsid w:val="0095363A"/>
    <w:rsid w:val="00954381"/>
    <w:rsid w:val="0095612A"/>
    <w:rsid w:val="00956FCD"/>
    <w:rsid w:val="009574EB"/>
    <w:rsid w:val="0095751B"/>
    <w:rsid w:val="00960D0C"/>
    <w:rsid w:val="00961DEA"/>
    <w:rsid w:val="009620A6"/>
    <w:rsid w:val="00963647"/>
    <w:rsid w:val="0096366F"/>
    <w:rsid w:val="00963864"/>
    <w:rsid w:val="00964814"/>
    <w:rsid w:val="009651DD"/>
    <w:rsid w:val="00966059"/>
    <w:rsid w:val="00972325"/>
    <w:rsid w:val="009727F4"/>
    <w:rsid w:val="00972BD1"/>
    <w:rsid w:val="0097374B"/>
    <w:rsid w:val="00973AA4"/>
    <w:rsid w:val="00974E29"/>
    <w:rsid w:val="009750A1"/>
    <w:rsid w:val="00975578"/>
    <w:rsid w:val="0097610A"/>
    <w:rsid w:val="00976895"/>
    <w:rsid w:val="009816CA"/>
    <w:rsid w:val="00981C9E"/>
    <w:rsid w:val="009820CB"/>
    <w:rsid w:val="00982338"/>
    <w:rsid w:val="009827A6"/>
    <w:rsid w:val="00982EA5"/>
    <w:rsid w:val="00983C7E"/>
    <w:rsid w:val="00983F64"/>
    <w:rsid w:val="009846FC"/>
    <w:rsid w:val="00984748"/>
    <w:rsid w:val="00985D09"/>
    <w:rsid w:val="00985D26"/>
    <w:rsid w:val="009901EC"/>
    <w:rsid w:val="00993D24"/>
    <w:rsid w:val="0099458B"/>
    <w:rsid w:val="00994708"/>
    <w:rsid w:val="00995577"/>
    <w:rsid w:val="00996DE7"/>
    <w:rsid w:val="009970C5"/>
    <w:rsid w:val="00997B17"/>
    <w:rsid w:val="009A0FDB"/>
    <w:rsid w:val="009A19EA"/>
    <w:rsid w:val="009A1C74"/>
    <w:rsid w:val="009A21C4"/>
    <w:rsid w:val="009A4F83"/>
    <w:rsid w:val="009A53EA"/>
    <w:rsid w:val="009A7786"/>
    <w:rsid w:val="009A7EC2"/>
    <w:rsid w:val="009B0A60"/>
    <w:rsid w:val="009B294F"/>
    <w:rsid w:val="009B429D"/>
    <w:rsid w:val="009B491D"/>
    <w:rsid w:val="009B4FA5"/>
    <w:rsid w:val="009B56CF"/>
    <w:rsid w:val="009B60AA"/>
    <w:rsid w:val="009B7B44"/>
    <w:rsid w:val="009B7C1E"/>
    <w:rsid w:val="009C02A8"/>
    <w:rsid w:val="009C11A3"/>
    <w:rsid w:val="009C12E7"/>
    <w:rsid w:val="009C137D"/>
    <w:rsid w:val="009C166E"/>
    <w:rsid w:val="009C17F8"/>
    <w:rsid w:val="009C1E8D"/>
    <w:rsid w:val="009C2421"/>
    <w:rsid w:val="009C2EDD"/>
    <w:rsid w:val="009C34C1"/>
    <w:rsid w:val="009C4C0B"/>
    <w:rsid w:val="009C5959"/>
    <w:rsid w:val="009C5A71"/>
    <w:rsid w:val="009C634A"/>
    <w:rsid w:val="009C7A7D"/>
    <w:rsid w:val="009D063C"/>
    <w:rsid w:val="009D0A91"/>
    <w:rsid w:val="009D12CC"/>
    <w:rsid w:val="009D22FC"/>
    <w:rsid w:val="009D28C6"/>
    <w:rsid w:val="009D2E08"/>
    <w:rsid w:val="009D3904"/>
    <w:rsid w:val="009D3C65"/>
    <w:rsid w:val="009D3D77"/>
    <w:rsid w:val="009D4020"/>
    <w:rsid w:val="009D4319"/>
    <w:rsid w:val="009D49C7"/>
    <w:rsid w:val="009D558E"/>
    <w:rsid w:val="009D57E5"/>
    <w:rsid w:val="009D6305"/>
    <w:rsid w:val="009D6308"/>
    <w:rsid w:val="009D6C80"/>
    <w:rsid w:val="009E10B0"/>
    <w:rsid w:val="009E2159"/>
    <w:rsid w:val="009E2635"/>
    <w:rsid w:val="009E2846"/>
    <w:rsid w:val="009E2EF5"/>
    <w:rsid w:val="009E349F"/>
    <w:rsid w:val="009E435E"/>
    <w:rsid w:val="009E481A"/>
    <w:rsid w:val="009E4A33"/>
    <w:rsid w:val="009E4BA9"/>
    <w:rsid w:val="009E629E"/>
    <w:rsid w:val="009E6FF1"/>
    <w:rsid w:val="009E7F8A"/>
    <w:rsid w:val="009F182D"/>
    <w:rsid w:val="009F4E37"/>
    <w:rsid w:val="009F55FD"/>
    <w:rsid w:val="009F78D1"/>
    <w:rsid w:val="009F79EF"/>
    <w:rsid w:val="009F7F80"/>
    <w:rsid w:val="00A00B99"/>
    <w:rsid w:val="00A01413"/>
    <w:rsid w:val="00A02469"/>
    <w:rsid w:val="00A04A82"/>
    <w:rsid w:val="00A05C7B"/>
    <w:rsid w:val="00A05FB5"/>
    <w:rsid w:val="00A0780F"/>
    <w:rsid w:val="00A11572"/>
    <w:rsid w:val="00A116D5"/>
    <w:rsid w:val="00A121BE"/>
    <w:rsid w:val="00A13AF5"/>
    <w:rsid w:val="00A141A5"/>
    <w:rsid w:val="00A176F6"/>
    <w:rsid w:val="00A177E1"/>
    <w:rsid w:val="00A21556"/>
    <w:rsid w:val="00A25DF3"/>
    <w:rsid w:val="00A27C2E"/>
    <w:rsid w:val="00A30053"/>
    <w:rsid w:val="00A3037F"/>
    <w:rsid w:val="00A3052A"/>
    <w:rsid w:val="00A30EB3"/>
    <w:rsid w:val="00A31BBF"/>
    <w:rsid w:val="00A32574"/>
    <w:rsid w:val="00A3411B"/>
    <w:rsid w:val="00A36FF1"/>
    <w:rsid w:val="00A377D6"/>
    <w:rsid w:val="00A40F41"/>
    <w:rsid w:val="00A4114C"/>
    <w:rsid w:val="00A41DB0"/>
    <w:rsid w:val="00A42084"/>
    <w:rsid w:val="00A4319D"/>
    <w:rsid w:val="00A43BFF"/>
    <w:rsid w:val="00A4436D"/>
    <w:rsid w:val="00A45811"/>
    <w:rsid w:val="00A4638B"/>
    <w:rsid w:val="00A464E4"/>
    <w:rsid w:val="00A474B0"/>
    <w:rsid w:val="00A5089E"/>
    <w:rsid w:val="00A511A1"/>
    <w:rsid w:val="00A5140C"/>
    <w:rsid w:val="00A52521"/>
    <w:rsid w:val="00A52BEF"/>
    <w:rsid w:val="00A5319F"/>
    <w:rsid w:val="00A53D3B"/>
    <w:rsid w:val="00A5404D"/>
    <w:rsid w:val="00A55454"/>
    <w:rsid w:val="00A56073"/>
    <w:rsid w:val="00A56B8E"/>
    <w:rsid w:val="00A56BFE"/>
    <w:rsid w:val="00A60651"/>
    <w:rsid w:val="00A60B91"/>
    <w:rsid w:val="00A61F9B"/>
    <w:rsid w:val="00A62896"/>
    <w:rsid w:val="00A632FD"/>
    <w:rsid w:val="00A63852"/>
    <w:rsid w:val="00A63DC2"/>
    <w:rsid w:val="00A64826"/>
    <w:rsid w:val="00A64E41"/>
    <w:rsid w:val="00A65BDA"/>
    <w:rsid w:val="00A673BC"/>
    <w:rsid w:val="00A6786D"/>
    <w:rsid w:val="00A704EE"/>
    <w:rsid w:val="00A7171F"/>
    <w:rsid w:val="00A71B8D"/>
    <w:rsid w:val="00A71DBA"/>
    <w:rsid w:val="00A72452"/>
    <w:rsid w:val="00A74954"/>
    <w:rsid w:val="00A7658B"/>
    <w:rsid w:val="00A76646"/>
    <w:rsid w:val="00A81EF8"/>
    <w:rsid w:val="00A821E1"/>
    <w:rsid w:val="00A8252E"/>
    <w:rsid w:val="00A834D7"/>
    <w:rsid w:val="00A83CA7"/>
    <w:rsid w:val="00A842D7"/>
    <w:rsid w:val="00A84644"/>
    <w:rsid w:val="00A85172"/>
    <w:rsid w:val="00A85940"/>
    <w:rsid w:val="00A86199"/>
    <w:rsid w:val="00A861E7"/>
    <w:rsid w:val="00A86866"/>
    <w:rsid w:val="00A87321"/>
    <w:rsid w:val="00A919E1"/>
    <w:rsid w:val="00A928EB"/>
    <w:rsid w:val="00A9297E"/>
    <w:rsid w:val="00A93CC6"/>
    <w:rsid w:val="00A94A71"/>
    <w:rsid w:val="00A94CDD"/>
    <w:rsid w:val="00A951D5"/>
    <w:rsid w:val="00A964FE"/>
    <w:rsid w:val="00A970C1"/>
    <w:rsid w:val="00A97B2C"/>
    <w:rsid w:val="00A97C49"/>
    <w:rsid w:val="00AA02DE"/>
    <w:rsid w:val="00AA032B"/>
    <w:rsid w:val="00AA12C2"/>
    <w:rsid w:val="00AA1995"/>
    <w:rsid w:val="00AA1B84"/>
    <w:rsid w:val="00AA2358"/>
    <w:rsid w:val="00AA42D4"/>
    <w:rsid w:val="00AA46C6"/>
    <w:rsid w:val="00AA5211"/>
    <w:rsid w:val="00AA55B5"/>
    <w:rsid w:val="00AA58FD"/>
    <w:rsid w:val="00AA67CA"/>
    <w:rsid w:val="00AA6D95"/>
    <w:rsid w:val="00AA78AB"/>
    <w:rsid w:val="00AA78E9"/>
    <w:rsid w:val="00AA7B8C"/>
    <w:rsid w:val="00AB13F3"/>
    <w:rsid w:val="00AB2573"/>
    <w:rsid w:val="00AB34A5"/>
    <w:rsid w:val="00AB365E"/>
    <w:rsid w:val="00AB53B3"/>
    <w:rsid w:val="00AB6088"/>
    <w:rsid w:val="00AB6309"/>
    <w:rsid w:val="00AB6CEB"/>
    <w:rsid w:val="00AB78E7"/>
    <w:rsid w:val="00AB7A2F"/>
    <w:rsid w:val="00AC0074"/>
    <w:rsid w:val="00AC198E"/>
    <w:rsid w:val="00AC234E"/>
    <w:rsid w:val="00AC2998"/>
    <w:rsid w:val="00AC2BAB"/>
    <w:rsid w:val="00AC39F8"/>
    <w:rsid w:val="00AC3B3B"/>
    <w:rsid w:val="00AC3DB8"/>
    <w:rsid w:val="00AC434B"/>
    <w:rsid w:val="00AC46EB"/>
    <w:rsid w:val="00AC5788"/>
    <w:rsid w:val="00AC5B4D"/>
    <w:rsid w:val="00AC6727"/>
    <w:rsid w:val="00AD12BA"/>
    <w:rsid w:val="00AD4B29"/>
    <w:rsid w:val="00AD5394"/>
    <w:rsid w:val="00AD603E"/>
    <w:rsid w:val="00AD6664"/>
    <w:rsid w:val="00AD6C30"/>
    <w:rsid w:val="00AD6F08"/>
    <w:rsid w:val="00AD711D"/>
    <w:rsid w:val="00AE0CC6"/>
    <w:rsid w:val="00AE3C90"/>
    <w:rsid w:val="00AE3DC2"/>
    <w:rsid w:val="00AE4ED6"/>
    <w:rsid w:val="00AE541E"/>
    <w:rsid w:val="00AE56F2"/>
    <w:rsid w:val="00AE6A93"/>
    <w:rsid w:val="00AE73BB"/>
    <w:rsid w:val="00AE77AE"/>
    <w:rsid w:val="00AE7A99"/>
    <w:rsid w:val="00AF08EB"/>
    <w:rsid w:val="00AF24E7"/>
    <w:rsid w:val="00AF32E3"/>
    <w:rsid w:val="00AF4DF2"/>
    <w:rsid w:val="00AF55C1"/>
    <w:rsid w:val="00B007EF"/>
    <w:rsid w:val="00B011BF"/>
    <w:rsid w:val="00B01C0E"/>
    <w:rsid w:val="00B02B41"/>
    <w:rsid w:val="00B048D1"/>
    <w:rsid w:val="00B04F31"/>
    <w:rsid w:val="00B0501E"/>
    <w:rsid w:val="00B052AD"/>
    <w:rsid w:val="00B05E08"/>
    <w:rsid w:val="00B06910"/>
    <w:rsid w:val="00B06947"/>
    <w:rsid w:val="00B15229"/>
    <w:rsid w:val="00B15B90"/>
    <w:rsid w:val="00B168FD"/>
    <w:rsid w:val="00B177C7"/>
    <w:rsid w:val="00B1793F"/>
    <w:rsid w:val="00B17B89"/>
    <w:rsid w:val="00B20353"/>
    <w:rsid w:val="00B2186E"/>
    <w:rsid w:val="00B22978"/>
    <w:rsid w:val="00B237D0"/>
    <w:rsid w:val="00B2418D"/>
    <w:rsid w:val="00B24A04"/>
    <w:rsid w:val="00B2578F"/>
    <w:rsid w:val="00B259CC"/>
    <w:rsid w:val="00B272A4"/>
    <w:rsid w:val="00B27911"/>
    <w:rsid w:val="00B3127E"/>
    <w:rsid w:val="00B315A8"/>
    <w:rsid w:val="00B32BCB"/>
    <w:rsid w:val="00B32D53"/>
    <w:rsid w:val="00B33EBE"/>
    <w:rsid w:val="00B36347"/>
    <w:rsid w:val="00B36F2F"/>
    <w:rsid w:val="00B40D84"/>
    <w:rsid w:val="00B40F58"/>
    <w:rsid w:val="00B41E45"/>
    <w:rsid w:val="00B43442"/>
    <w:rsid w:val="00B4566C"/>
    <w:rsid w:val="00B467D8"/>
    <w:rsid w:val="00B4773C"/>
    <w:rsid w:val="00B50039"/>
    <w:rsid w:val="00B511D9"/>
    <w:rsid w:val="00B5282A"/>
    <w:rsid w:val="00B538F4"/>
    <w:rsid w:val="00B54BEE"/>
    <w:rsid w:val="00B54ED2"/>
    <w:rsid w:val="00B5667B"/>
    <w:rsid w:val="00B6012B"/>
    <w:rsid w:val="00B60142"/>
    <w:rsid w:val="00B606F4"/>
    <w:rsid w:val="00B613B9"/>
    <w:rsid w:val="00B620F6"/>
    <w:rsid w:val="00B62987"/>
    <w:rsid w:val="00B666F6"/>
    <w:rsid w:val="00B66B13"/>
    <w:rsid w:val="00B6704F"/>
    <w:rsid w:val="00B675F7"/>
    <w:rsid w:val="00B67F64"/>
    <w:rsid w:val="00B713FC"/>
    <w:rsid w:val="00B724E8"/>
    <w:rsid w:val="00B7281C"/>
    <w:rsid w:val="00B762AD"/>
    <w:rsid w:val="00B76770"/>
    <w:rsid w:val="00B77220"/>
    <w:rsid w:val="00B779CD"/>
    <w:rsid w:val="00B77AEF"/>
    <w:rsid w:val="00B80EBB"/>
    <w:rsid w:val="00B81091"/>
    <w:rsid w:val="00B81641"/>
    <w:rsid w:val="00B81E3F"/>
    <w:rsid w:val="00B837FD"/>
    <w:rsid w:val="00B83B16"/>
    <w:rsid w:val="00B8546D"/>
    <w:rsid w:val="00B855F0"/>
    <w:rsid w:val="00B861FF"/>
    <w:rsid w:val="00B86983"/>
    <w:rsid w:val="00B86B0B"/>
    <w:rsid w:val="00B876CD"/>
    <w:rsid w:val="00B87ADC"/>
    <w:rsid w:val="00B90715"/>
    <w:rsid w:val="00B90D44"/>
    <w:rsid w:val="00B923A7"/>
    <w:rsid w:val="00B923AC"/>
    <w:rsid w:val="00B9300F"/>
    <w:rsid w:val="00B931BA"/>
    <w:rsid w:val="00B95B1D"/>
    <w:rsid w:val="00B95EDD"/>
    <w:rsid w:val="00B9665F"/>
    <w:rsid w:val="00B9680A"/>
    <w:rsid w:val="00B96C2A"/>
    <w:rsid w:val="00BA0398"/>
    <w:rsid w:val="00BA08B4"/>
    <w:rsid w:val="00BA268E"/>
    <w:rsid w:val="00BA27C8"/>
    <w:rsid w:val="00BA29C2"/>
    <w:rsid w:val="00BA4571"/>
    <w:rsid w:val="00BA4F52"/>
    <w:rsid w:val="00BA5216"/>
    <w:rsid w:val="00BA5F5A"/>
    <w:rsid w:val="00BA69F7"/>
    <w:rsid w:val="00BA6BEE"/>
    <w:rsid w:val="00BA770B"/>
    <w:rsid w:val="00BB0F03"/>
    <w:rsid w:val="00BB166E"/>
    <w:rsid w:val="00BB2F67"/>
    <w:rsid w:val="00BB3115"/>
    <w:rsid w:val="00BB39B4"/>
    <w:rsid w:val="00BB3A27"/>
    <w:rsid w:val="00BB400F"/>
    <w:rsid w:val="00BB4AC3"/>
    <w:rsid w:val="00BB4E6B"/>
    <w:rsid w:val="00BB54B7"/>
    <w:rsid w:val="00BB55A7"/>
    <w:rsid w:val="00BB5A48"/>
    <w:rsid w:val="00BB758A"/>
    <w:rsid w:val="00BC004E"/>
    <w:rsid w:val="00BC014C"/>
    <w:rsid w:val="00BC14BD"/>
    <w:rsid w:val="00BC3AE1"/>
    <w:rsid w:val="00BC4898"/>
    <w:rsid w:val="00BC505D"/>
    <w:rsid w:val="00BC6ACF"/>
    <w:rsid w:val="00BC6ED7"/>
    <w:rsid w:val="00BC7B80"/>
    <w:rsid w:val="00BD0505"/>
    <w:rsid w:val="00BD3506"/>
    <w:rsid w:val="00BD50B0"/>
    <w:rsid w:val="00BD5CC9"/>
    <w:rsid w:val="00BE0863"/>
    <w:rsid w:val="00BE321B"/>
    <w:rsid w:val="00BE3666"/>
    <w:rsid w:val="00BE37CC"/>
    <w:rsid w:val="00BE3863"/>
    <w:rsid w:val="00BE39CA"/>
    <w:rsid w:val="00BE450C"/>
    <w:rsid w:val="00BE4805"/>
    <w:rsid w:val="00BE4E92"/>
    <w:rsid w:val="00BE62C2"/>
    <w:rsid w:val="00BE7F9A"/>
    <w:rsid w:val="00BF0D17"/>
    <w:rsid w:val="00BF0F82"/>
    <w:rsid w:val="00BF29A1"/>
    <w:rsid w:val="00BF302E"/>
    <w:rsid w:val="00BF31E6"/>
    <w:rsid w:val="00BF5179"/>
    <w:rsid w:val="00BF52F4"/>
    <w:rsid w:val="00BF5F8B"/>
    <w:rsid w:val="00BF62D8"/>
    <w:rsid w:val="00C00584"/>
    <w:rsid w:val="00C0090A"/>
    <w:rsid w:val="00C01007"/>
    <w:rsid w:val="00C01BCA"/>
    <w:rsid w:val="00C02FCB"/>
    <w:rsid w:val="00C03188"/>
    <w:rsid w:val="00C04181"/>
    <w:rsid w:val="00C04CD4"/>
    <w:rsid w:val="00C056A4"/>
    <w:rsid w:val="00C070F2"/>
    <w:rsid w:val="00C10351"/>
    <w:rsid w:val="00C10CE9"/>
    <w:rsid w:val="00C12406"/>
    <w:rsid w:val="00C12B87"/>
    <w:rsid w:val="00C13661"/>
    <w:rsid w:val="00C13A0F"/>
    <w:rsid w:val="00C1559F"/>
    <w:rsid w:val="00C16BBC"/>
    <w:rsid w:val="00C1716F"/>
    <w:rsid w:val="00C20D45"/>
    <w:rsid w:val="00C211F0"/>
    <w:rsid w:val="00C21478"/>
    <w:rsid w:val="00C266D2"/>
    <w:rsid w:val="00C271B0"/>
    <w:rsid w:val="00C30267"/>
    <w:rsid w:val="00C31ED5"/>
    <w:rsid w:val="00C31F82"/>
    <w:rsid w:val="00C33334"/>
    <w:rsid w:val="00C34982"/>
    <w:rsid w:val="00C34C6C"/>
    <w:rsid w:val="00C35E1B"/>
    <w:rsid w:val="00C36604"/>
    <w:rsid w:val="00C36A36"/>
    <w:rsid w:val="00C3741D"/>
    <w:rsid w:val="00C408F8"/>
    <w:rsid w:val="00C419E3"/>
    <w:rsid w:val="00C427F7"/>
    <w:rsid w:val="00C42D2E"/>
    <w:rsid w:val="00C443DE"/>
    <w:rsid w:val="00C44996"/>
    <w:rsid w:val="00C46309"/>
    <w:rsid w:val="00C47253"/>
    <w:rsid w:val="00C516E5"/>
    <w:rsid w:val="00C519D3"/>
    <w:rsid w:val="00C51FF0"/>
    <w:rsid w:val="00C5242D"/>
    <w:rsid w:val="00C52B50"/>
    <w:rsid w:val="00C553CE"/>
    <w:rsid w:val="00C55AAB"/>
    <w:rsid w:val="00C569B6"/>
    <w:rsid w:val="00C57495"/>
    <w:rsid w:val="00C617B6"/>
    <w:rsid w:val="00C61DA2"/>
    <w:rsid w:val="00C63F48"/>
    <w:rsid w:val="00C66894"/>
    <w:rsid w:val="00C67A6D"/>
    <w:rsid w:val="00C67DF4"/>
    <w:rsid w:val="00C67E31"/>
    <w:rsid w:val="00C67E6A"/>
    <w:rsid w:val="00C717BB"/>
    <w:rsid w:val="00C71B6A"/>
    <w:rsid w:val="00C729EE"/>
    <w:rsid w:val="00C73E30"/>
    <w:rsid w:val="00C76B56"/>
    <w:rsid w:val="00C7765D"/>
    <w:rsid w:val="00C77EBB"/>
    <w:rsid w:val="00C805EF"/>
    <w:rsid w:val="00C80AC4"/>
    <w:rsid w:val="00C8149E"/>
    <w:rsid w:val="00C81A8A"/>
    <w:rsid w:val="00C81BED"/>
    <w:rsid w:val="00C81FCC"/>
    <w:rsid w:val="00C8212A"/>
    <w:rsid w:val="00C82A58"/>
    <w:rsid w:val="00C83C99"/>
    <w:rsid w:val="00C85439"/>
    <w:rsid w:val="00C854AA"/>
    <w:rsid w:val="00C85A4F"/>
    <w:rsid w:val="00C87AB0"/>
    <w:rsid w:val="00C91D31"/>
    <w:rsid w:val="00C9209D"/>
    <w:rsid w:val="00C9378E"/>
    <w:rsid w:val="00C958A9"/>
    <w:rsid w:val="00C95EB3"/>
    <w:rsid w:val="00C962E3"/>
    <w:rsid w:val="00C96409"/>
    <w:rsid w:val="00C971A2"/>
    <w:rsid w:val="00C979BC"/>
    <w:rsid w:val="00C97CE3"/>
    <w:rsid w:val="00CA1016"/>
    <w:rsid w:val="00CA1A89"/>
    <w:rsid w:val="00CA3324"/>
    <w:rsid w:val="00CA41E2"/>
    <w:rsid w:val="00CA67BC"/>
    <w:rsid w:val="00CA708F"/>
    <w:rsid w:val="00CA72F3"/>
    <w:rsid w:val="00CB2461"/>
    <w:rsid w:val="00CB2912"/>
    <w:rsid w:val="00CB33FB"/>
    <w:rsid w:val="00CB4BCC"/>
    <w:rsid w:val="00CB5017"/>
    <w:rsid w:val="00CB6A2E"/>
    <w:rsid w:val="00CB6AE7"/>
    <w:rsid w:val="00CB7BA9"/>
    <w:rsid w:val="00CB7D2C"/>
    <w:rsid w:val="00CC00D7"/>
    <w:rsid w:val="00CC19E0"/>
    <w:rsid w:val="00CC3EE2"/>
    <w:rsid w:val="00CC40AF"/>
    <w:rsid w:val="00CC4813"/>
    <w:rsid w:val="00CC540C"/>
    <w:rsid w:val="00CC5D20"/>
    <w:rsid w:val="00CC65AE"/>
    <w:rsid w:val="00CD081E"/>
    <w:rsid w:val="00CD0FE1"/>
    <w:rsid w:val="00CD112E"/>
    <w:rsid w:val="00CD1845"/>
    <w:rsid w:val="00CD33FB"/>
    <w:rsid w:val="00CD3483"/>
    <w:rsid w:val="00CD4865"/>
    <w:rsid w:val="00CD492A"/>
    <w:rsid w:val="00CD7558"/>
    <w:rsid w:val="00CE1A45"/>
    <w:rsid w:val="00CE1AAB"/>
    <w:rsid w:val="00CE1E8C"/>
    <w:rsid w:val="00CE2A39"/>
    <w:rsid w:val="00CE307C"/>
    <w:rsid w:val="00CE451E"/>
    <w:rsid w:val="00CE55BB"/>
    <w:rsid w:val="00CE5FD2"/>
    <w:rsid w:val="00CE6EA1"/>
    <w:rsid w:val="00CE6FA1"/>
    <w:rsid w:val="00CF1542"/>
    <w:rsid w:val="00CF1953"/>
    <w:rsid w:val="00CF326F"/>
    <w:rsid w:val="00CF4DA7"/>
    <w:rsid w:val="00CF77AE"/>
    <w:rsid w:val="00CF7BE7"/>
    <w:rsid w:val="00D00CAE"/>
    <w:rsid w:val="00D02191"/>
    <w:rsid w:val="00D0246D"/>
    <w:rsid w:val="00D02E41"/>
    <w:rsid w:val="00D0326F"/>
    <w:rsid w:val="00D044DE"/>
    <w:rsid w:val="00D056F1"/>
    <w:rsid w:val="00D06BAB"/>
    <w:rsid w:val="00D06C2B"/>
    <w:rsid w:val="00D07329"/>
    <w:rsid w:val="00D11CBD"/>
    <w:rsid w:val="00D11F1F"/>
    <w:rsid w:val="00D1314F"/>
    <w:rsid w:val="00D14088"/>
    <w:rsid w:val="00D16B8B"/>
    <w:rsid w:val="00D174D8"/>
    <w:rsid w:val="00D2056E"/>
    <w:rsid w:val="00D207A5"/>
    <w:rsid w:val="00D20B67"/>
    <w:rsid w:val="00D22821"/>
    <w:rsid w:val="00D23330"/>
    <w:rsid w:val="00D239A1"/>
    <w:rsid w:val="00D243D0"/>
    <w:rsid w:val="00D24E8D"/>
    <w:rsid w:val="00D26C53"/>
    <w:rsid w:val="00D27FB9"/>
    <w:rsid w:val="00D32398"/>
    <w:rsid w:val="00D337AF"/>
    <w:rsid w:val="00D33FC8"/>
    <w:rsid w:val="00D34C8C"/>
    <w:rsid w:val="00D34E4F"/>
    <w:rsid w:val="00D355E7"/>
    <w:rsid w:val="00D36243"/>
    <w:rsid w:val="00D36B21"/>
    <w:rsid w:val="00D40830"/>
    <w:rsid w:val="00D4160A"/>
    <w:rsid w:val="00D41B0A"/>
    <w:rsid w:val="00D4288C"/>
    <w:rsid w:val="00D42D17"/>
    <w:rsid w:val="00D43B57"/>
    <w:rsid w:val="00D43CA9"/>
    <w:rsid w:val="00D43F88"/>
    <w:rsid w:val="00D44045"/>
    <w:rsid w:val="00D446C4"/>
    <w:rsid w:val="00D44708"/>
    <w:rsid w:val="00D44B05"/>
    <w:rsid w:val="00D45B43"/>
    <w:rsid w:val="00D45BD5"/>
    <w:rsid w:val="00D46296"/>
    <w:rsid w:val="00D46919"/>
    <w:rsid w:val="00D50585"/>
    <w:rsid w:val="00D50EF2"/>
    <w:rsid w:val="00D510F3"/>
    <w:rsid w:val="00D51BDC"/>
    <w:rsid w:val="00D51DE0"/>
    <w:rsid w:val="00D5257A"/>
    <w:rsid w:val="00D54C42"/>
    <w:rsid w:val="00D5774D"/>
    <w:rsid w:val="00D60DEF"/>
    <w:rsid w:val="00D63802"/>
    <w:rsid w:val="00D63A38"/>
    <w:rsid w:val="00D6506B"/>
    <w:rsid w:val="00D67629"/>
    <w:rsid w:val="00D67DFE"/>
    <w:rsid w:val="00D70486"/>
    <w:rsid w:val="00D71464"/>
    <w:rsid w:val="00D72E30"/>
    <w:rsid w:val="00D73953"/>
    <w:rsid w:val="00D741F4"/>
    <w:rsid w:val="00D7495C"/>
    <w:rsid w:val="00D74B53"/>
    <w:rsid w:val="00D7511E"/>
    <w:rsid w:val="00D801F5"/>
    <w:rsid w:val="00D8155E"/>
    <w:rsid w:val="00D836B1"/>
    <w:rsid w:val="00D83DAC"/>
    <w:rsid w:val="00D8504F"/>
    <w:rsid w:val="00D852F7"/>
    <w:rsid w:val="00D85599"/>
    <w:rsid w:val="00D85CA5"/>
    <w:rsid w:val="00D85EE5"/>
    <w:rsid w:val="00D873F2"/>
    <w:rsid w:val="00D879F9"/>
    <w:rsid w:val="00D903A9"/>
    <w:rsid w:val="00D903C8"/>
    <w:rsid w:val="00D90450"/>
    <w:rsid w:val="00D9048A"/>
    <w:rsid w:val="00D91037"/>
    <w:rsid w:val="00D9195E"/>
    <w:rsid w:val="00D92376"/>
    <w:rsid w:val="00D928DD"/>
    <w:rsid w:val="00D93515"/>
    <w:rsid w:val="00D941AF"/>
    <w:rsid w:val="00D95BC1"/>
    <w:rsid w:val="00D95C75"/>
    <w:rsid w:val="00D96812"/>
    <w:rsid w:val="00DA125A"/>
    <w:rsid w:val="00DA2D77"/>
    <w:rsid w:val="00DA2EB6"/>
    <w:rsid w:val="00DA4966"/>
    <w:rsid w:val="00DA4EB0"/>
    <w:rsid w:val="00DA5476"/>
    <w:rsid w:val="00DA5A7F"/>
    <w:rsid w:val="00DA5DCF"/>
    <w:rsid w:val="00DA5FED"/>
    <w:rsid w:val="00DA6058"/>
    <w:rsid w:val="00DA6396"/>
    <w:rsid w:val="00DA78FE"/>
    <w:rsid w:val="00DB0430"/>
    <w:rsid w:val="00DB10BF"/>
    <w:rsid w:val="00DB1FC7"/>
    <w:rsid w:val="00DB3B7A"/>
    <w:rsid w:val="00DB3FF2"/>
    <w:rsid w:val="00DB42B9"/>
    <w:rsid w:val="00DB51D0"/>
    <w:rsid w:val="00DB74F1"/>
    <w:rsid w:val="00DB7B4B"/>
    <w:rsid w:val="00DC05D1"/>
    <w:rsid w:val="00DC0D89"/>
    <w:rsid w:val="00DC0ED8"/>
    <w:rsid w:val="00DC1D68"/>
    <w:rsid w:val="00DC2254"/>
    <w:rsid w:val="00DC2B12"/>
    <w:rsid w:val="00DC2BAF"/>
    <w:rsid w:val="00DC51AA"/>
    <w:rsid w:val="00DC56F3"/>
    <w:rsid w:val="00DC6195"/>
    <w:rsid w:val="00DC6FF8"/>
    <w:rsid w:val="00DD1304"/>
    <w:rsid w:val="00DD1349"/>
    <w:rsid w:val="00DD17E9"/>
    <w:rsid w:val="00DD1944"/>
    <w:rsid w:val="00DD1999"/>
    <w:rsid w:val="00DD2048"/>
    <w:rsid w:val="00DD2F4A"/>
    <w:rsid w:val="00DD46AE"/>
    <w:rsid w:val="00DD6E3E"/>
    <w:rsid w:val="00DD79E6"/>
    <w:rsid w:val="00DD7BDA"/>
    <w:rsid w:val="00DE0F31"/>
    <w:rsid w:val="00DE1ADA"/>
    <w:rsid w:val="00DE1F0B"/>
    <w:rsid w:val="00DE3F12"/>
    <w:rsid w:val="00DE476B"/>
    <w:rsid w:val="00DE55F1"/>
    <w:rsid w:val="00DE5E02"/>
    <w:rsid w:val="00DE5F53"/>
    <w:rsid w:val="00DE5FF7"/>
    <w:rsid w:val="00DE60F1"/>
    <w:rsid w:val="00DF1887"/>
    <w:rsid w:val="00DF1CAD"/>
    <w:rsid w:val="00DF1D0D"/>
    <w:rsid w:val="00DF1FC4"/>
    <w:rsid w:val="00DF2419"/>
    <w:rsid w:val="00DF3C40"/>
    <w:rsid w:val="00DF4A8B"/>
    <w:rsid w:val="00DF4C3D"/>
    <w:rsid w:val="00DF796D"/>
    <w:rsid w:val="00DF7F9A"/>
    <w:rsid w:val="00E0084F"/>
    <w:rsid w:val="00E00E41"/>
    <w:rsid w:val="00E029DE"/>
    <w:rsid w:val="00E02F2E"/>
    <w:rsid w:val="00E03649"/>
    <w:rsid w:val="00E038BF"/>
    <w:rsid w:val="00E03BC4"/>
    <w:rsid w:val="00E040D2"/>
    <w:rsid w:val="00E06664"/>
    <w:rsid w:val="00E06A0A"/>
    <w:rsid w:val="00E06DE5"/>
    <w:rsid w:val="00E079B9"/>
    <w:rsid w:val="00E07B9D"/>
    <w:rsid w:val="00E10AD6"/>
    <w:rsid w:val="00E12FFE"/>
    <w:rsid w:val="00E13B68"/>
    <w:rsid w:val="00E13BFD"/>
    <w:rsid w:val="00E15603"/>
    <w:rsid w:val="00E156AC"/>
    <w:rsid w:val="00E209E5"/>
    <w:rsid w:val="00E210D7"/>
    <w:rsid w:val="00E2223A"/>
    <w:rsid w:val="00E225D9"/>
    <w:rsid w:val="00E2278F"/>
    <w:rsid w:val="00E2357D"/>
    <w:rsid w:val="00E2368A"/>
    <w:rsid w:val="00E238EA"/>
    <w:rsid w:val="00E2427A"/>
    <w:rsid w:val="00E253F5"/>
    <w:rsid w:val="00E25E4D"/>
    <w:rsid w:val="00E261FA"/>
    <w:rsid w:val="00E26A2E"/>
    <w:rsid w:val="00E30048"/>
    <w:rsid w:val="00E30705"/>
    <w:rsid w:val="00E3130F"/>
    <w:rsid w:val="00E3161F"/>
    <w:rsid w:val="00E31A4E"/>
    <w:rsid w:val="00E31E42"/>
    <w:rsid w:val="00E32270"/>
    <w:rsid w:val="00E324E7"/>
    <w:rsid w:val="00E33724"/>
    <w:rsid w:val="00E3437B"/>
    <w:rsid w:val="00E34589"/>
    <w:rsid w:val="00E34B0A"/>
    <w:rsid w:val="00E350B6"/>
    <w:rsid w:val="00E359A3"/>
    <w:rsid w:val="00E36C87"/>
    <w:rsid w:val="00E36DC4"/>
    <w:rsid w:val="00E37FD5"/>
    <w:rsid w:val="00E40405"/>
    <w:rsid w:val="00E4049F"/>
    <w:rsid w:val="00E404CB"/>
    <w:rsid w:val="00E41740"/>
    <w:rsid w:val="00E43684"/>
    <w:rsid w:val="00E44F3B"/>
    <w:rsid w:val="00E455F2"/>
    <w:rsid w:val="00E459B3"/>
    <w:rsid w:val="00E474F3"/>
    <w:rsid w:val="00E5250E"/>
    <w:rsid w:val="00E55232"/>
    <w:rsid w:val="00E554DC"/>
    <w:rsid w:val="00E5643C"/>
    <w:rsid w:val="00E57927"/>
    <w:rsid w:val="00E60C56"/>
    <w:rsid w:val="00E62517"/>
    <w:rsid w:val="00E63C36"/>
    <w:rsid w:val="00E6433C"/>
    <w:rsid w:val="00E65503"/>
    <w:rsid w:val="00E66CD2"/>
    <w:rsid w:val="00E71DDE"/>
    <w:rsid w:val="00E7277E"/>
    <w:rsid w:val="00E73B26"/>
    <w:rsid w:val="00E74724"/>
    <w:rsid w:val="00E75AA9"/>
    <w:rsid w:val="00E76369"/>
    <w:rsid w:val="00E76C83"/>
    <w:rsid w:val="00E77173"/>
    <w:rsid w:val="00E801EA"/>
    <w:rsid w:val="00E808D2"/>
    <w:rsid w:val="00E82880"/>
    <w:rsid w:val="00E83DB1"/>
    <w:rsid w:val="00E84E6A"/>
    <w:rsid w:val="00E90BC1"/>
    <w:rsid w:val="00E90D77"/>
    <w:rsid w:val="00E9174E"/>
    <w:rsid w:val="00E91F41"/>
    <w:rsid w:val="00E92434"/>
    <w:rsid w:val="00E928B0"/>
    <w:rsid w:val="00E92F84"/>
    <w:rsid w:val="00E93562"/>
    <w:rsid w:val="00E95FDC"/>
    <w:rsid w:val="00E9774F"/>
    <w:rsid w:val="00EA76D0"/>
    <w:rsid w:val="00EB0891"/>
    <w:rsid w:val="00EB0EB4"/>
    <w:rsid w:val="00EB1433"/>
    <w:rsid w:val="00EB15D5"/>
    <w:rsid w:val="00EB3272"/>
    <w:rsid w:val="00EB415C"/>
    <w:rsid w:val="00EB43C2"/>
    <w:rsid w:val="00EB5946"/>
    <w:rsid w:val="00EB60D9"/>
    <w:rsid w:val="00EB627F"/>
    <w:rsid w:val="00EC0738"/>
    <w:rsid w:val="00EC078A"/>
    <w:rsid w:val="00EC27BF"/>
    <w:rsid w:val="00EC2FB0"/>
    <w:rsid w:val="00EC3630"/>
    <w:rsid w:val="00EC3A35"/>
    <w:rsid w:val="00EC3A8F"/>
    <w:rsid w:val="00EC4C15"/>
    <w:rsid w:val="00EC5E52"/>
    <w:rsid w:val="00EC69B4"/>
    <w:rsid w:val="00EC777E"/>
    <w:rsid w:val="00ED2AFA"/>
    <w:rsid w:val="00ED2D1C"/>
    <w:rsid w:val="00ED2ED4"/>
    <w:rsid w:val="00ED3250"/>
    <w:rsid w:val="00ED5272"/>
    <w:rsid w:val="00ED591E"/>
    <w:rsid w:val="00ED6F39"/>
    <w:rsid w:val="00EE0502"/>
    <w:rsid w:val="00EE055B"/>
    <w:rsid w:val="00EE1106"/>
    <w:rsid w:val="00EE42B4"/>
    <w:rsid w:val="00EE4E5D"/>
    <w:rsid w:val="00EE4FC4"/>
    <w:rsid w:val="00EE6501"/>
    <w:rsid w:val="00EE7DE2"/>
    <w:rsid w:val="00EF0B8C"/>
    <w:rsid w:val="00EF1620"/>
    <w:rsid w:val="00EF1652"/>
    <w:rsid w:val="00EF2BB2"/>
    <w:rsid w:val="00EF42EB"/>
    <w:rsid w:val="00EF4B42"/>
    <w:rsid w:val="00EF5154"/>
    <w:rsid w:val="00EF5C18"/>
    <w:rsid w:val="00EF67B7"/>
    <w:rsid w:val="00EF7487"/>
    <w:rsid w:val="00F016D8"/>
    <w:rsid w:val="00F01768"/>
    <w:rsid w:val="00F03B5E"/>
    <w:rsid w:val="00F0471E"/>
    <w:rsid w:val="00F04CD5"/>
    <w:rsid w:val="00F0540D"/>
    <w:rsid w:val="00F05581"/>
    <w:rsid w:val="00F05889"/>
    <w:rsid w:val="00F068B5"/>
    <w:rsid w:val="00F10450"/>
    <w:rsid w:val="00F11982"/>
    <w:rsid w:val="00F121C7"/>
    <w:rsid w:val="00F12BD1"/>
    <w:rsid w:val="00F137E8"/>
    <w:rsid w:val="00F149B5"/>
    <w:rsid w:val="00F149C0"/>
    <w:rsid w:val="00F149EE"/>
    <w:rsid w:val="00F15092"/>
    <w:rsid w:val="00F1614C"/>
    <w:rsid w:val="00F1615C"/>
    <w:rsid w:val="00F1721B"/>
    <w:rsid w:val="00F17809"/>
    <w:rsid w:val="00F17B1F"/>
    <w:rsid w:val="00F17E38"/>
    <w:rsid w:val="00F20D7B"/>
    <w:rsid w:val="00F212F7"/>
    <w:rsid w:val="00F2339F"/>
    <w:rsid w:val="00F23638"/>
    <w:rsid w:val="00F2647F"/>
    <w:rsid w:val="00F27521"/>
    <w:rsid w:val="00F2756B"/>
    <w:rsid w:val="00F27763"/>
    <w:rsid w:val="00F279ED"/>
    <w:rsid w:val="00F30499"/>
    <w:rsid w:val="00F3083D"/>
    <w:rsid w:val="00F31708"/>
    <w:rsid w:val="00F337DE"/>
    <w:rsid w:val="00F33F5F"/>
    <w:rsid w:val="00F344CC"/>
    <w:rsid w:val="00F345B5"/>
    <w:rsid w:val="00F347CD"/>
    <w:rsid w:val="00F3528B"/>
    <w:rsid w:val="00F353C4"/>
    <w:rsid w:val="00F36054"/>
    <w:rsid w:val="00F36BBE"/>
    <w:rsid w:val="00F37156"/>
    <w:rsid w:val="00F37466"/>
    <w:rsid w:val="00F403D7"/>
    <w:rsid w:val="00F41D6B"/>
    <w:rsid w:val="00F42ACA"/>
    <w:rsid w:val="00F437A1"/>
    <w:rsid w:val="00F459A0"/>
    <w:rsid w:val="00F45AC2"/>
    <w:rsid w:val="00F471CE"/>
    <w:rsid w:val="00F50C03"/>
    <w:rsid w:val="00F51821"/>
    <w:rsid w:val="00F53111"/>
    <w:rsid w:val="00F5321D"/>
    <w:rsid w:val="00F54850"/>
    <w:rsid w:val="00F553D8"/>
    <w:rsid w:val="00F55DA4"/>
    <w:rsid w:val="00F57421"/>
    <w:rsid w:val="00F60398"/>
    <w:rsid w:val="00F60EAF"/>
    <w:rsid w:val="00F61D3F"/>
    <w:rsid w:val="00F64E4B"/>
    <w:rsid w:val="00F673AA"/>
    <w:rsid w:val="00F71EE7"/>
    <w:rsid w:val="00F72FA2"/>
    <w:rsid w:val="00F731A3"/>
    <w:rsid w:val="00F73731"/>
    <w:rsid w:val="00F74A3C"/>
    <w:rsid w:val="00F75671"/>
    <w:rsid w:val="00F76333"/>
    <w:rsid w:val="00F765E2"/>
    <w:rsid w:val="00F7783F"/>
    <w:rsid w:val="00F77AB6"/>
    <w:rsid w:val="00F77BAC"/>
    <w:rsid w:val="00F800BE"/>
    <w:rsid w:val="00F81BA8"/>
    <w:rsid w:val="00F81F46"/>
    <w:rsid w:val="00F8205B"/>
    <w:rsid w:val="00F822D8"/>
    <w:rsid w:val="00F8435F"/>
    <w:rsid w:val="00F84863"/>
    <w:rsid w:val="00F84DC6"/>
    <w:rsid w:val="00F8529E"/>
    <w:rsid w:val="00F866BE"/>
    <w:rsid w:val="00F87653"/>
    <w:rsid w:val="00F90F9A"/>
    <w:rsid w:val="00F91ABF"/>
    <w:rsid w:val="00F91FD9"/>
    <w:rsid w:val="00F929F7"/>
    <w:rsid w:val="00F92CFA"/>
    <w:rsid w:val="00F94060"/>
    <w:rsid w:val="00F977FB"/>
    <w:rsid w:val="00F97BCF"/>
    <w:rsid w:val="00FA088A"/>
    <w:rsid w:val="00FA25D1"/>
    <w:rsid w:val="00FA6994"/>
    <w:rsid w:val="00FA6F31"/>
    <w:rsid w:val="00FB0166"/>
    <w:rsid w:val="00FB0919"/>
    <w:rsid w:val="00FB1248"/>
    <w:rsid w:val="00FB293B"/>
    <w:rsid w:val="00FB419E"/>
    <w:rsid w:val="00FB49E9"/>
    <w:rsid w:val="00FB4FC8"/>
    <w:rsid w:val="00FB7419"/>
    <w:rsid w:val="00FC053A"/>
    <w:rsid w:val="00FC28D6"/>
    <w:rsid w:val="00FC2D85"/>
    <w:rsid w:val="00FC2E84"/>
    <w:rsid w:val="00FC5E7C"/>
    <w:rsid w:val="00FD393B"/>
    <w:rsid w:val="00FD5148"/>
    <w:rsid w:val="00FD582B"/>
    <w:rsid w:val="00FD73A4"/>
    <w:rsid w:val="00FD7989"/>
    <w:rsid w:val="00FD79BB"/>
    <w:rsid w:val="00FD7E30"/>
    <w:rsid w:val="00FE03F5"/>
    <w:rsid w:val="00FE1D19"/>
    <w:rsid w:val="00FE25BB"/>
    <w:rsid w:val="00FE260E"/>
    <w:rsid w:val="00FE2D06"/>
    <w:rsid w:val="00FE3449"/>
    <w:rsid w:val="00FE39B9"/>
    <w:rsid w:val="00FE3BC7"/>
    <w:rsid w:val="00FE3D5B"/>
    <w:rsid w:val="00FE3DD1"/>
    <w:rsid w:val="00FE3E27"/>
    <w:rsid w:val="00FE3EA7"/>
    <w:rsid w:val="00FE3EDE"/>
    <w:rsid w:val="00FE450F"/>
    <w:rsid w:val="00FE64D2"/>
    <w:rsid w:val="00FF1D4E"/>
    <w:rsid w:val="00FF21C5"/>
    <w:rsid w:val="00FF2A9C"/>
    <w:rsid w:val="00FF3A34"/>
    <w:rsid w:val="00FF618E"/>
    <w:rsid w:val="00FF6289"/>
    <w:rsid w:val="00FF65B7"/>
    <w:rsid w:val="00FF6769"/>
    <w:rsid w:val="00FF6DA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7A629"/>
  <w15:docId w15:val="{C3E3A9E9-4ED2-4195-B6B8-568D4FB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B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59B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E459B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459B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459B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B4B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4B4BB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B4BB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B4BB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B4B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459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459B3"/>
  </w:style>
  <w:style w:type="paragraph" w:customStyle="1" w:styleId="00ClientCover">
    <w:name w:val="00ClientCover"/>
    <w:basedOn w:val="Normal"/>
    <w:rsid w:val="00E459B3"/>
  </w:style>
  <w:style w:type="paragraph" w:customStyle="1" w:styleId="02Text">
    <w:name w:val="02Text"/>
    <w:basedOn w:val="Normal"/>
    <w:rsid w:val="00E459B3"/>
  </w:style>
  <w:style w:type="paragraph" w:customStyle="1" w:styleId="BillBasic">
    <w:name w:val="BillBasic"/>
    <w:link w:val="BillBasicChar"/>
    <w:rsid w:val="00E459B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459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59B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459B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459B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459B3"/>
    <w:pPr>
      <w:spacing w:before="240"/>
    </w:pPr>
  </w:style>
  <w:style w:type="paragraph" w:customStyle="1" w:styleId="EnactingWords">
    <w:name w:val="EnactingWords"/>
    <w:basedOn w:val="BillBasic"/>
    <w:rsid w:val="00E459B3"/>
    <w:pPr>
      <w:spacing w:before="120"/>
    </w:pPr>
  </w:style>
  <w:style w:type="paragraph" w:customStyle="1" w:styleId="Amain">
    <w:name w:val="A main"/>
    <w:basedOn w:val="BillBasic"/>
    <w:rsid w:val="00E459B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459B3"/>
    <w:pPr>
      <w:ind w:left="1100"/>
    </w:pPr>
  </w:style>
  <w:style w:type="paragraph" w:customStyle="1" w:styleId="Apara">
    <w:name w:val="A para"/>
    <w:basedOn w:val="BillBasic"/>
    <w:link w:val="AparaChar"/>
    <w:rsid w:val="00E459B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459B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459B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459B3"/>
    <w:pPr>
      <w:ind w:left="1100"/>
    </w:pPr>
  </w:style>
  <w:style w:type="paragraph" w:customStyle="1" w:styleId="aExamHead">
    <w:name w:val="aExam Head"/>
    <w:basedOn w:val="BillBasicHeading"/>
    <w:next w:val="aExam"/>
    <w:rsid w:val="00E459B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459B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459B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459B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459B3"/>
    <w:pPr>
      <w:spacing w:before="120" w:after="60"/>
    </w:pPr>
  </w:style>
  <w:style w:type="paragraph" w:customStyle="1" w:styleId="HeaderOdd6">
    <w:name w:val="HeaderOdd6"/>
    <w:basedOn w:val="HeaderEven6"/>
    <w:rsid w:val="00E459B3"/>
    <w:pPr>
      <w:jc w:val="right"/>
    </w:pPr>
  </w:style>
  <w:style w:type="paragraph" w:customStyle="1" w:styleId="HeaderOdd">
    <w:name w:val="HeaderOdd"/>
    <w:basedOn w:val="HeaderEven"/>
    <w:rsid w:val="00E459B3"/>
    <w:pPr>
      <w:jc w:val="right"/>
    </w:pPr>
  </w:style>
  <w:style w:type="paragraph" w:customStyle="1" w:styleId="N-TOCheading">
    <w:name w:val="N-TOCheading"/>
    <w:basedOn w:val="BillBasicHeading"/>
    <w:next w:val="N-9pt"/>
    <w:rsid w:val="00E459B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459B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459B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459B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459B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459B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459B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459B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459B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459B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459B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459B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459B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459B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459B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459B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459B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459B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459B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459B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459B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459B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B4BB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459B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459B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459B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459B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459B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459B3"/>
    <w:rPr>
      <w:rFonts w:ascii="Arial" w:hAnsi="Arial"/>
      <w:sz w:val="16"/>
    </w:rPr>
  </w:style>
  <w:style w:type="paragraph" w:customStyle="1" w:styleId="PageBreak">
    <w:name w:val="PageBreak"/>
    <w:basedOn w:val="Normal"/>
    <w:rsid w:val="00E459B3"/>
    <w:rPr>
      <w:sz w:val="4"/>
    </w:rPr>
  </w:style>
  <w:style w:type="paragraph" w:customStyle="1" w:styleId="04Dictionary">
    <w:name w:val="04Dictionary"/>
    <w:basedOn w:val="Normal"/>
    <w:rsid w:val="00E459B3"/>
  </w:style>
  <w:style w:type="paragraph" w:customStyle="1" w:styleId="N-line1">
    <w:name w:val="N-line1"/>
    <w:basedOn w:val="BillBasic"/>
    <w:rsid w:val="00E459B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459B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459B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459B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459B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459B3"/>
  </w:style>
  <w:style w:type="paragraph" w:customStyle="1" w:styleId="03Schedule">
    <w:name w:val="03Schedule"/>
    <w:basedOn w:val="Normal"/>
    <w:rsid w:val="00E459B3"/>
  </w:style>
  <w:style w:type="paragraph" w:customStyle="1" w:styleId="ISched-heading">
    <w:name w:val="I Sched-heading"/>
    <w:basedOn w:val="BillBasicHeading"/>
    <w:next w:val="Normal"/>
    <w:rsid w:val="00E459B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459B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459B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459B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459B3"/>
  </w:style>
  <w:style w:type="paragraph" w:customStyle="1" w:styleId="Ipara">
    <w:name w:val="I para"/>
    <w:basedOn w:val="Apara"/>
    <w:rsid w:val="00E459B3"/>
    <w:pPr>
      <w:outlineLvl w:val="9"/>
    </w:pPr>
  </w:style>
  <w:style w:type="paragraph" w:customStyle="1" w:styleId="Isubpara">
    <w:name w:val="I subpara"/>
    <w:basedOn w:val="Asubpara"/>
    <w:rsid w:val="00E459B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459B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459B3"/>
  </w:style>
  <w:style w:type="character" w:customStyle="1" w:styleId="CharDivNo">
    <w:name w:val="CharDivNo"/>
    <w:basedOn w:val="DefaultParagraphFont"/>
    <w:rsid w:val="00E459B3"/>
  </w:style>
  <w:style w:type="character" w:customStyle="1" w:styleId="CharDivText">
    <w:name w:val="CharDivText"/>
    <w:basedOn w:val="DefaultParagraphFont"/>
    <w:rsid w:val="00E459B3"/>
  </w:style>
  <w:style w:type="character" w:customStyle="1" w:styleId="CharPartNo">
    <w:name w:val="CharPartNo"/>
    <w:basedOn w:val="DefaultParagraphFont"/>
    <w:rsid w:val="00E459B3"/>
  </w:style>
  <w:style w:type="paragraph" w:customStyle="1" w:styleId="Placeholder">
    <w:name w:val="Placeholder"/>
    <w:basedOn w:val="Normal"/>
    <w:rsid w:val="00E459B3"/>
    <w:rPr>
      <w:sz w:val="10"/>
    </w:rPr>
  </w:style>
  <w:style w:type="paragraph" w:styleId="PlainText">
    <w:name w:val="Plain Text"/>
    <w:basedOn w:val="Normal"/>
    <w:link w:val="PlainTextChar"/>
    <w:rsid w:val="00E459B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459B3"/>
  </w:style>
  <w:style w:type="character" w:customStyle="1" w:styleId="CharChapText">
    <w:name w:val="CharChapText"/>
    <w:basedOn w:val="DefaultParagraphFont"/>
    <w:rsid w:val="00E459B3"/>
  </w:style>
  <w:style w:type="character" w:customStyle="1" w:styleId="CharPartText">
    <w:name w:val="CharPartText"/>
    <w:basedOn w:val="DefaultParagraphFont"/>
    <w:rsid w:val="00E459B3"/>
  </w:style>
  <w:style w:type="paragraph" w:styleId="TOC1">
    <w:name w:val="toc 1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459B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459B3"/>
  </w:style>
  <w:style w:type="paragraph" w:styleId="Title">
    <w:name w:val="Title"/>
    <w:basedOn w:val="Normal"/>
    <w:link w:val="TitleChar"/>
    <w:qFormat/>
    <w:rsid w:val="004B4B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E459B3"/>
    <w:pPr>
      <w:ind w:left="4252"/>
    </w:pPr>
  </w:style>
  <w:style w:type="paragraph" w:customStyle="1" w:styleId="ActNo">
    <w:name w:val="ActNo"/>
    <w:basedOn w:val="BillBasicHeading"/>
    <w:rsid w:val="00E459B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459B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459B3"/>
    <w:pPr>
      <w:ind w:left="1500" w:hanging="400"/>
    </w:pPr>
  </w:style>
  <w:style w:type="paragraph" w:customStyle="1" w:styleId="LongTitle">
    <w:name w:val="LongTitle"/>
    <w:basedOn w:val="BillBasic"/>
    <w:rsid w:val="00E459B3"/>
    <w:pPr>
      <w:spacing w:before="300"/>
    </w:pPr>
  </w:style>
  <w:style w:type="paragraph" w:customStyle="1" w:styleId="Minister">
    <w:name w:val="Minister"/>
    <w:basedOn w:val="BillBasic"/>
    <w:rsid w:val="00E459B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459B3"/>
    <w:pPr>
      <w:tabs>
        <w:tab w:val="left" w:pos="4320"/>
      </w:tabs>
    </w:pPr>
  </w:style>
  <w:style w:type="paragraph" w:customStyle="1" w:styleId="madeunder">
    <w:name w:val="made under"/>
    <w:basedOn w:val="BillBasic"/>
    <w:rsid w:val="00E459B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B4BB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459B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459B3"/>
    <w:rPr>
      <w:i/>
    </w:rPr>
  </w:style>
  <w:style w:type="paragraph" w:customStyle="1" w:styleId="00SigningPage">
    <w:name w:val="00SigningPage"/>
    <w:basedOn w:val="Normal"/>
    <w:rsid w:val="00E459B3"/>
  </w:style>
  <w:style w:type="paragraph" w:customStyle="1" w:styleId="Aparareturn">
    <w:name w:val="A para return"/>
    <w:basedOn w:val="BillBasic"/>
    <w:rsid w:val="00E459B3"/>
    <w:pPr>
      <w:ind w:left="1600"/>
    </w:pPr>
  </w:style>
  <w:style w:type="paragraph" w:customStyle="1" w:styleId="Asubparareturn">
    <w:name w:val="A subpara return"/>
    <w:basedOn w:val="BillBasic"/>
    <w:rsid w:val="00E459B3"/>
    <w:pPr>
      <w:ind w:left="2100"/>
    </w:pPr>
  </w:style>
  <w:style w:type="paragraph" w:customStyle="1" w:styleId="CommentNum">
    <w:name w:val="CommentNum"/>
    <w:basedOn w:val="Comment"/>
    <w:rsid w:val="00E459B3"/>
    <w:pPr>
      <w:ind w:left="1800" w:hanging="1800"/>
    </w:pPr>
  </w:style>
  <w:style w:type="paragraph" w:styleId="TOC8">
    <w:name w:val="toc 8"/>
    <w:basedOn w:val="TOC3"/>
    <w:next w:val="Normal"/>
    <w:autoRedefine/>
    <w:rsid w:val="00E459B3"/>
    <w:pPr>
      <w:keepNext w:val="0"/>
      <w:spacing w:before="120"/>
    </w:pPr>
  </w:style>
  <w:style w:type="paragraph" w:customStyle="1" w:styleId="Judges">
    <w:name w:val="Judges"/>
    <w:basedOn w:val="Minister"/>
    <w:rsid w:val="00E459B3"/>
    <w:pPr>
      <w:spacing w:before="180"/>
    </w:pPr>
  </w:style>
  <w:style w:type="paragraph" w:customStyle="1" w:styleId="BillFor">
    <w:name w:val="BillFor"/>
    <w:basedOn w:val="BillBasicHeading"/>
    <w:rsid w:val="00E459B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459B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459B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459B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459B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459B3"/>
    <w:pPr>
      <w:spacing w:before="60"/>
      <w:ind w:left="2540" w:hanging="400"/>
    </w:pPr>
  </w:style>
  <w:style w:type="paragraph" w:customStyle="1" w:styleId="aDefpara">
    <w:name w:val="aDef para"/>
    <w:basedOn w:val="Apara"/>
    <w:rsid w:val="00E459B3"/>
  </w:style>
  <w:style w:type="paragraph" w:customStyle="1" w:styleId="aDefsubpara">
    <w:name w:val="aDef subpara"/>
    <w:basedOn w:val="Asubpara"/>
    <w:rsid w:val="00E459B3"/>
  </w:style>
  <w:style w:type="paragraph" w:customStyle="1" w:styleId="Idefpara">
    <w:name w:val="I def para"/>
    <w:basedOn w:val="Ipara"/>
    <w:rsid w:val="00E459B3"/>
  </w:style>
  <w:style w:type="paragraph" w:customStyle="1" w:styleId="Idefsubpara">
    <w:name w:val="I def subpara"/>
    <w:basedOn w:val="Isubpara"/>
    <w:rsid w:val="00E459B3"/>
  </w:style>
  <w:style w:type="paragraph" w:customStyle="1" w:styleId="Notified">
    <w:name w:val="Notified"/>
    <w:basedOn w:val="BillBasic"/>
    <w:rsid w:val="00E459B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459B3"/>
  </w:style>
  <w:style w:type="paragraph" w:customStyle="1" w:styleId="IDict-Heading">
    <w:name w:val="I Dict-Heading"/>
    <w:basedOn w:val="BillBasicHeading"/>
    <w:rsid w:val="00E459B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459B3"/>
  </w:style>
  <w:style w:type="paragraph" w:styleId="Salutation">
    <w:name w:val="Salutation"/>
    <w:basedOn w:val="Normal"/>
    <w:next w:val="Normal"/>
    <w:link w:val="SalutationChar"/>
    <w:rsid w:val="004B4BBA"/>
  </w:style>
  <w:style w:type="paragraph" w:customStyle="1" w:styleId="aNoteBullet">
    <w:name w:val="aNoteBullet"/>
    <w:basedOn w:val="aNoteSymb"/>
    <w:rsid w:val="00E459B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B4BB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459B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459B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459B3"/>
    <w:pPr>
      <w:spacing w:before="60"/>
      <w:ind w:firstLine="0"/>
    </w:pPr>
  </w:style>
  <w:style w:type="paragraph" w:customStyle="1" w:styleId="MinisterWord">
    <w:name w:val="MinisterWord"/>
    <w:basedOn w:val="Normal"/>
    <w:rsid w:val="00E459B3"/>
    <w:pPr>
      <w:spacing w:before="60"/>
      <w:jc w:val="right"/>
    </w:pPr>
  </w:style>
  <w:style w:type="paragraph" w:customStyle="1" w:styleId="aExamPara">
    <w:name w:val="aExamPara"/>
    <w:basedOn w:val="aExam"/>
    <w:rsid w:val="00E459B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459B3"/>
    <w:pPr>
      <w:ind w:left="1500"/>
    </w:pPr>
  </w:style>
  <w:style w:type="paragraph" w:customStyle="1" w:styleId="aExamBullet">
    <w:name w:val="aExamBullet"/>
    <w:basedOn w:val="aExam"/>
    <w:rsid w:val="00E459B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459B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459B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459B3"/>
    <w:rPr>
      <w:sz w:val="20"/>
    </w:rPr>
  </w:style>
  <w:style w:type="paragraph" w:customStyle="1" w:styleId="aParaNotePara">
    <w:name w:val="aParaNotePara"/>
    <w:basedOn w:val="aNoteParaSymb"/>
    <w:rsid w:val="00E459B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459B3"/>
    <w:rPr>
      <w:b/>
    </w:rPr>
  </w:style>
  <w:style w:type="character" w:customStyle="1" w:styleId="charBoldItals">
    <w:name w:val="charBoldItals"/>
    <w:basedOn w:val="DefaultParagraphFont"/>
    <w:rsid w:val="00E459B3"/>
    <w:rPr>
      <w:b/>
      <w:i/>
    </w:rPr>
  </w:style>
  <w:style w:type="character" w:customStyle="1" w:styleId="charItals">
    <w:name w:val="charItals"/>
    <w:basedOn w:val="DefaultParagraphFont"/>
    <w:rsid w:val="00E459B3"/>
    <w:rPr>
      <w:i/>
    </w:rPr>
  </w:style>
  <w:style w:type="character" w:customStyle="1" w:styleId="charUnderline">
    <w:name w:val="charUnderline"/>
    <w:basedOn w:val="DefaultParagraphFont"/>
    <w:rsid w:val="00E459B3"/>
    <w:rPr>
      <w:u w:val="single"/>
    </w:rPr>
  </w:style>
  <w:style w:type="paragraph" w:customStyle="1" w:styleId="TableHd">
    <w:name w:val="TableHd"/>
    <w:basedOn w:val="Normal"/>
    <w:rsid w:val="00E459B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459B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459B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459B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459B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459B3"/>
    <w:pPr>
      <w:spacing w:before="60" w:after="60"/>
    </w:pPr>
  </w:style>
  <w:style w:type="paragraph" w:customStyle="1" w:styleId="IshadedH5Sec">
    <w:name w:val="I shaded H5 Sec"/>
    <w:basedOn w:val="AH5Sec"/>
    <w:rsid w:val="00E459B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459B3"/>
  </w:style>
  <w:style w:type="paragraph" w:customStyle="1" w:styleId="Penalty">
    <w:name w:val="Penalty"/>
    <w:basedOn w:val="Amainreturn"/>
    <w:rsid w:val="00E459B3"/>
  </w:style>
  <w:style w:type="paragraph" w:customStyle="1" w:styleId="aNoteText">
    <w:name w:val="aNoteText"/>
    <w:basedOn w:val="aNoteSymb"/>
    <w:rsid w:val="00E459B3"/>
    <w:pPr>
      <w:spacing w:before="60"/>
      <w:ind w:firstLine="0"/>
    </w:pPr>
  </w:style>
  <w:style w:type="paragraph" w:customStyle="1" w:styleId="aExamINum">
    <w:name w:val="aExamINum"/>
    <w:basedOn w:val="aExam"/>
    <w:rsid w:val="004B4BB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459B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B4BBA"/>
    <w:pPr>
      <w:keepNext/>
      <w:keepLines/>
      <w:numPr>
        <w:numId w:val="8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459B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459B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459B3"/>
    <w:pPr>
      <w:ind w:left="1600"/>
    </w:pPr>
  </w:style>
  <w:style w:type="paragraph" w:customStyle="1" w:styleId="aExampar">
    <w:name w:val="aExampar"/>
    <w:basedOn w:val="aExamss"/>
    <w:rsid w:val="00E459B3"/>
    <w:pPr>
      <w:ind w:left="1600"/>
    </w:pPr>
  </w:style>
  <w:style w:type="paragraph" w:customStyle="1" w:styleId="aExamINumss">
    <w:name w:val="aExamINumss"/>
    <w:basedOn w:val="aExamss"/>
    <w:rsid w:val="00E459B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459B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459B3"/>
    <w:pPr>
      <w:ind w:left="1500"/>
    </w:pPr>
  </w:style>
  <w:style w:type="paragraph" w:customStyle="1" w:styleId="aExamNumTextpar">
    <w:name w:val="aExamNumTextpar"/>
    <w:basedOn w:val="aExampar"/>
    <w:rsid w:val="004B4BBA"/>
    <w:pPr>
      <w:ind w:left="2000"/>
    </w:pPr>
  </w:style>
  <w:style w:type="paragraph" w:customStyle="1" w:styleId="aExamBulletss">
    <w:name w:val="aExamBulletss"/>
    <w:basedOn w:val="aExamss"/>
    <w:rsid w:val="00E459B3"/>
    <w:pPr>
      <w:ind w:left="1500" w:hanging="400"/>
    </w:pPr>
  </w:style>
  <w:style w:type="paragraph" w:customStyle="1" w:styleId="aExamBulletpar">
    <w:name w:val="aExamBulletpar"/>
    <w:basedOn w:val="aExampar"/>
    <w:rsid w:val="00E459B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459B3"/>
    <w:pPr>
      <w:ind w:left="2140"/>
    </w:pPr>
  </w:style>
  <w:style w:type="paragraph" w:customStyle="1" w:styleId="aExamsubpar">
    <w:name w:val="aExamsubpar"/>
    <w:basedOn w:val="aExamss"/>
    <w:rsid w:val="00E459B3"/>
    <w:pPr>
      <w:ind w:left="2140"/>
    </w:pPr>
  </w:style>
  <w:style w:type="paragraph" w:customStyle="1" w:styleId="aExamNumsubpar">
    <w:name w:val="aExamNumsubpar"/>
    <w:basedOn w:val="aExamsubpar"/>
    <w:rsid w:val="00E459B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B4BBA"/>
    <w:pPr>
      <w:ind w:left="2540"/>
    </w:pPr>
  </w:style>
  <w:style w:type="paragraph" w:customStyle="1" w:styleId="aExamBulletsubpar">
    <w:name w:val="aExamBulletsubpar"/>
    <w:basedOn w:val="aExamsubpar"/>
    <w:rsid w:val="00E459B3"/>
    <w:pPr>
      <w:numPr>
        <w:numId w:val="22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459B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459B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459B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459B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459B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B4BB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459B3"/>
    <w:pPr>
      <w:numPr>
        <w:numId w:val="10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459B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459B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459B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B4BB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B4BB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B4BB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459B3"/>
  </w:style>
  <w:style w:type="paragraph" w:customStyle="1" w:styleId="SchApara">
    <w:name w:val="Sch A para"/>
    <w:basedOn w:val="Apara"/>
    <w:rsid w:val="00E459B3"/>
  </w:style>
  <w:style w:type="paragraph" w:customStyle="1" w:styleId="SchAsubpara">
    <w:name w:val="Sch A subpara"/>
    <w:basedOn w:val="Asubpara"/>
    <w:rsid w:val="00E459B3"/>
  </w:style>
  <w:style w:type="paragraph" w:customStyle="1" w:styleId="SchAsubsubpara">
    <w:name w:val="Sch A subsubpara"/>
    <w:basedOn w:val="Asubsubpara"/>
    <w:rsid w:val="00E459B3"/>
  </w:style>
  <w:style w:type="paragraph" w:customStyle="1" w:styleId="TOCOL1">
    <w:name w:val="TOCOL 1"/>
    <w:basedOn w:val="TOC1"/>
    <w:rsid w:val="00E459B3"/>
  </w:style>
  <w:style w:type="paragraph" w:customStyle="1" w:styleId="TOCOL2">
    <w:name w:val="TOCOL 2"/>
    <w:basedOn w:val="TOC2"/>
    <w:rsid w:val="00E459B3"/>
    <w:pPr>
      <w:keepNext w:val="0"/>
    </w:pPr>
  </w:style>
  <w:style w:type="paragraph" w:customStyle="1" w:styleId="TOCOL3">
    <w:name w:val="TOCOL 3"/>
    <w:basedOn w:val="TOC3"/>
    <w:rsid w:val="00E459B3"/>
    <w:pPr>
      <w:keepNext w:val="0"/>
    </w:pPr>
  </w:style>
  <w:style w:type="paragraph" w:customStyle="1" w:styleId="TOCOL4">
    <w:name w:val="TOCOL 4"/>
    <w:basedOn w:val="TOC4"/>
    <w:rsid w:val="00E459B3"/>
    <w:pPr>
      <w:keepNext w:val="0"/>
    </w:pPr>
  </w:style>
  <w:style w:type="paragraph" w:customStyle="1" w:styleId="TOCOL5">
    <w:name w:val="TOCOL 5"/>
    <w:basedOn w:val="TOC5"/>
    <w:rsid w:val="00E459B3"/>
    <w:pPr>
      <w:tabs>
        <w:tab w:val="left" w:pos="400"/>
      </w:tabs>
    </w:pPr>
  </w:style>
  <w:style w:type="paragraph" w:customStyle="1" w:styleId="TOCOL6">
    <w:name w:val="TOCOL 6"/>
    <w:basedOn w:val="TOC6"/>
    <w:rsid w:val="00E459B3"/>
    <w:pPr>
      <w:keepNext w:val="0"/>
    </w:pPr>
  </w:style>
  <w:style w:type="paragraph" w:customStyle="1" w:styleId="TOCOL7">
    <w:name w:val="TOCOL 7"/>
    <w:basedOn w:val="TOC7"/>
    <w:rsid w:val="00E459B3"/>
  </w:style>
  <w:style w:type="paragraph" w:customStyle="1" w:styleId="TOCOL8">
    <w:name w:val="TOCOL 8"/>
    <w:basedOn w:val="TOC8"/>
    <w:rsid w:val="00E459B3"/>
  </w:style>
  <w:style w:type="paragraph" w:customStyle="1" w:styleId="TOCOL9">
    <w:name w:val="TOCOL 9"/>
    <w:basedOn w:val="TOC9"/>
    <w:rsid w:val="00E459B3"/>
    <w:pPr>
      <w:ind w:right="0"/>
    </w:pPr>
  </w:style>
  <w:style w:type="paragraph" w:styleId="TOC9">
    <w:name w:val="toc 9"/>
    <w:basedOn w:val="Normal"/>
    <w:next w:val="Normal"/>
    <w:autoRedefine/>
    <w:rsid w:val="00E459B3"/>
    <w:pPr>
      <w:ind w:left="1920" w:right="600"/>
    </w:pPr>
  </w:style>
  <w:style w:type="paragraph" w:customStyle="1" w:styleId="Billname1">
    <w:name w:val="Billname1"/>
    <w:basedOn w:val="Normal"/>
    <w:rsid w:val="00E459B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459B3"/>
    <w:rPr>
      <w:sz w:val="20"/>
    </w:rPr>
  </w:style>
  <w:style w:type="paragraph" w:customStyle="1" w:styleId="TablePara10">
    <w:name w:val="TablePara10"/>
    <w:basedOn w:val="tablepara"/>
    <w:rsid w:val="00E459B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459B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459B3"/>
  </w:style>
  <w:style w:type="character" w:customStyle="1" w:styleId="charPage">
    <w:name w:val="charPage"/>
    <w:basedOn w:val="DefaultParagraphFont"/>
    <w:rsid w:val="00E459B3"/>
  </w:style>
  <w:style w:type="character" w:styleId="PageNumber">
    <w:name w:val="page number"/>
    <w:basedOn w:val="DefaultParagraphFont"/>
    <w:rsid w:val="00E459B3"/>
  </w:style>
  <w:style w:type="paragraph" w:customStyle="1" w:styleId="Letterhead">
    <w:name w:val="Letterhead"/>
    <w:rsid w:val="004B4BB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B4BB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B4BB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4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9B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B4BBA"/>
  </w:style>
  <w:style w:type="character" w:customStyle="1" w:styleId="FooterChar">
    <w:name w:val="Footer Char"/>
    <w:basedOn w:val="DefaultParagraphFont"/>
    <w:link w:val="Footer"/>
    <w:rsid w:val="00E459B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B4BB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459B3"/>
  </w:style>
  <w:style w:type="paragraph" w:customStyle="1" w:styleId="TableBullet">
    <w:name w:val="TableBullet"/>
    <w:basedOn w:val="TableText10"/>
    <w:qFormat/>
    <w:rsid w:val="00E459B3"/>
    <w:pPr>
      <w:numPr>
        <w:numId w:val="25"/>
      </w:numPr>
    </w:pPr>
  </w:style>
  <w:style w:type="paragraph" w:customStyle="1" w:styleId="BillCrest">
    <w:name w:val="Bill Crest"/>
    <w:basedOn w:val="Normal"/>
    <w:next w:val="Normal"/>
    <w:rsid w:val="00E459B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459B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B4BB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B4BB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459B3"/>
    <w:pPr>
      <w:numPr>
        <w:numId w:val="26"/>
      </w:numPr>
    </w:pPr>
  </w:style>
  <w:style w:type="paragraph" w:customStyle="1" w:styleId="ISchMain">
    <w:name w:val="I Sch Main"/>
    <w:basedOn w:val="BillBasic"/>
    <w:rsid w:val="00E459B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459B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459B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459B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459B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459B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459B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459B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B4BB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B4BBA"/>
    <w:rPr>
      <w:sz w:val="24"/>
      <w:lang w:eastAsia="en-US"/>
    </w:rPr>
  </w:style>
  <w:style w:type="paragraph" w:customStyle="1" w:styleId="leftparagraph">
    <w:name w:val="leftparagraph"/>
    <w:basedOn w:val="Normal"/>
    <w:rsid w:val="00B27911"/>
    <w:pPr>
      <w:spacing w:before="160" w:after="200"/>
    </w:pPr>
    <w:rPr>
      <w:szCs w:val="24"/>
      <w:lang w:eastAsia="en-AU"/>
    </w:rPr>
  </w:style>
  <w:style w:type="paragraph" w:customStyle="1" w:styleId="headingparagraph">
    <w:name w:val="headingparagraph"/>
    <w:basedOn w:val="Normal"/>
    <w:rsid w:val="00B27911"/>
    <w:pPr>
      <w:spacing w:before="160" w:after="200"/>
      <w:ind w:left="340" w:hanging="340"/>
    </w:pPr>
    <w:rPr>
      <w:rFonts w:ascii="Arial" w:hAnsi="Arial" w:cs="Arial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2791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DefChar">
    <w:name w:val="aDef Char"/>
    <w:basedOn w:val="DefaultParagraphFont"/>
    <w:link w:val="aDef"/>
    <w:locked/>
    <w:rsid w:val="00D36243"/>
    <w:rPr>
      <w:sz w:val="24"/>
      <w:lang w:eastAsia="en-US"/>
    </w:rPr>
  </w:style>
  <w:style w:type="paragraph" w:customStyle="1" w:styleId="Status">
    <w:name w:val="Status"/>
    <w:basedOn w:val="Normal"/>
    <w:rsid w:val="00E459B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459B3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D362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1CE7"/>
    <w:pPr>
      <w:ind w:left="720"/>
      <w:contextualSpacing/>
    </w:pPr>
  </w:style>
  <w:style w:type="paragraph" w:customStyle="1" w:styleId="Default">
    <w:name w:val="Default"/>
    <w:rsid w:val="00ED32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ED325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75578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75578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459B3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75578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975578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75578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5578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975578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975578"/>
    <w:rPr>
      <w:rFonts w:ascii="Arial" w:hAnsi="Arial"/>
      <w:b/>
      <w:i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75578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rsid w:val="00975578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rsid w:val="00975578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75578"/>
    <w:rPr>
      <w:sz w:val="24"/>
      <w:lang w:eastAsia="en-US"/>
    </w:rPr>
  </w:style>
  <w:style w:type="paragraph" w:customStyle="1" w:styleId="CoverInForce">
    <w:name w:val="CoverInForce"/>
    <w:basedOn w:val="BillBasicHeading"/>
    <w:rsid w:val="00E459B3"/>
    <w:pPr>
      <w:keepNext w:val="0"/>
      <w:spacing w:before="400"/>
    </w:pPr>
    <w:rPr>
      <w:b w:val="0"/>
    </w:rPr>
  </w:style>
  <w:style w:type="paragraph" w:customStyle="1" w:styleId="CoverActName">
    <w:name w:val="CoverActName"/>
    <w:basedOn w:val="BillBasicHeading"/>
    <w:rsid w:val="00E459B3"/>
    <w:pPr>
      <w:keepNext w:val="0"/>
      <w:spacing w:before="260"/>
    </w:pPr>
  </w:style>
  <w:style w:type="paragraph" w:customStyle="1" w:styleId="DraftHeading1">
    <w:name w:val="Draft Heading 1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4"/>
    </w:rPr>
  </w:style>
  <w:style w:type="paragraph" w:customStyle="1" w:styleId="DraftHeading2">
    <w:name w:val="Draft Heading 2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3">
    <w:name w:val="Draft Heading 3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4">
    <w:name w:val="Draft Heading 4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ExamHdgLeft282cm">
    <w:name w:val="aExamHdg + Left:  2.82 cm"/>
    <w:basedOn w:val="aExamHdgss"/>
    <w:rsid w:val="00015D6C"/>
    <w:pPr>
      <w:ind w:left="1600"/>
    </w:pPr>
  </w:style>
  <w:style w:type="character" w:styleId="UnresolvedMention">
    <w:name w:val="Unresolved Mention"/>
    <w:basedOn w:val="DefaultParagraphFont"/>
    <w:uiPriority w:val="99"/>
    <w:semiHidden/>
    <w:unhideWhenUsed/>
    <w:rsid w:val="00DB043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459B3"/>
  </w:style>
  <w:style w:type="paragraph" w:customStyle="1" w:styleId="05Endnote0">
    <w:name w:val="05Endnote"/>
    <w:basedOn w:val="Normal"/>
    <w:rsid w:val="00E459B3"/>
  </w:style>
  <w:style w:type="paragraph" w:customStyle="1" w:styleId="06Copyright">
    <w:name w:val="06Copyright"/>
    <w:basedOn w:val="Normal"/>
    <w:rsid w:val="00E459B3"/>
  </w:style>
  <w:style w:type="paragraph" w:customStyle="1" w:styleId="RepubNo">
    <w:name w:val="RepubNo"/>
    <w:basedOn w:val="BillBasicHeading"/>
    <w:rsid w:val="00E459B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459B3"/>
    <w:pPr>
      <w:spacing w:before="120"/>
    </w:pPr>
    <w:rPr>
      <w:rFonts w:ascii="Arial" w:hAnsi="Arial"/>
      <w:b/>
      <w:sz w:val="26"/>
    </w:rPr>
  </w:style>
  <w:style w:type="paragraph" w:customStyle="1" w:styleId="CoverHeading">
    <w:name w:val="CoverHeading"/>
    <w:basedOn w:val="Normal"/>
    <w:rsid w:val="00E459B3"/>
    <w:rPr>
      <w:rFonts w:ascii="Arial" w:hAnsi="Arial"/>
      <w:b/>
    </w:rPr>
  </w:style>
  <w:style w:type="paragraph" w:customStyle="1" w:styleId="CoverSubHdg">
    <w:name w:val="CoverSubHdg"/>
    <w:basedOn w:val="CoverHeading"/>
    <w:rsid w:val="00E459B3"/>
    <w:pPr>
      <w:spacing w:before="120"/>
    </w:pPr>
    <w:rPr>
      <w:sz w:val="20"/>
    </w:rPr>
  </w:style>
  <w:style w:type="paragraph" w:customStyle="1" w:styleId="CoverText">
    <w:name w:val="CoverText"/>
    <w:basedOn w:val="Normal"/>
    <w:uiPriority w:val="99"/>
    <w:rsid w:val="00E459B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459B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459B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459B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459B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459B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459B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459B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459B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459B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459B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459B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459B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459B3"/>
  </w:style>
  <w:style w:type="character" w:customStyle="1" w:styleId="charTableText">
    <w:name w:val="charTableText"/>
    <w:basedOn w:val="DefaultParagraphFont"/>
    <w:rsid w:val="00E459B3"/>
  </w:style>
  <w:style w:type="paragraph" w:customStyle="1" w:styleId="Dict-HeadingSymb">
    <w:name w:val="Dict-Heading Symb"/>
    <w:basedOn w:val="Dict-Heading"/>
    <w:rsid w:val="00E459B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459B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459B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459B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459B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45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459B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459B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459B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459B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459B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459B3"/>
    <w:pPr>
      <w:ind w:hanging="480"/>
    </w:pPr>
  </w:style>
  <w:style w:type="paragraph" w:styleId="MacroText">
    <w:name w:val="macro"/>
    <w:link w:val="MacroTextChar"/>
    <w:semiHidden/>
    <w:rsid w:val="00E459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459B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459B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459B3"/>
  </w:style>
  <w:style w:type="paragraph" w:customStyle="1" w:styleId="RenumProvEntries">
    <w:name w:val="RenumProvEntries"/>
    <w:basedOn w:val="Normal"/>
    <w:rsid w:val="00E459B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459B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459B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459B3"/>
    <w:pPr>
      <w:ind w:left="252"/>
    </w:pPr>
  </w:style>
  <w:style w:type="paragraph" w:customStyle="1" w:styleId="RenumTableHdg">
    <w:name w:val="RenumTableHdg"/>
    <w:basedOn w:val="Normal"/>
    <w:rsid w:val="00E459B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459B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459B3"/>
    <w:rPr>
      <w:b w:val="0"/>
    </w:rPr>
  </w:style>
  <w:style w:type="paragraph" w:customStyle="1" w:styleId="Sched-FormSymb">
    <w:name w:val="Sched-Form Symb"/>
    <w:basedOn w:val="Sched-Form"/>
    <w:rsid w:val="00E459B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459B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459B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459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459B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459B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459B3"/>
    <w:pPr>
      <w:ind w:firstLine="0"/>
    </w:pPr>
    <w:rPr>
      <w:b/>
    </w:rPr>
  </w:style>
  <w:style w:type="paragraph" w:customStyle="1" w:styleId="EndNoteTextPub">
    <w:name w:val="EndNoteTextPub"/>
    <w:basedOn w:val="Normal"/>
    <w:rsid w:val="00E459B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459B3"/>
    <w:rPr>
      <w:szCs w:val="24"/>
    </w:rPr>
  </w:style>
  <w:style w:type="character" w:customStyle="1" w:styleId="charNotBold">
    <w:name w:val="charNotBold"/>
    <w:basedOn w:val="DefaultParagraphFont"/>
    <w:rsid w:val="00E459B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459B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459B3"/>
    <w:pPr>
      <w:numPr>
        <w:numId w:val="34"/>
      </w:numPr>
    </w:pPr>
    <w:rPr>
      <w:color w:val="000000"/>
    </w:rPr>
  </w:style>
  <w:style w:type="paragraph" w:customStyle="1" w:styleId="Sched-Form-18Space">
    <w:name w:val="Sched-Form-18Space"/>
    <w:basedOn w:val="Normal"/>
    <w:rsid w:val="00E459B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459B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459B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459B3"/>
    <w:pPr>
      <w:tabs>
        <w:tab w:val="left" w:pos="2700"/>
      </w:tabs>
      <w:spacing w:before="0"/>
    </w:pPr>
  </w:style>
  <w:style w:type="paragraph" w:customStyle="1" w:styleId="parainpara">
    <w:name w:val="para in para"/>
    <w:rsid w:val="00E459B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459B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459B3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459B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459B3"/>
    <w:rPr>
      <w:b w:val="0"/>
      <w:sz w:val="32"/>
    </w:rPr>
  </w:style>
  <w:style w:type="paragraph" w:customStyle="1" w:styleId="MH1Chapter">
    <w:name w:val="M H1 Chapter"/>
    <w:basedOn w:val="AH1Chapter"/>
    <w:rsid w:val="00E459B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459B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459B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459B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459B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459B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459B3"/>
    <w:pPr>
      <w:ind w:left="1800"/>
    </w:pPr>
  </w:style>
  <w:style w:type="paragraph" w:customStyle="1" w:styleId="Modparareturn">
    <w:name w:val="Mod para return"/>
    <w:basedOn w:val="AparareturnSymb"/>
    <w:rsid w:val="00E459B3"/>
    <w:pPr>
      <w:ind w:left="2300"/>
    </w:pPr>
  </w:style>
  <w:style w:type="paragraph" w:customStyle="1" w:styleId="Modsubparareturn">
    <w:name w:val="Mod subpara return"/>
    <w:basedOn w:val="AsubparareturnSymb"/>
    <w:rsid w:val="00E459B3"/>
    <w:pPr>
      <w:ind w:left="3040"/>
    </w:pPr>
  </w:style>
  <w:style w:type="paragraph" w:customStyle="1" w:styleId="Modref">
    <w:name w:val="Mod ref"/>
    <w:basedOn w:val="refSymb"/>
    <w:rsid w:val="00E459B3"/>
    <w:pPr>
      <w:ind w:left="1100"/>
    </w:pPr>
  </w:style>
  <w:style w:type="paragraph" w:customStyle="1" w:styleId="ModaNote">
    <w:name w:val="Mod aNote"/>
    <w:basedOn w:val="aNoteSymb"/>
    <w:rsid w:val="00E459B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459B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459B3"/>
    <w:pPr>
      <w:ind w:left="0" w:firstLine="0"/>
    </w:pPr>
  </w:style>
  <w:style w:type="paragraph" w:customStyle="1" w:styleId="AmdtEntries">
    <w:name w:val="AmdtEntries"/>
    <w:basedOn w:val="BillBasicHeading"/>
    <w:rsid w:val="00E459B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459B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459B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459B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459B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459B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459B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459B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459B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459B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459B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459B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459B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459B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459B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459B3"/>
  </w:style>
  <w:style w:type="paragraph" w:customStyle="1" w:styleId="refSymb">
    <w:name w:val="ref Symb"/>
    <w:basedOn w:val="BillBasic"/>
    <w:next w:val="Normal"/>
    <w:rsid w:val="00E459B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459B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459B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459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459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459B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459B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459B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459B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459B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459B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459B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459B3"/>
    <w:pPr>
      <w:ind w:left="1599" w:hanging="2081"/>
    </w:pPr>
  </w:style>
  <w:style w:type="paragraph" w:customStyle="1" w:styleId="IdefsubparaSymb">
    <w:name w:val="I def subpara Symb"/>
    <w:basedOn w:val="IsubparaSymb"/>
    <w:rsid w:val="00E459B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459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459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459B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459B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459B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459B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459B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459B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459B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459B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459B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459B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459B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459B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459B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459B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459B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459B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459B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459B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459B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459B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459B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459B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459B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459B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459B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459B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459B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459B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459B3"/>
  </w:style>
  <w:style w:type="paragraph" w:customStyle="1" w:styleId="PenaltyParaSymb">
    <w:name w:val="PenaltyPara Symb"/>
    <w:basedOn w:val="Normal"/>
    <w:rsid w:val="00E459B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459B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459B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45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035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3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11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22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20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900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74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9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554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8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140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1423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63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60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98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5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013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05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62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292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821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35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674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441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87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458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3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98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814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588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925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249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360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3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15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412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9092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0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88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04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52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34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50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770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40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071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713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794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77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23372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42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397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4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34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94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85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37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46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0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80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59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62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97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378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281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50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40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s://www.legislation.act.gov.au/a/db_39269/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s://www.legislation.act.gov.au/a/db_39269/" TargetMode="External"/><Relationship Id="rId42" Type="http://schemas.openxmlformats.org/officeDocument/2006/relationships/hyperlink" Target="https://www.legislation.act.gov.au/a/db_39269/" TargetMode="External"/><Relationship Id="rId47" Type="http://schemas.openxmlformats.org/officeDocument/2006/relationships/header" Target="header4.xml"/><Relationship Id="rId50" Type="http://schemas.openxmlformats.org/officeDocument/2006/relationships/footer" Target="footer5.xml"/><Relationship Id="rId55" Type="http://schemas.openxmlformats.org/officeDocument/2006/relationships/hyperlink" Target="https://www.legislation.sa.gov.au/lz?path=/c/a/health%20and%20community%20services%20complaints%20act%202004" TargetMode="External"/><Relationship Id="rId63" Type="http://schemas.openxmlformats.org/officeDocument/2006/relationships/hyperlink" Target="https://legislation.nsw.gov.au/view/html/inforce/current/act-1993-105" TargetMode="External"/><Relationship Id="rId68" Type="http://schemas.openxmlformats.org/officeDocument/2006/relationships/hyperlink" Target="http://www.legislation.act.gov.au/a/1997-69" TargetMode="External"/><Relationship Id="rId76" Type="http://schemas.openxmlformats.org/officeDocument/2006/relationships/header" Target="header6.xml"/><Relationship Id="rId84" Type="http://schemas.openxmlformats.org/officeDocument/2006/relationships/footer" Target="footer9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14-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1994-37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1992-72" TargetMode="External"/><Relationship Id="rId37" Type="http://schemas.openxmlformats.org/officeDocument/2006/relationships/hyperlink" Target="http://www.legislation.act.gov.au/a/1992-72" TargetMode="External"/><Relationship Id="rId40" Type="http://schemas.openxmlformats.org/officeDocument/2006/relationships/hyperlink" Target="http://www.legislation.act.gov.au/a/1997-69" TargetMode="External"/><Relationship Id="rId45" Type="http://schemas.openxmlformats.org/officeDocument/2006/relationships/hyperlink" Target="http://www.legislation.act.gov.au/a/2008-35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hyperlink" Target="https://www.legislation.vic.gov.au/in-force/acts/health-complaints-act-2016/009" TargetMode="External"/><Relationship Id="rId66" Type="http://schemas.openxmlformats.org/officeDocument/2006/relationships/hyperlink" Target="http://www.legislation.act.gov.au/a/1997-69" TargetMode="External"/><Relationship Id="rId74" Type="http://schemas.openxmlformats.org/officeDocument/2006/relationships/hyperlink" Target="http://www.legislation.act.gov.au/a/2005-40" TargetMode="External"/><Relationship Id="rId79" Type="http://schemas.openxmlformats.org/officeDocument/2006/relationships/footer" Target="footer8.xml"/><Relationship Id="rId87" Type="http://schemas.openxmlformats.org/officeDocument/2006/relationships/header" Target="header11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sa.gov.au/lz?path=/c/a/health%20and%20community%20services%20complaints%20act%202004" TargetMode="External"/><Relationship Id="rId82" Type="http://schemas.openxmlformats.org/officeDocument/2006/relationships/header" Target="header8.xml"/><Relationship Id="rId90" Type="http://schemas.openxmlformats.org/officeDocument/2006/relationships/theme" Target="theme/theme1.xml"/><Relationship Id="rId19" Type="http://schemas.openxmlformats.org/officeDocument/2006/relationships/hyperlink" Target="http://www.legislation.act.gov.au/a/2005-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5-40" TargetMode="External"/><Relationship Id="rId27" Type="http://schemas.openxmlformats.org/officeDocument/2006/relationships/hyperlink" Target="http://www.legislation.act.gov.au/a/2010-55" TargetMode="External"/><Relationship Id="rId30" Type="http://schemas.openxmlformats.org/officeDocument/2006/relationships/hyperlink" Target="https://www.legislation.gov.au/Series/C2009A00028" TargetMode="External"/><Relationship Id="rId35" Type="http://schemas.openxmlformats.org/officeDocument/2006/relationships/hyperlink" Target="http://www.legislation.act.gov.au/a/1997-69" TargetMode="External"/><Relationship Id="rId43" Type="http://schemas.openxmlformats.org/officeDocument/2006/relationships/hyperlink" Target="http://www.legislation.act.gov.au/a/2001-14" TargetMode="External"/><Relationship Id="rId48" Type="http://schemas.openxmlformats.org/officeDocument/2006/relationships/header" Target="header5.xml"/><Relationship Id="rId56" Type="http://schemas.openxmlformats.org/officeDocument/2006/relationships/hyperlink" Target="https://www.legislation.wa.gov.au/legislation/statutes.nsf/law_a345.html" TargetMode="External"/><Relationship Id="rId64" Type="http://schemas.openxmlformats.org/officeDocument/2006/relationships/hyperlink" Target="https://www.legislation.vic.gov.au/in-force/acts/health-complaints-act-2016/009" TargetMode="External"/><Relationship Id="rId69" Type="http://schemas.openxmlformats.org/officeDocument/2006/relationships/hyperlink" Target="http://www.legislation.act.gov.au/a/2008-26" TargetMode="External"/><Relationship Id="rId77" Type="http://schemas.openxmlformats.org/officeDocument/2006/relationships/header" Target="header7.xml"/><Relationship Id="rId8" Type="http://schemas.openxmlformats.org/officeDocument/2006/relationships/image" Target="media/image1.png"/><Relationship Id="rId51" Type="http://schemas.openxmlformats.org/officeDocument/2006/relationships/footer" Target="footer6.xml"/><Relationship Id="rId72" Type="http://schemas.openxmlformats.org/officeDocument/2006/relationships/hyperlink" Target="http://www.comlaw.gov.au/Series/C2004A03712" TargetMode="External"/><Relationship Id="rId80" Type="http://schemas.openxmlformats.org/officeDocument/2006/relationships/hyperlink" Target="http://www.legislation.act.gov.au/a/2001-14" TargetMode="External"/><Relationship Id="rId85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1993-13" TargetMode="External"/><Relationship Id="rId38" Type="http://schemas.openxmlformats.org/officeDocument/2006/relationships/hyperlink" Target="http://www.legislation.act.gov.au/a/1993-13" TargetMode="External"/><Relationship Id="rId46" Type="http://schemas.openxmlformats.org/officeDocument/2006/relationships/hyperlink" Target="http://www.legislation.act.gov.au/a/2008-35" TargetMode="External"/><Relationship Id="rId59" Type="http://schemas.openxmlformats.org/officeDocument/2006/relationships/hyperlink" Target="https://www.legislation.qld.gov.au/view/html/inforce/current/act-2013-036" TargetMode="External"/><Relationship Id="rId67" Type="http://schemas.openxmlformats.org/officeDocument/2006/relationships/hyperlink" Target="http://www.legislation.act.gov.au/a/1997-69" TargetMode="Externa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hyperlink" Target="https://www.legislation.wa.gov.au/legislation/statutes.nsf/law_a345.html" TargetMode="External"/><Relationship Id="rId70" Type="http://schemas.openxmlformats.org/officeDocument/2006/relationships/hyperlink" Target="http://www.legislation.act.gov.au/a/1997-125" TargetMode="External"/><Relationship Id="rId75" Type="http://schemas.openxmlformats.org/officeDocument/2006/relationships/hyperlink" Target="http://www.legislation.act.gov.au/a/2005-40" TargetMode="External"/><Relationship Id="rId83" Type="http://schemas.openxmlformats.org/officeDocument/2006/relationships/header" Target="header9.xml"/><Relationship Id="rId88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10-55" TargetMode="External"/><Relationship Id="rId36" Type="http://schemas.openxmlformats.org/officeDocument/2006/relationships/hyperlink" Target="https://www.legislation.gov.au/Series/C2004A00109" TargetMode="External"/><Relationship Id="rId49" Type="http://schemas.openxmlformats.org/officeDocument/2006/relationships/footer" Target="footer4.xml"/><Relationship Id="rId57" Type="http://schemas.openxmlformats.org/officeDocument/2006/relationships/hyperlink" Target="https://legislation.nsw.gov.au/view/html/inforce/current/act-1993-105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legislation.gov.au/Series/C2004A00109" TargetMode="External"/><Relationship Id="rId44" Type="http://schemas.openxmlformats.org/officeDocument/2006/relationships/hyperlink" Target="http://www.legislation.act.gov.au/a/2008-35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hyperlink" Target="https://www.legislation.qld.gov.au/view/html/inforce/current/act-2013-036" TargetMode="External"/><Relationship Id="rId73" Type="http://schemas.openxmlformats.org/officeDocument/2006/relationships/hyperlink" Target="http://www.legislation.act.gov.au/a/2001-14" TargetMode="External"/><Relationship Id="rId78" Type="http://schemas.openxmlformats.org/officeDocument/2006/relationships/footer" Target="footer7.xml"/><Relationship Id="rId81" Type="http://schemas.openxmlformats.org/officeDocument/2006/relationships/hyperlink" Target="http://www.legislation.act.gov.au/" TargetMode="External"/><Relationship Id="rId86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503F-48ED-4A85-B3E1-9DA5A47F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6871</Words>
  <Characters>34238</Characters>
  <Application>Microsoft Office Word</Application>
  <DocSecurity>0</DocSecurity>
  <Lines>940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Commission Amendment Act 2023</vt:lpstr>
    </vt:vector>
  </TitlesOfParts>
  <Manager>Section</Manager>
  <Company>Section</Company>
  <LinksUpToDate>false</LinksUpToDate>
  <CharactersWithSpaces>40860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Commission Amendment Act 2023</dc:title>
  <dc:subject>Amendment</dc:subject>
  <dc:creator>ACT Government</dc:creator>
  <cp:keywords>D31</cp:keywords>
  <dc:description>J2015-690</dc:description>
  <cp:lastModifiedBy>PCODCS</cp:lastModifiedBy>
  <cp:revision>4</cp:revision>
  <cp:lastPrinted>2023-07-05T03:30:00Z</cp:lastPrinted>
  <dcterms:created xsi:type="dcterms:W3CDTF">2023-07-07T05:27:00Z</dcterms:created>
  <dcterms:modified xsi:type="dcterms:W3CDTF">2023-07-07T05:27:00Z</dcterms:modified>
  <cp:category>A2023-29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10684680</vt:lpwstr>
  </property>
  <property fmtid="{D5CDD505-2E9C-101B-9397-08002B2CF9AE}" pid="3" name="JMSREQUIREDCHECKIN">
    <vt:lpwstr/>
  </property>
  <property fmtid="{D5CDD505-2E9C-101B-9397-08002B2CF9AE}" pid="4" name="Security">
    <vt:lpwstr/>
  </property>
  <property fmtid="{D5CDD505-2E9C-101B-9397-08002B2CF9AE}" pid="5" name="Citation">
    <vt:lpwstr>Human Rights Commission Amendment Bill 2023</vt:lpwstr>
  </property>
  <property fmtid="{D5CDD505-2E9C-101B-9397-08002B2CF9AE}" pid="6" name="AmCitation">
    <vt:lpwstr>Human Rights Commission Act 2005</vt:lpwstr>
  </property>
  <property fmtid="{D5CDD505-2E9C-101B-9397-08002B2CF9AE}" pid="7" name="ActName">
    <vt:lpwstr/>
  </property>
  <property fmtid="{D5CDD505-2E9C-101B-9397-08002B2CF9AE}" pid="8" name="DrafterName">
    <vt:lpwstr>Christina Maselos</vt:lpwstr>
  </property>
  <property fmtid="{D5CDD505-2E9C-101B-9397-08002B2CF9AE}" pid="9" name="DrafterEmail">
    <vt:lpwstr>christina.maselos@act.gov.au</vt:lpwstr>
  </property>
  <property fmtid="{D5CDD505-2E9C-101B-9397-08002B2CF9AE}" pid="10" name="DrafterPh">
    <vt:lpwstr>62053775</vt:lpwstr>
  </property>
  <property fmtid="{D5CDD505-2E9C-101B-9397-08002B2CF9AE}" pid="11" name="SettlerName">
    <vt:lpwstr>Mary Toohey</vt:lpwstr>
  </property>
  <property fmtid="{D5CDD505-2E9C-101B-9397-08002B2CF9AE}" pid="12" name="SettlerEmail">
    <vt:lpwstr>mary.toohey@act.gov.au</vt:lpwstr>
  </property>
  <property fmtid="{D5CDD505-2E9C-101B-9397-08002B2CF9AE}" pid="13" name="SettlerPh">
    <vt:lpwstr>62053778</vt:lpwstr>
  </property>
  <property fmtid="{D5CDD505-2E9C-101B-9397-08002B2CF9AE}" pid="14" name="Client">
    <vt:lpwstr>Justice and Community Safety Directorate</vt:lpwstr>
  </property>
  <property fmtid="{D5CDD505-2E9C-101B-9397-08002B2CF9AE}" pid="15" name="ClientName1">
    <vt:lpwstr>Chadia Rad</vt:lpwstr>
  </property>
  <property fmtid="{D5CDD505-2E9C-101B-9397-08002B2CF9AE}" pid="16" name="ClientEmail1">
    <vt:lpwstr>chadia.rad@act.gov.au</vt:lpwstr>
  </property>
  <property fmtid="{D5CDD505-2E9C-101B-9397-08002B2CF9AE}" pid="17" name="ClientPh1">
    <vt:lpwstr>51246216</vt:lpwstr>
  </property>
  <property fmtid="{D5CDD505-2E9C-101B-9397-08002B2CF9AE}" pid="18" name="ClientName2">
    <vt:lpwstr>Helene Delany</vt:lpwstr>
  </property>
  <property fmtid="{D5CDD505-2E9C-101B-9397-08002B2CF9AE}" pid="19" name="ClientEmail2">
    <vt:lpwstr>Helene.delany@act.gov.au</vt:lpwstr>
  </property>
  <property fmtid="{D5CDD505-2E9C-101B-9397-08002B2CF9AE}" pid="20" name="ClientPh2">
    <vt:lpwstr>51249534</vt:lpwstr>
  </property>
  <property fmtid="{D5CDD505-2E9C-101B-9397-08002B2CF9AE}" pid="21" name="CHECKEDOUTFROMJMS">
    <vt:lpwstr/>
  </property>
  <property fmtid="{D5CDD505-2E9C-101B-9397-08002B2CF9AE}" pid="22" name="jobType">
    <vt:lpwstr>Drafting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