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E8" w:rsidRDefault="00D343ED">
      <w:pPr>
        <w:pStyle w:val="AFHdg"/>
      </w:pPr>
      <w:bookmarkStart w:id="0" w:name="_GoBack"/>
      <w:bookmarkEnd w:id="0"/>
      <w:r>
        <w:t>Approved form AF2002-44</w:t>
      </w:r>
    </w:p>
    <w:p w:rsidR="00EB4EE8" w:rsidRDefault="00EB4EE8">
      <w:pPr>
        <w:pStyle w:val="N-line3"/>
      </w:pPr>
    </w:p>
    <w:p w:rsidR="00EB4EE8" w:rsidRDefault="00D343ED">
      <w:pPr>
        <w:pStyle w:val="CoverInForce"/>
      </w:pPr>
      <w:r>
        <w:t>approved by the registrar of the Magistrates Court on 27/3/02 under the</w:t>
      </w:r>
    </w:p>
    <w:p w:rsidR="00EB4EE8" w:rsidRDefault="00D343ED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EB4EE8" w:rsidRDefault="00EB4EE8">
      <w:pPr>
        <w:pStyle w:val="N-line3"/>
      </w:pPr>
    </w:p>
    <w:p w:rsidR="00EB4EE8" w:rsidRDefault="00D343ED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11</w:t>
      </w:r>
    </w:p>
    <w:p w:rsidR="00EB4EE8" w:rsidRDefault="00D343ED">
      <w:pPr>
        <w:pStyle w:val="ref"/>
      </w:pPr>
      <w:bookmarkStart w:id="2" w:name="_Toc514837380"/>
      <w:bookmarkStart w:id="3" w:name="_Toc503847253"/>
      <w:r>
        <w:t>(see reg 35(1))</w:t>
      </w:r>
    </w:p>
    <w:bookmarkEnd w:id="2"/>
    <w:bookmarkEnd w:id="3"/>
    <w:p w:rsidR="00EB4EE8" w:rsidRDefault="00D343E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EB4EE8" w:rsidRDefault="00EB4EE8">
      <w:pPr>
        <w:spacing w:before="120"/>
        <w:rPr>
          <w:rFonts w:ascii="Arial" w:hAnsi="Arial" w:cs="Arial"/>
        </w:rPr>
      </w:pPr>
    </w:p>
    <w:p w:rsidR="00EB4EE8" w:rsidRDefault="00D343ED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Notice to produce at hearing</w:t>
      </w:r>
    </w:p>
    <w:p w:rsidR="00EB4EE8" w:rsidRDefault="00EB4EE8">
      <w:pPr>
        <w:spacing w:before="120"/>
        <w:rPr>
          <w:rFonts w:ascii="Arial" w:hAnsi="Arial" w:cs="Arial"/>
        </w:rPr>
      </w:pPr>
    </w:p>
    <w:p w:rsidR="00EB4EE8" w:rsidRDefault="00D343ED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To the respondent (</w:t>
      </w:r>
      <w:r>
        <w:rPr>
          <w:i/>
          <w:iCs/>
          <w:sz w:val="18"/>
          <w:szCs w:val="18"/>
        </w:rPr>
        <w:t xml:space="preserve">or </w:t>
      </w:r>
      <w:r>
        <w:rPr>
          <w:sz w:val="18"/>
          <w:szCs w:val="18"/>
        </w:rPr>
        <w:t>applicant):</w:t>
      </w:r>
    </w:p>
    <w:p w:rsidR="00EB4EE8" w:rsidRDefault="00D343ED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The applicant (</w:t>
      </w:r>
      <w:r>
        <w:rPr>
          <w:i/>
          <w:iCs/>
          <w:sz w:val="18"/>
          <w:szCs w:val="18"/>
        </w:rPr>
        <w:t>or</w:t>
      </w:r>
      <w:r>
        <w:rPr>
          <w:sz w:val="18"/>
          <w:szCs w:val="18"/>
        </w:rPr>
        <w:t xml:space="preserve"> respondent) requires you to produce at the hearing the following documents or things for the purpose of evidence—</w:t>
      </w:r>
    </w:p>
    <w:p w:rsidR="00EB4EE8" w:rsidRDefault="00D343ED">
      <w:pPr>
        <w:pStyle w:val="Amain"/>
        <w:spacing w:before="0" w:after="0"/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Enumerate the documents or things</w:t>
      </w:r>
      <w:r>
        <w:rPr>
          <w:sz w:val="18"/>
          <w:szCs w:val="18"/>
        </w:rPr>
        <w:t>)</w:t>
      </w:r>
    </w:p>
    <w:p w:rsidR="00EB4EE8" w:rsidRDefault="00EB4EE8">
      <w:pPr>
        <w:pStyle w:val="CoverActName"/>
        <w:jc w:val="center"/>
        <w:rPr>
          <w:vertAlign w:val="superscript"/>
        </w:rPr>
      </w:pPr>
    </w:p>
    <w:p w:rsidR="00EB4EE8" w:rsidRDefault="00EB4EE8">
      <w:pPr>
        <w:spacing w:before="120"/>
        <w:rPr>
          <w:rFonts w:ascii="Arial" w:hAnsi="Arial" w:cs="Arial"/>
        </w:rPr>
      </w:pPr>
    </w:p>
    <w:sectPr w:rsidR="00EB4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999" w:right="2302" w:bottom="2500" w:left="2302" w:header="2478" w:footer="209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EE8" w:rsidRDefault="00D343ED">
      <w:r>
        <w:separator/>
      </w:r>
    </w:p>
  </w:endnote>
  <w:endnote w:type="continuationSeparator" w:id="0">
    <w:p w:rsidR="00EB4EE8" w:rsidRDefault="00D3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EE8" w:rsidRDefault="00D343ED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EB4EE8" w:rsidRPr="007D405B" w:rsidRDefault="007D405B" w:rsidP="007D405B">
    <w:pPr>
      <w:pStyle w:val="Footer"/>
      <w:jc w:val="center"/>
      <w:rPr>
        <w:sz w:val="14"/>
      </w:rPr>
    </w:pPr>
    <w:r w:rsidRPr="007D405B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EE8" w:rsidRDefault="00EB4EE8">
    <w:pPr>
      <w:pStyle w:val="Footer"/>
    </w:pPr>
  </w:p>
  <w:p w:rsidR="00EB4EE8" w:rsidRDefault="00D343ED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EB4EE8" w:rsidRPr="007D405B" w:rsidRDefault="007D405B" w:rsidP="007D405B">
    <w:pPr>
      <w:pStyle w:val="Footer"/>
      <w:jc w:val="center"/>
      <w:rPr>
        <w:sz w:val="14"/>
      </w:rPr>
    </w:pPr>
    <w:r w:rsidRPr="007D405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EE8" w:rsidRPr="007D405B" w:rsidRDefault="00D343ED" w:rsidP="007D405B">
    <w:pPr>
      <w:pStyle w:val="Status"/>
      <w:rPr>
        <w:szCs w:val="16"/>
      </w:rPr>
    </w:pPr>
    <w:r w:rsidRPr="007D405B">
      <w:fldChar w:fldCharType="begin"/>
    </w:r>
    <w:r w:rsidRPr="007D405B">
      <w:instrText xml:space="preserve"> DOCPROPERTY "Status" </w:instrText>
    </w:r>
    <w:r w:rsidRPr="007D405B">
      <w:fldChar w:fldCharType="separate"/>
    </w:r>
    <w:r w:rsidRPr="007D405B">
      <w:t xml:space="preserve"> </w:t>
    </w:r>
    <w:r w:rsidRPr="007D405B">
      <w:fldChar w:fldCharType="end"/>
    </w:r>
    <w:r w:rsidR="007D405B" w:rsidRPr="007D405B"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EE8" w:rsidRDefault="00D343ED">
      <w:r>
        <w:separator/>
      </w:r>
    </w:p>
  </w:footnote>
  <w:footnote w:type="continuationSeparator" w:id="0">
    <w:p w:rsidR="00EB4EE8" w:rsidRDefault="00D3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5B" w:rsidRDefault="007D4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5B" w:rsidRDefault="007D4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5B" w:rsidRDefault="007D4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68B7"/>
    <w:rsid w:val="00134534"/>
    <w:rsid w:val="007D405B"/>
    <w:rsid w:val="00B53F16"/>
    <w:rsid w:val="00C468B7"/>
    <w:rsid w:val="00D343ED"/>
    <w:rsid w:val="00E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aliases w:val="all sections,all s,as,a,indent(a)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2002-01-29T05:23:00Z</cp:lastPrinted>
  <dcterms:created xsi:type="dcterms:W3CDTF">2019-10-30T03:59:00Z</dcterms:created>
  <dcterms:modified xsi:type="dcterms:W3CDTF">2019-10-30T03:59:00Z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