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BAC" w:rsidRDefault="009E75BB">
      <w:pPr>
        <w:pStyle w:val="AFHdg"/>
      </w:pPr>
      <w:bookmarkStart w:id="0" w:name="_GoBack"/>
      <w:bookmarkEnd w:id="0"/>
      <w:r>
        <w:t>Approved form AF2002-45</w:t>
      </w:r>
    </w:p>
    <w:p w:rsidR="00844BAC" w:rsidRDefault="00844BAC">
      <w:pPr>
        <w:pStyle w:val="N-line3"/>
      </w:pPr>
    </w:p>
    <w:p w:rsidR="00844BAC" w:rsidRDefault="009E75BB">
      <w:pPr>
        <w:pStyle w:val="CoverInForce"/>
      </w:pPr>
      <w:r>
        <w:t>approved by the registrar of the Magistrates Court on 27/3/02 under the</w:t>
      </w:r>
    </w:p>
    <w:p w:rsidR="00844BAC" w:rsidRDefault="009E75BB">
      <w:pPr>
        <w:pStyle w:val="CoverActName"/>
      </w:pPr>
      <w:r>
        <w:rPr>
          <w:i/>
          <w:iCs/>
        </w:rPr>
        <w:t>Protection Orders Act 2001</w:t>
      </w:r>
      <w:r>
        <w:t>, s 96</w:t>
      </w:r>
    </w:p>
    <w:p w:rsidR="00844BAC" w:rsidRDefault="00844BAC">
      <w:pPr>
        <w:pStyle w:val="N-line3"/>
      </w:pPr>
    </w:p>
    <w:p w:rsidR="00844BAC" w:rsidRDefault="009E75BB">
      <w:pPr>
        <w:pStyle w:val="ApprFormHd"/>
      </w:pPr>
      <w:bookmarkStart w:id="1" w:name="Citation"/>
      <w:r>
        <w:t xml:space="preserve">Protection Orders Act 2001—Form </w:t>
      </w:r>
      <w:bookmarkEnd w:id="1"/>
      <w:r>
        <w:t>12</w:t>
      </w:r>
    </w:p>
    <w:p w:rsidR="00844BAC" w:rsidRDefault="009E75BB">
      <w:pPr>
        <w:pStyle w:val="ref"/>
      </w:pPr>
      <w:bookmarkStart w:id="2" w:name="_Toc514837380"/>
      <w:bookmarkStart w:id="3" w:name="_Toc503847253"/>
      <w:r>
        <w:t>(see reg 41(1))</w:t>
      </w:r>
    </w:p>
    <w:bookmarkEnd w:id="2"/>
    <w:bookmarkEnd w:id="3"/>
    <w:p w:rsidR="00844BAC" w:rsidRDefault="009E75B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844BAC" w:rsidRDefault="00844BAC">
      <w:pPr>
        <w:spacing w:before="120"/>
        <w:rPr>
          <w:rFonts w:ascii="Arial" w:hAnsi="Arial" w:cs="Arial"/>
        </w:rPr>
      </w:pPr>
    </w:p>
    <w:p w:rsidR="00844BAC" w:rsidRDefault="009E75BB">
      <w:pPr>
        <w:spacing w:before="40" w:after="40"/>
        <w:rPr>
          <w:rFonts w:ascii="Arial" w:hAnsi="Arial" w:cs="Arial"/>
          <w:b/>
          <w:bCs/>
          <w:sz w:val="32"/>
          <w:szCs w:val="32"/>
        </w:rPr>
      </w:pPr>
      <w:r>
        <w:rPr>
          <w:rStyle w:val="CharDivText"/>
          <w:rFonts w:ascii="Arial" w:hAnsi="Arial" w:cs="Arial"/>
          <w:b/>
          <w:bCs/>
          <w:sz w:val="32"/>
          <w:szCs w:val="32"/>
        </w:rPr>
        <w:t>Notice of grounds of defence</w:t>
      </w:r>
    </w:p>
    <w:p w:rsidR="00844BAC" w:rsidRDefault="00844BAC">
      <w:pPr>
        <w:spacing w:before="120"/>
        <w:rPr>
          <w:rFonts w:ascii="Arial" w:hAnsi="Arial" w:cs="Arial"/>
        </w:rPr>
      </w:pPr>
    </w:p>
    <w:p w:rsidR="00844BAC" w:rsidRDefault="009E75BB">
      <w:pPr>
        <w:pStyle w:val="Amain"/>
        <w:spacing w:before="0" w:after="0"/>
        <w:ind w:left="709"/>
        <w:rPr>
          <w:sz w:val="18"/>
          <w:szCs w:val="18"/>
        </w:rPr>
      </w:pPr>
      <w:r>
        <w:rPr>
          <w:sz w:val="18"/>
          <w:szCs w:val="18"/>
        </w:rPr>
        <w:t>The respondent intends to defend these proceedings on the following grounds:</w:t>
      </w:r>
    </w:p>
    <w:p w:rsidR="00844BAC" w:rsidRDefault="009E75BB">
      <w:pPr>
        <w:pStyle w:val="Amain"/>
        <w:tabs>
          <w:tab w:val="left" w:pos="1700"/>
        </w:tabs>
        <w:spacing w:before="0" w:after="0"/>
        <w:ind w:left="709"/>
        <w:rPr>
          <w:sz w:val="18"/>
          <w:szCs w:val="18"/>
        </w:rPr>
      </w:pPr>
      <w:r>
        <w:rPr>
          <w:sz w:val="18"/>
          <w:szCs w:val="18"/>
        </w:rPr>
        <w:tab/>
        <w:t>(</w:t>
      </w:r>
      <w:r>
        <w:rPr>
          <w:i/>
          <w:iCs/>
          <w:sz w:val="18"/>
          <w:szCs w:val="18"/>
        </w:rPr>
        <w:t>Plead as required by the Act, for example</w:t>
      </w:r>
      <w:r>
        <w:rPr>
          <w:sz w:val="18"/>
          <w:szCs w:val="18"/>
        </w:rPr>
        <w:t>)</w:t>
      </w:r>
    </w:p>
    <w:p w:rsidR="00844BAC" w:rsidRDefault="009E75BB">
      <w:pPr>
        <w:pStyle w:val="Amain"/>
        <w:tabs>
          <w:tab w:val="left" w:pos="320"/>
        </w:tabs>
        <w:spacing w:before="0" w:after="0"/>
        <w:ind w:left="709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 xml:space="preserve">The respondent denies </w:t>
      </w:r>
      <w:r>
        <w:rPr>
          <w:i/>
          <w:iCs/>
          <w:sz w:val="18"/>
          <w:szCs w:val="18"/>
        </w:rPr>
        <w:t>etc</w:t>
      </w:r>
      <w:r>
        <w:rPr>
          <w:sz w:val="18"/>
          <w:szCs w:val="18"/>
        </w:rPr>
        <w:t>.</w:t>
      </w:r>
    </w:p>
    <w:p w:rsidR="00844BAC" w:rsidRDefault="00844BAC">
      <w:pPr>
        <w:pStyle w:val="Amain"/>
        <w:tabs>
          <w:tab w:val="left" w:pos="320"/>
          <w:tab w:val="left" w:pos="3380"/>
        </w:tabs>
        <w:spacing w:before="0" w:after="0"/>
        <w:ind w:left="709"/>
        <w:rPr>
          <w:sz w:val="18"/>
          <w:szCs w:val="18"/>
        </w:rPr>
      </w:pPr>
    </w:p>
    <w:p w:rsidR="00844BAC" w:rsidRDefault="00844BAC">
      <w:pPr>
        <w:pStyle w:val="CoverActName"/>
        <w:jc w:val="center"/>
        <w:rPr>
          <w:vertAlign w:val="superscript"/>
        </w:rPr>
      </w:pPr>
    </w:p>
    <w:p w:rsidR="00844BAC" w:rsidRDefault="00844BAC">
      <w:pPr>
        <w:spacing w:before="120"/>
        <w:rPr>
          <w:rFonts w:ascii="Arial" w:hAnsi="Arial" w:cs="Arial"/>
        </w:rPr>
      </w:pPr>
    </w:p>
    <w:sectPr w:rsidR="00844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2999" w:right="2302" w:bottom="2500" w:left="2302" w:header="2478" w:footer="2098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BAC" w:rsidRDefault="009E75BB">
      <w:r>
        <w:separator/>
      </w:r>
    </w:p>
  </w:endnote>
  <w:endnote w:type="continuationSeparator" w:id="0">
    <w:p w:rsidR="00844BAC" w:rsidRDefault="009E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BAC" w:rsidRDefault="009E75BB">
    <w:pPr>
      <w:pStyle w:val="Status"/>
      <w:rPr>
        <w:sz w:val="16"/>
        <w:szCs w:val="16"/>
      </w:rPr>
    </w:pPr>
    <w:r>
      <w:fldChar w:fldCharType="begin"/>
    </w:r>
    <w:r>
      <w:instrText xml:space="preserve"> DOCPROPERTY "Status" </w:instrText>
    </w:r>
    <w:r>
      <w:fldChar w:fldCharType="separate"/>
    </w:r>
    <w:r>
      <w:t xml:space="preserve"> </w:t>
    </w:r>
    <w:r>
      <w:fldChar w:fldCharType="end"/>
    </w:r>
  </w:p>
  <w:p w:rsidR="00844BAC" w:rsidRPr="007A445D" w:rsidRDefault="007A445D" w:rsidP="007A445D">
    <w:pPr>
      <w:pStyle w:val="Footer"/>
      <w:jc w:val="center"/>
      <w:rPr>
        <w:sz w:val="14"/>
      </w:rPr>
    </w:pPr>
    <w:r w:rsidRPr="007A445D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BAC" w:rsidRDefault="00844BAC">
    <w:pPr>
      <w:pStyle w:val="Footer"/>
    </w:pPr>
  </w:p>
  <w:p w:rsidR="00844BAC" w:rsidRDefault="009E75BB">
    <w:pPr>
      <w:pStyle w:val="Status"/>
      <w:rPr>
        <w:sz w:val="16"/>
        <w:szCs w:val="16"/>
      </w:rPr>
    </w:pPr>
    <w:r>
      <w:fldChar w:fldCharType="begin"/>
    </w:r>
    <w:r>
      <w:instrText xml:space="preserve"> DOCPROPERTY "Status" </w:instrText>
    </w:r>
    <w:r>
      <w:fldChar w:fldCharType="separate"/>
    </w:r>
    <w:r>
      <w:t xml:space="preserve"> </w:t>
    </w:r>
    <w:r>
      <w:fldChar w:fldCharType="end"/>
    </w:r>
  </w:p>
  <w:p w:rsidR="00844BAC" w:rsidRPr="007A445D" w:rsidRDefault="007A445D" w:rsidP="007A445D">
    <w:pPr>
      <w:pStyle w:val="Footer"/>
      <w:jc w:val="center"/>
      <w:rPr>
        <w:sz w:val="14"/>
      </w:rPr>
    </w:pPr>
    <w:r w:rsidRPr="007A445D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BAC" w:rsidRPr="007A445D" w:rsidRDefault="009E75BB" w:rsidP="007A445D">
    <w:pPr>
      <w:pStyle w:val="Status"/>
      <w:rPr>
        <w:szCs w:val="16"/>
      </w:rPr>
    </w:pPr>
    <w:r w:rsidRPr="007A445D">
      <w:fldChar w:fldCharType="begin"/>
    </w:r>
    <w:r w:rsidRPr="007A445D">
      <w:instrText xml:space="preserve"> DOCPROPERTY "Status" </w:instrText>
    </w:r>
    <w:r w:rsidRPr="007A445D">
      <w:fldChar w:fldCharType="separate"/>
    </w:r>
    <w:r w:rsidRPr="007A445D">
      <w:t xml:space="preserve"> </w:t>
    </w:r>
    <w:r w:rsidRPr="007A445D">
      <w:fldChar w:fldCharType="end"/>
    </w:r>
    <w:r w:rsidR="007A445D" w:rsidRPr="007A445D"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BAC" w:rsidRDefault="009E75BB">
      <w:r>
        <w:separator/>
      </w:r>
    </w:p>
  </w:footnote>
  <w:footnote w:type="continuationSeparator" w:id="0">
    <w:p w:rsidR="00844BAC" w:rsidRDefault="009E7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45D" w:rsidRDefault="007A4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45D" w:rsidRDefault="007A44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45D" w:rsidRDefault="007A4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</w:lvl>
    <w:lvl w:ilvl="2">
      <w:start w:val="1"/>
      <w:numFmt w:val="lowerLetter"/>
      <w:suff w:val="nothing"/>
      <w:lvlText w:val="(%3)"/>
      <w:lvlJc w:val="left"/>
    </w:lvl>
    <w:lvl w:ilvl="3">
      <w:start w:val="1"/>
      <w:numFmt w:val="lowerRoman"/>
      <w:suff w:val="nothing"/>
      <w:lvlText w:val="(%4)"/>
      <w:lvlJc w:val="left"/>
    </w:lvl>
    <w:lvl w:ilvl="4">
      <w:start w:val="1"/>
      <w:numFmt w:val="upperRoman"/>
      <w:lvlRestart w:val="0"/>
      <w:suff w:val="nothing"/>
      <w:lvlText w:val="(%5)"/>
      <w:lvlJc w:val="left"/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%2.%3"/>
      <w:lvlJc w:val="left"/>
    </w:lvl>
    <w:lvl w:ilvl="3">
      <w:start w:val="1"/>
      <w:numFmt w:val="decimal"/>
      <w:suff w:val="nothing"/>
      <w:lvlText w:val="%2.%3.%4"/>
      <w:lvlJc w:val="left"/>
    </w:lvl>
    <w:lvl w:ilvl="4">
      <w:start w:val="1"/>
      <w:numFmt w:val="decimal"/>
      <w:lvlRestart w:val="0"/>
      <w:suff w:val="nothing"/>
      <w:lvlText w:val="%5"/>
      <w:lvlJc w:val="left"/>
    </w:lvl>
    <w:lvl w:ilvl="5">
      <w:start w:val="1"/>
      <w:numFmt w:val="decimal"/>
      <w:suff w:val="nothing"/>
      <w:lvlText w:val="(%6)"/>
      <w:lvlJc w:val="left"/>
    </w:lvl>
    <w:lvl w:ilvl="6">
      <w:start w:val="1"/>
      <w:numFmt w:val="lowerLetter"/>
      <w:suff w:val="nothing"/>
      <w:lvlText w:val="(%7)"/>
      <w:lvlJc w:val="left"/>
    </w:lvl>
    <w:lvl w:ilvl="7">
      <w:start w:val="1"/>
      <w:numFmt w:val="lowerRoman"/>
      <w:suff w:val="nothing"/>
      <w:lvlText w:val="(%8)"/>
      <w:lvlJc w:val="left"/>
    </w:lvl>
    <w:lvl w:ilvl="8">
      <w:start w:val="1"/>
      <w:numFmt w:val="upperLetter"/>
      <w:suff w:val="nothing"/>
      <w:lvlText w:val="(%9)"/>
      <w:lvlJc w:val="left"/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6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7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8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1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76E16"/>
    <w:rsid w:val="007A445D"/>
    <w:rsid w:val="00844BAC"/>
    <w:rsid w:val="009E75BB"/>
    <w:rsid w:val="00AF3BBF"/>
    <w:rsid w:val="00E76E16"/>
    <w:rsid w:val="00FD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66BC685-502A-488C-950F-D822C228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tabs>
        <w:tab w:val="left" w:pos="2880"/>
      </w:tabs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Arial" w:hAnsi="Arial" w:cs="Arial"/>
      <w:b/>
      <w:bCs/>
      <w:i/>
      <w:i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Arial" w:hAnsi="Arial" w:cs="Arial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Arial" w:hAnsi="Arial" w:cs="Arial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i/>
      <w:iCs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Arial" w:hAnsi="Arial" w:cs="Arial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Arial" w:hAnsi="Arial" w:cs="Arial"/>
      <w:i/>
      <w:iCs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Arial" w:hAnsi="Arial" w:cs="Arial"/>
      <w:b/>
      <w:bCs/>
      <w:i/>
      <w:iCs/>
      <w:sz w:val="18"/>
      <w:szCs w:val="18"/>
      <w:lang w:val="en-US"/>
    </w:rPr>
  </w:style>
  <w:style w:type="paragraph" w:customStyle="1" w:styleId="Norm-5pt">
    <w:name w:val="Norm-5pt"/>
    <w:basedOn w:val="Normal"/>
    <w:uiPriority w:val="99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  <w:uiPriority w:val="99"/>
  </w:style>
  <w:style w:type="paragraph" w:customStyle="1" w:styleId="00ClientCover">
    <w:name w:val="00ClientCover"/>
    <w:basedOn w:val="Normal"/>
    <w:uiPriority w:val="99"/>
  </w:style>
  <w:style w:type="paragraph" w:customStyle="1" w:styleId="02Text">
    <w:name w:val="02Text"/>
    <w:basedOn w:val="Normal"/>
    <w:uiPriority w:val="99"/>
  </w:style>
  <w:style w:type="paragraph" w:customStyle="1" w:styleId="BillBasic">
    <w:name w:val="BillBasic"/>
    <w:uiPriority w:val="99"/>
    <w:pPr>
      <w:autoSpaceDE w:val="0"/>
      <w:autoSpaceDN w:val="0"/>
      <w:spacing w:before="8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Billname">
    <w:name w:val="Billname"/>
    <w:basedOn w:val="Normal"/>
    <w:uiPriority w:val="99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uiPriority w:val="99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uiPriority w:val="99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aliases w:val="all sections,all s,as,a,indent(a)"/>
    <w:basedOn w:val="BillBasic"/>
    <w:uiPriority w:val="99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uiPriority w:val="99"/>
    <w:pPr>
      <w:ind w:left="700"/>
    </w:pPr>
  </w:style>
  <w:style w:type="paragraph" w:customStyle="1" w:styleId="Apara">
    <w:name w:val="A para"/>
    <w:basedOn w:val="BillBasic"/>
    <w:uiPriority w:val="99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uiPriority w:val="99"/>
    <w:pPr>
      <w:spacing w:before="0"/>
      <w:ind w:left="700" w:firstLine="0"/>
    </w:pPr>
  </w:style>
  <w:style w:type="paragraph" w:customStyle="1" w:styleId="aNote">
    <w:name w:val="aNote"/>
    <w:basedOn w:val="BillBasic"/>
    <w:uiPriority w:val="99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pPr>
      <w:spacing w:before="120" w:after="60"/>
    </w:pPr>
  </w:style>
  <w:style w:type="paragraph" w:customStyle="1" w:styleId="HeaderOdd6">
    <w:name w:val="HeaderOdd6"/>
    <w:basedOn w:val="HeaderEven6"/>
    <w:uiPriority w:val="99"/>
    <w:pPr>
      <w:jc w:val="right"/>
    </w:pPr>
  </w:style>
  <w:style w:type="paragraph" w:customStyle="1" w:styleId="HeaderOdd">
    <w:name w:val="HeaderOdd"/>
    <w:basedOn w:val="HeaderEven"/>
    <w:uiPriority w:val="99"/>
    <w:pPr>
      <w:jc w:val="right"/>
    </w:pPr>
  </w:style>
  <w:style w:type="paragraph" w:customStyle="1" w:styleId="BillNo">
    <w:name w:val="BillNo"/>
    <w:basedOn w:val="BillBasicHeading"/>
    <w:uiPriority w:val="99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uiPriority w:val="99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pPr>
      <w:spacing w:before="60"/>
    </w:pPr>
  </w:style>
  <w:style w:type="paragraph" w:customStyle="1" w:styleId="Comment">
    <w:name w:val="Comment"/>
    <w:basedOn w:val="BillBasic"/>
    <w:uiPriority w:val="99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uiPriority w:val="99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uiPriority w:val="99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uiPriority w:val="99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uiPriority w:val="99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uiPriority w:val="99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uiPriority w:val="99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uiPriority w:val="99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uiPriority w:val="99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uiPriority w:val="99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  <w:uiPriority w:val="99"/>
  </w:style>
  <w:style w:type="paragraph" w:customStyle="1" w:styleId="IH4SubDiv">
    <w:name w:val="I H4 SubDiv"/>
    <w:basedOn w:val="BillBasicHeading"/>
    <w:next w:val="IH5Sec"/>
    <w:uiPriority w:val="99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Pr>
      <w:sz w:val="4"/>
      <w:szCs w:val="4"/>
    </w:rPr>
  </w:style>
  <w:style w:type="paragraph" w:customStyle="1" w:styleId="04Dictionary">
    <w:name w:val="04Dictionary"/>
    <w:basedOn w:val="Normal"/>
    <w:uiPriority w:val="99"/>
  </w:style>
  <w:style w:type="paragraph" w:customStyle="1" w:styleId="N-line1">
    <w:name w:val="N-line1"/>
    <w:basedOn w:val="BillBasic"/>
    <w:uiPriority w:val="99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</w:style>
  <w:style w:type="paragraph" w:customStyle="1" w:styleId="03Schedule">
    <w:name w:val="03Schedule"/>
    <w:basedOn w:val="Normal"/>
    <w:uiPriority w:val="99"/>
  </w:style>
  <w:style w:type="paragraph" w:customStyle="1" w:styleId="ISched-heading">
    <w:name w:val="I Sched-heading"/>
    <w:basedOn w:val="BillBasicHeading"/>
    <w:next w:val="ref"/>
    <w:uiPriority w:val="99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</w:style>
  <w:style w:type="paragraph" w:customStyle="1" w:styleId="Isubpara">
    <w:name w:val="I subpara"/>
    <w:basedOn w:val="Asubpara"/>
    <w:uiPriority w:val="99"/>
  </w:style>
  <w:style w:type="paragraph" w:customStyle="1" w:styleId="Isubsubpara">
    <w:name w:val="I subsubpara"/>
    <w:basedOn w:val="Asubsubpara"/>
    <w:uiPriority w:val="99"/>
  </w:style>
  <w:style w:type="character" w:customStyle="1" w:styleId="CharSectNo">
    <w:name w:val="CharSectNo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paragraph" w:customStyle="1" w:styleId="Placeholder">
    <w:name w:val="Placeholder"/>
    <w:basedOn w:val="Normal"/>
    <w:uiPriority w:val="99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val="en-US"/>
    </w:rPr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paragraph" w:styleId="TOC1">
    <w:name w:val="toc 1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pPr>
      <w:tabs>
        <w:tab w:val="clear" w:pos="2880"/>
      </w:tabs>
    </w:pPr>
  </w:style>
  <w:style w:type="paragraph" w:customStyle="1" w:styleId="Instruction">
    <w:name w:val="Instruction"/>
    <w:basedOn w:val="BillBasic"/>
    <w:uiPriority w:val="99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ActNo">
    <w:name w:val="ActNo"/>
    <w:basedOn w:val="BillBasicHeading"/>
    <w:uiPriority w:val="99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uiPriority w:val="99"/>
    <w:pPr>
      <w:ind w:left="0" w:firstLine="0"/>
    </w:pPr>
  </w:style>
  <w:style w:type="paragraph" w:customStyle="1" w:styleId="Minister">
    <w:name w:val="Minister"/>
    <w:basedOn w:val="BillBasic"/>
    <w:uiPriority w:val="99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Pr>
      <w:i/>
      <w:iCs/>
    </w:rPr>
  </w:style>
  <w:style w:type="paragraph" w:customStyle="1" w:styleId="00SigningPage">
    <w:name w:val="00SigningPage"/>
    <w:basedOn w:val="Normal"/>
    <w:uiPriority w:val="99"/>
  </w:style>
  <w:style w:type="paragraph" w:customStyle="1" w:styleId="Letterhead">
    <w:name w:val="Letterhead"/>
    <w:uiPriority w:val="99"/>
    <w:pPr>
      <w:widowControl w:val="0"/>
      <w:autoSpaceDE w:val="0"/>
      <w:autoSpaceDN w:val="0"/>
      <w:spacing w:after="180" w:line="240" w:lineRule="auto"/>
      <w:jc w:val="right"/>
    </w:pPr>
    <w:rPr>
      <w:rFonts w:ascii="Arial" w:hAnsi="Arial" w:cs="Arial"/>
      <w:sz w:val="32"/>
      <w:szCs w:val="32"/>
    </w:rPr>
  </w:style>
  <w:style w:type="character" w:styleId="PageNumber">
    <w:name w:val="page number"/>
    <w:basedOn w:val="DefaultParagraphFont"/>
    <w:uiPriority w:val="99"/>
  </w:style>
  <w:style w:type="paragraph" w:customStyle="1" w:styleId="Sched-name">
    <w:name w:val="Sched-name"/>
    <w:basedOn w:val="Normal"/>
    <w:uiPriority w:val="99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uiPriority w:val="99"/>
    <w:pPr>
      <w:spacing w:before="240"/>
    </w:pPr>
  </w:style>
  <w:style w:type="paragraph" w:styleId="TOC7">
    <w:name w:val="toc 7"/>
    <w:basedOn w:val="TOC2"/>
    <w:next w:val="Normal"/>
    <w:autoRedefine/>
    <w:uiPriority w:val="99"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customStyle="1" w:styleId="LongTitle">
    <w:name w:val="LongTitle"/>
    <w:basedOn w:val="BillBasic"/>
    <w:uiPriority w:val="99"/>
    <w:pPr>
      <w:spacing w:before="240"/>
    </w:pPr>
  </w:style>
  <w:style w:type="paragraph" w:customStyle="1" w:styleId="Aparareturn">
    <w:name w:val="A para return"/>
    <w:basedOn w:val="BillBasic"/>
    <w:uiPriority w:val="99"/>
    <w:pPr>
      <w:ind w:left="1200"/>
    </w:pPr>
  </w:style>
  <w:style w:type="paragraph" w:customStyle="1" w:styleId="Asubparareturn">
    <w:name w:val="A subpara return"/>
    <w:basedOn w:val="BillBasic"/>
    <w:uiPriority w:val="99"/>
    <w:pPr>
      <w:ind w:left="1740"/>
    </w:pPr>
  </w:style>
  <w:style w:type="paragraph" w:customStyle="1" w:styleId="CommentNum">
    <w:name w:val="CommentNum"/>
    <w:basedOn w:val="Comment"/>
    <w:uiPriority w:val="99"/>
    <w:pPr>
      <w:ind w:left="1400" w:hanging="1400"/>
    </w:pPr>
  </w:style>
  <w:style w:type="paragraph" w:styleId="TOC8">
    <w:name w:val="toc 8"/>
    <w:basedOn w:val="TOC3"/>
    <w:next w:val="Normal"/>
    <w:autoRedefine/>
    <w:uiPriority w:val="99"/>
  </w:style>
  <w:style w:type="paragraph" w:customStyle="1" w:styleId="Judges">
    <w:name w:val="Judges"/>
    <w:basedOn w:val="Minister"/>
    <w:uiPriority w:val="99"/>
    <w:pPr>
      <w:spacing w:before="180" w:after="40"/>
    </w:pPr>
  </w:style>
  <w:style w:type="paragraph" w:customStyle="1" w:styleId="BillFor">
    <w:name w:val="BillFor"/>
    <w:basedOn w:val="BillBasicHeading"/>
    <w:uiPriority w:val="99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pPr>
      <w:spacing w:before="600"/>
    </w:pPr>
    <w:rPr>
      <w:rFonts w:ascii="Arial" w:hAnsi="Arial" w:cs="Arial"/>
      <w:shadow/>
      <w:sz w:val="48"/>
      <w:szCs w:val="48"/>
    </w:rPr>
  </w:style>
  <w:style w:type="paragraph" w:customStyle="1" w:styleId="Formula">
    <w:name w:val="Formula"/>
    <w:basedOn w:val="BillBasic"/>
    <w:uiPriority w:val="99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pPr>
      <w:ind w:left="2260" w:hanging="520"/>
    </w:pPr>
  </w:style>
  <w:style w:type="paragraph" w:customStyle="1" w:styleId="aDefpara">
    <w:name w:val="aDef para"/>
    <w:basedOn w:val="Apara"/>
    <w:uiPriority w:val="99"/>
  </w:style>
  <w:style w:type="paragraph" w:customStyle="1" w:styleId="aDefsubpara">
    <w:name w:val="aDef subpara"/>
    <w:basedOn w:val="Asubpara"/>
    <w:uiPriority w:val="99"/>
  </w:style>
  <w:style w:type="paragraph" w:customStyle="1" w:styleId="Idefpara">
    <w:name w:val="I def para"/>
    <w:basedOn w:val="Ipara"/>
    <w:uiPriority w:val="99"/>
    <w:pPr>
      <w:outlineLvl w:val="9"/>
    </w:pPr>
  </w:style>
  <w:style w:type="paragraph" w:customStyle="1" w:styleId="Idefsubpara">
    <w:name w:val="I def subpara"/>
    <w:basedOn w:val="Isubpara"/>
    <w:uiPriority w:val="99"/>
    <w:pPr>
      <w:outlineLvl w:val="9"/>
    </w:pPr>
  </w:style>
  <w:style w:type="paragraph" w:customStyle="1" w:styleId="Notified">
    <w:name w:val="Notified"/>
    <w:basedOn w:val="BillBasic"/>
    <w:uiPriority w:val="99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</w:style>
  <w:style w:type="paragraph" w:customStyle="1" w:styleId="IDict-Heading">
    <w:name w:val="I Dict-Heading"/>
    <w:basedOn w:val="BillBasicHeading"/>
    <w:uiPriority w:val="99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aNoteBullet">
    <w:name w:val="aNoteBullet"/>
    <w:basedOn w:val="aNote"/>
    <w:uiPriority w:val="99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uiPriority w:val="99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uiPriority w:val="99"/>
    <w:pPr>
      <w:jc w:val="right"/>
    </w:pPr>
  </w:style>
  <w:style w:type="paragraph" w:customStyle="1" w:styleId="aExamPara">
    <w:name w:val="aExamPara"/>
    <w:basedOn w:val="aExam"/>
    <w:uiPriority w:val="99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pPr>
      <w:ind w:left="1100"/>
    </w:pPr>
  </w:style>
  <w:style w:type="paragraph" w:customStyle="1" w:styleId="aExamBullet">
    <w:name w:val="aExamBullet"/>
    <w:basedOn w:val="aExam"/>
    <w:uiPriority w:val="99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uiPriority w:val="99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uiPriority w:val="99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uiPriority w:val="99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Pr>
      <w:b/>
      <w:bCs/>
    </w:rPr>
  </w:style>
  <w:style w:type="character" w:customStyle="1" w:styleId="charBoldItals">
    <w:name w:val="charBoldItals"/>
    <w:basedOn w:val="DefaultParagraphFont"/>
    <w:uiPriority w:val="99"/>
    <w:rPr>
      <w:b/>
      <w:bCs/>
      <w:i/>
      <w:iCs/>
    </w:rPr>
  </w:style>
  <w:style w:type="character" w:customStyle="1" w:styleId="charItals">
    <w:name w:val="charItals"/>
    <w:basedOn w:val="DefaultParagraphFont"/>
    <w:uiPriority w:val="99"/>
    <w:rPr>
      <w:i/>
      <w:iCs/>
    </w:rPr>
  </w:style>
  <w:style w:type="character" w:customStyle="1" w:styleId="charUnderline">
    <w:name w:val="charUnderline"/>
    <w:basedOn w:val="DefaultParagraphFont"/>
    <w:uiPriority w:val="99"/>
    <w:rPr>
      <w:u w:val="single"/>
    </w:rPr>
  </w:style>
  <w:style w:type="paragraph" w:customStyle="1" w:styleId="TableHd">
    <w:name w:val="TableHd"/>
    <w:basedOn w:val="Normal"/>
    <w:uiPriority w:val="99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99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uiPriority w:val="99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uiPriority w:val="99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uiPriority w:val="99"/>
    <w:pPr>
      <w:spacing w:before="200"/>
    </w:p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customStyle="1" w:styleId="CoverActName">
    <w:name w:val="CoverActName"/>
    <w:basedOn w:val="BillBasicHeading"/>
    <w:uiPriority w:val="99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Pr>
      <w:b w:val="0"/>
      <w:bCs w:val="0"/>
    </w:rPr>
  </w:style>
  <w:style w:type="paragraph" w:customStyle="1" w:styleId="Endnote2">
    <w:name w:val="Endnote2"/>
    <w:basedOn w:val="Normal"/>
    <w:uiPriority w:val="99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uiPriority w:val="99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</w:style>
  <w:style w:type="paragraph" w:customStyle="1" w:styleId="Endnote3">
    <w:name w:val="Endnote3"/>
    <w:basedOn w:val="Normal"/>
    <w:uiPriority w:val="99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  <w:uiPriority w:val="99"/>
  </w:style>
  <w:style w:type="character" w:customStyle="1" w:styleId="charTableText">
    <w:name w:val="charTableText"/>
    <w:basedOn w:val="DefaultParagraphFont"/>
    <w:uiPriority w:val="99"/>
  </w:style>
  <w:style w:type="paragraph" w:customStyle="1" w:styleId="EndNoteTextEPS">
    <w:name w:val="EndNoteTextEPS"/>
    <w:basedOn w:val="Normal"/>
    <w:uiPriority w:val="99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uiPriority w:val="99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Pr>
      <w:color w:val="000000"/>
    </w:rPr>
  </w:style>
  <w:style w:type="paragraph" w:customStyle="1" w:styleId="AH5SecSymb">
    <w:name w:val="A H5 Sec Symb"/>
    <w:basedOn w:val="AH5Sec"/>
    <w:uiPriority w:val="99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</w:style>
  <w:style w:type="paragraph" w:customStyle="1" w:styleId="Billcrest0">
    <w:name w:val="Billcrest"/>
    <w:basedOn w:val="Normal"/>
    <w:uiPriority w:val="99"/>
    <w:pPr>
      <w:spacing w:after="60"/>
      <w:ind w:left="2800"/>
    </w:pPr>
    <w:rPr>
      <w:rFonts w:ascii="ACTCrest" w:hAnsi="ACTCrest" w:cs="ACTCrest"/>
      <w:sz w:val="216"/>
      <w:szCs w:val="216"/>
      <w:lang w:val="en-AU"/>
    </w:rPr>
  </w:style>
  <w:style w:type="paragraph" w:customStyle="1" w:styleId="AuthorisedBlock">
    <w:name w:val="AuthorisedBlock"/>
    <w:basedOn w:val="Normal"/>
    <w:uiPriority w:val="99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uiPriority w:val="99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uiPriority w:val="99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uiPriority w:val="99"/>
  </w:style>
  <w:style w:type="paragraph" w:customStyle="1" w:styleId="AFHdg">
    <w:name w:val="AFHdg"/>
    <w:basedOn w:val="BillBasicHeading"/>
    <w:uiPriority w:val="99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uiPriority w:val="99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uiPriority w:val="99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pPr>
      <w:ind w:left="1400"/>
    </w:pPr>
  </w:style>
  <w:style w:type="paragraph" w:customStyle="1" w:styleId="Modparareturn">
    <w:name w:val="Mod para return"/>
    <w:basedOn w:val="Aparareturn"/>
    <w:uiPriority w:val="99"/>
    <w:pPr>
      <w:ind w:left="1900"/>
    </w:pPr>
  </w:style>
  <w:style w:type="paragraph" w:customStyle="1" w:styleId="Modsubparareturn">
    <w:name w:val="Mod subpara return"/>
    <w:basedOn w:val="Asubparareturn"/>
    <w:uiPriority w:val="99"/>
    <w:pPr>
      <w:ind w:left="2640"/>
    </w:pPr>
  </w:style>
  <w:style w:type="paragraph" w:customStyle="1" w:styleId="Modref">
    <w:name w:val="Mod ref"/>
    <w:basedOn w:val="ref"/>
    <w:uiPriority w:val="99"/>
    <w:pPr>
      <w:ind w:left="700"/>
    </w:pPr>
  </w:style>
  <w:style w:type="paragraph" w:customStyle="1" w:styleId="ModaNote">
    <w:name w:val="Mod aNote"/>
    <w:basedOn w:val="aNote"/>
    <w:uiPriority w:val="99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pPr>
      <w:ind w:left="0" w:firstLine="0"/>
    </w:pPr>
  </w:style>
  <w:style w:type="paragraph" w:customStyle="1" w:styleId="Status">
    <w:name w:val="Status"/>
    <w:basedOn w:val="Normal"/>
    <w:uiPriority w:val="99"/>
    <w:pPr>
      <w:spacing w:before="280"/>
      <w:jc w:val="center"/>
    </w:pPr>
    <w:rPr>
      <w:rFonts w:ascii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328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 Safety Regulations 2001</vt:lpstr>
    </vt:vector>
  </TitlesOfParts>
  <Manager>regulation</Manager>
  <Company>InTACT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Safety Regulations 2001</dc:title>
  <dc:subject/>
  <dc:creator>pco</dc:creator>
  <cp:keywords>04</cp:keywords>
  <dc:description/>
  <cp:lastModifiedBy>PCODCS</cp:lastModifiedBy>
  <cp:revision>4</cp:revision>
  <cp:lastPrinted>2002-01-24T21:44:00Z</cp:lastPrinted>
  <dcterms:created xsi:type="dcterms:W3CDTF">2019-10-30T04:00:00Z</dcterms:created>
  <dcterms:modified xsi:type="dcterms:W3CDTF">2019-10-30T04:00:00Z</dcterms:modified>
  <cp:category>R No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  <property fmtid="{D5CDD505-2E9C-101B-9397-08002B2CF9AE}" pid="3" name="Stage">
    <vt:lpwstr>3</vt:lpwstr>
  </property>
  <property fmtid="{D5CDD505-2E9C-101B-9397-08002B2CF9AE}" pid="4" name="Check">
    <vt:lpwstr>2</vt:lpwstr>
  </property>
</Properties>
</file>