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1B1" w:rsidRDefault="003A392B">
      <w:pPr>
        <w:pStyle w:val="AFHdg"/>
      </w:pPr>
      <w:bookmarkStart w:id="0" w:name="_GoBack"/>
      <w:bookmarkEnd w:id="0"/>
      <w:r>
        <w:t>Approved form AF2002-54</w:t>
      </w:r>
    </w:p>
    <w:p w:rsidR="009361B1" w:rsidRDefault="009361B1">
      <w:pPr>
        <w:pStyle w:val="N-line3"/>
      </w:pPr>
    </w:p>
    <w:p w:rsidR="009361B1" w:rsidRDefault="003A392B">
      <w:pPr>
        <w:pStyle w:val="CoverInForce"/>
      </w:pPr>
      <w:r>
        <w:t>approved by the registrar of the Magistrates Court on 27/3/02 under the</w:t>
      </w:r>
    </w:p>
    <w:p w:rsidR="009361B1" w:rsidRDefault="003A392B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9361B1" w:rsidRDefault="009361B1">
      <w:pPr>
        <w:pStyle w:val="N-line3"/>
      </w:pPr>
    </w:p>
    <w:p w:rsidR="009361B1" w:rsidRDefault="003A392B">
      <w:pPr>
        <w:pStyle w:val="ApprFormHd"/>
      </w:pPr>
      <w:bookmarkStart w:id="1" w:name="Citation"/>
      <w:r>
        <w:t xml:space="preserve">Protection Orders Act 2001—Form </w:t>
      </w:r>
      <w:bookmarkEnd w:id="1"/>
      <w:r>
        <w:t>21</w:t>
      </w:r>
    </w:p>
    <w:p w:rsidR="009361B1" w:rsidRDefault="003A392B">
      <w:pPr>
        <w:pStyle w:val="ref"/>
      </w:pPr>
      <w:bookmarkStart w:id="2" w:name="_Toc514837380"/>
      <w:bookmarkStart w:id="3" w:name="_Toc503847253"/>
      <w:r>
        <w:t>(see reg 86)</w:t>
      </w:r>
    </w:p>
    <w:bookmarkEnd w:id="2"/>
    <w:bookmarkEnd w:id="3"/>
    <w:p w:rsidR="009361B1" w:rsidRDefault="003A392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9361B1" w:rsidRDefault="009361B1">
      <w:pPr>
        <w:spacing w:before="120"/>
        <w:rPr>
          <w:rFonts w:ascii="Arial" w:hAnsi="Arial" w:cs="Arial"/>
        </w:rPr>
      </w:pPr>
    </w:p>
    <w:p w:rsidR="009361B1" w:rsidRDefault="003A392B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>Answer to Interrogatories</w:t>
      </w:r>
    </w:p>
    <w:p w:rsidR="009361B1" w:rsidRDefault="009361B1">
      <w:pPr>
        <w:spacing w:before="120"/>
        <w:rPr>
          <w:rFonts w:ascii="Arial" w:hAnsi="Arial" w:cs="Arial"/>
        </w:rPr>
      </w:pPr>
    </w:p>
    <w:p w:rsidR="009361B1" w:rsidRDefault="003A392B">
      <w:pPr>
        <w:pStyle w:val="Amain"/>
        <w:spacing w:after="40"/>
        <w:ind w:left="20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ab/>
      </w:r>
      <w:r>
        <w:rPr>
          <w:caps/>
          <w:sz w:val="18"/>
          <w:szCs w:val="18"/>
        </w:rPr>
        <w:tab/>
      </w:r>
    </w:p>
    <w:p w:rsidR="009361B1" w:rsidRDefault="003A392B">
      <w:pPr>
        <w:pStyle w:val="Amain"/>
        <w:spacing w:after="40"/>
        <w:ind w:left="709"/>
        <w:rPr>
          <w:sz w:val="18"/>
          <w:szCs w:val="18"/>
        </w:rPr>
      </w:pPr>
      <w:r>
        <w:rPr>
          <w:sz w:val="18"/>
          <w:szCs w:val="18"/>
        </w:rPr>
        <w:t>The other party E.F. answers the filing party’s interrogatories specified in notice filed on</w:t>
      </w:r>
    </w:p>
    <w:p w:rsidR="009361B1" w:rsidRDefault="003A392B">
      <w:pPr>
        <w:pStyle w:val="Amain"/>
        <w:tabs>
          <w:tab w:val="left" w:pos="172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as follows, I, E.F., make oath (</w:t>
      </w:r>
      <w:r>
        <w:rPr>
          <w:i/>
          <w:iCs/>
          <w:sz w:val="18"/>
          <w:szCs w:val="18"/>
        </w:rPr>
        <w:t xml:space="preserve">or </w:t>
      </w:r>
      <w:r>
        <w:rPr>
          <w:sz w:val="18"/>
          <w:szCs w:val="18"/>
        </w:rPr>
        <w:t>affirmation) and say as follows:</w:t>
      </w:r>
    </w:p>
    <w:p w:rsidR="009361B1" w:rsidRDefault="003A392B">
      <w:pPr>
        <w:pStyle w:val="Amain"/>
        <w:tabs>
          <w:tab w:val="left" w:pos="44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1A.</w:t>
      </w:r>
      <w:r>
        <w:rPr>
          <w:sz w:val="18"/>
          <w:szCs w:val="18"/>
        </w:rPr>
        <w:tab/>
        <w:t>(</w:t>
      </w:r>
      <w:r>
        <w:rPr>
          <w:i/>
          <w:iCs/>
          <w:sz w:val="18"/>
          <w:szCs w:val="18"/>
        </w:rPr>
        <w:t>State in full the interrogatory</w:t>
      </w:r>
      <w:r>
        <w:rPr>
          <w:sz w:val="18"/>
          <w:szCs w:val="18"/>
        </w:rPr>
        <w:t>)</w:t>
      </w:r>
    </w:p>
    <w:p w:rsidR="009361B1" w:rsidRDefault="003A392B">
      <w:pPr>
        <w:pStyle w:val="Amain"/>
        <w:tabs>
          <w:tab w:val="left" w:pos="44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1B.</w:t>
      </w:r>
      <w:r>
        <w:rPr>
          <w:sz w:val="18"/>
          <w:szCs w:val="18"/>
        </w:rPr>
        <w:tab/>
        <w:t>(</w:t>
      </w:r>
      <w:r>
        <w:rPr>
          <w:i/>
          <w:iCs/>
          <w:sz w:val="18"/>
          <w:szCs w:val="18"/>
        </w:rPr>
        <w:t>State the answer</w:t>
      </w:r>
      <w:r>
        <w:rPr>
          <w:sz w:val="18"/>
          <w:szCs w:val="18"/>
        </w:rPr>
        <w:t>)</w:t>
      </w:r>
    </w:p>
    <w:p w:rsidR="009361B1" w:rsidRDefault="003A392B">
      <w:pPr>
        <w:pStyle w:val="Amain"/>
        <w:tabs>
          <w:tab w:val="left" w:pos="44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2A.</w:t>
      </w:r>
      <w:r>
        <w:rPr>
          <w:sz w:val="18"/>
          <w:szCs w:val="18"/>
        </w:rPr>
        <w:tab/>
        <w:t>(</w:t>
      </w:r>
      <w:r>
        <w:rPr>
          <w:i/>
          <w:iCs/>
          <w:sz w:val="18"/>
          <w:szCs w:val="18"/>
        </w:rPr>
        <w:t>State in full the interrogatory</w:t>
      </w:r>
      <w:r>
        <w:rPr>
          <w:sz w:val="18"/>
          <w:szCs w:val="18"/>
        </w:rPr>
        <w:t>)</w:t>
      </w:r>
    </w:p>
    <w:p w:rsidR="009361B1" w:rsidRDefault="003A392B">
      <w:pPr>
        <w:pStyle w:val="Amain"/>
        <w:tabs>
          <w:tab w:val="left" w:pos="44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2B.</w:t>
      </w:r>
      <w:r>
        <w:rPr>
          <w:sz w:val="18"/>
          <w:szCs w:val="18"/>
        </w:rPr>
        <w:tab/>
        <w:t>(a)</w:t>
      </w:r>
      <w:r>
        <w:rPr>
          <w:sz w:val="18"/>
          <w:szCs w:val="18"/>
        </w:rPr>
        <w:tab/>
        <w:t>The other party objects to answer on the grounds of privilege:</w:t>
      </w:r>
    </w:p>
    <w:p w:rsidR="009361B1" w:rsidRDefault="003A392B">
      <w:pPr>
        <w:pStyle w:val="Amain"/>
        <w:tabs>
          <w:tab w:val="left" w:pos="44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ab/>
        <w:t>(b)</w:t>
      </w:r>
      <w:r>
        <w:rPr>
          <w:sz w:val="18"/>
          <w:szCs w:val="18"/>
        </w:rPr>
        <w:tab/>
        <w:t>(</w:t>
      </w:r>
      <w:r>
        <w:rPr>
          <w:i/>
          <w:iCs/>
          <w:sz w:val="18"/>
          <w:szCs w:val="18"/>
        </w:rPr>
        <w:t>State the facts on which this objection is based</w:t>
      </w:r>
      <w:r>
        <w:rPr>
          <w:sz w:val="18"/>
          <w:szCs w:val="18"/>
        </w:rPr>
        <w:t>)</w:t>
      </w:r>
    </w:p>
    <w:p w:rsidR="009361B1" w:rsidRDefault="009361B1">
      <w:pPr>
        <w:pStyle w:val="CoverActName"/>
        <w:jc w:val="center"/>
        <w:rPr>
          <w:vertAlign w:val="superscript"/>
        </w:rPr>
      </w:pPr>
    </w:p>
    <w:p w:rsidR="009361B1" w:rsidRDefault="009361B1">
      <w:pPr>
        <w:spacing w:before="120"/>
        <w:rPr>
          <w:rFonts w:ascii="Arial" w:hAnsi="Arial" w:cs="Arial"/>
        </w:rPr>
      </w:pPr>
    </w:p>
    <w:sectPr w:rsidR="00936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000" w:right="2300" w:bottom="2500" w:left="2300" w:header="2480" w:footer="210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1B1" w:rsidRDefault="003A392B">
      <w:r>
        <w:separator/>
      </w:r>
    </w:p>
  </w:endnote>
  <w:endnote w:type="continuationSeparator" w:id="0">
    <w:p w:rsidR="009361B1" w:rsidRDefault="003A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1B1" w:rsidRDefault="003A392B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</w:p>
  <w:p w:rsidR="009361B1" w:rsidRPr="00405954" w:rsidRDefault="00405954" w:rsidP="00405954">
    <w:pPr>
      <w:pStyle w:val="Footer"/>
      <w:jc w:val="center"/>
      <w:rPr>
        <w:sz w:val="14"/>
      </w:rPr>
    </w:pPr>
    <w:r w:rsidRPr="00405954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1B1" w:rsidRDefault="009361B1">
    <w:pPr>
      <w:pStyle w:val="Footer"/>
    </w:pPr>
  </w:p>
  <w:p w:rsidR="009361B1" w:rsidRDefault="003A392B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</w:p>
  <w:p w:rsidR="009361B1" w:rsidRPr="00405954" w:rsidRDefault="00405954" w:rsidP="00405954">
    <w:pPr>
      <w:pStyle w:val="Footer"/>
      <w:jc w:val="center"/>
      <w:rPr>
        <w:sz w:val="14"/>
      </w:rPr>
    </w:pPr>
    <w:r w:rsidRPr="00405954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1B1" w:rsidRPr="00405954" w:rsidRDefault="003A392B" w:rsidP="00405954">
    <w:pPr>
      <w:pStyle w:val="Status"/>
      <w:rPr>
        <w:szCs w:val="16"/>
      </w:rPr>
    </w:pPr>
    <w:r w:rsidRPr="00405954">
      <w:fldChar w:fldCharType="begin"/>
    </w:r>
    <w:r w:rsidRPr="00405954">
      <w:instrText xml:space="preserve"> DOCPROPERTY "Status" </w:instrText>
    </w:r>
    <w:r w:rsidRPr="00405954">
      <w:fldChar w:fldCharType="separate"/>
    </w:r>
    <w:r w:rsidRPr="00405954">
      <w:t xml:space="preserve"> </w:t>
    </w:r>
    <w:r w:rsidRPr="00405954">
      <w:fldChar w:fldCharType="end"/>
    </w:r>
    <w:r w:rsidR="00405954" w:rsidRPr="00405954"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1B1" w:rsidRDefault="003A392B">
      <w:r>
        <w:separator/>
      </w:r>
    </w:p>
  </w:footnote>
  <w:footnote w:type="continuationSeparator" w:id="0">
    <w:p w:rsidR="009361B1" w:rsidRDefault="003A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954" w:rsidRDefault="00405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954" w:rsidRDefault="004059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954" w:rsidRDefault="00405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lowerLetter"/>
      <w:suff w:val="nothing"/>
      <w:lvlText w:val="(%3)"/>
      <w:lvlJc w:val="left"/>
    </w:lvl>
    <w:lvl w:ilvl="3">
      <w:start w:val="1"/>
      <w:numFmt w:val="lowerRoman"/>
      <w:suff w:val="nothing"/>
      <w:lvlText w:val="(%4)"/>
      <w:lvlJc w:val="left"/>
    </w:lvl>
    <w:lvl w:ilvl="4">
      <w:start w:val="1"/>
      <w:numFmt w:val="upperRoman"/>
      <w:lvlRestart w:val="0"/>
      <w:suff w:val="nothing"/>
      <w:lvlText w:val="(%5)"/>
      <w:lvlJc w:val="left"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2.%3"/>
      <w:lvlJc w:val="left"/>
    </w:lvl>
    <w:lvl w:ilvl="3">
      <w:start w:val="1"/>
      <w:numFmt w:val="decimal"/>
      <w:suff w:val="nothing"/>
      <w:lvlText w:val="%2.%3.%4"/>
      <w:lvlJc w:val="left"/>
    </w:lvl>
    <w:lvl w:ilvl="4">
      <w:start w:val="1"/>
      <w:numFmt w:val="decimal"/>
      <w:lvlRestart w:val="0"/>
      <w:suff w:val="nothing"/>
      <w:lvlText w:val="%5"/>
      <w:lvlJc w:val="left"/>
    </w:lvl>
    <w:lvl w:ilvl="5">
      <w:start w:val="1"/>
      <w:numFmt w:val="decimal"/>
      <w:suff w:val="nothing"/>
      <w:lvlText w:val="(%6)"/>
      <w:lvlJc w:val="left"/>
    </w:lvl>
    <w:lvl w:ilvl="6">
      <w:start w:val="1"/>
      <w:numFmt w:val="lowerLetter"/>
      <w:suff w:val="nothing"/>
      <w:lvlText w:val="(%7)"/>
      <w:lvlJc w:val="left"/>
    </w:lvl>
    <w:lvl w:ilvl="7">
      <w:start w:val="1"/>
      <w:numFmt w:val="lowerRoman"/>
      <w:suff w:val="nothing"/>
      <w:lvlText w:val="(%8)"/>
      <w:lvlJc w:val="left"/>
    </w:lvl>
    <w:lvl w:ilvl="8">
      <w:start w:val="1"/>
      <w:numFmt w:val="upperLetter"/>
      <w:suff w:val="nothing"/>
      <w:lvlText w:val="(%9)"/>
      <w:lvlJc w:val="left"/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75E5"/>
    <w:rsid w:val="003475E5"/>
    <w:rsid w:val="003A392B"/>
    <w:rsid w:val="00405954"/>
    <w:rsid w:val="00451D1F"/>
    <w:rsid w:val="009361B1"/>
    <w:rsid w:val="0094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1EE39F2-763D-4085-B9F3-FC107F0B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tabs>
        <w:tab w:val="left" w:pos="288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autoSpaceDE w:val="0"/>
      <w:autoSpaceDN w:val="0"/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aliases w:val="all sections,all s,as,a,indent(a)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H4SubDiv">
    <w:name w:val="I H4 SubDiv"/>
    <w:basedOn w:val="BillBasicHeading"/>
    <w:next w:val="IH5Sec"/>
    <w:uiPriority w:val="99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pPr>
      <w:ind w:left="0" w:firstLine="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Letterhead">
    <w:name w:val="Letterhead"/>
    <w:uiPriority w:val="99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Sched-name">
    <w:name w:val="Sched-name"/>
    <w:basedOn w:val="Normal"/>
    <w:uiPriority w:val="99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styleId="TOC7">
    <w:name w:val="toc 7"/>
    <w:basedOn w:val="TOC2"/>
    <w:next w:val="Normal"/>
    <w:autoRedefine/>
    <w:uiPriority w:val="99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Pr>
      <w:b/>
      <w:bCs/>
    </w:rPr>
  </w:style>
  <w:style w:type="character" w:customStyle="1" w:styleId="charBoldItals">
    <w:name w:val="charBoldItals"/>
    <w:basedOn w:val="DefaultParagraphFont"/>
    <w:uiPriority w:val="99"/>
    <w:rPr>
      <w:b/>
      <w:bCs/>
      <w:i/>
      <w:iCs/>
    </w:rPr>
  </w:style>
  <w:style w:type="character" w:customStyle="1" w:styleId="charItals">
    <w:name w:val="charItals"/>
    <w:basedOn w:val="DefaultParagraphFont"/>
    <w:uiPriority w:val="99"/>
    <w:rPr>
      <w:i/>
      <w:iCs/>
    </w:rPr>
  </w:style>
  <w:style w:type="character" w:customStyle="1" w:styleId="charUnderline">
    <w:name w:val="charUnderline"/>
    <w:basedOn w:val="DefaultParagraphFont"/>
    <w:uiPriority w:val="99"/>
    <w:rPr>
      <w:u w:val="single"/>
    </w:rPr>
  </w:style>
  <w:style w:type="paragraph" w:customStyle="1" w:styleId="TableHd">
    <w:name w:val="TableHd"/>
    <w:basedOn w:val="Normal"/>
    <w:uiPriority w:val="99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</w:style>
  <w:style w:type="character" w:customStyle="1" w:styleId="charTableText">
    <w:name w:val="charTableText"/>
    <w:basedOn w:val="DefaultParagraphFont"/>
    <w:uiPriority w:val="99"/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Billcrest0">
    <w:name w:val="Billcrest"/>
    <w:basedOn w:val="Normal"/>
    <w:uiPriority w:val="99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518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subject/>
  <dc:creator>pco</dc:creator>
  <cp:keywords>04</cp:keywords>
  <dc:description/>
  <cp:lastModifiedBy>PCODCS</cp:lastModifiedBy>
  <cp:revision>4</cp:revision>
  <cp:lastPrinted>2001-09-28T01:27:00Z</cp:lastPrinted>
  <dcterms:created xsi:type="dcterms:W3CDTF">2019-10-30T04:10:00Z</dcterms:created>
  <dcterms:modified xsi:type="dcterms:W3CDTF">2019-10-30T04:10:00Z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