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D8861" w14:textId="77777777" w:rsidR="009F5F26" w:rsidRPr="0070317C" w:rsidRDefault="009F5F26">
      <w:pPr>
        <w:spacing w:before="400"/>
        <w:jc w:val="center"/>
      </w:pPr>
      <w:bookmarkStart w:id="0" w:name="_GoBack"/>
      <w:bookmarkEnd w:id="0"/>
      <w:r w:rsidRPr="0070317C">
        <w:rPr>
          <w:noProof/>
          <w:color w:val="000000"/>
          <w:sz w:val="22"/>
        </w:rPr>
        <w:t>2020</w:t>
      </w:r>
    </w:p>
    <w:p w14:paraId="1D95F424" w14:textId="77777777" w:rsidR="009F5F26" w:rsidRPr="0070317C" w:rsidRDefault="009F5F26">
      <w:pPr>
        <w:spacing w:before="300"/>
        <w:jc w:val="center"/>
      </w:pPr>
      <w:r w:rsidRPr="0070317C">
        <w:t>THE LEGISLATIVE ASSEMBLY</w:t>
      </w:r>
      <w:r w:rsidRPr="0070317C">
        <w:br/>
        <w:t>FOR THE AUSTRALIAN CAPITAL TERRITORY</w:t>
      </w:r>
    </w:p>
    <w:p w14:paraId="1CC3C925" w14:textId="77777777" w:rsidR="009F5F26" w:rsidRPr="0070317C" w:rsidRDefault="009F5F26">
      <w:pPr>
        <w:pStyle w:val="N-line1"/>
        <w:jc w:val="both"/>
      </w:pPr>
    </w:p>
    <w:p w14:paraId="1E084F89" w14:textId="77777777" w:rsidR="009F5F26" w:rsidRPr="0070317C" w:rsidRDefault="009F5F26" w:rsidP="002F4EF7">
      <w:pPr>
        <w:spacing w:before="120"/>
        <w:jc w:val="center"/>
      </w:pPr>
      <w:r w:rsidRPr="0070317C">
        <w:t>(As presented)</w:t>
      </w:r>
    </w:p>
    <w:p w14:paraId="3FDFEBFF" w14:textId="77777777" w:rsidR="009F5F26" w:rsidRPr="0070317C" w:rsidRDefault="009F5F26">
      <w:pPr>
        <w:spacing w:before="240"/>
        <w:jc w:val="center"/>
      </w:pPr>
      <w:r w:rsidRPr="0070317C">
        <w:t>(</w:t>
      </w:r>
      <w:bookmarkStart w:id="1" w:name="Sponsor"/>
      <w:r w:rsidRPr="0070317C">
        <w:t>Attorney-General</w:t>
      </w:r>
      <w:bookmarkEnd w:id="1"/>
      <w:r w:rsidRPr="0070317C">
        <w:t>)</w:t>
      </w:r>
    </w:p>
    <w:p w14:paraId="0C6D7C71" w14:textId="6E867D6B" w:rsidR="002339E2" w:rsidRPr="0070317C" w:rsidRDefault="005546C4">
      <w:pPr>
        <w:pStyle w:val="Billname1"/>
      </w:pPr>
      <w:r>
        <w:fldChar w:fldCharType="begin"/>
      </w:r>
      <w:r>
        <w:instrText xml:space="preserve"> REF Citation \*charformat  \* MERGEFORMAT </w:instrText>
      </w:r>
      <w:r>
        <w:fldChar w:fldCharType="separate"/>
      </w:r>
      <w:r w:rsidR="004918E6" w:rsidRPr="0070317C">
        <w:t>Residential Tenancies Amendment Bill 2020</w:t>
      </w:r>
      <w:r>
        <w:fldChar w:fldCharType="end"/>
      </w:r>
    </w:p>
    <w:p w14:paraId="5F4BB69E" w14:textId="17D0604B" w:rsidR="002339E2" w:rsidRPr="0070317C" w:rsidRDefault="002339E2">
      <w:pPr>
        <w:pStyle w:val="ActNo"/>
      </w:pPr>
      <w:r w:rsidRPr="0070317C">
        <w:fldChar w:fldCharType="begin"/>
      </w:r>
      <w:r w:rsidRPr="0070317C">
        <w:instrText xml:space="preserve"> DOCPROPERTY "Category"  \* MERGEFORMAT </w:instrText>
      </w:r>
      <w:r w:rsidRPr="0070317C">
        <w:fldChar w:fldCharType="end"/>
      </w:r>
    </w:p>
    <w:p w14:paraId="76A9B4BF" w14:textId="77777777" w:rsidR="002339E2" w:rsidRPr="0070317C" w:rsidRDefault="002339E2" w:rsidP="0070317C">
      <w:pPr>
        <w:pStyle w:val="Placeholder"/>
        <w:suppressLineNumbers/>
      </w:pPr>
      <w:r w:rsidRPr="0070317C">
        <w:rPr>
          <w:rStyle w:val="charContents"/>
          <w:sz w:val="16"/>
        </w:rPr>
        <w:t xml:space="preserve">  </w:t>
      </w:r>
      <w:r w:rsidRPr="0070317C">
        <w:rPr>
          <w:rStyle w:val="charPage"/>
        </w:rPr>
        <w:t xml:space="preserve">  </w:t>
      </w:r>
    </w:p>
    <w:p w14:paraId="6787EC0F" w14:textId="77777777" w:rsidR="002339E2" w:rsidRPr="0070317C" w:rsidRDefault="002339E2">
      <w:pPr>
        <w:pStyle w:val="N-TOCheading"/>
      </w:pPr>
      <w:r w:rsidRPr="0070317C">
        <w:rPr>
          <w:rStyle w:val="charContents"/>
        </w:rPr>
        <w:t>Contents</w:t>
      </w:r>
    </w:p>
    <w:p w14:paraId="6477F235" w14:textId="77777777" w:rsidR="002339E2" w:rsidRPr="0070317C" w:rsidRDefault="002339E2">
      <w:pPr>
        <w:pStyle w:val="N-9pt"/>
      </w:pPr>
      <w:r w:rsidRPr="0070317C">
        <w:tab/>
      </w:r>
      <w:r w:rsidRPr="0070317C">
        <w:rPr>
          <w:rStyle w:val="charPage"/>
        </w:rPr>
        <w:t>Page</w:t>
      </w:r>
    </w:p>
    <w:p w14:paraId="6893D7A2" w14:textId="2907859D" w:rsidR="0039212D" w:rsidRDefault="0039212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2321175" w:history="1">
        <w:r w:rsidRPr="001566CF">
          <w:t>Part 1</w:t>
        </w:r>
        <w:r>
          <w:rPr>
            <w:rFonts w:asciiTheme="minorHAnsi" w:eastAsiaTheme="minorEastAsia" w:hAnsiTheme="minorHAnsi" w:cstheme="minorBidi"/>
            <w:b w:val="0"/>
            <w:sz w:val="22"/>
            <w:szCs w:val="22"/>
            <w:lang w:eastAsia="en-AU"/>
          </w:rPr>
          <w:tab/>
        </w:r>
        <w:r w:rsidRPr="001566CF">
          <w:t>Preliminary</w:t>
        </w:r>
        <w:r w:rsidRPr="0039212D">
          <w:rPr>
            <w:vanish/>
          </w:rPr>
          <w:tab/>
        </w:r>
        <w:r w:rsidRPr="0039212D">
          <w:rPr>
            <w:vanish/>
          </w:rPr>
          <w:fldChar w:fldCharType="begin"/>
        </w:r>
        <w:r w:rsidRPr="0039212D">
          <w:rPr>
            <w:vanish/>
          </w:rPr>
          <w:instrText xml:space="preserve"> PAGEREF _Toc32321175 \h </w:instrText>
        </w:r>
        <w:r w:rsidRPr="0039212D">
          <w:rPr>
            <w:vanish/>
          </w:rPr>
        </w:r>
        <w:r w:rsidRPr="0039212D">
          <w:rPr>
            <w:vanish/>
          </w:rPr>
          <w:fldChar w:fldCharType="separate"/>
        </w:r>
        <w:r w:rsidR="004918E6">
          <w:rPr>
            <w:vanish/>
          </w:rPr>
          <w:t>2</w:t>
        </w:r>
        <w:r w:rsidRPr="0039212D">
          <w:rPr>
            <w:vanish/>
          </w:rPr>
          <w:fldChar w:fldCharType="end"/>
        </w:r>
      </w:hyperlink>
    </w:p>
    <w:p w14:paraId="0AC44FC6" w14:textId="5C30D662" w:rsidR="0039212D" w:rsidRDefault="0039212D">
      <w:pPr>
        <w:pStyle w:val="TOC5"/>
        <w:rPr>
          <w:rFonts w:asciiTheme="minorHAnsi" w:eastAsiaTheme="minorEastAsia" w:hAnsiTheme="minorHAnsi" w:cstheme="minorBidi"/>
          <w:sz w:val="22"/>
          <w:szCs w:val="22"/>
          <w:lang w:eastAsia="en-AU"/>
        </w:rPr>
      </w:pPr>
      <w:r>
        <w:tab/>
      </w:r>
      <w:hyperlink w:anchor="_Toc32321176" w:history="1">
        <w:r w:rsidRPr="001566CF">
          <w:t>1</w:t>
        </w:r>
        <w:r>
          <w:rPr>
            <w:rFonts w:asciiTheme="minorHAnsi" w:eastAsiaTheme="minorEastAsia" w:hAnsiTheme="minorHAnsi" w:cstheme="minorBidi"/>
            <w:sz w:val="22"/>
            <w:szCs w:val="22"/>
            <w:lang w:eastAsia="en-AU"/>
          </w:rPr>
          <w:tab/>
        </w:r>
        <w:r w:rsidRPr="001566CF">
          <w:t>Name of Act</w:t>
        </w:r>
        <w:r>
          <w:tab/>
        </w:r>
        <w:r>
          <w:fldChar w:fldCharType="begin"/>
        </w:r>
        <w:r>
          <w:instrText xml:space="preserve"> PAGEREF _Toc32321176 \h </w:instrText>
        </w:r>
        <w:r>
          <w:fldChar w:fldCharType="separate"/>
        </w:r>
        <w:r w:rsidR="004918E6">
          <w:t>2</w:t>
        </w:r>
        <w:r>
          <w:fldChar w:fldCharType="end"/>
        </w:r>
      </w:hyperlink>
    </w:p>
    <w:p w14:paraId="28352451" w14:textId="263D5B0B" w:rsidR="0039212D" w:rsidRDefault="0039212D">
      <w:pPr>
        <w:pStyle w:val="TOC5"/>
        <w:rPr>
          <w:rFonts w:asciiTheme="minorHAnsi" w:eastAsiaTheme="minorEastAsia" w:hAnsiTheme="minorHAnsi" w:cstheme="minorBidi"/>
          <w:sz w:val="22"/>
          <w:szCs w:val="22"/>
          <w:lang w:eastAsia="en-AU"/>
        </w:rPr>
      </w:pPr>
      <w:r>
        <w:tab/>
      </w:r>
      <w:hyperlink w:anchor="_Toc32321177" w:history="1">
        <w:r w:rsidRPr="001566CF">
          <w:t>2</w:t>
        </w:r>
        <w:r>
          <w:rPr>
            <w:rFonts w:asciiTheme="minorHAnsi" w:eastAsiaTheme="minorEastAsia" w:hAnsiTheme="minorHAnsi" w:cstheme="minorBidi"/>
            <w:sz w:val="22"/>
            <w:szCs w:val="22"/>
            <w:lang w:eastAsia="en-AU"/>
          </w:rPr>
          <w:tab/>
        </w:r>
        <w:r w:rsidRPr="001566CF">
          <w:t>Commencement</w:t>
        </w:r>
        <w:r>
          <w:tab/>
        </w:r>
        <w:r>
          <w:fldChar w:fldCharType="begin"/>
        </w:r>
        <w:r>
          <w:instrText xml:space="preserve"> PAGEREF _Toc32321177 \h </w:instrText>
        </w:r>
        <w:r>
          <w:fldChar w:fldCharType="separate"/>
        </w:r>
        <w:r w:rsidR="004918E6">
          <w:t>2</w:t>
        </w:r>
        <w:r>
          <w:fldChar w:fldCharType="end"/>
        </w:r>
      </w:hyperlink>
    </w:p>
    <w:p w14:paraId="19BEF28C" w14:textId="48A752F7" w:rsidR="0039212D" w:rsidRDefault="0039212D">
      <w:pPr>
        <w:pStyle w:val="TOC5"/>
        <w:rPr>
          <w:rFonts w:asciiTheme="minorHAnsi" w:eastAsiaTheme="minorEastAsia" w:hAnsiTheme="minorHAnsi" w:cstheme="minorBidi"/>
          <w:sz w:val="22"/>
          <w:szCs w:val="22"/>
          <w:lang w:eastAsia="en-AU"/>
        </w:rPr>
      </w:pPr>
      <w:r>
        <w:tab/>
      </w:r>
      <w:hyperlink w:anchor="_Toc32321178" w:history="1">
        <w:r w:rsidRPr="001566CF">
          <w:t>3</w:t>
        </w:r>
        <w:r>
          <w:rPr>
            <w:rFonts w:asciiTheme="minorHAnsi" w:eastAsiaTheme="minorEastAsia" w:hAnsiTheme="minorHAnsi" w:cstheme="minorBidi"/>
            <w:sz w:val="22"/>
            <w:szCs w:val="22"/>
            <w:lang w:eastAsia="en-AU"/>
          </w:rPr>
          <w:tab/>
        </w:r>
        <w:r w:rsidRPr="001566CF">
          <w:t>Legislation amended</w:t>
        </w:r>
        <w:r>
          <w:tab/>
        </w:r>
        <w:r>
          <w:fldChar w:fldCharType="begin"/>
        </w:r>
        <w:r>
          <w:instrText xml:space="preserve"> PAGEREF _Toc32321178 \h </w:instrText>
        </w:r>
        <w:r>
          <w:fldChar w:fldCharType="separate"/>
        </w:r>
        <w:r w:rsidR="004918E6">
          <w:t>2</w:t>
        </w:r>
        <w:r>
          <w:fldChar w:fldCharType="end"/>
        </w:r>
      </w:hyperlink>
    </w:p>
    <w:p w14:paraId="4D6BA466" w14:textId="22C3CB8D" w:rsidR="0039212D" w:rsidRDefault="005546C4">
      <w:pPr>
        <w:pStyle w:val="TOC2"/>
        <w:rPr>
          <w:rFonts w:asciiTheme="minorHAnsi" w:eastAsiaTheme="minorEastAsia" w:hAnsiTheme="minorHAnsi" w:cstheme="minorBidi"/>
          <w:b w:val="0"/>
          <w:sz w:val="22"/>
          <w:szCs w:val="22"/>
          <w:lang w:eastAsia="en-AU"/>
        </w:rPr>
      </w:pPr>
      <w:hyperlink w:anchor="_Toc32321179" w:history="1">
        <w:r w:rsidR="0039212D" w:rsidRPr="001566CF">
          <w:t>Part 2</w:t>
        </w:r>
        <w:r w:rsidR="0039212D">
          <w:rPr>
            <w:rFonts w:asciiTheme="minorHAnsi" w:eastAsiaTheme="minorEastAsia" w:hAnsiTheme="minorHAnsi" w:cstheme="minorBidi"/>
            <w:b w:val="0"/>
            <w:sz w:val="22"/>
            <w:szCs w:val="22"/>
            <w:lang w:eastAsia="en-AU"/>
          </w:rPr>
          <w:tab/>
        </w:r>
        <w:r w:rsidR="0039212D" w:rsidRPr="001566CF">
          <w:t>Residential Tenancies Act 1997</w:t>
        </w:r>
        <w:r w:rsidR="0039212D" w:rsidRPr="0039212D">
          <w:rPr>
            <w:vanish/>
          </w:rPr>
          <w:tab/>
        </w:r>
        <w:r w:rsidR="0039212D" w:rsidRPr="0039212D">
          <w:rPr>
            <w:vanish/>
          </w:rPr>
          <w:fldChar w:fldCharType="begin"/>
        </w:r>
        <w:r w:rsidR="0039212D" w:rsidRPr="0039212D">
          <w:rPr>
            <w:vanish/>
          </w:rPr>
          <w:instrText xml:space="preserve"> PAGEREF _Toc32321179 \h </w:instrText>
        </w:r>
        <w:r w:rsidR="0039212D" w:rsidRPr="0039212D">
          <w:rPr>
            <w:vanish/>
          </w:rPr>
        </w:r>
        <w:r w:rsidR="0039212D" w:rsidRPr="0039212D">
          <w:rPr>
            <w:vanish/>
          </w:rPr>
          <w:fldChar w:fldCharType="separate"/>
        </w:r>
        <w:r w:rsidR="004918E6">
          <w:rPr>
            <w:vanish/>
          </w:rPr>
          <w:t>3</w:t>
        </w:r>
        <w:r w:rsidR="0039212D" w:rsidRPr="0039212D">
          <w:rPr>
            <w:vanish/>
          </w:rPr>
          <w:fldChar w:fldCharType="end"/>
        </w:r>
      </w:hyperlink>
    </w:p>
    <w:p w14:paraId="358EB818" w14:textId="4C490BC1" w:rsidR="0039212D" w:rsidRDefault="0039212D">
      <w:pPr>
        <w:pStyle w:val="TOC5"/>
        <w:rPr>
          <w:rFonts w:asciiTheme="minorHAnsi" w:eastAsiaTheme="minorEastAsia" w:hAnsiTheme="minorHAnsi" w:cstheme="minorBidi"/>
          <w:sz w:val="22"/>
          <w:szCs w:val="22"/>
          <w:lang w:eastAsia="en-AU"/>
        </w:rPr>
      </w:pPr>
      <w:r>
        <w:tab/>
      </w:r>
      <w:hyperlink w:anchor="_Toc32321180" w:history="1">
        <w:r w:rsidRPr="001566CF">
          <w:t>4</w:t>
        </w:r>
        <w:r>
          <w:rPr>
            <w:rFonts w:asciiTheme="minorHAnsi" w:eastAsiaTheme="minorEastAsia" w:hAnsiTheme="minorHAnsi" w:cstheme="minorBidi"/>
            <w:sz w:val="22"/>
            <w:szCs w:val="22"/>
            <w:lang w:eastAsia="en-AU"/>
          </w:rPr>
          <w:tab/>
        </w:r>
        <w:r w:rsidRPr="001566CF">
          <w:t>New section 4A</w:t>
        </w:r>
        <w:r>
          <w:tab/>
        </w:r>
        <w:r>
          <w:fldChar w:fldCharType="begin"/>
        </w:r>
        <w:r>
          <w:instrText xml:space="preserve"> PAGEREF _Toc32321180 \h </w:instrText>
        </w:r>
        <w:r>
          <w:fldChar w:fldCharType="separate"/>
        </w:r>
        <w:r w:rsidR="004918E6">
          <w:t>3</w:t>
        </w:r>
        <w:r>
          <w:fldChar w:fldCharType="end"/>
        </w:r>
      </w:hyperlink>
    </w:p>
    <w:p w14:paraId="3F393ECB" w14:textId="36B2582E" w:rsidR="0039212D" w:rsidRDefault="0039212D">
      <w:pPr>
        <w:pStyle w:val="TOC5"/>
        <w:rPr>
          <w:rFonts w:asciiTheme="minorHAnsi" w:eastAsiaTheme="minorEastAsia" w:hAnsiTheme="minorHAnsi" w:cstheme="minorBidi"/>
          <w:sz w:val="22"/>
          <w:szCs w:val="22"/>
          <w:lang w:eastAsia="en-AU"/>
        </w:rPr>
      </w:pPr>
      <w:r>
        <w:tab/>
      </w:r>
      <w:hyperlink w:anchor="_Toc32321181" w:history="1">
        <w:r w:rsidRPr="001566CF">
          <w:t>5</w:t>
        </w:r>
        <w:r>
          <w:rPr>
            <w:rFonts w:asciiTheme="minorHAnsi" w:eastAsiaTheme="minorEastAsia" w:hAnsiTheme="minorHAnsi" w:cstheme="minorBidi"/>
            <w:sz w:val="22"/>
            <w:szCs w:val="22"/>
            <w:lang w:eastAsia="en-AU"/>
          </w:rPr>
          <w:tab/>
        </w:r>
        <w:r w:rsidRPr="001566CF">
          <w:t>New section 6AA</w:t>
        </w:r>
        <w:r>
          <w:tab/>
        </w:r>
        <w:r>
          <w:fldChar w:fldCharType="begin"/>
        </w:r>
        <w:r>
          <w:instrText xml:space="preserve"> PAGEREF _Toc32321181 \h </w:instrText>
        </w:r>
        <w:r>
          <w:fldChar w:fldCharType="separate"/>
        </w:r>
        <w:r w:rsidR="004918E6">
          <w:t>4</w:t>
        </w:r>
        <w:r>
          <w:fldChar w:fldCharType="end"/>
        </w:r>
      </w:hyperlink>
    </w:p>
    <w:p w14:paraId="122AD5EE" w14:textId="2444B39D" w:rsidR="0039212D" w:rsidRDefault="0039212D">
      <w:pPr>
        <w:pStyle w:val="TOC5"/>
        <w:rPr>
          <w:rFonts w:asciiTheme="minorHAnsi" w:eastAsiaTheme="minorEastAsia" w:hAnsiTheme="minorHAnsi" w:cstheme="minorBidi"/>
          <w:sz w:val="22"/>
          <w:szCs w:val="22"/>
          <w:lang w:eastAsia="en-AU"/>
        </w:rPr>
      </w:pPr>
      <w:r>
        <w:tab/>
      </w:r>
      <w:hyperlink w:anchor="_Toc32321182" w:history="1">
        <w:r w:rsidRPr="0070317C">
          <w:rPr>
            <w:rStyle w:val="CharSectNo"/>
          </w:rPr>
          <w:t>6</w:t>
        </w:r>
        <w:r w:rsidRPr="0070317C">
          <w:tab/>
          <w:t xml:space="preserve">What is a </w:t>
        </w:r>
        <w:r w:rsidRPr="0070317C">
          <w:rPr>
            <w:rStyle w:val="charItals"/>
          </w:rPr>
          <w:t>residential tenancy agreement</w:t>
        </w:r>
        <w:r w:rsidRPr="0070317C">
          <w:t>?</w:t>
        </w:r>
        <w:r>
          <w:br/>
        </w:r>
        <w:r w:rsidRPr="0070317C">
          <w:t>Section 6A (1)</w:t>
        </w:r>
        <w:r>
          <w:tab/>
        </w:r>
        <w:r>
          <w:fldChar w:fldCharType="begin"/>
        </w:r>
        <w:r>
          <w:instrText xml:space="preserve"> PAGEREF _Toc32321182 \h </w:instrText>
        </w:r>
        <w:r>
          <w:fldChar w:fldCharType="separate"/>
        </w:r>
        <w:r w:rsidR="004918E6">
          <w:t>4</w:t>
        </w:r>
        <w:r>
          <w:fldChar w:fldCharType="end"/>
        </w:r>
      </w:hyperlink>
    </w:p>
    <w:p w14:paraId="105DB952" w14:textId="18673FF8" w:rsidR="0039212D" w:rsidRDefault="0039212D">
      <w:pPr>
        <w:pStyle w:val="TOC5"/>
        <w:rPr>
          <w:rFonts w:asciiTheme="minorHAnsi" w:eastAsiaTheme="minorEastAsia" w:hAnsiTheme="minorHAnsi" w:cstheme="minorBidi"/>
          <w:sz w:val="22"/>
          <w:szCs w:val="22"/>
          <w:lang w:eastAsia="en-AU"/>
        </w:rPr>
      </w:pPr>
      <w:r>
        <w:lastRenderedPageBreak/>
        <w:tab/>
      </w:r>
      <w:hyperlink w:anchor="_Toc32321183" w:history="1">
        <w:r w:rsidRPr="001566CF">
          <w:t>7</w:t>
        </w:r>
        <w:r>
          <w:rPr>
            <w:rFonts w:asciiTheme="minorHAnsi" w:eastAsiaTheme="minorEastAsia" w:hAnsiTheme="minorHAnsi" w:cstheme="minorBidi"/>
            <w:sz w:val="22"/>
            <w:szCs w:val="22"/>
            <w:lang w:eastAsia="en-AU"/>
          </w:rPr>
          <w:tab/>
        </w:r>
        <w:r w:rsidRPr="001566CF">
          <w:t>Section 6A (4), third dot point</w:t>
        </w:r>
        <w:r>
          <w:tab/>
        </w:r>
        <w:r>
          <w:fldChar w:fldCharType="begin"/>
        </w:r>
        <w:r>
          <w:instrText xml:space="preserve"> PAGEREF _Toc32321183 \h </w:instrText>
        </w:r>
        <w:r>
          <w:fldChar w:fldCharType="separate"/>
        </w:r>
        <w:r w:rsidR="004918E6">
          <w:t>4</w:t>
        </w:r>
        <w:r>
          <w:fldChar w:fldCharType="end"/>
        </w:r>
      </w:hyperlink>
    </w:p>
    <w:p w14:paraId="769B388E" w14:textId="493C54B5" w:rsidR="0039212D" w:rsidRDefault="0039212D">
      <w:pPr>
        <w:pStyle w:val="TOC5"/>
        <w:rPr>
          <w:rFonts w:asciiTheme="minorHAnsi" w:eastAsiaTheme="minorEastAsia" w:hAnsiTheme="minorHAnsi" w:cstheme="minorBidi"/>
          <w:sz w:val="22"/>
          <w:szCs w:val="22"/>
          <w:lang w:eastAsia="en-AU"/>
        </w:rPr>
      </w:pPr>
      <w:r>
        <w:tab/>
      </w:r>
      <w:hyperlink w:anchor="_Toc32321184" w:history="1">
        <w:r w:rsidRPr="0070317C">
          <w:rPr>
            <w:rStyle w:val="CharSectNo"/>
          </w:rPr>
          <w:t>8</w:t>
        </w:r>
        <w:r w:rsidRPr="0070317C">
          <w:tab/>
          <w:t>Certain people given right of occupation not tenants</w:t>
        </w:r>
        <w:r>
          <w:br/>
        </w:r>
        <w:r w:rsidRPr="0070317C">
          <w:t>Section 6E (1) (b)</w:t>
        </w:r>
        <w:r>
          <w:tab/>
        </w:r>
        <w:r>
          <w:fldChar w:fldCharType="begin"/>
        </w:r>
        <w:r>
          <w:instrText xml:space="preserve"> PAGEREF _Toc32321184 \h </w:instrText>
        </w:r>
        <w:r>
          <w:fldChar w:fldCharType="separate"/>
        </w:r>
        <w:r w:rsidR="004918E6">
          <w:t>4</w:t>
        </w:r>
        <w:r>
          <w:fldChar w:fldCharType="end"/>
        </w:r>
      </w:hyperlink>
    </w:p>
    <w:p w14:paraId="3BD5A183" w14:textId="1E62BD7F" w:rsidR="0039212D" w:rsidRDefault="0039212D">
      <w:pPr>
        <w:pStyle w:val="TOC5"/>
        <w:rPr>
          <w:rFonts w:asciiTheme="minorHAnsi" w:eastAsiaTheme="minorEastAsia" w:hAnsiTheme="minorHAnsi" w:cstheme="minorBidi"/>
          <w:sz w:val="22"/>
          <w:szCs w:val="22"/>
          <w:lang w:eastAsia="en-AU"/>
        </w:rPr>
      </w:pPr>
      <w:r>
        <w:tab/>
      </w:r>
      <w:hyperlink w:anchor="_Toc32321185" w:history="1">
        <w:r w:rsidRPr="0070317C">
          <w:rPr>
            <w:rStyle w:val="CharSectNo"/>
          </w:rPr>
          <w:t>9</w:t>
        </w:r>
        <w:r w:rsidRPr="0070317C">
          <w:tab/>
          <w:t>Certain kinds of premises mean no residential tenancy agreement</w:t>
        </w:r>
        <w:r>
          <w:br/>
        </w:r>
        <w:r w:rsidRPr="0070317C">
          <w:t>Section 6F</w:t>
        </w:r>
        <w:r>
          <w:tab/>
        </w:r>
        <w:r>
          <w:fldChar w:fldCharType="begin"/>
        </w:r>
        <w:r>
          <w:instrText xml:space="preserve"> PAGEREF _Toc32321185 \h </w:instrText>
        </w:r>
        <w:r>
          <w:fldChar w:fldCharType="separate"/>
        </w:r>
        <w:r w:rsidR="004918E6">
          <w:t>5</w:t>
        </w:r>
        <w:r>
          <w:fldChar w:fldCharType="end"/>
        </w:r>
      </w:hyperlink>
    </w:p>
    <w:p w14:paraId="0DA1F73C" w14:textId="716B1676" w:rsidR="0039212D" w:rsidRDefault="0039212D">
      <w:pPr>
        <w:pStyle w:val="TOC5"/>
        <w:rPr>
          <w:rFonts w:asciiTheme="minorHAnsi" w:eastAsiaTheme="minorEastAsia" w:hAnsiTheme="minorHAnsi" w:cstheme="minorBidi"/>
          <w:sz w:val="22"/>
          <w:szCs w:val="22"/>
          <w:lang w:eastAsia="en-AU"/>
        </w:rPr>
      </w:pPr>
      <w:r>
        <w:tab/>
      </w:r>
      <w:hyperlink w:anchor="_Toc32321186" w:history="1">
        <w:r w:rsidRPr="0070317C">
          <w:rPr>
            <w:rStyle w:val="CharSectNo"/>
          </w:rPr>
          <w:t>10</w:t>
        </w:r>
        <w:r w:rsidRPr="0070317C">
          <w:tab/>
          <w:t>Rent or a bond only</w:t>
        </w:r>
        <w:r>
          <w:br/>
        </w:r>
        <w:r w:rsidRPr="0070317C">
          <w:t>New section 15 (2) (aa) and (ab)</w:t>
        </w:r>
        <w:r>
          <w:tab/>
        </w:r>
        <w:r>
          <w:fldChar w:fldCharType="begin"/>
        </w:r>
        <w:r>
          <w:instrText xml:space="preserve"> PAGEREF _Toc32321186 \h </w:instrText>
        </w:r>
        <w:r>
          <w:fldChar w:fldCharType="separate"/>
        </w:r>
        <w:r w:rsidR="004918E6">
          <w:t>5</w:t>
        </w:r>
        <w:r>
          <w:fldChar w:fldCharType="end"/>
        </w:r>
      </w:hyperlink>
    </w:p>
    <w:p w14:paraId="199667B4" w14:textId="06B2BD9F" w:rsidR="0039212D" w:rsidRDefault="0039212D">
      <w:pPr>
        <w:pStyle w:val="TOC5"/>
        <w:rPr>
          <w:rFonts w:asciiTheme="minorHAnsi" w:eastAsiaTheme="minorEastAsia" w:hAnsiTheme="minorHAnsi" w:cstheme="minorBidi"/>
          <w:sz w:val="22"/>
          <w:szCs w:val="22"/>
          <w:lang w:eastAsia="en-AU"/>
        </w:rPr>
      </w:pPr>
      <w:r>
        <w:tab/>
      </w:r>
      <w:hyperlink w:anchor="_Toc32321187" w:history="1">
        <w:r w:rsidRPr="0070317C">
          <w:rPr>
            <w:rStyle w:val="CharSectNo"/>
          </w:rPr>
          <w:t>11</w:t>
        </w:r>
        <w:r w:rsidRPr="0070317C">
          <w:tab/>
          <w:t>Bond release application—lessor’s obligations</w:t>
        </w:r>
        <w:r>
          <w:br/>
        </w:r>
        <w:r w:rsidRPr="0070317C">
          <w:t>New section 34 (3)</w:t>
        </w:r>
        <w:r>
          <w:tab/>
        </w:r>
        <w:r>
          <w:fldChar w:fldCharType="begin"/>
        </w:r>
        <w:r>
          <w:instrText xml:space="preserve"> PAGEREF _Toc32321187 \h </w:instrText>
        </w:r>
        <w:r>
          <w:fldChar w:fldCharType="separate"/>
        </w:r>
        <w:r w:rsidR="004918E6">
          <w:t>5</w:t>
        </w:r>
        <w:r>
          <w:fldChar w:fldCharType="end"/>
        </w:r>
      </w:hyperlink>
    </w:p>
    <w:p w14:paraId="3A1532FE" w14:textId="1E69C427" w:rsidR="0039212D" w:rsidRDefault="0039212D">
      <w:pPr>
        <w:pStyle w:val="TOC5"/>
        <w:rPr>
          <w:rFonts w:asciiTheme="minorHAnsi" w:eastAsiaTheme="minorEastAsia" w:hAnsiTheme="minorHAnsi" w:cstheme="minorBidi"/>
          <w:sz w:val="22"/>
          <w:szCs w:val="22"/>
          <w:lang w:eastAsia="en-AU"/>
        </w:rPr>
      </w:pPr>
      <w:r>
        <w:tab/>
      </w:r>
      <w:hyperlink w:anchor="_Toc32321188" w:history="1">
        <w:r w:rsidRPr="0070317C">
          <w:rPr>
            <w:rStyle w:val="CharSectNo"/>
          </w:rPr>
          <w:t>12</w:t>
        </w:r>
        <w:r w:rsidRPr="0070317C">
          <w:tab/>
          <w:t>Bond release application—joint application</w:t>
        </w:r>
        <w:r>
          <w:br/>
        </w:r>
        <w:r w:rsidRPr="0070317C">
          <w:t>Section 34A (1) (b)</w:t>
        </w:r>
        <w:r>
          <w:tab/>
        </w:r>
        <w:r>
          <w:fldChar w:fldCharType="begin"/>
        </w:r>
        <w:r>
          <w:instrText xml:space="preserve"> PAGEREF _Toc32321188 \h </w:instrText>
        </w:r>
        <w:r>
          <w:fldChar w:fldCharType="separate"/>
        </w:r>
        <w:r w:rsidR="004918E6">
          <w:t>5</w:t>
        </w:r>
        <w:r>
          <w:fldChar w:fldCharType="end"/>
        </w:r>
      </w:hyperlink>
    </w:p>
    <w:p w14:paraId="5A520281" w14:textId="67A9E76D" w:rsidR="0039212D" w:rsidRDefault="0039212D">
      <w:pPr>
        <w:pStyle w:val="TOC5"/>
        <w:rPr>
          <w:rFonts w:asciiTheme="minorHAnsi" w:eastAsiaTheme="minorEastAsia" w:hAnsiTheme="minorHAnsi" w:cstheme="minorBidi"/>
          <w:sz w:val="22"/>
          <w:szCs w:val="22"/>
          <w:lang w:eastAsia="en-AU"/>
        </w:rPr>
      </w:pPr>
      <w:r>
        <w:tab/>
      </w:r>
      <w:hyperlink w:anchor="_Toc32321189" w:history="1">
        <w:r w:rsidRPr="001566CF">
          <w:t>13</w:t>
        </w:r>
        <w:r>
          <w:rPr>
            <w:rFonts w:asciiTheme="minorHAnsi" w:eastAsiaTheme="minorEastAsia" w:hAnsiTheme="minorHAnsi" w:cstheme="minorBidi"/>
            <w:sz w:val="22"/>
            <w:szCs w:val="22"/>
            <w:lang w:eastAsia="en-AU"/>
          </w:rPr>
          <w:tab/>
        </w:r>
        <w:r w:rsidRPr="001566CF">
          <w:t>Section 34A (3) (a)</w:t>
        </w:r>
        <w:r>
          <w:tab/>
        </w:r>
        <w:r>
          <w:fldChar w:fldCharType="begin"/>
        </w:r>
        <w:r>
          <w:instrText xml:space="preserve"> PAGEREF _Toc32321189 \h </w:instrText>
        </w:r>
        <w:r>
          <w:fldChar w:fldCharType="separate"/>
        </w:r>
        <w:r w:rsidR="004918E6">
          <w:t>6</w:t>
        </w:r>
        <w:r>
          <w:fldChar w:fldCharType="end"/>
        </w:r>
      </w:hyperlink>
    </w:p>
    <w:p w14:paraId="1736EC9A" w14:textId="7929CF42" w:rsidR="0039212D" w:rsidRDefault="0039212D">
      <w:pPr>
        <w:pStyle w:val="TOC5"/>
        <w:rPr>
          <w:rFonts w:asciiTheme="minorHAnsi" w:eastAsiaTheme="minorEastAsia" w:hAnsiTheme="minorHAnsi" w:cstheme="minorBidi"/>
          <w:sz w:val="22"/>
          <w:szCs w:val="22"/>
          <w:lang w:eastAsia="en-AU"/>
        </w:rPr>
      </w:pPr>
      <w:r>
        <w:tab/>
      </w:r>
      <w:hyperlink w:anchor="_Toc32321190" w:history="1">
        <w:r w:rsidRPr="0070317C">
          <w:rPr>
            <w:rStyle w:val="CharSectNo"/>
          </w:rPr>
          <w:t>14</w:t>
        </w:r>
        <w:r w:rsidRPr="0070317C">
          <w:tab/>
          <w:t>Bond release application—application by tenant</w:t>
        </w:r>
        <w:r>
          <w:br/>
        </w:r>
        <w:r w:rsidRPr="0070317C">
          <w:t>Section 34B (1) (c)</w:t>
        </w:r>
        <w:r>
          <w:tab/>
        </w:r>
        <w:r>
          <w:fldChar w:fldCharType="begin"/>
        </w:r>
        <w:r>
          <w:instrText xml:space="preserve"> PAGEREF _Toc32321190 \h </w:instrText>
        </w:r>
        <w:r>
          <w:fldChar w:fldCharType="separate"/>
        </w:r>
        <w:r w:rsidR="004918E6">
          <w:t>6</w:t>
        </w:r>
        <w:r>
          <w:fldChar w:fldCharType="end"/>
        </w:r>
      </w:hyperlink>
    </w:p>
    <w:p w14:paraId="311F8C57" w14:textId="47DA9D5B" w:rsidR="0039212D" w:rsidRDefault="0039212D">
      <w:pPr>
        <w:pStyle w:val="TOC5"/>
        <w:rPr>
          <w:rFonts w:asciiTheme="minorHAnsi" w:eastAsiaTheme="minorEastAsia" w:hAnsiTheme="minorHAnsi" w:cstheme="minorBidi"/>
          <w:sz w:val="22"/>
          <w:szCs w:val="22"/>
          <w:lang w:eastAsia="en-AU"/>
        </w:rPr>
      </w:pPr>
      <w:r>
        <w:tab/>
      </w:r>
      <w:hyperlink w:anchor="_Toc32321191" w:history="1">
        <w:r w:rsidRPr="001566CF">
          <w:t>15</w:t>
        </w:r>
        <w:r>
          <w:rPr>
            <w:rFonts w:asciiTheme="minorHAnsi" w:eastAsiaTheme="minorEastAsia" w:hAnsiTheme="minorHAnsi" w:cstheme="minorBidi"/>
            <w:sz w:val="22"/>
            <w:szCs w:val="22"/>
            <w:lang w:eastAsia="en-AU"/>
          </w:rPr>
          <w:tab/>
        </w:r>
        <w:r w:rsidRPr="001566CF">
          <w:t>Section 34B (2) (a)</w:t>
        </w:r>
        <w:r>
          <w:tab/>
        </w:r>
        <w:r>
          <w:fldChar w:fldCharType="begin"/>
        </w:r>
        <w:r>
          <w:instrText xml:space="preserve"> PAGEREF _Toc32321191 \h </w:instrText>
        </w:r>
        <w:r>
          <w:fldChar w:fldCharType="separate"/>
        </w:r>
        <w:r w:rsidR="004918E6">
          <w:t>6</w:t>
        </w:r>
        <w:r>
          <w:fldChar w:fldCharType="end"/>
        </w:r>
      </w:hyperlink>
    </w:p>
    <w:p w14:paraId="2257A885" w14:textId="561236BC" w:rsidR="0039212D" w:rsidRDefault="0039212D">
      <w:pPr>
        <w:pStyle w:val="TOC5"/>
        <w:rPr>
          <w:rFonts w:asciiTheme="minorHAnsi" w:eastAsiaTheme="minorEastAsia" w:hAnsiTheme="minorHAnsi" w:cstheme="minorBidi"/>
          <w:sz w:val="22"/>
          <w:szCs w:val="22"/>
          <w:lang w:eastAsia="en-AU"/>
        </w:rPr>
      </w:pPr>
      <w:r>
        <w:tab/>
      </w:r>
      <w:hyperlink w:anchor="_Toc32321192" w:history="1">
        <w:r w:rsidRPr="001566CF">
          <w:t>16</w:t>
        </w:r>
        <w:r>
          <w:rPr>
            <w:rFonts w:asciiTheme="minorHAnsi" w:eastAsiaTheme="minorEastAsia" w:hAnsiTheme="minorHAnsi" w:cstheme="minorBidi"/>
            <w:sz w:val="22"/>
            <w:szCs w:val="22"/>
            <w:lang w:eastAsia="en-AU"/>
          </w:rPr>
          <w:tab/>
        </w:r>
        <w:r w:rsidRPr="001566CF">
          <w:t>New section 34F</w:t>
        </w:r>
        <w:r>
          <w:tab/>
        </w:r>
        <w:r>
          <w:fldChar w:fldCharType="begin"/>
        </w:r>
        <w:r>
          <w:instrText xml:space="preserve"> PAGEREF _Toc32321192 \h </w:instrText>
        </w:r>
        <w:r>
          <w:fldChar w:fldCharType="separate"/>
        </w:r>
        <w:r w:rsidR="004918E6">
          <w:t>7</w:t>
        </w:r>
        <w:r>
          <w:fldChar w:fldCharType="end"/>
        </w:r>
      </w:hyperlink>
    </w:p>
    <w:p w14:paraId="17E8B1AA" w14:textId="6088FE91" w:rsidR="0039212D" w:rsidRDefault="0039212D">
      <w:pPr>
        <w:pStyle w:val="TOC5"/>
        <w:rPr>
          <w:rFonts w:asciiTheme="minorHAnsi" w:eastAsiaTheme="minorEastAsia" w:hAnsiTheme="minorHAnsi" w:cstheme="minorBidi"/>
          <w:sz w:val="22"/>
          <w:szCs w:val="22"/>
          <w:lang w:eastAsia="en-AU"/>
        </w:rPr>
      </w:pPr>
      <w:r>
        <w:tab/>
      </w:r>
      <w:hyperlink w:anchor="_Toc32321193" w:history="1">
        <w:r w:rsidRPr="001566CF">
          <w:t>17</w:t>
        </w:r>
        <w:r>
          <w:rPr>
            <w:rFonts w:asciiTheme="minorHAnsi" w:eastAsiaTheme="minorEastAsia" w:hAnsiTheme="minorHAnsi" w:cstheme="minorBidi"/>
            <w:sz w:val="22"/>
            <w:szCs w:val="22"/>
            <w:lang w:eastAsia="en-AU"/>
          </w:rPr>
          <w:tab/>
        </w:r>
        <w:r w:rsidRPr="001566CF">
          <w:t>New part 3A</w:t>
        </w:r>
        <w:r>
          <w:tab/>
        </w:r>
        <w:r>
          <w:fldChar w:fldCharType="begin"/>
        </w:r>
        <w:r>
          <w:instrText xml:space="preserve"> PAGEREF _Toc32321193 \h </w:instrText>
        </w:r>
        <w:r>
          <w:fldChar w:fldCharType="separate"/>
        </w:r>
        <w:r w:rsidR="004918E6">
          <w:t>8</w:t>
        </w:r>
        <w:r>
          <w:fldChar w:fldCharType="end"/>
        </w:r>
      </w:hyperlink>
    </w:p>
    <w:p w14:paraId="54F474D6" w14:textId="0AA0E169" w:rsidR="0039212D" w:rsidRDefault="0039212D">
      <w:pPr>
        <w:pStyle w:val="TOC5"/>
        <w:rPr>
          <w:rFonts w:asciiTheme="minorHAnsi" w:eastAsiaTheme="minorEastAsia" w:hAnsiTheme="minorHAnsi" w:cstheme="minorBidi"/>
          <w:sz w:val="22"/>
          <w:szCs w:val="22"/>
          <w:lang w:eastAsia="en-AU"/>
        </w:rPr>
      </w:pPr>
      <w:r>
        <w:tab/>
      </w:r>
      <w:hyperlink w:anchor="_Toc32321194" w:history="1">
        <w:r w:rsidRPr="001566CF">
          <w:t>18</w:t>
        </w:r>
        <w:r>
          <w:rPr>
            <w:rFonts w:asciiTheme="minorHAnsi" w:eastAsiaTheme="minorEastAsia" w:hAnsiTheme="minorHAnsi" w:cstheme="minorBidi"/>
            <w:sz w:val="22"/>
            <w:szCs w:val="22"/>
            <w:lang w:eastAsia="en-AU"/>
          </w:rPr>
          <w:tab/>
        </w:r>
        <w:r w:rsidRPr="001566CF">
          <w:t>Section 54 heading</w:t>
        </w:r>
        <w:r>
          <w:tab/>
        </w:r>
        <w:r>
          <w:fldChar w:fldCharType="begin"/>
        </w:r>
        <w:r>
          <w:instrText xml:space="preserve"> PAGEREF _Toc32321194 \h </w:instrText>
        </w:r>
        <w:r>
          <w:fldChar w:fldCharType="separate"/>
        </w:r>
        <w:r w:rsidR="004918E6">
          <w:t>17</w:t>
        </w:r>
        <w:r>
          <w:fldChar w:fldCharType="end"/>
        </w:r>
      </w:hyperlink>
    </w:p>
    <w:p w14:paraId="41332AC8" w14:textId="2D437731" w:rsidR="0039212D" w:rsidRDefault="0039212D">
      <w:pPr>
        <w:pStyle w:val="TOC5"/>
        <w:rPr>
          <w:rFonts w:asciiTheme="minorHAnsi" w:eastAsiaTheme="minorEastAsia" w:hAnsiTheme="minorHAnsi" w:cstheme="minorBidi"/>
          <w:sz w:val="22"/>
          <w:szCs w:val="22"/>
          <w:lang w:eastAsia="en-AU"/>
        </w:rPr>
      </w:pPr>
      <w:r>
        <w:tab/>
      </w:r>
      <w:hyperlink w:anchor="_Toc32321195" w:history="1">
        <w:r w:rsidRPr="001566CF">
          <w:t>19</w:t>
        </w:r>
        <w:r>
          <w:rPr>
            <w:rFonts w:asciiTheme="minorHAnsi" w:eastAsiaTheme="minorEastAsia" w:hAnsiTheme="minorHAnsi" w:cstheme="minorBidi"/>
            <w:sz w:val="22"/>
            <w:szCs w:val="22"/>
            <w:lang w:eastAsia="en-AU"/>
          </w:rPr>
          <w:tab/>
        </w:r>
        <w:r w:rsidRPr="001566CF">
          <w:t>Section 54 (1) (a)</w:t>
        </w:r>
        <w:r>
          <w:tab/>
        </w:r>
        <w:r>
          <w:fldChar w:fldCharType="begin"/>
        </w:r>
        <w:r>
          <w:instrText xml:space="preserve"> PAGEREF _Toc32321195 \h </w:instrText>
        </w:r>
        <w:r>
          <w:fldChar w:fldCharType="separate"/>
        </w:r>
        <w:r w:rsidR="004918E6">
          <w:t>17</w:t>
        </w:r>
        <w:r>
          <w:fldChar w:fldCharType="end"/>
        </w:r>
      </w:hyperlink>
    </w:p>
    <w:p w14:paraId="62FD09DB" w14:textId="111EF211" w:rsidR="0039212D" w:rsidRDefault="0039212D">
      <w:pPr>
        <w:pStyle w:val="TOC5"/>
        <w:rPr>
          <w:rFonts w:asciiTheme="minorHAnsi" w:eastAsiaTheme="minorEastAsia" w:hAnsiTheme="minorHAnsi" w:cstheme="minorBidi"/>
          <w:sz w:val="22"/>
          <w:szCs w:val="22"/>
          <w:lang w:eastAsia="en-AU"/>
        </w:rPr>
      </w:pPr>
      <w:r>
        <w:tab/>
      </w:r>
      <w:hyperlink w:anchor="_Toc32321196" w:history="1">
        <w:r w:rsidRPr="001566CF">
          <w:t>20</w:t>
        </w:r>
        <w:r>
          <w:rPr>
            <w:rFonts w:asciiTheme="minorHAnsi" w:eastAsiaTheme="minorEastAsia" w:hAnsiTheme="minorHAnsi" w:cstheme="minorBidi"/>
            <w:sz w:val="22"/>
            <w:szCs w:val="22"/>
            <w:lang w:eastAsia="en-AU"/>
          </w:rPr>
          <w:tab/>
        </w:r>
        <w:r w:rsidRPr="001566CF">
          <w:t>Section 54 (1) (b) and (c)</w:t>
        </w:r>
        <w:r>
          <w:tab/>
        </w:r>
        <w:r>
          <w:fldChar w:fldCharType="begin"/>
        </w:r>
        <w:r>
          <w:instrText xml:space="preserve"> PAGEREF _Toc32321196 \h </w:instrText>
        </w:r>
        <w:r>
          <w:fldChar w:fldCharType="separate"/>
        </w:r>
        <w:r w:rsidR="004918E6">
          <w:t>17</w:t>
        </w:r>
        <w:r>
          <w:fldChar w:fldCharType="end"/>
        </w:r>
      </w:hyperlink>
    </w:p>
    <w:p w14:paraId="206FF02D" w14:textId="0ABAC072" w:rsidR="0039212D" w:rsidRDefault="0039212D">
      <w:pPr>
        <w:pStyle w:val="TOC5"/>
        <w:rPr>
          <w:rFonts w:asciiTheme="minorHAnsi" w:eastAsiaTheme="minorEastAsia" w:hAnsiTheme="minorHAnsi" w:cstheme="minorBidi"/>
          <w:sz w:val="22"/>
          <w:szCs w:val="22"/>
          <w:lang w:eastAsia="en-AU"/>
        </w:rPr>
      </w:pPr>
      <w:r>
        <w:tab/>
      </w:r>
      <w:hyperlink w:anchor="_Toc32321197" w:history="1">
        <w:r w:rsidRPr="001566CF">
          <w:t>21</w:t>
        </w:r>
        <w:r>
          <w:rPr>
            <w:rFonts w:asciiTheme="minorHAnsi" w:eastAsiaTheme="minorEastAsia" w:hAnsiTheme="minorHAnsi" w:cstheme="minorBidi"/>
            <w:sz w:val="22"/>
            <w:szCs w:val="22"/>
            <w:lang w:eastAsia="en-AU"/>
          </w:rPr>
          <w:tab/>
        </w:r>
        <w:r w:rsidRPr="001566CF">
          <w:t>Section 54 (2)</w:t>
        </w:r>
        <w:r>
          <w:tab/>
        </w:r>
        <w:r>
          <w:fldChar w:fldCharType="begin"/>
        </w:r>
        <w:r>
          <w:instrText xml:space="preserve"> PAGEREF _Toc32321197 \h </w:instrText>
        </w:r>
        <w:r>
          <w:fldChar w:fldCharType="separate"/>
        </w:r>
        <w:r w:rsidR="004918E6">
          <w:t>17</w:t>
        </w:r>
        <w:r>
          <w:fldChar w:fldCharType="end"/>
        </w:r>
      </w:hyperlink>
    </w:p>
    <w:p w14:paraId="015DAB1E" w14:textId="7058BEBC" w:rsidR="0039212D" w:rsidRDefault="0039212D">
      <w:pPr>
        <w:pStyle w:val="TOC5"/>
        <w:rPr>
          <w:rFonts w:asciiTheme="minorHAnsi" w:eastAsiaTheme="minorEastAsia" w:hAnsiTheme="minorHAnsi" w:cstheme="minorBidi"/>
          <w:sz w:val="22"/>
          <w:szCs w:val="22"/>
          <w:lang w:eastAsia="en-AU"/>
        </w:rPr>
      </w:pPr>
      <w:r>
        <w:tab/>
      </w:r>
      <w:hyperlink w:anchor="_Toc32321198" w:history="1">
        <w:r w:rsidRPr="0070317C">
          <w:rPr>
            <w:rStyle w:val="CharSectNo"/>
          </w:rPr>
          <w:t>22</w:t>
        </w:r>
        <w:r w:rsidRPr="0070317C">
          <w:tab/>
          <w:t xml:space="preserve">What is an </w:t>
        </w:r>
        <w:r w:rsidRPr="0070317C">
          <w:rPr>
            <w:rStyle w:val="charItals"/>
          </w:rPr>
          <w:t>occupancy agreement</w:t>
        </w:r>
        <w:r w:rsidRPr="0070317C">
          <w:t>?</w:t>
        </w:r>
        <w:r>
          <w:br/>
        </w:r>
        <w:r w:rsidRPr="0070317C">
          <w:t>Section 71C (1)</w:t>
        </w:r>
        <w:r>
          <w:tab/>
        </w:r>
        <w:r>
          <w:fldChar w:fldCharType="begin"/>
        </w:r>
        <w:r>
          <w:instrText xml:space="preserve"> PAGEREF _Toc32321198 \h </w:instrText>
        </w:r>
        <w:r>
          <w:fldChar w:fldCharType="separate"/>
        </w:r>
        <w:r w:rsidR="004918E6">
          <w:t>18</w:t>
        </w:r>
        <w:r>
          <w:fldChar w:fldCharType="end"/>
        </w:r>
      </w:hyperlink>
    </w:p>
    <w:p w14:paraId="017A5D4B" w14:textId="0F628357" w:rsidR="0039212D" w:rsidRDefault="0039212D">
      <w:pPr>
        <w:pStyle w:val="TOC5"/>
        <w:rPr>
          <w:rFonts w:asciiTheme="minorHAnsi" w:eastAsiaTheme="minorEastAsia" w:hAnsiTheme="minorHAnsi" w:cstheme="minorBidi"/>
          <w:sz w:val="22"/>
          <w:szCs w:val="22"/>
          <w:lang w:eastAsia="en-AU"/>
        </w:rPr>
      </w:pPr>
      <w:r>
        <w:tab/>
      </w:r>
      <w:hyperlink w:anchor="_Toc32321199" w:history="1">
        <w:r w:rsidRPr="001566CF">
          <w:t>23</w:t>
        </w:r>
        <w:r>
          <w:rPr>
            <w:rFonts w:asciiTheme="minorHAnsi" w:eastAsiaTheme="minorEastAsia" w:hAnsiTheme="minorHAnsi" w:cstheme="minorBidi"/>
            <w:sz w:val="22"/>
            <w:szCs w:val="22"/>
            <w:lang w:eastAsia="en-AU"/>
          </w:rPr>
          <w:tab/>
        </w:r>
        <w:r w:rsidRPr="001566CF">
          <w:t>Section 71C (4) and note</w:t>
        </w:r>
        <w:r>
          <w:tab/>
        </w:r>
        <w:r>
          <w:fldChar w:fldCharType="begin"/>
        </w:r>
        <w:r>
          <w:instrText xml:space="preserve"> PAGEREF _Toc32321199 \h </w:instrText>
        </w:r>
        <w:r>
          <w:fldChar w:fldCharType="separate"/>
        </w:r>
        <w:r w:rsidR="004918E6">
          <w:t>19</w:t>
        </w:r>
        <w:r>
          <w:fldChar w:fldCharType="end"/>
        </w:r>
      </w:hyperlink>
    </w:p>
    <w:p w14:paraId="4E59ACFC" w14:textId="5195DAA7" w:rsidR="0039212D" w:rsidRDefault="0039212D">
      <w:pPr>
        <w:pStyle w:val="TOC5"/>
        <w:rPr>
          <w:rFonts w:asciiTheme="minorHAnsi" w:eastAsiaTheme="minorEastAsia" w:hAnsiTheme="minorHAnsi" w:cstheme="minorBidi"/>
          <w:sz w:val="22"/>
          <w:szCs w:val="22"/>
          <w:lang w:eastAsia="en-AU"/>
        </w:rPr>
      </w:pPr>
      <w:r>
        <w:tab/>
      </w:r>
      <w:hyperlink w:anchor="_Toc32321200" w:history="1">
        <w:r w:rsidRPr="001566CF">
          <w:t>24</w:t>
        </w:r>
        <w:r>
          <w:rPr>
            <w:rFonts w:asciiTheme="minorHAnsi" w:eastAsiaTheme="minorEastAsia" w:hAnsiTheme="minorHAnsi" w:cstheme="minorBidi"/>
            <w:sz w:val="22"/>
            <w:szCs w:val="22"/>
            <w:lang w:eastAsia="en-AU"/>
          </w:rPr>
          <w:tab/>
        </w:r>
        <w:r w:rsidRPr="001566CF">
          <w:t>New sections 71CA and 71CB</w:t>
        </w:r>
        <w:r>
          <w:tab/>
        </w:r>
        <w:r>
          <w:fldChar w:fldCharType="begin"/>
        </w:r>
        <w:r>
          <w:instrText xml:space="preserve"> PAGEREF _Toc32321200 \h </w:instrText>
        </w:r>
        <w:r>
          <w:fldChar w:fldCharType="separate"/>
        </w:r>
        <w:r w:rsidR="004918E6">
          <w:t>20</w:t>
        </w:r>
        <w:r>
          <w:fldChar w:fldCharType="end"/>
        </w:r>
      </w:hyperlink>
    </w:p>
    <w:p w14:paraId="614E215D" w14:textId="7054D906" w:rsidR="0039212D" w:rsidRDefault="0039212D">
      <w:pPr>
        <w:pStyle w:val="TOC5"/>
        <w:rPr>
          <w:rFonts w:asciiTheme="minorHAnsi" w:eastAsiaTheme="minorEastAsia" w:hAnsiTheme="minorHAnsi" w:cstheme="minorBidi"/>
          <w:sz w:val="22"/>
          <w:szCs w:val="22"/>
          <w:lang w:eastAsia="en-AU"/>
        </w:rPr>
      </w:pPr>
      <w:r>
        <w:tab/>
      </w:r>
      <w:hyperlink w:anchor="_Toc32321201" w:history="1">
        <w:r w:rsidRPr="001566CF">
          <w:t>25</w:t>
        </w:r>
        <w:r>
          <w:rPr>
            <w:rFonts w:asciiTheme="minorHAnsi" w:eastAsiaTheme="minorEastAsia" w:hAnsiTheme="minorHAnsi" w:cstheme="minorBidi"/>
            <w:sz w:val="22"/>
            <w:szCs w:val="22"/>
            <w:lang w:eastAsia="en-AU"/>
          </w:rPr>
          <w:tab/>
        </w:r>
        <w:r w:rsidRPr="001566CF">
          <w:t>Section 71D heading</w:t>
        </w:r>
        <w:r>
          <w:tab/>
        </w:r>
        <w:r>
          <w:fldChar w:fldCharType="begin"/>
        </w:r>
        <w:r>
          <w:instrText xml:space="preserve"> PAGEREF _Toc32321201 \h </w:instrText>
        </w:r>
        <w:r>
          <w:fldChar w:fldCharType="separate"/>
        </w:r>
        <w:r w:rsidR="004918E6">
          <w:t>21</w:t>
        </w:r>
        <w:r>
          <w:fldChar w:fldCharType="end"/>
        </w:r>
      </w:hyperlink>
    </w:p>
    <w:p w14:paraId="0D62C7E7" w14:textId="386266ED" w:rsidR="0039212D" w:rsidRDefault="0039212D">
      <w:pPr>
        <w:pStyle w:val="TOC5"/>
        <w:rPr>
          <w:rFonts w:asciiTheme="minorHAnsi" w:eastAsiaTheme="minorEastAsia" w:hAnsiTheme="minorHAnsi" w:cstheme="minorBidi"/>
          <w:sz w:val="22"/>
          <w:szCs w:val="22"/>
          <w:lang w:eastAsia="en-AU"/>
        </w:rPr>
      </w:pPr>
      <w:r>
        <w:tab/>
      </w:r>
      <w:hyperlink w:anchor="_Toc32321202" w:history="1">
        <w:r w:rsidRPr="001566CF">
          <w:t>26</w:t>
        </w:r>
        <w:r>
          <w:rPr>
            <w:rFonts w:asciiTheme="minorHAnsi" w:eastAsiaTheme="minorEastAsia" w:hAnsiTheme="minorHAnsi" w:cstheme="minorBidi"/>
            <w:sz w:val="22"/>
            <w:szCs w:val="22"/>
            <w:lang w:eastAsia="en-AU"/>
          </w:rPr>
          <w:tab/>
        </w:r>
        <w:r w:rsidRPr="001566CF">
          <w:t>New section 71D (2)</w:t>
        </w:r>
        <w:r>
          <w:tab/>
        </w:r>
        <w:r>
          <w:fldChar w:fldCharType="begin"/>
        </w:r>
        <w:r>
          <w:instrText xml:space="preserve"> PAGEREF _Toc32321202 \h </w:instrText>
        </w:r>
        <w:r>
          <w:fldChar w:fldCharType="separate"/>
        </w:r>
        <w:r w:rsidR="004918E6">
          <w:t>22</w:t>
        </w:r>
        <w:r>
          <w:fldChar w:fldCharType="end"/>
        </w:r>
      </w:hyperlink>
    </w:p>
    <w:p w14:paraId="219B979A" w14:textId="2B43BFD8" w:rsidR="0039212D" w:rsidRDefault="0039212D">
      <w:pPr>
        <w:pStyle w:val="TOC5"/>
        <w:rPr>
          <w:rFonts w:asciiTheme="minorHAnsi" w:eastAsiaTheme="minorEastAsia" w:hAnsiTheme="minorHAnsi" w:cstheme="minorBidi"/>
          <w:sz w:val="22"/>
          <w:szCs w:val="22"/>
          <w:lang w:eastAsia="en-AU"/>
        </w:rPr>
      </w:pPr>
      <w:r>
        <w:tab/>
      </w:r>
      <w:hyperlink w:anchor="_Toc32321203" w:history="1">
        <w:r w:rsidRPr="001566CF">
          <w:t>27</w:t>
        </w:r>
        <w:r>
          <w:rPr>
            <w:rFonts w:asciiTheme="minorHAnsi" w:eastAsiaTheme="minorEastAsia" w:hAnsiTheme="minorHAnsi" w:cstheme="minorBidi"/>
            <w:sz w:val="22"/>
            <w:szCs w:val="22"/>
            <w:lang w:eastAsia="en-AU"/>
          </w:rPr>
          <w:tab/>
        </w:r>
        <w:r w:rsidRPr="001566CF">
          <w:t>Section 71E</w:t>
        </w:r>
        <w:r>
          <w:tab/>
        </w:r>
        <w:r>
          <w:fldChar w:fldCharType="begin"/>
        </w:r>
        <w:r>
          <w:instrText xml:space="preserve"> PAGEREF _Toc32321203 \h </w:instrText>
        </w:r>
        <w:r>
          <w:fldChar w:fldCharType="separate"/>
        </w:r>
        <w:r w:rsidR="004918E6">
          <w:t>22</w:t>
        </w:r>
        <w:r>
          <w:fldChar w:fldCharType="end"/>
        </w:r>
      </w:hyperlink>
    </w:p>
    <w:p w14:paraId="6913A8A3" w14:textId="291EF004" w:rsidR="0039212D" w:rsidRDefault="0039212D">
      <w:pPr>
        <w:pStyle w:val="TOC5"/>
        <w:rPr>
          <w:rFonts w:asciiTheme="minorHAnsi" w:eastAsiaTheme="minorEastAsia" w:hAnsiTheme="minorHAnsi" w:cstheme="minorBidi"/>
          <w:sz w:val="22"/>
          <w:szCs w:val="22"/>
          <w:lang w:eastAsia="en-AU"/>
        </w:rPr>
      </w:pPr>
      <w:r>
        <w:tab/>
      </w:r>
      <w:hyperlink w:anchor="_Toc32321204" w:history="1">
        <w:r w:rsidRPr="001566CF">
          <w:t>28</w:t>
        </w:r>
        <w:r>
          <w:rPr>
            <w:rFonts w:asciiTheme="minorHAnsi" w:eastAsiaTheme="minorEastAsia" w:hAnsiTheme="minorHAnsi" w:cstheme="minorBidi"/>
            <w:sz w:val="22"/>
            <w:szCs w:val="22"/>
            <w:lang w:eastAsia="en-AU"/>
          </w:rPr>
          <w:tab/>
        </w:r>
        <w:r w:rsidRPr="001566CF">
          <w:t>Sections 71G and 71GA</w:t>
        </w:r>
        <w:r>
          <w:tab/>
        </w:r>
        <w:r>
          <w:fldChar w:fldCharType="begin"/>
        </w:r>
        <w:r>
          <w:instrText xml:space="preserve"> PAGEREF _Toc32321204 \h </w:instrText>
        </w:r>
        <w:r>
          <w:fldChar w:fldCharType="separate"/>
        </w:r>
        <w:r w:rsidR="004918E6">
          <w:t>36</w:t>
        </w:r>
        <w:r>
          <w:fldChar w:fldCharType="end"/>
        </w:r>
      </w:hyperlink>
    </w:p>
    <w:p w14:paraId="3239702C" w14:textId="1EC0C355" w:rsidR="0039212D" w:rsidRDefault="0039212D">
      <w:pPr>
        <w:pStyle w:val="TOC5"/>
        <w:rPr>
          <w:rFonts w:asciiTheme="minorHAnsi" w:eastAsiaTheme="minorEastAsia" w:hAnsiTheme="minorHAnsi" w:cstheme="minorBidi"/>
          <w:sz w:val="22"/>
          <w:szCs w:val="22"/>
          <w:lang w:eastAsia="en-AU"/>
        </w:rPr>
      </w:pPr>
      <w:r>
        <w:tab/>
      </w:r>
      <w:hyperlink w:anchor="_Toc32321205" w:history="1">
        <w:r w:rsidRPr="001566CF">
          <w:t>29</w:t>
        </w:r>
        <w:r>
          <w:rPr>
            <w:rFonts w:asciiTheme="minorHAnsi" w:eastAsiaTheme="minorEastAsia" w:hAnsiTheme="minorHAnsi" w:cstheme="minorBidi"/>
            <w:sz w:val="22"/>
            <w:szCs w:val="22"/>
            <w:lang w:eastAsia="en-AU"/>
          </w:rPr>
          <w:tab/>
        </w:r>
        <w:r w:rsidRPr="001566CF">
          <w:t>New part 5B</w:t>
        </w:r>
        <w:r>
          <w:tab/>
        </w:r>
        <w:r>
          <w:fldChar w:fldCharType="begin"/>
        </w:r>
        <w:r>
          <w:instrText xml:space="preserve"> PAGEREF _Toc32321205 \h </w:instrText>
        </w:r>
        <w:r>
          <w:fldChar w:fldCharType="separate"/>
        </w:r>
        <w:r w:rsidR="004918E6">
          <w:t>36</w:t>
        </w:r>
        <w:r>
          <w:fldChar w:fldCharType="end"/>
        </w:r>
      </w:hyperlink>
    </w:p>
    <w:p w14:paraId="60912498" w14:textId="311C481F" w:rsidR="0039212D" w:rsidRDefault="0039212D">
      <w:pPr>
        <w:pStyle w:val="TOC5"/>
        <w:rPr>
          <w:rFonts w:asciiTheme="minorHAnsi" w:eastAsiaTheme="minorEastAsia" w:hAnsiTheme="minorHAnsi" w:cstheme="minorBidi"/>
          <w:sz w:val="22"/>
          <w:szCs w:val="22"/>
          <w:lang w:eastAsia="en-AU"/>
        </w:rPr>
      </w:pPr>
      <w:r>
        <w:tab/>
      </w:r>
      <w:hyperlink w:anchor="_Toc32321206" w:history="1">
        <w:r w:rsidRPr="0070317C">
          <w:rPr>
            <w:rStyle w:val="CharSectNo"/>
          </w:rPr>
          <w:t>30</w:t>
        </w:r>
        <w:r w:rsidRPr="0070317C">
          <w:rPr>
            <w:rStyle w:val="charItals"/>
            <w:i w:val="0"/>
          </w:rPr>
          <w:tab/>
        </w:r>
        <w:r w:rsidRPr="0070317C">
          <w:t xml:space="preserve">Meaning of </w:t>
        </w:r>
        <w:r w:rsidRPr="0070317C">
          <w:rPr>
            <w:rStyle w:val="charItals"/>
          </w:rPr>
          <w:t>tenancy dispute</w:t>
        </w:r>
        <w:r>
          <w:rPr>
            <w:rStyle w:val="charItals"/>
          </w:rPr>
          <w:br/>
        </w:r>
        <w:r w:rsidRPr="0070317C">
          <w:rPr>
            <w:rFonts w:cs="Arial"/>
          </w:rPr>
          <w:t>Section 72 (1) (a)</w:t>
        </w:r>
        <w:r>
          <w:tab/>
        </w:r>
        <w:r>
          <w:fldChar w:fldCharType="begin"/>
        </w:r>
        <w:r>
          <w:instrText xml:space="preserve"> PAGEREF _Toc32321206 \h </w:instrText>
        </w:r>
        <w:r>
          <w:fldChar w:fldCharType="separate"/>
        </w:r>
        <w:r w:rsidR="004918E6">
          <w:t>41</w:t>
        </w:r>
        <w:r>
          <w:fldChar w:fldCharType="end"/>
        </w:r>
      </w:hyperlink>
    </w:p>
    <w:p w14:paraId="3B35C88A" w14:textId="30776F91" w:rsidR="0039212D" w:rsidRDefault="0039212D">
      <w:pPr>
        <w:pStyle w:val="TOC5"/>
        <w:rPr>
          <w:rFonts w:asciiTheme="minorHAnsi" w:eastAsiaTheme="minorEastAsia" w:hAnsiTheme="minorHAnsi" w:cstheme="minorBidi"/>
          <w:sz w:val="22"/>
          <w:szCs w:val="22"/>
          <w:lang w:eastAsia="en-AU"/>
        </w:rPr>
      </w:pPr>
      <w:r>
        <w:tab/>
      </w:r>
      <w:hyperlink w:anchor="_Toc32321207" w:history="1">
        <w:r w:rsidRPr="0070317C">
          <w:rPr>
            <w:rStyle w:val="CharSectNo"/>
          </w:rPr>
          <w:t>31</w:t>
        </w:r>
        <w:r w:rsidRPr="0070317C">
          <w:tab/>
          <w:t xml:space="preserve">Meaning of </w:t>
        </w:r>
        <w:r w:rsidRPr="0070317C">
          <w:rPr>
            <w:rStyle w:val="charItals"/>
          </w:rPr>
          <w:t>occupancy dispute</w:t>
        </w:r>
        <w:r>
          <w:rPr>
            <w:rStyle w:val="charItals"/>
          </w:rPr>
          <w:br/>
        </w:r>
        <w:r w:rsidRPr="0070317C">
          <w:t>New section 73 (2) and (3)</w:t>
        </w:r>
        <w:r>
          <w:tab/>
        </w:r>
        <w:r>
          <w:fldChar w:fldCharType="begin"/>
        </w:r>
        <w:r>
          <w:instrText xml:space="preserve"> PAGEREF _Toc32321207 \h </w:instrText>
        </w:r>
        <w:r>
          <w:fldChar w:fldCharType="separate"/>
        </w:r>
        <w:r w:rsidR="004918E6">
          <w:t>41</w:t>
        </w:r>
        <w:r>
          <w:fldChar w:fldCharType="end"/>
        </w:r>
      </w:hyperlink>
    </w:p>
    <w:p w14:paraId="195B3080" w14:textId="254D3A06" w:rsidR="0039212D" w:rsidRDefault="0039212D">
      <w:pPr>
        <w:pStyle w:val="TOC5"/>
        <w:rPr>
          <w:rFonts w:asciiTheme="minorHAnsi" w:eastAsiaTheme="minorEastAsia" w:hAnsiTheme="minorHAnsi" w:cstheme="minorBidi"/>
          <w:sz w:val="22"/>
          <w:szCs w:val="22"/>
          <w:lang w:eastAsia="en-AU"/>
        </w:rPr>
      </w:pPr>
      <w:r>
        <w:tab/>
      </w:r>
      <w:hyperlink w:anchor="_Toc32321208" w:history="1">
        <w:r w:rsidRPr="001566CF">
          <w:t>32</w:t>
        </w:r>
        <w:r>
          <w:rPr>
            <w:rFonts w:asciiTheme="minorHAnsi" w:eastAsiaTheme="minorEastAsia" w:hAnsiTheme="minorHAnsi" w:cstheme="minorBidi"/>
            <w:sz w:val="22"/>
            <w:szCs w:val="22"/>
            <w:lang w:eastAsia="en-AU"/>
          </w:rPr>
          <w:tab/>
        </w:r>
        <w:r w:rsidRPr="001566CF">
          <w:t>Section 74</w:t>
        </w:r>
        <w:r>
          <w:tab/>
        </w:r>
        <w:r>
          <w:fldChar w:fldCharType="begin"/>
        </w:r>
        <w:r>
          <w:instrText xml:space="preserve"> PAGEREF _Toc32321208 \h </w:instrText>
        </w:r>
        <w:r>
          <w:fldChar w:fldCharType="separate"/>
        </w:r>
        <w:r w:rsidR="004918E6">
          <w:t>42</w:t>
        </w:r>
        <w:r>
          <w:fldChar w:fldCharType="end"/>
        </w:r>
      </w:hyperlink>
    </w:p>
    <w:p w14:paraId="5A605439" w14:textId="084991CF" w:rsidR="0039212D" w:rsidRDefault="0039212D">
      <w:pPr>
        <w:pStyle w:val="TOC5"/>
        <w:rPr>
          <w:rFonts w:asciiTheme="minorHAnsi" w:eastAsiaTheme="minorEastAsia" w:hAnsiTheme="minorHAnsi" w:cstheme="minorBidi"/>
          <w:sz w:val="22"/>
          <w:szCs w:val="22"/>
          <w:lang w:eastAsia="en-AU"/>
        </w:rPr>
      </w:pPr>
      <w:r>
        <w:lastRenderedPageBreak/>
        <w:tab/>
      </w:r>
      <w:hyperlink w:anchor="_Toc32321209" w:history="1">
        <w:r w:rsidRPr="0070317C">
          <w:rPr>
            <w:rStyle w:val="CharSectNo"/>
          </w:rPr>
          <w:t>33</w:t>
        </w:r>
        <w:r w:rsidRPr="0070317C">
          <w:tab/>
          <w:t>Jurisdiction of ACAT under this Act etc</w:t>
        </w:r>
        <w:r>
          <w:br/>
        </w:r>
        <w:r w:rsidRPr="0070317C">
          <w:t>Section 76 (1) (c), except note</w:t>
        </w:r>
        <w:r>
          <w:tab/>
        </w:r>
        <w:r>
          <w:fldChar w:fldCharType="begin"/>
        </w:r>
        <w:r>
          <w:instrText xml:space="preserve"> PAGEREF _Toc32321209 \h </w:instrText>
        </w:r>
        <w:r>
          <w:fldChar w:fldCharType="separate"/>
        </w:r>
        <w:r w:rsidR="004918E6">
          <w:t>42</w:t>
        </w:r>
        <w:r>
          <w:fldChar w:fldCharType="end"/>
        </w:r>
      </w:hyperlink>
    </w:p>
    <w:p w14:paraId="3C8BF19D" w14:textId="78C3A888" w:rsidR="0039212D" w:rsidRDefault="0039212D">
      <w:pPr>
        <w:pStyle w:val="TOC5"/>
        <w:rPr>
          <w:rFonts w:asciiTheme="minorHAnsi" w:eastAsiaTheme="minorEastAsia" w:hAnsiTheme="minorHAnsi" w:cstheme="minorBidi"/>
          <w:sz w:val="22"/>
          <w:szCs w:val="22"/>
          <w:lang w:eastAsia="en-AU"/>
        </w:rPr>
      </w:pPr>
      <w:r>
        <w:tab/>
      </w:r>
      <w:hyperlink w:anchor="_Toc32321210" w:history="1">
        <w:r w:rsidRPr="0070317C">
          <w:rPr>
            <w:rStyle w:val="CharSectNo"/>
          </w:rPr>
          <w:t>34</w:t>
        </w:r>
        <w:r w:rsidRPr="0070317C">
          <w:tab/>
          <w:t>Extended jurisdiction of ACAT with agreement of parties</w:t>
        </w:r>
        <w:r>
          <w:br/>
        </w:r>
        <w:r w:rsidRPr="0070317C">
          <w:t>Section 78 (1) (a) (iii), except note</w:t>
        </w:r>
        <w:r>
          <w:tab/>
        </w:r>
        <w:r>
          <w:fldChar w:fldCharType="begin"/>
        </w:r>
        <w:r>
          <w:instrText xml:space="preserve"> PAGEREF _Toc32321210 \h </w:instrText>
        </w:r>
        <w:r>
          <w:fldChar w:fldCharType="separate"/>
        </w:r>
        <w:r w:rsidR="004918E6">
          <w:t>42</w:t>
        </w:r>
        <w:r>
          <w:fldChar w:fldCharType="end"/>
        </w:r>
      </w:hyperlink>
    </w:p>
    <w:p w14:paraId="5FC0E4E2" w14:textId="08654B02" w:rsidR="0039212D" w:rsidRDefault="0039212D">
      <w:pPr>
        <w:pStyle w:val="TOC5"/>
        <w:rPr>
          <w:rFonts w:asciiTheme="minorHAnsi" w:eastAsiaTheme="minorEastAsia" w:hAnsiTheme="minorHAnsi" w:cstheme="minorBidi"/>
          <w:sz w:val="22"/>
          <w:szCs w:val="22"/>
          <w:lang w:eastAsia="en-AU"/>
        </w:rPr>
      </w:pPr>
      <w:r>
        <w:tab/>
      </w:r>
      <w:hyperlink w:anchor="_Toc32321211" w:history="1">
        <w:r w:rsidRPr="0070317C">
          <w:rPr>
            <w:rStyle w:val="CharSectNo"/>
          </w:rPr>
          <w:t>35</w:t>
        </w:r>
        <w:r w:rsidRPr="0070317C">
          <w:tab/>
          <w:t>Orders by ACAT</w:t>
        </w:r>
        <w:r>
          <w:br/>
        </w:r>
        <w:r w:rsidRPr="0070317C">
          <w:t>Section 83 (g)</w:t>
        </w:r>
        <w:r>
          <w:tab/>
        </w:r>
        <w:r>
          <w:fldChar w:fldCharType="begin"/>
        </w:r>
        <w:r>
          <w:instrText xml:space="preserve"> PAGEREF _Toc32321211 \h </w:instrText>
        </w:r>
        <w:r>
          <w:fldChar w:fldCharType="separate"/>
        </w:r>
        <w:r w:rsidR="004918E6">
          <w:t>42</w:t>
        </w:r>
        <w:r>
          <w:fldChar w:fldCharType="end"/>
        </w:r>
      </w:hyperlink>
    </w:p>
    <w:p w14:paraId="06198B92" w14:textId="30E2A901" w:rsidR="0039212D" w:rsidRDefault="0039212D">
      <w:pPr>
        <w:pStyle w:val="TOC5"/>
        <w:rPr>
          <w:rFonts w:asciiTheme="minorHAnsi" w:eastAsiaTheme="minorEastAsia" w:hAnsiTheme="minorHAnsi" w:cstheme="minorBidi"/>
          <w:sz w:val="22"/>
          <w:szCs w:val="22"/>
          <w:lang w:eastAsia="en-AU"/>
        </w:rPr>
      </w:pPr>
      <w:r>
        <w:tab/>
      </w:r>
      <w:hyperlink w:anchor="_Toc32321212" w:history="1">
        <w:r w:rsidRPr="001566CF">
          <w:t>36</w:t>
        </w:r>
        <w:r>
          <w:rPr>
            <w:rFonts w:asciiTheme="minorHAnsi" w:eastAsiaTheme="minorEastAsia" w:hAnsiTheme="minorHAnsi" w:cstheme="minorBidi"/>
            <w:sz w:val="22"/>
            <w:szCs w:val="22"/>
            <w:lang w:eastAsia="en-AU"/>
          </w:rPr>
          <w:tab/>
        </w:r>
        <w:r w:rsidRPr="001566CF">
          <w:t>Section 83 (j)</w:t>
        </w:r>
        <w:r>
          <w:tab/>
        </w:r>
        <w:r>
          <w:fldChar w:fldCharType="begin"/>
        </w:r>
        <w:r>
          <w:instrText xml:space="preserve"> PAGEREF _Toc32321212 \h </w:instrText>
        </w:r>
        <w:r>
          <w:fldChar w:fldCharType="separate"/>
        </w:r>
        <w:r w:rsidR="004918E6">
          <w:t>43</w:t>
        </w:r>
        <w:r>
          <w:fldChar w:fldCharType="end"/>
        </w:r>
      </w:hyperlink>
    </w:p>
    <w:p w14:paraId="1D0C0EDF" w14:textId="2B8F38D1" w:rsidR="0039212D" w:rsidRDefault="0039212D">
      <w:pPr>
        <w:pStyle w:val="TOC5"/>
        <w:rPr>
          <w:rFonts w:asciiTheme="minorHAnsi" w:eastAsiaTheme="minorEastAsia" w:hAnsiTheme="minorHAnsi" w:cstheme="minorBidi"/>
          <w:sz w:val="22"/>
          <w:szCs w:val="22"/>
          <w:lang w:eastAsia="en-AU"/>
        </w:rPr>
      </w:pPr>
      <w:r>
        <w:tab/>
      </w:r>
      <w:hyperlink w:anchor="_Toc32321213" w:history="1">
        <w:r w:rsidRPr="001566CF">
          <w:t>37</w:t>
        </w:r>
        <w:r>
          <w:rPr>
            <w:rFonts w:asciiTheme="minorHAnsi" w:eastAsiaTheme="minorEastAsia" w:hAnsiTheme="minorHAnsi" w:cstheme="minorBidi"/>
            <w:sz w:val="22"/>
            <w:szCs w:val="22"/>
            <w:lang w:eastAsia="en-AU"/>
          </w:rPr>
          <w:tab/>
        </w:r>
        <w:r w:rsidRPr="001566CF">
          <w:t>Section 127</w:t>
        </w:r>
        <w:r>
          <w:tab/>
        </w:r>
        <w:r>
          <w:fldChar w:fldCharType="begin"/>
        </w:r>
        <w:r>
          <w:instrText xml:space="preserve"> PAGEREF _Toc32321213 \h </w:instrText>
        </w:r>
        <w:r>
          <w:fldChar w:fldCharType="separate"/>
        </w:r>
        <w:r w:rsidR="004918E6">
          <w:t>43</w:t>
        </w:r>
        <w:r>
          <w:fldChar w:fldCharType="end"/>
        </w:r>
      </w:hyperlink>
    </w:p>
    <w:p w14:paraId="72A348A4" w14:textId="3C8EAAFB" w:rsidR="0039212D" w:rsidRDefault="0039212D">
      <w:pPr>
        <w:pStyle w:val="TOC5"/>
        <w:rPr>
          <w:rFonts w:asciiTheme="minorHAnsi" w:eastAsiaTheme="minorEastAsia" w:hAnsiTheme="minorHAnsi" w:cstheme="minorBidi"/>
          <w:sz w:val="22"/>
          <w:szCs w:val="22"/>
          <w:lang w:eastAsia="en-AU"/>
        </w:rPr>
      </w:pPr>
      <w:r>
        <w:tab/>
      </w:r>
      <w:hyperlink w:anchor="_Toc32321214" w:history="1">
        <w:r w:rsidRPr="001566CF">
          <w:t>38</w:t>
        </w:r>
        <w:r>
          <w:rPr>
            <w:rFonts w:asciiTheme="minorHAnsi" w:eastAsiaTheme="minorEastAsia" w:hAnsiTheme="minorHAnsi" w:cstheme="minorBidi"/>
            <w:sz w:val="22"/>
            <w:szCs w:val="22"/>
            <w:lang w:eastAsia="en-AU"/>
          </w:rPr>
          <w:tab/>
        </w:r>
        <w:r w:rsidRPr="001566CF">
          <w:t>Section 128</w:t>
        </w:r>
        <w:r>
          <w:tab/>
        </w:r>
        <w:r>
          <w:fldChar w:fldCharType="begin"/>
        </w:r>
        <w:r>
          <w:instrText xml:space="preserve"> PAGEREF _Toc32321214 \h </w:instrText>
        </w:r>
        <w:r>
          <w:fldChar w:fldCharType="separate"/>
        </w:r>
        <w:r w:rsidR="004918E6">
          <w:t>44</w:t>
        </w:r>
        <w:r>
          <w:fldChar w:fldCharType="end"/>
        </w:r>
      </w:hyperlink>
    </w:p>
    <w:p w14:paraId="7D26AE4A" w14:textId="2C0615B8" w:rsidR="0039212D" w:rsidRDefault="0039212D">
      <w:pPr>
        <w:pStyle w:val="TOC5"/>
        <w:rPr>
          <w:rFonts w:asciiTheme="minorHAnsi" w:eastAsiaTheme="minorEastAsia" w:hAnsiTheme="minorHAnsi" w:cstheme="minorBidi"/>
          <w:sz w:val="22"/>
          <w:szCs w:val="22"/>
          <w:lang w:eastAsia="en-AU"/>
        </w:rPr>
      </w:pPr>
      <w:r>
        <w:tab/>
      </w:r>
      <w:hyperlink w:anchor="_Toc32321215" w:history="1">
        <w:r w:rsidRPr="0070317C">
          <w:rPr>
            <w:rStyle w:val="CharSectNo"/>
          </w:rPr>
          <w:t>39</w:t>
        </w:r>
        <w:r w:rsidRPr="0070317C">
          <w:tab/>
          <w:t>Standard residential tenancy terms</w:t>
        </w:r>
        <w:r>
          <w:br/>
        </w:r>
        <w:r w:rsidRPr="0070317C">
          <w:t>Schedule 1, new clause 24 (aa)</w:t>
        </w:r>
        <w:r>
          <w:tab/>
        </w:r>
        <w:r>
          <w:fldChar w:fldCharType="begin"/>
        </w:r>
        <w:r>
          <w:instrText xml:space="preserve"> PAGEREF _Toc32321215 \h </w:instrText>
        </w:r>
        <w:r>
          <w:fldChar w:fldCharType="separate"/>
        </w:r>
        <w:r w:rsidR="004918E6">
          <w:t>44</w:t>
        </w:r>
        <w:r>
          <w:fldChar w:fldCharType="end"/>
        </w:r>
      </w:hyperlink>
    </w:p>
    <w:p w14:paraId="4FF950AE" w14:textId="31C408A5" w:rsidR="0039212D" w:rsidRDefault="0039212D">
      <w:pPr>
        <w:pStyle w:val="TOC5"/>
        <w:rPr>
          <w:rFonts w:asciiTheme="minorHAnsi" w:eastAsiaTheme="minorEastAsia" w:hAnsiTheme="minorHAnsi" w:cstheme="minorBidi"/>
          <w:sz w:val="22"/>
          <w:szCs w:val="22"/>
          <w:lang w:eastAsia="en-AU"/>
        </w:rPr>
      </w:pPr>
      <w:r>
        <w:tab/>
      </w:r>
      <w:hyperlink w:anchor="_Toc32321216" w:history="1">
        <w:r w:rsidRPr="001566CF">
          <w:t>40</w:t>
        </w:r>
        <w:r>
          <w:rPr>
            <w:rFonts w:asciiTheme="minorHAnsi" w:eastAsiaTheme="minorEastAsia" w:hAnsiTheme="minorHAnsi" w:cstheme="minorBidi"/>
            <w:sz w:val="22"/>
            <w:szCs w:val="22"/>
            <w:lang w:eastAsia="en-AU"/>
          </w:rPr>
          <w:tab/>
        </w:r>
        <w:r w:rsidRPr="001566CF">
          <w:t>Schedule 1, new clauses 72A and 72B</w:t>
        </w:r>
        <w:r>
          <w:tab/>
        </w:r>
        <w:r>
          <w:fldChar w:fldCharType="begin"/>
        </w:r>
        <w:r>
          <w:instrText xml:space="preserve"> PAGEREF _Toc32321216 \h </w:instrText>
        </w:r>
        <w:r>
          <w:fldChar w:fldCharType="separate"/>
        </w:r>
        <w:r w:rsidR="004918E6">
          <w:t>45</w:t>
        </w:r>
        <w:r>
          <w:fldChar w:fldCharType="end"/>
        </w:r>
      </w:hyperlink>
    </w:p>
    <w:p w14:paraId="2A991088" w14:textId="4E649CA0" w:rsidR="0039212D" w:rsidRDefault="0039212D">
      <w:pPr>
        <w:pStyle w:val="TOC5"/>
        <w:rPr>
          <w:rFonts w:asciiTheme="minorHAnsi" w:eastAsiaTheme="minorEastAsia" w:hAnsiTheme="minorHAnsi" w:cstheme="minorBidi"/>
          <w:sz w:val="22"/>
          <w:szCs w:val="22"/>
          <w:lang w:eastAsia="en-AU"/>
        </w:rPr>
      </w:pPr>
      <w:r>
        <w:tab/>
      </w:r>
      <w:hyperlink w:anchor="_Toc32321217" w:history="1">
        <w:r w:rsidRPr="001566CF">
          <w:t>41</w:t>
        </w:r>
        <w:r>
          <w:rPr>
            <w:rFonts w:asciiTheme="minorHAnsi" w:eastAsiaTheme="minorEastAsia" w:hAnsiTheme="minorHAnsi" w:cstheme="minorBidi"/>
            <w:sz w:val="22"/>
            <w:szCs w:val="22"/>
            <w:lang w:eastAsia="en-AU"/>
          </w:rPr>
          <w:tab/>
        </w:r>
        <w:r w:rsidRPr="001566CF">
          <w:t>Dictionary, note 2</w:t>
        </w:r>
        <w:r>
          <w:tab/>
        </w:r>
        <w:r>
          <w:fldChar w:fldCharType="begin"/>
        </w:r>
        <w:r>
          <w:instrText xml:space="preserve"> PAGEREF _Toc32321217 \h </w:instrText>
        </w:r>
        <w:r>
          <w:fldChar w:fldCharType="separate"/>
        </w:r>
        <w:r w:rsidR="004918E6">
          <w:t>46</w:t>
        </w:r>
        <w:r>
          <w:fldChar w:fldCharType="end"/>
        </w:r>
      </w:hyperlink>
    </w:p>
    <w:p w14:paraId="4D1C0BC5" w14:textId="27D54F7B" w:rsidR="0039212D" w:rsidRDefault="0039212D">
      <w:pPr>
        <w:pStyle w:val="TOC5"/>
        <w:rPr>
          <w:rFonts w:asciiTheme="minorHAnsi" w:eastAsiaTheme="minorEastAsia" w:hAnsiTheme="minorHAnsi" w:cstheme="minorBidi"/>
          <w:sz w:val="22"/>
          <w:szCs w:val="22"/>
          <w:lang w:eastAsia="en-AU"/>
        </w:rPr>
      </w:pPr>
      <w:r>
        <w:tab/>
      </w:r>
      <w:hyperlink w:anchor="_Toc32321218" w:history="1">
        <w:r w:rsidRPr="001566CF">
          <w:t>42</w:t>
        </w:r>
        <w:r>
          <w:rPr>
            <w:rFonts w:asciiTheme="minorHAnsi" w:eastAsiaTheme="minorEastAsia" w:hAnsiTheme="minorHAnsi" w:cstheme="minorBidi"/>
            <w:sz w:val="22"/>
            <w:szCs w:val="22"/>
            <w:lang w:eastAsia="en-AU"/>
          </w:rPr>
          <w:tab/>
        </w:r>
        <w:r w:rsidRPr="001566CF">
          <w:t>Dictionary, new definitions</w:t>
        </w:r>
        <w:r>
          <w:tab/>
        </w:r>
        <w:r>
          <w:fldChar w:fldCharType="begin"/>
        </w:r>
        <w:r>
          <w:instrText xml:space="preserve"> PAGEREF _Toc32321218 \h </w:instrText>
        </w:r>
        <w:r>
          <w:fldChar w:fldCharType="separate"/>
        </w:r>
        <w:r w:rsidR="004918E6">
          <w:t>46</w:t>
        </w:r>
        <w:r>
          <w:fldChar w:fldCharType="end"/>
        </w:r>
      </w:hyperlink>
    </w:p>
    <w:p w14:paraId="47FC60A7" w14:textId="4A8C516A" w:rsidR="0039212D" w:rsidRDefault="0039212D">
      <w:pPr>
        <w:pStyle w:val="TOC5"/>
        <w:rPr>
          <w:rFonts w:asciiTheme="minorHAnsi" w:eastAsiaTheme="minorEastAsia" w:hAnsiTheme="minorHAnsi" w:cstheme="minorBidi"/>
          <w:sz w:val="22"/>
          <w:szCs w:val="22"/>
          <w:lang w:eastAsia="en-AU"/>
        </w:rPr>
      </w:pPr>
      <w:r>
        <w:tab/>
      </w:r>
      <w:hyperlink w:anchor="_Toc32321219" w:history="1">
        <w:r w:rsidRPr="001566CF">
          <w:t>43</w:t>
        </w:r>
        <w:r>
          <w:rPr>
            <w:rFonts w:asciiTheme="minorHAnsi" w:eastAsiaTheme="minorEastAsia" w:hAnsiTheme="minorHAnsi" w:cstheme="minorBidi"/>
            <w:sz w:val="22"/>
            <w:szCs w:val="22"/>
            <w:lang w:eastAsia="en-AU"/>
          </w:rPr>
          <w:tab/>
        </w:r>
        <w:r w:rsidRPr="001566CF">
          <w:rPr>
            <w:lang w:val="en" w:eastAsia="en-AU"/>
          </w:rPr>
          <w:t xml:space="preserve">Dictionary, definitions of </w:t>
        </w:r>
        <w:r w:rsidRPr="001566CF">
          <w:rPr>
            <w:i/>
          </w:rPr>
          <w:t xml:space="preserve">mobile home </w:t>
        </w:r>
        <w:r w:rsidRPr="001566CF">
          <w:rPr>
            <w:rFonts w:cs="Arial"/>
          </w:rPr>
          <w:t xml:space="preserve">and </w:t>
        </w:r>
        <w:r w:rsidRPr="001566CF">
          <w:rPr>
            <w:i/>
          </w:rPr>
          <w:t>occupancy principles</w:t>
        </w:r>
        <w:r>
          <w:tab/>
        </w:r>
        <w:r>
          <w:fldChar w:fldCharType="begin"/>
        </w:r>
        <w:r>
          <w:instrText xml:space="preserve"> PAGEREF _Toc32321219 \h </w:instrText>
        </w:r>
        <w:r>
          <w:fldChar w:fldCharType="separate"/>
        </w:r>
        <w:r w:rsidR="004918E6">
          <w:t>47</w:t>
        </w:r>
        <w:r>
          <w:fldChar w:fldCharType="end"/>
        </w:r>
      </w:hyperlink>
    </w:p>
    <w:p w14:paraId="3814C993" w14:textId="4922D937" w:rsidR="0039212D" w:rsidRDefault="0039212D">
      <w:pPr>
        <w:pStyle w:val="TOC5"/>
        <w:rPr>
          <w:rFonts w:asciiTheme="minorHAnsi" w:eastAsiaTheme="minorEastAsia" w:hAnsiTheme="minorHAnsi" w:cstheme="minorBidi"/>
          <w:sz w:val="22"/>
          <w:szCs w:val="22"/>
          <w:lang w:eastAsia="en-AU"/>
        </w:rPr>
      </w:pPr>
      <w:r>
        <w:tab/>
      </w:r>
      <w:hyperlink w:anchor="_Toc32321220" w:history="1">
        <w:r w:rsidRPr="001566CF">
          <w:t>44</w:t>
        </w:r>
        <w:r>
          <w:rPr>
            <w:rFonts w:asciiTheme="minorHAnsi" w:eastAsiaTheme="minorEastAsia" w:hAnsiTheme="minorHAnsi" w:cstheme="minorBidi"/>
            <w:sz w:val="22"/>
            <w:szCs w:val="22"/>
            <w:lang w:eastAsia="en-AU"/>
          </w:rPr>
          <w:tab/>
        </w:r>
        <w:r w:rsidRPr="001566CF">
          <w:t>Dictionary, new definitions</w:t>
        </w:r>
        <w:r>
          <w:tab/>
        </w:r>
        <w:r>
          <w:fldChar w:fldCharType="begin"/>
        </w:r>
        <w:r>
          <w:instrText xml:space="preserve"> PAGEREF _Toc32321220 \h </w:instrText>
        </w:r>
        <w:r>
          <w:fldChar w:fldCharType="separate"/>
        </w:r>
        <w:r w:rsidR="004918E6">
          <w:t>47</w:t>
        </w:r>
        <w:r>
          <w:fldChar w:fldCharType="end"/>
        </w:r>
      </w:hyperlink>
    </w:p>
    <w:p w14:paraId="1085DD41" w14:textId="23FE815D" w:rsidR="0039212D" w:rsidRDefault="0039212D">
      <w:pPr>
        <w:pStyle w:val="TOC5"/>
        <w:rPr>
          <w:rFonts w:asciiTheme="minorHAnsi" w:eastAsiaTheme="minorEastAsia" w:hAnsiTheme="minorHAnsi" w:cstheme="minorBidi"/>
          <w:sz w:val="22"/>
          <w:szCs w:val="22"/>
          <w:lang w:eastAsia="en-AU"/>
        </w:rPr>
      </w:pPr>
      <w:r>
        <w:tab/>
      </w:r>
      <w:hyperlink w:anchor="_Toc32321221" w:history="1">
        <w:r w:rsidRPr="001566CF">
          <w:t>45</w:t>
        </w:r>
        <w:r>
          <w:rPr>
            <w:rFonts w:asciiTheme="minorHAnsi" w:eastAsiaTheme="minorEastAsia" w:hAnsiTheme="minorHAnsi" w:cstheme="minorBidi"/>
            <w:sz w:val="22"/>
            <w:szCs w:val="22"/>
            <w:lang w:eastAsia="en-AU"/>
          </w:rPr>
          <w:tab/>
        </w:r>
        <w:r w:rsidRPr="001566CF">
          <w:t xml:space="preserve">Dictionary, definition of </w:t>
        </w:r>
        <w:r w:rsidRPr="001566CF">
          <w:rPr>
            <w:i/>
          </w:rPr>
          <w:t>standard occupancy terms</w:t>
        </w:r>
        <w:r>
          <w:tab/>
        </w:r>
        <w:r>
          <w:fldChar w:fldCharType="begin"/>
        </w:r>
        <w:r>
          <w:instrText xml:space="preserve"> PAGEREF _Toc32321221 \h </w:instrText>
        </w:r>
        <w:r>
          <w:fldChar w:fldCharType="separate"/>
        </w:r>
        <w:r w:rsidR="004918E6">
          <w:t>48</w:t>
        </w:r>
        <w:r>
          <w:fldChar w:fldCharType="end"/>
        </w:r>
      </w:hyperlink>
    </w:p>
    <w:p w14:paraId="7A85B9B6" w14:textId="52679515" w:rsidR="0039212D" w:rsidRDefault="005546C4">
      <w:pPr>
        <w:pStyle w:val="TOC2"/>
        <w:rPr>
          <w:rFonts w:asciiTheme="minorHAnsi" w:eastAsiaTheme="minorEastAsia" w:hAnsiTheme="minorHAnsi" w:cstheme="minorBidi"/>
          <w:b w:val="0"/>
          <w:sz w:val="22"/>
          <w:szCs w:val="22"/>
          <w:lang w:eastAsia="en-AU"/>
        </w:rPr>
      </w:pPr>
      <w:hyperlink w:anchor="_Toc32321222" w:history="1">
        <w:r w:rsidR="0039212D" w:rsidRPr="001566CF">
          <w:t>Part 3</w:t>
        </w:r>
        <w:r w:rsidR="0039212D">
          <w:rPr>
            <w:rFonts w:asciiTheme="minorHAnsi" w:eastAsiaTheme="minorEastAsia" w:hAnsiTheme="minorHAnsi" w:cstheme="minorBidi"/>
            <w:b w:val="0"/>
            <w:sz w:val="22"/>
            <w:szCs w:val="22"/>
            <w:lang w:eastAsia="en-AU"/>
          </w:rPr>
          <w:tab/>
        </w:r>
        <w:r w:rsidR="0039212D" w:rsidRPr="001566CF">
          <w:t>Residential Tenancies Regulation 1998</w:t>
        </w:r>
        <w:r w:rsidR="0039212D" w:rsidRPr="0039212D">
          <w:rPr>
            <w:vanish/>
          </w:rPr>
          <w:tab/>
        </w:r>
        <w:r w:rsidR="0039212D" w:rsidRPr="0039212D">
          <w:rPr>
            <w:vanish/>
          </w:rPr>
          <w:fldChar w:fldCharType="begin"/>
        </w:r>
        <w:r w:rsidR="0039212D" w:rsidRPr="0039212D">
          <w:rPr>
            <w:vanish/>
          </w:rPr>
          <w:instrText xml:space="preserve"> PAGEREF _Toc32321222 \h </w:instrText>
        </w:r>
        <w:r w:rsidR="0039212D" w:rsidRPr="0039212D">
          <w:rPr>
            <w:vanish/>
          </w:rPr>
        </w:r>
        <w:r w:rsidR="0039212D" w:rsidRPr="0039212D">
          <w:rPr>
            <w:vanish/>
          </w:rPr>
          <w:fldChar w:fldCharType="separate"/>
        </w:r>
        <w:r w:rsidR="004918E6">
          <w:rPr>
            <w:vanish/>
          </w:rPr>
          <w:t>49</w:t>
        </w:r>
        <w:r w:rsidR="0039212D" w:rsidRPr="0039212D">
          <w:rPr>
            <w:vanish/>
          </w:rPr>
          <w:fldChar w:fldCharType="end"/>
        </w:r>
      </w:hyperlink>
    </w:p>
    <w:p w14:paraId="773276AC" w14:textId="2AE341D0" w:rsidR="0039212D" w:rsidRDefault="0039212D">
      <w:pPr>
        <w:pStyle w:val="TOC5"/>
        <w:rPr>
          <w:rFonts w:asciiTheme="minorHAnsi" w:eastAsiaTheme="minorEastAsia" w:hAnsiTheme="minorHAnsi" w:cstheme="minorBidi"/>
          <w:sz w:val="22"/>
          <w:szCs w:val="22"/>
          <w:lang w:eastAsia="en-AU"/>
        </w:rPr>
      </w:pPr>
      <w:r>
        <w:tab/>
      </w:r>
      <w:hyperlink w:anchor="_Toc32321223" w:history="1">
        <w:r w:rsidRPr="001566CF">
          <w:t>46</w:t>
        </w:r>
        <w:r>
          <w:rPr>
            <w:rFonts w:asciiTheme="minorHAnsi" w:eastAsiaTheme="minorEastAsia" w:hAnsiTheme="minorHAnsi" w:cstheme="minorBidi"/>
            <w:sz w:val="22"/>
            <w:szCs w:val="22"/>
            <w:lang w:eastAsia="en-AU"/>
          </w:rPr>
          <w:tab/>
        </w:r>
        <w:r w:rsidRPr="001566CF">
          <w:t>Section 1B</w:t>
        </w:r>
        <w:r>
          <w:tab/>
        </w:r>
        <w:r>
          <w:fldChar w:fldCharType="begin"/>
        </w:r>
        <w:r>
          <w:instrText xml:space="preserve"> PAGEREF _Toc32321223 \h </w:instrText>
        </w:r>
        <w:r>
          <w:fldChar w:fldCharType="separate"/>
        </w:r>
        <w:r w:rsidR="004918E6">
          <w:t>49</w:t>
        </w:r>
        <w:r>
          <w:fldChar w:fldCharType="end"/>
        </w:r>
      </w:hyperlink>
    </w:p>
    <w:p w14:paraId="65FF928D" w14:textId="74ADA1D0" w:rsidR="0039212D" w:rsidRDefault="005546C4">
      <w:pPr>
        <w:pStyle w:val="TOC6"/>
        <w:rPr>
          <w:rFonts w:asciiTheme="minorHAnsi" w:eastAsiaTheme="minorEastAsia" w:hAnsiTheme="minorHAnsi" w:cstheme="minorBidi"/>
          <w:b w:val="0"/>
          <w:sz w:val="22"/>
          <w:szCs w:val="22"/>
          <w:lang w:eastAsia="en-AU"/>
        </w:rPr>
      </w:pPr>
      <w:hyperlink w:anchor="_Toc32321224" w:history="1">
        <w:r w:rsidR="0039212D" w:rsidRPr="001566CF">
          <w:t>Schedule 1</w:t>
        </w:r>
        <w:r w:rsidR="0039212D">
          <w:rPr>
            <w:rFonts w:asciiTheme="minorHAnsi" w:eastAsiaTheme="minorEastAsia" w:hAnsiTheme="minorHAnsi" w:cstheme="minorBidi"/>
            <w:b w:val="0"/>
            <w:sz w:val="22"/>
            <w:szCs w:val="22"/>
            <w:lang w:eastAsia="en-AU"/>
          </w:rPr>
          <w:tab/>
        </w:r>
        <w:r w:rsidR="0039212D" w:rsidRPr="001566CF">
          <w:t>Other amendments</w:t>
        </w:r>
        <w:r w:rsidR="0039212D">
          <w:tab/>
        </w:r>
        <w:r w:rsidR="0039212D" w:rsidRPr="0039212D">
          <w:rPr>
            <w:b w:val="0"/>
            <w:sz w:val="20"/>
          </w:rPr>
          <w:fldChar w:fldCharType="begin"/>
        </w:r>
        <w:r w:rsidR="0039212D" w:rsidRPr="0039212D">
          <w:rPr>
            <w:b w:val="0"/>
            <w:sz w:val="20"/>
          </w:rPr>
          <w:instrText xml:space="preserve"> PAGEREF _Toc32321224 \h </w:instrText>
        </w:r>
        <w:r w:rsidR="0039212D" w:rsidRPr="0039212D">
          <w:rPr>
            <w:b w:val="0"/>
            <w:sz w:val="20"/>
          </w:rPr>
        </w:r>
        <w:r w:rsidR="0039212D" w:rsidRPr="0039212D">
          <w:rPr>
            <w:b w:val="0"/>
            <w:sz w:val="20"/>
          </w:rPr>
          <w:fldChar w:fldCharType="separate"/>
        </w:r>
        <w:r w:rsidR="004918E6">
          <w:rPr>
            <w:b w:val="0"/>
            <w:sz w:val="20"/>
          </w:rPr>
          <w:t>51</w:t>
        </w:r>
        <w:r w:rsidR="0039212D" w:rsidRPr="0039212D">
          <w:rPr>
            <w:b w:val="0"/>
            <w:sz w:val="20"/>
          </w:rPr>
          <w:fldChar w:fldCharType="end"/>
        </w:r>
      </w:hyperlink>
    </w:p>
    <w:p w14:paraId="18A624FC" w14:textId="715B54E2" w:rsidR="0039212D" w:rsidRDefault="005546C4">
      <w:pPr>
        <w:pStyle w:val="TOC7"/>
        <w:rPr>
          <w:rFonts w:asciiTheme="minorHAnsi" w:eastAsiaTheme="minorEastAsia" w:hAnsiTheme="minorHAnsi" w:cstheme="minorBidi"/>
          <w:b w:val="0"/>
          <w:sz w:val="22"/>
          <w:szCs w:val="22"/>
          <w:lang w:eastAsia="en-AU"/>
        </w:rPr>
      </w:pPr>
      <w:hyperlink w:anchor="_Toc32321225" w:history="1">
        <w:r w:rsidR="0039212D" w:rsidRPr="001566CF">
          <w:t>Part 1.1</w:t>
        </w:r>
        <w:r w:rsidR="0039212D">
          <w:rPr>
            <w:rFonts w:asciiTheme="minorHAnsi" w:eastAsiaTheme="minorEastAsia" w:hAnsiTheme="minorHAnsi" w:cstheme="minorBidi"/>
            <w:b w:val="0"/>
            <w:sz w:val="22"/>
            <w:szCs w:val="22"/>
            <w:lang w:eastAsia="en-AU"/>
          </w:rPr>
          <w:tab/>
        </w:r>
        <w:r w:rsidR="0039212D" w:rsidRPr="001566CF">
          <w:t>Human Rights Commission Act 2005</w:t>
        </w:r>
        <w:r w:rsidR="0039212D">
          <w:tab/>
        </w:r>
        <w:r w:rsidR="0039212D" w:rsidRPr="0039212D">
          <w:rPr>
            <w:b w:val="0"/>
          </w:rPr>
          <w:fldChar w:fldCharType="begin"/>
        </w:r>
        <w:r w:rsidR="0039212D" w:rsidRPr="0039212D">
          <w:rPr>
            <w:b w:val="0"/>
          </w:rPr>
          <w:instrText xml:space="preserve"> PAGEREF _Toc32321225 \h </w:instrText>
        </w:r>
        <w:r w:rsidR="0039212D" w:rsidRPr="0039212D">
          <w:rPr>
            <w:b w:val="0"/>
          </w:rPr>
        </w:r>
        <w:r w:rsidR="0039212D" w:rsidRPr="0039212D">
          <w:rPr>
            <w:b w:val="0"/>
          </w:rPr>
          <w:fldChar w:fldCharType="separate"/>
        </w:r>
        <w:r w:rsidR="004918E6">
          <w:rPr>
            <w:b w:val="0"/>
          </w:rPr>
          <w:t>51</w:t>
        </w:r>
        <w:r w:rsidR="0039212D" w:rsidRPr="0039212D">
          <w:rPr>
            <w:b w:val="0"/>
          </w:rPr>
          <w:fldChar w:fldCharType="end"/>
        </w:r>
      </w:hyperlink>
    </w:p>
    <w:p w14:paraId="38E59164" w14:textId="063165AD" w:rsidR="0039212D" w:rsidRDefault="005546C4">
      <w:pPr>
        <w:pStyle w:val="TOC7"/>
        <w:rPr>
          <w:rFonts w:asciiTheme="minorHAnsi" w:eastAsiaTheme="minorEastAsia" w:hAnsiTheme="minorHAnsi" w:cstheme="minorBidi"/>
          <w:b w:val="0"/>
          <w:sz w:val="22"/>
          <w:szCs w:val="22"/>
          <w:lang w:eastAsia="en-AU"/>
        </w:rPr>
      </w:pPr>
      <w:hyperlink w:anchor="_Toc32321237" w:history="1">
        <w:r w:rsidR="0039212D" w:rsidRPr="001566CF">
          <w:t>Part 1.2</w:t>
        </w:r>
        <w:r w:rsidR="0039212D">
          <w:rPr>
            <w:rFonts w:asciiTheme="minorHAnsi" w:eastAsiaTheme="minorEastAsia" w:hAnsiTheme="minorHAnsi" w:cstheme="minorBidi"/>
            <w:b w:val="0"/>
            <w:sz w:val="22"/>
            <w:szCs w:val="22"/>
            <w:lang w:eastAsia="en-AU"/>
          </w:rPr>
          <w:tab/>
        </w:r>
        <w:r w:rsidR="0039212D" w:rsidRPr="001566CF">
          <w:t>Uncollected Goods Act 1996</w:t>
        </w:r>
        <w:r w:rsidR="0039212D">
          <w:tab/>
        </w:r>
        <w:r w:rsidR="0039212D" w:rsidRPr="0039212D">
          <w:rPr>
            <w:b w:val="0"/>
          </w:rPr>
          <w:fldChar w:fldCharType="begin"/>
        </w:r>
        <w:r w:rsidR="0039212D" w:rsidRPr="0039212D">
          <w:rPr>
            <w:b w:val="0"/>
          </w:rPr>
          <w:instrText xml:space="preserve"> PAGEREF _Toc32321237 \h </w:instrText>
        </w:r>
        <w:r w:rsidR="0039212D" w:rsidRPr="0039212D">
          <w:rPr>
            <w:b w:val="0"/>
          </w:rPr>
        </w:r>
        <w:r w:rsidR="0039212D" w:rsidRPr="0039212D">
          <w:rPr>
            <w:b w:val="0"/>
          </w:rPr>
          <w:fldChar w:fldCharType="separate"/>
        </w:r>
        <w:r w:rsidR="004918E6">
          <w:rPr>
            <w:b w:val="0"/>
          </w:rPr>
          <w:t>58</w:t>
        </w:r>
        <w:r w:rsidR="0039212D" w:rsidRPr="0039212D">
          <w:rPr>
            <w:b w:val="0"/>
          </w:rPr>
          <w:fldChar w:fldCharType="end"/>
        </w:r>
      </w:hyperlink>
    </w:p>
    <w:p w14:paraId="5A078BDC" w14:textId="77777777" w:rsidR="002339E2" w:rsidRPr="0070317C" w:rsidRDefault="0039212D">
      <w:pPr>
        <w:pStyle w:val="BillBasic"/>
      </w:pPr>
      <w:r>
        <w:fldChar w:fldCharType="end"/>
      </w:r>
    </w:p>
    <w:p w14:paraId="6E8D4B4A" w14:textId="77777777" w:rsidR="0070317C" w:rsidRDefault="0070317C">
      <w:pPr>
        <w:pStyle w:val="01Contents"/>
        <w:sectPr w:rsidR="0070317C" w:rsidSect="002F4EF7">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3D8E43F4" w14:textId="77777777" w:rsidR="009F5F26" w:rsidRPr="0070317C" w:rsidRDefault="009F5F26" w:rsidP="0070317C">
      <w:pPr>
        <w:suppressLineNumbers/>
        <w:spacing w:before="400"/>
        <w:jc w:val="center"/>
      </w:pPr>
      <w:r w:rsidRPr="0070317C">
        <w:rPr>
          <w:noProof/>
          <w:color w:val="000000"/>
          <w:sz w:val="22"/>
        </w:rPr>
        <w:lastRenderedPageBreak/>
        <w:t>2020</w:t>
      </w:r>
    </w:p>
    <w:p w14:paraId="15D1BB0A" w14:textId="77777777" w:rsidR="009F5F26" w:rsidRPr="0070317C" w:rsidRDefault="009F5F26" w:rsidP="0070317C">
      <w:pPr>
        <w:suppressLineNumbers/>
        <w:spacing w:before="300"/>
        <w:jc w:val="center"/>
      </w:pPr>
      <w:r w:rsidRPr="0070317C">
        <w:t>THE LEGISLATIVE ASSEMBLY</w:t>
      </w:r>
      <w:r w:rsidRPr="0070317C">
        <w:br/>
        <w:t>FOR THE AUSTRALIAN CAPITAL TERRITORY</w:t>
      </w:r>
    </w:p>
    <w:p w14:paraId="2A01287B" w14:textId="77777777" w:rsidR="009F5F26" w:rsidRPr="0070317C" w:rsidRDefault="009F5F26" w:rsidP="0070317C">
      <w:pPr>
        <w:pStyle w:val="N-line1"/>
        <w:suppressLineNumbers/>
        <w:jc w:val="both"/>
      </w:pPr>
    </w:p>
    <w:p w14:paraId="097AB2DB" w14:textId="77777777" w:rsidR="009F5F26" w:rsidRPr="0070317C" w:rsidRDefault="009F5F26" w:rsidP="0070317C">
      <w:pPr>
        <w:suppressLineNumbers/>
        <w:spacing w:before="120"/>
        <w:jc w:val="center"/>
      </w:pPr>
      <w:r w:rsidRPr="0070317C">
        <w:t>(As presented)</w:t>
      </w:r>
    </w:p>
    <w:p w14:paraId="432C2991" w14:textId="77777777" w:rsidR="009F5F26" w:rsidRPr="0070317C" w:rsidRDefault="009F5F26" w:rsidP="0070317C">
      <w:pPr>
        <w:suppressLineNumbers/>
        <w:spacing w:before="240"/>
        <w:jc w:val="center"/>
      </w:pPr>
      <w:r w:rsidRPr="0070317C">
        <w:t>(Attorney-General)</w:t>
      </w:r>
    </w:p>
    <w:p w14:paraId="10436763" w14:textId="77777777" w:rsidR="002339E2" w:rsidRPr="0070317C" w:rsidRDefault="00F865DA" w:rsidP="0070317C">
      <w:pPr>
        <w:pStyle w:val="Billname"/>
        <w:suppressLineNumbers/>
      </w:pPr>
      <w:bookmarkStart w:id="2" w:name="Citation"/>
      <w:r w:rsidRPr="0070317C">
        <w:t>Residential Tenancies Amendment Bill</w:t>
      </w:r>
      <w:r w:rsidR="008919F2" w:rsidRPr="0070317C">
        <w:t> </w:t>
      </w:r>
      <w:r w:rsidRPr="0070317C">
        <w:t>2020</w:t>
      </w:r>
      <w:bookmarkEnd w:id="2"/>
    </w:p>
    <w:p w14:paraId="04E1EDED" w14:textId="624659D1" w:rsidR="002339E2" w:rsidRPr="0070317C" w:rsidRDefault="002339E2" w:rsidP="0070317C">
      <w:pPr>
        <w:pStyle w:val="ActNo"/>
        <w:suppressLineNumbers/>
      </w:pPr>
      <w:r w:rsidRPr="0070317C">
        <w:fldChar w:fldCharType="begin"/>
      </w:r>
      <w:r w:rsidRPr="0070317C">
        <w:instrText xml:space="preserve"> DOCPROPERTY "Category"  \* MERGEFORMAT </w:instrText>
      </w:r>
      <w:r w:rsidRPr="0070317C">
        <w:fldChar w:fldCharType="end"/>
      </w:r>
    </w:p>
    <w:p w14:paraId="6A714FF9" w14:textId="77777777" w:rsidR="002339E2" w:rsidRPr="0070317C" w:rsidRDefault="002339E2" w:rsidP="0070317C">
      <w:pPr>
        <w:pStyle w:val="N-line3"/>
        <w:suppressLineNumbers/>
      </w:pPr>
    </w:p>
    <w:p w14:paraId="1815EA1D" w14:textId="77777777" w:rsidR="002339E2" w:rsidRPr="0070317C" w:rsidRDefault="002339E2" w:rsidP="0070317C">
      <w:pPr>
        <w:pStyle w:val="BillFor"/>
        <w:suppressLineNumbers/>
      </w:pPr>
      <w:r w:rsidRPr="0070317C">
        <w:t>A Bill for</w:t>
      </w:r>
    </w:p>
    <w:p w14:paraId="1BC3082B" w14:textId="4244BADD" w:rsidR="002339E2" w:rsidRPr="0070317C" w:rsidRDefault="002339E2" w:rsidP="0070317C">
      <w:pPr>
        <w:pStyle w:val="LongTitle"/>
        <w:suppressLineNumbers/>
        <w:rPr>
          <w:iCs/>
        </w:rPr>
      </w:pPr>
      <w:r w:rsidRPr="0070317C">
        <w:t xml:space="preserve">An Act to amend the </w:t>
      </w:r>
      <w:bookmarkStart w:id="3" w:name="AmCitation"/>
      <w:r w:rsidR="009F5F26" w:rsidRPr="0070317C">
        <w:rPr>
          <w:rStyle w:val="charCitHyperlinkItal"/>
        </w:rPr>
        <w:fldChar w:fldCharType="begin"/>
      </w:r>
      <w:r w:rsidR="009F5F26" w:rsidRPr="0070317C">
        <w:rPr>
          <w:rStyle w:val="charCitHyperlinkItal"/>
        </w:rPr>
        <w:instrText>HYPERLINK "http://www.legislation.act.gov.au/a/1997-84" \o "A1997-84"</w:instrText>
      </w:r>
      <w:r w:rsidR="009F5F26" w:rsidRPr="0070317C">
        <w:rPr>
          <w:rStyle w:val="charCitHyperlinkItal"/>
        </w:rPr>
        <w:fldChar w:fldCharType="separate"/>
      </w:r>
      <w:r w:rsidR="009F5F26" w:rsidRPr="0070317C">
        <w:rPr>
          <w:rStyle w:val="charCitHyperlinkItal"/>
        </w:rPr>
        <w:t>Residential Tenancies Act 1997</w:t>
      </w:r>
      <w:r w:rsidR="009F5F26" w:rsidRPr="0070317C">
        <w:rPr>
          <w:rStyle w:val="charCitHyperlinkItal"/>
        </w:rPr>
        <w:fldChar w:fldCharType="end"/>
      </w:r>
      <w:bookmarkEnd w:id="3"/>
      <w:r w:rsidR="00800C93" w:rsidRPr="0070317C">
        <w:rPr>
          <w:iCs/>
        </w:rPr>
        <w:t xml:space="preserve"> and the </w:t>
      </w:r>
      <w:hyperlink r:id="rId14" w:tooltip="SL1998-17" w:history="1">
        <w:r w:rsidR="009F5F26" w:rsidRPr="0070317C">
          <w:rPr>
            <w:rStyle w:val="charCitHyperlinkItal"/>
          </w:rPr>
          <w:t>Residential Tenancies Regulation 1998</w:t>
        </w:r>
      </w:hyperlink>
      <w:r w:rsidR="00BD6A0C" w:rsidRPr="0070317C">
        <w:rPr>
          <w:iCs/>
        </w:rPr>
        <w:t>,</w:t>
      </w:r>
      <w:r w:rsidR="00920F00" w:rsidRPr="0070317C">
        <w:rPr>
          <w:iCs/>
        </w:rPr>
        <w:t xml:space="preserve"> and for </w:t>
      </w:r>
      <w:r w:rsidR="001E0D3F" w:rsidRPr="0070317C">
        <w:rPr>
          <w:iCs/>
        </w:rPr>
        <w:t xml:space="preserve">other </w:t>
      </w:r>
      <w:r w:rsidR="00920F00" w:rsidRPr="0070317C">
        <w:rPr>
          <w:iCs/>
        </w:rPr>
        <w:t>purposes</w:t>
      </w:r>
    </w:p>
    <w:p w14:paraId="241D24DA" w14:textId="77777777" w:rsidR="002339E2" w:rsidRPr="0070317C" w:rsidRDefault="002339E2" w:rsidP="0070317C">
      <w:pPr>
        <w:pStyle w:val="N-line3"/>
        <w:suppressLineNumbers/>
      </w:pPr>
    </w:p>
    <w:p w14:paraId="0D1B80C3" w14:textId="77777777" w:rsidR="002339E2" w:rsidRPr="0070317C" w:rsidRDefault="002339E2" w:rsidP="0070317C">
      <w:pPr>
        <w:pStyle w:val="Placeholder"/>
        <w:suppressLineNumbers/>
      </w:pPr>
      <w:r w:rsidRPr="0070317C">
        <w:rPr>
          <w:rStyle w:val="charContents"/>
          <w:sz w:val="16"/>
        </w:rPr>
        <w:t xml:space="preserve">  </w:t>
      </w:r>
      <w:r w:rsidRPr="0070317C">
        <w:rPr>
          <w:rStyle w:val="charPage"/>
        </w:rPr>
        <w:t xml:space="preserve">  </w:t>
      </w:r>
    </w:p>
    <w:p w14:paraId="732769D7" w14:textId="77777777" w:rsidR="002339E2" w:rsidRPr="0070317C" w:rsidRDefault="002339E2" w:rsidP="0070317C">
      <w:pPr>
        <w:pStyle w:val="Placeholder"/>
        <w:suppressLineNumbers/>
      </w:pPr>
      <w:r w:rsidRPr="0070317C">
        <w:rPr>
          <w:rStyle w:val="CharChapNo"/>
        </w:rPr>
        <w:t xml:space="preserve">  </w:t>
      </w:r>
      <w:r w:rsidRPr="0070317C">
        <w:rPr>
          <w:rStyle w:val="CharChapText"/>
        </w:rPr>
        <w:t xml:space="preserve">  </w:t>
      </w:r>
    </w:p>
    <w:p w14:paraId="4A14555D" w14:textId="77777777" w:rsidR="002339E2" w:rsidRPr="0070317C" w:rsidRDefault="002339E2" w:rsidP="0070317C">
      <w:pPr>
        <w:pStyle w:val="Placeholder"/>
        <w:suppressLineNumbers/>
      </w:pPr>
      <w:r w:rsidRPr="0070317C">
        <w:rPr>
          <w:rStyle w:val="CharPartNo"/>
        </w:rPr>
        <w:t xml:space="preserve">  </w:t>
      </w:r>
      <w:r w:rsidRPr="0070317C">
        <w:rPr>
          <w:rStyle w:val="CharPartText"/>
        </w:rPr>
        <w:t xml:space="preserve">  </w:t>
      </w:r>
    </w:p>
    <w:p w14:paraId="091BBF29" w14:textId="77777777" w:rsidR="002339E2" w:rsidRPr="0070317C" w:rsidRDefault="002339E2" w:rsidP="0070317C">
      <w:pPr>
        <w:pStyle w:val="Placeholder"/>
        <w:suppressLineNumbers/>
      </w:pPr>
      <w:r w:rsidRPr="0070317C">
        <w:rPr>
          <w:rStyle w:val="CharDivNo"/>
        </w:rPr>
        <w:t xml:space="preserve">  </w:t>
      </w:r>
      <w:r w:rsidRPr="0070317C">
        <w:rPr>
          <w:rStyle w:val="CharDivText"/>
        </w:rPr>
        <w:t xml:space="preserve">  </w:t>
      </w:r>
    </w:p>
    <w:p w14:paraId="08812A5E" w14:textId="77777777" w:rsidR="002339E2" w:rsidRPr="0070317C" w:rsidRDefault="002339E2" w:rsidP="0070317C">
      <w:pPr>
        <w:pStyle w:val="Notified"/>
        <w:suppressLineNumbers/>
      </w:pPr>
    </w:p>
    <w:p w14:paraId="5E42FA8A" w14:textId="77777777" w:rsidR="002339E2" w:rsidRPr="0070317C" w:rsidRDefault="002339E2" w:rsidP="0070317C">
      <w:pPr>
        <w:pStyle w:val="EnactingWords"/>
        <w:suppressLineNumbers/>
      </w:pPr>
      <w:r w:rsidRPr="0070317C">
        <w:t>The Legislative Assembly for the Australian Capital Territory enacts as follows:</w:t>
      </w:r>
    </w:p>
    <w:p w14:paraId="4A926848" w14:textId="77777777" w:rsidR="002339E2" w:rsidRPr="0070317C" w:rsidRDefault="002339E2" w:rsidP="0070317C">
      <w:pPr>
        <w:pStyle w:val="PageBreak"/>
        <w:suppressLineNumbers/>
      </w:pPr>
      <w:r w:rsidRPr="0070317C">
        <w:br w:type="page"/>
      </w:r>
    </w:p>
    <w:p w14:paraId="6DB77E6D" w14:textId="77777777" w:rsidR="00920F00" w:rsidRPr="0070317C" w:rsidRDefault="0070317C" w:rsidP="0070317C">
      <w:pPr>
        <w:pStyle w:val="AH2Part"/>
      </w:pPr>
      <w:bookmarkStart w:id="4" w:name="_Toc32321175"/>
      <w:r w:rsidRPr="0070317C">
        <w:rPr>
          <w:rStyle w:val="CharPartNo"/>
        </w:rPr>
        <w:lastRenderedPageBreak/>
        <w:t>Part 1</w:t>
      </w:r>
      <w:r w:rsidRPr="0070317C">
        <w:tab/>
      </w:r>
      <w:r w:rsidR="00920F00" w:rsidRPr="0070317C">
        <w:rPr>
          <w:rStyle w:val="CharPartText"/>
        </w:rPr>
        <w:t>Preliminary</w:t>
      </w:r>
      <w:bookmarkEnd w:id="4"/>
    </w:p>
    <w:p w14:paraId="337A077F" w14:textId="77777777" w:rsidR="002339E2" w:rsidRPr="0070317C" w:rsidRDefault="0070317C" w:rsidP="0070317C">
      <w:pPr>
        <w:pStyle w:val="AH5Sec"/>
        <w:shd w:val="pct25" w:color="auto" w:fill="auto"/>
      </w:pPr>
      <w:bookmarkStart w:id="5" w:name="_Toc32321176"/>
      <w:r w:rsidRPr="0070317C">
        <w:rPr>
          <w:rStyle w:val="CharSectNo"/>
        </w:rPr>
        <w:t>1</w:t>
      </w:r>
      <w:r w:rsidRPr="0070317C">
        <w:tab/>
      </w:r>
      <w:r w:rsidR="002339E2" w:rsidRPr="0070317C">
        <w:t>Name of Act</w:t>
      </w:r>
      <w:bookmarkEnd w:id="5"/>
    </w:p>
    <w:p w14:paraId="6B7E5C31" w14:textId="79236DCA" w:rsidR="002339E2" w:rsidRPr="0070317C" w:rsidRDefault="002339E2">
      <w:pPr>
        <w:pStyle w:val="Amainreturn"/>
      </w:pPr>
      <w:r w:rsidRPr="0070317C">
        <w:t xml:space="preserve">This Act is the </w:t>
      </w:r>
      <w:r w:rsidRPr="0070317C">
        <w:rPr>
          <w:i/>
        </w:rPr>
        <w:fldChar w:fldCharType="begin"/>
      </w:r>
      <w:r w:rsidRPr="0070317C">
        <w:rPr>
          <w:i/>
        </w:rPr>
        <w:instrText xml:space="preserve"> TITLE</w:instrText>
      </w:r>
      <w:r w:rsidRPr="0070317C">
        <w:rPr>
          <w:i/>
        </w:rPr>
        <w:fldChar w:fldCharType="separate"/>
      </w:r>
      <w:r w:rsidR="004918E6">
        <w:rPr>
          <w:i/>
        </w:rPr>
        <w:t>Residential Tenancies Amendment Act 2020</w:t>
      </w:r>
      <w:r w:rsidRPr="0070317C">
        <w:rPr>
          <w:i/>
        </w:rPr>
        <w:fldChar w:fldCharType="end"/>
      </w:r>
      <w:r w:rsidRPr="0070317C">
        <w:t>.</w:t>
      </w:r>
    </w:p>
    <w:p w14:paraId="69A3A175" w14:textId="77777777" w:rsidR="002339E2" w:rsidRPr="0070317C" w:rsidRDefault="0070317C" w:rsidP="0070317C">
      <w:pPr>
        <w:pStyle w:val="AH5Sec"/>
        <w:shd w:val="pct25" w:color="auto" w:fill="auto"/>
      </w:pPr>
      <w:bookmarkStart w:id="6" w:name="_Toc32321177"/>
      <w:r w:rsidRPr="0070317C">
        <w:rPr>
          <w:rStyle w:val="CharSectNo"/>
        </w:rPr>
        <w:t>2</w:t>
      </w:r>
      <w:r w:rsidRPr="0070317C">
        <w:tab/>
      </w:r>
      <w:r w:rsidR="002339E2" w:rsidRPr="0070317C">
        <w:t>Commencement</w:t>
      </w:r>
      <w:bookmarkEnd w:id="6"/>
    </w:p>
    <w:p w14:paraId="457607CE" w14:textId="77777777" w:rsidR="002339E2" w:rsidRPr="0070317C" w:rsidRDefault="002339E2" w:rsidP="0070317C">
      <w:pPr>
        <w:pStyle w:val="Amainreturn"/>
        <w:keepNext/>
      </w:pPr>
      <w:r w:rsidRPr="0070317C">
        <w:t>This Act commences on a day fixed by the Minister by written notice</w:t>
      </w:r>
      <w:r w:rsidR="00BD6A0C" w:rsidRPr="0070317C">
        <w:t>.</w:t>
      </w:r>
    </w:p>
    <w:p w14:paraId="5C163ECE" w14:textId="5CEF7F6F" w:rsidR="002339E2" w:rsidRPr="0070317C" w:rsidRDefault="002339E2" w:rsidP="0070317C">
      <w:pPr>
        <w:pStyle w:val="aNote"/>
        <w:keepNext/>
      </w:pPr>
      <w:r w:rsidRPr="0070317C">
        <w:rPr>
          <w:rStyle w:val="charItals"/>
        </w:rPr>
        <w:t>Note 1</w:t>
      </w:r>
      <w:r w:rsidRPr="0070317C">
        <w:rPr>
          <w:rStyle w:val="charItals"/>
        </w:rPr>
        <w:tab/>
      </w:r>
      <w:r w:rsidRPr="0070317C">
        <w:t xml:space="preserve">The naming and commencement provisions automatically commence on the notification day (see </w:t>
      </w:r>
      <w:hyperlink r:id="rId15" w:tooltip="A2001-14" w:history="1">
        <w:r w:rsidR="009F5F26" w:rsidRPr="0070317C">
          <w:rPr>
            <w:rStyle w:val="charCitHyperlinkAbbrev"/>
          </w:rPr>
          <w:t>Legislation Act</w:t>
        </w:r>
      </w:hyperlink>
      <w:r w:rsidRPr="0070317C">
        <w:t>, s 75 (1)).</w:t>
      </w:r>
    </w:p>
    <w:p w14:paraId="5C743DED" w14:textId="6AF8A06F" w:rsidR="002339E2" w:rsidRPr="0070317C" w:rsidRDefault="002339E2" w:rsidP="0070317C">
      <w:pPr>
        <w:pStyle w:val="aNote"/>
        <w:keepNext/>
      </w:pPr>
      <w:r w:rsidRPr="0070317C">
        <w:rPr>
          <w:rStyle w:val="charItals"/>
        </w:rPr>
        <w:t>Note 2</w:t>
      </w:r>
      <w:r w:rsidRPr="0070317C">
        <w:rPr>
          <w:rStyle w:val="charItals"/>
        </w:rPr>
        <w:tab/>
      </w:r>
      <w:r w:rsidRPr="0070317C">
        <w:t xml:space="preserve">A single day or time may be fixed, or different days or times may be fixed, for the commencement of different provisions (see </w:t>
      </w:r>
      <w:hyperlink r:id="rId16" w:tooltip="A2001-14" w:history="1">
        <w:r w:rsidR="009F5F26" w:rsidRPr="0070317C">
          <w:rPr>
            <w:rStyle w:val="charCitHyperlinkAbbrev"/>
          </w:rPr>
          <w:t>Legislation Act</w:t>
        </w:r>
      </w:hyperlink>
      <w:r w:rsidRPr="0070317C">
        <w:t>, s 77 (1)).</w:t>
      </w:r>
    </w:p>
    <w:p w14:paraId="727885CF" w14:textId="5F2FBDBB" w:rsidR="002339E2" w:rsidRPr="0070317C" w:rsidRDefault="002339E2">
      <w:pPr>
        <w:pStyle w:val="aNote"/>
      </w:pPr>
      <w:r w:rsidRPr="0070317C">
        <w:rPr>
          <w:rStyle w:val="charItals"/>
        </w:rPr>
        <w:t>Note 3</w:t>
      </w:r>
      <w:r w:rsidRPr="0070317C">
        <w:rPr>
          <w:rStyle w:val="charItals"/>
        </w:rPr>
        <w:tab/>
      </w:r>
      <w:r w:rsidRPr="0070317C">
        <w:t xml:space="preserve">If a provision has not commenced within 6 months beginning on the notification day, it automatically commences on the first day after that period (see </w:t>
      </w:r>
      <w:hyperlink r:id="rId17" w:tooltip="A2001-14" w:history="1">
        <w:r w:rsidR="009F5F26" w:rsidRPr="0070317C">
          <w:rPr>
            <w:rStyle w:val="charCitHyperlinkAbbrev"/>
          </w:rPr>
          <w:t>Legislation Act</w:t>
        </w:r>
      </w:hyperlink>
      <w:r w:rsidRPr="0070317C">
        <w:t>, s 79).</w:t>
      </w:r>
    </w:p>
    <w:p w14:paraId="14B258CD" w14:textId="77777777" w:rsidR="002339E2" w:rsidRPr="0070317C" w:rsidRDefault="0070317C" w:rsidP="0070317C">
      <w:pPr>
        <w:pStyle w:val="AH5Sec"/>
        <w:shd w:val="pct25" w:color="auto" w:fill="auto"/>
      </w:pPr>
      <w:bookmarkStart w:id="7" w:name="_Toc32321178"/>
      <w:r w:rsidRPr="0070317C">
        <w:rPr>
          <w:rStyle w:val="CharSectNo"/>
        </w:rPr>
        <w:t>3</w:t>
      </w:r>
      <w:r w:rsidRPr="0070317C">
        <w:tab/>
      </w:r>
      <w:r w:rsidR="002339E2" w:rsidRPr="0070317C">
        <w:t>Legislation amended</w:t>
      </w:r>
      <w:bookmarkEnd w:id="7"/>
    </w:p>
    <w:p w14:paraId="19057B07" w14:textId="09135ABE" w:rsidR="002339E2" w:rsidRPr="0070317C" w:rsidRDefault="002339E2" w:rsidP="0070317C">
      <w:pPr>
        <w:pStyle w:val="Amainreturn"/>
        <w:keepNext/>
      </w:pPr>
      <w:r w:rsidRPr="0070317C">
        <w:t xml:space="preserve">This Act amends the </w:t>
      </w:r>
      <w:hyperlink r:id="rId18" w:tooltip="A1997-84" w:history="1">
        <w:r w:rsidR="009F5F26" w:rsidRPr="0070317C">
          <w:rPr>
            <w:rStyle w:val="charCitHyperlinkItal"/>
          </w:rPr>
          <w:t>Residential Tenancies Act 1997</w:t>
        </w:r>
      </w:hyperlink>
      <w:r w:rsidR="00BD6A0C" w:rsidRPr="0070317C">
        <w:t xml:space="preserve"> and the </w:t>
      </w:r>
      <w:hyperlink r:id="rId19" w:tooltip="SL1998-17" w:history="1">
        <w:r w:rsidR="009F5F26" w:rsidRPr="0070317C">
          <w:rPr>
            <w:rStyle w:val="charCitHyperlinkItal"/>
          </w:rPr>
          <w:t>Residential Tenancies Regulation 1998</w:t>
        </w:r>
      </w:hyperlink>
      <w:r w:rsidR="00BD6A0C" w:rsidRPr="0070317C">
        <w:t>.</w:t>
      </w:r>
    </w:p>
    <w:p w14:paraId="024D8B1F" w14:textId="77777777" w:rsidR="005E0C56" w:rsidRPr="0070317C" w:rsidRDefault="00920F00" w:rsidP="00920F00">
      <w:pPr>
        <w:pStyle w:val="aNote"/>
      </w:pPr>
      <w:r w:rsidRPr="0070317C">
        <w:rPr>
          <w:rStyle w:val="charItals"/>
        </w:rPr>
        <w:t>Note</w:t>
      </w:r>
      <w:r w:rsidRPr="0070317C">
        <w:rPr>
          <w:rStyle w:val="charItals"/>
        </w:rPr>
        <w:tab/>
      </w:r>
      <w:r w:rsidRPr="0070317C">
        <w:t xml:space="preserve">This Act also amends </w:t>
      </w:r>
      <w:r w:rsidR="00BD6A0C" w:rsidRPr="0070317C">
        <w:t>other</w:t>
      </w:r>
      <w:r w:rsidR="005E0C56" w:rsidRPr="0070317C">
        <w:t xml:space="preserve"> legislation</w:t>
      </w:r>
      <w:r w:rsidR="00465B0B" w:rsidRPr="0070317C">
        <w:t xml:space="preserve"> (see sch 1)</w:t>
      </w:r>
      <w:r w:rsidR="00BD6A0C" w:rsidRPr="0070317C">
        <w:t>.</w:t>
      </w:r>
    </w:p>
    <w:p w14:paraId="73DED3FD" w14:textId="77777777" w:rsidR="00885670" w:rsidRPr="0070317C" w:rsidRDefault="00885670" w:rsidP="0070317C">
      <w:pPr>
        <w:pStyle w:val="PageBreak"/>
        <w:suppressLineNumbers/>
      </w:pPr>
      <w:r w:rsidRPr="0070317C">
        <w:br w:type="page"/>
      </w:r>
    </w:p>
    <w:p w14:paraId="467785CD" w14:textId="77777777" w:rsidR="00920F00" w:rsidRPr="0070317C" w:rsidRDefault="0070317C" w:rsidP="0070317C">
      <w:pPr>
        <w:pStyle w:val="AH2Part"/>
      </w:pPr>
      <w:bookmarkStart w:id="8" w:name="_Toc32321179"/>
      <w:r w:rsidRPr="0070317C">
        <w:rPr>
          <w:rStyle w:val="CharPartNo"/>
        </w:rPr>
        <w:lastRenderedPageBreak/>
        <w:t>Part 2</w:t>
      </w:r>
      <w:r w:rsidRPr="0070317C">
        <w:tab/>
      </w:r>
      <w:r w:rsidR="00920F00" w:rsidRPr="0070317C">
        <w:rPr>
          <w:rStyle w:val="CharPartText"/>
        </w:rPr>
        <w:t>Residential Tenancies Act 1997</w:t>
      </w:r>
      <w:bookmarkEnd w:id="8"/>
    </w:p>
    <w:p w14:paraId="7254E1CF" w14:textId="77777777" w:rsidR="006B345C" w:rsidRPr="0070317C" w:rsidRDefault="0070317C" w:rsidP="0070317C">
      <w:pPr>
        <w:pStyle w:val="AH5Sec"/>
        <w:shd w:val="pct25" w:color="auto" w:fill="auto"/>
      </w:pPr>
      <w:bookmarkStart w:id="9" w:name="_Toc32321180"/>
      <w:r w:rsidRPr="0070317C">
        <w:rPr>
          <w:rStyle w:val="CharSectNo"/>
        </w:rPr>
        <w:t>4</w:t>
      </w:r>
      <w:r w:rsidRPr="0070317C">
        <w:tab/>
      </w:r>
      <w:r w:rsidR="006B345C" w:rsidRPr="0070317C">
        <w:t>New section 4A</w:t>
      </w:r>
      <w:bookmarkEnd w:id="9"/>
    </w:p>
    <w:p w14:paraId="3D67C852" w14:textId="77777777" w:rsidR="006B345C" w:rsidRPr="0070317C" w:rsidRDefault="00F756E9" w:rsidP="006B345C">
      <w:pPr>
        <w:pStyle w:val="direction"/>
      </w:pPr>
      <w:r w:rsidRPr="0070317C">
        <w:t>in part 1, insert</w:t>
      </w:r>
    </w:p>
    <w:p w14:paraId="517CD106" w14:textId="77777777" w:rsidR="00F756E9" w:rsidRPr="0070317C" w:rsidRDefault="00F756E9" w:rsidP="00F756E9">
      <w:pPr>
        <w:pStyle w:val="IH5Sec"/>
      </w:pPr>
      <w:r w:rsidRPr="0070317C">
        <w:t>4A</w:t>
      </w:r>
      <w:r w:rsidRPr="0070317C">
        <w:tab/>
        <w:t>Objects of Act</w:t>
      </w:r>
    </w:p>
    <w:p w14:paraId="3C6BA7D9" w14:textId="77777777" w:rsidR="00F756E9" w:rsidRPr="0070317C" w:rsidRDefault="00E503D9" w:rsidP="00F756E9">
      <w:pPr>
        <w:pStyle w:val="Amainreturn"/>
      </w:pPr>
      <w:r w:rsidRPr="0070317C">
        <w:t>In</w:t>
      </w:r>
      <w:r w:rsidR="00F756E9" w:rsidRPr="0070317C">
        <w:t xml:space="preserve"> recogni</w:t>
      </w:r>
      <w:r w:rsidR="00624649" w:rsidRPr="0070317C">
        <w:t xml:space="preserve">tion of </w:t>
      </w:r>
      <w:r w:rsidR="00F756E9" w:rsidRPr="0070317C">
        <w:t xml:space="preserve">the importance </w:t>
      </w:r>
      <w:r w:rsidR="00286119" w:rsidRPr="0070317C">
        <w:t xml:space="preserve">of </w:t>
      </w:r>
      <w:r w:rsidR="00624649" w:rsidRPr="0070317C">
        <w:t xml:space="preserve">stable </w:t>
      </w:r>
      <w:r w:rsidR="00F756E9" w:rsidRPr="0070317C">
        <w:t>and secure housing for people in the ACT community</w:t>
      </w:r>
      <w:r w:rsidRPr="0070317C">
        <w:t>, the main objects of this Act are to—</w:t>
      </w:r>
    </w:p>
    <w:p w14:paraId="0913136A" w14:textId="77777777" w:rsidR="00C54DC6" w:rsidRPr="0070317C" w:rsidRDefault="00F756E9" w:rsidP="00F756E9">
      <w:pPr>
        <w:pStyle w:val="Ipara"/>
      </w:pPr>
      <w:r w:rsidRPr="0070317C">
        <w:tab/>
        <w:t>(a)</w:t>
      </w:r>
      <w:r w:rsidRPr="0070317C">
        <w:tab/>
      </w:r>
      <w:r w:rsidR="00E503D9" w:rsidRPr="0070317C">
        <w:t>define the rights and obligations of tenants and lessors under residential tenancy agreements</w:t>
      </w:r>
      <w:r w:rsidR="00C54DC6" w:rsidRPr="0070317C">
        <w:t>;</w:t>
      </w:r>
      <w:r w:rsidR="00D06F13" w:rsidRPr="0070317C">
        <w:t xml:space="preserve"> and</w:t>
      </w:r>
    </w:p>
    <w:p w14:paraId="3BDC8C58" w14:textId="77777777" w:rsidR="00F756E9" w:rsidRPr="0070317C" w:rsidRDefault="00C54DC6" w:rsidP="00C54DC6">
      <w:pPr>
        <w:pStyle w:val="Ipara"/>
      </w:pPr>
      <w:r w:rsidRPr="0070317C">
        <w:tab/>
        <w:t>(b)</w:t>
      </w:r>
      <w:r w:rsidRPr="0070317C">
        <w:tab/>
        <w:t xml:space="preserve">set out minimum </w:t>
      </w:r>
      <w:r w:rsidR="00EF409F" w:rsidRPr="0070317C">
        <w:t xml:space="preserve">contractual requirements </w:t>
      </w:r>
      <w:r w:rsidRPr="0070317C">
        <w:t xml:space="preserve">for </w:t>
      </w:r>
      <w:r w:rsidR="00E503D9" w:rsidRPr="0070317C">
        <w:t>occupancy agreements; and</w:t>
      </w:r>
    </w:p>
    <w:p w14:paraId="1700E6B6" w14:textId="77777777" w:rsidR="00E503D9" w:rsidRPr="0070317C" w:rsidRDefault="00E503D9" w:rsidP="00E503D9">
      <w:pPr>
        <w:pStyle w:val="Ipara"/>
      </w:pPr>
      <w:r w:rsidRPr="0070317C">
        <w:tab/>
        <w:t>(</w:t>
      </w:r>
      <w:r w:rsidR="00C54DC6" w:rsidRPr="0070317C">
        <w:t>c</w:t>
      </w:r>
      <w:r w:rsidRPr="0070317C">
        <w:t>)</w:t>
      </w:r>
      <w:r w:rsidRPr="0070317C">
        <w:tab/>
        <w:t xml:space="preserve">enable prospective </w:t>
      </w:r>
      <w:r w:rsidR="0063277E" w:rsidRPr="0070317C">
        <w:t>tenants</w:t>
      </w:r>
      <w:r w:rsidRPr="0070317C">
        <w:t xml:space="preserve"> and occupants to make informed </w:t>
      </w:r>
      <w:r w:rsidR="0063277E" w:rsidRPr="0070317C">
        <w:t>choices; and</w:t>
      </w:r>
    </w:p>
    <w:p w14:paraId="189F8652" w14:textId="77777777" w:rsidR="0063277E" w:rsidRPr="0070317C" w:rsidRDefault="0063277E" w:rsidP="0063277E">
      <w:pPr>
        <w:pStyle w:val="Ipara"/>
      </w:pPr>
      <w:r w:rsidRPr="0070317C">
        <w:tab/>
        <w:t>(</w:t>
      </w:r>
      <w:r w:rsidR="00C54DC6" w:rsidRPr="0070317C">
        <w:t>d</w:t>
      </w:r>
      <w:r w:rsidRPr="0070317C">
        <w:t>)</w:t>
      </w:r>
      <w:r w:rsidRPr="0070317C">
        <w:tab/>
        <w:t>ensure that parties to residential tenancy agreements and occupancy agreements can easily access suitable, low cost, informal and timely ways to enforce their rights under those agreements; and</w:t>
      </w:r>
    </w:p>
    <w:p w14:paraId="3AF0C617" w14:textId="77777777" w:rsidR="0063277E" w:rsidRPr="0070317C" w:rsidRDefault="00F72BF9" w:rsidP="00F72BF9">
      <w:pPr>
        <w:pStyle w:val="Ipara"/>
      </w:pPr>
      <w:r w:rsidRPr="0070317C">
        <w:tab/>
        <w:t>(</w:t>
      </w:r>
      <w:r w:rsidR="00C54DC6" w:rsidRPr="0070317C">
        <w:t>e</w:t>
      </w:r>
      <w:r w:rsidRPr="0070317C">
        <w:t>)</w:t>
      </w:r>
      <w:r w:rsidRPr="0070317C">
        <w:tab/>
        <w:t>protect parties to residential tenancy agreements and occupancy agreements from unfair practices; and</w:t>
      </w:r>
    </w:p>
    <w:p w14:paraId="41EC3314" w14:textId="77777777" w:rsidR="00F72BF9" w:rsidRPr="0070317C" w:rsidRDefault="00F72BF9" w:rsidP="00F72BF9">
      <w:pPr>
        <w:pStyle w:val="Ipara"/>
      </w:pPr>
      <w:r w:rsidRPr="0070317C">
        <w:tab/>
        <w:t>(</w:t>
      </w:r>
      <w:r w:rsidR="00C54DC6" w:rsidRPr="0070317C">
        <w:t>f</w:t>
      </w:r>
      <w:r w:rsidRPr="0070317C">
        <w:t>)</w:t>
      </w:r>
      <w:r w:rsidRPr="0070317C">
        <w:tab/>
        <w:t xml:space="preserve">facilitate the availability of </w:t>
      </w:r>
      <w:r w:rsidR="00624649" w:rsidRPr="0070317C">
        <w:t>stable and secure housing in the ACT.</w:t>
      </w:r>
    </w:p>
    <w:p w14:paraId="1D704E20" w14:textId="77777777" w:rsidR="00DE5C77" w:rsidRPr="0070317C" w:rsidRDefault="0070317C" w:rsidP="0070317C">
      <w:pPr>
        <w:pStyle w:val="AH5Sec"/>
        <w:shd w:val="pct25" w:color="auto" w:fill="auto"/>
      </w:pPr>
      <w:bookmarkStart w:id="10" w:name="_Toc32321181"/>
      <w:r w:rsidRPr="0070317C">
        <w:rPr>
          <w:rStyle w:val="CharSectNo"/>
        </w:rPr>
        <w:lastRenderedPageBreak/>
        <w:t>5</w:t>
      </w:r>
      <w:r w:rsidRPr="0070317C">
        <w:tab/>
      </w:r>
      <w:r w:rsidR="00DE5C77" w:rsidRPr="0070317C">
        <w:t>New section 6AA</w:t>
      </w:r>
      <w:bookmarkEnd w:id="10"/>
    </w:p>
    <w:p w14:paraId="7871DC84" w14:textId="77777777" w:rsidR="00DE5C77" w:rsidRPr="0070317C" w:rsidRDefault="00DE5C77" w:rsidP="00DE5C77">
      <w:pPr>
        <w:pStyle w:val="direction"/>
      </w:pPr>
      <w:r w:rsidRPr="0070317C">
        <w:t>after section 6, insert</w:t>
      </w:r>
    </w:p>
    <w:p w14:paraId="4325AB50" w14:textId="77777777" w:rsidR="00DE5C77" w:rsidRPr="0070317C" w:rsidRDefault="00DE5C77" w:rsidP="00DE5C77">
      <w:pPr>
        <w:pStyle w:val="IH5Sec"/>
      </w:pPr>
      <w:r w:rsidRPr="0070317C">
        <w:t>6AA</w:t>
      </w:r>
      <w:r w:rsidRPr="0070317C">
        <w:tab/>
        <w:t xml:space="preserve">Who is a </w:t>
      </w:r>
      <w:r w:rsidRPr="0070317C">
        <w:rPr>
          <w:rStyle w:val="charItals"/>
        </w:rPr>
        <w:t>co-tenant</w:t>
      </w:r>
      <w:r w:rsidRPr="0070317C">
        <w:t>?</w:t>
      </w:r>
    </w:p>
    <w:p w14:paraId="172A038B" w14:textId="77777777" w:rsidR="00DE5C77" w:rsidRPr="0070317C" w:rsidRDefault="00DE5C77" w:rsidP="0070317C">
      <w:pPr>
        <w:pStyle w:val="Amainreturn"/>
        <w:keepNext/>
      </w:pPr>
      <w:r w:rsidRPr="0070317C">
        <w:t xml:space="preserve">A person is a </w:t>
      </w:r>
      <w:r w:rsidRPr="0070317C">
        <w:rPr>
          <w:rStyle w:val="charBoldItals"/>
        </w:rPr>
        <w:t>co-tenant</w:t>
      </w:r>
      <w:r w:rsidRPr="0070317C">
        <w:t xml:space="preserve"> under a residential tenancy agreement if the person is 1 of 2 or more tenants under the agreement.</w:t>
      </w:r>
    </w:p>
    <w:p w14:paraId="41D6990D" w14:textId="77777777" w:rsidR="00DE5C77" w:rsidRPr="0070317C" w:rsidRDefault="00DE5C77" w:rsidP="00DE5C77">
      <w:pPr>
        <w:pStyle w:val="aNote"/>
      </w:pPr>
      <w:r w:rsidRPr="0070317C">
        <w:rPr>
          <w:rStyle w:val="charItals"/>
        </w:rPr>
        <w:t>Note</w:t>
      </w:r>
      <w:r w:rsidRPr="0070317C">
        <w:rPr>
          <w:rStyle w:val="charItals"/>
        </w:rPr>
        <w:tab/>
      </w:r>
      <w:r w:rsidRPr="0070317C">
        <w:t>Section 35</w:t>
      </w:r>
      <w:r w:rsidR="00D06F13" w:rsidRPr="0070317C">
        <w:t>C</w:t>
      </w:r>
      <w:r w:rsidRPr="0070317C">
        <w:t xml:space="preserve"> sets out how a person can become a new co-tenant under an existing residential tenancy agreement. </w:t>
      </w:r>
    </w:p>
    <w:p w14:paraId="60BA7258" w14:textId="77777777" w:rsidR="00BC79D8" w:rsidRPr="0070317C" w:rsidRDefault="0070317C" w:rsidP="0070317C">
      <w:pPr>
        <w:pStyle w:val="AH5Sec"/>
        <w:shd w:val="pct25" w:color="auto" w:fill="auto"/>
      </w:pPr>
      <w:bookmarkStart w:id="11" w:name="_Toc32321182"/>
      <w:r w:rsidRPr="0070317C">
        <w:rPr>
          <w:rStyle w:val="CharSectNo"/>
        </w:rPr>
        <w:t>6</w:t>
      </w:r>
      <w:r w:rsidRPr="0070317C">
        <w:tab/>
      </w:r>
      <w:r w:rsidR="00BC79D8" w:rsidRPr="0070317C">
        <w:t xml:space="preserve">What is a </w:t>
      </w:r>
      <w:r w:rsidR="00BC79D8" w:rsidRPr="0070317C">
        <w:rPr>
          <w:rStyle w:val="charItals"/>
        </w:rPr>
        <w:t>residential tenancy agreement</w:t>
      </w:r>
      <w:r w:rsidR="00BC79D8" w:rsidRPr="0070317C">
        <w:t>?</w:t>
      </w:r>
      <w:r w:rsidR="00BC79D8" w:rsidRPr="0070317C">
        <w:br/>
      </w:r>
      <w:r w:rsidR="00D06F13" w:rsidRPr="0070317C">
        <w:t>S</w:t>
      </w:r>
      <w:r w:rsidR="00BC79D8" w:rsidRPr="0070317C">
        <w:t>ection 6A (1)</w:t>
      </w:r>
      <w:bookmarkEnd w:id="11"/>
    </w:p>
    <w:p w14:paraId="6BC18603" w14:textId="77777777" w:rsidR="00BC79D8" w:rsidRPr="0070317C" w:rsidRDefault="00D6690B" w:rsidP="00D6690B">
      <w:pPr>
        <w:pStyle w:val="direction"/>
      </w:pPr>
      <w:r w:rsidRPr="0070317C">
        <w:t>substitute</w:t>
      </w:r>
    </w:p>
    <w:p w14:paraId="7A3F1E71" w14:textId="77777777" w:rsidR="00D6690B" w:rsidRPr="0070317C" w:rsidRDefault="00D6690B" w:rsidP="00D6690B">
      <w:pPr>
        <w:pStyle w:val="IMain"/>
      </w:pPr>
      <w:r w:rsidRPr="0070317C">
        <w:tab/>
        <w:t>(1)</w:t>
      </w:r>
      <w:r w:rsidRPr="0070317C">
        <w:tab/>
        <w:t xml:space="preserve">An agreement is a </w:t>
      </w:r>
      <w:r w:rsidRPr="0070317C">
        <w:rPr>
          <w:rStyle w:val="charBoldItals"/>
        </w:rPr>
        <w:t>residential tenancy agreement</w:t>
      </w:r>
      <w:r w:rsidRPr="0070317C">
        <w:t xml:space="preserve"> if—</w:t>
      </w:r>
    </w:p>
    <w:p w14:paraId="627FD0E8" w14:textId="77777777" w:rsidR="00D6690B" w:rsidRPr="0070317C" w:rsidRDefault="00D6690B" w:rsidP="00D6690B">
      <w:pPr>
        <w:pStyle w:val="Ipara"/>
      </w:pPr>
      <w:r w:rsidRPr="0070317C">
        <w:tab/>
        <w:t>(a)</w:t>
      </w:r>
      <w:r w:rsidRPr="0070317C">
        <w:tab/>
        <w:t>under the agreement—</w:t>
      </w:r>
    </w:p>
    <w:p w14:paraId="5C7E37DC" w14:textId="77777777" w:rsidR="00D6690B" w:rsidRPr="0070317C" w:rsidRDefault="002120B9" w:rsidP="002120B9">
      <w:pPr>
        <w:pStyle w:val="Isubpara"/>
      </w:pPr>
      <w:r w:rsidRPr="0070317C">
        <w:tab/>
        <w:t>(i)</w:t>
      </w:r>
      <w:r w:rsidRPr="0070317C">
        <w:tab/>
      </w:r>
      <w:r w:rsidR="00D6690B" w:rsidRPr="0070317C">
        <w:t xml:space="preserve">a person gives someone else (the </w:t>
      </w:r>
      <w:r w:rsidR="00D6690B" w:rsidRPr="0070317C">
        <w:rPr>
          <w:rStyle w:val="charBoldItals"/>
        </w:rPr>
        <w:t>tenant</w:t>
      </w:r>
      <w:r w:rsidR="00D6690B" w:rsidRPr="0070317C">
        <w:t>) a right to occupy stated premises; and</w:t>
      </w:r>
    </w:p>
    <w:p w14:paraId="7131DC1E" w14:textId="77777777" w:rsidR="00D6690B" w:rsidRPr="0070317C" w:rsidRDefault="00D6690B" w:rsidP="002120B9">
      <w:pPr>
        <w:pStyle w:val="Isubpara"/>
      </w:pPr>
      <w:r w:rsidRPr="0070317C">
        <w:tab/>
        <w:t>(</w:t>
      </w:r>
      <w:r w:rsidR="002120B9" w:rsidRPr="0070317C">
        <w:t>ii</w:t>
      </w:r>
      <w:r w:rsidRPr="0070317C">
        <w:t>)</w:t>
      </w:r>
      <w:r w:rsidRPr="0070317C">
        <w:tab/>
        <w:t>the premises are for the tenant to use as a home (whether or not together with other people); and</w:t>
      </w:r>
    </w:p>
    <w:p w14:paraId="20D66C01" w14:textId="77777777" w:rsidR="00BC79D8" w:rsidRPr="0070317C" w:rsidRDefault="00D6690B" w:rsidP="002120B9">
      <w:pPr>
        <w:pStyle w:val="Isubpara"/>
      </w:pPr>
      <w:r w:rsidRPr="0070317C">
        <w:tab/>
        <w:t>(</w:t>
      </w:r>
      <w:r w:rsidR="002120B9" w:rsidRPr="0070317C">
        <w:t>iii</w:t>
      </w:r>
      <w:r w:rsidRPr="0070317C">
        <w:t>)</w:t>
      </w:r>
      <w:r w:rsidRPr="0070317C">
        <w:tab/>
        <w:t>the right is given for value</w:t>
      </w:r>
      <w:r w:rsidR="002120B9" w:rsidRPr="0070317C">
        <w:t>; and</w:t>
      </w:r>
    </w:p>
    <w:p w14:paraId="5CFA14A4" w14:textId="77777777" w:rsidR="002120B9" w:rsidRPr="0070317C" w:rsidRDefault="002120B9" w:rsidP="003A7491">
      <w:pPr>
        <w:pStyle w:val="Ipara"/>
      </w:pPr>
      <w:r w:rsidRPr="0070317C">
        <w:tab/>
        <w:t>(b)</w:t>
      </w:r>
      <w:r w:rsidRPr="0070317C">
        <w:tab/>
        <w:t>the agreement is no</w:t>
      </w:r>
      <w:r w:rsidR="003A7491" w:rsidRPr="0070317C">
        <w:t xml:space="preserve">t </w:t>
      </w:r>
      <w:r w:rsidRPr="0070317C">
        <w:t>an occupancy agreement</w:t>
      </w:r>
      <w:r w:rsidR="003A7491" w:rsidRPr="0070317C">
        <w:t xml:space="preserve"> under section 71C.</w:t>
      </w:r>
    </w:p>
    <w:p w14:paraId="00F6ACDA" w14:textId="77777777" w:rsidR="00D06F13" w:rsidRPr="0070317C" w:rsidRDefault="0070317C" w:rsidP="0070317C">
      <w:pPr>
        <w:pStyle w:val="AH5Sec"/>
        <w:shd w:val="pct25" w:color="auto" w:fill="auto"/>
      </w:pPr>
      <w:bookmarkStart w:id="12" w:name="_Toc32321183"/>
      <w:r w:rsidRPr="0070317C">
        <w:rPr>
          <w:rStyle w:val="CharSectNo"/>
        </w:rPr>
        <w:t>7</w:t>
      </w:r>
      <w:r w:rsidRPr="0070317C">
        <w:tab/>
      </w:r>
      <w:r w:rsidR="00D06F13" w:rsidRPr="0070317C">
        <w:t>Section 6A (4), third dot point</w:t>
      </w:r>
      <w:bookmarkEnd w:id="12"/>
    </w:p>
    <w:p w14:paraId="1251CF6F" w14:textId="77777777" w:rsidR="00D06F13" w:rsidRPr="0070317C" w:rsidRDefault="00D06F13" w:rsidP="00D06F13">
      <w:pPr>
        <w:pStyle w:val="direction"/>
      </w:pPr>
      <w:r w:rsidRPr="0070317C">
        <w:t>omit</w:t>
      </w:r>
    </w:p>
    <w:p w14:paraId="678F9D8E" w14:textId="77777777" w:rsidR="00920F00" w:rsidRPr="0070317C" w:rsidRDefault="0070317C" w:rsidP="0070317C">
      <w:pPr>
        <w:pStyle w:val="AH5Sec"/>
        <w:shd w:val="pct25" w:color="auto" w:fill="auto"/>
      </w:pPr>
      <w:bookmarkStart w:id="13" w:name="_Toc32321184"/>
      <w:r w:rsidRPr="0070317C">
        <w:rPr>
          <w:rStyle w:val="CharSectNo"/>
        </w:rPr>
        <w:t>8</w:t>
      </w:r>
      <w:r w:rsidRPr="0070317C">
        <w:tab/>
      </w:r>
      <w:r w:rsidR="00920F00" w:rsidRPr="0070317C">
        <w:t>Certain people given right of occupation not tenants</w:t>
      </w:r>
      <w:r w:rsidR="00920F00" w:rsidRPr="0070317C">
        <w:br/>
        <w:t>Section 6E (1) (b)</w:t>
      </w:r>
      <w:bookmarkEnd w:id="13"/>
    </w:p>
    <w:p w14:paraId="0B9C39D4" w14:textId="77777777" w:rsidR="00920F00" w:rsidRPr="0070317C" w:rsidRDefault="00920F00" w:rsidP="00800C93">
      <w:pPr>
        <w:pStyle w:val="direction"/>
        <w:keepNext w:val="0"/>
      </w:pPr>
      <w:r w:rsidRPr="0070317C">
        <w:t>omit</w:t>
      </w:r>
    </w:p>
    <w:p w14:paraId="03631EBC" w14:textId="77777777" w:rsidR="00920F00" w:rsidRPr="0070317C" w:rsidRDefault="0070317C" w:rsidP="0070317C">
      <w:pPr>
        <w:pStyle w:val="AH5Sec"/>
        <w:shd w:val="pct25" w:color="auto" w:fill="auto"/>
      </w:pPr>
      <w:bookmarkStart w:id="14" w:name="_Toc32321185"/>
      <w:r w:rsidRPr="0070317C">
        <w:rPr>
          <w:rStyle w:val="CharSectNo"/>
        </w:rPr>
        <w:lastRenderedPageBreak/>
        <w:t>9</w:t>
      </w:r>
      <w:r w:rsidRPr="0070317C">
        <w:tab/>
      </w:r>
      <w:r w:rsidR="004E4CEC" w:rsidRPr="0070317C">
        <w:t>Certain kinds of premises mean no residential tenancy agreement</w:t>
      </w:r>
      <w:r w:rsidR="004E4CEC" w:rsidRPr="0070317C">
        <w:br/>
      </w:r>
      <w:r w:rsidR="00920F00" w:rsidRPr="0070317C">
        <w:t>Section 6</w:t>
      </w:r>
      <w:r w:rsidR="004E4CEC" w:rsidRPr="0070317C">
        <w:t>F</w:t>
      </w:r>
      <w:bookmarkEnd w:id="14"/>
    </w:p>
    <w:p w14:paraId="0C9EC5ED" w14:textId="77777777" w:rsidR="00101837" w:rsidRPr="0070317C" w:rsidRDefault="004E4CEC" w:rsidP="00800C93">
      <w:pPr>
        <w:pStyle w:val="direction"/>
        <w:keepNext w:val="0"/>
      </w:pPr>
      <w:r w:rsidRPr="0070317C">
        <w:t>omit</w:t>
      </w:r>
    </w:p>
    <w:p w14:paraId="421BCE58" w14:textId="77777777" w:rsidR="00DE5C77" w:rsidRPr="0070317C" w:rsidRDefault="0070317C" w:rsidP="0070317C">
      <w:pPr>
        <w:pStyle w:val="AH5Sec"/>
        <w:shd w:val="pct25" w:color="auto" w:fill="auto"/>
      </w:pPr>
      <w:bookmarkStart w:id="15" w:name="_Toc32321186"/>
      <w:r w:rsidRPr="0070317C">
        <w:rPr>
          <w:rStyle w:val="CharSectNo"/>
        </w:rPr>
        <w:t>10</w:t>
      </w:r>
      <w:r w:rsidRPr="0070317C">
        <w:tab/>
      </w:r>
      <w:r w:rsidR="00DE5C77" w:rsidRPr="0070317C">
        <w:t>Rent or a bond only</w:t>
      </w:r>
      <w:r w:rsidR="00DE5C77" w:rsidRPr="0070317C">
        <w:br/>
        <w:t>New section 15 (2) (aa) and (ab)</w:t>
      </w:r>
      <w:bookmarkEnd w:id="15"/>
    </w:p>
    <w:p w14:paraId="3FC7D71E" w14:textId="77777777" w:rsidR="00DE5C77" w:rsidRPr="0070317C" w:rsidRDefault="00DE5C77" w:rsidP="00DE5C77">
      <w:pPr>
        <w:pStyle w:val="direction"/>
      </w:pPr>
      <w:r w:rsidRPr="0070317C">
        <w:t>insert</w:t>
      </w:r>
    </w:p>
    <w:p w14:paraId="709468DF" w14:textId="77777777" w:rsidR="00DE5C77" w:rsidRPr="0070317C" w:rsidRDefault="00DE5C77" w:rsidP="00DE5C77">
      <w:pPr>
        <w:pStyle w:val="Ipara"/>
      </w:pPr>
      <w:r w:rsidRPr="0070317C">
        <w:tab/>
        <w:t>(aa)</w:t>
      </w:r>
      <w:r w:rsidRPr="0070317C">
        <w:tab/>
        <w:t xml:space="preserve">consenting to </w:t>
      </w:r>
      <w:r w:rsidR="00AD35BF" w:rsidRPr="0070317C">
        <w:t xml:space="preserve">a </w:t>
      </w:r>
      <w:r w:rsidRPr="0070317C">
        <w:t xml:space="preserve">co-tenant leaving </w:t>
      </w:r>
      <w:r w:rsidR="00AD35BF" w:rsidRPr="0070317C">
        <w:t xml:space="preserve">a </w:t>
      </w:r>
      <w:r w:rsidRPr="0070317C">
        <w:t>residential tenancy agreement under section 35A; or</w:t>
      </w:r>
    </w:p>
    <w:p w14:paraId="08881E17" w14:textId="77777777" w:rsidR="00DE5C77" w:rsidRPr="0070317C" w:rsidRDefault="00DE5C77" w:rsidP="00DE5C77">
      <w:pPr>
        <w:pStyle w:val="Ipara"/>
      </w:pPr>
      <w:r w:rsidRPr="0070317C">
        <w:tab/>
        <w:t>(ab)</w:t>
      </w:r>
      <w:r w:rsidRPr="0070317C">
        <w:tab/>
        <w:t>consenting to a person becoming a co-tenant under section 35</w:t>
      </w:r>
      <w:r w:rsidR="00303D4B" w:rsidRPr="0070317C">
        <w:t>C</w:t>
      </w:r>
      <w:r w:rsidRPr="0070317C">
        <w:t>; or</w:t>
      </w:r>
    </w:p>
    <w:p w14:paraId="68F6FB32" w14:textId="77777777" w:rsidR="00656EAA" w:rsidRPr="0070317C" w:rsidRDefault="0070317C" w:rsidP="0070317C">
      <w:pPr>
        <w:pStyle w:val="AH5Sec"/>
        <w:shd w:val="pct25" w:color="auto" w:fill="auto"/>
      </w:pPr>
      <w:bookmarkStart w:id="16" w:name="_Toc32321187"/>
      <w:r w:rsidRPr="0070317C">
        <w:rPr>
          <w:rStyle w:val="CharSectNo"/>
        </w:rPr>
        <w:t>11</w:t>
      </w:r>
      <w:r w:rsidRPr="0070317C">
        <w:tab/>
      </w:r>
      <w:r w:rsidR="00656EAA" w:rsidRPr="0070317C">
        <w:t>Bond release application—</w:t>
      </w:r>
      <w:r w:rsidR="00A94820" w:rsidRPr="0070317C">
        <w:t>lessor’s obligation</w:t>
      </w:r>
      <w:r w:rsidR="00303D4B" w:rsidRPr="0070317C">
        <w:t>s</w:t>
      </w:r>
      <w:r w:rsidR="00656EAA" w:rsidRPr="0070317C">
        <w:br/>
        <w:t>New section 34 (3)</w:t>
      </w:r>
      <w:bookmarkEnd w:id="16"/>
    </w:p>
    <w:p w14:paraId="660F98C2" w14:textId="77777777" w:rsidR="00656EAA" w:rsidRPr="0070317C" w:rsidRDefault="00656EAA" w:rsidP="00656EAA">
      <w:pPr>
        <w:pStyle w:val="direction"/>
      </w:pPr>
      <w:r w:rsidRPr="0070317C">
        <w:t>insert</w:t>
      </w:r>
    </w:p>
    <w:p w14:paraId="7F644462" w14:textId="77777777" w:rsidR="00656EAA" w:rsidRPr="0070317C" w:rsidRDefault="00656EAA" w:rsidP="00656EAA">
      <w:pPr>
        <w:pStyle w:val="IMain"/>
      </w:pPr>
      <w:r w:rsidRPr="0070317C">
        <w:tab/>
        <w:t>(3)</w:t>
      </w:r>
      <w:r w:rsidRPr="0070317C">
        <w:tab/>
      </w:r>
      <w:r w:rsidR="00F450C9" w:rsidRPr="0070317C">
        <w:t>If there are 1 or more co-tenants, t</w:t>
      </w:r>
      <w:r w:rsidRPr="0070317C">
        <w:t>he lessor’s obligation</w:t>
      </w:r>
      <w:r w:rsidR="00F450C9" w:rsidRPr="0070317C">
        <w:t xml:space="preserve"> under subsection (1) is satisfied if the lessor gives the bond release application form to 1 of the co-tenants.</w:t>
      </w:r>
    </w:p>
    <w:p w14:paraId="44A051BF" w14:textId="77777777" w:rsidR="00F450C9" w:rsidRPr="0070317C" w:rsidRDefault="0070317C" w:rsidP="0070317C">
      <w:pPr>
        <w:pStyle w:val="AH5Sec"/>
        <w:shd w:val="pct25" w:color="auto" w:fill="auto"/>
      </w:pPr>
      <w:bookmarkStart w:id="17" w:name="_Toc32321188"/>
      <w:r w:rsidRPr="0070317C">
        <w:rPr>
          <w:rStyle w:val="CharSectNo"/>
        </w:rPr>
        <w:t>12</w:t>
      </w:r>
      <w:r w:rsidRPr="0070317C">
        <w:tab/>
      </w:r>
      <w:r w:rsidR="00F450C9" w:rsidRPr="0070317C">
        <w:t>Bond release application—joint application</w:t>
      </w:r>
      <w:r w:rsidR="00F450C9" w:rsidRPr="0070317C">
        <w:br/>
      </w:r>
      <w:r w:rsidR="00937DF4" w:rsidRPr="0070317C">
        <w:t>Section 34A (1) (b)</w:t>
      </w:r>
      <w:bookmarkEnd w:id="17"/>
    </w:p>
    <w:p w14:paraId="556CE6D3" w14:textId="77777777" w:rsidR="00937DF4" w:rsidRPr="0070317C" w:rsidRDefault="00937DF4" w:rsidP="00937DF4">
      <w:pPr>
        <w:pStyle w:val="direction"/>
      </w:pPr>
      <w:r w:rsidRPr="0070317C">
        <w:t>substitute</w:t>
      </w:r>
    </w:p>
    <w:p w14:paraId="4DE00FB5" w14:textId="77777777" w:rsidR="00937DF4" w:rsidRPr="0070317C" w:rsidRDefault="00937DF4" w:rsidP="00937DF4">
      <w:pPr>
        <w:pStyle w:val="Ipara"/>
      </w:pPr>
      <w:r w:rsidRPr="0070317C">
        <w:tab/>
        <w:t>(b)</w:t>
      </w:r>
      <w:r w:rsidRPr="0070317C">
        <w:tab/>
        <w:t>the tenant or</w:t>
      </w:r>
      <w:r w:rsidR="007D729C" w:rsidRPr="0070317C">
        <w:t>,</w:t>
      </w:r>
      <w:r w:rsidRPr="0070317C">
        <w:t xml:space="preserve"> if there are co-tenants, each co-tenant signs the form.</w:t>
      </w:r>
    </w:p>
    <w:p w14:paraId="27C7718A" w14:textId="77777777" w:rsidR="00303D4B" w:rsidRPr="0070317C" w:rsidRDefault="0070317C" w:rsidP="00847C28">
      <w:pPr>
        <w:pStyle w:val="AH5Sec"/>
        <w:shd w:val="pct25" w:color="auto" w:fill="auto"/>
      </w:pPr>
      <w:bookmarkStart w:id="18" w:name="_Toc32321189"/>
      <w:r w:rsidRPr="0070317C">
        <w:rPr>
          <w:rStyle w:val="CharSectNo"/>
        </w:rPr>
        <w:lastRenderedPageBreak/>
        <w:t>13</w:t>
      </w:r>
      <w:r w:rsidRPr="0070317C">
        <w:tab/>
      </w:r>
      <w:r w:rsidR="00303D4B" w:rsidRPr="0070317C">
        <w:t>Section 34A (3) (a)</w:t>
      </w:r>
      <w:bookmarkEnd w:id="18"/>
    </w:p>
    <w:p w14:paraId="295B8C5B" w14:textId="77777777" w:rsidR="00303D4B" w:rsidRPr="0070317C" w:rsidRDefault="00303D4B" w:rsidP="00847C28">
      <w:pPr>
        <w:pStyle w:val="direction"/>
      </w:pPr>
      <w:r w:rsidRPr="0070317C">
        <w:t>omit</w:t>
      </w:r>
    </w:p>
    <w:p w14:paraId="38245501" w14:textId="77777777" w:rsidR="00303D4B" w:rsidRPr="0070317C" w:rsidRDefault="00303D4B" w:rsidP="00847C28">
      <w:pPr>
        <w:pStyle w:val="Amainreturn"/>
        <w:keepNext/>
      </w:pPr>
      <w:r w:rsidRPr="0070317C">
        <w:t>if there is more than 1 tenant, the tenants</w:t>
      </w:r>
    </w:p>
    <w:p w14:paraId="64DDC7F3" w14:textId="77777777" w:rsidR="00303D4B" w:rsidRPr="0070317C" w:rsidRDefault="00303D4B" w:rsidP="00303D4B">
      <w:pPr>
        <w:pStyle w:val="direction"/>
      </w:pPr>
      <w:r w:rsidRPr="0070317C">
        <w:t>substitute</w:t>
      </w:r>
    </w:p>
    <w:p w14:paraId="2B4CA526" w14:textId="77777777" w:rsidR="00303D4B" w:rsidRPr="0070317C" w:rsidRDefault="00303D4B" w:rsidP="00303D4B">
      <w:pPr>
        <w:pStyle w:val="Amainreturn"/>
      </w:pPr>
      <w:r w:rsidRPr="0070317C">
        <w:t>if there are co-tenants, the co-tenants</w:t>
      </w:r>
    </w:p>
    <w:p w14:paraId="36685D8D" w14:textId="77777777" w:rsidR="00BD6020" w:rsidRPr="0070317C" w:rsidRDefault="0070317C" w:rsidP="0070317C">
      <w:pPr>
        <w:pStyle w:val="AH5Sec"/>
        <w:shd w:val="pct25" w:color="auto" w:fill="auto"/>
      </w:pPr>
      <w:bookmarkStart w:id="19" w:name="_Toc32321190"/>
      <w:r w:rsidRPr="0070317C">
        <w:rPr>
          <w:rStyle w:val="CharSectNo"/>
        </w:rPr>
        <w:t>14</w:t>
      </w:r>
      <w:r w:rsidRPr="0070317C">
        <w:tab/>
      </w:r>
      <w:r w:rsidR="00BD6020" w:rsidRPr="0070317C">
        <w:t>Bond release application—application by tenant</w:t>
      </w:r>
      <w:r w:rsidR="00BD6020" w:rsidRPr="0070317C">
        <w:br/>
        <w:t>Section 34B (1) (c)</w:t>
      </w:r>
      <w:bookmarkEnd w:id="19"/>
    </w:p>
    <w:p w14:paraId="5CD9AD48" w14:textId="77777777" w:rsidR="00BD6020" w:rsidRPr="0070317C" w:rsidRDefault="00BD6020" w:rsidP="00BD6020">
      <w:pPr>
        <w:pStyle w:val="direction"/>
      </w:pPr>
      <w:r w:rsidRPr="0070317C">
        <w:t>substitute</w:t>
      </w:r>
    </w:p>
    <w:p w14:paraId="25D992CD" w14:textId="77777777" w:rsidR="00BD6020" w:rsidRPr="0070317C" w:rsidRDefault="00BD6020" w:rsidP="00BD6020">
      <w:pPr>
        <w:pStyle w:val="Ipara"/>
      </w:pPr>
      <w:r w:rsidRPr="0070317C">
        <w:tab/>
        <w:t>(c)</w:t>
      </w:r>
      <w:r w:rsidRPr="0070317C">
        <w:tab/>
        <w:t>if there are co-tenants—</w:t>
      </w:r>
    </w:p>
    <w:p w14:paraId="26E18EAD" w14:textId="77777777" w:rsidR="00BD6020" w:rsidRPr="0070317C" w:rsidRDefault="00BD6020" w:rsidP="00BD6020">
      <w:pPr>
        <w:pStyle w:val="Isubpara"/>
      </w:pPr>
      <w:r w:rsidRPr="0070317C">
        <w:tab/>
        <w:t>(i)</w:t>
      </w:r>
      <w:r w:rsidRPr="0070317C">
        <w:tab/>
      </w:r>
      <w:r w:rsidR="004B789E" w:rsidRPr="0070317C">
        <w:t xml:space="preserve">at least </w:t>
      </w:r>
      <w:r w:rsidRPr="0070317C">
        <w:t>1 of the co-tenants has received a bond release application form from the lessor under section 34; and</w:t>
      </w:r>
    </w:p>
    <w:p w14:paraId="362B5246" w14:textId="77777777" w:rsidR="00BD6020" w:rsidRPr="0070317C" w:rsidRDefault="00BD6020" w:rsidP="00BD6020">
      <w:pPr>
        <w:pStyle w:val="Isubpara"/>
      </w:pPr>
      <w:r w:rsidRPr="0070317C">
        <w:tab/>
        <w:t>(ii)</w:t>
      </w:r>
      <w:r w:rsidRPr="0070317C">
        <w:tab/>
        <w:t>the co-tenant making the application has signed the form; but</w:t>
      </w:r>
    </w:p>
    <w:p w14:paraId="37000F96" w14:textId="77777777" w:rsidR="00BD6020" w:rsidRPr="0070317C" w:rsidRDefault="00BD6020" w:rsidP="00BD6020">
      <w:pPr>
        <w:pStyle w:val="Isubpara"/>
      </w:pPr>
      <w:r w:rsidRPr="0070317C">
        <w:tab/>
        <w:t>(iii)</w:t>
      </w:r>
      <w:r w:rsidRPr="0070317C">
        <w:tab/>
        <w:t>at leas</w:t>
      </w:r>
      <w:r w:rsidR="004B789E" w:rsidRPr="0070317C">
        <w:t>t</w:t>
      </w:r>
      <w:r w:rsidRPr="0070317C">
        <w:t xml:space="preserve"> 1 co-tenant has not signed the form.</w:t>
      </w:r>
    </w:p>
    <w:p w14:paraId="1862C443" w14:textId="77777777" w:rsidR="007F1B91" w:rsidRPr="0070317C" w:rsidRDefault="0070317C" w:rsidP="0070317C">
      <w:pPr>
        <w:pStyle w:val="AH5Sec"/>
        <w:shd w:val="pct25" w:color="auto" w:fill="auto"/>
      </w:pPr>
      <w:bookmarkStart w:id="20" w:name="_Toc32321191"/>
      <w:r w:rsidRPr="0070317C">
        <w:rPr>
          <w:rStyle w:val="CharSectNo"/>
        </w:rPr>
        <w:t>15</w:t>
      </w:r>
      <w:r w:rsidRPr="0070317C">
        <w:tab/>
      </w:r>
      <w:r w:rsidR="007F1B91" w:rsidRPr="0070317C">
        <w:t>Section 34B (2) (a)</w:t>
      </w:r>
      <w:bookmarkEnd w:id="20"/>
    </w:p>
    <w:p w14:paraId="200FFEDB" w14:textId="77777777" w:rsidR="007F1B91" w:rsidRPr="0070317C" w:rsidRDefault="007F1B91" w:rsidP="007F1B91">
      <w:pPr>
        <w:pStyle w:val="direction"/>
      </w:pPr>
      <w:r w:rsidRPr="0070317C">
        <w:t>omit</w:t>
      </w:r>
    </w:p>
    <w:p w14:paraId="20B0DA19" w14:textId="77777777" w:rsidR="007F1B91" w:rsidRPr="0070317C" w:rsidRDefault="007F1B91" w:rsidP="007F1B91">
      <w:pPr>
        <w:pStyle w:val="Amainreturn"/>
      </w:pPr>
      <w:r w:rsidRPr="0070317C">
        <w:t>each tenant</w:t>
      </w:r>
    </w:p>
    <w:p w14:paraId="3BABAFF3" w14:textId="77777777" w:rsidR="007F1B91" w:rsidRPr="0070317C" w:rsidRDefault="007F1B91" w:rsidP="007F1B91">
      <w:pPr>
        <w:pStyle w:val="direction"/>
      </w:pPr>
      <w:r w:rsidRPr="0070317C">
        <w:t>substitute</w:t>
      </w:r>
    </w:p>
    <w:p w14:paraId="4489BFF7" w14:textId="77777777" w:rsidR="007F1B91" w:rsidRPr="0070317C" w:rsidRDefault="007F1B91" w:rsidP="007F1B91">
      <w:pPr>
        <w:pStyle w:val="Amainreturn"/>
      </w:pPr>
      <w:r w:rsidRPr="0070317C">
        <w:t>each co-tenant</w:t>
      </w:r>
    </w:p>
    <w:p w14:paraId="73963387" w14:textId="77777777" w:rsidR="00DE5C77" w:rsidRPr="0070317C" w:rsidRDefault="0070317C" w:rsidP="00847C28">
      <w:pPr>
        <w:pStyle w:val="AH5Sec"/>
        <w:shd w:val="pct25" w:color="auto" w:fill="auto"/>
      </w:pPr>
      <w:bookmarkStart w:id="21" w:name="_Toc32321192"/>
      <w:r w:rsidRPr="0070317C">
        <w:rPr>
          <w:rStyle w:val="CharSectNo"/>
        </w:rPr>
        <w:lastRenderedPageBreak/>
        <w:t>16</w:t>
      </w:r>
      <w:r w:rsidRPr="0070317C">
        <w:tab/>
      </w:r>
      <w:r w:rsidR="00DE5C77" w:rsidRPr="0070317C">
        <w:t>New section 34F</w:t>
      </w:r>
      <w:bookmarkEnd w:id="21"/>
    </w:p>
    <w:p w14:paraId="6443C936" w14:textId="77777777" w:rsidR="00DE5C77" w:rsidRPr="0070317C" w:rsidRDefault="00DE5C77" w:rsidP="00847C28">
      <w:pPr>
        <w:pStyle w:val="direction"/>
      </w:pPr>
      <w:r w:rsidRPr="0070317C">
        <w:t>insert</w:t>
      </w:r>
    </w:p>
    <w:p w14:paraId="178B1089" w14:textId="77777777" w:rsidR="00DE5C77" w:rsidRPr="0070317C" w:rsidRDefault="00DE5C77" w:rsidP="00847C28">
      <w:pPr>
        <w:pStyle w:val="IH5Sec"/>
      </w:pPr>
      <w:r w:rsidRPr="0070317C">
        <w:t>34F</w:t>
      </w:r>
      <w:r w:rsidRPr="0070317C">
        <w:tab/>
        <w:t>Bond release application—discrepancy in named tenant</w:t>
      </w:r>
    </w:p>
    <w:p w14:paraId="4D060B2B" w14:textId="77777777" w:rsidR="00DE5C77" w:rsidRPr="0070317C" w:rsidRDefault="00DE5C77" w:rsidP="00847C28">
      <w:pPr>
        <w:pStyle w:val="IMain"/>
        <w:keepNext/>
      </w:pPr>
      <w:r w:rsidRPr="0070317C">
        <w:tab/>
        <w:t>(1)</w:t>
      </w:r>
      <w:r w:rsidRPr="0070317C">
        <w:tab/>
        <w:t>This section applies if—</w:t>
      </w:r>
    </w:p>
    <w:p w14:paraId="7BE761AF" w14:textId="77777777" w:rsidR="00DE5C77" w:rsidRPr="0070317C" w:rsidRDefault="00DE5C77" w:rsidP="00DE5C77">
      <w:pPr>
        <w:pStyle w:val="Ipara"/>
      </w:pPr>
      <w:r w:rsidRPr="0070317C">
        <w:tab/>
        <w:t>(a)</w:t>
      </w:r>
      <w:r w:rsidRPr="0070317C">
        <w:tab/>
        <w:t>a lessor or tenant makes a bond release application to the Territory in relation to a residential tenancy agreement; and</w:t>
      </w:r>
    </w:p>
    <w:p w14:paraId="769B7A72" w14:textId="77777777" w:rsidR="00DE5C77" w:rsidRPr="0070317C" w:rsidRDefault="00DE5C77" w:rsidP="00DE5C77">
      <w:pPr>
        <w:pStyle w:val="Ipara"/>
      </w:pPr>
      <w:r w:rsidRPr="0070317C">
        <w:tab/>
        <w:t>(b)</w:t>
      </w:r>
      <w:r w:rsidRPr="0070317C">
        <w:tab/>
      </w:r>
      <w:r w:rsidR="008F34E5" w:rsidRPr="0070317C">
        <w:t>the</w:t>
      </w:r>
      <w:r w:rsidRPr="0070317C">
        <w:t xml:space="preserve"> name of </w:t>
      </w:r>
      <w:r w:rsidR="0036068B" w:rsidRPr="0070317C">
        <w:t>a</w:t>
      </w:r>
      <w:r w:rsidRPr="0070317C">
        <w:t xml:space="preserve"> tenant in the bond </w:t>
      </w:r>
      <w:r w:rsidR="001947E6" w:rsidRPr="0070317C">
        <w:t xml:space="preserve">release </w:t>
      </w:r>
      <w:r w:rsidRPr="0070317C">
        <w:t>application do</w:t>
      </w:r>
      <w:r w:rsidR="008F34E5" w:rsidRPr="0070317C">
        <w:t>es</w:t>
      </w:r>
      <w:r w:rsidRPr="0070317C">
        <w:t xml:space="preserve"> not match the name of the tenant that ha</w:t>
      </w:r>
      <w:r w:rsidR="008F34E5" w:rsidRPr="0070317C">
        <w:t>s</w:t>
      </w:r>
      <w:r w:rsidRPr="0070317C">
        <w:t xml:space="preserve"> been notified to the Territory under</w:t>
      </w:r>
      <w:r w:rsidR="001947E6" w:rsidRPr="0070317C">
        <w:t>—</w:t>
      </w:r>
    </w:p>
    <w:p w14:paraId="45B55BA1" w14:textId="77777777" w:rsidR="00DE5C77" w:rsidRPr="0070317C" w:rsidRDefault="00DE5C77" w:rsidP="00DE5C77">
      <w:pPr>
        <w:pStyle w:val="Isubpara"/>
      </w:pPr>
      <w:r w:rsidRPr="0070317C">
        <w:tab/>
        <w:t>(i)</w:t>
      </w:r>
      <w:r w:rsidRPr="0070317C">
        <w:tab/>
        <w:t>section 23 (3) (b) (Deposit of bond by lessor);</w:t>
      </w:r>
      <w:r w:rsidR="001947E6" w:rsidRPr="0070317C">
        <w:t xml:space="preserve"> or</w:t>
      </w:r>
    </w:p>
    <w:p w14:paraId="5988FED6" w14:textId="77777777" w:rsidR="00DE5C77" w:rsidRPr="0070317C" w:rsidRDefault="00DE5C77" w:rsidP="00DE5C77">
      <w:pPr>
        <w:pStyle w:val="Isubpara"/>
      </w:pPr>
      <w:r w:rsidRPr="0070317C">
        <w:tab/>
        <w:t>(ii)</w:t>
      </w:r>
      <w:r w:rsidRPr="0070317C">
        <w:tab/>
        <w:t>section 24 (1) (b) (Deposit of bond by tenant);</w:t>
      </w:r>
      <w:r w:rsidR="001947E6" w:rsidRPr="0070317C">
        <w:t xml:space="preserve"> or</w:t>
      </w:r>
    </w:p>
    <w:p w14:paraId="77A53F4A" w14:textId="77777777" w:rsidR="00DE5C77" w:rsidRPr="0070317C" w:rsidRDefault="00DE5C77" w:rsidP="00DE5C77">
      <w:pPr>
        <w:pStyle w:val="Isubpara"/>
      </w:pPr>
      <w:r w:rsidRPr="0070317C">
        <w:tab/>
        <w:t>(iii)</w:t>
      </w:r>
      <w:r w:rsidRPr="0070317C">
        <w:tab/>
        <w:t>section</w:t>
      </w:r>
      <w:r w:rsidR="00656EAA" w:rsidRPr="0070317C">
        <w:t> </w:t>
      </w:r>
      <w:r w:rsidRPr="0070317C">
        <w:t>35B</w:t>
      </w:r>
      <w:r w:rsidR="00656EAA" w:rsidRPr="0070317C">
        <w:t> </w:t>
      </w:r>
      <w:r w:rsidRPr="0070317C">
        <w:t>(2)</w:t>
      </w:r>
      <w:r w:rsidR="00656EAA" w:rsidRPr="0070317C">
        <w:t> </w:t>
      </w:r>
      <w:r w:rsidRPr="0070317C">
        <w:t xml:space="preserve">(b) (Repayment of bond to </w:t>
      </w:r>
      <w:r w:rsidRPr="0070317C">
        <w:rPr>
          <w:lang w:val="en" w:eastAsia="en-AU"/>
        </w:rPr>
        <w:t>leaving</w:t>
      </w:r>
      <w:r w:rsidRPr="0070317C">
        <w:t xml:space="preserve"> co</w:t>
      </w:r>
      <w:r w:rsidRPr="0070317C">
        <w:noBreakHyphen/>
        <w:t>tenant);</w:t>
      </w:r>
      <w:r w:rsidR="001947E6" w:rsidRPr="0070317C">
        <w:t xml:space="preserve"> or</w:t>
      </w:r>
    </w:p>
    <w:p w14:paraId="1979FB23" w14:textId="77777777" w:rsidR="00DE5C77" w:rsidRPr="0070317C" w:rsidRDefault="00DE5C77" w:rsidP="00DE5C77">
      <w:pPr>
        <w:pStyle w:val="Isubpara"/>
      </w:pPr>
      <w:r w:rsidRPr="0070317C">
        <w:tab/>
        <w:t>(iv)</w:t>
      </w:r>
      <w:r w:rsidRPr="0070317C">
        <w:tab/>
        <w:t>section 35</w:t>
      </w:r>
      <w:r w:rsidR="009B0605" w:rsidRPr="0070317C">
        <w:t>F</w:t>
      </w:r>
      <w:r w:rsidRPr="0070317C">
        <w:t xml:space="preserve"> (2) (b)</w:t>
      </w:r>
      <w:r w:rsidR="00AD35BF" w:rsidRPr="0070317C">
        <w:t xml:space="preserve"> (Payment of bond by new co-tenant)</w:t>
      </w:r>
      <w:r w:rsidRPr="0070317C">
        <w:t>.</w:t>
      </w:r>
    </w:p>
    <w:p w14:paraId="77A42DED" w14:textId="77777777" w:rsidR="00DE5C77" w:rsidRPr="0070317C" w:rsidRDefault="00DE5C77" w:rsidP="00DE5C77">
      <w:pPr>
        <w:pStyle w:val="IMain"/>
      </w:pPr>
      <w:r w:rsidRPr="0070317C">
        <w:tab/>
        <w:t>(2)</w:t>
      </w:r>
      <w:r w:rsidRPr="0070317C">
        <w:tab/>
        <w:t>The Territory may refer the bond release application to the ACAT.</w:t>
      </w:r>
    </w:p>
    <w:p w14:paraId="7082D07C" w14:textId="77777777" w:rsidR="00DE5C77" w:rsidRPr="0070317C" w:rsidRDefault="00DE5C77" w:rsidP="00DE5C77">
      <w:pPr>
        <w:pStyle w:val="IMain"/>
      </w:pPr>
      <w:r w:rsidRPr="0070317C">
        <w:tab/>
        <w:t>(3)</w:t>
      </w:r>
      <w:r w:rsidRPr="0070317C">
        <w:tab/>
        <w:t xml:space="preserve">If a bond release application is referred to </w:t>
      </w:r>
      <w:r w:rsidR="00AD35BF" w:rsidRPr="0070317C">
        <w:t xml:space="preserve">the </w:t>
      </w:r>
      <w:r w:rsidRPr="0070317C">
        <w:t>ACAT, the ACAT must—</w:t>
      </w:r>
    </w:p>
    <w:p w14:paraId="65851AC2" w14:textId="77777777" w:rsidR="00DE5C77" w:rsidRPr="0070317C" w:rsidRDefault="00DE5C77" w:rsidP="00DE5C77">
      <w:pPr>
        <w:pStyle w:val="Ipara"/>
      </w:pPr>
      <w:r w:rsidRPr="0070317C">
        <w:tab/>
        <w:t>(a)</w:t>
      </w:r>
      <w:r w:rsidRPr="0070317C">
        <w:tab/>
        <w:t>decide who is entitled to receive the released bond; and</w:t>
      </w:r>
    </w:p>
    <w:p w14:paraId="3E606C1A" w14:textId="77777777" w:rsidR="00DE5C77" w:rsidRPr="0070317C" w:rsidRDefault="00DE5C77" w:rsidP="00DE5C77">
      <w:pPr>
        <w:pStyle w:val="Ipara"/>
      </w:pPr>
      <w:r w:rsidRPr="0070317C">
        <w:tab/>
        <w:t>(b)</w:t>
      </w:r>
      <w:r w:rsidRPr="0070317C">
        <w:tab/>
        <w:t>make an order directing the Territory to release the bond in accordance with the decision.</w:t>
      </w:r>
    </w:p>
    <w:p w14:paraId="1420034E" w14:textId="77777777" w:rsidR="00DE5C77" w:rsidRPr="0070317C" w:rsidRDefault="0070317C" w:rsidP="0070317C">
      <w:pPr>
        <w:pStyle w:val="AH5Sec"/>
        <w:shd w:val="pct25" w:color="auto" w:fill="auto"/>
      </w:pPr>
      <w:bookmarkStart w:id="22" w:name="_Toc32321193"/>
      <w:r w:rsidRPr="0070317C">
        <w:rPr>
          <w:rStyle w:val="CharSectNo"/>
        </w:rPr>
        <w:lastRenderedPageBreak/>
        <w:t>17</w:t>
      </w:r>
      <w:r w:rsidRPr="0070317C">
        <w:tab/>
      </w:r>
      <w:r w:rsidR="00DE5C77" w:rsidRPr="0070317C">
        <w:t>New part 3A</w:t>
      </w:r>
      <w:bookmarkEnd w:id="22"/>
    </w:p>
    <w:p w14:paraId="2B2B835B" w14:textId="77777777" w:rsidR="00DE5C77" w:rsidRPr="0070317C" w:rsidRDefault="00DE5C77" w:rsidP="00DE5C77">
      <w:pPr>
        <w:pStyle w:val="direction"/>
      </w:pPr>
      <w:r w:rsidRPr="0070317C">
        <w:t>insert</w:t>
      </w:r>
    </w:p>
    <w:p w14:paraId="3F5B007E" w14:textId="77777777" w:rsidR="00DE5C77" w:rsidRPr="0070317C" w:rsidRDefault="00DE5C77" w:rsidP="00DE5C77">
      <w:pPr>
        <w:pStyle w:val="IH2Part"/>
      </w:pPr>
      <w:r w:rsidRPr="0070317C">
        <w:t>Part 3A</w:t>
      </w:r>
      <w:r w:rsidRPr="0070317C">
        <w:tab/>
        <w:t>Co-tenancies</w:t>
      </w:r>
    </w:p>
    <w:p w14:paraId="212EB1B9" w14:textId="77777777" w:rsidR="00DE5C77" w:rsidRPr="0070317C" w:rsidRDefault="00DE5C77" w:rsidP="00DE5C77">
      <w:pPr>
        <w:pStyle w:val="IH5Sec"/>
      </w:pPr>
      <w:r w:rsidRPr="0070317C">
        <w:t>35A</w:t>
      </w:r>
      <w:r w:rsidRPr="0070317C">
        <w:tab/>
        <w:t>Co-tenant may leave residential tenancy agreement</w:t>
      </w:r>
    </w:p>
    <w:p w14:paraId="1764D8C8" w14:textId="77777777" w:rsidR="00DE5C77" w:rsidRPr="0070317C" w:rsidRDefault="00DE5C77" w:rsidP="00DE5C77">
      <w:pPr>
        <w:pStyle w:val="IMain"/>
      </w:pPr>
      <w:r w:rsidRPr="0070317C">
        <w:tab/>
        <w:t>(1)</w:t>
      </w:r>
      <w:r w:rsidRPr="0070317C">
        <w:tab/>
        <w:t xml:space="preserve">A co-tenant (the </w:t>
      </w:r>
      <w:r w:rsidRPr="0070317C">
        <w:rPr>
          <w:rStyle w:val="charBoldItals"/>
        </w:rPr>
        <w:t>leaving co-tenant</w:t>
      </w:r>
      <w:r w:rsidRPr="0070317C">
        <w:t>) may stop being a party to a residential tenancy agreement only—</w:t>
      </w:r>
    </w:p>
    <w:p w14:paraId="12DD2A94" w14:textId="77777777" w:rsidR="00DE5C77" w:rsidRPr="0070317C" w:rsidRDefault="00DE5C77" w:rsidP="00DE5C77">
      <w:pPr>
        <w:pStyle w:val="Ipara"/>
      </w:pPr>
      <w:r w:rsidRPr="0070317C">
        <w:tab/>
        <w:t>(a)</w:t>
      </w:r>
      <w:r w:rsidRPr="0070317C">
        <w:tab/>
        <w:t>with the consent of the lessor and each remaining co-tenant under the agreement; or</w:t>
      </w:r>
    </w:p>
    <w:p w14:paraId="49B732E7" w14:textId="77777777" w:rsidR="00DE5C77" w:rsidRPr="0070317C" w:rsidRDefault="00DE5C77" w:rsidP="00DE5C77">
      <w:pPr>
        <w:pStyle w:val="Ipara"/>
      </w:pPr>
      <w:r w:rsidRPr="0070317C">
        <w:tab/>
        <w:t>(b)</w:t>
      </w:r>
      <w:r w:rsidRPr="0070317C">
        <w:tab/>
        <w:t>by order of the ACAT under section 35</w:t>
      </w:r>
      <w:r w:rsidR="00382F25" w:rsidRPr="0070317C">
        <w:t>G</w:t>
      </w:r>
      <w:r w:rsidRPr="0070317C">
        <w:t xml:space="preserve"> (1) (a) or (</w:t>
      </w:r>
      <w:r w:rsidR="006F782B" w:rsidRPr="0070317C">
        <w:t>d</w:t>
      </w:r>
      <w:r w:rsidRPr="0070317C">
        <w:t>).</w:t>
      </w:r>
    </w:p>
    <w:p w14:paraId="1428982B" w14:textId="77777777" w:rsidR="00DE5C77" w:rsidRPr="0070317C" w:rsidRDefault="00DE5C77" w:rsidP="00DE5C77">
      <w:pPr>
        <w:pStyle w:val="IMain"/>
      </w:pPr>
      <w:r w:rsidRPr="0070317C">
        <w:tab/>
        <w:t>(2)</w:t>
      </w:r>
      <w:r w:rsidRPr="0070317C">
        <w:tab/>
        <w:t>For subsection (1) (a), the leaving co-tenant must seek the consent of the lessor and each remaining co-tenant—</w:t>
      </w:r>
    </w:p>
    <w:p w14:paraId="746271B3" w14:textId="77777777" w:rsidR="00DE5C77" w:rsidRPr="0070317C" w:rsidRDefault="00DE5C77" w:rsidP="00DE5C77">
      <w:pPr>
        <w:pStyle w:val="Ipara"/>
      </w:pPr>
      <w:r w:rsidRPr="0070317C">
        <w:tab/>
        <w:t>(a)</w:t>
      </w:r>
      <w:r w:rsidRPr="0070317C">
        <w:tab/>
        <w:t xml:space="preserve">by notice in writing (the </w:t>
      </w:r>
      <w:r w:rsidRPr="0070317C">
        <w:rPr>
          <w:rStyle w:val="charBoldItals"/>
        </w:rPr>
        <w:t>consent application</w:t>
      </w:r>
      <w:r w:rsidRPr="0070317C">
        <w:t>); and</w:t>
      </w:r>
    </w:p>
    <w:p w14:paraId="7FB0D630" w14:textId="77777777" w:rsidR="00DE5C77" w:rsidRPr="0070317C" w:rsidRDefault="00DE5C77" w:rsidP="00DE5C77">
      <w:pPr>
        <w:pStyle w:val="Ipara"/>
      </w:pPr>
      <w:r w:rsidRPr="0070317C">
        <w:tab/>
        <w:t>(b)</w:t>
      </w:r>
      <w:r w:rsidRPr="0070317C">
        <w:tab/>
        <w:t xml:space="preserve">at least 21 days before the day the leaving co-tenant intends to stop </w:t>
      </w:r>
      <w:r w:rsidR="001947E6" w:rsidRPr="0070317C">
        <w:t>being a party to the residential tenancy agreement</w:t>
      </w:r>
      <w:r w:rsidRPr="0070317C">
        <w:t xml:space="preserve"> (the </w:t>
      </w:r>
      <w:r w:rsidRPr="0070317C">
        <w:rPr>
          <w:rStyle w:val="charBoldItals"/>
        </w:rPr>
        <w:t>proposed</w:t>
      </w:r>
      <w:r w:rsidRPr="0070317C">
        <w:t xml:space="preserve"> </w:t>
      </w:r>
      <w:r w:rsidRPr="0070317C">
        <w:rPr>
          <w:rStyle w:val="charBoldItals"/>
        </w:rPr>
        <w:t>leaving day</w:t>
      </w:r>
      <w:r w:rsidRPr="0070317C">
        <w:t>).</w:t>
      </w:r>
    </w:p>
    <w:p w14:paraId="3E15DA83" w14:textId="77777777" w:rsidR="00DE5C77" w:rsidRPr="0070317C" w:rsidRDefault="00DE5C77" w:rsidP="00DE5C77">
      <w:pPr>
        <w:pStyle w:val="IMain"/>
      </w:pPr>
      <w:r w:rsidRPr="0070317C">
        <w:tab/>
        <w:t>(3)</w:t>
      </w:r>
      <w:r w:rsidRPr="0070317C">
        <w:tab/>
        <w:t>The lessor and each remaining co-tenant—</w:t>
      </w:r>
    </w:p>
    <w:p w14:paraId="676C9CCB" w14:textId="77777777" w:rsidR="00DE5C77" w:rsidRPr="0070317C" w:rsidRDefault="00DE5C77" w:rsidP="00DE5C77">
      <w:pPr>
        <w:pStyle w:val="Ipara"/>
      </w:pPr>
      <w:r w:rsidRPr="0070317C">
        <w:tab/>
        <w:t>(a)</w:t>
      </w:r>
      <w:r w:rsidRPr="0070317C">
        <w:tab/>
        <w:t>if the proposed leaving day is during the term of a fixed term agreement—may refuse consent whether or not it is reasonable to do so; but</w:t>
      </w:r>
    </w:p>
    <w:p w14:paraId="4CC80358" w14:textId="77777777" w:rsidR="00DE5C77" w:rsidRPr="0070317C" w:rsidRDefault="00DE5C77" w:rsidP="00DE5C77">
      <w:pPr>
        <w:pStyle w:val="Ipara"/>
      </w:pPr>
      <w:r w:rsidRPr="0070317C">
        <w:tab/>
        <w:t>(b)</w:t>
      </w:r>
      <w:r w:rsidRPr="0070317C">
        <w:tab/>
      </w:r>
      <w:r w:rsidR="003A6C85" w:rsidRPr="0070317C">
        <w:t>if the residential tenancy agreement is a periodic agreement on the proposed leaving day</w:t>
      </w:r>
      <w:r w:rsidRPr="0070317C">
        <w:t>—must not unreasonably refuse consent.</w:t>
      </w:r>
    </w:p>
    <w:p w14:paraId="30351A84" w14:textId="77777777" w:rsidR="00DE5C77" w:rsidRPr="0070317C" w:rsidRDefault="00DE5C77" w:rsidP="00DE5C77">
      <w:pPr>
        <w:pStyle w:val="IMain"/>
      </w:pPr>
      <w:r w:rsidRPr="0070317C">
        <w:tab/>
        <w:t>(4)</w:t>
      </w:r>
      <w:r w:rsidRPr="0070317C">
        <w:tab/>
        <w:t xml:space="preserve">For subsection (1) (a), the lessor and </w:t>
      </w:r>
      <w:r w:rsidR="00D1638A" w:rsidRPr="0070317C">
        <w:t>a</w:t>
      </w:r>
      <w:r w:rsidRPr="0070317C">
        <w:t xml:space="preserve"> remaining co-tenant is taken to consent if—</w:t>
      </w:r>
    </w:p>
    <w:p w14:paraId="004701BD" w14:textId="77777777" w:rsidR="00DE5C77" w:rsidRPr="0070317C" w:rsidRDefault="00DE5C77" w:rsidP="00DE5C77">
      <w:pPr>
        <w:pStyle w:val="Ipara"/>
      </w:pPr>
      <w:r w:rsidRPr="0070317C">
        <w:tab/>
        <w:t>(a)</w:t>
      </w:r>
      <w:r w:rsidRPr="0070317C">
        <w:tab/>
      </w:r>
      <w:r w:rsidR="00AA46FB" w:rsidRPr="0070317C">
        <w:t xml:space="preserve">they do </w:t>
      </w:r>
      <w:r w:rsidRPr="0070317C">
        <w:t>not respond to the leaving co</w:t>
      </w:r>
      <w:r w:rsidRPr="0070317C">
        <w:noBreakHyphen/>
        <w:t xml:space="preserve">tenant within 21 days </w:t>
      </w:r>
      <w:r w:rsidR="003A6C85" w:rsidRPr="0070317C">
        <w:t>after</w:t>
      </w:r>
      <w:r w:rsidRPr="0070317C">
        <w:t xml:space="preserve"> receiving the consent application; and</w:t>
      </w:r>
    </w:p>
    <w:p w14:paraId="3F1A6396" w14:textId="77777777" w:rsidR="00DE5C77" w:rsidRPr="0070317C" w:rsidRDefault="00DE5C77" w:rsidP="00DE5C77">
      <w:pPr>
        <w:pStyle w:val="Ipara"/>
      </w:pPr>
      <w:r w:rsidRPr="0070317C">
        <w:lastRenderedPageBreak/>
        <w:tab/>
        <w:t>(b)</w:t>
      </w:r>
      <w:r w:rsidRPr="0070317C">
        <w:tab/>
      </w:r>
      <w:r w:rsidR="00A83479" w:rsidRPr="0070317C">
        <w:t>in the circumstances mentioned in subsection (3) (b)—</w:t>
      </w:r>
      <w:r w:rsidR="00665DE3" w:rsidRPr="0070317C">
        <w:t xml:space="preserve">they do </w:t>
      </w:r>
      <w:r w:rsidRPr="0070317C">
        <w:t xml:space="preserve">not apply to the ACAT, within 21 days </w:t>
      </w:r>
      <w:r w:rsidR="003A6C85" w:rsidRPr="0070317C">
        <w:t>after</w:t>
      </w:r>
      <w:r w:rsidRPr="0070317C">
        <w:t xml:space="preserve"> receiving the consent application, for an order under section</w:t>
      </w:r>
      <w:r w:rsidR="001479A0" w:rsidRPr="0070317C">
        <w:t> </w:t>
      </w:r>
      <w:r w:rsidRPr="0070317C">
        <w:t>35</w:t>
      </w:r>
      <w:r w:rsidR="00382F25" w:rsidRPr="0070317C">
        <w:t>G</w:t>
      </w:r>
      <w:r w:rsidR="001479A0" w:rsidRPr="0070317C">
        <w:t> </w:t>
      </w:r>
      <w:r w:rsidRPr="0070317C">
        <w:t>(1)</w:t>
      </w:r>
      <w:r w:rsidR="001479A0" w:rsidRPr="0070317C">
        <w:t> </w:t>
      </w:r>
      <w:r w:rsidRPr="0070317C">
        <w:t>(b)</w:t>
      </w:r>
      <w:r w:rsidR="001479A0" w:rsidRPr="0070317C">
        <w:t xml:space="preserve"> or</w:t>
      </w:r>
      <w:r w:rsidR="006B2A33">
        <w:t> </w:t>
      </w:r>
      <w:r w:rsidR="001479A0" w:rsidRPr="0070317C">
        <w:t>(2) (a)</w:t>
      </w:r>
      <w:r w:rsidRPr="0070317C">
        <w:t xml:space="preserve"> to refuse consent.</w:t>
      </w:r>
    </w:p>
    <w:p w14:paraId="726B469C" w14:textId="77777777" w:rsidR="00DE5C77" w:rsidRPr="0070317C" w:rsidRDefault="00DE5C77" w:rsidP="00DE5C77">
      <w:pPr>
        <w:pStyle w:val="IMain"/>
      </w:pPr>
      <w:r w:rsidRPr="0070317C">
        <w:tab/>
        <w:t>(5)</w:t>
      </w:r>
      <w:r w:rsidRPr="0070317C">
        <w:tab/>
        <w:t xml:space="preserve">If </w:t>
      </w:r>
      <w:r w:rsidR="00022654" w:rsidRPr="0070317C">
        <w:t>consent is given to the</w:t>
      </w:r>
      <w:r w:rsidRPr="0070317C">
        <w:t xml:space="preserve"> leaving co-tenant stop</w:t>
      </w:r>
      <w:r w:rsidR="00022654" w:rsidRPr="0070317C">
        <w:t>ping</w:t>
      </w:r>
      <w:r w:rsidRPr="0070317C">
        <w:t xml:space="preserve"> being a party to a residential tenancy agreement—</w:t>
      </w:r>
    </w:p>
    <w:p w14:paraId="1880C416" w14:textId="77777777" w:rsidR="00DE5C77" w:rsidRPr="0070317C" w:rsidRDefault="00DE5C77" w:rsidP="00DE5C77">
      <w:pPr>
        <w:pStyle w:val="Ipara"/>
      </w:pPr>
      <w:r w:rsidRPr="0070317C">
        <w:tab/>
        <w:t>(a)</w:t>
      </w:r>
      <w:r w:rsidRPr="0070317C">
        <w:tab/>
        <w:t xml:space="preserve">the agreement continues between the lessor and the remaining co-tenants; </w:t>
      </w:r>
      <w:r w:rsidR="00AD35BF" w:rsidRPr="0070317C">
        <w:t>and</w:t>
      </w:r>
    </w:p>
    <w:p w14:paraId="1EEF4BBF" w14:textId="77777777" w:rsidR="00DE5C77" w:rsidRPr="0070317C" w:rsidRDefault="00DE5C77" w:rsidP="00DE5C77">
      <w:pPr>
        <w:pStyle w:val="Ipara"/>
      </w:pPr>
      <w:r w:rsidRPr="0070317C">
        <w:tab/>
        <w:t>(b)</w:t>
      </w:r>
      <w:r w:rsidRPr="0070317C">
        <w:tab/>
        <w:t>the leaving co-tenant’s rights and obligations under the agreement end.</w:t>
      </w:r>
    </w:p>
    <w:p w14:paraId="5D39AA5D" w14:textId="77777777" w:rsidR="00DE5C77" w:rsidRPr="0070317C" w:rsidRDefault="00DE5C77" w:rsidP="00DE5C77">
      <w:pPr>
        <w:pStyle w:val="IMain"/>
      </w:pPr>
      <w:r w:rsidRPr="0070317C">
        <w:tab/>
        <w:t>(6)</w:t>
      </w:r>
      <w:r w:rsidRPr="0070317C">
        <w:tab/>
        <w:t>For subsection (5), a co-tenant stops being a party to a residential tenancy agreement on—</w:t>
      </w:r>
    </w:p>
    <w:p w14:paraId="084992AC" w14:textId="77777777" w:rsidR="00DE5C77" w:rsidRPr="0070317C" w:rsidRDefault="00DE5C77" w:rsidP="00DE5C77">
      <w:pPr>
        <w:pStyle w:val="Ipara"/>
      </w:pPr>
      <w:r w:rsidRPr="0070317C">
        <w:tab/>
        <w:t>(a)</w:t>
      </w:r>
      <w:r w:rsidRPr="0070317C">
        <w:tab/>
        <w:t>the proposed leaving da</w:t>
      </w:r>
      <w:r w:rsidR="007158D8" w:rsidRPr="0070317C">
        <w:t>y</w:t>
      </w:r>
      <w:r w:rsidRPr="0070317C">
        <w:t xml:space="preserve"> or any other day agreed between the parties; or</w:t>
      </w:r>
    </w:p>
    <w:p w14:paraId="098C7EA5" w14:textId="77777777" w:rsidR="00DE5C77" w:rsidRPr="0070317C" w:rsidRDefault="00DE5C77" w:rsidP="00DE5C77">
      <w:pPr>
        <w:pStyle w:val="Ipara"/>
      </w:pPr>
      <w:r w:rsidRPr="0070317C">
        <w:tab/>
        <w:t>(b)</w:t>
      </w:r>
      <w:r w:rsidRPr="0070317C">
        <w:tab/>
        <w:t>if the ACAT makes an order mentioned in subsection (1) (b)—the day stated in the order.</w:t>
      </w:r>
    </w:p>
    <w:p w14:paraId="6DE32F38" w14:textId="77777777" w:rsidR="00DE5C77" w:rsidRPr="0070317C" w:rsidRDefault="00DE5C77" w:rsidP="00DE5C77">
      <w:pPr>
        <w:pStyle w:val="IH5Sec"/>
      </w:pPr>
      <w:r w:rsidRPr="0070317C">
        <w:t>35B</w:t>
      </w:r>
      <w:r w:rsidRPr="0070317C">
        <w:tab/>
        <w:t xml:space="preserve">Repayment of bond to </w:t>
      </w:r>
      <w:r w:rsidRPr="0070317C">
        <w:rPr>
          <w:lang w:val="en" w:eastAsia="en-AU"/>
        </w:rPr>
        <w:t>leaving</w:t>
      </w:r>
      <w:r w:rsidRPr="0070317C">
        <w:t xml:space="preserve"> co-tenant</w:t>
      </w:r>
    </w:p>
    <w:p w14:paraId="3F9768C9" w14:textId="77777777" w:rsidR="00DE5C77" w:rsidRPr="0070317C" w:rsidRDefault="00DE5C77" w:rsidP="00DE5C77">
      <w:pPr>
        <w:pStyle w:val="IMain"/>
      </w:pPr>
      <w:r w:rsidRPr="0070317C">
        <w:tab/>
        <w:t>(1)</w:t>
      </w:r>
      <w:r w:rsidRPr="0070317C">
        <w:tab/>
        <w:t>This section applies if—</w:t>
      </w:r>
    </w:p>
    <w:p w14:paraId="2E9BC129" w14:textId="77777777" w:rsidR="00DE5C77" w:rsidRPr="0070317C" w:rsidRDefault="00DE5C77" w:rsidP="00DE5C77">
      <w:pPr>
        <w:pStyle w:val="Ipara"/>
      </w:pPr>
      <w:r w:rsidRPr="0070317C">
        <w:tab/>
        <w:t>(a)</w:t>
      </w:r>
      <w:r w:rsidRPr="0070317C">
        <w:tab/>
        <w:t xml:space="preserve">a co-tenant (the </w:t>
      </w:r>
      <w:r w:rsidRPr="0070317C">
        <w:rPr>
          <w:rStyle w:val="charBoldItals"/>
        </w:rPr>
        <w:t>leaving co-tenant</w:t>
      </w:r>
      <w:r w:rsidRPr="0070317C">
        <w:t xml:space="preserve">) </w:t>
      </w:r>
      <w:r w:rsidR="00576BF2" w:rsidRPr="0070317C">
        <w:t xml:space="preserve">stops being a party to </w:t>
      </w:r>
      <w:r w:rsidRPr="0070317C">
        <w:t>a residential tenancy agreement—</w:t>
      </w:r>
    </w:p>
    <w:p w14:paraId="284E0914" w14:textId="77777777" w:rsidR="00DE5C77" w:rsidRPr="0070317C" w:rsidRDefault="00DE5C77" w:rsidP="00DE5C77">
      <w:pPr>
        <w:pStyle w:val="Isubpara"/>
      </w:pPr>
      <w:r w:rsidRPr="0070317C">
        <w:tab/>
        <w:t>(i)</w:t>
      </w:r>
      <w:r w:rsidRPr="0070317C">
        <w:tab/>
        <w:t>under section 35A; or</w:t>
      </w:r>
    </w:p>
    <w:p w14:paraId="54BF0D2B" w14:textId="77777777" w:rsidR="00DE5C77" w:rsidRPr="0070317C" w:rsidRDefault="00DE5C77" w:rsidP="00DE5C77">
      <w:pPr>
        <w:pStyle w:val="Isubpara"/>
      </w:pPr>
      <w:r w:rsidRPr="0070317C">
        <w:tab/>
        <w:t>(ii)</w:t>
      </w:r>
      <w:r w:rsidRPr="0070317C">
        <w:tab/>
        <w:t>because of an ACAT order under section 35</w:t>
      </w:r>
      <w:r w:rsidR="00382F25" w:rsidRPr="0070317C">
        <w:t>G</w:t>
      </w:r>
      <w:r w:rsidRPr="0070317C">
        <w:t xml:space="preserve"> (1) (a)</w:t>
      </w:r>
      <w:r w:rsidR="00933C7B" w:rsidRPr="0070317C">
        <w:t xml:space="preserve">, (c) (ii) </w:t>
      </w:r>
      <w:r w:rsidRPr="0070317C">
        <w:t>or (</w:t>
      </w:r>
      <w:r w:rsidR="00933C7B" w:rsidRPr="0070317C">
        <w:t>d</w:t>
      </w:r>
      <w:r w:rsidRPr="0070317C">
        <w:t>); and</w:t>
      </w:r>
    </w:p>
    <w:p w14:paraId="406920B5" w14:textId="77777777" w:rsidR="00DE5C77" w:rsidRPr="0070317C" w:rsidRDefault="00DE5C77" w:rsidP="00DE5C77">
      <w:pPr>
        <w:pStyle w:val="Ipara"/>
      </w:pPr>
      <w:r w:rsidRPr="0070317C">
        <w:tab/>
        <w:t>(b)</w:t>
      </w:r>
      <w:r w:rsidRPr="0070317C">
        <w:tab/>
        <w:t>a bond is held in relation to the agreement; and</w:t>
      </w:r>
    </w:p>
    <w:p w14:paraId="1C18A3C9" w14:textId="77777777" w:rsidR="00576BF2" w:rsidRPr="0070317C" w:rsidRDefault="00576BF2" w:rsidP="00576BF2">
      <w:pPr>
        <w:pStyle w:val="Ipara"/>
      </w:pPr>
      <w:r w:rsidRPr="0070317C">
        <w:tab/>
        <w:t>(c)</w:t>
      </w:r>
      <w:r w:rsidRPr="0070317C">
        <w:tab/>
        <w:t xml:space="preserve">the leaving co-tenant paid some or all of the bond </w:t>
      </w:r>
      <w:r w:rsidR="00181076" w:rsidRPr="0070317C">
        <w:t>in relation to the agreement; and</w:t>
      </w:r>
    </w:p>
    <w:p w14:paraId="78501C4D" w14:textId="77777777" w:rsidR="00DE5C77" w:rsidRPr="0070317C" w:rsidRDefault="00DE5C77" w:rsidP="00DE5C77">
      <w:pPr>
        <w:pStyle w:val="Ipara"/>
      </w:pPr>
      <w:r w:rsidRPr="0070317C">
        <w:tab/>
        <w:t>(</w:t>
      </w:r>
      <w:r w:rsidR="00576BF2" w:rsidRPr="0070317C">
        <w:t>d</w:t>
      </w:r>
      <w:r w:rsidRPr="0070317C">
        <w:t>)</w:t>
      </w:r>
      <w:r w:rsidRPr="0070317C">
        <w:tab/>
        <w:t xml:space="preserve">1 or more of the </w:t>
      </w:r>
      <w:r w:rsidR="00AD35BF" w:rsidRPr="0070317C">
        <w:t>remaining</w:t>
      </w:r>
      <w:r w:rsidRPr="0070317C">
        <w:t xml:space="preserve"> co-tenants continue to </w:t>
      </w:r>
      <w:r w:rsidR="00181076" w:rsidRPr="0070317C">
        <w:t>be a party</w:t>
      </w:r>
      <w:r w:rsidRPr="0070317C">
        <w:t xml:space="preserve"> </w:t>
      </w:r>
      <w:r w:rsidR="00181076" w:rsidRPr="0070317C">
        <w:t xml:space="preserve">to </w:t>
      </w:r>
      <w:r w:rsidRPr="0070317C">
        <w:t>the agreement.</w:t>
      </w:r>
    </w:p>
    <w:p w14:paraId="345A9E59" w14:textId="77777777" w:rsidR="00DE5C77" w:rsidRPr="0070317C" w:rsidRDefault="00DE5C77" w:rsidP="00DE5C77">
      <w:pPr>
        <w:pStyle w:val="IMain"/>
        <w:rPr>
          <w:color w:val="000000"/>
          <w:szCs w:val="24"/>
          <w:lang w:val="en" w:eastAsia="en-AU"/>
        </w:rPr>
      </w:pPr>
      <w:r w:rsidRPr="0070317C">
        <w:lastRenderedPageBreak/>
        <w:tab/>
        <w:t>(2)</w:t>
      </w:r>
      <w:r w:rsidRPr="0070317C">
        <w:tab/>
      </w:r>
      <w:r w:rsidRPr="0070317C">
        <w:rPr>
          <w:color w:val="000000"/>
          <w:szCs w:val="24"/>
          <w:lang w:val="en" w:eastAsia="en-AU"/>
        </w:rPr>
        <w:t>The remaining co-tenants must, not more than 14 days after the day the leaving co</w:t>
      </w:r>
      <w:r w:rsidRPr="0070317C">
        <w:rPr>
          <w:color w:val="000000"/>
          <w:szCs w:val="24"/>
          <w:lang w:val="en" w:eastAsia="en-AU"/>
        </w:rPr>
        <w:noBreakHyphen/>
        <w:t>tenant stops being a party to the residential tenancy agreement—</w:t>
      </w:r>
    </w:p>
    <w:p w14:paraId="13799739" w14:textId="77777777" w:rsidR="00DE5C77" w:rsidRPr="0070317C" w:rsidRDefault="00DE5C77" w:rsidP="00DE5C77">
      <w:pPr>
        <w:pStyle w:val="Ipara"/>
        <w:rPr>
          <w:lang w:val="en" w:eastAsia="en-AU"/>
        </w:rPr>
      </w:pPr>
      <w:r w:rsidRPr="0070317C">
        <w:rPr>
          <w:lang w:val="en" w:eastAsia="en-AU"/>
        </w:rPr>
        <w:tab/>
        <w:t>(a)</w:t>
      </w:r>
      <w:r w:rsidRPr="0070317C">
        <w:rPr>
          <w:lang w:val="en" w:eastAsia="en-AU"/>
        </w:rPr>
        <w:tab/>
        <w:t>pay to the leaving co</w:t>
      </w:r>
      <w:r w:rsidRPr="0070317C">
        <w:rPr>
          <w:lang w:val="en" w:eastAsia="en-AU"/>
        </w:rPr>
        <w:noBreakHyphen/>
        <w:t>tenant an amount equal to the bond paid by the leaving co-tenant under the agreement; and</w:t>
      </w:r>
    </w:p>
    <w:p w14:paraId="3AAB25D9" w14:textId="77777777" w:rsidR="00DE5C77" w:rsidRPr="0070317C" w:rsidRDefault="00DE5C77" w:rsidP="00DE5C77">
      <w:pPr>
        <w:pStyle w:val="Ipara"/>
        <w:rPr>
          <w:lang w:val="en" w:eastAsia="en-AU"/>
        </w:rPr>
      </w:pPr>
      <w:r w:rsidRPr="0070317C">
        <w:rPr>
          <w:lang w:val="en" w:eastAsia="en-AU"/>
        </w:rPr>
        <w:tab/>
        <w:t>(b)</w:t>
      </w:r>
      <w:r w:rsidRPr="0070317C">
        <w:rPr>
          <w:lang w:val="en" w:eastAsia="en-AU"/>
        </w:rPr>
        <w:tab/>
        <w:t>notify the Territory that the leaving co-tenant has been paid under paragraph (a).</w:t>
      </w:r>
    </w:p>
    <w:p w14:paraId="52D7BBE4" w14:textId="77777777" w:rsidR="00DE5C77" w:rsidRPr="0070317C" w:rsidRDefault="00DE5C77" w:rsidP="00DE5C77">
      <w:pPr>
        <w:pStyle w:val="IMain"/>
        <w:rPr>
          <w:color w:val="000000"/>
          <w:szCs w:val="24"/>
          <w:lang w:val="en" w:eastAsia="en-AU"/>
        </w:rPr>
      </w:pPr>
      <w:r w:rsidRPr="0070317C">
        <w:tab/>
        <w:t>(3)</w:t>
      </w:r>
      <w:r w:rsidRPr="0070317C">
        <w:tab/>
      </w:r>
      <w:r w:rsidRPr="0070317C">
        <w:rPr>
          <w:color w:val="000000"/>
          <w:szCs w:val="24"/>
          <w:lang w:val="en" w:eastAsia="en-AU"/>
        </w:rPr>
        <w:t>The remaining co-tenants may deduct from that amount</w:t>
      </w:r>
      <w:r w:rsidRPr="0070317C">
        <w:t>—</w:t>
      </w:r>
    </w:p>
    <w:p w14:paraId="394FED4D" w14:textId="77777777" w:rsidR="00DE5C77" w:rsidRPr="0070317C" w:rsidRDefault="00DE5C77" w:rsidP="00DE5C77">
      <w:pPr>
        <w:pStyle w:val="Ipara"/>
        <w:rPr>
          <w:lang w:val="en" w:eastAsia="en-AU"/>
        </w:rPr>
      </w:pPr>
      <w:r w:rsidRPr="0070317C">
        <w:rPr>
          <w:lang w:val="en" w:eastAsia="en-AU"/>
        </w:rPr>
        <w:tab/>
        <w:t>(a)</w:t>
      </w:r>
      <w:r w:rsidRPr="0070317C">
        <w:rPr>
          <w:lang w:val="en" w:eastAsia="en-AU"/>
        </w:rPr>
        <w:tab/>
        <w:t>any portion of rent unpaid by the leaving co-tenant; and</w:t>
      </w:r>
    </w:p>
    <w:p w14:paraId="4A4F63C9" w14:textId="77777777" w:rsidR="00DE5C77" w:rsidRPr="0070317C" w:rsidRDefault="00DE5C77" w:rsidP="00DE5C77">
      <w:pPr>
        <w:pStyle w:val="Ipara"/>
        <w:rPr>
          <w:lang w:val="en" w:eastAsia="en-AU"/>
        </w:rPr>
      </w:pPr>
      <w:r w:rsidRPr="0070317C">
        <w:rPr>
          <w:lang w:val="en" w:eastAsia="en-AU"/>
        </w:rPr>
        <w:tab/>
        <w:t>(b)</w:t>
      </w:r>
      <w:r w:rsidRPr="0070317C">
        <w:rPr>
          <w:lang w:val="en" w:eastAsia="en-AU"/>
        </w:rPr>
        <w:tab/>
        <w:t>other reasonable costs in relation to the premises.</w:t>
      </w:r>
    </w:p>
    <w:p w14:paraId="62B3F46D" w14:textId="77777777" w:rsidR="00DE5C77" w:rsidRPr="0070317C" w:rsidRDefault="00DE5C77" w:rsidP="00DE5C77">
      <w:pPr>
        <w:pStyle w:val="aExamHdgpar"/>
      </w:pPr>
      <w:r w:rsidRPr="0070317C">
        <w:t>Example—reasonable costs</w:t>
      </w:r>
    </w:p>
    <w:p w14:paraId="2CB4F4B5" w14:textId="77777777" w:rsidR="00DE5C77" w:rsidRPr="0070317C" w:rsidRDefault="00DE5C77" w:rsidP="00DE5C77">
      <w:pPr>
        <w:pStyle w:val="aExampar"/>
      </w:pPr>
      <w:r w:rsidRPr="0070317C">
        <w:t xml:space="preserve">for damage caused to the premises by the leaving co-tenant </w:t>
      </w:r>
    </w:p>
    <w:p w14:paraId="351C87F1" w14:textId="77777777" w:rsidR="00DE5C77" w:rsidRPr="0070317C" w:rsidRDefault="00DE5C77" w:rsidP="00DE5C77">
      <w:pPr>
        <w:pStyle w:val="IMain"/>
        <w:rPr>
          <w:color w:val="000000"/>
          <w:szCs w:val="24"/>
          <w:lang w:val="en" w:eastAsia="en-AU"/>
        </w:rPr>
      </w:pPr>
      <w:r w:rsidRPr="0070317C">
        <w:tab/>
        <w:t>(</w:t>
      </w:r>
      <w:r w:rsidR="005118E7" w:rsidRPr="0070317C">
        <w:t>4</w:t>
      </w:r>
      <w:r w:rsidRPr="0070317C">
        <w:t>)</w:t>
      </w:r>
      <w:r w:rsidRPr="0070317C">
        <w:tab/>
      </w:r>
      <w:r w:rsidRPr="0070317C">
        <w:rPr>
          <w:color w:val="000000"/>
          <w:szCs w:val="24"/>
          <w:lang w:val="en" w:eastAsia="en-AU"/>
        </w:rPr>
        <w:t xml:space="preserve">A </w:t>
      </w:r>
      <w:r w:rsidRPr="0070317C">
        <w:rPr>
          <w:lang w:val="en" w:eastAsia="en-AU"/>
        </w:rPr>
        <w:t>leaving</w:t>
      </w:r>
      <w:r w:rsidRPr="0070317C">
        <w:rPr>
          <w:color w:val="000000"/>
          <w:szCs w:val="24"/>
          <w:lang w:val="en" w:eastAsia="en-AU"/>
        </w:rPr>
        <w:t xml:space="preserve"> co-tenant is not entitled to payment of any other amount of the bond under the residential tenancy agreement.</w:t>
      </w:r>
    </w:p>
    <w:p w14:paraId="2297E745" w14:textId="77777777" w:rsidR="00DE5C77" w:rsidRPr="0070317C" w:rsidRDefault="00DE5C77" w:rsidP="00DE5C77">
      <w:pPr>
        <w:pStyle w:val="IMain"/>
        <w:rPr>
          <w:color w:val="000000"/>
          <w:szCs w:val="24"/>
          <w:lang w:val="en" w:eastAsia="en-AU"/>
        </w:rPr>
      </w:pPr>
      <w:r w:rsidRPr="0070317C">
        <w:tab/>
        <w:t>(</w:t>
      </w:r>
      <w:r w:rsidR="005118E7" w:rsidRPr="0070317C">
        <w:t>5</w:t>
      </w:r>
      <w:r w:rsidRPr="0070317C">
        <w:t>)</w:t>
      </w:r>
      <w:r w:rsidRPr="0070317C">
        <w:tab/>
      </w:r>
      <w:r w:rsidRPr="0070317C">
        <w:rPr>
          <w:color w:val="000000"/>
          <w:szCs w:val="24"/>
          <w:lang w:val="en" w:eastAsia="en-AU"/>
        </w:rPr>
        <w:t xml:space="preserve">Subsection (2) does not apply if the </w:t>
      </w:r>
      <w:r w:rsidR="00570E15" w:rsidRPr="0070317C">
        <w:rPr>
          <w:color w:val="000000"/>
          <w:szCs w:val="24"/>
          <w:lang w:val="en" w:eastAsia="en-AU"/>
        </w:rPr>
        <w:t xml:space="preserve">amount that may </w:t>
      </w:r>
      <w:r w:rsidR="003C0C11" w:rsidRPr="0070317C">
        <w:rPr>
          <w:color w:val="000000"/>
          <w:szCs w:val="24"/>
          <w:lang w:val="en" w:eastAsia="en-AU"/>
        </w:rPr>
        <w:t xml:space="preserve">be </w:t>
      </w:r>
      <w:r w:rsidR="00570E15" w:rsidRPr="0070317C">
        <w:rPr>
          <w:color w:val="000000"/>
          <w:szCs w:val="24"/>
          <w:lang w:val="en" w:eastAsia="en-AU"/>
        </w:rPr>
        <w:t>deducted under subsection (3) is</w:t>
      </w:r>
      <w:r w:rsidRPr="0070317C">
        <w:rPr>
          <w:color w:val="000000"/>
          <w:szCs w:val="24"/>
          <w:lang w:val="en" w:eastAsia="en-AU"/>
        </w:rPr>
        <w:t xml:space="preserve"> more than the amount of the bond paid by the </w:t>
      </w:r>
      <w:r w:rsidRPr="0070317C">
        <w:rPr>
          <w:lang w:val="en" w:eastAsia="en-AU"/>
        </w:rPr>
        <w:t>leaving</w:t>
      </w:r>
      <w:r w:rsidRPr="0070317C">
        <w:rPr>
          <w:color w:val="000000"/>
          <w:szCs w:val="24"/>
          <w:lang w:val="en" w:eastAsia="en-AU"/>
        </w:rPr>
        <w:t xml:space="preserve"> co-tenant.</w:t>
      </w:r>
    </w:p>
    <w:p w14:paraId="388FF6D1" w14:textId="77777777" w:rsidR="004F7212" w:rsidRPr="0070317C" w:rsidRDefault="004F7212" w:rsidP="0070317C">
      <w:pPr>
        <w:pStyle w:val="IMain"/>
        <w:keepNext/>
        <w:rPr>
          <w:color w:val="000000"/>
          <w:szCs w:val="24"/>
          <w:lang w:val="en" w:eastAsia="en-AU"/>
        </w:rPr>
      </w:pPr>
      <w:r w:rsidRPr="0070317C">
        <w:rPr>
          <w:color w:val="000000"/>
          <w:szCs w:val="24"/>
          <w:lang w:val="en" w:eastAsia="en-AU"/>
        </w:rPr>
        <w:tab/>
        <w:t>(</w:t>
      </w:r>
      <w:r w:rsidR="005118E7" w:rsidRPr="0070317C">
        <w:rPr>
          <w:color w:val="000000"/>
          <w:szCs w:val="24"/>
          <w:lang w:val="en" w:eastAsia="en-AU"/>
        </w:rPr>
        <w:t>6</w:t>
      </w:r>
      <w:r w:rsidRPr="0070317C">
        <w:rPr>
          <w:color w:val="000000"/>
          <w:szCs w:val="24"/>
          <w:lang w:val="en" w:eastAsia="en-AU"/>
        </w:rPr>
        <w:t>)</w:t>
      </w:r>
      <w:r w:rsidRPr="0070317C">
        <w:rPr>
          <w:color w:val="000000"/>
          <w:szCs w:val="24"/>
          <w:lang w:val="en" w:eastAsia="en-AU"/>
        </w:rPr>
        <w:tab/>
        <w:t xml:space="preserve">A leaving co-tenant may apply to the ACAT for resolution of a dispute </w:t>
      </w:r>
      <w:r w:rsidR="00531E18" w:rsidRPr="0070317C">
        <w:rPr>
          <w:color w:val="000000"/>
          <w:szCs w:val="24"/>
          <w:lang w:val="en" w:eastAsia="en-AU"/>
        </w:rPr>
        <w:t>in relation to</w:t>
      </w:r>
      <w:r w:rsidRPr="0070317C">
        <w:rPr>
          <w:color w:val="000000"/>
          <w:szCs w:val="24"/>
          <w:lang w:val="en" w:eastAsia="en-AU"/>
        </w:rPr>
        <w:t xml:space="preserve"> subsection (2) or (3) as a tenancy dispute even if the leaving co-tenant has stopped being a party to the residential tenancy agreemen</w:t>
      </w:r>
      <w:r w:rsidR="00BF2970" w:rsidRPr="0070317C">
        <w:rPr>
          <w:color w:val="000000"/>
          <w:szCs w:val="24"/>
          <w:lang w:val="en" w:eastAsia="en-AU"/>
        </w:rPr>
        <w:t>t.</w:t>
      </w:r>
    </w:p>
    <w:p w14:paraId="05FC84F9" w14:textId="77777777" w:rsidR="00DE5C77" w:rsidRPr="0070317C" w:rsidRDefault="00F6105C" w:rsidP="00FA57D0">
      <w:pPr>
        <w:pStyle w:val="aNote"/>
        <w:rPr>
          <w:lang w:val="en" w:eastAsia="en-AU"/>
        </w:rPr>
      </w:pPr>
      <w:r w:rsidRPr="0070317C">
        <w:rPr>
          <w:rStyle w:val="charItals"/>
        </w:rPr>
        <w:t>Note</w:t>
      </w:r>
      <w:r w:rsidRPr="0070317C">
        <w:rPr>
          <w:rStyle w:val="charItals"/>
        </w:rPr>
        <w:tab/>
      </w:r>
      <w:r w:rsidRPr="0070317C">
        <w:rPr>
          <w:lang w:val="en" w:eastAsia="en-AU"/>
        </w:rPr>
        <w:t>The ACAT may make orders requiring the payment of an amount to a person—see s 83</w:t>
      </w:r>
      <w:r w:rsidR="0067689C" w:rsidRPr="0070317C">
        <w:rPr>
          <w:lang w:val="en" w:eastAsia="en-AU"/>
        </w:rPr>
        <w:t xml:space="preserve"> </w:t>
      </w:r>
      <w:r w:rsidRPr="0070317C">
        <w:rPr>
          <w:lang w:val="en" w:eastAsia="en-AU"/>
        </w:rPr>
        <w:t>(c).</w:t>
      </w:r>
    </w:p>
    <w:p w14:paraId="4385FE27" w14:textId="77777777" w:rsidR="00DE5C77" w:rsidRPr="0070317C" w:rsidRDefault="00DE5C77" w:rsidP="00DE5C77">
      <w:pPr>
        <w:pStyle w:val="IH5Sec"/>
      </w:pPr>
      <w:r w:rsidRPr="0070317C">
        <w:t>35C</w:t>
      </w:r>
      <w:r w:rsidRPr="0070317C">
        <w:tab/>
        <w:t>Becoming a co-tenant under existing residential tenancy agreement</w:t>
      </w:r>
      <w:r w:rsidR="00575312" w:rsidRPr="0070317C">
        <w:t>—general</w:t>
      </w:r>
      <w:r w:rsidR="00531E18" w:rsidRPr="0070317C">
        <w:t>ly</w:t>
      </w:r>
    </w:p>
    <w:p w14:paraId="0673F2C4" w14:textId="77777777" w:rsidR="00DE5C77" w:rsidRPr="0070317C" w:rsidRDefault="00DE5C77" w:rsidP="00DE5C77">
      <w:pPr>
        <w:pStyle w:val="IMain"/>
      </w:pPr>
      <w:r w:rsidRPr="0070317C">
        <w:tab/>
        <w:t>(1)</w:t>
      </w:r>
      <w:r w:rsidRPr="0070317C">
        <w:tab/>
        <w:t>This section applies if—</w:t>
      </w:r>
    </w:p>
    <w:p w14:paraId="2934FF74" w14:textId="77777777" w:rsidR="00DE5C77" w:rsidRPr="0070317C" w:rsidRDefault="00DE5C77" w:rsidP="00DE5C77">
      <w:pPr>
        <w:pStyle w:val="Ipara"/>
      </w:pPr>
      <w:r w:rsidRPr="0070317C">
        <w:tab/>
        <w:t>(</w:t>
      </w:r>
      <w:r w:rsidR="00DE2FC1" w:rsidRPr="0070317C">
        <w:t>a</w:t>
      </w:r>
      <w:r w:rsidRPr="0070317C">
        <w:t>)</w:t>
      </w:r>
      <w:r w:rsidRPr="0070317C">
        <w:tab/>
        <w:t>a</w:t>
      </w:r>
      <w:r w:rsidR="00531E18" w:rsidRPr="0070317C">
        <w:t xml:space="preserve"> </w:t>
      </w:r>
      <w:r w:rsidRPr="0070317C">
        <w:t xml:space="preserve">tenant </w:t>
      </w:r>
      <w:r w:rsidR="00531E18" w:rsidRPr="0070317C">
        <w:t xml:space="preserve">under a residential tenancy agreement </w:t>
      </w:r>
      <w:r w:rsidR="00DE2FC1" w:rsidRPr="0070317C">
        <w:t xml:space="preserve">(an </w:t>
      </w:r>
      <w:r w:rsidR="00DE2FC1" w:rsidRPr="0070317C">
        <w:rPr>
          <w:rStyle w:val="charBoldItals"/>
        </w:rPr>
        <w:t>existing tenant</w:t>
      </w:r>
      <w:r w:rsidR="00DE2FC1" w:rsidRPr="0070317C">
        <w:t xml:space="preserve">) </w:t>
      </w:r>
      <w:r w:rsidRPr="0070317C">
        <w:t xml:space="preserve">wants another person (a </w:t>
      </w:r>
      <w:r w:rsidRPr="0070317C">
        <w:rPr>
          <w:rStyle w:val="charBoldItals"/>
        </w:rPr>
        <w:t>new person</w:t>
      </w:r>
      <w:r w:rsidRPr="0070317C">
        <w:t xml:space="preserve">) to </w:t>
      </w:r>
      <w:r w:rsidR="00DE2FC1" w:rsidRPr="0070317C">
        <w:t>become</w:t>
      </w:r>
      <w:r w:rsidR="003837B1" w:rsidRPr="0070317C">
        <w:t xml:space="preserve"> a co</w:t>
      </w:r>
      <w:r w:rsidR="00DE2FC1" w:rsidRPr="0070317C">
        <w:noBreakHyphen/>
      </w:r>
      <w:r w:rsidR="003837B1" w:rsidRPr="0070317C">
        <w:t>tenant under the agreement</w:t>
      </w:r>
      <w:r w:rsidR="00455D05" w:rsidRPr="0070317C">
        <w:t>; and</w:t>
      </w:r>
    </w:p>
    <w:p w14:paraId="7138CC18" w14:textId="77777777" w:rsidR="00455D05" w:rsidRPr="0070317C" w:rsidRDefault="00455D05" w:rsidP="00DE5C77">
      <w:pPr>
        <w:pStyle w:val="Ipara"/>
      </w:pPr>
      <w:r w:rsidRPr="0070317C">
        <w:lastRenderedPageBreak/>
        <w:tab/>
        <w:t>(</w:t>
      </w:r>
      <w:r w:rsidR="00DE2FC1" w:rsidRPr="0070317C">
        <w:t>b</w:t>
      </w:r>
      <w:r w:rsidRPr="0070317C">
        <w:t>)</w:t>
      </w:r>
      <w:r w:rsidRPr="0070317C">
        <w:tab/>
        <w:t xml:space="preserve">the premises </w:t>
      </w:r>
      <w:r w:rsidR="00973535" w:rsidRPr="0070317C">
        <w:t>are</w:t>
      </w:r>
      <w:r w:rsidRPr="0070317C">
        <w:t xml:space="preserve"> not </w:t>
      </w:r>
      <w:r w:rsidR="00D9535F" w:rsidRPr="0070317C">
        <w:t>a</w:t>
      </w:r>
      <w:r w:rsidRPr="0070317C">
        <w:t xml:space="preserve"> social housing </w:t>
      </w:r>
      <w:r w:rsidR="00D9535F" w:rsidRPr="0070317C">
        <w:t xml:space="preserve">dwelling </w:t>
      </w:r>
      <w:r w:rsidRPr="0070317C">
        <w:t xml:space="preserve">or crisis accommodation. </w:t>
      </w:r>
    </w:p>
    <w:p w14:paraId="2AFAB572" w14:textId="77777777" w:rsidR="00DE5C77" w:rsidRPr="0070317C" w:rsidRDefault="00DE5C77" w:rsidP="00DE5C77">
      <w:pPr>
        <w:pStyle w:val="IMain"/>
      </w:pPr>
      <w:r w:rsidRPr="0070317C">
        <w:tab/>
        <w:t>(2)</w:t>
      </w:r>
      <w:r w:rsidRPr="0070317C">
        <w:tab/>
        <w:t xml:space="preserve">To remove any doubt, this section does not apply to </w:t>
      </w:r>
      <w:r w:rsidR="00104E7F" w:rsidRPr="0070317C">
        <w:t xml:space="preserve">the grant </w:t>
      </w:r>
      <w:r w:rsidR="00DE2FC1" w:rsidRPr="0070317C">
        <w:t xml:space="preserve">by an existing tenant </w:t>
      </w:r>
      <w:r w:rsidR="00104E7F" w:rsidRPr="0070317C">
        <w:t xml:space="preserve">of </w:t>
      </w:r>
      <w:r w:rsidRPr="0070317C">
        <w:t>a sub-tenancy or a bare licence to occupy the premises.</w:t>
      </w:r>
    </w:p>
    <w:p w14:paraId="6F0FB2A6" w14:textId="77777777" w:rsidR="00DE5C77" w:rsidRPr="0070317C" w:rsidRDefault="00DE5C77" w:rsidP="00DE5C77">
      <w:pPr>
        <w:pStyle w:val="aExamHdgss"/>
      </w:pPr>
      <w:r w:rsidRPr="0070317C">
        <w:t>Example—bare licence</w:t>
      </w:r>
    </w:p>
    <w:p w14:paraId="48457B26" w14:textId="77777777" w:rsidR="00DE5C77" w:rsidRPr="0070317C" w:rsidRDefault="00DE5C77" w:rsidP="00CC1D46">
      <w:pPr>
        <w:pStyle w:val="aExamss"/>
      </w:pPr>
      <w:r w:rsidRPr="0070317C">
        <w:t xml:space="preserve">Ollie is a tenant in a house under a residential </w:t>
      </w:r>
      <w:r w:rsidR="00DE2FC1" w:rsidRPr="0070317C">
        <w:t xml:space="preserve">tenancy </w:t>
      </w:r>
      <w:r w:rsidRPr="0070317C">
        <w:t xml:space="preserve">agreement. Ollie’s brother, Loki, is going overseas and needs a place to stay for 2 weeks. Ollie has said that Loki could stay in the spare room until he goes. </w:t>
      </w:r>
    </w:p>
    <w:p w14:paraId="2C922990" w14:textId="77777777" w:rsidR="00DE5C77" w:rsidRPr="0070317C" w:rsidRDefault="00DE5C77" w:rsidP="00DE5C77">
      <w:pPr>
        <w:pStyle w:val="IMain"/>
      </w:pPr>
      <w:r w:rsidRPr="0070317C">
        <w:tab/>
        <w:t>(3)</w:t>
      </w:r>
      <w:r w:rsidRPr="0070317C">
        <w:tab/>
        <w:t xml:space="preserve">The </w:t>
      </w:r>
      <w:r w:rsidR="00E33BF3" w:rsidRPr="0070317C">
        <w:t>new person</w:t>
      </w:r>
      <w:r w:rsidRPr="0070317C">
        <w:t xml:space="preserve"> may only </w:t>
      </w:r>
      <w:r w:rsidR="00E33BF3" w:rsidRPr="0070317C">
        <w:t>become</w:t>
      </w:r>
      <w:r w:rsidRPr="0070317C">
        <w:t xml:space="preserve"> a </w:t>
      </w:r>
      <w:r w:rsidR="00570E15" w:rsidRPr="0070317C">
        <w:t>co-tenant</w:t>
      </w:r>
      <w:r w:rsidR="00104E7F" w:rsidRPr="0070317C">
        <w:t xml:space="preserve"> under the residential tenancy agreement</w:t>
      </w:r>
      <w:r w:rsidRPr="0070317C">
        <w:t>—</w:t>
      </w:r>
    </w:p>
    <w:p w14:paraId="7E513B19" w14:textId="77777777" w:rsidR="00DE5C77" w:rsidRPr="0070317C" w:rsidRDefault="00DE5C77" w:rsidP="00DE5C77">
      <w:pPr>
        <w:pStyle w:val="Ipara"/>
      </w:pPr>
      <w:r w:rsidRPr="0070317C">
        <w:tab/>
        <w:t>(a)</w:t>
      </w:r>
      <w:r w:rsidRPr="0070317C">
        <w:tab/>
      </w:r>
      <w:r w:rsidR="00AA46FB" w:rsidRPr="0070317C">
        <w:t>if the existing tenant obtains</w:t>
      </w:r>
      <w:r w:rsidRPr="0070317C">
        <w:t xml:space="preserve"> the consent of the lessor and </w:t>
      </w:r>
      <w:r w:rsidR="00AA46FB" w:rsidRPr="0070317C">
        <w:t>any other</w:t>
      </w:r>
      <w:r w:rsidRPr="0070317C">
        <w:t xml:space="preserve"> existing tenant; or</w:t>
      </w:r>
    </w:p>
    <w:p w14:paraId="0D551A5B" w14:textId="77777777" w:rsidR="000B19F8" w:rsidRPr="0070317C" w:rsidRDefault="00DE5C77" w:rsidP="00DE5C77">
      <w:pPr>
        <w:pStyle w:val="Ipara"/>
      </w:pPr>
      <w:r w:rsidRPr="0070317C">
        <w:tab/>
        <w:t>(b)</w:t>
      </w:r>
      <w:r w:rsidRPr="0070317C">
        <w:tab/>
      </w:r>
      <w:r w:rsidR="000B19F8" w:rsidRPr="0070317C">
        <w:t>if the existing tenant makes an application to the ACAT under section 35</w:t>
      </w:r>
      <w:r w:rsidR="009B0605" w:rsidRPr="0070317C">
        <w:t>D</w:t>
      </w:r>
      <w:r w:rsidR="000B19F8" w:rsidRPr="0070317C">
        <w:t>.</w:t>
      </w:r>
    </w:p>
    <w:p w14:paraId="14E0DAAC" w14:textId="77777777" w:rsidR="00DE5C77" w:rsidRPr="0070317C" w:rsidRDefault="00DE5C77" w:rsidP="00DE5C77">
      <w:pPr>
        <w:pStyle w:val="IMain"/>
      </w:pPr>
      <w:r w:rsidRPr="0070317C">
        <w:tab/>
        <w:t>(4)</w:t>
      </w:r>
      <w:r w:rsidRPr="0070317C">
        <w:tab/>
        <w:t xml:space="preserve">For subsection (3) (a), </w:t>
      </w:r>
      <w:r w:rsidR="00A23A93" w:rsidRPr="0070317C">
        <w:t>the</w:t>
      </w:r>
      <w:r w:rsidRPr="0070317C">
        <w:t xml:space="preserve"> existing tenant must seek the consent of the lessor and any other existing tenant—</w:t>
      </w:r>
    </w:p>
    <w:p w14:paraId="1131A226" w14:textId="77777777" w:rsidR="00DE5C77" w:rsidRPr="0070317C" w:rsidRDefault="00DE5C77" w:rsidP="00DE5C77">
      <w:pPr>
        <w:pStyle w:val="Ipara"/>
      </w:pPr>
      <w:r w:rsidRPr="0070317C">
        <w:tab/>
        <w:t>(a)</w:t>
      </w:r>
      <w:r w:rsidRPr="0070317C">
        <w:tab/>
        <w:t xml:space="preserve">by notice in writing (the </w:t>
      </w:r>
      <w:r w:rsidRPr="0070317C">
        <w:rPr>
          <w:rStyle w:val="charBoldItals"/>
        </w:rPr>
        <w:t>consent application</w:t>
      </w:r>
      <w:r w:rsidRPr="0070317C">
        <w:t>); and</w:t>
      </w:r>
    </w:p>
    <w:p w14:paraId="38263EFB" w14:textId="77777777" w:rsidR="00DE5C77" w:rsidRPr="0070317C" w:rsidRDefault="00DE5C77" w:rsidP="00DE5C77">
      <w:pPr>
        <w:pStyle w:val="Ipara"/>
      </w:pPr>
      <w:r w:rsidRPr="0070317C">
        <w:tab/>
        <w:t>(b)</w:t>
      </w:r>
      <w:r w:rsidRPr="0070317C">
        <w:tab/>
        <w:t xml:space="preserve">at least 14 days before the day </w:t>
      </w:r>
      <w:r w:rsidR="00063552" w:rsidRPr="0070317C">
        <w:t xml:space="preserve">it is proposed </w:t>
      </w:r>
      <w:r w:rsidRPr="0070317C">
        <w:t xml:space="preserve">the new person </w:t>
      </w:r>
      <w:r w:rsidR="00063552" w:rsidRPr="0070317C">
        <w:t>will</w:t>
      </w:r>
      <w:r w:rsidRPr="0070317C">
        <w:t xml:space="preserve"> </w:t>
      </w:r>
      <w:r w:rsidR="002751E9" w:rsidRPr="0070317C">
        <w:t>become a co-tenant under the residential tenancy agreement</w:t>
      </w:r>
      <w:r w:rsidRPr="0070317C">
        <w:t xml:space="preserve"> (the </w:t>
      </w:r>
      <w:r w:rsidRPr="0070317C">
        <w:rPr>
          <w:rStyle w:val="charBoldItals"/>
        </w:rPr>
        <w:t>proposed</w:t>
      </w:r>
      <w:r w:rsidRPr="0070317C">
        <w:t xml:space="preserve"> </w:t>
      </w:r>
      <w:r w:rsidRPr="0070317C">
        <w:rPr>
          <w:rStyle w:val="charBoldItals"/>
        </w:rPr>
        <w:t xml:space="preserve">joining </w:t>
      </w:r>
      <w:r w:rsidR="00AE4EE5" w:rsidRPr="0070317C">
        <w:rPr>
          <w:rStyle w:val="charBoldItals"/>
        </w:rPr>
        <w:t>day</w:t>
      </w:r>
      <w:r w:rsidRPr="0070317C">
        <w:t>).</w:t>
      </w:r>
    </w:p>
    <w:p w14:paraId="2E4AFF59" w14:textId="77777777" w:rsidR="006F59BE" w:rsidRPr="0070317C" w:rsidRDefault="00DE5C77" w:rsidP="00DE5C77">
      <w:pPr>
        <w:pStyle w:val="IMain"/>
      </w:pPr>
      <w:r w:rsidRPr="0070317C">
        <w:tab/>
        <w:t>(5)</w:t>
      </w:r>
      <w:r w:rsidRPr="0070317C">
        <w:tab/>
        <w:t xml:space="preserve">The lessor </w:t>
      </w:r>
      <w:r w:rsidR="006F59BE" w:rsidRPr="0070317C">
        <w:t>must—</w:t>
      </w:r>
    </w:p>
    <w:p w14:paraId="0E32BCD9" w14:textId="77777777" w:rsidR="006F59BE" w:rsidRPr="0070317C" w:rsidRDefault="006F59BE" w:rsidP="006F59BE">
      <w:pPr>
        <w:pStyle w:val="Ipara"/>
      </w:pPr>
      <w:r w:rsidRPr="0070317C">
        <w:tab/>
        <w:t>(a)</w:t>
      </w:r>
      <w:r w:rsidRPr="0070317C">
        <w:tab/>
        <w:t>not unreasonably</w:t>
      </w:r>
      <w:r w:rsidR="00410105" w:rsidRPr="0070317C">
        <w:t xml:space="preserve"> refuse consent</w:t>
      </w:r>
      <w:r w:rsidRPr="0070317C">
        <w:t>; and</w:t>
      </w:r>
    </w:p>
    <w:p w14:paraId="4B837732" w14:textId="77777777" w:rsidR="006F59BE" w:rsidRPr="0070317C" w:rsidRDefault="006F59BE" w:rsidP="006F59BE">
      <w:pPr>
        <w:pStyle w:val="Ipara"/>
      </w:pPr>
      <w:r w:rsidRPr="0070317C">
        <w:tab/>
        <w:t>(b)</w:t>
      </w:r>
      <w:r w:rsidRPr="0070317C">
        <w:tab/>
        <w:t>if the lessor refuses consent—tell the existing tenant and the new person</w:t>
      </w:r>
      <w:r w:rsidR="00E37A8F" w:rsidRPr="0070317C">
        <w:t>, in writing,</w:t>
      </w:r>
      <w:r w:rsidRPr="0070317C">
        <w:t xml:space="preserve"> the reason for refusing consent.</w:t>
      </w:r>
    </w:p>
    <w:p w14:paraId="0D809302" w14:textId="77777777" w:rsidR="00DE5C77" w:rsidRPr="0070317C" w:rsidRDefault="00DE5C77" w:rsidP="002858A2">
      <w:pPr>
        <w:pStyle w:val="IMain"/>
      </w:pPr>
      <w:r w:rsidRPr="0070317C">
        <w:tab/>
        <w:t>(</w:t>
      </w:r>
      <w:r w:rsidR="006547F7" w:rsidRPr="0070317C">
        <w:t>6</w:t>
      </w:r>
      <w:r w:rsidRPr="0070317C">
        <w:t>)</w:t>
      </w:r>
      <w:r w:rsidRPr="0070317C">
        <w:tab/>
        <w:t>For subsection (</w:t>
      </w:r>
      <w:r w:rsidR="003C348F" w:rsidRPr="0070317C">
        <w:t>3</w:t>
      </w:r>
      <w:r w:rsidRPr="0070317C">
        <w:t xml:space="preserve">) (a), the lessor and any other existing tenant </w:t>
      </w:r>
      <w:r w:rsidR="00FA57D0" w:rsidRPr="0070317C">
        <w:t>are</w:t>
      </w:r>
      <w:r w:rsidRPr="0070317C">
        <w:t xml:space="preserve"> taken to consent if they</w:t>
      </w:r>
      <w:r w:rsidR="002858A2" w:rsidRPr="0070317C">
        <w:t xml:space="preserve"> </w:t>
      </w:r>
      <w:r w:rsidRPr="0070317C">
        <w:t xml:space="preserve">do not respond within 14 days </w:t>
      </w:r>
      <w:r w:rsidR="00DA3E26" w:rsidRPr="0070317C">
        <w:t>after</w:t>
      </w:r>
      <w:r w:rsidRPr="0070317C">
        <w:t xml:space="preserve"> receiving the consent application</w:t>
      </w:r>
      <w:r w:rsidR="002858A2" w:rsidRPr="0070317C">
        <w:t>.</w:t>
      </w:r>
    </w:p>
    <w:p w14:paraId="18945F0A" w14:textId="77777777" w:rsidR="00DE5C77" w:rsidRPr="0070317C" w:rsidRDefault="00DE5C77" w:rsidP="00DE5C77">
      <w:pPr>
        <w:pStyle w:val="IMain"/>
      </w:pPr>
      <w:r w:rsidRPr="0070317C">
        <w:lastRenderedPageBreak/>
        <w:tab/>
        <w:t>(</w:t>
      </w:r>
      <w:r w:rsidR="006547F7" w:rsidRPr="0070317C">
        <w:t>7</w:t>
      </w:r>
      <w:r w:rsidRPr="0070317C">
        <w:t>)</w:t>
      </w:r>
      <w:r w:rsidRPr="0070317C">
        <w:tab/>
        <w:t xml:space="preserve">If </w:t>
      </w:r>
      <w:r w:rsidR="00BD020F" w:rsidRPr="0070317C">
        <w:t>consent is given to the</w:t>
      </w:r>
      <w:r w:rsidRPr="0070317C">
        <w:t xml:space="preserve"> new person </w:t>
      </w:r>
      <w:r w:rsidR="00BD020F" w:rsidRPr="0070317C">
        <w:t>becoming</w:t>
      </w:r>
      <w:r w:rsidR="00344CA9" w:rsidRPr="0070317C">
        <w:t xml:space="preserve"> a co-tenant </w:t>
      </w:r>
      <w:r w:rsidRPr="0070317C">
        <w:t xml:space="preserve">under </w:t>
      </w:r>
      <w:r w:rsidR="00BD020F" w:rsidRPr="0070317C">
        <w:t>the</w:t>
      </w:r>
      <w:r w:rsidRPr="0070317C">
        <w:t xml:space="preserve"> residential </w:t>
      </w:r>
      <w:r w:rsidR="00BD020F" w:rsidRPr="0070317C">
        <w:t xml:space="preserve">tenancy </w:t>
      </w:r>
      <w:r w:rsidRPr="0070317C">
        <w:t>agreement—</w:t>
      </w:r>
    </w:p>
    <w:p w14:paraId="0F0EB5AA" w14:textId="77777777" w:rsidR="00DE5C77" w:rsidRPr="0070317C" w:rsidRDefault="00DE5C77" w:rsidP="00DE5C77">
      <w:pPr>
        <w:pStyle w:val="Ipara"/>
      </w:pPr>
      <w:r w:rsidRPr="0070317C">
        <w:tab/>
        <w:t>(a)</w:t>
      </w:r>
      <w:r w:rsidRPr="0070317C">
        <w:tab/>
        <w:t>the agreement continues with the new person becoming a co</w:t>
      </w:r>
      <w:r w:rsidR="00613B06" w:rsidRPr="0070317C">
        <w:noBreakHyphen/>
      </w:r>
      <w:r w:rsidRPr="0070317C">
        <w:t>tenant with the existing tenants; and</w:t>
      </w:r>
    </w:p>
    <w:p w14:paraId="425BE29F" w14:textId="77777777" w:rsidR="00DE5C77" w:rsidRPr="0070317C" w:rsidRDefault="00DE5C77" w:rsidP="00DE5C77">
      <w:pPr>
        <w:pStyle w:val="Ipara"/>
      </w:pPr>
      <w:r w:rsidRPr="0070317C">
        <w:tab/>
        <w:t>(b)</w:t>
      </w:r>
      <w:r w:rsidRPr="0070317C">
        <w:tab/>
        <w:t xml:space="preserve">the existing tenants must give the new person a copy of the condition report for the premises not later than the day after they </w:t>
      </w:r>
      <w:r w:rsidR="00B3391F" w:rsidRPr="0070317C">
        <w:t>become a co-tenant</w:t>
      </w:r>
      <w:r w:rsidRPr="0070317C">
        <w:t>.</w:t>
      </w:r>
    </w:p>
    <w:p w14:paraId="5A11B983" w14:textId="77777777" w:rsidR="00DE5C77" w:rsidRPr="0070317C" w:rsidRDefault="00DE5C77" w:rsidP="003C348F">
      <w:pPr>
        <w:pStyle w:val="IMain"/>
      </w:pPr>
      <w:r w:rsidRPr="0070317C">
        <w:tab/>
        <w:t>(</w:t>
      </w:r>
      <w:r w:rsidR="006547F7" w:rsidRPr="0070317C">
        <w:t>8</w:t>
      </w:r>
      <w:r w:rsidRPr="0070317C">
        <w:t>)</w:t>
      </w:r>
      <w:r w:rsidRPr="0070317C">
        <w:tab/>
        <w:t>For subsection (</w:t>
      </w:r>
      <w:r w:rsidR="006547F7" w:rsidRPr="0070317C">
        <w:t>7</w:t>
      </w:r>
      <w:r w:rsidRPr="0070317C">
        <w:t>), the new person becomes a co-tenant on</w:t>
      </w:r>
      <w:r w:rsidR="003C348F" w:rsidRPr="0070317C">
        <w:t xml:space="preserve"> </w:t>
      </w:r>
      <w:r w:rsidRPr="0070317C">
        <w:t xml:space="preserve">the proposed joining </w:t>
      </w:r>
      <w:r w:rsidR="00AE4EE5" w:rsidRPr="0070317C">
        <w:t>day</w:t>
      </w:r>
      <w:r w:rsidRPr="0070317C">
        <w:t xml:space="preserve"> or any other day agreed between the parties</w:t>
      </w:r>
      <w:r w:rsidR="003C348F" w:rsidRPr="0070317C">
        <w:t>.</w:t>
      </w:r>
    </w:p>
    <w:p w14:paraId="7506C8ED" w14:textId="77777777" w:rsidR="008E005E" w:rsidRPr="0070317C" w:rsidRDefault="008E005E" w:rsidP="003A2716">
      <w:pPr>
        <w:pStyle w:val="IH5Sec"/>
      </w:pPr>
      <w:r w:rsidRPr="0070317C">
        <w:t>35</w:t>
      </w:r>
      <w:r w:rsidR="00E37A8F" w:rsidRPr="0070317C">
        <w:t>D</w:t>
      </w:r>
      <w:r w:rsidRPr="0070317C">
        <w:tab/>
      </w:r>
      <w:r w:rsidR="004E5F76" w:rsidRPr="0070317C">
        <w:t>Co-tenancy on application to</w:t>
      </w:r>
      <w:r w:rsidR="00D06862" w:rsidRPr="0070317C">
        <w:t xml:space="preserve"> ACAT</w:t>
      </w:r>
    </w:p>
    <w:p w14:paraId="20573358" w14:textId="77777777" w:rsidR="00026019" w:rsidRPr="0070317C" w:rsidRDefault="00D06862" w:rsidP="00D06862">
      <w:pPr>
        <w:pStyle w:val="IMain"/>
      </w:pPr>
      <w:r w:rsidRPr="0070317C">
        <w:tab/>
        <w:t>(1)</w:t>
      </w:r>
      <w:r w:rsidRPr="0070317C">
        <w:tab/>
        <w:t>This section applies if</w:t>
      </w:r>
      <w:r w:rsidR="00026019" w:rsidRPr="0070317C">
        <w:t>—</w:t>
      </w:r>
    </w:p>
    <w:p w14:paraId="4C598B90" w14:textId="77777777" w:rsidR="00F45368" w:rsidRPr="0070317C" w:rsidRDefault="00026019" w:rsidP="00026019">
      <w:pPr>
        <w:pStyle w:val="Ipara"/>
      </w:pPr>
      <w:r w:rsidRPr="0070317C">
        <w:tab/>
        <w:t>(a)</w:t>
      </w:r>
      <w:r w:rsidRPr="0070317C">
        <w:tab/>
      </w:r>
      <w:r w:rsidR="00F45368" w:rsidRPr="0070317C">
        <w:t>an existing tenant has made a consent application for a new person to become a co-tenant under a residential tenancy agreement; and</w:t>
      </w:r>
    </w:p>
    <w:p w14:paraId="224BEFED" w14:textId="77777777" w:rsidR="00D06862" w:rsidRPr="0070317C" w:rsidRDefault="00F45368" w:rsidP="00026019">
      <w:pPr>
        <w:pStyle w:val="Ipara"/>
      </w:pPr>
      <w:r w:rsidRPr="0070317C">
        <w:tab/>
        <w:t>(b)</w:t>
      </w:r>
      <w:r w:rsidRPr="0070317C">
        <w:tab/>
      </w:r>
      <w:r w:rsidR="00D06862" w:rsidRPr="0070317C">
        <w:t xml:space="preserve">the lessor </w:t>
      </w:r>
      <w:r w:rsidRPr="0070317C">
        <w:t xml:space="preserve">has </w:t>
      </w:r>
      <w:r w:rsidR="00D06862" w:rsidRPr="0070317C">
        <w:t>refuse</w:t>
      </w:r>
      <w:r w:rsidRPr="0070317C">
        <w:t>d</w:t>
      </w:r>
      <w:r w:rsidR="00D06862" w:rsidRPr="0070317C">
        <w:t xml:space="preserve"> consent </w:t>
      </w:r>
      <w:r w:rsidR="00CB0C36" w:rsidRPr="0070317C">
        <w:t>under section 35C</w:t>
      </w:r>
      <w:r w:rsidRPr="0070317C">
        <w:t>; and</w:t>
      </w:r>
    </w:p>
    <w:p w14:paraId="56401E0E" w14:textId="77777777" w:rsidR="00F45368" w:rsidRPr="0070317C" w:rsidRDefault="00F45368" w:rsidP="00026019">
      <w:pPr>
        <w:pStyle w:val="Ipara"/>
      </w:pPr>
      <w:r w:rsidRPr="0070317C">
        <w:tab/>
        <w:t>(c)</w:t>
      </w:r>
      <w:r w:rsidRPr="0070317C">
        <w:tab/>
      </w:r>
      <w:r w:rsidR="00953A7B" w:rsidRPr="0070317C">
        <w:t>no other existing tenant</w:t>
      </w:r>
      <w:r w:rsidR="00CB0FF6" w:rsidRPr="0070317C">
        <w:t xml:space="preserve"> </w:t>
      </w:r>
      <w:r w:rsidR="00953A7B" w:rsidRPr="0070317C">
        <w:t>has refused consent under section 35C.</w:t>
      </w:r>
    </w:p>
    <w:p w14:paraId="74CDD972" w14:textId="77777777" w:rsidR="00CB0C36" w:rsidRPr="0070317C" w:rsidRDefault="00CB0C36" w:rsidP="00D06862">
      <w:pPr>
        <w:pStyle w:val="IMain"/>
      </w:pPr>
      <w:r w:rsidRPr="0070317C">
        <w:tab/>
        <w:t>(2)</w:t>
      </w:r>
      <w:r w:rsidRPr="0070317C">
        <w:tab/>
        <w:t>The existing tenant may apply to the ACAT for a</w:t>
      </w:r>
      <w:r w:rsidR="00406E0C" w:rsidRPr="0070317C">
        <w:t xml:space="preserve"> declaration under </w:t>
      </w:r>
      <w:r w:rsidR="0035412F" w:rsidRPr="0070317C">
        <w:t>section 35</w:t>
      </w:r>
      <w:r w:rsidR="00382F25" w:rsidRPr="0070317C">
        <w:t>G</w:t>
      </w:r>
      <w:r w:rsidR="0035412F" w:rsidRPr="0070317C">
        <w:t> (1) (c)</w:t>
      </w:r>
      <w:r w:rsidR="00406E0C" w:rsidRPr="0070317C">
        <w:t> (i)</w:t>
      </w:r>
      <w:r w:rsidR="0035412F" w:rsidRPr="0070317C">
        <w:t xml:space="preserve"> </w:t>
      </w:r>
      <w:r w:rsidR="00406E0C" w:rsidRPr="0070317C">
        <w:t>that the lessor’s refusal to consent was unreasonable</w:t>
      </w:r>
      <w:r w:rsidR="00D24796" w:rsidRPr="0070317C">
        <w:t xml:space="preserve"> (a </w:t>
      </w:r>
      <w:r w:rsidR="00D24796" w:rsidRPr="0070317C">
        <w:rPr>
          <w:rStyle w:val="charBoldItals"/>
        </w:rPr>
        <w:t>declaration application</w:t>
      </w:r>
      <w:r w:rsidR="00D24796" w:rsidRPr="0070317C">
        <w:t>)</w:t>
      </w:r>
      <w:r w:rsidRPr="0070317C">
        <w:t>.</w:t>
      </w:r>
    </w:p>
    <w:p w14:paraId="181BECDE" w14:textId="77777777" w:rsidR="00636512" w:rsidRPr="0070317C" w:rsidRDefault="0035412F" w:rsidP="005E2D1C">
      <w:pPr>
        <w:pStyle w:val="IMain"/>
      </w:pPr>
      <w:r w:rsidRPr="0070317C">
        <w:tab/>
        <w:t>(3)</w:t>
      </w:r>
      <w:r w:rsidRPr="0070317C">
        <w:tab/>
        <w:t>If the existing tenant makes a</w:t>
      </w:r>
      <w:r w:rsidR="00D24796" w:rsidRPr="0070317C">
        <w:t xml:space="preserve"> declaration application</w:t>
      </w:r>
      <w:r w:rsidR="00636512" w:rsidRPr="0070317C">
        <w:t>—</w:t>
      </w:r>
    </w:p>
    <w:p w14:paraId="025ABD45" w14:textId="77777777" w:rsidR="0035412F" w:rsidRPr="0070317C" w:rsidRDefault="00636512" w:rsidP="00636512">
      <w:pPr>
        <w:pStyle w:val="Ipara"/>
      </w:pPr>
      <w:r w:rsidRPr="0070317C">
        <w:tab/>
        <w:t>(a)</w:t>
      </w:r>
      <w:r w:rsidRPr="0070317C">
        <w:tab/>
      </w:r>
      <w:r w:rsidR="0035412F" w:rsidRPr="0070317C">
        <w:t xml:space="preserve">the new person becomes a co-tenant </w:t>
      </w:r>
      <w:r w:rsidR="000B19F8" w:rsidRPr="0070317C">
        <w:t>under</w:t>
      </w:r>
      <w:r w:rsidR="0035412F" w:rsidRPr="0070317C">
        <w:t xml:space="preserve"> the residential </w:t>
      </w:r>
      <w:r w:rsidR="000B19F8" w:rsidRPr="0070317C">
        <w:t>tenancy agreement</w:t>
      </w:r>
      <w:r w:rsidR="00F30F88" w:rsidRPr="0070317C">
        <w:t xml:space="preserve"> on the day the application is made</w:t>
      </w:r>
      <w:r w:rsidRPr="0070317C">
        <w:t>; and</w:t>
      </w:r>
    </w:p>
    <w:p w14:paraId="6E1BB184" w14:textId="77777777" w:rsidR="00636512" w:rsidRPr="0070317C" w:rsidRDefault="00636512" w:rsidP="00636512">
      <w:pPr>
        <w:pStyle w:val="Ipara"/>
      </w:pPr>
      <w:r w:rsidRPr="0070317C">
        <w:tab/>
        <w:t>(b)</w:t>
      </w:r>
      <w:r w:rsidRPr="0070317C">
        <w:tab/>
        <w:t>the agreement continues with the new person becoming a co</w:t>
      </w:r>
      <w:r w:rsidRPr="0070317C">
        <w:noBreakHyphen/>
        <w:t>tenant with the existing tenants; and</w:t>
      </w:r>
    </w:p>
    <w:p w14:paraId="377610AA" w14:textId="77777777" w:rsidR="00D24796" w:rsidRPr="0070317C" w:rsidRDefault="00636512" w:rsidP="0070317C">
      <w:pPr>
        <w:pStyle w:val="Ipara"/>
        <w:keepNext/>
      </w:pPr>
      <w:r w:rsidRPr="0070317C">
        <w:lastRenderedPageBreak/>
        <w:tab/>
        <w:t>(c)</w:t>
      </w:r>
      <w:r w:rsidRPr="0070317C">
        <w:tab/>
        <w:t xml:space="preserve">the existing tenants must give the new person a copy of the condition </w:t>
      </w:r>
      <w:r w:rsidR="00F30F88" w:rsidRPr="0070317C">
        <w:t>report for the premises not later than the day after they become a co-tenant</w:t>
      </w:r>
      <w:r w:rsidR="00D24796" w:rsidRPr="0070317C">
        <w:t>.</w:t>
      </w:r>
    </w:p>
    <w:p w14:paraId="476A0FF7" w14:textId="77777777" w:rsidR="00374424" w:rsidRPr="0070317C" w:rsidRDefault="005E2D1C" w:rsidP="005E2D1C">
      <w:pPr>
        <w:pStyle w:val="aNote"/>
      </w:pPr>
      <w:r w:rsidRPr="0070317C">
        <w:rPr>
          <w:rStyle w:val="charItals"/>
        </w:rPr>
        <w:t>Note</w:t>
      </w:r>
      <w:r w:rsidRPr="0070317C">
        <w:rPr>
          <w:rStyle w:val="charItals"/>
        </w:rPr>
        <w:tab/>
      </w:r>
      <w:r w:rsidR="004E09B9" w:rsidRPr="0070317C">
        <w:rPr>
          <w:iCs/>
        </w:rPr>
        <w:t>T</w:t>
      </w:r>
      <w:r w:rsidR="00456DC0" w:rsidRPr="0070317C">
        <w:t xml:space="preserve">he </w:t>
      </w:r>
      <w:r w:rsidR="004E09B9" w:rsidRPr="0070317C">
        <w:t xml:space="preserve">ACAT may subsequently order that the </w:t>
      </w:r>
      <w:r w:rsidR="00456DC0" w:rsidRPr="0070317C">
        <w:t>new person</w:t>
      </w:r>
      <w:r w:rsidR="004E09B9" w:rsidRPr="0070317C">
        <w:t xml:space="preserve"> stop being a</w:t>
      </w:r>
      <w:r w:rsidR="00456DC0" w:rsidRPr="0070317C">
        <w:t xml:space="preserve"> co</w:t>
      </w:r>
      <w:r w:rsidR="004E09B9" w:rsidRPr="0070317C">
        <w:noBreakHyphen/>
      </w:r>
      <w:r w:rsidR="00456DC0" w:rsidRPr="0070317C">
        <w:t>tenan</w:t>
      </w:r>
      <w:r w:rsidR="004E09B9" w:rsidRPr="0070317C">
        <w:t>t under the residential tenancy agreement (see</w:t>
      </w:r>
      <w:r w:rsidR="00456DC0" w:rsidRPr="0070317C">
        <w:t xml:space="preserve"> </w:t>
      </w:r>
      <w:r w:rsidR="004E09B9" w:rsidRPr="0070317C">
        <w:t>s</w:t>
      </w:r>
      <w:r w:rsidR="00456DC0" w:rsidRPr="0070317C">
        <w:t> 35</w:t>
      </w:r>
      <w:r w:rsidR="00382F25" w:rsidRPr="0070317C">
        <w:t>G</w:t>
      </w:r>
      <w:r w:rsidR="00456DC0" w:rsidRPr="0070317C">
        <w:t> (1) (c)</w:t>
      </w:r>
      <w:r w:rsidR="009445FE" w:rsidRPr="0070317C">
        <w:t> (ii)</w:t>
      </w:r>
      <w:r w:rsidR="004E09B9" w:rsidRPr="0070317C">
        <w:t>)</w:t>
      </w:r>
      <w:r w:rsidR="00374424" w:rsidRPr="0070317C">
        <w:t>.</w:t>
      </w:r>
    </w:p>
    <w:p w14:paraId="4AF35823" w14:textId="77777777" w:rsidR="002B279E" w:rsidRPr="0070317C" w:rsidRDefault="00374424" w:rsidP="00374424">
      <w:pPr>
        <w:pStyle w:val="IMain"/>
      </w:pPr>
      <w:r w:rsidRPr="0070317C">
        <w:tab/>
        <w:t>(4)</w:t>
      </w:r>
      <w:r w:rsidRPr="0070317C">
        <w:tab/>
      </w:r>
      <w:r w:rsidR="008C08CF" w:rsidRPr="0070317C">
        <w:t>The lessor may make an application to the ACAT for an order under section 35G</w:t>
      </w:r>
      <w:r w:rsidR="00C77068" w:rsidRPr="0070317C">
        <w:t> </w:t>
      </w:r>
      <w:r w:rsidR="008C08CF" w:rsidRPr="0070317C">
        <w:t xml:space="preserve">(1) (c) (ii) </w:t>
      </w:r>
      <w:r w:rsidR="00BC462B" w:rsidRPr="0070317C">
        <w:t>that the new person stop being a co-tenant under the residential tenancy agreement if</w:t>
      </w:r>
      <w:r w:rsidR="002B279E" w:rsidRPr="0070317C">
        <w:t>—</w:t>
      </w:r>
    </w:p>
    <w:p w14:paraId="748915A5" w14:textId="77777777" w:rsidR="002B279E" w:rsidRPr="0070317C" w:rsidRDefault="002B279E" w:rsidP="00BC462B">
      <w:pPr>
        <w:pStyle w:val="Ipara"/>
      </w:pPr>
      <w:r w:rsidRPr="0070317C">
        <w:tab/>
        <w:t>(a)</w:t>
      </w:r>
      <w:r w:rsidRPr="0070317C">
        <w:tab/>
        <w:t>the existing tenant has made a declaration application; and</w:t>
      </w:r>
    </w:p>
    <w:p w14:paraId="4A106077" w14:textId="77777777" w:rsidR="002B279E" w:rsidRPr="0070317C" w:rsidRDefault="00BC462B" w:rsidP="00BC462B">
      <w:pPr>
        <w:pStyle w:val="Ipara"/>
      </w:pPr>
      <w:r w:rsidRPr="0070317C">
        <w:tab/>
        <w:t>(</w:t>
      </w:r>
      <w:r w:rsidR="002B279E" w:rsidRPr="0070317C">
        <w:t>b</w:t>
      </w:r>
      <w:r w:rsidRPr="0070317C">
        <w:t>)</w:t>
      </w:r>
      <w:r w:rsidRPr="0070317C">
        <w:tab/>
        <w:t>the declaration application</w:t>
      </w:r>
      <w:r w:rsidR="004A0AE5" w:rsidRPr="0070317C">
        <w:t xml:space="preserve"> is</w:t>
      </w:r>
      <w:r w:rsidR="002B279E" w:rsidRPr="0070317C">
        <w:t>—</w:t>
      </w:r>
    </w:p>
    <w:p w14:paraId="71518314" w14:textId="77777777" w:rsidR="00BC462B" w:rsidRPr="0070317C" w:rsidRDefault="002B279E" w:rsidP="002B279E">
      <w:pPr>
        <w:pStyle w:val="Isubpara"/>
      </w:pPr>
      <w:r w:rsidRPr="0070317C">
        <w:tab/>
        <w:t>(i)</w:t>
      </w:r>
      <w:r w:rsidRPr="0070317C">
        <w:tab/>
      </w:r>
      <w:r w:rsidR="00BC462B" w:rsidRPr="0070317C">
        <w:t>discontinued by the applicant; or</w:t>
      </w:r>
    </w:p>
    <w:p w14:paraId="5F1E8BE7" w14:textId="77777777" w:rsidR="00D80BDB" w:rsidRPr="0070317C" w:rsidRDefault="004A0AE5" w:rsidP="004A0AE5">
      <w:pPr>
        <w:pStyle w:val="Isubpara"/>
      </w:pPr>
      <w:r w:rsidRPr="0070317C">
        <w:tab/>
        <w:t>(ii)</w:t>
      </w:r>
      <w:r w:rsidRPr="0070317C">
        <w:tab/>
      </w:r>
      <w:r w:rsidR="00BC462B" w:rsidRPr="0070317C">
        <w:t xml:space="preserve">otherwise not </w:t>
      </w:r>
      <w:r w:rsidRPr="0070317C">
        <w:t xml:space="preserve">yet </w:t>
      </w:r>
      <w:r w:rsidR="00BC462B" w:rsidRPr="0070317C">
        <w:t xml:space="preserve">decided by the ACAT. </w:t>
      </w:r>
    </w:p>
    <w:p w14:paraId="31E9FDA7" w14:textId="77777777" w:rsidR="00B15CAA" w:rsidRPr="0070317C" w:rsidRDefault="00D80BDB" w:rsidP="00374424">
      <w:pPr>
        <w:pStyle w:val="IMain"/>
      </w:pPr>
      <w:r w:rsidRPr="0070317C">
        <w:tab/>
        <w:t>(5)</w:t>
      </w:r>
      <w:r w:rsidRPr="0070317C">
        <w:tab/>
      </w:r>
      <w:r w:rsidR="00374424" w:rsidRPr="0070317C">
        <w:t>If the ACAT makes an order mentioned in section 35</w:t>
      </w:r>
      <w:r w:rsidR="00382F25" w:rsidRPr="0070317C">
        <w:t>G</w:t>
      </w:r>
      <w:r w:rsidR="00374424" w:rsidRPr="0070317C">
        <w:t> (1) (c</w:t>
      </w:r>
      <w:r w:rsidR="009445FE" w:rsidRPr="0070317C">
        <w:t>) (ii)</w:t>
      </w:r>
      <w:r w:rsidR="00B15CAA" w:rsidRPr="0070317C">
        <w:t>—</w:t>
      </w:r>
    </w:p>
    <w:p w14:paraId="78B4B63F" w14:textId="77777777" w:rsidR="003B69E5" w:rsidRPr="0070317C" w:rsidRDefault="00B15CAA" w:rsidP="00B15CAA">
      <w:pPr>
        <w:pStyle w:val="Ipara"/>
      </w:pPr>
      <w:r w:rsidRPr="0070317C">
        <w:tab/>
        <w:t>(a)</w:t>
      </w:r>
      <w:r w:rsidRPr="0070317C">
        <w:tab/>
      </w:r>
      <w:r w:rsidR="00374424" w:rsidRPr="0070317C">
        <w:t>the new person</w:t>
      </w:r>
      <w:r w:rsidR="003B69E5" w:rsidRPr="0070317C">
        <w:t>—</w:t>
      </w:r>
    </w:p>
    <w:p w14:paraId="47C09323" w14:textId="77777777" w:rsidR="003B69E5" w:rsidRPr="0070317C" w:rsidRDefault="00B15CAA" w:rsidP="00B15CAA">
      <w:pPr>
        <w:pStyle w:val="Isubpara"/>
      </w:pPr>
      <w:r w:rsidRPr="0070317C">
        <w:tab/>
        <w:t>(i)</w:t>
      </w:r>
      <w:r w:rsidRPr="0070317C">
        <w:tab/>
      </w:r>
      <w:r w:rsidR="003B69E5" w:rsidRPr="0070317C">
        <w:t>stops being a party to the residential tenancy agreement on the day the order is made; and</w:t>
      </w:r>
    </w:p>
    <w:p w14:paraId="41D9701E" w14:textId="77777777" w:rsidR="00B15CAA" w:rsidRPr="0070317C" w:rsidRDefault="003B69E5" w:rsidP="00B15CAA">
      <w:pPr>
        <w:pStyle w:val="Isubpara"/>
      </w:pPr>
      <w:r w:rsidRPr="0070317C">
        <w:tab/>
        <w:t>(</w:t>
      </w:r>
      <w:r w:rsidR="00B15CAA" w:rsidRPr="0070317C">
        <w:t>ii</w:t>
      </w:r>
      <w:r w:rsidRPr="0070317C">
        <w:t>)</w:t>
      </w:r>
      <w:r w:rsidRPr="0070317C">
        <w:tab/>
        <w:t xml:space="preserve">must leave the premises the subject of the residential </w:t>
      </w:r>
      <w:r w:rsidR="00CB0FF6" w:rsidRPr="0070317C">
        <w:t xml:space="preserve">tenancy agreement within 21 days </w:t>
      </w:r>
      <w:r w:rsidR="00DA3E26" w:rsidRPr="0070317C">
        <w:t>after</w:t>
      </w:r>
      <w:r w:rsidR="00CB0FF6" w:rsidRPr="0070317C">
        <w:t xml:space="preserve"> the order is made</w:t>
      </w:r>
      <w:r w:rsidR="00B15CAA" w:rsidRPr="0070317C">
        <w:t>; and</w:t>
      </w:r>
    </w:p>
    <w:p w14:paraId="4DAF16E6" w14:textId="77777777" w:rsidR="00B15CAA" w:rsidRPr="0070317C" w:rsidRDefault="00B15CAA" w:rsidP="00B15CAA">
      <w:pPr>
        <w:pStyle w:val="Ipara"/>
      </w:pPr>
      <w:r w:rsidRPr="0070317C">
        <w:tab/>
        <w:t>(b)</w:t>
      </w:r>
      <w:r w:rsidRPr="0070317C">
        <w:tab/>
        <w:t>the agreement continues between the lessor and the remaining co-tenants</w:t>
      </w:r>
      <w:r w:rsidR="0024194E" w:rsidRPr="0070317C">
        <w:t>; and</w:t>
      </w:r>
    </w:p>
    <w:p w14:paraId="510E53E4" w14:textId="77777777" w:rsidR="0024194E" w:rsidRPr="0070317C" w:rsidRDefault="0024194E" w:rsidP="00B15CAA">
      <w:pPr>
        <w:pStyle w:val="Ipara"/>
      </w:pPr>
      <w:r w:rsidRPr="0070317C">
        <w:tab/>
        <w:t>(c)</w:t>
      </w:r>
      <w:r w:rsidRPr="0070317C">
        <w:tab/>
        <w:t>the new person’s rights and obligations under the agreement end; and</w:t>
      </w:r>
    </w:p>
    <w:p w14:paraId="2DB51F9B" w14:textId="77777777" w:rsidR="0024194E" w:rsidRPr="0070317C" w:rsidRDefault="0024194E" w:rsidP="00B15CAA">
      <w:pPr>
        <w:pStyle w:val="Ipara"/>
      </w:pPr>
      <w:r w:rsidRPr="0070317C">
        <w:tab/>
        <w:t>(d)</w:t>
      </w:r>
      <w:r w:rsidRPr="0070317C">
        <w:tab/>
        <w:t>section 35B applies to the new person as if the new person had stopped being a party to the agreement under section 35A.</w:t>
      </w:r>
    </w:p>
    <w:p w14:paraId="188A459E" w14:textId="77777777" w:rsidR="00CB0C36" w:rsidRPr="0070317C" w:rsidRDefault="00CB0C36" w:rsidP="00847C28">
      <w:pPr>
        <w:pStyle w:val="IMain"/>
        <w:keepNext/>
      </w:pPr>
      <w:r w:rsidRPr="0070317C">
        <w:lastRenderedPageBreak/>
        <w:tab/>
        <w:t>(</w:t>
      </w:r>
      <w:r w:rsidR="00C77068" w:rsidRPr="0070317C">
        <w:t>6</w:t>
      </w:r>
      <w:r w:rsidRPr="0070317C">
        <w:t>)</w:t>
      </w:r>
      <w:r w:rsidRPr="0070317C">
        <w:tab/>
        <w:t>In this section:</w:t>
      </w:r>
    </w:p>
    <w:p w14:paraId="0B9D7CBE" w14:textId="77777777" w:rsidR="00953A7B" w:rsidRPr="0070317C" w:rsidRDefault="00953A7B" w:rsidP="00847C28">
      <w:pPr>
        <w:pStyle w:val="aDef"/>
        <w:keepNext/>
      </w:pPr>
      <w:r w:rsidRPr="0070317C">
        <w:rPr>
          <w:rStyle w:val="charBoldItals"/>
        </w:rPr>
        <w:t>consent application</w:t>
      </w:r>
      <w:r w:rsidRPr="0070317C">
        <w:t>—see section 35C (4) (a).</w:t>
      </w:r>
    </w:p>
    <w:p w14:paraId="33C73D4C" w14:textId="77777777" w:rsidR="00CB0C36" w:rsidRPr="0070317C" w:rsidRDefault="00CB0C36" w:rsidP="0070317C">
      <w:pPr>
        <w:pStyle w:val="aDef"/>
      </w:pPr>
      <w:r w:rsidRPr="0070317C">
        <w:rPr>
          <w:rStyle w:val="charBoldItals"/>
        </w:rPr>
        <w:t>existing tenant</w:t>
      </w:r>
      <w:r w:rsidRPr="0070317C">
        <w:t>—see section 35C (1) (a).</w:t>
      </w:r>
    </w:p>
    <w:p w14:paraId="7D874FE4" w14:textId="77777777" w:rsidR="00D06862" w:rsidRPr="0070317C" w:rsidRDefault="00CB0C36" w:rsidP="0070317C">
      <w:pPr>
        <w:pStyle w:val="aDef"/>
      </w:pPr>
      <w:r w:rsidRPr="0070317C">
        <w:rPr>
          <w:rStyle w:val="charBoldItals"/>
        </w:rPr>
        <w:t>new person</w:t>
      </w:r>
      <w:r w:rsidRPr="0070317C">
        <w:t>—see section 35C (1) (</w:t>
      </w:r>
      <w:r w:rsidR="0035412F" w:rsidRPr="0070317C">
        <w:t>a).</w:t>
      </w:r>
    </w:p>
    <w:p w14:paraId="4B10E260" w14:textId="77777777" w:rsidR="003A2716" w:rsidRPr="0070317C" w:rsidRDefault="003A2716" w:rsidP="003A2716">
      <w:pPr>
        <w:pStyle w:val="IH5Sec"/>
      </w:pPr>
      <w:r w:rsidRPr="0070317C">
        <w:t>35</w:t>
      </w:r>
      <w:r w:rsidR="00E37A8F" w:rsidRPr="0070317C">
        <w:t>E</w:t>
      </w:r>
      <w:r w:rsidRPr="0070317C">
        <w:tab/>
      </w:r>
      <w:r w:rsidR="00575312" w:rsidRPr="0070317C">
        <w:t>Becoming a co-tenant under existing residential tenancy agreement—social housing dwelling</w:t>
      </w:r>
      <w:r w:rsidR="00B3391F" w:rsidRPr="0070317C">
        <w:t xml:space="preserve"> and crisis accommodation</w:t>
      </w:r>
    </w:p>
    <w:p w14:paraId="61C96326" w14:textId="77777777" w:rsidR="00564C91" w:rsidRPr="0070317C" w:rsidRDefault="00575312" w:rsidP="00A0760C">
      <w:pPr>
        <w:pStyle w:val="IMain"/>
      </w:pPr>
      <w:r w:rsidRPr="0070317C">
        <w:tab/>
        <w:t>(1)</w:t>
      </w:r>
      <w:r w:rsidRPr="0070317C">
        <w:tab/>
      </w:r>
      <w:r w:rsidR="00564C91" w:rsidRPr="0070317C">
        <w:t xml:space="preserve">This section applies </w:t>
      </w:r>
      <w:r w:rsidR="00433E8F" w:rsidRPr="0070317C">
        <w:t>if</w:t>
      </w:r>
      <w:r w:rsidR="00A0760C" w:rsidRPr="0070317C">
        <w:t xml:space="preserve"> </w:t>
      </w:r>
      <w:r w:rsidR="00433E8F" w:rsidRPr="0070317C">
        <w:t xml:space="preserve">the lessor and each tenant (the </w:t>
      </w:r>
      <w:r w:rsidR="00433E8F" w:rsidRPr="0070317C">
        <w:rPr>
          <w:rStyle w:val="charBoldItals"/>
        </w:rPr>
        <w:t>existing tenants</w:t>
      </w:r>
      <w:r w:rsidR="00433E8F" w:rsidRPr="0070317C">
        <w:t xml:space="preserve">) under a residential tenancy agreement </w:t>
      </w:r>
      <w:r w:rsidR="00A0760C" w:rsidRPr="0070317C">
        <w:t xml:space="preserve">in relation to a social housing dwelling or crisis accommodation </w:t>
      </w:r>
      <w:r w:rsidR="00433E8F" w:rsidRPr="0070317C">
        <w:t>consent to another person becoming a co</w:t>
      </w:r>
      <w:r w:rsidR="00433E8F" w:rsidRPr="0070317C">
        <w:noBreakHyphen/>
        <w:t>tenant under the agreement</w:t>
      </w:r>
      <w:r w:rsidR="00A0760C" w:rsidRPr="0070317C">
        <w:t>.</w:t>
      </w:r>
    </w:p>
    <w:p w14:paraId="05EDA6B0" w14:textId="77777777" w:rsidR="00E62A8A" w:rsidRPr="0070317C" w:rsidRDefault="00A0760C" w:rsidP="00A0760C">
      <w:pPr>
        <w:pStyle w:val="IMain"/>
      </w:pPr>
      <w:r w:rsidRPr="0070317C">
        <w:tab/>
        <w:t>(2)</w:t>
      </w:r>
      <w:r w:rsidRPr="0070317C">
        <w:tab/>
        <w:t>The</w:t>
      </w:r>
      <w:r w:rsidR="00E62A8A" w:rsidRPr="0070317C">
        <w:t xml:space="preserve"> </w:t>
      </w:r>
      <w:r w:rsidRPr="0070317C">
        <w:t xml:space="preserve">residential tenancy </w:t>
      </w:r>
      <w:r w:rsidR="00E62A8A" w:rsidRPr="0070317C">
        <w:t xml:space="preserve">agreement continues with the </w:t>
      </w:r>
      <w:r w:rsidRPr="0070317C">
        <w:t>other</w:t>
      </w:r>
      <w:r w:rsidR="00E62A8A" w:rsidRPr="0070317C">
        <w:t xml:space="preserve"> person becoming a co</w:t>
      </w:r>
      <w:r w:rsidR="00E62A8A" w:rsidRPr="0070317C">
        <w:noBreakHyphen/>
        <w:t>tenant with the existing tenants</w:t>
      </w:r>
      <w:r w:rsidRPr="0070317C">
        <w:t>.</w:t>
      </w:r>
    </w:p>
    <w:p w14:paraId="09206769" w14:textId="77777777" w:rsidR="00E62A8A" w:rsidRPr="0070317C" w:rsidRDefault="00A0760C" w:rsidP="00A0760C">
      <w:pPr>
        <w:pStyle w:val="IMain"/>
      </w:pPr>
      <w:r w:rsidRPr="0070317C">
        <w:tab/>
        <w:t>(3)</w:t>
      </w:r>
      <w:r w:rsidRPr="0070317C">
        <w:tab/>
        <w:t>T</w:t>
      </w:r>
      <w:r w:rsidR="00E62A8A" w:rsidRPr="0070317C">
        <w:t xml:space="preserve">he existing tenants must give the </w:t>
      </w:r>
      <w:r w:rsidR="005F0640" w:rsidRPr="0070317C">
        <w:t>other</w:t>
      </w:r>
      <w:r w:rsidR="00E62A8A" w:rsidRPr="0070317C">
        <w:t xml:space="preserve"> person a copy of the condition report for the premises not later than the day after they </w:t>
      </w:r>
      <w:r w:rsidR="005F0640" w:rsidRPr="0070317C">
        <w:t>become a co-tenant</w:t>
      </w:r>
      <w:r w:rsidR="00E62A8A" w:rsidRPr="0070317C">
        <w:t>.</w:t>
      </w:r>
    </w:p>
    <w:p w14:paraId="3B2BE6D6" w14:textId="77777777" w:rsidR="00E62A8A" w:rsidRPr="0070317C" w:rsidRDefault="00E62A8A" w:rsidP="005F0640">
      <w:pPr>
        <w:pStyle w:val="IMain"/>
      </w:pPr>
      <w:r w:rsidRPr="0070317C">
        <w:tab/>
        <w:t>(</w:t>
      </w:r>
      <w:r w:rsidR="005F0640" w:rsidRPr="0070317C">
        <w:t>4</w:t>
      </w:r>
      <w:r w:rsidRPr="0070317C">
        <w:t>)</w:t>
      </w:r>
      <w:r w:rsidRPr="0070317C">
        <w:tab/>
        <w:t>For subsection</w:t>
      </w:r>
      <w:r w:rsidR="00553E0D" w:rsidRPr="0070317C">
        <w:t>s</w:t>
      </w:r>
      <w:r w:rsidRPr="0070317C">
        <w:t xml:space="preserve"> (</w:t>
      </w:r>
      <w:r w:rsidR="005F0640" w:rsidRPr="0070317C">
        <w:t>2</w:t>
      </w:r>
      <w:r w:rsidRPr="0070317C">
        <w:t>)</w:t>
      </w:r>
      <w:r w:rsidR="005F0640" w:rsidRPr="0070317C">
        <w:t xml:space="preserve"> and (3)</w:t>
      </w:r>
      <w:r w:rsidRPr="0070317C">
        <w:t xml:space="preserve">, </w:t>
      </w:r>
      <w:r w:rsidR="005F0640" w:rsidRPr="0070317C">
        <w:t xml:space="preserve">a </w:t>
      </w:r>
      <w:r w:rsidRPr="0070317C">
        <w:t>person becomes a co-tenant on</w:t>
      </w:r>
      <w:r w:rsidR="005F0640" w:rsidRPr="0070317C">
        <w:t xml:space="preserve"> </w:t>
      </w:r>
      <w:r w:rsidRPr="0070317C">
        <w:t>the day agreed between the parties</w:t>
      </w:r>
      <w:r w:rsidR="005F0640" w:rsidRPr="0070317C">
        <w:t>.</w:t>
      </w:r>
    </w:p>
    <w:p w14:paraId="1E43625B" w14:textId="77777777" w:rsidR="00DE5C77" w:rsidRPr="0070317C" w:rsidRDefault="00DE5C77" w:rsidP="00DE5C77">
      <w:pPr>
        <w:pStyle w:val="IH5Sec"/>
      </w:pPr>
      <w:r w:rsidRPr="0070317C">
        <w:t>35</w:t>
      </w:r>
      <w:r w:rsidR="00E37A8F" w:rsidRPr="0070317C">
        <w:t>F</w:t>
      </w:r>
      <w:r w:rsidRPr="0070317C">
        <w:tab/>
        <w:t>Payment of bond by new co-tenant</w:t>
      </w:r>
    </w:p>
    <w:p w14:paraId="1A2102E5" w14:textId="77777777" w:rsidR="00DE5C77" w:rsidRPr="0070317C" w:rsidRDefault="00DE5C77" w:rsidP="00DE5C77">
      <w:pPr>
        <w:pStyle w:val="IMain"/>
      </w:pPr>
      <w:r w:rsidRPr="0070317C">
        <w:tab/>
        <w:t>(1)</w:t>
      </w:r>
      <w:r w:rsidRPr="0070317C">
        <w:tab/>
        <w:t>This section applies if—</w:t>
      </w:r>
    </w:p>
    <w:p w14:paraId="7F78C9C1" w14:textId="77777777" w:rsidR="00DE5C77" w:rsidRPr="0070317C" w:rsidRDefault="00DE5C77" w:rsidP="00DE5C77">
      <w:pPr>
        <w:pStyle w:val="Ipara"/>
      </w:pPr>
      <w:r w:rsidRPr="0070317C">
        <w:tab/>
        <w:t>(a)</w:t>
      </w:r>
      <w:r w:rsidRPr="0070317C">
        <w:tab/>
        <w:t xml:space="preserve">a person </w:t>
      </w:r>
      <w:r w:rsidR="00613B06" w:rsidRPr="0070317C">
        <w:t xml:space="preserve">(the </w:t>
      </w:r>
      <w:r w:rsidR="00613B06" w:rsidRPr="0070317C">
        <w:rPr>
          <w:rStyle w:val="charBoldItals"/>
        </w:rPr>
        <w:t>new co-tenant</w:t>
      </w:r>
      <w:r w:rsidR="00613B06" w:rsidRPr="0070317C">
        <w:t xml:space="preserve">) </w:t>
      </w:r>
      <w:r w:rsidRPr="0070317C">
        <w:t>becomes a new co-tenant under a residential tenancy agreement under section 35C</w:t>
      </w:r>
      <w:r w:rsidR="0096039E" w:rsidRPr="0070317C">
        <w:t>, section 35</w:t>
      </w:r>
      <w:r w:rsidR="009B0605" w:rsidRPr="0070317C">
        <w:t>D</w:t>
      </w:r>
      <w:r w:rsidR="002A6570" w:rsidRPr="0070317C">
        <w:t xml:space="preserve"> or section 35</w:t>
      </w:r>
      <w:r w:rsidR="009B0605" w:rsidRPr="0070317C">
        <w:t>E</w:t>
      </w:r>
      <w:r w:rsidRPr="0070317C">
        <w:t>; and</w:t>
      </w:r>
    </w:p>
    <w:p w14:paraId="57E0E4A7" w14:textId="77777777" w:rsidR="00DE5C77" w:rsidRPr="0070317C" w:rsidRDefault="00DE5C77" w:rsidP="00DE5C77">
      <w:pPr>
        <w:pStyle w:val="Ipara"/>
      </w:pPr>
      <w:r w:rsidRPr="0070317C">
        <w:tab/>
        <w:t>(b)</w:t>
      </w:r>
      <w:r w:rsidRPr="0070317C">
        <w:tab/>
        <w:t>a bond is held in relation to the agreement; and</w:t>
      </w:r>
    </w:p>
    <w:p w14:paraId="69B0B81A" w14:textId="77777777" w:rsidR="00DE5C77" w:rsidRPr="0070317C" w:rsidRDefault="00DE5C77" w:rsidP="00DE5C77">
      <w:pPr>
        <w:pStyle w:val="Ipara"/>
      </w:pPr>
      <w:r w:rsidRPr="0070317C">
        <w:tab/>
        <w:t>(c)</w:t>
      </w:r>
      <w:r w:rsidRPr="0070317C">
        <w:tab/>
        <w:t xml:space="preserve">1 or more of the other co-tenants (the </w:t>
      </w:r>
      <w:r w:rsidRPr="0070317C">
        <w:rPr>
          <w:rStyle w:val="charBoldItals"/>
        </w:rPr>
        <w:t>other co-tenants</w:t>
      </w:r>
      <w:r w:rsidRPr="0070317C">
        <w:t xml:space="preserve">) continue to </w:t>
      </w:r>
      <w:r w:rsidR="002A6570" w:rsidRPr="0070317C">
        <w:t>be a tenant</w:t>
      </w:r>
      <w:r w:rsidRPr="0070317C">
        <w:t xml:space="preserve"> under the agreement.</w:t>
      </w:r>
    </w:p>
    <w:p w14:paraId="3B93AAB1" w14:textId="77777777" w:rsidR="00DE5C77" w:rsidRPr="0070317C" w:rsidRDefault="00DE5C77" w:rsidP="00DE5C77">
      <w:pPr>
        <w:pStyle w:val="IMain"/>
      </w:pPr>
      <w:r w:rsidRPr="0070317C">
        <w:lastRenderedPageBreak/>
        <w:tab/>
        <w:t>(2)</w:t>
      </w:r>
      <w:r w:rsidRPr="0070317C">
        <w:tab/>
        <w:t>The new co-tenant must, not more than 14 days after the da</w:t>
      </w:r>
      <w:r w:rsidR="00153D23" w:rsidRPr="0070317C">
        <w:t>y</w:t>
      </w:r>
      <w:r w:rsidRPr="0070317C">
        <w:t xml:space="preserve"> they become a co-tenant under the residential tenancy agreement—</w:t>
      </w:r>
    </w:p>
    <w:p w14:paraId="2B081BB3" w14:textId="77777777" w:rsidR="00DE5C77" w:rsidRPr="0070317C" w:rsidRDefault="00DE5C77" w:rsidP="00DE5C77">
      <w:pPr>
        <w:pStyle w:val="Ipara"/>
      </w:pPr>
      <w:r w:rsidRPr="0070317C">
        <w:tab/>
        <w:t>(a)</w:t>
      </w:r>
      <w:r w:rsidRPr="0070317C">
        <w:tab/>
        <w:t>pay to the other co-tenants the new co-tenant’s share of the bond under the agreement; and</w:t>
      </w:r>
    </w:p>
    <w:p w14:paraId="711B5BDF" w14:textId="77777777" w:rsidR="00DE5C77" w:rsidRPr="0070317C" w:rsidRDefault="00DE5C77" w:rsidP="00DE5C77">
      <w:pPr>
        <w:pStyle w:val="Ipara"/>
        <w:rPr>
          <w:lang w:val="en" w:eastAsia="en-AU"/>
        </w:rPr>
      </w:pPr>
      <w:r w:rsidRPr="0070317C">
        <w:rPr>
          <w:lang w:val="en" w:eastAsia="en-AU"/>
        </w:rPr>
        <w:tab/>
        <w:t>(b)</w:t>
      </w:r>
      <w:r w:rsidRPr="0070317C">
        <w:rPr>
          <w:lang w:val="en" w:eastAsia="en-AU"/>
        </w:rPr>
        <w:tab/>
        <w:t>notify the Territory that the new co-tenant has paid their share of the bond.</w:t>
      </w:r>
    </w:p>
    <w:p w14:paraId="41A05C8B" w14:textId="77777777" w:rsidR="00DE5C77" w:rsidRPr="0070317C" w:rsidRDefault="00DE5C77" w:rsidP="00DE5C77">
      <w:pPr>
        <w:pStyle w:val="IH5Sec"/>
      </w:pPr>
      <w:r w:rsidRPr="0070317C">
        <w:t>35</w:t>
      </w:r>
      <w:r w:rsidR="00E37A8F" w:rsidRPr="0070317C">
        <w:t>G</w:t>
      </w:r>
      <w:r w:rsidRPr="0070317C">
        <w:tab/>
        <w:t>ACAT orders—co-tenancy matters</w:t>
      </w:r>
    </w:p>
    <w:p w14:paraId="400B14F1" w14:textId="77777777" w:rsidR="00DE5C77" w:rsidRPr="0070317C" w:rsidRDefault="00DE5C77" w:rsidP="00DE5C77">
      <w:pPr>
        <w:pStyle w:val="IMain"/>
      </w:pPr>
      <w:r w:rsidRPr="0070317C">
        <w:tab/>
        <w:t>(1)</w:t>
      </w:r>
      <w:r w:rsidRPr="0070317C">
        <w:tab/>
        <w:t>On application by a co-tenant under a residential tenancy agreement, the ACAT may—</w:t>
      </w:r>
    </w:p>
    <w:p w14:paraId="042F303B" w14:textId="77777777" w:rsidR="00DE5C77" w:rsidRPr="0070317C" w:rsidRDefault="00DE5C77" w:rsidP="00DE5C77">
      <w:pPr>
        <w:pStyle w:val="Ipara"/>
      </w:pPr>
      <w:r w:rsidRPr="0070317C">
        <w:tab/>
        <w:t>(a)</w:t>
      </w:r>
      <w:r w:rsidRPr="0070317C">
        <w:tab/>
        <w:t xml:space="preserve">if consent required under section 35A (1) (a) is refused—order that a co-tenant may </w:t>
      </w:r>
      <w:r w:rsidR="001156C4" w:rsidRPr="0070317C">
        <w:t>stop being a party to</w:t>
      </w:r>
      <w:r w:rsidRPr="0070317C">
        <w:t xml:space="preserve"> the agreement under section 35A; or</w:t>
      </w:r>
    </w:p>
    <w:p w14:paraId="2159F046" w14:textId="77777777" w:rsidR="00DE5C77" w:rsidRPr="0070317C" w:rsidRDefault="00DE5C77" w:rsidP="00DE5C77">
      <w:pPr>
        <w:pStyle w:val="Ipara"/>
      </w:pPr>
      <w:r w:rsidRPr="0070317C">
        <w:tab/>
        <w:t>(b)</w:t>
      </w:r>
      <w:r w:rsidRPr="0070317C">
        <w:tab/>
        <w:t xml:space="preserve">order that the co-tenant may refuse consent for a co-tenant to </w:t>
      </w:r>
      <w:r w:rsidR="001156C4" w:rsidRPr="0070317C">
        <w:t xml:space="preserve">stop being a party to </w:t>
      </w:r>
      <w:r w:rsidRPr="0070317C">
        <w:t>the agreement under section 35A; or</w:t>
      </w:r>
    </w:p>
    <w:p w14:paraId="126360AF" w14:textId="77777777" w:rsidR="008F048B" w:rsidRPr="0070317C" w:rsidRDefault="00DE5C77" w:rsidP="00DE5C77">
      <w:pPr>
        <w:pStyle w:val="Ipara"/>
      </w:pPr>
      <w:r w:rsidRPr="0070317C">
        <w:tab/>
        <w:t>(c)</w:t>
      </w:r>
      <w:r w:rsidRPr="0070317C">
        <w:tab/>
      </w:r>
      <w:r w:rsidR="005E2D1C" w:rsidRPr="0070317C">
        <w:t>for an application made under section</w:t>
      </w:r>
      <w:r w:rsidR="008F048B" w:rsidRPr="0070317C">
        <w:t xml:space="preserve"> 35</w:t>
      </w:r>
      <w:r w:rsidR="009B0605" w:rsidRPr="0070317C">
        <w:t>D</w:t>
      </w:r>
      <w:r w:rsidR="008F048B" w:rsidRPr="0070317C">
        <w:t>—</w:t>
      </w:r>
    </w:p>
    <w:p w14:paraId="0980D658" w14:textId="77777777" w:rsidR="00DE5C77" w:rsidRPr="0070317C" w:rsidRDefault="008F048B" w:rsidP="008F048B">
      <w:pPr>
        <w:pStyle w:val="Isubpara"/>
      </w:pPr>
      <w:r w:rsidRPr="0070317C">
        <w:tab/>
        <w:t>(i)</w:t>
      </w:r>
      <w:r w:rsidRPr="0070317C">
        <w:tab/>
      </w:r>
      <w:r w:rsidR="00786A1C" w:rsidRPr="0070317C">
        <w:t xml:space="preserve">declare that the lessor’s refusal to consent to </w:t>
      </w:r>
      <w:r w:rsidR="0096039E" w:rsidRPr="0070317C">
        <w:t xml:space="preserve">the new person becoming a co-tenant under the residential tenancy agreement was unreasonable; </w:t>
      </w:r>
      <w:r w:rsidR="00DE5C77" w:rsidRPr="0070317C">
        <w:t>or</w:t>
      </w:r>
    </w:p>
    <w:p w14:paraId="2EABAD5C" w14:textId="77777777" w:rsidR="008F048B" w:rsidRPr="0070317C" w:rsidRDefault="008F048B" w:rsidP="008F048B">
      <w:pPr>
        <w:pStyle w:val="Isubpara"/>
      </w:pPr>
      <w:r w:rsidRPr="0070317C">
        <w:tab/>
        <w:t>(ii)</w:t>
      </w:r>
      <w:r w:rsidRPr="0070317C">
        <w:tab/>
      </w:r>
      <w:r w:rsidR="002E6302" w:rsidRPr="0070317C">
        <w:t>order that</w:t>
      </w:r>
      <w:r w:rsidRPr="0070317C">
        <w:t xml:space="preserve"> the new person </w:t>
      </w:r>
      <w:r w:rsidR="002E6302" w:rsidRPr="0070317C">
        <w:t>stop being a party to the residential tenancy agreement; or</w:t>
      </w:r>
    </w:p>
    <w:p w14:paraId="0B266F87" w14:textId="77777777" w:rsidR="00DE5C77" w:rsidRPr="0070317C" w:rsidRDefault="00DE5C77" w:rsidP="00DE5C77">
      <w:pPr>
        <w:pStyle w:val="Ipara"/>
        <w:rPr>
          <w:color w:val="000000"/>
          <w:szCs w:val="24"/>
          <w:lang w:val="en" w:eastAsia="en-AU"/>
        </w:rPr>
      </w:pPr>
      <w:r w:rsidRPr="0070317C">
        <w:tab/>
        <w:t>(</w:t>
      </w:r>
      <w:r w:rsidR="007140EC" w:rsidRPr="0070317C">
        <w:t>d</w:t>
      </w:r>
      <w:r w:rsidRPr="0070317C">
        <w:t>)</w:t>
      </w:r>
      <w:r w:rsidRPr="0070317C">
        <w:tab/>
      </w:r>
      <w:r w:rsidRPr="0070317C">
        <w:rPr>
          <w:color w:val="000000"/>
          <w:szCs w:val="24"/>
          <w:lang w:val="en" w:eastAsia="en-AU"/>
        </w:rPr>
        <w:t>order that—</w:t>
      </w:r>
    </w:p>
    <w:p w14:paraId="5C913DFF" w14:textId="77777777" w:rsidR="00DE5C77" w:rsidRPr="0070317C" w:rsidRDefault="00DE5C77" w:rsidP="00DE5C77">
      <w:pPr>
        <w:pStyle w:val="Isubpara"/>
        <w:rPr>
          <w:lang w:val="en" w:eastAsia="en-AU"/>
        </w:rPr>
      </w:pPr>
      <w:r w:rsidRPr="0070317C">
        <w:rPr>
          <w:lang w:val="en" w:eastAsia="en-AU"/>
        </w:rPr>
        <w:tab/>
        <w:t>(i)</w:t>
      </w:r>
      <w:r w:rsidRPr="0070317C">
        <w:rPr>
          <w:lang w:val="en" w:eastAsia="en-AU"/>
        </w:rPr>
        <w:tab/>
        <w:t xml:space="preserve">a co-tenant must </w:t>
      </w:r>
      <w:r w:rsidR="009D3D75" w:rsidRPr="0070317C">
        <w:rPr>
          <w:lang w:val="en" w:eastAsia="en-AU"/>
        </w:rPr>
        <w:t>stop being a party to</w:t>
      </w:r>
      <w:r w:rsidRPr="0070317C">
        <w:rPr>
          <w:lang w:val="en" w:eastAsia="en-AU"/>
        </w:rPr>
        <w:t xml:space="preserve"> the agreement within a stated period (being a period </w:t>
      </w:r>
      <w:r w:rsidRPr="0070317C">
        <w:rPr>
          <w:color w:val="000000"/>
          <w:szCs w:val="24"/>
          <w:lang w:val="en" w:eastAsia="en-AU"/>
        </w:rPr>
        <w:t>not less than 3 weeks after the order is made)</w:t>
      </w:r>
      <w:r w:rsidRPr="0070317C">
        <w:rPr>
          <w:lang w:val="en" w:eastAsia="en-AU"/>
        </w:rPr>
        <w:t>; and</w:t>
      </w:r>
    </w:p>
    <w:p w14:paraId="4B044311" w14:textId="77777777" w:rsidR="00DE5C77" w:rsidRPr="0070317C" w:rsidRDefault="00DE5C77" w:rsidP="00DE5C77">
      <w:pPr>
        <w:pStyle w:val="Isubpara"/>
      </w:pPr>
      <w:r w:rsidRPr="0070317C">
        <w:tab/>
        <w:t>(ii)</w:t>
      </w:r>
      <w:r w:rsidRPr="0070317C">
        <w:tab/>
        <w:t>the agreement continues between the lessor and the remaining co-tenants; and</w:t>
      </w:r>
    </w:p>
    <w:p w14:paraId="7D8DBE6F" w14:textId="77777777" w:rsidR="00DE5C77" w:rsidRPr="0070317C" w:rsidRDefault="00DE5C77" w:rsidP="00DE5C77">
      <w:pPr>
        <w:pStyle w:val="Isubpara"/>
      </w:pPr>
      <w:r w:rsidRPr="0070317C">
        <w:tab/>
        <w:t>(iii)</w:t>
      </w:r>
      <w:r w:rsidRPr="0070317C">
        <w:tab/>
        <w:t>the co-tenant’s rights and obligations under the agreement end; or</w:t>
      </w:r>
    </w:p>
    <w:p w14:paraId="41CFB1AB" w14:textId="77777777" w:rsidR="00DE5C77" w:rsidRPr="0070317C" w:rsidRDefault="00DE5C77" w:rsidP="00DE5C77">
      <w:pPr>
        <w:pStyle w:val="Ipara"/>
        <w:rPr>
          <w:color w:val="000000"/>
          <w:szCs w:val="24"/>
          <w:lang w:val="en" w:eastAsia="en-AU"/>
        </w:rPr>
      </w:pPr>
      <w:r w:rsidRPr="0070317C">
        <w:rPr>
          <w:lang w:val="en" w:eastAsia="en-AU"/>
        </w:rPr>
        <w:lastRenderedPageBreak/>
        <w:tab/>
        <w:t>(</w:t>
      </w:r>
      <w:r w:rsidR="007140EC" w:rsidRPr="0070317C">
        <w:rPr>
          <w:lang w:val="en" w:eastAsia="en-AU"/>
        </w:rPr>
        <w:t>e</w:t>
      </w:r>
      <w:r w:rsidRPr="0070317C">
        <w:rPr>
          <w:lang w:val="en" w:eastAsia="en-AU"/>
        </w:rPr>
        <w:t>)</w:t>
      </w:r>
      <w:r w:rsidRPr="0070317C">
        <w:rPr>
          <w:lang w:val="en" w:eastAsia="en-AU"/>
        </w:rPr>
        <w:tab/>
        <w:t xml:space="preserve">make any other </w:t>
      </w:r>
      <w:r w:rsidRPr="0070317C">
        <w:rPr>
          <w:color w:val="000000"/>
          <w:szCs w:val="24"/>
          <w:lang w:val="en" w:eastAsia="en-AU"/>
        </w:rPr>
        <w:t>order in relation to an order mentioned in paragraph</w:t>
      </w:r>
      <w:r w:rsidR="00613B06" w:rsidRPr="0070317C">
        <w:rPr>
          <w:color w:val="000000"/>
          <w:szCs w:val="24"/>
          <w:lang w:val="en" w:eastAsia="en-AU"/>
        </w:rPr>
        <w:t>s</w:t>
      </w:r>
      <w:r w:rsidRPr="0070317C">
        <w:rPr>
          <w:color w:val="000000"/>
          <w:szCs w:val="24"/>
          <w:lang w:val="en" w:eastAsia="en-AU"/>
        </w:rPr>
        <w:t xml:space="preserve"> (a) to (</w:t>
      </w:r>
      <w:r w:rsidR="007140EC" w:rsidRPr="0070317C">
        <w:rPr>
          <w:color w:val="000000"/>
          <w:szCs w:val="24"/>
          <w:lang w:val="en" w:eastAsia="en-AU"/>
        </w:rPr>
        <w:t>d</w:t>
      </w:r>
      <w:r w:rsidRPr="0070317C">
        <w:rPr>
          <w:color w:val="000000"/>
          <w:szCs w:val="24"/>
          <w:lang w:val="en" w:eastAsia="en-AU"/>
        </w:rPr>
        <w:t>) that the ACAT considers appropriate.</w:t>
      </w:r>
    </w:p>
    <w:p w14:paraId="57DFC503" w14:textId="77777777" w:rsidR="00DE5C77" w:rsidRPr="0070317C" w:rsidRDefault="00DE5C77" w:rsidP="00902C89">
      <w:pPr>
        <w:pStyle w:val="aExamHdgss"/>
      </w:pPr>
      <w:r w:rsidRPr="0070317C">
        <w:t>Examples</w:t>
      </w:r>
      <w:r w:rsidR="00613B06" w:rsidRPr="0070317C">
        <w:t>—par (</w:t>
      </w:r>
      <w:r w:rsidR="007140EC" w:rsidRPr="0070317C">
        <w:t>e</w:t>
      </w:r>
      <w:r w:rsidR="00613B06" w:rsidRPr="0070317C">
        <w:t>)</w:t>
      </w:r>
    </w:p>
    <w:p w14:paraId="3E95E067" w14:textId="77777777" w:rsidR="00DE5C77" w:rsidRPr="0070317C" w:rsidRDefault="00DE5C77" w:rsidP="00902C89">
      <w:pPr>
        <w:pStyle w:val="aExamINum"/>
      </w:pPr>
      <w:r w:rsidRPr="0070317C">
        <w:t>1</w:t>
      </w:r>
      <w:r w:rsidRPr="0070317C">
        <w:tab/>
      </w:r>
      <w:r w:rsidR="00613B06" w:rsidRPr="0070317C">
        <w:t xml:space="preserve">order </w:t>
      </w:r>
      <w:r w:rsidRPr="0070317C">
        <w:t>for</w:t>
      </w:r>
      <w:r w:rsidR="00AE4EE5" w:rsidRPr="0070317C">
        <w:t xml:space="preserve"> payment of</w:t>
      </w:r>
      <w:r w:rsidRPr="0070317C">
        <w:t xml:space="preserve"> a co-tenant’s share of utility costs</w:t>
      </w:r>
    </w:p>
    <w:p w14:paraId="16CEA0DE" w14:textId="77777777" w:rsidR="00DE5C77" w:rsidRPr="0070317C" w:rsidRDefault="00DE5C77" w:rsidP="00902C89">
      <w:pPr>
        <w:pStyle w:val="aExamINum"/>
      </w:pPr>
      <w:r w:rsidRPr="0070317C">
        <w:t>2</w:t>
      </w:r>
      <w:r w:rsidRPr="0070317C">
        <w:tab/>
      </w:r>
      <w:r w:rsidR="00613B06" w:rsidRPr="0070317C">
        <w:t xml:space="preserve">order </w:t>
      </w:r>
      <w:r w:rsidRPr="0070317C">
        <w:t>for payment of reasonable costs for damage caused to premises by a co</w:t>
      </w:r>
      <w:r w:rsidR="00F54D99" w:rsidRPr="0070317C">
        <w:noBreakHyphen/>
      </w:r>
      <w:r w:rsidRPr="0070317C">
        <w:t xml:space="preserve">tenant </w:t>
      </w:r>
    </w:p>
    <w:p w14:paraId="0FFE2923" w14:textId="77777777" w:rsidR="00DE5C77" w:rsidRPr="0070317C" w:rsidRDefault="00DE5C77" w:rsidP="00DE5C77">
      <w:pPr>
        <w:pStyle w:val="IMain"/>
      </w:pPr>
      <w:r w:rsidRPr="0070317C">
        <w:tab/>
        <w:t>(2)</w:t>
      </w:r>
      <w:r w:rsidRPr="0070317C">
        <w:tab/>
        <w:t>On application by a lessor under a residential tenancy agreement, the ACAT may order that the lessor may refuse consent—</w:t>
      </w:r>
    </w:p>
    <w:p w14:paraId="247CD7F1" w14:textId="77777777" w:rsidR="00DE5C77" w:rsidRPr="0070317C" w:rsidRDefault="00DE5C77" w:rsidP="00DE5C77">
      <w:pPr>
        <w:pStyle w:val="Ipara"/>
      </w:pPr>
      <w:r w:rsidRPr="0070317C">
        <w:tab/>
        <w:t>(a)</w:t>
      </w:r>
      <w:r w:rsidRPr="0070317C">
        <w:tab/>
        <w:t xml:space="preserve">for a co-tenant to </w:t>
      </w:r>
      <w:r w:rsidR="001156C4" w:rsidRPr="0070317C">
        <w:t xml:space="preserve">stop being a party to </w:t>
      </w:r>
      <w:r w:rsidRPr="0070317C">
        <w:t>the agreement under section 35A (4) (b); or</w:t>
      </w:r>
    </w:p>
    <w:p w14:paraId="6475032D" w14:textId="77777777" w:rsidR="00DE5C77" w:rsidRPr="0070317C" w:rsidRDefault="00DE5C77" w:rsidP="00DE5C77">
      <w:pPr>
        <w:pStyle w:val="Ipara"/>
      </w:pPr>
      <w:r w:rsidRPr="0070317C">
        <w:tab/>
        <w:t>(b)</w:t>
      </w:r>
      <w:r w:rsidRPr="0070317C">
        <w:tab/>
        <w:t xml:space="preserve">for a person to </w:t>
      </w:r>
      <w:r w:rsidR="00AE4EE5" w:rsidRPr="0070317C">
        <w:t>become a co-tenant</w:t>
      </w:r>
      <w:r w:rsidR="00682D22" w:rsidRPr="0070317C">
        <w:t xml:space="preserve"> under</w:t>
      </w:r>
      <w:r w:rsidRPr="0070317C">
        <w:t xml:space="preserve"> the agreement under section 35C (6) (</w:t>
      </w:r>
      <w:r w:rsidR="00F54D99" w:rsidRPr="0070317C">
        <w:t>e</w:t>
      </w:r>
      <w:r w:rsidRPr="0070317C">
        <w:t>).</w:t>
      </w:r>
    </w:p>
    <w:p w14:paraId="7807D240" w14:textId="77777777" w:rsidR="002E6302" w:rsidRPr="0070317C" w:rsidRDefault="000C0A9B" w:rsidP="000C0A9B">
      <w:pPr>
        <w:pStyle w:val="IMain"/>
      </w:pPr>
      <w:r w:rsidRPr="0070317C">
        <w:tab/>
        <w:t>(3)</w:t>
      </w:r>
      <w:r w:rsidRPr="0070317C">
        <w:tab/>
      </w:r>
      <w:r w:rsidR="002E6302" w:rsidRPr="0070317C">
        <w:t xml:space="preserve">In making an order under subsection (1) (c), the ACAT must consider </w:t>
      </w:r>
      <w:r w:rsidR="00C83A39" w:rsidRPr="0070317C">
        <w:t xml:space="preserve">whether the lessor’s refusal to consent to the new person becoming </w:t>
      </w:r>
      <w:r w:rsidR="00C77068" w:rsidRPr="0070317C">
        <w:t xml:space="preserve">a </w:t>
      </w:r>
      <w:r w:rsidR="00C83A39" w:rsidRPr="0070317C">
        <w:t>co-tenant under the residential tenancy agreement is reasonable</w:t>
      </w:r>
      <w:r w:rsidR="00AA11EB" w:rsidRPr="0070317C">
        <w:t xml:space="preserve"> in the circumstances, including</w:t>
      </w:r>
      <w:r w:rsidR="00C83A39" w:rsidRPr="0070317C">
        <w:t xml:space="preserve"> having regard to </w:t>
      </w:r>
      <w:r w:rsidR="002E6302" w:rsidRPr="0070317C">
        <w:t xml:space="preserve">the following: </w:t>
      </w:r>
    </w:p>
    <w:p w14:paraId="5F19D995" w14:textId="77777777" w:rsidR="00F27CD6" w:rsidRPr="0070317C" w:rsidRDefault="00035EF0" w:rsidP="00F27CD6">
      <w:pPr>
        <w:pStyle w:val="Ipara"/>
      </w:pPr>
      <w:r w:rsidRPr="0070317C">
        <w:tab/>
        <w:t>(a)</w:t>
      </w:r>
      <w:r w:rsidRPr="0070317C">
        <w:tab/>
      </w:r>
      <w:r w:rsidR="00F27CD6" w:rsidRPr="0070317C">
        <w:t>whether the premises would become overcrowded if the new person were to become a co</w:t>
      </w:r>
      <w:r w:rsidR="00F27CD6" w:rsidRPr="0070317C">
        <w:noBreakHyphen/>
        <w:t xml:space="preserve">tenant under the residential tenancy agreement; </w:t>
      </w:r>
    </w:p>
    <w:p w14:paraId="7DBD1E8A" w14:textId="77777777" w:rsidR="00F27CD6" w:rsidRPr="0070317C" w:rsidRDefault="00F27CD6" w:rsidP="00F27CD6">
      <w:pPr>
        <w:pStyle w:val="Ipara"/>
      </w:pPr>
      <w:r w:rsidRPr="0070317C">
        <w:tab/>
        <w:t>(b)</w:t>
      </w:r>
      <w:r w:rsidRPr="0070317C">
        <w:tab/>
        <w:t xml:space="preserve">whether the new person is included on a residential tenancy database; </w:t>
      </w:r>
    </w:p>
    <w:p w14:paraId="5B49862C" w14:textId="77777777" w:rsidR="00F27CD6" w:rsidRPr="0070317C" w:rsidRDefault="00F27CD6" w:rsidP="00F27CD6">
      <w:pPr>
        <w:pStyle w:val="Ipara"/>
      </w:pPr>
      <w:r w:rsidRPr="0070317C">
        <w:tab/>
        <w:t>(c)</w:t>
      </w:r>
      <w:r w:rsidRPr="0070317C">
        <w:tab/>
        <w:t xml:space="preserve">if the residential tenancy agreement is for a particular purpose—whether the new person meets the requirements of, or is suitable having regard to, the purpose of the residential tenancy agreement; </w:t>
      </w:r>
    </w:p>
    <w:p w14:paraId="2EAD3182" w14:textId="77777777" w:rsidR="00035EF0" w:rsidRPr="0070317C" w:rsidRDefault="00F27CD6" w:rsidP="00F27CD6">
      <w:pPr>
        <w:pStyle w:val="Ipara"/>
      </w:pPr>
      <w:r w:rsidRPr="0070317C">
        <w:tab/>
        <w:t>(d)</w:t>
      </w:r>
      <w:r w:rsidRPr="0070317C">
        <w:tab/>
        <w:t xml:space="preserve">if the </w:t>
      </w:r>
      <w:r w:rsidR="00C83A39" w:rsidRPr="0070317C">
        <w:t xml:space="preserve">residential tenancy agreement is </w:t>
      </w:r>
      <w:r w:rsidRPr="0070317C">
        <w:t>an agreement mentioned in section 6C—</w:t>
      </w:r>
      <w:r w:rsidR="00C83A39" w:rsidRPr="0070317C">
        <w:t xml:space="preserve">whether </w:t>
      </w:r>
      <w:r w:rsidRPr="0070317C">
        <w:t>the new person will not be occupying the premises under the terms and conditions of the person’s employment</w:t>
      </w:r>
      <w:r w:rsidR="00AA11EB" w:rsidRPr="0070317C">
        <w:t>.</w:t>
      </w:r>
    </w:p>
    <w:p w14:paraId="455114CE" w14:textId="77777777" w:rsidR="00026019" w:rsidRPr="0070317C" w:rsidRDefault="00026019" w:rsidP="002F4EF7">
      <w:pPr>
        <w:pStyle w:val="IMain"/>
        <w:keepNext/>
      </w:pPr>
      <w:r w:rsidRPr="0070317C">
        <w:lastRenderedPageBreak/>
        <w:tab/>
        <w:t>(4)</w:t>
      </w:r>
      <w:r w:rsidRPr="0070317C">
        <w:tab/>
        <w:t>In this section:</w:t>
      </w:r>
    </w:p>
    <w:p w14:paraId="5297EEBD" w14:textId="77777777" w:rsidR="00026019" w:rsidRPr="0070317C" w:rsidRDefault="00026019" w:rsidP="0070317C">
      <w:pPr>
        <w:pStyle w:val="aDef"/>
      </w:pPr>
      <w:r w:rsidRPr="0070317C">
        <w:rPr>
          <w:rStyle w:val="charBoldItals"/>
        </w:rPr>
        <w:t>existing tenant</w:t>
      </w:r>
      <w:r w:rsidRPr="0070317C">
        <w:t>—see section 35C (1) (a).</w:t>
      </w:r>
    </w:p>
    <w:p w14:paraId="29AEA293" w14:textId="77777777" w:rsidR="00026019" w:rsidRPr="0070317C" w:rsidRDefault="00026019" w:rsidP="0070317C">
      <w:pPr>
        <w:pStyle w:val="aDef"/>
      </w:pPr>
      <w:r w:rsidRPr="0070317C">
        <w:rPr>
          <w:rStyle w:val="charBoldItals"/>
        </w:rPr>
        <w:t>new person</w:t>
      </w:r>
      <w:r w:rsidRPr="0070317C">
        <w:t>—see section 35C (1) (a).</w:t>
      </w:r>
    </w:p>
    <w:p w14:paraId="2B9FBA0B" w14:textId="77777777" w:rsidR="00DE5C77" w:rsidRPr="0070317C" w:rsidRDefault="0070317C" w:rsidP="0070317C">
      <w:pPr>
        <w:pStyle w:val="AH5Sec"/>
        <w:shd w:val="pct25" w:color="auto" w:fill="auto"/>
      </w:pPr>
      <w:bookmarkStart w:id="23" w:name="_Toc32321194"/>
      <w:r w:rsidRPr="0070317C">
        <w:rPr>
          <w:rStyle w:val="CharSectNo"/>
        </w:rPr>
        <w:t>18</w:t>
      </w:r>
      <w:r w:rsidRPr="0070317C">
        <w:tab/>
      </w:r>
      <w:r w:rsidR="00DE5C77" w:rsidRPr="0070317C">
        <w:t>Section 54 heading</w:t>
      </w:r>
      <w:bookmarkEnd w:id="23"/>
    </w:p>
    <w:p w14:paraId="29B10D44" w14:textId="77777777" w:rsidR="00DE5C77" w:rsidRPr="0070317C" w:rsidRDefault="00DE5C77" w:rsidP="00DE5C77">
      <w:pPr>
        <w:pStyle w:val="direction"/>
      </w:pPr>
      <w:r w:rsidRPr="0070317C">
        <w:t>substitute</w:t>
      </w:r>
    </w:p>
    <w:p w14:paraId="0856B84E" w14:textId="77777777" w:rsidR="00DE5C77" w:rsidRPr="0070317C" w:rsidRDefault="00DE5C77" w:rsidP="00800C93">
      <w:pPr>
        <w:pStyle w:val="IH5Sec"/>
        <w:keepNext w:val="0"/>
      </w:pPr>
      <w:r w:rsidRPr="0070317C">
        <w:t>54</w:t>
      </w:r>
      <w:r w:rsidRPr="0070317C">
        <w:tab/>
        <w:t>Purported co-tenancy, assignment or subletting</w:t>
      </w:r>
    </w:p>
    <w:p w14:paraId="01E95092" w14:textId="77777777" w:rsidR="00DE5C77" w:rsidRPr="0070317C" w:rsidRDefault="0070317C" w:rsidP="0070317C">
      <w:pPr>
        <w:pStyle w:val="AH5Sec"/>
        <w:shd w:val="pct25" w:color="auto" w:fill="auto"/>
      </w:pPr>
      <w:bookmarkStart w:id="24" w:name="_Toc32321195"/>
      <w:r w:rsidRPr="0070317C">
        <w:rPr>
          <w:rStyle w:val="CharSectNo"/>
        </w:rPr>
        <w:t>19</w:t>
      </w:r>
      <w:r w:rsidRPr="0070317C">
        <w:tab/>
      </w:r>
      <w:r w:rsidR="00DE5C77" w:rsidRPr="0070317C">
        <w:t>Section 54 (1) (a)</w:t>
      </w:r>
      <w:bookmarkEnd w:id="24"/>
    </w:p>
    <w:p w14:paraId="6EC4A869" w14:textId="77777777" w:rsidR="00DE5C77" w:rsidRPr="0070317C" w:rsidRDefault="00DE5C77" w:rsidP="00DE5C77">
      <w:pPr>
        <w:pStyle w:val="direction"/>
      </w:pPr>
      <w:r w:rsidRPr="0070317C">
        <w:t>substitute</w:t>
      </w:r>
    </w:p>
    <w:p w14:paraId="097DA6E8" w14:textId="77777777" w:rsidR="00DE5C77" w:rsidRPr="0070317C" w:rsidRDefault="00DE5C77" w:rsidP="00DE5C77">
      <w:pPr>
        <w:pStyle w:val="Ipara"/>
      </w:pPr>
      <w:r w:rsidRPr="0070317C">
        <w:tab/>
        <w:t>(a)</w:t>
      </w:r>
      <w:r w:rsidRPr="0070317C">
        <w:tab/>
        <w:t>the tenant purported, in contravention of the standard residential tenancy terms, to—</w:t>
      </w:r>
    </w:p>
    <w:p w14:paraId="3478C5E8" w14:textId="77777777" w:rsidR="00DE5C77" w:rsidRPr="0070317C" w:rsidRDefault="00DE5C77" w:rsidP="00DE5C77">
      <w:pPr>
        <w:pStyle w:val="Isubpara"/>
      </w:pPr>
      <w:r w:rsidRPr="0070317C">
        <w:tab/>
        <w:t>(i)</w:t>
      </w:r>
      <w:r w:rsidRPr="0070317C">
        <w:tab/>
      </w:r>
      <w:r w:rsidR="00E13288" w:rsidRPr="0070317C">
        <w:t>consent to</w:t>
      </w:r>
      <w:r w:rsidRPr="0070317C">
        <w:t xml:space="preserve"> a person to become a co-tenant; or</w:t>
      </w:r>
    </w:p>
    <w:p w14:paraId="184D34E4" w14:textId="77777777" w:rsidR="00DE5C77" w:rsidRPr="0070317C" w:rsidRDefault="00DE5C77" w:rsidP="00DE5C77">
      <w:pPr>
        <w:pStyle w:val="Isubpara"/>
      </w:pPr>
      <w:r w:rsidRPr="0070317C">
        <w:tab/>
        <w:t>(ii)</w:t>
      </w:r>
      <w:r w:rsidRPr="0070317C">
        <w:tab/>
        <w:t>assign or sublet the premises; and</w:t>
      </w:r>
    </w:p>
    <w:p w14:paraId="64F2DFF9" w14:textId="77777777" w:rsidR="00DE5C77" w:rsidRPr="0070317C" w:rsidRDefault="0070317C" w:rsidP="0070317C">
      <w:pPr>
        <w:pStyle w:val="AH5Sec"/>
        <w:shd w:val="pct25" w:color="auto" w:fill="auto"/>
      </w:pPr>
      <w:bookmarkStart w:id="25" w:name="_Toc32321196"/>
      <w:r w:rsidRPr="0070317C">
        <w:rPr>
          <w:rStyle w:val="CharSectNo"/>
        </w:rPr>
        <w:t>20</w:t>
      </w:r>
      <w:r w:rsidRPr="0070317C">
        <w:tab/>
      </w:r>
      <w:r w:rsidR="00DE5C77" w:rsidRPr="0070317C">
        <w:t>Section 54 (1) (b) and (c)</w:t>
      </w:r>
      <w:bookmarkEnd w:id="25"/>
    </w:p>
    <w:p w14:paraId="548748CB" w14:textId="77777777" w:rsidR="00DE5C77" w:rsidRPr="0070317C" w:rsidRDefault="00DE5C77" w:rsidP="00DE5C77">
      <w:pPr>
        <w:pStyle w:val="direction"/>
      </w:pPr>
      <w:r w:rsidRPr="0070317C">
        <w:t>before</w:t>
      </w:r>
    </w:p>
    <w:p w14:paraId="65007ED1" w14:textId="77777777" w:rsidR="00DE5C77" w:rsidRPr="0070317C" w:rsidRDefault="00DE5C77" w:rsidP="00DE5C77">
      <w:pPr>
        <w:pStyle w:val="Amainreturn"/>
      </w:pPr>
      <w:r w:rsidRPr="0070317C">
        <w:t>assignment</w:t>
      </w:r>
    </w:p>
    <w:p w14:paraId="5F0E076B" w14:textId="77777777" w:rsidR="00DE5C77" w:rsidRPr="0070317C" w:rsidRDefault="00DE5C77" w:rsidP="00DE5C77">
      <w:pPr>
        <w:pStyle w:val="direction"/>
      </w:pPr>
      <w:r w:rsidRPr="0070317C">
        <w:t>insert</w:t>
      </w:r>
    </w:p>
    <w:p w14:paraId="383F7880" w14:textId="77777777" w:rsidR="00DE5C77" w:rsidRPr="0070317C" w:rsidRDefault="00DE5C77" w:rsidP="00DE5C77">
      <w:pPr>
        <w:pStyle w:val="Amainreturn"/>
      </w:pPr>
      <w:r w:rsidRPr="0070317C">
        <w:t>co-tenancy,</w:t>
      </w:r>
    </w:p>
    <w:p w14:paraId="75FE9E2A" w14:textId="77777777" w:rsidR="00DE5C77" w:rsidRPr="0070317C" w:rsidRDefault="0070317C" w:rsidP="0070317C">
      <w:pPr>
        <w:pStyle w:val="AH5Sec"/>
        <w:shd w:val="pct25" w:color="auto" w:fill="auto"/>
      </w:pPr>
      <w:bookmarkStart w:id="26" w:name="_Toc32321197"/>
      <w:r w:rsidRPr="0070317C">
        <w:rPr>
          <w:rStyle w:val="CharSectNo"/>
        </w:rPr>
        <w:t>21</w:t>
      </w:r>
      <w:r w:rsidRPr="0070317C">
        <w:tab/>
      </w:r>
      <w:r w:rsidR="00DE5C77" w:rsidRPr="0070317C">
        <w:t>Section 54 (2)</w:t>
      </w:r>
      <w:bookmarkEnd w:id="26"/>
    </w:p>
    <w:p w14:paraId="44069F07" w14:textId="77777777" w:rsidR="00DE5C77" w:rsidRPr="0070317C" w:rsidRDefault="00DE5C77" w:rsidP="00DE5C77">
      <w:pPr>
        <w:pStyle w:val="direction"/>
      </w:pPr>
      <w:r w:rsidRPr="0070317C">
        <w:t>before</w:t>
      </w:r>
    </w:p>
    <w:p w14:paraId="4D0FAD6D" w14:textId="77777777" w:rsidR="00DE5C77" w:rsidRPr="0070317C" w:rsidRDefault="00DE5C77" w:rsidP="00DE5C77">
      <w:pPr>
        <w:pStyle w:val="Amainreturn"/>
      </w:pPr>
      <w:r w:rsidRPr="0070317C">
        <w:t>assignee</w:t>
      </w:r>
    </w:p>
    <w:p w14:paraId="6D7D1F4A" w14:textId="77777777" w:rsidR="00DE5C77" w:rsidRPr="0070317C" w:rsidRDefault="00DE5C77" w:rsidP="00DE5C77">
      <w:pPr>
        <w:pStyle w:val="direction"/>
      </w:pPr>
      <w:r w:rsidRPr="0070317C">
        <w:t>insert</w:t>
      </w:r>
    </w:p>
    <w:p w14:paraId="74263AE9" w14:textId="77777777" w:rsidR="00DE5C77" w:rsidRPr="0070317C" w:rsidRDefault="00DE5C77" w:rsidP="00DE5C77">
      <w:pPr>
        <w:pStyle w:val="Amainreturn"/>
      </w:pPr>
      <w:r w:rsidRPr="0070317C">
        <w:t>co-tenant,</w:t>
      </w:r>
    </w:p>
    <w:p w14:paraId="79AF0589" w14:textId="77777777" w:rsidR="00B95FDC" w:rsidRPr="0070317C" w:rsidRDefault="0070317C" w:rsidP="0070317C">
      <w:pPr>
        <w:pStyle w:val="AH5Sec"/>
        <w:shd w:val="pct25" w:color="auto" w:fill="auto"/>
      </w:pPr>
      <w:bookmarkStart w:id="27" w:name="_Toc32321198"/>
      <w:r w:rsidRPr="0070317C">
        <w:rPr>
          <w:rStyle w:val="CharSectNo"/>
        </w:rPr>
        <w:lastRenderedPageBreak/>
        <w:t>22</w:t>
      </w:r>
      <w:r w:rsidRPr="0070317C">
        <w:tab/>
      </w:r>
      <w:r w:rsidR="00613B06" w:rsidRPr="0070317C">
        <w:t xml:space="preserve">What is an </w:t>
      </w:r>
      <w:r w:rsidR="00613B06" w:rsidRPr="0070317C">
        <w:rPr>
          <w:rStyle w:val="charItals"/>
        </w:rPr>
        <w:t>occupancy agreement</w:t>
      </w:r>
      <w:r w:rsidR="003149AC" w:rsidRPr="0070317C">
        <w:t>?</w:t>
      </w:r>
      <w:r w:rsidR="003149AC" w:rsidRPr="0070317C">
        <w:br/>
      </w:r>
      <w:r w:rsidR="00B95FDC" w:rsidRPr="0070317C">
        <w:t>Section 71C</w:t>
      </w:r>
      <w:r w:rsidR="00195EDE" w:rsidRPr="0070317C">
        <w:t xml:space="preserve"> </w:t>
      </w:r>
      <w:r w:rsidR="00E36960" w:rsidRPr="0070317C">
        <w:t>(1)</w:t>
      </w:r>
      <w:bookmarkEnd w:id="27"/>
    </w:p>
    <w:p w14:paraId="4A745394" w14:textId="77777777" w:rsidR="00B95FDC" w:rsidRPr="0070317C" w:rsidRDefault="00B95FDC" w:rsidP="00E36960">
      <w:pPr>
        <w:pStyle w:val="direction"/>
      </w:pPr>
      <w:r w:rsidRPr="0070317C">
        <w:t>substitute</w:t>
      </w:r>
    </w:p>
    <w:p w14:paraId="6BB72383" w14:textId="77777777" w:rsidR="00E958A4" w:rsidRPr="0070317C" w:rsidRDefault="00B3389C" w:rsidP="00E958A4">
      <w:pPr>
        <w:pStyle w:val="IMain"/>
      </w:pPr>
      <w:r w:rsidRPr="0070317C">
        <w:tab/>
        <w:t>(</w:t>
      </w:r>
      <w:r w:rsidR="00E958A4" w:rsidRPr="0070317C">
        <w:t>1</w:t>
      </w:r>
      <w:r w:rsidRPr="0070317C">
        <w:t>)</w:t>
      </w:r>
      <w:r w:rsidRPr="0070317C">
        <w:tab/>
      </w:r>
      <w:r w:rsidR="00E958A4" w:rsidRPr="0070317C">
        <w:t xml:space="preserve">An agreement is an </w:t>
      </w:r>
      <w:r w:rsidR="00E958A4" w:rsidRPr="0070317C">
        <w:rPr>
          <w:rStyle w:val="charBoldItals"/>
        </w:rPr>
        <w:t>occupancy agreement</w:t>
      </w:r>
      <w:r w:rsidR="00E958A4" w:rsidRPr="0070317C">
        <w:t xml:space="preserve"> if</w:t>
      </w:r>
      <w:r w:rsidR="00F44897" w:rsidRPr="0070317C">
        <w:t>—</w:t>
      </w:r>
    </w:p>
    <w:p w14:paraId="6BDA551E" w14:textId="77777777" w:rsidR="00D86B11" w:rsidRPr="0070317C" w:rsidRDefault="00D86B11" w:rsidP="00D86B11">
      <w:pPr>
        <w:pStyle w:val="Ipara"/>
      </w:pPr>
      <w:r w:rsidRPr="0070317C">
        <w:tab/>
        <w:t>(a)</w:t>
      </w:r>
      <w:r w:rsidRPr="0070317C">
        <w:tab/>
        <w:t>under the agreement—</w:t>
      </w:r>
    </w:p>
    <w:p w14:paraId="32005BE8" w14:textId="77777777" w:rsidR="00F44897" w:rsidRPr="0070317C" w:rsidRDefault="00D86B11" w:rsidP="00D86B11">
      <w:pPr>
        <w:pStyle w:val="Isubpara"/>
      </w:pPr>
      <w:r w:rsidRPr="0070317C">
        <w:tab/>
        <w:t>(i)</w:t>
      </w:r>
      <w:r w:rsidRPr="0070317C">
        <w:tab/>
      </w:r>
      <w:r w:rsidR="00F44897" w:rsidRPr="0070317C">
        <w:t xml:space="preserve">a person (the </w:t>
      </w:r>
      <w:r w:rsidR="00F44897" w:rsidRPr="0070317C">
        <w:rPr>
          <w:rStyle w:val="charBoldItals"/>
        </w:rPr>
        <w:t>grantor</w:t>
      </w:r>
      <w:r w:rsidR="00F44897" w:rsidRPr="0070317C">
        <w:t xml:space="preserve">) gives someone else (the </w:t>
      </w:r>
      <w:r w:rsidR="00F44897" w:rsidRPr="0070317C">
        <w:rPr>
          <w:rStyle w:val="charBoldItals"/>
        </w:rPr>
        <w:t>occupant</w:t>
      </w:r>
      <w:r w:rsidR="00F44897" w:rsidRPr="0070317C">
        <w:t>) a right to occupy stated premises; and</w:t>
      </w:r>
    </w:p>
    <w:p w14:paraId="52D29E6F" w14:textId="77777777" w:rsidR="00F44897" w:rsidRPr="0070317C" w:rsidRDefault="00F44897" w:rsidP="00D86B11">
      <w:pPr>
        <w:pStyle w:val="Isubpara"/>
      </w:pPr>
      <w:r w:rsidRPr="0070317C">
        <w:tab/>
        <w:t>(</w:t>
      </w:r>
      <w:r w:rsidR="00D86B11" w:rsidRPr="0070317C">
        <w:t>ii</w:t>
      </w:r>
      <w:r w:rsidRPr="0070317C">
        <w:t>)</w:t>
      </w:r>
      <w:r w:rsidRPr="0070317C">
        <w:tab/>
        <w:t>the premises are for the occupant to use as a home (whether or not with other people); and</w:t>
      </w:r>
    </w:p>
    <w:p w14:paraId="7514E947" w14:textId="77777777" w:rsidR="00F44897" w:rsidRPr="0070317C" w:rsidRDefault="00F44897" w:rsidP="00D86B11">
      <w:pPr>
        <w:pStyle w:val="Isubpara"/>
      </w:pPr>
      <w:r w:rsidRPr="0070317C">
        <w:tab/>
        <w:t>(</w:t>
      </w:r>
      <w:r w:rsidR="00D86B11" w:rsidRPr="0070317C">
        <w:t>iii</w:t>
      </w:r>
      <w:r w:rsidRPr="0070317C">
        <w:t>)</w:t>
      </w:r>
      <w:r w:rsidRPr="0070317C">
        <w:tab/>
        <w:t>the right is given for value; and</w:t>
      </w:r>
    </w:p>
    <w:p w14:paraId="3E464AA5" w14:textId="77777777" w:rsidR="00B3389C" w:rsidRPr="0070317C" w:rsidRDefault="00F44897" w:rsidP="00F44897">
      <w:pPr>
        <w:pStyle w:val="Ipara"/>
      </w:pPr>
      <w:r w:rsidRPr="0070317C">
        <w:tab/>
        <w:t>(</w:t>
      </w:r>
      <w:r w:rsidR="00D86B11" w:rsidRPr="0070317C">
        <w:t>b</w:t>
      </w:r>
      <w:r w:rsidRPr="0070317C">
        <w:t>)</w:t>
      </w:r>
      <w:r w:rsidRPr="0070317C">
        <w:tab/>
        <w:t xml:space="preserve">the agreement </w:t>
      </w:r>
      <w:r w:rsidR="00B3389C" w:rsidRPr="0070317C">
        <w:t xml:space="preserve">is </w:t>
      </w:r>
      <w:r w:rsidR="003149AC" w:rsidRPr="0070317C">
        <w:t>1</w:t>
      </w:r>
      <w:r w:rsidR="00B3389C" w:rsidRPr="0070317C">
        <w:t xml:space="preserve"> of the following:</w:t>
      </w:r>
    </w:p>
    <w:p w14:paraId="29AA6D8A" w14:textId="77777777" w:rsidR="00025603" w:rsidRPr="0070317C" w:rsidRDefault="00025603" w:rsidP="00025603">
      <w:pPr>
        <w:pStyle w:val="Isubpara"/>
      </w:pPr>
      <w:r w:rsidRPr="0070317C">
        <w:tab/>
        <w:t>(i)</w:t>
      </w:r>
      <w:r w:rsidRPr="0070317C">
        <w:tab/>
        <w:t>except if section 6B applies, an agreement to occupy premises</w:t>
      </w:r>
      <w:r w:rsidR="00443E28" w:rsidRPr="0070317C">
        <w:t xml:space="preserve"> in the grantor’s pri</w:t>
      </w:r>
      <w:r w:rsidR="00E21AF5" w:rsidRPr="0070317C">
        <w:t>ncipal</w:t>
      </w:r>
      <w:r w:rsidR="00443E28" w:rsidRPr="0070317C">
        <w:t xml:space="preserve"> place of residence; </w:t>
      </w:r>
    </w:p>
    <w:p w14:paraId="0A39198F" w14:textId="77777777" w:rsidR="005318DA" w:rsidRPr="0070317C" w:rsidRDefault="00307CEF" w:rsidP="00307CEF">
      <w:pPr>
        <w:pStyle w:val="Isubpara"/>
      </w:pPr>
      <w:r w:rsidRPr="0070317C">
        <w:tab/>
        <w:t>(i</w:t>
      </w:r>
      <w:r w:rsidR="00443E28" w:rsidRPr="0070317C">
        <w:t>i</w:t>
      </w:r>
      <w:r w:rsidRPr="0070317C">
        <w:t>)</w:t>
      </w:r>
      <w:r w:rsidRPr="0070317C">
        <w:tab/>
      </w:r>
      <w:r w:rsidR="00AB50DF" w:rsidRPr="0070317C">
        <w:t xml:space="preserve">except if section 6B applies, </w:t>
      </w:r>
      <w:r w:rsidR="005318DA" w:rsidRPr="0070317C">
        <w:t xml:space="preserve">an agreement </w:t>
      </w:r>
      <w:r w:rsidR="00077C98" w:rsidRPr="0070317C">
        <w:t>to occupy premises</w:t>
      </w:r>
      <w:r w:rsidR="005318DA" w:rsidRPr="0070317C">
        <w:t xml:space="preserve"> in a residential </w:t>
      </w:r>
      <w:r w:rsidR="00B86829" w:rsidRPr="0070317C">
        <w:t>facility</w:t>
      </w:r>
      <w:r w:rsidR="005318DA" w:rsidRPr="0070317C">
        <w:t xml:space="preserve"> associated with, or on the campus of, </w:t>
      </w:r>
      <w:r w:rsidR="00B36132" w:rsidRPr="0070317C">
        <w:t xml:space="preserve">or provided under an arrangement </w:t>
      </w:r>
      <w:r w:rsidR="00524D3D" w:rsidRPr="0070317C">
        <w:t>with</w:t>
      </w:r>
      <w:r w:rsidR="00B36132" w:rsidRPr="0070317C">
        <w:t xml:space="preserve">, </w:t>
      </w:r>
      <w:r w:rsidR="005318DA" w:rsidRPr="0070317C">
        <w:t>an education</w:t>
      </w:r>
      <w:r w:rsidR="00FB4A64" w:rsidRPr="0070317C">
        <w:t xml:space="preserve"> provider</w:t>
      </w:r>
      <w:r w:rsidR="005318DA" w:rsidRPr="0070317C">
        <w:t>;</w:t>
      </w:r>
    </w:p>
    <w:p w14:paraId="4B962EEF" w14:textId="77777777" w:rsidR="00FE3C40" w:rsidRPr="0070317C" w:rsidRDefault="00FE3C40" w:rsidP="00FE3C40">
      <w:pPr>
        <w:pStyle w:val="Isubpara"/>
      </w:pPr>
      <w:r w:rsidRPr="0070317C">
        <w:tab/>
        <w:t>(ii</w:t>
      </w:r>
      <w:r w:rsidR="00443E28" w:rsidRPr="0070317C">
        <w:t>i</w:t>
      </w:r>
      <w:r w:rsidRPr="0070317C">
        <w:t>)</w:t>
      </w:r>
      <w:r w:rsidRPr="0070317C">
        <w:tab/>
        <w:t>an agreement—</w:t>
      </w:r>
    </w:p>
    <w:p w14:paraId="5B935233" w14:textId="77777777" w:rsidR="00FE3C40" w:rsidRPr="0070317C" w:rsidRDefault="00FE3C40" w:rsidP="00FE3C40">
      <w:pPr>
        <w:pStyle w:val="Isubsubpara"/>
      </w:pPr>
      <w:r w:rsidRPr="0070317C">
        <w:tab/>
        <w:t>(A)</w:t>
      </w:r>
      <w:r w:rsidRPr="0070317C">
        <w:tab/>
        <w:t xml:space="preserve">to </w:t>
      </w:r>
      <w:r w:rsidR="00DA27E9" w:rsidRPr="0070317C">
        <w:t xml:space="preserve">exclusively </w:t>
      </w:r>
      <w:r w:rsidRPr="0070317C">
        <w:t xml:space="preserve">occupy </w:t>
      </w:r>
      <w:r w:rsidR="000F59FD" w:rsidRPr="0070317C">
        <w:t xml:space="preserve">a sleeping space </w:t>
      </w:r>
      <w:r w:rsidR="0081743D" w:rsidRPr="0070317C">
        <w:t xml:space="preserve">in a building with other </w:t>
      </w:r>
      <w:r w:rsidR="000F59FD" w:rsidRPr="0070317C">
        <w:t>sleeping spaces</w:t>
      </w:r>
      <w:r w:rsidR="0081743D" w:rsidRPr="0070317C">
        <w:t xml:space="preserve"> </w:t>
      </w:r>
      <w:r w:rsidRPr="0070317C">
        <w:t xml:space="preserve">with related access to </w:t>
      </w:r>
      <w:r w:rsidR="00C32343" w:rsidRPr="0070317C">
        <w:t>shared</w:t>
      </w:r>
      <w:r w:rsidRPr="0070317C">
        <w:t xml:space="preserve"> facilities</w:t>
      </w:r>
      <w:r w:rsidR="00B30CE2" w:rsidRPr="0070317C">
        <w:t xml:space="preserve"> or provision of domestic services</w:t>
      </w:r>
      <w:r w:rsidRPr="0070317C">
        <w:t>; and</w:t>
      </w:r>
    </w:p>
    <w:p w14:paraId="3DC56464" w14:textId="77777777" w:rsidR="00FE3C40" w:rsidRPr="0070317C" w:rsidRDefault="00FE3C40" w:rsidP="00FE3C40">
      <w:pPr>
        <w:pStyle w:val="Isubsubpara"/>
      </w:pPr>
      <w:r w:rsidRPr="0070317C">
        <w:tab/>
        <w:t>(</w:t>
      </w:r>
      <w:r w:rsidR="00B30CE2" w:rsidRPr="0070317C">
        <w:t>B</w:t>
      </w:r>
      <w:r w:rsidRPr="0070317C">
        <w:t>)</w:t>
      </w:r>
      <w:r w:rsidRPr="0070317C">
        <w:tab/>
        <w:t>that states it is an occupancy agreement;</w:t>
      </w:r>
    </w:p>
    <w:p w14:paraId="58A91F74" w14:textId="77777777" w:rsidR="007F5103" w:rsidRPr="0070317C" w:rsidRDefault="005318DA" w:rsidP="005318DA">
      <w:pPr>
        <w:pStyle w:val="Isubpara"/>
      </w:pPr>
      <w:r w:rsidRPr="0070317C">
        <w:tab/>
        <w:t>(i</w:t>
      </w:r>
      <w:r w:rsidR="00443E28" w:rsidRPr="0070317C">
        <w:t>v</w:t>
      </w:r>
      <w:r w:rsidRPr="0070317C">
        <w:t>)</w:t>
      </w:r>
      <w:r w:rsidRPr="0070317C">
        <w:tab/>
      </w:r>
      <w:r w:rsidR="007B3168" w:rsidRPr="0070317C">
        <w:t>an agreement</w:t>
      </w:r>
      <w:r w:rsidR="007F5103" w:rsidRPr="0070317C">
        <w:t>—</w:t>
      </w:r>
    </w:p>
    <w:p w14:paraId="6B2877C9" w14:textId="77777777" w:rsidR="00307CEF" w:rsidRPr="0070317C" w:rsidRDefault="007F5103" w:rsidP="007F5103">
      <w:pPr>
        <w:pStyle w:val="Isubsubpara"/>
      </w:pPr>
      <w:r w:rsidRPr="0070317C">
        <w:tab/>
        <w:t>(A)</w:t>
      </w:r>
      <w:r w:rsidRPr="0070317C">
        <w:tab/>
      </w:r>
      <w:r w:rsidR="007B3168" w:rsidRPr="0070317C">
        <w:t xml:space="preserve">for </w:t>
      </w:r>
      <w:r w:rsidR="001572E3" w:rsidRPr="0070317C">
        <w:t>emergency</w:t>
      </w:r>
      <w:r w:rsidR="007B3168" w:rsidRPr="0070317C">
        <w:t xml:space="preserve"> accommodation</w:t>
      </w:r>
      <w:r w:rsidR="00AE3941" w:rsidRPr="0070317C">
        <w:t xml:space="preserve"> for people in crisis</w:t>
      </w:r>
      <w:r w:rsidR="001572E3" w:rsidRPr="0070317C">
        <w:t>;</w:t>
      </w:r>
      <w:r w:rsidRPr="0070317C">
        <w:t xml:space="preserve"> and</w:t>
      </w:r>
    </w:p>
    <w:p w14:paraId="0A884146" w14:textId="77777777" w:rsidR="007F5103" w:rsidRPr="0070317C" w:rsidRDefault="007F5103" w:rsidP="007F5103">
      <w:pPr>
        <w:pStyle w:val="Isubsubpara"/>
      </w:pPr>
      <w:r w:rsidRPr="0070317C">
        <w:tab/>
        <w:t>(B)</w:t>
      </w:r>
      <w:r w:rsidRPr="0070317C">
        <w:tab/>
      </w:r>
      <w:r w:rsidR="00AB50DF" w:rsidRPr="0070317C">
        <w:t xml:space="preserve">that </w:t>
      </w:r>
      <w:r w:rsidRPr="0070317C">
        <w:t xml:space="preserve">states it is an occupancy agreement for </w:t>
      </w:r>
      <w:r w:rsidR="00077C98" w:rsidRPr="0070317C">
        <w:t>emergency accommodation</w:t>
      </w:r>
      <w:r w:rsidR="00AE3941" w:rsidRPr="0070317C">
        <w:t xml:space="preserve"> for people in crisis</w:t>
      </w:r>
      <w:r w:rsidR="00077C98" w:rsidRPr="0070317C">
        <w:t xml:space="preserve">; </w:t>
      </w:r>
    </w:p>
    <w:p w14:paraId="283CD999" w14:textId="77777777" w:rsidR="001572E3" w:rsidRPr="0070317C" w:rsidRDefault="001572E3" w:rsidP="001572E3">
      <w:pPr>
        <w:pStyle w:val="Isubpara"/>
      </w:pPr>
      <w:r w:rsidRPr="0070317C">
        <w:lastRenderedPageBreak/>
        <w:tab/>
        <w:t>(</w:t>
      </w:r>
      <w:r w:rsidR="00DD4C83" w:rsidRPr="0070317C">
        <w:t>v</w:t>
      </w:r>
      <w:r w:rsidRPr="0070317C">
        <w:t>)</w:t>
      </w:r>
      <w:r w:rsidRPr="0070317C">
        <w:tab/>
      </w:r>
      <w:r w:rsidR="007F5103" w:rsidRPr="0070317C">
        <w:t>an agreement—</w:t>
      </w:r>
    </w:p>
    <w:p w14:paraId="41747AC7" w14:textId="77777777" w:rsidR="00077C98" w:rsidRPr="0070317C" w:rsidRDefault="00077C98" w:rsidP="00077C98">
      <w:pPr>
        <w:pStyle w:val="Isubsubpara"/>
      </w:pPr>
      <w:r w:rsidRPr="0070317C">
        <w:tab/>
        <w:t>(A)</w:t>
      </w:r>
      <w:r w:rsidRPr="0070317C">
        <w:tab/>
      </w:r>
      <w:r w:rsidR="00D81967" w:rsidRPr="0070317C">
        <w:t>to occupy premises provided under a housing support program</w:t>
      </w:r>
      <w:r w:rsidRPr="0070317C">
        <w:t>; and</w:t>
      </w:r>
    </w:p>
    <w:p w14:paraId="2C9706FA" w14:textId="77777777" w:rsidR="00077C98" w:rsidRPr="0070317C" w:rsidRDefault="00077C98" w:rsidP="00077C98">
      <w:pPr>
        <w:pStyle w:val="Isubsubpara"/>
      </w:pPr>
      <w:r w:rsidRPr="0070317C">
        <w:tab/>
        <w:t>(B)</w:t>
      </w:r>
      <w:r w:rsidRPr="0070317C">
        <w:tab/>
      </w:r>
      <w:r w:rsidR="00AB50DF" w:rsidRPr="0070317C">
        <w:t xml:space="preserve">that </w:t>
      </w:r>
      <w:r w:rsidRPr="0070317C">
        <w:t xml:space="preserve">states it is an occupancy agreement for </w:t>
      </w:r>
      <w:r w:rsidR="00A96BD2" w:rsidRPr="0070317C">
        <w:t xml:space="preserve">a </w:t>
      </w:r>
      <w:r w:rsidR="00072FD6" w:rsidRPr="0070317C">
        <w:t xml:space="preserve">housing </w:t>
      </w:r>
      <w:r w:rsidR="00A96BD2" w:rsidRPr="0070317C">
        <w:t>support program</w:t>
      </w:r>
      <w:r w:rsidRPr="0070317C">
        <w:t xml:space="preserve">; </w:t>
      </w:r>
    </w:p>
    <w:p w14:paraId="38F360C4" w14:textId="77777777" w:rsidR="00077C98" w:rsidRPr="0070317C" w:rsidRDefault="00077C98" w:rsidP="00077C98">
      <w:pPr>
        <w:pStyle w:val="Isubpara"/>
      </w:pPr>
      <w:r w:rsidRPr="0070317C">
        <w:tab/>
        <w:t>(</w:t>
      </w:r>
      <w:r w:rsidR="00C521A6" w:rsidRPr="0070317C">
        <w:t>v</w:t>
      </w:r>
      <w:r w:rsidR="00443E28" w:rsidRPr="0070317C">
        <w:t>i</w:t>
      </w:r>
      <w:r w:rsidRPr="0070317C">
        <w:t>)</w:t>
      </w:r>
      <w:r w:rsidRPr="0070317C">
        <w:tab/>
        <w:t>an agreement—</w:t>
      </w:r>
    </w:p>
    <w:p w14:paraId="6BD3FEAA" w14:textId="77777777" w:rsidR="00C521A6" w:rsidRPr="0070317C" w:rsidRDefault="00C521A6" w:rsidP="00C521A6">
      <w:pPr>
        <w:pStyle w:val="Isubsubpara"/>
      </w:pPr>
      <w:r w:rsidRPr="0070317C">
        <w:tab/>
        <w:t>(A)</w:t>
      </w:r>
      <w:r w:rsidRPr="0070317C">
        <w:tab/>
        <w:t>to occupy premises because of membership in a club or other entity; and</w:t>
      </w:r>
    </w:p>
    <w:p w14:paraId="3EDDBA31" w14:textId="77777777" w:rsidR="00C521A6" w:rsidRPr="0070317C" w:rsidRDefault="00C521A6" w:rsidP="00C521A6">
      <w:pPr>
        <w:pStyle w:val="Isubsubpara"/>
      </w:pPr>
      <w:r w:rsidRPr="0070317C">
        <w:tab/>
        <w:t>(B)</w:t>
      </w:r>
      <w:r w:rsidRPr="0070317C">
        <w:tab/>
        <w:t>that states it is an occupancy agreement;</w:t>
      </w:r>
    </w:p>
    <w:p w14:paraId="5B3CBC25" w14:textId="77777777" w:rsidR="00E87964" w:rsidRPr="0070317C" w:rsidRDefault="00B54E5F" w:rsidP="00B54E5F">
      <w:pPr>
        <w:pStyle w:val="Isubpara"/>
      </w:pPr>
      <w:r w:rsidRPr="0070317C">
        <w:tab/>
        <w:t>(vi</w:t>
      </w:r>
      <w:r w:rsidR="00443E28" w:rsidRPr="0070317C">
        <w:t>i</w:t>
      </w:r>
      <w:r w:rsidRPr="0070317C">
        <w:t>)</w:t>
      </w:r>
      <w:r w:rsidRPr="0070317C">
        <w:tab/>
      </w:r>
      <w:r w:rsidR="00195EDE" w:rsidRPr="0070317C">
        <w:t xml:space="preserve">except if section 6B applies, </w:t>
      </w:r>
      <w:r w:rsidRPr="0070317C">
        <w:t>an agreement to</w:t>
      </w:r>
      <w:r w:rsidR="00B86829" w:rsidRPr="0070317C">
        <w:t xml:space="preserve"> occupy</w:t>
      </w:r>
      <w:r w:rsidR="00E87964" w:rsidRPr="0070317C">
        <w:t>—</w:t>
      </w:r>
    </w:p>
    <w:p w14:paraId="440AC92F" w14:textId="77777777" w:rsidR="00E87964" w:rsidRPr="0070317C" w:rsidRDefault="00E87964" w:rsidP="00E87964">
      <w:pPr>
        <w:pStyle w:val="Isubsubpara"/>
      </w:pPr>
      <w:r w:rsidRPr="0070317C">
        <w:tab/>
        <w:t>(A)</w:t>
      </w:r>
      <w:r w:rsidRPr="0070317C">
        <w:tab/>
      </w:r>
      <w:r w:rsidR="00B54E5F" w:rsidRPr="0070317C">
        <w:t xml:space="preserve">premises </w:t>
      </w:r>
      <w:r w:rsidRPr="0070317C">
        <w:t xml:space="preserve">provided by the grantor </w:t>
      </w:r>
      <w:r w:rsidR="00B54E5F" w:rsidRPr="0070317C">
        <w:t>in a residential park</w:t>
      </w:r>
      <w:r w:rsidRPr="0070317C">
        <w:t>; or</w:t>
      </w:r>
    </w:p>
    <w:p w14:paraId="6CD4DF92" w14:textId="77777777" w:rsidR="00C521A6" w:rsidRPr="0070317C" w:rsidRDefault="00E87964" w:rsidP="00E87964">
      <w:pPr>
        <w:pStyle w:val="Isubsubpara"/>
      </w:pPr>
      <w:r w:rsidRPr="0070317C">
        <w:tab/>
        <w:t>(B)</w:t>
      </w:r>
      <w:r w:rsidRPr="0070317C">
        <w:tab/>
      </w:r>
      <w:r w:rsidR="00D86B11" w:rsidRPr="0070317C">
        <w:t xml:space="preserve">a site in a residential park, for the purpose of </w:t>
      </w:r>
      <w:r w:rsidRPr="0070317C">
        <w:t xml:space="preserve">the occupant </w:t>
      </w:r>
      <w:r w:rsidR="00D86B11" w:rsidRPr="0070317C">
        <w:t>placing a manufactured home or a mobile home on the site</w:t>
      </w:r>
      <w:r w:rsidR="001619CD" w:rsidRPr="0070317C">
        <w:t>;</w:t>
      </w:r>
    </w:p>
    <w:p w14:paraId="3D91D987" w14:textId="77777777" w:rsidR="001619CD" w:rsidRPr="0070317C" w:rsidRDefault="001619CD" w:rsidP="001619CD">
      <w:pPr>
        <w:pStyle w:val="Isubpara"/>
      </w:pPr>
      <w:r w:rsidRPr="0070317C">
        <w:tab/>
        <w:t>(vii</w:t>
      </w:r>
      <w:r w:rsidR="00443E28" w:rsidRPr="0070317C">
        <w:t>i</w:t>
      </w:r>
      <w:r w:rsidRPr="0070317C">
        <w:t>)</w:t>
      </w:r>
      <w:r w:rsidRPr="0070317C">
        <w:tab/>
        <w:t>an agreement prescribed by regulation.</w:t>
      </w:r>
    </w:p>
    <w:p w14:paraId="1F52E2B1" w14:textId="77777777" w:rsidR="00B93B4D" w:rsidRPr="0070317C" w:rsidRDefault="00B93B4D" w:rsidP="00B93B4D">
      <w:pPr>
        <w:pStyle w:val="aExamHdgss"/>
      </w:pPr>
      <w:r w:rsidRPr="0070317C">
        <w:t>Examples—par (b) (iii) (A)</w:t>
      </w:r>
    </w:p>
    <w:p w14:paraId="49CF6130" w14:textId="77777777" w:rsidR="00B93B4D" w:rsidRPr="0070317C" w:rsidRDefault="00B93B4D" w:rsidP="0070317C">
      <w:pPr>
        <w:pStyle w:val="aExamss"/>
        <w:keepNext/>
      </w:pPr>
      <w:r w:rsidRPr="0070317C">
        <w:t>a bedroom in a boarding house, a bed in a dormitory-style room</w:t>
      </w:r>
    </w:p>
    <w:p w14:paraId="33D053D1" w14:textId="77777777" w:rsidR="003149AC" w:rsidRPr="0070317C" w:rsidRDefault="003149AC" w:rsidP="003149AC">
      <w:pPr>
        <w:pStyle w:val="aNote"/>
      </w:pPr>
      <w:r w:rsidRPr="0070317C">
        <w:rPr>
          <w:rStyle w:val="charItals"/>
        </w:rPr>
        <w:t>Note</w:t>
      </w:r>
      <w:r w:rsidRPr="0070317C">
        <w:rPr>
          <w:rStyle w:val="charItals"/>
        </w:rPr>
        <w:tab/>
      </w:r>
      <w:r w:rsidRPr="0070317C">
        <w:t>This Act does not apply to nursing homes, hostels for aged or disabled people or other prescribed premises (see s 4).</w:t>
      </w:r>
    </w:p>
    <w:p w14:paraId="5A2C498C" w14:textId="77777777" w:rsidR="00D85882" w:rsidRPr="0070317C" w:rsidRDefault="0070317C" w:rsidP="0070317C">
      <w:pPr>
        <w:pStyle w:val="AH5Sec"/>
        <w:shd w:val="pct25" w:color="auto" w:fill="auto"/>
      </w:pPr>
      <w:bookmarkStart w:id="28" w:name="_Toc32321199"/>
      <w:r w:rsidRPr="0070317C">
        <w:rPr>
          <w:rStyle w:val="CharSectNo"/>
        </w:rPr>
        <w:t>23</w:t>
      </w:r>
      <w:r w:rsidRPr="0070317C">
        <w:tab/>
      </w:r>
      <w:r w:rsidR="00501564" w:rsidRPr="0070317C">
        <w:t>S</w:t>
      </w:r>
      <w:r w:rsidR="00DA34D2" w:rsidRPr="0070317C">
        <w:t>e</w:t>
      </w:r>
      <w:r w:rsidR="00D85882" w:rsidRPr="0070317C">
        <w:t>ction 71C (4)</w:t>
      </w:r>
      <w:r w:rsidR="003149AC" w:rsidRPr="0070317C">
        <w:t xml:space="preserve"> and note</w:t>
      </w:r>
      <w:bookmarkEnd w:id="28"/>
    </w:p>
    <w:p w14:paraId="700E6AC8" w14:textId="77777777" w:rsidR="00485743" w:rsidRPr="0070317C" w:rsidRDefault="00C32343" w:rsidP="00C32343">
      <w:pPr>
        <w:pStyle w:val="direction"/>
      </w:pPr>
      <w:r w:rsidRPr="0070317C">
        <w:t>substitute</w:t>
      </w:r>
    </w:p>
    <w:p w14:paraId="74235C36" w14:textId="77777777" w:rsidR="00C32343" w:rsidRPr="0070317C" w:rsidRDefault="003C7D15" w:rsidP="00B86829">
      <w:pPr>
        <w:pStyle w:val="IMain"/>
      </w:pPr>
      <w:r w:rsidRPr="0070317C">
        <w:tab/>
        <w:t>(4)</w:t>
      </w:r>
      <w:r w:rsidRPr="0070317C">
        <w:tab/>
      </w:r>
      <w:r w:rsidR="00C32343" w:rsidRPr="0070317C">
        <w:t>In this section:</w:t>
      </w:r>
    </w:p>
    <w:p w14:paraId="0B9570A4" w14:textId="77777777" w:rsidR="00786261" w:rsidRPr="0070317C" w:rsidRDefault="00134E79" w:rsidP="0070317C">
      <w:pPr>
        <w:pStyle w:val="aDef"/>
      </w:pPr>
      <w:r w:rsidRPr="0070317C">
        <w:rPr>
          <w:rStyle w:val="charBoldItals"/>
        </w:rPr>
        <w:t>housing support program</w:t>
      </w:r>
      <w:r w:rsidRPr="0070317C">
        <w:t xml:space="preserve"> means </w:t>
      </w:r>
      <w:r w:rsidR="00786261" w:rsidRPr="0070317C">
        <w:t>a program funded by the Territory under which accommodation is provided for people who—</w:t>
      </w:r>
    </w:p>
    <w:p w14:paraId="7F0F0224" w14:textId="77777777" w:rsidR="00166833" w:rsidRPr="0070317C" w:rsidRDefault="00786261" w:rsidP="00C51491">
      <w:pPr>
        <w:pStyle w:val="Idefpara"/>
      </w:pPr>
      <w:r w:rsidRPr="0070317C">
        <w:tab/>
        <w:t>(a)</w:t>
      </w:r>
      <w:r w:rsidRPr="0070317C">
        <w:tab/>
      </w:r>
      <w:r w:rsidR="00076658" w:rsidRPr="0070317C">
        <w:t xml:space="preserve">are </w:t>
      </w:r>
      <w:r w:rsidRPr="0070317C">
        <w:t>homeless or at risk of homelessness; or</w:t>
      </w:r>
    </w:p>
    <w:p w14:paraId="7DD2129D" w14:textId="77777777" w:rsidR="00002878" w:rsidRPr="0070317C" w:rsidRDefault="00786261" w:rsidP="00C51491">
      <w:pPr>
        <w:pStyle w:val="Idefpara"/>
      </w:pPr>
      <w:r w:rsidRPr="0070317C">
        <w:lastRenderedPageBreak/>
        <w:tab/>
        <w:t>(b)</w:t>
      </w:r>
      <w:r w:rsidRPr="0070317C">
        <w:tab/>
      </w:r>
      <w:r w:rsidR="00076658" w:rsidRPr="0070317C">
        <w:t xml:space="preserve">will </w:t>
      </w:r>
      <w:r w:rsidRPr="0070317C">
        <w:t>receiv</w:t>
      </w:r>
      <w:r w:rsidR="00076658" w:rsidRPr="0070317C">
        <w:t>e</w:t>
      </w:r>
      <w:r w:rsidRPr="0070317C">
        <w:t xml:space="preserve"> welfare </w:t>
      </w:r>
      <w:r w:rsidR="00002878" w:rsidRPr="0070317C">
        <w:t xml:space="preserve">or health </w:t>
      </w:r>
      <w:r w:rsidR="00076658" w:rsidRPr="0070317C">
        <w:t xml:space="preserve">support or </w:t>
      </w:r>
      <w:r w:rsidR="00002878" w:rsidRPr="0070317C">
        <w:t>services</w:t>
      </w:r>
      <w:r w:rsidR="005F782D" w:rsidRPr="0070317C">
        <w:t xml:space="preserve"> when using the accommodation</w:t>
      </w:r>
      <w:r w:rsidR="00002878" w:rsidRPr="0070317C">
        <w:t>.</w:t>
      </w:r>
    </w:p>
    <w:p w14:paraId="7F2114D5" w14:textId="77777777" w:rsidR="00002878" w:rsidRPr="0070317C" w:rsidRDefault="00002878" w:rsidP="005F782D">
      <w:pPr>
        <w:pStyle w:val="aExamHdgss"/>
      </w:pPr>
      <w:r w:rsidRPr="0070317C">
        <w:t>Examples—par (b)</w:t>
      </w:r>
    </w:p>
    <w:p w14:paraId="33291CB3" w14:textId="77777777" w:rsidR="00002878" w:rsidRPr="0070317C" w:rsidRDefault="00002878" w:rsidP="00BD4058">
      <w:pPr>
        <w:pStyle w:val="aExamss"/>
      </w:pPr>
      <w:r w:rsidRPr="0070317C">
        <w:t>alcohol and drug addiction services</w:t>
      </w:r>
    </w:p>
    <w:p w14:paraId="4B3ED977" w14:textId="77777777" w:rsidR="00C32343" w:rsidRPr="0070317C" w:rsidRDefault="00C32343" w:rsidP="0070317C">
      <w:pPr>
        <w:pStyle w:val="aDef"/>
      </w:pPr>
      <w:r w:rsidRPr="0070317C">
        <w:rPr>
          <w:rStyle w:val="charBoldItals"/>
        </w:rPr>
        <w:t>shared facilities</w:t>
      </w:r>
      <w:r w:rsidRPr="0070317C">
        <w:t xml:space="preserve">, in relation to premises, means areas related to the premises, provided for </w:t>
      </w:r>
      <w:r w:rsidR="00D57BE0" w:rsidRPr="0070317C">
        <w:t>shared</w:t>
      </w:r>
      <w:r w:rsidRPr="0070317C">
        <w:t xml:space="preserve"> use by </w:t>
      </w:r>
      <w:r w:rsidR="00D57BE0" w:rsidRPr="0070317C">
        <w:t>people occupying those and other premises</w:t>
      </w:r>
      <w:r w:rsidRPr="0070317C">
        <w:t>.</w:t>
      </w:r>
    </w:p>
    <w:p w14:paraId="45298D49" w14:textId="77777777" w:rsidR="00C32343" w:rsidRPr="0070317C" w:rsidRDefault="00C32343" w:rsidP="00C32343">
      <w:pPr>
        <w:pStyle w:val="aExamHdgss"/>
      </w:pPr>
      <w:r w:rsidRPr="0070317C">
        <w:t>Examples</w:t>
      </w:r>
    </w:p>
    <w:p w14:paraId="661E084D" w14:textId="77777777" w:rsidR="00C32343" w:rsidRPr="0070317C" w:rsidRDefault="00C32343" w:rsidP="00166833">
      <w:pPr>
        <w:pStyle w:val="aExamINumss"/>
      </w:pPr>
      <w:r w:rsidRPr="0070317C">
        <w:t xml:space="preserve">shared </w:t>
      </w:r>
      <w:r w:rsidR="00166833" w:rsidRPr="0070317C">
        <w:t xml:space="preserve">bathroom and toilet, </w:t>
      </w:r>
      <w:r w:rsidRPr="0070317C">
        <w:t>laundry</w:t>
      </w:r>
      <w:r w:rsidR="00166833" w:rsidRPr="0070317C">
        <w:t xml:space="preserve">, </w:t>
      </w:r>
      <w:r w:rsidRPr="0070317C">
        <w:t>kitchen</w:t>
      </w:r>
    </w:p>
    <w:p w14:paraId="2931698F" w14:textId="77777777" w:rsidR="00BD4058" w:rsidRPr="0070317C" w:rsidRDefault="00BD4058" w:rsidP="0070317C">
      <w:pPr>
        <w:pStyle w:val="aDef"/>
      </w:pPr>
      <w:r w:rsidRPr="0070317C">
        <w:rPr>
          <w:rStyle w:val="charBoldItals"/>
        </w:rPr>
        <w:t>sleeping space</w:t>
      </w:r>
      <w:r w:rsidRPr="0070317C">
        <w:t>, in a building, means—</w:t>
      </w:r>
    </w:p>
    <w:p w14:paraId="67AB68E4" w14:textId="77777777" w:rsidR="00BD4058" w:rsidRPr="0070317C" w:rsidRDefault="00BD4058" w:rsidP="008D442A">
      <w:pPr>
        <w:pStyle w:val="Idefpara"/>
      </w:pPr>
      <w:r w:rsidRPr="0070317C">
        <w:tab/>
        <w:t>(a)</w:t>
      </w:r>
      <w:r w:rsidRPr="0070317C">
        <w:tab/>
        <w:t xml:space="preserve">a bedroom; or </w:t>
      </w:r>
    </w:p>
    <w:p w14:paraId="35E3D9C8" w14:textId="77777777" w:rsidR="00BD4058" w:rsidRPr="0070317C" w:rsidRDefault="00BD4058" w:rsidP="008D442A">
      <w:pPr>
        <w:pStyle w:val="Idefpara"/>
      </w:pPr>
      <w:r w:rsidRPr="0070317C">
        <w:tab/>
        <w:t>(b)</w:t>
      </w:r>
      <w:r w:rsidRPr="0070317C">
        <w:tab/>
        <w:t>a bed in a room with other beds.</w:t>
      </w:r>
    </w:p>
    <w:p w14:paraId="0126972A" w14:textId="77777777" w:rsidR="0068702D" w:rsidRPr="0070317C" w:rsidRDefault="0070317C" w:rsidP="0070317C">
      <w:pPr>
        <w:pStyle w:val="AH5Sec"/>
        <w:shd w:val="pct25" w:color="auto" w:fill="auto"/>
      </w:pPr>
      <w:bookmarkStart w:id="29" w:name="_Toc32321200"/>
      <w:r w:rsidRPr="0070317C">
        <w:rPr>
          <w:rStyle w:val="CharSectNo"/>
        </w:rPr>
        <w:t>24</w:t>
      </w:r>
      <w:r w:rsidRPr="0070317C">
        <w:tab/>
      </w:r>
      <w:r w:rsidR="0068702D" w:rsidRPr="0070317C">
        <w:t>New section</w:t>
      </w:r>
      <w:r w:rsidR="00076BBE" w:rsidRPr="0070317C">
        <w:t>s</w:t>
      </w:r>
      <w:r w:rsidR="0068702D" w:rsidRPr="0070317C">
        <w:t xml:space="preserve"> 71CA</w:t>
      </w:r>
      <w:r w:rsidR="00076BBE" w:rsidRPr="0070317C">
        <w:t xml:space="preserve"> and 71CB</w:t>
      </w:r>
      <w:bookmarkEnd w:id="29"/>
    </w:p>
    <w:p w14:paraId="4081E100" w14:textId="77777777" w:rsidR="0068702D" w:rsidRPr="0070317C" w:rsidRDefault="0068702D" w:rsidP="0068702D">
      <w:pPr>
        <w:pStyle w:val="direction"/>
      </w:pPr>
      <w:r w:rsidRPr="0070317C">
        <w:t>insert</w:t>
      </w:r>
    </w:p>
    <w:p w14:paraId="51A1A66D" w14:textId="77777777" w:rsidR="0068702D" w:rsidRPr="0070317C" w:rsidRDefault="0068702D" w:rsidP="0068702D">
      <w:pPr>
        <w:pStyle w:val="IH5Sec"/>
      </w:pPr>
      <w:r w:rsidRPr="0070317C">
        <w:t>71CA</w:t>
      </w:r>
      <w:r w:rsidRPr="0070317C">
        <w:tab/>
        <w:t>Certain types of agreements not occupancy agreements</w:t>
      </w:r>
    </w:p>
    <w:p w14:paraId="417A7857" w14:textId="77777777" w:rsidR="0068702D" w:rsidRPr="0070317C" w:rsidRDefault="0068702D" w:rsidP="00800C93">
      <w:pPr>
        <w:pStyle w:val="Amainreturn"/>
      </w:pPr>
      <w:r w:rsidRPr="0070317C">
        <w:t>An occupancy agreement does not include an agreement—</w:t>
      </w:r>
    </w:p>
    <w:p w14:paraId="12678C28" w14:textId="77777777" w:rsidR="00DB0C8A" w:rsidRPr="0070317C" w:rsidRDefault="00B74026" w:rsidP="00DB0C8A">
      <w:pPr>
        <w:pStyle w:val="Ipara"/>
      </w:pPr>
      <w:r w:rsidRPr="0070317C">
        <w:tab/>
        <w:t>(a)</w:t>
      </w:r>
      <w:r w:rsidRPr="0070317C">
        <w:tab/>
        <w:t xml:space="preserve">under which </w:t>
      </w:r>
      <w:r w:rsidR="00DB0C8A" w:rsidRPr="0070317C">
        <w:t xml:space="preserve">a tenant under a residential tenancy agreement gives </w:t>
      </w:r>
      <w:r w:rsidRPr="0070317C">
        <w:t>a</w:t>
      </w:r>
      <w:r w:rsidR="00DB0C8A" w:rsidRPr="0070317C">
        <w:t xml:space="preserve"> right to occupy the premises the subject of the residential tenancy agreement</w:t>
      </w:r>
      <w:r w:rsidRPr="0070317C">
        <w:t>; or</w:t>
      </w:r>
    </w:p>
    <w:p w14:paraId="2978993F" w14:textId="77777777" w:rsidR="0068702D" w:rsidRPr="0070317C" w:rsidRDefault="00B74026" w:rsidP="0068702D">
      <w:pPr>
        <w:pStyle w:val="Ipara"/>
      </w:pPr>
      <w:r w:rsidRPr="0070317C">
        <w:tab/>
        <w:t>(b)</w:t>
      </w:r>
      <w:r w:rsidRPr="0070317C">
        <w:tab/>
      </w:r>
      <w:r w:rsidR="0068702D" w:rsidRPr="0070317C">
        <w:t>arising under a mortgage entered into honestly in relation to the premises; or</w:t>
      </w:r>
    </w:p>
    <w:p w14:paraId="129BE101" w14:textId="77777777" w:rsidR="0068702D" w:rsidRPr="0070317C" w:rsidRDefault="0068702D" w:rsidP="0068702D">
      <w:pPr>
        <w:pStyle w:val="Ipara"/>
      </w:pPr>
      <w:r w:rsidRPr="0070317C">
        <w:tab/>
        <w:t>(</w:t>
      </w:r>
      <w:r w:rsidR="00B74026" w:rsidRPr="0070317C">
        <w:t>c</w:t>
      </w:r>
      <w:r w:rsidRPr="0070317C">
        <w:t>)</w:t>
      </w:r>
      <w:r w:rsidRPr="0070317C">
        <w:tab/>
        <w:t>arising under a scheme if—</w:t>
      </w:r>
    </w:p>
    <w:p w14:paraId="0113920C" w14:textId="77777777" w:rsidR="0068702D" w:rsidRPr="0070317C" w:rsidRDefault="0068702D" w:rsidP="0068702D">
      <w:pPr>
        <w:pStyle w:val="Isubpara"/>
      </w:pPr>
      <w:r w:rsidRPr="0070317C">
        <w:tab/>
        <w:t>(i)</w:t>
      </w:r>
      <w:r w:rsidRPr="0070317C">
        <w:tab/>
        <w:t>a group of adjacent premises is owned by a company; and</w:t>
      </w:r>
    </w:p>
    <w:p w14:paraId="66D6900D" w14:textId="77777777" w:rsidR="0068702D" w:rsidRPr="0070317C" w:rsidRDefault="0068702D" w:rsidP="0068702D">
      <w:pPr>
        <w:pStyle w:val="Isubpara"/>
      </w:pPr>
      <w:r w:rsidRPr="0070317C">
        <w:tab/>
        <w:t>(ii)</w:t>
      </w:r>
      <w:r w:rsidRPr="0070317C">
        <w:tab/>
        <w:t xml:space="preserve">the </w:t>
      </w:r>
      <w:r w:rsidR="00E9662D" w:rsidRPr="0070317C">
        <w:t>people</w:t>
      </w:r>
      <w:r w:rsidRPr="0070317C">
        <w:t xml:space="preserve"> who have rights to occupy the adjacent premises jointly have a controlling interest in the company; or</w:t>
      </w:r>
    </w:p>
    <w:p w14:paraId="50613DAE" w14:textId="77777777" w:rsidR="0068702D" w:rsidRPr="0070317C" w:rsidRDefault="0068702D" w:rsidP="0068702D">
      <w:pPr>
        <w:pStyle w:val="Ipara"/>
      </w:pPr>
      <w:r w:rsidRPr="0070317C">
        <w:lastRenderedPageBreak/>
        <w:tab/>
        <w:t>(</w:t>
      </w:r>
      <w:r w:rsidR="00B74026" w:rsidRPr="0070317C">
        <w:t>d</w:t>
      </w:r>
      <w:r w:rsidRPr="0070317C">
        <w:t>)</w:t>
      </w:r>
      <w:r w:rsidRPr="0070317C">
        <w:tab/>
        <w:t xml:space="preserve">entered into honestly to </w:t>
      </w:r>
      <w:r w:rsidR="000C0DB0" w:rsidRPr="0070317C">
        <w:t>give</w:t>
      </w:r>
      <w:r w:rsidRPr="0070317C">
        <w:t xml:space="preserve"> a right to occupy the premises for a holiday; or </w:t>
      </w:r>
    </w:p>
    <w:p w14:paraId="3D882449" w14:textId="77777777" w:rsidR="0068702D" w:rsidRPr="0070317C" w:rsidRDefault="0068702D" w:rsidP="007D3C36">
      <w:pPr>
        <w:pStyle w:val="Ipara"/>
      </w:pPr>
      <w:r w:rsidRPr="0070317C">
        <w:tab/>
        <w:t>(</w:t>
      </w:r>
      <w:r w:rsidR="00B74026" w:rsidRPr="0070317C">
        <w:t>e</w:t>
      </w:r>
      <w:r w:rsidRPr="0070317C">
        <w:t>)</w:t>
      </w:r>
      <w:r w:rsidRPr="0070317C">
        <w:tab/>
        <w:t>prescribed by regulation.</w:t>
      </w:r>
    </w:p>
    <w:p w14:paraId="2AE4E9D3" w14:textId="77777777" w:rsidR="00076BBE" w:rsidRPr="0070317C" w:rsidRDefault="00076BBE" w:rsidP="00076BBE">
      <w:pPr>
        <w:pStyle w:val="IH5Sec"/>
      </w:pPr>
      <w:r w:rsidRPr="0070317C">
        <w:t>71CB</w:t>
      </w:r>
      <w:r w:rsidRPr="0070317C">
        <w:tab/>
        <w:t>Occupancy agreement—smoke alarms</w:t>
      </w:r>
    </w:p>
    <w:p w14:paraId="2AEB0D4F" w14:textId="77777777" w:rsidR="00076BBE" w:rsidRPr="0070317C" w:rsidRDefault="00076BBE" w:rsidP="00076BBE">
      <w:pPr>
        <w:pStyle w:val="IMain"/>
      </w:pPr>
      <w:r w:rsidRPr="0070317C">
        <w:tab/>
        <w:t>(1)</w:t>
      </w:r>
      <w:r w:rsidRPr="0070317C">
        <w:tab/>
        <w:t>A grantor must not enter into an occupancy agreement (other than a site-only residential park occupancy agreement) with an occupant in relation to premises unless—</w:t>
      </w:r>
    </w:p>
    <w:p w14:paraId="166A5862" w14:textId="77777777" w:rsidR="00076BBE" w:rsidRPr="0070317C" w:rsidRDefault="00076BBE" w:rsidP="00A75A59">
      <w:pPr>
        <w:pStyle w:val="Ipara"/>
      </w:pPr>
      <w:r w:rsidRPr="0070317C">
        <w:tab/>
        <w:t>(a)</w:t>
      </w:r>
      <w:r w:rsidRPr="0070317C">
        <w:tab/>
        <w:t xml:space="preserve">smoke alarms are installed </w:t>
      </w:r>
      <w:r w:rsidR="008A5D1D" w:rsidRPr="0070317C">
        <w:t>for</w:t>
      </w:r>
      <w:r w:rsidRPr="0070317C">
        <w:t xml:space="preserve"> the premises; and</w:t>
      </w:r>
    </w:p>
    <w:p w14:paraId="08CD626D" w14:textId="77777777" w:rsidR="00076BBE" w:rsidRPr="0070317C" w:rsidRDefault="00076BBE" w:rsidP="0070317C">
      <w:pPr>
        <w:pStyle w:val="Ipara"/>
        <w:keepNext/>
      </w:pPr>
      <w:r w:rsidRPr="0070317C">
        <w:tab/>
        <w:t>(b)</w:t>
      </w:r>
      <w:r w:rsidRPr="0070317C">
        <w:tab/>
        <w:t>the smoke alarms, and the installation of the smoke alarms, comply with the requirements</w:t>
      </w:r>
      <w:r w:rsidR="000C0DB0" w:rsidRPr="0070317C">
        <w:t xml:space="preserve"> prescribed by regulation</w:t>
      </w:r>
      <w:r w:rsidRPr="0070317C">
        <w:t xml:space="preserve"> under section 11B (1) (b).</w:t>
      </w:r>
    </w:p>
    <w:p w14:paraId="4A459343" w14:textId="77777777" w:rsidR="00076BBE" w:rsidRPr="0070317C" w:rsidRDefault="00076BBE" w:rsidP="00A75A59">
      <w:pPr>
        <w:pStyle w:val="aNote"/>
      </w:pPr>
      <w:r w:rsidRPr="0070317C">
        <w:rPr>
          <w:rStyle w:val="charItals"/>
        </w:rPr>
        <w:t>Note</w:t>
      </w:r>
      <w:r w:rsidRPr="0070317C">
        <w:rPr>
          <w:rStyle w:val="charItals"/>
        </w:rPr>
        <w:tab/>
      </w:r>
      <w:r w:rsidRPr="0070317C">
        <w:t>Other requirements may apply in relation to the installation of smoke alarms, for example, requirements under the Building Act 2004.</w:t>
      </w:r>
    </w:p>
    <w:p w14:paraId="6A2F5CDC" w14:textId="77777777" w:rsidR="00076BBE" w:rsidRPr="0070317C" w:rsidRDefault="00076BBE" w:rsidP="00076BBE">
      <w:pPr>
        <w:pStyle w:val="IMain"/>
      </w:pPr>
      <w:r w:rsidRPr="0070317C">
        <w:tab/>
        <w:t>(2)</w:t>
      </w:r>
      <w:r w:rsidRPr="0070317C">
        <w:tab/>
        <w:t>For a site-only residential park occupancy agreement, the occupant must comply with the requirements in subsection (1) (a) and (b).</w:t>
      </w:r>
    </w:p>
    <w:p w14:paraId="360A56DD" w14:textId="77777777" w:rsidR="00076BBE" w:rsidRPr="0070317C" w:rsidRDefault="00076BBE" w:rsidP="00076BBE">
      <w:pPr>
        <w:pStyle w:val="IMain"/>
      </w:pPr>
      <w:r w:rsidRPr="0070317C">
        <w:tab/>
        <w:t>(3)</w:t>
      </w:r>
      <w:r w:rsidRPr="0070317C">
        <w:tab/>
        <w:t>In this section:</w:t>
      </w:r>
    </w:p>
    <w:p w14:paraId="45B32830" w14:textId="77777777" w:rsidR="00076BBE" w:rsidRPr="0070317C" w:rsidRDefault="00076BBE" w:rsidP="0070317C">
      <w:pPr>
        <w:pStyle w:val="aDef"/>
      </w:pPr>
      <w:r w:rsidRPr="0070317C">
        <w:rPr>
          <w:rStyle w:val="charBoldItals"/>
        </w:rPr>
        <w:t>site-only residential park occupancy agreement</w:t>
      </w:r>
      <w:r w:rsidR="00334503" w:rsidRPr="0070317C">
        <w:t xml:space="preserve"> means an occupancy agreement mentioned in section 71C (1) (b) (vii) (B)</w:t>
      </w:r>
      <w:r w:rsidRPr="0070317C">
        <w:t>.</w:t>
      </w:r>
    </w:p>
    <w:p w14:paraId="0519935B" w14:textId="77777777" w:rsidR="00B86829" w:rsidRPr="0070317C" w:rsidRDefault="0070317C" w:rsidP="0070317C">
      <w:pPr>
        <w:pStyle w:val="AH5Sec"/>
        <w:shd w:val="pct25" w:color="auto" w:fill="auto"/>
      </w:pPr>
      <w:bookmarkStart w:id="30" w:name="_Toc32321201"/>
      <w:r w:rsidRPr="0070317C">
        <w:rPr>
          <w:rStyle w:val="CharSectNo"/>
        </w:rPr>
        <w:t>25</w:t>
      </w:r>
      <w:r w:rsidRPr="0070317C">
        <w:tab/>
      </w:r>
      <w:r w:rsidR="00B86829" w:rsidRPr="0070317C">
        <w:t>Section 71D heading</w:t>
      </w:r>
      <w:bookmarkEnd w:id="30"/>
    </w:p>
    <w:p w14:paraId="4136BC56" w14:textId="77777777" w:rsidR="00B86829" w:rsidRPr="0070317C" w:rsidRDefault="00B86829" w:rsidP="00B86829">
      <w:pPr>
        <w:pStyle w:val="direction"/>
      </w:pPr>
      <w:r w:rsidRPr="0070317C">
        <w:t>substitute</w:t>
      </w:r>
    </w:p>
    <w:p w14:paraId="6BE40482" w14:textId="77777777" w:rsidR="00B86829" w:rsidRPr="0070317C" w:rsidRDefault="00DB0C8A" w:rsidP="002F4EF7">
      <w:pPr>
        <w:pStyle w:val="IH5Sec"/>
        <w:keepNext w:val="0"/>
      </w:pPr>
      <w:r w:rsidRPr="0070317C">
        <w:t>71D</w:t>
      </w:r>
      <w:r w:rsidR="00B86829" w:rsidRPr="0070317C">
        <w:tab/>
      </w:r>
      <w:r w:rsidRPr="0070317C">
        <w:t>When does an occupancy start and end?</w:t>
      </w:r>
    </w:p>
    <w:p w14:paraId="258DE431" w14:textId="77777777" w:rsidR="00DB0C8A" w:rsidRPr="0070317C" w:rsidRDefault="0070317C" w:rsidP="002F4EF7">
      <w:pPr>
        <w:pStyle w:val="AH5Sec"/>
        <w:shd w:val="pct25" w:color="auto" w:fill="auto"/>
      </w:pPr>
      <w:bookmarkStart w:id="31" w:name="_Toc32321202"/>
      <w:r w:rsidRPr="0070317C">
        <w:rPr>
          <w:rStyle w:val="CharSectNo"/>
        </w:rPr>
        <w:lastRenderedPageBreak/>
        <w:t>26</w:t>
      </w:r>
      <w:r w:rsidRPr="0070317C">
        <w:tab/>
      </w:r>
      <w:r w:rsidR="00DB0C8A" w:rsidRPr="0070317C">
        <w:t>New section 71D (2)</w:t>
      </w:r>
      <w:bookmarkEnd w:id="31"/>
    </w:p>
    <w:p w14:paraId="4F77F41B" w14:textId="77777777" w:rsidR="00DB0C8A" w:rsidRPr="0070317C" w:rsidRDefault="00DB0C8A" w:rsidP="002F4EF7">
      <w:pPr>
        <w:pStyle w:val="direction"/>
      </w:pPr>
      <w:r w:rsidRPr="0070317C">
        <w:t>insert</w:t>
      </w:r>
    </w:p>
    <w:p w14:paraId="47DC9483" w14:textId="77777777" w:rsidR="00DB0C8A" w:rsidRPr="0070317C" w:rsidRDefault="00723417" w:rsidP="002F4EF7">
      <w:pPr>
        <w:pStyle w:val="IMain"/>
        <w:keepNext/>
      </w:pPr>
      <w:r w:rsidRPr="0070317C">
        <w:tab/>
        <w:t>(2)</w:t>
      </w:r>
      <w:r w:rsidRPr="0070317C">
        <w:tab/>
        <w:t>An occupancy agreement ends on the following day:</w:t>
      </w:r>
    </w:p>
    <w:p w14:paraId="743A4439" w14:textId="77777777" w:rsidR="00723417" w:rsidRPr="0070317C" w:rsidRDefault="00723417" w:rsidP="002F4EF7">
      <w:pPr>
        <w:pStyle w:val="Ipara"/>
        <w:keepNext/>
      </w:pPr>
      <w:r w:rsidRPr="0070317C">
        <w:tab/>
        <w:t>(a)</w:t>
      </w:r>
      <w:r w:rsidRPr="0070317C">
        <w:tab/>
        <w:t>if the agreement is for a fixed term—</w:t>
      </w:r>
    </w:p>
    <w:p w14:paraId="7A58285A" w14:textId="77777777" w:rsidR="00723417" w:rsidRPr="0070317C" w:rsidRDefault="00723417" w:rsidP="00723417">
      <w:pPr>
        <w:pStyle w:val="Isubpara"/>
      </w:pPr>
      <w:r w:rsidRPr="0070317C">
        <w:tab/>
        <w:t>(i)</w:t>
      </w:r>
      <w:r w:rsidRPr="0070317C">
        <w:tab/>
        <w:t>the last day of the fixed term; or</w:t>
      </w:r>
    </w:p>
    <w:p w14:paraId="23110965" w14:textId="77777777" w:rsidR="00723417" w:rsidRPr="0070317C" w:rsidRDefault="00723417" w:rsidP="00723417">
      <w:pPr>
        <w:pStyle w:val="Isubpara"/>
      </w:pPr>
      <w:r w:rsidRPr="0070317C">
        <w:tab/>
        <w:t>(ii)</w:t>
      </w:r>
      <w:r w:rsidRPr="0070317C">
        <w:tab/>
        <w:t>if, with the grantor’s consent, the occupant continues to occupy the premises after the fixed term ends—</w:t>
      </w:r>
    </w:p>
    <w:p w14:paraId="5FA2358A" w14:textId="77777777" w:rsidR="00723417" w:rsidRPr="0070317C" w:rsidRDefault="00723417" w:rsidP="00723417">
      <w:pPr>
        <w:pStyle w:val="Isubsubpara"/>
      </w:pPr>
      <w:r w:rsidRPr="0070317C">
        <w:tab/>
        <w:t>(A)</w:t>
      </w:r>
      <w:r w:rsidRPr="0070317C">
        <w:tab/>
        <w:t>the day agreed by the grantor and occupant; or</w:t>
      </w:r>
    </w:p>
    <w:p w14:paraId="6CECE4C5" w14:textId="77777777" w:rsidR="00723417" w:rsidRPr="0070317C" w:rsidRDefault="00723417" w:rsidP="00723417">
      <w:pPr>
        <w:pStyle w:val="Isubsubpara"/>
      </w:pPr>
      <w:r w:rsidRPr="0070317C">
        <w:tab/>
        <w:t>(B)</w:t>
      </w:r>
      <w:r w:rsidRPr="0070317C">
        <w:tab/>
        <w:t>the day the agreement is terminated under section 71E</w:t>
      </w:r>
      <w:r w:rsidR="00AF685E" w:rsidRPr="0070317C">
        <w:t>K</w:t>
      </w:r>
      <w:r w:rsidRPr="0070317C">
        <w:t>; or</w:t>
      </w:r>
    </w:p>
    <w:p w14:paraId="57113A26" w14:textId="77777777" w:rsidR="00723417" w:rsidRPr="0070317C" w:rsidRDefault="00723417" w:rsidP="00723417">
      <w:pPr>
        <w:pStyle w:val="Ipara"/>
      </w:pPr>
      <w:r w:rsidRPr="0070317C">
        <w:tab/>
        <w:t>(b)</w:t>
      </w:r>
      <w:r w:rsidRPr="0070317C">
        <w:tab/>
        <w:t>if the agreement is not for a fixed term—</w:t>
      </w:r>
    </w:p>
    <w:p w14:paraId="4AF0A2E3" w14:textId="77777777" w:rsidR="009068C0" w:rsidRPr="0070317C" w:rsidRDefault="009068C0" w:rsidP="009068C0">
      <w:pPr>
        <w:pStyle w:val="Isubpara"/>
      </w:pPr>
      <w:r w:rsidRPr="0070317C">
        <w:tab/>
        <w:t>(i)</w:t>
      </w:r>
      <w:r w:rsidRPr="0070317C">
        <w:tab/>
      </w:r>
      <w:r w:rsidR="007140EC" w:rsidRPr="0070317C">
        <w:t>a</w:t>
      </w:r>
      <w:r w:rsidRPr="0070317C">
        <w:t xml:space="preserve"> day agreed by the grantor and occupant; or</w:t>
      </w:r>
    </w:p>
    <w:p w14:paraId="0CA5CB90" w14:textId="77777777" w:rsidR="009068C0" w:rsidRPr="0070317C" w:rsidRDefault="009068C0" w:rsidP="009068C0">
      <w:pPr>
        <w:pStyle w:val="Isubpara"/>
      </w:pPr>
      <w:r w:rsidRPr="0070317C">
        <w:tab/>
        <w:t>(ii)</w:t>
      </w:r>
      <w:r w:rsidRPr="0070317C">
        <w:tab/>
        <w:t>the day the agreement is terminated under section 71E</w:t>
      </w:r>
      <w:r w:rsidR="00AF685E" w:rsidRPr="0070317C">
        <w:t>K</w:t>
      </w:r>
      <w:r w:rsidRPr="0070317C">
        <w:t>.</w:t>
      </w:r>
    </w:p>
    <w:p w14:paraId="4F7F18C5" w14:textId="77777777" w:rsidR="00644FC3" w:rsidRPr="0070317C" w:rsidRDefault="0070317C" w:rsidP="0070317C">
      <w:pPr>
        <w:pStyle w:val="AH5Sec"/>
        <w:shd w:val="pct25" w:color="auto" w:fill="auto"/>
      </w:pPr>
      <w:bookmarkStart w:id="32" w:name="_Toc32321203"/>
      <w:r w:rsidRPr="0070317C">
        <w:rPr>
          <w:rStyle w:val="CharSectNo"/>
        </w:rPr>
        <w:t>27</w:t>
      </w:r>
      <w:r w:rsidRPr="0070317C">
        <w:tab/>
      </w:r>
      <w:r w:rsidR="00644FC3" w:rsidRPr="0070317C">
        <w:t>Section 71E</w:t>
      </w:r>
      <w:bookmarkEnd w:id="32"/>
    </w:p>
    <w:p w14:paraId="59E62604" w14:textId="77777777" w:rsidR="00644FC3" w:rsidRPr="0070317C" w:rsidRDefault="00644FC3" w:rsidP="00644FC3">
      <w:pPr>
        <w:pStyle w:val="direction"/>
      </w:pPr>
      <w:r w:rsidRPr="0070317C">
        <w:t>substitute</w:t>
      </w:r>
    </w:p>
    <w:p w14:paraId="6D4D493B" w14:textId="77777777" w:rsidR="00644FC3" w:rsidRPr="0070317C" w:rsidRDefault="007B3599" w:rsidP="00D62732">
      <w:pPr>
        <w:pStyle w:val="IH5Sec"/>
      </w:pPr>
      <w:r w:rsidRPr="0070317C">
        <w:t>71E</w:t>
      </w:r>
      <w:r w:rsidR="00D62732" w:rsidRPr="0070317C">
        <w:tab/>
      </w:r>
      <w:r w:rsidR="001C37FE" w:rsidRPr="0070317C">
        <w:t xml:space="preserve">Application of </w:t>
      </w:r>
      <w:r w:rsidR="001039BF" w:rsidRPr="0070317C">
        <w:t>o</w:t>
      </w:r>
      <w:r w:rsidR="00644FC3" w:rsidRPr="0070317C">
        <w:t>ccupancy principles</w:t>
      </w:r>
    </w:p>
    <w:p w14:paraId="48FF5E36" w14:textId="77777777" w:rsidR="00F406DE" w:rsidRPr="0070317C" w:rsidRDefault="0070317C" w:rsidP="0070317C">
      <w:pPr>
        <w:pStyle w:val="Amain"/>
      </w:pPr>
      <w:r>
        <w:tab/>
      </w:r>
      <w:r w:rsidRPr="0070317C">
        <w:t>(1)</w:t>
      </w:r>
      <w:r w:rsidRPr="0070317C">
        <w:tab/>
      </w:r>
      <w:r w:rsidR="00D62732" w:rsidRPr="0070317C">
        <w:t>A</w:t>
      </w:r>
      <w:r w:rsidR="00644FC3" w:rsidRPr="0070317C">
        <w:t>n occupancy agreement for premises</w:t>
      </w:r>
      <w:r w:rsidR="00F406DE" w:rsidRPr="0070317C">
        <w:t>—</w:t>
      </w:r>
    </w:p>
    <w:p w14:paraId="07CE082D" w14:textId="77777777" w:rsidR="00644FC3" w:rsidRPr="0070317C" w:rsidRDefault="00F406DE" w:rsidP="00F406DE">
      <w:pPr>
        <w:pStyle w:val="Ipara"/>
      </w:pPr>
      <w:r w:rsidRPr="0070317C">
        <w:tab/>
        <w:t>(a)</w:t>
      </w:r>
      <w:r w:rsidRPr="0070317C">
        <w:tab/>
      </w:r>
      <w:r w:rsidR="008E19B4" w:rsidRPr="0070317C">
        <w:t>is taken to</w:t>
      </w:r>
      <w:r w:rsidR="00D62732" w:rsidRPr="0070317C">
        <w:t xml:space="preserve"> contain </w:t>
      </w:r>
      <w:r w:rsidR="00644FC3" w:rsidRPr="0070317C">
        <w:t xml:space="preserve">the </w:t>
      </w:r>
      <w:r w:rsidRPr="0070317C">
        <w:t xml:space="preserve">occupancy </w:t>
      </w:r>
      <w:r w:rsidR="00644FC3" w:rsidRPr="0070317C">
        <w:t>principles</w:t>
      </w:r>
      <w:r w:rsidRPr="0070317C">
        <w:t>; and</w:t>
      </w:r>
    </w:p>
    <w:p w14:paraId="061C4F90" w14:textId="77777777" w:rsidR="001E0D3F" w:rsidRPr="0070317C" w:rsidRDefault="00F406DE" w:rsidP="00F406DE">
      <w:pPr>
        <w:pStyle w:val="Ipara"/>
      </w:pPr>
      <w:r w:rsidRPr="0070317C">
        <w:tab/>
        <w:t>(b)</w:t>
      </w:r>
      <w:r w:rsidRPr="0070317C">
        <w:tab/>
        <w:t>may contain</w:t>
      </w:r>
      <w:r w:rsidR="001E0D3F" w:rsidRPr="0070317C">
        <w:t>—</w:t>
      </w:r>
    </w:p>
    <w:p w14:paraId="0724F70C" w14:textId="77777777" w:rsidR="001E0D3F" w:rsidRPr="0070317C" w:rsidRDefault="001E0D3F" w:rsidP="001E0D3F">
      <w:pPr>
        <w:pStyle w:val="Isubpara"/>
      </w:pPr>
      <w:r w:rsidRPr="0070317C">
        <w:tab/>
        <w:t>(i)</w:t>
      </w:r>
      <w:r w:rsidRPr="0070317C">
        <w:tab/>
        <w:t>rules about occupying the premises</w:t>
      </w:r>
      <w:r w:rsidR="006732EA" w:rsidRPr="0070317C">
        <w:t xml:space="preserve"> (the </w:t>
      </w:r>
      <w:r w:rsidR="006732EA" w:rsidRPr="0070317C">
        <w:rPr>
          <w:rStyle w:val="charBoldItals"/>
        </w:rPr>
        <w:t>occupancy rules</w:t>
      </w:r>
      <w:r w:rsidR="006732EA" w:rsidRPr="0070317C">
        <w:t>)</w:t>
      </w:r>
      <w:r w:rsidRPr="0070317C">
        <w:t>; and</w:t>
      </w:r>
    </w:p>
    <w:p w14:paraId="30262F86" w14:textId="77777777" w:rsidR="008E19B4" w:rsidRPr="0070317C" w:rsidRDefault="001E0D3F" w:rsidP="007D3C36">
      <w:pPr>
        <w:pStyle w:val="Isubpara"/>
      </w:pPr>
      <w:r w:rsidRPr="0070317C">
        <w:tab/>
        <w:t>(ii)</w:t>
      </w:r>
      <w:r w:rsidRPr="0070317C">
        <w:tab/>
      </w:r>
      <w:r w:rsidR="00CE5664" w:rsidRPr="0070317C">
        <w:t>additional terms</w:t>
      </w:r>
      <w:r w:rsidR="001C37FE" w:rsidRPr="0070317C">
        <w:t>.</w:t>
      </w:r>
    </w:p>
    <w:p w14:paraId="43F9E8F1" w14:textId="77777777" w:rsidR="00F406DE" w:rsidRPr="0070317C" w:rsidRDefault="001C37FE" w:rsidP="001C37FE">
      <w:pPr>
        <w:pStyle w:val="IMain"/>
      </w:pPr>
      <w:r w:rsidRPr="0070317C">
        <w:tab/>
        <w:t>(</w:t>
      </w:r>
      <w:r w:rsidR="008E19B4" w:rsidRPr="0070317C">
        <w:t>2</w:t>
      </w:r>
      <w:r w:rsidRPr="0070317C">
        <w:t>)</w:t>
      </w:r>
      <w:r w:rsidRPr="0070317C">
        <w:tab/>
        <w:t>A</w:t>
      </w:r>
      <w:r w:rsidR="00431368" w:rsidRPr="0070317C">
        <w:t>n</w:t>
      </w:r>
      <w:r w:rsidRPr="0070317C">
        <w:t xml:space="preserve"> </w:t>
      </w:r>
      <w:r w:rsidR="00147185" w:rsidRPr="0070317C">
        <w:t xml:space="preserve">occupancy rule or additional </w:t>
      </w:r>
      <w:r w:rsidRPr="0070317C">
        <w:t xml:space="preserve">term </w:t>
      </w:r>
      <w:r w:rsidR="00147185" w:rsidRPr="0070317C">
        <w:t>in</w:t>
      </w:r>
      <w:r w:rsidRPr="0070317C">
        <w:t xml:space="preserve"> an occupancy agreement is </w:t>
      </w:r>
      <w:r w:rsidR="001039BF" w:rsidRPr="0070317C">
        <w:t xml:space="preserve">void if it is inconsistent </w:t>
      </w:r>
      <w:r w:rsidR="00CE5664" w:rsidRPr="0070317C">
        <w:t>with the occupancy principles</w:t>
      </w:r>
      <w:r w:rsidRPr="0070317C">
        <w:t xml:space="preserve">, this Act </w:t>
      </w:r>
      <w:r w:rsidR="001039BF" w:rsidRPr="0070317C">
        <w:t>or an</w:t>
      </w:r>
      <w:r w:rsidRPr="0070317C">
        <w:t xml:space="preserve">other </w:t>
      </w:r>
      <w:r w:rsidR="00147185" w:rsidRPr="0070317C">
        <w:t>t</w:t>
      </w:r>
      <w:r w:rsidRPr="0070317C">
        <w:t>erritory law.</w:t>
      </w:r>
    </w:p>
    <w:p w14:paraId="656A4768" w14:textId="77777777" w:rsidR="001C37FE" w:rsidRPr="0070317C" w:rsidRDefault="00495ECA" w:rsidP="00495ECA">
      <w:pPr>
        <w:pStyle w:val="IH5Sec"/>
      </w:pPr>
      <w:r w:rsidRPr="0070317C">
        <w:lastRenderedPageBreak/>
        <w:t>71EA</w:t>
      </w:r>
      <w:r w:rsidRPr="0070317C">
        <w:tab/>
      </w:r>
      <w:r w:rsidR="00ED1A0E" w:rsidRPr="0070317C">
        <w:t>Occupancy principles</w:t>
      </w:r>
    </w:p>
    <w:p w14:paraId="3942432A" w14:textId="77777777" w:rsidR="00F406DE" w:rsidRPr="0070317C" w:rsidRDefault="00ED1A0E" w:rsidP="00ED1A0E">
      <w:pPr>
        <w:pStyle w:val="IMain"/>
      </w:pPr>
      <w:r w:rsidRPr="0070317C">
        <w:tab/>
        <w:t>(1)</w:t>
      </w:r>
      <w:r w:rsidRPr="0070317C">
        <w:tab/>
        <w:t>The following</w:t>
      </w:r>
      <w:r w:rsidR="00DF781F" w:rsidRPr="0070317C">
        <w:t xml:space="preserve"> principles</w:t>
      </w:r>
      <w:r w:rsidR="00C9353C" w:rsidRPr="0070317C">
        <w:t xml:space="preserve"> (</w:t>
      </w:r>
      <w:r w:rsidRPr="0070317C">
        <w:t>the</w:t>
      </w:r>
      <w:r w:rsidRPr="0070317C">
        <w:rPr>
          <w:rStyle w:val="charBoldItals"/>
        </w:rPr>
        <w:t xml:space="preserve"> occupancy principles</w:t>
      </w:r>
      <w:r w:rsidR="00C9353C" w:rsidRPr="0070317C">
        <w:t>) apply to an occupancy agreement in relation to premises:</w:t>
      </w:r>
    </w:p>
    <w:p w14:paraId="3E1768B1" w14:textId="77777777" w:rsidR="00644FC3" w:rsidRPr="0070317C" w:rsidRDefault="007526D6" w:rsidP="007526D6">
      <w:pPr>
        <w:pStyle w:val="Ipara"/>
      </w:pPr>
      <w:r w:rsidRPr="0070317C">
        <w:tab/>
        <w:t>(a)</w:t>
      </w:r>
      <w:r w:rsidRPr="0070317C">
        <w:tab/>
      </w:r>
      <w:r w:rsidR="00644FC3" w:rsidRPr="0070317C">
        <w:t>a</w:t>
      </w:r>
      <w:r w:rsidR="005A72FA" w:rsidRPr="0070317C">
        <w:t xml:space="preserve"> grantor must provide </w:t>
      </w:r>
      <w:r w:rsidR="00644FC3" w:rsidRPr="0070317C">
        <w:t>premises that are—</w:t>
      </w:r>
    </w:p>
    <w:p w14:paraId="23181E40" w14:textId="77777777" w:rsidR="00644FC3" w:rsidRPr="0070317C" w:rsidRDefault="007526D6" w:rsidP="007526D6">
      <w:pPr>
        <w:pStyle w:val="Isubpara"/>
      </w:pPr>
      <w:r w:rsidRPr="0070317C">
        <w:tab/>
        <w:t>(i)</w:t>
      </w:r>
      <w:r w:rsidRPr="0070317C">
        <w:tab/>
      </w:r>
      <w:r w:rsidR="00644FC3" w:rsidRPr="0070317C">
        <w:t>reasonably clean; and</w:t>
      </w:r>
    </w:p>
    <w:p w14:paraId="6F4D4FD2" w14:textId="77777777" w:rsidR="00644FC3" w:rsidRPr="0070317C" w:rsidRDefault="007526D6" w:rsidP="007526D6">
      <w:pPr>
        <w:pStyle w:val="Isubpara"/>
      </w:pPr>
      <w:r w:rsidRPr="0070317C">
        <w:tab/>
        <w:t>(ii)</w:t>
      </w:r>
      <w:r w:rsidRPr="0070317C">
        <w:tab/>
      </w:r>
      <w:r w:rsidR="00644FC3" w:rsidRPr="0070317C">
        <w:t>in a reasonable state of repair; and</w:t>
      </w:r>
    </w:p>
    <w:p w14:paraId="03FC0B93" w14:textId="77777777" w:rsidR="007D1C7A" w:rsidRPr="0070317C" w:rsidRDefault="007526D6" w:rsidP="007526D6">
      <w:pPr>
        <w:pStyle w:val="Isubpara"/>
      </w:pPr>
      <w:r w:rsidRPr="0070317C">
        <w:tab/>
        <w:t>(iii)</w:t>
      </w:r>
      <w:r w:rsidRPr="0070317C">
        <w:tab/>
      </w:r>
      <w:r w:rsidR="00644FC3" w:rsidRPr="0070317C">
        <w:t>reasonably secure;</w:t>
      </w:r>
    </w:p>
    <w:p w14:paraId="7754C99C" w14:textId="77777777" w:rsidR="00192808" w:rsidRPr="0070317C" w:rsidRDefault="008A40CC" w:rsidP="008A40CC">
      <w:pPr>
        <w:pStyle w:val="Ipara"/>
      </w:pPr>
      <w:r w:rsidRPr="0070317C">
        <w:tab/>
        <w:t>(b)</w:t>
      </w:r>
      <w:r w:rsidRPr="0070317C">
        <w:tab/>
      </w:r>
      <w:r w:rsidR="00C9353C" w:rsidRPr="0070317C">
        <w:t xml:space="preserve">a grantor must ensure that </w:t>
      </w:r>
      <w:r w:rsidR="00431368" w:rsidRPr="0070317C">
        <w:t>the</w:t>
      </w:r>
      <w:r w:rsidR="009B6A19" w:rsidRPr="0070317C">
        <w:t xml:space="preserve"> </w:t>
      </w:r>
      <w:r w:rsidR="00C9353C" w:rsidRPr="0070317C">
        <w:t xml:space="preserve">occupancy agreement is in writing </w:t>
      </w:r>
      <w:r w:rsidRPr="0070317C">
        <w:t>if</w:t>
      </w:r>
      <w:r w:rsidR="00192808" w:rsidRPr="0070317C">
        <w:t>—</w:t>
      </w:r>
    </w:p>
    <w:p w14:paraId="0AC76341" w14:textId="77777777" w:rsidR="008A40CC" w:rsidRPr="0070317C" w:rsidRDefault="00192808" w:rsidP="00192808">
      <w:pPr>
        <w:pStyle w:val="Isubpara"/>
      </w:pPr>
      <w:r w:rsidRPr="0070317C">
        <w:tab/>
        <w:t>(i)</w:t>
      </w:r>
      <w:r w:rsidRPr="0070317C">
        <w:tab/>
      </w:r>
      <w:r w:rsidR="009B6A19" w:rsidRPr="0070317C">
        <w:t>the</w:t>
      </w:r>
      <w:r w:rsidR="008A40CC" w:rsidRPr="0070317C">
        <w:t xml:space="preserve"> agreement </w:t>
      </w:r>
      <w:r w:rsidR="00E35FE2" w:rsidRPr="0070317C">
        <w:t xml:space="preserve">is </w:t>
      </w:r>
      <w:r w:rsidR="0069316C" w:rsidRPr="0070317C">
        <w:t xml:space="preserve">for </w:t>
      </w:r>
      <w:r w:rsidR="00E35FE2" w:rsidRPr="0070317C">
        <w:t xml:space="preserve">a fixed term </w:t>
      </w:r>
      <w:r w:rsidR="0069316C" w:rsidRPr="0070317C">
        <w:t xml:space="preserve">of more </w:t>
      </w:r>
      <w:r w:rsidR="008A40CC" w:rsidRPr="0070317C">
        <w:t>than 6 weeks;</w:t>
      </w:r>
      <w:r w:rsidRPr="0070317C">
        <w:t xml:space="preserve"> or</w:t>
      </w:r>
    </w:p>
    <w:p w14:paraId="1E377893" w14:textId="77777777" w:rsidR="00C162C4" w:rsidRPr="0070317C" w:rsidRDefault="00192808" w:rsidP="00350665">
      <w:pPr>
        <w:pStyle w:val="Isubpara"/>
      </w:pPr>
      <w:r w:rsidRPr="0070317C">
        <w:tab/>
        <w:t>(ii)</w:t>
      </w:r>
      <w:r w:rsidRPr="0070317C">
        <w:tab/>
      </w:r>
      <w:r w:rsidR="0069316C" w:rsidRPr="0070317C">
        <w:t>if subparagraph (i) does not apply</w:t>
      </w:r>
      <w:r w:rsidR="00837A2B" w:rsidRPr="0070317C">
        <w:t xml:space="preserve"> </w:t>
      </w:r>
      <w:r w:rsidR="00C3733B" w:rsidRPr="0070317C">
        <w:t xml:space="preserve">to the </w:t>
      </w:r>
      <w:r w:rsidR="00E35FE2" w:rsidRPr="0070317C">
        <w:t>agreement</w:t>
      </w:r>
      <w:r w:rsidR="00C3733B" w:rsidRPr="0070317C">
        <w:t>—</w:t>
      </w:r>
      <w:r w:rsidR="00E35FE2" w:rsidRPr="0070317C">
        <w:t>the</w:t>
      </w:r>
      <w:r w:rsidR="00D52313" w:rsidRPr="0070317C">
        <w:t xml:space="preserve"> total time the occupant </w:t>
      </w:r>
      <w:r w:rsidR="00C3733B" w:rsidRPr="0070317C">
        <w:t>occupies</w:t>
      </w:r>
      <w:r w:rsidR="00D52313" w:rsidRPr="0070317C">
        <w:t xml:space="preserve"> the premises </w:t>
      </w:r>
      <w:r w:rsidR="00E35FE2" w:rsidRPr="0070317C">
        <w:t xml:space="preserve">under the agreement </w:t>
      </w:r>
      <w:r w:rsidR="00D52313" w:rsidRPr="0070317C">
        <w:t xml:space="preserve">is </w:t>
      </w:r>
      <w:r w:rsidR="00C3733B" w:rsidRPr="0070317C">
        <w:t>more</w:t>
      </w:r>
      <w:r w:rsidR="00D52313" w:rsidRPr="0070317C">
        <w:t xml:space="preserve"> than 6</w:t>
      </w:r>
      <w:r w:rsidR="00E35FE2" w:rsidRPr="0070317C">
        <w:t> </w:t>
      </w:r>
      <w:r w:rsidR="00D52313" w:rsidRPr="0070317C">
        <w:t>weeks;</w:t>
      </w:r>
    </w:p>
    <w:p w14:paraId="51196F93" w14:textId="77777777" w:rsidR="008853DF" w:rsidRPr="0070317C" w:rsidRDefault="007D1C7A" w:rsidP="00283F35">
      <w:pPr>
        <w:pStyle w:val="Ipara"/>
      </w:pPr>
      <w:r w:rsidRPr="0070317C">
        <w:tab/>
      </w:r>
      <w:r w:rsidR="006A1908" w:rsidRPr="0070317C">
        <w:t>(</w:t>
      </w:r>
      <w:r w:rsidR="00043F20" w:rsidRPr="0070317C">
        <w:t>c</w:t>
      </w:r>
      <w:r w:rsidR="006A1908" w:rsidRPr="0070317C">
        <w:t>)</w:t>
      </w:r>
      <w:r w:rsidR="006A1908" w:rsidRPr="0070317C">
        <w:tab/>
        <w:t xml:space="preserve">a grantor </w:t>
      </w:r>
      <w:r w:rsidR="00545A7F" w:rsidRPr="0070317C">
        <w:t xml:space="preserve">may </w:t>
      </w:r>
      <w:r w:rsidR="006A1908" w:rsidRPr="0070317C">
        <w:t xml:space="preserve">require an occupant to pay a security deposit only </w:t>
      </w:r>
      <w:r w:rsidR="00283F35" w:rsidRPr="0070317C">
        <w:t>in accordance with section 71EC;</w:t>
      </w:r>
    </w:p>
    <w:p w14:paraId="57DA41E1" w14:textId="77777777" w:rsidR="00C618C0" w:rsidRPr="0070317C" w:rsidRDefault="00283F35" w:rsidP="000830A1">
      <w:pPr>
        <w:pStyle w:val="aNotepar"/>
      </w:pPr>
      <w:r w:rsidRPr="0070317C">
        <w:rPr>
          <w:rStyle w:val="charItals"/>
        </w:rPr>
        <w:t>Note</w:t>
      </w:r>
      <w:r w:rsidRPr="0070317C">
        <w:rPr>
          <w:rStyle w:val="charItals"/>
        </w:rPr>
        <w:tab/>
      </w:r>
      <w:r w:rsidRPr="0070317C">
        <w:t>A security deposit payable under an occupancy agreement must be treated as if it were a rental bond lodged with the Territory (see s 71ED).</w:t>
      </w:r>
    </w:p>
    <w:p w14:paraId="6B1E28A8" w14:textId="77777777" w:rsidR="006B0332" w:rsidRPr="0070317C" w:rsidRDefault="006B0332" w:rsidP="006B0332">
      <w:pPr>
        <w:pStyle w:val="Ipara"/>
      </w:pPr>
      <w:r w:rsidRPr="0070317C">
        <w:tab/>
        <w:t>(</w:t>
      </w:r>
      <w:r w:rsidR="00C35842" w:rsidRPr="0070317C">
        <w:t>d</w:t>
      </w:r>
      <w:r w:rsidRPr="0070317C">
        <w:t>)</w:t>
      </w:r>
      <w:r w:rsidRPr="0070317C">
        <w:tab/>
      </w:r>
      <w:r w:rsidR="00313DD1" w:rsidRPr="0070317C">
        <w:t xml:space="preserve">a grantor must give an occupant a written receipt </w:t>
      </w:r>
      <w:r w:rsidR="00301DC8" w:rsidRPr="0070317C">
        <w:t xml:space="preserve">for payments </w:t>
      </w:r>
      <w:r w:rsidR="00C35118" w:rsidRPr="0070317C">
        <w:t xml:space="preserve">made under the occupancy agreement </w:t>
      </w:r>
      <w:r w:rsidR="00911D60" w:rsidRPr="0070317C">
        <w:t xml:space="preserve">in accordance with </w:t>
      </w:r>
      <w:r w:rsidR="00301DC8" w:rsidRPr="0070317C">
        <w:t>section 71E</w:t>
      </w:r>
      <w:r w:rsidR="004D5726" w:rsidRPr="0070317C">
        <w:t>F</w:t>
      </w:r>
      <w:r w:rsidR="00301DC8" w:rsidRPr="0070317C">
        <w:t>;</w:t>
      </w:r>
    </w:p>
    <w:p w14:paraId="7F0A9FA7" w14:textId="77777777" w:rsidR="000C2174" w:rsidRPr="0070317C" w:rsidRDefault="00FE1BF6" w:rsidP="00FE1BF6">
      <w:pPr>
        <w:pStyle w:val="Ipara"/>
      </w:pPr>
      <w:r w:rsidRPr="0070317C">
        <w:tab/>
        <w:t>(</w:t>
      </w:r>
      <w:r w:rsidR="00C35842" w:rsidRPr="0070317C">
        <w:t>e</w:t>
      </w:r>
      <w:r w:rsidRPr="0070317C">
        <w:t>)</w:t>
      </w:r>
      <w:r w:rsidRPr="0070317C">
        <w:tab/>
        <w:t xml:space="preserve">a grantor </w:t>
      </w:r>
      <w:r w:rsidR="005A33AD" w:rsidRPr="0070317C">
        <w:t xml:space="preserve">may only </w:t>
      </w:r>
      <w:r w:rsidR="001567B3" w:rsidRPr="0070317C">
        <w:t>impose</w:t>
      </w:r>
      <w:r w:rsidRPr="0070317C">
        <w:t xml:space="preserve"> a</w:t>
      </w:r>
      <w:r w:rsidR="00206D14" w:rsidRPr="0070317C">
        <w:t>n occupancy rule,</w:t>
      </w:r>
      <w:r w:rsidRPr="0070317C">
        <w:t xml:space="preserve"> fee, charge or penalty </w:t>
      </w:r>
      <w:r w:rsidR="001567B3" w:rsidRPr="0070317C">
        <w:t>on</w:t>
      </w:r>
      <w:r w:rsidRPr="0070317C">
        <w:t xml:space="preserve"> an occupant </w:t>
      </w:r>
      <w:r w:rsidR="005A33AD" w:rsidRPr="0070317C">
        <w:t xml:space="preserve">if the requirements in </w:t>
      </w:r>
      <w:r w:rsidRPr="0070317C">
        <w:t>section</w:t>
      </w:r>
      <w:r w:rsidR="00540D80" w:rsidRPr="0070317C">
        <w:t> </w:t>
      </w:r>
      <w:r w:rsidR="00B82C86" w:rsidRPr="0070317C">
        <w:t>71E</w:t>
      </w:r>
      <w:r w:rsidR="00275FDB" w:rsidRPr="0070317C">
        <w:t>G</w:t>
      </w:r>
      <w:r w:rsidR="00622AB6" w:rsidRPr="0070317C">
        <w:t xml:space="preserve"> </w:t>
      </w:r>
      <w:r w:rsidR="005A33AD" w:rsidRPr="0070317C">
        <w:t>are met</w:t>
      </w:r>
      <w:r w:rsidR="00B82C86" w:rsidRPr="0070317C">
        <w:t>;</w:t>
      </w:r>
    </w:p>
    <w:p w14:paraId="559BB5CA" w14:textId="77777777" w:rsidR="00DA2DFC" w:rsidRPr="0070317C" w:rsidRDefault="00DA2DFC" w:rsidP="00DA2DFC">
      <w:pPr>
        <w:pStyle w:val="Ipara"/>
      </w:pPr>
      <w:r w:rsidRPr="0070317C">
        <w:tab/>
        <w:t>(</w:t>
      </w:r>
      <w:r w:rsidR="00C35842" w:rsidRPr="0070317C">
        <w:t>f</w:t>
      </w:r>
      <w:r w:rsidRPr="0070317C">
        <w:t>)</w:t>
      </w:r>
      <w:r w:rsidRPr="0070317C">
        <w:tab/>
        <w:t>an occupancy rule must be reasonable and proportionate to the outcome sought by the imposition of the rule;</w:t>
      </w:r>
    </w:p>
    <w:p w14:paraId="5199E46B" w14:textId="77777777" w:rsidR="001567B3" w:rsidRPr="0070317C" w:rsidRDefault="001567B3" w:rsidP="002F4EF7">
      <w:pPr>
        <w:pStyle w:val="Ipara"/>
        <w:keepNext/>
      </w:pPr>
      <w:r w:rsidRPr="0070317C">
        <w:lastRenderedPageBreak/>
        <w:tab/>
        <w:t>(</w:t>
      </w:r>
      <w:r w:rsidR="00C35842" w:rsidRPr="0070317C">
        <w:t>g</w:t>
      </w:r>
      <w:r w:rsidRPr="0070317C">
        <w:t>)</w:t>
      </w:r>
      <w:r w:rsidRPr="0070317C">
        <w:tab/>
        <w:t xml:space="preserve">any penalty or consequence </w:t>
      </w:r>
      <w:r w:rsidR="00350665" w:rsidRPr="0070317C">
        <w:t xml:space="preserve">(other than termination of the agreement) </w:t>
      </w:r>
      <w:r w:rsidRPr="0070317C">
        <w:t>for breaching an occupancy rule—</w:t>
      </w:r>
    </w:p>
    <w:p w14:paraId="17DCB524" w14:textId="77777777" w:rsidR="001567B3" w:rsidRPr="0070317C" w:rsidRDefault="001567B3" w:rsidP="001567B3">
      <w:pPr>
        <w:pStyle w:val="Isubpara"/>
      </w:pPr>
      <w:r w:rsidRPr="0070317C">
        <w:tab/>
        <w:t>(i)</w:t>
      </w:r>
      <w:r w:rsidRPr="0070317C">
        <w:tab/>
        <w:t>must be reasonable and proportionate to the seriousness of the breach of the rule; and</w:t>
      </w:r>
    </w:p>
    <w:p w14:paraId="091DD882" w14:textId="77777777" w:rsidR="00DA2DFC" w:rsidRPr="0070317C" w:rsidRDefault="001567B3" w:rsidP="001567B3">
      <w:pPr>
        <w:pStyle w:val="Isubpara"/>
      </w:pPr>
      <w:r w:rsidRPr="0070317C">
        <w:tab/>
        <w:t>(ii)</w:t>
      </w:r>
      <w:r w:rsidRPr="0070317C">
        <w:tab/>
        <w:t>must not impose unreasonable hardship on the occupant;</w:t>
      </w:r>
    </w:p>
    <w:p w14:paraId="5907B011" w14:textId="77777777" w:rsidR="00C834A2" w:rsidRPr="0070317C" w:rsidRDefault="00C834A2" w:rsidP="00345C21">
      <w:pPr>
        <w:pStyle w:val="Ipara"/>
      </w:pPr>
      <w:r w:rsidRPr="0070317C">
        <w:rPr>
          <w:color w:val="4F81BD" w:themeColor="accent1"/>
        </w:rPr>
        <w:tab/>
      </w:r>
      <w:r w:rsidRPr="0070317C">
        <w:t>(h)</w:t>
      </w:r>
      <w:r w:rsidRPr="0070317C">
        <w:tab/>
        <w:t>a grantor must provide the occupant with quiet enjoyment of the premises including access to the premises as set out in section 71EH;</w:t>
      </w:r>
    </w:p>
    <w:p w14:paraId="16FA68E6" w14:textId="77777777" w:rsidR="00644FC3" w:rsidRPr="0070317C" w:rsidRDefault="00345C21" w:rsidP="00345C21">
      <w:pPr>
        <w:pStyle w:val="Ipara"/>
      </w:pPr>
      <w:r w:rsidRPr="0070317C">
        <w:tab/>
        <w:t>(</w:t>
      </w:r>
      <w:r w:rsidR="00C834A2" w:rsidRPr="0070317C">
        <w:t>i</w:t>
      </w:r>
      <w:r w:rsidRPr="0070317C">
        <w:t>)</w:t>
      </w:r>
      <w:r w:rsidRPr="0070317C">
        <w:tab/>
        <w:t xml:space="preserve">a grantor </w:t>
      </w:r>
      <w:r w:rsidR="00CD1589" w:rsidRPr="0070317C">
        <w:t xml:space="preserve">must give the occupant </w:t>
      </w:r>
      <w:r w:rsidR="00D937BD" w:rsidRPr="0070317C">
        <w:t xml:space="preserve">the </w:t>
      </w:r>
      <w:r w:rsidR="00BE62D2" w:rsidRPr="0070317C">
        <w:t xml:space="preserve">information </w:t>
      </w:r>
      <w:r w:rsidR="00D937BD" w:rsidRPr="0070317C">
        <w:t>mentioned in section 71E</w:t>
      </w:r>
      <w:r w:rsidR="00C834A2" w:rsidRPr="0070317C">
        <w:t>I</w:t>
      </w:r>
      <w:r w:rsidR="00D937BD" w:rsidRPr="0070317C">
        <w:t xml:space="preserve"> </w:t>
      </w:r>
      <w:r w:rsidR="00BE62D2" w:rsidRPr="0070317C">
        <w:t xml:space="preserve">about the </w:t>
      </w:r>
      <w:r w:rsidRPr="0070317C">
        <w:t>dispute resolution processes</w:t>
      </w:r>
      <w:r w:rsidR="00BE62D2" w:rsidRPr="0070317C">
        <w:t xml:space="preserve"> that apply to the occupancy agreement</w:t>
      </w:r>
      <w:r w:rsidR="00D937BD" w:rsidRPr="0070317C">
        <w:t>;</w:t>
      </w:r>
    </w:p>
    <w:p w14:paraId="1F97088A" w14:textId="77777777" w:rsidR="008D1DF5" w:rsidRPr="0070317C" w:rsidRDefault="0048529B" w:rsidP="00012264">
      <w:pPr>
        <w:pStyle w:val="Ipara"/>
      </w:pPr>
      <w:r w:rsidRPr="0070317C">
        <w:tab/>
        <w:t>(</w:t>
      </w:r>
      <w:r w:rsidR="00A91BFE" w:rsidRPr="0070317C">
        <w:t>j</w:t>
      </w:r>
      <w:r w:rsidRPr="0070317C">
        <w:t>)</w:t>
      </w:r>
      <w:r w:rsidRPr="0070317C">
        <w:tab/>
      </w:r>
      <w:r w:rsidR="00644FC3" w:rsidRPr="0070317C">
        <w:t xml:space="preserve">a grantor </w:t>
      </w:r>
      <w:r w:rsidRPr="0070317C">
        <w:t xml:space="preserve">may </w:t>
      </w:r>
      <w:r w:rsidR="00644FC3" w:rsidRPr="0070317C">
        <w:t xml:space="preserve">enter the premises </w:t>
      </w:r>
      <w:r w:rsidR="00F74F0F" w:rsidRPr="0070317C">
        <w:t>only in accordance with section 71EJ</w:t>
      </w:r>
      <w:r w:rsidR="00644FC3" w:rsidRPr="0070317C">
        <w:t>;</w:t>
      </w:r>
    </w:p>
    <w:p w14:paraId="002F4677" w14:textId="77777777" w:rsidR="00AD5105" w:rsidRPr="0070317C" w:rsidRDefault="00AD5105" w:rsidP="00AD5105">
      <w:pPr>
        <w:pStyle w:val="Ipara"/>
      </w:pPr>
      <w:r w:rsidRPr="0070317C">
        <w:tab/>
        <w:t>(</w:t>
      </w:r>
      <w:r w:rsidR="00B92143" w:rsidRPr="0070317C">
        <w:t>k</w:t>
      </w:r>
      <w:r w:rsidRPr="0070317C">
        <w:t>)</w:t>
      </w:r>
      <w:r w:rsidRPr="0070317C">
        <w:tab/>
        <w:t>an occupant must not behave in a way that detracts from the  rights of others (including a</w:t>
      </w:r>
      <w:r w:rsidR="007D3C36" w:rsidRPr="0070317C">
        <w:t>nother occupant</w:t>
      </w:r>
      <w:r w:rsidRPr="0070317C">
        <w:t>) to live and work in the premises in a safe environment, free from harassment or intimidation;</w:t>
      </w:r>
    </w:p>
    <w:p w14:paraId="30AEFCC7" w14:textId="77777777" w:rsidR="00C35842" w:rsidRPr="0070317C" w:rsidRDefault="00167DAF" w:rsidP="0001509E">
      <w:pPr>
        <w:pStyle w:val="Ipara"/>
      </w:pPr>
      <w:r w:rsidRPr="0070317C">
        <w:tab/>
        <w:t>(l)</w:t>
      </w:r>
      <w:r w:rsidRPr="0070317C">
        <w:tab/>
        <w:t xml:space="preserve">a </w:t>
      </w:r>
      <w:r w:rsidR="00C35842" w:rsidRPr="0070317C">
        <w:t xml:space="preserve">party to </w:t>
      </w:r>
      <w:r w:rsidR="00431368" w:rsidRPr="0070317C">
        <w:t>the</w:t>
      </w:r>
      <w:r w:rsidR="00C35842" w:rsidRPr="0070317C">
        <w:t xml:space="preserve"> occupancy agreement</w:t>
      </w:r>
      <w:r w:rsidRPr="0070317C">
        <w:t xml:space="preserve"> must </w:t>
      </w:r>
      <w:r w:rsidR="00E4690E" w:rsidRPr="0070317C">
        <w:t xml:space="preserve">not terminate </w:t>
      </w:r>
      <w:r w:rsidR="00C35842" w:rsidRPr="0070317C">
        <w:t>the</w:t>
      </w:r>
      <w:r w:rsidR="00E4690E" w:rsidRPr="0070317C">
        <w:t xml:space="preserve"> agreement </w:t>
      </w:r>
      <w:r w:rsidR="0001509E" w:rsidRPr="0070317C">
        <w:t>otherwise</w:t>
      </w:r>
      <w:r w:rsidR="00E4690E" w:rsidRPr="0070317C">
        <w:t xml:space="preserve"> than in accordance with section 71E</w:t>
      </w:r>
      <w:r w:rsidR="00671596" w:rsidRPr="0070317C">
        <w:t>K</w:t>
      </w:r>
      <w:r w:rsidR="00E4690E" w:rsidRPr="0070317C">
        <w:t>;</w:t>
      </w:r>
    </w:p>
    <w:p w14:paraId="442424F4" w14:textId="77777777" w:rsidR="00644FC3" w:rsidRPr="0070317C" w:rsidRDefault="00C35842" w:rsidP="00C35842">
      <w:pPr>
        <w:pStyle w:val="Ipara"/>
      </w:pPr>
      <w:r w:rsidRPr="0070317C">
        <w:tab/>
        <w:t>(m)</w:t>
      </w:r>
      <w:r w:rsidRPr="0070317C">
        <w:tab/>
      </w:r>
      <w:r w:rsidR="00AD5105" w:rsidRPr="0070317C">
        <w:t>an occupant must vacate the premises</w:t>
      </w:r>
      <w:r w:rsidR="00C053FC" w:rsidRPr="0070317C">
        <w:t xml:space="preserve"> when the agreement ends;</w:t>
      </w:r>
    </w:p>
    <w:p w14:paraId="39AA7185" w14:textId="77777777" w:rsidR="007526D6" w:rsidRPr="0070317C" w:rsidRDefault="001B07F9" w:rsidP="001B07F9">
      <w:pPr>
        <w:pStyle w:val="Ipara"/>
      </w:pPr>
      <w:r w:rsidRPr="0070317C">
        <w:tab/>
        <w:t>(</w:t>
      </w:r>
      <w:r w:rsidR="00C35842" w:rsidRPr="0070317C">
        <w:t>n</w:t>
      </w:r>
      <w:r w:rsidRPr="0070317C">
        <w:t>)</w:t>
      </w:r>
      <w:r w:rsidRPr="0070317C">
        <w:tab/>
      </w:r>
      <w:r w:rsidR="007526D6" w:rsidRPr="0070317C">
        <w:t>a</w:t>
      </w:r>
      <w:r w:rsidR="00C42D62" w:rsidRPr="0070317C">
        <w:t xml:space="preserve">n occupant must, </w:t>
      </w:r>
      <w:r w:rsidRPr="0070317C">
        <w:t xml:space="preserve">at the end of </w:t>
      </w:r>
      <w:r w:rsidR="00431368" w:rsidRPr="0070317C">
        <w:t>the occupancy</w:t>
      </w:r>
      <w:r w:rsidRPr="0070317C">
        <w:t xml:space="preserve"> agreement</w:t>
      </w:r>
      <w:r w:rsidR="00C42D62" w:rsidRPr="0070317C">
        <w:t>,</w:t>
      </w:r>
      <w:r w:rsidR="007526D6" w:rsidRPr="0070317C">
        <w:t xml:space="preserve"> </w:t>
      </w:r>
      <w:r w:rsidR="00DB5848" w:rsidRPr="0070317C">
        <w:t xml:space="preserve">leave </w:t>
      </w:r>
      <w:r w:rsidR="00C42D62" w:rsidRPr="0070317C">
        <w:t xml:space="preserve">the </w:t>
      </w:r>
      <w:r w:rsidR="007526D6" w:rsidRPr="0070317C">
        <w:t>premises—</w:t>
      </w:r>
    </w:p>
    <w:p w14:paraId="5AD1BCBA" w14:textId="77777777" w:rsidR="007526D6" w:rsidRPr="0070317C" w:rsidRDefault="0070317C" w:rsidP="0070317C">
      <w:pPr>
        <w:pStyle w:val="Asubpara"/>
      </w:pPr>
      <w:r>
        <w:tab/>
      </w:r>
      <w:r w:rsidRPr="0070317C">
        <w:t>(i)</w:t>
      </w:r>
      <w:r w:rsidRPr="0070317C">
        <w:tab/>
      </w:r>
      <w:r w:rsidR="004A2EFB" w:rsidRPr="0070317C">
        <w:t>in substantially the same state of cleanliness</w:t>
      </w:r>
      <w:r w:rsidR="00DB5848" w:rsidRPr="0070317C">
        <w:t xml:space="preserve"> the premises were in at the </w:t>
      </w:r>
      <w:r w:rsidR="00754E72" w:rsidRPr="0070317C">
        <w:t>start</w:t>
      </w:r>
      <w:r w:rsidR="00DB5848" w:rsidRPr="0070317C">
        <w:t xml:space="preserve"> of the occupancy agreement</w:t>
      </w:r>
      <w:r w:rsidR="007526D6" w:rsidRPr="0070317C">
        <w:t>; and</w:t>
      </w:r>
    </w:p>
    <w:p w14:paraId="3B421B5D" w14:textId="77777777" w:rsidR="007526D6" w:rsidRPr="0070317C" w:rsidRDefault="0070317C" w:rsidP="0070317C">
      <w:pPr>
        <w:pStyle w:val="Asubpara"/>
      </w:pPr>
      <w:r>
        <w:tab/>
      </w:r>
      <w:r w:rsidRPr="0070317C">
        <w:t>(ii)</w:t>
      </w:r>
      <w:r w:rsidRPr="0070317C">
        <w:tab/>
      </w:r>
      <w:r w:rsidR="00DB5848" w:rsidRPr="0070317C">
        <w:t xml:space="preserve">in substantially the same condition the premises were in at the </w:t>
      </w:r>
      <w:r w:rsidR="00754E72" w:rsidRPr="0070317C">
        <w:t>start</w:t>
      </w:r>
      <w:r w:rsidR="00DB5848" w:rsidRPr="0070317C">
        <w:t xml:space="preserve"> of the occupancy agreement</w:t>
      </w:r>
      <w:r w:rsidR="006F323D" w:rsidRPr="0070317C">
        <w:t xml:space="preserve"> (allowing for fair wear and tear)</w:t>
      </w:r>
      <w:r w:rsidR="007526D6" w:rsidRPr="0070317C">
        <w:t>; and</w:t>
      </w:r>
    </w:p>
    <w:p w14:paraId="722098EC" w14:textId="77777777" w:rsidR="00BB14E6" w:rsidRPr="0070317C" w:rsidRDefault="005732C3" w:rsidP="008D1DF5">
      <w:pPr>
        <w:pStyle w:val="Isubpara"/>
      </w:pPr>
      <w:r w:rsidRPr="0070317C">
        <w:tab/>
        <w:t>(iii)</w:t>
      </w:r>
      <w:r w:rsidRPr="0070317C">
        <w:tab/>
      </w:r>
      <w:r w:rsidR="007526D6" w:rsidRPr="0070317C">
        <w:t>reasonably secure</w:t>
      </w:r>
      <w:r w:rsidR="006F323D" w:rsidRPr="0070317C">
        <w:t>.</w:t>
      </w:r>
    </w:p>
    <w:p w14:paraId="67978347" w14:textId="77777777" w:rsidR="00BF0C80" w:rsidRPr="0070317C" w:rsidRDefault="00F35C28" w:rsidP="00F35C28">
      <w:pPr>
        <w:pStyle w:val="IMain"/>
      </w:pPr>
      <w:r w:rsidRPr="0070317C">
        <w:lastRenderedPageBreak/>
        <w:tab/>
        <w:t>(</w:t>
      </w:r>
      <w:r w:rsidR="00083365" w:rsidRPr="0070317C">
        <w:t>2</w:t>
      </w:r>
      <w:r w:rsidRPr="0070317C">
        <w:t>)</w:t>
      </w:r>
      <w:r w:rsidR="00BF0C80" w:rsidRPr="0070317C">
        <w:tab/>
        <w:t>However, subsection</w:t>
      </w:r>
      <w:r w:rsidR="004B4093" w:rsidRPr="0070317C">
        <w:t> </w:t>
      </w:r>
      <w:r w:rsidR="00BF0C80" w:rsidRPr="0070317C">
        <w:t>(1)</w:t>
      </w:r>
      <w:r w:rsidR="004B4093" w:rsidRPr="0070317C">
        <w:t> </w:t>
      </w:r>
      <w:r w:rsidR="00BF0C80" w:rsidRPr="0070317C">
        <w:t xml:space="preserve">(g) does not apply to a </w:t>
      </w:r>
      <w:r w:rsidR="00E862F7" w:rsidRPr="0070317C">
        <w:t xml:space="preserve">penalty or consequence under a </w:t>
      </w:r>
      <w:r w:rsidR="00344E7F" w:rsidRPr="0070317C">
        <w:t xml:space="preserve">university disciplinary </w:t>
      </w:r>
      <w:r w:rsidR="00A90AA8" w:rsidRPr="0070317C">
        <w:t>requirement</w:t>
      </w:r>
      <w:r w:rsidR="006C70CE" w:rsidRPr="0070317C">
        <w:t xml:space="preserve">. </w:t>
      </w:r>
    </w:p>
    <w:p w14:paraId="3A942A36" w14:textId="77777777" w:rsidR="00F35C28" w:rsidRPr="0070317C" w:rsidRDefault="004B4093" w:rsidP="00F35C28">
      <w:pPr>
        <w:pStyle w:val="IMain"/>
      </w:pPr>
      <w:r w:rsidRPr="0070317C">
        <w:tab/>
        <w:t>(3)</w:t>
      </w:r>
      <w:r w:rsidRPr="0070317C">
        <w:tab/>
      </w:r>
      <w:r w:rsidR="00F35C28" w:rsidRPr="0070317C">
        <w:t xml:space="preserve">If </w:t>
      </w:r>
      <w:r w:rsidR="00754E72" w:rsidRPr="0070317C">
        <w:t xml:space="preserve">subsection (1) (b) (i) does not apply to </w:t>
      </w:r>
      <w:r w:rsidR="00F35C28" w:rsidRPr="0070317C">
        <w:t>an occupancy agreement and the agreement is not in writing, the grantor may comply with</w:t>
      </w:r>
      <w:r w:rsidR="00BE358F" w:rsidRPr="0070317C">
        <w:t xml:space="preserve"> any requirement</w:t>
      </w:r>
      <w:r w:rsidR="00F35C28" w:rsidRPr="0070317C">
        <w:t xml:space="preserve"> </w:t>
      </w:r>
      <w:r w:rsidR="00BE358F" w:rsidRPr="0070317C">
        <w:t xml:space="preserve">in subsection (1) to include information in the agreement by giving the occupant the </w:t>
      </w:r>
      <w:r w:rsidR="00F35C28" w:rsidRPr="0070317C">
        <w:t>information</w:t>
      </w:r>
      <w:r w:rsidR="00431368" w:rsidRPr="0070317C">
        <w:t>,</w:t>
      </w:r>
      <w:r w:rsidR="00F35C28" w:rsidRPr="0070317C">
        <w:t xml:space="preserve"> </w:t>
      </w:r>
      <w:r w:rsidR="00BE358F" w:rsidRPr="0070317C">
        <w:t>in writing</w:t>
      </w:r>
      <w:r w:rsidR="00431368" w:rsidRPr="0070317C">
        <w:t>,</w:t>
      </w:r>
      <w:r w:rsidR="00BE358F" w:rsidRPr="0070317C">
        <w:t xml:space="preserve"> in any other appropriate way</w:t>
      </w:r>
      <w:r w:rsidR="00F35C28" w:rsidRPr="0070317C">
        <w:t xml:space="preserve"> before the agreement </w:t>
      </w:r>
      <w:r w:rsidR="00246A72" w:rsidRPr="0070317C">
        <w:t>starts</w:t>
      </w:r>
      <w:r w:rsidR="00F35C28" w:rsidRPr="0070317C">
        <w:t>.</w:t>
      </w:r>
    </w:p>
    <w:p w14:paraId="61243747" w14:textId="77777777" w:rsidR="00181092" w:rsidRPr="0070317C" w:rsidRDefault="00756733" w:rsidP="009322F9">
      <w:pPr>
        <w:pStyle w:val="IMain"/>
      </w:pPr>
      <w:r w:rsidRPr="0070317C">
        <w:tab/>
        <w:t>(</w:t>
      </w:r>
      <w:r w:rsidR="004B4093" w:rsidRPr="0070317C">
        <w:t>4</w:t>
      </w:r>
      <w:r w:rsidRPr="0070317C">
        <w:t>)</w:t>
      </w:r>
      <w:r w:rsidRPr="0070317C">
        <w:tab/>
      </w:r>
      <w:r w:rsidR="00C06F2B" w:rsidRPr="0070317C">
        <w:t>For a</w:t>
      </w:r>
      <w:r w:rsidR="00181092" w:rsidRPr="0070317C">
        <w:t xml:space="preserve"> site-only residential park occupancy agreement—</w:t>
      </w:r>
    </w:p>
    <w:p w14:paraId="45697A95" w14:textId="77777777" w:rsidR="00A8400E" w:rsidRPr="0070317C" w:rsidRDefault="00A8400E" w:rsidP="00A8400E">
      <w:pPr>
        <w:pStyle w:val="Ipara"/>
      </w:pPr>
      <w:r w:rsidRPr="0070317C">
        <w:tab/>
        <w:t>(a)</w:t>
      </w:r>
      <w:r w:rsidRPr="0070317C">
        <w:tab/>
      </w:r>
      <w:r w:rsidRPr="0070317C">
        <w:rPr>
          <w:rStyle w:val="charBoldItals"/>
        </w:rPr>
        <w:t>premises</w:t>
      </w:r>
      <w:r w:rsidRPr="0070317C">
        <w:t xml:space="preserve"> means the land and any fixtures in the residential park provided by the grantor for the purpose of the occupant placing a manufactured home or a mobile home on the land; and</w:t>
      </w:r>
    </w:p>
    <w:p w14:paraId="7A906D28" w14:textId="77777777" w:rsidR="00BF6F3D" w:rsidRPr="0070317C" w:rsidRDefault="00BF6F3D" w:rsidP="00BF6F3D">
      <w:pPr>
        <w:pStyle w:val="Ipara"/>
      </w:pPr>
      <w:r w:rsidRPr="0070317C">
        <w:tab/>
        <w:t>(b)</w:t>
      </w:r>
      <w:r w:rsidRPr="0070317C">
        <w:tab/>
      </w:r>
      <w:r w:rsidR="00A8400E" w:rsidRPr="0070317C">
        <w:t>the grantor is entitled to enter the occupant’s manufactured home or a mobile home only with reasonable notice, at reasonable times, on reasonable grounds and for reasonable purposes.</w:t>
      </w:r>
    </w:p>
    <w:p w14:paraId="11B89F3B" w14:textId="77777777" w:rsidR="00C06F2B" w:rsidRPr="0070317C" w:rsidRDefault="00C06F2B" w:rsidP="00C06F2B">
      <w:pPr>
        <w:pStyle w:val="IMain"/>
      </w:pPr>
      <w:r w:rsidRPr="0070317C">
        <w:tab/>
        <w:t>(</w:t>
      </w:r>
      <w:r w:rsidR="004B4093" w:rsidRPr="0070317C">
        <w:t>5</w:t>
      </w:r>
      <w:r w:rsidRPr="0070317C">
        <w:t>)</w:t>
      </w:r>
      <w:r w:rsidRPr="0070317C">
        <w:tab/>
        <w:t>In this section:</w:t>
      </w:r>
    </w:p>
    <w:p w14:paraId="72C14C1C" w14:textId="77777777" w:rsidR="00C06F2B" w:rsidRPr="0070317C" w:rsidRDefault="00181092" w:rsidP="0070317C">
      <w:pPr>
        <w:pStyle w:val="aDef"/>
      </w:pPr>
      <w:r w:rsidRPr="0070317C">
        <w:rPr>
          <w:rStyle w:val="charBoldItals"/>
        </w:rPr>
        <w:t>site-only residential park occupancy agreement</w:t>
      </w:r>
      <w:r w:rsidRPr="0070317C">
        <w:t xml:space="preserve"> means an occupancy agreement mentioned in section 71C (1) (b) (vii) (B).</w:t>
      </w:r>
    </w:p>
    <w:p w14:paraId="7C91B86B" w14:textId="250CE880" w:rsidR="00DE193B" w:rsidRPr="0070317C" w:rsidRDefault="00DE193B" w:rsidP="0070317C">
      <w:pPr>
        <w:pStyle w:val="aDef"/>
      </w:pPr>
      <w:r w:rsidRPr="0070317C">
        <w:rPr>
          <w:rStyle w:val="charBoldItals"/>
        </w:rPr>
        <w:t xml:space="preserve">university </w:t>
      </w:r>
      <w:r w:rsidR="006C70CE" w:rsidRPr="0070317C">
        <w:rPr>
          <w:rStyle w:val="charBoldItals"/>
        </w:rPr>
        <w:t xml:space="preserve">disciplinary </w:t>
      </w:r>
      <w:r w:rsidR="00A90AA8" w:rsidRPr="0070317C">
        <w:rPr>
          <w:rStyle w:val="charBoldItals"/>
        </w:rPr>
        <w:t>requirement</w:t>
      </w:r>
      <w:r w:rsidR="006C70CE" w:rsidRPr="0070317C">
        <w:rPr>
          <w:rStyle w:val="charBoldItals"/>
        </w:rPr>
        <w:t xml:space="preserve"> </w:t>
      </w:r>
      <w:r w:rsidRPr="0070317C">
        <w:rPr>
          <w:bCs/>
          <w:iCs/>
        </w:rPr>
        <w:t>means a</w:t>
      </w:r>
      <w:r w:rsidR="00515781" w:rsidRPr="0070317C">
        <w:rPr>
          <w:bCs/>
          <w:iCs/>
        </w:rPr>
        <w:t xml:space="preserve"> </w:t>
      </w:r>
      <w:r w:rsidR="00A90AA8" w:rsidRPr="0070317C">
        <w:rPr>
          <w:bCs/>
          <w:iCs/>
        </w:rPr>
        <w:t xml:space="preserve">statute, </w:t>
      </w:r>
      <w:r w:rsidR="00515781" w:rsidRPr="0070317C">
        <w:rPr>
          <w:bCs/>
          <w:iCs/>
        </w:rPr>
        <w:t>rule</w:t>
      </w:r>
      <w:r w:rsidR="00E862F7" w:rsidRPr="0070317C">
        <w:rPr>
          <w:bCs/>
          <w:iCs/>
        </w:rPr>
        <w:t xml:space="preserve"> </w:t>
      </w:r>
      <w:r w:rsidR="00761C5A" w:rsidRPr="0070317C">
        <w:rPr>
          <w:bCs/>
          <w:iCs/>
        </w:rPr>
        <w:t>or policy</w:t>
      </w:r>
      <w:r w:rsidR="00515781" w:rsidRPr="0070317C">
        <w:rPr>
          <w:bCs/>
          <w:iCs/>
        </w:rPr>
        <w:t xml:space="preserve"> about</w:t>
      </w:r>
      <w:r w:rsidR="00031588" w:rsidRPr="0070317C">
        <w:t xml:space="preserve"> student discipline </w:t>
      </w:r>
      <w:r w:rsidR="00A90AA8" w:rsidRPr="0070317C">
        <w:t>made under, or</w:t>
      </w:r>
      <w:r w:rsidR="00E862F7" w:rsidRPr="0070317C">
        <w:t xml:space="preserve"> </w:t>
      </w:r>
      <w:r w:rsidR="00031588" w:rsidRPr="0070317C">
        <w:t xml:space="preserve">authorised </w:t>
      </w:r>
      <w:r w:rsidR="00A90AA8" w:rsidRPr="0070317C">
        <w:t xml:space="preserve">by, </w:t>
      </w:r>
      <w:r w:rsidRPr="0070317C">
        <w:t xml:space="preserve">the </w:t>
      </w:r>
      <w:hyperlink r:id="rId20" w:tooltip="Act 1991 No 131 (Cwlth)" w:history="1">
        <w:r w:rsidR="009F5F26" w:rsidRPr="0070317C">
          <w:rPr>
            <w:rStyle w:val="charCitHyperlinkItal"/>
          </w:rPr>
          <w:t>Australian National University Act 1991</w:t>
        </w:r>
      </w:hyperlink>
      <w:r w:rsidRPr="0070317C">
        <w:t xml:space="preserve"> (Cwlth)</w:t>
      </w:r>
      <w:r w:rsidR="006C70CE" w:rsidRPr="0070317C">
        <w:t xml:space="preserve"> </w:t>
      </w:r>
      <w:r w:rsidRPr="0070317C">
        <w:t xml:space="preserve">or the </w:t>
      </w:r>
      <w:hyperlink r:id="rId21" w:tooltip="A1989-179" w:history="1">
        <w:r w:rsidR="009F5F26" w:rsidRPr="0070317C">
          <w:rPr>
            <w:rStyle w:val="charCitHyperlinkItal"/>
          </w:rPr>
          <w:t>University of Canberra Act 1989</w:t>
        </w:r>
      </w:hyperlink>
      <w:r w:rsidR="00802F5D" w:rsidRPr="0070317C">
        <w:t>.</w:t>
      </w:r>
    </w:p>
    <w:p w14:paraId="7D5CD096" w14:textId="77777777" w:rsidR="003920E4" w:rsidRPr="0070317C" w:rsidRDefault="003920E4" w:rsidP="003920E4">
      <w:pPr>
        <w:pStyle w:val="IH5Sec"/>
      </w:pPr>
      <w:r w:rsidRPr="0070317C">
        <w:t>71E</w:t>
      </w:r>
      <w:r w:rsidR="00CA496D" w:rsidRPr="0070317C">
        <w:t>B</w:t>
      </w:r>
      <w:r w:rsidRPr="0070317C">
        <w:tab/>
        <w:t>Condition</w:t>
      </w:r>
      <w:r w:rsidR="00F9106A" w:rsidRPr="0070317C">
        <w:t xml:space="preserve"> </w:t>
      </w:r>
      <w:r w:rsidRPr="0070317C">
        <w:t>report</w:t>
      </w:r>
    </w:p>
    <w:p w14:paraId="6CBB0419" w14:textId="77777777" w:rsidR="00972535" w:rsidRPr="0070317C" w:rsidRDefault="00F9106A" w:rsidP="00972535">
      <w:pPr>
        <w:pStyle w:val="IMain"/>
      </w:pPr>
      <w:r w:rsidRPr="0070317C">
        <w:tab/>
        <w:t>(1)</w:t>
      </w:r>
      <w:r w:rsidRPr="0070317C">
        <w:tab/>
        <w:t xml:space="preserve">A grantor must, not later than the day after the occupancy agreement starts, give the occupant </w:t>
      </w:r>
      <w:r w:rsidR="00183F2C" w:rsidRPr="0070317C">
        <w:t>a</w:t>
      </w:r>
      <w:r w:rsidRPr="0070317C">
        <w:t xml:space="preserve"> report about</w:t>
      </w:r>
      <w:r w:rsidR="00431368" w:rsidRPr="0070317C">
        <w:t xml:space="preserve"> </w:t>
      </w:r>
      <w:r w:rsidRPr="0070317C">
        <w:t xml:space="preserve">the state of repair or general condition </w:t>
      </w:r>
      <w:r w:rsidR="0047473E" w:rsidRPr="0070317C">
        <w:t xml:space="preserve">of the premises </w:t>
      </w:r>
      <w:r w:rsidRPr="0070317C">
        <w:t xml:space="preserve">of </w:t>
      </w:r>
      <w:r w:rsidR="00972535" w:rsidRPr="0070317C">
        <w:t>the following on the day the occupant is given the report:</w:t>
      </w:r>
    </w:p>
    <w:p w14:paraId="5D992BCA" w14:textId="77777777" w:rsidR="00F9106A" w:rsidRPr="0070317C" w:rsidRDefault="00972535" w:rsidP="00972535">
      <w:pPr>
        <w:pStyle w:val="Ipara"/>
      </w:pPr>
      <w:r w:rsidRPr="0070317C">
        <w:tab/>
        <w:t>(a)</w:t>
      </w:r>
      <w:r w:rsidRPr="0070317C">
        <w:tab/>
      </w:r>
      <w:r w:rsidR="00F9106A" w:rsidRPr="0070317C">
        <w:t>the premises</w:t>
      </w:r>
      <w:r w:rsidRPr="0070317C">
        <w:t>;</w:t>
      </w:r>
    </w:p>
    <w:p w14:paraId="5831D633" w14:textId="77777777" w:rsidR="00F9106A" w:rsidRPr="0070317C" w:rsidRDefault="00F9106A" w:rsidP="00F9106A">
      <w:pPr>
        <w:pStyle w:val="Ipara"/>
      </w:pPr>
      <w:r w:rsidRPr="0070317C">
        <w:tab/>
        <w:t>(b)</w:t>
      </w:r>
      <w:r w:rsidRPr="0070317C">
        <w:tab/>
        <w:t>any facilities, furniture or goods provided with the premises</w:t>
      </w:r>
      <w:r w:rsidR="00972535" w:rsidRPr="0070317C">
        <w:t>.</w:t>
      </w:r>
    </w:p>
    <w:p w14:paraId="0AF33900" w14:textId="77777777" w:rsidR="00585099" w:rsidRPr="0070317C" w:rsidRDefault="000F3E89" w:rsidP="007D3C36">
      <w:pPr>
        <w:pStyle w:val="IMain"/>
      </w:pPr>
      <w:r w:rsidRPr="0070317C">
        <w:lastRenderedPageBreak/>
        <w:tab/>
        <w:t>(2)</w:t>
      </w:r>
      <w:r w:rsidRPr="0070317C">
        <w:tab/>
        <w:t xml:space="preserve">The </w:t>
      </w:r>
      <w:r w:rsidR="00B90982" w:rsidRPr="0070317C">
        <w:t xml:space="preserve">grantor </w:t>
      </w:r>
      <w:r w:rsidRPr="0070317C">
        <w:t xml:space="preserve">must sign the report and give the </w:t>
      </w:r>
      <w:r w:rsidR="00B90982" w:rsidRPr="0070317C">
        <w:t>occupant</w:t>
      </w:r>
      <w:r w:rsidRPr="0070317C">
        <w:t xml:space="preserve"> a reasonable</w:t>
      </w:r>
      <w:r w:rsidR="00B90982" w:rsidRPr="0070317C">
        <w:t xml:space="preserve"> opportunity to </w:t>
      </w:r>
      <w:r w:rsidR="00CA496D" w:rsidRPr="0070317C">
        <w:t>check the content of the condition report.</w:t>
      </w:r>
    </w:p>
    <w:p w14:paraId="2FDE59A4" w14:textId="77777777" w:rsidR="0047473E" w:rsidRPr="0070317C" w:rsidRDefault="000F3E89" w:rsidP="00610E02">
      <w:pPr>
        <w:pStyle w:val="IMain"/>
      </w:pPr>
      <w:r w:rsidRPr="0070317C">
        <w:tab/>
        <w:t>(3)</w:t>
      </w:r>
      <w:r w:rsidRPr="0070317C">
        <w:tab/>
      </w:r>
      <w:r w:rsidR="00CA496D" w:rsidRPr="0070317C">
        <w:t xml:space="preserve">If the grantor does not </w:t>
      </w:r>
      <w:r w:rsidR="00CA3F19" w:rsidRPr="0070317C">
        <w:t xml:space="preserve">give the occupant a condition report for the premises, </w:t>
      </w:r>
      <w:r w:rsidR="00811E7B" w:rsidRPr="0070317C">
        <w:t>unless there is evidence to the contra</w:t>
      </w:r>
      <w:r w:rsidR="00C6531C" w:rsidRPr="0070317C">
        <w:t>r</w:t>
      </w:r>
      <w:r w:rsidR="00811E7B" w:rsidRPr="0070317C">
        <w:t>y,</w:t>
      </w:r>
      <w:r w:rsidR="00C6531C" w:rsidRPr="0070317C">
        <w:t xml:space="preserve"> </w:t>
      </w:r>
      <w:r w:rsidR="00CA3F19" w:rsidRPr="0070317C">
        <w:t xml:space="preserve">the state of repair or general condition of the premises is </w:t>
      </w:r>
      <w:r w:rsidR="00C6531C" w:rsidRPr="0070317C">
        <w:t>taken to be the same at the end of the occupancy agreement as they were at the start of the agreement.</w:t>
      </w:r>
    </w:p>
    <w:p w14:paraId="0021BB9A" w14:textId="77777777" w:rsidR="00FE0B7D" w:rsidRPr="0070317C" w:rsidRDefault="00F76988" w:rsidP="00F76988">
      <w:pPr>
        <w:pStyle w:val="IH5Sec"/>
      </w:pPr>
      <w:r w:rsidRPr="0070317C">
        <w:t>71E</w:t>
      </w:r>
      <w:r w:rsidR="00CA496D" w:rsidRPr="0070317C">
        <w:t>C</w:t>
      </w:r>
      <w:r w:rsidRPr="0070317C">
        <w:tab/>
        <w:t>Payment of security deposit</w:t>
      </w:r>
    </w:p>
    <w:p w14:paraId="2926C050" w14:textId="77777777" w:rsidR="005F5518" w:rsidRPr="0070317C" w:rsidRDefault="00FE0B7D" w:rsidP="00FE0B7D">
      <w:pPr>
        <w:pStyle w:val="IMain"/>
      </w:pPr>
      <w:r w:rsidRPr="0070317C">
        <w:tab/>
        <w:t>(1)</w:t>
      </w:r>
      <w:r w:rsidRPr="0070317C">
        <w:tab/>
        <w:t>A grantor m</w:t>
      </w:r>
      <w:r w:rsidR="00916168" w:rsidRPr="0070317C">
        <w:t xml:space="preserve">ust not </w:t>
      </w:r>
      <w:r w:rsidRPr="0070317C">
        <w:t xml:space="preserve">require an occupant </w:t>
      </w:r>
      <w:r w:rsidR="00E555A1" w:rsidRPr="0070317C">
        <w:t xml:space="preserve">under an occupancy agreement for premises </w:t>
      </w:r>
      <w:r w:rsidRPr="0070317C">
        <w:t xml:space="preserve">to pay a security deposit </w:t>
      </w:r>
      <w:r w:rsidR="005F5518" w:rsidRPr="0070317C">
        <w:t>unless—</w:t>
      </w:r>
    </w:p>
    <w:p w14:paraId="4EAC8DD6" w14:textId="77777777" w:rsidR="00246A72" w:rsidRPr="0070317C" w:rsidRDefault="00A12793" w:rsidP="00A12793">
      <w:pPr>
        <w:pStyle w:val="Ipara"/>
      </w:pPr>
      <w:r w:rsidRPr="0070317C">
        <w:tab/>
        <w:t>(a)</w:t>
      </w:r>
      <w:r w:rsidRPr="0070317C">
        <w:tab/>
      </w:r>
      <w:r w:rsidR="00FE0B7D" w:rsidRPr="0070317C">
        <w:t>the agreement is</w:t>
      </w:r>
      <w:r w:rsidR="00246A72" w:rsidRPr="0070317C">
        <w:t>—</w:t>
      </w:r>
    </w:p>
    <w:p w14:paraId="4CCA2BA0" w14:textId="77777777" w:rsidR="00246A72" w:rsidRPr="0070317C" w:rsidRDefault="00246A72" w:rsidP="00246A72">
      <w:pPr>
        <w:pStyle w:val="Isubpara"/>
      </w:pPr>
      <w:r w:rsidRPr="0070317C">
        <w:tab/>
        <w:t>(i)</w:t>
      </w:r>
      <w:r w:rsidRPr="0070317C">
        <w:tab/>
        <w:t>in writing; and</w:t>
      </w:r>
    </w:p>
    <w:p w14:paraId="02F86DA6" w14:textId="77777777" w:rsidR="00FE0B7D" w:rsidRPr="0070317C" w:rsidRDefault="00246A72" w:rsidP="00246A72">
      <w:pPr>
        <w:pStyle w:val="Isubpara"/>
      </w:pPr>
      <w:r w:rsidRPr="0070317C">
        <w:tab/>
        <w:t>(ii)</w:t>
      </w:r>
      <w:r w:rsidRPr="0070317C">
        <w:tab/>
      </w:r>
      <w:r w:rsidR="00FE0B7D" w:rsidRPr="0070317C">
        <w:t xml:space="preserve">for </w:t>
      </w:r>
      <w:r w:rsidR="00916168" w:rsidRPr="0070317C">
        <w:t xml:space="preserve">a </w:t>
      </w:r>
      <w:r w:rsidRPr="0070317C">
        <w:t xml:space="preserve">fixed </w:t>
      </w:r>
      <w:r w:rsidR="00916168" w:rsidRPr="0070317C">
        <w:t xml:space="preserve">term of </w:t>
      </w:r>
      <w:r w:rsidR="00223AB8" w:rsidRPr="0070317C">
        <w:t xml:space="preserve">more than </w:t>
      </w:r>
      <w:r w:rsidR="00FE0B7D" w:rsidRPr="0070317C">
        <w:t>14 day</w:t>
      </w:r>
      <w:r w:rsidR="006111B4" w:rsidRPr="0070317C">
        <w:t>s</w:t>
      </w:r>
      <w:r w:rsidR="00A12793" w:rsidRPr="0070317C">
        <w:t>; and</w:t>
      </w:r>
    </w:p>
    <w:p w14:paraId="0F932896" w14:textId="77777777" w:rsidR="005014D5" w:rsidRPr="0070317C" w:rsidRDefault="00A12793" w:rsidP="00CC1D46">
      <w:pPr>
        <w:pStyle w:val="Ipara"/>
      </w:pPr>
      <w:r w:rsidRPr="0070317C">
        <w:tab/>
        <w:t>(b)</w:t>
      </w:r>
      <w:r w:rsidRPr="0070317C">
        <w:tab/>
      </w:r>
      <w:r w:rsidR="00CA496D" w:rsidRPr="0070317C">
        <w:t>the grantor complies with section 71EB</w:t>
      </w:r>
      <w:r w:rsidR="00183F2C" w:rsidRPr="0070317C">
        <w:t xml:space="preserve"> in relation to a condition report.</w:t>
      </w:r>
    </w:p>
    <w:p w14:paraId="1B88CD93" w14:textId="77777777" w:rsidR="00EF2097" w:rsidRPr="0070317C" w:rsidRDefault="00FE0B7D" w:rsidP="00FE0B7D">
      <w:pPr>
        <w:pStyle w:val="IMain"/>
      </w:pPr>
      <w:r w:rsidRPr="0070317C">
        <w:tab/>
        <w:t>(2)</w:t>
      </w:r>
      <w:r w:rsidRPr="0070317C">
        <w:tab/>
      </w:r>
      <w:r w:rsidR="00EF2097" w:rsidRPr="0070317C">
        <w:t xml:space="preserve">The </w:t>
      </w:r>
      <w:r w:rsidR="006111B4" w:rsidRPr="0070317C">
        <w:t xml:space="preserve">maximum </w:t>
      </w:r>
      <w:r w:rsidR="00EF2097" w:rsidRPr="0070317C">
        <w:t xml:space="preserve">amount of a security deposit </w:t>
      </w:r>
      <w:r w:rsidR="006111B4" w:rsidRPr="0070317C">
        <w:t>i</w:t>
      </w:r>
      <w:r w:rsidR="00EF2097" w:rsidRPr="0070317C">
        <w:t>s—</w:t>
      </w:r>
    </w:p>
    <w:p w14:paraId="6A434B07" w14:textId="77777777" w:rsidR="00644FC3" w:rsidRPr="0070317C" w:rsidRDefault="00EF2097" w:rsidP="00EF2097">
      <w:pPr>
        <w:pStyle w:val="Ipara"/>
      </w:pPr>
      <w:r w:rsidRPr="0070317C">
        <w:tab/>
        <w:t>(a)</w:t>
      </w:r>
      <w:r w:rsidRPr="0070317C">
        <w:tab/>
        <w:t xml:space="preserve">for an occupancy agreement </w:t>
      </w:r>
      <w:r w:rsidR="0064043E" w:rsidRPr="0070317C">
        <w:t xml:space="preserve">with </w:t>
      </w:r>
      <w:r w:rsidR="002B49CB" w:rsidRPr="0070317C">
        <w:t xml:space="preserve">a </w:t>
      </w:r>
      <w:r w:rsidR="00246A72" w:rsidRPr="0070317C">
        <w:t xml:space="preserve">fixed </w:t>
      </w:r>
      <w:r w:rsidR="002B49CB" w:rsidRPr="0070317C">
        <w:t xml:space="preserve">term of </w:t>
      </w:r>
      <w:r w:rsidR="0064043E" w:rsidRPr="0070317C">
        <w:t xml:space="preserve">more </w:t>
      </w:r>
      <w:r w:rsidR="002B49CB" w:rsidRPr="0070317C">
        <w:t>than 14 days but less than 6 months—</w:t>
      </w:r>
      <w:r w:rsidR="006A1B8E" w:rsidRPr="0070317C">
        <w:t xml:space="preserve">an amount of </w:t>
      </w:r>
      <w:r w:rsidR="002B49CB" w:rsidRPr="0070317C">
        <w:t xml:space="preserve">no more than the </w:t>
      </w:r>
      <w:r w:rsidR="005D5CC8" w:rsidRPr="0070317C">
        <w:t>first</w:t>
      </w:r>
      <w:r w:rsidR="002B49CB" w:rsidRPr="0070317C">
        <w:t xml:space="preserve"> 2 weeks of </w:t>
      </w:r>
      <w:r w:rsidR="005D5CC8" w:rsidRPr="0070317C">
        <w:t xml:space="preserve">any </w:t>
      </w:r>
      <w:r w:rsidR="002B49CB" w:rsidRPr="0070317C">
        <w:t>occupancy fee</w:t>
      </w:r>
      <w:r w:rsidR="005D5CC8" w:rsidRPr="0070317C">
        <w:t xml:space="preserve"> payable under the agreement</w:t>
      </w:r>
      <w:r w:rsidR="002B49CB" w:rsidRPr="0070317C">
        <w:t>;</w:t>
      </w:r>
      <w:r w:rsidR="00431368" w:rsidRPr="0070317C">
        <w:t xml:space="preserve"> or</w:t>
      </w:r>
    </w:p>
    <w:p w14:paraId="32A24873" w14:textId="77777777" w:rsidR="00644FC3" w:rsidRPr="0070317C" w:rsidRDefault="002B49CB" w:rsidP="002B49CB">
      <w:pPr>
        <w:pStyle w:val="Ipara"/>
      </w:pPr>
      <w:r w:rsidRPr="0070317C">
        <w:tab/>
        <w:t>(b)</w:t>
      </w:r>
      <w:r w:rsidRPr="0070317C">
        <w:tab/>
        <w:t xml:space="preserve">for an occupancy agreement </w:t>
      </w:r>
      <w:r w:rsidR="0064043E" w:rsidRPr="0070317C">
        <w:t xml:space="preserve">with </w:t>
      </w:r>
      <w:r w:rsidRPr="0070317C">
        <w:t xml:space="preserve">a </w:t>
      </w:r>
      <w:r w:rsidR="00246A72" w:rsidRPr="0070317C">
        <w:t xml:space="preserve">fixed </w:t>
      </w:r>
      <w:r w:rsidRPr="0070317C">
        <w:t>term of 6 months or longer—</w:t>
      </w:r>
      <w:r w:rsidR="006A1B8E" w:rsidRPr="0070317C">
        <w:t xml:space="preserve">an amount of no </w:t>
      </w:r>
      <w:r w:rsidR="00916168" w:rsidRPr="0070317C">
        <w:t xml:space="preserve">more than the </w:t>
      </w:r>
      <w:r w:rsidR="00637C8E" w:rsidRPr="0070317C">
        <w:t xml:space="preserve">first </w:t>
      </w:r>
      <w:r w:rsidR="00916168" w:rsidRPr="0070317C">
        <w:t>4</w:t>
      </w:r>
      <w:r w:rsidRPr="0070317C">
        <w:t xml:space="preserve"> weeks of </w:t>
      </w:r>
      <w:r w:rsidR="00637C8E" w:rsidRPr="0070317C">
        <w:t xml:space="preserve">any </w:t>
      </w:r>
      <w:r w:rsidRPr="0070317C">
        <w:t>occupancy f</w:t>
      </w:r>
      <w:r w:rsidR="00916168" w:rsidRPr="0070317C">
        <w:t>ee</w:t>
      </w:r>
      <w:r w:rsidR="00637C8E" w:rsidRPr="0070317C">
        <w:t xml:space="preserve"> payable under the agreement</w:t>
      </w:r>
      <w:r w:rsidR="00916168" w:rsidRPr="0070317C">
        <w:t>.</w:t>
      </w:r>
    </w:p>
    <w:p w14:paraId="16C235C0" w14:textId="77777777" w:rsidR="004501E7" w:rsidRPr="0070317C" w:rsidRDefault="0064043E" w:rsidP="0051020B">
      <w:pPr>
        <w:pStyle w:val="IMain"/>
      </w:pPr>
      <w:r w:rsidRPr="0070317C">
        <w:tab/>
        <w:t>(3)</w:t>
      </w:r>
      <w:r w:rsidRPr="0070317C">
        <w:tab/>
      </w:r>
      <w:r w:rsidR="00C34663" w:rsidRPr="0070317C">
        <w:t xml:space="preserve">The amount of the </w:t>
      </w:r>
      <w:r w:rsidR="005F5518" w:rsidRPr="0070317C">
        <w:t xml:space="preserve">security deposit </w:t>
      </w:r>
      <w:r w:rsidR="00C34663" w:rsidRPr="0070317C">
        <w:t>must be stated in the occupancy agreement</w:t>
      </w:r>
      <w:r w:rsidR="006111B4" w:rsidRPr="0070317C">
        <w:t>.</w:t>
      </w:r>
    </w:p>
    <w:p w14:paraId="3394D5A7" w14:textId="77777777" w:rsidR="009221C3" w:rsidRPr="0070317C" w:rsidRDefault="0061094D" w:rsidP="0061094D">
      <w:pPr>
        <w:pStyle w:val="IMain"/>
      </w:pPr>
      <w:r w:rsidRPr="0070317C">
        <w:tab/>
        <w:t>(</w:t>
      </w:r>
      <w:r w:rsidR="00014EF1" w:rsidRPr="0070317C">
        <w:t>4</w:t>
      </w:r>
      <w:r w:rsidRPr="0070317C">
        <w:t>)</w:t>
      </w:r>
      <w:r w:rsidRPr="0070317C">
        <w:tab/>
      </w:r>
      <w:r w:rsidR="009221C3" w:rsidRPr="0070317C">
        <w:t>A</w:t>
      </w:r>
      <w:r w:rsidR="00014EF1" w:rsidRPr="0070317C">
        <w:t xml:space="preserve"> grantor must not</w:t>
      </w:r>
      <w:r w:rsidR="0056586F" w:rsidRPr="0070317C">
        <w:t xml:space="preserve"> require or accept</w:t>
      </w:r>
      <w:r w:rsidR="009221C3" w:rsidRPr="0070317C">
        <w:t>—</w:t>
      </w:r>
    </w:p>
    <w:p w14:paraId="6FD52568" w14:textId="77777777" w:rsidR="0061094D" w:rsidRPr="0070317C" w:rsidRDefault="009221C3" w:rsidP="009221C3">
      <w:pPr>
        <w:pStyle w:val="Ipara"/>
      </w:pPr>
      <w:r w:rsidRPr="0070317C">
        <w:tab/>
        <w:t>(a)</w:t>
      </w:r>
      <w:r w:rsidRPr="0070317C">
        <w:tab/>
      </w:r>
      <w:r w:rsidR="00014EF1" w:rsidRPr="0070317C">
        <w:t xml:space="preserve">more than 1 </w:t>
      </w:r>
      <w:r w:rsidR="001D502C" w:rsidRPr="0070317C">
        <w:t>security deposit</w:t>
      </w:r>
      <w:r w:rsidR="00014EF1" w:rsidRPr="0070317C">
        <w:t xml:space="preserve"> in relation to </w:t>
      </w:r>
      <w:r w:rsidRPr="0070317C">
        <w:t>an</w:t>
      </w:r>
      <w:r w:rsidR="00014EF1" w:rsidRPr="0070317C">
        <w:t xml:space="preserve"> occupancy agreement</w:t>
      </w:r>
      <w:r w:rsidRPr="0070317C">
        <w:t>; or</w:t>
      </w:r>
    </w:p>
    <w:p w14:paraId="5F08FA65" w14:textId="77777777" w:rsidR="00703218" w:rsidRPr="0070317C" w:rsidRDefault="009221C3" w:rsidP="009221C3">
      <w:pPr>
        <w:pStyle w:val="Ipara"/>
      </w:pPr>
      <w:r w:rsidRPr="0070317C">
        <w:lastRenderedPageBreak/>
        <w:tab/>
        <w:t>(b)</w:t>
      </w:r>
      <w:r w:rsidRPr="0070317C">
        <w:tab/>
      </w:r>
      <w:r w:rsidR="0056586F" w:rsidRPr="0070317C">
        <w:t xml:space="preserve">a </w:t>
      </w:r>
      <w:r w:rsidR="001D502C" w:rsidRPr="0070317C">
        <w:t>security deposit</w:t>
      </w:r>
      <w:r w:rsidR="0056586F" w:rsidRPr="0070317C">
        <w:t xml:space="preserve"> from a</w:t>
      </w:r>
      <w:r w:rsidR="00703218" w:rsidRPr="0070317C">
        <w:t xml:space="preserve">n occupant </w:t>
      </w:r>
      <w:r w:rsidR="00D564E9" w:rsidRPr="0070317C">
        <w:t xml:space="preserve">under an occupancy agreement </w:t>
      </w:r>
      <w:r w:rsidR="000B03AA" w:rsidRPr="0070317C">
        <w:t xml:space="preserve">for premises </w:t>
      </w:r>
      <w:r w:rsidR="00D564E9" w:rsidRPr="0070317C">
        <w:t xml:space="preserve">(the </w:t>
      </w:r>
      <w:r w:rsidR="00D564E9" w:rsidRPr="0070317C">
        <w:rPr>
          <w:rStyle w:val="charBoldItals"/>
        </w:rPr>
        <w:t>current agreement</w:t>
      </w:r>
      <w:r w:rsidR="00D564E9" w:rsidRPr="0070317C">
        <w:t xml:space="preserve">) </w:t>
      </w:r>
      <w:r w:rsidR="00703218" w:rsidRPr="0070317C">
        <w:t>if—</w:t>
      </w:r>
    </w:p>
    <w:p w14:paraId="767AD904" w14:textId="77777777" w:rsidR="00703218" w:rsidRPr="0070317C" w:rsidRDefault="00703218" w:rsidP="00703218">
      <w:pPr>
        <w:pStyle w:val="Isubpara"/>
      </w:pPr>
      <w:r w:rsidRPr="0070317C">
        <w:tab/>
        <w:t>(i)</w:t>
      </w:r>
      <w:r w:rsidRPr="0070317C">
        <w:tab/>
      </w:r>
      <w:r w:rsidR="00D564E9" w:rsidRPr="0070317C">
        <w:t>the occupant occupie</w:t>
      </w:r>
      <w:r w:rsidR="000B03AA" w:rsidRPr="0070317C">
        <w:t>d</w:t>
      </w:r>
      <w:r w:rsidR="00D564E9" w:rsidRPr="0070317C">
        <w:t xml:space="preserve"> </w:t>
      </w:r>
      <w:r w:rsidR="000B03AA" w:rsidRPr="0070317C">
        <w:t xml:space="preserve">the </w:t>
      </w:r>
      <w:r w:rsidR="00D564E9" w:rsidRPr="0070317C">
        <w:t>premises</w:t>
      </w:r>
      <w:r w:rsidRPr="0070317C">
        <w:t xml:space="preserve"> </w:t>
      </w:r>
      <w:r w:rsidR="0056586F" w:rsidRPr="0070317C">
        <w:t>under a</w:t>
      </w:r>
      <w:r w:rsidRPr="0070317C">
        <w:t xml:space="preserve">n </w:t>
      </w:r>
      <w:r w:rsidR="000B03AA" w:rsidRPr="0070317C">
        <w:t xml:space="preserve">earlier </w:t>
      </w:r>
      <w:r w:rsidR="0056586F" w:rsidRPr="0070317C">
        <w:t>occupancy agreement</w:t>
      </w:r>
      <w:r w:rsidRPr="0070317C">
        <w:t xml:space="preserve"> (the </w:t>
      </w:r>
      <w:r w:rsidR="000B03AA" w:rsidRPr="0070317C">
        <w:rPr>
          <w:rStyle w:val="charBoldItals"/>
        </w:rPr>
        <w:t>prior</w:t>
      </w:r>
      <w:r w:rsidRPr="0070317C">
        <w:rPr>
          <w:rStyle w:val="charBoldItals"/>
        </w:rPr>
        <w:t xml:space="preserve"> agreement</w:t>
      </w:r>
      <w:r w:rsidRPr="0070317C">
        <w:t>); and</w:t>
      </w:r>
    </w:p>
    <w:p w14:paraId="61E476F9" w14:textId="77777777" w:rsidR="009221C3" w:rsidRPr="0070317C" w:rsidRDefault="00703218" w:rsidP="00703218">
      <w:pPr>
        <w:pStyle w:val="Isubpara"/>
      </w:pPr>
      <w:r w:rsidRPr="0070317C">
        <w:tab/>
        <w:t>(ii)</w:t>
      </w:r>
      <w:r w:rsidRPr="0070317C">
        <w:tab/>
        <w:t xml:space="preserve">a </w:t>
      </w:r>
      <w:r w:rsidR="001D502C" w:rsidRPr="0070317C">
        <w:t>security deposit</w:t>
      </w:r>
      <w:r w:rsidRPr="0070317C">
        <w:t xml:space="preserve"> is held in relation to the </w:t>
      </w:r>
      <w:r w:rsidR="000B03AA" w:rsidRPr="0070317C">
        <w:t>prior</w:t>
      </w:r>
      <w:r w:rsidRPr="0070317C">
        <w:t xml:space="preserve"> agreement; and</w:t>
      </w:r>
    </w:p>
    <w:p w14:paraId="14B50680" w14:textId="77777777" w:rsidR="00D41A0B" w:rsidRPr="0070317C" w:rsidRDefault="00D564E9" w:rsidP="00D564E9">
      <w:pPr>
        <w:pStyle w:val="Isubpara"/>
      </w:pPr>
      <w:r w:rsidRPr="0070317C">
        <w:tab/>
        <w:t>(iii)</w:t>
      </w:r>
      <w:r w:rsidRPr="0070317C">
        <w:tab/>
      </w:r>
      <w:r w:rsidR="00D41A0B" w:rsidRPr="0070317C">
        <w:t>an application for the release of the deposit has not yet been made.</w:t>
      </w:r>
    </w:p>
    <w:p w14:paraId="7FC72062" w14:textId="77777777" w:rsidR="00056EA9" w:rsidRPr="0070317C" w:rsidRDefault="00F84C0A" w:rsidP="00056EA9">
      <w:pPr>
        <w:pStyle w:val="aNotepar"/>
      </w:pPr>
      <w:r w:rsidRPr="0070317C">
        <w:rPr>
          <w:rStyle w:val="charItals"/>
        </w:rPr>
        <w:t>Note</w:t>
      </w:r>
      <w:r w:rsidRPr="0070317C">
        <w:rPr>
          <w:rStyle w:val="charItals"/>
        </w:rPr>
        <w:tab/>
      </w:r>
      <w:r w:rsidR="00D41A0B" w:rsidRPr="0070317C">
        <w:t>An application may be made under div 3.4 (as applied by s</w:t>
      </w:r>
      <w:r w:rsidRPr="0070317C">
        <w:t> </w:t>
      </w:r>
      <w:r w:rsidR="00D41A0B" w:rsidRPr="0070317C">
        <w:t>71ED</w:t>
      </w:r>
      <w:r w:rsidRPr="0070317C">
        <w:t> (4)).</w:t>
      </w:r>
    </w:p>
    <w:p w14:paraId="15323F2C" w14:textId="77777777" w:rsidR="005F782D" w:rsidRPr="0070317C" w:rsidRDefault="005F782D" w:rsidP="00A41082">
      <w:pPr>
        <w:pStyle w:val="IH5Sec"/>
      </w:pPr>
      <w:r w:rsidRPr="0070317C">
        <w:t>71</w:t>
      </w:r>
      <w:r w:rsidR="0051020B" w:rsidRPr="0070317C">
        <w:t>ED</w:t>
      </w:r>
      <w:r w:rsidRPr="0070317C">
        <w:tab/>
      </w:r>
      <w:r w:rsidR="0051020B" w:rsidRPr="0070317C">
        <w:t xml:space="preserve">Security deposit must be lodged </w:t>
      </w:r>
      <w:r w:rsidRPr="0070317C">
        <w:t>with Territory</w:t>
      </w:r>
    </w:p>
    <w:p w14:paraId="43AE404B" w14:textId="77777777" w:rsidR="005F782D" w:rsidRPr="0070317C" w:rsidRDefault="005F782D" w:rsidP="005F782D">
      <w:pPr>
        <w:pStyle w:val="IMain"/>
      </w:pPr>
      <w:r w:rsidRPr="0070317C">
        <w:tab/>
        <w:t>(1)</w:t>
      </w:r>
      <w:r w:rsidRPr="0070317C">
        <w:tab/>
      </w:r>
      <w:r w:rsidR="00E61E77" w:rsidRPr="0070317C">
        <w:t>A security deposit payable under an occupancy agreement</w:t>
      </w:r>
      <w:r w:rsidR="00BE778F" w:rsidRPr="0070317C">
        <w:t>, other than an exempt agreement,</w:t>
      </w:r>
      <w:r w:rsidR="00780C9D" w:rsidRPr="0070317C">
        <w:t xml:space="preserve"> </w:t>
      </w:r>
      <w:r w:rsidR="00E61E77" w:rsidRPr="0070317C">
        <w:t xml:space="preserve">must be </w:t>
      </w:r>
      <w:r w:rsidRPr="0070317C">
        <w:t>deposit</w:t>
      </w:r>
      <w:r w:rsidR="00E61E77" w:rsidRPr="0070317C">
        <w:t xml:space="preserve">ed </w:t>
      </w:r>
      <w:r w:rsidRPr="0070317C">
        <w:t>with the Territory.</w:t>
      </w:r>
    </w:p>
    <w:p w14:paraId="0EE557C3" w14:textId="77777777" w:rsidR="005F782D" w:rsidRPr="0070317C" w:rsidRDefault="005F782D" w:rsidP="005F782D">
      <w:pPr>
        <w:pStyle w:val="IMain"/>
      </w:pPr>
      <w:r w:rsidRPr="0070317C">
        <w:tab/>
        <w:t>(2)</w:t>
      </w:r>
      <w:r w:rsidRPr="0070317C">
        <w:tab/>
        <w:t>The deposit must be accompanied by a written notice that states—</w:t>
      </w:r>
    </w:p>
    <w:p w14:paraId="0F649781" w14:textId="77777777" w:rsidR="005F782D" w:rsidRPr="0070317C" w:rsidRDefault="005F782D" w:rsidP="005F782D">
      <w:pPr>
        <w:pStyle w:val="Ipara"/>
      </w:pPr>
      <w:r w:rsidRPr="0070317C">
        <w:tab/>
        <w:t>(a)</w:t>
      </w:r>
      <w:r w:rsidRPr="0070317C">
        <w:tab/>
        <w:t>the names of, and addresses for service on, the occupant and the grantor; and</w:t>
      </w:r>
    </w:p>
    <w:p w14:paraId="2114E42A" w14:textId="77777777" w:rsidR="005F782D" w:rsidRPr="0070317C" w:rsidRDefault="005F782D" w:rsidP="007C0CFB">
      <w:pPr>
        <w:pStyle w:val="Ipara"/>
      </w:pPr>
      <w:r w:rsidRPr="0070317C">
        <w:tab/>
        <w:t>(b)</w:t>
      </w:r>
      <w:r w:rsidRPr="0070317C">
        <w:tab/>
        <w:t xml:space="preserve">the amount of </w:t>
      </w:r>
      <w:r w:rsidR="005A607C" w:rsidRPr="0070317C">
        <w:t>security deposit</w:t>
      </w:r>
      <w:r w:rsidRPr="0070317C">
        <w:t xml:space="preserve"> being deposited.</w:t>
      </w:r>
    </w:p>
    <w:p w14:paraId="3981F0DB" w14:textId="77777777" w:rsidR="005F782D" w:rsidRPr="0070317C" w:rsidRDefault="005F782D" w:rsidP="005F782D">
      <w:pPr>
        <w:pStyle w:val="IMain"/>
      </w:pPr>
      <w:r w:rsidRPr="0070317C">
        <w:tab/>
        <w:t>(3)</w:t>
      </w:r>
      <w:r w:rsidRPr="0070317C">
        <w:tab/>
        <w:t xml:space="preserve">If the Territory accepts the amount of the </w:t>
      </w:r>
      <w:r w:rsidR="005A607C" w:rsidRPr="0070317C">
        <w:t>security deposit</w:t>
      </w:r>
      <w:r w:rsidRPr="0070317C">
        <w:t>, the Territory must—</w:t>
      </w:r>
    </w:p>
    <w:p w14:paraId="4901D3FB" w14:textId="77777777" w:rsidR="005F782D" w:rsidRPr="0070317C" w:rsidRDefault="005F782D" w:rsidP="005F782D">
      <w:pPr>
        <w:pStyle w:val="Ipara"/>
      </w:pPr>
      <w:r w:rsidRPr="0070317C">
        <w:tab/>
        <w:t>(a)</w:t>
      </w:r>
      <w:r w:rsidRPr="0070317C">
        <w:tab/>
        <w:t>give the occupant a receipt for the amount; and</w:t>
      </w:r>
    </w:p>
    <w:p w14:paraId="662E1687" w14:textId="77777777" w:rsidR="005F782D" w:rsidRPr="0070317C" w:rsidRDefault="005F782D" w:rsidP="005F782D">
      <w:pPr>
        <w:pStyle w:val="Ipara"/>
      </w:pPr>
      <w:r w:rsidRPr="0070317C">
        <w:tab/>
        <w:t>(b)</w:t>
      </w:r>
      <w:r w:rsidRPr="0070317C">
        <w:tab/>
        <w:t xml:space="preserve">give the </w:t>
      </w:r>
      <w:r w:rsidR="007C0CFB" w:rsidRPr="0070317C">
        <w:t xml:space="preserve">occupant and </w:t>
      </w:r>
      <w:r w:rsidRPr="0070317C">
        <w:t>grantor</w:t>
      </w:r>
      <w:r w:rsidR="007C0CFB" w:rsidRPr="0070317C">
        <w:t xml:space="preserve"> </w:t>
      </w:r>
      <w:r w:rsidRPr="0070317C">
        <w:t>a copy of the notice under subsection (2).</w:t>
      </w:r>
    </w:p>
    <w:p w14:paraId="11232ACA" w14:textId="77777777" w:rsidR="005F782D" w:rsidRPr="0070317C" w:rsidRDefault="005F782D" w:rsidP="005F782D">
      <w:pPr>
        <w:pStyle w:val="IMain"/>
      </w:pPr>
      <w:r w:rsidRPr="0070317C">
        <w:tab/>
        <w:t>(4)</w:t>
      </w:r>
      <w:r w:rsidRPr="0070317C">
        <w:tab/>
        <w:t xml:space="preserve">If the Territory accepts the </w:t>
      </w:r>
      <w:r w:rsidR="007C0CFB" w:rsidRPr="0070317C">
        <w:t>security deposit</w:t>
      </w:r>
      <w:r w:rsidRPr="0070317C">
        <w:t>, the applied provisions apply in relation to the occupancy agreement as if—</w:t>
      </w:r>
    </w:p>
    <w:p w14:paraId="0D2D3086" w14:textId="77777777" w:rsidR="005F782D" w:rsidRPr="0070317C" w:rsidRDefault="005F782D" w:rsidP="005F782D">
      <w:pPr>
        <w:pStyle w:val="Ipara"/>
      </w:pPr>
      <w:r w:rsidRPr="0070317C">
        <w:tab/>
        <w:t>(a)</w:t>
      </w:r>
      <w:r w:rsidRPr="0070317C">
        <w:tab/>
        <w:t>the amount had been received by the Territory under part 3 (Bonds); and</w:t>
      </w:r>
    </w:p>
    <w:p w14:paraId="19AB2D71" w14:textId="77777777" w:rsidR="005F782D" w:rsidRPr="0070317C" w:rsidRDefault="005F782D" w:rsidP="002F4EF7">
      <w:pPr>
        <w:pStyle w:val="Ipara"/>
        <w:keepNext/>
      </w:pPr>
      <w:r w:rsidRPr="0070317C">
        <w:lastRenderedPageBreak/>
        <w:tab/>
        <w:t>(b)</w:t>
      </w:r>
      <w:r w:rsidRPr="0070317C">
        <w:tab/>
        <w:t>the occupancy agreement were a residential tenancy agreement; and</w:t>
      </w:r>
    </w:p>
    <w:p w14:paraId="56FB1AB2" w14:textId="77777777" w:rsidR="005F782D" w:rsidRPr="0070317C" w:rsidRDefault="005F782D" w:rsidP="005F782D">
      <w:pPr>
        <w:pStyle w:val="Ipara"/>
      </w:pPr>
      <w:r w:rsidRPr="0070317C">
        <w:tab/>
        <w:t>(c)</w:t>
      </w:r>
      <w:r w:rsidRPr="0070317C">
        <w:tab/>
        <w:t xml:space="preserve">the occupant were </w:t>
      </w:r>
      <w:r w:rsidR="00A41082" w:rsidRPr="0070317C">
        <w:t>a</w:t>
      </w:r>
      <w:r w:rsidRPr="0070317C">
        <w:t xml:space="preserve"> tenant under the agreement; and</w:t>
      </w:r>
    </w:p>
    <w:p w14:paraId="7A3C05E9" w14:textId="77777777" w:rsidR="005F782D" w:rsidRPr="0070317C" w:rsidRDefault="005F782D" w:rsidP="005F782D">
      <w:pPr>
        <w:pStyle w:val="Ipara"/>
      </w:pPr>
      <w:r w:rsidRPr="0070317C">
        <w:tab/>
        <w:t>(d)</w:t>
      </w:r>
      <w:r w:rsidRPr="0070317C">
        <w:tab/>
        <w:t>the grantor were the lessor under the agreement; and</w:t>
      </w:r>
    </w:p>
    <w:p w14:paraId="6BBBC762" w14:textId="77777777" w:rsidR="005F782D" w:rsidRPr="0070317C" w:rsidRDefault="005F782D" w:rsidP="005F782D">
      <w:pPr>
        <w:pStyle w:val="Ipara"/>
      </w:pPr>
      <w:r w:rsidRPr="0070317C">
        <w:tab/>
        <w:t>(e)</w:t>
      </w:r>
      <w:r w:rsidRPr="0070317C">
        <w:tab/>
        <w:t xml:space="preserve">any dispute between the occupant and the grantor about the </w:t>
      </w:r>
      <w:r w:rsidR="005A607C" w:rsidRPr="0070317C">
        <w:t>security deposit</w:t>
      </w:r>
      <w:r w:rsidRPr="0070317C">
        <w:t xml:space="preserve"> were a tenancy dispute; and</w:t>
      </w:r>
    </w:p>
    <w:p w14:paraId="1DDCF1AA" w14:textId="77777777" w:rsidR="005F782D" w:rsidRPr="0070317C" w:rsidRDefault="005F782D" w:rsidP="005F782D">
      <w:pPr>
        <w:pStyle w:val="Ipara"/>
      </w:pPr>
      <w:r w:rsidRPr="0070317C">
        <w:tab/>
        <w:t>(f)</w:t>
      </w:r>
      <w:r w:rsidRPr="0070317C">
        <w:tab/>
        <w:t>any other necessary changes, and any changes prescribed by regulation, were made.</w:t>
      </w:r>
    </w:p>
    <w:p w14:paraId="402FD25C" w14:textId="77777777" w:rsidR="005F782D" w:rsidRPr="0070317C" w:rsidRDefault="005F782D" w:rsidP="005F782D">
      <w:pPr>
        <w:pStyle w:val="IMain"/>
      </w:pPr>
      <w:r w:rsidRPr="0070317C">
        <w:tab/>
        <w:t>(5)</w:t>
      </w:r>
      <w:r w:rsidRPr="0070317C">
        <w:tab/>
        <w:t>In this section:</w:t>
      </w:r>
    </w:p>
    <w:p w14:paraId="05A5F7D4" w14:textId="77777777" w:rsidR="005F782D" w:rsidRPr="0070317C" w:rsidRDefault="005F782D" w:rsidP="0070317C">
      <w:pPr>
        <w:pStyle w:val="aDef"/>
        <w:keepNext/>
        <w:suppressLineNumbers/>
      </w:pPr>
      <w:r w:rsidRPr="0070317C">
        <w:rPr>
          <w:rStyle w:val="charBoldItals"/>
        </w:rPr>
        <w:t>applied provisions</w:t>
      </w:r>
      <w:r w:rsidRPr="0070317C">
        <w:t xml:space="preserve"> means the following provisions:</w:t>
      </w:r>
    </w:p>
    <w:p w14:paraId="4B2142C7" w14:textId="77777777" w:rsidR="005F782D" w:rsidRPr="0070317C" w:rsidRDefault="000C6943" w:rsidP="006D7923">
      <w:pPr>
        <w:pStyle w:val="Idefpara"/>
      </w:pPr>
      <w:r w:rsidRPr="0070317C">
        <w:tab/>
        <w:t>(a)</w:t>
      </w:r>
      <w:r w:rsidRPr="0070317C">
        <w:tab/>
      </w:r>
      <w:r w:rsidR="005F782D" w:rsidRPr="0070317C">
        <w:t>section 27 (Payment of bond money into trust account)</w:t>
      </w:r>
      <w:r w:rsidRPr="0070317C">
        <w:t>;</w:t>
      </w:r>
    </w:p>
    <w:p w14:paraId="560BA010" w14:textId="77777777" w:rsidR="005F782D" w:rsidRPr="0070317C" w:rsidRDefault="000C6943" w:rsidP="006D7923">
      <w:pPr>
        <w:pStyle w:val="Idefpara"/>
      </w:pPr>
      <w:r w:rsidRPr="0070317C">
        <w:tab/>
        <w:t>(b)</w:t>
      </w:r>
      <w:r w:rsidRPr="0070317C">
        <w:tab/>
      </w:r>
      <w:r w:rsidR="005F782D" w:rsidRPr="0070317C">
        <w:t>section 28 (Interest on amounts in trust account)</w:t>
      </w:r>
      <w:r w:rsidRPr="0070317C">
        <w:t>;</w:t>
      </w:r>
    </w:p>
    <w:p w14:paraId="17086280" w14:textId="77777777" w:rsidR="0051020B" w:rsidRPr="0070317C" w:rsidRDefault="000C6943" w:rsidP="006D7923">
      <w:pPr>
        <w:pStyle w:val="Idefpara"/>
      </w:pPr>
      <w:r w:rsidRPr="0070317C">
        <w:tab/>
        <w:t>(c)</w:t>
      </w:r>
      <w:r w:rsidRPr="0070317C">
        <w:tab/>
      </w:r>
      <w:r w:rsidR="005F782D" w:rsidRPr="0070317C">
        <w:t>division 3.4 (Release of bond money).</w:t>
      </w:r>
    </w:p>
    <w:p w14:paraId="37B7966D" w14:textId="77777777" w:rsidR="00BE778F" w:rsidRPr="0070317C" w:rsidRDefault="00BE778F" w:rsidP="0070317C">
      <w:pPr>
        <w:pStyle w:val="aDef"/>
        <w:keepNext/>
      </w:pPr>
      <w:r w:rsidRPr="0070317C">
        <w:rPr>
          <w:rStyle w:val="charBoldItals"/>
        </w:rPr>
        <w:t>exempt agreement</w:t>
      </w:r>
      <w:r w:rsidRPr="0070317C">
        <w:t xml:space="preserve"> means an agreement </w:t>
      </w:r>
      <w:r w:rsidR="00A41082" w:rsidRPr="0070317C">
        <w:t xml:space="preserve">mentioned in section 71C (1) (b) (ii).  </w:t>
      </w:r>
    </w:p>
    <w:p w14:paraId="1912A9D8" w14:textId="77777777" w:rsidR="00A41082" w:rsidRPr="0070317C" w:rsidRDefault="00A41082" w:rsidP="00A41082">
      <w:pPr>
        <w:pStyle w:val="aNote"/>
      </w:pPr>
      <w:r w:rsidRPr="0070317C">
        <w:rPr>
          <w:rStyle w:val="charItals"/>
        </w:rPr>
        <w:t>Note</w:t>
      </w:r>
      <w:r w:rsidRPr="0070317C">
        <w:rPr>
          <w:rStyle w:val="charItals"/>
        </w:rPr>
        <w:tab/>
      </w:r>
      <w:r w:rsidRPr="0070317C">
        <w:t>Section 71C (1) </w:t>
      </w:r>
      <w:r w:rsidR="0077432A" w:rsidRPr="0070317C">
        <w:t>(b) </w:t>
      </w:r>
      <w:r w:rsidRPr="0070317C">
        <w:t xml:space="preserve">(ii) </w:t>
      </w:r>
      <w:r w:rsidR="00CC75A0" w:rsidRPr="0070317C">
        <w:t>provides that an agreement to occupy premises in a residential facility associated with, or on the campus of, an education provider is an occupation agreement.</w:t>
      </w:r>
    </w:p>
    <w:p w14:paraId="7C0A7990" w14:textId="77777777" w:rsidR="00D425F8" w:rsidRPr="0070317C" w:rsidRDefault="00D425F8" w:rsidP="00D425F8">
      <w:pPr>
        <w:pStyle w:val="IH5Sec"/>
      </w:pPr>
      <w:r w:rsidRPr="0070317C">
        <w:t>71EE</w:t>
      </w:r>
      <w:r w:rsidRPr="0070317C">
        <w:tab/>
        <w:t>Deductions from security deposit</w:t>
      </w:r>
    </w:p>
    <w:p w14:paraId="38E68F0F" w14:textId="77777777" w:rsidR="00D425F8" w:rsidRPr="0070317C" w:rsidRDefault="00D425F8" w:rsidP="00D425F8">
      <w:pPr>
        <w:pStyle w:val="Amainreturn"/>
      </w:pPr>
      <w:r w:rsidRPr="0070317C">
        <w:t xml:space="preserve">A </w:t>
      </w:r>
      <w:r w:rsidR="00DD6392" w:rsidRPr="0070317C">
        <w:t>grantor</w:t>
      </w:r>
      <w:r w:rsidRPr="0070317C">
        <w:t xml:space="preserve"> </w:t>
      </w:r>
      <w:r w:rsidR="00DD6392" w:rsidRPr="0070317C">
        <w:t xml:space="preserve">may </w:t>
      </w:r>
      <w:r w:rsidRPr="0070317C">
        <w:t xml:space="preserve">deduct from </w:t>
      </w:r>
      <w:r w:rsidR="00DD6392" w:rsidRPr="0070317C">
        <w:t xml:space="preserve">a security deposit </w:t>
      </w:r>
      <w:r w:rsidRPr="0070317C">
        <w:t xml:space="preserve">paid under </w:t>
      </w:r>
      <w:r w:rsidR="00DD6392" w:rsidRPr="0070317C">
        <w:t xml:space="preserve">an occupancy </w:t>
      </w:r>
      <w:r w:rsidRPr="0070317C">
        <w:t>agreement</w:t>
      </w:r>
      <w:r w:rsidR="00DD6392" w:rsidRPr="0070317C">
        <w:t>—</w:t>
      </w:r>
    </w:p>
    <w:p w14:paraId="000B1522" w14:textId="77777777" w:rsidR="00D425F8" w:rsidRPr="0070317C" w:rsidRDefault="00D425F8" w:rsidP="00D425F8">
      <w:pPr>
        <w:pStyle w:val="Ipara"/>
      </w:pPr>
      <w:r w:rsidRPr="0070317C">
        <w:tab/>
        <w:t>(a)</w:t>
      </w:r>
      <w:r w:rsidRPr="0070317C">
        <w:tab/>
        <w:t xml:space="preserve">the reasonable cost of repairs to, or the restoration of, the premises or </w:t>
      </w:r>
      <w:r w:rsidR="00DD6392" w:rsidRPr="0070317C">
        <w:t>any facilities, furniture or goods provided with the premises</w:t>
      </w:r>
      <w:r w:rsidRPr="0070317C">
        <w:t xml:space="preserve"> as a result of damage (other than fair wear and tear) caused by </w:t>
      </w:r>
      <w:r w:rsidR="00DD6392" w:rsidRPr="0070317C">
        <w:t>the occupant</w:t>
      </w:r>
      <w:r w:rsidRPr="0070317C">
        <w:t>;</w:t>
      </w:r>
      <w:r w:rsidR="00DD6392" w:rsidRPr="0070317C">
        <w:t xml:space="preserve"> and</w:t>
      </w:r>
    </w:p>
    <w:p w14:paraId="4436754B" w14:textId="77777777" w:rsidR="00D425F8" w:rsidRPr="0070317C" w:rsidRDefault="00D425F8" w:rsidP="00D36C34">
      <w:pPr>
        <w:pStyle w:val="Ipara"/>
        <w:keepNext/>
      </w:pPr>
      <w:r w:rsidRPr="0070317C">
        <w:lastRenderedPageBreak/>
        <w:tab/>
        <w:t>(b)</w:t>
      </w:r>
      <w:r w:rsidRPr="0070317C">
        <w:tab/>
        <w:t xml:space="preserve">the reasonable cost of securing the premises if the </w:t>
      </w:r>
      <w:r w:rsidR="00DD6392" w:rsidRPr="0070317C">
        <w:t>occupant</w:t>
      </w:r>
      <w:r w:rsidRPr="0070317C">
        <w:t xml:space="preserve"> fails to return the keys</w:t>
      </w:r>
      <w:r w:rsidR="005806C7" w:rsidRPr="0070317C">
        <w:t xml:space="preserve"> </w:t>
      </w:r>
      <w:r w:rsidRPr="0070317C">
        <w:t xml:space="preserve">for the premises to the </w:t>
      </w:r>
      <w:r w:rsidR="005806C7" w:rsidRPr="0070317C">
        <w:t>grantor</w:t>
      </w:r>
      <w:r w:rsidRPr="0070317C">
        <w:t xml:space="preserve"> at the end of the </w:t>
      </w:r>
      <w:r w:rsidR="005806C7" w:rsidRPr="0070317C">
        <w:t>agreement</w:t>
      </w:r>
      <w:r w:rsidRPr="0070317C">
        <w:t>;</w:t>
      </w:r>
      <w:r w:rsidR="000C6943" w:rsidRPr="0070317C">
        <w:t xml:space="preserve"> and</w:t>
      </w:r>
    </w:p>
    <w:p w14:paraId="783EA412" w14:textId="77777777" w:rsidR="00D425F8" w:rsidRPr="0070317C" w:rsidRDefault="00D425F8" w:rsidP="00D425F8">
      <w:pPr>
        <w:pStyle w:val="Ipara"/>
      </w:pPr>
      <w:r w:rsidRPr="0070317C">
        <w:tab/>
        <w:t>(c)</w:t>
      </w:r>
      <w:r w:rsidRPr="0070317C">
        <w:tab/>
        <w:t xml:space="preserve">any </w:t>
      </w:r>
      <w:r w:rsidR="005806C7" w:rsidRPr="0070317C">
        <w:t>occupancy fee or other amount</w:t>
      </w:r>
      <w:r w:rsidRPr="0070317C">
        <w:t xml:space="preserve"> owing and payable under the </w:t>
      </w:r>
      <w:r w:rsidR="00E07008" w:rsidRPr="0070317C">
        <w:t>occupancy</w:t>
      </w:r>
      <w:r w:rsidRPr="0070317C">
        <w:t xml:space="preserve"> agreement at the time the agreement </w:t>
      </w:r>
      <w:r w:rsidR="00E07008" w:rsidRPr="0070317C">
        <w:t>ends.</w:t>
      </w:r>
    </w:p>
    <w:p w14:paraId="16294E9D" w14:textId="77777777" w:rsidR="00301DC8" w:rsidRPr="0070317C" w:rsidRDefault="00F11495" w:rsidP="00301DC8">
      <w:pPr>
        <w:pStyle w:val="IH5Sec"/>
      </w:pPr>
      <w:r w:rsidRPr="0070317C">
        <w:t>71E</w:t>
      </w:r>
      <w:r w:rsidR="00D425F8" w:rsidRPr="0070317C">
        <w:t>F</w:t>
      </w:r>
      <w:r w:rsidR="00301DC8" w:rsidRPr="0070317C">
        <w:tab/>
      </w:r>
      <w:r w:rsidR="004E23A1" w:rsidRPr="0070317C">
        <w:t>Receipts for certain payments</w:t>
      </w:r>
    </w:p>
    <w:p w14:paraId="49B98B1E" w14:textId="77777777" w:rsidR="00C94E57" w:rsidRPr="0070317C" w:rsidRDefault="004C1AE1" w:rsidP="004C1AE1">
      <w:pPr>
        <w:pStyle w:val="IMain"/>
      </w:pPr>
      <w:r w:rsidRPr="0070317C">
        <w:tab/>
        <w:t>(1)</w:t>
      </w:r>
      <w:r w:rsidRPr="0070317C">
        <w:tab/>
      </w:r>
      <w:r w:rsidR="00C94E57" w:rsidRPr="0070317C">
        <w:t xml:space="preserve">If an occupant pays </w:t>
      </w:r>
      <w:r w:rsidR="008976AB" w:rsidRPr="0070317C">
        <w:t xml:space="preserve">to a grantor </w:t>
      </w:r>
      <w:r w:rsidR="00C94E57" w:rsidRPr="0070317C">
        <w:t>an amount under an occupancy agreement for premises</w:t>
      </w:r>
      <w:r w:rsidR="008976AB" w:rsidRPr="0070317C">
        <w:t xml:space="preserve"> of</w:t>
      </w:r>
      <w:r w:rsidR="00C94E57" w:rsidRPr="0070317C">
        <w:t>—</w:t>
      </w:r>
    </w:p>
    <w:p w14:paraId="6E1ACC92" w14:textId="77777777" w:rsidR="00C94E57" w:rsidRPr="0070317C" w:rsidRDefault="00C94E57" w:rsidP="00C94E57">
      <w:pPr>
        <w:pStyle w:val="Ipara"/>
      </w:pPr>
      <w:r w:rsidRPr="0070317C">
        <w:tab/>
        <w:t>(a)</w:t>
      </w:r>
      <w:r w:rsidRPr="0070317C">
        <w:tab/>
      </w:r>
      <w:r w:rsidR="008976AB" w:rsidRPr="0070317C">
        <w:t xml:space="preserve">$75 or </w:t>
      </w:r>
      <w:r w:rsidRPr="0070317C">
        <w:t>more—the grantor must give the occupant a written receipt for the payment; or</w:t>
      </w:r>
    </w:p>
    <w:p w14:paraId="1526F29B" w14:textId="77777777" w:rsidR="00C94E57" w:rsidRPr="0070317C" w:rsidRDefault="00C94E57" w:rsidP="00C94E57">
      <w:pPr>
        <w:pStyle w:val="Ipara"/>
      </w:pPr>
      <w:r w:rsidRPr="0070317C">
        <w:tab/>
        <w:t>(b)</w:t>
      </w:r>
      <w:r w:rsidRPr="0070317C">
        <w:tab/>
      </w:r>
      <w:r w:rsidR="008976AB" w:rsidRPr="0070317C">
        <w:t>less than $75—the grantor must give the occupant a written receipt for the payment if asked by the occupant.</w:t>
      </w:r>
    </w:p>
    <w:p w14:paraId="1235D7A3" w14:textId="77777777" w:rsidR="00610E02" w:rsidRPr="0070317C" w:rsidRDefault="008976AB" w:rsidP="008976AB">
      <w:pPr>
        <w:pStyle w:val="IMain"/>
      </w:pPr>
      <w:r w:rsidRPr="0070317C">
        <w:tab/>
        <w:t>(2)</w:t>
      </w:r>
      <w:r w:rsidRPr="0070317C">
        <w:tab/>
        <w:t>The grantor must</w:t>
      </w:r>
      <w:r w:rsidR="00610E02" w:rsidRPr="0070317C">
        <w:t>—</w:t>
      </w:r>
    </w:p>
    <w:p w14:paraId="369E4BF3" w14:textId="77777777" w:rsidR="004E23A1" w:rsidRPr="0070317C" w:rsidRDefault="00610E02" w:rsidP="00610E02">
      <w:pPr>
        <w:pStyle w:val="Ipara"/>
      </w:pPr>
      <w:r w:rsidRPr="0070317C">
        <w:tab/>
        <w:t>(a)</w:t>
      </w:r>
      <w:r w:rsidRPr="0070317C">
        <w:tab/>
      </w:r>
      <w:r w:rsidR="008976AB" w:rsidRPr="0070317C">
        <w:t>keep a wri</w:t>
      </w:r>
      <w:r w:rsidR="00DE7822" w:rsidRPr="0070317C">
        <w:t>t</w:t>
      </w:r>
      <w:r w:rsidR="008976AB" w:rsidRPr="0070317C">
        <w:t xml:space="preserve">ten record of all payments received from </w:t>
      </w:r>
      <w:r w:rsidR="00DE7822" w:rsidRPr="0070317C">
        <w:t>the</w:t>
      </w:r>
      <w:r w:rsidR="008976AB" w:rsidRPr="0070317C">
        <w:t xml:space="preserve"> occupant under </w:t>
      </w:r>
      <w:r w:rsidR="00DE7822" w:rsidRPr="0070317C">
        <w:t>the</w:t>
      </w:r>
      <w:r w:rsidR="008976AB" w:rsidRPr="0070317C">
        <w:t xml:space="preserve"> occupancy </w:t>
      </w:r>
      <w:r w:rsidR="00DE7822" w:rsidRPr="0070317C">
        <w:t>agreement</w:t>
      </w:r>
      <w:r w:rsidRPr="0070317C">
        <w:t>; and</w:t>
      </w:r>
    </w:p>
    <w:p w14:paraId="71D48AE8" w14:textId="77777777" w:rsidR="00A55A59" w:rsidRPr="0070317C" w:rsidRDefault="00610E02" w:rsidP="008D35FA">
      <w:pPr>
        <w:pStyle w:val="Ipara"/>
      </w:pPr>
      <w:r w:rsidRPr="0070317C">
        <w:tab/>
        <w:t>(b)</w:t>
      </w:r>
      <w:r w:rsidRPr="0070317C">
        <w:tab/>
        <w:t xml:space="preserve">if asked by </w:t>
      </w:r>
      <w:r w:rsidR="00CC75A0" w:rsidRPr="0070317C">
        <w:t>the</w:t>
      </w:r>
      <w:r w:rsidRPr="0070317C">
        <w:t xml:space="preserve"> occupant</w:t>
      </w:r>
      <w:r w:rsidR="008D35FA" w:rsidRPr="0070317C">
        <w:t>—give the occupant a copy of the record.</w:t>
      </w:r>
    </w:p>
    <w:p w14:paraId="01E1DA20" w14:textId="77777777" w:rsidR="00B82C86" w:rsidRPr="0070317C" w:rsidRDefault="00B82C86" w:rsidP="00B82C86">
      <w:pPr>
        <w:pStyle w:val="IH5Sec"/>
      </w:pPr>
      <w:r w:rsidRPr="0070317C">
        <w:t>71E</w:t>
      </w:r>
      <w:r w:rsidR="00622AB6" w:rsidRPr="0070317C">
        <w:t>G</w:t>
      </w:r>
      <w:r w:rsidRPr="0070317C">
        <w:tab/>
      </w:r>
      <w:r w:rsidR="005A33AD" w:rsidRPr="0070317C">
        <w:t>O</w:t>
      </w:r>
      <w:r w:rsidR="00A62E85" w:rsidRPr="0070317C">
        <w:t>ccupancy rules</w:t>
      </w:r>
      <w:r w:rsidR="005A33AD" w:rsidRPr="0070317C">
        <w:t>,</w:t>
      </w:r>
      <w:r w:rsidR="00A62E85" w:rsidRPr="0070317C">
        <w:t xml:space="preserve"> </w:t>
      </w:r>
      <w:r w:rsidR="00540D80" w:rsidRPr="0070317C">
        <w:t>fees</w:t>
      </w:r>
      <w:r w:rsidR="005A58F2" w:rsidRPr="0070317C">
        <w:t>,</w:t>
      </w:r>
      <w:r w:rsidR="00540D80" w:rsidRPr="0070317C">
        <w:t xml:space="preserve"> charges</w:t>
      </w:r>
      <w:r w:rsidR="00A62E85" w:rsidRPr="0070317C">
        <w:t xml:space="preserve"> </w:t>
      </w:r>
      <w:r w:rsidR="00540D80" w:rsidRPr="0070317C">
        <w:t>and penalties</w:t>
      </w:r>
    </w:p>
    <w:p w14:paraId="5079AA35" w14:textId="77777777" w:rsidR="00241CC1" w:rsidRPr="0070317C" w:rsidRDefault="00056BAD" w:rsidP="007C6A77">
      <w:pPr>
        <w:pStyle w:val="IMain"/>
      </w:pPr>
      <w:r w:rsidRPr="0070317C">
        <w:tab/>
        <w:t>(1)</w:t>
      </w:r>
      <w:r w:rsidRPr="0070317C">
        <w:tab/>
      </w:r>
      <w:r w:rsidR="0088713A" w:rsidRPr="0070317C">
        <w:t>T</w:t>
      </w:r>
      <w:r w:rsidRPr="0070317C">
        <w:t xml:space="preserve">he grantor must </w:t>
      </w:r>
      <w:r w:rsidR="0088713A" w:rsidRPr="0070317C">
        <w:t xml:space="preserve">include the </w:t>
      </w:r>
      <w:r w:rsidR="00B82C86" w:rsidRPr="0070317C">
        <w:t>following</w:t>
      </w:r>
      <w:r w:rsidR="0088713A" w:rsidRPr="0070317C">
        <w:t xml:space="preserve"> information in an occupancy agreement for premises</w:t>
      </w:r>
      <w:r w:rsidR="00723E5B" w:rsidRPr="0070317C">
        <w:t>:</w:t>
      </w:r>
    </w:p>
    <w:p w14:paraId="66839004" w14:textId="77777777" w:rsidR="00DE03EA" w:rsidRPr="0070317C" w:rsidRDefault="00A62E85" w:rsidP="00A62E85">
      <w:pPr>
        <w:pStyle w:val="Ipara"/>
      </w:pPr>
      <w:r w:rsidRPr="0070317C">
        <w:tab/>
        <w:t>(a)</w:t>
      </w:r>
      <w:r w:rsidRPr="0070317C">
        <w:tab/>
        <w:t>any occupancy rule that applies to the premises;</w:t>
      </w:r>
    </w:p>
    <w:p w14:paraId="6038D559" w14:textId="77777777" w:rsidR="00B82C86" w:rsidRPr="0070317C" w:rsidRDefault="00125C24" w:rsidP="00125C24">
      <w:pPr>
        <w:pStyle w:val="Ipara"/>
      </w:pPr>
      <w:r w:rsidRPr="0070317C">
        <w:tab/>
        <w:t>(</w:t>
      </w:r>
      <w:r w:rsidR="00A62E85" w:rsidRPr="0070317C">
        <w:t>b</w:t>
      </w:r>
      <w:r w:rsidRPr="0070317C">
        <w:t>)</w:t>
      </w:r>
      <w:r w:rsidRPr="0070317C">
        <w:tab/>
      </w:r>
      <w:r w:rsidR="003D41B9" w:rsidRPr="0070317C">
        <w:t>any</w:t>
      </w:r>
      <w:r w:rsidRPr="0070317C">
        <w:t xml:space="preserve"> penalty</w:t>
      </w:r>
      <w:r w:rsidR="007C6A77" w:rsidRPr="0070317C">
        <w:t xml:space="preserve"> </w:t>
      </w:r>
      <w:r w:rsidRPr="0070317C">
        <w:t xml:space="preserve">that may apply for a breach of </w:t>
      </w:r>
      <w:r w:rsidR="00432289" w:rsidRPr="0070317C">
        <w:t>a</w:t>
      </w:r>
      <w:r w:rsidR="003D41B9" w:rsidRPr="0070317C">
        <w:t xml:space="preserve">n occupancy </w:t>
      </w:r>
      <w:r w:rsidRPr="0070317C">
        <w:t>rule</w:t>
      </w:r>
      <w:r w:rsidR="00A62E85" w:rsidRPr="0070317C">
        <w:t xml:space="preserve">; </w:t>
      </w:r>
    </w:p>
    <w:p w14:paraId="7F5DA6BF" w14:textId="77777777" w:rsidR="00D77606" w:rsidRPr="0070317C" w:rsidRDefault="00D77606" w:rsidP="00D77606">
      <w:pPr>
        <w:pStyle w:val="Ipara"/>
      </w:pPr>
      <w:r w:rsidRPr="0070317C">
        <w:tab/>
        <w:t>(c)</w:t>
      </w:r>
      <w:r w:rsidRPr="0070317C">
        <w:tab/>
        <w:t>any penalty, fee or charge that may apply if the occupant terminates the agreement before the end of the agreement;</w:t>
      </w:r>
    </w:p>
    <w:p w14:paraId="46D2F169" w14:textId="77777777" w:rsidR="00AA0B2C" w:rsidRPr="0070317C" w:rsidRDefault="00A62E85" w:rsidP="00D36C34">
      <w:pPr>
        <w:pStyle w:val="Ipara"/>
        <w:keepNext/>
      </w:pPr>
      <w:r w:rsidRPr="0070317C">
        <w:lastRenderedPageBreak/>
        <w:tab/>
        <w:t>(</w:t>
      </w:r>
      <w:r w:rsidR="00D77606" w:rsidRPr="0070317C">
        <w:t>d</w:t>
      </w:r>
      <w:r w:rsidRPr="0070317C">
        <w:t>)</w:t>
      </w:r>
      <w:r w:rsidRPr="0070317C">
        <w:tab/>
      </w:r>
      <w:r w:rsidR="00057AF7" w:rsidRPr="0070317C">
        <w:t>any</w:t>
      </w:r>
      <w:r w:rsidRPr="0070317C">
        <w:t xml:space="preserve"> </w:t>
      </w:r>
      <w:r w:rsidR="00AA0B2C" w:rsidRPr="0070317C">
        <w:t xml:space="preserve">other </w:t>
      </w:r>
      <w:r w:rsidRPr="0070317C">
        <w:t xml:space="preserve">fee </w:t>
      </w:r>
      <w:r w:rsidR="00057AF7" w:rsidRPr="0070317C">
        <w:t>or</w:t>
      </w:r>
      <w:r w:rsidRPr="0070317C">
        <w:t xml:space="preserve"> charge</w:t>
      </w:r>
      <w:r w:rsidR="00057AF7" w:rsidRPr="0070317C">
        <w:t xml:space="preserve"> </w:t>
      </w:r>
      <w:r w:rsidRPr="0070317C">
        <w:t>payable under the agreement including</w:t>
      </w:r>
      <w:r w:rsidR="00AA0B2C" w:rsidRPr="0070317C">
        <w:t>—</w:t>
      </w:r>
    </w:p>
    <w:p w14:paraId="25842515" w14:textId="77777777" w:rsidR="00A62E85" w:rsidRPr="0070317C" w:rsidRDefault="00AA0B2C" w:rsidP="00D36C34">
      <w:pPr>
        <w:pStyle w:val="Isubpara"/>
        <w:keepNext/>
      </w:pPr>
      <w:r w:rsidRPr="0070317C">
        <w:tab/>
        <w:t>(i)</w:t>
      </w:r>
      <w:r w:rsidRPr="0070317C">
        <w:tab/>
      </w:r>
      <w:r w:rsidR="00A62E85" w:rsidRPr="0070317C">
        <w:t>the frequency of the fee or charge</w:t>
      </w:r>
      <w:r w:rsidRPr="0070317C">
        <w:t>; and</w:t>
      </w:r>
    </w:p>
    <w:p w14:paraId="598F6B99" w14:textId="77777777" w:rsidR="00AA0B2C" w:rsidRPr="0070317C" w:rsidRDefault="00AA0B2C" w:rsidP="00AA0B2C">
      <w:pPr>
        <w:pStyle w:val="Isubpara"/>
      </w:pPr>
      <w:r w:rsidRPr="0070317C">
        <w:tab/>
        <w:t>(ii)</w:t>
      </w:r>
      <w:r w:rsidRPr="0070317C">
        <w:tab/>
        <w:t>if relevant, how the fee or charge is worked out.</w:t>
      </w:r>
    </w:p>
    <w:p w14:paraId="6E1FA5AB" w14:textId="77777777" w:rsidR="00983D5C" w:rsidRPr="0070317C" w:rsidRDefault="00F978E2" w:rsidP="00553E0D">
      <w:pPr>
        <w:pStyle w:val="aExamHdgss"/>
      </w:pPr>
      <w:r w:rsidRPr="0070317C">
        <w:t>Examples—par (d) (i)</w:t>
      </w:r>
    </w:p>
    <w:p w14:paraId="4F239033" w14:textId="77777777" w:rsidR="00983D5C" w:rsidRPr="0070317C" w:rsidRDefault="00F978E2" w:rsidP="00553E0D">
      <w:pPr>
        <w:pStyle w:val="aExamss"/>
      </w:pPr>
      <w:r w:rsidRPr="0070317C">
        <w:t>weekly occupancy fee, monthly electricity charge, quarterly water use fee, monthly wi-fi access fee</w:t>
      </w:r>
    </w:p>
    <w:p w14:paraId="225FD0C4" w14:textId="77777777" w:rsidR="00F978E2" w:rsidRPr="0070317C" w:rsidRDefault="00F978E2" w:rsidP="00553E0D">
      <w:pPr>
        <w:pStyle w:val="aExamHdgss"/>
      </w:pPr>
      <w:r w:rsidRPr="0070317C">
        <w:t>Example—par (d) (ii)</w:t>
      </w:r>
    </w:p>
    <w:p w14:paraId="50D8B9AE" w14:textId="77777777" w:rsidR="00F978E2" w:rsidRPr="0070317C" w:rsidRDefault="00F978E2" w:rsidP="0070317C">
      <w:pPr>
        <w:pStyle w:val="aExamss"/>
        <w:keepNext/>
      </w:pPr>
      <w:r w:rsidRPr="0070317C">
        <w:t>a stated share of a utilities bill</w:t>
      </w:r>
    </w:p>
    <w:p w14:paraId="2558372F" w14:textId="77777777" w:rsidR="00983D5C" w:rsidRPr="0070317C" w:rsidRDefault="00983D5C" w:rsidP="00553E0D">
      <w:pPr>
        <w:pStyle w:val="aNote"/>
      </w:pPr>
      <w:r w:rsidRPr="0070317C">
        <w:rPr>
          <w:rStyle w:val="charItals"/>
        </w:rPr>
        <w:t>Note</w:t>
      </w:r>
      <w:r w:rsidRPr="0070317C">
        <w:rPr>
          <w:rStyle w:val="charItals"/>
        </w:rPr>
        <w:tab/>
      </w:r>
      <w:r w:rsidR="000C1462" w:rsidRPr="0070317C">
        <w:t>If an occupancy agreement is not in writing, the</w:t>
      </w:r>
      <w:r w:rsidR="001979D9" w:rsidRPr="0070317C">
        <w:t xml:space="preserve"> grantor may comply with a requirement to give information by giving the in</w:t>
      </w:r>
      <w:r w:rsidR="000C1462" w:rsidRPr="0070317C">
        <w:t>formation, in writing, in any other appropriate way (</w:t>
      </w:r>
      <w:r w:rsidR="0021419B" w:rsidRPr="0070317C">
        <w:t xml:space="preserve">see </w:t>
      </w:r>
      <w:r w:rsidR="000C1462" w:rsidRPr="0070317C">
        <w:t>s </w:t>
      </w:r>
      <w:r w:rsidR="0077432A" w:rsidRPr="0070317C">
        <w:t>7</w:t>
      </w:r>
      <w:r w:rsidR="000C1462" w:rsidRPr="0070317C">
        <w:t>1EA (</w:t>
      </w:r>
      <w:r w:rsidR="00837FD8" w:rsidRPr="0070317C">
        <w:t>3</w:t>
      </w:r>
      <w:r w:rsidR="000C1462" w:rsidRPr="0070317C">
        <w:t>)).</w:t>
      </w:r>
    </w:p>
    <w:p w14:paraId="4449B9ED" w14:textId="77777777" w:rsidR="002B3C94" w:rsidRPr="0070317C" w:rsidRDefault="003A6279" w:rsidP="008E2984">
      <w:pPr>
        <w:pStyle w:val="IMain"/>
      </w:pPr>
      <w:r w:rsidRPr="0070317C">
        <w:tab/>
      </w:r>
      <w:r w:rsidR="008E2984" w:rsidRPr="0070317C">
        <w:t>(</w:t>
      </w:r>
      <w:r w:rsidR="00A62E85" w:rsidRPr="0070317C">
        <w:t>2</w:t>
      </w:r>
      <w:r w:rsidR="008E2984" w:rsidRPr="0070317C">
        <w:t>)</w:t>
      </w:r>
      <w:r w:rsidR="008E2984" w:rsidRPr="0070317C">
        <w:tab/>
      </w:r>
      <w:r w:rsidR="007405BB" w:rsidRPr="0070317C">
        <w:t>T</w:t>
      </w:r>
      <w:r w:rsidR="00E91A44" w:rsidRPr="0070317C">
        <w:t xml:space="preserve">he </w:t>
      </w:r>
      <w:r w:rsidR="008E2984" w:rsidRPr="0070317C">
        <w:t>grantor must give</w:t>
      </w:r>
      <w:r w:rsidR="00CC672B" w:rsidRPr="0070317C">
        <w:t xml:space="preserve"> the occupant</w:t>
      </w:r>
      <w:r w:rsidR="002B3C94" w:rsidRPr="0070317C">
        <w:t>—</w:t>
      </w:r>
    </w:p>
    <w:p w14:paraId="5B6E873F" w14:textId="77777777" w:rsidR="008E2984" w:rsidRPr="0070317C" w:rsidRDefault="002B3C94" w:rsidP="002B3C94">
      <w:pPr>
        <w:pStyle w:val="Ipara"/>
      </w:pPr>
      <w:r w:rsidRPr="0070317C">
        <w:tab/>
        <w:t>(a)</w:t>
      </w:r>
      <w:r w:rsidRPr="0070317C">
        <w:tab/>
      </w:r>
      <w:r w:rsidR="008E2984" w:rsidRPr="0070317C">
        <w:t xml:space="preserve">at least </w:t>
      </w:r>
      <w:r w:rsidR="005003E8" w:rsidRPr="0070317C">
        <w:t>8</w:t>
      </w:r>
      <w:r w:rsidR="008E2984" w:rsidRPr="0070317C">
        <w:t xml:space="preserve"> weeks </w:t>
      </w:r>
      <w:r w:rsidR="00E91A44" w:rsidRPr="0070317C">
        <w:t xml:space="preserve">prior </w:t>
      </w:r>
      <w:r w:rsidR="008E2984" w:rsidRPr="0070317C">
        <w:t xml:space="preserve">written notice </w:t>
      </w:r>
      <w:r w:rsidR="00D67F12" w:rsidRPr="0070317C">
        <w:t xml:space="preserve">(the </w:t>
      </w:r>
      <w:r w:rsidR="00D67F12" w:rsidRPr="0070317C">
        <w:rPr>
          <w:rStyle w:val="charBoldItals"/>
        </w:rPr>
        <w:t>grantor’s notice period</w:t>
      </w:r>
      <w:r w:rsidR="00D67F12" w:rsidRPr="0070317C">
        <w:t xml:space="preserve">) </w:t>
      </w:r>
      <w:r w:rsidR="005A33AD" w:rsidRPr="0070317C">
        <w:t>before</w:t>
      </w:r>
      <w:r w:rsidR="008E2984" w:rsidRPr="0070317C">
        <w:t>—</w:t>
      </w:r>
    </w:p>
    <w:p w14:paraId="3A476709" w14:textId="77777777" w:rsidR="009E7543" w:rsidRPr="0070317C" w:rsidRDefault="002B3C94" w:rsidP="002B3C94">
      <w:pPr>
        <w:pStyle w:val="Isubpara"/>
      </w:pPr>
      <w:r w:rsidRPr="0070317C">
        <w:tab/>
        <w:t>(</w:t>
      </w:r>
      <w:r w:rsidR="00394155" w:rsidRPr="0070317C">
        <w:t>i</w:t>
      </w:r>
      <w:r w:rsidRPr="0070317C">
        <w:t>)</w:t>
      </w:r>
      <w:r w:rsidRPr="0070317C">
        <w:tab/>
      </w:r>
      <w:r w:rsidR="009E7543" w:rsidRPr="0070317C">
        <w:t>chang</w:t>
      </w:r>
      <w:r w:rsidRPr="0070317C">
        <w:t>ing</w:t>
      </w:r>
      <w:r w:rsidR="009E7543" w:rsidRPr="0070317C">
        <w:t xml:space="preserve"> an occupancy rule</w:t>
      </w:r>
      <w:r w:rsidR="007405BB" w:rsidRPr="0070317C">
        <w:t xml:space="preserve"> included in the occupancy agreement</w:t>
      </w:r>
      <w:r w:rsidR="009E7543" w:rsidRPr="0070317C">
        <w:t>; or</w:t>
      </w:r>
    </w:p>
    <w:p w14:paraId="6048945E" w14:textId="77777777" w:rsidR="00F57A95" w:rsidRPr="0070317C" w:rsidRDefault="00F57A95" w:rsidP="002B3C94">
      <w:pPr>
        <w:pStyle w:val="Isubpara"/>
      </w:pPr>
      <w:r w:rsidRPr="0070317C">
        <w:tab/>
        <w:t>(</w:t>
      </w:r>
      <w:r w:rsidR="00394155" w:rsidRPr="0070317C">
        <w:t>ii</w:t>
      </w:r>
      <w:r w:rsidRPr="0070317C">
        <w:t>)</w:t>
      </w:r>
      <w:r w:rsidRPr="0070317C">
        <w:tab/>
      </w:r>
      <w:r w:rsidR="002A72F5" w:rsidRPr="0070317C">
        <w:t>increas</w:t>
      </w:r>
      <w:r w:rsidR="002B3C94" w:rsidRPr="0070317C">
        <w:t>ing</w:t>
      </w:r>
      <w:r w:rsidR="002A72F5" w:rsidRPr="0070317C">
        <w:t xml:space="preserve"> a fee, charge or penalty</w:t>
      </w:r>
      <w:r w:rsidR="00E91A44" w:rsidRPr="0070317C">
        <w:t xml:space="preserve"> </w:t>
      </w:r>
      <w:r w:rsidR="004C04C0" w:rsidRPr="0070317C">
        <w:t xml:space="preserve">payable </w:t>
      </w:r>
      <w:r w:rsidR="00E91A44" w:rsidRPr="0070317C">
        <w:t xml:space="preserve">under the </w:t>
      </w:r>
      <w:r w:rsidR="00DA056C" w:rsidRPr="0070317C">
        <w:t xml:space="preserve">occupancy </w:t>
      </w:r>
      <w:r w:rsidR="00E91A44" w:rsidRPr="0070317C">
        <w:t>agreement</w:t>
      </w:r>
      <w:r w:rsidR="002A72F5" w:rsidRPr="0070317C">
        <w:t>; or</w:t>
      </w:r>
    </w:p>
    <w:p w14:paraId="5B70BAA8" w14:textId="77777777" w:rsidR="002A72F5" w:rsidRPr="0070317C" w:rsidRDefault="002A72F5" w:rsidP="002B3C94">
      <w:pPr>
        <w:pStyle w:val="Isubpara"/>
      </w:pPr>
      <w:r w:rsidRPr="0070317C">
        <w:tab/>
        <w:t>(</w:t>
      </w:r>
      <w:r w:rsidR="00394155" w:rsidRPr="0070317C">
        <w:t>iii</w:t>
      </w:r>
      <w:r w:rsidRPr="0070317C">
        <w:t>)</w:t>
      </w:r>
      <w:r w:rsidRPr="0070317C">
        <w:tab/>
        <w:t>introduc</w:t>
      </w:r>
      <w:r w:rsidR="002B3C94" w:rsidRPr="0070317C">
        <w:t>ing</w:t>
      </w:r>
      <w:r w:rsidRPr="0070317C">
        <w:t xml:space="preserve"> a new fee, charge</w:t>
      </w:r>
      <w:r w:rsidR="00F0195E" w:rsidRPr="0070317C">
        <w:t xml:space="preserve">, </w:t>
      </w:r>
      <w:r w:rsidR="00E91A44" w:rsidRPr="0070317C">
        <w:t xml:space="preserve">occupancy </w:t>
      </w:r>
      <w:r w:rsidR="00F0195E" w:rsidRPr="0070317C">
        <w:t>rule or</w:t>
      </w:r>
      <w:r w:rsidRPr="0070317C">
        <w:t xml:space="preserve"> penalty</w:t>
      </w:r>
      <w:r w:rsidR="00E91A44" w:rsidRPr="0070317C">
        <w:t xml:space="preserve"> </w:t>
      </w:r>
      <w:r w:rsidR="004C04C0" w:rsidRPr="0070317C">
        <w:t xml:space="preserve">payable </w:t>
      </w:r>
      <w:r w:rsidR="00E91A44" w:rsidRPr="0070317C">
        <w:t>under the</w:t>
      </w:r>
      <w:r w:rsidR="00DA056C" w:rsidRPr="0070317C">
        <w:t xml:space="preserve"> occupancy</w:t>
      </w:r>
      <w:r w:rsidR="00E91A44" w:rsidRPr="0070317C">
        <w:t xml:space="preserve"> agreement</w:t>
      </w:r>
      <w:r w:rsidR="002B3C94" w:rsidRPr="0070317C">
        <w:t>; and</w:t>
      </w:r>
    </w:p>
    <w:p w14:paraId="0EB59713" w14:textId="77777777" w:rsidR="00D937BD" w:rsidRPr="0070317C" w:rsidRDefault="002B3C94" w:rsidP="00683302">
      <w:pPr>
        <w:pStyle w:val="Ipara"/>
      </w:pPr>
      <w:r w:rsidRPr="0070317C">
        <w:tab/>
        <w:t>(b)</w:t>
      </w:r>
      <w:r w:rsidRPr="0070317C">
        <w:tab/>
        <w:t>reasonable notice about imposing a penalty for breach of an occupancy rule</w:t>
      </w:r>
      <w:r w:rsidR="004C04C0" w:rsidRPr="0070317C">
        <w:t xml:space="preserve"> included in the occupancy agreement</w:t>
      </w:r>
      <w:r w:rsidRPr="0070317C">
        <w:t>.</w:t>
      </w:r>
    </w:p>
    <w:p w14:paraId="677177C9" w14:textId="77777777" w:rsidR="00D67F12" w:rsidRPr="0070317C" w:rsidRDefault="00D67F12" w:rsidP="00D67F12">
      <w:pPr>
        <w:pStyle w:val="IMain"/>
      </w:pPr>
      <w:r w:rsidRPr="0070317C">
        <w:tab/>
        <w:t>(3)</w:t>
      </w:r>
      <w:r w:rsidRPr="0070317C">
        <w:tab/>
        <w:t xml:space="preserve">If the grantor </w:t>
      </w:r>
      <w:r w:rsidR="00671596" w:rsidRPr="0070317C">
        <w:t xml:space="preserve">gives </w:t>
      </w:r>
      <w:r w:rsidRPr="0070317C">
        <w:t>notice under subsection</w:t>
      </w:r>
      <w:r w:rsidR="00B53366" w:rsidRPr="0070317C">
        <w:t> </w:t>
      </w:r>
      <w:r w:rsidRPr="0070317C">
        <w:t>(2)</w:t>
      </w:r>
      <w:r w:rsidR="00B53366" w:rsidRPr="0070317C">
        <w:t> (a)</w:t>
      </w:r>
      <w:r w:rsidRPr="0070317C">
        <w:t>, the occupant may terminate the occupancy agreement by giving 2 weeks written notice to the grantor before the end of the grantor’s notice period.</w:t>
      </w:r>
    </w:p>
    <w:p w14:paraId="070D4997" w14:textId="77777777" w:rsidR="00D937BD" w:rsidRPr="0070317C" w:rsidRDefault="00527360" w:rsidP="00D36C34">
      <w:pPr>
        <w:pStyle w:val="IH5Sec"/>
      </w:pPr>
      <w:r w:rsidRPr="0070317C">
        <w:lastRenderedPageBreak/>
        <w:t>71E</w:t>
      </w:r>
      <w:r w:rsidR="005D68B1" w:rsidRPr="0070317C">
        <w:t>H</w:t>
      </w:r>
      <w:r w:rsidRPr="0070317C">
        <w:tab/>
      </w:r>
      <w:r w:rsidR="00D155BA" w:rsidRPr="0070317C">
        <w:t>Occupant’s a</w:t>
      </w:r>
      <w:r w:rsidR="00FB5A1A" w:rsidRPr="0070317C">
        <w:t>ccess to occupancy premises</w:t>
      </w:r>
    </w:p>
    <w:p w14:paraId="23CCEB17" w14:textId="77777777" w:rsidR="005F5C3D" w:rsidRPr="0070317C" w:rsidRDefault="00043F20" w:rsidP="00D36C34">
      <w:pPr>
        <w:pStyle w:val="IMain"/>
        <w:keepNext/>
      </w:pPr>
      <w:r w:rsidRPr="0070317C">
        <w:tab/>
        <w:t>(1)</w:t>
      </w:r>
      <w:r w:rsidRPr="0070317C">
        <w:tab/>
      </w:r>
      <w:r w:rsidR="005F5C3D" w:rsidRPr="0070317C">
        <w:t>As far as reasonably practicable, t</w:t>
      </w:r>
      <w:r w:rsidRPr="0070317C">
        <w:t xml:space="preserve">he </w:t>
      </w:r>
      <w:r w:rsidR="007137DE" w:rsidRPr="0070317C">
        <w:t xml:space="preserve">grantor </w:t>
      </w:r>
      <w:r w:rsidRPr="0070317C">
        <w:t xml:space="preserve">must </w:t>
      </w:r>
      <w:r w:rsidR="007137DE" w:rsidRPr="0070317C">
        <w:t>give the occupant</w:t>
      </w:r>
      <w:r w:rsidR="005F5C3D" w:rsidRPr="0070317C">
        <w:t>—</w:t>
      </w:r>
    </w:p>
    <w:p w14:paraId="0763A4E7" w14:textId="77777777" w:rsidR="00983D5C" w:rsidRPr="0070317C" w:rsidRDefault="005F5C3D" w:rsidP="005F5C3D">
      <w:pPr>
        <w:pStyle w:val="Ipara"/>
      </w:pPr>
      <w:r w:rsidRPr="0070317C">
        <w:tab/>
        <w:t>(a)</w:t>
      </w:r>
      <w:r w:rsidRPr="0070317C">
        <w:tab/>
      </w:r>
      <w:r w:rsidR="009304E6" w:rsidRPr="0070317C">
        <w:t xml:space="preserve">24-hour </w:t>
      </w:r>
      <w:r w:rsidR="00043F20" w:rsidRPr="0070317C">
        <w:t>access to</w:t>
      </w:r>
      <w:r w:rsidR="00983D5C" w:rsidRPr="0070317C">
        <w:t>—</w:t>
      </w:r>
    </w:p>
    <w:p w14:paraId="14B9F9B4" w14:textId="77777777" w:rsidR="00983D5C" w:rsidRPr="0070317C" w:rsidRDefault="00983D5C" w:rsidP="00983D5C">
      <w:pPr>
        <w:pStyle w:val="Isubpara"/>
      </w:pPr>
      <w:r w:rsidRPr="0070317C">
        <w:tab/>
        <w:t>(i)</w:t>
      </w:r>
      <w:r w:rsidRPr="0070317C">
        <w:tab/>
      </w:r>
      <w:r w:rsidR="009304E6" w:rsidRPr="0070317C">
        <w:t xml:space="preserve">the occupant’s part of </w:t>
      </w:r>
      <w:r w:rsidR="009B04EF" w:rsidRPr="0070317C">
        <w:t xml:space="preserve">the </w:t>
      </w:r>
      <w:r w:rsidR="009304E6" w:rsidRPr="0070317C">
        <w:t>premises</w:t>
      </w:r>
      <w:r w:rsidRPr="0070317C">
        <w:t>;</w:t>
      </w:r>
      <w:r w:rsidR="00455936" w:rsidRPr="0070317C">
        <w:t xml:space="preserve"> and </w:t>
      </w:r>
    </w:p>
    <w:p w14:paraId="3DAD2251" w14:textId="77777777" w:rsidR="00455936" w:rsidRPr="0070317C" w:rsidRDefault="00983D5C" w:rsidP="00983D5C">
      <w:pPr>
        <w:pStyle w:val="Isubpara"/>
      </w:pPr>
      <w:r w:rsidRPr="0070317C">
        <w:tab/>
        <w:t>(ii)</w:t>
      </w:r>
      <w:r w:rsidRPr="0070317C">
        <w:tab/>
      </w:r>
      <w:r w:rsidR="00455936" w:rsidRPr="0070317C">
        <w:t>a toilet and bathroom</w:t>
      </w:r>
      <w:r w:rsidR="005F5C3D" w:rsidRPr="0070317C">
        <w:t>; and</w:t>
      </w:r>
    </w:p>
    <w:p w14:paraId="360A528C" w14:textId="77777777" w:rsidR="009C33F8" w:rsidRPr="0070317C" w:rsidRDefault="004A7346" w:rsidP="004A7346">
      <w:pPr>
        <w:pStyle w:val="Ipara"/>
      </w:pPr>
      <w:r w:rsidRPr="0070317C">
        <w:tab/>
        <w:t>(b)</w:t>
      </w:r>
      <w:r w:rsidRPr="0070317C">
        <w:tab/>
        <w:t xml:space="preserve">access at reasonable </w:t>
      </w:r>
      <w:r w:rsidR="00D155BA" w:rsidRPr="0070317C">
        <w:t>times</w:t>
      </w:r>
      <w:r w:rsidRPr="0070317C">
        <w:t xml:space="preserve"> to </w:t>
      </w:r>
      <w:r w:rsidR="00C32343" w:rsidRPr="0070317C">
        <w:t>shared</w:t>
      </w:r>
      <w:r w:rsidRPr="0070317C">
        <w:t xml:space="preserve"> facilities</w:t>
      </w:r>
      <w:r w:rsidR="00D155BA" w:rsidRPr="0070317C">
        <w:t xml:space="preserve"> having regard to the occupant’s circumstances</w:t>
      </w:r>
      <w:r w:rsidRPr="0070317C">
        <w:t>.</w:t>
      </w:r>
    </w:p>
    <w:p w14:paraId="450D8586" w14:textId="77777777" w:rsidR="00D155BA" w:rsidRPr="0070317C" w:rsidRDefault="00D155BA" w:rsidP="00EE0E8B">
      <w:pPr>
        <w:pStyle w:val="aExamHdgss"/>
      </w:pPr>
      <w:r w:rsidRPr="0070317C">
        <w:t>Example—occupant’s circumstances</w:t>
      </w:r>
    </w:p>
    <w:p w14:paraId="32C83627" w14:textId="77777777" w:rsidR="00D155BA" w:rsidRPr="0070317C" w:rsidRDefault="00D155BA" w:rsidP="00EE0E8B">
      <w:pPr>
        <w:pStyle w:val="aExamss"/>
      </w:pPr>
      <w:r w:rsidRPr="0070317C">
        <w:t>parents of a baby may need to use the kitchen to prepare baby formula</w:t>
      </w:r>
    </w:p>
    <w:p w14:paraId="45D25327" w14:textId="77777777" w:rsidR="00307E94" w:rsidRPr="0070317C" w:rsidRDefault="005F5C3D" w:rsidP="005F5C3D">
      <w:pPr>
        <w:pStyle w:val="IMain"/>
      </w:pPr>
      <w:r w:rsidRPr="0070317C">
        <w:tab/>
        <w:t>(2)</w:t>
      </w:r>
      <w:r w:rsidRPr="0070317C">
        <w:tab/>
        <w:t>In this section</w:t>
      </w:r>
      <w:r w:rsidR="004A7346" w:rsidRPr="0070317C">
        <w:t>:</w:t>
      </w:r>
    </w:p>
    <w:p w14:paraId="30CCE8F8" w14:textId="77777777" w:rsidR="00EC5D76" w:rsidRPr="0070317C" w:rsidRDefault="005F5C3D" w:rsidP="0070317C">
      <w:pPr>
        <w:pStyle w:val="aDef"/>
      </w:pPr>
      <w:r w:rsidRPr="0070317C">
        <w:rPr>
          <w:rStyle w:val="charBoldItals"/>
        </w:rPr>
        <w:t>occupant’s part</w:t>
      </w:r>
      <w:r w:rsidR="009B04EF" w:rsidRPr="0070317C">
        <w:t xml:space="preserve">, of premises the subject of an occupancy agreement, </w:t>
      </w:r>
      <w:r w:rsidRPr="0070317C">
        <w:t>means the part of the premises that is provided</w:t>
      </w:r>
      <w:r w:rsidR="00E6754B" w:rsidRPr="0070317C">
        <w:t xml:space="preserve"> under the agreement</w:t>
      </w:r>
      <w:r w:rsidRPr="0070317C">
        <w:t xml:space="preserve"> for the occupant</w:t>
      </w:r>
      <w:r w:rsidR="00455936" w:rsidRPr="0070317C">
        <w:t>’</w:t>
      </w:r>
      <w:r w:rsidRPr="0070317C">
        <w:t>s primary use</w:t>
      </w:r>
      <w:r w:rsidR="00455936" w:rsidRPr="0070317C">
        <w:t>.</w:t>
      </w:r>
    </w:p>
    <w:p w14:paraId="401237DA" w14:textId="77777777" w:rsidR="004A7346" w:rsidRPr="0070317C" w:rsidRDefault="00AA4C46" w:rsidP="0070317C">
      <w:pPr>
        <w:pStyle w:val="aDef"/>
      </w:pPr>
      <w:r w:rsidRPr="0070317C">
        <w:rPr>
          <w:rStyle w:val="charBoldItals"/>
        </w:rPr>
        <w:t>shared</w:t>
      </w:r>
      <w:r w:rsidR="004A7346" w:rsidRPr="0070317C">
        <w:rPr>
          <w:rStyle w:val="charBoldItals"/>
        </w:rPr>
        <w:t xml:space="preserve"> facilities</w:t>
      </w:r>
      <w:r w:rsidR="00E6754B" w:rsidRPr="0070317C">
        <w:t xml:space="preserve">, </w:t>
      </w:r>
      <w:r w:rsidRPr="0070317C">
        <w:t>in relation to</w:t>
      </w:r>
      <w:r w:rsidR="00E6754B" w:rsidRPr="0070317C">
        <w:t xml:space="preserve"> premises the subject of an occupancy agreement, </w:t>
      </w:r>
      <w:r w:rsidRPr="0070317C">
        <w:t>means</w:t>
      </w:r>
      <w:r w:rsidR="004A7346" w:rsidRPr="0070317C">
        <w:t xml:space="preserve"> </w:t>
      </w:r>
      <w:r w:rsidRPr="0070317C">
        <w:t xml:space="preserve">an </w:t>
      </w:r>
      <w:r w:rsidR="004A7346" w:rsidRPr="0070317C">
        <w:t xml:space="preserve">area </w:t>
      </w:r>
      <w:r w:rsidR="00E6754B" w:rsidRPr="0070317C">
        <w:t xml:space="preserve">related to the premises </w:t>
      </w:r>
      <w:r w:rsidRPr="0070317C">
        <w:t>that is</w:t>
      </w:r>
      <w:r w:rsidR="00E6754B" w:rsidRPr="0070317C">
        <w:t xml:space="preserve"> provided </w:t>
      </w:r>
      <w:r w:rsidR="004A7346" w:rsidRPr="0070317C">
        <w:t xml:space="preserve">for </w:t>
      </w:r>
      <w:r w:rsidRPr="0070317C">
        <w:t>shared</w:t>
      </w:r>
      <w:r w:rsidR="005B57C8" w:rsidRPr="0070317C">
        <w:t xml:space="preserve"> </w:t>
      </w:r>
      <w:r w:rsidR="004A7346" w:rsidRPr="0070317C">
        <w:t xml:space="preserve">use </w:t>
      </w:r>
      <w:r w:rsidR="005B57C8" w:rsidRPr="0070317C">
        <w:t xml:space="preserve">by </w:t>
      </w:r>
      <w:r w:rsidR="009B798C" w:rsidRPr="0070317C">
        <w:t>occupants.</w:t>
      </w:r>
    </w:p>
    <w:p w14:paraId="15F58429" w14:textId="77777777" w:rsidR="009B798C" w:rsidRPr="0070317C" w:rsidRDefault="009B798C" w:rsidP="00376690">
      <w:pPr>
        <w:pStyle w:val="aExamHdgss"/>
      </w:pPr>
      <w:r w:rsidRPr="0070317C">
        <w:t>Examples</w:t>
      </w:r>
    </w:p>
    <w:p w14:paraId="06DBC3D5" w14:textId="77777777" w:rsidR="00F020BD" w:rsidRPr="0070317C" w:rsidRDefault="00F020BD" w:rsidP="00740B7E">
      <w:pPr>
        <w:pStyle w:val="aExamss"/>
      </w:pPr>
      <w:r w:rsidRPr="0070317C">
        <w:t>s</w:t>
      </w:r>
      <w:r w:rsidR="009B798C" w:rsidRPr="0070317C">
        <w:t>hared laundry</w:t>
      </w:r>
      <w:r w:rsidR="00740B7E" w:rsidRPr="0070317C">
        <w:t xml:space="preserve">, </w:t>
      </w:r>
      <w:r w:rsidRPr="0070317C">
        <w:t>kitchen</w:t>
      </w:r>
      <w:r w:rsidR="00740B7E" w:rsidRPr="0070317C">
        <w:t xml:space="preserve">, </w:t>
      </w:r>
      <w:r w:rsidRPr="0070317C">
        <w:t>g</w:t>
      </w:r>
      <w:r w:rsidR="009B798C" w:rsidRPr="0070317C">
        <w:t>ames room</w:t>
      </w:r>
      <w:r w:rsidR="00740B7E" w:rsidRPr="0070317C">
        <w:t xml:space="preserve">, </w:t>
      </w:r>
      <w:r w:rsidRPr="0070317C">
        <w:t>o</w:t>
      </w:r>
      <w:r w:rsidR="009B798C" w:rsidRPr="0070317C">
        <w:t xml:space="preserve">utdoor BBQ </w:t>
      </w:r>
      <w:r w:rsidR="005B57C8" w:rsidRPr="0070317C">
        <w:t>area</w:t>
      </w:r>
    </w:p>
    <w:p w14:paraId="37F478ED" w14:textId="77777777" w:rsidR="005D68B1" w:rsidRPr="0070317C" w:rsidRDefault="005D68B1" w:rsidP="005D68B1">
      <w:pPr>
        <w:pStyle w:val="IH5Sec"/>
      </w:pPr>
      <w:r w:rsidRPr="0070317C">
        <w:t>71EI</w:t>
      </w:r>
      <w:r w:rsidRPr="0070317C">
        <w:tab/>
        <w:t>Information about dispute resolution processes</w:t>
      </w:r>
    </w:p>
    <w:p w14:paraId="38CFFEEE" w14:textId="77777777" w:rsidR="005D68B1" w:rsidRPr="0070317C" w:rsidRDefault="005D68B1" w:rsidP="005D68B1">
      <w:pPr>
        <w:pStyle w:val="Amainreturn"/>
      </w:pPr>
      <w:r w:rsidRPr="0070317C">
        <w:t>The grantor must include the following information in an occupancy agreement for premises:</w:t>
      </w:r>
    </w:p>
    <w:p w14:paraId="1E73BA58" w14:textId="77777777" w:rsidR="005D68B1" w:rsidRPr="0070317C" w:rsidRDefault="005D68B1" w:rsidP="005D68B1">
      <w:pPr>
        <w:pStyle w:val="Ipara"/>
      </w:pPr>
      <w:r w:rsidRPr="0070317C">
        <w:tab/>
        <w:t>(a)</w:t>
      </w:r>
      <w:r w:rsidRPr="0070317C">
        <w:tab/>
        <w:t>any internal dispute resolution process that applies to the  agreement;</w:t>
      </w:r>
    </w:p>
    <w:p w14:paraId="58C07931" w14:textId="77777777" w:rsidR="000813E4" w:rsidRPr="0070317C" w:rsidRDefault="005D68B1" w:rsidP="005D68B1">
      <w:pPr>
        <w:pStyle w:val="Ipara"/>
      </w:pPr>
      <w:r w:rsidRPr="0070317C">
        <w:tab/>
        <w:t>(b)</w:t>
      </w:r>
      <w:r w:rsidRPr="0070317C">
        <w:tab/>
        <w:t>the contact details for</w:t>
      </w:r>
      <w:r w:rsidR="000813E4" w:rsidRPr="0070317C">
        <w:t>—</w:t>
      </w:r>
    </w:p>
    <w:p w14:paraId="6AF6219E" w14:textId="77777777" w:rsidR="000813E4" w:rsidRPr="0070317C" w:rsidRDefault="000813E4" w:rsidP="000813E4">
      <w:pPr>
        <w:pStyle w:val="Isubpara"/>
      </w:pPr>
      <w:r w:rsidRPr="0070317C">
        <w:tab/>
        <w:t>(i)</w:t>
      </w:r>
      <w:r w:rsidRPr="0070317C">
        <w:tab/>
        <w:t xml:space="preserve">the </w:t>
      </w:r>
      <w:r w:rsidR="00B53366" w:rsidRPr="0070317C">
        <w:t>grantor</w:t>
      </w:r>
      <w:r w:rsidRPr="0070317C">
        <w:t>; and</w:t>
      </w:r>
    </w:p>
    <w:p w14:paraId="7F749BE9" w14:textId="77777777" w:rsidR="005D68B1" w:rsidRPr="0070317C" w:rsidRDefault="000813E4" w:rsidP="00D36C34">
      <w:pPr>
        <w:pStyle w:val="Isubpara"/>
        <w:keepNext/>
      </w:pPr>
      <w:r w:rsidRPr="0070317C">
        <w:lastRenderedPageBreak/>
        <w:tab/>
        <w:t>(ii)</w:t>
      </w:r>
      <w:r w:rsidRPr="0070317C">
        <w:tab/>
      </w:r>
      <w:r w:rsidR="005D68B1" w:rsidRPr="0070317C">
        <w:t xml:space="preserve">at least </w:t>
      </w:r>
      <w:r w:rsidR="00B33D8D" w:rsidRPr="0070317C">
        <w:t>1</w:t>
      </w:r>
      <w:r w:rsidR="005D68B1" w:rsidRPr="0070317C">
        <w:t xml:space="preserve"> community dispute resolution service provider;</w:t>
      </w:r>
      <w:r w:rsidRPr="0070317C">
        <w:t xml:space="preserve"> and</w:t>
      </w:r>
    </w:p>
    <w:p w14:paraId="378E410A" w14:textId="77777777" w:rsidR="005D68B1" w:rsidRPr="0070317C" w:rsidRDefault="005D68B1" w:rsidP="000813E4">
      <w:pPr>
        <w:pStyle w:val="Isubpara"/>
      </w:pPr>
      <w:r w:rsidRPr="0070317C">
        <w:tab/>
        <w:t>(</w:t>
      </w:r>
      <w:r w:rsidR="000813E4" w:rsidRPr="0070317C">
        <w:t>iii</w:t>
      </w:r>
      <w:r w:rsidRPr="0070317C">
        <w:t>)</w:t>
      </w:r>
      <w:r w:rsidRPr="0070317C">
        <w:tab/>
        <w:t>the human rights commission;</w:t>
      </w:r>
      <w:r w:rsidR="00C62029" w:rsidRPr="0070317C">
        <w:t xml:space="preserve"> and</w:t>
      </w:r>
    </w:p>
    <w:p w14:paraId="6761FF29" w14:textId="77777777" w:rsidR="00AD7C32" w:rsidRPr="0070317C" w:rsidRDefault="00AD7C32" w:rsidP="000813E4">
      <w:pPr>
        <w:pStyle w:val="Isubpara"/>
      </w:pPr>
      <w:r w:rsidRPr="0070317C">
        <w:tab/>
        <w:t>(iv)</w:t>
      </w:r>
      <w:r w:rsidRPr="0070317C">
        <w:tab/>
        <w:t>the legal aid commission</w:t>
      </w:r>
      <w:r w:rsidR="00464BF2" w:rsidRPr="0070317C">
        <w:t>; and</w:t>
      </w:r>
    </w:p>
    <w:p w14:paraId="3586C2A1" w14:textId="77777777" w:rsidR="005D68B1" w:rsidRPr="0070317C" w:rsidRDefault="005D68B1" w:rsidP="0070317C">
      <w:pPr>
        <w:pStyle w:val="Isubpara"/>
        <w:keepNext/>
      </w:pPr>
      <w:r w:rsidRPr="0070317C">
        <w:tab/>
        <w:t>(</w:t>
      </w:r>
      <w:r w:rsidR="000813E4" w:rsidRPr="0070317C">
        <w:t>v</w:t>
      </w:r>
      <w:r w:rsidRPr="0070317C">
        <w:t>)</w:t>
      </w:r>
      <w:r w:rsidRPr="0070317C">
        <w:tab/>
        <w:t>the ACAT.</w:t>
      </w:r>
    </w:p>
    <w:p w14:paraId="0DE56233" w14:textId="77777777" w:rsidR="000A3F8C" w:rsidRPr="0070317C" w:rsidRDefault="000A3F8C" w:rsidP="000A3F8C">
      <w:pPr>
        <w:pStyle w:val="aNote"/>
      </w:pPr>
      <w:r w:rsidRPr="0070317C">
        <w:rPr>
          <w:rStyle w:val="charItals"/>
        </w:rPr>
        <w:t>Note</w:t>
      </w:r>
      <w:r w:rsidRPr="0070317C">
        <w:rPr>
          <w:rStyle w:val="charItals"/>
        </w:rPr>
        <w:tab/>
      </w:r>
      <w:r w:rsidRPr="0070317C">
        <w:t>If an occupancy agreement is not in writing, the grantor may comply with a requirement to give information by giving the information, in writing, in any other appropriate way (</w:t>
      </w:r>
      <w:r w:rsidR="0021419B" w:rsidRPr="0070317C">
        <w:t xml:space="preserve">see </w:t>
      </w:r>
      <w:r w:rsidRPr="0070317C">
        <w:t>s </w:t>
      </w:r>
      <w:r w:rsidR="0021419B" w:rsidRPr="0070317C">
        <w:t>7</w:t>
      </w:r>
      <w:r w:rsidRPr="0070317C">
        <w:t>1EA (</w:t>
      </w:r>
      <w:r w:rsidR="00837FD8" w:rsidRPr="0070317C">
        <w:t>3</w:t>
      </w:r>
      <w:r w:rsidRPr="0070317C">
        <w:t>)).</w:t>
      </w:r>
    </w:p>
    <w:p w14:paraId="33F4EB7C" w14:textId="77777777" w:rsidR="00A71AB8" w:rsidRPr="0070317C" w:rsidRDefault="00A71AB8" w:rsidP="00492D05">
      <w:pPr>
        <w:pStyle w:val="IH5Sec"/>
      </w:pPr>
      <w:r w:rsidRPr="0070317C">
        <w:t>71EJ</w:t>
      </w:r>
      <w:r w:rsidRPr="0070317C">
        <w:tab/>
        <w:t>Entry by grantor to occupancy premises</w:t>
      </w:r>
    </w:p>
    <w:p w14:paraId="55FACD49" w14:textId="77777777" w:rsidR="00A71AB8" w:rsidRPr="0070317C" w:rsidRDefault="00A71AB8" w:rsidP="00A71AB8">
      <w:pPr>
        <w:pStyle w:val="IMain"/>
      </w:pPr>
      <w:r w:rsidRPr="0070317C">
        <w:tab/>
        <w:t>(1)</w:t>
      </w:r>
      <w:r w:rsidRPr="0070317C">
        <w:tab/>
        <w:t>The grantor must ensure an occupancy agreement for premises states—</w:t>
      </w:r>
    </w:p>
    <w:p w14:paraId="11A2502D" w14:textId="77777777" w:rsidR="00A71AB8" w:rsidRPr="0070317C" w:rsidRDefault="00A71AB8" w:rsidP="00A71AB8">
      <w:pPr>
        <w:pStyle w:val="Ipara"/>
      </w:pPr>
      <w:r w:rsidRPr="0070317C">
        <w:tab/>
        <w:t>(a)</w:t>
      </w:r>
      <w:r w:rsidRPr="0070317C">
        <w:tab/>
        <w:t>under what circumstances the grantor may enter the premises; and</w:t>
      </w:r>
    </w:p>
    <w:p w14:paraId="1AEA7BFB" w14:textId="77777777" w:rsidR="00B52C9B" w:rsidRPr="0070317C" w:rsidRDefault="00A71AB8" w:rsidP="00A71AB8">
      <w:pPr>
        <w:pStyle w:val="Ipara"/>
      </w:pPr>
      <w:r w:rsidRPr="0070317C">
        <w:tab/>
        <w:t>(b)</w:t>
      </w:r>
      <w:r w:rsidRPr="0070317C">
        <w:tab/>
      </w:r>
      <w:r w:rsidR="0058496A" w:rsidRPr="0070317C">
        <w:t>for each circumstance—</w:t>
      </w:r>
      <w:r w:rsidR="00BD5BEF" w:rsidRPr="0070317C">
        <w:t xml:space="preserve">the kind of </w:t>
      </w:r>
      <w:r w:rsidRPr="0070317C">
        <w:t>notice</w:t>
      </w:r>
      <w:r w:rsidR="00B52C9B" w:rsidRPr="0070317C">
        <w:t>,</w:t>
      </w:r>
      <w:r w:rsidR="00CF47EB" w:rsidRPr="0070317C">
        <w:t xml:space="preserve"> </w:t>
      </w:r>
      <w:r w:rsidR="00B52C9B" w:rsidRPr="0070317C">
        <w:t xml:space="preserve">and period of notice, </w:t>
      </w:r>
      <w:r w:rsidR="00CF47EB" w:rsidRPr="0070317C">
        <w:t>that the grantor must give the occupant</w:t>
      </w:r>
      <w:r w:rsidR="00B52C9B" w:rsidRPr="0070317C">
        <w:t>—</w:t>
      </w:r>
    </w:p>
    <w:p w14:paraId="30A3176A" w14:textId="77777777" w:rsidR="00B52C9B" w:rsidRPr="0070317C" w:rsidRDefault="00B52C9B" w:rsidP="00B52C9B">
      <w:pPr>
        <w:pStyle w:val="Isubpara"/>
      </w:pPr>
      <w:r w:rsidRPr="0070317C">
        <w:tab/>
        <w:t>(i)</w:t>
      </w:r>
      <w:r w:rsidRPr="0070317C">
        <w:tab/>
      </w:r>
      <w:r w:rsidR="00CF47EB" w:rsidRPr="0070317C">
        <w:t>before entering the premises</w:t>
      </w:r>
      <w:r w:rsidRPr="0070317C">
        <w:t xml:space="preserve">; or </w:t>
      </w:r>
    </w:p>
    <w:p w14:paraId="7BC5FF11" w14:textId="77777777" w:rsidR="00A71AB8" w:rsidRPr="0070317C" w:rsidRDefault="00B52C9B" w:rsidP="00B52C9B">
      <w:pPr>
        <w:pStyle w:val="Isubpara"/>
      </w:pPr>
      <w:r w:rsidRPr="0070317C">
        <w:tab/>
        <w:t>(ii)</w:t>
      </w:r>
      <w:r w:rsidRPr="0070317C">
        <w:tab/>
        <w:t>if it is not practicable to give prior notice, after entering the premises</w:t>
      </w:r>
      <w:r w:rsidR="00CF47EB" w:rsidRPr="0070317C">
        <w:t>.</w:t>
      </w:r>
    </w:p>
    <w:p w14:paraId="75D72CE7" w14:textId="77777777" w:rsidR="00464BF2" w:rsidRPr="0070317C" w:rsidRDefault="00837FD8" w:rsidP="00837FD8">
      <w:pPr>
        <w:pStyle w:val="aExamHdgsubpar"/>
      </w:pPr>
      <w:r w:rsidRPr="0070317C">
        <w:t>Examples—</w:t>
      </w:r>
      <w:r w:rsidR="00464BF2" w:rsidRPr="0070317C">
        <w:t>not practicable to give prior notice</w:t>
      </w:r>
    </w:p>
    <w:p w14:paraId="5AE29254" w14:textId="77777777" w:rsidR="00464BF2" w:rsidRPr="0070317C" w:rsidRDefault="00464BF2" w:rsidP="00837FD8">
      <w:pPr>
        <w:pStyle w:val="aExamNumsubpar"/>
      </w:pPr>
      <w:r w:rsidRPr="0070317C">
        <w:t>1</w:t>
      </w:r>
      <w:r w:rsidRPr="0070317C">
        <w:tab/>
      </w:r>
      <w:r w:rsidR="00837FD8" w:rsidRPr="0070317C">
        <w:t>t</w:t>
      </w:r>
      <w:r w:rsidR="00B64765" w:rsidRPr="0070317C">
        <w:t xml:space="preserve">he grantor has reasonable </w:t>
      </w:r>
      <w:r w:rsidRPr="0070317C">
        <w:t xml:space="preserve">concerns about </w:t>
      </w:r>
      <w:r w:rsidR="004A7608" w:rsidRPr="0070317C">
        <w:t xml:space="preserve">an imminent risk to </w:t>
      </w:r>
      <w:r w:rsidR="00B64765" w:rsidRPr="0070317C">
        <w:t xml:space="preserve">the welfare of the </w:t>
      </w:r>
      <w:r w:rsidRPr="0070317C">
        <w:t>occupant</w:t>
      </w:r>
      <w:r w:rsidR="004A7608" w:rsidRPr="0070317C">
        <w:t xml:space="preserve"> or another person</w:t>
      </w:r>
    </w:p>
    <w:p w14:paraId="41147675" w14:textId="77777777" w:rsidR="00464BF2" w:rsidRPr="0070317C" w:rsidRDefault="00464BF2" w:rsidP="00837FD8">
      <w:pPr>
        <w:pStyle w:val="aExamNumsubpar"/>
      </w:pPr>
      <w:r w:rsidRPr="0070317C">
        <w:t>2</w:t>
      </w:r>
      <w:r w:rsidRPr="0070317C">
        <w:tab/>
      </w:r>
      <w:r w:rsidR="00837FD8" w:rsidRPr="0070317C">
        <w:t>t</w:t>
      </w:r>
      <w:r w:rsidR="004A7608" w:rsidRPr="0070317C">
        <w:t>he grantor has reasonable concerns about an imminent risk of property damage and the occupant cannot be contacted</w:t>
      </w:r>
    </w:p>
    <w:p w14:paraId="49114D75" w14:textId="77777777" w:rsidR="00CF47EB" w:rsidRPr="0070317C" w:rsidRDefault="00CF47EB" w:rsidP="00D36C34">
      <w:pPr>
        <w:pStyle w:val="IMain"/>
        <w:keepNext/>
        <w:keepLines/>
      </w:pPr>
      <w:r w:rsidRPr="0070317C">
        <w:lastRenderedPageBreak/>
        <w:tab/>
        <w:t>(2)</w:t>
      </w:r>
      <w:r w:rsidRPr="0070317C">
        <w:tab/>
        <w:t>For subsection (1) (b)</w:t>
      </w:r>
      <w:r w:rsidR="00990FF2" w:rsidRPr="0070317C">
        <w:t xml:space="preserve">, the </w:t>
      </w:r>
      <w:r w:rsidR="00B52C9B" w:rsidRPr="0070317C">
        <w:t>kind</w:t>
      </w:r>
      <w:r w:rsidR="00990FF2" w:rsidRPr="0070317C">
        <w:t xml:space="preserve"> of notice</w:t>
      </w:r>
      <w:r w:rsidR="00B52C9B" w:rsidRPr="0070317C">
        <w:t>, and period of notice,</w:t>
      </w:r>
      <w:r w:rsidR="00990FF2" w:rsidRPr="0070317C">
        <w:t xml:space="preserve"> must be </w:t>
      </w:r>
      <w:r w:rsidRPr="0070317C">
        <w:t>reasonable and proportionate to the outcome sought by the grantor entering the premises</w:t>
      </w:r>
      <w:r w:rsidR="00990FF2" w:rsidRPr="0070317C">
        <w:t>.</w:t>
      </w:r>
    </w:p>
    <w:p w14:paraId="37D54B02" w14:textId="77777777" w:rsidR="00522214" w:rsidRPr="0070317C" w:rsidRDefault="00522214" w:rsidP="00D36C34">
      <w:pPr>
        <w:pStyle w:val="aExamHdgss"/>
        <w:keepLines/>
      </w:pPr>
      <w:r w:rsidRPr="0070317C">
        <w:t>Example</w:t>
      </w:r>
      <w:r w:rsidR="00B44FCE" w:rsidRPr="0070317C">
        <w:t>s</w:t>
      </w:r>
    </w:p>
    <w:p w14:paraId="0CAB6CD6" w14:textId="77777777" w:rsidR="00522214" w:rsidRPr="0070317C" w:rsidRDefault="00C62029" w:rsidP="00D36C34">
      <w:pPr>
        <w:pStyle w:val="aExamINumss"/>
        <w:keepNext/>
        <w:keepLines/>
      </w:pPr>
      <w:r w:rsidRPr="0070317C">
        <w:t>1</w:t>
      </w:r>
      <w:r w:rsidRPr="0070317C">
        <w:tab/>
      </w:r>
      <w:r w:rsidR="00522214" w:rsidRPr="0070317C">
        <w:t xml:space="preserve">A </w:t>
      </w:r>
      <w:r w:rsidRPr="0070317C">
        <w:t xml:space="preserve">student </w:t>
      </w:r>
      <w:r w:rsidR="00522214" w:rsidRPr="0070317C">
        <w:t xml:space="preserve">accommodation </w:t>
      </w:r>
      <w:r w:rsidRPr="0070317C">
        <w:t xml:space="preserve">provider </w:t>
      </w:r>
      <w:r w:rsidR="00522214" w:rsidRPr="0070317C">
        <w:t xml:space="preserve">states in an occupancy agreement that if the </w:t>
      </w:r>
      <w:r w:rsidRPr="0070317C">
        <w:t xml:space="preserve">student welfare officer </w:t>
      </w:r>
      <w:r w:rsidR="00522214" w:rsidRPr="0070317C">
        <w:t>has reasonable concerns about the welfare of an occupant, the officer may give notice by knocking 3 times on the occupant’s door and</w:t>
      </w:r>
      <w:r w:rsidR="009C2F73" w:rsidRPr="0070317C">
        <w:t>,</w:t>
      </w:r>
      <w:r w:rsidR="00522214" w:rsidRPr="0070317C">
        <w:t xml:space="preserve"> if there is no answer</w:t>
      </w:r>
      <w:r w:rsidR="009C2F73" w:rsidRPr="0070317C">
        <w:t>,</w:t>
      </w:r>
      <w:r w:rsidR="00522214" w:rsidRPr="0070317C">
        <w:t xml:space="preserve"> may enter the room to check </w:t>
      </w:r>
      <w:r w:rsidR="009C2F73" w:rsidRPr="0070317C">
        <w:t xml:space="preserve">on </w:t>
      </w:r>
      <w:r w:rsidR="00522214" w:rsidRPr="0070317C">
        <w:t xml:space="preserve">the occupant’s welfare. If the occupant is not in the room, </w:t>
      </w:r>
      <w:r w:rsidR="009C2F73" w:rsidRPr="0070317C">
        <w:t xml:space="preserve">the agreement states </w:t>
      </w:r>
      <w:r w:rsidR="00522214" w:rsidRPr="0070317C">
        <w:t xml:space="preserve">the </w:t>
      </w:r>
      <w:r w:rsidRPr="0070317C">
        <w:t>officer</w:t>
      </w:r>
      <w:r w:rsidR="00522214" w:rsidRPr="0070317C">
        <w:t xml:space="preserve"> </w:t>
      </w:r>
      <w:r w:rsidR="009C2F73" w:rsidRPr="0070317C">
        <w:t>will</w:t>
      </w:r>
      <w:r w:rsidR="00522214" w:rsidRPr="0070317C">
        <w:t xml:space="preserve"> leave a written note telling the occupant when and why the </w:t>
      </w:r>
      <w:r w:rsidR="009C2F73" w:rsidRPr="0070317C">
        <w:t>officer</w:t>
      </w:r>
      <w:r w:rsidR="00522214" w:rsidRPr="0070317C">
        <w:t xml:space="preserve"> entered the room</w:t>
      </w:r>
      <w:r w:rsidR="009C2F73" w:rsidRPr="0070317C">
        <w:t xml:space="preserve"> and the officer’s contact details</w:t>
      </w:r>
      <w:r w:rsidR="00522214" w:rsidRPr="0070317C">
        <w:t>.</w:t>
      </w:r>
    </w:p>
    <w:p w14:paraId="277B10CE" w14:textId="77777777" w:rsidR="00C62029" w:rsidRPr="0070317C" w:rsidRDefault="00C62029" w:rsidP="00C62029">
      <w:pPr>
        <w:pStyle w:val="aExamINumss"/>
      </w:pPr>
      <w:r w:rsidRPr="0070317C">
        <w:t>2</w:t>
      </w:r>
      <w:r w:rsidRPr="0070317C">
        <w:tab/>
        <w:t>The owner of a boarding house states in the occupancy agreement that the occupant’s room will be cleaned every Monday morning</w:t>
      </w:r>
      <w:r w:rsidR="00B44FCE" w:rsidRPr="0070317C">
        <w:t>.</w:t>
      </w:r>
    </w:p>
    <w:p w14:paraId="3740781E" w14:textId="77777777" w:rsidR="00B44FCE" w:rsidRPr="0070317C" w:rsidRDefault="00B44FCE" w:rsidP="00C62029">
      <w:pPr>
        <w:pStyle w:val="aExamINumss"/>
      </w:pPr>
      <w:r w:rsidRPr="0070317C">
        <w:t>3</w:t>
      </w:r>
      <w:r w:rsidRPr="0070317C">
        <w:tab/>
        <w:t xml:space="preserve">The operator of a residential park states in the occupancy agreement for </w:t>
      </w:r>
      <w:r w:rsidR="00230AC7" w:rsidRPr="0070317C">
        <w:t>a manufactured home provided by the operator that the operator will give 7 days’ notice for routine maintenance.</w:t>
      </w:r>
      <w:r w:rsidRPr="0070317C">
        <w:t xml:space="preserve"> </w:t>
      </w:r>
    </w:p>
    <w:p w14:paraId="3F4CE31A" w14:textId="77777777" w:rsidR="00990FF2" w:rsidRPr="0070317C" w:rsidRDefault="00990FF2" w:rsidP="00990FF2">
      <w:pPr>
        <w:pStyle w:val="IMain"/>
      </w:pPr>
      <w:r w:rsidRPr="0070317C">
        <w:tab/>
        <w:t>(3)</w:t>
      </w:r>
      <w:r w:rsidRPr="0070317C">
        <w:tab/>
      </w:r>
      <w:r w:rsidR="00522214" w:rsidRPr="0070317C">
        <w:t>A grantor may only enter the premises</w:t>
      </w:r>
      <w:r w:rsidR="009C4CCE" w:rsidRPr="0070317C">
        <w:t xml:space="preserve"> if</w:t>
      </w:r>
      <w:r w:rsidR="008A2FED" w:rsidRPr="0070317C">
        <w:t>—</w:t>
      </w:r>
    </w:p>
    <w:p w14:paraId="03B12BE0" w14:textId="77777777" w:rsidR="008A2FED" w:rsidRPr="0070317C" w:rsidRDefault="008A2FED" w:rsidP="008A2FED">
      <w:pPr>
        <w:pStyle w:val="Ipara"/>
      </w:pPr>
      <w:r w:rsidRPr="0070317C">
        <w:tab/>
        <w:t>(a)</w:t>
      </w:r>
      <w:r w:rsidRPr="0070317C">
        <w:tab/>
        <w:t xml:space="preserve">the </w:t>
      </w:r>
      <w:r w:rsidR="00856919" w:rsidRPr="0070317C">
        <w:t xml:space="preserve">occupancy </w:t>
      </w:r>
      <w:r w:rsidRPr="0070317C">
        <w:t>agreement allows the grantor to do so; and</w:t>
      </w:r>
    </w:p>
    <w:p w14:paraId="3EECD22B" w14:textId="77777777" w:rsidR="008A2FED" w:rsidRPr="0070317C" w:rsidRDefault="006A6E4E" w:rsidP="006A6E4E">
      <w:pPr>
        <w:pStyle w:val="Ipara"/>
      </w:pPr>
      <w:r w:rsidRPr="0070317C">
        <w:tab/>
        <w:t>(b)</w:t>
      </w:r>
      <w:r w:rsidRPr="0070317C">
        <w:tab/>
      </w:r>
      <w:r w:rsidR="009C4CCE" w:rsidRPr="0070317C">
        <w:t>unless it is not practicable to do so—</w:t>
      </w:r>
      <w:r w:rsidR="00856919" w:rsidRPr="0070317C">
        <w:t>the grantor has given notice in accordance with the agreement.</w:t>
      </w:r>
    </w:p>
    <w:p w14:paraId="1E479264" w14:textId="77777777" w:rsidR="00492D05" w:rsidRPr="0070317C" w:rsidRDefault="00492D05" w:rsidP="00492D05">
      <w:pPr>
        <w:pStyle w:val="IH5Sec"/>
      </w:pPr>
      <w:r w:rsidRPr="0070317C">
        <w:t>71E</w:t>
      </w:r>
      <w:r w:rsidR="00A71AB8" w:rsidRPr="0070317C">
        <w:t>K</w:t>
      </w:r>
      <w:r w:rsidRPr="0070317C">
        <w:tab/>
      </w:r>
      <w:r w:rsidR="00A8641C" w:rsidRPr="0070317C">
        <w:t>T</w:t>
      </w:r>
      <w:r w:rsidR="004013E1" w:rsidRPr="0070317C">
        <w:t>ermination of occupancy agreement</w:t>
      </w:r>
    </w:p>
    <w:p w14:paraId="3AC7C6D8" w14:textId="77777777" w:rsidR="00EC6A3B" w:rsidRPr="0070317C" w:rsidRDefault="00EC6A3B" w:rsidP="00EC6A3B">
      <w:pPr>
        <w:pStyle w:val="IMain"/>
      </w:pPr>
      <w:r w:rsidRPr="0070317C">
        <w:tab/>
        <w:t>(1)</w:t>
      </w:r>
      <w:r w:rsidRPr="0070317C">
        <w:tab/>
      </w:r>
      <w:r w:rsidR="008B6000" w:rsidRPr="0070317C">
        <w:t xml:space="preserve">The grantor must ensure </w:t>
      </w:r>
      <w:r w:rsidR="00014BA7" w:rsidRPr="0070317C">
        <w:t>a</w:t>
      </w:r>
      <w:r w:rsidR="00004F38" w:rsidRPr="0070317C">
        <w:t xml:space="preserve">n </w:t>
      </w:r>
      <w:r w:rsidRPr="0070317C">
        <w:t>occupancy agreement</w:t>
      </w:r>
      <w:r w:rsidR="00004F38" w:rsidRPr="0070317C">
        <w:t xml:space="preserve"> </w:t>
      </w:r>
      <w:r w:rsidR="00014BA7" w:rsidRPr="0070317C">
        <w:t>states</w:t>
      </w:r>
      <w:r w:rsidRPr="0070317C">
        <w:t>—</w:t>
      </w:r>
    </w:p>
    <w:p w14:paraId="1D240F02" w14:textId="77777777" w:rsidR="00EC6A3B" w:rsidRPr="0070317C" w:rsidRDefault="00EC6A3B" w:rsidP="00EC6A3B">
      <w:pPr>
        <w:pStyle w:val="Ipara"/>
      </w:pPr>
      <w:r w:rsidRPr="0070317C">
        <w:tab/>
        <w:t>(a)</w:t>
      </w:r>
      <w:r w:rsidRPr="0070317C">
        <w:tab/>
      </w:r>
      <w:r w:rsidR="004309C7" w:rsidRPr="0070317C">
        <w:t>under what circumstances</w:t>
      </w:r>
      <w:r w:rsidRPr="0070317C">
        <w:t xml:space="preserve"> the occupancy </w:t>
      </w:r>
      <w:r w:rsidR="00856919" w:rsidRPr="0070317C">
        <w:t xml:space="preserve">agreement </w:t>
      </w:r>
      <w:r w:rsidRPr="0070317C">
        <w:t>may be terminated; and</w:t>
      </w:r>
    </w:p>
    <w:p w14:paraId="0B607E98" w14:textId="77777777" w:rsidR="00455D1E" w:rsidRPr="0070317C" w:rsidRDefault="00EC6A3B" w:rsidP="00442EB7">
      <w:pPr>
        <w:pStyle w:val="Ipara"/>
      </w:pPr>
      <w:r w:rsidRPr="0070317C">
        <w:tab/>
        <w:t>(b)</w:t>
      </w:r>
      <w:r w:rsidRPr="0070317C">
        <w:tab/>
      </w:r>
      <w:r w:rsidR="002B36D4" w:rsidRPr="0070317C">
        <w:t xml:space="preserve">a reasonable period of </w:t>
      </w:r>
      <w:r w:rsidRPr="0070317C">
        <w:t xml:space="preserve">notice </w:t>
      </w:r>
      <w:r w:rsidR="002B36D4" w:rsidRPr="0070317C">
        <w:t xml:space="preserve">that must be given </w:t>
      </w:r>
      <w:r w:rsidR="00004F38" w:rsidRPr="0070317C">
        <w:t>by a party before the agreement is terminated</w:t>
      </w:r>
      <w:r w:rsidR="004309C7" w:rsidRPr="0070317C">
        <w:t>.</w:t>
      </w:r>
    </w:p>
    <w:p w14:paraId="0FE54FE8" w14:textId="77777777" w:rsidR="00442EB7" w:rsidRPr="0070317C" w:rsidRDefault="00442EB7" w:rsidP="00D36C34">
      <w:pPr>
        <w:pStyle w:val="IMain"/>
        <w:keepNext/>
      </w:pPr>
      <w:r w:rsidRPr="0070317C">
        <w:lastRenderedPageBreak/>
        <w:tab/>
        <w:t>(2)</w:t>
      </w:r>
      <w:r w:rsidRPr="0070317C">
        <w:tab/>
        <w:t xml:space="preserve">For subsection (1) (a), the occupancy agreement may only allow a party to terminate the agreement under circumstances that are reasonable having regard to </w:t>
      </w:r>
      <w:r w:rsidR="004E7ADA" w:rsidRPr="0070317C">
        <w:t xml:space="preserve">the nature of the </w:t>
      </w:r>
      <w:r w:rsidR="00F13825" w:rsidRPr="0070317C">
        <w:t>occupancy.</w:t>
      </w:r>
    </w:p>
    <w:p w14:paraId="6B374415" w14:textId="77777777" w:rsidR="00F13825" w:rsidRPr="0070317C" w:rsidRDefault="00F13825" w:rsidP="00D36C34">
      <w:pPr>
        <w:pStyle w:val="aExamHdgss"/>
      </w:pPr>
      <w:r w:rsidRPr="0070317C">
        <w:t>Examples</w:t>
      </w:r>
      <w:r w:rsidR="004E7ADA" w:rsidRPr="0070317C">
        <w:t>—nature of occupancy</w:t>
      </w:r>
    </w:p>
    <w:p w14:paraId="423BBA70" w14:textId="77777777" w:rsidR="00DB584D" w:rsidRPr="0070317C" w:rsidRDefault="00AB6C12" w:rsidP="00D36C34">
      <w:pPr>
        <w:pStyle w:val="aExamINumss"/>
        <w:keepNext/>
      </w:pPr>
      <w:r w:rsidRPr="0070317C">
        <w:t>1</w:t>
      </w:r>
      <w:r w:rsidRPr="0070317C">
        <w:tab/>
      </w:r>
      <w:r w:rsidR="00DB584D" w:rsidRPr="0070317C">
        <w:t xml:space="preserve">whether the occupancies </w:t>
      </w:r>
      <w:r w:rsidRPr="0070317C">
        <w:t xml:space="preserve">of the premises </w:t>
      </w:r>
      <w:r w:rsidR="00DB584D" w:rsidRPr="0070317C">
        <w:t>are usually long-term or short-term</w:t>
      </w:r>
    </w:p>
    <w:p w14:paraId="086C283E" w14:textId="77777777" w:rsidR="00DB584D" w:rsidRPr="0070317C" w:rsidRDefault="00AB6C12" w:rsidP="00D36C34">
      <w:pPr>
        <w:pStyle w:val="aExamINumss"/>
        <w:keepNext/>
      </w:pPr>
      <w:r w:rsidRPr="0070317C">
        <w:t>2</w:t>
      </w:r>
      <w:r w:rsidRPr="0070317C">
        <w:tab/>
      </w:r>
      <w:r w:rsidR="00DB584D" w:rsidRPr="0070317C">
        <w:t>whether the agreement is for a fixed term or is periodic</w:t>
      </w:r>
    </w:p>
    <w:p w14:paraId="385085ED" w14:textId="77777777" w:rsidR="00DB584D" w:rsidRPr="0070317C" w:rsidRDefault="00AB6C12" w:rsidP="00AB6C12">
      <w:pPr>
        <w:pStyle w:val="aExamINumss"/>
      </w:pPr>
      <w:r w:rsidRPr="0070317C">
        <w:t>3</w:t>
      </w:r>
      <w:r w:rsidRPr="0070317C">
        <w:tab/>
      </w:r>
      <w:r w:rsidR="00984F61" w:rsidRPr="0070317C">
        <w:t xml:space="preserve">whether the accommodation is provided by a commercial provider or is in someone’s </w:t>
      </w:r>
      <w:r w:rsidR="00F2773A" w:rsidRPr="0070317C">
        <w:t>residenc</w:t>
      </w:r>
      <w:r w:rsidR="00DB584D" w:rsidRPr="0070317C">
        <w:t>e</w:t>
      </w:r>
    </w:p>
    <w:p w14:paraId="042E9FCE" w14:textId="77777777" w:rsidR="004309C7" w:rsidRPr="0070317C" w:rsidRDefault="004309C7" w:rsidP="004309C7">
      <w:pPr>
        <w:pStyle w:val="IMain"/>
      </w:pPr>
      <w:r w:rsidRPr="0070317C">
        <w:tab/>
        <w:t>(</w:t>
      </w:r>
      <w:r w:rsidR="00442EB7" w:rsidRPr="0070317C">
        <w:t>3</w:t>
      </w:r>
      <w:r w:rsidRPr="0070317C">
        <w:t>)</w:t>
      </w:r>
      <w:r w:rsidRPr="0070317C">
        <w:tab/>
        <w:t xml:space="preserve">A </w:t>
      </w:r>
      <w:r w:rsidR="00004F38" w:rsidRPr="0070317C">
        <w:t>party</w:t>
      </w:r>
      <w:r w:rsidRPr="0070317C">
        <w:t xml:space="preserve"> may only terminate an occupancy agreement</w:t>
      </w:r>
      <w:r w:rsidR="00B81DD9" w:rsidRPr="0070317C">
        <w:t xml:space="preserve"> if</w:t>
      </w:r>
      <w:r w:rsidRPr="0070317C">
        <w:t>—</w:t>
      </w:r>
    </w:p>
    <w:p w14:paraId="0BB558FD" w14:textId="77777777" w:rsidR="00EE0E8B" w:rsidRPr="0070317C" w:rsidRDefault="00EE0E8B" w:rsidP="00EE0E8B">
      <w:pPr>
        <w:pStyle w:val="Ipara"/>
      </w:pPr>
      <w:r w:rsidRPr="0070317C">
        <w:tab/>
        <w:t>(a)</w:t>
      </w:r>
      <w:r w:rsidRPr="0070317C">
        <w:tab/>
        <w:t xml:space="preserve">all parties to the agreement agree; </w:t>
      </w:r>
      <w:r w:rsidR="00493471" w:rsidRPr="0070317C">
        <w:t>or</w:t>
      </w:r>
    </w:p>
    <w:p w14:paraId="47238966" w14:textId="77777777" w:rsidR="001803CE" w:rsidRPr="0070317C" w:rsidRDefault="004309C7" w:rsidP="002B36D4">
      <w:pPr>
        <w:pStyle w:val="Ipara"/>
      </w:pPr>
      <w:r w:rsidRPr="0070317C">
        <w:tab/>
        <w:t>(</w:t>
      </w:r>
      <w:r w:rsidR="00EE0E8B" w:rsidRPr="0070317C">
        <w:t>b</w:t>
      </w:r>
      <w:r w:rsidRPr="0070317C">
        <w:t>)</w:t>
      </w:r>
      <w:r w:rsidRPr="0070317C">
        <w:tab/>
      </w:r>
      <w:r w:rsidR="00997646" w:rsidRPr="0070317C">
        <w:t xml:space="preserve">the agreement allows the </w:t>
      </w:r>
      <w:r w:rsidR="00004F38" w:rsidRPr="0070317C">
        <w:t>party</w:t>
      </w:r>
      <w:r w:rsidR="00997646" w:rsidRPr="0070317C">
        <w:t xml:space="preserve"> to do so</w:t>
      </w:r>
      <w:r w:rsidR="00A30648" w:rsidRPr="0070317C">
        <w:t xml:space="preserve"> and </w:t>
      </w:r>
      <w:r w:rsidR="002B36D4" w:rsidRPr="0070317C">
        <w:t xml:space="preserve">the </w:t>
      </w:r>
      <w:r w:rsidR="007F20C9" w:rsidRPr="0070317C">
        <w:t>party</w:t>
      </w:r>
      <w:r w:rsidR="002B36D4" w:rsidRPr="0070317C">
        <w:t xml:space="preserve"> has given notice </w:t>
      </w:r>
      <w:r w:rsidR="001803CE" w:rsidRPr="0070317C">
        <w:t>in accordance with the agreement; or</w:t>
      </w:r>
    </w:p>
    <w:p w14:paraId="395ADD54" w14:textId="77777777" w:rsidR="008E0B08" w:rsidRPr="0070317C" w:rsidRDefault="001803CE" w:rsidP="002B36D4">
      <w:pPr>
        <w:pStyle w:val="Ipara"/>
      </w:pPr>
      <w:r w:rsidRPr="0070317C">
        <w:tab/>
        <w:t>(</w:t>
      </w:r>
      <w:r w:rsidR="00EE0E8B" w:rsidRPr="0070317C">
        <w:t>c</w:t>
      </w:r>
      <w:r w:rsidRPr="0070317C">
        <w:t>)</w:t>
      </w:r>
      <w:r w:rsidRPr="0070317C">
        <w:tab/>
      </w:r>
      <w:r w:rsidR="00B81DD9" w:rsidRPr="0070317C">
        <w:t>the other party has</w:t>
      </w:r>
      <w:r w:rsidR="008E0B08" w:rsidRPr="0070317C">
        <w:t>—</w:t>
      </w:r>
    </w:p>
    <w:p w14:paraId="6DE9C019" w14:textId="77777777" w:rsidR="008E0B08" w:rsidRPr="0070317C" w:rsidRDefault="008E0B08" w:rsidP="008E0B08">
      <w:pPr>
        <w:pStyle w:val="Isubpara"/>
      </w:pPr>
      <w:r w:rsidRPr="0070317C">
        <w:tab/>
        <w:t>(i)</w:t>
      </w:r>
      <w:r w:rsidRPr="0070317C">
        <w:tab/>
      </w:r>
      <w:r w:rsidR="00B81DD9" w:rsidRPr="0070317C">
        <w:t xml:space="preserve">breached an occupancy principle </w:t>
      </w:r>
      <w:r w:rsidRPr="0070317C">
        <w:t xml:space="preserve">or the occupancy agreement; </w:t>
      </w:r>
      <w:r w:rsidR="00B81DD9" w:rsidRPr="0070317C">
        <w:t xml:space="preserve">and </w:t>
      </w:r>
    </w:p>
    <w:p w14:paraId="3B7B5E17" w14:textId="77777777" w:rsidR="004309C7" w:rsidRPr="0070317C" w:rsidRDefault="008E0B08" w:rsidP="0070317C">
      <w:pPr>
        <w:pStyle w:val="Isubpara"/>
        <w:keepNext/>
      </w:pPr>
      <w:r w:rsidRPr="0070317C">
        <w:tab/>
        <w:t>(ii)</w:t>
      </w:r>
      <w:r w:rsidRPr="0070317C">
        <w:tab/>
      </w:r>
      <w:r w:rsidR="00B81DD9" w:rsidRPr="0070317C">
        <w:t>the breach justifies the termination of the agreement.</w:t>
      </w:r>
    </w:p>
    <w:p w14:paraId="06D57E7D" w14:textId="77777777" w:rsidR="00EE0E8B" w:rsidRPr="0070317C" w:rsidRDefault="00EE0E8B" w:rsidP="00EE0E8B">
      <w:pPr>
        <w:pStyle w:val="aNote"/>
      </w:pPr>
      <w:r w:rsidRPr="0070317C">
        <w:rPr>
          <w:rStyle w:val="charItals"/>
        </w:rPr>
        <w:t>Note</w:t>
      </w:r>
      <w:r w:rsidRPr="0070317C">
        <w:rPr>
          <w:rStyle w:val="charItals"/>
        </w:rPr>
        <w:tab/>
      </w:r>
      <w:r w:rsidRPr="0070317C">
        <w:t>A</w:t>
      </w:r>
      <w:r w:rsidR="007A7419" w:rsidRPr="0070317C">
        <w:t xml:space="preserve">n occupant </w:t>
      </w:r>
      <w:r w:rsidRPr="0070317C">
        <w:t>may also terminate the agreement if the grantor gives notice of a change to the occupancy rules, fees, charges or penalties (see s 71EG (3)).</w:t>
      </w:r>
    </w:p>
    <w:p w14:paraId="476224A0" w14:textId="77777777" w:rsidR="00D72DD9" w:rsidRPr="0070317C" w:rsidRDefault="00754591" w:rsidP="00754591">
      <w:pPr>
        <w:pStyle w:val="IMain"/>
      </w:pPr>
      <w:r w:rsidRPr="0070317C">
        <w:tab/>
        <w:t>(</w:t>
      </w:r>
      <w:r w:rsidR="00442EB7" w:rsidRPr="0070317C">
        <w:t>4</w:t>
      </w:r>
      <w:r w:rsidRPr="0070317C">
        <w:t>)</w:t>
      </w:r>
      <w:r w:rsidRPr="0070317C">
        <w:tab/>
      </w:r>
      <w:r w:rsidR="00D72DD9" w:rsidRPr="0070317C">
        <w:t xml:space="preserve">However, </w:t>
      </w:r>
      <w:r w:rsidR="008E4CBD" w:rsidRPr="0070317C">
        <w:t xml:space="preserve">if an occupancy agreement may be terminated </w:t>
      </w:r>
      <w:r w:rsidR="00761C5A" w:rsidRPr="0070317C">
        <w:t>under a</w:t>
      </w:r>
      <w:r w:rsidR="00150271" w:rsidRPr="0070317C">
        <w:t xml:space="preserve"> university disciplinary </w:t>
      </w:r>
      <w:r w:rsidR="00922BE3" w:rsidRPr="0070317C">
        <w:t>requirement</w:t>
      </w:r>
      <w:r w:rsidR="008E4CBD" w:rsidRPr="0070317C">
        <w:t>—</w:t>
      </w:r>
    </w:p>
    <w:p w14:paraId="1B23F634" w14:textId="77777777" w:rsidR="008E4CBD" w:rsidRPr="0070317C" w:rsidRDefault="008E4CBD" w:rsidP="008E4CBD">
      <w:pPr>
        <w:pStyle w:val="Ipara"/>
      </w:pPr>
      <w:r w:rsidRPr="0070317C">
        <w:tab/>
        <w:t>(a)</w:t>
      </w:r>
      <w:r w:rsidRPr="0070317C">
        <w:tab/>
        <w:t>subsection (2) does not apply; and</w:t>
      </w:r>
    </w:p>
    <w:p w14:paraId="4DA8E7D4" w14:textId="77777777" w:rsidR="008E4CBD" w:rsidRPr="0070317C" w:rsidRDefault="008E4CBD" w:rsidP="008E4CBD">
      <w:pPr>
        <w:pStyle w:val="Ipara"/>
      </w:pPr>
      <w:r w:rsidRPr="0070317C">
        <w:tab/>
        <w:t>(b)</w:t>
      </w:r>
      <w:r w:rsidRPr="0070317C">
        <w:tab/>
      </w:r>
      <w:r w:rsidR="006451FE" w:rsidRPr="0070317C">
        <w:t>for subsection (3)—the parties may also terminate the agreement as</w:t>
      </w:r>
      <w:r w:rsidRPr="0070317C">
        <w:t xml:space="preserve"> permitted or required </w:t>
      </w:r>
      <w:r w:rsidR="00150271" w:rsidRPr="0070317C">
        <w:t xml:space="preserve">under the university disciplinary </w:t>
      </w:r>
      <w:r w:rsidR="00922BE3" w:rsidRPr="0070317C">
        <w:t>requirement</w:t>
      </w:r>
      <w:r w:rsidRPr="0070317C">
        <w:t>.</w:t>
      </w:r>
    </w:p>
    <w:p w14:paraId="63D2A008" w14:textId="77777777" w:rsidR="00754591" w:rsidRPr="0070317C" w:rsidRDefault="004F60E3" w:rsidP="00754591">
      <w:pPr>
        <w:pStyle w:val="IMain"/>
      </w:pPr>
      <w:r w:rsidRPr="0070317C">
        <w:tab/>
        <w:t>(5)</w:t>
      </w:r>
      <w:r w:rsidRPr="0070317C">
        <w:tab/>
      </w:r>
      <w:r w:rsidR="00754591" w:rsidRPr="0070317C">
        <w:t>A grantor must not terminate an occupancy agreement, or evict an occupant, only because the occupant—</w:t>
      </w:r>
    </w:p>
    <w:p w14:paraId="225241F4" w14:textId="77777777" w:rsidR="00754591" w:rsidRPr="0070317C" w:rsidRDefault="00754591" w:rsidP="00754591">
      <w:pPr>
        <w:pStyle w:val="Ipara"/>
      </w:pPr>
      <w:r w:rsidRPr="0070317C">
        <w:tab/>
        <w:t>(a)</w:t>
      </w:r>
      <w:r w:rsidRPr="0070317C">
        <w:tab/>
        <w:t>applied to the ACAT for an order in relation to an occupancy agreement; or</w:t>
      </w:r>
    </w:p>
    <w:p w14:paraId="48B8E876" w14:textId="77777777" w:rsidR="00754591" w:rsidRPr="0070317C" w:rsidRDefault="00754591" w:rsidP="00754591">
      <w:pPr>
        <w:pStyle w:val="Ipara"/>
      </w:pPr>
      <w:r w:rsidRPr="0070317C">
        <w:lastRenderedPageBreak/>
        <w:tab/>
        <w:t>(b)</w:t>
      </w:r>
      <w:r w:rsidRPr="0070317C">
        <w:tab/>
        <w:t>complained to a government entity in relation to an occupancy agreement; or</w:t>
      </w:r>
    </w:p>
    <w:p w14:paraId="78BAC0E5" w14:textId="77777777" w:rsidR="00754591" w:rsidRPr="0070317C" w:rsidRDefault="00754591" w:rsidP="00754591">
      <w:pPr>
        <w:pStyle w:val="Ipara"/>
      </w:pPr>
      <w:r w:rsidRPr="0070317C">
        <w:tab/>
        <w:t>(c)</w:t>
      </w:r>
      <w:r w:rsidRPr="0070317C">
        <w:tab/>
        <w:t xml:space="preserve">took reasonable action to secure and enforce an occupancy agreement. </w:t>
      </w:r>
    </w:p>
    <w:p w14:paraId="2F86FCB7" w14:textId="77777777" w:rsidR="00210FA5" w:rsidRPr="0070317C" w:rsidRDefault="00210FA5" w:rsidP="00210FA5">
      <w:pPr>
        <w:pStyle w:val="IMain"/>
      </w:pPr>
      <w:r w:rsidRPr="0070317C">
        <w:tab/>
        <w:t>(6)</w:t>
      </w:r>
      <w:r w:rsidRPr="0070317C">
        <w:tab/>
        <w:t>In this section:</w:t>
      </w:r>
    </w:p>
    <w:p w14:paraId="6899C521" w14:textId="77777777" w:rsidR="00210FA5" w:rsidRPr="0070317C" w:rsidRDefault="00210FA5" w:rsidP="0070317C">
      <w:pPr>
        <w:pStyle w:val="aDef"/>
      </w:pPr>
      <w:r w:rsidRPr="0070317C">
        <w:rPr>
          <w:rStyle w:val="charBoldItals"/>
        </w:rPr>
        <w:t xml:space="preserve">university </w:t>
      </w:r>
      <w:r w:rsidR="00150271" w:rsidRPr="0070317C">
        <w:rPr>
          <w:rStyle w:val="charBoldItals"/>
        </w:rPr>
        <w:t xml:space="preserve">disciplinary </w:t>
      </w:r>
      <w:r w:rsidR="00922BE3" w:rsidRPr="0070317C">
        <w:rPr>
          <w:rStyle w:val="charBoldItals"/>
        </w:rPr>
        <w:t>requirement</w:t>
      </w:r>
      <w:r w:rsidRPr="0070317C">
        <w:t>—see section 71EA (5).</w:t>
      </w:r>
    </w:p>
    <w:p w14:paraId="6E2C7C38" w14:textId="77777777" w:rsidR="0061640B" w:rsidRPr="0070317C" w:rsidRDefault="0061640B" w:rsidP="0061640B">
      <w:pPr>
        <w:pStyle w:val="IH5Sec"/>
      </w:pPr>
      <w:r w:rsidRPr="0070317C">
        <w:t>71E</w:t>
      </w:r>
      <w:r w:rsidR="00A71AB8" w:rsidRPr="0070317C">
        <w:t>L</w:t>
      </w:r>
      <w:r w:rsidRPr="0070317C">
        <w:tab/>
        <w:t>Warrant for eviction—vacant possession order</w:t>
      </w:r>
    </w:p>
    <w:p w14:paraId="3BA66C80" w14:textId="77777777" w:rsidR="0061640B" w:rsidRPr="0070317C" w:rsidRDefault="0061640B" w:rsidP="0061640B">
      <w:pPr>
        <w:pStyle w:val="IMain"/>
      </w:pPr>
      <w:r w:rsidRPr="0070317C">
        <w:tab/>
        <w:t>(1)</w:t>
      </w:r>
      <w:r w:rsidRPr="0070317C">
        <w:tab/>
        <w:t>On application by a grantor, the registrar must issue a warrant for the eviction of an occupant from premises if—</w:t>
      </w:r>
    </w:p>
    <w:p w14:paraId="7A9D4396" w14:textId="77777777" w:rsidR="0061640B" w:rsidRPr="0070317C" w:rsidRDefault="0061640B" w:rsidP="0061640B">
      <w:pPr>
        <w:pStyle w:val="Ipara"/>
      </w:pPr>
      <w:r w:rsidRPr="0070317C">
        <w:tab/>
        <w:t>(a)</w:t>
      </w:r>
      <w:r w:rsidRPr="0070317C">
        <w:tab/>
        <w:t>the ACAT has ordered the occupant under section 83 (i) to vacate the premises; and</w:t>
      </w:r>
    </w:p>
    <w:p w14:paraId="7E36D091" w14:textId="77777777" w:rsidR="0061640B" w:rsidRPr="0070317C" w:rsidRDefault="0061640B" w:rsidP="0061640B">
      <w:pPr>
        <w:pStyle w:val="Ipara"/>
      </w:pPr>
      <w:r w:rsidRPr="0070317C">
        <w:tab/>
        <w:t>(</w:t>
      </w:r>
      <w:r w:rsidR="00566E75" w:rsidRPr="0070317C">
        <w:t>b</w:t>
      </w:r>
      <w:r w:rsidRPr="0070317C">
        <w:t>)</w:t>
      </w:r>
      <w:r w:rsidRPr="0070317C">
        <w:tab/>
        <w:t>the occupant fails to vacate the premises in accordance with the order.</w:t>
      </w:r>
    </w:p>
    <w:p w14:paraId="17EC4D47" w14:textId="77777777" w:rsidR="006F639C" w:rsidRPr="0070317C" w:rsidRDefault="006F639C" w:rsidP="009E6531">
      <w:pPr>
        <w:pStyle w:val="IMain"/>
      </w:pPr>
      <w:r w:rsidRPr="0070317C">
        <w:tab/>
        <w:t>(2)</w:t>
      </w:r>
      <w:r w:rsidRPr="0070317C">
        <w:tab/>
      </w:r>
      <w:r w:rsidR="0061640B" w:rsidRPr="0070317C">
        <w:t>A warrant under this section must comply with section 40</w:t>
      </w:r>
      <w:r w:rsidRPr="0070317C">
        <w:t xml:space="preserve"> (Content of warrant)</w:t>
      </w:r>
      <w:r w:rsidR="0061640B" w:rsidRPr="0070317C">
        <w:t>.</w:t>
      </w:r>
    </w:p>
    <w:p w14:paraId="5F5D6758" w14:textId="77777777" w:rsidR="00C2430E" w:rsidRPr="0070317C" w:rsidRDefault="00C2430E" w:rsidP="00C2430E">
      <w:pPr>
        <w:pStyle w:val="IH5Sec"/>
      </w:pPr>
      <w:r w:rsidRPr="0070317C">
        <w:t>71E</w:t>
      </w:r>
      <w:r w:rsidR="00A71AB8" w:rsidRPr="0070317C">
        <w:t>M</w:t>
      </w:r>
      <w:r w:rsidRPr="0070317C">
        <w:tab/>
      </w:r>
      <w:r w:rsidR="00841D5D" w:rsidRPr="0070317C">
        <w:t>Occupancy agreement—abandonment of premises</w:t>
      </w:r>
    </w:p>
    <w:p w14:paraId="1D5290E9" w14:textId="77777777" w:rsidR="00381032" w:rsidRPr="0070317C" w:rsidRDefault="0097022E" w:rsidP="00090650">
      <w:pPr>
        <w:pStyle w:val="IMain"/>
      </w:pPr>
      <w:r w:rsidRPr="0070317C">
        <w:tab/>
        <w:t>(</w:t>
      </w:r>
      <w:r w:rsidR="003B199E" w:rsidRPr="0070317C">
        <w:t>1</w:t>
      </w:r>
      <w:r w:rsidRPr="0070317C">
        <w:t>)</w:t>
      </w:r>
      <w:r w:rsidRPr="0070317C">
        <w:tab/>
      </w:r>
      <w:r w:rsidR="00E15AB5" w:rsidRPr="0070317C">
        <w:t>This section applies if—</w:t>
      </w:r>
    </w:p>
    <w:p w14:paraId="038DEA61" w14:textId="77777777" w:rsidR="0022666D" w:rsidRPr="0070317C" w:rsidRDefault="0022666D" w:rsidP="0022666D">
      <w:pPr>
        <w:pStyle w:val="Ipara"/>
      </w:pPr>
      <w:r w:rsidRPr="0070317C">
        <w:tab/>
        <w:t>(a)</w:t>
      </w:r>
      <w:r w:rsidRPr="0070317C">
        <w:tab/>
        <w:t xml:space="preserve">the occupant </w:t>
      </w:r>
      <w:r w:rsidR="00D92D1A" w:rsidRPr="0070317C">
        <w:t xml:space="preserve">under an occupancy agreement for premises </w:t>
      </w:r>
      <w:r w:rsidRPr="0070317C">
        <w:t xml:space="preserve">has not paid </w:t>
      </w:r>
      <w:r w:rsidR="00D92D1A" w:rsidRPr="0070317C">
        <w:t>the</w:t>
      </w:r>
      <w:r w:rsidRPr="0070317C">
        <w:t xml:space="preserve"> occupancy fee under the agreement for at least 3</w:t>
      </w:r>
      <w:r w:rsidR="00C11B33" w:rsidRPr="0070317C">
        <w:t> </w:t>
      </w:r>
      <w:r w:rsidRPr="0070317C">
        <w:t xml:space="preserve">consecutive periods; and </w:t>
      </w:r>
    </w:p>
    <w:p w14:paraId="76653366" w14:textId="77777777" w:rsidR="00381032" w:rsidRPr="0070317C" w:rsidRDefault="00381032" w:rsidP="00381032">
      <w:pPr>
        <w:pStyle w:val="Ipara"/>
      </w:pPr>
      <w:r w:rsidRPr="0070317C">
        <w:tab/>
        <w:t>(</w:t>
      </w:r>
      <w:r w:rsidR="0022666D" w:rsidRPr="0070317C">
        <w:t>b</w:t>
      </w:r>
      <w:r w:rsidRPr="0070317C">
        <w:t>)</w:t>
      </w:r>
      <w:r w:rsidRPr="0070317C">
        <w:tab/>
      </w:r>
      <w:r w:rsidR="00D92D1A" w:rsidRPr="0070317C">
        <w:t xml:space="preserve">the grantor </w:t>
      </w:r>
      <w:r w:rsidR="00F9115F" w:rsidRPr="0070317C">
        <w:t xml:space="preserve">has taken </w:t>
      </w:r>
      <w:r w:rsidR="003B199E" w:rsidRPr="0070317C">
        <w:t xml:space="preserve">all </w:t>
      </w:r>
      <w:r w:rsidR="00F9115F" w:rsidRPr="0070317C">
        <w:t>reasonable steps to contact the occupier</w:t>
      </w:r>
      <w:r w:rsidR="003B199E" w:rsidRPr="0070317C">
        <w:t xml:space="preserve"> of the premises</w:t>
      </w:r>
      <w:r w:rsidRPr="0070317C">
        <w:t>; and</w:t>
      </w:r>
    </w:p>
    <w:p w14:paraId="2371B7AF" w14:textId="77777777" w:rsidR="00090650" w:rsidRPr="0070317C" w:rsidRDefault="00381032" w:rsidP="00381032">
      <w:pPr>
        <w:pStyle w:val="Ipara"/>
      </w:pPr>
      <w:r w:rsidRPr="0070317C">
        <w:tab/>
        <w:t>(</w:t>
      </w:r>
      <w:r w:rsidR="0022666D" w:rsidRPr="0070317C">
        <w:t>c</w:t>
      </w:r>
      <w:r w:rsidRPr="0070317C">
        <w:t>)</w:t>
      </w:r>
      <w:r w:rsidRPr="0070317C">
        <w:tab/>
      </w:r>
      <w:r w:rsidR="00D92D1A" w:rsidRPr="0070317C">
        <w:t xml:space="preserve">the grantor </w:t>
      </w:r>
      <w:r w:rsidR="00574C03" w:rsidRPr="0070317C">
        <w:t xml:space="preserve">reasonably </w:t>
      </w:r>
      <w:r w:rsidR="00F9115F" w:rsidRPr="0070317C">
        <w:t>believes</w:t>
      </w:r>
      <w:r w:rsidR="00574C03" w:rsidRPr="0070317C">
        <w:t xml:space="preserve"> that the occupier has abandoned the premises</w:t>
      </w:r>
      <w:r w:rsidR="0022666D" w:rsidRPr="0070317C">
        <w:t>.</w:t>
      </w:r>
    </w:p>
    <w:p w14:paraId="5CA07024" w14:textId="77777777" w:rsidR="003B199E" w:rsidRPr="0070317C" w:rsidRDefault="003B199E" w:rsidP="003B199E">
      <w:pPr>
        <w:pStyle w:val="IMain"/>
      </w:pPr>
      <w:r w:rsidRPr="0070317C">
        <w:tab/>
        <w:t>(</w:t>
      </w:r>
      <w:r w:rsidR="0021419B" w:rsidRPr="0070317C">
        <w:t>2</w:t>
      </w:r>
      <w:r w:rsidRPr="0070317C">
        <w:t>)</w:t>
      </w:r>
      <w:r w:rsidRPr="0070317C">
        <w:tab/>
        <w:t>The grantor may</w:t>
      </w:r>
      <w:r w:rsidR="00566E75" w:rsidRPr="0070317C">
        <w:t>,</w:t>
      </w:r>
      <w:r w:rsidRPr="0070317C">
        <w:t xml:space="preserve"> without the occupier’s consent, and without notice, enter </w:t>
      </w:r>
      <w:r w:rsidR="00524E86" w:rsidRPr="0070317C">
        <w:t>the premises during the occupancy agreement to confirm whether the premises have been abandoned.</w:t>
      </w:r>
    </w:p>
    <w:p w14:paraId="11FAFE6E" w14:textId="77777777" w:rsidR="00090650" w:rsidRPr="0070317C" w:rsidRDefault="00090650" w:rsidP="00090650">
      <w:pPr>
        <w:pStyle w:val="IMain"/>
      </w:pPr>
      <w:r w:rsidRPr="0070317C">
        <w:lastRenderedPageBreak/>
        <w:tab/>
        <w:t>(</w:t>
      </w:r>
      <w:r w:rsidR="0021419B" w:rsidRPr="0070317C">
        <w:t>3</w:t>
      </w:r>
      <w:r w:rsidRPr="0070317C">
        <w:t>)</w:t>
      </w:r>
      <w:r w:rsidRPr="0070317C">
        <w:tab/>
      </w:r>
      <w:r w:rsidR="003B199E" w:rsidRPr="0070317C">
        <w:t>However, t</w:t>
      </w:r>
      <w:r w:rsidR="00574C03" w:rsidRPr="0070317C">
        <w:t xml:space="preserve">he grantor must </w:t>
      </w:r>
      <w:r w:rsidRPr="0070317C">
        <w:t>not enter the premises under subsection</w:t>
      </w:r>
      <w:r w:rsidR="00F9115F" w:rsidRPr="0070317C">
        <w:t> </w:t>
      </w:r>
      <w:r w:rsidRPr="0070317C">
        <w:t>(2)—</w:t>
      </w:r>
    </w:p>
    <w:p w14:paraId="64FF8445" w14:textId="77777777" w:rsidR="00090650" w:rsidRPr="0070317C" w:rsidRDefault="00566E75" w:rsidP="00566E75">
      <w:pPr>
        <w:pStyle w:val="Ipara"/>
        <w:ind w:left="0" w:firstLine="0"/>
      </w:pPr>
      <w:r w:rsidRPr="0070317C">
        <w:tab/>
        <w:t>(a)</w:t>
      </w:r>
      <w:r w:rsidRPr="0070317C">
        <w:tab/>
      </w:r>
      <w:r w:rsidR="00090650" w:rsidRPr="0070317C">
        <w:t xml:space="preserve">on </w:t>
      </w:r>
      <w:r w:rsidRPr="0070317C">
        <w:t xml:space="preserve">a </w:t>
      </w:r>
      <w:r w:rsidR="00090650" w:rsidRPr="0070317C">
        <w:t>Sunday; or</w:t>
      </w:r>
    </w:p>
    <w:p w14:paraId="398241C1" w14:textId="77777777" w:rsidR="00090650" w:rsidRPr="0070317C" w:rsidRDefault="00566E75" w:rsidP="00566E75">
      <w:pPr>
        <w:pStyle w:val="Ipara"/>
        <w:ind w:left="0" w:firstLine="0"/>
      </w:pPr>
      <w:r w:rsidRPr="0070317C">
        <w:tab/>
        <w:t>(b)</w:t>
      </w:r>
      <w:r w:rsidRPr="0070317C">
        <w:tab/>
      </w:r>
      <w:r w:rsidR="00090650" w:rsidRPr="0070317C">
        <w:t>on a public holiday; or</w:t>
      </w:r>
    </w:p>
    <w:p w14:paraId="55215829" w14:textId="77777777" w:rsidR="00555500" w:rsidRPr="0070317C" w:rsidRDefault="00566E75" w:rsidP="0070317C">
      <w:pPr>
        <w:pStyle w:val="Ipara"/>
        <w:keepNext/>
        <w:ind w:left="0" w:firstLine="0"/>
      </w:pPr>
      <w:r w:rsidRPr="0070317C">
        <w:tab/>
        <w:t>(c)</w:t>
      </w:r>
      <w:r w:rsidRPr="0070317C">
        <w:tab/>
      </w:r>
      <w:r w:rsidR="00090650" w:rsidRPr="0070317C">
        <w:t>before 8</w:t>
      </w:r>
      <w:r w:rsidR="006C1220" w:rsidRPr="0070317C">
        <w:t xml:space="preserve"> </w:t>
      </w:r>
      <w:r w:rsidR="00090650" w:rsidRPr="0070317C">
        <w:t>am or after 6</w:t>
      </w:r>
      <w:r w:rsidR="006C1220" w:rsidRPr="0070317C">
        <w:t xml:space="preserve"> </w:t>
      </w:r>
      <w:r w:rsidR="00090650" w:rsidRPr="0070317C">
        <w:t>pm.</w:t>
      </w:r>
    </w:p>
    <w:p w14:paraId="7B400EEF" w14:textId="77777777" w:rsidR="00555500" w:rsidRPr="0070317C" w:rsidRDefault="00555500" w:rsidP="0070317C">
      <w:pPr>
        <w:pStyle w:val="aNote"/>
        <w:keepNext/>
      </w:pPr>
      <w:r w:rsidRPr="0070317C">
        <w:rPr>
          <w:rStyle w:val="charItals"/>
        </w:rPr>
        <w:t>Note 1</w:t>
      </w:r>
      <w:r w:rsidRPr="0070317C">
        <w:rPr>
          <w:rStyle w:val="charItals"/>
        </w:rPr>
        <w:tab/>
      </w:r>
      <w:r w:rsidRPr="0070317C">
        <w:rPr>
          <w:iCs/>
        </w:rPr>
        <w:t>A grantor may seek an order that premises are abandoned under s 83 (j).</w:t>
      </w:r>
    </w:p>
    <w:p w14:paraId="6389D232" w14:textId="7B404D57" w:rsidR="004E3DA6" w:rsidRPr="0070317C" w:rsidRDefault="00394E63" w:rsidP="001D7EAA">
      <w:pPr>
        <w:pStyle w:val="aNote"/>
      </w:pPr>
      <w:r w:rsidRPr="0070317C">
        <w:rPr>
          <w:rStyle w:val="charItals"/>
        </w:rPr>
        <w:t>Note</w:t>
      </w:r>
      <w:r w:rsidR="00555500" w:rsidRPr="0070317C">
        <w:rPr>
          <w:rStyle w:val="charItals"/>
        </w:rPr>
        <w:t xml:space="preserve"> 2</w:t>
      </w:r>
      <w:r w:rsidRPr="0070317C">
        <w:rPr>
          <w:rStyle w:val="charItals"/>
        </w:rPr>
        <w:tab/>
      </w:r>
      <w:r w:rsidR="00555500" w:rsidRPr="0070317C">
        <w:t>A</w:t>
      </w:r>
      <w:r w:rsidR="002A7D40" w:rsidRPr="0070317C">
        <w:t xml:space="preserve"> </w:t>
      </w:r>
      <w:r w:rsidRPr="0070317C">
        <w:t xml:space="preserve">grantor </w:t>
      </w:r>
      <w:r w:rsidR="002A7D40" w:rsidRPr="0070317C">
        <w:t>may</w:t>
      </w:r>
      <w:r w:rsidR="007536AC" w:rsidRPr="0070317C">
        <w:t xml:space="preserve"> </w:t>
      </w:r>
      <w:r w:rsidR="002A7D40" w:rsidRPr="0070317C">
        <w:t>dispose of any abandoned</w:t>
      </w:r>
      <w:r w:rsidR="007536AC" w:rsidRPr="0070317C">
        <w:t xml:space="preserve"> goods </w:t>
      </w:r>
      <w:r w:rsidR="002A7D40" w:rsidRPr="0070317C">
        <w:t xml:space="preserve">found on the premises </w:t>
      </w:r>
      <w:r w:rsidR="007536AC" w:rsidRPr="0070317C">
        <w:t xml:space="preserve">under the </w:t>
      </w:r>
      <w:hyperlink r:id="rId22" w:tooltip="A1996-86" w:history="1">
        <w:r w:rsidR="009F5F26" w:rsidRPr="0070317C">
          <w:rPr>
            <w:rStyle w:val="charCitHyperlinkItal"/>
          </w:rPr>
          <w:t>Uncollected Goods Act 1996</w:t>
        </w:r>
      </w:hyperlink>
      <w:r w:rsidRPr="0070317C">
        <w:t>.</w:t>
      </w:r>
    </w:p>
    <w:p w14:paraId="3951AD3E" w14:textId="77777777" w:rsidR="0051020B" w:rsidRPr="0070317C" w:rsidRDefault="0070317C" w:rsidP="0070317C">
      <w:pPr>
        <w:pStyle w:val="AH5Sec"/>
        <w:shd w:val="pct25" w:color="auto" w:fill="auto"/>
      </w:pPr>
      <w:bookmarkStart w:id="33" w:name="_Toc32321204"/>
      <w:r w:rsidRPr="0070317C">
        <w:rPr>
          <w:rStyle w:val="CharSectNo"/>
        </w:rPr>
        <w:t>28</w:t>
      </w:r>
      <w:r w:rsidRPr="0070317C">
        <w:tab/>
      </w:r>
      <w:r w:rsidR="0051020B" w:rsidRPr="0070317C">
        <w:t>Section</w:t>
      </w:r>
      <w:r w:rsidR="00E8201D" w:rsidRPr="0070317C">
        <w:t>s</w:t>
      </w:r>
      <w:r w:rsidR="0051020B" w:rsidRPr="0070317C">
        <w:t xml:space="preserve"> </w:t>
      </w:r>
      <w:r w:rsidR="00E8201D" w:rsidRPr="0070317C">
        <w:t xml:space="preserve">71G and </w:t>
      </w:r>
      <w:r w:rsidR="0051020B" w:rsidRPr="0070317C">
        <w:t>71GA</w:t>
      </w:r>
      <w:bookmarkEnd w:id="33"/>
    </w:p>
    <w:p w14:paraId="0D6FFEA4" w14:textId="77777777" w:rsidR="0051020B" w:rsidRPr="0070317C" w:rsidRDefault="0051020B" w:rsidP="00800C93">
      <w:pPr>
        <w:pStyle w:val="direction"/>
        <w:keepNext w:val="0"/>
      </w:pPr>
      <w:r w:rsidRPr="0070317C">
        <w:t>omit</w:t>
      </w:r>
    </w:p>
    <w:p w14:paraId="1C888843" w14:textId="77777777" w:rsidR="005F56E5" w:rsidRPr="0070317C" w:rsidRDefault="0070317C" w:rsidP="0070317C">
      <w:pPr>
        <w:pStyle w:val="AH5Sec"/>
        <w:shd w:val="pct25" w:color="auto" w:fill="auto"/>
      </w:pPr>
      <w:bookmarkStart w:id="34" w:name="_Toc32321205"/>
      <w:r w:rsidRPr="0070317C">
        <w:rPr>
          <w:rStyle w:val="CharSectNo"/>
        </w:rPr>
        <w:t>29</w:t>
      </w:r>
      <w:r w:rsidRPr="0070317C">
        <w:tab/>
      </w:r>
      <w:r w:rsidR="005F56E5" w:rsidRPr="0070317C">
        <w:t xml:space="preserve">New part </w:t>
      </w:r>
      <w:r w:rsidR="00D70C3C" w:rsidRPr="0070317C">
        <w:t>5B</w:t>
      </w:r>
      <w:bookmarkEnd w:id="34"/>
    </w:p>
    <w:p w14:paraId="3CE02C09" w14:textId="77777777" w:rsidR="005F56E5" w:rsidRPr="0070317C" w:rsidRDefault="005F56E5" w:rsidP="005F56E5">
      <w:pPr>
        <w:pStyle w:val="direction"/>
      </w:pPr>
      <w:r w:rsidRPr="0070317C">
        <w:t>insert</w:t>
      </w:r>
    </w:p>
    <w:p w14:paraId="7F0629DC" w14:textId="77777777" w:rsidR="005F56E5" w:rsidRPr="0070317C" w:rsidRDefault="005F56E5" w:rsidP="005F56E5">
      <w:pPr>
        <w:pStyle w:val="IH2Part"/>
      </w:pPr>
      <w:r w:rsidRPr="0070317C">
        <w:t xml:space="preserve">Part </w:t>
      </w:r>
      <w:r w:rsidR="00D70C3C" w:rsidRPr="0070317C">
        <w:t>5B</w:t>
      </w:r>
      <w:r w:rsidRPr="0070317C">
        <w:tab/>
        <w:t>Residential parks</w:t>
      </w:r>
    </w:p>
    <w:p w14:paraId="2A80DFE6" w14:textId="77777777" w:rsidR="005F56E5" w:rsidRPr="0070317C" w:rsidRDefault="005F56E5" w:rsidP="005F56E5">
      <w:pPr>
        <w:pStyle w:val="IH3Div"/>
      </w:pPr>
      <w:r w:rsidRPr="0070317C">
        <w:t xml:space="preserve">Division </w:t>
      </w:r>
      <w:r w:rsidR="00D70C3C" w:rsidRPr="0070317C">
        <w:t>5B</w:t>
      </w:r>
      <w:r w:rsidRPr="0070317C">
        <w:t>.1</w:t>
      </w:r>
      <w:r w:rsidRPr="0070317C">
        <w:tab/>
        <w:t>Definitions</w:t>
      </w:r>
      <w:r w:rsidR="00566E75" w:rsidRPr="0070317C">
        <w:t>—pt 5B</w:t>
      </w:r>
    </w:p>
    <w:p w14:paraId="2D1A4183" w14:textId="77777777" w:rsidR="005F56E5" w:rsidRPr="0070317C" w:rsidRDefault="00874C93" w:rsidP="005F56E5">
      <w:pPr>
        <w:pStyle w:val="IH5Sec"/>
        <w:ind w:left="0" w:firstLine="0"/>
      </w:pPr>
      <w:r w:rsidRPr="0070317C">
        <w:t>71H</w:t>
      </w:r>
      <w:r w:rsidR="005F56E5" w:rsidRPr="0070317C">
        <w:tab/>
        <w:t xml:space="preserve">Definitions—pt </w:t>
      </w:r>
      <w:r w:rsidRPr="0070317C">
        <w:t>5B</w:t>
      </w:r>
    </w:p>
    <w:p w14:paraId="635018F4" w14:textId="77777777" w:rsidR="005F56E5" w:rsidRPr="0070317C" w:rsidRDefault="005F56E5" w:rsidP="00800C93">
      <w:pPr>
        <w:pStyle w:val="Amainreturn"/>
      </w:pPr>
      <w:r w:rsidRPr="0070317C">
        <w:t xml:space="preserve">In this </w:t>
      </w:r>
      <w:r w:rsidR="00874C93" w:rsidRPr="0070317C">
        <w:t>part:</w:t>
      </w:r>
    </w:p>
    <w:p w14:paraId="12DA24BB" w14:textId="77777777" w:rsidR="004C3A57" w:rsidRPr="0070317C" w:rsidRDefault="004C3A57" w:rsidP="0070317C">
      <w:pPr>
        <w:pStyle w:val="aDef"/>
      </w:pPr>
      <w:r w:rsidRPr="0070317C">
        <w:rPr>
          <w:rStyle w:val="charBoldItals"/>
        </w:rPr>
        <w:t>operator</w:t>
      </w:r>
      <w:r w:rsidRPr="0070317C">
        <w:t>, of a residential park, means the person who manages, controls or otherwise operates the residential park, including by granting rights of occupancy under a residential park agreement, whether or not the person is the owner of the residential park.</w:t>
      </w:r>
    </w:p>
    <w:p w14:paraId="55BFD67A" w14:textId="77777777" w:rsidR="00BF5EC9" w:rsidRPr="0070317C" w:rsidRDefault="005F56E5" w:rsidP="0070317C">
      <w:pPr>
        <w:pStyle w:val="aDef"/>
      </w:pPr>
      <w:r w:rsidRPr="0070317C">
        <w:rPr>
          <w:rStyle w:val="charBoldItals"/>
        </w:rPr>
        <w:t>residential park agreement</w:t>
      </w:r>
      <w:r w:rsidRPr="0070317C">
        <w:t xml:space="preserve"> means </w:t>
      </w:r>
      <w:r w:rsidR="00BF5EC9" w:rsidRPr="0070317C">
        <w:t xml:space="preserve">a residential tenancy agreement or </w:t>
      </w:r>
      <w:r w:rsidRPr="0070317C">
        <w:t>an occupancy agreement in relation to a manufactured home or a mobile home that is located in a residential park and includes a site agreement.</w:t>
      </w:r>
    </w:p>
    <w:p w14:paraId="3B93D72B" w14:textId="77777777" w:rsidR="005F56E5" w:rsidRPr="0070317C" w:rsidRDefault="005F56E5" w:rsidP="0070317C">
      <w:pPr>
        <w:pStyle w:val="aDef"/>
      </w:pPr>
      <w:r w:rsidRPr="0070317C">
        <w:rPr>
          <w:rStyle w:val="charBoldItals"/>
        </w:rPr>
        <w:lastRenderedPageBreak/>
        <w:t>site agreement</w:t>
      </w:r>
      <w:r w:rsidRPr="0070317C">
        <w:t xml:space="preserve"> means an agreement under which </w:t>
      </w:r>
      <w:r w:rsidR="00D70C3C" w:rsidRPr="0070317C">
        <w:t>an</w:t>
      </w:r>
      <w:r w:rsidRPr="0070317C">
        <w:t xml:space="preserve"> operator grants another person, for value, a right to occupy a site in the operator’s residential park, for the purpose of placing a manufactured home or a mobile home on the site for use as a home. </w:t>
      </w:r>
    </w:p>
    <w:p w14:paraId="31B26616" w14:textId="77777777" w:rsidR="00EA4159" w:rsidRPr="0070317C" w:rsidRDefault="00EA4159" w:rsidP="00EA4159">
      <w:pPr>
        <w:pStyle w:val="IH3Div"/>
      </w:pPr>
      <w:r w:rsidRPr="0070317C">
        <w:t>Division 5B</w:t>
      </w:r>
      <w:r w:rsidR="0026288D" w:rsidRPr="0070317C">
        <w:t>.2</w:t>
      </w:r>
      <w:r w:rsidRPr="0070317C">
        <w:tab/>
      </w:r>
      <w:r w:rsidR="00954B12" w:rsidRPr="0070317C">
        <w:t>Shared park facilities</w:t>
      </w:r>
    </w:p>
    <w:p w14:paraId="24032F30" w14:textId="77777777" w:rsidR="0026288D" w:rsidRPr="0070317C" w:rsidRDefault="00954B12" w:rsidP="00954B12">
      <w:pPr>
        <w:pStyle w:val="IH5Sec"/>
      </w:pPr>
      <w:r w:rsidRPr="0070317C">
        <w:t>71I</w:t>
      </w:r>
      <w:r w:rsidR="0026288D" w:rsidRPr="0070317C">
        <w:tab/>
        <w:t xml:space="preserve">Access to </w:t>
      </w:r>
      <w:r w:rsidR="00A56285" w:rsidRPr="0070317C">
        <w:t xml:space="preserve">shared </w:t>
      </w:r>
      <w:r w:rsidR="0026288D" w:rsidRPr="0070317C">
        <w:t>park facilities</w:t>
      </w:r>
    </w:p>
    <w:p w14:paraId="29360C12" w14:textId="77777777" w:rsidR="009C33F8" w:rsidRPr="0070317C" w:rsidRDefault="009C33F8" w:rsidP="009C33F8">
      <w:pPr>
        <w:pStyle w:val="IMain"/>
      </w:pPr>
      <w:r w:rsidRPr="0070317C">
        <w:tab/>
        <w:t>(1)</w:t>
      </w:r>
      <w:r w:rsidRPr="0070317C">
        <w:tab/>
        <w:t xml:space="preserve">As far as reasonably practicable, an operator must give a tenant or occupant under a residential park agreement access at reasonable hours to </w:t>
      </w:r>
      <w:r w:rsidR="00D57BE0" w:rsidRPr="0070317C">
        <w:t>shared</w:t>
      </w:r>
      <w:r w:rsidRPr="0070317C">
        <w:t xml:space="preserve"> </w:t>
      </w:r>
      <w:r w:rsidR="004D7385" w:rsidRPr="0070317C">
        <w:t xml:space="preserve">park </w:t>
      </w:r>
      <w:r w:rsidRPr="0070317C">
        <w:t>facilities.</w:t>
      </w:r>
    </w:p>
    <w:p w14:paraId="1979DAE5" w14:textId="77777777" w:rsidR="009C33F8" w:rsidRPr="0070317C" w:rsidRDefault="009C33F8" w:rsidP="009C33F8">
      <w:pPr>
        <w:pStyle w:val="IMain"/>
      </w:pPr>
      <w:r w:rsidRPr="0070317C">
        <w:tab/>
        <w:t>(2)</w:t>
      </w:r>
      <w:r w:rsidRPr="0070317C">
        <w:tab/>
        <w:t>In this section:</w:t>
      </w:r>
    </w:p>
    <w:p w14:paraId="72CF3A30" w14:textId="77777777" w:rsidR="009C33F8" w:rsidRPr="0070317C" w:rsidRDefault="00C32343" w:rsidP="0070317C">
      <w:pPr>
        <w:pStyle w:val="aDef"/>
      </w:pPr>
      <w:r w:rsidRPr="0070317C">
        <w:rPr>
          <w:rStyle w:val="charBoldItals"/>
        </w:rPr>
        <w:t>shared</w:t>
      </w:r>
      <w:r w:rsidR="009C33F8" w:rsidRPr="0070317C">
        <w:rPr>
          <w:rStyle w:val="charBoldItals"/>
        </w:rPr>
        <w:t xml:space="preserve"> </w:t>
      </w:r>
      <w:r w:rsidR="004D7385" w:rsidRPr="0070317C">
        <w:rPr>
          <w:rStyle w:val="charBoldItals"/>
        </w:rPr>
        <w:t xml:space="preserve">park </w:t>
      </w:r>
      <w:r w:rsidR="009C33F8" w:rsidRPr="0070317C">
        <w:rPr>
          <w:rStyle w:val="charBoldItals"/>
        </w:rPr>
        <w:t>facilities</w:t>
      </w:r>
      <w:r w:rsidR="009C33F8" w:rsidRPr="0070317C">
        <w:t xml:space="preserve">, </w:t>
      </w:r>
      <w:r w:rsidR="00D2744B" w:rsidRPr="0070317C">
        <w:t>in relation to a residential park</w:t>
      </w:r>
      <w:r w:rsidR="009C33F8" w:rsidRPr="0070317C">
        <w:t xml:space="preserve">, </w:t>
      </w:r>
      <w:r w:rsidR="00D2744B" w:rsidRPr="0070317C">
        <w:t>means</w:t>
      </w:r>
      <w:r w:rsidR="009C33F8" w:rsidRPr="0070317C">
        <w:t xml:space="preserve"> areas </w:t>
      </w:r>
      <w:r w:rsidR="00D2744B" w:rsidRPr="0070317C">
        <w:t>in the park</w:t>
      </w:r>
      <w:r w:rsidR="009C33F8" w:rsidRPr="0070317C">
        <w:t xml:space="preserve"> provided for </w:t>
      </w:r>
      <w:r w:rsidR="00D2744B" w:rsidRPr="0070317C">
        <w:t>shared</w:t>
      </w:r>
      <w:r w:rsidR="009C33F8" w:rsidRPr="0070317C">
        <w:t xml:space="preserve"> use by </w:t>
      </w:r>
      <w:r w:rsidR="00D2744B" w:rsidRPr="0070317C">
        <w:t xml:space="preserve">tenants and </w:t>
      </w:r>
      <w:r w:rsidR="009C33F8" w:rsidRPr="0070317C">
        <w:t>occupants</w:t>
      </w:r>
      <w:r w:rsidR="00D2744B" w:rsidRPr="0070317C">
        <w:t xml:space="preserve"> in the park</w:t>
      </w:r>
      <w:r w:rsidR="009C33F8" w:rsidRPr="0070317C">
        <w:t>.</w:t>
      </w:r>
    </w:p>
    <w:p w14:paraId="12F829B8" w14:textId="77777777" w:rsidR="00954B12" w:rsidRPr="0070317C" w:rsidRDefault="00954B12" w:rsidP="00E21AF5">
      <w:pPr>
        <w:pStyle w:val="aExamHdgss"/>
      </w:pPr>
      <w:r w:rsidRPr="0070317C">
        <w:t>Examples</w:t>
      </w:r>
    </w:p>
    <w:p w14:paraId="55652912" w14:textId="77777777" w:rsidR="00726C2C" w:rsidRPr="0070317C" w:rsidRDefault="00D2744B" w:rsidP="00B33D8D">
      <w:pPr>
        <w:pStyle w:val="aExamss"/>
      </w:pPr>
      <w:r w:rsidRPr="0070317C">
        <w:t>showers, toilets, laundry, camp kitchen, pool, BBQ area</w:t>
      </w:r>
    </w:p>
    <w:p w14:paraId="24E57E58" w14:textId="77777777" w:rsidR="005F56E5" w:rsidRPr="0070317C" w:rsidRDefault="005F56E5" w:rsidP="005F56E5">
      <w:pPr>
        <w:pStyle w:val="IH3Div"/>
      </w:pPr>
      <w:r w:rsidRPr="0070317C">
        <w:t xml:space="preserve">Division </w:t>
      </w:r>
      <w:r w:rsidR="00874C93" w:rsidRPr="0070317C">
        <w:t>5B</w:t>
      </w:r>
      <w:r w:rsidRPr="0070317C">
        <w:t>.</w:t>
      </w:r>
      <w:r w:rsidR="00EA4159" w:rsidRPr="0070317C">
        <w:t>3</w:t>
      </w:r>
      <w:r w:rsidRPr="0070317C">
        <w:tab/>
        <w:t>Assignment of interests</w:t>
      </w:r>
    </w:p>
    <w:p w14:paraId="132CB18A" w14:textId="77777777" w:rsidR="00F100AA" w:rsidRPr="0070317C" w:rsidRDefault="00874C93" w:rsidP="005F56E5">
      <w:pPr>
        <w:pStyle w:val="IH5Sec"/>
      </w:pPr>
      <w:r w:rsidRPr="0070317C">
        <w:t>71</w:t>
      </w:r>
      <w:r w:rsidR="00954B12" w:rsidRPr="0070317C">
        <w:t>J</w:t>
      </w:r>
      <w:r w:rsidR="005F56E5" w:rsidRPr="0070317C">
        <w:tab/>
      </w:r>
      <w:r w:rsidR="00F100AA" w:rsidRPr="0070317C">
        <w:t xml:space="preserve">Definitions—div </w:t>
      </w:r>
      <w:r w:rsidRPr="0070317C">
        <w:t>5B</w:t>
      </w:r>
      <w:r w:rsidR="00F100AA" w:rsidRPr="0070317C">
        <w:t>.</w:t>
      </w:r>
      <w:r w:rsidR="000016EA" w:rsidRPr="0070317C">
        <w:t>3</w:t>
      </w:r>
    </w:p>
    <w:p w14:paraId="34A3BE1F" w14:textId="77777777" w:rsidR="00F100AA" w:rsidRPr="0070317C" w:rsidRDefault="00F100AA" w:rsidP="00F100AA">
      <w:pPr>
        <w:pStyle w:val="Amainreturn"/>
      </w:pPr>
      <w:r w:rsidRPr="0070317C">
        <w:t>In this division:</w:t>
      </w:r>
    </w:p>
    <w:p w14:paraId="08C16D94" w14:textId="77777777" w:rsidR="00F100AA" w:rsidRPr="0070317C" w:rsidRDefault="00572D03" w:rsidP="0070317C">
      <w:pPr>
        <w:pStyle w:val="aDef"/>
      </w:pPr>
      <w:r w:rsidRPr="0070317C">
        <w:rPr>
          <w:rStyle w:val="charBoldItals"/>
        </w:rPr>
        <w:t>assignee</w:t>
      </w:r>
      <w:r w:rsidR="00DC12BC" w:rsidRPr="0070317C">
        <w:rPr>
          <w:bCs/>
          <w:iCs/>
        </w:rPr>
        <w:t>, in relation to a residential park agreement</w:t>
      </w:r>
      <w:r w:rsidR="00A77DC3" w:rsidRPr="0070317C">
        <w:rPr>
          <w:bCs/>
          <w:iCs/>
        </w:rPr>
        <w:t>—see section</w:t>
      </w:r>
      <w:r w:rsidR="00DC12BC" w:rsidRPr="0070317C">
        <w:rPr>
          <w:bCs/>
          <w:iCs/>
        </w:rPr>
        <w:t> </w:t>
      </w:r>
      <w:r w:rsidR="00874C93" w:rsidRPr="0070317C">
        <w:rPr>
          <w:bCs/>
          <w:iCs/>
        </w:rPr>
        <w:t>71</w:t>
      </w:r>
      <w:r w:rsidR="00726C2C" w:rsidRPr="0070317C">
        <w:rPr>
          <w:bCs/>
          <w:iCs/>
        </w:rPr>
        <w:t>K</w:t>
      </w:r>
      <w:r w:rsidR="00DC12BC" w:rsidRPr="0070317C">
        <w:rPr>
          <w:bCs/>
          <w:iCs/>
        </w:rPr>
        <w:t> </w:t>
      </w:r>
      <w:r w:rsidR="00A77DC3" w:rsidRPr="0070317C">
        <w:rPr>
          <w:bCs/>
          <w:iCs/>
        </w:rPr>
        <w:t>(1).</w:t>
      </w:r>
    </w:p>
    <w:p w14:paraId="7F9570B9" w14:textId="77777777" w:rsidR="00A77DC3" w:rsidRPr="0070317C" w:rsidRDefault="00A77DC3" w:rsidP="0070317C">
      <w:pPr>
        <w:pStyle w:val="aDef"/>
      </w:pPr>
      <w:r w:rsidRPr="0070317C">
        <w:rPr>
          <w:rStyle w:val="charBoldItals"/>
        </w:rPr>
        <w:t>assignor</w:t>
      </w:r>
      <w:r w:rsidR="00DC12BC" w:rsidRPr="0070317C">
        <w:rPr>
          <w:bCs/>
          <w:iCs/>
        </w:rPr>
        <w:t>, in relation to a residential park agreement—see section 71K (1).</w:t>
      </w:r>
    </w:p>
    <w:p w14:paraId="23125E9F" w14:textId="77777777" w:rsidR="005F56E5" w:rsidRPr="0070317C" w:rsidRDefault="00874C93" w:rsidP="005F56E5">
      <w:pPr>
        <w:pStyle w:val="IH5Sec"/>
        <w:rPr>
          <w:lang w:eastAsia="en-AU"/>
        </w:rPr>
      </w:pPr>
      <w:r w:rsidRPr="0070317C">
        <w:t>71</w:t>
      </w:r>
      <w:r w:rsidR="00726C2C" w:rsidRPr="0070317C">
        <w:t>K</w:t>
      </w:r>
      <w:r w:rsidR="00572D03" w:rsidRPr="0070317C">
        <w:tab/>
      </w:r>
      <w:r w:rsidR="005F56E5" w:rsidRPr="0070317C">
        <w:t xml:space="preserve">Assignment </w:t>
      </w:r>
      <w:r w:rsidR="00F100AA" w:rsidRPr="0070317C">
        <w:t>in residential</w:t>
      </w:r>
      <w:r w:rsidR="005F56E5" w:rsidRPr="0070317C">
        <w:t xml:space="preserve"> park permitted with consent</w:t>
      </w:r>
    </w:p>
    <w:p w14:paraId="12C4C584" w14:textId="77777777" w:rsidR="005F56E5" w:rsidRPr="0070317C" w:rsidRDefault="005F56E5" w:rsidP="00D74010">
      <w:pPr>
        <w:pStyle w:val="IMain"/>
      </w:pPr>
      <w:r w:rsidRPr="0070317C">
        <w:tab/>
        <w:t>(1)</w:t>
      </w:r>
      <w:r w:rsidRPr="0070317C">
        <w:tab/>
      </w:r>
      <w:r w:rsidR="00F100AA" w:rsidRPr="0070317C">
        <w:t>A</w:t>
      </w:r>
      <w:r w:rsidR="00BE582B" w:rsidRPr="0070317C">
        <w:t xml:space="preserve"> tenant or</w:t>
      </w:r>
      <w:r w:rsidR="00F100AA" w:rsidRPr="0070317C">
        <w:t xml:space="preserve"> </w:t>
      </w:r>
      <w:r w:rsidRPr="0070317C">
        <w:t xml:space="preserve">occupant </w:t>
      </w:r>
      <w:r w:rsidR="00572D03" w:rsidRPr="0070317C">
        <w:t xml:space="preserve">(the </w:t>
      </w:r>
      <w:r w:rsidR="00572D03" w:rsidRPr="0070317C">
        <w:rPr>
          <w:rStyle w:val="charBoldItals"/>
        </w:rPr>
        <w:t>assignor</w:t>
      </w:r>
      <w:r w:rsidR="00572D03" w:rsidRPr="0070317C">
        <w:t xml:space="preserve">) </w:t>
      </w:r>
      <w:r w:rsidRPr="0070317C">
        <w:t xml:space="preserve">may assign the </w:t>
      </w:r>
      <w:r w:rsidR="00572D03" w:rsidRPr="0070317C">
        <w:t>assignor’s</w:t>
      </w:r>
      <w:r w:rsidRPr="0070317C">
        <w:t xml:space="preserve"> interest in </w:t>
      </w:r>
      <w:r w:rsidR="00F100AA" w:rsidRPr="0070317C">
        <w:t>a</w:t>
      </w:r>
      <w:r w:rsidRPr="0070317C">
        <w:t xml:space="preserve"> </w:t>
      </w:r>
      <w:r w:rsidR="00D74010" w:rsidRPr="0070317C">
        <w:t>residential</w:t>
      </w:r>
      <w:r w:rsidRPr="0070317C">
        <w:t xml:space="preserve"> park agreement to someone else (the </w:t>
      </w:r>
      <w:r w:rsidR="00572D03" w:rsidRPr="0070317C">
        <w:rPr>
          <w:rStyle w:val="charBoldItals"/>
        </w:rPr>
        <w:t>assignee</w:t>
      </w:r>
      <w:r w:rsidRPr="0070317C">
        <w:t>) only if</w:t>
      </w:r>
      <w:r w:rsidR="00D74010" w:rsidRPr="0070317C">
        <w:t xml:space="preserve"> </w:t>
      </w:r>
      <w:r w:rsidRPr="0070317C">
        <w:t xml:space="preserve">the operator of the </w:t>
      </w:r>
      <w:r w:rsidR="00D74010" w:rsidRPr="0070317C">
        <w:t>residential</w:t>
      </w:r>
      <w:r w:rsidRPr="0070317C">
        <w:t xml:space="preserve"> park—</w:t>
      </w:r>
    </w:p>
    <w:p w14:paraId="21DA24EF" w14:textId="77777777" w:rsidR="005F56E5" w:rsidRPr="0070317C" w:rsidRDefault="00D74010" w:rsidP="00D74010">
      <w:pPr>
        <w:pStyle w:val="Ipara"/>
      </w:pPr>
      <w:r w:rsidRPr="0070317C">
        <w:tab/>
        <w:t>(a)</w:t>
      </w:r>
      <w:r w:rsidRPr="0070317C">
        <w:tab/>
      </w:r>
      <w:r w:rsidR="005F56E5" w:rsidRPr="0070317C">
        <w:t>consents, in writing, to the assignment; or</w:t>
      </w:r>
    </w:p>
    <w:p w14:paraId="48C79F58" w14:textId="77777777" w:rsidR="005F56E5" w:rsidRPr="0070317C" w:rsidRDefault="005F56E5" w:rsidP="00D74010">
      <w:pPr>
        <w:pStyle w:val="Ipara"/>
      </w:pPr>
      <w:r w:rsidRPr="0070317C">
        <w:lastRenderedPageBreak/>
        <w:tab/>
        <w:t>(</w:t>
      </w:r>
      <w:r w:rsidR="00D74010" w:rsidRPr="0070317C">
        <w:t>b</w:t>
      </w:r>
      <w:r w:rsidRPr="0070317C">
        <w:t>)</w:t>
      </w:r>
      <w:r w:rsidRPr="0070317C">
        <w:tab/>
        <w:t xml:space="preserve">is taken under section </w:t>
      </w:r>
      <w:r w:rsidR="00874C93" w:rsidRPr="0070317C">
        <w:t>71</w:t>
      </w:r>
      <w:r w:rsidR="00726C2C" w:rsidRPr="0070317C">
        <w:t>L</w:t>
      </w:r>
      <w:r w:rsidRPr="0070317C">
        <w:t xml:space="preserve"> to have consented to the assignment</w:t>
      </w:r>
      <w:r w:rsidR="00D74010" w:rsidRPr="0070317C">
        <w:t>.</w:t>
      </w:r>
    </w:p>
    <w:p w14:paraId="2D38C77D" w14:textId="77777777" w:rsidR="005F56E5" w:rsidRPr="0070317C" w:rsidRDefault="005F56E5" w:rsidP="005F56E5">
      <w:pPr>
        <w:pStyle w:val="IMain"/>
      </w:pPr>
      <w:r w:rsidRPr="0070317C">
        <w:tab/>
        <w:t>(</w:t>
      </w:r>
      <w:r w:rsidR="00572D03" w:rsidRPr="0070317C">
        <w:t>2</w:t>
      </w:r>
      <w:r w:rsidRPr="0070317C">
        <w:t>)</w:t>
      </w:r>
      <w:r w:rsidRPr="0070317C">
        <w:tab/>
        <w:t>In requesting the operator’s consent for subsection (</w:t>
      </w:r>
      <w:r w:rsidR="00983F2C" w:rsidRPr="0070317C">
        <w:t>1</w:t>
      </w:r>
      <w:r w:rsidRPr="0070317C">
        <w:t xml:space="preserve">), the </w:t>
      </w:r>
      <w:r w:rsidR="00572D03" w:rsidRPr="0070317C">
        <w:t>assignor</w:t>
      </w:r>
      <w:r w:rsidRPr="0070317C">
        <w:t xml:space="preserve"> must give the </w:t>
      </w:r>
      <w:r w:rsidR="00B949A3" w:rsidRPr="0070317C">
        <w:t>operator</w:t>
      </w:r>
      <w:r w:rsidRPr="0070317C">
        <w:t xml:space="preserve"> the following information:</w:t>
      </w:r>
    </w:p>
    <w:p w14:paraId="7649DC0D" w14:textId="77777777" w:rsidR="005F56E5" w:rsidRPr="0070317C" w:rsidRDefault="005F56E5" w:rsidP="005F56E5">
      <w:pPr>
        <w:pStyle w:val="Ipara"/>
      </w:pPr>
      <w:r w:rsidRPr="0070317C">
        <w:tab/>
        <w:t>(a)</w:t>
      </w:r>
      <w:r w:rsidRPr="0070317C">
        <w:tab/>
        <w:t xml:space="preserve">the name of the </w:t>
      </w:r>
      <w:r w:rsidR="00572D03" w:rsidRPr="0070317C">
        <w:t>assignee</w:t>
      </w:r>
      <w:r w:rsidRPr="0070317C">
        <w:t>;</w:t>
      </w:r>
    </w:p>
    <w:p w14:paraId="0A8BD02B" w14:textId="77777777" w:rsidR="005F56E5" w:rsidRPr="0070317C" w:rsidRDefault="005F56E5" w:rsidP="005F56E5">
      <w:pPr>
        <w:pStyle w:val="Ipara"/>
      </w:pPr>
      <w:r w:rsidRPr="0070317C">
        <w:tab/>
        <w:t>(b)</w:t>
      </w:r>
      <w:r w:rsidRPr="0070317C">
        <w:tab/>
        <w:t xml:space="preserve">the same information in relation to the </w:t>
      </w:r>
      <w:r w:rsidR="00572D03" w:rsidRPr="0070317C">
        <w:t xml:space="preserve">assignee </w:t>
      </w:r>
      <w:r w:rsidRPr="0070317C">
        <w:t xml:space="preserve">that the </w:t>
      </w:r>
      <w:r w:rsidR="00572D03" w:rsidRPr="0070317C">
        <w:t>assignee</w:t>
      </w:r>
      <w:r w:rsidRPr="0070317C">
        <w:t xml:space="preserve"> was requested to give to the operator in relation to the </w:t>
      </w:r>
      <w:r w:rsidR="00572D03" w:rsidRPr="0070317C">
        <w:t>assignee</w:t>
      </w:r>
      <w:r w:rsidRPr="0070317C">
        <w:t xml:space="preserve">’s application to enter into the </w:t>
      </w:r>
      <w:r w:rsidR="00E92EB5" w:rsidRPr="0070317C">
        <w:t>residential</w:t>
      </w:r>
      <w:r w:rsidRPr="0070317C">
        <w:t xml:space="preserve"> park agreement.</w:t>
      </w:r>
    </w:p>
    <w:p w14:paraId="30BDB566" w14:textId="77777777" w:rsidR="005F56E5" w:rsidRPr="0070317C" w:rsidRDefault="00874C93" w:rsidP="005F56E5">
      <w:pPr>
        <w:pStyle w:val="IH5Sec"/>
      </w:pPr>
      <w:r w:rsidRPr="0070317C">
        <w:t>71</w:t>
      </w:r>
      <w:r w:rsidR="00726C2C" w:rsidRPr="0070317C">
        <w:t>L</w:t>
      </w:r>
      <w:r w:rsidR="005F56E5" w:rsidRPr="0070317C">
        <w:tab/>
        <w:t>Consent to assignment</w:t>
      </w:r>
    </w:p>
    <w:p w14:paraId="78E4D13C" w14:textId="77777777" w:rsidR="005F56E5" w:rsidRPr="0070317C" w:rsidRDefault="005F56E5" w:rsidP="005F56E5">
      <w:pPr>
        <w:pStyle w:val="IMain"/>
      </w:pPr>
      <w:r w:rsidRPr="0070317C">
        <w:tab/>
        <w:t>(1)</w:t>
      </w:r>
      <w:r w:rsidRPr="0070317C">
        <w:tab/>
        <w:t xml:space="preserve">Within </w:t>
      </w:r>
      <w:r w:rsidR="00DA3E26" w:rsidRPr="0070317C">
        <w:t>14</w:t>
      </w:r>
      <w:r w:rsidRPr="0070317C">
        <w:t xml:space="preserve"> days </w:t>
      </w:r>
      <w:r w:rsidR="00DA3E26" w:rsidRPr="0070317C">
        <w:t>after</w:t>
      </w:r>
      <w:r w:rsidRPr="0070317C">
        <w:t xml:space="preserve"> receiving the </w:t>
      </w:r>
      <w:r w:rsidR="00A77DC3" w:rsidRPr="0070317C">
        <w:t>assignor</w:t>
      </w:r>
      <w:r w:rsidRPr="0070317C">
        <w:t>’s request for consent under section</w:t>
      </w:r>
      <w:r w:rsidR="00E92EB5" w:rsidRPr="0070317C">
        <w:t> </w:t>
      </w:r>
      <w:r w:rsidR="00874C93" w:rsidRPr="0070317C">
        <w:t>71</w:t>
      </w:r>
      <w:r w:rsidR="00726C2C" w:rsidRPr="0070317C">
        <w:t>K</w:t>
      </w:r>
      <w:r w:rsidR="00983F2C" w:rsidRPr="0070317C">
        <w:t xml:space="preserve"> (2)</w:t>
      </w:r>
      <w:r w:rsidRPr="0070317C">
        <w:t>, the operator may, in writing—</w:t>
      </w:r>
    </w:p>
    <w:p w14:paraId="7D3BDA10" w14:textId="77777777" w:rsidR="005F56E5" w:rsidRPr="0070317C" w:rsidRDefault="005F56E5" w:rsidP="005F56E5">
      <w:pPr>
        <w:pStyle w:val="Ipara"/>
      </w:pPr>
      <w:r w:rsidRPr="0070317C">
        <w:tab/>
        <w:t>(a)</w:t>
      </w:r>
      <w:r w:rsidRPr="0070317C">
        <w:tab/>
        <w:t>consent to the assignment; or</w:t>
      </w:r>
    </w:p>
    <w:p w14:paraId="7C298DF9" w14:textId="77777777" w:rsidR="005F56E5" w:rsidRPr="0070317C" w:rsidRDefault="005F56E5" w:rsidP="005F56E5">
      <w:pPr>
        <w:pStyle w:val="Ipara"/>
      </w:pPr>
      <w:r w:rsidRPr="0070317C">
        <w:tab/>
        <w:t>(b)</w:t>
      </w:r>
      <w:r w:rsidRPr="0070317C">
        <w:tab/>
        <w:t xml:space="preserve">refuse to consent to the assignment.  </w:t>
      </w:r>
    </w:p>
    <w:p w14:paraId="61387487" w14:textId="77777777" w:rsidR="005F56E5" w:rsidRPr="0070317C" w:rsidRDefault="005F56E5" w:rsidP="005F56E5">
      <w:pPr>
        <w:pStyle w:val="IMain"/>
      </w:pPr>
      <w:r w:rsidRPr="0070317C">
        <w:tab/>
        <w:t>(2)</w:t>
      </w:r>
      <w:r w:rsidRPr="0070317C">
        <w:tab/>
        <w:t xml:space="preserve">The operator is taken to consent to the assignment if the </w:t>
      </w:r>
      <w:r w:rsidR="00A77DC3" w:rsidRPr="0070317C">
        <w:t>assignor</w:t>
      </w:r>
      <w:r w:rsidRPr="0070317C">
        <w:t xml:space="preserve"> makes a request under section</w:t>
      </w:r>
      <w:r w:rsidR="00E92EB5" w:rsidRPr="0070317C">
        <w:t> </w:t>
      </w:r>
      <w:r w:rsidR="00983F2C" w:rsidRPr="0070317C">
        <w:t>71</w:t>
      </w:r>
      <w:r w:rsidR="00726C2C" w:rsidRPr="0070317C">
        <w:t>K</w:t>
      </w:r>
      <w:r w:rsidR="00983F2C" w:rsidRPr="0070317C">
        <w:t xml:space="preserve"> (2)</w:t>
      </w:r>
      <w:r w:rsidRPr="0070317C">
        <w:t xml:space="preserve"> </w:t>
      </w:r>
      <w:r w:rsidR="00983F2C" w:rsidRPr="0070317C">
        <w:t>and</w:t>
      </w:r>
      <w:r w:rsidRPr="0070317C">
        <w:t xml:space="preserve"> the operator does not take action under subsection (1) within </w:t>
      </w:r>
      <w:r w:rsidR="00EE0E8B" w:rsidRPr="0070317C">
        <w:t>14</w:t>
      </w:r>
      <w:r w:rsidRPr="0070317C">
        <w:t xml:space="preserve"> days</w:t>
      </w:r>
      <w:r w:rsidR="000016EA" w:rsidRPr="0070317C">
        <w:t xml:space="preserve"> </w:t>
      </w:r>
      <w:r w:rsidR="00DA3E26" w:rsidRPr="0070317C">
        <w:t>after</w:t>
      </w:r>
      <w:r w:rsidR="000016EA" w:rsidRPr="0070317C">
        <w:t xml:space="preserve"> the request</w:t>
      </w:r>
      <w:r w:rsidRPr="0070317C">
        <w:t xml:space="preserve">. </w:t>
      </w:r>
    </w:p>
    <w:p w14:paraId="4DDB4E9C" w14:textId="77777777" w:rsidR="005F56E5" w:rsidRPr="0070317C" w:rsidRDefault="00874C93" w:rsidP="005F56E5">
      <w:pPr>
        <w:pStyle w:val="IH5Sec"/>
      </w:pPr>
      <w:r w:rsidRPr="0070317C">
        <w:t>71</w:t>
      </w:r>
      <w:r w:rsidR="00726C2C" w:rsidRPr="0070317C">
        <w:t>M</w:t>
      </w:r>
      <w:r w:rsidR="005F56E5" w:rsidRPr="0070317C">
        <w:tab/>
      </w:r>
      <w:r w:rsidR="005F7991" w:rsidRPr="0070317C">
        <w:t>Effect of assignment</w:t>
      </w:r>
    </w:p>
    <w:p w14:paraId="7163A244" w14:textId="77777777" w:rsidR="00A5582E" w:rsidRPr="0070317C" w:rsidRDefault="005F7991" w:rsidP="005F7991">
      <w:pPr>
        <w:pStyle w:val="IMain"/>
      </w:pPr>
      <w:r w:rsidRPr="0070317C">
        <w:tab/>
        <w:t>(1)</w:t>
      </w:r>
      <w:r w:rsidRPr="0070317C">
        <w:tab/>
      </w:r>
      <w:r w:rsidR="00A5582E" w:rsidRPr="0070317C">
        <w:t xml:space="preserve">This section applies if </w:t>
      </w:r>
      <w:r w:rsidR="00983F2C" w:rsidRPr="0070317C">
        <w:t xml:space="preserve">an assignor assigns their interest under a residential park agreement </w:t>
      </w:r>
      <w:r w:rsidR="00A5582E" w:rsidRPr="0070317C">
        <w:t>to an assignee.</w:t>
      </w:r>
    </w:p>
    <w:p w14:paraId="1655049D" w14:textId="77777777" w:rsidR="005F56E5" w:rsidRPr="0070317C" w:rsidRDefault="00A5582E" w:rsidP="005F7991">
      <w:pPr>
        <w:pStyle w:val="IMain"/>
      </w:pPr>
      <w:r w:rsidRPr="0070317C">
        <w:tab/>
        <w:t>(2)</w:t>
      </w:r>
      <w:r w:rsidRPr="0070317C">
        <w:tab/>
        <w:t>T</w:t>
      </w:r>
      <w:r w:rsidR="00983F2C" w:rsidRPr="0070317C">
        <w:t xml:space="preserve">he </w:t>
      </w:r>
      <w:r w:rsidR="0050439D" w:rsidRPr="0070317C">
        <w:t>assignor’s interest in any security deposit paid under the agreement</w:t>
      </w:r>
      <w:r w:rsidR="00983F2C" w:rsidRPr="0070317C">
        <w:t xml:space="preserve"> </w:t>
      </w:r>
      <w:r w:rsidR="0050439D" w:rsidRPr="0070317C">
        <w:t>is also assigned to the assignee</w:t>
      </w:r>
      <w:r w:rsidR="005F7991" w:rsidRPr="0070317C">
        <w:t>.</w:t>
      </w:r>
    </w:p>
    <w:p w14:paraId="569EC2E4" w14:textId="77777777" w:rsidR="007A56A2" w:rsidRPr="0070317C" w:rsidRDefault="005F7991" w:rsidP="005F7991">
      <w:pPr>
        <w:pStyle w:val="IMain"/>
      </w:pPr>
      <w:r w:rsidRPr="0070317C">
        <w:tab/>
        <w:t>(3)</w:t>
      </w:r>
      <w:r w:rsidRPr="0070317C">
        <w:tab/>
      </w:r>
      <w:r w:rsidR="007A56A2" w:rsidRPr="0070317C">
        <w:t>From the day of the assignment—</w:t>
      </w:r>
    </w:p>
    <w:p w14:paraId="23A78616" w14:textId="77777777" w:rsidR="007A56A2" w:rsidRPr="0070317C" w:rsidRDefault="007A56A2" w:rsidP="007A56A2">
      <w:pPr>
        <w:pStyle w:val="Ipara"/>
      </w:pPr>
      <w:r w:rsidRPr="0070317C">
        <w:tab/>
        <w:t>(a)</w:t>
      </w:r>
      <w:r w:rsidRPr="0070317C">
        <w:tab/>
        <w:t>t</w:t>
      </w:r>
      <w:r w:rsidR="005F7991" w:rsidRPr="0070317C">
        <w:t>he assignee i</w:t>
      </w:r>
      <w:r w:rsidRPr="0070317C">
        <w:t>s taken to be substituted for the assignor under the residential park agreement</w:t>
      </w:r>
      <w:r w:rsidR="0099425D" w:rsidRPr="0070317C">
        <w:t>, including for the purposes of any security deposit</w:t>
      </w:r>
      <w:r w:rsidRPr="0070317C">
        <w:t>; and</w:t>
      </w:r>
    </w:p>
    <w:p w14:paraId="6CCFCAFD" w14:textId="77777777" w:rsidR="007A56A2" w:rsidRPr="0070317C" w:rsidRDefault="007A56A2" w:rsidP="007A56A2">
      <w:pPr>
        <w:pStyle w:val="Ipara"/>
      </w:pPr>
      <w:r w:rsidRPr="0070317C">
        <w:tab/>
        <w:t>(b)</w:t>
      </w:r>
      <w:r w:rsidRPr="0070317C">
        <w:tab/>
        <w:t xml:space="preserve">the assignor remains liable for any liabilities incurred </w:t>
      </w:r>
      <w:r w:rsidR="00A16607" w:rsidRPr="0070317C">
        <w:t xml:space="preserve">under the agreement </w:t>
      </w:r>
      <w:r w:rsidR="00A5582E" w:rsidRPr="0070317C">
        <w:t>before</w:t>
      </w:r>
      <w:r w:rsidRPr="0070317C">
        <w:t xml:space="preserve"> the </w:t>
      </w:r>
      <w:r w:rsidR="0099425D" w:rsidRPr="0070317C">
        <w:t xml:space="preserve">day of the </w:t>
      </w:r>
      <w:r w:rsidRPr="0070317C">
        <w:t>assignment</w:t>
      </w:r>
      <w:r w:rsidR="0099425D" w:rsidRPr="0070317C">
        <w:t>.</w:t>
      </w:r>
    </w:p>
    <w:p w14:paraId="7AAB334F" w14:textId="77777777" w:rsidR="005F56E5" w:rsidRPr="0070317C" w:rsidRDefault="00874C93" w:rsidP="005F56E5">
      <w:pPr>
        <w:pStyle w:val="IH3Div"/>
        <w:rPr>
          <w:lang w:eastAsia="en-AU"/>
        </w:rPr>
      </w:pPr>
      <w:r w:rsidRPr="0070317C">
        <w:rPr>
          <w:lang w:eastAsia="en-AU"/>
        </w:rPr>
        <w:lastRenderedPageBreak/>
        <w:t>Division 5B</w:t>
      </w:r>
      <w:r w:rsidR="005F56E5" w:rsidRPr="0070317C">
        <w:rPr>
          <w:lang w:eastAsia="en-AU"/>
        </w:rPr>
        <w:t>.</w:t>
      </w:r>
      <w:r w:rsidR="00726C2C" w:rsidRPr="0070317C">
        <w:rPr>
          <w:lang w:eastAsia="en-AU"/>
        </w:rPr>
        <w:t>4</w:t>
      </w:r>
      <w:r w:rsidR="005F56E5" w:rsidRPr="0070317C">
        <w:rPr>
          <w:lang w:eastAsia="en-AU"/>
        </w:rPr>
        <w:tab/>
        <w:t xml:space="preserve">Sale of manufactured homes and mobile homes </w:t>
      </w:r>
    </w:p>
    <w:p w14:paraId="14DC5104" w14:textId="77777777" w:rsidR="005F56E5" w:rsidRPr="0070317C" w:rsidRDefault="00874C93" w:rsidP="005F56E5">
      <w:pPr>
        <w:pStyle w:val="IH5Sec"/>
      </w:pPr>
      <w:r w:rsidRPr="0070317C">
        <w:t>71</w:t>
      </w:r>
      <w:r w:rsidR="00F76924" w:rsidRPr="0070317C">
        <w:t>N</w:t>
      </w:r>
      <w:r w:rsidR="005F56E5" w:rsidRPr="0070317C">
        <w:tab/>
        <w:t>Sale of home located on residential park site</w:t>
      </w:r>
    </w:p>
    <w:p w14:paraId="631CCEE8" w14:textId="77777777" w:rsidR="005F56E5" w:rsidRPr="0070317C" w:rsidRDefault="005F56E5" w:rsidP="005F56E5">
      <w:pPr>
        <w:pStyle w:val="IMain"/>
      </w:pPr>
      <w:r w:rsidRPr="0070317C">
        <w:tab/>
        <w:t>(1)</w:t>
      </w:r>
      <w:r w:rsidRPr="0070317C">
        <w:tab/>
        <w:t>This section applies if—</w:t>
      </w:r>
    </w:p>
    <w:p w14:paraId="633A8CEB" w14:textId="77777777" w:rsidR="005F56E5" w:rsidRPr="0070317C" w:rsidRDefault="005F56E5" w:rsidP="005F56E5">
      <w:pPr>
        <w:pStyle w:val="Ipara"/>
      </w:pPr>
      <w:r w:rsidRPr="0070317C">
        <w:tab/>
        <w:t>(a)</w:t>
      </w:r>
      <w:r w:rsidRPr="0070317C">
        <w:tab/>
        <w:t>a</w:t>
      </w:r>
      <w:r w:rsidR="00B949A3" w:rsidRPr="0070317C">
        <w:t xml:space="preserve"> person </w:t>
      </w:r>
      <w:r w:rsidRPr="0070317C">
        <w:t xml:space="preserve">owns a manufactured home or mobile home (the </w:t>
      </w:r>
      <w:r w:rsidRPr="0070317C">
        <w:rPr>
          <w:rStyle w:val="charBoldItals"/>
        </w:rPr>
        <w:t>occupant’s premises</w:t>
      </w:r>
      <w:r w:rsidRPr="0070317C">
        <w:t xml:space="preserve">) that is located in a residential park under </w:t>
      </w:r>
      <w:r w:rsidR="00A5582E" w:rsidRPr="0070317C">
        <w:t xml:space="preserve">a </w:t>
      </w:r>
      <w:r w:rsidRPr="0070317C">
        <w:t>site agreement; and</w:t>
      </w:r>
    </w:p>
    <w:p w14:paraId="583D1020" w14:textId="77777777" w:rsidR="005F56E5" w:rsidRPr="0070317C" w:rsidRDefault="005F56E5" w:rsidP="005F56E5">
      <w:pPr>
        <w:pStyle w:val="Ipara"/>
      </w:pPr>
      <w:r w:rsidRPr="0070317C">
        <w:tab/>
        <w:t>(b)</w:t>
      </w:r>
      <w:r w:rsidRPr="0070317C">
        <w:tab/>
        <w:t xml:space="preserve">the </w:t>
      </w:r>
      <w:r w:rsidR="00B949A3" w:rsidRPr="0070317C">
        <w:t>person</w:t>
      </w:r>
      <w:r w:rsidRPr="0070317C">
        <w:t xml:space="preserve"> intends to offer the premises for sale.</w:t>
      </w:r>
    </w:p>
    <w:p w14:paraId="39A08606" w14:textId="77777777" w:rsidR="005F56E5" w:rsidRPr="0070317C" w:rsidRDefault="005F56E5" w:rsidP="005F56E5">
      <w:pPr>
        <w:pStyle w:val="IMain"/>
      </w:pPr>
      <w:r w:rsidRPr="0070317C">
        <w:tab/>
        <w:t>(2)</w:t>
      </w:r>
      <w:r w:rsidRPr="0070317C">
        <w:tab/>
        <w:t xml:space="preserve">The </w:t>
      </w:r>
      <w:r w:rsidR="00B949A3" w:rsidRPr="0070317C">
        <w:t>person</w:t>
      </w:r>
      <w:r w:rsidRPr="0070317C">
        <w:t xml:space="preserve"> must not display a sign about the sale in or on the premises or in the residential park unless—</w:t>
      </w:r>
    </w:p>
    <w:p w14:paraId="5E426B52" w14:textId="77777777" w:rsidR="005F56E5" w:rsidRPr="0070317C" w:rsidRDefault="005F56E5" w:rsidP="005F56E5">
      <w:pPr>
        <w:pStyle w:val="Ipara"/>
      </w:pPr>
      <w:r w:rsidRPr="0070317C">
        <w:tab/>
        <w:t>(a)</w:t>
      </w:r>
      <w:r w:rsidRPr="0070317C">
        <w:tab/>
        <w:t xml:space="preserve">the </w:t>
      </w:r>
      <w:r w:rsidR="00B949A3" w:rsidRPr="0070317C">
        <w:t>person</w:t>
      </w:r>
      <w:r w:rsidRPr="0070317C">
        <w:t xml:space="preserve"> has told the operator about the</w:t>
      </w:r>
      <w:r w:rsidR="00B949A3" w:rsidRPr="0070317C">
        <w:t>ir</w:t>
      </w:r>
      <w:r w:rsidRPr="0070317C">
        <w:t xml:space="preserve"> intention to sell the premises; and</w:t>
      </w:r>
    </w:p>
    <w:p w14:paraId="351C0C25" w14:textId="77777777" w:rsidR="005F56E5" w:rsidRPr="0070317C" w:rsidRDefault="005F56E5" w:rsidP="005F56E5">
      <w:pPr>
        <w:pStyle w:val="Ipara"/>
      </w:pPr>
      <w:r w:rsidRPr="0070317C">
        <w:tab/>
        <w:t>(b)</w:t>
      </w:r>
      <w:r w:rsidRPr="0070317C">
        <w:tab/>
        <w:t>the sign is no larger than the maximum size</w:t>
      </w:r>
      <w:r w:rsidR="00F679DD" w:rsidRPr="0070317C">
        <w:t xml:space="preserve"> prescribed by regulation</w:t>
      </w:r>
      <w:r w:rsidRPr="0070317C">
        <w:t xml:space="preserve">. </w:t>
      </w:r>
    </w:p>
    <w:p w14:paraId="100ABBBD" w14:textId="77777777" w:rsidR="005F56E5" w:rsidRPr="0070317C" w:rsidRDefault="005F56E5" w:rsidP="00726C2C">
      <w:pPr>
        <w:pStyle w:val="IMain"/>
      </w:pPr>
      <w:r w:rsidRPr="0070317C">
        <w:tab/>
        <w:t>(3)</w:t>
      </w:r>
      <w:r w:rsidRPr="0070317C">
        <w:tab/>
        <w:t xml:space="preserve">The operator </w:t>
      </w:r>
      <w:r w:rsidR="006B3794" w:rsidRPr="0070317C">
        <w:t xml:space="preserve">of a residential park </w:t>
      </w:r>
      <w:r w:rsidRPr="0070317C">
        <w:t xml:space="preserve">must not take any action to hinder the </w:t>
      </w:r>
      <w:r w:rsidR="00B949A3" w:rsidRPr="0070317C">
        <w:t>person</w:t>
      </w:r>
      <w:r w:rsidRPr="0070317C">
        <w:t>’s sale of the</w:t>
      </w:r>
      <w:r w:rsidR="00B949A3" w:rsidRPr="0070317C">
        <w:t xml:space="preserve"> </w:t>
      </w:r>
      <w:r w:rsidRPr="0070317C">
        <w:t xml:space="preserve">premises </w:t>
      </w:r>
      <w:r w:rsidR="006B3794" w:rsidRPr="0070317C">
        <w:t xml:space="preserve">in the park </w:t>
      </w:r>
      <w:r w:rsidRPr="0070317C">
        <w:t xml:space="preserve">if the </w:t>
      </w:r>
      <w:r w:rsidR="00B949A3" w:rsidRPr="0070317C">
        <w:t>person</w:t>
      </w:r>
      <w:r w:rsidRPr="0070317C">
        <w:t xml:space="preserve"> has complied with subsection</w:t>
      </w:r>
      <w:r w:rsidR="00B949A3" w:rsidRPr="0070317C">
        <w:t> </w:t>
      </w:r>
      <w:r w:rsidRPr="0070317C">
        <w:t xml:space="preserve">(2).  </w:t>
      </w:r>
    </w:p>
    <w:p w14:paraId="06D10267" w14:textId="77777777" w:rsidR="005F56E5" w:rsidRPr="0070317C" w:rsidRDefault="005F56E5" w:rsidP="005F56E5">
      <w:pPr>
        <w:pStyle w:val="IMain"/>
      </w:pPr>
      <w:r w:rsidRPr="0070317C">
        <w:tab/>
        <w:t>(4)</w:t>
      </w:r>
      <w:r w:rsidRPr="0070317C">
        <w:tab/>
        <w:t xml:space="preserve">Without limiting subsection (3), an operator </w:t>
      </w:r>
      <w:r w:rsidR="006B3794" w:rsidRPr="0070317C">
        <w:t xml:space="preserve">of a residential park </w:t>
      </w:r>
      <w:r w:rsidRPr="0070317C">
        <w:t>hinder</w:t>
      </w:r>
      <w:r w:rsidR="006B3794" w:rsidRPr="0070317C">
        <w:t>s</w:t>
      </w:r>
      <w:r w:rsidRPr="0070317C">
        <w:t xml:space="preserve"> </w:t>
      </w:r>
      <w:r w:rsidR="007C6BBE" w:rsidRPr="0070317C">
        <w:t>a person</w:t>
      </w:r>
      <w:r w:rsidRPr="0070317C">
        <w:t xml:space="preserve">’s sale of premises </w:t>
      </w:r>
      <w:r w:rsidR="006B3794" w:rsidRPr="0070317C">
        <w:t xml:space="preserve">in the park </w:t>
      </w:r>
      <w:r w:rsidRPr="0070317C">
        <w:t>if the operator—</w:t>
      </w:r>
    </w:p>
    <w:p w14:paraId="1B55DA80" w14:textId="77777777" w:rsidR="005F56E5" w:rsidRPr="0070317C" w:rsidRDefault="005F56E5" w:rsidP="005F56E5">
      <w:pPr>
        <w:pStyle w:val="Ipara"/>
      </w:pPr>
      <w:r w:rsidRPr="0070317C">
        <w:tab/>
        <w:t>(a)</w:t>
      </w:r>
      <w:r w:rsidRPr="0070317C">
        <w:tab/>
      </w:r>
      <w:r w:rsidR="00103F22" w:rsidRPr="0070317C">
        <w:t xml:space="preserve">unreasonably </w:t>
      </w:r>
      <w:r w:rsidRPr="0070317C">
        <w:t>stops potential buyers from inspecting the premises; or</w:t>
      </w:r>
    </w:p>
    <w:p w14:paraId="47AC1300" w14:textId="77777777" w:rsidR="006B3794" w:rsidRPr="0070317C" w:rsidRDefault="006B3794" w:rsidP="006B3794">
      <w:pPr>
        <w:pStyle w:val="Ipara"/>
      </w:pPr>
      <w:r w:rsidRPr="0070317C">
        <w:rPr>
          <w:shd w:val="clear" w:color="auto" w:fill="FFFFFF"/>
        </w:rPr>
        <w:tab/>
        <w:t>(b)</w:t>
      </w:r>
      <w:r w:rsidRPr="0070317C">
        <w:rPr>
          <w:shd w:val="clear" w:color="auto" w:fill="FFFFFF"/>
        </w:rPr>
        <w:tab/>
        <w:t xml:space="preserve">makes false or misleading statements about the park that affect or may affect </w:t>
      </w:r>
      <w:r w:rsidR="00103F22" w:rsidRPr="0070317C">
        <w:rPr>
          <w:shd w:val="clear" w:color="auto" w:fill="FFFFFF"/>
        </w:rPr>
        <w:t>the sale; or</w:t>
      </w:r>
    </w:p>
    <w:p w14:paraId="2F61D12D" w14:textId="77777777" w:rsidR="005F56E5" w:rsidRPr="0070317C" w:rsidRDefault="005F56E5" w:rsidP="005F56E5">
      <w:pPr>
        <w:pStyle w:val="Ipara"/>
      </w:pPr>
      <w:r w:rsidRPr="0070317C">
        <w:tab/>
        <w:t>(</w:t>
      </w:r>
      <w:r w:rsidR="00103F22" w:rsidRPr="0070317C">
        <w:t>c</w:t>
      </w:r>
      <w:r w:rsidRPr="0070317C">
        <w:t>)</w:t>
      </w:r>
      <w:r w:rsidRPr="0070317C">
        <w:tab/>
        <w:t xml:space="preserve">prevents the </w:t>
      </w:r>
      <w:r w:rsidR="007C6BBE" w:rsidRPr="0070317C">
        <w:t>person</w:t>
      </w:r>
      <w:r w:rsidRPr="0070317C">
        <w:t xml:space="preserve"> from displaying a sign about the sale.</w:t>
      </w:r>
    </w:p>
    <w:p w14:paraId="56A26D95" w14:textId="77777777" w:rsidR="005F56E5" w:rsidRPr="0070317C" w:rsidRDefault="005F56E5" w:rsidP="00D36C34">
      <w:pPr>
        <w:pStyle w:val="IMain"/>
        <w:keepNext/>
      </w:pPr>
      <w:r w:rsidRPr="0070317C">
        <w:lastRenderedPageBreak/>
        <w:tab/>
        <w:t>(5)</w:t>
      </w:r>
      <w:r w:rsidRPr="0070317C">
        <w:tab/>
        <w:t xml:space="preserve">An operator </w:t>
      </w:r>
      <w:r w:rsidR="00103F22" w:rsidRPr="0070317C">
        <w:t xml:space="preserve">of a residential park </w:t>
      </w:r>
      <w:r w:rsidRPr="0070317C">
        <w:t xml:space="preserve">is not taken to hinder </w:t>
      </w:r>
      <w:r w:rsidR="00103F22" w:rsidRPr="0070317C">
        <w:t>a</w:t>
      </w:r>
      <w:r w:rsidRPr="0070317C">
        <w:t xml:space="preserve"> </w:t>
      </w:r>
      <w:r w:rsidR="007C6BBE" w:rsidRPr="0070317C">
        <w:t>person</w:t>
      </w:r>
      <w:r w:rsidRPr="0070317C">
        <w:t>’s sale of the</w:t>
      </w:r>
      <w:r w:rsidR="007C6BBE" w:rsidRPr="0070317C">
        <w:t xml:space="preserve">ir </w:t>
      </w:r>
      <w:r w:rsidRPr="0070317C">
        <w:t>premises only because the operator—</w:t>
      </w:r>
    </w:p>
    <w:p w14:paraId="3052DCD9" w14:textId="77777777" w:rsidR="005F56E5" w:rsidRPr="0070317C" w:rsidRDefault="005F56E5" w:rsidP="005F56E5">
      <w:pPr>
        <w:pStyle w:val="Ipara"/>
      </w:pPr>
      <w:r w:rsidRPr="0070317C">
        <w:tab/>
        <w:t>(a)</w:t>
      </w:r>
      <w:r w:rsidRPr="0070317C">
        <w:tab/>
        <w:t>imposes conditions relating to potential buyers entering or remaining in the park that are reasonable in the circumstances; or</w:t>
      </w:r>
    </w:p>
    <w:p w14:paraId="75EF4400" w14:textId="77777777" w:rsidR="005F56E5" w:rsidRPr="0070317C" w:rsidRDefault="005F56E5" w:rsidP="005F56E5">
      <w:pPr>
        <w:pStyle w:val="Ipara"/>
      </w:pPr>
      <w:r w:rsidRPr="0070317C">
        <w:tab/>
        <w:t>(b)</w:t>
      </w:r>
      <w:r w:rsidRPr="0070317C">
        <w:tab/>
        <w:t xml:space="preserve">has reasonably refused to consent to a proposed assignment of the </w:t>
      </w:r>
      <w:r w:rsidR="007C6BBE" w:rsidRPr="0070317C">
        <w:t>person</w:t>
      </w:r>
      <w:r w:rsidRPr="0070317C">
        <w:t>’s interest in the site agreement.</w:t>
      </w:r>
    </w:p>
    <w:p w14:paraId="7710A5AA" w14:textId="77777777" w:rsidR="005F56E5" w:rsidRPr="0070317C" w:rsidRDefault="00874C93" w:rsidP="005F56E5">
      <w:pPr>
        <w:pStyle w:val="IH5Sec"/>
      </w:pPr>
      <w:r w:rsidRPr="0070317C">
        <w:t>71</w:t>
      </w:r>
      <w:r w:rsidR="00F76924" w:rsidRPr="0070317C">
        <w:t>O</w:t>
      </w:r>
      <w:r w:rsidR="005F56E5" w:rsidRPr="0070317C">
        <w:tab/>
        <w:t>Home to be removed from park if no site agreement once sold</w:t>
      </w:r>
    </w:p>
    <w:p w14:paraId="54B059BA" w14:textId="77777777" w:rsidR="005F56E5" w:rsidRPr="0070317C" w:rsidRDefault="005F56E5" w:rsidP="005F56E5">
      <w:pPr>
        <w:pStyle w:val="IMain"/>
      </w:pPr>
      <w:r w:rsidRPr="0070317C">
        <w:tab/>
        <w:t>(1)</w:t>
      </w:r>
      <w:r w:rsidRPr="0070317C">
        <w:tab/>
        <w:t>This section applies if—</w:t>
      </w:r>
    </w:p>
    <w:p w14:paraId="0C6F0EDD" w14:textId="77777777" w:rsidR="005F56E5" w:rsidRPr="0070317C" w:rsidRDefault="005F56E5" w:rsidP="005F56E5">
      <w:pPr>
        <w:pStyle w:val="Ipara"/>
      </w:pPr>
      <w:r w:rsidRPr="0070317C">
        <w:tab/>
        <w:t>(a)</w:t>
      </w:r>
      <w:r w:rsidRPr="0070317C">
        <w:tab/>
        <w:t>a</w:t>
      </w:r>
      <w:r w:rsidR="00017054" w:rsidRPr="0070317C">
        <w:t xml:space="preserve"> person</w:t>
      </w:r>
      <w:r w:rsidRPr="0070317C">
        <w:t xml:space="preserve"> (the </w:t>
      </w:r>
      <w:r w:rsidRPr="0070317C">
        <w:rPr>
          <w:rStyle w:val="charBoldItals"/>
        </w:rPr>
        <w:t>seller</w:t>
      </w:r>
      <w:r w:rsidRPr="0070317C">
        <w:t>) owns a manufactured home or mobile home in a residential park</w:t>
      </w:r>
      <w:r w:rsidR="00017054" w:rsidRPr="0070317C">
        <w:t xml:space="preserve"> under a site agreement</w:t>
      </w:r>
      <w:r w:rsidRPr="0070317C">
        <w:t>; and</w:t>
      </w:r>
    </w:p>
    <w:p w14:paraId="1B99E30B" w14:textId="77777777" w:rsidR="004216A2" w:rsidRPr="0070317C" w:rsidRDefault="005F56E5" w:rsidP="00947DFF">
      <w:pPr>
        <w:pStyle w:val="Ipara"/>
      </w:pPr>
      <w:r w:rsidRPr="0070317C">
        <w:tab/>
        <w:t>(b)</w:t>
      </w:r>
      <w:r w:rsidRPr="0070317C">
        <w:tab/>
        <w:t xml:space="preserve">the seller sells the manufactured home or mobile home to another person (the </w:t>
      </w:r>
      <w:r w:rsidRPr="0070317C">
        <w:rPr>
          <w:rStyle w:val="charBoldItals"/>
        </w:rPr>
        <w:t>buyer</w:t>
      </w:r>
      <w:r w:rsidRPr="0070317C">
        <w:t>).</w:t>
      </w:r>
    </w:p>
    <w:p w14:paraId="79A7DDA8" w14:textId="77777777" w:rsidR="005F56E5" w:rsidRPr="0070317C" w:rsidRDefault="005F56E5" w:rsidP="005F56E5">
      <w:pPr>
        <w:pStyle w:val="IMain"/>
      </w:pPr>
      <w:r w:rsidRPr="0070317C">
        <w:tab/>
        <w:t>(2)</w:t>
      </w:r>
      <w:r w:rsidRPr="0070317C">
        <w:tab/>
        <w:t>The buyer must remove the manufactured home or mobile home from the residential park within 5 days after the sale is completed or within a longer period of time agreed by the operator unless—</w:t>
      </w:r>
    </w:p>
    <w:p w14:paraId="37EF6CDE" w14:textId="77777777" w:rsidR="005F56E5" w:rsidRPr="0070317C" w:rsidRDefault="005F56E5" w:rsidP="005F56E5">
      <w:pPr>
        <w:pStyle w:val="Ipara"/>
      </w:pPr>
      <w:r w:rsidRPr="0070317C">
        <w:tab/>
        <w:t>(a)</w:t>
      </w:r>
      <w:r w:rsidRPr="0070317C">
        <w:tab/>
        <w:t xml:space="preserve">the seller has assigned the site agreement to the buyer; or </w:t>
      </w:r>
    </w:p>
    <w:p w14:paraId="77305DC8" w14:textId="77777777" w:rsidR="007F2237" w:rsidRPr="0070317C" w:rsidRDefault="005F56E5" w:rsidP="0002336B">
      <w:pPr>
        <w:pStyle w:val="Ipara"/>
      </w:pPr>
      <w:r w:rsidRPr="0070317C">
        <w:tab/>
        <w:t>(b)</w:t>
      </w:r>
      <w:r w:rsidRPr="0070317C">
        <w:tab/>
        <w:t>the buyer has entered into a new site agreement with the operator.</w:t>
      </w:r>
    </w:p>
    <w:p w14:paraId="158AB965" w14:textId="77777777" w:rsidR="00947DFF" w:rsidRPr="0070317C" w:rsidRDefault="00947DFF" w:rsidP="00947DFF">
      <w:pPr>
        <w:pStyle w:val="IMain"/>
      </w:pPr>
      <w:r w:rsidRPr="0070317C">
        <w:tab/>
        <w:t>(3)</w:t>
      </w:r>
      <w:r w:rsidRPr="0070317C">
        <w:tab/>
        <w:t>If asked by the buyer, the operator of the residential park must not unreasonably refuse to enter into a site agreement with the buyer for an appropriate site in the park for the manufactured home or mobile home.</w:t>
      </w:r>
    </w:p>
    <w:p w14:paraId="05F7155C" w14:textId="77777777" w:rsidR="00AF4AD6" w:rsidRPr="0070317C" w:rsidRDefault="0070317C" w:rsidP="0070317C">
      <w:pPr>
        <w:pStyle w:val="AH5Sec"/>
        <w:shd w:val="pct25" w:color="auto" w:fill="auto"/>
        <w:rPr>
          <w:rStyle w:val="charItals"/>
        </w:rPr>
      </w:pPr>
      <w:bookmarkStart w:id="35" w:name="_Toc32321206"/>
      <w:r w:rsidRPr="0070317C">
        <w:rPr>
          <w:rStyle w:val="CharSectNo"/>
        </w:rPr>
        <w:lastRenderedPageBreak/>
        <w:t>30</w:t>
      </w:r>
      <w:r w:rsidRPr="0070317C">
        <w:rPr>
          <w:rStyle w:val="charItals"/>
          <w:i w:val="0"/>
        </w:rPr>
        <w:tab/>
      </w:r>
      <w:r w:rsidR="00AF4AD6" w:rsidRPr="0070317C">
        <w:t xml:space="preserve">Meaning of </w:t>
      </w:r>
      <w:r w:rsidR="00AF4AD6" w:rsidRPr="0070317C">
        <w:rPr>
          <w:rStyle w:val="charItals"/>
        </w:rPr>
        <w:t>tenancy dispute</w:t>
      </w:r>
      <w:r w:rsidR="00AF4AD6" w:rsidRPr="0070317C">
        <w:rPr>
          <w:rStyle w:val="charItals"/>
        </w:rPr>
        <w:br/>
      </w:r>
      <w:r w:rsidR="00AF4AD6" w:rsidRPr="0070317C">
        <w:rPr>
          <w:rFonts w:cs="Arial"/>
        </w:rPr>
        <w:t>Section 72 (1) (a)</w:t>
      </w:r>
      <w:bookmarkEnd w:id="35"/>
    </w:p>
    <w:p w14:paraId="72FB30B4" w14:textId="77777777" w:rsidR="00AF4AD6" w:rsidRPr="0070317C" w:rsidRDefault="00AF4AD6" w:rsidP="00AF4AD6">
      <w:pPr>
        <w:pStyle w:val="direction"/>
      </w:pPr>
      <w:r w:rsidRPr="0070317C">
        <w:t>after</w:t>
      </w:r>
    </w:p>
    <w:p w14:paraId="298851C4" w14:textId="77777777" w:rsidR="00AF4AD6" w:rsidRPr="0070317C" w:rsidRDefault="00AF4AD6" w:rsidP="00800C93">
      <w:pPr>
        <w:pStyle w:val="Amainreturn"/>
        <w:keepNext/>
      </w:pPr>
      <w:r w:rsidRPr="0070317C">
        <w:t>parties</w:t>
      </w:r>
    </w:p>
    <w:p w14:paraId="6DB5A717" w14:textId="77777777" w:rsidR="00AF4AD6" w:rsidRPr="0070317C" w:rsidRDefault="00AF4AD6" w:rsidP="00AF4AD6">
      <w:pPr>
        <w:pStyle w:val="direction"/>
      </w:pPr>
      <w:r w:rsidRPr="0070317C">
        <w:t>insert</w:t>
      </w:r>
    </w:p>
    <w:p w14:paraId="6CD803DB" w14:textId="77777777" w:rsidR="00AF4AD6" w:rsidRPr="0070317C" w:rsidRDefault="00AF4AD6" w:rsidP="00AF4AD6">
      <w:pPr>
        <w:pStyle w:val="Amainreturn"/>
      </w:pPr>
      <w:r w:rsidRPr="0070317C">
        <w:t>(including between co-tenants)</w:t>
      </w:r>
    </w:p>
    <w:p w14:paraId="3618D4FB" w14:textId="77777777" w:rsidR="00C878F3" w:rsidRPr="0070317C" w:rsidRDefault="0070317C" w:rsidP="0070317C">
      <w:pPr>
        <w:pStyle w:val="AH5Sec"/>
        <w:shd w:val="pct25" w:color="auto" w:fill="auto"/>
      </w:pPr>
      <w:bookmarkStart w:id="36" w:name="_Toc32321207"/>
      <w:r w:rsidRPr="0070317C">
        <w:rPr>
          <w:rStyle w:val="CharSectNo"/>
        </w:rPr>
        <w:t>31</w:t>
      </w:r>
      <w:r w:rsidRPr="0070317C">
        <w:tab/>
      </w:r>
      <w:r w:rsidR="00C878F3" w:rsidRPr="0070317C">
        <w:t xml:space="preserve">Meaning of </w:t>
      </w:r>
      <w:r w:rsidR="00C878F3" w:rsidRPr="0070317C">
        <w:rPr>
          <w:rStyle w:val="charItals"/>
        </w:rPr>
        <w:t>occupancy dispute</w:t>
      </w:r>
      <w:r w:rsidR="00C878F3" w:rsidRPr="0070317C">
        <w:rPr>
          <w:rStyle w:val="charItals"/>
        </w:rPr>
        <w:br/>
      </w:r>
      <w:r w:rsidR="002C4EB8" w:rsidRPr="0070317C">
        <w:t>New s</w:t>
      </w:r>
      <w:r w:rsidR="00C878F3" w:rsidRPr="0070317C">
        <w:t>ection 73</w:t>
      </w:r>
      <w:r w:rsidR="002C4EB8" w:rsidRPr="0070317C">
        <w:t xml:space="preserve"> (</w:t>
      </w:r>
      <w:r w:rsidR="00210FA5" w:rsidRPr="0070317C">
        <w:t>2</w:t>
      </w:r>
      <w:r w:rsidR="002C4EB8" w:rsidRPr="0070317C">
        <w:t>)</w:t>
      </w:r>
      <w:r w:rsidR="00210FA5" w:rsidRPr="0070317C">
        <w:t xml:space="preserve"> and (3)</w:t>
      </w:r>
      <w:bookmarkEnd w:id="36"/>
    </w:p>
    <w:p w14:paraId="71AF74BA" w14:textId="77777777" w:rsidR="00C878F3" w:rsidRPr="0070317C" w:rsidRDefault="005E3DAB" w:rsidP="00C878F3">
      <w:pPr>
        <w:pStyle w:val="direction"/>
      </w:pPr>
      <w:r w:rsidRPr="0070317C">
        <w:t>insert</w:t>
      </w:r>
    </w:p>
    <w:p w14:paraId="731DF1B6" w14:textId="77777777" w:rsidR="007F46EF" w:rsidRPr="0070317C" w:rsidRDefault="00210FA5" w:rsidP="00210FA5">
      <w:pPr>
        <w:pStyle w:val="IMain"/>
      </w:pPr>
      <w:r w:rsidRPr="0070317C">
        <w:tab/>
        <w:t>(2)</w:t>
      </w:r>
      <w:r w:rsidRPr="0070317C">
        <w:tab/>
      </w:r>
      <w:r w:rsidR="007F46EF" w:rsidRPr="0070317C">
        <w:t xml:space="preserve">However, for a defined university occupancy agreement to which a university dispute resolution procedure applies, a dispute is only an </w:t>
      </w:r>
      <w:r w:rsidR="007F46EF" w:rsidRPr="0070317C">
        <w:rPr>
          <w:rStyle w:val="charBoldItals"/>
        </w:rPr>
        <w:t>occupancy dispute</w:t>
      </w:r>
      <w:r w:rsidR="007F46EF" w:rsidRPr="0070317C">
        <w:t xml:space="preserve"> if the parties have been unable to resolve the dispute within a reasonable time under the university dispute </w:t>
      </w:r>
      <w:r w:rsidR="00913ED0" w:rsidRPr="0070317C">
        <w:t xml:space="preserve">resolution </w:t>
      </w:r>
      <w:r w:rsidR="007F46EF" w:rsidRPr="0070317C">
        <w:t xml:space="preserve">procedure.  </w:t>
      </w:r>
    </w:p>
    <w:p w14:paraId="5ECED3EB" w14:textId="77777777" w:rsidR="007F46EF" w:rsidRPr="0070317C" w:rsidRDefault="007F46EF" w:rsidP="007F46EF">
      <w:pPr>
        <w:pStyle w:val="IMain"/>
      </w:pPr>
      <w:r w:rsidRPr="0070317C">
        <w:tab/>
        <w:t>(3)</w:t>
      </w:r>
      <w:r w:rsidRPr="0070317C">
        <w:tab/>
        <w:t>In this section:</w:t>
      </w:r>
    </w:p>
    <w:p w14:paraId="3FA4C180" w14:textId="77777777" w:rsidR="00E03556" w:rsidRPr="0070317C" w:rsidRDefault="007F46EF" w:rsidP="0070317C">
      <w:pPr>
        <w:pStyle w:val="aDef"/>
      </w:pPr>
      <w:r w:rsidRPr="0070317C">
        <w:rPr>
          <w:rStyle w:val="charBoldItals"/>
        </w:rPr>
        <w:t xml:space="preserve">defined university occupancy agreement </w:t>
      </w:r>
      <w:r w:rsidRPr="0070317C">
        <w:rPr>
          <w:bCs/>
          <w:iCs/>
        </w:rPr>
        <w:t>means</w:t>
      </w:r>
      <w:r w:rsidR="001A3191" w:rsidRPr="0070317C">
        <w:rPr>
          <w:bCs/>
          <w:iCs/>
        </w:rPr>
        <w:t xml:space="preserve"> an occupancy agreement</w:t>
      </w:r>
      <w:r w:rsidR="00A80468" w:rsidRPr="0070317C">
        <w:rPr>
          <w:bCs/>
          <w:iCs/>
        </w:rPr>
        <w:t xml:space="preserve"> in relation to a residential facility</w:t>
      </w:r>
      <w:r w:rsidR="00922BE3" w:rsidRPr="0070317C">
        <w:rPr>
          <w:bCs/>
          <w:iCs/>
        </w:rPr>
        <w:t xml:space="preserve"> </w:t>
      </w:r>
      <w:r w:rsidR="002C4EB8" w:rsidRPr="0070317C">
        <w:t>mentioned in section 71C (1) (b) (ii)</w:t>
      </w:r>
      <w:r w:rsidR="00922BE3" w:rsidRPr="0070317C">
        <w:t>.</w:t>
      </w:r>
    </w:p>
    <w:p w14:paraId="2EA03141" w14:textId="7F8C50B4" w:rsidR="002C4EB8" w:rsidRPr="0070317C" w:rsidRDefault="00FC1D41" w:rsidP="0070317C">
      <w:pPr>
        <w:pStyle w:val="aDef"/>
      </w:pPr>
      <w:r w:rsidRPr="0070317C">
        <w:rPr>
          <w:rStyle w:val="charBoldItals"/>
        </w:rPr>
        <w:t>university dispute resolution procedure</w:t>
      </w:r>
      <w:r w:rsidRPr="0070317C">
        <w:rPr>
          <w:bCs/>
          <w:iCs/>
        </w:rPr>
        <w:t xml:space="preserve"> means a dispute resolution procedure </w:t>
      </w:r>
      <w:r w:rsidR="00E03556" w:rsidRPr="0070317C">
        <w:rPr>
          <w:bCs/>
          <w:iCs/>
        </w:rPr>
        <w:t xml:space="preserve">authorised </w:t>
      </w:r>
      <w:r w:rsidRPr="0070317C">
        <w:rPr>
          <w:bCs/>
          <w:iCs/>
        </w:rPr>
        <w:t xml:space="preserve">under </w:t>
      </w:r>
      <w:r w:rsidR="005E0042" w:rsidRPr="0070317C">
        <w:t xml:space="preserve">the </w:t>
      </w:r>
      <w:hyperlink r:id="rId23" w:tooltip="Act 1991 No 131 (Cwlth)" w:history="1">
        <w:r w:rsidR="009F5F26" w:rsidRPr="0070317C">
          <w:rPr>
            <w:rStyle w:val="charCitHyperlinkItal"/>
          </w:rPr>
          <w:t>Australian National University Act 1991</w:t>
        </w:r>
      </w:hyperlink>
      <w:r w:rsidR="00E0160D" w:rsidRPr="0070317C">
        <w:t xml:space="preserve"> (Cwlth) or the </w:t>
      </w:r>
      <w:hyperlink r:id="rId24" w:tooltip="A1989-179" w:history="1">
        <w:r w:rsidR="009F5F26" w:rsidRPr="0070317C">
          <w:rPr>
            <w:rStyle w:val="charCitHyperlinkItal"/>
          </w:rPr>
          <w:t>University of Canberra Act 1989</w:t>
        </w:r>
      </w:hyperlink>
      <w:r w:rsidR="00E0160D" w:rsidRPr="0070317C">
        <w:t xml:space="preserve">. </w:t>
      </w:r>
      <w:r w:rsidRPr="0070317C">
        <w:t xml:space="preserve"> </w:t>
      </w:r>
    </w:p>
    <w:p w14:paraId="528E57B7" w14:textId="77777777" w:rsidR="007F2237" w:rsidRPr="0070317C" w:rsidRDefault="0070317C" w:rsidP="00D36C34">
      <w:pPr>
        <w:pStyle w:val="AH5Sec"/>
        <w:shd w:val="pct25" w:color="auto" w:fill="auto"/>
      </w:pPr>
      <w:bookmarkStart w:id="37" w:name="_Toc32321208"/>
      <w:r w:rsidRPr="0070317C">
        <w:rPr>
          <w:rStyle w:val="CharSectNo"/>
        </w:rPr>
        <w:lastRenderedPageBreak/>
        <w:t>32</w:t>
      </w:r>
      <w:r w:rsidRPr="0070317C">
        <w:tab/>
      </w:r>
      <w:r w:rsidR="007F2237" w:rsidRPr="0070317C">
        <w:t>Section 74</w:t>
      </w:r>
      <w:bookmarkEnd w:id="37"/>
    </w:p>
    <w:p w14:paraId="39C7DDCC" w14:textId="77777777" w:rsidR="00B613F1" w:rsidRPr="0070317C" w:rsidRDefault="000016EA" w:rsidP="00D36C34">
      <w:pPr>
        <w:pStyle w:val="direction"/>
      </w:pPr>
      <w:r w:rsidRPr="0070317C">
        <w:t>substitute</w:t>
      </w:r>
    </w:p>
    <w:p w14:paraId="4394BE8A" w14:textId="77777777" w:rsidR="00B613F1" w:rsidRPr="0070317C" w:rsidRDefault="00B613F1" w:rsidP="00D36C34">
      <w:pPr>
        <w:pStyle w:val="IH5Sec"/>
      </w:pPr>
      <w:r w:rsidRPr="0070317C">
        <w:t>74</w:t>
      </w:r>
      <w:r w:rsidRPr="0070317C">
        <w:tab/>
      </w:r>
      <w:r w:rsidR="00FF7BCE" w:rsidRPr="0070317C">
        <w:t xml:space="preserve">Other options for </w:t>
      </w:r>
      <w:r w:rsidR="00B23E93" w:rsidRPr="0070317C">
        <w:t>dispute resolution</w:t>
      </w:r>
      <w:r w:rsidRPr="0070317C">
        <w:t xml:space="preserve"> </w:t>
      </w:r>
    </w:p>
    <w:p w14:paraId="3C5E8F65" w14:textId="4500FD01" w:rsidR="007F2237" w:rsidRPr="0070317C" w:rsidRDefault="00B613F1" w:rsidP="00D36C34">
      <w:pPr>
        <w:pStyle w:val="Amainreturn"/>
        <w:keepNext/>
      </w:pPr>
      <w:r w:rsidRPr="0070317C">
        <w:t xml:space="preserve">Nothing in this part requires an occupant to attempt to resolve an occupancy dispute under this Act before making a complaint under the </w:t>
      </w:r>
      <w:hyperlink r:id="rId25" w:tooltip="A2005-40" w:history="1">
        <w:r w:rsidR="009F5F26" w:rsidRPr="0070317C">
          <w:rPr>
            <w:rStyle w:val="charCitHyperlinkItal"/>
          </w:rPr>
          <w:t>Human Rights Commission Act 2005</w:t>
        </w:r>
      </w:hyperlink>
      <w:r w:rsidRPr="0070317C">
        <w:t>.</w:t>
      </w:r>
    </w:p>
    <w:p w14:paraId="12AFF8AD" w14:textId="77777777" w:rsidR="00D6399C" w:rsidRPr="0070317C" w:rsidRDefault="0070317C" w:rsidP="0070317C">
      <w:pPr>
        <w:pStyle w:val="AH5Sec"/>
        <w:shd w:val="pct25" w:color="auto" w:fill="auto"/>
      </w:pPr>
      <w:bookmarkStart w:id="38" w:name="_Toc32321209"/>
      <w:r w:rsidRPr="0070317C">
        <w:rPr>
          <w:rStyle w:val="CharSectNo"/>
        </w:rPr>
        <w:t>33</w:t>
      </w:r>
      <w:r w:rsidRPr="0070317C">
        <w:tab/>
      </w:r>
      <w:r w:rsidR="00D6399C" w:rsidRPr="0070317C">
        <w:t>Jurisdiction of ACAT under this Act etc</w:t>
      </w:r>
      <w:r w:rsidR="00D6399C" w:rsidRPr="0070317C">
        <w:br/>
        <w:t xml:space="preserve">Section 76 </w:t>
      </w:r>
      <w:r w:rsidR="000016EA" w:rsidRPr="0070317C">
        <w:t xml:space="preserve">(1) </w:t>
      </w:r>
      <w:r w:rsidR="00D6399C" w:rsidRPr="0070317C">
        <w:t>(c)</w:t>
      </w:r>
      <w:r w:rsidR="000016EA" w:rsidRPr="0070317C">
        <w:t>, except note</w:t>
      </w:r>
      <w:bookmarkEnd w:id="38"/>
    </w:p>
    <w:p w14:paraId="03E3B64E" w14:textId="77777777" w:rsidR="00D6399C" w:rsidRPr="0070317C" w:rsidRDefault="00D6399C" w:rsidP="00D6399C">
      <w:pPr>
        <w:pStyle w:val="direction"/>
      </w:pPr>
      <w:r w:rsidRPr="0070317C">
        <w:t>substitute</w:t>
      </w:r>
    </w:p>
    <w:p w14:paraId="51D57D51" w14:textId="77777777" w:rsidR="00580540" w:rsidRPr="0070317C" w:rsidRDefault="00D6399C" w:rsidP="00A8271A">
      <w:pPr>
        <w:pStyle w:val="Ipara"/>
      </w:pPr>
      <w:r w:rsidRPr="0070317C">
        <w:tab/>
        <w:t>(c)</w:t>
      </w:r>
      <w:r w:rsidRPr="0070317C">
        <w:tab/>
        <w:t xml:space="preserve">the </w:t>
      </w:r>
      <w:r w:rsidR="00B613F1" w:rsidRPr="0070317C">
        <w:t>occupancy principles</w:t>
      </w:r>
      <w:r w:rsidR="00580540" w:rsidRPr="0070317C">
        <w:t>.</w:t>
      </w:r>
    </w:p>
    <w:p w14:paraId="063561FF" w14:textId="77777777" w:rsidR="00B613F1" w:rsidRPr="0070317C" w:rsidRDefault="0070317C" w:rsidP="0070317C">
      <w:pPr>
        <w:pStyle w:val="AH5Sec"/>
        <w:shd w:val="pct25" w:color="auto" w:fill="auto"/>
      </w:pPr>
      <w:bookmarkStart w:id="39" w:name="_Toc32321210"/>
      <w:r w:rsidRPr="0070317C">
        <w:rPr>
          <w:rStyle w:val="CharSectNo"/>
        </w:rPr>
        <w:t>34</w:t>
      </w:r>
      <w:r w:rsidRPr="0070317C">
        <w:tab/>
      </w:r>
      <w:r w:rsidR="00FA6FB3" w:rsidRPr="0070317C">
        <w:t>Extended jurisdiction of ACAT with agreement of parties</w:t>
      </w:r>
      <w:r w:rsidR="00FA6FB3" w:rsidRPr="0070317C">
        <w:br/>
        <w:t>Section 78 (1) (a) (iii)</w:t>
      </w:r>
      <w:r w:rsidR="000016EA" w:rsidRPr="0070317C">
        <w:t>, except note</w:t>
      </w:r>
      <w:bookmarkEnd w:id="39"/>
    </w:p>
    <w:p w14:paraId="48FD37BF" w14:textId="77777777" w:rsidR="00FA6FB3" w:rsidRPr="0070317C" w:rsidRDefault="00FA6FB3" w:rsidP="00FA6FB3">
      <w:pPr>
        <w:pStyle w:val="direction"/>
      </w:pPr>
      <w:r w:rsidRPr="0070317C">
        <w:t>substitute</w:t>
      </w:r>
    </w:p>
    <w:p w14:paraId="3550787F" w14:textId="77777777" w:rsidR="00FA6FB3" w:rsidRPr="0070317C" w:rsidRDefault="00FA6FB3" w:rsidP="00A8271A">
      <w:pPr>
        <w:pStyle w:val="Isubpara"/>
      </w:pPr>
      <w:r w:rsidRPr="0070317C">
        <w:tab/>
        <w:t>(iii)</w:t>
      </w:r>
      <w:r w:rsidRPr="0070317C">
        <w:tab/>
        <w:t>the occupancy principles</w:t>
      </w:r>
      <w:r w:rsidR="000016EA" w:rsidRPr="0070317C">
        <w:t>; and</w:t>
      </w:r>
    </w:p>
    <w:p w14:paraId="6B2B7F5E" w14:textId="77777777" w:rsidR="003C3B6A" w:rsidRPr="0070317C" w:rsidRDefault="0070317C" w:rsidP="0070317C">
      <w:pPr>
        <w:pStyle w:val="AH5Sec"/>
        <w:shd w:val="pct25" w:color="auto" w:fill="auto"/>
      </w:pPr>
      <w:bookmarkStart w:id="40" w:name="_Toc32321211"/>
      <w:r w:rsidRPr="0070317C">
        <w:rPr>
          <w:rStyle w:val="CharSectNo"/>
        </w:rPr>
        <w:t>35</w:t>
      </w:r>
      <w:r w:rsidRPr="0070317C">
        <w:tab/>
      </w:r>
      <w:r w:rsidR="00FA7813" w:rsidRPr="0070317C">
        <w:t>Orders by ACAT</w:t>
      </w:r>
      <w:r w:rsidR="003C3B6A" w:rsidRPr="0070317C">
        <w:br/>
        <w:t>Section 83 (g)</w:t>
      </w:r>
      <w:bookmarkEnd w:id="40"/>
    </w:p>
    <w:p w14:paraId="7EC2342D" w14:textId="77777777" w:rsidR="003C3B6A" w:rsidRPr="0070317C" w:rsidRDefault="003C3B6A" w:rsidP="003C3B6A">
      <w:pPr>
        <w:pStyle w:val="direction"/>
      </w:pPr>
      <w:r w:rsidRPr="0070317C">
        <w:t>substitute</w:t>
      </w:r>
    </w:p>
    <w:p w14:paraId="7B58AC70" w14:textId="77777777" w:rsidR="000D14D6" w:rsidRPr="0070317C" w:rsidRDefault="003C3B6A" w:rsidP="003C3B6A">
      <w:pPr>
        <w:pStyle w:val="Ipara"/>
      </w:pPr>
      <w:r w:rsidRPr="0070317C">
        <w:tab/>
        <w:t>(g)</w:t>
      </w:r>
      <w:r w:rsidRPr="0070317C">
        <w:tab/>
        <w:t>an order requiring payment of all or part of</w:t>
      </w:r>
      <w:r w:rsidR="000D14D6" w:rsidRPr="0070317C">
        <w:t xml:space="preserve"> the following into the ACAT until the ACAT orders otherwise:</w:t>
      </w:r>
    </w:p>
    <w:p w14:paraId="13DC3BE7" w14:textId="77777777" w:rsidR="000D14D6" w:rsidRPr="0070317C" w:rsidRDefault="000D14D6" w:rsidP="000D14D6">
      <w:pPr>
        <w:pStyle w:val="Isubpara"/>
      </w:pPr>
      <w:r w:rsidRPr="0070317C">
        <w:tab/>
        <w:t>(i)</w:t>
      </w:r>
      <w:r w:rsidRPr="0070317C">
        <w:tab/>
      </w:r>
      <w:r w:rsidR="003C3B6A" w:rsidRPr="0070317C">
        <w:t>the rent payable under the standard residential tenancy terms</w:t>
      </w:r>
      <w:r w:rsidRPr="0070317C">
        <w:t>;</w:t>
      </w:r>
      <w:r w:rsidR="003C3B6A" w:rsidRPr="0070317C">
        <w:t xml:space="preserve"> or </w:t>
      </w:r>
    </w:p>
    <w:p w14:paraId="02F2C019" w14:textId="77777777" w:rsidR="003C3B6A" w:rsidRPr="0070317C" w:rsidRDefault="000D14D6" w:rsidP="000D14D6">
      <w:pPr>
        <w:pStyle w:val="Isubpara"/>
      </w:pPr>
      <w:r w:rsidRPr="0070317C">
        <w:tab/>
        <w:t>(ii)</w:t>
      </w:r>
      <w:r w:rsidRPr="0070317C">
        <w:tab/>
        <w:t>an occupancy fee payable under the occupancy agreement;</w:t>
      </w:r>
    </w:p>
    <w:p w14:paraId="35C034E2" w14:textId="77777777" w:rsidR="00FA7813" w:rsidRPr="0070317C" w:rsidRDefault="0070317C" w:rsidP="00D36C34">
      <w:pPr>
        <w:pStyle w:val="AH5Sec"/>
        <w:shd w:val="pct25" w:color="auto" w:fill="auto"/>
      </w:pPr>
      <w:bookmarkStart w:id="41" w:name="_Toc32321212"/>
      <w:r w:rsidRPr="0070317C">
        <w:rPr>
          <w:rStyle w:val="CharSectNo"/>
        </w:rPr>
        <w:lastRenderedPageBreak/>
        <w:t>36</w:t>
      </w:r>
      <w:r w:rsidRPr="0070317C">
        <w:tab/>
      </w:r>
      <w:r w:rsidR="00FA7813" w:rsidRPr="0070317C">
        <w:t>Section 83 (j)</w:t>
      </w:r>
      <w:bookmarkEnd w:id="41"/>
    </w:p>
    <w:p w14:paraId="29B9859E" w14:textId="77777777" w:rsidR="00FA7813" w:rsidRPr="0070317C" w:rsidRDefault="00FA7813" w:rsidP="00D36C34">
      <w:pPr>
        <w:pStyle w:val="direction"/>
      </w:pPr>
      <w:r w:rsidRPr="0070317C">
        <w:t>substitute</w:t>
      </w:r>
    </w:p>
    <w:p w14:paraId="4D47BBC4" w14:textId="77777777" w:rsidR="00FA7813" w:rsidRPr="0070317C" w:rsidRDefault="00FA7813" w:rsidP="00D36C34">
      <w:pPr>
        <w:pStyle w:val="Ipara"/>
        <w:keepNext/>
      </w:pPr>
      <w:r w:rsidRPr="0070317C">
        <w:tab/>
        <w:t>(j)</w:t>
      </w:r>
      <w:r w:rsidRPr="0070317C">
        <w:tab/>
        <w:t>an order—</w:t>
      </w:r>
    </w:p>
    <w:p w14:paraId="53FB1EFA" w14:textId="77777777" w:rsidR="00FA7813" w:rsidRPr="0070317C" w:rsidRDefault="00FA7813" w:rsidP="00FA7813">
      <w:pPr>
        <w:pStyle w:val="Isubpara"/>
      </w:pPr>
      <w:r w:rsidRPr="0070317C">
        <w:tab/>
        <w:t>(i)</w:t>
      </w:r>
      <w:r w:rsidRPr="0070317C">
        <w:tab/>
      </w:r>
      <w:r w:rsidR="00C40C14" w:rsidRPr="0070317C">
        <w:t xml:space="preserve">declaring the premises </w:t>
      </w:r>
      <w:r w:rsidRPr="0070317C">
        <w:t>abandoned; and</w:t>
      </w:r>
    </w:p>
    <w:p w14:paraId="63E02F51" w14:textId="77777777" w:rsidR="00FA7813" w:rsidRPr="0070317C" w:rsidRDefault="00FA7813" w:rsidP="00FA7813">
      <w:pPr>
        <w:pStyle w:val="Isubpara"/>
      </w:pPr>
      <w:r w:rsidRPr="0070317C">
        <w:tab/>
        <w:t>(ii)</w:t>
      </w:r>
      <w:r w:rsidRPr="0070317C">
        <w:tab/>
      </w:r>
      <w:r w:rsidR="00C40C14" w:rsidRPr="0070317C">
        <w:t xml:space="preserve">if the abandoned premises are a </w:t>
      </w:r>
      <w:r w:rsidR="00C40C14" w:rsidRPr="0070317C">
        <w:rPr>
          <w:lang w:eastAsia="en-AU"/>
        </w:rPr>
        <w:t xml:space="preserve">manufactured home </w:t>
      </w:r>
      <w:r w:rsidR="000016EA" w:rsidRPr="0070317C">
        <w:rPr>
          <w:lang w:eastAsia="en-AU"/>
        </w:rPr>
        <w:t>or</w:t>
      </w:r>
      <w:r w:rsidR="00C40C14" w:rsidRPr="0070317C">
        <w:rPr>
          <w:lang w:eastAsia="en-AU"/>
        </w:rPr>
        <w:t xml:space="preserve"> mobile home in a residential park and the ACAT considers that the premises are not fi</w:t>
      </w:r>
      <w:r w:rsidR="000F5DA3" w:rsidRPr="0070317C">
        <w:rPr>
          <w:lang w:eastAsia="en-AU"/>
        </w:rPr>
        <w:t>t</w:t>
      </w:r>
      <w:r w:rsidR="00C40C14" w:rsidRPr="0070317C">
        <w:rPr>
          <w:lang w:eastAsia="en-AU"/>
        </w:rPr>
        <w:t xml:space="preserve"> for human habitation</w:t>
      </w:r>
      <w:r w:rsidR="00C40C14" w:rsidRPr="0070317C">
        <w:t>—</w:t>
      </w:r>
      <w:r w:rsidR="000F5DA3" w:rsidRPr="0070317C">
        <w:t>directing the operator of the park how the premises may be disposed</w:t>
      </w:r>
      <w:r w:rsidR="003E4AAB" w:rsidRPr="0070317C">
        <w:t xml:space="preserve"> of</w:t>
      </w:r>
      <w:r w:rsidR="000F5DA3" w:rsidRPr="0070317C">
        <w:t>;</w:t>
      </w:r>
    </w:p>
    <w:p w14:paraId="2A840FBE" w14:textId="51F6F3B1" w:rsidR="00555500" w:rsidRPr="0070317C" w:rsidRDefault="003E4AAB" w:rsidP="003E4AAB">
      <w:pPr>
        <w:pStyle w:val="aNotepar"/>
        <w:rPr>
          <w:lang w:eastAsia="en-AU"/>
        </w:rPr>
      </w:pPr>
      <w:r w:rsidRPr="0070317C">
        <w:rPr>
          <w:rStyle w:val="charItals"/>
        </w:rPr>
        <w:t>Note</w:t>
      </w:r>
      <w:r w:rsidRPr="0070317C">
        <w:rPr>
          <w:rStyle w:val="charItals"/>
        </w:rPr>
        <w:tab/>
      </w:r>
      <w:r w:rsidR="00555500" w:rsidRPr="0070317C">
        <w:t xml:space="preserve">An operator of a residential park in which a </w:t>
      </w:r>
      <w:r w:rsidR="00555500" w:rsidRPr="0070317C">
        <w:rPr>
          <w:lang w:eastAsia="en-AU"/>
        </w:rPr>
        <w:t xml:space="preserve">manufactured home </w:t>
      </w:r>
      <w:r w:rsidRPr="0070317C">
        <w:rPr>
          <w:lang w:eastAsia="en-AU"/>
        </w:rPr>
        <w:t>or</w:t>
      </w:r>
      <w:r w:rsidR="00555500" w:rsidRPr="0070317C">
        <w:rPr>
          <w:lang w:eastAsia="en-AU"/>
        </w:rPr>
        <w:t xml:space="preserve"> mobile home is abandoned can only dispose of the home </w:t>
      </w:r>
      <w:r w:rsidR="00265B6F" w:rsidRPr="0070317C">
        <w:rPr>
          <w:lang w:eastAsia="en-AU"/>
        </w:rPr>
        <w:t xml:space="preserve">under the </w:t>
      </w:r>
      <w:hyperlink r:id="rId26" w:tooltip="A1996-86" w:history="1">
        <w:r w:rsidR="009F5F26" w:rsidRPr="0070317C">
          <w:rPr>
            <w:rStyle w:val="charCitHyperlinkItal"/>
          </w:rPr>
          <w:t>Uncollected Goods Act 1996</w:t>
        </w:r>
      </w:hyperlink>
      <w:r w:rsidR="005407BA" w:rsidRPr="0070317C">
        <w:rPr>
          <w:lang w:eastAsia="en-AU"/>
        </w:rPr>
        <w:t>, s 24A</w:t>
      </w:r>
      <w:r w:rsidR="00265B6F" w:rsidRPr="0070317C">
        <w:rPr>
          <w:lang w:eastAsia="en-AU"/>
        </w:rPr>
        <w:t xml:space="preserve"> if the ACAT has made an o</w:t>
      </w:r>
      <w:r w:rsidR="005407BA" w:rsidRPr="0070317C">
        <w:rPr>
          <w:lang w:eastAsia="en-AU"/>
        </w:rPr>
        <w:t>r</w:t>
      </w:r>
      <w:r w:rsidR="00265B6F" w:rsidRPr="0070317C">
        <w:rPr>
          <w:lang w:eastAsia="en-AU"/>
        </w:rPr>
        <w:t>der under par (j).</w:t>
      </w:r>
    </w:p>
    <w:p w14:paraId="275CB348" w14:textId="77777777" w:rsidR="00AF4AD6" w:rsidRPr="0070317C" w:rsidRDefault="0070317C" w:rsidP="0070317C">
      <w:pPr>
        <w:pStyle w:val="AH5Sec"/>
        <w:shd w:val="pct25" w:color="auto" w:fill="auto"/>
      </w:pPr>
      <w:bookmarkStart w:id="42" w:name="_Toc32321213"/>
      <w:r w:rsidRPr="0070317C">
        <w:rPr>
          <w:rStyle w:val="CharSectNo"/>
        </w:rPr>
        <w:t>37</w:t>
      </w:r>
      <w:r w:rsidRPr="0070317C">
        <w:tab/>
      </w:r>
      <w:r w:rsidR="00AF4AD6" w:rsidRPr="0070317C">
        <w:t>Section 127</w:t>
      </w:r>
      <w:bookmarkEnd w:id="42"/>
    </w:p>
    <w:p w14:paraId="2A56A108" w14:textId="77777777" w:rsidR="00AF4AD6" w:rsidRPr="0070317C" w:rsidRDefault="00AF4AD6" w:rsidP="00AF4AD6">
      <w:pPr>
        <w:pStyle w:val="direction"/>
      </w:pPr>
      <w:r w:rsidRPr="0070317C">
        <w:t>substitute</w:t>
      </w:r>
    </w:p>
    <w:p w14:paraId="586C7B82" w14:textId="77777777" w:rsidR="00AF4AD6" w:rsidRPr="0070317C" w:rsidRDefault="00AF4AD6" w:rsidP="00AF4AD6">
      <w:pPr>
        <w:pStyle w:val="IH5Sec"/>
      </w:pPr>
      <w:r w:rsidRPr="0070317C">
        <w:t>127</w:t>
      </w:r>
      <w:r w:rsidRPr="0070317C">
        <w:tab/>
        <w:t>Death of co-tenant</w:t>
      </w:r>
    </w:p>
    <w:p w14:paraId="54CB0EA1" w14:textId="77777777" w:rsidR="00AF4AD6" w:rsidRPr="0070317C" w:rsidRDefault="00AF4AD6" w:rsidP="003E4AAB">
      <w:pPr>
        <w:pStyle w:val="Amainreturn"/>
      </w:pPr>
      <w:r w:rsidRPr="0070317C">
        <w:t>If 1 of 2 or more co-tenants under a residential tenancy agreement dies, the agreement continues to operate—</w:t>
      </w:r>
    </w:p>
    <w:p w14:paraId="0CFD1F9E" w14:textId="77777777" w:rsidR="00AF4AD6" w:rsidRPr="0070317C" w:rsidRDefault="00AF4AD6" w:rsidP="00AF4AD6">
      <w:pPr>
        <w:pStyle w:val="Ipara"/>
      </w:pPr>
      <w:r w:rsidRPr="0070317C">
        <w:tab/>
        <w:t>(a)</w:t>
      </w:r>
      <w:r w:rsidRPr="0070317C">
        <w:tab/>
        <w:t>with the remaining co-tenant as the sole tenant; or</w:t>
      </w:r>
    </w:p>
    <w:p w14:paraId="65B29DCE" w14:textId="77777777" w:rsidR="00AF4AD6" w:rsidRPr="0070317C" w:rsidRDefault="00AF4AD6" w:rsidP="00AF4AD6">
      <w:pPr>
        <w:pStyle w:val="Ipara"/>
      </w:pPr>
      <w:r w:rsidRPr="0070317C">
        <w:tab/>
        <w:t>(b)</w:t>
      </w:r>
      <w:r w:rsidRPr="0070317C">
        <w:tab/>
        <w:t>if there are 2 or more remaining co-tenants—with the remaining co-tenants.</w:t>
      </w:r>
    </w:p>
    <w:p w14:paraId="105CC487" w14:textId="77777777" w:rsidR="00AF4AD6" w:rsidRPr="0070317C" w:rsidRDefault="0070317C" w:rsidP="00D36C34">
      <w:pPr>
        <w:pStyle w:val="AH5Sec"/>
        <w:shd w:val="pct25" w:color="auto" w:fill="auto"/>
      </w:pPr>
      <w:bookmarkStart w:id="43" w:name="_Toc32321214"/>
      <w:r w:rsidRPr="0070317C">
        <w:rPr>
          <w:rStyle w:val="CharSectNo"/>
        </w:rPr>
        <w:lastRenderedPageBreak/>
        <w:t>38</w:t>
      </w:r>
      <w:r w:rsidRPr="0070317C">
        <w:tab/>
      </w:r>
      <w:r w:rsidR="00AF4AD6" w:rsidRPr="0070317C">
        <w:t>Section 128</w:t>
      </w:r>
      <w:bookmarkEnd w:id="43"/>
    </w:p>
    <w:p w14:paraId="51EC169B" w14:textId="77777777" w:rsidR="00AF4AD6" w:rsidRPr="0070317C" w:rsidRDefault="00AF4AD6" w:rsidP="00D36C34">
      <w:pPr>
        <w:pStyle w:val="direction"/>
      </w:pPr>
      <w:r w:rsidRPr="0070317C">
        <w:t>substitute</w:t>
      </w:r>
    </w:p>
    <w:p w14:paraId="692C0E8D" w14:textId="77777777" w:rsidR="00AF4AD6" w:rsidRPr="0070317C" w:rsidRDefault="00AF4AD6" w:rsidP="00D36C34">
      <w:pPr>
        <w:pStyle w:val="IH5Sec"/>
      </w:pPr>
      <w:r w:rsidRPr="0070317C">
        <w:t>128</w:t>
      </w:r>
      <w:r w:rsidRPr="0070317C">
        <w:tab/>
        <w:t>Purported co-tenancy, assignment or subletting</w:t>
      </w:r>
    </w:p>
    <w:p w14:paraId="5A3713AF" w14:textId="77777777" w:rsidR="00AF4AD6" w:rsidRPr="0070317C" w:rsidRDefault="00AF4AD6" w:rsidP="00D36C34">
      <w:pPr>
        <w:pStyle w:val="IMain"/>
        <w:keepNext/>
      </w:pPr>
      <w:r w:rsidRPr="0070317C">
        <w:tab/>
        <w:t>(1)</w:t>
      </w:r>
      <w:r w:rsidRPr="0070317C">
        <w:tab/>
        <w:t>This section applies if, in contravention of th</w:t>
      </w:r>
      <w:r w:rsidR="009F7951" w:rsidRPr="0070317C">
        <w:t>is</w:t>
      </w:r>
      <w:r w:rsidRPr="0070317C">
        <w:t xml:space="preserve"> </w:t>
      </w:r>
      <w:r w:rsidR="00B91967" w:rsidRPr="0070317C">
        <w:t>Act</w:t>
      </w:r>
      <w:r w:rsidRPr="0070317C">
        <w:t>, a tenant under a residential tenancy agreement for premises purports to—</w:t>
      </w:r>
    </w:p>
    <w:p w14:paraId="0DFAFFF6" w14:textId="77777777" w:rsidR="00AF4AD6" w:rsidRPr="0070317C" w:rsidRDefault="00AF4AD6" w:rsidP="00AF4AD6">
      <w:pPr>
        <w:pStyle w:val="Ipara"/>
      </w:pPr>
      <w:r w:rsidRPr="0070317C">
        <w:tab/>
        <w:t>(a)</w:t>
      </w:r>
      <w:r w:rsidRPr="0070317C">
        <w:tab/>
      </w:r>
      <w:r w:rsidR="00130E9C" w:rsidRPr="0070317C">
        <w:t>consent to</w:t>
      </w:r>
      <w:r w:rsidRPr="0070317C">
        <w:t xml:space="preserve"> a person becom</w:t>
      </w:r>
      <w:r w:rsidR="00130E9C" w:rsidRPr="0070317C">
        <w:t xml:space="preserve">ing a </w:t>
      </w:r>
      <w:r w:rsidRPr="0070317C">
        <w:t>co-tenant under the agreement; or</w:t>
      </w:r>
    </w:p>
    <w:p w14:paraId="713A3C9B" w14:textId="77777777" w:rsidR="00AF4AD6" w:rsidRPr="0070317C" w:rsidRDefault="00AF4AD6" w:rsidP="00AF4AD6">
      <w:pPr>
        <w:pStyle w:val="Ipara"/>
      </w:pPr>
      <w:r w:rsidRPr="0070317C">
        <w:tab/>
        <w:t>(b)</w:t>
      </w:r>
      <w:r w:rsidRPr="0070317C">
        <w:tab/>
        <w:t>assign the tenant’s interest under the agreement; or</w:t>
      </w:r>
    </w:p>
    <w:p w14:paraId="62340802" w14:textId="77777777" w:rsidR="00AF4AD6" w:rsidRPr="0070317C" w:rsidRDefault="00AF4AD6" w:rsidP="00AF4AD6">
      <w:pPr>
        <w:pStyle w:val="Ipara"/>
      </w:pPr>
      <w:r w:rsidRPr="0070317C">
        <w:tab/>
        <w:t>(c)</w:t>
      </w:r>
      <w:r w:rsidRPr="0070317C">
        <w:tab/>
        <w:t>sublet the premises.</w:t>
      </w:r>
    </w:p>
    <w:p w14:paraId="01241EC1" w14:textId="77777777" w:rsidR="00AF4AD6" w:rsidRPr="0070317C" w:rsidRDefault="00AF4AD6" w:rsidP="00AF4AD6">
      <w:pPr>
        <w:pStyle w:val="IMain"/>
      </w:pPr>
      <w:r w:rsidRPr="0070317C">
        <w:tab/>
        <w:t>(2)</w:t>
      </w:r>
      <w:r w:rsidRPr="0070317C">
        <w:tab/>
        <w:t>The purported co-tenancy, assignment or subletting is unenforceable and the person living in premises under the purported co-tenancy, assignment or subletting, does so as a licensee only.</w:t>
      </w:r>
    </w:p>
    <w:p w14:paraId="61BC8669" w14:textId="77777777" w:rsidR="00AF4AD6" w:rsidRPr="0070317C" w:rsidRDefault="00AF4AD6" w:rsidP="00AF4AD6">
      <w:pPr>
        <w:pStyle w:val="IMain"/>
      </w:pPr>
      <w:r w:rsidRPr="0070317C">
        <w:tab/>
        <w:t>(3)</w:t>
      </w:r>
      <w:r w:rsidRPr="0070317C">
        <w:tab/>
        <w:t>Subsection (2) does not apply to a co-tenancy, assignment or subletting of premises in accordance with a term of the residential tenancy agreement endorsed by the ACAT.</w:t>
      </w:r>
    </w:p>
    <w:p w14:paraId="187D621C" w14:textId="77777777" w:rsidR="00AF4AD6" w:rsidRPr="0070317C" w:rsidRDefault="0070317C" w:rsidP="0070317C">
      <w:pPr>
        <w:pStyle w:val="AH5Sec"/>
        <w:shd w:val="pct25" w:color="auto" w:fill="auto"/>
      </w:pPr>
      <w:bookmarkStart w:id="44" w:name="_Toc32321215"/>
      <w:r w:rsidRPr="0070317C">
        <w:rPr>
          <w:rStyle w:val="CharSectNo"/>
        </w:rPr>
        <w:t>39</w:t>
      </w:r>
      <w:r w:rsidRPr="0070317C">
        <w:tab/>
      </w:r>
      <w:r w:rsidR="003E4AAB" w:rsidRPr="0070317C">
        <w:t>Standard residential tenancy terms</w:t>
      </w:r>
      <w:r w:rsidR="003E4AAB" w:rsidRPr="0070317C">
        <w:br/>
      </w:r>
      <w:r w:rsidR="00AF4AD6" w:rsidRPr="0070317C">
        <w:t>Schedule 1, new clause 24 (aa)</w:t>
      </w:r>
      <w:bookmarkEnd w:id="44"/>
    </w:p>
    <w:p w14:paraId="1D2983B2" w14:textId="77777777" w:rsidR="00AF4AD6" w:rsidRPr="0070317C" w:rsidRDefault="00AF4AD6" w:rsidP="00AF4AD6">
      <w:pPr>
        <w:pStyle w:val="direction"/>
      </w:pPr>
      <w:r w:rsidRPr="0070317C">
        <w:t>insert</w:t>
      </w:r>
    </w:p>
    <w:p w14:paraId="5CAE0DFE" w14:textId="77777777" w:rsidR="00130E9C" w:rsidRPr="0070317C" w:rsidRDefault="00AF4AD6" w:rsidP="00AF4AD6">
      <w:pPr>
        <w:tabs>
          <w:tab w:val="right" w:pos="1843"/>
          <w:tab w:val="left" w:pos="2127"/>
        </w:tabs>
        <w:spacing w:before="140"/>
        <w:ind w:left="2098" w:hanging="2098"/>
        <w:jc w:val="both"/>
      </w:pPr>
      <w:r w:rsidRPr="0070317C">
        <w:tab/>
        <w:t>(aa)</w:t>
      </w:r>
      <w:r w:rsidRPr="0070317C">
        <w:tab/>
        <w:t>consenting to</w:t>
      </w:r>
      <w:r w:rsidR="00130E9C" w:rsidRPr="0070317C">
        <w:t>—</w:t>
      </w:r>
    </w:p>
    <w:p w14:paraId="1C5BAA4F" w14:textId="77777777" w:rsidR="00130E9C" w:rsidRPr="0070317C" w:rsidRDefault="00130E9C" w:rsidP="00F4335D">
      <w:pPr>
        <w:tabs>
          <w:tab w:val="right" w:pos="2410"/>
          <w:tab w:val="left" w:pos="2552"/>
        </w:tabs>
        <w:spacing w:before="140"/>
        <w:ind w:left="2552" w:hanging="2552"/>
        <w:jc w:val="both"/>
      </w:pPr>
      <w:r w:rsidRPr="0070317C">
        <w:tab/>
        <w:t>(i)</w:t>
      </w:r>
      <w:r w:rsidRPr="0070317C">
        <w:tab/>
      </w:r>
      <w:r w:rsidR="00AF4AD6" w:rsidRPr="0070317C">
        <w:t>a person becoming a co-tenant</w:t>
      </w:r>
      <w:r w:rsidRPr="0070317C">
        <w:t>;</w:t>
      </w:r>
      <w:r w:rsidR="00AF4AD6" w:rsidRPr="0070317C">
        <w:t xml:space="preserve"> or</w:t>
      </w:r>
    </w:p>
    <w:p w14:paraId="03A154CC" w14:textId="77777777" w:rsidR="00AF4AD6" w:rsidRPr="0070317C" w:rsidRDefault="00130E9C" w:rsidP="00F4335D">
      <w:pPr>
        <w:tabs>
          <w:tab w:val="right" w:pos="2410"/>
          <w:tab w:val="left" w:pos="2552"/>
        </w:tabs>
        <w:spacing w:before="140"/>
        <w:ind w:left="2552" w:hanging="2552"/>
        <w:jc w:val="both"/>
      </w:pPr>
      <w:r w:rsidRPr="0070317C">
        <w:tab/>
        <w:t>(ii)</w:t>
      </w:r>
      <w:r w:rsidRPr="0070317C">
        <w:tab/>
      </w:r>
      <w:r w:rsidR="00AF4AD6" w:rsidRPr="0070317C">
        <w:t>a co</w:t>
      </w:r>
      <w:r w:rsidR="00AF4AD6" w:rsidRPr="0070317C">
        <w:noBreakHyphen/>
        <w:t xml:space="preserve">tenant </w:t>
      </w:r>
      <w:r w:rsidRPr="0070317C">
        <w:t>stopping being a party to the tenancy agreement</w:t>
      </w:r>
      <w:r w:rsidR="00AF4AD6" w:rsidRPr="0070317C">
        <w:t>;</w:t>
      </w:r>
    </w:p>
    <w:p w14:paraId="5F3EBD25" w14:textId="77777777" w:rsidR="00AF4AD6" w:rsidRPr="0070317C" w:rsidRDefault="0070317C" w:rsidP="0070317C">
      <w:pPr>
        <w:pStyle w:val="AH5Sec"/>
        <w:shd w:val="pct25" w:color="auto" w:fill="auto"/>
      </w:pPr>
      <w:bookmarkStart w:id="45" w:name="_Toc32321216"/>
      <w:r w:rsidRPr="0070317C">
        <w:rPr>
          <w:rStyle w:val="CharSectNo"/>
        </w:rPr>
        <w:lastRenderedPageBreak/>
        <w:t>40</w:t>
      </w:r>
      <w:r w:rsidRPr="0070317C">
        <w:tab/>
      </w:r>
      <w:r w:rsidR="00AF4AD6" w:rsidRPr="0070317C">
        <w:t>Schedule 1, new clauses 72A and 72B</w:t>
      </w:r>
      <w:bookmarkEnd w:id="45"/>
    </w:p>
    <w:p w14:paraId="04EB26A3" w14:textId="77777777" w:rsidR="00AF4AD6" w:rsidRPr="0070317C" w:rsidRDefault="00AF4AD6" w:rsidP="00AF4AD6">
      <w:pPr>
        <w:pStyle w:val="direction"/>
      </w:pPr>
      <w:r w:rsidRPr="0070317C">
        <w:t>insert</w:t>
      </w:r>
    </w:p>
    <w:p w14:paraId="4C35E7CC" w14:textId="77777777" w:rsidR="00AF4AD6" w:rsidRPr="0070317C" w:rsidRDefault="00AF4AD6" w:rsidP="00AF4AD6">
      <w:pPr>
        <w:keepNext/>
        <w:spacing w:before="180"/>
        <w:rPr>
          <w:rFonts w:ascii="Arial" w:hAnsi="Arial"/>
          <w:b/>
        </w:rPr>
      </w:pPr>
      <w:r w:rsidRPr="0070317C">
        <w:rPr>
          <w:rFonts w:ascii="Arial" w:hAnsi="Arial"/>
          <w:b/>
        </w:rPr>
        <w:t>Co-tenant may leave tenancy agreement</w:t>
      </w:r>
    </w:p>
    <w:p w14:paraId="4B0A59DF" w14:textId="77777777" w:rsidR="00AF4AD6" w:rsidRPr="0070317C" w:rsidRDefault="00AF4AD6" w:rsidP="00AF4AD6">
      <w:pPr>
        <w:tabs>
          <w:tab w:val="right" w:pos="1372"/>
          <w:tab w:val="left" w:pos="1568"/>
        </w:tabs>
        <w:spacing w:before="140"/>
        <w:ind w:left="1588" w:hanging="1588"/>
        <w:jc w:val="both"/>
      </w:pPr>
      <w:r w:rsidRPr="0070317C">
        <w:t>72A</w:t>
      </w:r>
      <w:r w:rsidRPr="0070317C">
        <w:tab/>
        <w:t>(1)</w:t>
      </w:r>
      <w:r w:rsidRPr="0070317C">
        <w:tab/>
        <w:t xml:space="preserve">A co-tenant may </w:t>
      </w:r>
      <w:r w:rsidR="00AA34DE" w:rsidRPr="0070317C">
        <w:t>stop being a party to</w:t>
      </w:r>
      <w:r w:rsidRPr="0070317C">
        <w:t xml:space="preserve"> the tenancy agreement—</w:t>
      </w:r>
    </w:p>
    <w:p w14:paraId="672694E7" w14:textId="77777777" w:rsidR="00AF4AD6" w:rsidRPr="0070317C" w:rsidRDefault="00AF4AD6" w:rsidP="00AF4AD6">
      <w:pPr>
        <w:tabs>
          <w:tab w:val="right" w:pos="1843"/>
          <w:tab w:val="left" w:pos="2127"/>
        </w:tabs>
        <w:spacing w:before="140"/>
        <w:ind w:left="2098" w:hanging="2098"/>
        <w:jc w:val="both"/>
      </w:pPr>
      <w:r w:rsidRPr="0070317C">
        <w:tab/>
        <w:t>(a)</w:t>
      </w:r>
      <w:r w:rsidRPr="0070317C">
        <w:tab/>
        <w:t>with the consent of the lessor and each remaining co</w:t>
      </w:r>
      <w:r w:rsidRPr="0070317C">
        <w:noBreakHyphen/>
        <w:t>tenant under the agreement; or</w:t>
      </w:r>
    </w:p>
    <w:p w14:paraId="4E2B5A67" w14:textId="77777777" w:rsidR="00AF4AD6" w:rsidRPr="0070317C" w:rsidRDefault="00AF4AD6" w:rsidP="00AF4AD6">
      <w:pPr>
        <w:tabs>
          <w:tab w:val="right" w:pos="1843"/>
          <w:tab w:val="left" w:pos="2127"/>
        </w:tabs>
        <w:spacing w:before="140"/>
        <w:ind w:left="2098" w:hanging="2098"/>
        <w:jc w:val="both"/>
      </w:pPr>
      <w:r w:rsidRPr="0070317C">
        <w:tab/>
        <w:t>(b)</w:t>
      </w:r>
      <w:r w:rsidRPr="0070317C">
        <w:tab/>
        <w:t>by order of the tribunal under the Residential Tenancies Act, section 35</w:t>
      </w:r>
      <w:r w:rsidR="00382F25" w:rsidRPr="0070317C">
        <w:t>G</w:t>
      </w:r>
      <w:r w:rsidRPr="0070317C">
        <w:t xml:space="preserve"> (1) (a) or (</w:t>
      </w:r>
      <w:r w:rsidR="009F7951" w:rsidRPr="0070317C">
        <w:t>d</w:t>
      </w:r>
      <w:r w:rsidRPr="0070317C">
        <w:t>).</w:t>
      </w:r>
    </w:p>
    <w:p w14:paraId="7037FE40" w14:textId="77777777" w:rsidR="00AF4AD6" w:rsidRPr="0070317C" w:rsidRDefault="00AF4AD6" w:rsidP="00AF4AD6">
      <w:pPr>
        <w:tabs>
          <w:tab w:val="right" w:pos="1372"/>
          <w:tab w:val="left" w:pos="1568"/>
        </w:tabs>
        <w:spacing w:before="140"/>
        <w:ind w:left="1588" w:hanging="1588"/>
        <w:jc w:val="both"/>
      </w:pPr>
      <w:r w:rsidRPr="0070317C">
        <w:tab/>
        <w:t>(2)</w:t>
      </w:r>
      <w:r w:rsidRPr="0070317C">
        <w:tab/>
        <w:t>The co-tenant must seek the consent of the lessor and each remaining co-tenant—</w:t>
      </w:r>
    </w:p>
    <w:p w14:paraId="2F21DF7A" w14:textId="77777777" w:rsidR="00AF4AD6" w:rsidRPr="0070317C" w:rsidRDefault="00AF4AD6" w:rsidP="00AF4AD6">
      <w:pPr>
        <w:tabs>
          <w:tab w:val="right" w:pos="1843"/>
          <w:tab w:val="left" w:pos="2127"/>
        </w:tabs>
        <w:spacing w:before="140"/>
        <w:ind w:left="2098" w:hanging="2098"/>
        <w:jc w:val="both"/>
      </w:pPr>
      <w:r w:rsidRPr="0070317C">
        <w:tab/>
        <w:t>(a)</w:t>
      </w:r>
      <w:r w:rsidRPr="0070317C">
        <w:tab/>
        <w:t>by notice in writing; and</w:t>
      </w:r>
    </w:p>
    <w:p w14:paraId="41871979" w14:textId="77777777" w:rsidR="00AF4AD6" w:rsidRPr="0070317C" w:rsidRDefault="00AF4AD6" w:rsidP="00AF4AD6">
      <w:pPr>
        <w:tabs>
          <w:tab w:val="right" w:pos="1843"/>
          <w:tab w:val="left" w:pos="2127"/>
        </w:tabs>
        <w:spacing w:before="140"/>
        <w:ind w:left="2098" w:hanging="2098"/>
        <w:jc w:val="both"/>
      </w:pPr>
      <w:r w:rsidRPr="0070317C">
        <w:tab/>
        <w:t>(b)</w:t>
      </w:r>
      <w:r w:rsidRPr="0070317C">
        <w:tab/>
        <w:t xml:space="preserve">at least 21 days before </w:t>
      </w:r>
      <w:r w:rsidR="003E4AAB" w:rsidRPr="0070317C">
        <w:t xml:space="preserve">the </w:t>
      </w:r>
      <w:r w:rsidRPr="0070317C">
        <w:t xml:space="preserve">day the co-tenant intends to stop </w:t>
      </w:r>
      <w:r w:rsidR="00AA34DE" w:rsidRPr="0070317C">
        <w:t>being a party to the tenancy agreement</w:t>
      </w:r>
      <w:r w:rsidRPr="0070317C">
        <w:t xml:space="preserve"> (time limits for the lessor or each remaining co-tenant to refuse consent are set out in the Residential Tenancies Act).</w:t>
      </w:r>
    </w:p>
    <w:p w14:paraId="76E8FBBD" w14:textId="77777777" w:rsidR="00AF4AD6" w:rsidRPr="0070317C" w:rsidRDefault="00AF4AD6" w:rsidP="00AF4AD6">
      <w:pPr>
        <w:tabs>
          <w:tab w:val="right" w:pos="1372"/>
          <w:tab w:val="left" w:pos="1568"/>
        </w:tabs>
        <w:spacing w:before="140"/>
        <w:ind w:left="1588" w:hanging="1588"/>
        <w:jc w:val="both"/>
      </w:pPr>
      <w:r w:rsidRPr="0070317C">
        <w:tab/>
        <w:t>(3)</w:t>
      </w:r>
      <w:r w:rsidRPr="0070317C">
        <w:tab/>
        <w:t xml:space="preserve">If </w:t>
      </w:r>
      <w:r w:rsidR="006E2EF7" w:rsidRPr="0070317C">
        <w:t>consent is given to</w:t>
      </w:r>
      <w:r w:rsidRPr="0070317C">
        <w:t xml:space="preserve"> </w:t>
      </w:r>
      <w:r w:rsidR="001500F9" w:rsidRPr="0070317C">
        <w:t>the</w:t>
      </w:r>
      <w:r w:rsidR="006E2EF7" w:rsidRPr="0070317C">
        <w:t xml:space="preserve"> </w:t>
      </w:r>
      <w:r w:rsidR="00AA34DE" w:rsidRPr="0070317C">
        <w:t>co-</w:t>
      </w:r>
      <w:r w:rsidRPr="0070317C">
        <w:t xml:space="preserve">tenant </w:t>
      </w:r>
      <w:r w:rsidR="006E2EF7" w:rsidRPr="0070317C">
        <w:t xml:space="preserve">to </w:t>
      </w:r>
      <w:r w:rsidR="00AA34DE" w:rsidRPr="0070317C">
        <w:t>stop being a party to the tenancy agreement</w:t>
      </w:r>
      <w:r w:rsidRPr="0070317C">
        <w:t>—</w:t>
      </w:r>
    </w:p>
    <w:p w14:paraId="630E781F" w14:textId="77777777" w:rsidR="00AF4AD6" w:rsidRPr="0070317C" w:rsidRDefault="00AF4AD6" w:rsidP="00AF4AD6">
      <w:pPr>
        <w:tabs>
          <w:tab w:val="right" w:pos="1843"/>
          <w:tab w:val="left" w:pos="2127"/>
        </w:tabs>
        <w:spacing w:before="140"/>
        <w:ind w:left="2098" w:hanging="2098"/>
        <w:jc w:val="both"/>
      </w:pPr>
      <w:r w:rsidRPr="0070317C">
        <w:tab/>
        <w:t>(a)</w:t>
      </w:r>
      <w:r w:rsidRPr="0070317C">
        <w:tab/>
        <w:t>the agreement continues between the lessor and the remaining co-tenants; and</w:t>
      </w:r>
    </w:p>
    <w:p w14:paraId="3D231DD8" w14:textId="77777777" w:rsidR="00AF4AD6" w:rsidRPr="0070317C" w:rsidRDefault="00AF4AD6" w:rsidP="00AF4AD6">
      <w:pPr>
        <w:tabs>
          <w:tab w:val="right" w:pos="1843"/>
          <w:tab w:val="left" w:pos="2127"/>
        </w:tabs>
        <w:spacing w:before="140"/>
        <w:ind w:left="2098" w:hanging="2098"/>
        <w:jc w:val="both"/>
      </w:pPr>
      <w:r w:rsidRPr="0070317C">
        <w:tab/>
        <w:t>(b)</w:t>
      </w:r>
      <w:r w:rsidRPr="0070317C">
        <w:tab/>
        <w:t>the tenant’s rights and obligations under the agreement end.</w:t>
      </w:r>
    </w:p>
    <w:p w14:paraId="073CC67B" w14:textId="77777777" w:rsidR="00AF4AD6" w:rsidRPr="0070317C" w:rsidRDefault="00AF4AD6" w:rsidP="00AF4AD6">
      <w:pPr>
        <w:keepNext/>
        <w:spacing w:before="180"/>
        <w:rPr>
          <w:rFonts w:ascii="Arial" w:hAnsi="Arial"/>
          <w:b/>
        </w:rPr>
      </w:pPr>
      <w:r w:rsidRPr="0070317C">
        <w:rPr>
          <w:rFonts w:ascii="Arial" w:hAnsi="Arial"/>
          <w:b/>
        </w:rPr>
        <w:t>Becoming a new co-tenant to existing tenancy agreement</w:t>
      </w:r>
      <w:r w:rsidR="001500F9" w:rsidRPr="0070317C">
        <w:rPr>
          <w:rFonts w:ascii="Arial" w:hAnsi="Arial"/>
          <w:b/>
        </w:rPr>
        <w:t xml:space="preserve"> </w:t>
      </w:r>
    </w:p>
    <w:p w14:paraId="41971C73" w14:textId="77777777" w:rsidR="00AF4AD6" w:rsidRPr="0070317C" w:rsidRDefault="00AF4AD6" w:rsidP="00AF4AD6">
      <w:pPr>
        <w:tabs>
          <w:tab w:val="right" w:pos="1372"/>
          <w:tab w:val="left" w:pos="1568"/>
        </w:tabs>
        <w:spacing w:before="140"/>
        <w:ind w:left="1588" w:hanging="1588"/>
        <w:jc w:val="both"/>
      </w:pPr>
      <w:r w:rsidRPr="0070317C">
        <w:t>72B</w:t>
      </w:r>
      <w:r w:rsidRPr="0070317C">
        <w:tab/>
        <w:t>(1)</w:t>
      </w:r>
      <w:r w:rsidRPr="0070317C">
        <w:tab/>
        <w:t>A</w:t>
      </w:r>
      <w:r w:rsidR="00A66D89" w:rsidRPr="0070317C">
        <w:t>nother</w:t>
      </w:r>
      <w:r w:rsidRPr="0070317C">
        <w:t xml:space="preserve"> person </w:t>
      </w:r>
      <w:r w:rsidR="00A66D89" w:rsidRPr="0070317C">
        <w:t xml:space="preserve">may become </w:t>
      </w:r>
      <w:r w:rsidRPr="0070317C">
        <w:t>a co-tenant under the tenancy agreement—</w:t>
      </w:r>
    </w:p>
    <w:p w14:paraId="5D2B315B" w14:textId="77777777" w:rsidR="00AF4AD6" w:rsidRPr="0070317C" w:rsidRDefault="00AF4AD6" w:rsidP="00AF4AD6">
      <w:pPr>
        <w:tabs>
          <w:tab w:val="right" w:pos="1843"/>
          <w:tab w:val="left" w:pos="2127"/>
        </w:tabs>
        <w:spacing w:before="140"/>
        <w:ind w:left="2098" w:hanging="2098"/>
        <w:jc w:val="both"/>
      </w:pPr>
      <w:r w:rsidRPr="0070317C">
        <w:tab/>
        <w:t>(a)</w:t>
      </w:r>
      <w:r w:rsidRPr="0070317C">
        <w:tab/>
        <w:t xml:space="preserve">with the consent of the lessor and </w:t>
      </w:r>
      <w:r w:rsidR="001B4478" w:rsidRPr="0070317C">
        <w:t>each</w:t>
      </w:r>
      <w:r w:rsidR="00A66D89" w:rsidRPr="0070317C">
        <w:t xml:space="preserve"> </w:t>
      </w:r>
      <w:r w:rsidR="001B4478" w:rsidRPr="0070317C">
        <w:t xml:space="preserve">other </w:t>
      </w:r>
      <w:r w:rsidRPr="0070317C">
        <w:t>co</w:t>
      </w:r>
      <w:r w:rsidR="001B4478" w:rsidRPr="0070317C">
        <w:noBreakHyphen/>
      </w:r>
      <w:r w:rsidRPr="0070317C">
        <w:t>tenant; or</w:t>
      </w:r>
    </w:p>
    <w:p w14:paraId="5D115822" w14:textId="77777777" w:rsidR="00AF4AD6" w:rsidRPr="0070317C" w:rsidRDefault="00AF4AD6" w:rsidP="00AF4AD6">
      <w:pPr>
        <w:tabs>
          <w:tab w:val="right" w:pos="1843"/>
          <w:tab w:val="left" w:pos="2127"/>
        </w:tabs>
        <w:spacing w:before="140"/>
        <w:ind w:left="2098" w:hanging="2098"/>
        <w:jc w:val="both"/>
      </w:pPr>
      <w:r w:rsidRPr="0070317C">
        <w:tab/>
        <w:t>(b)</w:t>
      </w:r>
      <w:r w:rsidRPr="0070317C">
        <w:tab/>
      </w:r>
      <w:r w:rsidR="00522726" w:rsidRPr="0070317C">
        <w:t xml:space="preserve">under the </w:t>
      </w:r>
      <w:r w:rsidRPr="0070317C">
        <w:t>Residential Tenancies Act, section</w:t>
      </w:r>
      <w:r w:rsidR="00522726" w:rsidRPr="0070317C">
        <w:t> </w:t>
      </w:r>
      <w:r w:rsidRPr="0070317C">
        <w:t>35</w:t>
      </w:r>
      <w:r w:rsidR="00522726" w:rsidRPr="0070317C">
        <w:t>D</w:t>
      </w:r>
      <w:r w:rsidRPr="0070317C">
        <w:t>.</w:t>
      </w:r>
    </w:p>
    <w:p w14:paraId="7D6EF5A7" w14:textId="77777777" w:rsidR="00AF4AD6" w:rsidRPr="0070317C" w:rsidRDefault="00AF4AD6" w:rsidP="00AF4AD6">
      <w:pPr>
        <w:tabs>
          <w:tab w:val="right" w:pos="1372"/>
          <w:tab w:val="left" w:pos="1568"/>
        </w:tabs>
        <w:spacing w:before="140"/>
        <w:ind w:left="1588" w:hanging="1588"/>
        <w:jc w:val="both"/>
      </w:pPr>
      <w:r w:rsidRPr="0070317C">
        <w:lastRenderedPageBreak/>
        <w:tab/>
        <w:t>(2)</w:t>
      </w:r>
      <w:r w:rsidRPr="0070317C">
        <w:tab/>
      </w:r>
      <w:r w:rsidR="009F7951" w:rsidRPr="0070317C">
        <w:t>An existing tenant</w:t>
      </w:r>
      <w:r w:rsidRPr="0070317C">
        <w:t xml:space="preserve"> must seek the consent of the lessor and any other co</w:t>
      </w:r>
      <w:r w:rsidRPr="0070317C">
        <w:noBreakHyphen/>
        <w:t>tenant—</w:t>
      </w:r>
    </w:p>
    <w:p w14:paraId="24D2F7B0" w14:textId="77777777" w:rsidR="00AF4AD6" w:rsidRPr="0070317C" w:rsidRDefault="00AF4AD6" w:rsidP="00AF4AD6">
      <w:pPr>
        <w:tabs>
          <w:tab w:val="right" w:pos="1843"/>
          <w:tab w:val="left" w:pos="2127"/>
        </w:tabs>
        <w:spacing w:before="140"/>
        <w:ind w:left="2098" w:hanging="2098"/>
        <w:jc w:val="both"/>
      </w:pPr>
      <w:r w:rsidRPr="0070317C">
        <w:tab/>
        <w:t>(a)</w:t>
      </w:r>
      <w:r w:rsidRPr="0070317C">
        <w:tab/>
        <w:t>by notice in writing; and</w:t>
      </w:r>
    </w:p>
    <w:p w14:paraId="4C74E3B1" w14:textId="77777777" w:rsidR="00AF4AD6" w:rsidRPr="0070317C" w:rsidRDefault="00AF4AD6" w:rsidP="00AF4AD6">
      <w:pPr>
        <w:tabs>
          <w:tab w:val="right" w:pos="1843"/>
          <w:tab w:val="left" w:pos="2127"/>
        </w:tabs>
        <w:spacing w:before="140"/>
        <w:ind w:left="2098" w:hanging="2098"/>
        <w:jc w:val="both"/>
      </w:pPr>
      <w:r w:rsidRPr="0070317C">
        <w:tab/>
        <w:t>(b)</w:t>
      </w:r>
      <w:r w:rsidRPr="0070317C">
        <w:tab/>
        <w:t xml:space="preserve">at least 14 days before the day the </w:t>
      </w:r>
      <w:r w:rsidR="00A66D89" w:rsidRPr="0070317C">
        <w:t>person</w:t>
      </w:r>
      <w:r w:rsidRPr="0070317C">
        <w:t xml:space="preserve"> wants to become a co-tenant (time limits for the lessor or </w:t>
      </w:r>
      <w:r w:rsidR="001B4478" w:rsidRPr="0070317C">
        <w:t>each</w:t>
      </w:r>
      <w:r w:rsidRPr="0070317C">
        <w:t xml:space="preserve"> other co</w:t>
      </w:r>
      <w:r w:rsidR="00A66D89" w:rsidRPr="0070317C">
        <w:noBreakHyphen/>
      </w:r>
      <w:r w:rsidRPr="0070317C">
        <w:t>tenant to refuse consent are set out in the Residential Tenancies Act).</w:t>
      </w:r>
    </w:p>
    <w:p w14:paraId="3B4FE574" w14:textId="77777777" w:rsidR="00AF4AD6" w:rsidRPr="0070317C" w:rsidRDefault="00AF4AD6" w:rsidP="00AF4AD6">
      <w:pPr>
        <w:tabs>
          <w:tab w:val="right" w:pos="1372"/>
          <w:tab w:val="left" w:pos="1568"/>
        </w:tabs>
        <w:spacing w:before="140"/>
        <w:ind w:left="1588" w:hanging="1588"/>
        <w:jc w:val="both"/>
      </w:pPr>
      <w:r w:rsidRPr="0070317C">
        <w:tab/>
        <w:t>(3)</w:t>
      </w:r>
      <w:r w:rsidRPr="0070317C">
        <w:tab/>
        <w:t xml:space="preserve">If </w:t>
      </w:r>
      <w:r w:rsidR="001500F9" w:rsidRPr="0070317C">
        <w:t>the</w:t>
      </w:r>
      <w:r w:rsidR="001B4478" w:rsidRPr="0070317C">
        <w:t xml:space="preserve"> </w:t>
      </w:r>
      <w:r w:rsidRPr="0070317C">
        <w:t>person becom</w:t>
      </w:r>
      <w:r w:rsidR="00522726" w:rsidRPr="0070317C">
        <w:t xml:space="preserve">es </w:t>
      </w:r>
      <w:r w:rsidRPr="0070317C">
        <w:t>a co-tenant—</w:t>
      </w:r>
    </w:p>
    <w:p w14:paraId="0322590E" w14:textId="77777777" w:rsidR="00AF4AD6" w:rsidRPr="0070317C" w:rsidRDefault="00AF4AD6" w:rsidP="00AF4AD6">
      <w:pPr>
        <w:tabs>
          <w:tab w:val="right" w:pos="1843"/>
          <w:tab w:val="left" w:pos="2127"/>
        </w:tabs>
        <w:spacing w:before="140"/>
        <w:ind w:left="2098" w:hanging="2098"/>
        <w:jc w:val="both"/>
      </w:pPr>
      <w:r w:rsidRPr="0070317C">
        <w:tab/>
        <w:t>(a)</w:t>
      </w:r>
      <w:r w:rsidRPr="0070317C">
        <w:tab/>
        <w:t>the agreement continues with the person becoming a co</w:t>
      </w:r>
      <w:r w:rsidR="003E4AAB" w:rsidRPr="0070317C">
        <w:noBreakHyphen/>
      </w:r>
      <w:r w:rsidRPr="0070317C">
        <w:t xml:space="preserve">tenant with the existing </w:t>
      </w:r>
      <w:r w:rsidR="001B4478" w:rsidRPr="0070317C">
        <w:t>co-</w:t>
      </w:r>
      <w:r w:rsidRPr="0070317C">
        <w:t>tenants; and</w:t>
      </w:r>
    </w:p>
    <w:p w14:paraId="57BF0D41" w14:textId="77777777" w:rsidR="00AF4AD6" w:rsidRPr="0070317C" w:rsidRDefault="00AF4AD6" w:rsidP="00AF4AD6">
      <w:pPr>
        <w:tabs>
          <w:tab w:val="right" w:pos="1843"/>
          <w:tab w:val="left" w:pos="2127"/>
        </w:tabs>
        <w:spacing w:before="140"/>
        <w:ind w:left="2098" w:hanging="2098"/>
        <w:jc w:val="both"/>
      </w:pPr>
      <w:r w:rsidRPr="0070317C">
        <w:tab/>
        <w:t>(b)</w:t>
      </w:r>
      <w:r w:rsidRPr="0070317C">
        <w:tab/>
        <w:t>the existing co-tenants must give the person a copy of the condition report for the premises not later than the day after the</w:t>
      </w:r>
      <w:r w:rsidR="001B4478" w:rsidRPr="0070317C">
        <w:t xml:space="preserve"> person becomes a co-tenant</w:t>
      </w:r>
      <w:r w:rsidRPr="0070317C">
        <w:t>.</w:t>
      </w:r>
    </w:p>
    <w:p w14:paraId="576C6608" w14:textId="77777777" w:rsidR="001500F9" w:rsidRPr="0070317C" w:rsidRDefault="001500F9" w:rsidP="001500F9">
      <w:pPr>
        <w:tabs>
          <w:tab w:val="right" w:pos="1372"/>
          <w:tab w:val="left" w:pos="1568"/>
        </w:tabs>
        <w:spacing w:before="140"/>
        <w:ind w:left="1588" w:hanging="1588"/>
        <w:jc w:val="both"/>
      </w:pPr>
      <w:r w:rsidRPr="0070317C">
        <w:tab/>
        <w:t>(4)</w:t>
      </w:r>
      <w:r w:rsidRPr="0070317C">
        <w:tab/>
        <w:t xml:space="preserve">This </w:t>
      </w:r>
      <w:r w:rsidR="00BB0542" w:rsidRPr="0070317C">
        <w:t>clause</w:t>
      </w:r>
      <w:r w:rsidRPr="0070317C">
        <w:t xml:space="preserve"> d</w:t>
      </w:r>
      <w:r w:rsidR="00BB0542" w:rsidRPr="0070317C">
        <w:t>o</w:t>
      </w:r>
      <w:r w:rsidRPr="0070317C">
        <w:t xml:space="preserve">es not </w:t>
      </w:r>
      <w:r w:rsidR="00BB0542" w:rsidRPr="0070317C">
        <w:t>apply</w:t>
      </w:r>
      <w:r w:rsidRPr="0070317C">
        <w:t xml:space="preserve"> to a </w:t>
      </w:r>
      <w:r w:rsidR="00BB0542" w:rsidRPr="0070317C">
        <w:t>tenancy</w:t>
      </w:r>
      <w:r w:rsidRPr="0070317C">
        <w:t xml:space="preserve"> agreement in relation to </w:t>
      </w:r>
      <w:r w:rsidR="00BB0542" w:rsidRPr="0070317C">
        <w:t>a social housing dwelling or crisis accommodation.</w:t>
      </w:r>
    </w:p>
    <w:p w14:paraId="74933591" w14:textId="77777777" w:rsidR="005467E8" w:rsidRPr="0070317C" w:rsidRDefault="0070317C" w:rsidP="0070317C">
      <w:pPr>
        <w:pStyle w:val="AH5Sec"/>
        <w:shd w:val="pct25" w:color="auto" w:fill="auto"/>
      </w:pPr>
      <w:bookmarkStart w:id="46" w:name="_Toc32321217"/>
      <w:r w:rsidRPr="0070317C">
        <w:rPr>
          <w:rStyle w:val="CharSectNo"/>
        </w:rPr>
        <w:t>41</w:t>
      </w:r>
      <w:r w:rsidRPr="0070317C">
        <w:tab/>
      </w:r>
      <w:r w:rsidR="005467E8" w:rsidRPr="0070317C">
        <w:t>Dictionary</w:t>
      </w:r>
      <w:r w:rsidR="006A7672" w:rsidRPr="0070317C">
        <w:t>, n</w:t>
      </w:r>
      <w:r w:rsidR="005467E8" w:rsidRPr="0070317C">
        <w:t>ote 2</w:t>
      </w:r>
      <w:bookmarkEnd w:id="46"/>
    </w:p>
    <w:p w14:paraId="4E7AF4C2" w14:textId="77777777" w:rsidR="005467E8" w:rsidRPr="0070317C" w:rsidRDefault="005467E8" w:rsidP="005467E8">
      <w:pPr>
        <w:pStyle w:val="direction"/>
      </w:pPr>
      <w:r w:rsidRPr="0070317C">
        <w:t>insert</w:t>
      </w:r>
    </w:p>
    <w:p w14:paraId="5E0CA4B2" w14:textId="77777777" w:rsidR="005467E8" w:rsidRPr="0070317C" w:rsidRDefault="0070317C" w:rsidP="0070317C">
      <w:pPr>
        <w:pStyle w:val="aNoteBulletss"/>
        <w:tabs>
          <w:tab w:val="left" w:pos="2300"/>
        </w:tabs>
      </w:pPr>
      <w:r w:rsidRPr="0070317C">
        <w:rPr>
          <w:rFonts w:ascii="Symbol" w:hAnsi="Symbol"/>
        </w:rPr>
        <w:t></w:t>
      </w:r>
      <w:r w:rsidRPr="0070317C">
        <w:rPr>
          <w:rFonts w:ascii="Symbol" w:hAnsi="Symbol"/>
        </w:rPr>
        <w:tab/>
      </w:r>
      <w:r w:rsidR="00120991" w:rsidRPr="0070317C">
        <w:t>human rights commission</w:t>
      </w:r>
    </w:p>
    <w:p w14:paraId="261721EC" w14:textId="77777777" w:rsidR="002D7934" w:rsidRPr="0070317C" w:rsidRDefault="0070317C" w:rsidP="0070317C">
      <w:pPr>
        <w:pStyle w:val="AH5Sec"/>
        <w:shd w:val="pct25" w:color="auto" w:fill="auto"/>
      </w:pPr>
      <w:bookmarkStart w:id="47" w:name="_Toc32321218"/>
      <w:r w:rsidRPr="0070317C">
        <w:rPr>
          <w:rStyle w:val="CharSectNo"/>
        </w:rPr>
        <w:t>42</w:t>
      </w:r>
      <w:r w:rsidRPr="0070317C">
        <w:tab/>
      </w:r>
      <w:r w:rsidR="002D7934" w:rsidRPr="0070317C">
        <w:t>Dictionary, new definition</w:t>
      </w:r>
      <w:r w:rsidR="003C606F" w:rsidRPr="0070317C">
        <w:t>s</w:t>
      </w:r>
      <w:bookmarkEnd w:id="47"/>
    </w:p>
    <w:p w14:paraId="607D2BBB" w14:textId="77777777" w:rsidR="002D7934" w:rsidRPr="0070317C" w:rsidRDefault="002D7934" w:rsidP="002D7934">
      <w:pPr>
        <w:pStyle w:val="direction"/>
      </w:pPr>
      <w:r w:rsidRPr="0070317C">
        <w:t>insert</w:t>
      </w:r>
    </w:p>
    <w:p w14:paraId="3D038C56" w14:textId="77777777" w:rsidR="002E0711" w:rsidRPr="0070317C" w:rsidRDefault="002E0711" w:rsidP="0070317C">
      <w:pPr>
        <w:pStyle w:val="aDef"/>
      </w:pPr>
      <w:r w:rsidRPr="0070317C">
        <w:rPr>
          <w:rStyle w:val="charBoldItals"/>
        </w:rPr>
        <w:t>assignee</w:t>
      </w:r>
      <w:r w:rsidRPr="0070317C">
        <w:rPr>
          <w:bCs/>
          <w:iCs/>
        </w:rPr>
        <w:t>, in relation to a residential park agreement, for division 5B</w:t>
      </w:r>
      <w:r w:rsidR="00AB22F8" w:rsidRPr="0070317C">
        <w:rPr>
          <w:bCs/>
          <w:iCs/>
        </w:rPr>
        <w:t>.3</w:t>
      </w:r>
      <w:r w:rsidRPr="0070317C">
        <w:rPr>
          <w:bCs/>
          <w:iCs/>
        </w:rPr>
        <w:t xml:space="preserve"> (</w:t>
      </w:r>
      <w:r w:rsidRPr="0070317C">
        <w:t>Assignment of interests</w:t>
      </w:r>
      <w:r w:rsidRPr="0070317C">
        <w:rPr>
          <w:bCs/>
          <w:iCs/>
        </w:rPr>
        <w:t>)—see section 71K (1).</w:t>
      </w:r>
    </w:p>
    <w:p w14:paraId="4C2B8C31" w14:textId="77777777" w:rsidR="002E0711" w:rsidRPr="0070317C" w:rsidRDefault="002E0711" w:rsidP="0070317C">
      <w:pPr>
        <w:pStyle w:val="aDef"/>
      </w:pPr>
      <w:r w:rsidRPr="0070317C">
        <w:rPr>
          <w:rStyle w:val="charBoldItals"/>
        </w:rPr>
        <w:t>assignor</w:t>
      </w:r>
      <w:r w:rsidRPr="0070317C">
        <w:rPr>
          <w:bCs/>
          <w:iCs/>
        </w:rPr>
        <w:t>, in relation to a residential park agreement, for division 5B</w:t>
      </w:r>
      <w:r w:rsidR="00AB22F8" w:rsidRPr="0070317C">
        <w:rPr>
          <w:bCs/>
          <w:iCs/>
        </w:rPr>
        <w:t>.3</w:t>
      </w:r>
      <w:r w:rsidRPr="0070317C">
        <w:rPr>
          <w:bCs/>
          <w:iCs/>
        </w:rPr>
        <w:t xml:space="preserve"> (</w:t>
      </w:r>
      <w:r w:rsidRPr="0070317C">
        <w:t>Assignment of interests</w:t>
      </w:r>
      <w:r w:rsidRPr="0070317C">
        <w:rPr>
          <w:bCs/>
          <w:iCs/>
        </w:rPr>
        <w:t>)—see section 71K (1).</w:t>
      </w:r>
    </w:p>
    <w:p w14:paraId="3DAE228C" w14:textId="77777777" w:rsidR="00AF4AD6" w:rsidRPr="0070317C" w:rsidRDefault="00AF4AD6" w:rsidP="0070317C">
      <w:pPr>
        <w:pStyle w:val="aDef"/>
      </w:pPr>
      <w:r w:rsidRPr="0070317C">
        <w:rPr>
          <w:rStyle w:val="charBoldItals"/>
        </w:rPr>
        <w:t>co-tenant</w:t>
      </w:r>
      <w:r w:rsidRPr="0070317C">
        <w:t>—see section 6AA.</w:t>
      </w:r>
    </w:p>
    <w:p w14:paraId="5C701A2B" w14:textId="09EFAF76" w:rsidR="00780C9D" w:rsidRPr="0070317C" w:rsidRDefault="00780C9D" w:rsidP="00D36C34">
      <w:pPr>
        <w:pStyle w:val="aDef"/>
        <w:keepNext/>
      </w:pPr>
      <w:r w:rsidRPr="0070317C">
        <w:rPr>
          <w:rStyle w:val="charBoldItals"/>
        </w:rPr>
        <w:lastRenderedPageBreak/>
        <w:t>education provider</w:t>
      </w:r>
      <w:r w:rsidRPr="0070317C">
        <w:t>—</w:t>
      </w:r>
      <w:r w:rsidR="008E0B08" w:rsidRPr="0070317C">
        <w:t>means an entity mentioned in</w:t>
      </w:r>
      <w:r w:rsidRPr="0070317C">
        <w:t xml:space="preserve"> the </w:t>
      </w:r>
      <w:hyperlink r:id="rId27" w:tooltip="A2004-17" w:history="1">
        <w:r w:rsidR="009F5F26" w:rsidRPr="0070317C">
          <w:rPr>
            <w:rStyle w:val="charCitHyperlinkItal"/>
          </w:rPr>
          <w:t>Education Act 2004</w:t>
        </w:r>
      </w:hyperlink>
      <w:r w:rsidRPr="0070317C">
        <w:t>, section 9A</w:t>
      </w:r>
      <w:r w:rsidR="008E0B08" w:rsidRPr="0070317C">
        <w:t>, table 9A, column 3</w:t>
      </w:r>
      <w:r w:rsidRPr="0070317C">
        <w:t xml:space="preserve">. </w:t>
      </w:r>
    </w:p>
    <w:p w14:paraId="53A8BE22" w14:textId="77777777" w:rsidR="005F56E5" w:rsidRPr="0070317C" w:rsidRDefault="005F56E5" w:rsidP="0070317C">
      <w:pPr>
        <w:pStyle w:val="aDef"/>
        <w:rPr>
          <w:lang w:val="en" w:eastAsia="en-AU"/>
        </w:rPr>
      </w:pPr>
      <w:r w:rsidRPr="0070317C">
        <w:rPr>
          <w:rStyle w:val="charBoldItals"/>
        </w:rPr>
        <w:t>manufactured home</w:t>
      </w:r>
      <w:r w:rsidRPr="0070317C">
        <w:rPr>
          <w:lang w:val="en" w:eastAsia="en-AU"/>
        </w:rPr>
        <w:t xml:space="preserve"> means a structure, other than a caravan or tent, that—</w:t>
      </w:r>
    </w:p>
    <w:p w14:paraId="0B930861" w14:textId="77777777" w:rsidR="005F56E5" w:rsidRPr="0070317C" w:rsidRDefault="005F56E5" w:rsidP="005F56E5">
      <w:pPr>
        <w:pStyle w:val="Idefpara"/>
        <w:rPr>
          <w:lang w:val="en" w:eastAsia="en-AU"/>
        </w:rPr>
      </w:pPr>
      <w:r w:rsidRPr="0070317C">
        <w:rPr>
          <w:lang w:val="en" w:eastAsia="en-AU"/>
        </w:rPr>
        <w:tab/>
        <w:t>(a)</w:t>
      </w:r>
      <w:r w:rsidRPr="0070317C">
        <w:rPr>
          <w:lang w:val="en" w:eastAsia="en-AU"/>
        </w:rPr>
        <w:tab/>
        <w:t>has the character of residential premises; and</w:t>
      </w:r>
    </w:p>
    <w:p w14:paraId="22B5258A" w14:textId="77777777" w:rsidR="005F56E5" w:rsidRPr="0070317C" w:rsidRDefault="005F56E5" w:rsidP="005F56E5">
      <w:pPr>
        <w:pStyle w:val="Idefpara"/>
        <w:rPr>
          <w:lang w:val="en" w:eastAsia="en-AU"/>
        </w:rPr>
      </w:pPr>
      <w:r w:rsidRPr="0070317C">
        <w:rPr>
          <w:lang w:val="en" w:eastAsia="en-AU"/>
        </w:rPr>
        <w:tab/>
        <w:t>(b)</w:t>
      </w:r>
      <w:r w:rsidRPr="0070317C">
        <w:rPr>
          <w:lang w:val="en" w:eastAsia="en-AU"/>
        </w:rPr>
        <w:tab/>
        <w:t>is designed, built or manufactured to be transported from 1 place to another for use as a home; and</w:t>
      </w:r>
    </w:p>
    <w:p w14:paraId="1A6DF0BB" w14:textId="77777777" w:rsidR="005F56E5" w:rsidRPr="0070317C" w:rsidRDefault="005F56E5" w:rsidP="0002336B">
      <w:pPr>
        <w:pStyle w:val="Idefpara"/>
        <w:tabs>
          <w:tab w:val="left" w:pos="5700"/>
        </w:tabs>
        <w:rPr>
          <w:lang w:val="en" w:eastAsia="en-AU"/>
        </w:rPr>
      </w:pPr>
      <w:r w:rsidRPr="0070317C">
        <w:rPr>
          <w:lang w:val="en" w:eastAsia="en-AU"/>
        </w:rPr>
        <w:tab/>
        <w:t>(c)</w:t>
      </w:r>
      <w:r w:rsidRPr="0070317C">
        <w:rPr>
          <w:lang w:val="en" w:eastAsia="en-AU"/>
        </w:rPr>
        <w:tab/>
        <w:t>is not permanently attached to land.</w:t>
      </w:r>
    </w:p>
    <w:p w14:paraId="06B9085C" w14:textId="77777777" w:rsidR="00211D6A" w:rsidRPr="0070317C" w:rsidRDefault="0070317C" w:rsidP="0070317C">
      <w:pPr>
        <w:pStyle w:val="AH5Sec"/>
        <w:shd w:val="pct25" w:color="auto" w:fill="auto"/>
        <w:rPr>
          <w:rStyle w:val="charItals"/>
        </w:rPr>
      </w:pPr>
      <w:bookmarkStart w:id="48" w:name="_Toc32321219"/>
      <w:r w:rsidRPr="0070317C">
        <w:rPr>
          <w:rStyle w:val="CharSectNo"/>
        </w:rPr>
        <w:t>43</w:t>
      </w:r>
      <w:r w:rsidRPr="0070317C">
        <w:rPr>
          <w:rStyle w:val="charItals"/>
          <w:i w:val="0"/>
        </w:rPr>
        <w:tab/>
      </w:r>
      <w:r w:rsidR="00211D6A" w:rsidRPr="0070317C">
        <w:rPr>
          <w:lang w:val="en" w:eastAsia="en-AU"/>
        </w:rPr>
        <w:t>Dictionary, definition</w:t>
      </w:r>
      <w:r w:rsidR="00BA6985" w:rsidRPr="0070317C">
        <w:rPr>
          <w:lang w:val="en" w:eastAsia="en-AU"/>
        </w:rPr>
        <w:t>s</w:t>
      </w:r>
      <w:r w:rsidR="00211D6A" w:rsidRPr="0070317C">
        <w:rPr>
          <w:lang w:val="en" w:eastAsia="en-AU"/>
        </w:rPr>
        <w:t xml:space="preserve"> of </w:t>
      </w:r>
      <w:r w:rsidR="00211D6A" w:rsidRPr="0070317C">
        <w:rPr>
          <w:rStyle w:val="charItals"/>
        </w:rPr>
        <w:t>mobile home</w:t>
      </w:r>
      <w:r w:rsidR="00BA6985" w:rsidRPr="0070317C">
        <w:rPr>
          <w:rStyle w:val="charItals"/>
        </w:rPr>
        <w:t xml:space="preserve"> </w:t>
      </w:r>
      <w:r w:rsidR="00BA6985" w:rsidRPr="0070317C">
        <w:rPr>
          <w:rFonts w:cs="Arial"/>
        </w:rPr>
        <w:t xml:space="preserve">and </w:t>
      </w:r>
      <w:r w:rsidR="00BA6985" w:rsidRPr="0070317C">
        <w:rPr>
          <w:rStyle w:val="charItals"/>
        </w:rPr>
        <w:t>occupancy principles</w:t>
      </w:r>
      <w:bookmarkEnd w:id="48"/>
    </w:p>
    <w:p w14:paraId="03825D69" w14:textId="77777777" w:rsidR="00211D6A" w:rsidRPr="0070317C" w:rsidRDefault="00211D6A" w:rsidP="00211D6A">
      <w:pPr>
        <w:pStyle w:val="direction"/>
        <w:rPr>
          <w:lang w:val="en" w:eastAsia="en-AU"/>
        </w:rPr>
      </w:pPr>
      <w:r w:rsidRPr="0070317C">
        <w:rPr>
          <w:lang w:val="en" w:eastAsia="en-AU"/>
        </w:rPr>
        <w:t>substitute</w:t>
      </w:r>
    </w:p>
    <w:p w14:paraId="3B462A29" w14:textId="4B2AF365" w:rsidR="005F56E5" w:rsidRPr="0070317C" w:rsidRDefault="005F56E5" w:rsidP="0070317C">
      <w:pPr>
        <w:pStyle w:val="aDef"/>
      </w:pPr>
      <w:r w:rsidRPr="0070317C">
        <w:rPr>
          <w:rStyle w:val="charBoldItals"/>
        </w:rPr>
        <w:t>mobile home</w:t>
      </w:r>
      <w:r w:rsidRPr="0070317C">
        <w:t xml:space="preserve"> means a motor vehicle, caravan or other trailer, or other registrable vehicle under the </w:t>
      </w:r>
      <w:hyperlink r:id="rId28" w:tooltip="A1999-81" w:history="1">
        <w:r w:rsidR="009F5F26" w:rsidRPr="0070317C">
          <w:rPr>
            <w:rStyle w:val="charCitHyperlinkItal"/>
          </w:rPr>
          <w:t>Road Transport (Vehicle Registration) Act 1999</w:t>
        </w:r>
      </w:hyperlink>
      <w:r w:rsidRPr="0070317C">
        <w:t xml:space="preserve"> that is used as a home.</w:t>
      </w:r>
    </w:p>
    <w:p w14:paraId="0DCC3666" w14:textId="77777777" w:rsidR="006732EA" w:rsidRPr="0070317C" w:rsidRDefault="006732EA" w:rsidP="0070317C">
      <w:pPr>
        <w:pStyle w:val="aDef"/>
      </w:pPr>
      <w:r w:rsidRPr="0070317C">
        <w:rPr>
          <w:rStyle w:val="charBoldItals"/>
        </w:rPr>
        <w:t>occupancy principles</w:t>
      </w:r>
      <w:r w:rsidR="002012C0" w:rsidRPr="0070317C">
        <w:t>—</w:t>
      </w:r>
      <w:r w:rsidRPr="0070317C">
        <w:t>see section 71EA.</w:t>
      </w:r>
    </w:p>
    <w:p w14:paraId="6E4F8FD0" w14:textId="77777777" w:rsidR="002E0711" w:rsidRPr="0070317C" w:rsidRDefault="0070317C" w:rsidP="0070317C">
      <w:pPr>
        <w:pStyle w:val="AH5Sec"/>
        <w:shd w:val="pct25" w:color="auto" w:fill="auto"/>
      </w:pPr>
      <w:bookmarkStart w:id="49" w:name="_Toc32321220"/>
      <w:r w:rsidRPr="0070317C">
        <w:rPr>
          <w:rStyle w:val="CharSectNo"/>
        </w:rPr>
        <w:t>44</w:t>
      </w:r>
      <w:r w:rsidRPr="0070317C">
        <w:tab/>
      </w:r>
      <w:r w:rsidR="002E0711" w:rsidRPr="0070317C">
        <w:t>Dictionary, new definitions</w:t>
      </w:r>
      <w:bookmarkEnd w:id="49"/>
    </w:p>
    <w:p w14:paraId="7D4D1791" w14:textId="77777777" w:rsidR="002E0711" w:rsidRPr="0070317C" w:rsidRDefault="002E0711" w:rsidP="002E0711">
      <w:pPr>
        <w:pStyle w:val="direction"/>
      </w:pPr>
      <w:r w:rsidRPr="0070317C">
        <w:t>insert</w:t>
      </w:r>
    </w:p>
    <w:p w14:paraId="118E235E" w14:textId="77777777" w:rsidR="00211D6A" w:rsidRPr="0070317C" w:rsidRDefault="00211D6A" w:rsidP="0070317C">
      <w:pPr>
        <w:pStyle w:val="aDef"/>
      </w:pPr>
      <w:r w:rsidRPr="0070317C">
        <w:rPr>
          <w:rStyle w:val="charBoldItals"/>
        </w:rPr>
        <w:t>operator</w:t>
      </w:r>
      <w:r w:rsidRPr="0070317C">
        <w:t>, of a residential park, for part 5B (Residential parks)—see section 71H.</w:t>
      </w:r>
    </w:p>
    <w:p w14:paraId="14EF9336" w14:textId="143F18E4" w:rsidR="0067689C" w:rsidRPr="0070317C" w:rsidRDefault="0067689C" w:rsidP="0070317C">
      <w:pPr>
        <w:pStyle w:val="aDef"/>
        <w:keepNext/>
      </w:pPr>
      <w:r w:rsidRPr="0070317C">
        <w:rPr>
          <w:rStyle w:val="charBoldItals"/>
        </w:rPr>
        <w:t>registered community housing provider</w:t>
      </w:r>
      <w:r w:rsidRPr="0070317C">
        <w:rPr>
          <w:bCs/>
          <w:iCs/>
        </w:rPr>
        <w:t xml:space="preserve">—see the </w:t>
      </w:r>
      <w:r w:rsidR="004C1444" w:rsidRPr="008873B0">
        <w:rPr>
          <w:rStyle w:val="charCitHyperlinkItal"/>
          <w:color w:val="auto"/>
        </w:rPr>
        <w:t>Community Housing Providers National Law (ACT)</w:t>
      </w:r>
      <w:r w:rsidRPr="0070317C">
        <w:rPr>
          <w:bCs/>
          <w:iCs/>
        </w:rPr>
        <w:t>, section 4 (1).</w:t>
      </w:r>
    </w:p>
    <w:p w14:paraId="45EF2BB9" w14:textId="233265D0" w:rsidR="0067689C" w:rsidRPr="008873B0" w:rsidRDefault="0067689C" w:rsidP="0067689C">
      <w:pPr>
        <w:pStyle w:val="aNote"/>
      </w:pPr>
      <w:r w:rsidRPr="0070317C">
        <w:rPr>
          <w:rStyle w:val="charItals"/>
        </w:rPr>
        <w:t>Note</w:t>
      </w:r>
      <w:r w:rsidRPr="0070317C">
        <w:rPr>
          <w:rStyle w:val="charItals"/>
        </w:rPr>
        <w:tab/>
      </w:r>
      <w:r w:rsidRPr="0070317C">
        <w:t xml:space="preserve">The </w:t>
      </w:r>
      <w:hyperlink r:id="rId29" w:tooltip="A2013-18" w:history="1">
        <w:r w:rsidR="009F5F26" w:rsidRPr="0070317C">
          <w:rPr>
            <w:rStyle w:val="charCitHyperlinkItal"/>
          </w:rPr>
          <w:t>Community Housing Providers National Law (ACT) Act 2013</w:t>
        </w:r>
      </w:hyperlink>
      <w:r w:rsidR="00C503FA" w:rsidRPr="0070317C">
        <w:t xml:space="preserve">, s 7 applies the Community Housing Providers National Law set out in the </w:t>
      </w:r>
      <w:hyperlink r:id="rId30" w:anchor="/view/act/2012/59" w:tooltip="Community Housing Providers (Adoption of National Law) Act 2012" w:history="1">
        <w:r w:rsidR="007A500E" w:rsidRPr="0070317C">
          <w:rPr>
            <w:rStyle w:val="charCitHyperlinkItal"/>
          </w:rPr>
          <w:t>Community Housing Providers (Adoption of National Law) Act 2012</w:t>
        </w:r>
      </w:hyperlink>
      <w:r w:rsidRPr="0070317C">
        <w:t xml:space="preserve"> </w:t>
      </w:r>
      <w:r w:rsidR="00C503FA" w:rsidRPr="0070317C">
        <w:t xml:space="preserve">(NSW), appendix as if it were an ACT law called the </w:t>
      </w:r>
      <w:r w:rsidR="007A500E" w:rsidRPr="008873B0">
        <w:rPr>
          <w:rStyle w:val="charCitHyperlinkItal"/>
          <w:color w:val="auto"/>
        </w:rPr>
        <w:t>Community Housing Providers National Law (ACT)</w:t>
      </w:r>
      <w:r w:rsidR="00C503FA" w:rsidRPr="008873B0">
        <w:t>.</w:t>
      </w:r>
    </w:p>
    <w:p w14:paraId="036D3F63" w14:textId="77777777" w:rsidR="00211D6A" w:rsidRPr="0070317C" w:rsidRDefault="00211D6A" w:rsidP="00D36C34">
      <w:pPr>
        <w:pStyle w:val="aDef"/>
        <w:keepNext/>
      </w:pPr>
      <w:r w:rsidRPr="0070317C">
        <w:rPr>
          <w:rStyle w:val="charBoldItals"/>
        </w:rPr>
        <w:lastRenderedPageBreak/>
        <w:t>residential park</w:t>
      </w:r>
      <w:r w:rsidRPr="0070317C">
        <w:rPr>
          <w:lang w:val="en" w:eastAsia="en-AU"/>
        </w:rPr>
        <w:t>—</w:t>
      </w:r>
    </w:p>
    <w:p w14:paraId="11257104" w14:textId="77777777" w:rsidR="00211D6A" w:rsidRPr="0070317C" w:rsidRDefault="00211D6A" w:rsidP="00D36C34">
      <w:pPr>
        <w:pStyle w:val="Idefpara"/>
        <w:keepNext/>
        <w:rPr>
          <w:lang w:val="en" w:eastAsia="en-AU"/>
        </w:rPr>
      </w:pPr>
      <w:r w:rsidRPr="0070317C">
        <w:tab/>
        <w:t>(a)</w:t>
      </w:r>
      <w:r w:rsidRPr="0070317C">
        <w:tab/>
        <w:t>means land that includes</w:t>
      </w:r>
      <w:r w:rsidRPr="0070317C">
        <w:rPr>
          <w:lang w:val="en" w:eastAsia="en-AU"/>
        </w:rPr>
        <w:t>—</w:t>
      </w:r>
    </w:p>
    <w:p w14:paraId="646D54D5" w14:textId="77777777" w:rsidR="00211D6A" w:rsidRPr="0070317C" w:rsidRDefault="00211D6A" w:rsidP="001240F9">
      <w:pPr>
        <w:pStyle w:val="Idefsubpara"/>
      </w:pPr>
      <w:r w:rsidRPr="0070317C">
        <w:tab/>
        <w:t>(i)</w:t>
      </w:r>
      <w:r w:rsidRPr="0070317C">
        <w:tab/>
        <w:t xml:space="preserve">sites for accommodating manufactured homes or mobile homes; and </w:t>
      </w:r>
    </w:p>
    <w:p w14:paraId="515C59ED" w14:textId="77777777" w:rsidR="00211D6A" w:rsidRPr="0070317C" w:rsidRDefault="00211D6A" w:rsidP="001240F9">
      <w:pPr>
        <w:pStyle w:val="Idefsubpara"/>
      </w:pPr>
      <w:r w:rsidRPr="0070317C">
        <w:tab/>
        <w:t>(ii)</w:t>
      </w:r>
      <w:r w:rsidRPr="0070317C">
        <w:tab/>
        <w:t>common areas and facilities for the use of people occupying the manufactured homes or mobile homes; and</w:t>
      </w:r>
    </w:p>
    <w:p w14:paraId="5EF2BE2D" w14:textId="77777777" w:rsidR="00211D6A" w:rsidRPr="0070317C" w:rsidRDefault="00211D6A" w:rsidP="001240F9">
      <w:pPr>
        <w:pStyle w:val="Idefpara"/>
      </w:pPr>
      <w:r w:rsidRPr="0070317C">
        <w:tab/>
        <w:t>(b)</w:t>
      </w:r>
      <w:r w:rsidRPr="0070317C">
        <w:tab/>
        <w:t>includes a caravan park or camping ground.</w:t>
      </w:r>
    </w:p>
    <w:p w14:paraId="21769F76" w14:textId="77777777" w:rsidR="00211D6A" w:rsidRPr="0070317C" w:rsidRDefault="00211D6A" w:rsidP="0070317C">
      <w:pPr>
        <w:pStyle w:val="aDef"/>
      </w:pPr>
      <w:r w:rsidRPr="0070317C">
        <w:rPr>
          <w:rStyle w:val="charBoldItals"/>
        </w:rPr>
        <w:t>residential park agreement</w:t>
      </w:r>
      <w:r w:rsidRPr="0070317C">
        <w:t>, for part 5B (Residential parks)—see section 71H.</w:t>
      </w:r>
    </w:p>
    <w:p w14:paraId="5ED046E9" w14:textId="77777777" w:rsidR="002E0711" w:rsidRPr="0070317C" w:rsidRDefault="00211D6A" w:rsidP="0070317C">
      <w:pPr>
        <w:pStyle w:val="aDef"/>
      </w:pPr>
      <w:r w:rsidRPr="0070317C">
        <w:rPr>
          <w:rStyle w:val="charBoldItals"/>
        </w:rPr>
        <w:t>site agreement</w:t>
      </w:r>
      <w:r w:rsidRPr="0070317C">
        <w:t>, for part 5B (Residential parks)—see section 71H.</w:t>
      </w:r>
    </w:p>
    <w:p w14:paraId="773D38B3" w14:textId="5F78A10C" w:rsidR="00AA12F0" w:rsidRPr="0070317C" w:rsidRDefault="00AA12F0" w:rsidP="0070317C">
      <w:pPr>
        <w:pStyle w:val="aDef"/>
      </w:pPr>
      <w:r w:rsidRPr="0070317C">
        <w:rPr>
          <w:rStyle w:val="charBoldItals"/>
        </w:rPr>
        <w:t>social housing dwelling</w:t>
      </w:r>
      <w:r w:rsidRPr="0070317C">
        <w:t xml:space="preserve"> means</w:t>
      </w:r>
      <w:r w:rsidR="002E6B50" w:rsidRPr="0070317C">
        <w:t xml:space="preserve"> </w:t>
      </w:r>
      <w:r w:rsidRPr="0070317C">
        <w:t>premises provided by</w:t>
      </w:r>
      <w:r w:rsidR="002E6B50" w:rsidRPr="0070317C">
        <w:t xml:space="preserve"> the housing commissioner or</w:t>
      </w:r>
      <w:r w:rsidRPr="0070317C">
        <w:t xml:space="preserve"> a registered community housing provider</w:t>
      </w:r>
      <w:r w:rsidR="002E6B50" w:rsidRPr="0070317C">
        <w:t xml:space="preserve"> under an approved housing assistance program under the </w:t>
      </w:r>
      <w:hyperlink r:id="rId31" w:tooltip="A2007-8" w:history="1">
        <w:r w:rsidR="009F5F26" w:rsidRPr="0070317C">
          <w:rPr>
            <w:rStyle w:val="charCitHyperlinkItal"/>
          </w:rPr>
          <w:t>Housing Assistance Act 2007</w:t>
        </w:r>
      </w:hyperlink>
      <w:r w:rsidRPr="0070317C">
        <w:t>.</w:t>
      </w:r>
    </w:p>
    <w:p w14:paraId="02B525FD" w14:textId="77777777" w:rsidR="00AA12F0" w:rsidRPr="0070317C" w:rsidRDefault="0070317C" w:rsidP="0070317C">
      <w:pPr>
        <w:pStyle w:val="AH5Sec"/>
        <w:shd w:val="pct25" w:color="auto" w:fill="auto"/>
        <w:rPr>
          <w:rStyle w:val="charItals"/>
        </w:rPr>
      </w:pPr>
      <w:bookmarkStart w:id="50" w:name="_Toc32321221"/>
      <w:r w:rsidRPr="0070317C">
        <w:rPr>
          <w:rStyle w:val="CharSectNo"/>
        </w:rPr>
        <w:t>45</w:t>
      </w:r>
      <w:r w:rsidRPr="0070317C">
        <w:rPr>
          <w:rStyle w:val="charItals"/>
          <w:i w:val="0"/>
        </w:rPr>
        <w:tab/>
      </w:r>
      <w:r w:rsidR="00AA12F0" w:rsidRPr="0070317C">
        <w:t xml:space="preserve">Dictionary, definition of </w:t>
      </w:r>
      <w:r w:rsidR="00AA12F0" w:rsidRPr="0070317C">
        <w:rPr>
          <w:rStyle w:val="charItals"/>
        </w:rPr>
        <w:t>standard occupancy terms</w:t>
      </w:r>
      <w:bookmarkEnd w:id="50"/>
    </w:p>
    <w:p w14:paraId="7A7F113B" w14:textId="77777777" w:rsidR="00AA12F0" w:rsidRPr="0070317C" w:rsidRDefault="00AA12F0" w:rsidP="00AA12F0">
      <w:pPr>
        <w:pStyle w:val="direction"/>
      </w:pPr>
      <w:r w:rsidRPr="0070317C">
        <w:t>omit</w:t>
      </w:r>
    </w:p>
    <w:p w14:paraId="77C4F8B9" w14:textId="77777777" w:rsidR="005F56E5" w:rsidRPr="0070317C" w:rsidRDefault="005F56E5" w:rsidP="0070317C">
      <w:pPr>
        <w:pStyle w:val="PageBreak"/>
        <w:suppressLineNumbers/>
      </w:pPr>
      <w:r w:rsidRPr="0070317C">
        <w:br w:type="page"/>
      </w:r>
    </w:p>
    <w:p w14:paraId="5A86BE87" w14:textId="77777777" w:rsidR="009501E3" w:rsidRPr="0070317C" w:rsidRDefault="0070317C" w:rsidP="0070317C">
      <w:pPr>
        <w:pStyle w:val="AH2Part"/>
      </w:pPr>
      <w:bookmarkStart w:id="51" w:name="_Toc32321222"/>
      <w:r w:rsidRPr="0070317C">
        <w:rPr>
          <w:rStyle w:val="CharPartNo"/>
        </w:rPr>
        <w:lastRenderedPageBreak/>
        <w:t>Part 3</w:t>
      </w:r>
      <w:r w:rsidRPr="0070317C">
        <w:tab/>
      </w:r>
      <w:r w:rsidR="00A37F8D" w:rsidRPr="0070317C">
        <w:rPr>
          <w:rStyle w:val="CharPartText"/>
        </w:rPr>
        <w:t>Residential Tenancies Regulation</w:t>
      </w:r>
      <w:r w:rsidR="005E0C56" w:rsidRPr="0070317C">
        <w:rPr>
          <w:rStyle w:val="CharPartText"/>
        </w:rPr>
        <w:t> </w:t>
      </w:r>
      <w:r w:rsidR="00A37F8D" w:rsidRPr="0070317C">
        <w:rPr>
          <w:rStyle w:val="CharPartText"/>
        </w:rPr>
        <w:t>199</w:t>
      </w:r>
      <w:r w:rsidR="003F456A" w:rsidRPr="0070317C">
        <w:rPr>
          <w:rStyle w:val="CharPartText"/>
        </w:rPr>
        <w:t>8</w:t>
      </w:r>
      <w:bookmarkEnd w:id="51"/>
    </w:p>
    <w:p w14:paraId="7E481B7A" w14:textId="77777777" w:rsidR="003F456A" w:rsidRPr="0070317C" w:rsidRDefault="0070317C" w:rsidP="0070317C">
      <w:pPr>
        <w:pStyle w:val="AH5Sec"/>
        <w:shd w:val="pct25" w:color="auto" w:fill="auto"/>
      </w:pPr>
      <w:bookmarkStart w:id="52" w:name="_Toc32321223"/>
      <w:r w:rsidRPr="0070317C">
        <w:rPr>
          <w:rStyle w:val="CharSectNo"/>
        </w:rPr>
        <w:t>46</w:t>
      </w:r>
      <w:r w:rsidRPr="0070317C">
        <w:tab/>
      </w:r>
      <w:r w:rsidR="003F456A" w:rsidRPr="0070317C">
        <w:t>Section 1B</w:t>
      </w:r>
      <w:bookmarkEnd w:id="52"/>
    </w:p>
    <w:p w14:paraId="2F5320BD" w14:textId="77777777" w:rsidR="003F456A" w:rsidRPr="0070317C" w:rsidRDefault="003F456A" w:rsidP="003F456A">
      <w:pPr>
        <w:pStyle w:val="direction"/>
      </w:pPr>
      <w:r w:rsidRPr="0070317C">
        <w:t>substitute</w:t>
      </w:r>
    </w:p>
    <w:p w14:paraId="231BD199" w14:textId="77777777" w:rsidR="003F456A" w:rsidRPr="0070317C" w:rsidRDefault="003F456A" w:rsidP="003F456A">
      <w:pPr>
        <w:pStyle w:val="IH5Sec"/>
      </w:pPr>
      <w:r w:rsidRPr="0070317C">
        <w:t>1B</w:t>
      </w:r>
      <w:r w:rsidRPr="0070317C">
        <w:tab/>
        <w:t xml:space="preserve">Smoke alarms and installation of smoke alarms—Act, s 11B and s </w:t>
      </w:r>
      <w:r w:rsidR="0088629B" w:rsidRPr="0070317C">
        <w:t>71</w:t>
      </w:r>
      <w:r w:rsidR="00304C8F" w:rsidRPr="0070317C">
        <w:t>CB</w:t>
      </w:r>
    </w:p>
    <w:p w14:paraId="7D449360" w14:textId="77777777" w:rsidR="003F456A" w:rsidRPr="0070317C" w:rsidRDefault="0088629B" w:rsidP="0088629B">
      <w:pPr>
        <w:pStyle w:val="IMain"/>
      </w:pPr>
      <w:r w:rsidRPr="0070317C">
        <w:tab/>
        <w:t>(1)</w:t>
      </w:r>
      <w:r w:rsidRPr="0070317C">
        <w:tab/>
      </w:r>
      <w:r w:rsidR="003F456A" w:rsidRPr="0070317C">
        <w:t xml:space="preserve">A smoke alarm installed </w:t>
      </w:r>
      <w:r w:rsidR="0045255D" w:rsidRPr="0070317C">
        <w:t>in, or for,</w:t>
      </w:r>
      <w:r w:rsidR="003F456A" w:rsidRPr="0070317C">
        <w:t xml:space="preserve"> premises subject to a residential tenancy </w:t>
      </w:r>
      <w:r w:rsidRPr="0070317C">
        <w:t xml:space="preserve">or an occupancy </w:t>
      </w:r>
      <w:r w:rsidR="003F456A" w:rsidRPr="0070317C">
        <w:t>agreement—</w:t>
      </w:r>
    </w:p>
    <w:p w14:paraId="4AD6BDF0" w14:textId="77777777" w:rsidR="003F456A" w:rsidRPr="0070317C" w:rsidRDefault="0088629B" w:rsidP="0088629B">
      <w:pPr>
        <w:pStyle w:val="Ipara"/>
      </w:pPr>
      <w:r w:rsidRPr="0070317C">
        <w:tab/>
        <w:t>(a)</w:t>
      </w:r>
      <w:r w:rsidRPr="0070317C">
        <w:tab/>
      </w:r>
      <w:r w:rsidR="003F456A" w:rsidRPr="0070317C">
        <w:t>must—</w:t>
      </w:r>
    </w:p>
    <w:p w14:paraId="2B4187F7" w14:textId="77777777" w:rsidR="003F456A" w:rsidRPr="0070317C" w:rsidRDefault="0088629B" w:rsidP="0088629B">
      <w:pPr>
        <w:pStyle w:val="Isubpara"/>
      </w:pPr>
      <w:r w:rsidRPr="0070317C">
        <w:tab/>
        <w:t>(i)</w:t>
      </w:r>
      <w:r w:rsidRPr="0070317C">
        <w:tab/>
      </w:r>
      <w:r w:rsidR="003F456A" w:rsidRPr="0070317C">
        <w:t xml:space="preserve">comply with AS 3786; and </w:t>
      </w:r>
    </w:p>
    <w:p w14:paraId="0C09D82A" w14:textId="77777777" w:rsidR="003F456A" w:rsidRPr="0070317C" w:rsidRDefault="003F456A" w:rsidP="0088629B">
      <w:pPr>
        <w:pStyle w:val="Isubpara"/>
      </w:pPr>
      <w:r w:rsidRPr="0070317C">
        <w:tab/>
        <w:t>(ii)</w:t>
      </w:r>
      <w:r w:rsidRPr="0070317C">
        <w:tab/>
        <w:t>be functional; and</w:t>
      </w:r>
    </w:p>
    <w:p w14:paraId="70B67708" w14:textId="77777777" w:rsidR="003F456A" w:rsidRPr="0070317C" w:rsidRDefault="003F456A" w:rsidP="0088629B">
      <w:pPr>
        <w:pStyle w:val="Isubpara"/>
      </w:pPr>
      <w:r w:rsidRPr="0070317C">
        <w:tab/>
        <w:t>(iii)</w:t>
      </w:r>
      <w:r w:rsidRPr="0070317C">
        <w:tab/>
        <w:t>be installed on or near the ceiling; and</w:t>
      </w:r>
    </w:p>
    <w:p w14:paraId="23015B74" w14:textId="77777777" w:rsidR="003F456A" w:rsidRPr="0070317C" w:rsidRDefault="0088629B" w:rsidP="0088629B">
      <w:pPr>
        <w:pStyle w:val="Ipara"/>
      </w:pPr>
      <w:r w:rsidRPr="0070317C">
        <w:tab/>
        <w:t>(b)</w:t>
      </w:r>
      <w:r w:rsidRPr="0070317C">
        <w:tab/>
      </w:r>
      <w:r w:rsidR="003F456A" w:rsidRPr="0070317C">
        <w:t>may be—</w:t>
      </w:r>
    </w:p>
    <w:p w14:paraId="061E3A33" w14:textId="77777777" w:rsidR="003F456A" w:rsidRPr="0070317C" w:rsidRDefault="0088629B" w:rsidP="0088629B">
      <w:pPr>
        <w:pStyle w:val="Isubpara"/>
      </w:pPr>
      <w:r w:rsidRPr="0070317C">
        <w:tab/>
        <w:t>(i)</w:t>
      </w:r>
      <w:r w:rsidRPr="0070317C">
        <w:tab/>
      </w:r>
      <w:r w:rsidR="003F456A" w:rsidRPr="0070317C">
        <w:t>battery-operated; or</w:t>
      </w:r>
    </w:p>
    <w:p w14:paraId="50AB6DD3" w14:textId="77777777" w:rsidR="0088629B" w:rsidRPr="0070317C" w:rsidRDefault="003F456A" w:rsidP="0070317C">
      <w:pPr>
        <w:pStyle w:val="Isubpara"/>
        <w:keepNext/>
      </w:pPr>
      <w:r w:rsidRPr="0070317C">
        <w:tab/>
        <w:t>(ii)</w:t>
      </w:r>
      <w:r w:rsidRPr="0070317C">
        <w:tab/>
        <w:t>hard-wired.</w:t>
      </w:r>
    </w:p>
    <w:p w14:paraId="5BA11370" w14:textId="77777777" w:rsidR="0088629B" w:rsidRPr="0070317C" w:rsidRDefault="0088629B" w:rsidP="0088629B">
      <w:pPr>
        <w:pStyle w:val="aNote"/>
      </w:pPr>
      <w:r w:rsidRPr="0070317C">
        <w:rPr>
          <w:rStyle w:val="charItals"/>
        </w:rPr>
        <w:t>Note</w:t>
      </w:r>
      <w:r w:rsidRPr="0070317C">
        <w:rPr>
          <w:rStyle w:val="charItals"/>
        </w:rPr>
        <w:tab/>
      </w:r>
      <w:r w:rsidR="003F456A" w:rsidRPr="0070317C">
        <w:t xml:space="preserve">AS 3786 requires a hard-wired smoke alarm to also have a </w:t>
      </w:r>
      <w:r w:rsidRPr="0070317C">
        <w:t>secondary power source.</w:t>
      </w:r>
    </w:p>
    <w:p w14:paraId="4D739D15" w14:textId="77777777" w:rsidR="003F456A" w:rsidRPr="0070317C" w:rsidRDefault="0088629B" w:rsidP="0088629B">
      <w:pPr>
        <w:pStyle w:val="IMain"/>
      </w:pPr>
      <w:r w:rsidRPr="0070317C">
        <w:tab/>
        <w:t>(2)</w:t>
      </w:r>
      <w:r w:rsidRPr="0070317C">
        <w:tab/>
      </w:r>
      <w:r w:rsidR="003F456A" w:rsidRPr="0070317C">
        <w:t xml:space="preserve">A smoke alarm must be installed </w:t>
      </w:r>
      <w:r w:rsidR="0045255D" w:rsidRPr="0070317C">
        <w:t xml:space="preserve">in, or for, </w:t>
      </w:r>
      <w:r w:rsidR="003F456A" w:rsidRPr="0070317C">
        <w:t>premises subject to a residential tenancy agreement</w:t>
      </w:r>
      <w:r w:rsidRPr="0070317C">
        <w:t xml:space="preserve"> or an occupancy agreement</w:t>
      </w:r>
      <w:r w:rsidR="003F456A" w:rsidRPr="0070317C">
        <w:t>—</w:t>
      </w:r>
    </w:p>
    <w:p w14:paraId="675E0FF5" w14:textId="77777777" w:rsidR="003F456A" w:rsidRPr="0070317C" w:rsidRDefault="003F456A" w:rsidP="006D75C0">
      <w:pPr>
        <w:pStyle w:val="Ipara"/>
      </w:pPr>
      <w:r w:rsidRPr="0070317C">
        <w:tab/>
        <w:t>(a)</w:t>
      </w:r>
      <w:r w:rsidRPr="0070317C">
        <w:tab/>
        <w:t>in each storey of the premises containing a bedroom—</w:t>
      </w:r>
    </w:p>
    <w:p w14:paraId="1E972856" w14:textId="77777777" w:rsidR="003F456A" w:rsidRPr="0070317C" w:rsidRDefault="003F456A" w:rsidP="006D75C0">
      <w:pPr>
        <w:pStyle w:val="Isubpara"/>
      </w:pPr>
      <w:r w:rsidRPr="0070317C">
        <w:tab/>
        <w:t>(i)</w:t>
      </w:r>
      <w:r w:rsidRPr="0070317C">
        <w:tab/>
        <w:t>in every corridor or hallway associated with a bedroom; and</w:t>
      </w:r>
    </w:p>
    <w:p w14:paraId="27F32829" w14:textId="77777777" w:rsidR="003F456A" w:rsidRPr="0070317C" w:rsidRDefault="003F456A" w:rsidP="006D75C0">
      <w:pPr>
        <w:pStyle w:val="Isubpara"/>
      </w:pPr>
      <w:r w:rsidRPr="0070317C">
        <w:tab/>
        <w:t>(ii)</w:t>
      </w:r>
      <w:r w:rsidRPr="0070317C">
        <w:tab/>
        <w:t>if there is no corridor or hallway—between each part of the premises containing a bedroom and the remainder of the premises; and</w:t>
      </w:r>
    </w:p>
    <w:p w14:paraId="36587A39" w14:textId="77777777" w:rsidR="003F456A" w:rsidRPr="0070317C" w:rsidRDefault="003F456A" w:rsidP="00D36C34">
      <w:pPr>
        <w:pStyle w:val="Ipara"/>
        <w:keepNext/>
      </w:pPr>
      <w:r w:rsidRPr="0070317C">
        <w:lastRenderedPageBreak/>
        <w:tab/>
        <w:t>(b)</w:t>
      </w:r>
      <w:r w:rsidRPr="0070317C">
        <w:tab/>
        <w:t>in each storey of the premises not containing a bedroom.</w:t>
      </w:r>
    </w:p>
    <w:p w14:paraId="7B55A190" w14:textId="31C723F3" w:rsidR="00847002" w:rsidRPr="0070317C" w:rsidRDefault="003F456A" w:rsidP="006D75C0">
      <w:pPr>
        <w:pStyle w:val="aNotess"/>
      </w:pPr>
      <w:r w:rsidRPr="0070317C">
        <w:rPr>
          <w:rStyle w:val="charItals"/>
        </w:rPr>
        <w:t>Note</w:t>
      </w:r>
      <w:r w:rsidRPr="0070317C">
        <w:rPr>
          <w:rStyle w:val="charItals"/>
        </w:rPr>
        <w:tab/>
      </w:r>
      <w:r w:rsidRPr="0070317C">
        <w:t xml:space="preserve">Other requirements may apply in relation to the installation of smoke alarms, for example, requirements under the </w:t>
      </w:r>
      <w:hyperlink r:id="rId32" w:tooltip="A2004-11" w:history="1">
        <w:r w:rsidR="009F5F26" w:rsidRPr="0070317C">
          <w:rPr>
            <w:rStyle w:val="charCitHyperlinkItal"/>
          </w:rPr>
          <w:t>Building Act 2004</w:t>
        </w:r>
      </w:hyperlink>
      <w:r w:rsidRPr="0070317C">
        <w:t>.</w:t>
      </w:r>
    </w:p>
    <w:p w14:paraId="1F240EBF" w14:textId="77777777" w:rsidR="002475B6" w:rsidRPr="0070317C" w:rsidRDefault="002475B6" w:rsidP="002475B6">
      <w:pPr>
        <w:pStyle w:val="IMain"/>
      </w:pPr>
      <w:r w:rsidRPr="0070317C">
        <w:tab/>
        <w:t>(3)</w:t>
      </w:r>
      <w:r w:rsidRPr="0070317C">
        <w:tab/>
        <w:t xml:space="preserve">If premises under an occupancy agreement is a bedroom or part of a bedroom, for subsection (2) (a) and (b), a reference to </w:t>
      </w:r>
      <w:r w:rsidRPr="0070317C">
        <w:rPr>
          <w:rStyle w:val="charBoldItals"/>
        </w:rPr>
        <w:t>premises</w:t>
      </w:r>
      <w:r w:rsidRPr="0070317C">
        <w:t xml:space="preserve"> means the building in which the premises are located.</w:t>
      </w:r>
    </w:p>
    <w:p w14:paraId="45566B8F" w14:textId="77777777" w:rsidR="003F456A" w:rsidRPr="0070317C" w:rsidRDefault="003F456A" w:rsidP="00FE785F">
      <w:pPr>
        <w:pStyle w:val="IMain"/>
      </w:pPr>
      <w:r w:rsidRPr="0070317C">
        <w:tab/>
        <w:t>(</w:t>
      </w:r>
      <w:r w:rsidR="002475B6" w:rsidRPr="0070317C">
        <w:t>4</w:t>
      </w:r>
      <w:r w:rsidRPr="0070317C">
        <w:t>)</w:t>
      </w:r>
      <w:r w:rsidRPr="0070317C">
        <w:tab/>
        <w:t>In this section:</w:t>
      </w:r>
    </w:p>
    <w:p w14:paraId="1F69334E" w14:textId="77777777" w:rsidR="003F456A" w:rsidRPr="0070317C" w:rsidRDefault="003F456A" w:rsidP="0070317C">
      <w:pPr>
        <w:pStyle w:val="aDef"/>
      </w:pPr>
      <w:r w:rsidRPr="0070317C">
        <w:rPr>
          <w:rStyle w:val="charBoldItals"/>
        </w:rPr>
        <w:t>AS 3786</w:t>
      </w:r>
      <w:r w:rsidRPr="0070317C">
        <w:t xml:space="preserve"> means Australian Standard </w:t>
      </w:r>
      <w:r w:rsidR="002012C0" w:rsidRPr="0070317C">
        <w:t>AS</w:t>
      </w:r>
      <w:r w:rsidR="003248D0">
        <w:t xml:space="preserve"> </w:t>
      </w:r>
      <w:r w:rsidRPr="0070317C">
        <w:t xml:space="preserve">3786 </w:t>
      </w:r>
      <w:r w:rsidR="002012C0" w:rsidRPr="0070317C">
        <w:t>(</w:t>
      </w:r>
      <w:r w:rsidRPr="0070317C">
        <w:rPr>
          <w:iCs/>
        </w:rPr>
        <w:t>Smoke alarms using scattered light, transmitted light or ionization</w:t>
      </w:r>
      <w:r w:rsidR="002012C0" w:rsidRPr="0070317C">
        <w:rPr>
          <w:iCs/>
        </w:rPr>
        <w:t>)</w:t>
      </w:r>
      <w:r w:rsidRPr="0070317C">
        <w:t xml:space="preserve"> as in force from time to time.</w:t>
      </w:r>
    </w:p>
    <w:p w14:paraId="21E1EF76" w14:textId="77777777" w:rsidR="0070317C" w:rsidRDefault="0070317C">
      <w:pPr>
        <w:pStyle w:val="02Text"/>
        <w:sectPr w:rsidR="0070317C" w:rsidSect="0070317C">
          <w:headerReference w:type="even" r:id="rId33"/>
          <w:headerReference w:type="default" r:id="rId34"/>
          <w:footerReference w:type="even" r:id="rId35"/>
          <w:footerReference w:type="default" r:id="rId36"/>
          <w:footerReference w:type="first" r:id="rId37"/>
          <w:pgSz w:w="11907" w:h="16839" w:code="9"/>
          <w:pgMar w:top="3880" w:right="1900" w:bottom="3100" w:left="2300" w:header="2280" w:footer="1760" w:gutter="0"/>
          <w:lnNumType w:countBy="1"/>
          <w:pgNumType w:start="1"/>
          <w:cols w:space="720"/>
          <w:titlePg/>
          <w:docGrid w:linePitch="326"/>
        </w:sectPr>
      </w:pPr>
    </w:p>
    <w:p w14:paraId="73AC3737" w14:textId="77777777" w:rsidR="00E97D90" w:rsidRPr="0070317C" w:rsidRDefault="00E97D90" w:rsidP="0070317C">
      <w:pPr>
        <w:pStyle w:val="PageBreak"/>
        <w:suppressLineNumbers/>
      </w:pPr>
      <w:r w:rsidRPr="0070317C">
        <w:br w:type="page"/>
      </w:r>
    </w:p>
    <w:p w14:paraId="30CF1F69" w14:textId="77777777" w:rsidR="00E97D90" w:rsidRPr="0070317C" w:rsidRDefault="0070317C" w:rsidP="0070317C">
      <w:pPr>
        <w:pStyle w:val="Sched-heading"/>
        <w:tabs>
          <w:tab w:val="left" w:pos="432"/>
        </w:tabs>
        <w:spacing w:after="60"/>
        <w:ind w:left="432" w:hanging="432"/>
      </w:pPr>
      <w:bookmarkStart w:id="53" w:name="_Toc32321224"/>
      <w:r w:rsidRPr="0070317C">
        <w:rPr>
          <w:rStyle w:val="CharChapNo"/>
        </w:rPr>
        <w:lastRenderedPageBreak/>
        <w:t>Schedule 1</w:t>
      </w:r>
      <w:r w:rsidRPr="0070317C">
        <w:tab/>
      </w:r>
      <w:r w:rsidR="00E97D90" w:rsidRPr="0070317C">
        <w:rPr>
          <w:rStyle w:val="CharChapText"/>
        </w:rPr>
        <w:t>Other amendments</w:t>
      </w:r>
      <w:bookmarkEnd w:id="53"/>
    </w:p>
    <w:p w14:paraId="14F4BE50" w14:textId="77777777" w:rsidR="00E97D90" w:rsidRPr="0070317C" w:rsidRDefault="00E97D90" w:rsidP="00277099">
      <w:pPr>
        <w:pStyle w:val="ref"/>
      </w:pPr>
      <w:r w:rsidRPr="0070317C">
        <w:t>(see s 3)</w:t>
      </w:r>
    </w:p>
    <w:p w14:paraId="0C35BB43" w14:textId="77777777" w:rsidR="00E97D90" w:rsidRPr="0070317C" w:rsidRDefault="0070317C" w:rsidP="0070317C">
      <w:pPr>
        <w:pStyle w:val="Sched-Part"/>
      </w:pPr>
      <w:bookmarkStart w:id="54" w:name="_Toc32321225"/>
      <w:r w:rsidRPr="0070317C">
        <w:rPr>
          <w:rStyle w:val="CharPartNo"/>
        </w:rPr>
        <w:t>Part 1.1</w:t>
      </w:r>
      <w:r w:rsidRPr="0070317C">
        <w:tab/>
      </w:r>
      <w:r w:rsidR="00E97D90" w:rsidRPr="0070317C">
        <w:rPr>
          <w:rStyle w:val="CharPartText"/>
        </w:rPr>
        <w:t>Human Rights Commission Act</w:t>
      </w:r>
      <w:r w:rsidR="00C0620A" w:rsidRPr="0070317C">
        <w:rPr>
          <w:rStyle w:val="CharPartText"/>
        </w:rPr>
        <w:t> </w:t>
      </w:r>
      <w:r w:rsidR="00E97D90" w:rsidRPr="0070317C">
        <w:rPr>
          <w:rStyle w:val="CharPartText"/>
        </w:rPr>
        <w:t>2005</w:t>
      </w:r>
      <w:bookmarkEnd w:id="54"/>
    </w:p>
    <w:p w14:paraId="045DB5A9" w14:textId="77777777" w:rsidR="00E97D90" w:rsidRPr="0070317C" w:rsidRDefault="0070317C" w:rsidP="0070317C">
      <w:pPr>
        <w:pStyle w:val="ShadedSchClause"/>
      </w:pPr>
      <w:bookmarkStart w:id="55" w:name="_Toc32321226"/>
      <w:r w:rsidRPr="0070317C">
        <w:rPr>
          <w:rStyle w:val="CharSectNo"/>
        </w:rPr>
        <w:t>[1.1]</w:t>
      </w:r>
      <w:r w:rsidRPr="0070317C">
        <w:tab/>
      </w:r>
      <w:r w:rsidR="00E97D90" w:rsidRPr="0070317C">
        <w:t>New section 41A</w:t>
      </w:r>
      <w:bookmarkEnd w:id="55"/>
    </w:p>
    <w:p w14:paraId="1A0ED057" w14:textId="77777777" w:rsidR="00E97D90" w:rsidRPr="0070317C" w:rsidRDefault="00E97D90" w:rsidP="00E97D90">
      <w:pPr>
        <w:pStyle w:val="direction"/>
      </w:pPr>
      <w:r w:rsidRPr="0070317C">
        <w:t>insert</w:t>
      </w:r>
    </w:p>
    <w:p w14:paraId="455B5912" w14:textId="77777777" w:rsidR="00E97D90" w:rsidRPr="0070317C" w:rsidRDefault="00E97D90" w:rsidP="00E97D90">
      <w:pPr>
        <w:pStyle w:val="IH5Sec"/>
      </w:pPr>
      <w:r w:rsidRPr="0070317C">
        <w:t>41A</w:t>
      </w:r>
      <w:r w:rsidRPr="0070317C">
        <w:tab/>
        <w:t>When may someone complain about an occupancy dispute?</w:t>
      </w:r>
    </w:p>
    <w:p w14:paraId="5C74DB9B" w14:textId="77777777" w:rsidR="00E97D90" w:rsidRPr="0070317C" w:rsidRDefault="00E97D90" w:rsidP="00E97D90">
      <w:pPr>
        <w:pStyle w:val="Amainreturn"/>
      </w:pPr>
      <w:r w:rsidRPr="0070317C">
        <w:t>A person may complain to the commission about an occupancy dispute.</w:t>
      </w:r>
    </w:p>
    <w:p w14:paraId="0A19C1DF" w14:textId="77777777" w:rsidR="00E97D90" w:rsidRPr="0070317C" w:rsidRDefault="0070317C" w:rsidP="0070317C">
      <w:pPr>
        <w:pStyle w:val="ShadedSchClause"/>
      </w:pPr>
      <w:bookmarkStart w:id="56" w:name="_Toc32321227"/>
      <w:r w:rsidRPr="0070317C">
        <w:rPr>
          <w:rStyle w:val="CharSectNo"/>
        </w:rPr>
        <w:t>[1.2]</w:t>
      </w:r>
      <w:r w:rsidRPr="0070317C">
        <w:tab/>
      </w:r>
      <w:r w:rsidR="00E97D90" w:rsidRPr="0070317C">
        <w:t>New section 42 (1) (g)</w:t>
      </w:r>
      <w:bookmarkEnd w:id="56"/>
    </w:p>
    <w:p w14:paraId="192F4575" w14:textId="77777777" w:rsidR="00E97D90" w:rsidRPr="0070317C" w:rsidRDefault="0077142D" w:rsidP="00E97D90">
      <w:pPr>
        <w:pStyle w:val="direction"/>
      </w:pPr>
      <w:r w:rsidRPr="0070317C">
        <w:t xml:space="preserve">before the notes, </w:t>
      </w:r>
      <w:r w:rsidR="00E97D90" w:rsidRPr="0070317C">
        <w:t>insert</w:t>
      </w:r>
    </w:p>
    <w:p w14:paraId="45884AE2" w14:textId="77777777" w:rsidR="00E97D90" w:rsidRPr="0070317C" w:rsidRDefault="00E97D90" w:rsidP="00E97D90">
      <w:pPr>
        <w:pStyle w:val="Ipara"/>
      </w:pPr>
      <w:r w:rsidRPr="0070317C">
        <w:tab/>
        <w:t>(g)</w:t>
      </w:r>
      <w:r w:rsidRPr="0070317C">
        <w:tab/>
        <w:t xml:space="preserve">a complaint about an occupancy dispute (an </w:t>
      </w:r>
      <w:r w:rsidRPr="0070317C">
        <w:rPr>
          <w:rStyle w:val="charBoldItals"/>
        </w:rPr>
        <w:t>occupancy dispute complaint</w:t>
      </w:r>
      <w:r w:rsidRPr="0070317C">
        <w:t>).</w:t>
      </w:r>
    </w:p>
    <w:p w14:paraId="18AD8E7B" w14:textId="77777777" w:rsidR="00E97D90" w:rsidRPr="0070317C" w:rsidRDefault="0070317C" w:rsidP="0070317C">
      <w:pPr>
        <w:pStyle w:val="ShadedSchClause"/>
      </w:pPr>
      <w:bookmarkStart w:id="57" w:name="_Toc32321228"/>
      <w:r w:rsidRPr="0070317C">
        <w:rPr>
          <w:rStyle w:val="CharSectNo"/>
        </w:rPr>
        <w:t>[1.3]</w:t>
      </w:r>
      <w:r w:rsidRPr="0070317C">
        <w:tab/>
      </w:r>
      <w:r w:rsidR="00E97D90" w:rsidRPr="0070317C">
        <w:t>New section 43 (1) (h)</w:t>
      </w:r>
      <w:bookmarkEnd w:id="57"/>
    </w:p>
    <w:p w14:paraId="553FB802" w14:textId="77777777" w:rsidR="00E97D90" w:rsidRPr="0070317C" w:rsidRDefault="0077142D" w:rsidP="00E97D90">
      <w:pPr>
        <w:pStyle w:val="direction"/>
      </w:pPr>
      <w:r w:rsidRPr="0070317C">
        <w:t xml:space="preserve">before the note, </w:t>
      </w:r>
      <w:r w:rsidR="00E97D90" w:rsidRPr="0070317C">
        <w:t>insert</w:t>
      </w:r>
    </w:p>
    <w:p w14:paraId="08830ED4" w14:textId="77777777" w:rsidR="00E97D90" w:rsidRPr="0070317C" w:rsidRDefault="00E97D90" w:rsidP="00E97D90">
      <w:pPr>
        <w:pStyle w:val="Ipara"/>
      </w:pPr>
      <w:r w:rsidRPr="0070317C">
        <w:tab/>
        <w:t>(h)</w:t>
      </w:r>
      <w:r w:rsidRPr="0070317C">
        <w:tab/>
        <w:t>if the complaint is an occupancy dispute complaint—an occupant under the occupancy agreement.</w:t>
      </w:r>
    </w:p>
    <w:p w14:paraId="26DC9649" w14:textId="77777777" w:rsidR="00E97D90" w:rsidRPr="0070317C" w:rsidRDefault="0070317C" w:rsidP="0070317C">
      <w:pPr>
        <w:pStyle w:val="ShadedSchClause"/>
      </w:pPr>
      <w:bookmarkStart w:id="58" w:name="_Toc32321229"/>
      <w:r w:rsidRPr="0070317C">
        <w:rPr>
          <w:rStyle w:val="CharSectNo"/>
        </w:rPr>
        <w:lastRenderedPageBreak/>
        <w:t>[1.4]</w:t>
      </w:r>
      <w:r w:rsidRPr="0070317C">
        <w:tab/>
      </w:r>
      <w:r w:rsidR="00E97D90" w:rsidRPr="0070317C">
        <w:t>New section 45 (2) (ea)</w:t>
      </w:r>
      <w:bookmarkEnd w:id="58"/>
    </w:p>
    <w:p w14:paraId="777E3BFE" w14:textId="77777777" w:rsidR="00E97D90" w:rsidRPr="0070317C" w:rsidRDefault="00E97D90" w:rsidP="00E97D90">
      <w:pPr>
        <w:pStyle w:val="direction"/>
      </w:pPr>
      <w:r w:rsidRPr="0070317C">
        <w:t>insert</w:t>
      </w:r>
    </w:p>
    <w:p w14:paraId="40D0786F" w14:textId="77777777" w:rsidR="00E97D90" w:rsidRPr="0070317C" w:rsidRDefault="00E97D90" w:rsidP="00663155">
      <w:pPr>
        <w:pStyle w:val="Ipara"/>
        <w:keepLines/>
      </w:pPr>
      <w:r w:rsidRPr="0070317C">
        <w:tab/>
        <w:t>(ea)</w:t>
      </w:r>
      <w:r w:rsidRPr="0070317C">
        <w:tab/>
        <w:t>if the complaint is an occupancy dispute complaint and the commission decides not to refer the complaint for conciliation—tell the complainant</w:t>
      </w:r>
      <w:r w:rsidR="0077142D" w:rsidRPr="0070317C">
        <w:t>,</w:t>
      </w:r>
      <w:r w:rsidRPr="0070317C">
        <w:t xml:space="preserve"> in writing</w:t>
      </w:r>
      <w:r w:rsidR="0077142D" w:rsidRPr="0070317C">
        <w:t>,</w:t>
      </w:r>
      <w:r w:rsidRPr="0070317C">
        <w:t xml:space="preserve"> that the complaint will not be referred for conciliation and include an occupancy dispute referral statement; and</w:t>
      </w:r>
    </w:p>
    <w:p w14:paraId="18A9093A" w14:textId="77777777" w:rsidR="00E97D90" w:rsidRPr="0070317C" w:rsidRDefault="0070317C" w:rsidP="0070317C">
      <w:pPr>
        <w:pStyle w:val="ShadedSchClause"/>
      </w:pPr>
      <w:bookmarkStart w:id="59" w:name="_Toc32321230"/>
      <w:r w:rsidRPr="0070317C">
        <w:rPr>
          <w:rStyle w:val="CharSectNo"/>
        </w:rPr>
        <w:t>[1.5]</w:t>
      </w:r>
      <w:r w:rsidRPr="0070317C">
        <w:tab/>
      </w:r>
      <w:r w:rsidR="00E97D90" w:rsidRPr="0070317C">
        <w:t>New division 4.2C</w:t>
      </w:r>
      <w:bookmarkEnd w:id="59"/>
    </w:p>
    <w:p w14:paraId="27D3B3D0" w14:textId="77777777" w:rsidR="00E97D90" w:rsidRPr="0070317C" w:rsidRDefault="00E97D90" w:rsidP="00E97D90">
      <w:pPr>
        <w:pStyle w:val="direction"/>
      </w:pPr>
      <w:r w:rsidRPr="0070317C">
        <w:t>insert</w:t>
      </w:r>
    </w:p>
    <w:p w14:paraId="7FA5FFCF" w14:textId="77777777" w:rsidR="00E97D90" w:rsidRPr="0070317C" w:rsidRDefault="00E97D90" w:rsidP="00E97D90">
      <w:pPr>
        <w:pStyle w:val="IH3Div"/>
      </w:pPr>
      <w:r w:rsidRPr="0070317C">
        <w:t>Division 4.2C</w:t>
      </w:r>
      <w:r w:rsidRPr="0070317C">
        <w:tab/>
        <w:t>Certain occupancy dispute complaints to ACAT</w:t>
      </w:r>
    </w:p>
    <w:p w14:paraId="1E53B2D2" w14:textId="77777777" w:rsidR="00E97D90" w:rsidRPr="0070317C" w:rsidRDefault="00E97D90" w:rsidP="00E97D90">
      <w:pPr>
        <w:pStyle w:val="IH5Sec"/>
      </w:pPr>
      <w:r w:rsidRPr="0070317C">
        <w:t>53P</w:t>
      </w:r>
      <w:r w:rsidRPr="0070317C">
        <w:tab/>
        <w:t>Definitions</w:t>
      </w:r>
      <w:r w:rsidRPr="0070317C">
        <w:rPr>
          <w:color w:val="000000"/>
        </w:rPr>
        <w:t>—div 4.2C</w:t>
      </w:r>
    </w:p>
    <w:p w14:paraId="0BFFD744" w14:textId="77777777" w:rsidR="00E97D90" w:rsidRPr="0070317C" w:rsidRDefault="00E97D90" w:rsidP="00E97D90">
      <w:pPr>
        <w:pStyle w:val="IMain"/>
      </w:pPr>
      <w:r w:rsidRPr="0070317C">
        <w:tab/>
        <w:t>(1)</w:t>
      </w:r>
      <w:r w:rsidRPr="0070317C">
        <w:tab/>
        <w:t>In this division:</w:t>
      </w:r>
    </w:p>
    <w:p w14:paraId="70F20F49" w14:textId="77777777" w:rsidR="0077142D" w:rsidRPr="0070317C" w:rsidRDefault="0077142D" w:rsidP="0070317C">
      <w:pPr>
        <w:pStyle w:val="aDef"/>
      </w:pPr>
      <w:r w:rsidRPr="0070317C">
        <w:rPr>
          <w:rStyle w:val="charBoldItals"/>
        </w:rPr>
        <w:t>occupancy dispute complaint</w:t>
      </w:r>
      <w:r w:rsidRPr="0070317C">
        <w:rPr>
          <w:color w:val="000000"/>
        </w:rPr>
        <w:t>—see section 42 (1) (g).</w:t>
      </w:r>
    </w:p>
    <w:p w14:paraId="11415D95" w14:textId="3FBAEBE8" w:rsidR="00E97D90" w:rsidRPr="0070317C" w:rsidRDefault="00E97D90" w:rsidP="0070317C">
      <w:pPr>
        <w:pStyle w:val="aDef"/>
      </w:pPr>
      <w:r w:rsidRPr="0070317C">
        <w:rPr>
          <w:rStyle w:val="charBoldItals"/>
        </w:rPr>
        <w:t>person complained about</w:t>
      </w:r>
      <w:r w:rsidRPr="0070317C">
        <w:t xml:space="preserve"> means the grantor under an occupancy agreement under the </w:t>
      </w:r>
      <w:hyperlink r:id="rId38" w:tooltip="A1997-84" w:history="1">
        <w:r w:rsidR="009F5F26" w:rsidRPr="0070317C">
          <w:rPr>
            <w:rStyle w:val="charCitHyperlinkItal"/>
          </w:rPr>
          <w:t>Residential Tenancies Act 1997</w:t>
        </w:r>
      </w:hyperlink>
      <w:r w:rsidRPr="0070317C">
        <w:t>.</w:t>
      </w:r>
    </w:p>
    <w:p w14:paraId="13AFCC90" w14:textId="77777777" w:rsidR="00E97D90" w:rsidRPr="0070317C" w:rsidRDefault="00E97D90" w:rsidP="00E97D90">
      <w:pPr>
        <w:pStyle w:val="IMain"/>
      </w:pPr>
      <w:r w:rsidRPr="0070317C">
        <w:tab/>
        <w:t>(2)</w:t>
      </w:r>
      <w:r w:rsidRPr="0070317C">
        <w:tab/>
        <w:t>In this section:</w:t>
      </w:r>
    </w:p>
    <w:p w14:paraId="5A4762F6" w14:textId="00F8F9D4" w:rsidR="00E97D90" w:rsidRPr="0070317C" w:rsidRDefault="00E97D90" w:rsidP="0070317C">
      <w:pPr>
        <w:pStyle w:val="aDef"/>
        <w:rPr>
          <w:color w:val="000000"/>
        </w:rPr>
      </w:pPr>
      <w:r w:rsidRPr="0070317C">
        <w:rPr>
          <w:rStyle w:val="charBoldItals"/>
        </w:rPr>
        <w:t>grantor</w:t>
      </w:r>
      <w:r w:rsidRPr="0070317C">
        <w:rPr>
          <w:color w:val="000000"/>
        </w:rPr>
        <w:t>—see</w:t>
      </w:r>
      <w:r w:rsidRPr="0070317C">
        <w:t xml:space="preserve"> the </w:t>
      </w:r>
      <w:hyperlink r:id="rId39" w:tooltip="A1997-84" w:history="1">
        <w:r w:rsidR="009F5F26" w:rsidRPr="0070317C">
          <w:rPr>
            <w:rStyle w:val="charCitHyperlinkItal"/>
          </w:rPr>
          <w:t>Residential Tenancies Act 1997</w:t>
        </w:r>
      </w:hyperlink>
      <w:r w:rsidRPr="0070317C">
        <w:t>, section 71A.</w:t>
      </w:r>
    </w:p>
    <w:p w14:paraId="7FAC6F79" w14:textId="77777777" w:rsidR="00E97D90" w:rsidRPr="0070317C" w:rsidRDefault="00E97D90" w:rsidP="00E97D90">
      <w:pPr>
        <w:pStyle w:val="IH5Sec"/>
      </w:pPr>
      <w:r w:rsidRPr="0070317C">
        <w:t>53Q</w:t>
      </w:r>
      <w:r w:rsidRPr="0070317C">
        <w:tab/>
        <w:t>Application—div 4.2C</w:t>
      </w:r>
    </w:p>
    <w:p w14:paraId="153D7BAE" w14:textId="77777777" w:rsidR="00E97D90" w:rsidRPr="0070317C" w:rsidRDefault="00E97D90" w:rsidP="00E97D90">
      <w:pPr>
        <w:pStyle w:val="Amainreturn"/>
      </w:pPr>
      <w:r w:rsidRPr="0070317C">
        <w:t>This division applies to an occupancy dispute complaint.</w:t>
      </w:r>
    </w:p>
    <w:p w14:paraId="72BE8C76" w14:textId="77777777" w:rsidR="00E97D90" w:rsidRPr="0070317C" w:rsidRDefault="00E97D90" w:rsidP="00663155">
      <w:pPr>
        <w:pStyle w:val="IH5Sec"/>
      </w:pPr>
      <w:r w:rsidRPr="0070317C">
        <w:lastRenderedPageBreak/>
        <w:t>53R</w:t>
      </w:r>
      <w:r w:rsidRPr="0070317C">
        <w:tab/>
        <w:t>Occupancy dispute complaints—referral</w:t>
      </w:r>
    </w:p>
    <w:p w14:paraId="131F8B4C" w14:textId="77777777" w:rsidR="00E97D90" w:rsidRPr="0070317C" w:rsidRDefault="00E97D90" w:rsidP="00663155">
      <w:pPr>
        <w:pStyle w:val="IMain"/>
        <w:keepNext/>
      </w:pPr>
      <w:r w:rsidRPr="0070317C">
        <w:tab/>
        <w:t>(1)</w:t>
      </w:r>
      <w:r w:rsidRPr="0070317C">
        <w:tab/>
        <w:t>This section applies if—</w:t>
      </w:r>
    </w:p>
    <w:p w14:paraId="3C2FA2F9" w14:textId="77777777" w:rsidR="00E97D90" w:rsidRPr="0070317C" w:rsidRDefault="00E97D90" w:rsidP="00663155">
      <w:pPr>
        <w:pStyle w:val="Ipara"/>
        <w:keepNext/>
      </w:pPr>
      <w:r w:rsidRPr="0070317C">
        <w:tab/>
        <w:t>(a)</w:t>
      </w:r>
      <w:r w:rsidRPr="0070317C">
        <w:tab/>
        <w:t>either—</w:t>
      </w:r>
    </w:p>
    <w:p w14:paraId="0A8C056C" w14:textId="77777777" w:rsidR="00E97D90" w:rsidRPr="0070317C" w:rsidRDefault="00E97D90" w:rsidP="00E97D90">
      <w:pPr>
        <w:pStyle w:val="Isubpara"/>
      </w:pPr>
      <w:r w:rsidRPr="0070317C">
        <w:tab/>
        <w:t>(i)</w:t>
      </w:r>
      <w:r w:rsidRPr="0070317C">
        <w:tab/>
        <w:t>a complainant is given an occupancy dispute referral statement under section 45 (2) (ea) (Commission’s obligation to be prompt and efficient); or</w:t>
      </w:r>
    </w:p>
    <w:p w14:paraId="38B8C758" w14:textId="77777777" w:rsidR="00E97D90" w:rsidRPr="0070317C" w:rsidRDefault="00E97D90" w:rsidP="009513E4">
      <w:pPr>
        <w:pStyle w:val="Isubpara"/>
      </w:pPr>
      <w:r w:rsidRPr="0070317C">
        <w:tab/>
        <w:t>(ii)</w:t>
      </w:r>
      <w:r w:rsidRPr="0070317C">
        <w:tab/>
        <w:t>a statement under section 82B (1) (Closing occupancy dispute complaints) is included in a final report in relation to a complaint; and</w:t>
      </w:r>
    </w:p>
    <w:p w14:paraId="23C43CE8" w14:textId="77777777" w:rsidR="00E97D90" w:rsidRPr="0070317C" w:rsidRDefault="00E97D90" w:rsidP="00E97D90">
      <w:pPr>
        <w:pStyle w:val="Ipara"/>
      </w:pPr>
      <w:r w:rsidRPr="0070317C">
        <w:tab/>
        <w:t>(b)</w:t>
      </w:r>
      <w:r w:rsidRPr="0070317C">
        <w:tab/>
        <w:t>within 60 days after the statement is given, the complainant requires the commission to refer the complaint to the ACAT.</w:t>
      </w:r>
    </w:p>
    <w:p w14:paraId="3A616420" w14:textId="77777777" w:rsidR="00E97D90" w:rsidRPr="0070317C" w:rsidRDefault="00E97D90" w:rsidP="00E97D90">
      <w:pPr>
        <w:pStyle w:val="IMain"/>
      </w:pPr>
      <w:r w:rsidRPr="0070317C">
        <w:tab/>
        <w:t>(2)</w:t>
      </w:r>
      <w:r w:rsidRPr="0070317C">
        <w:tab/>
        <w:t>The commission must—</w:t>
      </w:r>
    </w:p>
    <w:p w14:paraId="454B0348" w14:textId="77777777" w:rsidR="00E97D90" w:rsidRPr="0070317C" w:rsidRDefault="00E97D90" w:rsidP="00E97D90">
      <w:pPr>
        <w:pStyle w:val="Ipara"/>
      </w:pPr>
      <w:r w:rsidRPr="0070317C">
        <w:tab/>
        <w:t>(a)</w:t>
      </w:r>
      <w:r w:rsidRPr="0070317C">
        <w:tab/>
        <w:t>refer the complaint to the ACAT; and</w:t>
      </w:r>
    </w:p>
    <w:p w14:paraId="69C9AAF5" w14:textId="77777777" w:rsidR="00E97D90" w:rsidRPr="0070317C" w:rsidRDefault="00E97D90" w:rsidP="0070317C">
      <w:pPr>
        <w:pStyle w:val="Ipara"/>
        <w:keepNext/>
      </w:pPr>
      <w:r w:rsidRPr="0070317C">
        <w:tab/>
        <w:t>(b)</w:t>
      </w:r>
      <w:r w:rsidRPr="0070317C">
        <w:tab/>
        <w:t>tell the complainant and the person complained about, in writing, about the referral.</w:t>
      </w:r>
    </w:p>
    <w:p w14:paraId="78B075FB" w14:textId="77777777" w:rsidR="00E97D90" w:rsidRPr="0070317C" w:rsidRDefault="00E97D90" w:rsidP="00E97D90">
      <w:pPr>
        <w:pStyle w:val="aNote"/>
      </w:pPr>
      <w:r w:rsidRPr="0070317C">
        <w:rPr>
          <w:rStyle w:val="charItals"/>
        </w:rPr>
        <w:t>Note</w:t>
      </w:r>
      <w:r w:rsidRPr="0070317C">
        <w:rPr>
          <w:rStyle w:val="charItals"/>
        </w:rPr>
        <w:tab/>
      </w:r>
      <w:r w:rsidRPr="0070317C">
        <w:t>The commission must also close the complaint (see s 78 (2) (d)).</w:t>
      </w:r>
    </w:p>
    <w:p w14:paraId="24AB1D7D" w14:textId="77777777" w:rsidR="00E97D90" w:rsidRPr="0070317C" w:rsidRDefault="00E97D90" w:rsidP="00E97D90">
      <w:pPr>
        <w:pStyle w:val="IH5Sec"/>
      </w:pPr>
      <w:r w:rsidRPr="0070317C">
        <w:t>53S</w:t>
      </w:r>
      <w:r w:rsidRPr="0070317C">
        <w:tab/>
        <w:t>Occupancy dispute complaints—late application in exceptional circumstances</w:t>
      </w:r>
    </w:p>
    <w:p w14:paraId="53970F43" w14:textId="77777777" w:rsidR="00E97D90" w:rsidRPr="0070317C" w:rsidRDefault="00E97D90" w:rsidP="00E97D90">
      <w:pPr>
        <w:pStyle w:val="IMain"/>
      </w:pPr>
      <w:r w:rsidRPr="0070317C">
        <w:tab/>
        <w:t>(1)</w:t>
      </w:r>
      <w:r w:rsidRPr="0070317C">
        <w:tab/>
        <w:t>This section applies if—</w:t>
      </w:r>
    </w:p>
    <w:p w14:paraId="653168C9" w14:textId="77777777" w:rsidR="00E97D90" w:rsidRPr="0070317C" w:rsidRDefault="00E97D90" w:rsidP="00E97D90">
      <w:pPr>
        <w:pStyle w:val="Ipara"/>
      </w:pPr>
      <w:r w:rsidRPr="0070317C">
        <w:tab/>
        <w:t>(a)</w:t>
      </w:r>
      <w:r w:rsidRPr="0070317C">
        <w:tab/>
        <w:t>a complainant has been given a statement under section 45 (2) (ea) (Commission’s obligation to be prompt and efficient) or section 82B (1) (Closing occupancy dispute complaints); and</w:t>
      </w:r>
    </w:p>
    <w:p w14:paraId="338DD2FE" w14:textId="77777777" w:rsidR="00E97D90" w:rsidRPr="0070317C" w:rsidRDefault="00E97D90" w:rsidP="00E97D90">
      <w:pPr>
        <w:pStyle w:val="Ipara"/>
      </w:pPr>
      <w:r w:rsidRPr="0070317C">
        <w:tab/>
        <w:t>(b)</w:t>
      </w:r>
      <w:r w:rsidRPr="0070317C">
        <w:tab/>
        <w:t>the complainant has not required the commission to refer the complaint to the ACAT within 60 days after the statement is given to the complainant.</w:t>
      </w:r>
    </w:p>
    <w:p w14:paraId="62E42A4C" w14:textId="77777777" w:rsidR="00E97D90" w:rsidRPr="0070317C" w:rsidRDefault="00E97D90" w:rsidP="00663155">
      <w:pPr>
        <w:pStyle w:val="IMain"/>
        <w:keepNext/>
      </w:pPr>
      <w:r w:rsidRPr="0070317C">
        <w:lastRenderedPageBreak/>
        <w:tab/>
        <w:t>(2)</w:t>
      </w:r>
      <w:r w:rsidRPr="0070317C">
        <w:tab/>
        <w:t>The complainant may apply to the ACAT for the complaint to be heard by the ACAT.</w:t>
      </w:r>
    </w:p>
    <w:p w14:paraId="66377F26" w14:textId="77777777" w:rsidR="00E97D90" w:rsidRPr="0070317C" w:rsidRDefault="00E97D90" w:rsidP="00E97D90">
      <w:pPr>
        <w:pStyle w:val="IMain"/>
      </w:pPr>
      <w:r w:rsidRPr="0070317C">
        <w:tab/>
        <w:t>(3)</w:t>
      </w:r>
      <w:r w:rsidRPr="0070317C">
        <w:tab/>
        <w:t>The ACAT may grant the application only if satisfied on reasonable grounds that exceptional circumstances prevented the complainant from requiring the complaint to be referred to the ACAT within the 60-day period.</w:t>
      </w:r>
    </w:p>
    <w:p w14:paraId="7A15B0F7" w14:textId="77777777" w:rsidR="00E97D90" w:rsidRPr="0070317C" w:rsidRDefault="00E97D90" w:rsidP="00E97D90">
      <w:pPr>
        <w:pStyle w:val="IMain"/>
      </w:pPr>
      <w:r w:rsidRPr="0070317C">
        <w:tab/>
        <w:t>(4)</w:t>
      </w:r>
      <w:r w:rsidRPr="0070317C">
        <w:tab/>
        <w:t>If the ACAT grants the application, the complaint is, for this Act, taken to have been referred to the ACAT.</w:t>
      </w:r>
    </w:p>
    <w:p w14:paraId="2D32DD9B" w14:textId="77777777" w:rsidR="00E97D90" w:rsidRPr="0070317C" w:rsidRDefault="00E97D90" w:rsidP="00E97D90">
      <w:pPr>
        <w:pStyle w:val="IH5Sec"/>
      </w:pPr>
      <w:r w:rsidRPr="0070317C">
        <w:t>53T</w:t>
      </w:r>
      <w:r w:rsidRPr="0070317C">
        <w:tab/>
      </w:r>
      <w:r w:rsidRPr="0070317C">
        <w:rPr>
          <w:bCs/>
          <w:color w:val="000000"/>
        </w:rPr>
        <w:t>Occupancy dispute complaints</w:t>
      </w:r>
      <w:r w:rsidRPr="0070317C">
        <w:t>—parties to ACAT proceeding</w:t>
      </w:r>
    </w:p>
    <w:p w14:paraId="136C501D" w14:textId="77777777" w:rsidR="00E97D90" w:rsidRPr="0070317C" w:rsidRDefault="00E97D90" w:rsidP="00E97D90">
      <w:pPr>
        <w:pStyle w:val="Amainreturn"/>
      </w:pPr>
      <w:r w:rsidRPr="0070317C">
        <w:t>The following are parties to a complaint referred to the ACAT under this division:</w:t>
      </w:r>
    </w:p>
    <w:p w14:paraId="3D4A22FB" w14:textId="77777777" w:rsidR="00E97D90" w:rsidRPr="0070317C" w:rsidRDefault="00E97D90" w:rsidP="00E97D90">
      <w:pPr>
        <w:pStyle w:val="Ipara"/>
      </w:pPr>
      <w:r w:rsidRPr="0070317C">
        <w:tab/>
        <w:t>(a)</w:t>
      </w:r>
      <w:r w:rsidRPr="0070317C">
        <w:tab/>
        <w:t xml:space="preserve">the complainant; </w:t>
      </w:r>
    </w:p>
    <w:p w14:paraId="602CC4BC" w14:textId="77777777" w:rsidR="00E97D90" w:rsidRPr="0070317C" w:rsidRDefault="00E97D90" w:rsidP="00E97D90">
      <w:pPr>
        <w:pStyle w:val="Ipara"/>
      </w:pPr>
      <w:r w:rsidRPr="0070317C">
        <w:tab/>
        <w:t>(b)</w:t>
      </w:r>
      <w:r w:rsidRPr="0070317C">
        <w:tab/>
        <w:t xml:space="preserve">the person complained about; </w:t>
      </w:r>
    </w:p>
    <w:p w14:paraId="30843A10" w14:textId="77777777" w:rsidR="00E97D90" w:rsidRPr="0070317C" w:rsidRDefault="00E97D90" w:rsidP="00E97D90">
      <w:pPr>
        <w:pStyle w:val="Ipara"/>
      </w:pPr>
      <w:r w:rsidRPr="0070317C">
        <w:tab/>
        <w:t>(c)</w:t>
      </w:r>
      <w:r w:rsidRPr="0070317C">
        <w:tab/>
        <w:t>if, on application by the commission, the ACAT joins the commission as a party to the complaint—the commission.</w:t>
      </w:r>
    </w:p>
    <w:p w14:paraId="5BB44284" w14:textId="77777777" w:rsidR="00E97D90" w:rsidRPr="0070317C" w:rsidRDefault="00E97D90" w:rsidP="00E97D90">
      <w:pPr>
        <w:pStyle w:val="IH5Sec"/>
      </w:pPr>
      <w:r w:rsidRPr="0070317C">
        <w:t>53U</w:t>
      </w:r>
      <w:r w:rsidRPr="0070317C">
        <w:tab/>
        <w:t>Occupancy dispute complaints—ACAT jurisdiction</w:t>
      </w:r>
    </w:p>
    <w:p w14:paraId="2D689F77" w14:textId="6A94E59F" w:rsidR="00E97D90" w:rsidRPr="0070317C" w:rsidRDefault="00E97D90" w:rsidP="00E97D90">
      <w:pPr>
        <w:pStyle w:val="Amainreturn"/>
      </w:pPr>
      <w:r w:rsidRPr="0070317C">
        <w:t xml:space="preserve">The ACAT has the same jurisdiction in relation to an occupancy dispute complaint referred to the ACAT under this division as that provided for in the </w:t>
      </w:r>
      <w:hyperlink r:id="rId40" w:tooltip="A1997-84" w:history="1">
        <w:r w:rsidR="009F5F26" w:rsidRPr="0070317C">
          <w:rPr>
            <w:rStyle w:val="charCitHyperlinkItal"/>
          </w:rPr>
          <w:t>Residential Tenancies Act 1997</w:t>
        </w:r>
      </w:hyperlink>
      <w:r w:rsidRPr="0070317C">
        <w:t xml:space="preserve">, section 76 (Jurisdiction of ACAT under this Act etc). </w:t>
      </w:r>
    </w:p>
    <w:p w14:paraId="21BA6615" w14:textId="77777777" w:rsidR="00E97D90" w:rsidRPr="0070317C" w:rsidRDefault="00E97D90" w:rsidP="00E97D90">
      <w:pPr>
        <w:pStyle w:val="IH5Sec"/>
      </w:pPr>
      <w:r w:rsidRPr="0070317C">
        <w:t>53V</w:t>
      </w:r>
      <w:r w:rsidRPr="0070317C">
        <w:tab/>
      </w:r>
      <w:r w:rsidRPr="0070317C">
        <w:rPr>
          <w:bCs/>
          <w:color w:val="000000"/>
        </w:rPr>
        <w:t>Occupancy dispute complaints</w:t>
      </w:r>
      <w:r w:rsidRPr="0070317C">
        <w:t>—commission to give information etc to ACAT</w:t>
      </w:r>
    </w:p>
    <w:p w14:paraId="06EB02E8" w14:textId="77777777" w:rsidR="00E97D90" w:rsidRPr="0070317C" w:rsidRDefault="00E97D90" w:rsidP="00E97D90">
      <w:pPr>
        <w:pStyle w:val="Amainreturn"/>
      </w:pPr>
      <w:r w:rsidRPr="0070317C">
        <w:t>The commission must give the ACAT (if asked by it) any information or copies of documents in relation to a complaint referred to the ACAT under this division, other than—</w:t>
      </w:r>
    </w:p>
    <w:p w14:paraId="00DB3881" w14:textId="77777777" w:rsidR="00E97D90" w:rsidRPr="0070317C" w:rsidRDefault="00E97D90" w:rsidP="00E97D90">
      <w:pPr>
        <w:pStyle w:val="Ipara"/>
      </w:pPr>
      <w:r w:rsidRPr="0070317C">
        <w:tab/>
        <w:t>(a)</w:t>
      </w:r>
      <w:r w:rsidRPr="0070317C">
        <w:tab/>
        <w:t>a communication or document to which section</w:t>
      </w:r>
      <w:r w:rsidR="002B1634" w:rsidRPr="0070317C">
        <w:t xml:space="preserve"> </w:t>
      </w:r>
      <w:r w:rsidRPr="0070317C">
        <w:t>66</w:t>
      </w:r>
      <w:r w:rsidR="002B1634" w:rsidRPr="0070317C">
        <w:t xml:space="preserve"> </w:t>
      </w:r>
      <w:r w:rsidRPr="0070317C">
        <w:t>(Admissibility of evidence) applies; or</w:t>
      </w:r>
    </w:p>
    <w:p w14:paraId="75136582" w14:textId="77777777" w:rsidR="00E97D90" w:rsidRPr="0070317C" w:rsidRDefault="00E97D90" w:rsidP="00E97D90">
      <w:pPr>
        <w:pStyle w:val="Ipara"/>
      </w:pPr>
      <w:r w:rsidRPr="0070317C">
        <w:lastRenderedPageBreak/>
        <w:tab/>
        <w:t>(b)</w:t>
      </w:r>
      <w:r w:rsidRPr="0070317C">
        <w:tab/>
        <w:t>information, a document or something else relevant to a consideration in relation to a complaint given to the commission under section 73 (Power to ask for information, documents and other things); or</w:t>
      </w:r>
    </w:p>
    <w:p w14:paraId="042A125C" w14:textId="77777777" w:rsidR="00E97D90" w:rsidRPr="0070317C" w:rsidRDefault="00E97D90" w:rsidP="00E97D90">
      <w:pPr>
        <w:pStyle w:val="Ipara"/>
      </w:pPr>
      <w:r w:rsidRPr="0070317C">
        <w:tab/>
        <w:t>(c)</w:t>
      </w:r>
      <w:r w:rsidRPr="0070317C">
        <w:tab/>
        <w:t>information given to the commission under section</w:t>
      </w:r>
      <w:r w:rsidR="002B1634" w:rsidRPr="0070317C">
        <w:t xml:space="preserve"> </w:t>
      </w:r>
      <w:r w:rsidRPr="0070317C">
        <w:t>74</w:t>
      </w:r>
      <w:r w:rsidR="002B1634" w:rsidRPr="0070317C">
        <w:t xml:space="preserve"> </w:t>
      </w:r>
      <w:r w:rsidRPr="0070317C">
        <w:t>(Requiring attendance etc).</w:t>
      </w:r>
    </w:p>
    <w:p w14:paraId="5D0F0240" w14:textId="77777777" w:rsidR="00E97D90" w:rsidRPr="0070317C" w:rsidRDefault="00E97D90" w:rsidP="00E97D90">
      <w:pPr>
        <w:pStyle w:val="IH5Sec"/>
      </w:pPr>
      <w:r w:rsidRPr="0070317C">
        <w:t>53W</w:t>
      </w:r>
      <w:r w:rsidRPr="0070317C">
        <w:tab/>
      </w:r>
      <w:r w:rsidRPr="0070317C">
        <w:rPr>
          <w:bCs/>
          <w:color w:val="000000"/>
        </w:rPr>
        <w:t>Occupancy dispute complaints—AC</w:t>
      </w:r>
      <w:r w:rsidRPr="0070317C">
        <w:t>AT orders</w:t>
      </w:r>
    </w:p>
    <w:p w14:paraId="23D63F3F" w14:textId="6D39FA06" w:rsidR="00E97D90" w:rsidRPr="0070317C" w:rsidRDefault="00E97D90" w:rsidP="00E97D90">
      <w:pPr>
        <w:pStyle w:val="Amainreturn"/>
      </w:pPr>
      <w:r w:rsidRPr="0070317C">
        <w:t>If</w:t>
      </w:r>
      <w:r w:rsidR="00C0620A" w:rsidRPr="0070317C">
        <w:t xml:space="preserve"> </w:t>
      </w:r>
      <w:r w:rsidRPr="0070317C">
        <w:t>the commission refers a complaint to the ACAT under this division</w:t>
      </w:r>
      <w:r w:rsidR="00ED0C1D" w:rsidRPr="0070317C">
        <w:t>,</w:t>
      </w:r>
      <w:r w:rsidRPr="0070317C">
        <w:t xml:space="preserve"> the ACAT may make 1 or more of the orders mentioned in the </w:t>
      </w:r>
      <w:hyperlink r:id="rId41" w:tooltip="A1997-84" w:history="1">
        <w:r w:rsidR="009F5F26" w:rsidRPr="0070317C">
          <w:rPr>
            <w:rStyle w:val="charCitHyperlinkItal"/>
          </w:rPr>
          <w:t>Residential Tenancies Act 1997</w:t>
        </w:r>
      </w:hyperlink>
      <w:r w:rsidRPr="0070317C">
        <w:t>, section 83 (Orders by ACAT).</w:t>
      </w:r>
    </w:p>
    <w:p w14:paraId="6D45203C" w14:textId="77777777" w:rsidR="00E97D90" w:rsidRPr="0070317C" w:rsidRDefault="00E97D90" w:rsidP="00E97D90">
      <w:pPr>
        <w:pStyle w:val="IH5Sec"/>
      </w:pPr>
      <w:r w:rsidRPr="0070317C">
        <w:t>53X</w:t>
      </w:r>
      <w:r w:rsidRPr="0070317C">
        <w:tab/>
      </w:r>
      <w:r w:rsidRPr="0070317C">
        <w:rPr>
          <w:bCs/>
          <w:color w:val="000000"/>
        </w:rPr>
        <w:t>Occupancy dispute complaints</w:t>
      </w:r>
      <w:r w:rsidRPr="0070317C">
        <w:t>—monetary limit on jurisdiction of ACAT</w:t>
      </w:r>
    </w:p>
    <w:p w14:paraId="0FF2A186" w14:textId="6439A7BF" w:rsidR="00E97D90" w:rsidRPr="0070317C" w:rsidRDefault="00E97D90" w:rsidP="00C0620A">
      <w:pPr>
        <w:pStyle w:val="Amainreturn"/>
      </w:pPr>
      <w:r w:rsidRPr="0070317C">
        <w:t xml:space="preserve">The ACAT is, in exercising the jurisdiction conferred on it by this division, limited in the amount of money that it may order to be paid by the </w:t>
      </w:r>
      <w:hyperlink r:id="rId42" w:tooltip="A1997-84" w:history="1">
        <w:r w:rsidR="009F5F26" w:rsidRPr="0070317C">
          <w:rPr>
            <w:rStyle w:val="charCitHyperlinkItal"/>
          </w:rPr>
          <w:t>Residential Tenancies Act 1997</w:t>
        </w:r>
      </w:hyperlink>
      <w:r w:rsidRPr="0070317C">
        <w:t>, section 76 (Jurisdiction of ACAT under this Act etc).</w:t>
      </w:r>
    </w:p>
    <w:p w14:paraId="6A2B51BE" w14:textId="77777777" w:rsidR="00E97D90" w:rsidRPr="0070317C" w:rsidRDefault="00E97D90" w:rsidP="00E97D90">
      <w:pPr>
        <w:pStyle w:val="IH5Sec"/>
      </w:pPr>
      <w:r w:rsidRPr="0070317C">
        <w:t>53Y</w:t>
      </w:r>
      <w:r w:rsidRPr="0070317C">
        <w:tab/>
      </w:r>
      <w:r w:rsidRPr="0070317C">
        <w:rPr>
          <w:bCs/>
          <w:color w:val="000000"/>
        </w:rPr>
        <w:t>Occupancy dispute complaints</w:t>
      </w:r>
      <w:r w:rsidRPr="0070317C">
        <w:rPr>
          <w:bCs/>
        </w:rPr>
        <w:t>—</w:t>
      </w:r>
      <w:r w:rsidRPr="0070317C">
        <w:t>other options for dispute resolution</w:t>
      </w:r>
    </w:p>
    <w:p w14:paraId="1AEBCB7B" w14:textId="12E53610" w:rsidR="00E97D90" w:rsidRPr="0070317C" w:rsidRDefault="00E97D90" w:rsidP="009513E4">
      <w:pPr>
        <w:pStyle w:val="Amainreturn"/>
        <w:rPr>
          <w:color w:val="000000"/>
        </w:rPr>
      </w:pPr>
      <w:r w:rsidRPr="0070317C">
        <w:t>Nothing in this division requires a complainant to attempt to resolve</w:t>
      </w:r>
      <w:r w:rsidRPr="0070317C">
        <w:rPr>
          <w:color w:val="000000"/>
        </w:rPr>
        <w:t xml:space="preserve"> a complaint under the </w:t>
      </w:r>
      <w:hyperlink r:id="rId43" w:tooltip="A1997-84" w:history="1">
        <w:r w:rsidR="009F5F26" w:rsidRPr="0070317C">
          <w:rPr>
            <w:rStyle w:val="charCitHyperlinkItal"/>
          </w:rPr>
          <w:t>Residential Tenancies Act 1997</w:t>
        </w:r>
      </w:hyperlink>
      <w:r w:rsidRPr="0070317C">
        <w:rPr>
          <w:color w:val="000000"/>
        </w:rPr>
        <w:t xml:space="preserve"> before making a complaint under this Act.</w:t>
      </w:r>
    </w:p>
    <w:p w14:paraId="62E9DEE9" w14:textId="77777777" w:rsidR="00E97D90" w:rsidRPr="0070317C" w:rsidRDefault="0070317C" w:rsidP="0070317C">
      <w:pPr>
        <w:pStyle w:val="ShadedSchClause"/>
      </w:pPr>
      <w:bookmarkStart w:id="60" w:name="_Toc32321231"/>
      <w:r w:rsidRPr="0070317C">
        <w:rPr>
          <w:rStyle w:val="CharSectNo"/>
        </w:rPr>
        <w:t>[1.6]</w:t>
      </w:r>
      <w:r w:rsidRPr="0070317C">
        <w:tab/>
      </w:r>
      <w:r w:rsidR="00E97D90" w:rsidRPr="0070317C">
        <w:t>Section 62 (3) (b)</w:t>
      </w:r>
      <w:bookmarkEnd w:id="60"/>
    </w:p>
    <w:p w14:paraId="41197772" w14:textId="77777777" w:rsidR="00E97D90" w:rsidRPr="0070317C" w:rsidRDefault="00E97D90" w:rsidP="00E97D90">
      <w:pPr>
        <w:pStyle w:val="direction"/>
        <w:rPr>
          <w:color w:val="000000"/>
        </w:rPr>
      </w:pPr>
      <w:r w:rsidRPr="0070317C">
        <w:rPr>
          <w:color w:val="000000"/>
        </w:rPr>
        <w:t>after</w:t>
      </w:r>
    </w:p>
    <w:p w14:paraId="09083259" w14:textId="77777777" w:rsidR="00E97D90" w:rsidRPr="0070317C" w:rsidRDefault="00E97D90" w:rsidP="00E97D90">
      <w:pPr>
        <w:pStyle w:val="Amainreturn"/>
        <w:rPr>
          <w:color w:val="000000"/>
        </w:rPr>
      </w:pPr>
      <w:r w:rsidRPr="0070317C">
        <w:rPr>
          <w:color w:val="000000"/>
        </w:rPr>
        <w:t>discrimination complaint</w:t>
      </w:r>
    </w:p>
    <w:p w14:paraId="1A804352" w14:textId="77777777" w:rsidR="00E97D90" w:rsidRPr="0070317C" w:rsidRDefault="00E97D90" w:rsidP="00E97D90">
      <w:pPr>
        <w:pStyle w:val="direction"/>
        <w:rPr>
          <w:color w:val="000000"/>
        </w:rPr>
      </w:pPr>
      <w:r w:rsidRPr="0070317C">
        <w:rPr>
          <w:color w:val="000000"/>
        </w:rPr>
        <w:t>insert</w:t>
      </w:r>
    </w:p>
    <w:p w14:paraId="45A3631A" w14:textId="77777777" w:rsidR="00E97D90" w:rsidRPr="0070317C" w:rsidRDefault="00E97D90" w:rsidP="00E97D90">
      <w:pPr>
        <w:pStyle w:val="Amainreturn"/>
        <w:rPr>
          <w:color w:val="000000"/>
        </w:rPr>
      </w:pPr>
      <w:r w:rsidRPr="0070317C">
        <w:rPr>
          <w:color w:val="000000"/>
        </w:rPr>
        <w:t>, occupancy dispute complaint</w:t>
      </w:r>
    </w:p>
    <w:p w14:paraId="281DACC5" w14:textId="77777777" w:rsidR="00E97D90" w:rsidRPr="0070317C" w:rsidRDefault="0070317C" w:rsidP="0070317C">
      <w:pPr>
        <w:pStyle w:val="ShadedSchClause"/>
      </w:pPr>
      <w:bookmarkStart w:id="61" w:name="_Toc32321232"/>
      <w:r w:rsidRPr="0070317C">
        <w:rPr>
          <w:rStyle w:val="CharSectNo"/>
        </w:rPr>
        <w:lastRenderedPageBreak/>
        <w:t>[1.7]</w:t>
      </w:r>
      <w:r w:rsidRPr="0070317C">
        <w:tab/>
      </w:r>
      <w:r w:rsidR="00E97D90" w:rsidRPr="0070317C">
        <w:t>Section 78 (2) (d)</w:t>
      </w:r>
      <w:bookmarkEnd w:id="61"/>
    </w:p>
    <w:p w14:paraId="1579D09E" w14:textId="77777777" w:rsidR="00E97D90" w:rsidRPr="0070317C" w:rsidRDefault="00E97D90" w:rsidP="00E97D90">
      <w:pPr>
        <w:pStyle w:val="direction"/>
      </w:pPr>
      <w:r w:rsidRPr="0070317C">
        <w:rPr>
          <w:color w:val="000000"/>
        </w:rPr>
        <w:t>after</w:t>
      </w:r>
    </w:p>
    <w:p w14:paraId="7D450913" w14:textId="77777777" w:rsidR="00E97D90" w:rsidRPr="0070317C" w:rsidRDefault="00E97D90" w:rsidP="00E97D90">
      <w:pPr>
        <w:pStyle w:val="Amainreturn"/>
        <w:rPr>
          <w:color w:val="000000"/>
        </w:rPr>
      </w:pPr>
      <w:r w:rsidRPr="0070317C">
        <w:rPr>
          <w:color w:val="000000"/>
        </w:rPr>
        <w:t>discrimination complaint</w:t>
      </w:r>
    </w:p>
    <w:p w14:paraId="5C7A0946" w14:textId="77777777" w:rsidR="00E97D90" w:rsidRPr="0070317C" w:rsidRDefault="00E97D90" w:rsidP="00E97D90">
      <w:pPr>
        <w:pStyle w:val="direction"/>
        <w:rPr>
          <w:color w:val="000000"/>
        </w:rPr>
      </w:pPr>
      <w:r w:rsidRPr="0070317C">
        <w:rPr>
          <w:color w:val="000000"/>
        </w:rPr>
        <w:t>insert</w:t>
      </w:r>
    </w:p>
    <w:p w14:paraId="50C2A782" w14:textId="77777777" w:rsidR="00E97D90" w:rsidRPr="0070317C" w:rsidRDefault="00E97D90" w:rsidP="00E97D90">
      <w:pPr>
        <w:pStyle w:val="Amainreturn"/>
        <w:rPr>
          <w:rFonts w:ascii="Arial" w:hAnsi="Arial"/>
          <w:b/>
          <w:color w:val="000000"/>
        </w:rPr>
      </w:pPr>
      <w:r w:rsidRPr="0070317C">
        <w:rPr>
          <w:color w:val="000000"/>
        </w:rPr>
        <w:t>, occupancy dispute complaint</w:t>
      </w:r>
    </w:p>
    <w:p w14:paraId="56A10157" w14:textId="77777777" w:rsidR="00E97D90" w:rsidRPr="0070317C" w:rsidRDefault="0070317C" w:rsidP="0070317C">
      <w:pPr>
        <w:pStyle w:val="ShadedSchClause"/>
      </w:pPr>
      <w:bookmarkStart w:id="62" w:name="_Toc32321233"/>
      <w:r w:rsidRPr="0070317C">
        <w:rPr>
          <w:rStyle w:val="CharSectNo"/>
        </w:rPr>
        <w:t>[1.8]</w:t>
      </w:r>
      <w:r w:rsidRPr="0070317C">
        <w:tab/>
      </w:r>
      <w:r w:rsidR="00E97D90" w:rsidRPr="0070317C">
        <w:t>New section 82B</w:t>
      </w:r>
      <w:bookmarkEnd w:id="62"/>
    </w:p>
    <w:p w14:paraId="79BD3BA5" w14:textId="77777777" w:rsidR="00E97D90" w:rsidRPr="0070317C" w:rsidRDefault="00E97D90" w:rsidP="00E97D90">
      <w:pPr>
        <w:pStyle w:val="direction"/>
      </w:pPr>
      <w:r w:rsidRPr="0070317C">
        <w:t>insert</w:t>
      </w:r>
    </w:p>
    <w:p w14:paraId="6BA62F5C" w14:textId="77777777" w:rsidR="00E97D90" w:rsidRPr="0070317C" w:rsidRDefault="00E97D90" w:rsidP="00E97D90">
      <w:pPr>
        <w:pStyle w:val="IH5Sec"/>
      </w:pPr>
      <w:r w:rsidRPr="0070317C">
        <w:t>82B</w:t>
      </w:r>
      <w:r w:rsidRPr="0070317C">
        <w:tab/>
        <w:t>Closing occupancy dispute complaints</w:t>
      </w:r>
    </w:p>
    <w:p w14:paraId="6173D787" w14:textId="77777777" w:rsidR="00E97D90" w:rsidRPr="0070317C" w:rsidRDefault="00E97D90" w:rsidP="0070317C">
      <w:pPr>
        <w:pStyle w:val="IMain"/>
        <w:keepNext/>
      </w:pPr>
      <w:r w:rsidRPr="0070317C">
        <w:tab/>
        <w:t>(1)</w:t>
      </w:r>
      <w:r w:rsidRPr="0070317C">
        <w:tab/>
        <w:t>The final report in relation to an occupancy dispute complaint must include an occupancy dispute referral statement.</w:t>
      </w:r>
    </w:p>
    <w:p w14:paraId="342040AB" w14:textId="77777777" w:rsidR="00E97D90" w:rsidRPr="0070317C" w:rsidRDefault="00E97D90" w:rsidP="00E97D90">
      <w:pPr>
        <w:pStyle w:val="aNote"/>
        <w:rPr>
          <w:color w:val="000000"/>
        </w:rPr>
      </w:pPr>
      <w:r w:rsidRPr="0070317C">
        <w:rPr>
          <w:rStyle w:val="charItals"/>
        </w:rPr>
        <w:t>Note</w:t>
      </w:r>
      <w:r w:rsidRPr="0070317C">
        <w:rPr>
          <w:rStyle w:val="charItals"/>
        </w:rPr>
        <w:tab/>
      </w:r>
      <w:r w:rsidRPr="0070317C">
        <w:rPr>
          <w:rStyle w:val="charBoldItals"/>
        </w:rPr>
        <w:t>Occupancy dispute referral statement</w:t>
      </w:r>
      <w:r w:rsidRPr="0070317C">
        <w:rPr>
          <w:color w:val="000000"/>
        </w:rPr>
        <w:t>—see s 88B.</w:t>
      </w:r>
    </w:p>
    <w:p w14:paraId="545DA5CE" w14:textId="77777777" w:rsidR="00E97D90" w:rsidRPr="0070317C" w:rsidRDefault="00E97D90" w:rsidP="00E97D90">
      <w:pPr>
        <w:pStyle w:val="IMain"/>
      </w:pPr>
      <w:r w:rsidRPr="0070317C">
        <w:tab/>
        <w:t>(2)</w:t>
      </w:r>
      <w:r w:rsidRPr="0070317C">
        <w:tab/>
        <w:t>However, subsection (1) does not apply if—</w:t>
      </w:r>
    </w:p>
    <w:p w14:paraId="27AEA6D4" w14:textId="77777777" w:rsidR="00E97D90" w:rsidRPr="0070317C" w:rsidRDefault="00E97D90" w:rsidP="00E97D90">
      <w:pPr>
        <w:pStyle w:val="Ipara"/>
      </w:pPr>
      <w:r w:rsidRPr="0070317C">
        <w:tab/>
        <w:t>(a)</w:t>
      </w:r>
      <w:r w:rsidRPr="0070317C">
        <w:tab/>
        <w:t xml:space="preserve">the parties to the complaint have made a conciliation agreement in relation to the complaint; or </w:t>
      </w:r>
    </w:p>
    <w:p w14:paraId="7242E86E" w14:textId="77777777" w:rsidR="00E97D90" w:rsidRPr="0070317C" w:rsidRDefault="00E97D90" w:rsidP="00E97D90">
      <w:pPr>
        <w:pStyle w:val="Ipara"/>
      </w:pPr>
      <w:r w:rsidRPr="0070317C">
        <w:tab/>
        <w:t>(b)</w:t>
      </w:r>
      <w:r w:rsidRPr="0070317C">
        <w:tab/>
        <w:t>the complainant has withdrawn the complaint.</w:t>
      </w:r>
    </w:p>
    <w:p w14:paraId="0BDBC6DD" w14:textId="77777777" w:rsidR="00E97D90" w:rsidRPr="0070317C" w:rsidRDefault="00E97D90" w:rsidP="00E97D90">
      <w:pPr>
        <w:pStyle w:val="IMain"/>
      </w:pPr>
      <w:r w:rsidRPr="0070317C">
        <w:tab/>
        <w:t>(3)</w:t>
      </w:r>
      <w:r w:rsidRPr="0070317C">
        <w:tab/>
        <w:t>This section is additional to the other requirements of this Act for a final report.</w:t>
      </w:r>
    </w:p>
    <w:p w14:paraId="0968CC5A" w14:textId="77777777" w:rsidR="00E97D90" w:rsidRPr="0070317C" w:rsidRDefault="0070317C" w:rsidP="0070317C">
      <w:pPr>
        <w:pStyle w:val="ShadedSchClause"/>
      </w:pPr>
      <w:bookmarkStart w:id="63" w:name="_Toc32321234"/>
      <w:r w:rsidRPr="0070317C">
        <w:rPr>
          <w:rStyle w:val="CharSectNo"/>
        </w:rPr>
        <w:t>[1.9]</w:t>
      </w:r>
      <w:r w:rsidRPr="0070317C">
        <w:tab/>
      </w:r>
      <w:r w:rsidR="00E97D90" w:rsidRPr="0070317C">
        <w:t>New section 88B</w:t>
      </w:r>
      <w:bookmarkEnd w:id="63"/>
    </w:p>
    <w:p w14:paraId="147457CA" w14:textId="77777777" w:rsidR="00E97D90" w:rsidRPr="0070317C" w:rsidRDefault="00E97D90" w:rsidP="00E97D90">
      <w:pPr>
        <w:pStyle w:val="direction"/>
      </w:pPr>
      <w:r w:rsidRPr="0070317C">
        <w:t>in part 4, insert</w:t>
      </w:r>
    </w:p>
    <w:p w14:paraId="4E58919C" w14:textId="77777777" w:rsidR="00E97D90" w:rsidRPr="0070317C" w:rsidRDefault="00E97D90" w:rsidP="00E97D90">
      <w:pPr>
        <w:pStyle w:val="IH5Sec"/>
      </w:pPr>
      <w:r w:rsidRPr="0070317C">
        <w:t>88B</w:t>
      </w:r>
      <w:r w:rsidRPr="0070317C">
        <w:tab/>
        <w:t>Occupancy dispute referral statements</w:t>
      </w:r>
    </w:p>
    <w:p w14:paraId="36D6F479" w14:textId="77777777" w:rsidR="00E97D90" w:rsidRPr="0070317C" w:rsidRDefault="00E97D90" w:rsidP="00E97D90">
      <w:pPr>
        <w:pStyle w:val="Amainreturn"/>
      </w:pPr>
      <w:r w:rsidRPr="0070317C">
        <w:t xml:space="preserve">An </w:t>
      </w:r>
      <w:r w:rsidRPr="0070317C">
        <w:rPr>
          <w:rStyle w:val="charBoldItals"/>
        </w:rPr>
        <w:t>occupancy dispute referral statement</w:t>
      </w:r>
      <w:r w:rsidRPr="0070317C">
        <w:t xml:space="preserve"> is a statement in a notice in relation to an occupancy dispute complaint to the effect that—</w:t>
      </w:r>
    </w:p>
    <w:p w14:paraId="6F6DA7E3" w14:textId="77777777" w:rsidR="00E97D90" w:rsidRPr="0070317C" w:rsidRDefault="00E97D90" w:rsidP="00E97D90">
      <w:pPr>
        <w:pStyle w:val="Ipara"/>
      </w:pPr>
      <w:r w:rsidRPr="0070317C">
        <w:tab/>
        <w:t>(a)</w:t>
      </w:r>
      <w:r w:rsidRPr="0070317C">
        <w:tab/>
        <w:t>the commission has closed the complaint; and</w:t>
      </w:r>
    </w:p>
    <w:p w14:paraId="5CCE98D0" w14:textId="77777777" w:rsidR="00E97D90" w:rsidRPr="0070317C" w:rsidRDefault="00E97D90" w:rsidP="00E97D90">
      <w:pPr>
        <w:pStyle w:val="Ipara"/>
      </w:pPr>
      <w:r w:rsidRPr="0070317C">
        <w:lastRenderedPageBreak/>
        <w:tab/>
        <w:t>(b)</w:t>
      </w:r>
      <w:r w:rsidRPr="0070317C">
        <w:tab/>
        <w:t xml:space="preserve">the complainant may ask the commission to refer the complaint to the ACAT within 60 days after the day the notice is given to the complainant; and </w:t>
      </w:r>
    </w:p>
    <w:p w14:paraId="7CC94C62" w14:textId="77777777" w:rsidR="00E97D90" w:rsidRPr="0070317C" w:rsidRDefault="00E97D90" w:rsidP="00E97D90">
      <w:pPr>
        <w:pStyle w:val="Ipara"/>
      </w:pPr>
      <w:r w:rsidRPr="0070317C">
        <w:tab/>
        <w:t>(c)</w:t>
      </w:r>
      <w:r w:rsidRPr="0070317C">
        <w:tab/>
        <w:t>after the 60-day period, the complainant may apply to the ACAT under section 53S (Occupancy dispute complaints—late application in exceptional circumstances) for the complaint to be heard.</w:t>
      </w:r>
    </w:p>
    <w:p w14:paraId="51845039" w14:textId="77777777" w:rsidR="00E97D90" w:rsidRPr="0070317C" w:rsidRDefault="00E97D90" w:rsidP="00E97D90">
      <w:pPr>
        <w:pStyle w:val="aNotepar"/>
      </w:pPr>
      <w:r w:rsidRPr="0070317C">
        <w:rPr>
          <w:rStyle w:val="charItals"/>
        </w:rPr>
        <w:t>Note</w:t>
      </w:r>
      <w:r w:rsidRPr="0070317C">
        <w:rPr>
          <w:rStyle w:val="charItals"/>
        </w:rPr>
        <w:tab/>
      </w:r>
      <w:r w:rsidRPr="0070317C">
        <w:t>The commission must refer the complaint to the ACAT if the complainant asks it to refer the complaint within the 60-day period (see s 53R).</w:t>
      </w:r>
    </w:p>
    <w:p w14:paraId="5C068807" w14:textId="77777777" w:rsidR="00E97D90" w:rsidRPr="0070317C" w:rsidRDefault="0070317C" w:rsidP="0070317C">
      <w:pPr>
        <w:pStyle w:val="ShadedSchClause"/>
      </w:pPr>
      <w:bookmarkStart w:id="64" w:name="_Toc32321235"/>
      <w:r w:rsidRPr="0070317C">
        <w:rPr>
          <w:rStyle w:val="CharSectNo"/>
        </w:rPr>
        <w:t>[1.10]</w:t>
      </w:r>
      <w:r w:rsidRPr="0070317C">
        <w:tab/>
      </w:r>
      <w:r w:rsidR="00E97D90" w:rsidRPr="0070317C">
        <w:t>Dictionary, new definitions</w:t>
      </w:r>
      <w:bookmarkEnd w:id="64"/>
    </w:p>
    <w:p w14:paraId="019D4EE9" w14:textId="77777777" w:rsidR="00E97D90" w:rsidRPr="0070317C" w:rsidRDefault="00E97D90" w:rsidP="00E97D90">
      <w:pPr>
        <w:pStyle w:val="direction"/>
      </w:pPr>
      <w:r w:rsidRPr="0070317C">
        <w:t>insert</w:t>
      </w:r>
    </w:p>
    <w:p w14:paraId="0AE8F65F" w14:textId="7E57B7F6" w:rsidR="00E97D90" w:rsidRPr="0070317C" w:rsidRDefault="00E97D90" w:rsidP="0070317C">
      <w:pPr>
        <w:pStyle w:val="aDef"/>
      </w:pPr>
      <w:r w:rsidRPr="0070317C">
        <w:rPr>
          <w:rStyle w:val="charBoldItals"/>
        </w:rPr>
        <w:t>occupancy agreement</w:t>
      </w:r>
      <w:r w:rsidRPr="0070317C">
        <w:t xml:space="preserve">—see the </w:t>
      </w:r>
      <w:hyperlink r:id="rId44" w:tooltip="A1997-84" w:history="1">
        <w:r w:rsidR="009F5F26" w:rsidRPr="0070317C">
          <w:rPr>
            <w:rStyle w:val="charCitHyperlinkItal"/>
          </w:rPr>
          <w:t>Residential Tenancies Act 1997</w:t>
        </w:r>
      </w:hyperlink>
      <w:r w:rsidRPr="0070317C">
        <w:t>, section 71C.</w:t>
      </w:r>
    </w:p>
    <w:p w14:paraId="2640570F" w14:textId="77777777" w:rsidR="00F857EA" w:rsidRPr="0070317C" w:rsidRDefault="00E97D90" w:rsidP="0070317C">
      <w:pPr>
        <w:pStyle w:val="aDef"/>
      </w:pPr>
      <w:r w:rsidRPr="0070317C">
        <w:rPr>
          <w:rStyle w:val="charBoldItals"/>
        </w:rPr>
        <w:t>occupancy dispute</w:t>
      </w:r>
      <w:r w:rsidR="00F857EA" w:rsidRPr="0070317C">
        <w:t xml:space="preserve"> means a dispute—</w:t>
      </w:r>
    </w:p>
    <w:p w14:paraId="0D589070" w14:textId="77777777" w:rsidR="002A49AA" w:rsidRPr="0070317C" w:rsidRDefault="00F857EA" w:rsidP="00F857EA">
      <w:pPr>
        <w:pStyle w:val="Idefpara"/>
      </w:pPr>
      <w:r w:rsidRPr="0070317C">
        <w:tab/>
        <w:t>(a)</w:t>
      </w:r>
      <w:r w:rsidRPr="0070317C">
        <w:tab/>
        <w:t>between the parties to an occupancy agreement; and</w:t>
      </w:r>
    </w:p>
    <w:p w14:paraId="19A9DA71" w14:textId="77777777" w:rsidR="00E97D90" w:rsidRPr="0070317C" w:rsidRDefault="00F857EA" w:rsidP="00F857EA">
      <w:pPr>
        <w:pStyle w:val="Idefpara"/>
      </w:pPr>
      <w:r w:rsidRPr="0070317C">
        <w:tab/>
        <w:t>(b)</w:t>
      </w:r>
      <w:r w:rsidRPr="0070317C">
        <w:tab/>
      </w:r>
      <w:r w:rsidR="002A49AA" w:rsidRPr="0070317C">
        <w:t xml:space="preserve">that is </w:t>
      </w:r>
      <w:r w:rsidRPr="0070317C">
        <w:t xml:space="preserve">about, or relates to, </w:t>
      </w:r>
      <w:r w:rsidR="002A49AA" w:rsidRPr="0070317C">
        <w:t>the agreement.</w:t>
      </w:r>
    </w:p>
    <w:p w14:paraId="242DD04C" w14:textId="77777777" w:rsidR="00E97D90" w:rsidRPr="0070317C" w:rsidRDefault="00E97D90" w:rsidP="0070317C">
      <w:pPr>
        <w:pStyle w:val="aDef"/>
      </w:pPr>
      <w:r w:rsidRPr="0070317C">
        <w:rPr>
          <w:rStyle w:val="charBoldItals"/>
        </w:rPr>
        <w:t>occupancy dispute complaint</w:t>
      </w:r>
      <w:r w:rsidRPr="0070317C">
        <w:t>—see section 42 (1) (g).</w:t>
      </w:r>
    </w:p>
    <w:p w14:paraId="0C9CA806" w14:textId="77777777" w:rsidR="00E97D90" w:rsidRPr="0070317C" w:rsidRDefault="00E97D90" w:rsidP="0070317C">
      <w:pPr>
        <w:pStyle w:val="aDef"/>
      </w:pPr>
      <w:r w:rsidRPr="0070317C">
        <w:rPr>
          <w:rStyle w:val="charBoldItals"/>
        </w:rPr>
        <w:t>occupancy dispute referral statement</w:t>
      </w:r>
      <w:r w:rsidRPr="0070317C">
        <w:t>—see section 88B.</w:t>
      </w:r>
    </w:p>
    <w:p w14:paraId="70E6B70B" w14:textId="77777777" w:rsidR="00E97D90" w:rsidRPr="0070317C" w:rsidRDefault="0070317C" w:rsidP="0070317C">
      <w:pPr>
        <w:pStyle w:val="ShadedSchClause"/>
        <w:rPr>
          <w:rStyle w:val="charItals"/>
        </w:rPr>
      </w:pPr>
      <w:bookmarkStart w:id="65" w:name="_Toc32321236"/>
      <w:r w:rsidRPr="0070317C">
        <w:rPr>
          <w:rStyle w:val="CharSectNo"/>
        </w:rPr>
        <w:t>[1.11]</w:t>
      </w:r>
      <w:r w:rsidRPr="0070317C">
        <w:rPr>
          <w:rStyle w:val="charItals"/>
          <w:i w:val="0"/>
        </w:rPr>
        <w:tab/>
      </w:r>
      <w:r w:rsidR="00E97D90" w:rsidRPr="0070317C">
        <w:t xml:space="preserve">Dictionary, definition of </w:t>
      </w:r>
      <w:r w:rsidR="00E97D90" w:rsidRPr="0070317C">
        <w:rPr>
          <w:rStyle w:val="charItals"/>
        </w:rPr>
        <w:t>person complained about</w:t>
      </w:r>
      <w:bookmarkEnd w:id="65"/>
    </w:p>
    <w:p w14:paraId="5E0926C7" w14:textId="77777777" w:rsidR="00E97D90" w:rsidRPr="0070317C" w:rsidRDefault="00E97D90" w:rsidP="00E97D90">
      <w:pPr>
        <w:pStyle w:val="direction"/>
      </w:pPr>
      <w:r w:rsidRPr="0070317C">
        <w:t>substitute</w:t>
      </w:r>
    </w:p>
    <w:p w14:paraId="2021999B" w14:textId="77777777" w:rsidR="00E97D90" w:rsidRPr="0070317C" w:rsidRDefault="00E97D90" w:rsidP="0070317C">
      <w:pPr>
        <w:pStyle w:val="aDef"/>
      </w:pPr>
      <w:r w:rsidRPr="0070317C">
        <w:rPr>
          <w:rStyle w:val="charBoldItals"/>
        </w:rPr>
        <w:t>person complained about</w:t>
      </w:r>
      <w:r w:rsidRPr="0070317C">
        <w:t>—</w:t>
      </w:r>
    </w:p>
    <w:p w14:paraId="440E85B5" w14:textId="77777777" w:rsidR="00E97D90" w:rsidRPr="0070317C" w:rsidRDefault="00E97D90" w:rsidP="00E97D90">
      <w:pPr>
        <w:pStyle w:val="Idefpara"/>
      </w:pPr>
      <w:r w:rsidRPr="0070317C">
        <w:tab/>
        <w:t>(a)</w:t>
      </w:r>
      <w:r w:rsidRPr="0070317C">
        <w:tab/>
        <w:t>for division 4.2B (Certain older people service complaints to ACAT)—see section 53F; and</w:t>
      </w:r>
    </w:p>
    <w:p w14:paraId="7C2C45A5" w14:textId="77777777" w:rsidR="00E97D90" w:rsidRPr="0070317C" w:rsidRDefault="00E97D90" w:rsidP="00E97D90">
      <w:pPr>
        <w:pStyle w:val="Idefpara"/>
      </w:pPr>
      <w:r w:rsidRPr="0070317C">
        <w:tab/>
        <w:t>(b)</w:t>
      </w:r>
      <w:r w:rsidRPr="0070317C">
        <w:tab/>
        <w:t>for division 4.2C (Certain occupancy dispute complaints to ACAT)—see section 53P.</w:t>
      </w:r>
    </w:p>
    <w:p w14:paraId="4978C36D" w14:textId="77777777" w:rsidR="00E97D90" w:rsidRPr="0070317C" w:rsidRDefault="0070317C" w:rsidP="0070317C">
      <w:pPr>
        <w:pStyle w:val="Sched-Part"/>
      </w:pPr>
      <w:bookmarkStart w:id="66" w:name="_Toc32321237"/>
      <w:r w:rsidRPr="0070317C">
        <w:rPr>
          <w:rStyle w:val="CharPartNo"/>
        </w:rPr>
        <w:lastRenderedPageBreak/>
        <w:t>Part 1.2</w:t>
      </w:r>
      <w:r w:rsidRPr="0070317C">
        <w:tab/>
      </w:r>
      <w:r w:rsidR="00E97D90" w:rsidRPr="0070317C">
        <w:rPr>
          <w:rStyle w:val="CharPartText"/>
        </w:rPr>
        <w:t>Uncollected Goods Act 1996</w:t>
      </w:r>
      <w:bookmarkEnd w:id="66"/>
    </w:p>
    <w:p w14:paraId="38EE096F" w14:textId="77777777" w:rsidR="00E97D90" w:rsidRPr="0070317C" w:rsidRDefault="0070317C" w:rsidP="0070317C">
      <w:pPr>
        <w:pStyle w:val="ShadedSchClause"/>
      </w:pPr>
      <w:bookmarkStart w:id="67" w:name="_Toc32321238"/>
      <w:r w:rsidRPr="0070317C">
        <w:rPr>
          <w:rStyle w:val="CharSectNo"/>
        </w:rPr>
        <w:t>[1.12]</w:t>
      </w:r>
      <w:r w:rsidRPr="0070317C">
        <w:tab/>
      </w:r>
      <w:r w:rsidR="00E97D90" w:rsidRPr="0070317C">
        <w:t>Section 22 (a)</w:t>
      </w:r>
      <w:bookmarkEnd w:id="67"/>
    </w:p>
    <w:p w14:paraId="1EECC330" w14:textId="77777777" w:rsidR="00E97D90" w:rsidRPr="0070317C" w:rsidRDefault="00E97D90" w:rsidP="00E97D90">
      <w:pPr>
        <w:pStyle w:val="direction"/>
      </w:pPr>
      <w:r w:rsidRPr="0070317C">
        <w:t>substitute</w:t>
      </w:r>
    </w:p>
    <w:p w14:paraId="7C08D66F" w14:textId="77777777" w:rsidR="00E97D90" w:rsidRPr="0070317C" w:rsidRDefault="00E97D90" w:rsidP="00E97D90">
      <w:pPr>
        <w:pStyle w:val="Ipara"/>
      </w:pPr>
      <w:r w:rsidRPr="0070317C">
        <w:tab/>
        <w:t>(a)</w:t>
      </w:r>
      <w:r w:rsidRPr="0070317C">
        <w:tab/>
        <w:t xml:space="preserve">for a vehicle that is abandoned </w:t>
      </w:r>
      <w:r w:rsidRPr="0070317C">
        <w:rPr>
          <w:color w:val="000000"/>
        </w:rPr>
        <w:t>(other than a mobile home abandoned in a residential park)</w:t>
      </w:r>
      <w:r w:rsidRPr="0070317C">
        <w:t>—immediately; or</w:t>
      </w:r>
    </w:p>
    <w:p w14:paraId="7A1763E5" w14:textId="77777777" w:rsidR="00E97D90" w:rsidRPr="0070317C" w:rsidRDefault="0070317C" w:rsidP="0070317C">
      <w:pPr>
        <w:pStyle w:val="ShadedSchClause"/>
      </w:pPr>
      <w:bookmarkStart w:id="68" w:name="_Toc32321239"/>
      <w:r w:rsidRPr="0070317C">
        <w:rPr>
          <w:rStyle w:val="CharSectNo"/>
        </w:rPr>
        <w:t>[1.13]</w:t>
      </w:r>
      <w:r w:rsidRPr="0070317C">
        <w:tab/>
      </w:r>
      <w:r w:rsidR="00E97D90" w:rsidRPr="0070317C">
        <w:t>Section 23 (a)</w:t>
      </w:r>
      <w:bookmarkEnd w:id="68"/>
    </w:p>
    <w:p w14:paraId="6E6046E5" w14:textId="77777777" w:rsidR="00E97D90" w:rsidRPr="0070317C" w:rsidRDefault="00E97D90" w:rsidP="00E97D90">
      <w:pPr>
        <w:pStyle w:val="direction"/>
      </w:pPr>
      <w:r w:rsidRPr="0070317C">
        <w:t>substitute</w:t>
      </w:r>
    </w:p>
    <w:p w14:paraId="7E8C9F05" w14:textId="77777777" w:rsidR="00E97D90" w:rsidRPr="0070317C" w:rsidRDefault="00E97D90" w:rsidP="00E97D90">
      <w:pPr>
        <w:pStyle w:val="Ipara"/>
      </w:pPr>
      <w:r w:rsidRPr="0070317C">
        <w:tab/>
        <w:t>(a)</w:t>
      </w:r>
      <w:r w:rsidRPr="0070317C">
        <w:tab/>
        <w:t xml:space="preserve">for a vehicle that is abandoned </w:t>
      </w:r>
      <w:r w:rsidRPr="0070317C">
        <w:rPr>
          <w:color w:val="000000"/>
        </w:rPr>
        <w:t>(other than a mobile home abandoned in a residential park)</w:t>
      </w:r>
      <w:r w:rsidRPr="0070317C">
        <w:t>—immediately; or</w:t>
      </w:r>
    </w:p>
    <w:p w14:paraId="73BD8F4E" w14:textId="77777777" w:rsidR="00E97D90" w:rsidRPr="0070317C" w:rsidRDefault="0070317C" w:rsidP="0070317C">
      <w:pPr>
        <w:pStyle w:val="ShadedSchClause"/>
        <w:rPr>
          <w:color w:val="000000"/>
        </w:rPr>
      </w:pPr>
      <w:bookmarkStart w:id="69" w:name="_Toc32321240"/>
      <w:r w:rsidRPr="0070317C">
        <w:rPr>
          <w:rStyle w:val="CharSectNo"/>
        </w:rPr>
        <w:t>[1.14]</w:t>
      </w:r>
      <w:r w:rsidRPr="0070317C">
        <w:rPr>
          <w:color w:val="000000"/>
        </w:rPr>
        <w:tab/>
      </w:r>
      <w:r w:rsidR="00E97D90" w:rsidRPr="0070317C">
        <w:t xml:space="preserve">Section </w:t>
      </w:r>
      <w:r w:rsidR="00E97D90" w:rsidRPr="0070317C">
        <w:rPr>
          <w:color w:val="000000"/>
        </w:rPr>
        <w:t>24 (a)</w:t>
      </w:r>
      <w:bookmarkEnd w:id="69"/>
    </w:p>
    <w:p w14:paraId="4A2F935A" w14:textId="77777777" w:rsidR="00E97D90" w:rsidRPr="0070317C" w:rsidRDefault="00E97D90" w:rsidP="00E97D90">
      <w:pPr>
        <w:pStyle w:val="direction"/>
        <w:rPr>
          <w:color w:val="000000"/>
        </w:rPr>
      </w:pPr>
      <w:r w:rsidRPr="0070317C">
        <w:rPr>
          <w:color w:val="000000"/>
        </w:rPr>
        <w:t>substitute</w:t>
      </w:r>
    </w:p>
    <w:p w14:paraId="1E34D2D1" w14:textId="77777777" w:rsidR="00E97D90" w:rsidRPr="0070317C" w:rsidRDefault="00E97D90" w:rsidP="00E97D90">
      <w:pPr>
        <w:pStyle w:val="Ipara"/>
        <w:rPr>
          <w:color w:val="000000"/>
        </w:rPr>
      </w:pPr>
      <w:r w:rsidRPr="0070317C">
        <w:rPr>
          <w:color w:val="000000"/>
        </w:rPr>
        <w:tab/>
        <w:t>(a)</w:t>
      </w:r>
      <w:r w:rsidRPr="0070317C">
        <w:rPr>
          <w:color w:val="000000"/>
        </w:rPr>
        <w:tab/>
        <w:t>for a vehicle that is abandoned (other than a mobile home abandoned in a residential park)—after 14 days; or</w:t>
      </w:r>
    </w:p>
    <w:p w14:paraId="6B885DB6" w14:textId="77777777" w:rsidR="00E97D90" w:rsidRPr="0070317C" w:rsidRDefault="0070317C" w:rsidP="0070317C">
      <w:pPr>
        <w:pStyle w:val="ShadedSchClause"/>
      </w:pPr>
      <w:bookmarkStart w:id="70" w:name="_Toc32321241"/>
      <w:r w:rsidRPr="0070317C">
        <w:rPr>
          <w:rStyle w:val="CharSectNo"/>
        </w:rPr>
        <w:t>[1.15]</w:t>
      </w:r>
      <w:r w:rsidRPr="0070317C">
        <w:tab/>
      </w:r>
      <w:r w:rsidR="00E97D90" w:rsidRPr="0070317C">
        <w:t>New section 24A</w:t>
      </w:r>
      <w:bookmarkEnd w:id="70"/>
    </w:p>
    <w:p w14:paraId="697FFB63" w14:textId="77777777" w:rsidR="00E97D90" w:rsidRPr="0070317C" w:rsidRDefault="00C76B66" w:rsidP="00E97D90">
      <w:pPr>
        <w:pStyle w:val="direction"/>
      </w:pPr>
      <w:r w:rsidRPr="0070317C">
        <w:t xml:space="preserve">in division 3.1, </w:t>
      </w:r>
      <w:r w:rsidR="00E97D90" w:rsidRPr="0070317C">
        <w:t>insert</w:t>
      </w:r>
    </w:p>
    <w:p w14:paraId="6DDBF0EF" w14:textId="77777777" w:rsidR="00E97D90" w:rsidRPr="0070317C" w:rsidRDefault="00E97D90" w:rsidP="00E97D90">
      <w:pPr>
        <w:pStyle w:val="IH5Sec"/>
      </w:pPr>
      <w:r w:rsidRPr="0070317C">
        <w:t>24A</w:t>
      </w:r>
      <w:r w:rsidRPr="0070317C">
        <w:tab/>
        <w:t>Manufactured homes and mobile homes abandoned in residential parks</w:t>
      </w:r>
    </w:p>
    <w:p w14:paraId="29B6F736" w14:textId="77777777" w:rsidR="00E97D90" w:rsidRPr="0070317C" w:rsidRDefault="00E97D90" w:rsidP="00C76B66">
      <w:pPr>
        <w:pStyle w:val="IMain"/>
        <w:rPr>
          <w:color w:val="000000"/>
        </w:rPr>
      </w:pPr>
      <w:r w:rsidRPr="0070317C">
        <w:tab/>
        <w:t>(1)</w:t>
      </w:r>
      <w:r w:rsidRPr="0070317C">
        <w:tab/>
        <w:t>This section applies if</w:t>
      </w:r>
      <w:r w:rsidR="00C76B66" w:rsidRPr="0070317C">
        <w:t xml:space="preserve"> the ACAT</w:t>
      </w:r>
      <w:r w:rsidRPr="0070317C">
        <w:rPr>
          <w:color w:val="000000"/>
        </w:rPr>
        <w:t>—</w:t>
      </w:r>
    </w:p>
    <w:p w14:paraId="6B36AC27" w14:textId="06394265" w:rsidR="00E97D90" w:rsidRPr="0070317C" w:rsidRDefault="00E97D90" w:rsidP="00C76B66">
      <w:pPr>
        <w:pStyle w:val="Ipara"/>
      </w:pPr>
      <w:r w:rsidRPr="0070317C">
        <w:tab/>
        <w:t>(</w:t>
      </w:r>
      <w:r w:rsidR="00C76B66" w:rsidRPr="0070317C">
        <w:t>a</w:t>
      </w:r>
      <w:r w:rsidRPr="0070317C">
        <w:t>)</w:t>
      </w:r>
      <w:r w:rsidRPr="0070317C">
        <w:tab/>
        <w:t xml:space="preserve">has declared that a manufactured home or mobile home in a residential park is abandoned under the </w:t>
      </w:r>
      <w:hyperlink r:id="rId45" w:tooltip="A1997-84" w:history="1">
        <w:r w:rsidR="009F5F26" w:rsidRPr="0070317C">
          <w:rPr>
            <w:rStyle w:val="charCitHyperlinkItal"/>
          </w:rPr>
          <w:t>Residential Tenancies Act 1997</w:t>
        </w:r>
      </w:hyperlink>
      <w:r w:rsidRPr="0070317C">
        <w:t>, section 83 (j) (i); and</w:t>
      </w:r>
    </w:p>
    <w:p w14:paraId="2B7756B2" w14:textId="5DB4D111" w:rsidR="00E97D90" w:rsidRPr="0070317C" w:rsidRDefault="00E97D90" w:rsidP="0070317C">
      <w:pPr>
        <w:pStyle w:val="Ipara"/>
        <w:keepNext/>
      </w:pPr>
      <w:r w:rsidRPr="0070317C">
        <w:tab/>
        <w:t>(</w:t>
      </w:r>
      <w:r w:rsidR="00C76B66" w:rsidRPr="0070317C">
        <w:t>b</w:t>
      </w:r>
      <w:r w:rsidRPr="0070317C">
        <w:t>)</w:t>
      </w:r>
      <w:r w:rsidRPr="0070317C">
        <w:tab/>
        <w:t xml:space="preserve">has not made an order under that </w:t>
      </w:r>
      <w:hyperlink r:id="rId46" w:tooltip="Residential Tenancies Act 1997" w:history="1">
        <w:r w:rsidR="004C1444" w:rsidRPr="0070317C">
          <w:rPr>
            <w:rStyle w:val="charCitHyperlinkAbbrev"/>
          </w:rPr>
          <w:t>Act</w:t>
        </w:r>
      </w:hyperlink>
      <w:r w:rsidRPr="0070317C">
        <w:t>, section 83 (j) (ii).</w:t>
      </w:r>
    </w:p>
    <w:p w14:paraId="1C45AE54" w14:textId="7CC551BD" w:rsidR="00E97D90" w:rsidRPr="0070317C" w:rsidRDefault="00E97D90" w:rsidP="00E97D90">
      <w:pPr>
        <w:pStyle w:val="aNote"/>
      </w:pPr>
      <w:r w:rsidRPr="0070317C">
        <w:rPr>
          <w:rStyle w:val="charItals"/>
        </w:rPr>
        <w:t>Note</w:t>
      </w:r>
      <w:r w:rsidRPr="0070317C">
        <w:rPr>
          <w:rStyle w:val="charItals"/>
        </w:rPr>
        <w:tab/>
      </w:r>
      <w:r w:rsidRPr="0070317C">
        <w:t xml:space="preserve">Under the </w:t>
      </w:r>
      <w:hyperlink r:id="rId47" w:tooltip="A1997-84" w:history="1">
        <w:r w:rsidR="009F5F26" w:rsidRPr="0070317C">
          <w:rPr>
            <w:rStyle w:val="charCitHyperlinkItal"/>
          </w:rPr>
          <w:t>Residential Tenancies Act 1997</w:t>
        </w:r>
      </w:hyperlink>
      <w:r w:rsidRPr="0070317C">
        <w:t>, s 83 (j) (ii) the ACAT may order that an abandoned manufactured home or mobile home in a residential park that is not fit for human habitation may be disposed of other than by sale.</w:t>
      </w:r>
    </w:p>
    <w:p w14:paraId="383D80D1" w14:textId="77777777" w:rsidR="00E97D90" w:rsidRPr="0070317C" w:rsidRDefault="00E97D90" w:rsidP="00E97D90">
      <w:pPr>
        <w:pStyle w:val="IMain"/>
      </w:pPr>
      <w:r w:rsidRPr="0070317C">
        <w:lastRenderedPageBreak/>
        <w:tab/>
        <w:t>(2)</w:t>
      </w:r>
      <w:r w:rsidRPr="0070317C">
        <w:tab/>
      </w:r>
      <w:r w:rsidRPr="0070317C">
        <w:rPr>
          <w:color w:val="000000"/>
        </w:rPr>
        <w:t xml:space="preserve">The </w:t>
      </w:r>
      <w:r w:rsidRPr="0070317C">
        <w:t>manufactured home or mobile home</w:t>
      </w:r>
      <w:r w:rsidRPr="0070317C">
        <w:rPr>
          <w:color w:val="000000"/>
        </w:rPr>
        <w:t xml:space="preserve"> may be disposed of by public auction after 14 days from the date of the ACAT order.</w:t>
      </w:r>
    </w:p>
    <w:p w14:paraId="2A83A386" w14:textId="77777777" w:rsidR="00E97D90" w:rsidRPr="0070317C" w:rsidRDefault="00E97D90" w:rsidP="00E97D90">
      <w:pPr>
        <w:pStyle w:val="IMain"/>
      </w:pPr>
      <w:r w:rsidRPr="0070317C">
        <w:tab/>
        <w:t>(3)</w:t>
      </w:r>
      <w:r w:rsidRPr="0070317C">
        <w:tab/>
        <w:t>In this section:</w:t>
      </w:r>
    </w:p>
    <w:p w14:paraId="17251E1B" w14:textId="38DDB453" w:rsidR="00E97D90" w:rsidRPr="0070317C" w:rsidRDefault="00E97D90" w:rsidP="0070317C">
      <w:pPr>
        <w:pStyle w:val="aDef"/>
      </w:pPr>
      <w:r w:rsidRPr="0070317C">
        <w:rPr>
          <w:rStyle w:val="charBoldItals"/>
        </w:rPr>
        <w:t>manufactured home</w:t>
      </w:r>
      <w:r w:rsidRPr="0070317C">
        <w:t xml:space="preserve">—see the </w:t>
      </w:r>
      <w:hyperlink r:id="rId48" w:tooltip="A1997-84" w:history="1">
        <w:r w:rsidR="009F5F26" w:rsidRPr="0070317C">
          <w:rPr>
            <w:rStyle w:val="charCitHyperlinkItal"/>
          </w:rPr>
          <w:t>Residential Tenancies Act 1997</w:t>
        </w:r>
      </w:hyperlink>
      <w:r w:rsidRPr="0070317C">
        <w:t>, dictionary.</w:t>
      </w:r>
    </w:p>
    <w:p w14:paraId="06009DCC" w14:textId="2C5BA6F3" w:rsidR="00E97D90" w:rsidRPr="0070317C" w:rsidRDefault="00E97D90" w:rsidP="0070317C">
      <w:pPr>
        <w:pStyle w:val="aDef"/>
      </w:pPr>
      <w:r w:rsidRPr="0070317C">
        <w:rPr>
          <w:rStyle w:val="charBoldItals"/>
        </w:rPr>
        <w:t>mobile home</w:t>
      </w:r>
      <w:r w:rsidRPr="0070317C">
        <w:t xml:space="preserve">—see the </w:t>
      </w:r>
      <w:hyperlink r:id="rId49" w:tooltip="A1997-84" w:history="1">
        <w:r w:rsidR="009F5F26" w:rsidRPr="0070317C">
          <w:rPr>
            <w:rStyle w:val="charCitHyperlinkItal"/>
          </w:rPr>
          <w:t>Residential Tenancies Act 1997</w:t>
        </w:r>
      </w:hyperlink>
      <w:r w:rsidRPr="0070317C">
        <w:t>, dictionary.</w:t>
      </w:r>
    </w:p>
    <w:p w14:paraId="60B2401F" w14:textId="5320871A" w:rsidR="00E97D90" w:rsidRPr="0070317C" w:rsidRDefault="00E97D90" w:rsidP="0070317C">
      <w:pPr>
        <w:pStyle w:val="aDef"/>
      </w:pPr>
      <w:r w:rsidRPr="0070317C">
        <w:rPr>
          <w:rStyle w:val="charBoldItals"/>
        </w:rPr>
        <w:t>residential park</w:t>
      </w:r>
      <w:r w:rsidRPr="0070317C">
        <w:t xml:space="preserve">—see the </w:t>
      </w:r>
      <w:hyperlink r:id="rId50" w:tooltip="A1997-84" w:history="1">
        <w:r w:rsidR="009F5F26" w:rsidRPr="0070317C">
          <w:rPr>
            <w:rStyle w:val="charCitHyperlinkItal"/>
          </w:rPr>
          <w:t>Residential Tenancies Act 1997</w:t>
        </w:r>
      </w:hyperlink>
      <w:r w:rsidRPr="0070317C">
        <w:t>, dictionary.</w:t>
      </w:r>
    </w:p>
    <w:p w14:paraId="3152DB20" w14:textId="77777777" w:rsidR="00E97D90" w:rsidRPr="0070317C" w:rsidRDefault="0070317C" w:rsidP="0070317C">
      <w:pPr>
        <w:pStyle w:val="ShadedSchClause"/>
      </w:pPr>
      <w:bookmarkStart w:id="71" w:name="_Toc32321242"/>
      <w:r w:rsidRPr="0070317C">
        <w:rPr>
          <w:rStyle w:val="CharSectNo"/>
        </w:rPr>
        <w:t>[1.16]</w:t>
      </w:r>
      <w:r w:rsidRPr="0070317C">
        <w:tab/>
      </w:r>
      <w:r w:rsidR="00E97D90" w:rsidRPr="0070317C">
        <w:t xml:space="preserve">Dictionary, new definition of </w:t>
      </w:r>
      <w:r w:rsidR="00E97D90" w:rsidRPr="0070317C">
        <w:rPr>
          <w:rStyle w:val="charItals"/>
        </w:rPr>
        <w:t>mobile home</w:t>
      </w:r>
      <w:bookmarkEnd w:id="71"/>
    </w:p>
    <w:p w14:paraId="52AD29C0" w14:textId="77777777" w:rsidR="00E97D90" w:rsidRPr="0070317C" w:rsidRDefault="00E97D90" w:rsidP="00E97D90">
      <w:pPr>
        <w:pStyle w:val="direction"/>
      </w:pPr>
      <w:r w:rsidRPr="0070317C">
        <w:t>insert</w:t>
      </w:r>
    </w:p>
    <w:p w14:paraId="58277D65" w14:textId="21EBCD95" w:rsidR="00E97D90" w:rsidRPr="0070317C" w:rsidRDefault="00E97D90" w:rsidP="0070317C">
      <w:pPr>
        <w:pStyle w:val="aDef"/>
      </w:pPr>
      <w:r w:rsidRPr="0070317C">
        <w:rPr>
          <w:rStyle w:val="charBoldItals"/>
        </w:rPr>
        <w:t>mobile home</w:t>
      </w:r>
      <w:r w:rsidRPr="0070317C">
        <w:t xml:space="preserve">—see the </w:t>
      </w:r>
      <w:hyperlink r:id="rId51" w:tooltip="A1997-84" w:history="1">
        <w:r w:rsidR="009F5F26" w:rsidRPr="0070317C">
          <w:rPr>
            <w:rStyle w:val="charCitHyperlinkItal"/>
          </w:rPr>
          <w:t>Residential Tenancies Act 1997</w:t>
        </w:r>
      </w:hyperlink>
      <w:r w:rsidRPr="0070317C">
        <w:t>, dictionary.</w:t>
      </w:r>
    </w:p>
    <w:p w14:paraId="7E0272F0" w14:textId="77777777" w:rsidR="0070317C" w:rsidRDefault="0070317C">
      <w:pPr>
        <w:pStyle w:val="03Schedule"/>
        <w:sectPr w:rsidR="0070317C" w:rsidSect="0070317C">
          <w:headerReference w:type="even" r:id="rId52"/>
          <w:headerReference w:type="default" r:id="rId53"/>
          <w:footerReference w:type="even" r:id="rId54"/>
          <w:footerReference w:type="default" r:id="rId55"/>
          <w:type w:val="continuous"/>
          <w:pgSz w:w="11907" w:h="16839" w:code="9"/>
          <w:pgMar w:top="3880" w:right="1900" w:bottom="3100" w:left="2300" w:header="2280" w:footer="1760" w:gutter="0"/>
          <w:lnNumType w:countBy="1"/>
          <w:cols w:space="720"/>
          <w:docGrid w:linePitch="326"/>
        </w:sectPr>
      </w:pPr>
    </w:p>
    <w:p w14:paraId="3F006CEE" w14:textId="77777777" w:rsidR="002339E2" w:rsidRPr="0070317C" w:rsidRDefault="002339E2">
      <w:pPr>
        <w:pStyle w:val="EndNoteHeading"/>
      </w:pPr>
      <w:r w:rsidRPr="0070317C">
        <w:lastRenderedPageBreak/>
        <w:t>Endnotes</w:t>
      </w:r>
    </w:p>
    <w:p w14:paraId="0E5FB729" w14:textId="77777777" w:rsidR="002339E2" w:rsidRPr="0070317C" w:rsidRDefault="002339E2">
      <w:pPr>
        <w:pStyle w:val="EndNoteSubHeading"/>
      </w:pPr>
      <w:r w:rsidRPr="0070317C">
        <w:t>1</w:t>
      </w:r>
      <w:r w:rsidRPr="0070317C">
        <w:tab/>
        <w:t>Presentation speech</w:t>
      </w:r>
    </w:p>
    <w:p w14:paraId="09026B6D" w14:textId="7245B849" w:rsidR="002339E2" w:rsidRPr="0070317C" w:rsidRDefault="002339E2">
      <w:pPr>
        <w:pStyle w:val="EndNoteText"/>
      </w:pPr>
      <w:r w:rsidRPr="0070317C">
        <w:tab/>
        <w:t>Presentation speech made in the Legislative Assembly on</w:t>
      </w:r>
      <w:r w:rsidR="0080574F">
        <w:t xml:space="preserve"> 13 February 2020.</w:t>
      </w:r>
    </w:p>
    <w:p w14:paraId="3CDFEBAC" w14:textId="77777777" w:rsidR="002339E2" w:rsidRPr="0070317C" w:rsidRDefault="002339E2">
      <w:pPr>
        <w:pStyle w:val="EndNoteSubHeading"/>
      </w:pPr>
      <w:r w:rsidRPr="0070317C">
        <w:t>2</w:t>
      </w:r>
      <w:r w:rsidRPr="0070317C">
        <w:tab/>
        <w:t>Notification</w:t>
      </w:r>
    </w:p>
    <w:p w14:paraId="7560EC5D" w14:textId="6E3A9E80" w:rsidR="002339E2" w:rsidRPr="0070317C" w:rsidRDefault="002339E2">
      <w:pPr>
        <w:pStyle w:val="EndNoteText"/>
      </w:pPr>
      <w:r w:rsidRPr="0070317C">
        <w:tab/>
        <w:t xml:space="preserve">Notified under the </w:t>
      </w:r>
      <w:hyperlink r:id="rId56" w:tooltip="A2001-14" w:history="1">
        <w:r w:rsidR="009F5F26" w:rsidRPr="0070317C">
          <w:rPr>
            <w:rStyle w:val="charCitHyperlinkAbbrev"/>
          </w:rPr>
          <w:t>Legislation Act</w:t>
        </w:r>
      </w:hyperlink>
      <w:r w:rsidRPr="0070317C">
        <w:t xml:space="preserve"> on</w:t>
      </w:r>
      <w:r w:rsidRPr="0070317C">
        <w:tab/>
      </w:r>
      <w:r w:rsidR="001F3339" w:rsidRPr="0070317C">
        <w:rPr>
          <w:noProof/>
        </w:rPr>
        <w:t>2020</w:t>
      </w:r>
      <w:r w:rsidRPr="0070317C">
        <w:t>.</w:t>
      </w:r>
    </w:p>
    <w:p w14:paraId="2258A58C" w14:textId="77777777" w:rsidR="002339E2" w:rsidRPr="0070317C" w:rsidRDefault="002339E2">
      <w:pPr>
        <w:pStyle w:val="EndNoteSubHeading"/>
      </w:pPr>
      <w:r w:rsidRPr="0070317C">
        <w:t>3</w:t>
      </w:r>
      <w:r w:rsidRPr="0070317C">
        <w:tab/>
        <w:t>Republications of amended laws</w:t>
      </w:r>
    </w:p>
    <w:p w14:paraId="3DD3A5C8" w14:textId="59DF7861" w:rsidR="002339E2" w:rsidRPr="0070317C" w:rsidRDefault="002339E2">
      <w:pPr>
        <w:pStyle w:val="EndNoteText"/>
      </w:pPr>
      <w:r w:rsidRPr="0070317C">
        <w:tab/>
        <w:t xml:space="preserve">For the latest republication of amended laws, see </w:t>
      </w:r>
      <w:hyperlink r:id="rId57" w:history="1">
        <w:r w:rsidR="009F5F26" w:rsidRPr="0070317C">
          <w:rPr>
            <w:rStyle w:val="charCitHyperlinkAbbrev"/>
          </w:rPr>
          <w:t>www.legislation.act.gov.au</w:t>
        </w:r>
      </w:hyperlink>
      <w:r w:rsidRPr="0070317C">
        <w:t>.</w:t>
      </w:r>
    </w:p>
    <w:p w14:paraId="7B8BACCA" w14:textId="77777777" w:rsidR="00FA0328" w:rsidRPr="0070317C" w:rsidRDefault="00FA0328" w:rsidP="00FA0328">
      <w:pPr>
        <w:pStyle w:val="N-line2"/>
      </w:pPr>
    </w:p>
    <w:p w14:paraId="3870B7FF" w14:textId="77777777" w:rsidR="0070317C" w:rsidRDefault="0070317C">
      <w:pPr>
        <w:pStyle w:val="05EndNote"/>
        <w:sectPr w:rsidR="0070317C" w:rsidSect="00663155">
          <w:headerReference w:type="even" r:id="rId58"/>
          <w:headerReference w:type="default" r:id="rId59"/>
          <w:footerReference w:type="even" r:id="rId60"/>
          <w:footerReference w:type="default" r:id="rId61"/>
          <w:pgSz w:w="11907" w:h="16839" w:code="9"/>
          <w:pgMar w:top="3000" w:right="1900" w:bottom="2500" w:left="2300" w:header="2480" w:footer="2100" w:gutter="0"/>
          <w:cols w:space="720"/>
          <w:docGrid w:linePitch="326"/>
        </w:sectPr>
      </w:pPr>
    </w:p>
    <w:p w14:paraId="574F79CB" w14:textId="77777777" w:rsidR="002339E2" w:rsidRDefault="002339E2" w:rsidP="008D6FBC"/>
    <w:p w14:paraId="1F003784" w14:textId="77777777" w:rsidR="0070317C" w:rsidRDefault="0070317C" w:rsidP="0070317C"/>
    <w:p w14:paraId="665E8377" w14:textId="77777777" w:rsidR="0070317C" w:rsidRDefault="0070317C" w:rsidP="0070317C">
      <w:pPr>
        <w:suppressLineNumbers/>
      </w:pPr>
    </w:p>
    <w:p w14:paraId="52E65521" w14:textId="77777777" w:rsidR="0070317C" w:rsidRDefault="0070317C" w:rsidP="0070317C">
      <w:pPr>
        <w:suppressLineNumbers/>
      </w:pPr>
    </w:p>
    <w:p w14:paraId="695CB837" w14:textId="77777777" w:rsidR="0070317C" w:rsidRDefault="0070317C" w:rsidP="0070317C">
      <w:pPr>
        <w:suppressLineNumbers/>
      </w:pPr>
    </w:p>
    <w:p w14:paraId="2513FF08" w14:textId="77777777" w:rsidR="0070317C" w:rsidRDefault="0070317C" w:rsidP="0070317C">
      <w:pPr>
        <w:suppressLineNumbers/>
      </w:pPr>
    </w:p>
    <w:p w14:paraId="0B2BA2B6" w14:textId="77777777" w:rsidR="0070317C" w:rsidRDefault="0070317C" w:rsidP="0070317C">
      <w:pPr>
        <w:suppressLineNumbers/>
      </w:pPr>
    </w:p>
    <w:p w14:paraId="240DDA90" w14:textId="77777777" w:rsidR="0070317C" w:rsidRDefault="0070317C" w:rsidP="0070317C">
      <w:pPr>
        <w:suppressLineNumbers/>
      </w:pPr>
    </w:p>
    <w:p w14:paraId="428693DD" w14:textId="77777777" w:rsidR="00663155" w:rsidRDefault="00663155" w:rsidP="0070317C">
      <w:pPr>
        <w:suppressLineNumbers/>
      </w:pPr>
    </w:p>
    <w:p w14:paraId="3FE35F0D" w14:textId="77777777" w:rsidR="00663155" w:rsidRDefault="00663155" w:rsidP="0070317C">
      <w:pPr>
        <w:suppressLineNumbers/>
      </w:pPr>
    </w:p>
    <w:p w14:paraId="10C2406E" w14:textId="77777777" w:rsidR="00663155" w:rsidRDefault="00663155" w:rsidP="0070317C">
      <w:pPr>
        <w:suppressLineNumbers/>
      </w:pPr>
    </w:p>
    <w:p w14:paraId="072E731D" w14:textId="77777777" w:rsidR="00663155" w:rsidRDefault="00663155" w:rsidP="0070317C">
      <w:pPr>
        <w:suppressLineNumbers/>
      </w:pPr>
    </w:p>
    <w:p w14:paraId="1C02C706" w14:textId="77777777" w:rsidR="00663155" w:rsidRDefault="00663155" w:rsidP="0070317C">
      <w:pPr>
        <w:suppressLineNumbers/>
      </w:pPr>
    </w:p>
    <w:p w14:paraId="319A0074" w14:textId="77777777" w:rsidR="00663155" w:rsidRDefault="00663155" w:rsidP="0070317C">
      <w:pPr>
        <w:suppressLineNumbers/>
      </w:pPr>
    </w:p>
    <w:p w14:paraId="7C1042B8" w14:textId="77777777" w:rsidR="00663155" w:rsidRDefault="00663155" w:rsidP="0070317C">
      <w:pPr>
        <w:suppressLineNumbers/>
      </w:pPr>
    </w:p>
    <w:p w14:paraId="16DC9238" w14:textId="77777777" w:rsidR="00663155" w:rsidRDefault="00663155" w:rsidP="0070317C">
      <w:pPr>
        <w:suppressLineNumbers/>
      </w:pPr>
    </w:p>
    <w:p w14:paraId="26E22E1C" w14:textId="77777777" w:rsidR="00663155" w:rsidRDefault="00663155" w:rsidP="0070317C">
      <w:pPr>
        <w:suppressLineNumbers/>
      </w:pPr>
    </w:p>
    <w:p w14:paraId="4E0FB1C0" w14:textId="77777777" w:rsidR="0070317C" w:rsidRDefault="0070317C" w:rsidP="0070317C">
      <w:pPr>
        <w:suppressLineNumbers/>
      </w:pPr>
    </w:p>
    <w:p w14:paraId="4B22FAD3" w14:textId="77777777" w:rsidR="0070317C" w:rsidRDefault="0070317C" w:rsidP="0070317C">
      <w:pPr>
        <w:suppressLineNumbers/>
      </w:pPr>
    </w:p>
    <w:p w14:paraId="17FD55F5" w14:textId="77777777" w:rsidR="0070317C" w:rsidRDefault="0070317C" w:rsidP="0070317C">
      <w:pPr>
        <w:suppressLineNumbers/>
      </w:pPr>
    </w:p>
    <w:p w14:paraId="6CD761A8" w14:textId="77777777" w:rsidR="0070317C" w:rsidRDefault="0070317C" w:rsidP="0070317C">
      <w:pPr>
        <w:suppressLineNumbers/>
      </w:pPr>
    </w:p>
    <w:p w14:paraId="1DCA5914" w14:textId="77777777" w:rsidR="0070317C" w:rsidRDefault="0070317C" w:rsidP="0070317C">
      <w:pPr>
        <w:suppressLineNumbers/>
      </w:pPr>
    </w:p>
    <w:p w14:paraId="76C80F3B" w14:textId="77777777" w:rsidR="0070317C" w:rsidRDefault="0070317C" w:rsidP="0070317C">
      <w:pPr>
        <w:suppressLineNumbers/>
      </w:pPr>
    </w:p>
    <w:p w14:paraId="73FD48C3" w14:textId="77777777" w:rsidR="0070317C" w:rsidRDefault="0070317C">
      <w:pPr>
        <w:jc w:val="center"/>
        <w:rPr>
          <w:sz w:val="18"/>
        </w:rPr>
      </w:pPr>
      <w:r>
        <w:rPr>
          <w:sz w:val="18"/>
        </w:rPr>
        <w:t xml:space="preserve">© Australian Capital Territory </w:t>
      </w:r>
      <w:r>
        <w:rPr>
          <w:noProof/>
          <w:sz w:val="18"/>
        </w:rPr>
        <w:t>2020</w:t>
      </w:r>
    </w:p>
    <w:sectPr w:rsidR="0070317C" w:rsidSect="0070317C">
      <w:headerReference w:type="even" r:id="rId62"/>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2EC3D" w14:textId="77777777" w:rsidR="002F4EF7" w:rsidRDefault="002F4EF7">
      <w:r>
        <w:separator/>
      </w:r>
    </w:p>
  </w:endnote>
  <w:endnote w:type="continuationSeparator" w:id="0">
    <w:p w14:paraId="524512CD" w14:textId="77777777" w:rsidR="002F4EF7" w:rsidRDefault="002F4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E39D7" w14:textId="77777777" w:rsidR="002F4EF7" w:rsidRDefault="002F4EF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F4EF7" w:rsidRPr="00CB3D59" w14:paraId="668A0413" w14:textId="77777777">
      <w:tc>
        <w:tcPr>
          <w:tcW w:w="845" w:type="pct"/>
        </w:tcPr>
        <w:p w14:paraId="3F9DC958" w14:textId="77777777" w:rsidR="002F4EF7" w:rsidRPr="0097645D" w:rsidRDefault="002F4EF7" w:rsidP="002F4EF7">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2341FF73" w14:textId="1F609FA4" w:rsidR="002F4EF7" w:rsidRPr="00783A18" w:rsidRDefault="005546C4" w:rsidP="002F4EF7">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80574F" w:rsidRPr="0070317C">
            <w:t>Residential Tenancies Amendment Bill 2020</w:t>
          </w:r>
          <w:r>
            <w:fldChar w:fldCharType="end"/>
          </w:r>
        </w:p>
        <w:p w14:paraId="35F1A762" w14:textId="6B685C87" w:rsidR="002F4EF7" w:rsidRPr="00783A18" w:rsidRDefault="002F4EF7" w:rsidP="002F4EF7">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80574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80574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80574F">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12AF34D1" w14:textId="03ED5725" w:rsidR="002F4EF7" w:rsidRPr="00743346" w:rsidRDefault="002F4EF7" w:rsidP="002F4EF7">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80574F">
            <w:rPr>
              <w:rFonts w:cs="Arial"/>
              <w:szCs w:val="18"/>
            </w:rPr>
            <w:t xml:space="preserve">  </w:t>
          </w:r>
          <w:r w:rsidRPr="00743346">
            <w:rPr>
              <w:rFonts w:cs="Arial"/>
              <w:szCs w:val="18"/>
            </w:rPr>
            <w:fldChar w:fldCharType="end"/>
          </w:r>
        </w:p>
      </w:tc>
    </w:tr>
  </w:tbl>
  <w:p w14:paraId="57CB380C" w14:textId="3647F836" w:rsidR="002F4EF7" w:rsidRPr="005546C4" w:rsidRDefault="005546C4" w:rsidP="005546C4">
    <w:pPr>
      <w:pStyle w:val="Status"/>
      <w:rPr>
        <w:rFonts w:cs="Arial"/>
      </w:rPr>
    </w:pPr>
    <w:r w:rsidRPr="005546C4">
      <w:rPr>
        <w:rFonts w:cs="Arial"/>
      </w:rPr>
      <w:fldChar w:fldCharType="begin"/>
    </w:r>
    <w:r w:rsidRPr="005546C4">
      <w:rPr>
        <w:rFonts w:cs="Arial"/>
      </w:rPr>
      <w:instrText xml:space="preserve"> DOCPROPERTY "Status" </w:instrText>
    </w:r>
    <w:r w:rsidRPr="005546C4">
      <w:rPr>
        <w:rFonts w:cs="Arial"/>
      </w:rPr>
      <w:fldChar w:fldCharType="separate"/>
    </w:r>
    <w:r w:rsidR="0080574F" w:rsidRPr="005546C4">
      <w:rPr>
        <w:rFonts w:cs="Arial"/>
      </w:rPr>
      <w:t xml:space="preserve"> </w:t>
    </w:r>
    <w:r w:rsidRPr="005546C4">
      <w:rPr>
        <w:rFonts w:cs="Arial"/>
      </w:rPr>
      <w:fldChar w:fldCharType="end"/>
    </w:r>
    <w:r w:rsidRPr="005546C4">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E28E8" w14:textId="77777777" w:rsidR="002F4EF7" w:rsidRDefault="002F4EF7">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2F4EF7" w14:paraId="0E3CCFD1" w14:textId="77777777">
      <w:trPr>
        <w:jc w:val="center"/>
      </w:trPr>
      <w:tc>
        <w:tcPr>
          <w:tcW w:w="1553" w:type="dxa"/>
        </w:tcPr>
        <w:p w14:paraId="40743CD3" w14:textId="0ED96F84" w:rsidR="002F4EF7" w:rsidRDefault="002F4EF7">
          <w:pPr>
            <w:pStyle w:val="Footer"/>
          </w:pPr>
          <w:r>
            <w:fldChar w:fldCharType="begin"/>
          </w:r>
          <w:r>
            <w:instrText xml:space="preserve"> DOCPROPERTY "Category"  *\charformat  </w:instrText>
          </w:r>
          <w:r>
            <w:fldChar w:fldCharType="end"/>
          </w:r>
          <w:r>
            <w:br/>
          </w:r>
          <w:r w:rsidR="005546C4">
            <w:fldChar w:fldCharType="begin"/>
          </w:r>
          <w:r w:rsidR="005546C4">
            <w:instrText xml:space="preserve"> DOCPROPERTY "RepubDt"  *\charformat  </w:instrText>
          </w:r>
          <w:r w:rsidR="005546C4">
            <w:fldChar w:fldCharType="separate"/>
          </w:r>
          <w:r w:rsidR="0080574F">
            <w:t xml:space="preserve">  </w:t>
          </w:r>
          <w:r w:rsidR="005546C4">
            <w:fldChar w:fldCharType="end"/>
          </w:r>
        </w:p>
      </w:tc>
      <w:tc>
        <w:tcPr>
          <w:tcW w:w="4527" w:type="dxa"/>
        </w:tcPr>
        <w:p w14:paraId="464E3DBF" w14:textId="28D9CC15" w:rsidR="002F4EF7" w:rsidRDefault="005546C4">
          <w:pPr>
            <w:pStyle w:val="Footer"/>
            <w:jc w:val="center"/>
          </w:pPr>
          <w:r>
            <w:fldChar w:fldCharType="begin"/>
          </w:r>
          <w:r>
            <w:instrText xml:space="preserve"> REF Citation *\charformat </w:instrText>
          </w:r>
          <w:r>
            <w:fldChar w:fldCharType="separate"/>
          </w:r>
          <w:r w:rsidR="0080574F" w:rsidRPr="0070317C">
            <w:t>Residential Tenancies Amendment Bill 2020</w:t>
          </w:r>
          <w:r>
            <w:fldChar w:fldCharType="end"/>
          </w:r>
        </w:p>
        <w:p w14:paraId="42A3B316" w14:textId="471154EF" w:rsidR="002F4EF7" w:rsidRDefault="005546C4">
          <w:pPr>
            <w:pStyle w:val="Footer"/>
            <w:spacing w:before="0"/>
            <w:jc w:val="center"/>
          </w:pPr>
          <w:r>
            <w:fldChar w:fldCharType="begin"/>
          </w:r>
          <w:r>
            <w:instrText xml:space="preserve"> DOCPROPERTY "Eff"  *\charformat </w:instrText>
          </w:r>
          <w:r>
            <w:fldChar w:fldCharType="separate"/>
          </w:r>
          <w:r w:rsidR="0080574F">
            <w:t xml:space="preserve"> </w:t>
          </w:r>
          <w:r>
            <w:fldChar w:fldCharType="end"/>
          </w:r>
          <w:r>
            <w:fldChar w:fldCharType="begin"/>
          </w:r>
          <w:r>
            <w:instrText xml:space="preserve"> DOCPROPERTY "StartDt"  *\charformat </w:instrText>
          </w:r>
          <w:r>
            <w:fldChar w:fldCharType="separate"/>
          </w:r>
          <w:r w:rsidR="0080574F">
            <w:t xml:space="preserve">  </w:t>
          </w:r>
          <w:r>
            <w:fldChar w:fldCharType="end"/>
          </w:r>
          <w:r>
            <w:fldChar w:fldCharType="begin"/>
          </w:r>
          <w:r>
            <w:instrText xml:space="preserve"> DOCPROPERTY "End</w:instrText>
          </w:r>
          <w:r>
            <w:instrText xml:space="preserve">Dt"  *\charformat </w:instrText>
          </w:r>
          <w:r>
            <w:fldChar w:fldCharType="separate"/>
          </w:r>
          <w:r w:rsidR="0080574F">
            <w:t xml:space="preserve">  </w:t>
          </w:r>
          <w:r>
            <w:fldChar w:fldCharType="end"/>
          </w:r>
        </w:p>
      </w:tc>
      <w:tc>
        <w:tcPr>
          <w:tcW w:w="1240" w:type="dxa"/>
        </w:tcPr>
        <w:p w14:paraId="1D1A1FA5" w14:textId="77777777" w:rsidR="002F4EF7" w:rsidRDefault="002F4EF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DFD345B" w14:textId="1704707D" w:rsidR="002F4EF7" w:rsidRPr="005546C4" w:rsidRDefault="005546C4" w:rsidP="005546C4">
    <w:pPr>
      <w:pStyle w:val="Status"/>
      <w:rPr>
        <w:rFonts w:cs="Arial"/>
      </w:rPr>
    </w:pPr>
    <w:r w:rsidRPr="005546C4">
      <w:rPr>
        <w:rFonts w:cs="Arial"/>
      </w:rPr>
      <w:fldChar w:fldCharType="begin"/>
    </w:r>
    <w:r w:rsidRPr="005546C4">
      <w:rPr>
        <w:rFonts w:cs="Arial"/>
      </w:rPr>
      <w:instrText xml:space="preserve"> DOCPROPERTY "Status" </w:instrText>
    </w:r>
    <w:r w:rsidRPr="005546C4">
      <w:rPr>
        <w:rFonts w:cs="Arial"/>
      </w:rPr>
      <w:fldChar w:fldCharType="separate"/>
    </w:r>
    <w:r w:rsidR="0080574F" w:rsidRPr="005546C4">
      <w:rPr>
        <w:rFonts w:cs="Arial"/>
      </w:rPr>
      <w:t xml:space="preserve"> </w:t>
    </w:r>
    <w:r w:rsidRPr="005546C4">
      <w:rPr>
        <w:rFonts w:cs="Arial"/>
      </w:rPr>
      <w:fldChar w:fldCharType="end"/>
    </w:r>
    <w:r w:rsidRPr="005546C4">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BCACC" w14:textId="77777777" w:rsidR="002F4EF7" w:rsidRDefault="002F4EF7">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2F4EF7" w:rsidRPr="00CB3D59" w14:paraId="46B4063B" w14:textId="77777777">
      <w:tc>
        <w:tcPr>
          <w:tcW w:w="1060" w:type="pct"/>
        </w:tcPr>
        <w:p w14:paraId="13DFCC27" w14:textId="34032209" w:rsidR="002F4EF7" w:rsidRPr="00743346" w:rsidRDefault="002F4EF7" w:rsidP="002F4EF7">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80574F">
            <w:rPr>
              <w:rFonts w:cs="Arial"/>
              <w:szCs w:val="18"/>
            </w:rPr>
            <w:t xml:space="preserve">  </w:t>
          </w:r>
          <w:r w:rsidRPr="00743346">
            <w:rPr>
              <w:rFonts w:cs="Arial"/>
              <w:szCs w:val="18"/>
            </w:rPr>
            <w:fldChar w:fldCharType="end"/>
          </w:r>
        </w:p>
      </w:tc>
      <w:tc>
        <w:tcPr>
          <w:tcW w:w="3094" w:type="pct"/>
        </w:tcPr>
        <w:p w14:paraId="0BA7B80E" w14:textId="675A3DCF" w:rsidR="002F4EF7" w:rsidRPr="00783A18" w:rsidRDefault="005546C4" w:rsidP="002F4EF7">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80574F" w:rsidRPr="0070317C">
            <w:t>Residential Tenancies Amendment Bill 2020</w:t>
          </w:r>
          <w:r>
            <w:fldChar w:fldCharType="end"/>
          </w:r>
        </w:p>
        <w:p w14:paraId="3C4CBA4B" w14:textId="6EA02680" w:rsidR="002F4EF7" w:rsidRPr="00783A18" w:rsidRDefault="002F4EF7" w:rsidP="002F4EF7">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80574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80574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80574F">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6693947A" w14:textId="77777777" w:rsidR="002F4EF7" w:rsidRPr="0097645D" w:rsidRDefault="002F4EF7" w:rsidP="002F4EF7">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035FCD38" w14:textId="471CC896" w:rsidR="002F4EF7" w:rsidRPr="005546C4" w:rsidRDefault="005546C4" w:rsidP="005546C4">
    <w:pPr>
      <w:pStyle w:val="Status"/>
      <w:rPr>
        <w:rFonts w:cs="Arial"/>
      </w:rPr>
    </w:pPr>
    <w:r w:rsidRPr="005546C4">
      <w:rPr>
        <w:rFonts w:cs="Arial"/>
      </w:rPr>
      <w:fldChar w:fldCharType="begin"/>
    </w:r>
    <w:r w:rsidRPr="005546C4">
      <w:rPr>
        <w:rFonts w:cs="Arial"/>
      </w:rPr>
      <w:instrText xml:space="preserve"> DOCPROPERTY "Status" </w:instrText>
    </w:r>
    <w:r w:rsidRPr="005546C4">
      <w:rPr>
        <w:rFonts w:cs="Arial"/>
      </w:rPr>
      <w:fldChar w:fldCharType="separate"/>
    </w:r>
    <w:r w:rsidR="0080574F" w:rsidRPr="005546C4">
      <w:rPr>
        <w:rFonts w:cs="Arial"/>
      </w:rPr>
      <w:t xml:space="preserve"> </w:t>
    </w:r>
    <w:r w:rsidRPr="005546C4">
      <w:rPr>
        <w:rFonts w:cs="Arial"/>
      </w:rPr>
      <w:fldChar w:fldCharType="end"/>
    </w:r>
    <w:r w:rsidRPr="005546C4">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1D92F" w14:textId="77777777" w:rsidR="002F4EF7" w:rsidRDefault="002F4EF7">
    <w:pPr>
      <w:rPr>
        <w:sz w:val="16"/>
      </w:rPr>
    </w:pPr>
  </w:p>
  <w:p w14:paraId="0155C71B" w14:textId="17613953" w:rsidR="002F4EF7" w:rsidRDefault="002F4EF7">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80574F">
      <w:rPr>
        <w:rFonts w:ascii="Arial" w:hAnsi="Arial"/>
        <w:sz w:val="12"/>
      </w:rPr>
      <w:t>J2018-165</w:t>
    </w:r>
    <w:r>
      <w:rPr>
        <w:rFonts w:ascii="Arial" w:hAnsi="Arial"/>
        <w:sz w:val="12"/>
      </w:rPr>
      <w:fldChar w:fldCharType="end"/>
    </w:r>
  </w:p>
  <w:p w14:paraId="52C400EB" w14:textId="1A123235" w:rsidR="002F4EF7" w:rsidRPr="005546C4" w:rsidRDefault="005546C4" w:rsidP="005546C4">
    <w:pPr>
      <w:pStyle w:val="Status"/>
      <w:tabs>
        <w:tab w:val="center" w:pos="3853"/>
        <w:tab w:val="left" w:pos="4575"/>
      </w:tabs>
      <w:rPr>
        <w:rFonts w:cs="Arial"/>
      </w:rPr>
    </w:pPr>
    <w:r w:rsidRPr="005546C4">
      <w:rPr>
        <w:rFonts w:cs="Arial"/>
      </w:rPr>
      <w:fldChar w:fldCharType="begin"/>
    </w:r>
    <w:r w:rsidRPr="005546C4">
      <w:rPr>
        <w:rFonts w:cs="Arial"/>
      </w:rPr>
      <w:instrText xml:space="preserve"> DOCPROPERTY "Status" </w:instrText>
    </w:r>
    <w:r w:rsidRPr="005546C4">
      <w:rPr>
        <w:rFonts w:cs="Arial"/>
      </w:rPr>
      <w:fldChar w:fldCharType="separate"/>
    </w:r>
    <w:r w:rsidR="0080574F" w:rsidRPr="005546C4">
      <w:rPr>
        <w:rFonts w:cs="Arial"/>
      </w:rPr>
      <w:t xml:space="preserve"> </w:t>
    </w:r>
    <w:r w:rsidRPr="005546C4">
      <w:rPr>
        <w:rFonts w:cs="Arial"/>
      </w:rPr>
      <w:fldChar w:fldCharType="end"/>
    </w:r>
    <w:r w:rsidRPr="005546C4">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53530" w14:textId="77777777" w:rsidR="002F4EF7" w:rsidRDefault="002F4EF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F4EF7" w:rsidRPr="00CB3D59" w14:paraId="650CB301" w14:textId="77777777">
      <w:tc>
        <w:tcPr>
          <w:tcW w:w="847" w:type="pct"/>
        </w:tcPr>
        <w:p w14:paraId="4B463B7E" w14:textId="77777777" w:rsidR="002F4EF7" w:rsidRPr="006D109C" w:rsidRDefault="002F4EF7" w:rsidP="002F4EF7">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60652E6F" w14:textId="7211C79A" w:rsidR="002F4EF7" w:rsidRPr="006D109C" w:rsidRDefault="002F4EF7" w:rsidP="002F4EF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0574F" w:rsidRPr="0080574F">
            <w:rPr>
              <w:rFonts w:cs="Arial"/>
              <w:szCs w:val="18"/>
            </w:rPr>
            <w:t>Residential Tenancies Amendment Bill 2020</w:t>
          </w:r>
          <w:r>
            <w:rPr>
              <w:rFonts w:cs="Arial"/>
              <w:szCs w:val="18"/>
            </w:rPr>
            <w:fldChar w:fldCharType="end"/>
          </w:r>
        </w:p>
        <w:p w14:paraId="24B3341D" w14:textId="11E35054" w:rsidR="002F4EF7" w:rsidRPr="00783A18" w:rsidRDefault="002F4EF7" w:rsidP="002F4EF7">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80574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80574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80574F">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09E30392" w14:textId="17F9F4EB" w:rsidR="002F4EF7" w:rsidRPr="006D109C" w:rsidRDefault="002F4EF7" w:rsidP="002F4EF7">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80574F">
            <w:rPr>
              <w:rFonts w:cs="Arial"/>
              <w:szCs w:val="18"/>
            </w:rPr>
            <w:t xml:space="preserve">  </w:t>
          </w:r>
          <w:r w:rsidRPr="006D109C">
            <w:rPr>
              <w:rFonts w:cs="Arial"/>
              <w:szCs w:val="18"/>
            </w:rPr>
            <w:fldChar w:fldCharType="end"/>
          </w:r>
        </w:p>
      </w:tc>
    </w:tr>
  </w:tbl>
  <w:p w14:paraId="333C2BB2" w14:textId="6361561C" w:rsidR="002F4EF7" w:rsidRPr="005546C4" w:rsidRDefault="005546C4" w:rsidP="005546C4">
    <w:pPr>
      <w:pStyle w:val="Status"/>
      <w:rPr>
        <w:rFonts w:cs="Arial"/>
      </w:rPr>
    </w:pPr>
    <w:r w:rsidRPr="005546C4">
      <w:rPr>
        <w:rFonts w:cs="Arial"/>
      </w:rPr>
      <w:fldChar w:fldCharType="begin"/>
    </w:r>
    <w:r w:rsidRPr="005546C4">
      <w:rPr>
        <w:rFonts w:cs="Arial"/>
      </w:rPr>
      <w:instrText xml:space="preserve"> DOCPROPERTY "Status" </w:instrText>
    </w:r>
    <w:r w:rsidRPr="005546C4">
      <w:rPr>
        <w:rFonts w:cs="Arial"/>
      </w:rPr>
      <w:fldChar w:fldCharType="separate"/>
    </w:r>
    <w:r w:rsidR="0080574F" w:rsidRPr="005546C4">
      <w:rPr>
        <w:rFonts w:cs="Arial"/>
      </w:rPr>
      <w:t xml:space="preserve"> </w:t>
    </w:r>
    <w:r w:rsidRPr="005546C4">
      <w:rPr>
        <w:rFonts w:cs="Arial"/>
      </w:rPr>
      <w:fldChar w:fldCharType="end"/>
    </w:r>
    <w:r w:rsidRPr="005546C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70975" w14:textId="77777777" w:rsidR="002F4EF7" w:rsidRDefault="002F4EF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F4EF7" w:rsidRPr="00CB3D59" w14:paraId="4CE7C639" w14:textId="77777777">
      <w:tc>
        <w:tcPr>
          <w:tcW w:w="1061" w:type="pct"/>
        </w:tcPr>
        <w:p w14:paraId="6202925C" w14:textId="4FCDC800" w:rsidR="002F4EF7" w:rsidRPr="006D109C" w:rsidRDefault="002F4EF7" w:rsidP="002F4EF7">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80574F">
            <w:rPr>
              <w:rFonts w:cs="Arial"/>
              <w:szCs w:val="18"/>
            </w:rPr>
            <w:t xml:space="preserve">  </w:t>
          </w:r>
          <w:r w:rsidRPr="006D109C">
            <w:rPr>
              <w:rFonts w:cs="Arial"/>
              <w:szCs w:val="18"/>
            </w:rPr>
            <w:fldChar w:fldCharType="end"/>
          </w:r>
        </w:p>
      </w:tc>
      <w:tc>
        <w:tcPr>
          <w:tcW w:w="3092" w:type="pct"/>
        </w:tcPr>
        <w:p w14:paraId="17B5D0DB" w14:textId="53573246" w:rsidR="002F4EF7" w:rsidRPr="006D109C" w:rsidRDefault="002F4EF7" w:rsidP="002F4EF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0574F" w:rsidRPr="0080574F">
            <w:rPr>
              <w:rFonts w:cs="Arial"/>
              <w:szCs w:val="18"/>
            </w:rPr>
            <w:t>Residential Tenancies Amendment Bill 2020</w:t>
          </w:r>
          <w:r>
            <w:rPr>
              <w:rFonts w:cs="Arial"/>
              <w:szCs w:val="18"/>
            </w:rPr>
            <w:fldChar w:fldCharType="end"/>
          </w:r>
        </w:p>
        <w:p w14:paraId="351A1795" w14:textId="39A6F37E" w:rsidR="002F4EF7" w:rsidRPr="00783A18" w:rsidRDefault="002F4EF7" w:rsidP="002F4EF7">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80574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80574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80574F">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4507878B" w14:textId="77777777" w:rsidR="002F4EF7" w:rsidRPr="006D109C" w:rsidRDefault="002F4EF7" w:rsidP="002F4EF7">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72AC53AB" w14:textId="54EEACA0" w:rsidR="002F4EF7" w:rsidRPr="005546C4" w:rsidRDefault="005546C4" w:rsidP="005546C4">
    <w:pPr>
      <w:pStyle w:val="Status"/>
      <w:rPr>
        <w:rFonts w:cs="Arial"/>
      </w:rPr>
    </w:pPr>
    <w:r w:rsidRPr="005546C4">
      <w:rPr>
        <w:rFonts w:cs="Arial"/>
      </w:rPr>
      <w:fldChar w:fldCharType="begin"/>
    </w:r>
    <w:r w:rsidRPr="005546C4">
      <w:rPr>
        <w:rFonts w:cs="Arial"/>
      </w:rPr>
      <w:instrText xml:space="preserve"> DOCPROPERTY "Status" </w:instrText>
    </w:r>
    <w:r w:rsidRPr="005546C4">
      <w:rPr>
        <w:rFonts w:cs="Arial"/>
      </w:rPr>
      <w:fldChar w:fldCharType="separate"/>
    </w:r>
    <w:r w:rsidR="0080574F" w:rsidRPr="005546C4">
      <w:rPr>
        <w:rFonts w:cs="Arial"/>
      </w:rPr>
      <w:t xml:space="preserve"> </w:t>
    </w:r>
    <w:r w:rsidRPr="005546C4">
      <w:rPr>
        <w:rFonts w:cs="Arial"/>
      </w:rPr>
      <w:fldChar w:fldCharType="end"/>
    </w:r>
    <w:r w:rsidRPr="005546C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6ED3B" w14:textId="77777777" w:rsidR="002F4EF7" w:rsidRDefault="002F4EF7">
    <w:pPr>
      <w:rPr>
        <w:sz w:val="16"/>
      </w:rPr>
    </w:pPr>
  </w:p>
  <w:p w14:paraId="7EE7CB3E" w14:textId="4FB4B099" w:rsidR="002F4EF7" w:rsidRDefault="002F4EF7">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80574F">
      <w:rPr>
        <w:rFonts w:ascii="Arial" w:hAnsi="Arial"/>
        <w:sz w:val="12"/>
      </w:rPr>
      <w:t>J2018-165</w:t>
    </w:r>
    <w:r>
      <w:rPr>
        <w:rFonts w:ascii="Arial" w:hAnsi="Arial"/>
        <w:sz w:val="12"/>
      </w:rPr>
      <w:fldChar w:fldCharType="end"/>
    </w:r>
  </w:p>
  <w:p w14:paraId="1D6D0F6C" w14:textId="020A01AB" w:rsidR="002F4EF7" w:rsidRPr="005546C4" w:rsidRDefault="005546C4" w:rsidP="005546C4">
    <w:pPr>
      <w:pStyle w:val="Status"/>
      <w:rPr>
        <w:rFonts w:cs="Arial"/>
      </w:rPr>
    </w:pPr>
    <w:r w:rsidRPr="005546C4">
      <w:rPr>
        <w:rFonts w:cs="Arial"/>
      </w:rPr>
      <w:fldChar w:fldCharType="begin"/>
    </w:r>
    <w:r w:rsidRPr="005546C4">
      <w:rPr>
        <w:rFonts w:cs="Arial"/>
      </w:rPr>
      <w:instrText xml:space="preserve"> DOCPROPERTY "Status" </w:instrText>
    </w:r>
    <w:r w:rsidRPr="005546C4">
      <w:rPr>
        <w:rFonts w:cs="Arial"/>
      </w:rPr>
      <w:fldChar w:fldCharType="separate"/>
    </w:r>
    <w:r w:rsidR="0080574F" w:rsidRPr="005546C4">
      <w:rPr>
        <w:rFonts w:cs="Arial"/>
      </w:rPr>
      <w:t xml:space="preserve"> </w:t>
    </w:r>
    <w:r w:rsidRPr="005546C4">
      <w:rPr>
        <w:rFonts w:cs="Arial"/>
      </w:rPr>
      <w:fldChar w:fldCharType="end"/>
    </w:r>
    <w:r w:rsidRPr="005546C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A6F0C" w14:textId="77777777" w:rsidR="002F4EF7" w:rsidRDefault="002F4EF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F4EF7" w:rsidRPr="00CB3D59" w14:paraId="7F5F2EE4" w14:textId="77777777">
      <w:tc>
        <w:tcPr>
          <w:tcW w:w="847" w:type="pct"/>
        </w:tcPr>
        <w:p w14:paraId="4CB30B2E" w14:textId="77777777" w:rsidR="002F4EF7" w:rsidRPr="00ED273E" w:rsidRDefault="002F4EF7" w:rsidP="002F4EF7">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0BC0CC2A" w14:textId="6A902921" w:rsidR="002F4EF7" w:rsidRPr="00ED273E" w:rsidRDefault="002F4EF7" w:rsidP="002F4EF7">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80574F" w:rsidRPr="0070317C">
            <w:t>Residential Tenancies Amendment Bill 2020</w:t>
          </w:r>
          <w:r w:rsidRPr="00783A18">
            <w:rPr>
              <w:rFonts w:ascii="Times New Roman" w:hAnsi="Times New Roman"/>
              <w:sz w:val="24"/>
              <w:szCs w:val="24"/>
            </w:rPr>
            <w:fldChar w:fldCharType="end"/>
          </w:r>
        </w:p>
        <w:p w14:paraId="7E6522AC" w14:textId="3CF59051" w:rsidR="002F4EF7" w:rsidRPr="00ED273E" w:rsidRDefault="002F4EF7" w:rsidP="002F4EF7">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80574F">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80574F">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80574F">
            <w:rPr>
              <w:rFonts w:cs="Arial"/>
              <w:szCs w:val="18"/>
            </w:rPr>
            <w:t xml:space="preserve">  </w:t>
          </w:r>
          <w:r w:rsidRPr="00ED273E">
            <w:rPr>
              <w:rFonts w:cs="Arial"/>
              <w:szCs w:val="18"/>
            </w:rPr>
            <w:fldChar w:fldCharType="end"/>
          </w:r>
        </w:p>
      </w:tc>
      <w:tc>
        <w:tcPr>
          <w:tcW w:w="1061" w:type="pct"/>
        </w:tcPr>
        <w:p w14:paraId="08F02244" w14:textId="17F7709B" w:rsidR="002F4EF7" w:rsidRPr="00ED273E" w:rsidRDefault="002F4EF7" w:rsidP="002F4EF7">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80574F">
            <w:rPr>
              <w:rFonts w:cs="Arial"/>
              <w:szCs w:val="18"/>
            </w:rPr>
            <w:t xml:space="preserve">  </w:t>
          </w:r>
          <w:r w:rsidRPr="00ED273E">
            <w:rPr>
              <w:rFonts w:cs="Arial"/>
              <w:szCs w:val="18"/>
            </w:rPr>
            <w:fldChar w:fldCharType="end"/>
          </w:r>
        </w:p>
      </w:tc>
    </w:tr>
  </w:tbl>
  <w:p w14:paraId="0196D6C5" w14:textId="078F1424" w:rsidR="002F4EF7" w:rsidRPr="005546C4" w:rsidRDefault="005546C4" w:rsidP="005546C4">
    <w:pPr>
      <w:pStyle w:val="Status"/>
      <w:rPr>
        <w:rFonts w:cs="Arial"/>
      </w:rPr>
    </w:pPr>
    <w:r w:rsidRPr="005546C4">
      <w:rPr>
        <w:rFonts w:cs="Arial"/>
      </w:rPr>
      <w:fldChar w:fldCharType="begin"/>
    </w:r>
    <w:r w:rsidRPr="005546C4">
      <w:rPr>
        <w:rFonts w:cs="Arial"/>
      </w:rPr>
      <w:instrText xml:space="preserve"> DOCPROPERTY "Status" </w:instrText>
    </w:r>
    <w:r w:rsidRPr="005546C4">
      <w:rPr>
        <w:rFonts w:cs="Arial"/>
      </w:rPr>
      <w:fldChar w:fldCharType="separate"/>
    </w:r>
    <w:r w:rsidR="0080574F" w:rsidRPr="005546C4">
      <w:rPr>
        <w:rFonts w:cs="Arial"/>
      </w:rPr>
      <w:t xml:space="preserve"> </w:t>
    </w:r>
    <w:r w:rsidRPr="005546C4">
      <w:rPr>
        <w:rFonts w:cs="Arial"/>
      </w:rPr>
      <w:fldChar w:fldCharType="end"/>
    </w:r>
    <w:r w:rsidRPr="005546C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D38E1" w14:textId="77777777" w:rsidR="002F4EF7" w:rsidRDefault="002F4EF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F4EF7" w:rsidRPr="00CB3D59" w14:paraId="596A4779" w14:textId="77777777">
      <w:tc>
        <w:tcPr>
          <w:tcW w:w="1061" w:type="pct"/>
        </w:tcPr>
        <w:p w14:paraId="303BD443" w14:textId="36F0B465" w:rsidR="002F4EF7" w:rsidRPr="00ED273E" w:rsidRDefault="002F4EF7" w:rsidP="002F4EF7">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80574F">
            <w:rPr>
              <w:rFonts w:cs="Arial"/>
              <w:szCs w:val="18"/>
            </w:rPr>
            <w:t xml:space="preserve">  </w:t>
          </w:r>
          <w:r w:rsidRPr="00ED273E">
            <w:rPr>
              <w:rFonts w:cs="Arial"/>
              <w:szCs w:val="18"/>
            </w:rPr>
            <w:fldChar w:fldCharType="end"/>
          </w:r>
        </w:p>
      </w:tc>
      <w:tc>
        <w:tcPr>
          <w:tcW w:w="3092" w:type="pct"/>
        </w:tcPr>
        <w:p w14:paraId="024AD93D" w14:textId="4B16D3BB" w:rsidR="002F4EF7" w:rsidRPr="00ED273E" w:rsidRDefault="002F4EF7" w:rsidP="002F4EF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0574F" w:rsidRPr="0080574F">
            <w:rPr>
              <w:rFonts w:cs="Arial"/>
              <w:szCs w:val="18"/>
            </w:rPr>
            <w:t>Residential Tenancies Amendment Bill 2020</w:t>
          </w:r>
          <w:r>
            <w:rPr>
              <w:rFonts w:cs="Arial"/>
              <w:szCs w:val="18"/>
            </w:rPr>
            <w:fldChar w:fldCharType="end"/>
          </w:r>
        </w:p>
        <w:p w14:paraId="0C7C9F31" w14:textId="04BC0AD4" w:rsidR="002F4EF7" w:rsidRPr="00ED273E" w:rsidRDefault="002F4EF7" w:rsidP="002F4EF7">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80574F">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80574F">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80574F">
            <w:rPr>
              <w:rFonts w:cs="Arial"/>
              <w:szCs w:val="18"/>
            </w:rPr>
            <w:t xml:space="preserve">  </w:t>
          </w:r>
          <w:r w:rsidRPr="00ED273E">
            <w:rPr>
              <w:rFonts w:cs="Arial"/>
              <w:szCs w:val="18"/>
            </w:rPr>
            <w:fldChar w:fldCharType="end"/>
          </w:r>
        </w:p>
      </w:tc>
      <w:tc>
        <w:tcPr>
          <w:tcW w:w="847" w:type="pct"/>
        </w:tcPr>
        <w:p w14:paraId="23F3C21B" w14:textId="77777777" w:rsidR="002F4EF7" w:rsidRPr="00ED273E" w:rsidRDefault="002F4EF7" w:rsidP="002F4EF7">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5D44D2B5" w14:textId="283154CD" w:rsidR="002F4EF7" w:rsidRPr="005546C4" w:rsidRDefault="005546C4" w:rsidP="005546C4">
    <w:pPr>
      <w:pStyle w:val="Status"/>
      <w:rPr>
        <w:rFonts w:cs="Arial"/>
      </w:rPr>
    </w:pPr>
    <w:r w:rsidRPr="005546C4">
      <w:rPr>
        <w:rFonts w:cs="Arial"/>
      </w:rPr>
      <w:fldChar w:fldCharType="begin"/>
    </w:r>
    <w:r w:rsidRPr="005546C4">
      <w:rPr>
        <w:rFonts w:cs="Arial"/>
      </w:rPr>
      <w:instrText xml:space="preserve"> DOCPROPERTY "Status" </w:instrText>
    </w:r>
    <w:r w:rsidRPr="005546C4">
      <w:rPr>
        <w:rFonts w:cs="Arial"/>
      </w:rPr>
      <w:fldChar w:fldCharType="separate"/>
    </w:r>
    <w:r w:rsidR="0080574F" w:rsidRPr="005546C4">
      <w:rPr>
        <w:rFonts w:cs="Arial"/>
      </w:rPr>
      <w:t xml:space="preserve"> </w:t>
    </w:r>
    <w:r w:rsidRPr="005546C4">
      <w:rPr>
        <w:rFonts w:cs="Arial"/>
      </w:rPr>
      <w:fldChar w:fldCharType="end"/>
    </w:r>
    <w:r w:rsidRPr="005546C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E38AD" w14:textId="77777777" w:rsidR="002F4EF7" w:rsidRDefault="002F4EF7">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2F4EF7" w14:paraId="4338E31A" w14:textId="77777777">
      <w:trPr>
        <w:jc w:val="center"/>
      </w:trPr>
      <w:tc>
        <w:tcPr>
          <w:tcW w:w="1240" w:type="dxa"/>
        </w:tcPr>
        <w:p w14:paraId="0B411BFE" w14:textId="77777777" w:rsidR="002F4EF7" w:rsidRDefault="002F4EF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5BDB9C44" w14:textId="37375BE5" w:rsidR="002F4EF7" w:rsidRDefault="005546C4">
          <w:pPr>
            <w:pStyle w:val="Footer"/>
            <w:jc w:val="center"/>
          </w:pPr>
          <w:r>
            <w:fldChar w:fldCharType="begin"/>
          </w:r>
          <w:r>
            <w:instrText xml:space="preserve"> REF Citation *\charformat </w:instrText>
          </w:r>
          <w:r>
            <w:fldChar w:fldCharType="separate"/>
          </w:r>
          <w:r w:rsidR="0080574F" w:rsidRPr="0070317C">
            <w:t>Residential Tenancies Amendment Bill 2020</w:t>
          </w:r>
          <w:r>
            <w:fldChar w:fldCharType="end"/>
          </w:r>
        </w:p>
        <w:p w14:paraId="1306B100" w14:textId="3F650380" w:rsidR="002F4EF7" w:rsidRDefault="005546C4">
          <w:pPr>
            <w:pStyle w:val="Footer"/>
            <w:spacing w:before="0"/>
            <w:jc w:val="center"/>
          </w:pPr>
          <w:r>
            <w:fldChar w:fldCharType="begin"/>
          </w:r>
          <w:r>
            <w:instrText xml:space="preserve"> DOCPROPERTY "Eff"  *\charformat </w:instrText>
          </w:r>
          <w:r>
            <w:fldChar w:fldCharType="separate"/>
          </w:r>
          <w:r w:rsidR="0080574F">
            <w:t xml:space="preserve"> </w:t>
          </w:r>
          <w:r>
            <w:fldChar w:fldCharType="end"/>
          </w:r>
          <w:r>
            <w:fldChar w:fldCharType="begin"/>
          </w:r>
          <w:r>
            <w:instrText xml:space="preserve"> DOCPROPERTY "StartDt"  *\charformat </w:instrText>
          </w:r>
          <w:r>
            <w:fldChar w:fldCharType="separate"/>
          </w:r>
          <w:r w:rsidR="0080574F">
            <w:t xml:space="preserve">  </w:t>
          </w:r>
          <w:r>
            <w:fldChar w:fldCharType="end"/>
          </w:r>
          <w:r>
            <w:fldChar w:fldCharType="begin"/>
          </w:r>
          <w:r>
            <w:instrText xml:space="preserve"> DOCPROPERTY "EndDt"  *\charformat </w:instrText>
          </w:r>
          <w:r>
            <w:fldChar w:fldCharType="separate"/>
          </w:r>
          <w:r w:rsidR="0080574F">
            <w:t xml:space="preserve">  </w:t>
          </w:r>
          <w:r>
            <w:fldChar w:fldCharType="end"/>
          </w:r>
        </w:p>
      </w:tc>
      <w:tc>
        <w:tcPr>
          <w:tcW w:w="1553" w:type="dxa"/>
        </w:tcPr>
        <w:p w14:paraId="02C10DBE" w14:textId="2033AFEF" w:rsidR="002F4EF7" w:rsidRDefault="002F4EF7">
          <w:pPr>
            <w:pStyle w:val="Footer"/>
            <w:jc w:val="right"/>
          </w:pPr>
          <w:r>
            <w:fldChar w:fldCharType="begin"/>
          </w:r>
          <w:r>
            <w:instrText xml:space="preserve"> DOCPROPERTY "Category"  *\charformat  </w:instrText>
          </w:r>
          <w:r>
            <w:fldChar w:fldCharType="end"/>
          </w:r>
          <w:r>
            <w:br/>
          </w:r>
          <w:r w:rsidR="005546C4">
            <w:fldChar w:fldCharType="begin"/>
          </w:r>
          <w:r w:rsidR="005546C4">
            <w:instrText xml:space="preserve"> DOCPROPERTY "RepubDt"  *\charformat  </w:instrText>
          </w:r>
          <w:r w:rsidR="005546C4">
            <w:fldChar w:fldCharType="separate"/>
          </w:r>
          <w:r w:rsidR="0080574F">
            <w:t xml:space="preserve">  </w:t>
          </w:r>
          <w:r w:rsidR="005546C4">
            <w:fldChar w:fldCharType="end"/>
          </w:r>
        </w:p>
      </w:tc>
    </w:tr>
  </w:tbl>
  <w:p w14:paraId="786D354F" w14:textId="205C22DC" w:rsidR="002F4EF7" w:rsidRPr="005546C4" w:rsidRDefault="005546C4" w:rsidP="005546C4">
    <w:pPr>
      <w:pStyle w:val="Status"/>
      <w:rPr>
        <w:rFonts w:cs="Arial"/>
      </w:rPr>
    </w:pPr>
    <w:r w:rsidRPr="005546C4">
      <w:rPr>
        <w:rFonts w:cs="Arial"/>
      </w:rPr>
      <w:fldChar w:fldCharType="begin"/>
    </w:r>
    <w:r w:rsidRPr="005546C4">
      <w:rPr>
        <w:rFonts w:cs="Arial"/>
      </w:rPr>
      <w:instrText xml:space="preserve"> DOCPROPERTY "Status" </w:instrText>
    </w:r>
    <w:r w:rsidRPr="005546C4">
      <w:rPr>
        <w:rFonts w:cs="Arial"/>
      </w:rPr>
      <w:fldChar w:fldCharType="separate"/>
    </w:r>
    <w:r w:rsidR="0080574F" w:rsidRPr="005546C4">
      <w:rPr>
        <w:rFonts w:cs="Arial"/>
      </w:rPr>
      <w:t xml:space="preserve"> </w:t>
    </w:r>
    <w:r w:rsidRPr="005546C4">
      <w:rPr>
        <w:rFonts w:cs="Arial"/>
      </w:rPr>
      <w:fldChar w:fldCharType="end"/>
    </w:r>
    <w:r w:rsidRPr="005546C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9539D" w14:textId="77777777" w:rsidR="002F4EF7" w:rsidRDefault="002F4EF7">
      <w:r>
        <w:separator/>
      </w:r>
    </w:p>
  </w:footnote>
  <w:footnote w:type="continuationSeparator" w:id="0">
    <w:p w14:paraId="575DCE81" w14:textId="77777777" w:rsidR="002F4EF7" w:rsidRDefault="002F4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F4EF7" w:rsidRPr="00CB3D59" w14:paraId="20DC931A" w14:textId="77777777">
      <w:tc>
        <w:tcPr>
          <w:tcW w:w="900" w:type="pct"/>
        </w:tcPr>
        <w:p w14:paraId="795135E0" w14:textId="77777777" w:rsidR="002F4EF7" w:rsidRPr="00783A18" w:rsidRDefault="002F4EF7">
          <w:pPr>
            <w:pStyle w:val="HeaderEven"/>
            <w:rPr>
              <w:rFonts w:ascii="Times New Roman" w:hAnsi="Times New Roman"/>
              <w:sz w:val="24"/>
              <w:szCs w:val="24"/>
            </w:rPr>
          </w:pPr>
        </w:p>
      </w:tc>
      <w:tc>
        <w:tcPr>
          <w:tcW w:w="4100" w:type="pct"/>
        </w:tcPr>
        <w:p w14:paraId="3B8CBA87" w14:textId="77777777" w:rsidR="002F4EF7" w:rsidRPr="00783A18" w:rsidRDefault="002F4EF7">
          <w:pPr>
            <w:pStyle w:val="HeaderEven"/>
            <w:rPr>
              <w:rFonts w:ascii="Times New Roman" w:hAnsi="Times New Roman"/>
              <w:sz w:val="24"/>
              <w:szCs w:val="24"/>
            </w:rPr>
          </w:pPr>
        </w:p>
      </w:tc>
    </w:tr>
    <w:tr w:rsidR="002F4EF7" w:rsidRPr="00CB3D59" w14:paraId="3E493B2F" w14:textId="77777777">
      <w:tc>
        <w:tcPr>
          <w:tcW w:w="4100" w:type="pct"/>
          <w:gridSpan w:val="2"/>
          <w:tcBorders>
            <w:bottom w:val="single" w:sz="4" w:space="0" w:color="auto"/>
          </w:tcBorders>
        </w:tcPr>
        <w:p w14:paraId="49041FEA" w14:textId="45EC44E1" w:rsidR="002F4EF7" w:rsidRPr="0097645D" w:rsidRDefault="005546C4" w:rsidP="002F4EF7">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1A70587D" w14:textId="72944F9A" w:rsidR="002F4EF7" w:rsidRDefault="002F4EF7">
    <w:pPr>
      <w:pStyle w:val="N-9pt"/>
    </w:pPr>
    <w:r>
      <w:tab/>
    </w:r>
    <w:r w:rsidR="005546C4">
      <w:fldChar w:fldCharType="begin"/>
    </w:r>
    <w:r w:rsidR="005546C4">
      <w:instrText xml:space="preserve"> STYLEREF charPage \* MERGEFORMAT </w:instrText>
    </w:r>
    <w:r w:rsidR="005546C4">
      <w:fldChar w:fldCharType="separate"/>
    </w:r>
    <w:r w:rsidR="005546C4">
      <w:rPr>
        <w:noProof/>
      </w:rPr>
      <w:t>Page</w:t>
    </w:r>
    <w:r w:rsidR="005546C4">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2F4EF7" w:rsidRPr="00E06D02" w14:paraId="30335DDD" w14:textId="77777777" w:rsidTr="00567644">
      <w:trPr>
        <w:jc w:val="center"/>
      </w:trPr>
      <w:tc>
        <w:tcPr>
          <w:tcW w:w="1068" w:type="pct"/>
        </w:tcPr>
        <w:p w14:paraId="59488AA6" w14:textId="77777777" w:rsidR="002F4EF7" w:rsidRPr="00567644" w:rsidRDefault="002F4EF7" w:rsidP="00567644">
          <w:pPr>
            <w:pStyle w:val="HeaderEven"/>
            <w:tabs>
              <w:tab w:val="left" w:pos="700"/>
            </w:tabs>
            <w:ind w:left="697" w:hanging="697"/>
            <w:rPr>
              <w:rFonts w:cs="Arial"/>
              <w:szCs w:val="18"/>
            </w:rPr>
          </w:pPr>
        </w:p>
      </w:tc>
      <w:tc>
        <w:tcPr>
          <w:tcW w:w="3932" w:type="pct"/>
        </w:tcPr>
        <w:p w14:paraId="4EFBE2A9" w14:textId="77777777" w:rsidR="002F4EF7" w:rsidRPr="00567644" w:rsidRDefault="002F4EF7" w:rsidP="00567644">
          <w:pPr>
            <w:pStyle w:val="HeaderEven"/>
            <w:tabs>
              <w:tab w:val="left" w:pos="700"/>
            </w:tabs>
            <w:ind w:left="697" w:hanging="697"/>
            <w:rPr>
              <w:rFonts w:cs="Arial"/>
              <w:szCs w:val="18"/>
            </w:rPr>
          </w:pPr>
        </w:p>
      </w:tc>
    </w:tr>
    <w:tr w:rsidR="002F4EF7" w:rsidRPr="00E06D02" w14:paraId="414F1D02" w14:textId="77777777" w:rsidTr="00567644">
      <w:trPr>
        <w:jc w:val="center"/>
      </w:trPr>
      <w:tc>
        <w:tcPr>
          <w:tcW w:w="1068" w:type="pct"/>
        </w:tcPr>
        <w:p w14:paraId="3DA4B36A" w14:textId="77777777" w:rsidR="002F4EF7" w:rsidRPr="00567644" w:rsidRDefault="002F4EF7" w:rsidP="00567644">
          <w:pPr>
            <w:pStyle w:val="HeaderEven"/>
            <w:tabs>
              <w:tab w:val="left" w:pos="700"/>
            </w:tabs>
            <w:ind w:left="697" w:hanging="697"/>
            <w:rPr>
              <w:rFonts w:cs="Arial"/>
              <w:szCs w:val="18"/>
            </w:rPr>
          </w:pPr>
        </w:p>
      </w:tc>
      <w:tc>
        <w:tcPr>
          <w:tcW w:w="3932" w:type="pct"/>
        </w:tcPr>
        <w:p w14:paraId="7283B1F6" w14:textId="77777777" w:rsidR="002F4EF7" w:rsidRPr="00567644" w:rsidRDefault="002F4EF7" w:rsidP="00567644">
          <w:pPr>
            <w:pStyle w:val="HeaderEven"/>
            <w:tabs>
              <w:tab w:val="left" w:pos="700"/>
            </w:tabs>
            <w:ind w:left="697" w:hanging="697"/>
            <w:rPr>
              <w:rFonts w:cs="Arial"/>
              <w:szCs w:val="18"/>
            </w:rPr>
          </w:pPr>
        </w:p>
      </w:tc>
    </w:tr>
    <w:tr w:rsidR="002F4EF7" w:rsidRPr="00E06D02" w14:paraId="3495A50A" w14:textId="77777777" w:rsidTr="00567644">
      <w:trPr>
        <w:cantSplit/>
        <w:jc w:val="center"/>
      </w:trPr>
      <w:tc>
        <w:tcPr>
          <w:tcW w:w="4997" w:type="pct"/>
          <w:gridSpan w:val="2"/>
          <w:tcBorders>
            <w:bottom w:val="single" w:sz="4" w:space="0" w:color="auto"/>
          </w:tcBorders>
        </w:tcPr>
        <w:p w14:paraId="1318AC46" w14:textId="77777777" w:rsidR="002F4EF7" w:rsidRPr="00567644" w:rsidRDefault="002F4EF7" w:rsidP="00567644">
          <w:pPr>
            <w:pStyle w:val="HeaderEven6"/>
            <w:tabs>
              <w:tab w:val="left" w:pos="700"/>
            </w:tabs>
            <w:ind w:left="697" w:hanging="697"/>
            <w:rPr>
              <w:szCs w:val="18"/>
            </w:rPr>
          </w:pPr>
        </w:p>
      </w:tc>
    </w:tr>
  </w:tbl>
  <w:p w14:paraId="6BE93F88" w14:textId="77777777" w:rsidR="002F4EF7" w:rsidRDefault="002F4EF7"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F4EF7" w:rsidRPr="00CB3D59" w14:paraId="5E5F4852" w14:textId="77777777">
      <w:tc>
        <w:tcPr>
          <w:tcW w:w="4100" w:type="pct"/>
        </w:tcPr>
        <w:p w14:paraId="7A576CED" w14:textId="77777777" w:rsidR="002F4EF7" w:rsidRPr="00783A18" w:rsidRDefault="002F4EF7" w:rsidP="002F4EF7">
          <w:pPr>
            <w:pStyle w:val="HeaderOdd"/>
            <w:jc w:val="left"/>
            <w:rPr>
              <w:rFonts w:ascii="Times New Roman" w:hAnsi="Times New Roman"/>
              <w:sz w:val="24"/>
              <w:szCs w:val="24"/>
            </w:rPr>
          </w:pPr>
        </w:p>
      </w:tc>
      <w:tc>
        <w:tcPr>
          <w:tcW w:w="900" w:type="pct"/>
        </w:tcPr>
        <w:p w14:paraId="06FACB8B" w14:textId="77777777" w:rsidR="002F4EF7" w:rsidRPr="00783A18" w:rsidRDefault="002F4EF7" w:rsidP="002F4EF7">
          <w:pPr>
            <w:pStyle w:val="HeaderOdd"/>
            <w:jc w:val="left"/>
            <w:rPr>
              <w:rFonts w:ascii="Times New Roman" w:hAnsi="Times New Roman"/>
              <w:sz w:val="24"/>
              <w:szCs w:val="24"/>
            </w:rPr>
          </w:pPr>
        </w:p>
      </w:tc>
    </w:tr>
    <w:tr w:rsidR="002F4EF7" w:rsidRPr="00CB3D59" w14:paraId="57C38D69" w14:textId="77777777">
      <w:tc>
        <w:tcPr>
          <w:tcW w:w="900" w:type="pct"/>
          <w:gridSpan w:val="2"/>
          <w:tcBorders>
            <w:bottom w:val="single" w:sz="4" w:space="0" w:color="auto"/>
          </w:tcBorders>
        </w:tcPr>
        <w:p w14:paraId="08664DCE" w14:textId="3EE3C414" w:rsidR="002F4EF7" w:rsidRPr="0097645D" w:rsidRDefault="005546C4" w:rsidP="002F4EF7">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0414CA1E" w14:textId="0F2FC660" w:rsidR="002F4EF7" w:rsidRDefault="002F4EF7">
    <w:pPr>
      <w:pStyle w:val="N-9pt"/>
    </w:pPr>
    <w:r>
      <w:tab/>
    </w:r>
    <w:r w:rsidR="005546C4">
      <w:fldChar w:fldCharType="begin"/>
    </w:r>
    <w:r w:rsidR="005546C4">
      <w:instrText xml:space="preserve"> STYLEREF charPage \* MERGEFORMAT </w:instrText>
    </w:r>
    <w:r w:rsidR="005546C4">
      <w:fldChar w:fldCharType="separate"/>
    </w:r>
    <w:r w:rsidR="005546C4">
      <w:rPr>
        <w:noProof/>
      </w:rPr>
      <w:t>Page</w:t>
    </w:r>
    <w:r w:rsidR="005546C4">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00D07" w14:textId="77777777" w:rsidR="00792592" w:rsidRDefault="007925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5"/>
      <w:gridCol w:w="6062"/>
    </w:tblGrid>
    <w:tr w:rsidR="002F4EF7" w:rsidRPr="00CB3D59" w14:paraId="03B03372" w14:textId="77777777" w:rsidTr="002F4EF7">
      <w:tc>
        <w:tcPr>
          <w:tcW w:w="1701" w:type="dxa"/>
        </w:tcPr>
        <w:p w14:paraId="4E6DDC52" w14:textId="31C10549" w:rsidR="002F4EF7" w:rsidRPr="006D109C" w:rsidRDefault="002F4EF7">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5546C4">
            <w:rPr>
              <w:rFonts w:cs="Arial"/>
              <w:b/>
              <w:noProof/>
              <w:szCs w:val="18"/>
            </w:rPr>
            <w:t>Part 3</w:t>
          </w:r>
          <w:r w:rsidRPr="006D109C">
            <w:rPr>
              <w:rFonts w:cs="Arial"/>
              <w:b/>
              <w:szCs w:val="18"/>
            </w:rPr>
            <w:fldChar w:fldCharType="end"/>
          </w:r>
        </w:p>
      </w:tc>
      <w:tc>
        <w:tcPr>
          <w:tcW w:w="6320" w:type="dxa"/>
        </w:tcPr>
        <w:p w14:paraId="67AA19E4" w14:textId="461E73EC" w:rsidR="002F4EF7" w:rsidRPr="006D109C" w:rsidRDefault="002F4EF7">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5546C4">
            <w:rPr>
              <w:rFonts w:cs="Arial"/>
              <w:noProof/>
              <w:szCs w:val="18"/>
            </w:rPr>
            <w:t>Residential Tenancies Regulation 1998</w:t>
          </w:r>
          <w:r w:rsidRPr="006D109C">
            <w:rPr>
              <w:rFonts w:cs="Arial"/>
              <w:szCs w:val="18"/>
            </w:rPr>
            <w:fldChar w:fldCharType="end"/>
          </w:r>
        </w:p>
      </w:tc>
    </w:tr>
    <w:tr w:rsidR="002F4EF7" w:rsidRPr="00CB3D59" w14:paraId="172819B2" w14:textId="77777777" w:rsidTr="002F4EF7">
      <w:tc>
        <w:tcPr>
          <w:tcW w:w="1701" w:type="dxa"/>
        </w:tcPr>
        <w:p w14:paraId="19B25A4F" w14:textId="7A8054FC" w:rsidR="002F4EF7" w:rsidRPr="006D109C" w:rsidRDefault="002F4EF7">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6A3F3D85" w14:textId="1C137C5D" w:rsidR="002F4EF7" w:rsidRPr="006D109C" w:rsidRDefault="002F4EF7">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2F4EF7" w:rsidRPr="00CB3D59" w14:paraId="40E13421" w14:textId="77777777" w:rsidTr="002F4EF7">
      <w:trPr>
        <w:cantSplit/>
      </w:trPr>
      <w:tc>
        <w:tcPr>
          <w:tcW w:w="1701" w:type="dxa"/>
          <w:gridSpan w:val="2"/>
          <w:tcBorders>
            <w:bottom w:val="single" w:sz="4" w:space="0" w:color="auto"/>
          </w:tcBorders>
        </w:tcPr>
        <w:p w14:paraId="786E773C" w14:textId="5D9163B0" w:rsidR="002F4EF7" w:rsidRPr="006D109C" w:rsidRDefault="002F4EF7" w:rsidP="002F4EF7">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80574F">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5546C4">
            <w:rPr>
              <w:rFonts w:cs="Arial"/>
              <w:noProof/>
              <w:szCs w:val="18"/>
            </w:rPr>
            <w:t>46</w:t>
          </w:r>
          <w:r w:rsidRPr="006D109C">
            <w:rPr>
              <w:rFonts w:cs="Arial"/>
              <w:szCs w:val="18"/>
            </w:rPr>
            <w:fldChar w:fldCharType="end"/>
          </w:r>
        </w:p>
      </w:tc>
    </w:tr>
  </w:tbl>
  <w:p w14:paraId="1A99AF3B" w14:textId="77777777" w:rsidR="002F4EF7" w:rsidRDefault="002F4E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2"/>
      <w:gridCol w:w="1645"/>
    </w:tblGrid>
    <w:tr w:rsidR="002F4EF7" w:rsidRPr="00CB3D59" w14:paraId="3D046BD3" w14:textId="77777777" w:rsidTr="002F4EF7">
      <w:tc>
        <w:tcPr>
          <w:tcW w:w="6320" w:type="dxa"/>
        </w:tcPr>
        <w:p w14:paraId="1047CF34" w14:textId="391E44BE" w:rsidR="002F4EF7" w:rsidRPr="006D109C" w:rsidRDefault="002F4EF7">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5546C4">
            <w:rPr>
              <w:rFonts w:cs="Arial"/>
              <w:noProof/>
              <w:szCs w:val="18"/>
            </w:rPr>
            <w:t>Residential Tenancies Regulation 1998</w:t>
          </w:r>
          <w:r w:rsidRPr="006D109C">
            <w:rPr>
              <w:rFonts w:cs="Arial"/>
              <w:szCs w:val="18"/>
            </w:rPr>
            <w:fldChar w:fldCharType="end"/>
          </w:r>
        </w:p>
      </w:tc>
      <w:tc>
        <w:tcPr>
          <w:tcW w:w="1701" w:type="dxa"/>
        </w:tcPr>
        <w:p w14:paraId="2DE4C91F" w14:textId="09D54CA2" w:rsidR="002F4EF7" w:rsidRPr="006D109C" w:rsidRDefault="002F4EF7">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5546C4">
            <w:rPr>
              <w:rFonts w:cs="Arial"/>
              <w:b/>
              <w:noProof/>
              <w:szCs w:val="18"/>
            </w:rPr>
            <w:t>Part 3</w:t>
          </w:r>
          <w:r w:rsidRPr="006D109C">
            <w:rPr>
              <w:rFonts w:cs="Arial"/>
              <w:b/>
              <w:szCs w:val="18"/>
            </w:rPr>
            <w:fldChar w:fldCharType="end"/>
          </w:r>
        </w:p>
      </w:tc>
    </w:tr>
    <w:tr w:rsidR="002F4EF7" w:rsidRPr="00CB3D59" w14:paraId="7B509E7C" w14:textId="77777777" w:rsidTr="002F4EF7">
      <w:tc>
        <w:tcPr>
          <w:tcW w:w="6320" w:type="dxa"/>
        </w:tcPr>
        <w:p w14:paraId="6DA95504" w14:textId="57E30116" w:rsidR="002F4EF7" w:rsidRPr="006D109C" w:rsidRDefault="002F4EF7">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142F72B7" w14:textId="2F69A111" w:rsidR="002F4EF7" w:rsidRPr="006D109C" w:rsidRDefault="002F4EF7">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2F4EF7" w:rsidRPr="00CB3D59" w14:paraId="5C131547" w14:textId="77777777" w:rsidTr="002F4EF7">
      <w:trPr>
        <w:cantSplit/>
      </w:trPr>
      <w:tc>
        <w:tcPr>
          <w:tcW w:w="1701" w:type="dxa"/>
          <w:gridSpan w:val="2"/>
          <w:tcBorders>
            <w:bottom w:val="single" w:sz="4" w:space="0" w:color="auto"/>
          </w:tcBorders>
        </w:tcPr>
        <w:p w14:paraId="5EDCEA3D" w14:textId="0C03743C" w:rsidR="002F4EF7" w:rsidRPr="006D109C" w:rsidRDefault="002F4EF7" w:rsidP="002F4EF7">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80574F">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5546C4">
            <w:rPr>
              <w:rFonts w:cs="Arial"/>
              <w:noProof/>
              <w:szCs w:val="18"/>
            </w:rPr>
            <w:t>46</w:t>
          </w:r>
          <w:r w:rsidRPr="006D109C">
            <w:rPr>
              <w:rFonts w:cs="Arial"/>
              <w:szCs w:val="18"/>
            </w:rPr>
            <w:fldChar w:fldCharType="end"/>
          </w:r>
        </w:p>
      </w:tc>
    </w:tr>
  </w:tbl>
  <w:p w14:paraId="63242CF1" w14:textId="77777777" w:rsidR="002F4EF7" w:rsidRDefault="002F4EF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2F4EF7" w:rsidRPr="00CB3D59" w14:paraId="0495158B" w14:textId="77777777">
      <w:trPr>
        <w:jc w:val="center"/>
      </w:trPr>
      <w:tc>
        <w:tcPr>
          <w:tcW w:w="1560" w:type="dxa"/>
        </w:tcPr>
        <w:p w14:paraId="114FD17A" w14:textId="4C5C0CC6" w:rsidR="002F4EF7" w:rsidRPr="00ED273E" w:rsidRDefault="002F4EF7">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5546C4">
            <w:rPr>
              <w:rFonts w:cs="Arial"/>
              <w:b/>
              <w:noProof/>
              <w:szCs w:val="18"/>
            </w:rPr>
            <w:t>Schedule 1</w:t>
          </w:r>
          <w:r w:rsidRPr="00ED273E">
            <w:rPr>
              <w:rFonts w:cs="Arial"/>
              <w:b/>
              <w:szCs w:val="18"/>
            </w:rPr>
            <w:fldChar w:fldCharType="end"/>
          </w:r>
        </w:p>
      </w:tc>
      <w:tc>
        <w:tcPr>
          <w:tcW w:w="5741" w:type="dxa"/>
        </w:tcPr>
        <w:p w14:paraId="3E23F5AF" w14:textId="26CC909E" w:rsidR="002F4EF7" w:rsidRPr="00ED273E" w:rsidRDefault="002F4EF7">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5546C4">
            <w:rPr>
              <w:rFonts w:cs="Arial"/>
              <w:noProof/>
              <w:szCs w:val="18"/>
            </w:rPr>
            <w:t>Other amendments</w:t>
          </w:r>
          <w:r w:rsidRPr="00ED273E">
            <w:rPr>
              <w:rFonts w:cs="Arial"/>
              <w:szCs w:val="18"/>
            </w:rPr>
            <w:fldChar w:fldCharType="end"/>
          </w:r>
        </w:p>
      </w:tc>
    </w:tr>
    <w:tr w:rsidR="002F4EF7" w:rsidRPr="00CB3D59" w14:paraId="61E024B6" w14:textId="77777777">
      <w:trPr>
        <w:jc w:val="center"/>
      </w:trPr>
      <w:tc>
        <w:tcPr>
          <w:tcW w:w="1560" w:type="dxa"/>
        </w:tcPr>
        <w:p w14:paraId="6668163D" w14:textId="50356921" w:rsidR="002F4EF7" w:rsidRPr="00ED273E" w:rsidRDefault="002F4EF7">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5546C4">
            <w:rPr>
              <w:rFonts w:cs="Arial"/>
              <w:b/>
              <w:noProof/>
              <w:szCs w:val="18"/>
            </w:rPr>
            <w:t>Part 1.2</w:t>
          </w:r>
          <w:r w:rsidRPr="00ED273E">
            <w:rPr>
              <w:rFonts w:cs="Arial"/>
              <w:b/>
              <w:szCs w:val="18"/>
            </w:rPr>
            <w:fldChar w:fldCharType="end"/>
          </w:r>
        </w:p>
      </w:tc>
      <w:tc>
        <w:tcPr>
          <w:tcW w:w="5741" w:type="dxa"/>
        </w:tcPr>
        <w:p w14:paraId="422A0A76" w14:textId="5339F232" w:rsidR="002F4EF7" w:rsidRPr="00ED273E" w:rsidRDefault="002F4EF7">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5546C4">
            <w:rPr>
              <w:rFonts w:cs="Arial"/>
              <w:noProof/>
              <w:szCs w:val="18"/>
            </w:rPr>
            <w:t>Uncollected Goods Act 1996</w:t>
          </w:r>
          <w:r w:rsidRPr="00ED273E">
            <w:rPr>
              <w:rFonts w:cs="Arial"/>
              <w:szCs w:val="18"/>
            </w:rPr>
            <w:fldChar w:fldCharType="end"/>
          </w:r>
        </w:p>
      </w:tc>
    </w:tr>
    <w:tr w:rsidR="002F4EF7" w:rsidRPr="00CB3D59" w14:paraId="1E679EBD" w14:textId="77777777">
      <w:trPr>
        <w:jc w:val="center"/>
      </w:trPr>
      <w:tc>
        <w:tcPr>
          <w:tcW w:w="7296" w:type="dxa"/>
          <w:gridSpan w:val="2"/>
          <w:tcBorders>
            <w:bottom w:val="single" w:sz="4" w:space="0" w:color="auto"/>
          </w:tcBorders>
        </w:tcPr>
        <w:p w14:paraId="6EED3DC5" w14:textId="27D1ADB2" w:rsidR="002F4EF7" w:rsidRPr="00ED273E" w:rsidRDefault="002F4EF7" w:rsidP="002F4EF7">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5546C4">
            <w:rPr>
              <w:rFonts w:cs="Arial"/>
              <w:noProof/>
              <w:szCs w:val="18"/>
            </w:rPr>
            <w:t>[1.12]</w:t>
          </w:r>
          <w:r w:rsidRPr="00ED273E">
            <w:rPr>
              <w:rFonts w:cs="Arial"/>
              <w:szCs w:val="18"/>
            </w:rPr>
            <w:fldChar w:fldCharType="end"/>
          </w:r>
        </w:p>
      </w:tc>
    </w:tr>
  </w:tbl>
  <w:p w14:paraId="084168FE" w14:textId="77777777" w:rsidR="002F4EF7" w:rsidRDefault="002F4EF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2F4EF7" w:rsidRPr="00CB3D59" w14:paraId="77BC56C5" w14:textId="77777777">
      <w:trPr>
        <w:jc w:val="center"/>
      </w:trPr>
      <w:tc>
        <w:tcPr>
          <w:tcW w:w="5741" w:type="dxa"/>
        </w:tcPr>
        <w:p w14:paraId="6397EBF2" w14:textId="789A3677" w:rsidR="002F4EF7" w:rsidRPr="00ED273E" w:rsidRDefault="002F4EF7">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5546C4">
            <w:rPr>
              <w:rFonts w:cs="Arial"/>
              <w:noProof/>
              <w:szCs w:val="18"/>
            </w:rPr>
            <w:t>Other amendments</w:t>
          </w:r>
          <w:r w:rsidRPr="00ED273E">
            <w:rPr>
              <w:rFonts w:cs="Arial"/>
              <w:szCs w:val="18"/>
            </w:rPr>
            <w:fldChar w:fldCharType="end"/>
          </w:r>
        </w:p>
      </w:tc>
      <w:tc>
        <w:tcPr>
          <w:tcW w:w="1560" w:type="dxa"/>
        </w:tcPr>
        <w:p w14:paraId="564387C4" w14:textId="5C548CEB" w:rsidR="002F4EF7" w:rsidRPr="00ED273E" w:rsidRDefault="002F4EF7">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5546C4">
            <w:rPr>
              <w:rFonts w:cs="Arial"/>
              <w:b/>
              <w:noProof/>
              <w:szCs w:val="18"/>
            </w:rPr>
            <w:t>Schedule 1</w:t>
          </w:r>
          <w:r w:rsidRPr="00ED273E">
            <w:rPr>
              <w:rFonts w:cs="Arial"/>
              <w:b/>
              <w:szCs w:val="18"/>
            </w:rPr>
            <w:fldChar w:fldCharType="end"/>
          </w:r>
        </w:p>
      </w:tc>
    </w:tr>
    <w:tr w:rsidR="002F4EF7" w:rsidRPr="00CB3D59" w14:paraId="139A7A82" w14:textId="77777777">
      <w:trPr>
        <w:jc w:val="center"/>
      </w:trPr>
      <w:tc>
        <w:tcPr>
          <w:tcW w:w="5741" w:type="dxa"/>
        </w:tcPr>
        <w:p w14:paraId="0F59CB57" w14:textId="7BC662AC" w:rsidR="002F4EF7" w:rsidRPr="00ED273E" w:rsidRDefault="002F4EF7">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5546C4">
            <w:rPr>
              <w:rFonts w:cs="Arial"/>
              <w:noProof/>
              <w:szCs w:val="18"/>
            </w:rPr>
            <w:t>Uncollected Goods Act 1996</w:t>
          </w:r>
          <w:r w:rsidRPr="00ED273E">
            <w:rPr>
              <w:rFonts w:cs="Arial"/>
              <w:szCs w:val="18"/>
            </w:rPr>
            <w:fldChar w:fldCharType="end"/>
          </w:r>
        </w:p>
      </w:tc>
      <w:tc>
        <w:tcPr>
          <w:tcW w:w="1560" w:type="dxa"/>
        </w:tcPr>
        <w:p w14:paraId="02DA812E" w14:textId="7E871D31" w:rsidR="002F4EF7" w:rsidRPr="00ED273E" w:rsidRDefault="002F4EF7">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5546C4">
            <w:rPr>
              <w:rFonts w:cs="Arial"/>
              <w:b/>
              <w:noProof/>
              <w:szCs w:val="18"/>
            </w:rPr>
            <w:t>Part 1.2</w:t>
          </w:r>
          <w:r w:rsidRPr="00ED273E">
            <w:rPr>
              <w:rFonts w:cs="Arial"/>
              <w:b/>
              <w:szCs w:val="18"/>
            </w:rPr>
            <w:fldChar w:fldCharType="end"/>
          </w:r>
        </w:p>
      </w:tc>
    </w:tr>
    <w:tr w:rsidR="002F4EF7" w:rsidRPr="00CB3D59" w14:paraId="36F674CD" w14:textId="77777777">
      <w:trPr>
        <w:jc w:val="center"/>
      </w:trPr>
      <w:tc>
        <w:tcPr>
          <w:tcW w:w="7296" w:type="dxa"/>
          <w:gridSpan w:val="2"/>
          <w:tcBorders>
            <w:bottom w:val="single" w:sz="4" w:space="0" w:color="auto"/>
          </w:tcBorders>
        </w:tcPr>
        <w:p w14:paraId="285A9AEE" w14:textId="338F4336" w:rsidR="002F4EF7" w:rsidRPr="00ED273E" w:rsidRDefault="002F4EF7" w:rsidP="002F4EF7">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5546C4">
            <w:rPr>
              <w:rFonts w:cs="Arial"/>
              <w:noProof/>
              <w:szCs w:val="18"/>
            </w:rPr>
            <w:t>[1.16]</w:t>
          </w:r>
          <w:r w:rsidRPr="00ED273E">
            <w:rPr>
              <w:rFonts w:cs="Arial"/>
              <w:szCs w:val="18"/>
            </w:rPr>
            <w:fldChar w:fldCharType="end"/>
          </w:r>
        </w:p>
      </w:tc>
    </w:tr>
  </w:tbl>
  <w:p w14:paraId="27EBBC3C" w14:textId="77777777" w:rsidR="002F4EF7" w:rsidRDefault="002F4EF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2F4EF7" w14:paraId="6EDC72EA" w14:textId="77777777">
      <w:trPr>
        <w:jc w:val="center"/>
      </w:trPr>
      <w:tc>
        <w:tcPr>
          <w:tcW w:w="1234" w:type="dxa"/>
        </w:tcPr>
        <w:p w14:paraId="238903AA" w14:textId="77777777" w:rsidR="002F4EF7" w:rsidRDefault="002F4EF7">
          <w:pPr>
            <w:pStyle w:val="HeaderEven"/>
          </w:pPr>
        </w:p>
      </w:tc>
      <w:tc>
        <w:tcPr>
          <w:tcW w:w="6062" w:type="dxa"/>
        </w:tcPr>
        <w:p w14:paraId="5A5E4DD3" w14:textId="77777777" w:rsidR="002F4EF7" w:rsidRDefault="002F4EF7">
          <w:pPr>
            <w:pStyle w:val="HeaderEven"/>
          </w:pPr>
        </w:p>
      </w:tc>
    </w:tr>
    <w:tr w:rsidR="002F4EF7" w14:paraId="6AACB6C8" w14:textId="77777777">
      <w:trPr>
        <w:jc w:val="center"/>
      </w:trPr>
      <w:tc>
        <w:tcPr>
          <w:tcW w:w="1234" w:type="dxa"/>
        </w:tcPr>
        <w:p w14:paraId="1A315DFE" w14:textId="77777777" w:rsidR="002F4EF7" w:rsidRDefault="002F4EF7">
          <w:pPr>
            <w:pStyle w:val="HeaderEven"/>
          </w:pPr>
        </w:p>
      </w:tc>
      <w:tc>
        <w:tcPr>
          <w:tcW w:w="6062" w:type="dxa"/>
        </w:tcPr>
        <w:p w14:paraId="72EF8ACC" w14:textId="77777777" w:rsidR="002F4EF7" w:rsidRDefault="002F4EF7">
          <w:pPr>
            <w:pStyle w:val="HeaderEven"/>
          </w:pPr>
        </w:p>
      </w:tc>
    </w:tr>
    <w:tr w:rsidR="002F4EF7" w14:paraId="6750D613" w14:textId="77777777">
      <w:trPr>
        <w:cantSplit/>
        <w:jc w:val="center"/>
      </w:trPr>
      <w:tc>
        <w:tcPr>
          <w:tcW w:w="7296" w:type="dxa"/>
          <w:gridSpan w:val="2"/>
          <w:tcBorders>
            <w:bottom w:val="single" w:sz="4" w:space="0" w:color="auto"/>
          </w:tcBorders>
        </w:tcPr>
        <w:p w14:paraId="7EED0E77" w14:textId="77777777" w:rsidR="002F4EF7" w:rsidRDefault="002F4EF7">
          <w:pPr>
            <w:pStyle w:val="HeaderEven6"/>
          </w:pPr>
        </w:p>
      </w:tc>
    </w:tr>
  </w:tbl>
  <w:p w14:paraId="23319802" w14:textId="77777777" w:rsidR="002F4EF7" w:rsidRDefault="002F4EF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2F4EF7" w14:paraId="1806A12C" w14:textId="77777777">
      <w:trPr>
        <w:jc w:val="center"/>
      </w:trPr>
      <w:tc>
        <w:tcPr>
          <w:tcW w:w="6062" w:type="dxa"/>
        </w:tcPr>
        <w:p w14:paraId="03C516C4" w14:textId="77777777" w:rsidR="002F4EF7" w:rsidRDefault="002F4EF7">
          <w:pPr>
            <w:pStyle w:val="HeaderOdd"/>
          </w:pPr>
        </w:p>
      </w:tc>
      <w:tc>
        <w:tcPr>
          <w:tcW w:w="1234" w:type="dxa"/>
        </w:tcPr>
        <w:p w14:paraId="3B070990" w14:textId="77777777" w:rsidR="002F4EF7" w:rsidRDefault="002F4EF7">
          <w:pPr>
            <w:pStyle w:val="HeaderOdd"/>
          </w:pPr>
        </w:p>
      </w:tc>
    </w:tr>
    <w:tr w:rsidR="002F4EF7" w14:paraId="6FDF02B2" w14:textId="77777777">
      <w:trPr>
        <w:jc w:val="center"/>
      </w:trPr>
      <w:tc>
        <w:tcPr>
          <w:tcW w:w="6062" w:type="dxa"/>
        </w:tcPr>
        <w:p w14:paraId="5161CFE1" w14:textId="77777777" w:rsidR="002F4EF7" w:rsidRDefault="002F4EF7">
          <w:pPr>
            <w:pStyle w:val="HeaderOdd"/>
          </w:pPr>
        </w:p>
      </w:tc>
      <w:tc>
        <w:tcPr>
          <w:tcW w:w="1234" w:type="dxa"/>
        </w:tcPr>
        <w:p w14:paraId="3070BBBD" w14:textId="77777777" w:rsidR="002F4EF7" w:rsidRDefault="002F4EF7">
          <w:pPr>
            <w:pStyle w:val="HeaderOdd"/>
          </w:pPr>
        </w:p>
      </w:tc>
    </w:tr>
    <w:tr w:rsidR="002F4EF7" w14:paraId="52C3BAA3" w14:textId="77777777">
      <w:trPr>
        <w:jc w:val="center"/>
      </w:trPr>
      <w:tc>
        <w:tcPr>
          <w:tcW w:w="7296" w:type="dxa"/>
          <w:gridSpan w:val="2"/>
          <w:tcBorders>
            <w:bottom w:val="single" w:sz="4" w:space="0" w:color="auto"/>
          </w:tcBorders>
        </w:tcPr>
        <w:p w14:paraId="597759FA" w14:textId="77777777" w:rsidR="002F4EF7" w:rsidRDefault="002F4EF7">
          <w:pPr>
            <w:pStyle w:val="HeaderOdd6"/>
          </w:pPr>
        </w:p>
      </w:tc>
    </w:tr>
  </w:tbl>
  <w:p w14:paraId="39DBF1DB" w14:textId="77777777" w:rsidR="002F4EF7" w:rsidRDefault="002F4E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6"/>
  </w:num>
  <w:num w:numId="5">
    <w:abstractNumId w:val="12"/>
  </w:num>
  <w:num w:numId="6">
    <w:abstractNumId w:val="9"/>
  </w:num>
  <w:num w:numId="7">
    <w:abstractNumId w:val="5"/>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28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9E2"/>
    <w:rsid w:val="00000C1F"/>
    <w:rsid w:val="00000D8B"/>
    <w:rsid w:val="000016EA"/>
    <w:rsid w:val="00002878"/>
    <w:rsid w:val="000038FA"/>
    <w:rsid w:val="000043A6"/>
    <w:rsid w:val="0000456E"/>
    <w:rsid w:val="00004573"/>
    <w:rsid w:val="00004F38"/>
    <w:rsid w:val="00005825"/>
    <w:rsid w:val="00005953"/>
    <w:rsid w:val="00007779"/>
    <w:rsid w:val="00010513"/>
    <w:rsid w:val="00010F46"/>
    <w:rsid w:val="00012264"/>
    <w:rsid w:val="000126C6"/>
    <w:rsid w:val="00012DB6"/>
    <w:rsid w:val="0001347E"/>
    <w:rsid w:val="00014BA7"/>
    <w:rsid w:val="00014EF1"/>
    <w:rsid w:val="0001509E"/>
    <w:rsid w:val="00017054"/>
    <w:rsid w:val="0002034F"/>
    <w:rsid w:val="000215AA"/>
    <w:rsid w:val="00022252"/>
    <w:rsid w:val="00022654"/>
    <w:rsid w:val="0002336B"/>
    <w:rsid w:val="00024C7E"/>
    <w:rsid w:val="0002517D"/>
    <w:rsid w:val="00025603"/>
    <w:rsid w:val="00025988"/>
    <w:rsid w:val="00025DDD"/>
    <w:rsid w:val="00026019"/>
    <w:rsid w:val="00031588"/>
    <w:rsid w:val="0003249F"/>
    <w:rsid w:val="00035EF0"/>
    <w:rsid w:val="000368DA"/>
    <w:rsid w:val="00036A2C"/>
    <w:rsid w:val="00036D60"/>
    <w:rsid w:val="00037D73"/>
    <w:rsid w:val="000417E5"/>
    <w:rsid w:val="000420DE"/>
    <w:rsid w:val="00043F20"/>
    <w:rsid w:val="000448E6"/>
    <w:rsid w:val="00046E24"/>
    <w:rsid w:val="00047170"/>
    <w:rsid w:val="00047369"/>
    <w:rsid w:val="000474F2"/>
    <w:rsid w:val="00047EDF"/>
    <w:rsid w:val="000510F0"/>
    <w:rsid w:val="00052B1E"/>
    <w:rsid w:val="0005304B"/>
    <w:rsid w:val="00055507"/>
    <w:rsid w:val="00055E30"/>
    <w:rsid w:val="00056BAD"/>
    <w:rsid w:val="00056EA9"/>
    <w:rsid w:val="00057AF7"/>
    <w:rsid w:val="00060133"/>
    <w:rsid w:val="00061D2C"/>
    <w:rsid w:val="0006210D"/>
    <w:rsid w:val="00063210"/>
    <w:rsid w:val="00063552"/>
    <w:rsid w:val="00064576"/>
    <w:rsid w:val="00064DB8"/>
    <w:rsid w:val="000655D3"/>
    <w:rsid w:val="000663A1"/>
    <w:rsid w:val="00066F6A"/>
    <w:rsid w:val="000702A7"/>
    <w:rsid w:val="00070BA3"/>
    <w:rsid w:val="00072B06"/>
    <w:rsid w:val="00072ED8"/>
    <w:rsid w:val="00072FD6"/>
    <w:rsid w:val="000739D4"/>
    <w:rsid w:val="00075E0A"/>
    <w:rsid w:val="00076658"/>
    <w:rsid w:val="00076BBE"/>
    <w:rsid w:val="00077C98"/>
    <w:rsid w:val="00077F98"/>
    <w:rsid w:val="000812D4"/>
    <w:rsid w:val="000813E4"/>
    <w:rsid w:val="00081D6E"/>
    <w:rsid w:val="00081DA2"/>
    <w:rsid w:val="0008211A"/>
    <w:rsid w:val="000830A1"/>
    <w:rsid w:val="00083365"/>
    <w:rsid w:val="000834EB"/>
    <w:rsid w:val="00083BB5"/>
    <w:rsid w:val="00083C32"/>
    <w:rsid w:val="00083C75"/>
    <w:rsid w:val="0009064A"/>
    <w:rsid w:val="00090650"/>
    <w:rsid w:val="000906B4"/>
    <w:rsid w:val="00090BFA"/>
    <w:rsid w:val="00090CA5"/>
    <w:rsid w:val="00091575"/>
    <w:rsid w:val="000922CE"/>
    <w:rsid w:val="0009382A"/>
    <w:rsid w:val="000949A6"/>
    <w:rsid w:val="00095165"/>
    <w:rsid w:val="0009641C"/>
    <w:rsid w:val="00096808"/>
    <w:rsid w:val="000970ED"/>
    <w:rsid w:val="0009766A"/>
    <w:rsid w:val="000978C2"/>
    <w:rsid w:val="000A14BD"/>
    <w:rsid w:val="000A2213"/>
    <w:rsid w:val="000A3415"/>
    <w:rsid w:val="000A3A69"/>
    <w:rsid w:val="000A3F8C"/>
    <w:rsid w:val="000A43B3"/>
    <w:rsid w:val="000A5DCB"/>
    <w:rsid w:val="000A637A"/>
    <w:rsid w:val="000A696F"/>
    <w:rsid w:val="000B03AA"/>
    <w:rsid w:val="000B1156"/>
    <w:rsid w:val="000B16DC"/>
    <w:rsid w:val="000B19F8"/>
    <w:rsid w:val="000B1C99"/>
    <w:rsid w:val="000B28AC"/>
    <w:rsid w:val="000B3404"/>
    <w:rsid w:val="000B3B1A"/>
    <w:rsid w:val="000B4951"/>
    <w:rsid w:val="000B5685"/>
    <w:rsid w:val="000B729E"/>
    <w:rsid w:val="000C0001"/>
    <w:rsid w:val="000C0A9B"/>
    <w:rsid w:val="000C0DB0"/>
    <w:rsid w:val="000C138D"/>
    <w:rsid w:val="000C1462"/>
    <w:rsid w:val="000C2174"/>
    <w:rsid w:val="000C5149"/>
    <w:rsid w:val="000C54A0"/>
    <w:rsid w:val="000C687C"/>
    <w:rsid w:val="000C6943"/>
    <w:rsid w:val="000C7832"/>
    <w:rsid w:val="000C7850"/>
    <w:rsid w:val="000C7E08"/>
    <w:rsid w:val="000C7F79"/>
    <w:rsid w:val="000D14D6"/>
    <w:rsid w:val="000D403F"/>
    <w:rsid w:val="000D54F2"/>
    <w:rsid w:val="000E29CA"/>
    <w:rsid w:val="000E3496"/>
    <w:rsid w:val="000E3B34"/>
    <w:rsid w:val="000E3D87"/>
    <w:rsid w:val="000E5145"/>
    <w:rsid w:val="000E5155"/>
    <w:rsid w:val="000E5636"/>
    <w:rsid w:val="000E576D"/>
    <w:rsid w:val="000E5FFA"/>
    <w:rsid w:val="000E6DB0"/>
    <w:rsid w:val="000F0186"/>
    <w:rsid w:val="000F1ACB"/>
    <w:rsid w:val="000F1FEC"/>
    <w:rsid w:val="000F2735"/>
    <w:rsid w:val="000F329E"/>
    <w:rsid w:val="000F3E89"/>
    <w:rsid w:val="000F466D"/>
    <w:rsid w:val="000F59FD"/>
    <w:rsid w:val="000F5DA3"/>
    <w:rsid w:val="001002C3"/>
    <w:rsid w:val="00101528"/>
    <w:rsid w:val="00101837"/>
    <w:rsid w:val="001033CB"/>
    <w:rsid w:val="001039BF"/>
    <w:rsid w:val="00103F22"/>
    <w:rsid w:val="00104733"/>
    <w:rsid w:val="001047CB"/>
    <w:rsid w:val="00104E7F"/>
    <w:rsid w:val="001053AD"/>
    <w:rsid w:val="001058DF"/>
    <w:rsid w:val="00106A48"/>
    <w:rsid w:val="00107F85"/>
    <w:rsid w:val="001156C4"/>
    <w:rsid w:val="00115C57"/>
    <w:rsid w:val="00115CDC"/>
    <w:rsid w:val="0011745F"/>
    <w:rsid w:val="00117D5D"/>
    <w:rsid w:val="00120991"/>
    <w:rsid w:val="001229B6"/>
    <w:rsid w:val="001233DE"/>
    <w:rsid w:val="001240F9"/>
    <w:rsid w:val="00125606"/>
    <w:rsid w:val="00125C24"/>
    <w:rsid w:val="00126287"/>
    <w:rsid w:val="001271A3"/>
    <w:rsid w:val="0013046D"/>
    <w:rsid w:val="00130E9C"/>
    <w:rsid w:val="001315A1"/>
    <w:rsid w:val="00132957"/>
    <w:rsid w:val="001343A6"/>
    <w:rsid w:val="00134E79"/>
    <w:rsid w:val="0013531D"/>
    <w:rsid w:val="0013642A"/>
    <w:rsid w:val="0013660A"/>
    <w:rsid w:val="00136FBE"/>
    <w:rsid w:val="00143671"/>
    <w:rsid w:val="00144950"/>
    <w:rsid w:val="00147185"/>
    <w:rsid w:val="00147781"/>
    <w:rsid w:val="001479A0"/>
    <w:rsid w:val="001500F9"/>
    <w:rsid w:val="00150271"/>
    <w:rsid w:val="00150851"/>
    <w:rsid w:val="001520FC"/>
    <w:rsid w:val="001524FA"/>
    <w:rsid w:val="001525C9"/>
    <w:rsid w:val="00153175"/>
    <w:rsid w:val="001533C1"/>
    <w:rsid w:val="00153482"/>
    <w:rsid w:val="00153D23"/>
    <w:rsid w:val="00154977"/>
    <w:rsid w:val="001567B3"/>
    <w:rsid w:val="001570F0"/>
    <w:rsid w:val="001572E3"/>
    <w:rsid w:val="001572E4"/>
    <w:rsid w:val="00160DF7"/>
    <w:rsid w:val="001619CD"/>
    <w:rsid w:val="00164204"/>
    <w:rsid w:val="00165FC3"/>
    <w:rsid w:val="00166833"/>
    <w:rsid w:val="00167DAF"/>
    <w:rsid w:val="00170421"/>
    <w:rsid w:val="0017182C"/>
    <w:rsid w:val="00172D13"/>
    <w:rsid w:val="001741FF"/>
    <w:rsid w:val="00175FD1"/>
    <w:rsid w:val="00176AE6"/>
    <w:rsid w:val="00180311"/>
    <w:rsid w:val="001803CE"/>
    <w:rsid w:val="00181076"/>
    <w:rsid w:val="00181092"/>
    <w:rsid w:val="0018139C"/>
    <w:rsid w:val="001815FB"/>
    <w:rsid w:val="00181D8C"/>
    <w:rsid w:val="0018207B"/>
    <w:rsid w:val="00183F2C"/>
    <w:rsid w:val="00183FB7"/>
    <w:rsid w:val="001842C7"/>
    <w:rsid w:val="001871CB"/>
    <w:rsid w:val="001872C3"/>
    <w:rsid w:val="00192808"/>
    <w:rsid w:val="0019297A"/>
    <w:rsid w:val="00192D1E"/>
    <w:rsid w:val="0019300F"/>
    <w:rsid w:val="00193D6B"/>
    <w:rsid w:val="001947E6"/>
    <w:rsid w:val="00195101"/>
    <w:rsid w:val="0019555C"/>
    <w:rsid w:val="00195EDE"/>
    <w:rsid w:val="001979D9"/>
    <w:rsid w:val="001A03A2"/>
    <w:rsid w:val="001A3191"/>
    <w:rsid w:val="001A351C"/>
    <w:rsid w:val="001A36A2"/>
    <w:rsid w:val="001A39AF"/>
    <w:rsid w:val="001A3B6D"/>
    <w:rsid w:val="001B07F9"/>
    <w:rsid w:val="001B1114"/>
    <w:rsid w:val="001B1AD4"/>
    <w:rsid w:val="001B1DF7"/>
    <w:rsid w:val="001B218A"/>
    <w:rsid w:val="001B2CD7"/>
    <w:rsid w:val="001B3B53"/>
    <w:rsid w:val="001B4367"/>
    <w:rsid w:val="001B4478"/>
    <w:rsid w:val="001B449A"/>
    <w:rsid w:val="001B5A3C"/>
    <w:rsid w:val="001B6311"/>
    <w:rsid w:val="001B64C1"/>
    <w:rsid w:val="001B6BC0"/>
    <w:rsid w:val="001C1644"/>
    <w:rsid w:val="001C29CC"/>
    <w:rsid w:val="001C37FE"/>
    <w:rsid w:val="001C4A67"/>
    <w:rsid w:val="001C547E"/>
    <w:rsid w:val="001C548E"/>
    <w:rsid w:val="001D09C2"/>
    <w:rsid w:val="001D15FB"/>
    <w:rsid w:val="001D1702"/>
    <w:rsid w:val="001D1F85"/>
    <w:rsid w:val="001D502C"/>
    <w:rsid w:val="001D53F0"/>
    <w:rsid w:val="001D547F"/>
    <w:rsid w:val="001D56B4"/>
    <w:rsid w:val="001D7022"/>
    <w:rsid w:val="001D73DF"/>
    <w:rsid w:val="001D7EAA"/>
    <w:rsid w:val="001E0780"/>
    <w:rsid w:val="001E0BBC"/>
    <w:rsid w:val="001E0D3F"/>
    <w:rsid w:val="001E1A01"/>
    <w:rsid w:val="001E38DB"/>
    <w:rsid w:val="001E41DB"/>
    <w:rsid w:val="001E41E3"/>
    <w:rsid w:val="001E452F"/>
    <w:rsid w:val="001E4694"/>
    <w:rsid w:val="001E5D92"/>
    <w:rsid w:val="001E6E6E"/>
    <w:rsid w:val="001E79DB"/>
    <w:rsid w:val="001F1AC1"/>
    <w:rsid w:val="001F1B79"/>
    <w:rsid w:val="001F2D7C"/>
    <w:rsid w:val="001F3339"/>
    <w:rsid w:val="001F3DB4"/>
    <w:rsid w:val="001F4029"/>
    <w:rsid w:val="001F55E5"/>
    <w:rsid w:val="001F5A2B"/>
    <w:rsid w:val="001F75BB"/>
    <w:rsid w:val="00200557"/>
    <w:rsid w:val="00200A47"/>
    <w:rsid w:val="002012C0"/>
    <w:rsid w:val="002012E6"/>
    <w:rsid w:val="00202420"/>
    <w:rsid w:val="00203655"/>
    <w:rsid w:val="002037B2"/>
    <w:rsid w:val="0020454E"/>
    <w:rsid w:val="00204A92"/>
    <w:rsid w:val="00204E34"/>
    <w:rsid w:val="0020610F"/>
    <w:rsid w:val="00206A6F"/>
    <w:rsid w:val="00206D14"/>
    <w:rsid w:val="00210FA5"/>
    <w:rsid w:val="00211D6A"/>
    <w:rsid w:val="002120B9"/>
    <w:rsid w:val="0021419B"/>
    <w:rsid w:val="002173EC"/>
    <w:rsid w:val="00217C83"/>
    <w:rsid w:val="00217C8C"/>
    <w:rsid w:val="002208AF"/>
    <w:rsid w:val="0022121E"/>
    <w:rsid w:val="0022149F"/>
    <w:rsid w:val="002222A8"/>
    <w:rsid w:val="00223AB8"/>
    <w:rsid w:val="00225307"/>
    <w:rsid w:val="002263A5"/>
    <w:rsid w:val="0022666D"/>
    <w:rsid w:val="00230AC7"/>
    <w:rsid w:val="00230D9B"/>
    <w:rsid w:val="00231509"/>
    <w:rsid w:val="002337F1"/>
    <w:rsid w:val="002339E2"/>
    <w:rsid w:val="00234574"/>
    <w:rsid w:val="00234720"/>
    <w:rsid w:val="002365D1"/>
    <w:rsid w:val="002407B2"/>
    <w:rsid w:val="002409EB"/>
    <w:rsid w:val="0024194E"/>
    <w:rsid w:val="00241CC1"/>
    <w:rsid w:val="00241E3F"/>
    <w:rsid w:val="00244FA2"/>
    <w:rsid w:val="00246A72"/>
    <w:rsid w:val="00246F34"/>
    <w:rsid w:val="002475B6"/>
    <w:rsid w:val="002502C9"/>
    <w:rsid w:val="00251094"/>
    <w:rsid w:val="00253C11"/>
    <w:rsid w:val="00256093"/>
    <w:rsid w:val="002569B0"/>
    <w:rsid w:val="00256E0F"/>
    <w:rsid w:val="002574A0"/>
    <w:rsid w:val="00260019"/>
    <w:rsid w:val="0026001C"/>
    <w:rsid w:val="00260DDE"/>
    <w:rsid w:val="002612B5"/>
    <w:rsid w:val="0026288D"/>
    <w:rsid w:val="00263163"/>
    <w:rsid w:val="00263C6D"/>
    <w:rsid w:val="002644DC"/>
    <w:rsid w:val="00265B6F"/>
    <w:rsid w:val="0026642E"/>
    <w:rsid w:val="002669A2"/>
    <w:rsid w:val="00267BE3"/>
    <w:rsid w:val="002702D4"/>
    <w:rsid w:val="00272968"/>
    <w:rsid w:val="00273B6D"/>
    <w:rsid w:val="002743AA"/>
    <w:rsid w:val="002751E9"/>
    <w:rsid w:val="00275CE9"/>
    <w:rsid w:val="00275FDB"/>
    <w:rsid w:val="00276291"/>
    <w:rsid w:val="00277099"/>
    <w:rsid w:val="00282B0F"/>
    <w:rsid w:val="00283F35"/>
    <w:rsid w:val="002858A2"/>
    <w:rsid w:val="00286119"/>
    <w:rsid w:val="00287065"/>
    <w:rsid w:val="00290D70"/>
    <w:rsid w:val="00292D5F"/>
    <w:rsid w:val="002931EB"/>
    <w:rsid w:val="002952EE"/>
    <w:rsid w:val="00295DB2"/>
    <w:rsid w:val="0029692F"/>
    <w:rsid w:val="00296DC1"/>
    <w:rsid w:val="002A49AA"/>
    <w:rsid w:val="002A6570"/>
    <w:rsid w:val="002A6F4D"/>
    <w:rsid w:val="002A72F5"/>
    <w:rsid w:val="002A756E"/>
    <w:rsid w:val="002A7D40"/>
    <w:rsid w:val="002B1634"/>
    <w:rsid w:val="002B2682"/>
    <w:rsid w:val="002B279E"/>
    <w:rsid w:val="002B36D4"/>
    <w:rsid w:val="002B3C94"/>
    <w:rsid w:val="002B446C"/>
    <w:rsid w:val="002B49CB"/>
    <w:rsid w:val="002B58FC"/>
    <w:rsid w:val="002C201F"/>
    <w:rsid w:val="002C4EB8"/>
    <w:rsid w:val="002C5DB3"/>
    <w:rsid w:val="002C7985"/>
    <w:rsid w:val="002D09CB"/>
    <w:rsid w:val="002D0DB1"/>
    <w:rsid w:val="002D26EA"/>
    <w:rsid w:val="002D2A42"/>
    <w:rsid w:val="002D2FE5"/>
    <w:rsid w:val="002D4BDA"/>
    <w:rsid w:val="002D762C"/>
    <w:rsid w:val="002D7934"/>
    <w:rsid w:val="002E01EA"/>
    <w:rsid w:val="002E0711"/>
    <w:rsid w:val="002E144D"/>
    <w:rsid w:val="002E2E1B"/>
    <w:rsid w:val="002E4D56"/>
    <w:rsid w:val="002E5B33"/>
    <w:rsid w:val="002E6302"/>
    <w:rsid w:val="002E6B50"/>
    <w:rsid w:val="002E6CCD"/>
    <w:rsid w:val="002E6E0C"/>
    <w:rsid w:val="002E783D"/>
    <w:rsid w:val="002F1281"/>
    <w:rsid w:val="002F43A0"/>
    <w:rsid w:val="002F4EF7"/>
    <w:rsid w:val="002F696A"/>
    <w:rsid w:val="003003EC"/>
    <w:rsid w:val="00301022"/>
    <w:rsid w:val="00301DC8"/>
    <w:rsid w:val="00303D4B"/>
    <w:rsid w:val="00303D53"/>
    <w:rsid w:val="00304C8F"/>
    <w:rsid w:val="003068E0"/>
    <w:rsid w:val="00307CEF"/>
    <w:rsid w:val="00307E94"/>
    <w:rsid w:val="003108D1"/>
    <w:rsid w:val="0031143F"/>
    <w:rsid w:val="0031239C"/>
    <w:rsid w:val="003123B5"/>
    <w:rsid w:val="00312CA8"/>
    <w:rsid w:val="00313379"/>
    <w:rsid w:val="00313DD1"/>
    <w:rsid w:val="00314266"/>
    <w:rsid w:val="003149AC"/>
    <w:rsid w:val="00315B62"/>
    <w:rsid w:val="00316CFF"/>
    <w:rsid w:val="003179E8"/>
    <w:rsid w:val="00317FDC"/>
    <w:rsid w:val="0032063D"/>
    <w:rsid w:val="00320A9B"/>
    <w:rsid w:val="003219C6"/>
    <w:rsid w:val="003231FA"/>
    <w:rsid w:val="003248D0"/>
    <w:rsid w:val="00331203"/>
    <w:rsid w:val="00333078"/>
    <w:rsid w:val="003344D3"/>
    <w:rsid w:val="00334503"/>
    <w:rsid w:val="003345C4"/>
    <w:rsid w:val="00334EC9"/>
    <w:rsid w:val="00336345"/>
    <w:rsid w:val="003428D1"/>
    <w:rsid w:val="00342E3D"/>
    <w:rsid w:val="0034336E"/>
    <w:rsid w:val="003439EF"/>
    <w:rsid w:val="00344CA9"/>
    <w:rsid w:val="00344E7F"/>
    <w:rsid w:val="0034583F"/>
    <w:rsid w:val="00345C21"/>
    <w:rsid w:val="0034770D"/>
    <w:rsid w:val="003478D2"/>
    <w:rsid w:val="00350665"/>
    <w:rsid w:val="00350F60"/>
    <w:rsid w:val="00351144"/>
    <w:rsid w:val="003517F2"/>
    <w:rsid w:val="003533A9"/>
    <w:rsid w:val="00353FF3"/>
    <w:rsid w:val="0035412F"/>
    <w:rsid w:val="00355AD9"/>
    <w:rsid w:val="003574D1"/>
    <w:rsid w:val="0036068B"/>
    <w:rsid w:val="00360CD6"/>
    <w:rsid w:val="00364344"/>
    <w:rsid w:val="003646D5"/>
    <w:rsid w:val="00364923"/>
    <w:rsid w:val="003659ED"/>
    <w:rsid w:val="00367BDF"/>
    <w:rsid w:val="003700C0"/>
    <w:rsid w:val="00370AE8"/>
    <w:rsid w:val="00372EF0"/>
    <w:rsid w:val="00374424"/>
    <w:rsid w:val="00375B2E"/>
    <w:rsid w:val="00376690"/>
    <w:rsid w:val="00377D1F"/>
    <w:rsid w:val="00381032"/>
    <w:rsid w:val="003816BD"/>
    <w:rsid w:val="00381883"/>
    <w:rsid w:val="00381D64"/>
    <w:rsid w:val="00382F25"/>
    <w:rsid w:val="003837B1"/>
    <w:rsid w:val="00384978"/>
    <w:rsid w:val="00385097"/>
    <w:rsid w:val="003858FE"/>
    <w:rsid w:val="00385B24"/>
    <w:rsid w:val="0038604C"/>
    <w:rsid w:val="003869B1"/>
    <w:rsid w:val="00390455"/>
    <w:rsid w:val="00391C6F"/>
    <w:rsid w:val="003920E4"/>
    <w:rsid w:val="0039212D"/>
    <w:rsid w:val="00393AAA"/>
    <w:rsid w:val="00394155"/>
    <w:rsid w:val="0039435E"/>
    <w:rsid w:val="00394E63"/>
    <w:rsid w:val="0039570E"/>
    <w:rsid w:val="00396646"/>
    <w:rsid w:val="00396B0E"/>
    <w:rsid w:val="003A0664"/>
    <w:rsid w:val="003A0751"/>
    <w:rsid w:val="003A0B3A"/>
    <w:rsid w:val="003A160E"/>
    <w:rsid w:val="003A2716"/>
    <w:rsid w:val="003A4282"/>
    <w:rsid w:val="003A42F3"/>
    <w:rsid w:val="003A44BB"/>
    <w:rsid w:val="003A4A00"/>
    <w:rsid w:val="003A5072"/>
    <w:rsid w:val="003A6279"/>
    <w:rsid w:val="003A6C85"/>
    <w:rsid w:val="003A7491"/>
    <w:rsid w:val="003A779F"/>
    <w:rsid w:val="003A7A6C"/>
    <w:rsid w:val="003B01DB"/>
    <w:rsid w:val="003B0F80"/>
    <w:rsid w:val="003B199E"/>
    <w:rsid w:val="003B246D"/>
    <w:rsid w:val="003B2C7A"/>
    <w:rsid w:val="003B31A1"/>
    <w:rsid w:val="003B40D1"/>
    <w:rsid w:val="003B481F"/>
    <w:rsid w:val="003B610F"/>
    <w:rsid w:val="003B69E5"/>
    <w:rsid w:val="003C0702"/>
    <w:rsid w:val="003C0A3A"/>
    <w:rsid w:val="003C0C11"/>
    <w:rsid w:val="003C348F"/>
    <w:rsid w:val="003C3B6A"/>
    <w:rsid w:val="003C50A2"/>
    <w:rsid w:val="003C606F"/>
    <w:rsid w:val="003C6DE9"/>
    <w:rsid w:val="003C6EDF"/>
    <w:rsid w:val="003C762D"/>
    <w:rsid w:val="003C7B9C"/>
    <w:rsid w:val="003C7D15"/>
    <w:rsid w:val="003D0740"/>
    <w:rsid w:val="003D0935"/>
    <w:rsid w:val="003D2789"/>
    <w:rsid w:val="003D41B9"/>
    <w:rsid w:val="003D4AAE"/>
    <w:rsid w:val="003D4C75"/>
    <w:rsid w:val="003D5FD0"/>
    <w:rsid w:val="003D7254"/>
    <w:rsid w:val="003E0092"/>
    <w:rsid w:val="003E0653"/>
    <w:rsid w:val="003E09E4"/>
    <w:rsid w:val="003E3710"/>
    <w:rsid w:val="003E3B58"/>
    <w:rsid w:val="003E4AAB"/>
    <w:rsid w:val="003E6647"/>
    <w:rsid w:val="003E6B00"/>
    <w:rsid w:val="003E77D8"/>
    <w:rsid w:val="003E7FDB"/>
    <w:rsid w:val="003F06EE"/>
    <w:rsid w:val="003F3B87"/>
    <w:rsid w:val="003F456A"/>
    <w:rsid w:val="003F4912"/>
    <w:rsid w:val="003F4B15"/>
    <w:rsid w:val="003F4C32"/>
    <w:rsid w:val="003F5904"/>
    <w:rsid w:val="003F6833"/>
    <w:rsid w:val="003F797B"/>
    <w:rsid w:val="003F7A0F"/>
    <w:rsid w:val="003F7DB2"/>
    <w:rsid w:val="004005F0"/>
    <w:rsid w:val="0040136F"/>
    <w:rsid w:val="004013E1"/>
    <w:rsid w:val="004033B4"/>
    <w:rsid w:val="00403645"/>
    <w:rsid w:val="00404FE0"/>
    <w:rsid w:val="00406E0C"/>
    <w:rsid w:val="004070BA"/>
    <w:rsid w:val="00410105"/>
    <w:rsid w:val="00410C20"/>
    <w:rsid w:val="004110BA"/>
    <w:rsid w:val="00416A4F"/>
    <w:rsid w:val="004216A2"/>
    <w:rsid w:val="0042285B"/>
    <w:rsid w:val="00423AC4"/>
    <w:rsid w:val="004240DD"/>
    <w:rsid w:val="0042799E"/>
    <w:rsid w:val="00430074"/>
    <w:rsid w:val="004309C7"/>
    <w:rsid w:val="004309C9"/>
    <w:rsid w:val="00431368"/>
    <w:rsid w:val="00432289"/>
    <w:rsid w:val="00433064"/>
    <w:rsid w:val="00433E8F"/>
    <w:rsid w:val="004342E1"/>
    <w:rsid w:val="004355AF"/>
    <w:rsid w:val="00435893"/>
    <w:rsid w:val="004358D2"/>
    <w:rsid w:val="00435A25"/>
    <w:rsid w:val="00436A3E"/>
    <w:rsid w:val="00437523"/>
    <w:rsid w:val="00437E52"/>
    <w:rsid w:val="0044067A"/>
    <w:rsid w:val="00440811"/>
    <w:rsid w:val="0044210D"/>
    <w:rsid w:val="004421E9"/>
    <w:rsid w:val="00442861"/>
    <w:rsid w:val="00442EB7"/>
    <w:rsid w:val="00442F56"/>
    <w:rsid w:val="00443ADD"/>
    <w:rsid w:val="00443E28"/>
    <w:rsid w:val="00444785"/>
    <w:rsid w:val="00447B1D"/>
    <w:rsid w:val="00447C31"/>
    <w:rsid w:val="004501E7"/>
    <w:rsid w:val="004506D0"/>
    <w:rsid w:val="004510ED"/>
    <w:rsid w:val="0045255D"/>
    <w:rsid w:val="00453343"/>
    <w:rsid w:val="004536AA"/>
    <w:rsid w:val="0045398D"/>
    <w:rsid w:val="0045479F"/>
    <w:rsid w:val="00455046"/>
    <w:rsid w:val="00455936"/>
    <w:rsid w:val="00455D05"/>
    <w:rsid w:val="00455D1E"/>
    <w:rsid w:val="00455EB9"/>
    <w:rsid w:val="00456074"/>
    <w:rsid w:val="00456DC0"/>
    <w:rsid w:val="00457476"/>
    <w:rsid w:val="00457B59"/>
    <w:rsid w:val="004600B9"/>
    <w:rsid w:val="0046076C"/>
    <w:rsid w:val="00460A67"/>
    <w:rsid w:val="004614FB"/>
    <w:rsid w:val="00461D78"/>
    <w:rsid w:val="00462B21"/>
    <w:rsid w:val="00463C20"/>
    <w:rsid w:val="00464372"/>
    <w:rsid w:val="00464BF2"/>
    <w:rsid w:val="00465B0B"/>
    <w:rsid w:val="00467BC6"/>
    <w:rsid w:val="00467DA1"/>
    <w:rsid w:val="00470A95"/>
    <w:rsid w:val="00470B8D"/>
    <w:rsid w:val="00472405"/>
    <w:rsid w:val="00472639"/>
    <w:rsid w:val="00472DD2"/>
    <w:rsid w:val="0047473E"/>
    <w:rsid w:val="00475017"/>
    <w:rsid w:val="0047502E"/>
    <w:rsid w:val="004751D3"/>
    <w:rsid w:val="00475F03"/>
    <w:rsid w:val="00476B2E"/>
    <w:rsid w:val="00476DCA"/>
    <w:rsid w:val="00476FB3"/>
    <w:rsid w:val="004778B8"/>
    <w:rsid w:val="00480A8E"/>
    <w:rsid w:val="00481503"/>
    <w:rsid w:val="00481F93"/>
    <w:rsid w:val="004828B5"/>
    <w:rsid w:val="00482C91"/>
    <w:rsid w:val="00484A06"/>
    <w:rsid w:val="0048525E"/>
    <w:rsid w:val="0048529B"/>
    <w:rsid w:val="00485743"/>
    <w:rsid w:val="00486FE2"/>
    <w:rsid w:val="004875BE"/>
    <w:rsid w:val="00487D5F"/>
    <w:rsid w:val="00491236"/>
    <w:rsid w:val="004918E6"/>
    <w:rsid w:val="00491D7C"/>
    <w:rsid w:val="00492300"/>
    <w:rsid w:val="00492864"/>
    <w:rsid w:val="00492A86"/>
    <w:rsid w:val="00492D05"/>
    <w:rsid w:val="00493166"/>
    <w:rsid w:val="00493471"/>
    <w:rsid w:val="00493ED5"/>
    <w:rsid w:val="00494267"/>
    <w:rsid w:val="00495960"/>
    <w:rsid w:val="00495ECA"/>
    <w:rsid w:val="00497D33"/>
    <w:rsid w:val="004A0AE5"/>
    <w:rsid w:val="004A1840"/>
    <w:rsid w:val="004A1E58"/>
    <w:rsid w:val="004A2333"/>
    <w:rsid w:val="004A2EFB"/>
    <w:rsid w:val="004A2FDC"/>
    <w:rsid w:val="004A32C4"/>
    <w:rsid w:val="004A3D43"/>
    <w:rsid w:val="004A49BA"/>
    <w:rsid w:val="004A4CC3"/>
    <w:rsid w:val="004A59D7"/>
    <w:rsid w:val="004A7346"/>
    <w:rsid w:val="004A7608"/>
    <w:rsid w:val="004A7BEE"/>
    <w:rsid w:val="004B002E"/>
    <w:rsid w:val="004B0E9D"/>
    <w:rsid w:val="004B4093"/>
    <w:rsid w:val="004B4362"/>
    <w:rsid w:val="004B4D95"/>
    <w:rsid w:val="004B5B98"/>
    <w:rsid w:val="004B6774"/>
    <w:rsid w:val="004B6C62"/>
    <w:rsid w:val="004B6C98"/>
    <w:rsid w:val="004B789E"/>
    <w:rsid w:val="004C04C0"/>
    <w:rsid w:val="004C1444"/>
    <w:rsid w:val="004C1AE1"/>
    <w:rsid w:val="004C2A16"/>
    <w:rsid w:val="004C3A57"/>
    <w:rsid w:val="004C423B"/>
    <w:rsid w:val="004C5641"/>
    <w:rsid w:val="004C6C61"/>
    <w:rsid w:val="004C724A"/>
    <w:rsid w:val="004D16B8"/>
    <w:rsid w:val="004D4557"/>
    <w:rsid w:val="004D53B8"/>
    <w:rsid w:val="004D5726"/>
    <w:rsid w:val="004D5956"/>
    <w:rsid w:val="004D7385"/>
    <w:rsid w:val="004E01FC"/>
    <w:rsid w:val="004E0873"/>
    <w:rsid w:val="004E09B9"/>
    <w:rsid w:val="004E23A1"/>
    <w:rsid w:val="004E2567"/>
    <w:rsid w:val="004E2568"/>
    <w:rsid w:val="004E3576"/>
    <w:rsid w:val="004E3DA6"/>
    <w:rsid w:val="004E4CEC"/>
    <w:rsid w:val="004E5256"/>
    <w:rsid w:val="004E5F76"/>
    <w:rsid w:val="004E62A1"/>
    <w:rsid w:val="004E7ADA"/>
    <w:rsid w:val="004F1050"/>
    <w:rsid w:val="004F25B3"/>
    <w:rsid w:val="004F60E3"/>
    <w:rsid w:val="004F6688"/>
    <w:rsid w:val="004F71C9"/>
    <w:rsid w:val="004F7212"/>
    <w:rsid w:val="005003E8"/>
    <w:rsid w:val="00501495"/>
    <w:rsid w:val="005014D5"/>
    <w:rsid w:val="00501564"/>
    <w:rsid w:val="00503AE3"/>
    <w:rsid w:val="0050439D"/>
    <w:rsid w:val="005055B0"/>
    <w:rsid w:val="00505749"/>
    <w:rsid w:val="0050662E"/>
    <w:rsid w:val="0051020B"/>
    <w:rsid w:val="005118E7"/>
    <w:rsid w:val="00512972"/>
    <w:rsid w:val="0051398D"/>
    <w:rsid w:val="00514C45"/>
    <w:rsid w:val="00514F25"/>
    <w:rsid w:val="00515082"/>
    <w:rsid w:val="00515781"/>
    <w:rsid w:val="00515AA8"/>
    <w:rsid w:val="00515D68"/>
    <w:rsid w:val="00515E14"/>
    <w:rsid w:val="0051704D"/>
    <w:rsid w:val="005171DC"/>
    <w:rsid w:val="0052097D"/>
    <w:rsid w:val="005218EE"/>
    <w:rsid w:val="00522214"/>
    <w:rsid w:val="00522701"/>
    <w:rsid w:val="00522726"/>
    <w:rsid w:val="005238ED"/>
    <w:rsid w:val="0052495B"/>
    <w:rsid w:val="005249B7"/>
    <w:rsid w:val="00524CBC"/>
    <w:rsid w:val="00524D3D"/>
    <w:rsid w:val="00524E86"/>
    <w:rsid w:val="005259D1"/>
    <w:rsid w:val="00527360"/>
    <w:rsid w:val="005318DA"/>
    <w:rsid w:val="00531AF6"/>
    <w:rsid w:val="00531E18"/>
    <w:rsid w:val="005337EA"/>
    <w:rsid w:val="0053499F"/>
    <w:rsid w:val="005407BA"/>
    <w:rsid w:val="00540D80"/>
    <w:rsid w:val="005418F3"/>
    <w:rsid w:val="00541D52"/>
    <w:rsid w:val="00542E65"/>
    <w:rsid w:val="0054322D"/>
    <w:rsid w:val="00543739"/>
    <w:rsid w:val="0054378B"/>
    <w:rsid w:val="00543917"/>
    <w:rsid w:val="00544938"/>
    <w:rsid w:val="00545A7F"/>
    <w:rsid w:val="005467E8"/>
    <w:rsid w:val="005474CA"/>
    <w:rsid w:val="00547C35"/>
    <w:rsid w:val="0055262C"/>
    <w:rsid w:val="00552735"/>
    <w:rsid w:val="00552FFB"/>
    <w:rsid w:val="0055318A"/>
    <w:rsid w:val="00553E0D"/>
    <w:rsid w:val="00553EA6"/>
    <w:rsid w:val="00554021"/>
    <w:rsid w:val="005546C4"/>
    <w:rsid w:val="00555500"/>
    <w:rsid w:val="005569CD"/>
    <w:rsid w:val="00556AC5"/>
    <w:rsid w:val="0055746C"/>
    <w:rsid w:val="0056037E"/>
    <w:rsid w:val="00561A69"/>
    <w:rsid w:val="00562392"/>
    <w:rsid w:val="005623AE"/>
    <w:rsid w:val="0056302F"/>
    <w:rsid w:val="00564C91"/>
    <w:rsid w:val="0056586F"/>
    <w:rsid w:val="005658C2"/>
    <w:rsid w:val="00566E75"/>
    <w:rsid w:val="00567644"/>
    <w:rsid w:val="00567CF2"/>
    <w:rsid w:val="0057009E"/>
    <w:rsid w:val="00570680"/>
    <w:rsid w:val="00570E15"/>
    <w:rsid w:val="005710D7"/>
    <w:rsid w:val="005716AB"/>
    <w:rsid w:val="00571859"/>
    <w:rsid w:val="005719D3"/>
    <w:rsid w:val="00571EC7"/>
    <w:rsid w:val="00572D03"/>
    <w:rsid w:val="005732C3"/>
    <w:rsid w:val="00574382"/>
    <w:rsid w:val="00574534"/>
    <w:rsid w:val="00574C03"/>
    <w:rsid w:val="00575312"/>
    <w:rsid w:val="005755D3"/>
    <w:rsid w:val="00575646"/>
    <w:rsid w:val="005768D1"/>
    <w:rsid w:val="00576BF2"/>
    <w:rsid w:val="00580540"/>
    <w:rsid w:val="005806C7"/>
    <w:rsid w:val="00580EBD"/>
    <w:rsid w:val="00583EC4"/>
    <w:rsid w:val="005840DF"/>
    <w:rsid w:val="0058496A"/>
    <w:rsid w:val="00585099"/>
    <w:rsid w:val="005859BF"/>
    <w:rsid w:val="00587DFD"/>
    <w:rsid w:val="0059278C"/>
    <w:rsid w:val="00593425"/>
    <w:rsid w:val="00594977"/>
    <w:rsid w:val="00596BB3"/>
    <w:rsid w:val="005A12B7"/>
    <w:rsid w:val="005A33AD"/>
    <w:rsid w:val="005A364A"/>
    <w:rsid w:val="005A41F7"/>
    <w:rsid w:val="005A4EE0"/>
    <w:rsid w:val="005A58F2"/>
    <w:rsid w:val="005A5916"/>
    <w:rsid w:val="005A607C"/>
    <w:rsid w:val="005A72FA"/>
    <w:rsid w:val="005B4863"/>
    <w:rsid w:val="005B57C8"/>
    <w:rsid w:val="005B6C66"/>
    <w:rsid w:val="005C0EAB"/>
    <w:rsid w:val="005C28C5"/>
    <w:rsid w:val="005C297B"/>
    <w:rsid w:val="005C2E30"/>
    <w:rsid w:val="005C3189"/>
    <w:rsid w:val="005C4167"/>
    <w:rsid w:val="005C4AF9"/>
    <w:rsid w:val="005C4EC4"/>
    <w:rsid w:val="005D1B78"/>
    <w:rsid w:val="005D425A"/>
    <w:rsid w:val="005D47C0"/>
    <w:rsid w:val="005D5CC8"/>
    <w:rsid w:val="005D66D6"/>
    <w:rsid w:val="005D68B1"/>
    <w:rsid w:val="005E0042"/>
    <w:rsid w:val="005E077A"/>
    <w:rsid w:val="005E0C56"/>
    <w:rsid w:val="005E0ECD"/>
    <w:rsid w:val="005E14CB"/>
    <w:rsid w:val="005E2D1C"/>
    <w:rsid w:val="005E3659"/>
    <w:rsid w:val="005E3DAB"/>
    <w:rsid w:val="005E5186"/>
    <w:rsid w:val="005E5BDB"/>
    <w:rsid w:val="005E749D"/>
    <w:rsid w:val="005F0640"/>
    <w:rsid w:val="005F5518"/>
    <w:rsid w:val="005F56A8"/>
    <w:rsid w:val="005F56E5"/>
    <w:rsid w:val="005F58E5"/>
    <w:rsid w:val="005F5C3D"/>
    <w:rsid w:val="005F5D46"/>
    <w:rsid w:val="005F782D"/>
    <w:rsid w:val="005F7991"/>
    <w:rsid w:val="005F7F13"/>
    <w:rsid w:val="00602E15"/>
    <w:rsid w:val="00604FD9"/>
    <w:rsid w:val="00605F79"/>
    <w:rsid w:val="006065D7"/>
    <w:rsid w:val="006065EF"/>
    <w:rsid w:val="0061094D"/>
    <w:rsid w:val="00610E02"/>
    <w:rsid w:val="00610E78"/>
    <w:rsid w:val="006111B4"/>
    <w:rsid w:val="0061124D"/>
    <w:rsid w:val="006116D7"/>
    <w:rsid w:val="0061281B"/>
    <w:rsid w:val="00612BA6"/>
    <w:rsid w:val="0061302B"/>
    <w:rsid w:val="00613B06"/>
    <w:rsid w:val="00613F58"/>
    <w:rsid w:val="00614787"/>
    <w:rsid w:val="0061640B"/>
    <w:rsid w:val="00616C21"/>
    <w:rsid w:val="00617AB5"/>
    <w:rsid w:val="00621040"/>
    <w:rsid w:val="00621E2F"/>
    <w:rsid w:val="00622136"/>
    <w:rsid w:val="00622AB6"/>
    <w:rsid w:val="00623540"/>
    <w:rsid w:val="006236B5"/>
    <w:rsid w:val="00624649"/>
    <w:rsid w:val="006253B7"/>
    <w:rsid w:val="006256E9"/>
    <w:rsid w:val="00626B08"/>
    <w:rsid w:val="00627002"/>
    <w:rsid w:val="00627826"/>
    <w:rsid w:val="006320A3"/>
    <w:rsid w:val="0063276A"/>
    <w:rsid w:val="0063277E"/>
    <w:rsid w:val="00636512"/>
    <w:rsid w:val="00637C8E"/>
    <w:rsid w:val="00640305"/>
    <w:rsid w:val="0064043E"/>
    <w:rsid w:val="0064165C"/>
    <w:rsid w:val="00641C9A"/>
    <w:rsid w:val="00641CC6"/>
    <w:rsid w:val="00642D24"/>
    <w:rsid w:val="006430DD"/>
    <w:rsid w:val="00643F71"/>
    <w:rsid w:val="006442CF"/>
    <w:rsid w:val="00644FC3"/>
    <w:rsid w:val="006451FE"/>
    <w:rsid w:val="00646592"/>
    <w:rsid w:val="00646AED"/>
    <w:rsid w:val="00646CA9"/>
    <w:rsid w:val="00646D7B"/>
    <w:rsid w:val="006473C1"/>
    <w:rsid w:val="00651669"/>
    <w:rsid w:val="00651F27"/>
    <w:rsid w:val="00651FCE"/>
    <w:rsid w:val="0065208A"/>
    <w:rsid w:val="006522E1"/>
    <w:rsid w:val="00652CF4"/>
    <w:rsid w:val="006547F7"/>
    <w:rsid w:val="00654C2B"/>
    <w:rsid w:val="00654FF1"/>
    <w:rsid w:val="006564B9"/>
    <w:rsid w:val="00656C84"/>
    <w:rsid w:val="00656EAA"/>
    <w:rsid w:val="006570FC"/>
    <w:rsid w:val="00657F7F"/>
    <w:rsid w:val="00660E96"/>
    <w:rsid w:val="00660E9E"/>
    <w:rsid w:val="006623F8"/>
    <w:rsid w:val="00663155"/>
    <w:rsid w:val="00663EAA"/>
    <w:rsid w:val="00664B31"/>
    <w:rsid w:val="00665DE3"/>
    <w:rsid w:val="006663AF"/>
    <w:rsid w:val="00667638"/>
    <w:rsid w:val="00671105"/>
    <w:rsid w:val="00671280"/>
    <w:rsid w:val="00671596"/>
    <w:rsid w:val="00671AC6"/>
    <w:rsid w:val="006732EA"/>
    <w:rsid w:val="00673674"/>
    <w:rsid w:val="00674903"/>
    <w:rsid w:val="006754A8"/>
    <w:rsid w:val="00675E77"/>
    <w:rsid w:val="0067689C"/>
    <w:rsid w:val="00680547"/>
    <w:rsid w:val="00680887"/>
    <w:rsid w:val="00680A95"/>
    <w:rsid w:val="00680E94"/>
    <w:rsid w:val="00682D22"/>
    <w:rsid w:val="00683302"/>
    <w:rsid w:val="0068345C"/>
    <w:rsid w:val="0068447C"/>
    <w:rsid w:val="00684BCD"/>
    <w:rsid w:val="00685233"/>
    <w:rsid w:val="006855FC"/>
    <w:rsid w:val="00686151"/>
    <w:rsid w:val="0068702D"/>
    <w:rsid w:val="00687A2B"/>
    <w:rsid w:val="00690067"/>
    <w:rsid w:val="00691A14"/>
    <w:rsid w:val="0069316C"/>
    <w:rsid w:val="00693C2C"/>
    <w:rsid w:val="00693F86"/>
    <w:rsid w:val="00694725"/>
    <w:rsid w:val="006966BD"/>
    <w:rsid w:val="00697C2D"/>
    <w:rsid w:val="006A0431"/>
    <w:rsid w:val="006A0914"/>
    <w:rsid w:val="006A1908"/>
    <w:rsid w:val="006A1B8E"/>
    <w:rsid w:val="006A236B"/>
    <w:rsid w:val="006A2661"/>
    <w:rsid w:val="006A3437"/>
    <w:rsid w:val="006A4F87"/>
    <w:rsid w:val="006A6CE4"/>
    <w:rsid w:val="006A6E4E"/>
    <w:rsid w:val="006A7672"/>
    <w:rsid w:val="006B0332"/>
    <w:rsid w:val="006B1BFE"/>
    <w:rsid w:val="006B2A33"/>
    <w:rsid w:val="006B30A0"/>
    <w:rsid w:val="006B345C"/>
    <w:rsid w:val="006B3794"/>
    <w:rsid w:val="006B7429"/>
    <w:rsid w:val="006C01B6"/>
    <w:rsid w:val="006C02F6"/>
    <w:rsid w:val="006C08D3"/>
    <w:rsid w:val="006C1220"/>
    <w:rsid w:val="006C265F"/>
    <w:rsid w:val="006C332F"/>
    <w:rsid w:val="006C3D19"/>
    <w:rsid w:val="006C552F"/>
    <w:rsid w:val="006C6048"/>
    <w:rsid w:val="006C6B85"/>
    <w:rsid w:val="006C70CE"/>
    <w:rsid w:val="006C7AAC"/>
    <w:rsid w:val="006D0534"/>
    <w:rsid w:val="006D0757"/>
    <w:rsid w:val="006D07E0"/>
    <w:rsid w:val="006D33AA"/>
    <w:rsid w:val="006D3568"/>
    <w:rsid w:val="006D3AEF"/>
    <w:rsid w:val="006D4465"/>
    <w:rsid w:val="006D452C"/>
    <w:rsid w:val="006D5770"/>
    <w:rsid w:val="006D756E"/>
    <w:rsid w:val="006D75C0"/>
    <w:rsid w:val="006D7923"/>
    <w:rsid w:val="006E0A8E"/>
    <w:rsid w:val="006E2568"/>
    <w:rsid w:val="006E272E"/>
    <w:rsid w:val="006E2DC7"/>
    <w:rsid w:val="006E2EF7"/>
    <w:rsid w:val="006E7ED6"/>
    <w:rsid w:val="006F2595"/>
    <w:rsid w:val="006F272D"/>
    <w:rsid w:val="006F323D"/>
    <w:rsid w:val="006F58D9"/>
    <w:rsid w:val="006F59BE"/>
    <w:rsid w:val="006F639C"/>
    <w:rsid w:val="006F6520"/>
    <w:rsid w:val="006F69AD"/>
    <w:rsid w:val="006F782B"/>
    <w:rsid w:val="00700158"/>
    <w:rsid w:val="00700808"/>
    <w:rsid w:val="00702F8D"/>
    <w:rsid w:val="0070317C"/>
    <w:rsid w:val="00703218"/>
    <w:rsid w:val="00703E9F"/>
    <w:rsid w:val="00704185"/>
    <w:rsid w:val="00712115"/>
    <w:rsid w:val="007123AC"/>
    <w:rsid w:val="007137DE"/>
    <w:rsid w:val="007140EC"/>
    <w:rsid w:val="00714621"/>
    <w:rsid w:val="007146CE"/>
    <w:rsid w:val="007158D8"/>
    <w:rsid w:val="00715DE2"/>
    <w:rsid w:val="00716D6A"/>
    <w:rsid w:val="00721FA4"/>
    <w:rsid w:val="00722ED2"/>
    <w:rsid w:val="00723417"/>
    <w:rsid w:val="00723E5B"/>
    <w:rsid w:val="00726C2C"/>
    <w:rsid w:val="00726FD8"/>
    <w:rsid w:val="00730107"/>
    <w:rsid w:val="00730550"/>
    <w:rsid w:val="007307D6"/>
    <w:rsid w:val="00730EBF"/>
    <w:rsid w:val="00731884"/>
    <w:rsid w:val="007319BE"/>
    <w:rsid w:val="007320AD"/>
    <w:rsid w:val="007327A5"/>
    <w:rsid w:val="00732E1C"/>
    <w:rsid w:val="0073456C"/>
    <w:rsid w:val="00734DC1"/>
    <w:rsid w:val="007372EE"/>
    <w:rsid w:val="00737580"/>
    <w:rsid w:val="007405BB"/>
    <w:rsid w:val="0074064C"/>
    <w:rsid w:val="00740B7E"/>
    <w:rsid w:val="0074171D"/>
    <w:rsid w:val="007421C8"/>
    <w:rsid w:val="00743755"/>
    <w:rsid w:val="007437FB"/>
    <w:rsid w:val="007449BF"/>
    <w:rsid w:val="0074503E"/>
    <w:rsid w:val="00745353"/>
    <w:rsid w:val="007474E1"/>
    <w:rsid w:val="00747C76"/>
    <w:rsid w:val="00750265"/>
    <w:rsid w:val="007510DB"/>
    <w:rsid w:val="007526D6"/>
    <w:rsid w:val="00752970"/>
    <w:rsid w:val="007536AC"/>
    <w:rsid w:val="00753ABC"/>
    <w:rsid w:val="00754591"/>
    <w:rsid w:val="00754613"/>
    <w:rsid w:val="00754A3E"/>
    <w:rsid w:val="00754E72"/>
    <w:rsid w:val="00754F3E"/>
    <w:rsid w:val="00756733"/>
    <w:rsid w:val="00756ADF"/>
    <w:rsid w:val="00756CF6"/>
    <w:rsid w:val="00757268"/>
    <w:rsid w:val="0075734B"/>
    <w:rsid w:val="00761C5A"/>
    <w:rsid w:val="00761C8E"/>
    <w:rsid w:val="00762E3C"/>
    <w:rsid w:val="00763210"/>
    <w:rsid w:val="00763EBC"/>
    <w:rsid w:val="0076666F"/>
    <w:rsid w:val="00766D30"/>
    <w:rsid w:val="00770EB6"/>
    <w:rsid w:val="0077142D"/>
    <w:rsid w:val="0077185E"/>
    <w:rsid w:val="0077261D"/>
    <w:rsid w:val="0077432A"/>
    <w:rsid w:val="007743C2"/>
    <w:rsid w:val="0077555E"/>
    <w:rsid w:val="00776635"/>
    <w:rsid w:val="00776724"/>
    <w:rsid w:val="007807B1"/>
    <w:rsid w:val="00780A54"/>
    <w:rsid w:val="00780C9D"/>
    <w:rsid w:val="0078210C"/>
    <w:rsid w:val="0078403C"/>
    <w:rsid w:val="00784265"/>
    <w:rsid w:val="00784725"/>
    <w:rsid w:val="00784BA5"/>
    <w:rsid w:val="00786261"/>
    <w:rsid w:val="0078654C"/>
    <w:rsid w:val="00786A1C"/>
    <w:rsid w:val="0078746E"/>
    <w:rsid w:val="0079077F"/>
    <w:rsid w:val="00792592"/>
    <w:rsid w:val="00792C4D"/>
    <w:rsid w:val="00793841"/>
    <w:rsid w:val="00793FEA"/>
    <w:rsid w:val="00794CA5"/>
    <w:rsid w:val="00795ED0"/>
    <w:rsid w:val="00796217"/>
    <w:rsid w:val="007979AF"/>
    <w:rsid w:val="007A3BD8"/>
    <w:rsid w:val="007A41EB"/>
    <w:rsid w:val="007A4B53"/>
    <w:rsid w:val="007A500E"/>
    <w:rsid w:val="007A56A2"/>
    <w:rsid w:val="007A5A42"/>
    <w:rsid w:val="007A5D8E"/>
    <w:rsid w:val="007A6970"/>
    <w:rsid w:val="007A70B1"/>
    <w:rsid w:val="007A7419"/>
    <w:rsid w:val="007A7D7A"/>
    <w:rsid w:val="007B0D31"/>
    <w:rsid w:val="007B1D57"/>
    <w:rsid w:val="007B3168"/>
    <w:rsid w:val="007B32F0"/>
    <w:rsid w:val="007B3599"/>
    <w:rsid w:val="007B3910"/>
    <w:rsid w:val="007B4210"/>
    <w:rsid w:val="007B42FB"/>
    <w:rsid w:val="007B4C84"/>
    <w:rsid w:val="007B68DD"/>
    <w:rsid w:val="007B7D81"/>
    <w:rsid w:val="007C0008"/>
    <w:rsid w:val="007C0CFB"/>
    <w:rsid w:val="007C0F50"/>
    <w:rsid w:val="007C1812"/>
    <w:rsid w:val="007C2184"/>
    <w:rsid w:val="007C29F6"/>
    <w:rsid w:val="007C347D"/>
    <w:rsid w:val="007C3A6A"/>
    <w:rsid w:val="007C3BD1"/>
    <w:rsid w:val="007C401E"/>
    <w:rsid w:val="007C527D"/>
    <w:rsid w:val="007C6963"/>
    <w:rsid w:val="007C6A77"/>
    <w:rsid w:val="007C6BBE"/>
    <w:rsid w:val="007D1C7A"/>
    <w:rsid w:val="007D2426"/>
    <w:rsid w:val="007D3C36"/>
    <w:rsid w:val="007D3EA1"/>
    <w:rsid w:val="007D4905"/>
    <w:rsid w:val="007D5781"/>
    <w:rsid w:val="007D6B99"/>
    <w:rsid w:val="007D729C"/>
    <w:rsid w:val="007D78B4"/>
    <w:rsid w:val="007D79FE"/>
    <w:rsid w:val="007E10D3"/>
    <w:rsid w:val="007E15B3"/>
    <w:rsid w:val="007E54BB"/>
    <w:rsid w:val="007E6376"/>
    <w:rsid w:val="007F0503"/>
    <w:rsid w:val="007F0869"/>
    <w:rsid w:val="007F0D05"/>
    <w:rsid w:val="007F1B91"/>
    <w:rsid w:val="007F1B9F"/>
    <w:rsid w:val="007F20C9"/>
    <w:rsid w:val="007F2237"/>
    <w:rsid w:val="007F228D"/>
    <w:rsid w:val="007F30A9"/>
    <w:rsid w:val="007F3E33"/>
    <w:rsid w:val="007F46EF"/>
    <w:rsid w:val="007F4C94"/>
    <w:rsid w:val="007F5103"/>
    <w:rsid w:val="00800209"/>
    <w:rsid w:val="00800446"/>
    <w:rsid w:val="00800B18"/>
    <w:rsid w:val="00800BE0"/>
    <w:rsid w:val="00800C93"/>
    <w:rsid w:val="008011A2"/>
    <w:rsid w:val="00802F5D"/>
    <w:rsid w:val="00803D0E"/>
    <w:rsid w:val="0080440B"/>
    <w:rsid w:val="00804649"/>
    <w:rsid w:val="0080574F"/>
    <w:rsid w:val="00806717"/>
    <w:rsid w:val="00807F01"/>
    <w:rsid w:val="008109A6"/>
    <w:rsid w:val="00810DFB"/>
    <w:rsid w:val="00811382"/>
    <w:rsid w:val="00811E7B"/>
    <w:rsid w:val="0081366F"/>
    <w:rsid w:val="0081743D"/>
    <w:rsid w:val="00817A35"/>
    <w:rsid w:val="00817F88"/>
    <w:rsid w:val="00820CF5"/>
    <w:rsid w:val="008211B6"/>
    <w:rsid w:val="00821361"/>
    <w:rsid w:val="00822F19"/>
    <w:rsid w:val="00823990"/>
    <w:rsid w:val="00824B48"/>
    <w:rsid w:val="008255E8"/>
    <w:rsid w:val="0082677B"/>
    <w:rsid w:val="008267A3"/>
    <w:rsid w:val="00827747"/>
    <w:rsid w:val="0083086E"/>
    <w:rsid w:val="00831A53"/>
    <w:rsid w:val="0083262F"/>
    <w:rsid w:val="00832BCB"/>
    <w:rsid w:val="00833D0D"/>
    <w:rsid w:val="00834DA5"/>
    <w:rsid w:val="00837A2B"/>
    <w:rsid w:val="00837C3E"/>
    <w:rsid w:val="00837DCE"/>
    <w:rsid w:val="00837FD8"/>
    <w:rsid w:val="00840373"/>
    <w:rsid w:val="00841D5D"/>
    <w:rsid w:val="00842230"/>
    <w:rsid w:val="00843CDB"/>
    <w:rsid w:val="00847002"/>
    <w:rsid w:val="00847C28"/>
    <w:rsid w:val="00850545"/>
    <w:rsid w:val="0085369B"/>
    <w:rsid w:val="00854D9A"/>
    <w:rsid w:val="00856919"/>
    <w:rsid w:val="00856A94"/>
    <w:rsid w:val="00860F7B"/>
    <w:rsid w:val="008628C6"/>
    <w:rsid w:val="008630BC"/>
    <w:rsid w:val="00863499"/>
    <w:rsid w:val="008643B9"/>
    <w:rsid w:val="00865893"/>
    <w:rsid w:val="00866E4A"/>
    <w:rsid w:val="00866F6F"/>
    <w:rsid w:val="00867427"/>
    <w:rsid w:val="00867492"/>
    <w:rsid w:val="00867846"/>
    <w:rsid w:val="0087063D"/>
    <w:rsid w:val="008718D0"/>
    <w:rsid w:val="008719B7"/>
    <w:rsid w:val="008729C4"/>
    <w:rsid w:val="00874C93"/>
    <w:rsid w:val="00875E2B"/>
    <w:rsid w:val="00875E43"/>
    <w:rsid w:val="00875F55"/>
    <w:rsid w:val="008803D6"/>
    <w:rsid w:val="00882EFC"/>
    <w:rsid w:val="00883D8E"/>
    <w:rsid w:val="00884870"/>
    <w:rsid w:val="00884D43"/>
    <w:rsid w:val="008853DF"/>
    <w:rsid w:val="00885670"/>
    <w:rsid w:val="0088629B"/>
    <w:rsid w:val="0088713A"/>
    <w:rsid w:val="008873B0"/>
    <w:rsid w:val="008909E1"/>
    <w:rsid w:val="008919F2"/>
    <w:rsid w:val="008939E5"/>
    <w:rsid w:val="008941DB"/>
    <w:rsid w:val="0089523E"/>
    <w:rsid w:val="008955D1"/>
    <w:rsid w:val="00896657"/>
    <w:rsid w:val="008974A2"/>
    <w:rsid w:val="008976AB"/>
    <w:rsid w:val="008A012C"/>
    <w:rsid w:val="008A2FED"/>
    <w:rsid w:val="008A30B0"/>
    <w:rsid w:val="008A34D4"/>
    <w:rsid w:val="008A3E95"/>
    <w:rsid w:val="008A40CC"/>
    <w:rsid w:val="008A4C1E"/>
    <w:rsid w:val="008A5D1D"/>
    <w:rsid w:val="008B09BF"/>
    <w:rsid w:val="008B281F"/>
    <w:rsid w:val="008B2CDB"/>
    <w:rsid w:val="008B46CE"/>
    <w:rsid w:val="008B6000"/>
    <w:rsid w:val="008B6788"/>
    <w:rsid w:val="008B6A11"/>
    <w:rsid w:val="008B7601"/>
    <w:rsid w:val="008B779C"/>
    <w:rsid w:val="008B7D6F"/>
    <w:rsid w:val="008C08CF"/>
    <w:rsid w:val="008C1F06"/>
    <w:rsid w:val="008C2F99"/>
    <w:rsid w:val="008C72B4"/>
    <w:rsid w:val="008C79A2"/>
    <w:rsid w:val="008D1DF5"/>
    <w:rsid w:val="008D35FA"/>
    <w:rsid w:val="008D442A"/>
    <w:rsid w:val="008D5141"/>
    <w:rsid w:val="008D6275"/>
    <w:rsid w:val="008D6FBC"/>
    <w:rsid w:val="008D7046"/>
    <w:rsid w:val="008E005E"/>
    <w:rsid w:val="008E0B08"/>
    <w:rsid w:val="008E1838"/>
    <w:rsid w:val="008E19B4"/>
    <w:rsid w:val="008E2984"/>
    <w:rsid w:val="008E2C2B"/>
    <w:rsid w:val="008E3EA7"/>
    <w:rsid w:val="008E425A"/>
    <w:rsid w:val="008E4CBD"/>
    <w:rsid w:val="008E5040"/>
    <w:rsid w:val="008E7EE9"/>
    <w:rsid w:val="008F048B"/>
    <w:rsid w:val="008F13A0"/>
    <w:rsid w:val="008F1447"/>
    <w:rsid w:val="008F27EA"/>
    <w:rsid w:val="008F283D"/>
    <w:rsid w:val="008F33E0"/>
    <w:rsid w:val="008F34E5"/>
    <w:rsid w:val="008F39EB"/>
    <w:rsid w:val="008F3C04"/>
    <w:rsid w:val="008F3CA6"/>
    <w:rsid w:val="008F3D62"/>
    <w:rsid w:val="008F4ACD"/>
    <w:rsid w:val="008F6484"/>
    <w:rsid w:val="008F740F"/>
    <w:rsid w:val="009005E6"/>
    <w:rsid w:val="00900ACF"/>
    <w:rsid w:val="009016CF"/>
    <w:rsid w:val="00902C89"/>
    <w:rsid w:val="00903A5E"/>
    <w:rsid w:val="0090415D"/>
    <w:rsid w:val="009061DE"/>
    <w:rsid w:val="009068C0"/>
    <w:rsid w:val="00911C30"/>
    <w:rsid w:val="00911D60"/>
    <w:rsid w:val="00912D11"/>
    <w:rsid w:val="00913ED0"/>
    <w:rsid w:val="00913FC8"/>
    <w:rsid w:val="00916168"/>
    <w:rsid w:val="009166C1"/>
    <w:rsid w:val="00916C91"/>
    <w:rsid w:val="00920330"/>
    <w:rsid w:val="00920A8F"/>
    <w:rsid w:val="00920B35"/>
    <w:rsid w:val="00920F00"/>
    <w:rsid w:val="009221C3"/>
    <w:rsid w:val="00922821"/>
    <w:rsid w:val="00922BE3"/>
    <w:rsid w:val="00923380"/>
    <w:rsid w:val="00923854"/>
    <w:rsid w:val="0092414A"/>
    <w:rsid w:val="00924E20"/>
    <w:rsid w:val="00925BBA"/>
    <w:rsid w:val="00926E6C"/>
    <w:rsid w:val="00927090"/>
    <w:rsid w:val="009304E6"/>
    <w:rsid w:val="00930553"/>
    <w:rsid w:val="0093059B"/>
    <w:rsid w:val="00930ACD"/>
    <w:rsid w:val="00930B39"/>
    <w:rsid w:val="009322F9"/>
    <w:rsid w:val="009325EE"/>
    <w:rsid w:val="00932ADC"/>
    <w:rsid w:val="00933C7B"/>
    <w:rsid w:val="00934806"/>
    <w:rsid w:val="00935658"/>
    <w:rsid w:val="00937DF4"/>
    <w:rsid w:val="00941215"/>
    <w:rsid w:val="00941FDB"/>
    <w:rsid w:val="009437CE"/>
    <w:rsid w:val="00943A45"/>
    <w:rsid w:val="00943CA8"/>
    <w:rsid w:val="009445FE"/>
    <w:rsid w:val="009453C3"/>
    <w:rsid w:val="0094645A"/>
    <w:rsid w:val="00947DFF"/>
    <w:rsid w:val="009501E3"/>
    <w:rsid w:val="009513E4"/>
    <w:rsid w:val="00952548"/>
    <w:rsid w:val="0095317B"/>
    <w:rsid w:val="009531DF"/>
    <w:rsid w:val="00953734"/>
    <w:rsid w:val="00953A7B"/>
    <w:rsid w:val="00954381"/>
    <w:rsid w:val="00954B12"/>
    <w:rsid w:val="00955D15"/>
    <w:rsid w:val="0095612A"/>
    <w:rsid w:val="00956FCD"/>
    <w:rsid w:val="0095751B"/>
    <w:rsid w:val="0096039E"/>
    <w:rsid w:val="00963019"/>
    <w:rsid w:val="00963414"/>
    <w:rsid w:val="00963647"/>
    <w:rsid w:val="00963761"/>
    <w:rsid w:val="00963864"/>
    <w:rsid w:val="0096423B"/>
    <w:rsid w:val="009651DD"/>
    <w:rsid w:val="00967AFD"/>
    <w:rsid w:val="0097022E"/>
    <w:rsid w:val="00972325"/>
    <w:rsid w:val="00972535"/>
    <w:rsid w:val="00973535"/>
    <w:rsid w:val="009735AE"/>
    <w:rsid w:val="009735BF"/>
    <w:rsid w:val="00976895"/>
    <w:rsid w:val="009813C9"/>
    <w:rsid w:val="00981C9E"/>
    <w:rsid w:val="00982269"/>
    <w:rsid w:val="00982536"/>
    <w:rsid w:val="00983AFE"/>
    <w:rsid w:val="00983D5C"/>
    <w:rsid w:val="00983F2C"/>
    <w:rsid w:val="00984748"/>
    <w:rsid w:val="00984F61"/>
    <w:rsid w:val="00986B50"/>
    <w:rsid w:val="0098779B"/>
    <w:rsid w:val="00987AF3"/>
    <w:rsid w:val="00987D2C"/>
    <w:rsid w:val="00990653"/>
    <w:rsid w:val="00990FF2"/>
    <w:rsid w:val="00991F3D"/>
    <w:rsid w:val="00991FA4"/>
    <w:rsid w:val="00993D24"/>
    <w:rsid w:val="00993D6A"/>
    <w:rsid w:val="0099425D"/>
    <w:rsid w:val="0099577B"/>
    <w:rsid w:val="009966FF"/>
    <w:rsid w:val="00997034"/>
    <w:rsid w:val="009971A9"/>
    <w:rsid w:val="00997646"/>
    <w:rsid w:val="009A0FDB"/>
    <w:rsid w:val="009A1019"/>
    <w:rsid w:val="009A37D5"/>
    <w:rsid w:val="009A4E9B"/>
    <w:rsid w:val="009A546D"/>
    <w:rsid w:val="009A6F28"/>
    <w:rsid w:val="009A7507"/>
    <w:rsid w:val="009A798D"/>
    <w:rsid w:val="009A7EC2"/>
    <w:rsid w:val="009B04EF"/>
    <w:rsid w:val="009B0605"/>
    <w:rsid w:val="009B0A60"/>
    <w:rsid w:val="009B42C6"/>
    <w:rsid w:val="009B4592"/>
    <w:rsid w:val="009B56CF"/>
    <w:rsid w:val="009B5D52"/>
    <w:rsid w:val="009B5FA9"/>
    <w:rsid w:val="009B60AA"/>
    <w:rsid w:val="009B6A19"/>
    <w:rsid w:val="009B798C"/>
    <w:rsid w:val="009C1016"/>
    <w:rsid w:val="009C12E7"/>
    <w:rsid w:val="009C137D"/>
    <w:rsid w:val="009C13A9"/>
    <w:rsid w:val="009C166E"/>
    <w:rsid w:val="009C17F8"/>
    <w:rsid w:val="009C2073"/>
    <w:rsid w:val="009C2421"/>
    <w:rsid w:val="009C2F73"/>
    <w:rsid w:val="009C33F8"/>
    <w:rsid w:val="009C46C8"/>
    <w:rsid w:val="009C4CCE"/>
    <w:rsid w:val="009C634A"/>
    <w:rsid w:val="009D0099"/>
    <w:rsid w:val="009D063C"/>
    <w:rsid w:val="009D0A91"/>
    <w:rsid w:val="009D1380"/>
    <w:rsid w:val="009D1C6C"/>
    <w:rsid w:val="009D20AA"/>
    <w:rsid w:val="009D22FC"/>
    <w:rsid w:val="009D3904"/>
    <w:rsid w:val="009D3D75"/>
    <w:rsid w:val="009D3D77"/>
    <w:rsid w:val="009D4319"/>
    <w:rsid w:val="009D558E"/>
    <w:rsid w:val="009D57E5"/>
    <w:rsid w:val="009D5C44"/>
    <w:rsid w:val="009D6C80"/>
    <w:rsid w:val="009E2846"/>
    <w:rsid w:val="009E2EF5"/>
    <w:rsid w:val="009E435E"/>
    <w:rsid w:val="009E4BA9"/>
    <w:rsid w:val="009E6531"/>
    <w:rsid w:val="009E65A7"/>
    <w:rsid w:val="009E7503"/>
    <w:rsid w:val="009E7543"/>
    <w:rsid w:val="009F37D6"/>
    <w:rsid w:val="009F55FD"/>
    <w:rsid w:val="009F5B59"/>
    <w:rsid w:val="009F5EC9"/>
    <w:rsid w:val="009F5F26"/>
    <w:rsid w:val="009F6632"/>
    <w:rsid w:val="009F75CC"/>
    <w:rsid w:val="009F7951"/>
    <w:rsid w:val="009F7F80"/>
    <w:rsid w:val="00A00351"/>
    <w:rsid w:val="00A04A82"/>
    <w:rsid w:val="00A05C7B"/>
    <w:rsid w:val="00A05FB5"/>
    <w:rsid w:val="00A06477"/>
    <w:rsid w:val="00A0760C"/>
    <w:rsid w:val="00A0780F"/>
    <w:rsid w:val="00A11572"/>
    <w:rsid w:val="00A11A8D"/>
    <w:rsid w:val="00A12793"/>
    <w:rsid w:val="00A15D01"/>
    <w:rsid w:val="00A15D5C"/>
    <w:rsid w:val="00A1600E"/>
    <w:rsid w:val="00A16607"/>
    <w:rsid w:val="00A20F6C"/>
    <w:rsid w:val="00A22C01"/>
    <w:rsid w:val="00A23A93"/>
    <w:rsid w:val="00A24FAC"/>
    <w:rsid w:val="00A2668A"/>
    <w:rsid w:val="00A26C0F"/>
    <w:rsid w:val="00A27C2E"/>
    <w:rsid w:val="00A30648"/>
    <w:rsid w:val="00A36583"/>
    <w:rsid w:val="00A36991"/>
    <w:rsid w:val="00A37F8D"/>
    <w:rsid w:val="00A40F41"/>
    <w:rsid w:val="00A41082"/>
    <w:rsid w:val="00A4114C"/>
    <w:rsid w:val="00A4319D"/>
    <w:rsid w:val="00A43BFF"/>
    <w:rsid w:val="00A464E4"/>
    <w:rsid w:val="00A476AE"/>
    <w:rsid w:val="00A5089E"/>
    <w:rsid w:val="00A50AEF"/>
    <w:rsid w:val="00A5140C"/>
    <w:rsid w:val="00A51DED"/>
    <w:rsid w:val="00A52521"/>
    <w:rsid w:val="00A526FB"/>
    <w:rsid w:val="00A530A0"/>
    <w:rsid w:val="00A5319F"/>
    <w:rsid w:val="00A53D3B"/>
    <w:rsid w:val="00A55454"/>
    <w:rsid w:val="00A5582E"/>
    <w:rsid w:val="00A55A59"/>
    <w:rsid w:val="00A56285"/>
    <w:rsid w:val="00A62055"/>
    <w:rsid w:val="00A62896"/>
    <w:rsid w:val="00A62C64"/>
    <w:rsid w:val="00A62E85"/>
    <w:rsid w:val="00A6324F"/>
    <w:rsid w:val="00A63852"/>
    <w:rsid w:val="00A63DC2"/>
    <w:rsid w:val="00A64826"/>
    <w:rsid w:val="00A64E41"/>
    <w:rsid w:val="00A64EC4"/>
    <w:rsid w:val="00A66D89"/>
    <w:rsid w:val="00A673BC"/>
    <w:rsid w:val="00A70846"/>
    <w:rsid w:val="00A71AB8"/>
    <w:rsid w:val="00A71DBB"/>
    <w:rsid w:val="00A72452"/>
    <w:rsid w:val="00A7471F"/>
    <w:rsid w:val="00A74954"/>
    <w:rsid w:val="00A75A59"/>
    <w:rsid w:val="00A76646"/>
    <w:rsid w:val="00A77DC3"/>
    <w:rsid w:val="00A8007F"/>
    <w:rsid w:val="00A80468"/>
    <w:rsid w:val="00A81EF8"/>
    <w:rsid w:val="00A82155"/>
    <w:rsid w:val="00A8252E"/>
    <w:rsid w:val="00A8271A"/>
    <w:rsid w:val="00A83479"/>
    <w:rsid w:val="00A83CA7"/>
    <w:rsid w:val="00A8400E"/>
    <w:rsid w:val="00A84644"/>
    <w:rsid w:val="00A85172"/>
    <w:rsid w:val="00A85940"/>
    <w:rsid w:val="00A86199"/>
    <w:rsid w:val="00A8641C"/>
    <w:rsid w:val="00A864F6"/>
    <w:rsid w:val="00A90AA8"/>
    <w:rsid w:val="00A90FAC"/>
    <w:rsid w:val="00A91899"/>
    <w:rsid w:val="00A919E1"/>
    <w:rsid w:val="00A91BFE"/>
    <w:rsid w:val="00A93CC6"/>
    <w:rsid w:val="00A94820"/>
    <w:rsid w:val="00A96078"/>
    <w:rsid w:val="00A9628C"/>
    <w:rsid w:val="00A96A64"/>
    <w:rsid w:val="00A96BD2"/>
    <w:rsid w:val="00A96D78"/>
    <w:rsid w:val="00A97438"/>
    <w:rsid w:val="00A97C49"/>
    <w:rsid w:val="00AA0B2C"/>
    <w:rsid w:val="00AA11EB"/>
    <w:rsid w:val="00AA12F0"/>
    <w:rsid w:val="00AA20DA"/>
    <w:rsid w:val="00AA2E2C"/>
    <w:rsid w:val="00AA311A"/>
    <w:rsid w:val="00AA3122"/>
    <w:rsid w:val="00AA34DE"/>
    <w:rsid w:val="00AA42D4"/>
    <w:rsid w:val="00AA46FB"/>
    <w:rsid w:val="00AA485A"/>
    <w:rsid w:val="00AA4C46"/>
    <w:rsid w:val="00AA4F7F"/>
    <w:rsid w:val="00AA58FD"/>
    <w:rsid w:val="00AA6D95"/>
    <w:rsid w:val="00AA78AB"/>
    <w:rsid w:val="00AB13F3"/>
    <w:rsid w:val="00AB22F8"/>
    <w:rsid w:val="00AB2573"/>
    <w:rsid w:val="00AB2F91"/>
    <w:rsid w:val="00AB34A5"/>
    <w:rsid w:val="00AB365E"/>
    <w:rsid w:val="00AB392D"/>
    <w:rsid w:val="00AB5044"/>
    <w:rsid w:val="00AB50DF"/>
    <w:rsid w:val="00AB53B3"/>
    <w:rsid w:val="00AB6309"/>
    <w:rsid w:val="00AB6A1B"/>
    <w:rsid w:val="00AB6C12"/>
    <w:rsid w:val="00AB78E7"/>
    <w:rsid w:val="00AB7EE1"/>
    <w:rsid w:val="00AC0074"/>
    <w:rsid w:val="00AC177D"/>
    <w:rsid w:val="00AC3668"/>
    <w:rsid w:val="00AC39F8"/>
    <w:rsid w:val="00AC3B3B"/>
    <w:rsid w:val="00AC6727"/>
    <w:rsid w:val="00AD35BF"/>
    <w:rsid w:val="00AD5105"/>
    <w:rsid w:val="00AD5394"/>
    <w:rsid w:val="00AD7C32"/>
    <w:rsid w:val="00AE1CAE"/>
    <w:rsid w:val="00AE373D"/>
    <w:rsid w:val="00AE3941"/>
    <w:rsid w:val="00AE3DC2"/>
    <w:rsid w:val="00AE4E81"/>
    <w:rsid w:val="00AE4ED6"/>
    <w:rsid w:val="00AE4EE5"/>
    <w:rsid w:val="00AE5374"/>
    <w:rsid w:val="00AE541E"/>
    <w:rsid w:val="00AE56F2"/>
    <w:rsid w:val="00AE6611"/>
    <w:rsid w:val="00AE6A93"/>
    <w:rsid w:val="00AE7A99"/>
    <w:rsid w:val="00AF027F"/>
    <w:rsid w:val="00AF1062"/>
    <w:rsid w:val="00AF2778"/>
    <w:rsid w:val="00AF4AD6"/>
    <w:rsid w:val="00AF685E"/>
    <w:rsid w:val="00B00282"/>
    <w:rsid w:val="00B007EF"/>
    <w:rsid w:val="00B01C0E"/>
    <w:rsid w:val="00B02798"/>
    <w:rsid w:val="00B02B41"/>
    <w:rsid w:val="00B0371D"/>
    <w:rsid w:val="00B03C82"/>
    <w:rsid w:val="00B04F31"/>
    <w:rsid w:val="00B06547"/>
    <w:rsid w:val="00B10BDD"/>
    <w:rsid w:val="00B12806"/>
    <w:rsid w:val="00B12F98"/>
    <w:rsid w:val="00B14C1C"/>
    <w:rsid w:val="00B15B90"/>
    <w:rsid w:val="00B15CAA"/>
    <w:rsid w:val="00B15F6A"/>
    <w:rsid w:val="00B17B89"/>
    <w:rsid w:val="00B21230"/>
    <w:rsid w:val="00B21BFC"/>
    <w:rsid w:val="00B23E93"/>
    <w:rsid w:val="00B23F24"/>
    <w:rsid w:val="00B2418D"/>
    <w:rsid w:val="00B24A04"/>
    <w:rsid w:val="00B30A0B"/>
    <w:rsid w:val="00B30CE2"/>
    <w:rsid w:val="00B30D60"/>
    <w:rsid w:val="00B310BA"/>
    <w:rsid w:val="00B3290A"/>
    <w:rsid w:val="00B3389C"/>
    <w:rsid w:val="00B3391F"/>
    <w:rsid w:val="00B33C5E"/>
    <w:rsid w:val="00B33D8D"/>
    <w:rsid w:val="00B34E4A"/>
    <w:rsid w:val="00B358E9"/>
    <w:rsid w:val="00B36132"/>
    <w:rsid w:val="00B36347"/>
    <w:rsid w:val="00B40295"/>
    <w:rsid w:val="00B40D84"/>
    <w:rsid w:val="00B4118F"/>
    <w:rsid w:val="00B41E45"/>
    <w:rsid w:val="00B43442"/>
    <w:rsid w:val="00B44FCE"/>
    <w:rsid w:val="00B4566C"/>
    <w:rsid w:val="00B46CA0"/>
    <w:rsid w:val="00B4773C"/>
    <w:rsid w:val="00B47C13"/>
    <w:rsid w:val="00B50039"/>
    <w:rsid w:val="00B511D9"/>
    <w:rsid w:val="00B514B5"/>
    <w:rsid w:val="00B527F6"/>
    <w:rsid w:val="00B5282A"/>
    <w:rsid w:val="00B52C9B"/>
    <w:rsid w:val="00B53366"/>
    <w:rsid w:val="00B538F4"/>
    <w:rsid w:val="00B53E5A"/>
    <w:rsid w:val="00B545FE"/>
    <w:rsid w:val="00B54AA5"/>
    <w:rsid w:val="00B54E5F"/>
    <w:rsid w:val="00B6012B"/>
    <w:rsid w:val="00B60142"/>
    <w:rsid w:val="00B606F4"/>
    <w:rsid w:val="00B613F1"/>
    <w:rsid w:val="00B620F6"/>
    <w:rsid w:val="00B634B7"/>
    <w:rsid w:val="00B63D86"/>
    <w:rsid w:val="00B64685"/>
    <w:rsid w:val="00B64765"/>
    <w:rsid w:val="00B666F6"/>
    <w:rsid w:val="00B66A60"/>
    <w:rsid w:val="00B6704F"/>
    <w:rsid w:val="00B708C7"/>
    <w:rsid w:val="00B71167"/>
    <w:rsid w:val="00B72128"/>
    <w:rsid w:val="00B724E8"/>
    <w:rsid w:val="00B74026"/>
    <w:rsid w:val="00B75A31"/>
    <w:rsid w:val="00B77AEF"/>
    <w:rsid w:val="00B81DD9"/>
    <w:rsid w:val="00B82965"/>
    <w:rsid w:val="00B82C86"/>
    <w:rsid w:val="00B83B16"/>
    <w:rsid w:val="00B855F0"/>
    <w:rsid w:val="00B85E1C"/>
    <w:rsid w:val="00B861FF"/>
    <w:rsid w:val="00B8651C"/>
    <w:rsid w:val="00B86829"/>
    <w:rsid w:val="00B868FF"/>
    <w:rsid w:val="00B86983"/>
    <w:rsid w:val="00B90424"/>
    <w:rsid w:val="00B90982"/>
    <w:rsid w:val="00B91703"/>
    <w:rsid w:val="00B91967"/>
    <w:rsid w:val="00B92143"/>
    <w:rsid w:val="00B923AC"/>
    <w:rsid w:val="00B92A58"/>
    <w:rsid w:val="00B9300F"/>
    <w:rsid w:val="00B93B4D"/>
    <w:rsid w:val="00B949A3"/>
    <w:rsid w:val="00B95B1D"/>
    <w:rsid w:val="00B95FDC"/>
    <w:rsid w:val="00B9665F"/>
    <w:rsid w:val="00B975EA"/>
    <w:rsid w:val="00BA00AC"/>
    <w:rsid w:val="00BA0398"/>
    <w:rsid w:val="00BA08B4"/>
    <w:rsid w:val="00BA09B0"/>
    <w:rsid w:val="00BA0B49"/>
    <w:rsid w:val="00BA0C24"/>
    <w:rsid w:val="00BA268E"/>
    <w:rsid w:val="00BA27C8"/>
    <w:rsid w:val="00BA5216"/>
    <w:rsid w:val="00BA6985"/>
    <w:rsid w:val="00BB0542"/>
    <w:rsid w:val="00BB0F03"/>
    <w:rsid w:val="00BB14E6"/>
    <w:rsid w:val="00BB166E"/>
    <w:rsid w:val="00BB3115"/>
    <w:rsid w:val="00BB39B4"/>
    <w:rsid w:val="00BB4184"/>
    <w:rsid w:val="00BB4430"/>
    <w:rsid w:val="00BB4745"/>
    <w:rsid w:val="00BB4AC3"/>
    <w:rsid w:val="00BB4D12"/>
    <w:rsid w:val="00BB5A48"/>
    <w:rsid w:val="00BB73F0"/>
    <w:rsid w:val="00BC0058"/>
    <w:rsid w:val="00BC014C"/>
    <w:rsid w:val="00BC14BD"/>
    <w:rsid w:val="00BC1EF9"/>
    <w:rsid w:val="00BC3B10"/>
    <w:rsid w:val="00BC45E3"/>
    <w:rsid w:val="00BC462B"/>
    <w:rsid w:val="00BC4898"/>
    <w:rsid w:val="00BC56D8"/>
    <w:rsid w:val="00BC6ACF"/>
    <w:rsid w:val="00BC6DD8"/>
    <w:rsid w:val="00BC6E4D"/>
    <w:rsid w:val="00BC79D8"/>
    <w:rsid w:val="00BD020F"/>
    <w:rsid w:val="00BD228A"/>
    <w:rsid w:val="00BD3506"/>
    <w:rsid w:val="00BD4058"/>
    <w:rsid w:val="00BD47D5"/>
    <w:rsid w:val="00BD50B0"/>
    <w:rsid w:val="00BD5BEF"/>
    <w:rsid w:val="00BD5C2E"/>
    <w:rsid w:val="00BD6020"/>
    <w:rsid w:val="00BD6A0C"/>
    <w:rsid w:val="00BE304D"/>
    <w:rsid w:val="00BE358F"/>
    <w:rsid w:val="00BE3666"/>
    <w:rsid w:val="00BE37CC"/>
    <w:rsid w:val="00BE39CA"/>
    <w:rsid w:val="00BE582B"/>
    <w:rsid w:val="00BE5ABE"/>
    <w:rsid w:val="00BE5CD6"/>
    <w:rsid w:val="00BE62C2"/>
    <w:rsid w:val="00BE62D2"/>
    <w:rsid w:val="00BE778F"/>
    <w:rsid w:val="00BE7F9A"/>
    <w:rsid w:val="00BF0C80"/>
    <w:rsid w:val="00BF27C7"/>
    <w:rsid w:val="00BF2970"/>
    <w:rsid w:val="00BF302E"/>
    <w:rsid w:val="00BF31E6"/>
    <w:rsid w:val="00BF4363"/>
    <w:rsid w:val="00BF5EC9"/>
    <w:rsid w:val="00BF5F8B"/>
    <w:rsid w:val="00BF600C"/>
    <w:rsid w:val="00BF62D8"/>
    <w:rsid w:val="00BF6F3D"/>
    <w:rsid w:val="00BF7F05"/>
    <w:rsid w:val="00C009ED"/>
    <w:rsid w:val="00C01BCA"/>
    <w:rsid w:val="00C02FCB"/>
    <w:rsid w:val="00C03188"/>
    <w:rsid w:val="00C042EF"/>
    <w:rsid w:val="00C053FC"/>
    <w:rsid w:val="00C0620A"/>
    <w:rsid w:val="00C06F2B"/>
    <w:rsid w:val="00C070F2"/>
    <w:rsid w:val="00C07794"/>
    <w:rsid w:val="00C10899"/>
    <w:rsid w:val="00C10D2A"/>
    <w:rsid w:val="00C11B33"/>
    <w:rsid w:val="00C12406"/>
    <w:rsid w:val="00C12556"/>
    <w:rsid w:val="00C12B87"/>
    <w:rsid w:val="00C13661"/>
    <w:rsid w:val="00C13E88"/>
    <w:rsid w:val="00C141D8"/>
    <w:rsid w:val="00C14B20"/>
    <w:rsid w:val="00C162C4"/>
    <w:rsid w:val="00C21FF1"/>
    <w:rsid w:val="00C2430E"/>
    <w:rsid w:val="00C27723"/>
    <w:rsid w:val="00C30267"/>
    <w:rsid w:val="00C31C3D"/>
    <w:rsid w:val="00C32343"/>
    <w:rsid w:val="00C33D9A"/>
    <w:rsid w:val="00C34663"/>
    <w:rsid w:val="00C34817"/>
    <w:rsid w:val="00C34982"/>
    <w:rsid w:val="00C34AE5"/>
    <w:rsid w:val="00C35118"/>
    <w:rsid w:val="00C35828"/>
    <w:rsid w:val="00C35842"/>
    <w:rsid w:val="00C35D04"/>
    <w:rsid w:val="00C36A36"/>
    <w:rsid w:val="00C3733B"/>
    <w:rsid w:val="00C37387"/>
    <w:rsid w:val="00C375AA"/>
    <w:rsid w:val="00C405D2"/>
    <w:rsid w:val="00C408F8"/>
    <w:rsid w:val="00C40C14"/>
    <w:rsid w:val="00C41E35"/>
    <w:rsid w:val="00C429F3"/>
    <w:rsid w:val="00C42D62"/>
    <w:rsid w:val="00C44145"/>
    <w:rsid w:val="00C461EA"/>
    <w:rsid w:val="00C46309"/>
    <w:rsid w:val="00C47253"/>
    <w:rsid w:val="00C5024F"/>
    <w:rsid w:val="00C503FA"/>
    <w:rsid w:val="00C51491"/>
    <w:rsid w:val="00C521A6"/>
    <w:rsid w:val="00C54DC6"/>
    <w:rsid w:val="00C553CE"/>
    <w:rsid w:val="00C55B3A"/>
    <w:rsid w:val="00C56AB6"/>
    <w:rsid w:val="00C618C0"/>
    <w:rsid w:val="00C61DA2"/>
    <w:rsid w:val="00C62029"/>
    <w:rsid w:val="00C62066"/>
    <w:rsid w:val="00C6531C"/>
    <w:rsid w:val="00C65967"/>
    <w:rsid w:val="00C66894"/>
    <w:rsid w:val="00C67A6D"/>
    <w:rsid w:val="00C71B6A"/>
    <w:rsid w:val="00C71EF4"/>
    <w:rsid w:val="00C738E5"/>
    <w:rsid w:val="00C76B66"/>
    <w:rsid w:val="00C77068"/>
    <w:rsid w:val="00C771B0"/>
    <w:rsid w:val="00C7765D"/>
    <w:rsid w:val="00C804CD"/>
    <w:rsid w:val="00C805EF"/>
    <w:rsid w:val="00C810B5"/>
    <w:rsid w:val="00C81169"/>
    <w:rsid w:val="00C8149E"/>
    <w:rsid w:val="00C81A6D"/>
    <w:rsid w:val="00C8212A"/>
    <w:rsid w:val="00C82A4B"/>
    <w:rsid w:val="00C82A58"/>
    <w:rsid w:val="00C82B70"/>
    <w:rsid w:val="00C834A2"/>
    <w:rsid w:val="00C83A39"/>
    <w:rsid w:val="00C83C9D"/>
    <w:rsid w:val="00C84544"/>
    <w:rsid w:val="00C85A4F"/>
    <w:rsid w:val="00C86FB9"/>
    <w:rsid w:val="00C871FB"/>
    <w:rsid w:val="00C878F3"/>
    <w:rsid w:val="00C87AB0"/>
    <w:rsid w:val="00C90B48"/>
    <w:rsid w:val="00C90F7F"/>
    <w:rsid w:val="00C91D31"/>
    <w:rsid w:val="00C91D6B"/>
    <w:rsid w:val="00C9353C"/>
    <w:rsid w:val="00C93872"/>
    <w:rsid w:val="00C94E57"/>
    <w:rsid w:val="00C9561A"/>
    <w:rsid w:val="00C96409"/>
    <w:rsid w:val="00C972A9"/>
    <w:rsid w:val="00C977C1"/>
    <w:rsid w:val="00C97CE3"/>
    <w:rsid w:val="00CA27A3"/>
    <w:rsid w:val="00CA3F19"/>
    <w:rsid w:val="00CA496D"/>
    <w:rsid w:val="00CA4D33"/>
    <w:rsid w:val="00CA59CF"/>
    <w:rsid w:val="00CA5EB7"/>
    <w:rsid w:val="00CA66FF"/>
    <w:rsid w:val="00CA72F3"/>
    <w:rsid w:val="00CB0C36"/>
    <w:rsid w:val="00CB0CBC"/>
    <w:rsid w:val="00CB0FF6"/>
    <w:rsid w:val="00CB1742"/>
    <w:rsid w:val="00CB2461"/>
    <w:rsid w:val="00CB2912"/>
    <w:rsid w:val="00CB383A"/>
    <w:rsid w:val="00CB4BCC"/>
    <w:rsid w:val="00CB6A2E"/>
    <w:rsid w:val="00CB713D"/>
    <w:rsid w:val="00CC00D7"/>
    <w:rsid w:val="00CC0AF9"/>
    <w:rsid w:val="00CC19E0"/>
    <w:rsid w:val="00CC1D46"/>
    <w:rsid w:val="00CC23A3"/>
    <w:rsid w:val="00CC24B3"/>
    <w:rsid w:val="00CC40AF"/>
    <w:rsid w:val="00CC540C"/>
    <w:rsid w:val="00CC5D20"/>
    <w:rsid w:val="00CC6078"/>
    <w:rsid w:val="00CC672B"/>
    <w:rsid w:val="00CC75A0"/>
    <w:rsid w:val="00CD081E"/>
    <w:rsid w:val="00CD0FE1"/>
    <w:rsid w:val="00CD1589"/>
    <w:rsid w:val="00CD1FA2"/>
    <w:rsid w:val="00CD33FB"/>
    <w:rsid w:val="00CD3C97"/>
    <w:rsid w:val="00CD4299"/>
    <w:rsid w:val="00CD492A"/>
    <w:rsid w:val="00CD5BDA"/>
    <w:rsid w:val="00CD78B5"/>
    <w:rsid w:val="00CE0261"/>
    <w:rsid w:val="00CE307C"/>
    <w:rsid w:val="00CE31E2"/>
    <w:rsid w:val="00CE3DFA"/>
    <w:rsid w:val="00CE4265"/>
    <w:rsid w:val="00CE5664"/>
    <w:rsid w:val="00CE5B69"/>
    <w:rsid w:val="00CE66A7"/>
    <w:rsid w:val="00CE6B2E"/>
    <w:rsid w:val="00CE6EA1"/>
    <w:rsid w:val="00CE6FA1"/>
    <w:rsid w:val="00CE7C79"/>
    <w:rsid w:val="00CF06BC"/>
    <w:rsid w:val="00CF1018"/>
    <w:rsid w:val="00CF1542"/>
    <w:rsid w:val="00CF1953"/>
    <w:rsid w:val="00CF20D4"/>
    <w:rsid w:val="00CF227D"/>
    <w:rsid w:val="00CF2697"/>
    <w:rsid w:val="00CF3A7A"/>
    <w:rsid w:val="00CF47EB"/>
    <w:rsid w:val="00CF4D23"/>
    <w:rsid w:val="00CF645E"/>
    <w:rsid w:val="00CF77AE"/>
    <w:rsid w:val="00D011F1"/>
    <w:rsid w:val="00D02191"/>
    <w:rsid w:val="00D0246D"/>
    <w:rsid w:val="00D02E41"/>
    <w:rsid w:val="00D030E4"/>
    <w:rsid w:val="00D0469A"/>
    <w:rsid w:val="00D06862"/>
    <w:rsid w:val="00D06C2B"/>
    <w:rsid w:val="00D06F13"/>
    <w:rsid w:val="00D076D5"/>
    <w:rsid w:val="00D077AF"/>
    <w:rsid w:val="00D1089A"/>
    <w:rsid w:val="00D1099F"/>
    <w:rsid w:val="00D124D7"/>
    <w:rsid w:val="00D1314F"/>
    <w:rsid w:val="00D14CF8"/>
    <w:rsid w:val="00D1514D"/>
    <w:rsid w:val="00D155BA"/>
    <w:rsid w:val="00D15F25"/>
    <w:rsid w:val="00D1603E"/>
    <w:rsid w:val="00D1638A"/>
    <w:rsid w:val="00D16B8B"/>
    <w:rsid w:val="00D16EDC"/>
    <w:rsid w:val="00D174D8"/>
    <w:rsid w:val="00D1783E"/>
    <w:rsid w:val="00D20085"/>
    <w:rsid w:val="00D20D7D"/>
    <w:rsid w:val="00D21DFB"/>
    <w:rsid w:val="00D22821"/>
    <w:rsid w:val="00D23011"/>
    <w:rsid w:val="00D24796"/>
    <w:rsid w:val="00D26430"/>
    <w:rsid w:val="00D2744B"/>
    <w:rsid w:val="00D305C6"/>
    <w:rsid w:val="00D32398"/>
    <w:rsid w:val="00D3470F"/>
    <w:rsid w:val="00D34B85"/>
    <w:rsid w:val="00D34E4F"/>
    <w:rsid w:val="00D368AF"/>
    <w:rsid w:val="00D36B21"/>
    <w:rsid w:val="00D36C34"/>
    <w:rsid w:val="00D36D45"/>
    <w:rsid w:val="00D37D8F"/>
    <w:rsid w:val="00D400B5"/>
    <w:rsid w:val="00D403BD"/>
    <w:rsid w:val="00D40830"/>
    <w:rsid w:val="00D41A0B"/>
    <w:rsid w:val="00D41B0A"/>
    <w:rsid w:val="00D425F8"/>
    <w:rsid w:val="00D42846"/>
    <w:rsid w:val="00D4288C"/>
    <w:rsid w:val="00D43CA9"/>
    <w:rsid w:val="00D43F88"/>
    <w:rsid w:val="00D44B05"/>
    <w:rsid w:val="00D45C4F"/>
    <w:rsid w:val="00D46296"/>
    <w:rsid w:val="00D46998"/>
    <w:rsid w:val="00D510F3"/>
    <w:rsid w:val="00D51BDC"/>
    <w:rsid w:val="00D52313"/>
    <w:rsid w:val="00D5257A"/>
    <w:rsid w:val="00D53600"/>
    <w:rsid w:val="00D5408C"/>
    <w:rsid w:val="00D54A96"/>
    <w:rsid w:val="00D56274"/>
    <w:rsid w:val="00D564E9"/>
    <w:rsid w:val="00D57480"/>
    <w:rsid w:val="00D57562"/>
    <w:rsid w:val="00D57BE0"/>
    <w:rsid w:val="00D57C83"/>
    <w:rsid w:val="00D62732"/>
    <w:rsid w:val="00D62AE3"/>
    <w:rsid w:val="00D63802"/>
    <w:rsid w:val="00D6399C"/>
    <w:rsid w:val="00D63A38"/>
    <w:rsid w:val="00D63C5F"/>
    <w:rsid w:val="00D64E76"/>
    <w:rsid w:val="00D6690B"/>
    <w:rsid w:val="00D67262"/>
    <w:rsid w:val="00D67F12"/>
    <w:rsid w:val="00D706A0"/>
    <w:rsid w:val="00D70C3C"/>
    <w:rsid w:val="00D72DD9"/>
    <w:rsid w:val="00D72E30"/>
    <w:rsid w:val="00D733C6"/>
    <w:rsid w:val="00D73628"/>
    <w:rsid w:val="00D737EC"/>
    <w:rsid w:val="00D74010"/>
    <w:rsid w:val="00D74B86"/>
    <w:rsid w:val="00D77606"/>
    <w:rsid w:val="00D8098E"/>
    <w:rsid w:val="00D80BDB"/>
    <w:rsid w:val="00D8155E"/>
    <w:rsid w:val="00D81967"/>
    <w:rsid w:val="00D8504F"/>
    <w:rsid w:val="00D85882"/>
    <w:rsid w:val="00D85CA5"/>
    <w:rsid w:val="00D86B11"/>
    <w:rsid w:val="00D90B62"/>
    <w:rsid w:val="00D91037"/>
    <w:rsid w:val="00D924BD"/>
    <w:rsid w:val="00D924F6"/>
    <w:rsid w:val="00D928DD"/>
    <w:rsid w:val="00D92D1A"/>
    <w:rsid w:val="00D937BD"/>
    <w:rsid w:val="00D93CCE"/>
    <w:rsid w:val="00D941AF"/>
    <w:rsid w:val="00D9535F"/>
    <w:rsid w:val="00D977A4"/>
    <w:rsid w:val="00D97DC9"/>
    <w:rsid w:val="00DA056C"/>
    <w:rsid w:val="00DA23DF"/>
    <w:rsid w:val="00DA27E9"/>
    <w:rsid w:val="00DA2D77"/>
    <w:rsid w:val="00DA2DFC"/>
    <w:rsid w:val="00DA2EB6"/>
    <w:rsid w:val="00DA34D2"/>
    <w:rsid w:val="00DA3E26"/>
    <w:rsid w:val="00DA41F0"/>
    <w:rsid w:val="00DA4966"/>
    <w:rsid w:val="00DA4EB0"/>
    <w:rsid w:val="00DA5F22"/>
    <w:rsid w:val="00DA5FED"/>
    <w:rsid w:val="00DA6058"/>
    <w:rsid w:val="00DA78FE"/>
    <w:rsid w:val="00DA7E5F"/>
    <w:rsid w:val="00DB0C8A"/>
    <w:rsid w:val="00DB10BF"/>
    <w:rsid w:val="00DB2577"/>
    <w:rsid w:val="00DB379C"/>
    <w:rsid w:val="00DB3ED7"/>
    <w:rsid w:val="00DB42B9"/>
    <w:rsid w:val="00DB5651"/>
    <w:rsid w:val="00DB5848"/>
    <w:rsid w:val="00DB584D"/>
    <w:rsid w:val="00DB58B2"/>
    <w:rsid w:val="00DB58F5"/>
    <w:rsid w:val="00DB6E04"/>
    <w:rsid w:val="00DB74F1"/>
    <w:rsid w:val="00DB7B4B"/>
    <w:rsid w:val="00DC05D1"/>
    <w:rsid w:val="00DC0990"/>
    <w:rsid w:val="00DC0D40"/>
    <w:rsid w:val="00DC0D89"/>
    <w:rsid w:val="00DC0ED8"/>
    <w:rsid w:val="00DC12BC"/>
    <w:rsid w:val="00DC2070"/>
    <w:rsid w:val="00DC2B12"/>
    <w:rsid w:val="00DC2D76"/>
    <w:rsid w:val="00DC474F"/>
    <w:rsid w:val="00DC4D4A"/>
    <w:rsid w:val="00DC5543"/>
    <w:rsid w:val="00DD1349"/>
    <w:rsid w:val="00DD17E9"/>
    <w:rsid w:val="00DD2138"/>
    <w:rsid w:val="00DD2786"/>
    <w:rsid w:val="00DD4241"/>
    <w:rsid w:val="00DD46AE"/>
    <w:rsid w:val="00DD4BA5"/>
    <w:rsid w:val="00DD4C83"/>
    <w:rsid w:val="00DD5243"/>
    <w:rsid w:val="00DD6392"/>
    <w:rsid w:val="00DD7AD5"/>
    <w:rsid w:val="00DE017E"/>
    <w:rsid w:val="00DE03EA"/>
    <w:rsid w:val="00DE193B"/>
    <w:rsid w:val="00DE1ADA"/>
    <w:rsid w:val="00DE2FC1"/>
    <w:rsid w:val="00DE5C77"/>
    <w:rsid w:val="00DE5F53"/>
    <w:rsid w:val="00DE60F1"/>
    <w:rsid w:val="00DE7822"/>
    <w:rsid w:val="00DF012D"/>
    <w:rsid w:val="00DF1CAD"/>
    <w:rsid w:val="00DF3C40"/>
    <w:rsid w:val="00DF781F"/>
    <w:rsid w:val="00DF796D"/>
    <w:rsid w:val="00DF7F9A"/>
    <w:rsid w:val="00E0160D"/>
    <w:rsid w:val="00E02D41"/>
    <w:rsid w:val="00E03556"/>
    <w:rsid w:val="00E03956"/>
    <w:rsid w:val="00E05096"/>
    <w:rsid w:val="00E06664"/>
    <w:rsid w:val="00E06DE5"/>
    <w:rsid w:val="00E06F16"/>
    <w:rsid w:val="00E07008"/>
    <w:rsid w:val="00E079B9"/>
    <w:rsid w:val="00E10F9E"/>
    <w:rsid w:val="00E13288"/>
    <w:rsid w:val="00E13B68"/>
    <w:rsid w:val="00E13BFD"/>
    <w:rsid w:val="00E14F2A"/>
    <w:rsid w:val="00E15AB5"/>
    <w:rsid w:val="00E15EDD"/>
    <w:rsid w:val="00E167B7"/>
    <w:rsid w:val="00E17A1D"/>
    <w:rsid w:val="00E17FBF"/>
    <w:rsid w:val="00E20D17"/>
    <w:rsid w:val="00E21AF5"/>
    <w:rsid w:val="00E21D91"/>
    <w:rsid w:val="00E225D9"/>
    <w:rsid w:val="00E2278F"/>
    <w:rsid w:val="00E2303C"/>
    <w:rsid w:val="00E238EA"/>
    <w:rsid w:val="00E23D3E"/>
    <w:rsid w:val="00E2427A"/>
    <w:rsid w:val="00E26A2E"/>
    <w:rsid w:val="00E26AFE"/>
    <w:rsid w:val="00E3161F"/>
    <w:rsid w:val="00E3172B"/>
    <w:rsid w:val="00E33724"/>
    <w:rsid w:val="00E33BF3"/>
    <w:rsid w:val="00E341E0"/>
    <w:rsid w:val="00E3424A"/>
    <w:rsid w:val="00E34589"/>
    <w:rsid w:val="00E34B0A"/>
    <w:rsid w:val="00E35FE2"/>
    <w:rsid w:val="00E36960"/>
    <w:rsid w:val="00E36C87"/>
    <w:rsid w:val="00E37A8F"/>
    <w:rsid w:val="00E37FD5"/>
    <w:rsid w:val="00E40405"/>
    <w:rsid w:val="00E404CB"/>
    <w:rsid w:val="00E40E90"/>
    <w:rsid w:val="00E41DE9"/>
    <w:rsid w:val="00E42037"/>
    <w:rsid w:val="00E441B9"/>
    <w:rsid w:val="00E44800"/>
    <w:rsid w:val="00E4690E"/>
    <w:rsid w:val="00E47AC7"/>
    <w:rsid w:val="00E503D9"/>
    <w:rsid w:val="00E52249"/>
    <w:rsid w:val="00E5452A"/>
    <w:rsid w:val="00E54E35"/>
    <w:rsid w:val="00E555A1"/>
    <w:rsid w:val="00E5592F"/>
    <w:rsid w:val="00E5643C"/>
    <w:rsid w:val="00E564FF"/>
    <w:rsid w:val="00E57329"/>
    <w:rsid w:val="00E57927"/>
    <w:rsid w:val="00E61E25"/>
    <w:rsid w:val="00E61E77"/>
    <w:rsid w:val="00E61F63"/>
    <w:rsid w:val="00E62A8A"/>
    <w:rsid w:val="00E632ED"/>
    <w:rsid w:val="00E63925"/>
    <w:rsid w:val="00E63C36"/>
    <w:rsid w:val="00E6417F"/>
    <w:rsid w:val="00E6433C"/>
    <w:rsid w:val="00E65503"/>
    <w:rsid w:val="00E663AD"/>
    <w:rsid w:val="00E66CD2"/>
    <w:rsid w:val="00E6754B"/>
    <w:rsid w:val="00E72023"/>
    <w:rsid w:val="00E7277E"/>
    <w:rsid w:val="00E73B26"/>
    <w:rsid w:val="00E74724"/>
    <w:rsid w:val="00E74C4A"/>
    <w:rsid w:val="00E75209"/>
    <w:rsid w:val="00E76BDA"/>
    <w:rsid w:val="00E76C83"/>
    <w:rsid w:val="00E808D2"/>
    <w:rsid w:val="00E8201D"/>
    <w:rsid w:val="00E83DB1"/>
    <w:rsid w:val="00E84E6A"/>
    <w:rsid w:val="00E85C22"/>
    <w:rsid w:val="00E862F7"/>
    <w:rsid w:val="00E868AB"/>
    <w:rsid w:val="00E875B2"/>
    <w:rsid w:val="00E87964"/>
    <w:rsid w:val="00E91A44"/>
    <w:rsid w:val="00E92EB5"/>
    <w:rsid w:val="00E92F84"/>
    <w:rsid w:val="00E93562"/>
    <w:rsid w:val="00E954EB"/>
    <w:rsid w:val="00E958A4"/>
    <w:rsid w:val="00E9662D"/>
    <w:rsid w:val="00E9774F"/>
    <w:rsid w:val="00E97D90"/>
    <w:rsid w:val="00EA2AD5"/>
    <w:rsid w:val="00EA4159"/>
    <w:rsid w:val="00EA737E"/>
    <w:rsid w:val="00EA76D0"/>
    <w:rsid w:val="00EA7F6D"/>
    <w:rsid w:val="00EB0EB4"/>
    <w:rsid w:val="00EB1433"/>
    <w:rsid w:val="00EB3272"/>
    <w:rsid w:val="00EB33B2"/>
    <w:rsid w:val="00EB41D1"/>
    <w:rsid w:val="00EB49CE"/>
    <w:rsid w:val="00EB5C9C"/>
    <w:rsid w:val="00EB60D9"/>
    <w:rsid w:val="00EB627F"/>
    <w:rsid w:val="00EC0738"/>
    <w:rsid w:val="00EC078A"/>
    <w:rsid w:val="00EC3630"/>
    <w:rsid w:val="00EC3A35"/>
    <w:rsid w:val="00EC45F0"/>
    <w:rsid w:val="00EC4A29"/>
    <w:rsid w:val="00EC4C15"/>
    <w:rsid w:val="00EC4EB3"/>
    <w:rsid w:val="00EC5D76"/>
    <w:rsid w:val="00EC5E52"/>
    <w:rsid w:val="00EC6A3B"/>
    <w:rsid w:val="00ED05B0"/>
    <w:rsid w:val="00ED0C1D"/>
    <w:rsid w:val="00ED14BA"/>
    <w:rsid w:val="00ED1900"/>
    <w:rsid w:val="00ED1A0E"/>
    <w:rsid w:val="00ED28EE"/>
    <w:rsid w:val="00ED2D1C"/>
    <w:rsid w:val="00ED2ED4"/>
    <w:rsid w:val="00ED591E"/>
    <w:rsid w:val="00ED6214"/>
    <w:rsid w:val="00ED758F"/>
    <w:rsid w:val="00EE0E8B"/>
    <w:rsid w:val="00EE1106"/>
    <w:rsid w:val="00EE40A9"/>
    <w:rsid w:val="00EE4FC4"/>
    <w:rsid w:val="00EE56A8"/>
    <w:rsid w:val="00EE5ABE"/>
    <w:rsid w:val="00EE5F51"/>
    <w:rsid w:val="00EE6501"/>
    <w:rsid w:val="00EE74E8"/>
    <w:rsid w:val="00EE7763"/>
    <w:rsid w:val="00EE7B49"/>
    <w:rsid w:val="00EF0D49"/>
    <w:rsid w:val="00EF2097"/>
    <w:rsid w:val="00EF409F"/>
    <w:rsid w:val="00EF42EB"/>
    <w:rsid w:val="00EF43F4"/>
    <w:rsid w:val="00EF47E6"/>
    <w:rsid w:val="00EF4B42"/>
    <w:rsid w:val="00EF5C18"/>
    <w:rsid w:val="00F016D8"/>
    <w:rsid w:val="00F0195E"/>
    <w:rsid w:val="00F020BD"/>
    <w:rsid w:val="00F034F8"/>
    <w:rsid w:val="00F03D3F"/>
    <w:rsid w:val="00F04CD5"/>
    <w:rsid w:val="00F0540D"/>
    <w:rsid w:val="00F06409"/>
    <w:rsid w:val="00F100AA"/>
    <w:rsid w:val="00F10450"/>
    <w:rsid w:val="00F11495"/>
    <w:rsid w:val="00F11E42"/>
    <w:rsid w:val="00F11FF3"/>
    <w:rsid w:val="00F121C7"/>
    <w:rsid w:val="00F13825"/>
    <w:rsid w:val="00F149A9"/>
    <w:rsid w:val="00F149EE"/>
    <w:rsid w:val="00F1614C"/>
    <w:rsid w:val="00F1615C"/>
    <w:rsid w:val="00F17809"/>
    <w:rsid w:val="00F20D7B"/>
    <w:rsid w:val="00F21CF4"/>
    <w:rsid w:val="00F23479"/>
    <w:rsid w:val="00F246A0"/>
    <w:rsid w:val="00F24736"/>
    <w:rsid w:val="00F25EDF"/>
    <w:rsid w:val="00F2647F"/>
    <w:rsid w:val="00F27521"/>
    <w:rsid w:val="00F2773A"/>
    <w:rsid w:val="00F2777C"/>
    <w:rsid w:val="00F279ED"/>
    <w:rsid w:val="00F27CD6"/>
    <w:rsid w:val="00F30499"/>
    <w:rsid w:val="00F3083D"/>
    <w:rsid w:val="00F30F88"/>
    <w:rsid w:val="00F32F09"/>
    <w:rsid w:val="00F344CC"/>
    <w:rsid w:val="00F347CD"/>
    <w:rsid w:val="00F353C4"/>
    <w:rsid w:val="00F35C28"/>
    <w:rsid w:val="00F3614F"/>
    <w:rsid w:val="00F371F4"/>
    <w:rsid w:val="00F37466"/>
    <w:rsid w:val="00F403D7"/>
    <w:rsid w:val="00F406DE"/>
    <w:rsid w:val="00F4335D"/>
    <w:rsid w:val="00F437A1"/>
    <w:rsid w:val="00F44897"/>
    <w:rsid w:val="00F450C9"/>
    <w:rsid w:val="00F45368"/>
    <w:rsid w:val="00F4575C"/>
    <w:rsid w:val="00F4583D"/>
    <w:rsid w:val="00F45852"/>
    <w:rsid w:val="00F459A0"/>
    <w:rsid w:val="00F45AC2"/>
    <w:rsid w:val="00F45ED3"/>
    <w:rsid w:val="00F4663D"/>
    <w:rsid w:val="00F50BCE"/>
    <w:rsid w:val="00F524FA"/>
    <w:rsid w:val="00F5321D"/>
    <w:rsid w:val="00F54121"/>
    <w:rsid w:val="00F54850"/>
    <w:rsid w:val="00F54D99"/>
    <w:rsid w:val="00F553D8"/>
    <w:rsid w:val="00F56370"/>
    <w:rsid w:val="00F57421"/>
    <w:rsid w:val="00F57A95"/>
    <w:rsid w:val="00F600BF"/>
    <w:rsid w:val="00F60EAF"/>
    <w:rsid w:val="00F6105C"/>
    <w:rsid w:val="00F62247"/>
    <w:rsid w:val="00F62C1A"/>
    <w:rsid w:val="00F62E1F"/>
    <w:rsid w:val="00F637AD"/>
    <w:rsid w:val="00F6454C"/>
    <w:rsid w:val="00F64B0D"/>
    <w:rsid w:val="00F65665"/>
    <w:rsid w:val="00F67166"/>
    <w:rsid w:val="00F679DD"/>
    <w:rsid w:val="00F70ECC"/>
    <w:rsid w:val="00F71358"/>
    <w:rsid w:val="00F726EE"/>
    <w:rsid w:val="00F72BF9"/>
    <w:rsid w:val="00F74F0F"/>
    <w:rsid w:val="00F75671"/>
    <w:rsid w:val="00F756E9"/>
    <w:rsid w:val="00F765E2"/>
    <w:rsid w:val="00F76810"/>
    <w:rsid w:val="00F76924"/>
    <w:rsid w:val="00F76988"/>
    <w:rsid w:val="00F7783F"/>
    <w:rsid w:val="00F77BAC"/>
    <w:rsid w:val="00F80A32"/>
    <w:rsid w:val="00F8205B"/>
    <w:rsid w:val="00F84268"/>
    <w:rsid w:val="00F849F4"/>
    <w:rsid w:val="00F84C0A"/>
    <w:rsid w:val="00F857EA"/>
    <w:rsid w:val="00F8631C"/>
    <w:rsid w:val="00F865DA"/>
    <w:rsid w:val="00F86758"/>
    <w:rsid w:val="00F9106A"/>
    <w:rsid w:val="00F9115F"/>
    <w:rsid w:val="00F91FD9"/>
    <w:rsid w:val="00F93292"/>
    <w:rsid w:val="00F945BD"/>
    <w:rsid w:val="00F95102"/>
    <w:rsid w:val="00F95B28"/>
    <w:rsid w:val="00F96676"/>
    <w:rsid w:val="00F978E2"/>
    <w:rsid w:val="00F97BCF"/>
    <w:rsid w:val="00FA0328"/>
    <w:rsid w:val="00FA0E96"/>
    <w:rsid w:val="00FA30FD"/>
    <w:rsid w:val="00FA338B"/>
    <w:rsid w:val="00FA57D0"/>
    <w:rsid w:val="00FA5EBD"/>
    <w:rsid w:val="00FA65A4"/>
    <w:rsid w:val="00FA6994"/>
    <w:rsid w:val="00FA6F31"/>
    <w:rsid w:val="00FA6FB3"/>
    <w:rsid w:val="00FA7813"/>
    <w:rsid w:val="00FB0AEC"/>
    <w:rsid w:val="00FB0CCB"/>
    <w:rsid w:val="00FB1248"/>
    <w:rsid w:val="00FB20C3"/>
    <w:rsid w:val="00FB21F8"/>
    <w:rsid w:val="00FB293B"/>
    <w:rsid w:val="00FB49E9"/>
    <w:rsid w:val="00FB4A64"/>
    <w:rsid w:val="00FB4FC8"/>
    <w:rsid w:val="00FB554D"/>
    <w:rsid w:val="00FB5A1A"/>
    <w:rsid w:val="00FB7419"/>
    <w:rsid w:val="00FB7EA7"/>
    <w:rsid w:val="00FC1D41"/>
    <w:rsid w:val="00FC28D6"/>
    <w:rsid w:val="00FC2D85"/>
    <w:rsid w:val="00FC2E84"/>
    <w:rsid w:val="00FC46C5"/>
    <w:rsid w:val="00FC6365"/>
    <w:rsid w:val="00FC7793"/>
    <w:rsid w:val="00FD3B73"/>
    <w:rsid w:val="00FD4855"/>
    <w:rsid w:val="00FD4A8D"/>
    <w:rsid w:val="00FD5148"/>
    <w:rsid w:val="00FD73A4"/>
    <w:rsid w:val="00FD7989"/>
    <w:rsid w:val="00FD79BB"/>
    <w:rsid w:val="00FE0B7D"/>
    <w:rsid w:val="00FE1BF6"/>
    <w:rsid w:val="00FE1CED"/>
    <w:rsid w:val="00FE260E"/>
    <w:rsid w:val="00FE2D06"/>
    <w:rsid w:val="00FE39B9"/>
    <w:rsid w:val="00FE3C40"/>
    <w:rsid w:val="00FE3DD1"/>
    <w:rsid w:val="00FE3E27"/>
    <w:rsid w:val="00FE4032"/>
    <w:rsid w:val="00FE64D2"/>
    <w:rsid w:val="00FE785F"/>
    <w:rsid w:val="00FF0421"/>
    <w:rsid w:val="00FF1611"/>
    <w:rsid w:val="00FF23D6"/>
    <w:rsid w:val="00FF2A9C"/>
    <w:rsid w:val="00FF2D49"/>
    <w:rsid w:val="00FF50AB"/>
    <w:rsid w:val="00FF618E"/>
    <w:rsid w:val="00FF6289"/>
    <w:rsid w:val="00FF7BC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8353"/>
    <o:shapelayout v:ext="edit">
      <o:idmap v:ext="edit" data="1"/>
    </o:shapelayout>
  </w:shapeDefaults>
  <w:decimalSymbol w:val="."/>
  <w:listSeparator w:val=","/>
  <w14:docId w14:val="3152521A"/>
  <w15:docId w15:val="{7DDEB461-230D-4D44-9708-26673D60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317C"/>
    <w:pPr>
      <w:tabs>
        <w:tab w:val="left" w:pos="0"/>
      </w:tabs>
    </w:pPr>
    <w:rPr>
      <w:sz w:val="24"/>
      <w:lang w:eastAsia="en-US"/>
    </w:rPr>
  </w:style>
  <w:style w:type="paragraph" w:styleId="Heading1">
    <w:name w:val="heading 1"/>
    <w:basedOn w:val="Normal"/>
    <w:next w:val="Normal"/>
    <w:qFormat/>
    <w:rsid w:val="0070317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0317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0317C"/>
    <w:pPr>
      <w:keepNext/>
      <w:spacing w:before="140"/>
      <w:outlineLvl w:val="2"/>
    </w:pPr>
    <w:rPr>
      <w:b/>
    </w:rPr>
  </w:style>
  <w:style w:type="paragraph" w:styleId="Heading4">
    <w:name w:val="heading 4"/>
    <w:basedOn w:val="Normal"/>
    <w:next w:val="Normal"/>
    <w:qFormat/>
    <w:rsid w:val="0070317C"/>
    <w:pPr>
      <w:keepNext/>
      <w:spacing w:before="240" w:after="60"/>
      <w:outlineLvl w:val="3"/>
    </w:pPr>
    <w:rPr>
      <w:rFonts w:ascii="Arial" w:hAnsi="Arial"/>
      <w:b/>
      <w:bCs/>
      <w:sz w:val="22"/>
      <w:szCs w:val="28"/>
    </w:rPr>
  </w:style>
  <w:style w:type="paragraph" w:styleId="Heading5">
    <w:name w:val="heading 5"/>
    <w:basedOn w:val="Normal"/>
    <w:next w:val="Normal"/>
    <w:qFormat/>
    <w:rsid w:val="001F3339"/>
    <w:pPr>
      <w:numPr>
        <w:ilvl w:val="4"/>
        <w:numId w:val="1"/>
      </w:numPr>
      <w:spacing w:before="240" w:after="60"/>
      <w:outlineLvl w:val="4"/>
    </w:pPr>
    <w:rPr>
      <w:sz w:val="22"/>
    </w:rPr>
  </w:style>
  <w:style w:type="paragraph" w:styleId="Heading6">
    <w:name w:val="heading 6"/>
    <w:basedOn w:val="Normal"/>
    <w:next w:val="Normal"/>
    <w:qFormat/>
    <w:rsid w:val="001F3339"/>
    <w:pPr>
      <w:numPr>
        <w:ilvl w:val="5"/>
        <w:numId w:val="1"/>
      </w:numPr>
      <w:spacing w:before="240" w:after="60"/>
      <w:outlineLvl w:val="5"/>
    </w:pPr>
    <w:rPr>
      <w:i/>
      <w:sz w:val="22"/>
    </w:rPr>
  </w:style>
  <w:style w:type="paragraph" w:styleId="Heading7">
    <w:name w:val="heading 7"/>
    <w:basedOn w:val="Normal"/>
    <w:next w:val="Normal"/>
    <w:qFormat/>
    <w:rsid w:val="001F3339"/>
    <w:pPr>
      <w:numPr>
        <w:ilvl w:val="6"/>
        <w:numId w:val="1"/>
      </w:numPr>
      <w:spacing w:before="240" w:after="60"/>
      <w:outlineLvl w:val="6"/>
    </w:pPr>
    <w:rPr>
      <w:rFonts w:ascii="Arial" w:hAnsi="Arial"/>
      <w:sz w:val="20"/>
    </w:rPr>
  </w:style>
  <w:style w:type="paragraph" w:styleId="Heading8">
    <w:name w:val="heading 8"/>
    <w:basedOn w:val="Normal"/>
    <w:next w:val="Normal"/>
    <w:qFormat/>
    <w:rsid w:val="001F3339"/>
    <w:pPr>
      <w:numPr>
        <w:ilvl w:val="7"/>
        <w:numId w:val="1"/>
      </w:numPr>
      <w:spacing w:before="240" w:after="60"/>
      <w:outlineLvl w:val="7"/>
    </w:pPr>
    <w:rPr>
      <w:rFonts w:ascii="Arial" w:hAnsi="Arial"/>
      <w:i/>
      <w:sz w:val="20"/>
    </w:rPr>
  </w:style>
  <w:style w:type="paragraph" w:styleId="Heading9">
    <w:name w:val="heading 9"/>
    <w:basedOn w:val="Normal"/>
    <w:next w:val="Normal"/>
    <w:qFormat/>
    <w:rsid w:val="001F333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0317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0317C"/>
  </w:style>
  <w:style w:type="paragraph" w:customStyle="1" w:styleId="00ClientCover">
    <w:name w:val="00ClientCover"/>
    <w:basedOn w:val="Normal"/>
    <w:rsid w:val="0070317C"/>
  </w:style>
  <w:style w:type="paragraph" w:customStyle="1" w:styleId="02Text">
    <w:name w:val="02Text"/>
    <w:basedOn w:val="Normal"/>
    <w:rsid w:val="0070317C"/>
  </w:style>
  <w:style w:type="paragraph" w:customStyle="1" w:styleId="BillBasic">
    <w:name w:val="BillBasic"/>
    <w:link w:val="BillBasicChar"/>
    <w:rsid w:val="0070317C"/>
    <w:pPr>
      <w:spacing w:before="140"/>
      <w:jc w:val="both"/>
    </w:pPr>
    <w:rPr>
      <w:sz w:val="24"/>
      <w:lang w:eastAsia="en-US"/>
    </w:rPr>
  </w:style>
  <w:style w:type="paragraph" w:styleId="Header">
    <w:name w:val="header"/>
    <w:basedOn w:val="Normal"/>
    <w:link w:val="HeaderChar"/>
    <w:rsid w:val="0070317C"/>
    <w:pPr>
      <w:tabs>
        <w:tab w:val="center" w:pos="4153"/>
        <w:tab w:val="right" w:pos="8306"/>
      </w:tabs>
    </w:pPr>
  </w:style>
  <w:style w:type="paragraph" w:styleId="Footer">
    <w:name w:val="footer"/>
    <w:basedOn w:val="Normal"/>
    <w:link w:val="FooterChar"/>
    <w:rsid w:val="0070317C"/>
    <w:pPr>
      <w:spacing w:before="120" w:line="240" w:lineRule="exact"/>
    </w:pPr>
    <w:rPr>
      <w:rFonts w:ascii="Arial" w:hAnsi="Arial"/>
      <w:sz w:val="18"/>
    </w:rPr>
  </w:style>
  <w:style w:type="paragraph" w:customStyle="1" w:styleId="Billname">
    <w:name w:val="Billname"/>
    <w:basedOn w:val="Normal"/>
    <w:rsid w:val="0070317C"/>
    <w:pPr>
      <w:spacing w:before="1220"/>
    </w:pPr>
    <w:rPr>
      <w:rFonts w:ascii="Arial" w:hAnsi="Arial"/>
      <w:b/>
      <w:sz w:val="40"/>
    </w:rPr>
  </w:style>
  <w:style w:type="paragraph" w:customStyle="1" w:styleId="BillBasicHeading">
    <w:name w:val="BillBasicHeading"/>
    <w:basedOn w:val="BillBasic"/>
    <w:rsid w:val="0070317C"/>
    <w:pPr>
      <w:keepNext/>
      <w:tabs>
        <w:tab w:val="left" w:pos="2600"/>
      </w:tabs>
      <w:jc w:val="left"/>
    </w:pPr>
    <w:rPr>
      <w:rFonts w:ascii="Arial" w:hAnsi="Arial"/>
      <w:b/>
    </w:rPr>
  </w:style>
  <w:style w:type="paragraph" w:customStyle="1" w:styleId="EnactingWordsRules">
    <w:name w:val="EnactingWordsRules"/>
    <w:basedOn w:val="EnactingWords"/>
    <w:rsid w:val="0070317C"/>
    <w:pPr>
      <w:spacing w:before="240"/>
    </w:pPr>
  </w:style>
  <w:style w:type="paragraph" w:customStyle="1" w:styleId="EnactingWords">
    <w:name w:val="EnactingWords"/>
    <w:basedOn w:val="BillBasic"/>
    <w:rsid w:val="0070317C"/>
    <w:pPr>
      <w:spacing w:before="120"/>
    </w:pPr>
  </w:style>
  <w:style w:type="paragraph" w:customStyle="1" w:styleId="Amain">
    <w:name w:val="A main"/>
    <w:basedOn w:val="BillBasic"/>
    <w:rsid w:val="0070317C"/>
    <w:pPr>
      <w:tabs>
        <w:tab w:val="right" w:pos="900"/>
        <w:tab w:val="left" w:pos="1100"/>
      </w:tabs>
      <w:ind w:left="1100" w:hanging="1100"/>
      <w:outlineLvl w:val="5"/>
    </w:pPr>
  </w:style>
  <w:style w:type="paragraph" w:customStyle="1" w:styleId="Amainreturn">
    <w:name w:val="A main return"/>
    <w:basedOn w:val="BillBasic"/>
    <w:link w:val="AmainreturnChar"/>
    <w:rsid w:val="0070317C"/>
    <w:pPr>
      <w:ind w:left="1100"/>
    </w:pPr>
  </w:style>
  <w:style w:type="paragraph" w:customStyle="1" w:styleId="Apara">
    <w:name w:val="A para"/>
    <w:basedOn w:val="BillBasic"/>
    <w:rsid w:val="0070317C"/>
    <w:pPr>
      <w:tabs>
        <w:tab w:val="right" w:pos="1400"/>
        <w:tab w:val="left" w:pos="1600"/>
      </w:tabs>
      <w:ind w:left="1600" w:hanging="1600"/>
      <w:outlineLvl w:val="6"/>
    </w:pPr>
  </w:style>
  <w:style w:type="paragraph" w:customStyle="1" w:styleId="Asubpara">
    <w:name w:val="A subpara"/>
    <w:basedOn w:val="BillBasic"/>
    <w:rsid w:val="0070317C"/>
    <w:pPr>
      <w:tabs>
        <w:tab w:val="right" w:pos="1900"/>
        <w:tab w:val="left" w:pos="2100"/>
      </w:tabs>
      <w:ind w:left="2100" w:hanging="2100"/>
      <w:outlineLvl w:val="7"/>
    </w:pPr>
  </w:style>
  <w:style w:type="paragraph" w:customStyle="1" w:styleId="Asubsubpara">
    <w:name w:val="A subsubpara"/>
    <w:basedOn w:val="BillBasic"/>
    <w:rsid w:val="0070317C"/>
    <w:pPr>
      <w:tabs>
        <w:tab w:val="right" w:pos="2400"/>
        <w:tab w:val="left" w:pos="2600"/>
      </w:tabs>
      <w:ind w:left="2600" w:hanging="2600"/>
      <w:outlineLvl w:val="8"/>
    </w:pPr>
  </w:style>
  <w:style w:type="paragraph" w:customStyle="1" w:styleId="aDef">
    <w:name w:val="aDef"/>
    <w:basedOn w:val="BillBasic"/>
    <w:link w:val="aDefChar"/>
    <w:rsid w:val="0070317C"/>
    <w:pPr>
      <w:ind w:left="1100"/>
    </w:pPr>
  </w:style>
  <w:style w:type="paragraph" w:customStyle="1" w:styleId="aExamHead">
    <w:name w:val="aExam Head"/>
    <w:basedOn w:val="BillBasicHeading"/>
    <w:next w:val="aExam"/>
    <w:rsid w:val="0070317C"/>
    <w:pPr>
      <w:tabs>
        <w:tab w:val="clear" w:pos="2600"/>
      </w:tabs>
      <w:ind w:left="1100"/>
    </w:pPr>
    <w:rPr>
      <w:sz w:val="18"/>
    </w:rPr>
  </w:style>
  <w:style w:type="paragraph" w:customStyle="1" w:styleId="aExam">
    <w:name w:val="aExam"/>
    <w:basedOn w:val="aNoteSymb"/>
    <w:rsid w:val="0070317C"/>
    <w:pPr>
      <w:spacing w:before="60"/>
      <w:ind w:left="1100" w:firstLine="0"/>
    </w:pPr>
  </w:style>
  <w:style w:type="paragraph" w:customStyle="1" w:styleId="aNote">
    <w:name w:val="aNote"/>
    <w:basedOn w:val="BillBasic"/>
    <w:link w:val="aNoteChar"/>
    <w:rsid w:val="0070317C"/>
    <w:pPr>
      <w:ind w:left="1900" w:hanging="800"/>
    </w:pPr>
    <w:rPr>
      <w:sz w:val="20"/>
    </w:rPr>
  </w:style>
  <w:style w:type="paragraph" w:customStyle="1" w:styleId="HeaderEven">
    <w:name w:val="HeaderEven"/>
    <w:basedOn w:val="Normal"/>
    <w:rsid w:val="0070317C"/>
    <w:rPr>
      <w:rFonts w:ascii="Arial" w:hAnsi="Arial"/>
      <w:sz w:val="18"/>
    </w:rPr>
  </w:style>
  <w:style w:type="paragraph" w:customStyle="1" w:styleId="HeaderEven6">
    <w:name w:val="HeaderEven6"/>
    <w:basedOn w:val="HeaderEven"/>
    <w:rsid w:val="0070317C"/>
    <w:pPr>
      <w:spacing w:before="120" w:after="60"/>
    </w:pPr>
  </w:style>
  <w:style w:type="paragraph" w:customStyle="1" w:styleId="HeaderOdd6">
    <w:name w:val="HeaderOdd6"/>
    <w:basedOn w:val="HeaderEven6"/>
    <w:rsid w:val="0070317C"/>
    <w:pPr>
      <w:jc w:val="right"/>
    </w:pPr>
  </w:style>
  <w:style w:type="paragraph" w:customStyle="1" w:styleId="HeaderOdd">
    <w:name w:val="HeaderOdd"/>
    <w:basedOn w:val="HeaderEven"/>
    <w:rsid w:val="0070317C"/>
    <w:pPr>
      <w:jc w:val="right"/>
    </w:pPr>
  </w:style>
  <w:style w:type="paragraph" w:customStyle="1" w:styleId="N-TOCheading">
    <w:name w:val="N-TOCheading"/>
    <w:basedOn w:val="BillBasicHeading"/>
    <w:next w:val="N-9pt"/>
    <w:rsid w:val="0070317C"/>
    <w:pPr>
      <w:pBdr>
        <w:bottom w:val="single" w:sz="4" w:space="1" w:color="auto"/>
      </w:pBdr>
      <w:spacing w:before="800"/>
    </w:pPr>
    <w:rPr>
      <w:sz w:val="32"/>
    </w:rPr>
  </w:style>
  <w:style w:type="paragraph" w:customStyle="1" w:styleId="N-9pt">
    <w:name w:val="N-9pt"/>
    <w:basedOn w:val="BillBasic"/>
    <w:next w:val="BillBasic"/>
    <w:rsid w:val="0070317C"/>
    <w:pPr>
      <w:keepNext/>
      <w:tabs>
        <w:tab w:val="right" w:pos="7707"/>
      </w:tabs>
      <w:spacing w:before="120"/>
    </w:pPr>
    <w:rPr>
      <w:rFonts w:ascii="Arial" w:hAnsi="Arial"/>
      <w:sz w:val="18"/>
    </w:rPr>
  </w:style>
  <w:style w:type="paragraph" w:customStyle="1" w:styleId="N-14pt">
    <w:name w:val="N-14pt"/>
    <w:basedOn w:val="BillBasic"/>
    <w:rsid w:val="0070317C"/>
    <w:pPr>
      <w:spacing w:before="0"/>
    </w:pPr>
    <w:rPr>
      <w:b/>
      <w:sz w:val="28"/>
    </w:rPr>
  </w:style>
  <w:style w:type="paragraph" w:customStyle="1" w:styleId="N-16pt">
    <w:name w:val="N-16pt"/>
    <w:basedOn w:val="BillBasic"/>
    <w:rsid w:val="0070317C"/>
    <w:pPr>
      <w:spacing w:before="800"/>
    </w:pPr>
    <w:rPr>
      <w:b/>
      <w:sz w:val="32"/>
    </w:rPr>
  </w:style>
  <w:style w:type="paragraph" w:customStyle="1" w:styleId="N-line3">
    <w:name w:val="N-line3"/>
    <w:basedOn w:val="BillBasic"/>
    <w:next w:val="BillBasic"/>
    <w:rsid w:val="0070317C"/>
    <w:pPr>
      <w:pBdr>
        <w:bottom w:val="single" w:sz="12" w:space="1" w:color="auto"/>
      </w:pBdr>
      <w:spacing w:before="60"/>
    </w:pPr>
  </w:style>
  <w:style w:type="paragraph" w:customStyle="1" w:styleId="Comment">
    <w:name w:val="Comment"/>
    <w:basedOn w:val="BillBasic"/>
    <w:rsid w:val="0070317C"/>
    <w:pPr>
      <w:tabs>
        <w:tab w:val="left" w:pos="1800"/>
      </w:tabs>
      <w:ind w:left="1300"/>
      <w:jc w:val="left"/>
    </w:pPr>
    <w:rPr>
      <w:b/>
      <w:sz w:val="18"/>
    </w:rPr>
  </w:style>
  <w:style w:type="paragraph" w:customStyle="1" w:styleId="FooterInfo">
    <w:name w:val="FooterInfo"/>
    <w:basedOn w:val="Normal"/>
    <w:rsid w:val="0070317C"/>
    <w:pPr>
      <w:tabs>
        <w:tab w:val="right" w:pos="7707"/>
      </w:tabs>
    </w:pPr>
    <w:rPr>
      <w:rFonts w:ascii="Arial" w:hAnsi="Arial"/>
      <w:sz w:val="18"/>
    </w:rPr>
  </w:style>
  <w:style w:type="paragraph" w:customStyle="1" w:styleId="AH1Chapter">
    <w:name w:val="A H1 Chapter"/>
    <w:basedOn w:val="BillBasicHeading"/>
    <w:next w:val="AH2Part"/>
    <w:rsid w:val="0070317C"/>
    <w:pPr>
      <w:spacing w:before="320"/>
      <w:ind w:left="2600" w:hanging="2600"/>
      <w:outlineLvl w:val="0"/>
    </w:pPr>
    <w:rPr>
      <w:sz w:val="34"/>
    </w:rPr>
  </w:style>
  <w:style w:type="paragraph" w:customStyle="1" w:styleId="AH2Part">
    <w:name w:val="A H2 Part"/>
    <w:basedOn w:val="BillBasicHeading"/>
    <w:next w:val="AH3Div"/>
    <w:rsid w:val="0070317C"/>
    <w:pPr>
      <w:spacing w:before="380"/>
      <w:ind w:left="2600" w:hanging="2600"/>
      <w:outlineLvl w:val="1"/>
    </w:pPr>
    <w:rPr>
      <w:sz w:val="32"/>
    </w:rPr>
  </w:style>
  <w:style w:type="paragraph" w:customStyle="1" w:styleId="AH3Div">
    <w:name w:val="A H3 Div"/>
    <w:basedOn w:val="BillBasicHeading"/>
    <w:next w:val="AH5Sec"/>
    <w:rsid w:val="0070317C"/>
    <w:pPr>
      <w:spacing w:before="240"/>
      <w:ind w:left="2600" w:hanging="2600"/>
      <w:outlineLvl w:val="2"/>
    </w:pPr>
    <w:rPr>
      <w:sz w:val="28"/>
    </w:rPr>
  </w:style>
  <w:style w:type="paragraph" w:customStyle="1" w:styleId="AH5Sec">
    <w:name w:val="A H5 Sec"/>
    <w:basedOn w:val="BillBasicHeading"/>
    <w:next w:val="Amain"/>
    <w:link w:val="AH5SecChar"/>
    <w:rsid w:val="0070317C"/>
    <w:pPr>
      <w:tabs>
        <w:tab w:val="clear" w:pos="2600"/>
        <w:tab w:val="left" w:pos="1100"/>
      </w:tabs>
      <w:spacing w:before="240"/>
      <w:ind w:left="1100" w:hanging="1100"/>
      <w:outlineLvl w:val="4"/>
    </w:pPr>
  </w:style>
  <w:style w:type="paragraph" w:customStyle="1" w:styleId="direction">
    <w:name w:val="direction"/>
    <w:basedOn w:val="BillBasic"/>
    <w:next w:val="AmainreturnSymb"/>
    <w:rsid w:val="0070317C"/>
    <w:pPr>
      <w:keepNext/>
      <w:ind w:left="1100"/>
    </w:pPr>
    <w:rPr>
      <w:i/>
    </w:rPr>
  </w:style>
  <w:style w:type="paragraph" w:customStyle="1" w:styleId="AH4SubDiv">
    <w:name w:val="A H4 SubDiv"/>
    <w:basedOn w:val="BillBasicHeading"/>
    <w:next w:val="AH5Sec"/>
    <w:rsid w:val="0070317C"/>
    <w:pPr>
      <w:spacing w:before="240"/>
      <w:ind w:left="2600" w:hanging="2600"/>
      <w:outlineLvl w:val="3"/>
    </w:pPr>
    <w:rPr>
      <w:sz w:val="26"/>
    </w:rPr>
  </w:style>
  <w:style w:type="paragraph" w:customStyle="1" w:styleId="Sched-heading">
    <w:name w:val="Sched-heading"/>
    <w:basedOn w:val="BillBasicHeading"/>
    <w:next w:val="refSymb"/>
    <w:rsid w:val="0070317C"/>
    <w:pPr>
      <w:spacing w:before="380"/>
      <w:ind w:left="2600" w:hanging="2600"/>
      <w:outlineLvl w:val="0"/>
    </w:pPr>
    <w:rPr>
      <w:sz w:val="34"/>
    </w:rPr>
  </w:style>
  <w:style w:type="paragraph" w:customStyle="1" w:styleId="ref">
    <w:name w:val="ref"/>
    <w:basedOn w:val="BillBasic"/>
    <w:next w:val="Normal"/>
    <w:rsid w:val="0070317C"/>
    <w:pPr>
      <w:spacing w:before="60"/>
    </w:pPr>
    <w:rPr>
      <w:sz w:val="18"/>
    </w:rPr>
  </w:style>
  <w:style w:type="paragraph" w:customStyle="1" w:styleId="Sched-Part">
    <w:name w:val="Sched-Part"/>
    <w:basedOn w:val="BillBasicHeading"/>
    <w:next w:val="Sched-Form"/>
    <w:rsid w:val="0070317C"/>
    <w:pPr>
      <w:spacing w:before="380"/>
      <w:ind w:left="2600" w:hanging="2600"/>
      <w:outlineLvl w:val="1"/>
    </w:pPr>
    <w:rPr>
      <w:sz w:val="32"/>
    </w:rPr>
  </w:style>
  <w:style w:type="paragraph" w:customStyle="1" w:styleId="ShadedSchClause">
    <w:name w:val="Shaded Sch Clause"/>
    <w:basedOn w:val="Schclauseheading"/>
    <w:next w:val="direction"/>
    <w:rsid w:val="0070317C"/>
    <w:pPr>
      <w:shd w:val="pct25" w:color="auto" w:fill="auto"/>
      <w:outlineLvl w:val="3"/>
    </w:pPr>
  </w:style>
  <w:style w:type="paragraph" w:customStyle="1" w:styleId="Sched-Form">
    <w:name w:val="Sched-Form"/>
    <w:basedOn w:val="BillBasicHeading"/>
    <w:next w:val="Schclauseheading"/>
    <w:rsid w:val="0070317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0317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70317C"/>
    <w:pPr>
      <w:spacing w:before="320"/>
      <w:ind w:left="2600" w:hanging="2600"/>
      <w:jc w:val="both"/>
      <w:outlineLvl w:val="0"/>
    </w:pPr>
    <w:rPr>
      <w:sz w:val="34"/>
    </w:rPr>
  </w:style>
  <w:style w:type="paragraph" w:styleId="TOC7">
    <w:name w:val="toc 7"/>
    <w:basedOn w:val="TOC2"/>
    <w:next w:val="Normal"/>
    <w:autoRedefine/>
    <w:uiPriority w:val="39"/>
    <w:rsid w:val="0070317C"/>
    <w:pPr>
      <w:keepNext w:val="0"/>
      <w:spacing w:before="120"/>
    </w:pPr>
    <w:rPr>
      <w:sz w:val="20"/>
    </w:rPr>
  </w:style>
  <w:style w:type="paragraph" w:styleId="TOC2">
    <w:name w:val="toc 2"/>
    <w:basedOn w:val="Normal"/>
    <w:next w:val="Normal"/>
    <w:autoRedefine/>
    <w:uiPriority w:val="39"/>
    <w:rsid w:val="0070317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0317C"/>
    <w:pPr>
      <w:keepNext/>
      <w:tabs>
        <w:tab w:val="left" w:pos="400"/>
      </w:tabs>
      <w:spacing w:before="0"/>
      <w:jc w:val="left"/>
    </w:pPr>
    <w:rPr>
      <w:rFonts w:ascii="Arial" w:hAnsi="Arial"/>
      <w:b/>
      <w:sz w:val="28"/>
    </w:rPr>
  </w:style>
  <w:style w:type="paragraph" w:customStyle="1" w:styleId="EndNote2">
    <w:name w:val="EndNote2"/>
    <w:basedOn w:val="BillBasic"/>
    <w:rsid w:val="001F3339"/>
    <w:pPr>
      <w:keepNext/>
      <w:tabs>
        <w:tab w:val="left" w:pos="240"/>
      </w:tabs>
      <w:spacing w:before="320"/>
      <w:jc w:val="left"/>
    </w:pPr>
    <w:rPr>
      <w:b/>
      <w:sz w:val="18"/>
    </w:rPr>
  </w:style>
  <w:style w:type="paragraph" w:customStyle="1" w:styleId="IH1Chap">
    <w:name w:val="I H1 Chap"/>
    <w:basedOn w:val="BillBasicHeading"/>
    <w:next w:val="Normal"/>
    <w:rsid w:val="0070317C"/>
    <w:pPr>
      <w:spacing w:before="320"/>
      <w:ind w:left="2600" w:hanging="2600"/>
    </w:pPr>
    <w:rPr>
      <w:sz w:val="34"/>
    </w:rPr>
  </w:style>
  <w:style w:type="paragraph" w:customStyle="1" w:styleId="IH2Part">
    <w:name w:val="I H2 Part"/>
    <w:basedOn w:val="BillBasicHeading"/>
    <w:next w:val="Normal"/>
    <w:rsid w:val="0070317C"/>
    <w:pPr>
      <w:spacing w:before="380"/>
      <w:ind w:left="2600" w:hanging="2600"/>
    </w:pPr>
    <w:rPr>
      <w:sz w:val="32"/>
    </w:rPr>
  </w:style>
  <w:style w:type="paragraph" w:customStyle="1" w:styleId="IH3Div">
    <w:name w:val="I H3 Div"/>
    <w:basedOn w:val="BillBasicHeading"/>
    <w:next w:val="Normal"/>
    <w:rsid w:val="0070317C"/>
    <w:pPr>
      <w:spacing w:before="240"/>
      <w:ind w:left="2600" w:hanging="2600"/>
    </w:pPr>
    <w:rPr>
      <w:sz w:val="28"/>
    </w:rPr>
  </w:style>
  <w:style w:type="paragraph" w:customStyle="1" w:styleId="IH5Sec">
    <w:name w:val="I H5 Sec"/>
    <w:basedOn w:val="BillBasicHeading"/>
    <w:next w:val="Normal"/>
    <w:rsid w:val="0070317C"/>
    <w:pPr>
      <w:tabs>
        <w:tab w:val="clear" w:pos="2600"/>
        <w:tab w:val="left" w:pos="1100"/>
      </w:tabs>
      <w:spacing w:before="240"/>
      <w:ind w:left="1100" w:hanging="1100"/>
    </w:pPr>
  </w:style>
  <w:style w:type="paragraph" w:customStyle="1" w:styleId="IH4SubDiv">
    <w:name w:val="I H4 SubDiv"/>
    <w:basedOn w:val="BillBasicHeading"/>
    <w:next w:val="Normal"/>
    <w:rsid w:val="0070317C"/>
    <w:pPr>
      <w:spacing w:before="240"/>
      <w:ind w:left="2600" w:hanging="2600"/>
      <w:jc w:val="both"/>
    </w:pPr>
    <w:rPr>
      <w:sz w:val="26"/>
    </w:rPr>
  </w:style>
  <w:style w:type="character" w:styleId="LineNumber">
    <w:name w:val="line number"/>
    <w:basedOn w:val="DefaultParagraphFont"/>
    <w:rsid w:val="0070317C"/>
    <w:rPr>
      <w:rFonts w:ascii="Arial" w:hAnsi="Arial"/>
      <w:sz w:val="16"/>
    </w:rPr>
  </w:style>
  <w:style w:type="paragraph" w:customStyle="1" w:styleId="PageBreak">
    <w:name w:val="PageBreak"/>
    <w:basedOn w:val="Normal"/>
    <w:rsid w:val="0070317C"/>
    <w:rPr>
      <w:sz w:val="4"/>
    </w:rPr>
  </w:style>
  <w:style w:type="paragraph" w:customStyle="1" w:styleId="04Dictionary">
    <w:name w:val="04Dictionary"/>
    <w:basedOn w:val="Normal"/>
    <w:rsid w:val="0070317C"/>
  </w:style>
  <w:style w:type="paragraph" w:customStyle="1" w:styleId="N-line1">
    <w:name w:val="N-line1"/>
    <w:basedOn w:val="BillBasic"/>
    <w:rsid w:val="0070317C"/>
    <w:pPr>
      <w:pBdr>
        <w:bottom w:val="single" w:sz="4" w:space="0" w:color="auto"/>
      </w:pBdr>
      <w:spacing w:before="100"/>
      <w:ind w:left="2980" w:right="3020"/>
      <w:jc w:val="center"/>
    </w:pPr>
  </w:style>
  <w:style w:type="paragraph" w:customStyle="1" w:styleId="N-line2">
    <w:name w:val="N-line2"/>
    <w:basedOn w:val="Normal"/>
    <w:rsid w:val="0070317C"/>
    <w:pPr>
      <w:pBdr>
        <w:bottom w:val="single" w:sz="8" w:space="0" w:color="auto"/>
      </w:pBdr>
    </w:pPr>
  </w:style>
  <w:style w:type="paragraph" w:customStyle="1" w:styleId="EndNote">
    <w:name w:val="EndNote"/>
    <w:basedOn w:val="BillBasicHeading"/>
    <w:rsid w:val="0070317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0317C"/>
    <w:pPr>
      <w:tabs>
        <w:tab w:val="left" w:pos="700"/>
      </w:tabs>
      <w:spacing w:before="160"/>
      <w:ind w:left="700" w:hanging="700"/>
    </w:pPr>
    <w:rPr>
      <w:rFonts w:ascii="Arial (W1)" w:hAnsi="Arial (W1)"/>
    </w:rPr>
  </w:style>
  <w:style w:type="paragraph" w:customStyle="1" w:styleId="PenaltyHeading">
    <w:name w:val="PenaltyHeading"/>
    <w:basedOn w:val="Normal"/>
    <w:rsid w:val="0070317C"/>
    <w:pPr>
      <w:tabs>
        <w:tab w:val="left" w:pos="1100"/>
      </w:tabs>
      <w:spacing w:before="120"/>
      <w:ind w:left="1100" w:hanging="1100"/>
    </w:pPr>
    <w:rPr>
      <w:rFonts w:ascii="Arial" w:hAnsi="Arial"/>
      <w:b/>
      <w:sz w:val="20"/>
    </w:rPr>
  </w:style>
  <w:style w:type="paragraph" w:customStyle="1" w:styleId="05EndNote">
    <w:name w:val="05EndNote"/>
    <w:basedOn w:val="Normal"/>
    <w:rsid w:val="0070317C"/>
  </w:style>
  <w:style w:type="paragraph" w:customStyle="1" w:styleId="03Schedule">
    <w:name w:val="03Schedule"/>
    <w:basedOn w:val="Normal"/>
    <w:rsid w:val="0070317C"/>
  </w:style>
  <w:style w:type="paragraph" w:customStyle="1" w:styleId="ISched-heading">
    <w:name w:val="I Sched-heading"/>
    <w:basedOn w:val="BillBasicHeading"/>
    <w:next w:val="Normal"/>
    <w:rsid w:val="0070317C"/>
    <w:pPr>
      <w:spacing w:before="320"/>
      <w:ind w:left="2600" w:hanging="2600"/>
    </w:pPr>
    <w:rPr>
      <w:sz w:val="34"/>
    </w:rPr>
  </w:style>
  <w:style w:type="paragraph" w:customStyle="1" w:styleId="ISched-Part">
    <w:name w:val="I Sched-Part"/>
    <w:basedOn w:val="BillBasicHeading"/>
    <w:rsid w:val="0070317C"/>
    <w:pPr>
      <w:spacing w:before="380"/>
      <w:ind w:left="2600" w:hanging="2600"/>
    </w:pPr>
    <w:rPr>
      <w:sz w:val="32"/>
    </w:rPr>
  </w:style>
  <w:style w:type="paragraph" w:customStyle="1" w:styleId="ISched-form">
    <w:name w:val="I Sched-form"/>
    <w:basedOn w:val="BillBasicHeading"/>
    <w:rsid w:val="0070317C"/>
    <w:pPr>
      <w:tabs>
        <w:tab w:val="right" w:pos="7200"/>
      </w:tabs>
      <w:spacing w:before="240"/>
      <w:ind w:left="2600" w:hanging="2600"/>
    </w:pPr>
    <w:rPr>
      <w:sz w:val="28"/>
    </w:rPr>
  </w:style>
  <w:style w:type="paragraph" w:customStyle="1" w:styleId="ISchclauseheading">
    <w:name w:val="I Sch clause heading"/>
    <w:basedOn w:val="BillBasic"/>
    <w:rsid w:val="0070317C"/>
    <w:pPr>
      <w:keepNext/>
      <w:tabs>
        <w:tab w:val="left" w:pos="1100"/>
      </w:tabs>
      <w:spacing w:before="240"/>
      <w:ind w:left="1100" w:hanging="1100"/>
      <w:jc w:val="left"/>
    </w:pPr>
    <w:rPr>
      <w:rFonts w:ascii="Arial" w:hAnsi="Arial"/>
      <w:b/>
    </w:rPr>
  </w:style>
  <w:style w:type="paragraph" w:customStyle="1" w:styleId="IMain">
    <w:name w:val="I Main"/>
    <w:basedOn w:val="Amain"/>
    <w:rsid w:val="0070317C"/>
  </w:style>
  <w:style w:type="paragraph" w:customStyle="1" w:styleId="Ipara">
    <w:name w:val="I para"/>
    <w:basedOn w:val="Apara"/>
    <w:rsid w:val="0070317C"/>
    <w:pPr>
      <w:outlineLvl w:val="9"/>
    </w:pPr>
  </w:style>
  <w:style w:type="paragraph" w:customStyle="1" w:styleId="Isubpara">
    <w:name w:val="I subpara"/>
    <w:basedOn w:val="Asubpara"/>
    <w:rsid w:val="0070317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0317C"/>
    <w:pPr>
      <w:tabs>
        <w:tab w:val="clear" w:pos="2400"/>
        <w:tab w:val="clear" w:pos="2600"/>
        <w:tab w:val="right" w:pos="2460"/>
        <w:tab w:val="left" w:pos="2660"/>
      </w:tabs>
      <w:ind w:left="2660" w:hanging="2660"/>
    </w:pPr>
  </w:style>
  <w:style w:type="character" w:customStyle="1" w:styleId="CharSectNo">
    <w:name w:val="CharSectNo"/>
    <w:basedOn w:val="DefaultParagraphFont"/>
    <w:rsid w:val="0070317C"/>
  </w:style>
  <w:style w:type="character" w:customStyle="1" w:styleId="CharDivNo">
    <w:name w:val="CharDivNo"/>
    <w:basedOn w:val="DefaultParagraphFont"/>
    <w:rsid w:val="0070317C"/>
  </w:style>
  <w:style w:type="character" w:customStyle="1" w:styleId="CharDivText">
    <w:name w:val="CharDivText"/>
    <w:basedOn w:val="DefaultParagraphFont"/>
    <w:rsid w:val="0070317C"/>
  </w:style>
  <w:style w:type="character" w:customStyle="1" w:styleId="CharPartNo">
    <w:name w:val="CharPartNo"/>
    <w:basedOn w:val="DefaultParagraphFont"/>
    <w:rsid w:val="0070317C"/>
  </w:style>
  <w:style w:type="paragraph" w:customStyle="1" w:styleId="Placeholder">
    <w:name w:val="Placeholder"/>
    <w:basedOn w:val="Normal"/>
    <w:rsid w:val="0070317C"/>
    <w:rPr>
      <w:sz w:val="10"/>
    </w:rPr>
  </w:style>
  <w:style w:type="paragraph" w:styleId="PlainText">
    <w:name w:val="Plain Text"/>
    <w:basedOn w:val="Normal"/>
    <w:rsid w:val="0070317C"/>
    <w:rPr>
      <w:rFonts w:ascii="Courier New" w:hAnsi="Courier New"/>
      <w:sz w:val="20"/>
    </w:rPr>
  </w:style>
  <w:style w:type="character" w:customStyle="1" w:styleId="CharChapNo">
    <w:name w:val="CharChapNo"/>
    <w:basedOn w:val="DefaultParagraphFont"/>
    <w:rsid w:val="0070317C"/>
  </w:style>
  <w:style w:type="character" w:customStyle="1" w:styleId="CharChapText">
    <w:name w:val="CharChapText"/>
    <w:basedOn w:val="DefaultParagraphFont"/>
    <w:rsid w:val="0070317C"/>
  </w:style>
  <w:style w:type="character" w:customStyle="1" w:styleId="CharPartText">
    <w:name w:val="CharPartText"/>
    <w:basedOn w:val="DefaultParagraphFont"/>
    <w:rsid w:val="0070317C"/>
  </w:style>
  <w:style w:type="paragraph" w:styleId="TOC1">
    <w:name w:val="toc 1"/>
    <w:basedOn w:val="Normal"/>
    <w:next w:val="Normal"/>
    <w:autoRedefine/>
    <w:rsid w:val="0070317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70317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0317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0317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0317C"/>
  </w:style>
  <w:style w:type="paragraph" w:styleId="Title">
    <w:name w:val="Title"/>
    <w:basedOn w:val="Normal"/>
    <w:qFormat/>
    <w:rsid w:val="001F3339"/>
    <w:pPr>
      <w:spacing w:before="240" w:after="60"/>
      <w:jc w:val="center"/>
      <w:outlineLvl w:val="0"/>
    </w:pPr>
    <w:rPr>
      <w:rFonts w:ascii="Arial" w:hAnsi="Arial"/>
      <w:b/>
      <w:kern w:val="28"/>
      <w:sz w:val="32"/>
    </w:rPr>
  </w:style>
  <w:style w:type="paragraph" w:styleId="Signature">
    <w:name w:val="Signature"/>
    <w:basedOn w:val="Normal"/>
    <w:rsid w:val="0070317C"/>
    <w:pPr>
      <w:ind w:left="4252"/>
    </w:pPr>
  </w:style>
  <w:style w:type="paragraph" w:customStyle="1" w:styleId="ActNo">
    <w:name w:val="ActNo"/>
    <w:basedOn w:val="BillBasicHeading"/>
    <w:rsid w:val="0070317C"/>
    <w:pPr>
      <w:keepNext w:val="0"/>
      <w:tabs>
        <w:tab w:val="clear" w:pos="2600"/>
      </w:tabs>
      <w:spacing w:before="220"/>
    </w:pPr>
  </w:style>
  <w:style w:type="paragraph" w:customStyle="1" w:styleId="aParaNote">
    <w:name w:val="aParaNote"/>
    <w:basedOn w:val="BillBasic"/>
    <w:rsid w:val="0070317C"/>
    <w:pPr>
      <w:ind w:left="2840" w:hanging="1240"/>
    </w:pPr>
    <w:rPr>
      <w:sz w:val="20"/>
    </w:rPr>
  </w:style>
  <w:style w:type="paragraph" w:customStyle="1" w:styleId="aExamNum">
    <w:name w:val="aExamNum"/>
    <w:basedOn w:val="aExam"/>
    <w:rsid w:val="0070317C"/>
    <w:pPr>
      <w:ind w:left="1500" w:hanging="400"/>
    </w:pPr>
  </w:style>
  <w:style w:type="paragraph" w:customStyle="1" w:styleId="LongTitle">
    <w:name w:val="LongTitle"/>
    <w:basedOn w:val="BillBasic"/>
    <w:rsid w:val="0070317C"/>
    <w:pPr>
      <w:spacing w:before="300"/>
    </w:pPr>
  </w:style>
  <w:style w:type="paragraph" w:customStyle="1" w:styleId="Minister">
    <w:name w:val="Minister"/>
    <w:basedOn w:val="BillBasic"/>
    <w:rsid w:val="0070317C"/>
    <w:pPr>
      <w:spacing w:before="640"/>
      <w:jc w:val="right"/>
    </w:pPr>
    <w:rPr>
      <w:caps/>
    </w:rPr>
  </w:style>
  <w:style w:type="paragraph" w:customStyle="1" w:styleId="DateLine">
    <w:name w:val="DateLine"/>
    <w:basedOn w:val="BillBasic"/>
    <w:rsid w:val="0070317C"/>
    <w:pPr>
      <w:tabs>
        <w:tab w:val="left" w:pos="4320"/>
      </w:tabs>
    </w:pPr>
  </w:style>
  <w:style w:type="paragraph" w:customStyle="1" w:styleId="madeunder">
    <w:name w:val="made under"/>
    <w:basedOn w:val="BillBasic"/>
    <w:rsid w:val="0070317C"/>
    <w:pPr>
      <w:spacing w:before="240"/>
    </w:pPr>
  </w:style>
  <w:style w:type="paragraph" w:customStyle="1" w:styleId="EndNoteSubHeading">
    <w:name w:val="EndNoteSubHeading"/>
    <w:basedOn w:val="Normal"/>
    <w:next w:val="EndNoteText"/>
    <w:rsid w:val="001F3339"/>
    <w:pPr>
      <w:keepNext/>
      <w:tabs>
        <w:tab w:val="left" w:pos="700"/>
      </w:tabs>
      <w:spacing w:before="240"/>
      <w:ind w:left="700" w:hanging="700"/>
    </w:pPr>
    <w:rPr>
      <w:rFonts w:ascii="Arial" w:hAnsi="Arial"/>
      <w:b/>
      <w:sz w:val="20"/>
    </w:rPr>
  </w:style>
  <w:style w:type="paragraph" w:customStyle="1" w:styleId="EndNoteText">
    <w:name w:val="EndNoteText"/>
    <w:basedOn w:val="BillBasic"/>
    <w:rsid w:val="0070317C"/>
    <w:pPr>
      <w:tabs>
        <w:tab w:val="left" w:pos="700"/>
        <w:tab w:val="right" w:pos="6160"/>
      </w:tabs>
      <w:spacing w:before="80"/>
      <w:ind w:left="700" w:hanging="700"/>
    </w:pPr>
    <w:rPr>
      <w:sz w:val="20"/>
    </w:rPr>
  </w:style>
  <w:style w:type="paragraph" w:customStyle="1" w:styleId="BillBasicItalics">
    <w:name w:val="BillBasicItalics"/>
    <w:basedOn w:val="BillBasic"/>
    <w:rsid w:val="0070317C"/>
    <w:rPr>
      <w:i/>
    </w:rPr>
  </w:style>
  <w:style w:type="paragraph" w:customStyle="1" w:styleId="00SigningPage">
    <w:name w:val="00SigningPage"/>
    <w:basedOn w:val="Normal"/>
    <w:rsid w:val="0070317C"/>
  </w:style>
  <w:style w:type="paragraph" w:customStyle="1" w:styleId="Aparareturn">
    <w:name w:val="A para return"/>
    <w:basedOn w:val="BillBasic"/>
    <w:rsid w:val="0070317C"/>
    <w:pPr>
      <w:ind w:left="1600"/>
    </w:pPr>
  </w:style>
  <w:style w:type="paragraph" w:customStyle="1" w:styleId="Asubparareturn">
    <w:name w:val="A subpara return"/>
    <w:basedOn w:val="BillBasic"/>
    <w:rsid w:val="0070317C"/>
    <w:pPr>
      <w:ind w:left="2100"/>
    </w:pPr>
  </w:style>
  <w:style w:type="paragraph" w:customStyle="1" w:styleId="CommentNum">
    <w:name w:val="CommentNum"/>
    <w:basedOn w:val="Comment"/>
    <w:rsid w:val="0070317C"/>
    <w:pPr>
      <w:ind w:left="1800" w:hanging="1800"/>
    </w:pPr>
  </w:style>
  <w:style w:type="paragraph" w:styleId="TOC8">
    <w:name w:val="toc 8"/>
    <w:basedOn w:val="TOC3"/>
    <w:next w:val="Normal"/>
    <w:autoRedefine/>
    <w:rsid w:val="0070317C"/>
    <w:pPr>
      <w:keepNext w:val="0"/>
      <w:spacing w:before="120"/>
    </w:pPr>
  </w:style>
  <w:style w:type="paragraph" w:customStyle="1" w:styleId="Judges">
    <w:name w:val="Judges"/>
    <w:basedOn w:val="Minister"/>
    <w:rsid w:val="0070317C"/>
    <w:pPr>
      <w:spacing w:before="180"/>
    </w:pPr>
  </w:style>
  <w:style w:type="paragraph" w:customStyle="1" w:styleId="BillFor">
    <w:name w:val="BillFor"/>
    <w:basedOn w:val="BillBasicHeading"/>
    <w:rsid w:val="0070317C"/>
    <w:pPr>
      <w:keepNext w:val="0"/>
      <w:spacing w:before="320"/>
      <w:jc w:val="both"/>
    </w:pPr>
    <w:rPr>
      <w:sz w:val="28"/>
    </w:rPr>
  </w:style>
  <w:style w:type="paragraph" w:customStyle="1" w:styleId="draft">
    <w:name w:val="draft"/>
    <w:basedOn w:val="Normal"/>
    <w:rsid w:val="0070317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0317C"/>
    <w:pPr>
      <w:spacing w:line="260" w:lineRule="atLeast"/>
      <w:jc w:val="center"/>
    </w:pPr>
  </w:style>
  <w:style w:type="paragraph" w:customStyle="1" w:styleId="Amainbullet">
    <w:name w:val="A main bullet"/>
    <w:basedOn w:val="BillBasic"/>
    <w:rsid w:val="0070317C"/>
    <w:pPr>
      <w:spacing w:before="60"/>
      <w:ind w:left="1500" w:hanging="400"/>
    </w:pPr>
  </w:style>
  <w:style w:type="paragraph" w:customStyle="1" w:styleId="Aparabullet">
    <w:name w:val="A para bullet"/>
    <w:basedOn w:val="BillBasic"/>
    <w:rsid w:val="0070317C"/>
    <w:pPr>
      <w:spacing w:before="60"/>
      <w:ind w:left="2000" w:hanging="400"/>
    </w:pPr>
  </w:style>
  <w:style w:type="paragraph" w:customStyle="1" w:styleId="Asubparabullet">
    <w:name w:val="A subpara bullet"/>
    <w:basedOn w:val="BillBasic"/>
    <w:rsid w:val="0070317C"/>
    <w:pPr>
      <w:spacing w:before="60"/>
      <w:ind w:left="2540" w:hanging="400"/>
    </w:pPr>
  </w:style>
  <w:style w:type="paragraph" w:customStyle="1" w:styleId="aDefpara">
    <w:name w:val="aDef para"/>
    <w:basedOn w:val="Apara"/>
    <w:rsid w:val="0070317C"/>
  </w:style>
  <w:style w:type="paragraph" w:customStyle="1" w:styleId="aDefsubpara">
    <w:name w:val="aDef subpara"/>
    <w:basedOn w:val="Asubpara"/>
    <w:rsid w:val="0070317C"/>
  </w:style>
  <w:style w:type="paragraph" w:customStyle="1" w:styleId="Idefpara">
    <w:name w:val="I def para"/>
    <w:basedOn w:val="Ipara"/>
    <w:rsid w:val="0070317C"/>
  </w:style>
  <w:style w:type="paragraph" w:customStyle="1" w:styleId="Idefsubpara">
    <w:name w:val="I def subpara"/>
    <w:basedOn w:val="Isubpara"/>
    <w:rsid w:val="0070317C"/>
  </w:style>
  <w:style w:type="paragraph" w:customStyle="1" w:styleId="Notified">
    <w:name w:val="Notified"/>
    <w:basedOn w:val="BillBasic"/>
    <w:rsid w:val="0070317C"/>
    <w:pPr>
      <w:spacing w:before="360"/>
      <w:jc w:val="right"/>
    </w:pPr>
    <w:rPr>
      <w:i/>
    </w:rPr>
  </w:style>
  <w:style w:type="paragraph" w:customStyle="1" w:styleId="03ScheduleLandscape">
    <w:name w:val="03ScheduleLandscape"/>
    <w:basedOn w:val="Normal"/>
    <w:rsid w:val="0070317C"/>
  </w:style>
  <w:style w:type="paragraph" w:customStyle="1" w:styleId="IDict-Heading">
    <w:name w:val="I Dict-Heading"/>
    <w:basedOn w:val="BillBasicHeading"/>
    <w:rsid w:val="0070317C"/>
    <w:pPr>
      <w:spacing w:before="320"/>
      <w:ind w:left="2600" w:hanging="2600"/>
      <w:jc w:val="both"/>
    </w:pPr>
    <w:rPr>
      <w:sz w:val="34"/>
    </w:rPr>
  </w:style>
  <w:style w:type="paragraph" w:customStyle="1" w:styleId="02TextLandscape">
    <w:name w:val="02TextLandscape"/>
    <w:basedOn w:val="Normal"/>
    <w:rsid w:val="0070317C"/>
  </w:style>
  <w:style w:type="paragraph" w:styleId="Salutation">
    <w:name w:val="Salutation"/>
    <w:basedOn w:val="Normal"/>
    <w:next w:val="Normal"/>
    <w:rsid w:val="001F3339"/>
  </w:style>
  <w:style w:type="paragraph" w:customStyle="1" w:styleId="aNoteBullet">
    <w:name w:val="aNoteBullet"/>
    <w:basedOn w:val="aNoteSymb"/>
    <w:rsid w:val="0070317C"/>
    <w:pPr>
      <w:tabs>
        <w:tab w:val="left" w:pos="2200"/>
      </w:tabs>
      <w:spacing w:before="60"/>
      <w:ind w:left="2600" w:hanging="700"/>
    </w:pPr>
  </w:style>
  <w:style w:type="paragraph" w:customStyle="1" w:styleId="aNotess">
    <w:name w:val="aNotess"/>
    <w:basedOn w:val="BillBasic"/>
    <w:rsid w:val="001F3339"/>
    <w:pPr>
      <w:ind w:left="1900" w:hanging="800"/>
    </w:pPr>
    <w:rPr>
      <w:sz w:val="20"/>
    </w:rPr>
  </w:style>
  <w:style w:type="paragraph" w:customStyle="1" w:styleId="aParaNoteBullet">
    <w:name w:val="aParaNoteBullet"/>
    <w:basedOn w:val="aParaNote"/>
    <w:rsid w:val="0070317C"/>
    <w:pPr>
      <w:tabs>
        <w:tab w:val="left" w:pos="2700"/>
      </w:tabs>
      <w:spacing w:before="60"/>
      <w:ind w:left="3100" w:hanging="700"/>
    </w:pPr>
  </w:style>
  <w:style w:type="paragraph" w:customStyle="1" w:styleId="aNotepar">
    <w:name w:val="aNotepar"/>
    <w:basedOn w:val="BillBasic"/>
    <w:next w:val="Normal"/>
    <w:rsid w:val="0070317C"/>
    <w:pPr>
      <w:ind w:left="2400" w:hanging="800"/>
    </w:pPr>
    <w:rPr>
      <w:sz w:val="20"/>
    </w:rPr>
  </w:style>
  <w:style w:type="paragraph" w:customStyle="1" w:styleId="aNoteTextpar">
    <w:name w:val="aNoteTextpar"/>
    <w:basedOn w:val="aNotepar"/>
    <w:rsid w:val="0070317C"/>
    <w:pPr>
      <w:spacing w:before="60"/>
      <w:ind w:firstLine="0"/>
    </w:pPr>
  </w:style>
  <w:style w:type="paragraph" w:customStyle="1" w:styleId="MinisterWord">
    <w:name w:val="MinisterWord"/>
    <w:basedOn w:val="Normal"/>
    <w:rsid w:val="0070317C"/>
    <w:pPr>
      <w:spacing w:before="60"/>
      <w:jc w:val="right"/>
    </w:pPr>
  </w:style>
  <w:style w:type="paragraph" w:customStyle="1" w:styleId="aExamPara">
    <w:name w:val="aExamPara"/>
    <w:basedOn w:val="aExam"/>
    <w:rsid w:val="0070317C"/>
    <w:pPr>
      <w:tabs>
        <w:tab w:val="right" w:pos="1720"/>
        <w:tab w:val="left" w:pos="2000"/>
        <w:tab w:val="left" w:pos="2300"/>
      </w:tabs>
      <w:ind w:left="2400" w:hanging="1300"/>
    </w:pPr>
  </w:style>
  <w:style w:type="paragraph" w:customStyle="1" w:styleId="aExamNumText">
    <w:name w:val="aExamNumText"/>
    <w:basedOn w:val="aExam"/>
    <w:rsid w:val="0070317C"/>
    <w:pPr>
      <w:ind w:left="1500"/>
    </w:pPr>
  </w:style>
  <w:style w:type="paragraph" w:customStyle="1" w:styleId="aExamBullet">
    <w:name w:val="aExamBullet"/>
    <w:basedOn w:val="aExam"/>
    <w:rsid w:val="0070317C"/>
    <w:pPr>
      <w:tabs>
        <w:tab w:val="left" w:pos="1500"/>
        <w:tab w:val="left" w:pos="2300"/>
      </w:tabs>
      <w:ind w:left="1900" w:hanging="800"/>
    </w:pPr>
  </w:style>
  <w:style w:type="paragraph" w:customStyle="1" w:styleId="aNotePara">
    <w:name w:val="aNotePara"/>
    <w:basedOn w:val="aNote"/>
    <w:rsid w:val="0070317C"/>
    <w:pPr>
      <w:tabs>
        <w:tab w:val="right" w:pos="2140"/>
        <w:tab w:val="left" w:pos="2400"/>
      </w:tabs>
      <w:spacing w:before="60"/>
      <w:ind w:left="2400" w:hanging="1300"/>
    </w:pPr>
  </w:style>
  <w:style w:type="paragraph" w:customStyle="1" w:styleId="aExplanHeading">
    <w:name w:val="aExplanHeading"/>
    <w:basedOn w:val="BillBasicHeading"/>
    <w:next w:val="Normal"/>
    <w:rsid w:val="0070317C"/>
    <w:rPr>
      <w:rFonts w:ascii="Arial (W1)" w:hAnsi="Arial (W1)"/>
      <w:sz w:val="18"/>
    </w:rPr>
  </w:style>
  <w:style w:type="paragraph" w:customStyle="1" w:styleId="aExplanText">
    <w:name w:val="aExplanText"/>
    <w:basedOn w:val="BillBasic"/>
    <w:rsid w:val="0070317C"/>
    <w:rPr>
      <w:sz w:val="20"/>
    </w:rPr>
  </w:style>
  <w:style w:type="paragraph" w:customStyle="1" w:styleId="aParaNotePara">
    <w:name w:val="aParaNotePara"/>
    <w:basedOn w:val="aNoteParaSymb"/>
    <w:rsid w:val="0070317C"/>
    <w:pPr>
      <w:tabs>
        <w:tab w:val="clear" w:pos="2140"/>
        <w:tab w:val="clear" w:pos="2400"/>
        <w:tab w:val="right" w:pos="2644"/>
      </w:tabs>
      <w:ind w:left="3320" w:hanging="1720"/>
    </w:pPr>
  </w:style>
  <w:style w:type="character" w:customStyle="1" w:styleId="charBold">
    <w:name w:val="charBold"/>
    <w:basedOn w:val="DefaultParagraphFont"/>
    <w:rsid w:val="0070317C"/>
    <w:rPr>
      <w:b/>
    </w:rPr>
  </w:style>
  <w:style w:type="character" w:customStyle="1" w:styleId="charBoldItals">
    <w:name w:val="charBoldItals"/>
    <w:basedOn w:val="DefaultParagraphFont"/>
    <w:rsid w:val="0070317C"/>
    <w:rPr>
      <w:b/>
      <w:i/>
    </w:rPr>
  </w:style>
  <w:style w:type="character" w:customStyle="1" w:styleId="charItals">
    <w:name w:val="charItals"/>
    <w:basedOn w:val="DefaultParagraphFont"/>
    <w:rsid w:val="0070317C"/>
    <w:rPr>
      <w:i/>
    </w:rPr>
  </w:style>
  <w:style w:type="character" w:customStyle="1" w:styleId="charUnderline">
    <w:name w:val="charUnderline"/>
    <w:basedOn w:val="DefaultParagraphFont"/>
    <w:rsid w:val="0070317C"/>
    <w:rPr>
      <w:u w:val="single"/>
    </w:rPr>
  </w:style>
  <w:style w:type="paragraph" w:customStyle="1" w:styleId="TableHd">
    <w:name w:val="TableHd"/>
    <w:basedOn w:val="Normal"/>
    <w:rsid w:val="0070317C"/>
    <w:pPr>
      <w:keepNext/>
      <w:spacing w:before="300"/>
      <w:ind w:left="1200" w:hanging="1200"/>
    </w:pPr>
    <w:rPr>
      <w:rFonts w:ascii="Arial" w:hAnsi="Arial"/>
      <w:b/>
      <w:sz w:val="20"/>
    </w:rPr>
  </w:style>
  <w:style w:type="paragraph" w:customStyle="1" w:styleId="TableColHd">
    <w:name w:val="TableColHd"/>
    <w:basedOn w:val="Normal"/>
    <w:rsid w:val="0070317C"/>
    <w:pPr>
      <w:keepNext/>
      <w:spacing w:after="60"/>
    </w:pPr>
    <w:rPr>
      <w:rFonts w:ascii="Arial" w:hAnsi="Arial"/>
      <w:b/>
      <w:sz w:val="18"/>
    </w:rPr>
  </w:style>
  <w:style w:type="paragraph" w:customStyle="1" w:styleId="PenaltyPara">
    <w:name w:val="PenaltyPara"/>
    <w:basedOn w:val="Normal"/>
    <w:rsid w:val="0070317C"/>
    <w:pPr>
      <w:tabs>
        <w:tab w:val="right" w:pos="1360"/>
      </w:tabs>
      <w:spacing w:before="60"/>
      <w:ind w:left="1600" w:hanging="1600"/>
      <w:jc w:val="both"/>
    </w:pPr>
  </w:style>
  <w:style w:type="paragraph" w:customStyle="1" w:styleId="tablepara">
    <w:name w:val="table para"/>
    <w:basedOn w:val="Normal"/>
    <w:rsid w:val="0070317C"/>
    <w:pPr>
      <w:tabs>
        <w:tab w:val="right" w:pos="800"/>
        <w:tab w:val="left" w:pos="1100"/>
      </w:tabs>
      <w:spacing w:before="80" w:after="60"/>
      <w:ind w:left="1100" w:hanging="1100"/>
    </w:pPr>
  </w:style>
  <w:style w:type="paragraph" w:customStyle="1" w:styleId="tablesubpara">
    <w:name w:val="table subpara"/>
    <w:basedOn w:val="Normal"/>
    <w:rsid w:val="0070317C"/>
    <w:pPr>
      <w:tabs>
        <w:tab w:val="right" w:pos="1500"/>
        <w:tab w:val="left" w:pos="1800"/>
      </w:tabs>
      <w:spacing w:before="80" w:after="60"/>
      <w:ind w:left="1800" w:hanging="1800"/>
    </w:pPr>
  </w:style>
  <w:style w:type="paragraph" w:customStyle="1" w:styleId="TableText">
    <w:name w:val="TableText"/>
    <w:basedOn w:val="Normal"/>
    <w:rsid w:val="0070317C"/>
    <w:pPr>
      <w:spacing w:before="60" w:after="60"/>
    </w:pPr>
  </w:style>
  <w:style w:type="paragraph" w:customStyle="1" w:styleId="IshadedH5Sec">
    <w:name w:val="I shaded H5 Sec"/>
    <w:basedOn w:val="AH5Sec"/>
    <w:rsid w:val="0070317C"/>
    <w:pPr>
      <w:shd w:val="pct25" w:color="auto" w:fill="auto"/>
      <w:outlineLvl w:val="9"/>
    </w:pPr>
  </w:style>
  <w:style w:type="paragraph" w:customStyle="1" w:styleId="IshadedSchClause">
    <w:name w:val="I shaded Sch Clause"/>
    <w:basedOn w:val="IshadedH5Sec"/>
    <w:rsid w:val="0070317C"/>
  </w:style>
  <w:style w:type="paragraph" w:customStyle="1" w:styleId="Penalty">
    <w:name w:val="Penalty"/>
    <w:basedOn w:val="Amainreturn"/>
    <w:rsid w:val="0070317C"/>
  </w:style>
  <w:style w:type="paragraph" w:customStyle="1" w:styleId="aNoteText">
    <w:name w:val="aNoteText"/>
    <w:basedOn w:val="aNoteSymb"/>
    <w:rsid w:val="0070317C"/>
    <w:pPr>
      <w:spacing w:before="60"/>
      <w:ind w:firstLine="0"/>
    </w:pPr>
  </w:style>
  <w:style w:type="paragraph" w:customStyle="1" w:styleId="aExamINum">
    <w:name w:val="aExamINum"/>
    <w:basedOn w:val="aExam"/>
    <w:rsid w:val="001F3339"/>
    <w:pPr>
      <w:tabs>
        <w:tab w:val="left" w:pos="1500"/>
      </w:tabs>
      <w:ind w:left="1500" w:hanging="400"/>
    </w:pPr>
  </w:style>
  <w:style w:type="paragraph" w:customStyle="1" w:styleId="AExamIPara">
    <w:name w:val="AExamIPara"/>
    <w:basedOn w:val="aExam"/>
    <w:rsid w:val="0070317C"/>
    <w:pPr>
      <w:tabs>
        <w:tab w:val="right" w:pos="1720"/>
        <w:tab w:val="left" w:pos="2000"/>
      </w:tabs>
      <w:ind w:left="2000" w:hanging="900"/>
    </w:pPr>
  </w:style>
  <w:style w:type="paragraph" w:customStyle="1" w:styleId="AH3sec">
    <w:name w:val="A H3 sec"/>
    <w:basedOn w:val="Normal"/>
    <w:next w:val="direction"/>
    <w:rsid w:val="001F3339"/>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70317C"/>
    <w:pPr>
      <w:tabs>
        <w:tab w:val="clear" w:pos="2600"/>
      </w:tabs>
      <w:ind w:left="1100"/>
    </w:pPr>
    <w:rPr>
      <w:sz w:val="18"/>
    </w:rPr>
  </w:style>
  <w:style w:type="paragraph" w:customStyle="1" w:styleId="aExamss">
    <w:name w:val="aExamss"/>
    <w:basedOn w:val="aNoteSymb"/>
    <w:rsid w:val="0070317C"/>
    <w:pPr>
      <w:spacing w:before="60"/>
      <w:ind w:left="1100" w:firstLine="0"/>
    </w:pPr>
  </w:style>
  <w:style w:type="paragraph" w:customStyle="1" w:styleId="aExamHdgpar">
    <w:name w:val="aExamHdgpar"/>
    <w:basedOn w:val="aExamHdgss"/>
    <w:next w:val="Normal"/>
    <w:rsid w:val="0070317C"/>
    <w:pPr>
      <w:ind w:left="1600"/>
    </w:pPr>
  </w:style>
  <w:style w:type="paragraph" w:customStyle="1" w:styleId="aExampar">
    <w:name w:val="aExampar"/>
    <w:basedOn w:val="aExamss"/>
    <w:rsid w:val="0070317C"/>
    <w:pPr>
      <w:ind w:left="1600"/>
    </w:pPr>
  </w:style>
  <w:style w:type="paragraph" w:customStyle="1" w:styleId="aExamINumss">
    <w:name w:val="aExamINumss"/>
    <w:basedOn w:val="aExamss"/>
    <w:rsid w:val="0070317C"/>
    <w:pPr>
      <w:tabs>
        <w:tab w:val="left" w:pos="1500"/>
      </w:tabs>
      <w:ind w:left="1500" w:hanging="400"/>
    </w:pPr>
  </w:style>
  <w:style w:type="paragraph" w:customStyle="1" w:styleId="aExamINumpar">
    <w:name w:val="aExamINumpar"/>
    <w:basedOn w:val="aExampar"/>
    <w:rsid w:val="0070317C"/>
    <w:pPr>
      <w:tabs>
        <w:tab w:val="left" w:pos="2000"/>
      </w:tabs>
      <w:ind w:left="2000" w:hanging="400"/>
    </w:pPr>
  </w:style>
  <w:style w:type="paragraph" w:customStyle="1" w:styleId="aExamNumTextss">
    <w:name w:val="aExamNumTextss"/>
    <w:basedOn w:val="aExamss"/>
    <w:rsid w:val="0070317C"/>
    <w:pPr>
      <w:ind w:left="1500"/>
    </w:pPr>
  </w:style>
  <w:style w:type="paragraph" w:customStyle="1" w:styleId="aExamNumTextpar">
    <w:name w:val="aExamNumTextpar"/>
    <w:basedOn w:val="aExampar"/>
    <w:rsid w:val="001F3339"/>
    <w:pPr>
      <w:ind w:left="2000"/>
    </w:pPr>
  </w:style>
  <w:style w:type="paragraph" w:customStyle="1" w:styleId="aExamBulletss">
    <w:name w:val="aExamBulletss"/>
    <w:basedOn w:val="aExamss"/>
    <w:rsid w:val="0070317C"/>
    <w:pPr>
      <w:ind w:left="1500" w:hanging="400"/>
    </w:pPr>
  </w:style>
  <w:style w:type="paragraph" w:customStyle="1" w:styleId="aExamBulletpar">
    <w:name w:val="aExamBulletpar"/>
    <w:basedOn w:val="aExampar"/>
    <w:rsid w:val="0070317C"/>
    <w:pPr>
      <w:ind w:left="2000" w:hanging="400"/>
    </w:pPr>
  </w:style>
  <w:style w:type="paragraph" w:customStyle="1" w:styleId="aExamHdgsubpar">
    <w:name w:val="aExamHdgsubpar"/>
    <w:basedOn w:val="aExamHdgss"/>
    <w:next w:val="Normal"/>
    <w:rsid w:val="0070317C"/>
    <w:pPr>
      <w:ind w:left="2140"/>
    </w:pPr>
  </w:style>
  <w:style w:type="paragraph" w:customStyle="1" w:styleId="aExamsubpar">
    <w:name w:val="aExamsubpar"/>
    <w:basedOn w:val="aExamss"/>
    <w:rsid w:val="0070317C"/>
    <w:pPr>
      <w:ind w:left="2140"/>
    </w:pPr>
  </w:style>
  <w:style w:type="paragraph" w:customStyle="1" w:styleId="aExamNumsubpar">
    <w:name w:val="aExamNumsubpar"/>
    <w:basedOn w:val="aExamsubpar"/>
    <w:rsid w:val="0070317C"/>
    <w:pPr>
      <w:tabs>
        <w:tab w:val="clear" w:pos="1100"/>
        <w:tab w:val="clear" w:pos="2381"/>
        <w:tab w:val="left" w:pos="2569"/>
      </w:tabs>
      <w:ind w:left="2569" w:hanging="403"/>
    </w:pPr>
  </w:style>
  <w:style w:type="paragraph" w:customStyle="1" w:styleId="aExamNumTextsubpar">
    <w:name w:val="aExamNumTextsubpar"/>
    <w:basedOn w:val="aExampar"/>
    <w:rsid w:val="001F3339"/>
    <w:pPr>
      <w:ind w:left="2540"/>
    </w:pPr>
  </w:style>
  <w:style w:type="paragraph" w:customStyle="1" w:styleId="aExamBulletsubpar">
    <w:name w:val="aExamBulletsubpar"/>
    <w:basedOn w:val="aExamsubpar"/>
    <w:rsid w:val="0070317C"/>
    <w:pPr>
      <w:numPr>
        <w:numId w:val="6"/>
      </w:numPr>
      <w:tabs>
        <w:tab w:val="clear" w:pos="1100"/>
        <w:tab w:val="clear" w:pos="2381"/>
        <w:tab w:val="left" w:pos="2569"/>
      </w:tabs>
      <w:ind w:left="2569" w:hanging="403"/>
    </w:pPr>
  </w:style>
  <w:style w:type="paragraph" w:customStyle="1" w:styleId="aNoteTextss">
    <w:name w:val="aNoteTextss"/>
    <w:basedOn w:val="Normal"/>
    <w:rsid w:val="0070317C"/>
    <w:pPr>
      <w:spacing w:before="60"/>
      <w:ind w:left="1900"/>
      <w:jc w:val="both"/>
    </w:pPr>
    <w:rPr>
      <w:sz w:val="20"/>
    </w:rPr>
  </w:style>
  <w:style w:type="paragraph" w:customStyle="1" w:styleId="aNoteParass">
    <w:name w:val="aNoteParass"/>
    <w:basedOn w:val="Normal"/>
    <w:rsid w:val="0070317C"/>
    <w:pPr>
      <w:tabs>
        <w:tab w:val="right" w:pos="2140"/>
        <w:tab w:val="left" w:pos="2400"/>
      </w:tabs>
      <w:spacing w:before="60"/>
      <w:ind w:left="2400" w:hanging="1300"/>
      <w:jc w:val="both"/>
    </w:pPr>
    <w:rPr>
      <w:sz w:val="20"/>
    </w:rPr>
  </w:style>
  <w:style w:type="paragraph" w:customStyle="1" w:styleId="aNoteParapar">
    <w:name w:val="aNoteParapar"/>
    <w:basedOn w:val="aNotepar"/>
    <w:rsid w:val="0070317C"/>
    <w:pPr>
      <w:tabs>
        <w:tab w:val="right" w:pos="2640"/>
      </w:tabs>
      <w:spacing w:before="60"/>
      <w:ind w:left="2920" w:hanging="1320"/>
    </w:pPr>
  </w:style>
  <w:style w:type="paragraph" w:customStyle="1" w:styleId="aNotesubpar">
    <w:name w:val="aNotesubpar"/>
    <w:basedOn w:val="BillBasic"/>
    <w:next w:val="Normal"/>
    <w:rsid w:val="0070317C"/>
    <w:pPr>
      <w:ind w:left="2940" w:hanging="800"/>
    </w:pPr>
    <w:rPr>
      <w:sz w:val="20"/>
    </w:rPr>
  </w:style>
  <w:style w:type="paragraph" w:customStyle="1" w:styleId="aNoteTextsubpar">
    <w:name w:val="aNoteTextsubpar"/>
    <w:basedOn w:val="aNotesubpar"/>
    <w:rsid w:val="0070317C"/>
    <w:pPr>
      <w:spacing w:before="60"/>
      <w:ind w:firstLine="0"/>
    </w:pPr>
  </w:style>
  <w:style w:type="paragraph" w:customStyle="1" w:styleId="aNoteParasubpar">
    <w:name w:val="aNoteParasubpar"/>
    <w:basedOn w:val="aNotesubpar"/>
    <w:rsid w:val="001F3339"/>
    <w:pPr>
      <w:tabs>
        <w:tab w:val="right" w:pos="3180"/>
      </w:tabs>
      <w:spacing w:before="60"/>
      <w:ind w:left="3460" w:hanging="1320"/>
    </w:pPr>
  </w:style>
  <w:style w:type="paragraph" w:customStyle="1" w:styleId="aNoteBulletsubpar">
    <w:name w:val="aNoteBulletsubpar"/>
    <w:basedOn w:val="aNotesubpar"/>
    <w:rsid w:val="0070317C"/>
    <w:pPr>
      <w:numPr>
        <w:numId w:val="3"/>
      </w:numPr>
      <w:tabs>
        <w:tab w:val="clear" w:pos="3300"/>
        <w:tab w:val="left" w:pos="3345"/>
      </w:tabs>
      <w:spacing w:before="60"/>
    </w:pPr>
  </w:style>
  <w:style w:type="paragraph" w:customStyle="1" w:styleId="aNoteBulletss">
    <w:name w:val="aNoteBulletss"/>
    <w:basedOn w:val="Normal"/>
    <w:rsid w:val="0070317C"/>
    <w:pPr>
      <w:spacing w:before="60"/>
      <w:ind w:left="2300" w:hanging="400"/>
      <w:jc w:val="both"/>
    </w:pPr>
    <w:rPr>
      <w:sz w:val="20"/>
    </w:rPr>
  </w:style>
  <w:style w:type="paragraph" w:customStyle="1" w:styleId="aNoteBulletpar">
    <w:name w:val="aNoteBulletpar"/>
    <w:basedOn w:val="aNotepar"/>
    <w:rsid w:val="0070317C"/>
    <w:pPr>
      <w:spacing w:before="60"/>
      <w:ind w:left="2800" w:hanging="400"/>
    </w:pPr>
  </w:style>
  <w:style w:type="paragraph" w:customStyle="1" w:styleId="aExplanBullet">
    <w:name w:val="aExplanBullet"/>
    <w:basedOn w:val="Normal"/>
    <w:rsid w:val="0070317C"/>
    <w:pPr>
      <w:spacing w:before="140"/>
      <w:ind w:left="400" w:hanging="400"/>
      <w:jc w:val="both"/>
    </w:pPr>
    <w:rPr>
      <w:snapToGrid w:val="0"/>
      <w:sz w:val="20"/>
    </w:rPr>
  </w:style>
  <w:style w:type="paragraph" w:customStyle="1" w:styleId="AuthLaw">
    <w:name w:val="AuthLaw"/>
    <w:basedOn w:val="BillBasic"/>
    <w:rsid w:val="001F3339"/>
    <w:rPr>
      <w:rFonts w:ascii="Arial" w:hAnsi="Arial"/>
      <w:b/>
      <w:sz w:val="20"/>
    </w:rPr>
  </w:style>
  <w:style w:type="paragraph" w:customStyle="1" w:styleId="aExamNumpar">
    <w:name w:val="aExamNumpar"/>
    <w:basedOn w:val="aExamINumss"/>
    <w:rsid w:val="001F3339"/>
    <w:pPr>
      <w:tabs>
        <w:tab w:val="clear" w:pos="1500"/>
        <w:tab w:val="left" w:pos="2000"/>
      </w:tabs>
      <w:ind w:left="2000"/>
    </w:pPr>
  </w:style>
  <w:style w:type="paragraph" w:customStyle="1" w:styleId="Schsectionheading">
    <w:name w:val="Sch section heading"/>
    <w:basedOn w:val="BillBasic"/>
    <w:next w:val="Amain"/>
    <w:rsid w:val="001F3339"/>
    <w:pPr>
      <w:spacing w:before="240"/>
      <w:jc w:val="left"/>
      <w:outlineLvl w:val="4"/>
    </w:pPr>
    <w:rPr>
      <w:rFonts w:ascii="Arial" w:hAnsi="Arial"/>
      <w:b/>
    </w:rPr>
  </w:style>
  <w:style w:type="paragraph" w:customStyle="1" w:styleId="SchAmain">
    <w:name w:val="Sch A main"/>
    <w:basedOn w:val="Amain"/>
    <w:rsid w:val="0070317C"/>
  </w:style>
  <w:style w:type="paragraph" w:customStyle="1" w:styleId="SchApara">
    <w:name w:val="Sch A para"/>
    <w:basedOn w:val="Apara"/>
    <w:rsid w:val="0070317C"/>
  </w:style>
  <w:style w:type="paragraph" w:customStyle="1" w:styleId="SchAsubpara">
    <w:name w:val="Sch A subpara"/>
    <w:basedOn w:val="Asubpara"/>
    <w:rsid w:val="0070317C"/>
  </w:style>
  <w:style w:type="paragraph" w:customStyle="1" w:styleId="SchAsubsubpara">
    <w:name w:val="Sch A subsubpara"/>
    <w:basedOn w:val="Asubsubpara"/>
    <w:rsid w:val="0070317C"/>
  </w:style>
  <w:style w:type="paragraph" w:customStyle="1" w:styleId="TOCOL1">
    <w:name w:val="TOCOL 1"/>
    <w:basedOn w:val="TOC1"/>
    <w:rsid w:val="0070317C"/>
  </w:style>
  <w:style w:type="paragraph" w:customStyle="1" w:styleId="TOCOL2">
    <w:name w:val="TOCOL 2"/>
    <w:basedOn w:val="TOC2"/>
    <w:rsid w:val="0070317C"/>
    <w:pPr>
      <w:keepNext w:val="0"/>
    </w:pPr>
  </w:style>
  <w:style w:type="paragraph" w:customStyle="1" w:styleId="TOCOL3">
    <w:name w:val="TOCOL 3"/>
    <w:basedOn w:val="TOC3"/>
    <w:rsid w:val="0070317C"/>
    <w:pPr>
      <w:keepNext w:val="0"/>
    </w:pPr>
  </w:style>
  <w:style w:type="paragraph" w:customStyle="1" w:styleId="TOCOL4">
    <w:name w:val="TOCOL 4"/>
    <w:basedOn w:val="TOC4"/>
    <w:rsid w:val="0070317C"/>
    <w:pPr>
      <w:keepNext w:val="0"/>
    </w:pPr>
  </w:style>
  <w:style w:type="paragraph" w:customStyle="1" w:styleId="TOCOL5">
    <w:name w:val="TOCOL 5"/>
    <w:basedOn w:val="TOC5"/>
    <w:rsid w:val="0070317C"/>
    <w:pPr>
      <w:tabs>
        <w:tab w:val="left" w:pos="400"/>
      </w:tabs>
    </w:pPr>
  </w:style>
  <w:style w:type="paragraph" w:customStyle="1" w:styleId="TOCOL6">
    <w:name w:val="TOCOL 6"/>
    <w:basedOn w:val="TOC6"/>
    <w:rsid w:val="0070317C"/>
    <w:pPr>
      <w:keepNext w:val="0"/>
    </w:pPr>
  </w:style>
  <w:style w:type="paragraph" w:customStyle="1" w:styleId="TOCOL7">
    <w:name w:val="TOCOL 7"/>
    <w:basedOn w:val="TOC7"/>
    <w:rsid w:val="0070317C"/>
  </w:style>
  <w:style w:type="paragraph" w:customStyle="1" w:styleId="TOCOL8">
    <w:name w:val="TOCOL 8"/>
    <w:basedOn w:val="TOC8"/>
    <w:rsid w:val="0070317C"/>
  </w:style>
  <w:style w:type="paragraph" w:customStyle="1" w:styleId="TOCOL9">
    <w:name w:val="TOCOL 9"/>
    <w:basedOn w:val="TOC9"/>
    <w:rsid w:val="0070317C"/>
    <w:pPr>
      <w:ind w:right="0"/>
    </w:pPr>
  </w:style>
  <w:style w:type="paragraph" w:styleId="TOC9">
    <w:name w:val="toc 9"/>
    <w:basedOn w:val="Normal"/>
    <w:next w:val="Normal"/>
    <w:autoRedefine/>
    <w:rsid w:val="0070317C"/>
    <w:pPr>
      <w:ind w:left="1920" w:right="600"/>
    </w:pPr>
  </w:style>
  <w:style w:type="paragraph" w:customStyle="1" w:styleId="Billname1">
    <w:name w:val="Billname1"/>
    <w:basedOn w:val="Normal"/>
    <w:rsid w:val="0070317C"/>
    <w:pPr>
      <w:tabs>
        <w:tab w:val="left" w:pos="2400"/>
      </w:tabs>
      <w:spacing w:before="1220"/>
    </w:pPr>
    <w:rPr>
      <w:rFonts w:ascii="Arial" w:hAnsi="Arial"/>
      <w:b/>
      <w:sz w:val="40"/>
    </w:rPr>
  </w:style>
  <w:style w:type="paragraph" w:customStyle="1" w:styleId="TableText10">
    <w:name w:val="TableText10"/>
    <w:basedOn w:val="TableText"/>
    <w:rsid w:val="0070317C"/>
    <w:rPr>
      <w:sz w:val="20"/>
    </w:rPr>
  </w:style>
  <w:style w:type="paragraph" w:customStyle="1" w:styleId="TablePara10">
    <w:name w:val="TablePara10"/>
    <w:basedOn w:val="tablepara"/>
    <w:rsid w:val="0070317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0317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0317C"/>
  </w:style>
  <w:style w:type="character" w:customStyle="1" w:styleId="charPage">
    <w:name w:val="charPage"/>
    <w:basedOn w:val="DefaultParagraphFont"/>
    <w:rsid w:val="0070317C"/>
  </w:style>
  <w:style w:type="character" w:styleId="PageNumber">
    <w:name w:val="page number"/>
    <w:basedOn w:val="DefaultParagraphFont"/>
    <w:rsid w:val="0070317C"/>
  </w:style>
  <w:style w:type="paragraph" w:customStyle="1" w:styleId="Letterhead">
    <w:name w:val="Letterhead"/>
    <w:rsid w:val="001F3339"/>
    <w:pPr>
      <w:widowControl w:val="0"/>
      <w:spacing w:after="180"/>
      <w:jc w:val="right"/>
    </w:pPr>
    <w:rPr>
      <w:rFonts w:ascii="Arial" w:hAnsi="Arial"/>
      <w:sz w:val="32"/>
      <w:lang w:eastAsia="en-US"/>
    </w:rPr>
  </w:style>
  <w:style w:type="paragraph" w:customStyle="1" w:styleId="IShadedschclause0">
    <w:name w:val="I Shaded sch clause"/>
    <w:basedOn w:val="IH5Sec"/>
    <w:rsid w:val="001F3339"/>
    <w:pPr>
      <w:shd w:val="pct15" w:color="auto" w:fill="FFFFFF"/>
      <w:tabs>
        <w:tab w:val="clear" w:pos="1100"/>
        <w:tab w:val="left" w:pos="700"/>
      </w:tabs>
      <w:ind w:left="700" w:hanging="700"/>
    </w:pPr>
  </w:style>
  <w:style w:type="paragraph" w:customStyle="1" w:styleId="Billfooter">
    <w:name w:val="Billfooter"/>
    <w:basedOn w:val="Normal"/>
    <w:rsid w:val="001F3339"/>
    <w:pPr>
      <w:tabs>
        <w:tab w:val="right" w:pos="7200"/>
      </w:tabs>
      <w:jc w:val="both"/>
    </w:pPr>
    <w:rPr>
      <w:sz w:val="18"/>
    </w:rPr>
  </w:style>
  <w:style w:type="paragraph" w:styleId="BalloonText">
    <w:name w:val="Balloon Text"/>
    <w:basedOn w:val="Normal"/>
    <w:link w:val="BalloonTextChar"/>
    <w:uiPriority w:val="99"/>
    <w:unhideWhenUsed/>
    <w:rsid w:val="0070317C"/>
    <w:rPr>
      <w:rFonts w:ascii="Tahoma" w:hAnsi="Tahoma" w:cs="Tahoma"/>
      <w:sz w:val="16"/>
      <w:szCs w:val="16"/>
    </w:rPr>
  </w:style>
  <w:style w:type="character" w:customStyle="1" w:styleId="BalloonTextChar">
    <w:name w:val="Balloon Text Char"/>
    <w:basedOn w:val="DefaultParagraphFont"/>
    <w:link w:val="BalloonText"/>
    <w:uiPriority w:val="99"/>
    <w:rsid w:val="0070317C"/>
    <w:rPr>
      <w:rFonts w:ascii="Tahoma" w:hAnsi="Tahoma" w:cs="Tahoma"/>
      <w:sz w:val="16"/>
      <w:szCs w:val="16"/>
      <w:lang w:eastAsia="en-US"/>
    </w:rPr>
  </w:style>
  <w:style w:type="paragraph" w:customStyle="1" w:styleId="00AssAm">
    <w:name w:val="00AssAm"/>
    <w:basedOn w:val="00SigningPage"/>
    <w:rsid w:val="001F3339"/>
  </w:style>
  <w:style w:type="character" w:customStyle="1" w:styleId="FooterChar">
    <w:name w:val="Footer Char"/>
    <w:basedOn w:val="DefaultParagraphFont"/>
    <w:link w:val="Footer"/>
    <w:rsid w:val="0070317C"/>
    <w:rPr>
      <w:rFonts w:ascii="Arial" w:hAnsi="Arial"/>
      <w:sz w:val="18"/>
      <w:lang w:eastAsia="en-US"/>
    </w:rPr>
  </w:style>
  <w:style w:type="character" w:customStyle="1" w:styleId="HeaderChar">
    <w:name w:val="Header Char"/>
    <w:basedOn w:val="DefaultParagraphFont"/>
    <w:link w:val="Header"/>
    <w:rsid w:val="001F3339"/>
    <w:rPr>
      <w:sz w:val="24"/>
      <w:lang w:eastAsia="en-US"/>
    </w:rPr>
  </w:style>
  <w:style w:type="paragraph" w:customStyle="1" w:styleId="01aPreamble">
    <w:name w:val="01aPreamble"/>
    <w:basedOn w:val="Normal"/>
    <w:qFormat/>
    <w:rsid w:val="0070317C"/>
  </w:style>
  <w:style w:type="paragraph" w:customStyle="1" w:styleId="TableBullet">
    <w:name w:val="TableBullet"/>
    <w:basedOn w:val="TableText10"/>
    <w:qFormat/>
    <w:rsid w:val="0070317C"/>
    <w:pPr>
      <w:numPr>
        <w:numId w:val="4"/>
      </w:numPr>
    </w:pPr>
  </w:style>
  <w:style w:type="paragraph" w:customStyle="1" w:styleId="BillCrest">
    <w:name w:val="Bill Crest"/>
    <w:basedOn w:val="Normal"/>
    <w:next w:val="Normal"/>
    <w:rsid w:val="0070317C"/>
    <w:pPr>
      <w:tabs>
        <w:tab w:val="center" w:pos="3160"/>
      </w:tabs>
      <w:spacing w:after="60"/>
    </w:pPr>
    <w:rPr>
      <w:sz w:val="216"/>
    </w:rPr>
  </w:style>
  <w:style w:type="paragraph" w:customStyle="1" w:styleId="BillNo">
    <w:name w:val="BillNo"/>
    <w:basedOn w:val="BillBasicHeading"/>
    <w:rsid w:val="0070317C"/>
    <w:pPr>
      <w:keepNext w:val="0"/>
      <w:spacing w:before="240"/>
      <w:jc w:val="both"/>
    </w:pPr>
  </w:style>
  <w:style w:type="paragraph" w:customStyle="1" w:styleId="aNoteBulletann">
    <w:name w:val="aNoteBulletann"/>
    <w:basedOn w:val="aNotess"/>
    <w:rsid w:val="001F3339"/>
    <w:pPr>
      <w:tabs>
        <w:tab w:val="left" w:pos="2200"/>
      </w:tabs>
      <w:spacing w:before="0"/>
      <w:ind w:left="0" w:firstLine="0"/>
    </w:pPr>
  </w:style>
  <w:style w:type="paragraph" w:customStyle="1" w:styleId="aNoteBulletparann">
    <w:name w:val="aNoteBulletparann"/>
    <w:basedOn w:val="aNotepar"/>
    <w:rsid w:val="001F3339"/>
    <w:pPr>
      <w:tabs>
        <w:tab w:val="left" w:pos="2700"/>
      </w:tabs>
      <w:spacing w:before="0"/>
      <w:ind w:left="0" w:firstLine="0"/>
    </w:pPr>
  </w:style>
  <w:style w:type="paragraph" w:customStyle="1" w:styleId="TableNumbered">
    <w:name w:val="TableNumbered"/>
    <w:basedOn w:val="TableText10"/>
    <w:qFormat/>
    <w:rsid w:val="0070317C"/>
    <w:pPr>
      <w:numPr>
        <w:numId w:val="5"/>
      </w:numPr>
    </w:pPr>
  </w:style>
  <w:style w:type="paragraph" w:customStyle="1" w:styleId="ISchMain">
    <w:name w:val="I Sch Main"/>
    <w:basedOn w:val="BillBasic"/>
    <w:rsid w:val="0070317C"/>
    <w:pPr>
      <w:tabs>
        <w:tab w:val="right" w:pos="900"/>
        <w:tab w:val="left" w:pos="1100"/>
      </w:tabs>
      <w:ind w:left="1100" w:hanging="1100"/>
    </w:pPr>
  </w:style>
  <w:style w:type="paragraph" w:customStyle="1" w:styleId="ISchpara">
    <w:name w:val="I Sch para"/>
    <w:basedOn w:val="BillBasic"/>
    <w:rsid w:val="0070317C"/>
    <w:pPr>
      <w:tabs>
        <w:tab w:val="right" w:pos="1400"/>
        <w:tab w:val="left" w:pos="1600"/>
      </w:tabs>
      <w:ind w:left="1600" w:hanging="1600"/>
    </w:pPr>
  </w:style>
  <w:style w:type="paragraph" w:customStyle="1" w:styleId="ISchsubpara">
    <w:name w:val="I Sch subpara"/>
    <w:basedOn w:val="BillBasic"/>
    <w:rsid w:val="0070317C"/>
    <w:pPr>
      <w:tabs>
        <w:tab w:val="right" w:pos="1940"/>
        <w:tab w:val="left" w:pos="2140"/>
      </w:tabs>
      <w:ind w:left="2140" w:hanging="2140"/>
    </w:pPr>
  </w:style>
  <w:style w:type="paragraph" w:customStyle="1" w:styleId="ISchsubsubpara">
    <w:name w:val="I Sch subsubpara"/>
    <w:basedOn w:val="BillBasic"/>
    <w:rsid w:val="0070317C"/>
    <w:pPr>
      <w:tabs>
        <w:tab w:val="right" w:pos="2460"/>
        <w:tab w:val="left" w:pos="2660"/>
      </w:tabs>
      <w:ind w:left="2660" w:hanging="2660"/>
    </w:pPr>
  </w:style>
  <w:style w:type="character" w:customStyle="1" w:styleId="aNoteChar">
    <w:name w:val="aNote Char"/>
    <w:basedOn w:val="DefaultParagraphFont"/>
    <w:link w:val="aNote"/>
    <w:locked/>
    <w:rsid w:val="0070317C"/>
    <w:rPr>
      <w:lang w:eastAsia="en-US"/>
    </w:rPr>
  </w:style>
  <w:style w:type="character" w:customStyle="1" w:styleId="charCitHyperlinkAbbrev">
    <w:name w:val="charCitHyperlinkAbbrev"/>
    <w:basedOn w:val="Hyperlink"/>
    <w:uiPriority w:val="1"/>
    <w:rsid w:val="0070317C"/>
    <w:rPr>
      <w:color w:val="0000FF" w:themeColor="hyperlink"/>
      <w:u w:val="none"/>
    </w:rPr>
  </w:style>
  <w:style w:type="character" w:styleId="Hyperlink">
    <w:name w:val="Hyperlink"/>
    <w:basedOn w:val="DefaultParagraphFont"/>
    <w:uiPriority w:val="99"/>
    <w:unhideWhenUsed/>
    <w:rsid w:val="0070317C"/>
    <w:rPr>
      <w:color w:val="0000FF" w:themeColor="hyperlink"/>
      <w:u w:val="single"/>
    </w:rPr>
  </w:style>
  <w:style w:type="character" w:customStyle="1" w:styleId="charCitHyperlinkItal">
    <w:name w:val="charCitHyperlinkItal"/>
    <w:basedOn w:val="Hyperlink"/>
    <w:uiPriority w:val="1"/>
    <w:rsid w:val="0070317C"/>
    <w:rPr>
      <w:i/>
      <w:color w:val="0000FF" w:themeColor="hyperlink"/>
      <w:u w:val="none"/>
    </w:rPr>
  </w:style>
  <w:style w:type="character" w:customStyle="1" w:styleId="AH5SecChar">
    <w:name w:val="A H5 Sec Char"/>
    <w:basedOn w:val="DefaultParagraphFont"/>
    <w:link w:val="AH5Sec"/>
    <w:locked/>
    <w:rsid w:val="001F3339"/>
    <w:rPr>
      <w:rFonts w:ascii="Arial" w:hAnsi="Arial"/>
      <w:b/>
      <w:sz w:val="24"/>
      <w:lang w:eastAsia="en-US"/>
    </w:rPr>
  </w:style>
  <w:style w:type="character" w:customStyle="1" w:styleId="BillBasicChar">
    <w:name w:val="BillBasic Char"/>
    <w:basedOn w:val="DefaultParagraphFont"/>
    <w:link w:val="BillBasic"/>
    <w:locked/>
    <w:rsid w:val="001F3339"/>
    <w:rPr>
      <w:sz w:val="24"/>
      <w:lang w:eastAsia="en-US"/>
    </w:rPr>
  </w:style>
  <w:style w:type="paragraph" w:customStyle="1" w:styleId="Status">
    <w:name w:val="Status"/>
    <w:basedOn w:val="Normal"/>
    <w:rsid w:val="0070317C"/>
    <w:pPr>
      <w:spacing w:before="280"/>
      <w:jc w:val="center"/>
    </w:pPr>
    <w:rPr>
      <w:rFonts w:ascii="Arial" w:hAnsi="Arial"/>
      <w:sz w:val="14"/>
    </w:rPr>
  </w:style>
  <w:style w:type="paragraph" w:customStyle="1" w:styleId="FooterInfoCentre">
    <w:name w:val="FooterInfoCentre"/>
    <w:basedOn w:val="FooterInfo"/>
    <w:rsid w:val="0070317C"/>
    <w:pPr>
      <w:spacing w:before="60"/>
      <w:jc w:val="center"/>
    </w:pPr>
  </w:style>
  <w:style w:type="character" w:customStyle="1" w:styleId="aDefChar">
    <w:name w:val="aDef Char"/>
    <w:basedOn w:val="DefaultParagraphFont"/>
    <w:link w:val="aDef"/>
    <w:locked/>
    <w:rsid w:val="003517F2"/>
    <w:rPr>
      <w:sz w:val="24"/>
      <w:lang w:eastAsia="en-US"/>
    </w:rPr>
  </w:style>
  <w:style w:type="character" w:styleId="UnresolvedMention">
    <w:name w:val="Unresolved Mention"/>
    <w:basedOn w:val="DefaultParagraphFont"/>
    <w:uiPriority w:val="99"/>
    <w:semiHidden/>
    <w:unhideWhenUsed/>
    <w:rsid w:val="00903A5E"/>
    <w:rPr>
      <w:color w:val="605E5C"/>
      <w:shd w:val="clear" w:color="auto" w:fill="E1DFDD"/>
    </w:rPr>
  </w:style>
  <w:style w:type="character" w:customStyle="1" w:styleId="AmainreturnChar">
    <w:name w:val="A main return Char"/>
    <w:basedOn w:val="DefaultParagraphFont"/>
    <w:link w:val="Amainreturn"/>
    <w:locked/>
    <w:rsid w:val="005F56E5"/>
    <w:rPr>
      <w:sz w:val="24"/>
      <w:lang w:eastAsia="en-US"/>
    </w:rPr>
  </w:style>
  <w:style w:type="paragraph" w:styleId="Index2">
    <w:name w:val="index 2"/>
    <w:basedOn w:val="Normal"/>
    <w:next w:val="Normal"/>
    <w:semiHidden/>
    <w:rsid w:val="00F44897"/>
    <w:pPr>
      <w:spacing w:before="80" w:after="60"/>
      <w:ind w:left="480" w:hanging="240"/>
      <w:jc w:val="both"/>
    </w:pPr>
  </w:style>
  <w:style w:type="paragraph" w:styleId="Index3">
    <w:name w:val="index 3"/>
    <w:basedOn w:val="Normal"/>
    <w:next w:val="Normal"/>
    <w:autoRedefine/>
    <w:semiHidden/>
    <w:unhideWhenUsed/>
    <w:rsid w:val="00D6690B"/>
    <w:pPr>
      <w:ind w:left="720" w:hanging="240"/>
    </w:pPr>
  </w:style>
  <w:style w:type="paragraph" w:styleId="ListNumber5">
    <w:name w:val="List Number 5"/>
    <w:basedOn w:val="Normal"/>
    <w:rsid w:val="005F782D"/>
    <w:pPr>
      <w:tabs>
        <w:tab w:val="num" w:pos="1492"/>
      </w:tabs>
      <w:spacing w:before="80" w:after="60"/>
      <w:ind w:left="1492" w:hanging="360"/>
      <w:jc w:val="both"/>
    </w:pPr>
  </w:style>
  <w:style w:type="character" w:customStyle="1" w:styleId="frag-defterm">
    <w:name w:val="frag-defterm"/>
    <w:basedOn w:val="DefaultParagraphFont"/>
    <w:rsid w:val="004216A2"/>
  </w:style>
  <w:style w:type="paragraph" w:customStyle="1" w:styleId="00Spine">
    <w:name w:val="00Spine"/>
    <w:basedOn w:val="Normal"/>
    <w:rsid w:val="0070317C"/>
  </w:style>
  <w:style w:type="paragraph" w:customStyle="1" w:styleId="05Endnote0">
    <w:name w:val="05Endnote"/>
    <w:basedOn w:val="Normal"/>
    <w:rsid w:val="0070317C"/>
  </w:style>
  <w:style w:type="paragraph" w:customStyle="1" w:styleId="06Copyright">
    <w:name w:val="06Copyright"/>
    <w:basedOn w:val="Normal"/>
    <w:rsid w:val="0070317C"/>
  </w:style>
  <w:style w:type="paragraph" w:customStyle="1" w:styleId="RepubNo">
    <w:name w:val="RepubNo"/>
    <w:basedOn w:val="BillBasicHeading"/>
    <w:rsid w:val="0070317C"/>
    <w:pPr>
      <w:keepNext w:val="0"/>
      <w:spacing w:before="600"/>
      <w:jc w:val="both"/>
    </w:pPr>
    <w:rPr>
      <w:sz w:val="26"/>
    </w:rPr>
  </w:style>
  <w:style w:type="paragraph" w:customStyle="1" w:styleId="EffectiveDate">
    <w:name w:val="EffectiveDate"/>
    <w:basedOn w:val="Normal"/>
    <w:rsid w:val="0070317C"/>
    <w:pPr>
      <w:spacing w:before="120"/>
    </w:pPr>
    <w:rPr>
      <w:rFonts w:ascii="Arial" w:hAnsi="Arial"/>
      <w:b/>
      <w:sz w:val="26"/>
    </w:rPr>
  </w:style>
  <w:style w:type="paragraph" w:customStyle="1" w:styleId="CoverInForce">
    <w:name w:val="CoverInForce"/>
    <w:basedOn w:val="BillBasicHeading"/>
    <w:rsid w:val="0070317C"/>
    <w:pPr>
      <w:keepNext w:val="0"/>
      <w:spacing w:before="400"/>
    </w:pPr>
    <w:rPr>
      <w:b w:val="0"/>
    </w:rPr>
  </w:style>
  <w:style w:type="paragraph" w:customStyle="1" w:styleId="CoverHeading">
    <w:name w:val="CoverHeading"/>
    <w:basedOn w:val="Normal"/>
    <w:rsid w:val="0070317C"/>
    <w:rPr>
      <w:rFonts w:ascii="Arial" w:hAnsi="Arial"/>
      <w:b/>
    </w:rPr>
  </w:style>
  <w:style w:type="paragraph" w:customStyle="1" w:styleId="CoverSubHdg">
    <w:name w:val="CoverSubHdg"/>
    <w:basedOn w:val="CoverHeading"/>
    <w:rsid w:val="0070317C"/>
    <w:pPr>
      <w:spacing w:before="120"/>
    </w:pPr>
    <w:rPr>
      <w:sz w:val="20"/>
    </w:rPr>
  </w:style>
  <w:style w:type="paragraph" w:customStyle="1" w:styleId="CoverActName">
    <w:name w:val="CoverActName"/>
    <w:basedOn w:val="BillBasicHeading"/>
    <w:rsid w:val="0070317C"/>
    <w:pPr>
      <w:keepNext w:val="0"/>
      <w:spacing w:before="260"/>
    </w:pPr>
  </w:style>
  <w:style w:type="paragraph" w:customStyle="1" w:styleId="CoverText">
    <w:name w:val="CoverText"/>
    <w:basedOn w:val="Normal"/>
    <w:uiPriority w:val="99"/>
    <w:rsid w:val="0070317C"/>
    <w:pPr>
      <w:spacing w:before="100"/>
      <w:jc w:val="both"/>
    </w:pPr>
    <w:rPr>
      <w:sz w:val="20"/>
    </w:rPr>
  </w:style>
  <w:style w:type="paragraph" w:customStyle="1" w:styleId="CoverTextPara">
    <w:name w:val="CoverTextPara"/>
    <w:basedOn w:val="CoverText"/>
    <w:rsid w:val="0070317C"/>
    <w:pPr>
      <w:tabs>
        <w:tab w:val="right" w:pos="600"/>
        <w:tab w:val="left" w:pos="840"/>
      </w:tabs>
      <w:ind w:left="840" w:hanging="840"/>
    </w:pPr>
  </w:style>
  <w:style w:type="paragraph" w:customStyle="1" w:styleId="AH1ChapterSymb">
    <w:name w:val="A H1 Chapter Symb"/>
    <w:basedOn w:val="AH1Chapter"/>
    <w:next w:val="AH2Part"/>
    <w:rsid w:val="0070317C"/>
    <w:pPr>
      <w:tabs>
        <w:tab w:val="clear" w:pos="2600"/>
        <w:tab w:val="left" w:pos="0"/>
      </w:tabs>
      <w:ind w:left="2480" w:hanging="2960"/>
    </w:pPr>
  </w:style>
  <w:style w:type="paragraph" w:customStyle="1" w:styleId="AH2PartSymb">
    <w:name w:val="A H2 Part Symb"/>
    <w:basedOn w:val="AH2Part"/>
    <w:next w:val="AH3Div"/>
    <w:rsid w:val="0070317C"/>
    <w:pPr>
      <w:tabs>
        <w:tab w:val="clear" w:pos="2600"/>
        <w:tab w:val="left" w:pos="0"/>
      </w:tabs>
      <w:ind w:left="2480" w:hanging="2960"/>
    </w:pPr>
  </w:style>
  <w:style w:type="paragraph" w:customStyle="1" w:styleId="AH3DivSymb">
    <w:name w:val="A H3 Div Symb"/>
    <w:basedOn w:val="AH3Div"/>
    <w:next w:val="AH5Sec"/>
    <w:rsid w:val="0070317C"/>
    <w:pPr>
      <w:tabs>
        <w:tab w:val="clear" w:pos="2600"/>
        <w:tab w:val="left" w:pos="0"/>
      </w:tabs>
      <w:ind w:left="2480" w:hanging="2960"/>
    </w:pPr>
  </w:style>
  <w:style w:type="paragraph" w:customStyle="1" w:styleId="AH4SubDivSymb">
    <w:name w:val="A H4 SubDiv Symb"/>
    <w:basedOn w:val="AH4SubDiv"/>
    <w:next w:val="AH5Sec"/>
    <w:rsid w:val="0070317C"/>
    <w:pPr>
      <w:tabs>
        <w:tab w:val="clear" w:pos="2600"/>
        <w:tab w:val="left" w:pos="0"/>
      </w:tabs>
      <w:ind w:left="2480" w:hanging="2960"/>
    </w:pPr>
  </w:style>
  <w:style w:type="paragraph" w:customStyle="1" w:styleId="AH5SecSymb">
    <w:name w:val="A H5 Sec Symb"/>
    <w:basedOn w:val="AH5Sec"/>
    <w:next w:val="Amain"/>
    <w:rsid w:val="0070317C"/>
    <w:pPr>
      <w:tabs>
        <w:tab w:val="clear" w:pos="1100"/>
        <w:tab w:val="left" w:pos="0"/>
      </w:tabs>
      <w:ind w:hanging="1580"/>
    </w:pPr>
  </w:style>
  <w:style w:type="paragraph" w:customStyle="1" w:styleId="AmainSymb">
    <w:name w:val="A main Symb"/>
    <w:basedOn w:val="Amain"/>
    <w:rsid w:val="0070317C"/>
    <w:pPr>
      <w:tabs>
        <w:tab w:val="left" w:pos="0"/>
      </w:tabs>
      <w:ind w:left="1120" w:hanging="1600"/>
    </w:pPr>
  </w:style>
  <w:style w:type="paragraph" w:customStyle="1" w:styleId="AparaSymb">
    <w:name w:val="A para Symb"/>
    <w:basedOn w:val="Apara"/>
    <w:rsid w:val="0070317C"/>
    <w:pPr>
      <w:tabs>
        <w:tab w:val="right" w:pos="0"/>
      </w:tabs>
      <w:ind w:hanging="2080"/>
    </w:pPr>
  </w:style>
  <w:style w:type="paragraph" w:customStyle="1" w:styleId="Assectheading">
    <w:name w:val="A ssect heading"/>
    <w:basedOn w:val="Amain"/>
    <w:rsid w:val="0070317C"/>
    <w:pPr>
      <w:keepNext/>
      <w:tabs>
        <w:tab w:val="clear" w:pos="900"/>
        <w:tab w:val="clear" w:pos="1100"/>
      </w:tabs>
      <w:spacing w:before="300"/>
      <w:ind w:left="0" w:firstLine="0"/>
      <w:outlineLvl w:val="9"/>
    </w:pPr>
    <w:rPr>
      <w:i/>
    </w:rPr>
  </w:style>
  <w:style w:type="paragraph" w:customStyle="1" w:styleId="AsubparaSymb">
    <w:name w:val="A subpara Symb"/>
    <w:basedOn w:val="Asubpara"/>
    <w:rsid w:val="0070317C"/>
    <w:pPr>
      <w:tabs>
        <w:tab w:val="left" w:pos="0"/>
      </w:tabs>
      <w:ind w:left="2098" w:hanging="2580"/>
    </w:pPr>
  </w:style>
  <w:style w:type="paragraph" w:customStyle="1" w:styleId="Actdetails">
    <w:name w:val="Act details"/>
    <w:basedOn w:val="Normal"/>
    <w:rsid w:val="0070317C"/>
    <w:pPr>
      <w:spacing w:before="20"/>
      <w:ind w:left="1400"/>
    </w:pPr>
    <w:rPr>
      <w:rFonts w:ascii="Arial" w:hAnsi="Arial"/>
      <w:sz w:val="20"/>
    </w:rPr>
  </w:style>
  <w:style w:type="paragraph" w:customStyle="1" w:styleId="AmdtsEntriesDefL2">
    <w:name w:val="AmdtsEntriesDefL2"/>
    <w:basedOn w:val="Normal"/>
    <w:rsid w:val="0070317C"/>
    <w:pPr>
      <w:tabs>
        <w:tab w:val="left" w:pos="3000"/>
      </w:tabs>
      <w:ind w:left="3100" w:hanging="2000"/>
    </w:pPr>
    <w:rPr>
      <w:rFonts w:ascii="Arial" w:hAnsi="Arial"/>
      <w:sz w:val="18"/>
    </w:rPr>
  </w:style>
  <w:style w:type="paragraph" w:customStyle="1" w:styleId="AmdtsEntries">
    <w:name w:val="AmdtsEntries"/>
    <w:basedOn w:val="BillBasicHeading"/>
    <w:rsid w:val="0070317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0317C"/>
    <w:pPr>
      <w:tabs>
        <w:tab w:val="clear" w:pos="2600"/>
      </w:tabs>
      <w:spacing w:before="120"/>
      <w:ind w:left="1100"/>
    </w:pPr>
    <w:rPr>
      <w:sz w:val="18"/>
    </w:rPr>
  </w:style>
  <w:style w:type="paragraph" w:customStyle="1" w:styleId="Asamby">
    <w:name w:val="As am by"/>
    <w:basedOn w:val="Normal"/>
    <w:next w:val="Normal"/>
    <w:rsid w:val="0070317C"/>
    <w:pPr>
      <w:spacing w:before="240"/>
      <w:ind w:left="1100"/>
    </w:pPr>
    <w:rPr>
      <w:rFonts w:ascii="Arial" w:hAnsi="Arial"/>
      <w:sz w:val="20"/>
    </w:rPr>
  </w:style>
  <w:style w:type="character" w:customStyle="1" w:styleId="charSymb">
    <w:name w:val="charSymb"/>
    <w:basedOn w:val="DefaultParagraphFont"/>
    <w:rsid w:val="0070317C"/>
    <w:rPr>
      <w:rFonts w:ascii="Arial" w:hAnsi="Arial"/>
      <w:sz w:val="24"/>
      <w:bdr w:val="single" w:sz="4" w:space="0" w:color="auto"/>
    </w:rPr>
  </w:style>
  <w:style w:type="character" w:customStyle="1" w:styleId="charTableNo">
    <w:name w:val="charTableNo"/>
    <w:basedOn w:val="DefaultParagraphFont"/>
    <w:rsid w:val="0070317C"/>
  </w:style>
  <w:style w:type="character" w:customStyle="1" w:styleId="charTableText">
    <w:name w:val="charTableText"/>
    <w:basedOn w:val="DefaultParagraphFont"/>
    <w:rsid w:val="0070317C"/>
  </w:style>
  <w:style w:type="paragraph" w:customStyle="1" w:styleId="Dict-HeadingSymb">
    <w:name w:val="Dict-Heading Symb"/>
    <w:basedOn w:val="Dict-Heading"/>
    <w:rsid w:val="0070317C"/>
    <w:pPr>
      <w:tabs>
        <w:tab w:val="left" w:pos="0"/>
      </w:tabs>
      <w:ind w:left="2480" w:hanging="2960"/>
    </w:pPr>
  </w:style>
  <w:style w:type="paragraph" w:customStyle="1" w:styleId="EarlierRepubEntries">
    <w:name w:val="EarlierRepubEntries"/>
    <w:basedOn w:val="Normal"/>
    <w:rsid w:val="0070317C"/>
    <w:pPr>
      <w:spacing w:before="60" w:after="60"/>
    </w:pPr>
    <w:rPr>
      <w:rFonts w:ascii="Arial" w:hAnsi="Arial"/>
      <w:sz w:val="18"/>
    </w:rPr>
  </w:style>
  <w:style w:type="paragraph" w:customStyle="1" w:styleId="EarlierRepubHdg">
    <w:name w:val="EarlierRepubHdg"/>
    <w:basedOn w:val="Normal"/>
    <w:rsid w:val="0070317C"/>
    <w:pPr>
      <w:keepNext/>
    </w:pPr>
    <w:rPr>
      <w:rFonts w:ascii="Arial" w:hAnsi="Arial"/>
      <w:b/>
      <w:sz w:val="20"/>
    </w:rPr>
  </w:style>
  <w:style w:type="paragraph" w:customStyle="1" w:styleId="Endnote20">
    <w:name w:val="Endnote2"/>
    <w:basedOn w:val="Normal"/>
    <w:rsid w:val="0070317C"/>
    <w:pPr>
      <w:keepNext/>
      <w:tabs>
        <w:tab w:val="left" w:pos="1100"/>
      </w:tabs>
      <w:spacing w:before="360"/>
    </w:pPr>
    <w:rPr>
      <w:rFonts w:ascii="Arial" w:hAnsi="Arial"/>
      <w:b/>
    </w:rPr>
  </w:style>
  <w:style w:type="paragraph" w:customStyle="1" w:styleId="Endnote3">
    <w:name w:val="Endnote3"/>
    <w:basedOn w:val="Normal"/>
    <w:rsid w:val="0070317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0317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0317C"/>
    <w:pPr>
      <w:spacing w:before="60"/>
      <w:ind w:left="1100"/>
      <w:jc w:val="both"/>
    </w:pPr>
    <w:rPr>
      <w:sz w:val="20"/>
    </w:rPr>
  </w:style>
  <w:style w:type="paragraph" w:customStyle="1" w:styleId="EndNoteParas">
    <w:name w:val="EndNoteParas"/>
    <w:basedOn w:val="EndNoteTextEPS"/>
    <w:rsid w:val="0070317C"/>
    <w:pPr>
      <w:tabs>
        <w:tab w:val="right" w:pos="1432"/>
      </w:tabs>
      <w:ind w:left="1840" w:hanging="1840"/>
    </w:pPr>
  </w:style>
  <w:style w:type="paragraph" w:customStyle="1" w:styleId="EndnotesAbbrev">
    <w:name w:val="EndnotesAbbrev"/>
    <w:basedOn w:val="Normal"/>
    <w:rsid w:val="0070317C"/>
    <w:pPr>
      <w:spacing w:before="20"/>
    </w:pPr>
    <w:rPr>
      <w:rFonts w:ascii="Arial" w:hAnsi="Arial"/>
      <w:color w:val="000000"/>
      <w:sz w:val="16"/>
    </w:rPr>
  </w:style>
  <w:style w:type="paragraph" w:customStyle="1" w:styleId="EPSCoverTop">
    <w:name w:val="EPSCoverTop"/>
    <w:basedOn w:val="Normal"/>
    <w:rsid w:val="0070317C"/>
    <w:pPr>
      <w:jc w:val="right"/>
    </w:pPr>
    <w:rPr>
      <w:rFonts w:ascii="Arial" w:hAnsi="Arial"/>
      <w:sz w:val="20"/>
    </w:rPr>
  </w:style>
  <w:style w:type="paragraph" w:customStyle="1" w:styleId="LegHistNote">
    <w:name w:val="LegHistNote"/>
    <w:basedOn w:val="Actdetails"/>
    <w:rsid w:val="0070317C"/>
    <w:pPr>
      <w:spacing w:before="60"/>
      <w:ind w:left="2700" w:right="-60" w:hanging="1300"/>
    </w:pPr>
    <w:rPr>
      <w:sz w:val="18"/>
    </w:rPr>
  </w:style>
  <w:style w:type="paragraph" w:customStyle="1" w:styleId="LongTitleSymb">
    <w:name w:val="LongTitleSymb"/>
    <w:basedOn w:val="LongTitle"/>
    <w:rsid w:val="0070317C"/>
    <w:pPr>
      <w:ind w:hanging="480"/>
    </w:pPr>
  </w:style>
  <w:style w:type="paragraph" w:styleId="MacroText">
    <w:name w:val="macro"/>
    <w:link w:val="MacroTextChar"/>
    <w:semiHidden/>
    <w:rsid w:val="0070317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70317C"/>
    <w:rPr>
      <w:rFonts w:ascii="Courier New" w:hAnsi="Courier New" w:cs="Courier New"/>
      <w:lang w:eastAsia="en-US"/>
    </w:rPr>
  </w:style>
  <w:style w:type="paragraph" w:customStyle="1" w:styleId="NewAct">
    <w:name w:val="New Act"/>
    <w:basedOn w:val="Normal"/>
    <w:next w:val="Actdetails"/>
    <w:rsid w:val="0070317C"/>
    <w:pPr>
      <w:keepNext/>
      <w:spacing w:before="180"/>
      <w:ind w:left="1100"/>
    </w:pPr>
    <w:rPr>
      <w:rFonts w:ascii="Arial" w:hAnsi="Arial"/>
      <w:b/>
      <w:sz w:val="20"/>
    </w:rPr>
  </w:style>
  <w:style w:type="paragraph" w:customStyle="1" w:styleId="NewReg">
    <w:name w:val="New Reg"/>
    <w:basedOn w:val="NewAct"/>
    <w:next w:val="Actdetails"/>
    <w:rsid w:val="0070317C"/>
  </w:style>
  <w:style w:type="paragraph" w:customStyle="1" w:styleId="RenumProvEntries">
    <w:name w:val="RenumProvEntries"/>
    <w:basedOn w:val="Normal"/>
    <w:rsid w:val="0070317C"/>
    <w:pPr>
      <w:spacing w:before="60"/>
    </w:pPr>
    <w:rPr>
      <w:rFonts w:ascii="Arial" w:hAnsi="Arial"/>
      <w:sz w:val="20"/>
    </w:rPr>
  </w:style>
  <w:style w:type="paragraph" w:customStyle="1" w:styleId="RenumProvHdg">
    <w:name w:val="RenumProvHdg"/>
    <w:basedOn w:val="Normal"/>
    <w:rsid w:val="0070317C"/>
    <w:rPr>
      <w:rFonts w:ascii="Arial" w:hAnsi="Arial"/>
      <w:b/>
      <w:sz w:val="22"/>
    </w:rPr>
  </w:style>
  <w:style w:type="paragraph" w:customStyle="1" w:styleId="RenumProvHeader">
    <w:name w:val="RenumProvHeader"/>
    <w:basedOn w:val="Normal"/>
    <w:rsid w:val="0070317C"/>
    <w:rPr>
      <w:rFonts w:ascii="Arial" w:hAnsi="Arial"/>
      <w:b/>
      <w:sz w:val="22"/>
    </w:rPr>
  </w:style>
  <w:style w:type="paragraph" w:customStyle="1" w:styleId="RenumProvSubsectEntries">
    <w:name w:val="RenumProvSubsectEntries"/>
    <w:basedOn w:val="RenumProvEntries"/>
    <w:rsid w:val="0070317C"/>
    <w:pPr>
      <w:ind w:left="252"/>
    </w:pPr>
  </w:style>
  <w:style w:type="paragraph" w:customStyle="1" w:styleId="RenumTableHdg">
    <w:name w:val="RenumTableHdg"/>
    <w:basedOn w:val="Normal"/>
    <w:rsid w:val="0070317C"/>
    <w:pPr>
      <w:spacing w:before="120"/>
    </w:pPr>
    <w:rPr>
      <w:rFonts w:ascii="Arial" w:hAnsi="Arial"/>
      <w:b/>
      <w:sz w:val="20"/>
    </w:rPr>
  </w:style>
  <w:style w:type="paragraph" w:customStyle="1" w:styleId="SchclauseheadingSymb">
    <w:name w:val="Sch clause heading Symb"/>
    <w:basedOn w:val="Schclauseheading"/>
    <w:rsid w:val="0070317C"/>
    <w:pPr>
      <w:tabs>
        <w:tab w:val="left" w:pos="0"/>
      </w:tabs>
      <w:ind w:left="980" w:hanging="1460"/>
    </w:pPr>
  </w:style>
  <w:style w:type="paragraph" w:customStyle="1" w:styleId="SchSubClause">
    <w:name w:val="Sch SubClause"/>
    <w:basedOn w:val="Schclauseheading"/>
    <w:rsid w:val="0070317C"/>
    <w:rPr>
      <w:b w:val="0"/>
    </w:rPr>
  </w:style>
  <w:style w:type="paragraph" w:customStyle="1" w:styleId="Sched-FormSymb">
    <w:name w:val="Sched-Form Symb"/>
    <w:basedOn w:val="Sched-Form"/>
    <w:rsid w:val="0070317C"/>
    <w:pPr>
      <w:tabs>
        <w:tab w:val="left" w:pos="0"/>
      </w:tabs>
      <w:ind w:left="2480" w:hanging="2960"/>
    </w:pPr>
  </w:style>
  <w:style w:type="paragraph" w:customStyle="1" w:styleId="Sched-headingSymb">
    <w:name w:val="Sched-heading Symb"/>
    <w:basedOn w:val="Sched-heading"/>
    <w:rsid w:val="0070317C"/>
    <w:pPr>
      <w:tabs>
        <w:tab w:val="left" w:pos="0"/>
      </w:tabs>
      <w:ind w:left="2480" w:hanging="2960"/>
    </w:pPr>
  </w:style>
  <w:style w:type="paragraph" w:customStyle="1" w:styleId="Sched-PartSymb">
    <w:name w:val="Sched-Part Symb"/>
    <w:basedOn w:val="Sched-Part"/>
    <w:rsid w:val="0070317C"/>
    <w:pPr>
      <w:tabs>
        <w:tab w:val="left" w:pos="0"/>
      </w:tabs>
      <w:ind w:left="2480" w:hanging="2960"/>
    </w:pPr>
  </w:style>
  <w:style w:type="paragraph" w:styleId="Subtitle">
    <w:name w:val="Subtitle"/>
    <w:basedOn w:val="Normal"/>
    <w:link w:val="SubtitleChar"/>
    <w:qFormat/>
    <w:rsid w:val="0070317C"/>
    <w:pPr>
      <w:spacing w:after="60"/>
      <w:jc w:val="center"/>
      <w:outlineLvl w:val="1"/>
    </w:pPr>
    <w:rPr>
      <w:rFonts w:ascii="Arial" w:hAnsi="Arial"/>
    </w:rPr>
  </w:style>
  <w:style w:type="character" w:customStyle="1" w:styleId="SubtitleChar">
    <w:name w:val="Subtitle Char"/>
    <w:basedOn w:val="DefaultParagraphFont"/>
    <w:link w:val="Subtitle"/>
    <w:rsid w:val="0070317C"/>
    <w:rPr>
      <w:rFonts w:ascii="Arial" w:hAnsi="Arial"/>
      <w:sz w:val="24"/>
      <w:lang w:eastAsia="en-US"/>
    </w:rPr>
  </w:style>
  <w:style w:type="paragraph" w:customStyle="1" w:styleId="TLegEntries">
    <w:name w:val="TLegEntries"/>
    <w:basedOn w:val="Normal"/>
    <w:rsid w:val="0070317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0317C"/>
    <w:pPr>
      <w:ind w:firstLine="0"/>
    </w:pPr>
    <w:rPr>
      <w:b/>
    </w:rPr>
  </w:style>
  <w:style w:type="paragraph" w:customStyle="1" w:styleId="EndNoteTextPub">
    <w:name w:val="EndNoteTextPub"/>
    <w:basedOn w:val="Normal"/>
    <w:rsid w:val="0070317C"/>
    <w:pPr>
      <w:spacing w:before="60"/>
      <w:ind w:left="1100"/>
      <w:jc w:val="both"/>
    </w:pPr>
    <w:rPr>
      <w:sz w:val="20"/>
    </w:rPr>
  </w:style>
  <w:style w:type="paragraph" w:customStyle="1" w:styleId="TOC10">
    <w:name w:val="TOC 10"/>
    <w:basedOn w:val="TOC5"/>
    <w:rsid w:val="0070317C"/>
    <w:rPr>
      <w:szCs w:val="24"/>
    </w:rPr>
  </w:style>
  <w:style w:type="character" w:customStyle="1" w:styleId="charNotBold">
    <w:name w:val="charNotBold"/>
    <w:basedOn w:val="DefaultParagraphFont"/>
    <w:rsid w:val="0070317C"/>
    <w:rPr>
      <w:rFonts w:ascii="Arial" w:hAnsi="Arial"/>
      <w:sz w:val="20"/>
    </w:rPr>
  </w:style>
  <w:style w:type="paragraph" w:customStyle="1" w:styleId="ShadedSchClauseSymb">
    <w:name w:val="Shaded Sch Clause Symb"/>
    <w:basedOn w:val="ShadedSchClause"/>
    <w:rsid w:val="0070317C"/>
    <w:pPr>
      <w:tabs>
        <w:tab w:val="left" w:pos="0"/>
      </w:tabs>
      <w:ind w:left="975" w:hanging="1457"/>
    </w:pPr>
  </w:style>
  <w:style w:type="paragraph" w:customStyle="1" w:styleId="CoverTextBullet">
    <w:name w:val="CoverTextBullet"/>
    <w:basedOn w:val="CoverText"/>
    <w:qFormat/>
    <w:rsid w:val="0070317C"/>
    <w:pPr>
      <w:numPr>
        <w:numId w:val="7"/>
      </w:numPr>
    </w:pPr>
    <w:rPr>
      <w:color w:val="000000"/>
    </w:rPr>
  </w:style>
  <w:style w:type="character" w:customStyle="1" w:styleId="Heading3Char">
    <w:name w:val="Heading 3 Char"/>
    <w:aliases w:val="h3 Char,sec Char"/>
    <w:basedOn w:val="DefaultParagraphFont"/>
    <w:link w:val="Heading3"/>
    <w:rsid w:val="0070317C"/>
    <w:rPr>
      <w:b/>
      <w:sz w:val="24"/>
      <w:lang w:eastAsia="en-US"/>
    </w:rPr>
  </w:style>
  <w:style w:type="paragraph" w:customStyle="1" w:styleId="Sched-Form-18Space">
    <w:name w:val="Sched-Form-18Space"/>
    <w:basedOn w:val="Normal"/>
    <w:rsid w:val="0070317C"/>
    <w:pPr>
      <w:spacing w:before="360" w:after="60"/>
    </w:pPr>
    <w:rPr>
      <w:sz w:val="22"/>
    </w:rPr>
  </w:style>
  <w:style w:type="paragraph" w:customStyle="1" w:styleId="FormRule">
    <w:name w:val="FormRule"/>
    <w:basedOn w:val="Normal"/>
    <w:rsid w:val="0070317C"/>
    <w:pPr>
      <w:pBdr>
        <w:top w:val="single" w:sz="4" w:space="1" w:color="auto"/>
      </w:pBdr>
      <w:spacing w:before="160" w:after="40"/>
      <w:ind w:left="3220" w:right="3260"/>
    </w:pPr>
    <w:rPr>
      <w:sz w:val="8"/>
    </w:rPr>
  </w:style>
  <w:style w:type="paragraph" w:customStyle="1" w:styleId="OldAmdtsEntries">
    <w:name w:val="OldAmdtsEntries"/>
    <w:basedOn w:val="BillBasicHeading"/>
    <w:rsid w:val="0070317C"/>
    <w:pPr>
      <w:tabs>
        <w:tab w:val="clear" w:pos="2600"/>
        <w:tab w:val="left" w:leader="dot" w:pos="2700"/>
      </w:tabs>
      <w:ind w:left="2700" w:hanging="2000"/>
    </w:pPr>
    <w:rPr>
      <w:sz w:val="18"/>
    </w:rPr>
  </w:style>
  <w:style w:type="paragraph" w:customStyle="1" w:styleId="OldAmdt2ndLine">
    <w:name w:val="OldAmdt2ndLine"/>
    <w:basedOn w:val="OldAmdtsEntries"/>
    <w:rsid w:val="0070317C"/>
    <w:pPr>
      <w:tabs>
        <w:tab w:val="left" w:pos="2700"/>
      </w:tabs>
      <w:spacing w:before="0"/>
    </w:pPr>
  </w:style>
  <w:style w:type="paragraph" w:customStyle="1" w:styleId="parainpara">
    <w:name w:val="para in para"/>
    <w:rsid w:val="0070317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0317C"/>
    <w:pPr>
      <w:spacing w:after="60"/>
      <w:ind w:left="2800"/>
    </w:pPr>
    <w:rPr>
      <w:rFonts w:ascii="ACTCrest" w:hAnsi="ACTCrest"/>
      <w:sz w:val="216"/>
    </w:rPr>
  </w:style>
  <w:style w:type="paragraph" w:customStyle="1" w:styleId="Actbullet">
    <w:name w:val="Act bullet"/>
    <w:basedOn w:val="Normal"/>
    <w:uiPriority w:val="99"/>
    <w:rsid w:val="0070317C"/>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70317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0317C"/>
    <w:rPr>
      <w:b w:val="0"/>
      <w:sz w:val="32"/>
    </w:rPr>
  </w:style>
  <w:style w:type="paragraph" w:customStyle="1" w:styleId="MH1Chapter">
    <w:name w:val="M H1 Chapter"/>
    <w:basedOn w:val="AH1Chapter"/>
    <w:rsid w:val="0070317C"/>
    <w:pPr>
      <w:tabs>
        <w:tab w:val="clear" w:pos="2600"/>
        <w:tab w:val="left" w:pos="2720"/>
      </w:tabs>
      <w:ind w:left="4000" w:hanging="3300"/>
    </w:pPr>
  </w:style>
  <w:style w:type="paragraph" w:customStyle="1" w:styleId="ModH1Chapter">
    <w:name w:val="Mod H1 Chapter"/>
    <w:basedOn w:val="IH1ChapSymb"/>
    <w:rsid w:val="0070317C"/>
    <w:pPr>
      <w:tabs>
        <w:tab w:val="clear" w:pos="2600"/>
        <w:tab w:val="left" w:pos="3300"/>
      </w:tabs>
      <w:ind w:left="3300"/>
    </w:pPr>
  </w:style>
  <w:style w:type="paragraph" w:customStyle="1" w:styleId="ModH2Part">
    <w:name w:val="Mod H2 Part"/>
    <w:basedOn w:val="IH2PartSymb"/>
    <w:rsid w:val="0070317C"/>
    <w:pPr>
      <w:tabs>
        <w:tab w:val="clear" w:pos="2600"/>
        <w:tab w:val="left" w:pos="3300"/>
      </w:tabs>
      <w:ind w:left="3300"/>
    </w:pPr>
  </w:style>
  <w:style w:type="paragraph" w:customStyle="1" w:styleId="ModH3Div">
    <w:name w:val="Mod H3 Div"/>
    <w:basedOn w:val="IH3DivSymb"/>
    <w:rsid w:val="0070317C"/>
    <w:pPr>
      <w:tabs>
        <w:tab w:val="clear" w:pos="2600"/>
        <w:tab w:val="left" w:pos="3300"/>
      </w:tabs>
      <w:ind w:left="3300"/>
    </w:pPr>
  </w:style>
  <w:style w:type="paragraph" w:customStyle="1" w:styleId="ModH4SubDiv">
    <w:name w:val="Mod H4 SubDiv"/>
    <w:basedOn w:val="IH4SubDivSymb"/>
    <w:rsid w:val="0070317C"/>
    <w:pPr>
      <w:tabs>
        <w:tab w:val="clear" w:pos="2600"/>
        <w:tab w:val="left" w:pos="3300"/>
      </w:tabs>
      <w:ind w:left="3300"/>
    </w:pPr>
  </w:style>
  <w:style w:type="paragraph" w:customStyle="1" w:styleId="ModH5Sec">
    <w:name w:val="Mod H5 Sec"/>
    <w:basedOn w:val="IH5SecSymb"/>
    <w:rsid w:val="0070317C"/>
    <w:pPr>
      <w:tabs>
        <w:tab w:val="clear" w:pos="1100"/>
        <w:tab w:val="left" w:pos="1800"/>
      </w:tabs>
      <w:ind w:left="2200"/>
    </w:pPr>
  </w:style>
  <w:style w:type="paragraph" w:customStyle="1" w:styleId="Modmain">
    <w:name w:val="Mod main"/>
    <w:basedOn w:val="Amain"/>
    <w:rsid w:val="0070317C"/>
    <w:pPr>
      <w:tabs>
        <w:tab w:val="clear" w:pos="900"/>
        <w:tab w:val="clear" w:pos="1100"/>
        <w:tab w:val="right" w:pos="1600"/>
        <w:tab w:val="left" w:pos="1800"/>
      </w:tabs>
      <w:ind w:left="2200"/>
    </w:pPr>
  </w:style>
  <w:style w:type="paragraph" w:customStyle="1" w:styleId="Modpara">
    <w:name w:val="Mod para"/>
    <w:basedOn w:val="BillBasic"/>
    <w:rsid w:val="0070317C"/>
    <w:pPr>
      <w:tabs>
        <w:tab w:val="right" w:pos="2100"/>
        <w:tab w:val="left" w:pos="2300"/>
      </w:tabs>
      <w:ind w:left="2700" w:hanging="1600"/>
      <w:outlineLvl w:val="6"/>
    </w:pPr>
  </w:style>
  <w:style w:type="paragraph" w:customStyle="1" w:styleId="Modsubpara">
    <w:name w:val="Mod subpara"/>
    <w:basedOn w:val="Asubpara"/>
    <w:rsid w:val="0070317C"/>
    <w:pPr>
      <w:tabs>
        <w:tab w:val="clear" w:pos="1900"/>
        <w:tab w:val="clear" w:pos="2100"/>
        <w:tab w:val="right" w:pos="2640"/>
        <w:tab w:val="left" w:pos="2840"/>
      </w:tabs>
      <w:ind w:left="3240" w:hanging="2140"/>
    </w:pPr>
  </w:style>
  <w:style w:type="paragraph" w:customStyle="1" w:styleId="Modsubsubpara">
    <w:name w:val="Mod subsubpara"/>
    <w:basedOn w:val="AsubsubparaSymb"/>
    <w:rsid w:val="0070317C"/>
    <w:pPr>
      <w:tabs>
        <w:tab w:val="clear" w:pos="2400"/>
        <w:tab w:val="clear" w:pos="2600"/>
        <w:tab w:val="right" w:pos="3160"/>
        <w:tab w:val="left" w:pos="3360"/>
      </w:tabs>
      <w:ind w:left="3760" w:hanging="2660"/>
    </w:pPr>
  </w:style>
  <w:style w:type="paragraph" w:customStyle="1" w:styleId="Modmainreturn">
    <w:name w:val="Mod main return"/>
    <w:basedOn w:val="AmainreturnSymb"/>
    <w:rsid w:val="0070317C"/>
    <w:pPr>
      <w:ind w:left="1800"/>
    </w:pPr>
  </w:style>
  <w:style w:type="paragraph" w:customStyle="1" w:styleId="Modparareturn">
    <w:name w:val="Mod para return"/>
    <w:basedOn w:val="AparareturnSymb"/>
    <w:rsid w:val="0070317C"/>
    <w:pPr>
      <w:ind w:left="2300"/>
    </w:pPr>
  </w:style>
  <w:style w:type="paragraph" w:customStyle="1" w:styleId="Modsubparareturn">
    <w:name w:val="Mod subpara return"/>
    <w:basedOn w:val="AsubparareturnSymb"/>
    <w:rsid w:val="0070317C"/>
    <w:pPr>
      <w:ind w:left="3040"/>
    </w:pPr>
  </w:style>
  <w:style w:type="paragraph" w:customStyle="1" w:styleId="Modref">
    <w:name w:val="Mod ref"/>
    <w:basedOn w:val="refSymb"/>
    <w:rsid w:val="0070317C"/>
    <w:pPr>
      <w:ind w:left="1100"/>
    </w:pPr>
  </w:style>
  <w:style w:type="paragraph" w:customStyle="1" w:styleId="ModaNote">
    <w:name w:val="Mod aNote"/>
    <w:basedOn w:val="aNoteSymb"/>
    <w:rsid w:val="0070317C"/>
    <w:pPr>
      <w:tabs>
        <w:tab w:val="left" w:pos="2600"/>
      </w:tabs>
      <w:ind w:left="2600"/>
    </w:pPr>
  </w:style>
  <w:style w:type="paragraph" w:customStyle="1" w:styleId="ModNote">
    <w:name w:val="Mod Note"/>
    <w:basedOn w:val="aNoteSymb"/>
    <w:rsid w:val="0070317C"/>
    <w:pPr>
      <w:tabs>
        <w:tab w:val="left" w:pos="2600"/>
      </w:tabs>
      <w:ind w:left="2600"/>
    </w:pPr>
  </w:style>
  <w:style w:type="paragraph" w:customStyle="1" w:styleId="ApprFormHd">
    <w:name w:val="ApprFormHd"/>
    <w:basedOn w:val="Sched-heading"/>
    <w:rsid w:val="0070317C"/>
    <w:pPr>
      <w:ind w:left="0" w:firstLine="0"/>
    </w:pPr>
  </w:style>
  <w:style w:type="paragraph" w:customStyle="1" w:styleId="AmdtEntries">
    <w:name w:val="AmdtEntries"/>
    <w:basedOn w:val="BillBasicHeading"/>
    <w:rsid w:val="0070317C"/>
    <w:pPr>
      <w:keepNext w:val="0"/>
      <w:tabs>
        <w:tab w:val="clear" w:pos="2600"/>
      </w:tabs>
      <w:spacing w:before="0"/>
      <w:ind w:left="3200" w:hanging="2100"/>
    </w:pPr>
    <w:rPr>
      <w:sz w:val="18"/>
    </w:rPr>
  </w:style>
  <w:style w:type="paragraph" w:customStyle="1" w:styleId="AmdtEntriesDefL2">
    <w:name w:val="AmdtEntriesDefL2"/>
    <w:basedOn w:val="AmdtEntries"/>
    <w:rsid w:val="0070317C"/>
    <w:pPr>
      <w:tabs>
        <w:tab w:val="left" w:pos="3000"/>
      </w:tabs>
      <w:ind w:left="3600" w:hanging="2500"/>
    </w:pPr>
  </w:style>
  <w:style w:type="paragraph" w:customStyle="1" w:styleId="Actdetailsnote">
    <w:name w:val="Act details note"/>
    <w:basedOn w:val="Actdetails"/>
    <w:uiPriority w:val="99"/>
    <w:rsid w:val="0070317C"/>
    <w:pPr>
      <w:ind w:left="1620" w:right="-60" w:hanging="720"/>
    </w:pPr>
    <w:rPr>
      <w:sz w:val="18"/>
    </w:rPr>
  </w:style>
  <w:style w:type="paragraph" w:customStyle="1" w:styleId="DetailsNo">
    <w:name w:val="Details No"/>
    <w:basedOn w:val="Actdetails"/>
    <w:uiPriority w:val="99"/>
    <w:rsid w:val="0070317C"/>
    <w:pPr>
      <w:ind w:left="0"/>
    </w:pPr>
    <w:rPr>
      <w:sz w:val="18"/>
    </w:rPr>
  </w:style>
  <w:style w:type="paragraph" w:customStyle="1" w:styleId="AssectheadingSymb">
    <w:name w:val="A ssect heading Symb"/>
    <w:basedOn w:val="Amain"/>
    <w:rsid w:val="0070317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0317C"/>
    <w:pPr>
      <w:tabs>
        <w:tab w:val="left" w:pos="0"/>
        <w:tab w:val="right" w:pos="2400"/>
        <w:tab w:val="left" w:pos="2600"/>
      </w:tabs>
      <w:ind w:left="2602" w:hanging="3084"/>
      <w:outlineLvl w:val="8"/>
    </w:pPr>
  </w:style>
  <w:style w:type="paragraph" w:customStyle="1" w:styleId="AmainreturnSymb">
    <w:name w:val="A main return Symb"/>
    <w:basedOn w:val="BillBasic"/>
    <w:rsid w:val="0070317C"/>
    <w:pPr>
      <w:tabs>
        <w:tab w:val="left" w:pos="1582"/>
      </w:tabs>
      <w:ind w:left="1100" w:hanging="1582"/>
    </w:pPr>
  </w:style>
  <w:style w:type="paragraph" w:customStyle="1" w:styleId="AparareturnSymb">
    <w:name w:val="A para return Symb"/>
    <w:basedOn w:val="BillBasic"/>
    <w:rsid w:val="0070317C"/>
    <w:pPr>
      <w:tabs>
        <w:tab w:val="left" w:pos="2081"/>
      </w:tabs>
      <w:ind w:left="1599" w:hanging="2081"/>
    </w:pPr>
  </w:style>
  <w:style w:type="paragraph" w:customStyle="1" w:styleId="AsubparareturnSymb">
    <w:name w:val="A subpara return Symb"/>
    <w:basedOn w:val="BillBasic"/>
    <w:rsid w:val="0070317C"/>
    <w:pPr>
      <w:tabs>
        <w:tab w:val="left" w:pos="2580"/>
      </w:tabs>
      <w:ind w:left="2098" w:hanging="2580"/>
    </w:pPr>
  </w:style>
  <w:style w:type="paragraph" w:customStyle="1" w:styleId="aDefSymb">
    <w:name w:val="aDef Symb"/>
    <w:basedOn w:val="BillBasic"/>
    <w:rsid w:val="0070317C"/>
    <w:pPr>
      <w:tabs>
        <w:tab w:val="left" w:pos="1582"/>
      </w:tabs>
      <w:ind w:left="1100" w:hanging="1582"/>
    </w:pPr>
  </w:style>
  <w:style w:type="paragraph" w:customStyle="1" w:styleId="aDefparaSymb">
    <w:name w:val="aDef para Symb"/>
    <w:basedOn w:val="Apara"/>
    <w:rsid w:val="0070317C"/>
    <w:pPr>
      <w:tabs>
        <w:tab w:val="clear" w:pos="1600"/>
        <w:tab w:val="left" w:pos="0"/>
        <w:tab w:val="left" w:pos="1599"/>
      </w:tabs>
      <w:ind w:left="1599" w:hanging="2081"/>
    </w:pPr>
  </w:style>
  <w:style w:type="paragraph" w:customStyle="1" w:styleId="aDefsubparaSymb">
    <w:name w:val="aDef subpara Symb"/>
    <w:basedOn w:val="Asubpara"/>
    <w:rsid w:val="0070317C"/>
    <w:pPr>
      <w:tabs>
        <w:tab w:val="left" w:pos="0"/>
      </w:tabs>
      <w:ind w:left="2098" w:hanging="2580"/>
    </w:pPr>
  </w:style>
  <w:style w:type="paragraph" w:customStyle="1" w:styleId="SchAmainSymb">
    <w:name w:val="Sch A main Symb"/>
    <w:basedOn w:val="Amain"/>
    <w:rsid w:val="0070317C"/>
    <w:pPr>
      <w:tabs>
        <w:tab w:val="left" w:pos="0"/>
      </w:tabs>
      <w:ind w:hanging="1580"/>
    </w:pPr>
  </w:style>
  <w:style w:type="paragraph" w:customStyle="1" w:styleId="SchAparaSymb">
    <w:name w:val="Sch A para Symb"/>
    <w:basedOn w:val="Apara"/>
    <w:rsid w:val="0070317C"/>
    <w:pPr>
      <w:tabs>
        <w:tab w:val="left" w:pos="0"/>
      </w:tabs>
      <w:ind w:hanging="2080"/>
    </w:pPr>
  </w:style>
  <w:style w:type="paragraph" w:customStyle="1" w:styleId="SchAsubparaSymb">
    <w:name w:val="Sch A subpara Symb"/>
    <w:basedOn w:val="Asubpara"/>
    <w:rsid w:val="0070317C"/>
    <w:pPr>
      <w:tabs>
        <w:tab w:val="left" w:pos="0"/>
      </w:tabs>
      <w:ind w:hanging="2580"/>
    </w:pPr>
  </w:style>
  <w:style w:type="paragraph" w:customStyle="1" w:styleId="SchAsubsubparaSymb">
    <w:name w:val="Sch A subsubpara Symb"/>
    <w:basedOn w:val="AsubsubparaSymb"/>
    <w:rsid w:val="0070317C"/>
  </w:style>
  <w:style w:type="paragraph" w:customStyle="1" w:styleId="refSymb">
    <w:name w:val="ref Symb"/>
    <w:basedOn w:val="BillBasic"/>
    <w:next w:val="Normal"/>
    <w:rsid w:val="0070317C"/>
    <w:pPr>
      <w:tabs>
        <w:tab w:val="left" w:pos="-480"/>
      </w:tabs>
      <w:spacing w:before="60"/>
      <w:ind w:hanging="480"/>
    </w:pPr>
    <w:rPr>
      <w:sz w:val="18"/>
    </w:rPr>
  </w:style>
  <w:style w:type="paragraph" w:customStyle="1" w:styleId="IshadedH5SecSymb">
    <w:name w:val="I shaded H5 Sec Symb"/>
    <w:basedOn w:val="AH5Sec"/>
    <w:rsid w:val="0070317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0317C"/>
    <w:pPr>
      <w:tabs>
        <w:tab w:val="clear" w:pos="-1580"/>
      </w:tabs>
      <w:ind w:left="975" w:hanging="1457"/>
    </w:pPr>
  </w:style>
  <w:style w:type="paragraph" w:customStyle="1" w:styleId="IH1ChapSymb">
    <w:name w:val="I H1 Chap Symb"/>
    <w:basedOn w:val="BillBasicHeading"/>
    <w:next w:val="Normal"/>
    <w:rsid w:val="0070317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0317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0317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0317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0317C"/>
    <w:pPr>
      <w:tabs>
        <w:tab w:val="clear" w:pos="2600"/>
        <w:tab w:val="left" w:pos="-1580"/>
        <w:tab w:val="left" w:pos="0"/>
        <w:tab w:val="left" w:pos="1100"/>
      </w:tabs>
      <w:spacing w:before="240"/>
      <w:ind w:left="1100" w:hanging="1580"/>
    </w:pPr>
  </w:style>
  <w:style w:type="paragraph" w:customStyle="1" w:styleId="IMainSymb">
    <w:name w:val="I Main Symb"/>
    <w:basedOn w:val="Amain"/>
    <w:rsid w:val="0070317C"/>
    <w:pPr>
      <w:tabs>
        <w:tab w:val="left" w:pos="0"/>
      </w:tabs>
      <w:ind w:hanging="1580"/>
    </w:pPr>
  </w:style>
  <w:style w:type="paragraph" w:customStyle="1" w:styleId="IparaSymb">
    <w:name w:val="I para Symb"/>
    <w:basedOn w:val="Apara"/>
    <w:rsid w:val="0070317C"/>
    <w:pPr>
      <w:tabs>
        <w:tab w:val="left" w:pos="0"/>
      </w:tabs>
      <w:ind w:hanging="2080"/>
      <w:outlineLvl w:val="9"/>
    </w:pPr>
  </w:style>
  <w:style w:type="paragraph" w:customStyle="1" w:styleId="IsubparaSymb">
    <w:name w:val="I subpara Symb"/>
    <w:basedOn w:val="Asubpara"/>
    <w:rsid w:val="0070317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0317C"/>
    <w:pPr>
      <w:tabs>
        <w:tab w:val="clear" w:pos="2400"/>
        <w:tab w:val="clear" w:pos="2600"/>
        <w:tab w:val="right" w:pos="2460"/>
        <w:tab w:val="left" w:pos="2660"/>
      </w:tabs>
      <w:ind w:left="2660" w:hanging="3140"/>
    </w:pPr>
  </w:style>
  <w:style w:type="paragraph" w:customStyle="1" w:styleId="IdefparaSymb">
    <w:name w:val="I def para Symb"/>
    <w:basedOn w:val="IparaSymb"/>
    <w:rsid w:val="0070317C"/>
    <w:pPr>
      <w:ind w:left="1599" w:hanging="2081"/>
    </w:pPr>
  </w:style>
  <w:style w:type="paragraph" w:customStyle="1" w:styleId="IdefsubparaSymb">
    <w:name w:val="I def subpara Symb"/>
    <w:basedOn w:val="IsubparaSymb"/>
    <w:rsid w:val="0070317C"/>
    <w:pPr>
      <w:ind w:left="2138"/>
    </w:pPr>
  </w:style>
  <w:style w:type="paragraph" w:customStyle="1" w:styleId="ISched-headingSymb">
    <w:name w:val="I Sched-heading Symb"/>
    <w:basedOn w:val="BillBasicHeading"/>
    <w:next w:val="Normal"/>
    <w:rsid w:val="0070317C"/>
    <w:pPr>
      <w:tabs>
        <w:tab w:val="left" w:pos="-3080"/>
        <w:tab w:val="left" w:pos="0"/>
      </w:tabs>
      <w:spacing w:before="320"/>
      <w:ind w:left="2600" w:hanging="3080"/>
    </w:pPr>
    <w:rPr>
      <w:sz w:val="34"/>
    </w:rPr>
  </w:style>
  <w:style w:type="paragraph" w:customStyle="1" w:styleId="ISched-PartSymb">
    <w:name w:val="I Sched-Part Symb"/>
    <w:basedOn w:val="BillBasicHeading"/>
    <w:rsid w:val="0070317C"/>
    <w:pPr>
      <w:tabs>
        <w:tab w:val="left" w:pos="-3080"/>
        <w:tab w:val="left" w:pos="0"/>
      </w:tabs>
      <w:spacing w:before="380"/>
      <w:ind w:left="2600" w:hanging="3080"/>
    </w:pPr>
    <w:rPr>
      <w:sz w:val="32"/>
    </w:rPr>
  </w:style>
  <w:style w:type="paragraph" w:customStyle="1" w:styleId="ISched-formSymb">
    <w:name w:val="I Sched-form Symb"/>
    <w:basedOn w:val="BillBasicHeading"/>
    <w:rsid w:val="0070317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0317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0317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0317C"/>
    <w:pPr>
      <w:tabs>
        <w:tab w:val="left" w:pos="1100"/>
      </w:tabs>
      <w:spacing w:before="60"/>
      <w:ind w:left="1500" w:hanging="1986"/>
    </w:pPr>
  </w:style>
  <w:style w:type="paragraph" w:customStyle="1" w:styleId="aExamHdgssSymb">
    <w:name w:val="aExamHdgss Symb"/>
    <w:basedOn w:val="BillBasicHeading"/>
    <w:next w:val="Normal"/>
    <w:rsid w:val="0070317C"/>
    <w:pPr>
      <w:tabs>
        <w:tab w:val="clear" w:pos="2600"/>
        <w:tab w:val="left" w:pos="1582"/>
      </w:tabs>
      <w:ind w:left="1100" w:hanging="1582"/>
    </w:pPr>
    <w:rPr>
      <w:sz w:val="18"/>
    </w:rPr>
  </w:style>
  <w:style w:type="paragraph" w:customStyle="1" w:styleId="aExamssSymb">
    <w:name w:val="aExamss Symb"/>
    <w:basedOn w:val="aNote"/>
    <w:rsid w:val="0070317C"/>
    <w:pPr>
      <w:tabs>
        <w:tab w:val="left" w:pos="1582"/>
      </w:tabs>
      <w:spacing w:before="60"/>
      <w:ind w:left="1100" w:hanging="1582"/>
    </w:pPr>
  </w:style>
  <w:style w:type="paragraph" w:customStyle="1" w:styleId="aExamINumssSymb">
    <w:name w:val="aExamINumss Symb"/>
    <w:basedOn w:val="aExamssSymb"/>
    <w:rsid w:val="0070317C"/>
    <w:pPr>
      <w:tabs>
        <w:tab w:val="left" w:pos="1100"/>
      </w:tabs>
      <w:ind w:left="1500" w:hanging="1986"/>
    </w:pPr>
  </w:style>
  <w:style w:type="paragraph" w:customStyle="1" w:styleId="aExamNumTextssSymb">
    <w:name w:val="aExamNumTextss Symb"/>
    <w:basedOn w:val="aExamssSymb"/>
    <w:rsid w:val="0070317C"/>
    <w:pPr>
      <w:tabs>
        <w:tab w:val="clear" w:pos="1582"/>
        <w:tab w:val="left" w:pos="1985"/>
      </w:tabs>
      <w:ind w:left="1503" w:hanging="1985"/>
    </w:pPr>
  </w:style>
  <w:style w:type="paragraph" w:customStyle="1" w:styleId="AExamIParaSymb">
    <w:name w:val="AExamIPara Symb"/>
    <w:basedOn w:val="aExam"/>
    <w:rsid w:val="0070317C"/>
    <w:pPr>
      <w:tabs>
        <w:tab w:val="right" w:pos="1718"/>
      </w:tabs>
      <w:ind w:left="1984" w:hanging="2466"/>
    </w:pPr>
  </w:style>
  <w:style w:type="paragraph" w:customStyle="1" w:styleId="aExamBulletssSymb">
    <w:name w:val="aExamBulletss Symb"/>
    <w:basedOn w:val="aExamssSymb"/>
    <w:rsid w:val="0070317C"/>
    <w:pPr>
      <w:tabs>
        <w:tab w:val="left" w:pos="1100"/>
      </w:tabs>
      <w:ind w:left="1500" w:hanging="1986"/>
    </w:pPr>
  </w:style>
  <w:style w:type="paragraph" w:customStyle="1" w:styleId="aNoteSymb">
    <w:name w:val="aNote Symb"/>
    <w:basedOn w:val="BillBasic"/>
    <w:rsid w:val="0070317C"/>
    <w:pPr>
      <w:tabs>
        <w:tab w:val="left" w:pos="1100"/>
        <w:tab w:val="left" w:pos="2381"/>
      </w:tabs>
      <w:ind w:left="1899" w:hanging="2381"/>
    </w:pPr>
    <w:rPr>
      <w:sz w:val="20"/>
    </w:rPr>
  </w:style>
  <w:style w:type="paragraph" w:customStyle="1" w:styleId="aNoteTextssSymb">
    <w:name w:val="aNoteTextss Symb"/>
    <w:basedOn w:val="Normal"/>
    <w:rsid w:val="0070317C"/>
    <w:pPr>
      <w:tabs>
        <w:tab w:val="clear" w:pos="0"/>
        <w:tab w:val="left" w:pos="1418"/>
      </w:tabs>
      <w:spacing w:before="60"/>
      <w:ind w:left="1417" w:hanging="1899"/>
      <w:jc w:val="both"/>
    </w:pPr>
    <w:rPr>
      <w:sz w:val="20"/>
    </w:rPr>
  </w:style>
  <w:style w:type="paragraph" w:customStyle="1" w:styleId="aNoteParaSymb">
    <w:name w:val="aNotePara Symb"/>
    <w:basedOn w:val="aNoteSymb"/>
    <w:rsid w:val="0070317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0317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0317C"/>
    <w:pPr>
      <w:tabs>
        <w:tab w:val="left" w:pos="1616"/>
        <w:tab w:val="left" w:pos="2495"/>
      </w:tabs>
      <w:spacing w:before="60"/>
      <w:ind w:left="2013" w:hanging="2495"/>
    </w:pPr>
  </w:style>
  <w:style w:type="paragraph" w:customStyle="1" w:styleId="aExamHdgparSymb">
    <w:name w:val="aExamHdgpar Symb"/>
    <w:basedOn w:val="aExamHdgssSymb"/>
    <w:next w:val="Normal"/>
    <w:rsid w:val="0070317C"/>
    <w:pPr>
      <w:tabs>
        <w:tab w:val="clear" w:pos="1582"/>
        <w:tab w:val="left" w:pos="1599"/>
      </w:tabs>
      <w:ind w:left="1599" w:hanging="2081"/>
    </w:pPr>
  </w:style>
  <w:style w:type="paragraph" w:customStyle="1" w:styleId="aExamparSymb">
    <w:name w:val="aExampar Symb"/>
    <w:basedOn w:val="aExamssSymb"/>
    <w:rsid w:val="0070317C"/>
    <w:pPr>
      <w:tabs>
        <w:tab w:val="clear" w:pos="1582"/>
        <w:tab w:val="left" w:pos="1599"/>
      </w:tabs>
      <w:ind w:left="1599" w:hanging="2081"/>
    </w:pPr>
  </w:style>
  <w:style w:type="paragraph" w:customStyle="1" w:styleId="aExamINumparSymb">
    <w:name w:val="aExamINumpar Symb"/>
    <w:basedOn w:val="aExamparSymb"/>
    <w:rsid w:val="0070317C"/>
    <w:pPr>
      <w:tabs>
        <w:tab w:val="left" w:pos="2000"/>
      </w:tabs>
      <w:ind w:left="2041" w:hanging="2495"/>
    </w:pPr>
  </w:style>
  <w:style w:type="paragraph" w:customStyle="1" w:styleId="aExamBulletparSymb">
    <w:name w:val="aExamBulletpar Symb"/>
    <w:basedOn w:val="aExamparSymb"/>
    <w:rsid w:val="0070317C"/>
    <w:pPr>
      <w:tabs>
        <w:tab w:val="clear" w:pos="1599"/>
        <w:tab w:val="left" w:pos="1616"/>
        <w:tab w:val="left" w:pos="2495"/>
      </w:tabs>
      <w:ind w:left="2013" w:hanging="2495"/>
    </w:pPr>
  </w:style>
  <w:style w:type="paragraph" w:customStyle="1" w:styleId="aNoteparSymb">
    <w:name w:val="aNotepar Symb"/>
    <w:basedOn w:val="BillBasic"/>
    <w:next w:val="Normal"/>
    <w:rsid w:val="0070317C"/>
    <w:pPr>
      <w:tabs>
        <w:tab w:val="left" w:pos="1599"/>
        <w:tab w:val="left" w:pos="2398"/>
      </w:tabs>
      <w:ind w:left="2410" w:hanging="2892"/>
    </w:pPr>
    <w:rPr>
      <w:sz w:val="20"/>
    </w:rPr>
  </w:style>
  <w:style w:type="paragraph" w:customStyle="1" w:styleId="aNoteTextparSymb">
    <w:name w:val="aNoteTextpar Symb"/>
    <w:basedOn w:val="aNoteparSymb"/>
    <w:rsid w:val="0070317C"/>
    <w:pPr>
      <w:tabs>
        <w:tab w:val="clear" w:pos="1599"/>
        <w:tab w:val="clear" w:pos="2398"/>
        <w:tab w:val="left" w:pos="2880"/>
      </w:tabs>
      <w:spacing w:before="60"/>
      <w:ind w:left="2398" w:hanging="2880"/>
    </w:pPr>
  </w:style>
  <w:style w:type="paragraph" w:customStyle="1" w:styleId="aNoteParaparSymb">
    <w:name w:val="aNoteParapar Symb"/>
    <w:basedOn w:val="aNoteparSymb"/>
    <w:rsid w:val="0070317C"/>
    <w:pPr>
      <w:tabs>
        <w:tab w:val="right" w:pos="2640"/>
      </w:tabs>
      <w:spacing w:before="60"/>
      <w:ind w:left="2920" w:hanging="3402"/>
    </w:pPr>
  </w:style>
  <w:style w:type="paragraph" w:customStyle="1" w:styleId="aNoteBulletparSymb">
    <w:name w:val="aNoteBulletpar Symb"/>
    <w:basedOn w:val="aNoteparSymb"/>
    <w:rsid w:val="0070317C"/>
    <w:pPr>
      <w:tabs>
        <w:tab w:val="clear" w:pos="1599"/>
        <w:tab w:val="left" w:pos="3289"/>
      </w:tabs>
      <w:spacing w:before="60"/>
      <w:ind w:left="2807" w:hanging="3289"/>
    </w:pPr>
  </w:style>
  <w:style w:type="paragraph" w:customStyle="1" w:styleId="AsubparabulletSymb">
    <w:name w:val="A subpara bullet Symb"/>
    <w:basedOn w:val="BillBasic"/>
    <w:rsid w:val="0070317C"/>
    <w:pPr>
      <w:tabs>
        <w:tab w:val="left" w:pos="2138"/>
        <w:tab w:val="left" w:pos="3005"/>
      </w:tabs>
      <w:spacing w:before="60"/>
      <w:ind w:left="2523" w:hanging="3005"/>
    </w:pPr>
  </w:style>
  <w:style w:type="paragraph" w:customStyle="1" w:styleId="aExamHdgsubparSymb">
    <w:name w:val="aExamHdgsubpar Symb"/>
    <w:basedOn w:val="aExamHdgssSymb"/>
    <w:next w:val="Normal"/>
    <w:rsid w:val="0070317C"/>
    <w:pPr>
      <w:tabs>
        <w:tab w:val="clear" w:pos="1582"/>
        <w:tab w:val="left" w:pos="2620"/>
      </w:tabs>
      <w:ind w:left="2138" w:hanging="2620"/>
    </w:pPr>
  </w:style>
  <w:style w:type="paragraph" w:customStyle="1" w:styleId="aExamsubparSymb">
    <w:name w:val="aExamsubpar Symb"/>
    <w:basedOn w:val="aExamssSymb"/>
    <w:rsid w:val="0070317C"/>
    <w:pPr>
      <w:tabs>
        <w:tab w:val="clear" w:pos="1582"/>
        <w:tab w:val="left" w:pos="2620"/>
      </w:tabs>
      <w:ind w:left="2138" w:hanging="2620"/>
    </w:pPr>
  </w:style>
  <w:style w:type="paragraph" w:customStyle="1" w:styleId="aNotesubparSymb">
    <w:name w:val="aNotesubpar Symb"/>
    <w:basedOn w:val="BillBasic"/>
    <w:next w:val="Normal"/>
    <w:rsid w:val="0070317C"/>
    <w:pPr>
      <w:tabs>
        <w:tab w:val="left" w:pos="2138"/>
        <w:tab w:val="left" w:pos="2937"/>
      </w:tabs>
      <w:ind w:left="2455" w:hanging="2937"/>
    </w:pPr>
    <w:rPr>
      <w:sz w:val="20"/>
    </w:rPr>
  </w:style>
  <w:style w:type="paragraph" w:customStyle="1" w:styleId="aNoteTextsubparSymb">
    <w:name w:val="aNoteTextsubpar Symb"/>
    <w:basedOn w:val="aNotesubparSymb"/>
    <w:rsid w:val="0070317C"/>
    <w:pPr>
      <w:tabs>
        <w:tab w:val="clear" w:pos="2138"/>
        <w:tab w:val="clear" w:pos="2937"/>
        <w:tab w:val="left" w:pos="2943"/>
      </w:tabs>
      <w:spacing w:before="60"/>
      <w:ind w:left="2943" w:hanging="3425"/>
    </w:pPr>
  </w:style>
  <w:style w:type="paragraph" w:customStyle="1" w:styleId="PenaltySymb">
    <w:name w:val="Penalty Symb"/>
    <w:basedOn w:val="AmainreturnSymb"/>
    <w:rsid w:val="0070317C"/>
  </w:style>
  <w:style w:type="paragraph" w:customStyle="1" w:styleId="PenaltyParaSymb">
    <w:name w:val="PenaltyPara Symb"/>
    <w:basedOn w:val="Normal"/>
    <w:rsid w:val="0070317C"/>
    <w:pPr>
      <w:tabs>
        <w:tab w:val="right" w:pos="1360"/>
      </w:tabs>
      <w:spacing w:before="60"/>
      <w:ind w:left="1599" w:hanging="2081"/>
      <w:jc w:val="both"/>
    </w:pPr>
  </w:style>
  <w:style w:type="paragraph" w:customStyle="1" w:styleId="FormulaSymb">
    <w:name w:val="Formula Symb"/>
    <w:basedOn w:val="BillBasic"/>
    <w:rsid w:val="0070317C"/>
    <w:pPr>
      <w:tabs>
        <w:tab w:val="left" w:pos="-480"/>
      </w:tabs>
      <w:spacing w:line="260" w:lineRule="atLeast"/>
      <w:ind w:hanging="480"/>
      <w:jc w:val="center"/>
    </w:pPr>
  </w:style>
  <w:style w:type="paragraph" w:customStyle="1" w:styleId="NormalSymb">
    <w:name w:val="Normal Symb"/>
    <w:basedOn w:val="Normal"/>
    <w:qFormat/>
    <w:rsid w:val="0070317C"/>
    <w:pPr>
      <w:ind w:hanging="482"/>
    </w:pPr>
  </w:style>
  <w:style w:type="character" w:styleId="PlaceholderText">
    <w:name w:val="Placeholder Text"/>
    <w:basedOn w:val="DefaultParagraphFont"/>
    <w:uiPriority w:val="99"/>
    <w:semiHidden/>
    <w:rsid w:val="007031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92342">
      <w:bodyDiv w:val="1"/>
      <w:marLeft w:val="0"/>
      <w:marRight w:val="0"/>
      <w:marTop w:val="0"/>
      <w:marBottom w:val="0"/>
      <w:divBdr>
        <w:top w:val="none" w:sz="0" w:space="0" w:color="auto"/>
        <w:left w:val="none" w:sz="0" w:space="0" w:color="auto"/>
        <w:bottom w:val="none" w:sz="0" w:space="0" w:color="auto"/>
        <w:right w:val="none" w:sz="0" w:space="0" w:color="auto"/>
      </w:divBdr>
    </w:div>
    <w:div w:id="225191023">
      <w:bodyDiv w:val="1"/>
      <w:marLeft w:val="0"/>
      <w:marRight w:val="0"/>
      <w:marTop w:val="0"/>
      <w:marBottom w:val="0"/>
      <w:divBdr>
        <w:top w:val="none" w:sz="0" w:space="0" w:color="auto"/>
        <w:left w:val="none" w:sz="0" w:space="0" w:color="auto"/>
        <w:bottom w:val="none" w:sz="0" w:space="0" w:color="auto"/>
        <w:right w:val="none" w:sz="0" w:space="0" w:color="auto"/>
      </w:divBdr>
    </w:div>
    <w:div w:id="393553833">
      <w:bodyDiv w:val="1"/>
      <w:marLeft w:val="0"/>
      <w:marRight w:val="0"/>
      <w:marTop w:val="0"/>
      <w:marBottom w:val="0"/>
      <w:divBdr>
        <w:top w:val="none" w:sz="0" w:space="0" w:color="auto"/>
        <w:left w:val="none" w:sz="0" w:space="0" w:color="auto"/>
        <w:bottom w:val="none" w:sz="0" w:space="0" w:color="auto"/>
        <w:right w:val="none" w:sz="0" w:space="0" w:color="auto"/>
      </w:divBdr>
    </w:div>
    <w:div w:id="652760170">
      <w:bodyDiv w:val="1"/>
      <w:marLeft w:val="0"/>
      <w:marRight w:val="0"/>
      <w:marTop w:val="0"/>
      <w:marBottom w:val="0"/>
      <w:divBdr>
        <w:top w:val="none" w:sz="0" w:space="0" w:color="auto"/>
        <w:left w:val="none" w:sz="0" w:space="0" w:color="auto"/>
        <w:bottom w:val="none" w:sz="0" w:space="0" w:color="auto"/>
        <w:right w:val="none" w:sz="0" w:space="0" w:color="auto"/>
      </w:divBdr>
    </w:div>
    <w:div w:id="906190482">
      <w:bodyDiv w:val="1"/>
      <w:marLeft w:val="0"/>
      <w:marRight w:val="0"/>
      <w:marTop w:val="0"/>
      <w:marBottom w:val="0"/>
      <w:divBdr>
        <w:top w:val="none" w:sz="0" w:space="0" w:color="auto"/>
        <w:left w:val="none" w:sz="0" w:space="0" w:color="auto"/>
        <w:bottom w:val="none" w:sz="0" w:space="0" w:color="auto"/>
        <w:right w:val="none" w:sz="0" w:space="0" w:color="auto"/>
      </w:divBdr>
    </w:div>
    <w:div w:id="1188062336">
      <w:bodyDiv w:val="1"/>
      <w:marLeft w:val="0"/>
      <w:marRight w:val="0"/>
      <w:marTop w:val="0"/>
      <w:marBottom w:val="0"/>
      <w:divBdr>
        <w:top w:val="none" w:sz="0" w:space="0" w:color="auto"/>
        <w:left w:val="none" w:sz="0" w:space="0" w:color="auto"/>
        <w:bottom w:val="none" w:sz="0" w:space="0" w:color="auto"/>
        <w:right w:val="none" w:sz="0" w:space="0" w:color="auto"/>
      </w:divBdr>
    </w:div>
    <w:div w:id="1485196795">
      <w:bodyDiv w:val="1"/>
      <w:marLeft w:val="0"/>
      <w:marRight w:val="0"/>
      <w:marTop w:val="0"/>
      <w:marBottom w:val="0"/>
      <w:divBdr>
        <w:top w:val="none" w:sz="0" w:space="0" w:color="auto"/>
        <w:left w:val="none" w:sz="0" w:space="0" w:color="auto"/>
        <w:bottom w:val="none" w:sz="0" w:space="0" w:color="auto"/>
        <w:right w:val="none" w:sz="0" w:space="0" w:color="auto"/>
      </w:divBdr>
    </w:div>
    <w:div w:id="1534461121">
      <w:bodyDiv w:val="1"/>
      <w:marLeft w:val="0"/>
      <w:marRight w:val="0"/>
      <w:marTop w:val="0"/>
      <w:marBottom w:val="0"/>
      <w:divBdr>
        <w:top w:val="none" w:sz="0" w:space="0" w:color="auto"/>
        <w:left w:val="none" w:sz="0" w:space="0" w:color="auto"/>
        <w:bottom w:val="none" w:sz="0" w:space="0" w:color="auto"/>
        <w:right w:val="none" w:sz="0" w:space="0" w:color="auto"/>
      </w:divBdr>
    </w:div>
    <w:div w:id="1576672528">
      <w:bodyDiv w:val="1"/>
      <w:marLeft w:val="0"/>
      <w:marRight w:val="0"/>
      <w:marTop w:val="0"/>
      <w:marBottom w:val="0"/>
      <w:divBdr>
        <w:top w:val="none" w:sz="0" w:space="0" w:color="auto"/>
        <w:left w:val="none" w:sz="0" w:space="0" w:color="auto"/>
        <w:bottom w:val="none" w:sz="0" w:space="0" w:color="auto"/>
        <w:right w:val="none" w:sz="0" w:space="0" w:color="auto"/>
      </w:divBdr>
    </w:div>
    <w:div w:id="211374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legislation.act.gov.au/a/1997-84" TargetMode="External"/><Relationship Id="rId26" Type="http://schemas.openxmlformats.org/officeDocument/2006/relationships/hyperlink" Target="http://www.legislation.act.gov.au/a/1996-86" TargetMode="External"/><Relationship Id="rId39" Type="http://schemas.openxmlformats.org/officeDocument/2006/relationships/hyperlink" Target="http://www.legislation.act.gov.au/a/1997-84" TargetMode="External"/><Relationship Id="rId21" Type="http://schemas.openxmlformats.org/officeDocument/2006/relationships/hyperlink" Target="http://www.legislation.act.gov.au/a/alt_a1989-179co" TargetMode="External"/><Relationship Id="rId34" Type="http://schemas.openxmlformats.org/officeDocument/2006/relationships/header" Target="header5.xml"/><Relationship Id="rId42" Type="http://schemas.openxmlformats.org/officeDocument/2006/relationships/hyperlink" Target="http://www.legislation.act.gov.au/a/1997-84" TargetMode="External"/><Relationship Id="rId47" Type="http://schemas.openxmlformats.org/officeDocument/2006/relationships/hyperlink" Target="http://www.legislation.act.gov.au/a/1997-84" TargetMode="External"/><Relationship Id="rId50" Type="http://schemas.openxmlformats.org/officeDocument/2006/relationships/hyperlink" Target="http://www.legislation.act.gov.au/a/1997-84" TargetMode="External"/><Relationship Id="rId55" Type="http://schemas.openxmlformats.org/officeDocument/2006/relationships/footer" Target="footer8.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hyperlink" Target="https://www.legislation.gov.au/Series/C2004A04206" TargetMode="External"/><Relationship Id="rId29" Type="http://schemas.openxmlformats.org/officeDocument/2006/relationships/hyperlink" Target="http://www.legislation.act.gov.au/a/2013-18" TargetMode="External"/><Relationship Id="rId41" Type="http://schemas.openxmlformats.org/officeDocument/2006/relationships/hyperlink" Target="http://www.legislation.act.gov.au/a/1997-84" TargetMode="External"/><Relationship Id="rId54" Type="http://schemas.openxmlformats.org/officeDocument/2006/relationships/footer" Target="footer7.xml"/><Relationship Id="rId62"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egislation.act.gov.au/a/alt_a1989-179co" TargetMode="External"/><Relationship Id="rId32" Type="http://schemas.openxmlformats.org/officeDocument/2006/relationships/hyperlink" Target="http://www.legislation.act.gov.au/a/2004-11" TargetMode="External"/><Relationship Id="rId37" Type="http://schemas.openxmlformats.org/officeDocument/2006/relationships/footer" Target="footer6.xml"/><Relationship Id="rId40" Type="http://schemas.openxmlformats.org/officeDocument/2006/relationships/hyperlink" Target="http://www.legislation.act.gov.au/a/1997-84" TargetMode="External"/><Relationship Id="rId45" Type="http://schemas.openxmlformats.org/officeDocument/2006/relationships/hyperlink" Target="http://www.legislation.act.gov.au/a/1997-84" TargetMode="External"/><Relationship Id="rId53" Type="http://schemas.openxmlformats.org/officeDocument/2006/relationships/header" Target="header7.xml"/><Relationship Id="rId58"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s://www.legislation.gov.au/Series/C2004A04206" TargetMode="External"/><Relationship Id="rId28" Type="http://schemas.openxmlformats.org/officeDocument/2006/relationships/hyperlink" Target="http://www.legislation.act.gov.au/a/1999-81" TargetMode="External"/><Relationship Id="rId36" Type="http://schemas.openxmlformats.org/officeDocument/2006/relationships/footer" Target="footer5.xml"/><Relationship Id="rId49" Type="http://schemas.openxmlformats.org/officeDocument/2006/relationships/hyperlink" Target="http://www.legislation.act.gov.au/a/1997-84" TargetMode="External"/><Relationship Id="rId57" Type="http://schemas.openxmlformats.org/officeDocument/2006/relationships/hyperlink" Target="http://www.legislation.act.gov.au/" TargetMode="External"/><Relationship Id="rId61"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yperlink" Target="http://www.legislation.act.gov.au/sl/1998-17" TargetMode="External"/><Relationship Id="rId31" Type="http://schemas.openxmlformats.org/officeDocument/2006/relationships/hyperlink" Target="http://www.legislation.act.gov.au/a/2007-8" TargetMode="External"/><Relationship Id="rId44" Type="http://schemas.openxmlformats.org/officeDocument/2006/relationships/hyperlink" Target="http://www.legislation.act.gov.au/a/1997-84" TargetMode="External"/><Relationship Id="rId52" Type="http://schemas.openxmlformats.org/officeDocument/2006/relationships/header" Target="header6.xml"/><Relationship Id="rId60"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sl/1998-17" TargetMode="External"/><Relationship Id="rId22" Type="http://schemas.openxmlformats.org/officeDocument/2006/relationships/hyperlink" Target="http://www.legislation.act.gov.au/a/1996-86" TargetMode="External"/><Relationship Id="rId27" Type="http://schemas.openxmlformats.org/officeDocument/2006/relationships/hyperlink" Target="http://www.legislation.act.gov.au/a/2004-17" TargetMode="External"/><Relationship Id="rId30" Type="http://schemas.openxmlformats.org/officeDocument/2006/relationships/hyperlink" Target="https://www.legislation.nsw.gov.au/" TargetMode="External"/><Relationship Id="rId35" Type="http://schemas.openxmlformats.org/officeDocument/2006/relationships/footer" Target="footer4.xml"/><Relationship Id="rId43" Type="http://schemas.openxmlformats.org/officeDocument/2006/relationships/hyperlink" Target="http://www.legislation.act.gov.au/a/1997-84" TargetMode="External"/><Relationship Id="rId48" Type="http://schemas.openxmlformats.org/officeDocument/2006/relationships/hyperlink" Target="http://www.legislation.act.gov.au/a/1997-84" TargetMode="External"/><Relationship Id="rId56" Type="http://schemas.openxmlformats.org/officeDocument/2006/relationships/hyperlink" Target="http://www.legislation.act.gov.au/a/2001-14" TargetMode="Externa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www.legislation.act.gov.au/a/1997-84"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legislation.act.gov.au/a/2001-14" TargetMode="External"/><Relationship Id="rId25" Type="http://schemas.openxmlformats.org/officeDocument/2006/relationships/hyperlink" Target="http://www.legislation.act.gov.au/a/2005-40" TargetMode="External"/><Relationship Id="rId33" Type="http://schemas.openxmlformats.org/officeDocument/2006/relationships/header" Target="header4.xml"/><Relationship Id="rId38" Type="http://schemas.openxmlformats.org/officeDocument/2006/relationships/hyperlink" Target="http://www.legislation.act.gov.au/a/1997-84" TargetMode="External"/><Relationship Id="rId46" Type="http://schemas.openxmlformats.org/officeDocument/2006/relationships/hyperlink" Target="https://www.legislation.act.gov.au/a/1997-84" TargetMode="External"/><Relationship Id="rId59"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2D80A-F246-4D6E-BDCD-B763E7F04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10887</Words>
  <Characters>54301</Characters>
  <Application>Microsoft Office Word</Application>
  <DocSecurity>0</DocSecurity>
  <Lines>1534</Lines>
  <Paragraphs>903</Paragraphs>
  <ScaleCrop>false</ScaleCrop>
  <HeadingPairs>
    <vt:vector size="2" baseType="variant">
      <vt:variant>
        <vt:lpstr>Title</vt:lpstr>
      </vt:variant>
      <vt:variant>
        <vt:i4>1</vt:i4>
      </vt:variant>
    </vt:vector>
  </HeadingPairs>
  <TitlesOfParts>
    <vt:vector size="1" baseType="lpstr">
      <vt:lpstr>Residential Tenancies Amendment Act 2020</vt:lpstr>
    </vt:vector>
  </TitlesOfParts>
  <Manager>Section</Manager>
  <Company>Section</Company>
  <LinksUpToDate>false</LinksUpToDate>
  <CharactersWithSpaces>64792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Amendment Act 2020</dc:title>
  <dc:subject>Amendment</dc:subject>
  <dc:creator>ACT Government</dc:creator>
  <cp:keywords>D18</cp:keywords>
  <dc:description>J2018-165</dc:description>
  <cp:lastModifiedBy>PCODCS</cp:lastModifiedBy>
  <cp:revision>4</cp:revision>
  <cp:lastPrinted>2020-02-11T03:28:00Z</cp:lastPrinted>
  <dcterms:created xsi:type="dcterms:W3CDTF">2020-02-12T03:33:00Z</dcterms:created>
  <dcterms:modified xsi:type="dcterms:W3CDTF">2020-02-12T03:33:00Z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Bronwyn Leslie</vt:lpwstr>
  </property>
  <property fmtid="{D5CDD505-2E9C-101B-9397-08002B2CF9AE}" pid="4" name="DrafterEmail">
    <vt:lpwstr>bronwyn.leslie@act.gov.au</vt:lpwstr>
  </property>
  <property fmtid="{D5CDD505-2E9C-101B-9397-08002B2CF9AE}" pid="5" name="DrafterPh">
    <vt:lpwstr>62053790</vt:lpwstr>
  </property>
  <property fmtid="{D5CDD505-2E9C-101B-9397-08002B2CF9AE}" pid="6" name="SettlerName">
    <vt:lpwstr>Lyndall Kennedy</vt:lpwstr>
  </property>
  <property fmtid="{D5CDD505-2E9C-101B-9397-08002B2CF9AE}" pid="7" name="SettlerEmail">
    <vt:lpwstr>lyndall.kennedy@act.gov.au</vt:lpwstr>
  </property>
  <property fmtid="{D5CDD505-2E9C-101B-9397-08002B2CF9AE}" pid="8" name="SettlerPh">
    <vt:lpwstr>62077534</vt:lpwstr>
  </property>
  <property fmtid="{D5CDD505-2E9C-101B-9397-08002B2CF9AE}" pid="9" name="Client">
    <vt:lpwstr>Justice and Community Safety Directorate</vt:lpwstr>
  </property>
  <property fmtid="{D5CDD505-2E9C-101B-9397-08002B2CF9AE}" pid="10" name="ClientName1">
    <vt:lpwstr>Zoe Hutchinson</vt:lpwstr>
  </property>
  <property fmtid="{D5CDD505-2E9C-101B-9397-08002B2CF9AE}" pid="11" name="ClientEmail1">
    <vt:lpwstr>zoe.hutchinson@act.gov.au</vt:lpwstr>
  </property>
  <property fmtid="{D5CDD505-2E9C-101B-9397-08002B2CF9AE}" pid="12" name="ClientPh1">
    <vt:lpwstr>62076192</vt:lpwstr>
  </property>
  <property fmtid="{D5CDD505-2E9C-101B-9397-08002B2CF9AE}" pid="13" name="ClientName2">
    <vt:lpwstr>Mark Fletcher</vt:lpwstr>
  </property>
  <property fmtid="{D5CDD505-2E9C-101B-9397-08002B2CF9AE}" pid="14" name="ClientEmail2">
    <vt:lpwstr>MarkJ.Fletcher@act.gov.au</vt:lpwstr>
  </property>
  <property fmtid="{D5CDD505-2E9C-101B-9397-08002B2CF9AE}" pid="15" name="ClientPh2">
    <vt:lpwstr>62077470</vt:lpwstr>
  </property>
  <property fmtid="{D5CDD505-2E9C-101B-9397-08002B2CF9AE}" pid="16" name="jobType">
    <vt:lpwstr>Drafting</vt:lpwstr>
  </property>
  <property fmtid="{D5CDD505-2E9C-101B-9397-08002B2CF9AE}" pid="17" name="DMSID">
    <vt:lpwstr>1149014</vt:lpwstr>
  </property>
  <property fmtid="{D5CDD505-2E9C-101B-9397-08002B2CF9AE}" pid="18" name="JMSREQUIREDCHECKIN">
    <vt:lpwstr/>
  </property>
  <property fmtid="{D5CDD505-2E9C-101B-9397-08002B2CF9AE}" pid="19" name="CHECKEDOUTFROMJMS">
    <vt:lpwstr/>
  </property>
  <property fmtid="{D5CDD505-2E9C-101B-9397-08002B2CF9AE}" pid="20" name="Citation">
    <vt:lpwstr>Residential Tenancies Amendment Bill 2020</vt:lpwstr>
  </property>
  <property fmtid="{D5CDD505-2E9C-101B-9397-08002B2CF9AE}" pid="21" name="AmCitation">
    <vt:lpwstr>Residential Tenancies Act 1997</vt:lpwstr>
  </property>
  <property fmtid="{D5CDD505-2E9C-101B-9397-08002B2CF9AE}" pid="22" name="ActName">
    <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