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1931B" w14:textId="77777777" w:rsidR="002B3534" w:rsidRDefault="00805965">
      <w:pPr>
        <w:spacing w:before="400"/>
        <w:jc w:val="center"/>
      </w:pPr>
      <w:r>
        <w:rPr>
          <w:color w:val="000000"/>
          <w:sz w:val="22"/>
          <w:szCs w:val="22"/>
        </w:rPr>
        <w:t>202</w:t>
      </w:r>
      <w:r>
        <w:rPr>
          <w:sz w:val="22"/>
          <w:szCs w:val="22"/>
        </w:rPr>
        <w:t>6</w:t>
      </w:r>
    </w:p>
    <w:p w14:paraId="26855A83" w14:textId="77777777" w:rsidR="002B3534" w:rsidRDefault="00805965">
      <w:pPr>
        <w:spacing w:before="300"/>
        <w:jc w:val="center"/>
      </w:pPr>
      <w:r>
        <w:t>THE LEGISLATIVE ASSEMBLY</w:t>
      </w:r>
      <w:r>
        <w:br/>
        <w:t>FOR THE AUSTRALIAN CAPITAL TERRITORY</w:t>
      </w:r>
    </w:p>
    <w:p w14:paraId="64EE160D" w14:textId="77777777" w:rsidR="002B3534" w:rsidRDefault="002B3534">
      <w:pPr>
        <w:pBdr>
          <w:top w:val="nil"/>
          <w:left w:val="nil"/>
          <w:bottom w:val="single" w:sz="4" w:space="0" w:color="000000"/>
          <w:right w:val="nil"/>
          <w:between w:val="nil"/>
        </w:pBdr>
        <w:spacing w:before="100"/>
        <w:ind w:left="2980" w:right="3020"/>
        <w:jc w:val="both"/>
        <w:rPr>
          <w:color w:val="000000"/>
        </w:rPr>
      </w:pPr>
    </w:p>
    <w:p w14:paraId="1CD0CEFC" w14:textId="77777777" w:rsidR="002B3534" w:rsidRDefault="00805965">
      <w:pPr>
        <w:spacing w:before="120"/>
        <w:jc w:val="center"/>
      </w:pPr>
      <w:r>
        <w:t>(As presented)</w:t>
      </w:r>
    </w:p>
    <w:p w14:paraId="11A1605B" w14:textId="77777777" w:rsidR="002B3534" w:rsidRDefault="00805965">
      <w:pPr>
        <w:spacing w:before="240"/>
        <w:jc w:val="center"/>
      </w:pPr>
      <w:r>
        <w:t>(Ed Cocks)</w:t>
      </w:r>
    </w:p>
    <w:p w14:paraId="76FA4F7C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tabs>
          <w:tab w:val="left" w:pos="2400"/>
        </w:tabs>
        <w:spacing w:before="12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Long Service Leave (Portable Schemes) Amendment Bill 2026</w:t>
      </w:r>
    </w:p>
    <w:p w14:paraId="7BC82C5F" w14:textId="77777777" w:rsidR="002B3534" w:rsidRDefault="002B3534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60"/>
        <w:jc w:val="both"/>
        <w:rPr>
          <w:rFonts w:ascii="Arial" w:eastAsia="Arial" w:hAnsi="Arial" w:cs="Arial"/>
          <w:b/>
          <w:bCs/>
        </w:rPr>
      </w:pPr>
    </w:p>
    <w:p w14:paraId="495B411B" w14:textId="77777777" w:rsidR="002B3534" w:rsidRDefault="002B3534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60"/>
        <w:jc w:val="both"/>
        <w:rPr>
          <w:rFonts w:ascii="Arial" w:eastAsia="Arial" w:hAnsi="Arial" w:cs="Arial"/>
          <w:b/>
          <w:bCs/>
        </w:rPr>
      </w:pPr>
    </w:p>
    <w:p w14:paraId="4CDD87BE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tabs>
          <w:tab w:val="left" w:pos="2600"/>
        </w:tabs>
        <w:spacing w:before="32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 Bill for</w:t>
      </w:r>
    </w:p>
    <w:p w14:paraId="69AD632E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300"/>
        <w:jc w:val="both"/>
        <w:rPr>
          <w:i/>
          <w:iCs/>
          <w:color w:val="000000"/>
        </w:rPr>
      </w:pPr>
      <w:r>
        <w:rPr>
          <w:color w:val="000000"/>
        </w:rPr>
        <w:t xml:space="preserve">An Act to amend the </w:t>
      </w:r>
      <w:hyperlink r:id="rId8">
        <w:r>
          <w:rPr>
            <w:i/>
            <w:iCs/>
            <w:color w:val="0000FF"/>
            <w:u w:val="single"/>
          </w:rPr>
          <w:t>Long Service Leave (Portable Schemes) Act 2009</w:t>
        </w:r>
      </w:hyperlink>
      <w:r>
        <w:rPr>
          <w:i/>
          <w:iCs/>
        </w:rPr>
        <w:t xml:space="preserve"> </w:t>
      </w:r>
    </w:p>
    <w:p w14:paraId="3BC2CFC7" w14:textId="77777777" w:rsidR="002B3534" w:rsidRDefault="002B3534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60"/>
        <w:jc w:val="both"/>
        <w:rPr>
          <w:color w:val="000000"/>
        </w:rPr>
      </w:pPr>
    </w:p>
    <w:p w14:paraId="3BA9C6A2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color w:val="000000"/>
          <w:sz w:val="16"/>
          <w:szCs w:val="16"/>
        </w:rPr>
        <w:t xml:space="preserve">  </w:t>
      </w:r>
      <w:r>
        <w:rPr>
          <w:color w:val="000000"/>
          <w:sz w:val="10"/>
          <w:szCs w:val="10"/>
        </w:rPr>
        <w:t xml:space="preserve">  </w:t>
      </w:r>
    </w:p>
    <w:p w14:paraId="7B35F74F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 xml:space="preserve">    </w:t>
      </w:r>
    </w:p>
    <w:p w14:paraId="605D9652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 xml:space="preserve">    </w:t>
      </w:r>
    </w:p>
    <w:p w14:paraId="015CB51D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  <w:t xml:space="preserve">    </w:t>
      </w:r>
    </w:p>
    <w:p w14:paraId="5C9CCD89" w14:textId="77777777" w:rsidR="002B3534" w:rsidRDefault="002B3534">
      <w:pPr>
        <w:pBdr>
          <w:top w:val="nil"/>
          <w:left w:val="nil"/>
          <w:bottom w:val="nil"/>
          <w:right w:val="nil"/>
          <w:between w:val="nil"/>
        </w:pBdr>
        <w:spacing w:before="360"/>
        <w:jc w:val="right"/>
        <w:rPr>
          <w:i/>
          <w:iCs/>
          <w:color w:val="000000"/>
        </w:rPr>
      </w:pPr>
    </w:p>
    <w:p w14:paraId="0685DCDD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The Legislative Assembly for the Australian Capital Territory enacts as follows:</w:t>
      </w:r>
    </w:p>
    <w:p w14:paraId="5876ABED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"/>
          <w:szCs w:val="4"/>
        </w:rPr>
      </w:pPr>
      <w:r>
        <w:br w:type="page"/>
      </w:r>
    </w:p>
    <w:p w14:paraId="5BAE924A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BFBFBF"/>
        <w:tabs>
          <w:tab w:val="left" w:pos="1100"/>
        </w:tabs>
        <w:spacing w:before="240"/>
        <w:ind w:left="1100" w:hanging="110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1</w:t>
      </w:r>
      <w:r>
        <w:rPr>
          <w:rFonts w:ascii="Arial" w:eastAsia="Arial" w:hAnsi="Arial" w:cs="Arial"/>
          <w:b/>
          <w:bCs/>
          <w:color w:val="000000"/>
        </w:rPr>
        <w:tab/>
        <w:t>Name of Act</w:t>
      </w:r>
    </w:p>
    <w:p w14:paraId="532F1000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1100"/>
        <w:jc w:val="both"/>
        <w:rPr>
          <w:color w:val="000000"/>
        </w:rPr>
      </w:pPr>
      <w:r>
        <w:rPr>
          <w:color w:val="000000"/>
        </w:rPr>
        <w:t xml:space="preserve">This Act is the </w:t>
      </w:r>
      <w:r>
        <w:rPr>
          <w:i/>
          <w:iCs/>
        </w:rPr>
        <w:t xml:space="preserve">Long Service Leave (Portable Schemes) Amendment Act </w:t>
      </w:r>
      <w:r>
        <w:t>2026</w:t>
      </w:r>
    </w:p>
    <w:p w14:paraId="4F85B826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BFBFBF"/>
        <w:tabs>
          <w:tab w:val="left" w:pos="1100"/>
        </w:tabs>
        <w:spacing w:before="240"/>
        <w:ind w:left="1100" w:hanging="110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</w:rPr>
        <w:tab/>
        <w:t>Commencement</w:t>
      </w:r>
    </w:p>
    <w:p w14:paraId="57F67613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1100"/>
        <w:jc w:val="both"/>
        <w:rPr>
          <w:color w:val="000000"/>
        </w:rPr>
      </w:pPr>
      <w:r>
        <w:rPr>
          <w:color w:val="000000"/>
        </w:rPr>
        <w:t xml:space="preserve">This Act </w:t>
      </w:r>
      <w:r>
        <w:t xml:space="preserve">commences on the first day </w:t>
      </w:r>
      <w:r>
        <w:rPr>
          <w:color w:val="000000"/>
        </w:rPr>
        <w:t>after its notification day.</w:t>
      </w:r>
    </w:p>
    <w:p w14:paraId="251CA2CD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1900" w:hanging="800"/>
        <w:jc w:val="both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Note</w:t>
      </w:r>
      <w:r>
        <w:rPr>
          <w:i/>
          <w:iCs/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The naming and commencement provisions automatically commence on the notification day (see </w:t>
      </w:r>
      <w:hyperlink r:id="rId9">
        <w:r>
          <w:rPr>
            <w:color w:val="0000FF"/>
            <w:sz w:val="20"/>
            <w:szCs w:val="20"/>
          </w:rPr>
          <w:t>Legislation Act</w:t>
        </w:r>
      </w:hyperlink>
      <w:r>
        <w:rPr>
          <w:color w:val="000000"/>
          <w:sz w:val="20"/>
          <w:szCs w:val="20"/>
        </w:rPr>
        <w:t>, s 75 (1)).</w:t>
      </w:r>
    </w:p>
    <w:p w14:paraId="569E5B87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BFBFBF"/>
        <w:tabs>
          <w:tab w:val="left" w:pos="1100"/>
        </w:tabs>
        <w:spacing w:before="240"/>
        <w:ind w:left="1100" w:hanging="110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</w:rPr>
        <w:tab/>
        <w:t>Legislation amended</w:t>
      </w:r>
    </w:p>
    <w:p w14:paraId="142A27B5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1100"/>
        <w:jc w:val="both"/>
        <w:rPr>
          <w:color w:val="0000FF"/>
        </w:rPr>
      </w:pPr>
      <w:r>
        <w:rPr>
          <w:color w:val="000000"/>
        </w:rPr>
        <w:t xml:space="preserve">This Act amends </w:t>
      </w:r>
      <w:r>
        <w:t xml:space="preserve">the </w:t>
      </w:r>
      <w:hyperlink r:id="rId10">
        <w:r>
          <w:rPr>
            <w:i/>
            <w:iCs/>
            <w:color w:val="0000FF"/>
            <w:u w:val="single"/>
          </w:rPr>
          <w:t>Long Service Leave (Portable Schemes) Act 2009</w:t>
        </w:r>
      </w:hyperlink>
      <w:r>
        <w:rPr>
          <w:i/>
          <w:iCs/>
          <w:color w:val="0000FF"/>
        </w:rPr>
        <w:t xml:space="preserve"> </w:t>
      </w:r>
    </w:p>
    <w:p w14:paraId="3042002E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BFBFBF"/>
        <w:tabs>
          <w:tab w:val="left" w:pos="1100"/>
        </w:tabs>
        <w:spacing w:before="240"/>
        <w:ind w:left="1100" w:hanging="110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</w:rPr>
        <w:t>New Section 13A</w:t>
      </w:r>
    </w:p>
    <w:p w14:paraId="6F0DABBE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spacing w:before="140"/>
        <w:ind w:left="1100"/>
        <w:jc w:val="both"/>
        <w:rPr>
          <w:i/>
          <w:iCs/>
          <w:color w:val="000000"/>
        </w:rPr>
      </w:pPr>
      <w:r>
        <w:rPr>
          <w:i/>
          <w:iCs/>
        </w:rPr>
        <w:t>insert</w:t>
      </w:r>
    </w:p>
    <w:p w14:paraId="7A82795A" w14:textId="2412E4C0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1100"/>
      </w:pPr>
      <w:r>
        <w:rPr>
          <w:rFonts w:ascii="Arial" w:eastAsia="Arial" w:hAnsi="Arial" w:cs="Arial"/>
          <w:b/>
          <w:bCs/>
        </w:rPr>
        <w:t>13A Temporary exclusion—hairdressing and accommodation and food services industries</w:t>
      </w:r>
    </w:p>
    <w:p w14:paraId="7A767019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/>
        <w:jc w:val="both"/>
      </w:pPr>
      <w:r>
        <w:t>Despite this Act, an employer in:</w:t>
      </w:r>
    </w:p>
    <w:p w14:paraId="2CB75968" w14:textId="77777777" w:rsidR="002B3534" w:rsidRDefault="008059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the hairdressing and beauty services industry; or</w:t>
      </w:r>
    </w:p>
    <w:p w14:paraId="10EDBB08" w14:textId="77777777" w:rsidR="002B3534" w:rsidRDefault="008059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the accommodation and food services industry </w:t>
      </w:r>
    </w:p>
    <w:p w14:paraId="0B2CE9FE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spacing w:before="140"/>
        <w:ind w:left="720" w:firstLine="720"/>
        <w:jc w:val="both"/>
      </w:pPr>
      <w:r>
        <w:t>is not an employer for the services industry.</w:t>
      </w:r>
    </w:p>
    <w:p w14:paraId="55195EB5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0"/>
        <w:jc w:val="both"/>
      </w:pPr>
      <w:r>
        <w:t>Subsection 13</w:t>
      </w:r>
      <w:proofErr w:type="gramStart"/>
      <w:r>
        <w:t>A(</w:t>
      </w:r>
      <w:proofErr w:type="gramEnd"/>
      <w:r>
        <w:t>1) applies until a day fixed by the Minister by disallowable instrument.</w:t>
      </w:r>
    </w:p>
    <w:p w14:paraId="495330C0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The Minister must not fix a day before 1 July 2027.</w:t>
      </w:r>
    </w:p>
    <w:p w14:paraId="17821E47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The Minister may fix a day for industry only after a review is conducted. This review must:</w:t>
      </w:r>
    </w:p>
    <w:p w14:paraId="75D04C2D" w14:textId="77777777" w:rsidR="002B3534" w:rsidRDefault="008059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Be conducted by an appropriate independent party, </w:t>
      </w:r>
      <w:proofErr w:type="gramStart"/>
      <w:r>
        <w:t>who;</w:t>
      </w:r>
      <w:proofErr w:type="gramEnd"/>
    </w:p>
    <w:p w14:paraId="53075800" w14:textId="77777777" w:rsidR="002B3534" w:rsidRDefault="00805965">
      <w:pPr>
        <w:numPr>
          <w:ilvl w:val="2"/>
          <w:numId w:val="1"/>
        </w:numPr>
        <w:jc w:val="both"/>
      </w:pPr>
      <w:r>
        <w:t xml:space="preserve">Is </w:t>
      </w:r>
      <w:proofErr w:type="gramStart"/>
      <w:r>
        <w:t>not, and</w:t>
      </w:r>
      <w:proofErr w:type="gramEnd"/>
      <w:r>
        <w:t xml:space="preserve"> has not at any time in the 5 years before the appointment been, an ACT Government employee or office holder.</w:t>
      </w:r>
    </w:p>
    <w:p w14:paraId="5BC7E95D" w14:textId="77777777" w:rsidR="002B3534" w:rsidRDefault="0080596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>Is not, and has not at any time in the 5 years before the appointment been, an officer or employee of—</w:t>
      </w:r>
    </w:p>
    <w:p w14:paraId="1F508E2C" w14:textId="77777777" w:rsidR="002B3534" w:rsidRDefault="008059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an organisation registered under the </w:t>
      </w:r>
      <w:r>
        <w:rPr>
          <w:i/>
          <w:iCs/>
        </w:rPr>
        <w:t>Fair Work (Registered Organisations) Act 2009</w:t>
      </w:r>
      <w:r>
        <w:t xml:space="preserve"> (Cth); or</w:t>
      </w:r>
    </w:p>
    <w:p w14:paraId="706AEB59" w14:textId="77777777" w:rsidR="002B3534" w:rsidRDefault="008059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a peak body representing the interests of employers or employees.</w:t>
      </w:r>
    </w:p>
    <w:p w14:paraId="50D3AC78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The Minister must not fix a day for an industry unless the review conducted under subsection 13</w:t>
      </w:r>
      <w:proofErr w:type="gramStart"/>
      <w:r>
        <w:t>A(</w:t>
      </w:r>
      <w:proofErr w:type="gramEnd"/>
      <w:r>
        <w:t>4) contains a finding that applying this Act to the industry is unlikely to cause material adverse effects on business viability or employment in the ACT.</w:t>
      </w:r>
    </w:p>
    <w:p w14:paraId="638C4A3D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The Minister must table the review and a statement of reasons in the Legislative Assembly at least 9 sitting days before signing the disallowable instrument</w:t>
      </w:r>
    </w:p>
    <w:p w14:paraId="1808ED6A" w14:textId="77777777" w:rsidR="002B3534" w:rsidRDefault="008059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A day may be fixed separately for each industry.</w:t>
      </w:r>
    </w:p>
    <w:p w14:paraId="2988BA86" w14:textId="77777777" w:rsidR="002B3534" w:rsidRDefault="002B3534">
      <w:pPr>
        <w:pBdr>
          <w:top w:val="nil"/>
          <w:left w:val="nil"/>
          <w:bottom w:val="nil"/>
          <w:right w:val="nil"/>
          <w:between w:val="nil"/>
        </w:pBdr>
        <w:spacing w:before="140"/>
        <w:ind w:left="1100"/>
        <w:jc w:val="both"/>
      </w:pPr>
    </w:p>
    <w:p w14:paraId="7D68774D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160"/>
        <w:ind w:left="700" w:hanging="70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Endnotes</w:t>
      </w:r>
    </w:p>
    <w:p w14:paraId="2BB5AFE6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240"/>
        <w:ind w:left="700" w:hanging="70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>Presentation speech</w:t>
      </w:r>
    </w:p>
    <w:p w14:paraId="7429C5D2" w14:textId="44DE59C7" w:rsidR="002B3534" w:rsidRDefault="00805965">
      <w:pPr>
        <w:pBdr>
          <w:top w:val="nil"/>
          <w:left w:val="nil"/>
          <w:bottom w:val="nil"/>
          <w:right w:val="nil"/>
          <w:between w:val="nil"/>
        </w:pBdr>
        <w:tabs>
          <w:tab w:val="left" w:pos="700"/>
          <w:tab w:val="right" w:pos="6160"/>
        </w:tabs>
        <w:spacing w:before="80"/>
        <w:ind w:left="700" w:hanging="70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Presentation speech made in the Legislative Assembly on</w:t>
      </w:r>
      <w:r>
        <w:rPr>
          <w:sz w:val="20"/>
          <w:szCs w:val="20"/>
        </w:rPr>
        <w:t xml:space="preserve"> </w:t>
      </w:r>
      <w:r w:rsidR="009B0251">
        <w:rPr>
          <w:sz w:val="20"/>
          <w:szCs w:val="20"/>
        </w:rPr>
        <w:t xml:space="preserve">5 </w:t>
      </w:r>
      <w:r>
        <w:rPr>
          <w:sz w:val="20"/>
          <w:szCs w:val="20"/>
        </w:rPr>
        <w:t>May 2026</w:t>
      </w:r>
      <w:r>
        <w:rPr>
          <w:color w:val="000000"/>
          <w:sz w:val="20"/>
          <w:szCs w:val="20"/>
        </w:rPr>
        <w:t>.</w:t>
      </w:r>
    </w:p>
    <w:p w14:paraId="0196FD22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240"/>
        <w:ind w:left="700" w:hanging="70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>Notification</w:t>
      </w:r>
    </w:p>
    <w:p w14:paraId="1879ADF0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tabs>
          <w:tab w:val="left" w:pos="700"/>
          <w:tab w:val="right" w:pos="6160"/>
        </w:tabs>
        <w:spacing w:before="80"/>
        <w:ind w:left="700" w:hanging="70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Notified under the </w:t>
      </w:r>
      <w:hyperlink r:id="rId11">
        <w:r>
          <w:rPr>
            <w:color w:val="0000FF"/>
            <w:sz w:val="20"/>
            <w:szCs w:val="20"/>
          </w:rPr>
          <w:t>Legislation Act</w:t>
        </w:r>
      </w:hyperlink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on</w:t>
      </w:r>
      <w:proofErr w:type="gramEnd"/>
      <w:r>
        <w:rPr>
          <w:color w:val="000000"/>
          <w:sz w:val="20"/>
          <w:szCs w:val="20"/>
        </w:rPr>
        <w:tab/>
        <w:t>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.</w:t>
      </w:r>
    </w:p>
    <w:p w14:paraId="0F128697" w14:textId="77777777" w:rsidR="002B3534" w:rsidRDefault="0080596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240"/>
        <w:ind w:left="700" w:hanging="70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>Republications of amended laws</w:t>
      </w:r>
    </w:p>
    <w:p w14:paraId="54C208E3" w14:textId="77777777" w:rsidR="002B3534" w:rsidRDefault="00805965">
      <w:pPr>
        <w:pBdr>
          <w:top w:val="nil"/>
          <w:left w:val="nil"/>
          <w:bottom w:val="nil"/>
          <w:right w:val="nil"/>
          <w:between w:val="nil"/>
        </w:pBdr>
        <w:tabs>
          <w:tab w:val="left" w:pos="700"/>
          <w:tab w:val="right" w:pos="6160"/>
        </w:tabs>
        <w:spacing w:before="80"/>
        <w:ind w:left="700" w:hanging="70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For the latest republication of amended laws, see </w:t>
      </w:r>
      <w:hyperlink r:id="rId12">
        <w:r>
          <w:rPr>
            <w:color w:val="0000FF"/>
            <w:sz w:val="20"/>
            <w:szCs w:val="20"/>
          </w:rPr>
          <w:t>www.legislation.act.gov.au</w:t>
        </w:r>
      </w:hyperlink>
      <w:r>
        <w:rPr>
          <w:color w:val="000000"/>
          <w:sz w:val="20"/>
          <w:szCs w:val="20"/>
        </w:rPr>
        <w:t>.</w:t>
      </w:r>
    </w:p>
    <w:p w14:paraId="32DBCD3C" w14:textId="77777777" w:rsidR="002B3534" w:rsidRDefault="002B3534">
      <w:pPr>
        <w:pBdr>
          <w:top w:val="nil"/>
          <w:left w:val="nil"/>
          <w:bottom w:val="single" w:sz="8" w:space="0" w:color="000000"/>
          <w:right w:val="nil"/>
          <w:between w:val="nil"/>
        </w:pBdr>
        <w:rPr>
          <w:color w:val="000000"/>
        </w:rPr>
        <w:sectPr w:rsidR="002B353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/>
          <w:pgMar w:top="3880" w:right="1900" w:bottom="3100" w:left="2300" w:header="1440" w:footer="1760" w:gutter="0"/>
          <w:lnNumType w:countBy="1"/>
          <w:pgNumType w:start="1"/>
          <w:cols w:space="720"/>
          <w:titlePg/>
        </w:sectPr>
      </w:pPr>
    </w:p>
    <w:p w14:paraId="355D5402" w14:textId="77777777" w:rsidR="002B3534" w:rsidRDefault="002B3534"/>
    <w:p w14:paraId="586CA911" w14:textId="77777777" w:rsidR="002B3534" w:rsidRDefault="002B3534"/>
    <w:p w14:paraId="5B9ED0EF" w14:textId="77777777" w:rsidR="002B3534" w:rsidRDefault="002B3534"/>
    <w:p w14:paraId="76C23FE8" w14:textId="77777777" w:rsidR="002B3534" w:rsidRDefault="002B3534"/>
    <w:p w14:paraId="151A9461" w14:textId="77777777" w:rsidR="002B3534" w:rsidRDefault="00805965">
      <w:pPr>
        <w:jc w:val="center"/>
        <w:rPr>
          <w:sz w:val="18"/>
          <w:szCs w:val="18"/>
        </w:rPr>
      </w:pPr>
      <w:r>
        <w:rPr>
          <w:sz w:val="18"/>
          <w:szCs w:val="18"/>
        </w:rPr>
        <w:t>© Australian Capital Territory 2026</w:t>
      </w:r>
    </w:p>
    <w:sectPr w:rsidR="002B3534">
      <w:headerReference w:type="even" r:id="rId19"/>
      <w:headerReference w:type="default" r:id="rId20"/>
      <w:headerReference w:type="first" r:id="rId21"/>
      <w:type w:val="continuous"/>
      <w:pgSz w:w="11907" w:h="16839"/>
      <w:pgMar w:top="3000" w:right="1900" w:bottom="2500" w:left="2300" w:header="2480" w:footer="2100" w:gutter="0"/>
      <w:lnNumType w:countBy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2BBF9" w14:textId="77777777" w:rsidR="00805965" w:rsidRDefault="00805965">
      <w:r>
        <w:separator/>
      </w:r>
    </w:p>
  </w:endnote>
  <w:endnote w:type="continuationSeparator" w:id="0">
    <w:p w14:paraId="2AB1D2F7" w14:textId="77777777" w:rsidR="00805965" w:rsidRDefault="00805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E15F40-4713-4F2B-BDC0-9DFA8C2BAE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FE0345-BF40-4074-8FC5-6FDBA3708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8D97" w14:textId="77777777" w:rsidR="002B3534" w:rsidRDefault="002B3534">
    <w:pPr>
      <w:rPr>
        <w:sz w:val="16"/>
        <w:szCs w:val="16"/>
      </w:rPr>
    </w:pPr>
  </w:p>
  <w:tbl>
    <w:tblPr>
      <w:tblStyle w:val="a1"/>
      <w:tblW w:w="7707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06"/>
      <w:gridCol w:w="4766"/>
      <w:gridCol w:w="1635"/>
    </w:tblGrid>
    <w:tr w:rsidR="002B3534" w14:paraId="2E82BC33" w14:textId="77777777">
      <w:tc>
        <w:tcPr>
          <w:tcW w:w="1306" w:type="dxa"/>
        </w:tcPr>
        <w:p w14:paraId="10B6A144" w14:textId="7509EF0D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page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082F05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2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</w:p>
      </w:tc>
      <w:tc>
        <w:tcPr>
          <w:tcW w:w="4766" w:type="dxa"/>
        </w:tcPr>
        <w:p w14:paraId="49556526" w14:textId="77777777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color w:val="000000"/>
            </w:rPr>
          </w:pPr>
          <w:r>
            <w:rPr>
              <w:rFonts w:ascii="Arial" w:eastAsia="Arial" w:hAnsi="Arial" w:cs="Arial"/>
              <w:sz w:val="18"/>
              <w:szCs w:val="18"/>
            </w:rPr>
            <w:t>Long Service Leave (Portable Schemes) Amendment Act 2026</w:t>
          </w:r>
        </w:p>
      </w:tc>
      <w:tc>
        <w:tcPr>
          <w:tcW w:w="1635" w:type="dxa"/>
        </w:tcPr>
        <w:p w14:paraId="6C164C87" w14:textId="154FA65D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righ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br/>
          </w:r>
        </w:p>
      </w:tc>
    </w:tr>
  </w:tbl>
  <w:p w14:paraId="687AAC65" w14:textId="335007A6" w:rsidR="002B3534" w:rsidRPr="006878A3" w:rsidRDefault="006878A3" w:rsidP="006878A3">
    <w:pPr>
      <w:pBdr>
        <w:top w:val="nil"/>
        <w:left w:val="nil"/>
        <w:bottom w:val="nil"/>
        <w:right w:val="nil"/>
        <w:between w:val="nil"/>
      </w:pBdr>
      <w:spacing w:before="280"/>
      <w:jc w:val="center"/>
      <w:rPr>
        <w:rFonts w:ascii="Arial" w:eastAsia="Arial" w:hAnsi="Arial" w:cs="Arial"/>
        <w:color w:val="000000"/>
        <w:sz w:val="14"/>
        <w:szCs w:val="14"/>
      </w:rPr>
    </w:pPr>
    <w:r w:rsidRPr="006878A3">
      <w:rPr>
        <w:rFonts w:ascii="Arial" w:eastAsia="Arial" w:hAnsi="Arial" w:cs="Arial"/>
        <w:color w:val="000000"/>
        <w:sz w:val="14"/>
        <w:szCs w:val="14"/>
      </w:rPr>
      <w:t>Unauthorised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626B" w14:textId="77777777" w:rsidR="002B3534" w:rsidRDefault="002B3534">
    <w:pPr>
      <w:rPr>
        <w:sz w:val="16"/>
        <w:szCs w:val="16"/>
      </w:rPr>
    </w:pPr>
  </w:p>
  <w:tbl>
    <w:tblPr>
      <w:tblStyle w:val="a2"/>
      <w:tblW w:w="7707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635"/>
      <w:gridCol w:w="4766"/>
      <w:gridCol w:w="1306"/>
    </w:tblGrid>
    <w:tr w:rsidR="002B3534" w14:paraId="44F797E0" w14:textId="77777777">
      <w:tc>
        <w:tcPr>
          <w:tcW w:w="1635" w:type="dxa"/>
        </w:tcPr>
        <w:p w14:paraId="5AE94E54" w14:textId="110D8A7F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br/>
          </w:r>
        </w:p>
      </w:tc>
      <w:tc>
        <w:tcPr>
          <w:tcW w:w="4766" w:type="dxa"/>
        </w:tcPr>
        <w:p w14:paraId="436ED3D8" w14:textId="77777777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Long Service Leave (Portable Schemes) Amendment Act 2026</w:t>
          </w:r>
        </w:p>
        <w:p w14:paraId="0DC1CB75" w14:textId="2FC8CECB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707"/>
            </w:tabs>
            <w:spacing w:before="60"/>
            <w:jc w:val="center"/>
            <w:rPr>
              <w:color w:val="000000"/>
            </w:rPr>
          </w:pPr>
        </w:p>
      </w:tc>
      <w:tc>
        <w:tcPr>
          <w:tcW w:w="1306" w:type="dxa"/>
        </w:tcPr>
        <w:p w14:paraId="5EA6EDA4" w14:textId="3EF1A46C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righ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page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082F05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3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</w:p>
      </w:tc>
    </w:tr>
  </w:tbl>
  <w:p w14:paraId="698A4A68" w14:textId="66F3D570" w:rsidR="002B3534" w:rsidRPr="006878A3" w:rsidRDefault="006878A3" w:rsidP="006878A3">
    <w:pPr>
      <w:pBdr>
        <w:top w:val="nil"/>
        <w:left w:val="nil"/>
        <w:bottom w:val="nil"/>
        <w:right w:val="nil"/>
        <w:between w:val="nil"/>
      </w:pBdr>
      <w:spacing w:before="280"/>
      <w:jc w:val="center"/>
      <w:rPr>
        <w:rFonts w:ascii="Arial" w:eastAsia="Arial" w:hAnsi="Arial" w:cs="Arial"/>
        <w:color w:val="000000"/>
        <w:sz w:val="14"/>
        <w:szCs w:val="14"/>
      </w:rPr>
    </w:pPr>
    <w:r w:rsidRPr="006878A3">
      <w:rPr>
        <w:rFonts w:ascii="Arial" w:eastAsia="Arial" w:hAnsi="Arial" w:cs="Arial"/>
        <w:color w:val="000000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9BF22" w14:textId="77777777" w:rsidR="002B3534" w:rsidRDefault="002B3534">
    <w:pPr>
      <w:rPr>
        <w:sz w:val="16"/>
        <w:szCs w:val="16"/>
      </w:rPr>
    </w:pPr>
  </w:p>
  <w:p w14:paraId="12F66694" w14:textId="77777777" w:rsidR="002B3534" w:rsidRDefault="00805965">
    <w:pPr>
      <w:pBdr>
        <w:top w:val="single" w:sz="4" w:space="1" w:color="000000"/>
      </w:pBdr>
      <w:tabs>
        <w:tab w:val="right" w:pos="7320"/>
      </w:tabs>
      <w:spacing w:before="60"/>
      <w:rPr>
        <w:rFonts w:ascii="Arial" w:eastAsia="Arial" w:hAnsi="Arial" w:cs="Arial"/>
        <w:sz w:val="12"/>
        <w:szCs w:val="12"/>
      </w:rPr>
    </w:pPr>
    <w:r>
      <w:rPr>
        <w:rFonts w:ascii="Arial" w:eastAsia="Arial" w:hAnsi="Arial" w:cs="Arial"/>
        <w:sz w:val="12"/>
        <w:szCs w:val="12"/>
      </w:rPr>
      <w:t>J2026</w:t>
    </w:r>
  </w:p>
  <w:p w14:paraId="11C9EC79" w14:textId="4E993785" w:rsidR="002B3534" w:rsidRPr="006878A3" w:rsidRDefault="006878A3" w:rsidP="006878A3">
    <w:pPr>
      <w:pBdr>
        <w:top w:val="nil"/>
        <w:left w:val="nil"/>
        <w:bottom w:val="nil"/>
        <w:right w:val="nil"/>
        <w:between w:val="nil"/>
      </w:pBdr>
      <w:spacing w:before="280"/>
      <w:jc w:val="center"/>
      <w:rPr>
        <w:rFonts w:ascii="Arial" w:eastAsia="Arial" w:hAnsi="Arial" w:cs="Arial"/>
        <w:color w:val="000000"/>
        <w:sz w:val="14"/>
        <w:szCs w:val="14"/>
      </w:rPr>
    </w:pPr>
    <w:r w:rsidRPr="006878A3">
      <w:rPr>
        <w:rFonts w:ascii="Arial" w:eastAsia="Arial" w:hAnsi="Arial" w:cs="Arial"/>
        <w:color w:val="000000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91F1E" w14:textId="77777777" w:rsidR="00805965" w:rsidRDefault="00805965">
      <w:r>
        <w:separator/>
      </w:r>
    </w:p>
  </w:footnote>
  <w:footnote w:type="continuationSeparator" w:id="0">
    <w:p w14:paraId="47C367D7" w14:textId="77777777" w:rsidR="00805965" w:rsidRDefault="00805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70821" w14:textId="77777777" w:rsidR="002B3534" w:rsidRDefault="002B353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18"/>
        <w:szCs w:val="18"/>
      </w:rPr>
    </w:pPr>
  </w:p>
  <w:tbl>
    <w:tblPr>
      <w:tblStyle w:val="a"/>
      <w:tblW w:w="7707" w:type="dxa"/>
      <w:tblInd w:w="0" w:type="dxa"/>
      <w:tblLayout w:type="fixed"/>
      <w:tblLook w:val="0000" w:firstRow="0" w:lastRow="0" w:firstColumn="0" w:lastColumn="0" w:noHBand="0" w:noVBand="0"/>
    </w:tblPr>
    <w:tblGrid>
      <w:gridCol w:w="1642"/>
      <w:gridCol w:w="6065"/>
    </w:tblGrid>
    <w:tr w:rsidR="002B3534" w14:paraId="6DA5E228" w14:textId="77777777">
      <w:tc>
        <w:tcPr>
          <w:tcW w:w="1642" w:type="dxa"/>
        </w:tcPr>
        <w:p w14:paraId="37CFBC5F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</w:p>
      </w:tc>
      <w:tc>
        <w:tcPr>
          <w:tcW w:w="6065" w:type="dxa"/>
        </w:tcPr>
        <w:p w14:paraId="377A65F3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2B3534" w14:paraId="4F3C11C2" w14:textId="77777777">
      <w:tc>
        <w:tcPr>
          <w:tcW w:w="1642" w:type="dxa"/>
        </w:tcPr>
        <w:p w14:paraId="0FE2124B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</w:p>
      </w:tc>
      <w:tc>
        <w:tcPr>
          <w:tcW w:w="6065" w:type="dxa"/>
        </w:tcPr>
        <w:p w14:paraId="6EE4812A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2B3534" w14:paraId="6EA21AA6" w14:textId="77777777">
      <w:trPr>
        <w:cantSplit/>
      </w:trPr>
      <w:tc>
        <w:tcPr>
          <w:tcW w:w="7707" w:type="dxa"/>
          <w:gridSpan w:val="2"/>
          <w:tcBorders>
            <w:bottom w:val="single" w:sz="4" w:space="0" w:color="000000"/>
          </w:tcBorders>
        </w:tcPr>
        <w:p w14:paraId="4E820FB9" w14:textId="15079C23" w:rsidR="002B3534" w:rsidRDefault="0080596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60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0A12C4">
            <w:rPr>
              <w:rFonts w:ascii="Arial" w:hAnsi="Arial" w:cs="Arial"/>
              <w:sz w:val="18"/>
              <w:szCs w:val="18"/>
            </w:rPr>
            <w:fldChar w:fldCharType="begin"/>
          </w:r>
          <w:r w:rsidRPr="000A12C4">
            <w:rPr>
              <w:rFonts w:ascii="Arial" w:hAnsi="Arial" w:cs="Arial"/>
              <w:sz w:val="18"/>
              <w:szCs w:val="18"/>
            </w:rPr>
            <w:instrText xml:space="preserve"> DOCPROPERTY "Company"</w:instrText>
          </w:r>
          <w:r w:rsidRPr="000A12C4">
            <w:rPr>
              <w:rFonts w:ascii="Arial" w:hAnsi="Arial" w:cs="Arial"/>
              <w:sz w:val="18"/>
              <w:szCs w:val="18"/>
            </w:rPr>
            <w:fldChar w:fldCharType="separate"/>
          </w:r>
          <w:r w:rsidR="008D1D1E">
            <w:rPr>
              <w:rFonts w:ascii="Arial" w:hAnsi="Arial" w:cs="Arial"/>
              <w:sz w:val="18"/>
              <w:szCs w:val="18"/>
            </w:rPr>
            <w:t>Section</w:t>
          </w:r>
          <w:r w:rsidRPr="000A12C4">
            <w:rPr>
              <w:rFonts w:ascii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1</w:t>
          </w:r>
        </w:p>
      </w:tc>
    </w:tr>
  </w:tbl>
  <w:p w14:paraId="5BE54877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1C178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C72EF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6DC9A" w14:textId="77777777" w:rsidR="002B3534" w:rsidRDefault="002B353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7707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646"/>
      <w:gridCol w:w="6061"/>
    </w:tblGrid>
    <w:tr w:rsidR="002B3534" w14:paraId="045C4DDE" w14:textId="77777777">
      <w:trPr>
        <w:jc w:val="center"/>
      </w:trPr>
      <w:tc>
        <w:tcPr>
          <w:tcW w:w="1646" w:type="dxa"/>
        </w:tcPr>
        <w:p w14:paraId="1019C050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0"/>
            </w:tabs>
            <w:ind w:left="697" w:hanging="697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6061" w:type="dxa"/>
        </w:tcPr>
        <w:p w14:paraId="46F371A9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0"/>
            </w:tabs>
            <w:ind w:left="697" w:hanging="697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2B3534" w14:paraId="290753E6" w14:textId="77777777">
      <w:trPr>
        <w:jc w:val="center"/>
      </w:trPr>
      <w:tc>
        <w:tcPr>
          <w:tcW w:w="1646" w:type="dxa"/>
        </w:tcPr>
        <w:p w14:paraId="6423FF95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0"/>
            </w:tabs>
            <w:ind w:left="697" w:hanging="697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6061" w:type="dxa"/>
        </w:tcPr>
        <w:p w14:paraId="5410F156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0"/>
            </w:tabs>
            <w:ind w:left="697" w:hanging="697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2B3534" w14:paraId="0AF2680B" w14:textId="77777777">
      <w:trPr>
        <w:cantSplit/>
        <w:jc w:val="center"/>
      </w:trPr>
      <w:tc>
        <w:tcPr>
          <w:tcW w:w="7707" w:type="dxa"/>
          <w:gridSpan w:val="2"/>
          <w:tcBorders>
            <w:bottom w:val="single" w:sz="4" w:space="0" w:color="000000"/>
          </w:tcBorders>
        </w:tcPr>
        <w:p w14:paraId="192A685D" w14:textId="77777777" w:rsidR="002B3534" w:rsidRDefault="002B3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700"/>
            </w:tabs>
            <w:spacing w:before="120" w:after="60"/>
            <w:ind w:left="697" w:hanging="697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</w:tbl>
  <w:p w14:paraId="108E2093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D3330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B390E" w14:textId="77777777" w:rsidR="002B3534" w:rsidRDefault="002B35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414E6"/>
    <w:multiLevelType w:val="multilevel"/>
    <w:tmpl w:val="E9F4C0A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751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534"/>
    <w:rsid w:val="00082F05"/>
    <w:rsid w:val="000A12C4"/>
    <w:rsid w:val="002B3534"/>
    <w:rsid w:val="0031024A"/>
    <w:rsid w:val="0038776F"/>
    <w:rsid w:val="006878A3"/>
    <w:rsid w:val="00805965"/>
    <w:rsid w:val="008D1D1E"/>
    <w:rsid w:val="00996EEE"/>
    <w:rsid w:val="009A4C3C"/>
    <w:rsid w:val="009B0251"/>
    <w:rsid w:val="00D429B9"/>
    <w:rsid w:val="00F5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6223F2"/>
  <w15:docId w15:val="{9BC6E479-E399-4F21-B116-384ED7C56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tabs>
          <w:tab w:val="left" w:pos="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tabs>
        <w:tab w:val="left" w:pos="2880"/>
      </w:tabs>
      <w:spacing w:before="480" w:after="1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hd w:val="clear" w:color="auto" w:fill="E0E0E0"/>
      <w:spacing w:before="320" w:after="6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4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08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lation.act.gov.au/a/2009-25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://www.legislation.act.gov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egislation.act.gov.au/a/2001-1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s://www.legislation.act.gov.au/a/2009-25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legislation.act.gov.au/a/2001-14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YehtP/O9yMZLZAvq2jn4YkQXQ==">CgMxLjA4AHIhMWNsamtEcDdsSVZZSkQ0dk03U0RsYnllMEN0azRoTG1D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2349</Characters>
  <Application>Microsoft Office Word</Application>
  <DocSecurity>0</DocSecurity>
  <Lines>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Section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Moxon, KarenL</dc:creator>
  <cp:lastModifiedBy>Moxon, KarenL</cp:lastModifiedBy>
  <cp:revision>5</cp:revision>
  <dcterms:created xsi:type="dcterms:W3CDTF">2026-05-05T02:43:00Z</dcterms:created>
  <dcterms:modified xsi:type="dcterms:W3CDTF">2026-05-05T05:54:00Z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Category</vt:lpwstr>
  </property>
  <property fmtid="{D5CDD505-2E9C-101B-9397-08002B2CF9AE}" pid="3" name="Company">
    <vt:lpwstr>Section</vt:lpwstr>
  </property>
  <property fmtid="{D5CDD505-2E9C-101B-9397-08002B2CF9AE}" pid="4" name="Eff">
    <vt:lpwstr>Eff</vt:lpwstr>
  </property>
  <property fmtid="{D5CDD505-2E9C-101B-9397-08002B2CF9AE}" pid="5" name="StartDt">
    <vt:lpwstr>StartDt</vt:lpwstr>
  </property>
  <property fmtid="{D5CDD505-2E9C-101B-9397-08002B2CF9AE}" pid="6" name="EndDt">
    <vt:lpwstr>  </vt:lpwstr>
  </property>
  <property fmtid="{D5CDD505-2E9C-101B-9397-08002B2CF9AE}" pid="7" name="RepubDt">
    <vt:lpwstr>RepubDt</vt:lpwstr>
  </property>
  <property fmtid="{D5CDD505-2E9C-101B-9397-08002B2CF9AE}" pid="8" name="Status">
    <vt:lpwstr>Status</vt:lpwstr>
  </property>
  <property fmtid="{D5CDD505-2E9C-101B-9397-08002B2CF9AE}" pid="9" name="Security">
    <vt:lpwstr>Security</vt:lpwstr>
  </property>
  <property fmtid="{D5CDD505-2E9C-101B-9397-08002B2CF9AE}" pid="10" name="MSIP_Label_69af8531-eb46-4968-8cb3-105d2f5ea87e_Enabled">
    <vt:lpwstr>true</vt:lpwstr>
  </property>
  <property fmtid="{D5CDD505-2E9C-101B-9397-08002B2CF9AE}" pid="11" name="MSIP_Label_69af8531-eb46-4968-8cb3-105d2f5ea87e_SetDate">
    <vt:lpwstr>2024-09-17T05:49:14Z</vt:lpwstr>
  </property>
  <property fmtid="{D5CDD505-2E9C-101B-9397-08002B2CF9AE}" pid="12" name="MSIP_Label_69af8531-eb46-4968-8cb3-105d2f5ea87e_Method">
    <vt:lpwstr>Standard</vt:lpwstr>
  </property>
  <property fmtid="{D5CDD505-2E9C-101B-9397-08002B2CF9AE}" pid="13" name="MSIP_Label_69af8531-eb46-4968-8cb3-105d2f5ea87e_Name">
    <vt:lpwstr>Official - No Marking</vt:lpwstr>
  </property>
  <property fmtid="{D5CDD505-2E9C-101B-9397-08002B2CF9AE}" pid="14" name="MSIP_Label_69af8531-eb46-4968-8cb3-105d2f5ea87e_SiteId">
    <vt:lpwstr>b46c1908-0334-4236-b978-585ee88e4199</vt:lpwstr>
  </property>
  <property fmtid="{D5CDD505-2E9C-101B-9397-08002B2CF9AE}" pid="15" name="MSIP_Label_69af8531-eb46-4968-8cb3-105d2f5ea87e_ActionId">
    <vt:lpwstr>29aba93e-99ef-4a06-8959-cb80b92f9979</vt:lpwstr>
  </property>
  <property fmtid="{D5CDD505-2E9C-101B-9397-08002B2CF9AE}" pid="16" name="MSIP_Label_69af8531-eb46-4968-8cb3-105d2f5ea87e_ContentBits">
    <vt:lpwstr>0</vt:lpwstr>
  </property>
  <property fmtid="{D5CDD505-2E9C-101B-9397-08002B2CF9AE}" pid="17" name="Client">
    <vt:lpwstr>Taimus Werner-Gibbings</vt:lpwstr>
  </property>
  <property fmtid="{D5CDD505-2E9C-101B-9397-08002B2CF9AE}" pid="18" name="ClientName1">
    <vt:lpwstr>Cathy Day</vt:lpwstr>
  </property>
  <property fmtid="{D5CDD505-2E9C-101B-9397-08002B2CF9AE}" pid="19" name="ClientEmail1">
    <vt:lpwstr>CathyL.Day@parliament.act.gov.au</vt:lpwstr>
  </property>
  <property fmtid="{D5CDD505-2E9C-101B-9397-08002B2CF9AE}" pid="20" name="ClientPh1">
    <vt:lpwstr>62050145</vt:lpwstr>
  </property>
  <property fmtid="{D5CDD505-2E9C-101B-9397-08002B2CF9AE}" pid="21" name="ClientName2">
    <vt:lpwstr>Ben Walker</vt:lpwstr>
  </property>
  <property fmtid="{D5CDD505-2E9C-101B-9397-08002B2CF9AE}" pid="22" name="ClientEmail2">
    <vt:lpwstr>BenM.Walker@parliament.act.gov.au</vt:lpwstr>
  </property>
  <property fmtid="{D5CDD505-2E9C-101B-9397-08002B2CF9AE}" pid="23" name="ClientPh2">
    <vt:lpwstr>62051963</vt:lpwstr>
  </property>
  <property fmtid="{D5CDD505-2E9C-101B-9397-08002B2CF9AE}" pid="24" name="jobType">
    <vt:lpwstr>Drafting</vt:lpwstr>
  </property>
  <property fmtid="{D5CDD505-2E9C-101B-9397-08002B2CF9AE}" pid="25" name="DMSID">
    <vt:lpwstr>15026748</vt:lpwstr>
  </property>
  <property fmtid="{D5CDD505-2E9C-101B-9397-08002B2CF9AE}" pid="26" name="JMSREQUIREDCHECKIN">
    <vt:lpwstr/>
  </property>
  <property fmtid="{D5CDD505-2E9C-101B-9397-08002B2CF9AE}" pid="27" name="CHECKEDOUTFROMJMS">
    <vt:lpwstr/>
  </property>
  <property fmtid="{D5CDD505-2E9C-101B-9397-08002B2CF9AE}" pid="28" name="Citation">
    <vt:lpwstr>Juries (Peremptory Challenges) Amendment Bill 2025</vt:lpwstr>
  </property>
  <property fmtid="{D5CDD505-2E9C-101B-9397-08002B2CF9AE}" pid="29" name="AmCitation">
    <vt:lpwstr>Juries Act 1967</vt:lpwstr>
  </property>
  <property fmtid="{D5CDD505-2E9C-101B-9397-08002B2CF9AE}" pid="30" name="ActName">
    <vt:lpwstr>ActName</vt:lpwstr>
  </property>
  <property fmtid="{D5CDD505-2E9C-101B-9397-08002B2CF9AE}" pid="31" name="DrafterName">
    <vt:lpwstr>Lewis Pope</vt:lpwstr>
  </property>
  <property fmtid="{D5CDD505-2E9C-101B-9397-08002B2CF9AE}" pid="32" name="DrafterEmail">
    <vt:lpwstr>lewis.pope@act.gov.au</vt:lpwstr>
  </property>
  <property fmtid="{D5CDD505-2E9C-101B-9397-08002B2CF9AE}" pid="33" name="DrafterPh">
    <vt:lpwstr>(02) 6205 3771</vt:lpwstr>
  </property>
  <property fmtid="{D5CDD505-2E9C-101B-9397-08002B2CF9AE}" pid="34" name="SettlerName">
    <vt:lpwstr>Clare Steller</vt:lpwstr>
  </property>
  <property fmtid="{D5CDD505-2E9C-101B-9397-08002B2CF9AE}" pid="35" name="SettlerEmail">
    <vt:lpwstr>clare.steller@act.gov.au</vt:lpwstr>
  </property>
  <property fmtid="{D5CDD505-2E9C-101B-9397-08002B2CF9AE}" pid="36" name="SettlerPh">
    <vt:lpwstr>62054731</vt:lpwstr>
  </property>
</Properties>
</file>