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62" w:rsidRDefault="002F30FB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273562" w:rsidRDefault="002F30FB">
      <w:pPr>
        <w:pStyle w:val="Billname"/>
        <w:spacing w:before="700"/>
      </w:pPr>
      <w:r>
        <w:t xml:space="preserve">Road Transport (General) - Declaration that the road transport legislation does not apply to certain roads and road related areas 2002 </w:t>
      </w:r>
      <w:r>
        <w:br/>
        <w:t>(No.7)</w:t>
      </w:r>
    </w:p>
    <w:p w:rsidR="00273562" w:rsidRDefault="002F30FB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Disallowable instrument DI2002—195</w:t>
      </w:r>
    </w:p>
    <w:p w:rsidR="00273562" w:rsidRDefault="002F30FB">
      <w:pPr>
        <w:pStyle w:val="madeunder"/>
      </w:pPr>
      <w:r>
        <w:t>made under the</w:t>
      </w:r>
    </w:p>
    <w:p w:rsidR="00273562" w:rsidRDefault="002F30FB">
      <w:pPr>
        <w:pStyle w:val="CoverActName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  <w:iCs/>
        </w:rPr>
        <w:t>Road Transport (General) Act 1999</w:t>
      </w:r>
      <w:r>
        <w:rPr>
          <w:rFonts w:ascii="Times New Roman" w:hAnsi="Times New Roman" w:cs="Times New Roman"/>
        </w:rPr>
        <w:t>, s12  (Power to include or exclude areas in road transport legislation)</w:t>
      </w:r>
    </w:p>
    <w:bookmarkEnd w:id="1"/>
    <w:p w:rsidR="00273562" w:rsidRDefault="00273562">
      <w:pPr>
        <w:pStyle w:val="N-line3"/>
        <w:pBdr>
          <w:bottom w:val="none" w:sz="0" w:space="0" w:color="auto"/>
        </w:pBdr>
      </w:pPr>
    </w:p>
    <w:p w:rsidR="00273562" w:rsidRDefault="00273562">
      <w:pPr>
        <w:pStyle w:val="N-line3"/>
        <w:pBdr>
          <w:top w:val="single" w:sz="12" w:space="1" w:color="auto"/>
          <w:bottom w:val="none" w:sz="0" w:space="0" w:color="auto"/>
        </w:pBdr>
      </w:pPr>
    </w:p>
    <w:p w:rsidR="00273562" w:rsidRDefault="002F30FB">
      <w:pPr>
        <w:spacing w:after="40"/>
      </w:pPr>
      <w:r>
        <w:t>I declare that the road transport legislation does not apply to the ACT roads or road related areas used or impinged on by:</w:t>
      </w:r>
    </w:p>
    <w:p w:rsidR="00273562" w:rsidRDefault="002F30FB">
      <w:pPr>
        <w:numPr>
          <w:ilvl w:val="0"/>
          <w:numId w:val="2"/>
        </w:numPr>
        <w:tabs>
          <w:tab w:val="left" w:pos="709"/>
        </w:tabs>
        <w:spacing w:after="40"/>
        <w:ind w:left="703" w:hanging="703"/>
      </w:pPr>
      <w:r>
        <w:t>any competing vehicle participating in a ‘green’ special stage of the Brindabella Motor Sport Club 2002 National Capital Rally on 16 November 2002; or by</w:t>
      </w:r>
    </w:p>
    <w:p w:rsidR="00273562" w:rsidRDefault="002F30FB">
      <w:pPr>
        <w:numPr>
          <w:ilvl w:val="0"/>
          <w:numId w:val="2"/>
        </w:numPr>
        <w:tabs>
          <w:tab w:val="left" w:pos="709"/>
        </w:tabs>
      </w:pPr>
      <w:r>
        <w:t>a vehicle participating in the media promotion special stage of the Brindabella Motor Sport Club 2002 National Capital Rally on 15 November 2002.</w:t>
      </w:r>
    </w:p>
    <w:p w:rsidR="00273562" w:rsidRDefault="00273562"/>
    <w:p w:rsidR="00273562" w:rsidRDefault="002F30FB">
      <w:r>
        <w:t>For this declaration, the following definitions apply:</w:t>
      </w:r>
    </w:p>
    <w:p w:rsidR="00273562" w:rsidRDefault="00273562"/>
    <w:p w:rsidR="00273562" w:rsidRDefault="002F30FB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Competing vehicle means:</w:t>
      </w:r>
    </w:p>
    <w:p w:rsidR="00273562" w:rsidRDefault="002F30FB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vehicle used for participating in a ‘green’ special stage of the Brindabella Motor Sport Club 2002 Caltex Airport Starmart Rally.</w:t>
      </w:r>
    </w:p>
    <w:p w:rsidR="00273562" w:rsidRDefault="00273562">
      <w:pPr>
        <w:pStyle w:val="01Contents"/>
      </w:pPr>
    </w:p>
    <w:p w:rsidR="00273562" w:rsidRDefault="002F30FB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‘Green’ special stage means:</w:t>
      </w:r>
    </w:p>
    <w:p w:rsidR="00273562" w:rsidRDefault="002F30FB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period from the time when a special stage is declared to be active for rally competition until the time when course control for that special stage is declared closed.</w:t>
      </w:r>
    </w:p>
    <w:p w:rsidR="00273562" w:rsidRDefault="00273562">
      <w:pPr>
        <w:pStyle w:val="BodyTextIndent2"/>
        <w:tabs>
          <w:tab w:val="clear" w:pos="5670"/>
        </w:tabs>
        <w:ind w:left="0" w:firstLine="0"/>
        <w:rPr>
          <w:b/>
          <w:bCs/>
        </w:rPr>
      </w:pPr>
    </w:p>
    <w:p w:rsidR="00273562" w:rsidRDefault="002F30FB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Special stage means: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route for the following special stage shown on Map 1,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120"/>
      </w:pPr>
      <w:r>
        <w:t>Media promotion stage– Hyles Block;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 shown on Map 2,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40"/>
      </w:pPr>
      <w:r>
        <w:t>Special stage 1 (SS1) – Fernside Way; and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120"/>
      </w:pPr>
      <w:r>
        <w:t>Special stage 2 (SS2) – Kowen Road;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 shown on Map 3,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40"/>
      </w:pPr>
      <w:r>
        <w:t>Special stage 3 (SS3) – Champagnes; and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40"/>
      </w:pPr>
      <w:r>
        <w:t>Special stage 4 (SS4) – Sinclair Settlement; and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120"/>
      </w:pPr>
      <w:r>
        <w:t>Special stage 6 (SS6) – Sherwood;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 shown on Map 4,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120"/>
      </w:pPr>
      <w:r>
        <w:t>Special stage 5 (SS5) – Tidbinbilla; and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 shown on Map 5,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120"/>
      </w:pPr>
      <w:r>
        <w:t>Special stage 7 (SS7) – Padovans; and</w:t>
      </w:r>
    </w:p>
    <w:p w:rsidR="00273562" w:rsidRDefault="002F30FB">
      <w:pPr>
        <w:pStyle w:val="BodyTextIndent2"/>
        <w:numPr>
          <w:ilvl w:val="0"/>
          <w:numId w:val="3"/>
        </w:numPr>
        <w:tabs>
          <w:tab w:val="clear" w:pos="5670"/>
        </w:tabs>
        <w:spacing w:after="4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 shown on Map 6, described as: </w:t>
      </w:r>
    </w:p>
    <w:p w:rsidR="00273562" w:rsidRDefault="002F30FB">
      <w:pPr>
        <w:pStyle w:val="Header"/>
        <w:numPr>
          <w:ilvl w:val="0"/>
          <w:numId w:val="4"/>
        </w:numPr>
        <w:tabs>
          <w:tab w:val="left" w:pos="2552"/>
        </w:tabs>
        <w:spacing w:after="240"/>
      </w:pPr>
      <w:r>
        <w:t>Special stage 8 (SS8) – Greenhills.</w:t>
      </w:r>
    </w:p>
    <w:p w:rsidR="00273562" w:rsidRDefault="002F30FB">
      <w:pPr>
        <w:pStyle w:val="BodyTextIndent2"/>
        <w:tabs>
          <w:tab w:val="clear" w:pos="5670"/>
        </w:tabs>
        <w:spacing w:after="4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declaration has effect during:</w:t>
      </w:r>
    </w:p>
    <w:p w:rsidR="00273562" w:rsidRDefault="002F30FB">
      <w:pPr>
        <w:pStyle w:val="BodyTextIndent2"/>
        <w:numPr>
          <w:ilvl w:val="0"/>
          <w:numId w:val="5"/>
        </w:numPr>
        <w:tabs>
          <w:tab w:val="clear" w:pos="5670"/>
        </w:tabs>
        <w:spacing w:after="40"/>
        <w:ind w:left="703" w:hanging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competitive ‘green’ special stages of the Brindabella Motor Sport Club 2002 National Capital Rally on 16 November 2002; and</w:t>
      </w:r>
    </w:p>
    <w:p w:rsidR="00273562" w:rsidRDefault="002F30FB">
      <w:pPr>
        <w:pStyle w:val="BodyTextIndent2"/>
        <w:numPr>
          <w:ilvl w:val="0"/>
          <w:numId w:val="5"/>
        </w:numPr>
        <w:tabs>
          <w:tab w:val="clear" w:pos="5670"/>
          <w:tab w:val="left" w:pos="709"/>
        </w:tabs>
        <w:spacing w:after="40"/>
        <w:ind w:left="703" w:hanging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media promotion special stage of the Brindabella Motor Sport Club 2002 National Capital Rally on 15 November 2002.</w:t>
      </w:r>
    </w:p>
    <w:p w:rsidR="00273562" w:rsidRDefault="002F30FB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Indicative start times and stage duration times for vehicles participating in each ‘green’ special stage are set out in the attached Event Itinerary.</w:t>
      </w:r>
    </w:p>
    <w:p w:rsidR="00273562" w:rsidRDefault="002F30FB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Bill Wood</w:t>
      </w:r>
      <w:r>
        <w:rPr>
          <w:rFonts w:ascii="Times New Roman" w:hAnsi="Times New Roman" w:cs="Times New Roman"/>
          <w:b w:val="0"/>
          <w:bCs w:val="0"/>
        </w:rPr>
        <w:br/>
        <w:t>Minister for Urban Services</w:t>
      </w:r>
    </w:p>
    <w:p w:rsidR="00273562" w:rsidRDefault="002F30FB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sectPr w:rsidR="00273562" w:rsidSect="002F30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000" w:right="2302" w:bottom="1814" w:left="1985" w:header="851" w:footer="2098" w:gutter="0"/>
          <w:pgNumType w:fmt="lowerRoman"/>
          <w:cols w:space="709"/>
          <w:titlePg/>
        </w:sectPr>
      </w:pPr>
      <w:r>
        <w:t>12 November 2002</w:t>
      </w:r>
    </w:p>
    <w:p w:rsidR="00273562" w:rsidRPr="00206844" w:rsidRDefault="00BA7A24" w:rsidP="00206844">
      <w:pPr>
        <w:rPr>
          <w:b/>
          <w:bCs/>
        </w:rPr>
      </w:pPr>
      <w:r>
        <w:rPr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6.25pt" fillcolor="window">
            <v:imagedata r:id="rId13" o:title="Declaration s12 new format_1"/>
          </v:shape>
        </w:pict>
      </w:r>
    </w:p>
    <w:p w:rsidR="00273562" w:rsidRDefault="00BA7A24" w:rsidP="00206844">
      <w:pPr>
        <w:pStyle w:val="01Contents"/>
      </w:pPr>
      <w:r>
        <w:rPr>
          <w:sz w:val="20"/>
          <w:szCs w:val="20"/>
        </w:rPr>
        <w:pict>
          <v:shape id="_x0000_i1026" type="#_x0000_t75" style="width:464.25pt;height:656.25pt" fillcolor="window">
            <v:imagedata r:id="rId14" o:title="Declaration s12 new format_2"/>
          </v:shape>
        </w:pict>
      </w:r>
    </w:p>
    <w:p w:rsidR="00273562" w:rsidRDefault="002F30FB" w:rsidP="00206844">
      <w:pPr>
        <w:pStyle w:val="01Contents"/>
        <w:jc w:val="center"/>
        <w:sectPr w:rsidR="00273562" w:rsidSect="00206844">
          <w:headerReference w:type="first" r:id="rId15"/>
          <w:footerReference w:type="first" r:id="rId16"/>
          <w:pgSz w:w="11907" w:h="16840" w:code="9"/>
          <w:pgMar w:top="1797" w:right="851" w:bottom="1418" w:left="1247" w:header="709" w:footer="709" w:gutter="0"/>
          <w:cols w:space="709"/>
          <w:titlePg/>
        </w:sectPr>
      </w:pPr>
      <w:r>
        <w:br w:type="column"/>
      </w:r>
      <w:r w:rsidR="00BA7A24">
        <w:rPr>
          <w:sz w:val="20"/>
          <w:szCs w:val="20"/>
        </w:rPr>
        <w:pict>
          <v:shape id="_x0000_i1027" type="#_x0000_t75" style="width:464.25pt;height:656.25pt" fillcolor="window">
            <v:imagedata r:id="rId17" o:title="Declaration s12 new format_3"/>
          </v:shape>
        </w:pict>
      </w:r>
    </w:p>
    <w:p w:rsidR="00273562" w:rsidRDefault="008F7D02" w:rsidP="00206844">
      <w:pPr>
        <w:pStyle w:val="01Contents"/>
        <w:jc w:val="center"/>
      </w:pPr>
      <w:r>
        <w:rPr>
          <w:noProof/>
          <w:lang w:val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.35pt;margin-top:-26.7pt;width:483.5pt;height:670.05pt;z-index:251657728;mso-position-horizontal-relative:text;mso-position-vertical-relative:text" o:allowincell="f" stroked="f">
            <v:textbox>
              <w:txbxContent>
                <w:p w:rsidR="00273562" w:rsidRDefault="008F7D02" w:rsidP="0020684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pict>
                      <v:shape id="_x0000_i1029" type="#_x0000_t75" style="width:464.25pt;height:656.25pt" fillcolor="window">
                        <v:imagedata r:id="rId18" o:title="Declaration s12 new format_5"/>
                      </v:shape>
                    </w:pict>
                  </w:r>
                </w:p>
              </w:txbxContent>
            </v:textbox>
          </v:shape>
        </w:pict>
      </w:r>
      <w:r w:rsidR="002F30FB">
        <w:br w:type="page"/>
      </w:r>
      <w:r w:rsidR="00BA7A24">
        <w:rPr>
          <w:sz w:val="20"/>
          <w:szCs w:val="20"/>
        </w:rPr>
        <w:pict>
          <v:shape id="_x0000_i1030" type="#_x0000_t75" style="width:458.25pt;height:9in" fillcolor="window">
            <v:imagedata r:id="rId19" o:title="Declaration s12 new format_6"/>
          </v:shape>
        </w:pict>
      </w:r>
      <w:r w:rsidR="002F30FB">
        <w:br w:type="page"/>
      </w:r>
      <w:r w:rsidR="00BA7A24">
        <w:rPr>
          <w:sz w:val="20"/>
          <w:szCs w:val="20"/>
        </w:rPr>
        <w:pict>
          <v:shape id="_x0000_i1031" type="#_x0000_t75" style="width:464.25pt;height:656.25pt" fillcolor="window">
            <v:imagedata r:id="rId20" o:title="Declaration s12 new format_7"/>
          </v:shape>
        </w:pict>
      </w:r>
      <w:r w:rsidR="002F30FB">
        <w:br w:type="page"/>
      </w:r>
      <w:r w:rsidR="00BA7A24">
        <w:rPr>
          <w:sz w:val="20"/>
          <w:szCs w:val="20"/>
        </w:rPr>
        <w:pict>
          <v:shape id="_x0000_i1032" type="#_x0000_t75" style="width:464.25pt;height:656.25pt" fillcolor="window">
            <v:imagedata r:id="rId21" o:title="Declaration s12 new format_8"/>
          </v:shape>
        </w:pict>
      </w:r>
      <w:r w:rsidR="002F30FB">
        <w:t xml:space="preserve"> </w:t>
      </w:r>
    </w:p>
    <w:sectPr w:rsidR="00273562">
      <w:footerReference w:type="even" r:id="rId22"/>
      <w:footerReference w:type="default" r:id="rId23"/>
      <w:footerReference w:type="first" r:id="rId24"/>
      <w:pgSz w:w="11907" w:h="16840" w:code="9"/>
      <w:pgMar w:top="1797" w:right="851" w:bottom="1797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62" w:rsidRDefault="002F30FB">
      <w:r>
        <w:separator/>
      </w:r>
    </w:p>
  </w:endnote>
  <w:endnote w:type="continuationSeparator" w:id="0">
    <w:p w:rsidR="00273562" w:rsidRDefault="002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D" w:rsidRPr="003370AD" w:rsidRDefault="003370AD" w:rsidP="003370AD">
    <w:pPr>
      <w:pStyle w:val="Footer"/>
      <w:jc w:val="center"/>
      <w:rPr>
        <w:sz w:val="14"/>
      </w:rPr>
    </w:pPr>
    <w:r w:rsidRPr="003370AD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2F30FB" w:rsidP="003370AD">
    <w:pPr>
      <w:pStyle w:val="Footer"/>
      <w:jc w:val="center"/>
      <w:rPr>
        <w:sz w:val="14"/>
      </w:rPr>
    </w:pPr>
    <w:r w:rsidRPr="003370AD">
      <w:rPr>
        <w:sz w:val="14"/>
      </w:rPr>
      <w:fldChar w:fldCharType="begin"/>
    </w:r>
    <w:r w:rsidRPr="003370AD">
      <w:rPr>
        <w:sz w:val="14"/>
      </w:rPr>
      <w:instrText xml:space="preserve"> COMMENTS  \* MERGEFORMAT </w:instrText>
    </w:r>
    <w:r w:rsidRPr="003370AD">
      <w:rPr>
        <w:sz w:val="14"/>
      </w:rPr>
      <w:fldChar w:fldCharType="end"/>
    </w:r>
    <w:r w:rsidR="003370AD" w:rsidRPr="003370AD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3370AD" w:rsidP="003370AD">
    <w:pPr>
      <w:pStyle w:val="Footer"/>
      <w:jc w:val="center"/>
      <w:rPr>
        <w:sz w:val="14"/>
      </w:rPr>
    </w:pPr>
    <w:r w:rsidRPr="003370AD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3370AD" w:rsidP="003370AD">
    <w:pPr>
      <w:pStyle w:val="Footer"/>
      <w:jc w:val="center"/>
      <w:rPr>
        <w:sz w:val="14"/>
      </w:rPr>
    </w:pPr>
    <w:r w:rsidRPr="003370AD">
      <w:rPr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3370AD" w:rsidP="003370AD">
    <w:pPr>
      <w:pStyle w:val="Footer"/>
      <w:jc w:val="center"/>
      <w:rPr>
        <w:sz w:val="14"/>
      </w:rPr>
    </w:pPr>
    <w:r w:rsidRPr="003370AD">
      <w:rPr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2F30FB" w:rsidP="003370AD">
    <w:pPr>
      <w:pStyle w:val="Footer"/>
      <w:jc w:val="center"/>
      <w:rPr>
        <w:sz w:val="14"/>
      </w:rPr>
    </w:pPr>
    <w:r w:rsidRPr="003370AD">
      <w:rPr>
        <w:sz w:val="14"/>
      </w:rPr>
      <w:fldChar w:fldCharType="begin"/>
    </w:r>
    <w:r w:rsidRPr="003370AD">
      <w:rPr>
        <w:sz w:val="14"/>
      </w:rPr>
      <w:instrText xml:space="preserve"> COMMENTS  \* MERGEFORMAT </w:instrText>
    </w:r>
    <w:r w:rsidRPr="003370AD">
      <w:rPr>
        <w:sz w:val="14"/>
      </w:rPr>
      <w:fldChar w:fldCharType="end"/>
    </w:r>
    <w:r w:rsidR="003370AD" w:rsidRPr="003370AD">
      <w:rPr>
        <w:sz w:val="14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Pr="003370AD" w:rsidRDefault="003370AD" w:rsidP="003370AD">
    <w:pPr>
      <w:pStyle w:val="Footer"/>
      <w:jc w:val="center"/>
      <w:rPr>
        <w:sz w:val="14"/>
      </w:rPr>
    </w:pPr>
    <w:r w:rsidRPr="003370AD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62" w:rsidRDefault="002F30FB">
      <w:r>
        <w:separator/>
      </w:r>
    </w:p>
  </w:footnote>
  <w:footnote w:type="continuationSeparator" w:id="0">
    <w:p w:rsidR="00273562" w:rsidRDefault="002F3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D" w:rsidRDefault="00337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D" w:rsidRDefault="003370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D" w:rsidRDefault="003370A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62" w:rsidRDefault="00273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9B20AE0"/>
    <w:lvl w:ilvl="0">
      <w:start w:val="1"/>
      <w:numFmt w:val="decimal"/>
      <w:pStyle w:val="Heading1"/>
      <w:lvlText w:val="Chapter %1"/>
      <w:legacy w:legacy="1" w:legacySpace="120" w:legacyIndent="360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FFFFFFFE"/>
    <w:multiLevelType w:val="singleLevel"/>
    <w:tmpl w:val="83EC7014"/>
    <w:lvl w:ilvl="0">
      <w:numFmt w:val="decimal"/>
      <w:lvlText w:val="*"/>
      <w:lvlJc w:val="left"/>
    </w:lvl>
  </w:abstractNum>
  <w:abstractNum w:abstractNumId="2" w15:restartNumberingAfterBreak="0">
    <w:nsid w:val="05663AD5"/>
    <w:multiLevelType w:val="singleLevel"/>
    <w:tmpl w:val="82CE7684"/>
    <w:lvl w:ilvl="0">
      <w:start w:val="1"/>
      <w:numFmt w:val="low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3" w15:restartNumberingAfterBreak="0">
    <w:nsid w:val="1132637E"/>
    <w:multiLevelType w:val="singleLevel"/>
    <w:tmpl w:val="2D70AADE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1841AEA"/>
    <w:multiLevelType w:val="singleLevel"/>
    <w:tmpl w:val="82CE7684"/>
    <w:lvl w:ilvl="0">
      <w:start w:val="1"/>
      <w:numFmt w:val="lowerLetter"/>
      <w:lvlText w:val="(%1)"/>
      <w:legacy w:legacy="1" w:legacySpace="0" w:legacyIndent="705"/>
      <w:lvlJc w:val="left"/>
      <w:pPr>
        <w:ind w:left="705" w:hanging="705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cs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827"/>
    <w:rsid w:val="00206844"/>
    <w:rsid w:val="00273562"/>
    <w:rsid w:val="002F30FB"/>
    <w:rsid w:val="00322827"/>
    <w:rsid w:val="003370AD"/>
    <w:rsid w:val="008A26B6"/>
    <w:rsid w:val="008F7D02"/>
    <w:rsid w:val="00BA7A24"/>
    <w:rsid w:val="00F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6AC706DB-F8C2-4EE6-8776-C7C76CE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80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US"/>
    </w:rPr>
  </w:style>
  <w:style w:type="paragraph" w:customStyle="1" w:styleId="Norm-5pt">
    <w:name w:val="Norm-5pt"/>
    <w:basedOn w:val="Normal"/>
    <w:uiPriority w:val="99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</w:style>
  <w:style w:type="paragraph" w:customStyle="1" w:styleId="00ClientCover">
    <w:name w:val="00ClientCover"/>
    <w:basedOn w:val="Normal"/>
    <w:uiPriority w:val="99"/>
  </w:style>
  <w:style w:type="paragraph" w:customStyle="1" w:styleId="02Text">
    <w:name w:val="02Text"/>
    <w:basedOn w:val="Normal"/>
    <w:uiPriority w:val="99"/>
  </w:style>
  <w:style w:type="paragraph" w:customStyle="1" w:styleId="BillBasic">
    <w:name w:val="BillBasic"/>
    <w:uiPriority w:val="99"/>
    <w:pPr>
      <w:autoSpaceDE w:val="0"/>
      <w:autoSpaceDN w:val="0"/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Billname">
    <w:name w:val="Billname"/>
    <w:basedOn w:val="Normal"/>
    <w:uiPriority w:val="99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pPr>
      <w:tabs>
        <w:tab w:val="right" w:pos="500"/>
        <w:tab w:val="left" w:pos="700"/>
      </w:tabs>
      <w:ind w:left="700" w:hanging="700"/>
    </w:pPr>
  </w:style>
  <w:style w:type="paragraph" w:customStyle="1" w:styleId="Amainreturn">
    <w:name w:val="A main return"/>
    <w:basedOn w:val="BillBasic"/>
    <w:uiPriority w:val="99"/>
    <w:pPr>
      <w:ind w:left="700"/>
    </w:pPr>
  </w:style>
  <w:style w:type="paragraph" w:customStyle="1" w:styleId="Apara">
    <w:name w:val="A para"/>
    <w:basedOn w:val="BillBasic"/>
    <w:uiPriority w:val="99"/>
    <w:pPr>
      <w:tabs>
        <w:tab w:val="right" w:pos="1000"/>
        <w:tab w:val="left" w:pos="1200"/>
      </w:tabs>
      <w:ind w:left="1200" w:hanging="1200"/>
    </w:pPr>
  </w:style>
  <w:style w:type="paragraph" w:customStyle="1" w:styleId="Asubpara">
    <w:name w:val="A subpara"/>
    <w:basedOn w:val="BillBasic"/>
    <w:uiPriority w:val="99"/>
    <w:pPr>
      <w:tabs>
        <w:tab w:val="right" w:pos="1540"/>
        <w:tab w:val="left" w:pos="1740"/>
      </w:tabs>
      <w:ind w:left="1740" w:hanging="1740"/>
    </w:pPr>
  </w:style>
  <w:style w:type="paragraph" w:customStyle="1" w:styleId="Asubsubpara">
    <w:name w:val="A subsubpara"/>
    <w:basedOn w:val="BillBasic"/>
    <w:uiPriority w:val="99"/>
    <w:pPr>
      <w:tabs>
        <w:tab w:val="right" w:pos="2060"/>
        <w:tab w:val="left" w:pos="2260"/>
      </w:tabs>
      <w:ind w:left="2260" w:hanging="2260"/>
    </w:pPr>
  </w:style>
  <w:style w:type="paragraph" w:customStyle="1" w:styleId="aDef">
    <w:name w:val="aDef"/>
    <w:basedOn w:val="BillBasic"/>
    <w:uiPriority w:val="99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pPr>
      <w:keepNext/>
      <w:ind w:left="700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pPr>
      <w:spacing w:before="120" w:after="60"/>
    </w:pPr>
  </w:style>
  <w:style w:type="paragraph" w:customStyle="1" w:styleId="HeaderOdd6">
    <w:name w:val="HeaderOdd6"/>
    <w:basedOn w:val="HeaderEven6"/>
    <w:uiPriority w:val="99"/>
    <w:pPr>
      <w:jc w:val="right"/>
    </w:pPr>
  </w:style>
  <w:style w:type="paragraph" w:customStyle="1" w:styleId="HeaderOdd">
    <w:name w:val="HeaderOdd"/>
    <w:basedOn w:val="HeaderEven"/>
    <w:uiPriority w:val="99"/>
    <w:pPr>
      <w:jc w:val="right"/>
    </w:pPr>
  </w:style>
  <w:style w:type="paragraph" w:customStyle="1" w:styleId="BillNo">
    <w:name w:val="BillNo"/>
    <w:basedOn w:val="BillBasicHeading"/>
    <w:uiPriority w:val="99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pPr>
      <w:pBdr>
        <w:bottom w:val="single" w:sz="6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pPr>
      <w:spacing w:before="60"/>
    </w:pPr>
  </w:style>
  <w:style w:type="paragraph" w:customStyle="1" w:styleId="Comment">
    <w:name w:val="Comment"/>
    <w:basedOn w:val="BillBasic"/>
    <w:uiPriority w:val="9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pPr>
      <w:keepNext/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pPr>
      <w:keepNext/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pPr>
      <w:keepNext/>
      <w:spacing w:before="180"/>
      <w:ind w:left="2600" w:hanging="2600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pPr>
      <w:keepNext/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pPr>
      <w:keepNext/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pPr>
      <w:shd w:val="pct15" w:color="auto" w:fill="auto"/>
    </w:pPr>
  </w:style>
  <w:style w:type="paragraph" w:customStyle="1" w:styleId="Schclauseheading">
    <w:name w:val="Sch clause heading"/>
    <w:basedOn w:val="BillBasic"/>
    <w:next w:val="Amain"/>
    <w:uiPriority w:val="99"/>
    <w:pPr>
      <w:keepNext/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pPr>
      <w:keepNext/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pPr>
      <w:keepNext/>
      <w:spacing w:before="320"/>
      <w:ind w:left="2600" w:hanging="260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</w:style>
  <w:style w:type="paragraph" w:customStyle="1" w:styleId="IH4SubDiv">
    <w:name w:val="I H4 SubDiv"/>
    <w:basedOn w:val="BillBasicHeading"/>
    <w:next w:val="IH5Sec"/>
    <w:uiPriority w:val="99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Pr>
      <w:sz w:val="4"/>
      <w:szCs w:val="4"/>
    </w:rPr>
  </w:style>
  <w:style w:type="paragraph" w:customStyle="1" w:styleId="04Dictionary">
    <w:name w:val="04Dictionary"/>
    <w:basedOn w:val="Normal"/>
    <w:uiPriority w:val="99"/>
  </w:style>
  <w:style w:type="paragraph" w:customStyle="1" w:styleId="N-line1">
    <w:name w:val="N-line1"/>
    <w:basedOn w:val="BillBasic"/>
    <w:uiPriority w:val="99"/>
    <w:pPr>
      <w:pBdr>
        <w:bottom w:val="single" w:sz="6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pPr>
      <w:pBdr>
        <w:bottom w:val="single" w:sz="6" w:space="0" w:color="auto"/>
      </w:pBdr>
    </w:pPr>
  </w:style>
  <w:style w:type="paragraph" w:customStyle="1" w:styleId="EndNote">
    <w:name w:val="EndNote"/>
    <w:basedOn w:val="BillBasicHeading"/>
    <w:uiPriority w:val="99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</w:style>
  <w:style w:type="paragraph" w:customStyle="1" w:styleId="03Schedule">
    <w:name w:val="03Schedule"/>
    <w:basedOn w:val="Normal"/>
    <w:uiPriority w:val="99"/>
  </w:style>
  <w:style w:type="paragraph" w:customStyle="1" w:styleId="ISched-heading">
    <w:name w:val="I Sched-heading"/>
    <w:basedOn w:val="BillBasicHeading"/>
    <w:next w:val="ref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</w:style>
  <w:style w:type="paragraph" w:customStyle="1" w:styleId="Isubpara">
    <w:name w:val="I subpara"/>
    <w:basedOn w:val="Asubpara"/>
    <w:uiPriority w:val="99"/>
  </w:style>
  <w:style w:type="paragraph" w:customStyle="1" w:styleId="Isubsubpara">
    <w:name w:val="I subsubpara"/>
    <w:basedOn w:val="Asubsubpara"/>
    <w:uiPriority w:val="99"/>
  </w:style>
  <w:style w:type="character" w:customStyle="1" w:styleId="CharSectNo">
    <w:name w:val="CharSectNo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paragraph" w:customStyle="1" w:styleId="Placeholder">
    <w:name w:val="Placeholder"/>
    <w:basedOn w:val="Normal"/>
    <w:uiPriority w:val="99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paragraph" w:styleId="TOC1">
    <w:name w:val="toc 1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ActNo">
    <w:name w:val="ActNo"/>
    <w:basedOn w:val="BillBasicHeading"/>
    <w:uiPriority w:val="99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pPr>
      <w:ind w:left="0" w:firstLine="0"/>
    </w:pPr>
  </w:style>
  <w:style w:type="paragraph" w:customStyle="1" w:styleId="Minister">
    <w:name w:val="Minister"/>
    <w:basedOn w:val="BillBasic"/>
    <w:uiPriority w:val="99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Pr>
      <w:i/>
      <w:iCs/>
    </w:rPr>
  </w:style>
  <w:style w:type="paragraph" w:customStyle="1" w:styleId="00SigningPage">
    <w:name w:val="00SigningPage"/>
    <w:basedOn w:val="Normal"/>
    <w:uiPriority w:val="99"/>
  </w:style>
  <w:style w:type="paragraph" w:customStyle="1" w:styleId="Letterhead">
    <w:name w:val="Letterhead"/>
    <w:uiPriority w:val="99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Sched-name">
    <w:name w:val="Sched-name"/>
    <w:basedOn w:val="Normal"/>
    <w:uiPriority w:val="99"/>
    <w:pPr>
      <w:keepNext/>
      <w:tabs>
        <w:tab w:val="center" w:pos="3600"/>
        <w:tab w:val="right" w:pos="7200"/>
      </w:tabs>
      <w:spacing w:before="160" w:after="60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pPr>
      <w:spacing w:before="240"/>
    </w:pPr>
  </w:style>
  <w:style w:type="paragraph" w:styleId="TOC7">
    <w:name w:val="toc 7"/>
    <w:basedOn w:val="TOC2"/>
    <w:next w:val="Normal"/>
    <w:autoRedefine/>
    <w:uiPriority w:val="99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customStyle="1" w:styleId="LongTitle">
    <w:name w:val="LongTitle"/>
    <w:basedOn w:val="BillBasic"/>
    <w:uiPriority w:val="99"/>
    <w:pPr>
      <w:spacing w:before="240"/>
    </w:pPr>
  </w:style>
  <w:style w:type="paragraph" w:customStyle="1" w:styleId="Aparareturn">
    <w:name w:val="A para return"/>
    <w:basedOn w:val="BillBasic"/>
    <w:uiPriority w:val="99"/>
    <w:pPr>
      <w:ind w:left="1200"/>
    </w:pPr>
  </w:style>
  <w:style w:type="paragraph" w:customStyle="1" w:styleId="Asubparareturn">
    <w:name w:val="A subpara return"/>
    <w:basedOn w:val="BillBasic"/>
    <w:uiPriority w:val="99"/>
    <w:pPr>
      <w:ind w:left="1740"/>
    </w:pPr>
  </w:style>
  <w:style w:type="paragraph" w:customStyle="1" w:styleId="CommentNum">
    <w:name w:val="CommentNum"/>
    <w:basedOn w:val="Comment"/>
    <w:uiPriority w:val="99"/>
    <w:pPr>
      <w:ind w:left="1400" w:hanging="1400"/>
    </w:pPr>
  </w:style>
  <w:style w:type="paragraph" w:styleId="TOC8">
    <w:name w:val="toc 8"/>
    <w:basedOn w:val="TOC3"/>
    <w:next w:val="Normal"/>
    <w:autoRedefine/>
    <w:uiPriority w:val="99"/>
  </w:style>
  <w:style w:type="paragraph" w:customStyle="1" w:styleId="Judges">
    <w:name w:val="Judges"/>
    <w:basedOn w:val="Minister"/>
    <w:uiPriority w:val="99"/>
    <w:pPr>
      <w:spacing w:before="180" w:after="40"/>
    </w:pPr>
  </w:style>
  <w:style w:type="paragraph" w:customStyle="1" w:styleId="BillFor">
    <w:name w:val="BillFor"/>
    <w:basedOn w:val="BillBasicHeading"/>
    <w:uiPriority w:val="99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uiPriority w:val="99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pPr>
      <w:ind w:left="2260" w:hanging="520"/>
    </w:pPr>
  </w:style>
  <w:style w:type="paragraph" w:customStyle="1" w:styleId="aDefpara">
    <w:name w:val="aDef para"/>
    <w:basedOn w:val="Apara"/>
    <w:uiPriority w:val="99"/>
  </w:style>
  <w:style w:type="paragraph" w:customStyle="1" w:styleId="aDefsubpara">
    <w:name w:val="aDef subpara"/>
    <w:basedOn w:val="Asubpara"/>
    <w:uiPriority w:val="99"/>
  </w:style>
  <w:style w:type="paragraph" w:customStyle="1" w:styleId="Idefpara">
    <w:name w:val="I def para"/>
    <w:basedOn w:val="Ipara"/>
    <w:uiPriority w:val="99"/>
  </w:style>
  <w:style w:type="paragraph" w:customStyle="1" w:styleId="Idefsubpara">
    <w:name w:val="I def subpara"/>
    <w:basedOn w:val="Isubpara"/>
    <w:uiPriority w:val="99"/>
  </w:style>
  <w:style w:type="paragraph" w:customStyle="1" w:styleId="Notified">
    <w:name w:val="Notified"/>
    <w:basedOn w:val="BillBasic"/>
    <w:uiPriority w:val="99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</w:style>
  <w:style w:type="paragraph" w:customStyle="1" w:styleId="IDict-Heading">
    <w:name w:val="I Dict-Heading"/>
    <w:basedOn w:val="BillBasicHeading"/>
    <w:uiPriority w:val="99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aNoteBullet">
    <w:name w:val="aNoteBullet"/>
    <w:basedOn w:val="aNote"/>
    <w:uiPriority w:val="99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pPr>
      <w:jc w:val="right"/>
    </w:pPr>
  </w:style>
  <w:style w:type="paragraph" w:customStyle="1" w:styleId="aExamPara">
    <w:name w:val="aExamPara"/>
    <w:basedOn w:val="aExam"/>
    <w:uiPriority w:val="99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pPr>
      <w:ind w:left="1100"/>
    </w:pPr>
  </w:style>
  <w:style w:type="paragraph" w:customStyle="1" w:styleId="aExamBullet">
    <w:name w:val="aExamBullet"/>
    <w:basedOn w:val="aExam"/>
    <w:uiPriority w:val="99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Pr>
      <w:b/>
      <w:bCs/>
    </w:rPr>
  </w:style>
  <w:style w:type="character" w:customStyle="1" w:styleId="charBoldItals">
    <w:name w:val="charBoldItals"/>
    <w:basedOn w:val="DefaultParagraphFont"/>
    <w:uiPriority w:val="99"/>
    <w:rPr>
      <w:b/>
      <w:bCs/>
      <w:i/>
      <w:iCs/>
    </w:rPr>
  </w:style>
  <w:style w:type="character" w:customStyle="1" w:styleId="charItals">
    <w:name w:val="charItals"/>
    <w:basedOn w:val="DefaultParagraphFont"/>
    <w:uiPriority w:val="99"/>
    <w:rPr>
      <w:i/>
      <w:iCs/>
    </w:rPr>
  </w:style>
  <w:style w:type="character" w:customStyle="1" w:styleId="charUnderline">
    <w:name w:val="charUnderline"/>
    <w:basedOn w:val="DefaultParagraphFont"/>
    <w:uiPriority w:val="99"/>
    <w:rPr>
      <w:u w:val="single"/>
    </w:rPr>
  </w:style>
  <w:style w:type="paragraph" w:customStyle="1" w:styleId="TableHd">
    <w:name w:val="TableHd"/>
    <w:basedOn w:val="Normal"/>
    <w:uiPriority w:val="99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CoverActName">
    <w:name w:val="CoverActName"/>
    <w:basedOn w:val="BillBasicHeading"/>
    <w:uiPriority w:val="99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pPr>
      <w:pBdr>
        <w:top w:val="single" w:sz="6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Pr>
      <w:b w:val="0"/>
      <w:bCs w:val="0"/>
    </w:rPr>
  </w:style>
  <w:style w:type="paragraph" w:customStyle="1" w:styleId="Endnote2">
    <w:name w:val="Endnote2"/>
    <w:basedOn w:val="Normal"/>
    <w:uiPriority w:val="99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</w:style>
  <w:style w:type="paragraph" w:customStyle="1" w:styleId="Endnote3">
    <w:name w:val="Endnote3"/>
    <w:basedOn w:val="Normal"/>
    <w:uiPriority w:val="99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</w:style>
  <w:style w:type="character" w:customStyle="1" w:styleId="charTableText">
    <w:name w:val="charTableText"/>
    <w:basedOn w:val="DefaultParagraphFont"/>
    <w:uiPriority w:val="99"/>
  </w:style>
  <w:style w:type="paragraph" w:customStyle="1" w:styleId="EndNoteTextEPS">
    <w:name w:val="EndNoteTextEPS"/>
    <w:basedOn w:val="Normal"/>
    <w:uiPriority w:val="99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Pr>
      <w:color w:val="000000"/>
    </w:rPr>
  </w:style>
  <w:style w:type="paragraph" w:customStyle="1" w:styleId="AH5SecSymb">
    <w:name w:val="A H5 Sec Symb"/>
    <w:basedOn w:val="AH5Sec"/>
    <w:uiPriority w:val="99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Pr>
      <w:rFonts w:ascii="Arial" w:hAnsi="Arial" w:cs="Arial"/>
      <w:sz w:val="24"/>
      <w:szCs w:val="24"/>
    </w:rPr>
  </w:style>
  <w:style w:type="paragraph" w:customStyle="1" w:styleId="AH3DivSymb">
    <w:name w:val="A H3 Div Symb"/>
    <w:basedOn w:val="AH3Div"/>
    <w:uiPriority w:val="99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</w:style>
  <w:style w:type="paragraph" w:customStyle="1" w:styleId="Billcrest0">
    <w:name w:val="Billcrest"/>
    <w:basedOn w:val="Normal"/>
    <w:uiPriority w:val="99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</w:style>
  <w:style w:type="paragraph" w:customStyle="1" w:styleId="AFHdg">
    <w:name w:val="AFHdg"/>
    <w:basedOn w:val="BillBasicHeading"/>
    <w:uiPriority w:val="99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AH2Part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AH3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AH4SubDiv"/>
    <w:uiPriority w:val="99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AH5Sec"/>
    <w:uiPriority w:val="99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pPr>
      <w:tabs>
        <w:tab w:val="right" w:pos="1700"/>
        <w:tab w:val="left" w:pos="1900"/>
      </w:tabs>
      <w:ind w:left="1900" w:hanging="1200"/>
    </w:pPr>
  </w:style>
  <w:style w:type="paragraph" w:customStyle="1" w:styleId="Modsubpara">
    <w:name w:val="Mod subpara"/>
    <w:basedOn w:val="Asubpara"/>
    <w:uiPriority w:val="99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pPr>
      <w:ind w:left="1400"/>
    </w:pPr>
  </w:style>
  <w:style w:type="paragraph" w:customStyle="1" w:styleId="Modparareturn">
    <w:name w:val="Mod para return"/>
    <w:basedOn w:val="Aparareturn"/>
    <w:uiPriority w:val="99"/>
    <w:pPr>
      <w:ind w:left="1900"/>
    </w:pPr>
  </w:style>
  <w:style w:type="paragraph" w:customStyle="1" w:styleId="Modsubparareturn">
    <w:name w:val="Mod subpara return"/>
    <w:basedOn w:val="Asubparareturn"/>
    <w:uiPriority w:val="99"/>
    <w:pPr>
      <w:ind w:left="2640"/>
    </w:pPr>
  </w:style>
  <w:style w:type="paragraph" w:customStyle="1" w:styleId="Modref">
    <w:name w:val="Mod ref"/>
    <w:basedOn w:val="ref"/>
    <w:uiPriority w:val="99"/>
    <w:pPr>
      <w:ind w:left="700"/>
    </w:pPr>
  </w:style>
  <w:style w:type="paragraph" w:customStyle="1" w:styleId="ModaNote">
    <w:name w:val="Mod a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pPr>
      <w:ind w:left="0" w:firstLine="0"/>
    </w:p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clear" w:pos="2880"/>
        <w:tab w:val="left" w:pos="5670"/>
      </w:tabs>
      <w:ind w:left="5670" w:hanging="5670"/>
    </w:pPr>
    <w:rPr>
      <w:rFonts w:ascii="Arial" w:hAnsi="Arial" w:cs="Arial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2150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 Safety Regulations 2001</vt:lpstr>
    </vt:vector>
  </TitlesOfParts>
  <Manager>regulation</Manager>
  <Company>InTACT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 Safety Regulations 2001</dc:title>
  <dc:subject/>
  <dc:creator>ACT Government</dc:creator>
  <cp:keywords>04</cp:keywords>
  <dc:description/>
  <cp:lastModifiedBy>PCODCS</cp:lastModifiedBy>
  <cp:revision>5</cp:revision>
  <cp:lastPrinted>2002-11-06T08:08:00Z</cp:lastPrinted>
  <dcterms:created xsi:type="dcterms:W3CDTF">2018-09-21T05:04:00Z</dcterms:created>
  <dcterms:modified xsi:type="dcterms:W3CDTF">2018-09-21T05:04:00Z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