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A2" w:rsidRDefault="00020AA2" w:rsidP="00745B3A">
      <w:pPr>
        <w:spacing w:before="120"/>
      </w:pPr>
      <w:r>
        <w:t>Australian Capital Territory</w:t>
      </w:r>
    </w:p>
    <w:p w:rsidR="00020AA2" w:rsidRDefault="00956FE0">
      <w:pPr>
        <w:pStyle w:val="Billname"/>
        <w:spacing w:before="700"/>
      </w:pPr>
      <w:bookmarkStart w:id="0" w:name="OLE_LINK1"/>
      <w:bookmarkStart w:id="1" w:name="OLE_LINK2"/>
      <w:r>
        <w:t>Work Health and Safety</w:t>
      </w:r>
      <w:r w:rsidR="00D04784">
        <w:t xml:space="preserve"> </w:t>
      </w:r>
      <w:r w:rsidR="00365605">
        <w:t xml:space="preserve">(Fees) Determination </w:t>
      </w:r>
      <w:r w:rsidR="007F5555">
        <w:t>20</w:t>
      </w:r>
      <w:r w:rsidR="0003026A">
        <w:t>1</w:t>
      </w:r>
      <w:r w:rsidR="002563AA">
        <w:t>8</w:t>
      </w:r>
      <w:r w:rsidR="001B6BF1">
        <w:t xml:space="preserve"> (No 2)</w:t>
      </w:r>
    </w:p>
    <w:p w:rsidR="00020AA2" w:rsidRDefault="00365605">
      <w:pPr>
        <w:spacing w:before="240" w:after="60"/>
        <w:rPr>
          <w:b/>
          <w:bCs/>
        </w:rPr>
      </w:pPr>
      <w:r>
        <w:rPr>
          <w:b/>
          <w:bCs/>
        </w:rPr>
        <w:t>Di</w:t>
      </w:r>
      <w:r w:rsidR="005D4CBE">
        <w:rPr>
          <w:b/>
          <w:bCs/>
        </w:rPr>
        <w:t xml:space="preserve">sallowable instrument </w:t>
      </w:r>
      <w:r w:rsidR="007F5555">
        <w:rPr>
          <w:b/>
          <w:bCs/>
        </w:rPr>
        <w:t>DI20</w:t>
      </w:r>
      <w:r w:rsidR="0003026A">
        <w:rPr>
          <w:b/>
          <w:bCs/>
        </w:rPr>
        <w:t>1</w:t>
      </w:r>
      <w:r w:rsidR="002563AA">
        <w:rPr>
          <w:b/>
          <w:bCs/>
        </w:rPr>
        <w:t>8</w:t>
      </w:r>
      <w:r w:rsidR="00D033A3">
        <w:rPr>
          <w:b/>
          <w:bCs/>
        </w:rPr>
        <w:t>-</w:t>
      </w:r>
      <w:r w:rsidR="00BC79A0">
        <w:rPr>
          <w:b/>
          <w:bCs/>
        </w:rPr>
        <w:t>227</w:t>
      </w:r>
    </w:p>
    <w:p w:rsidR="00020AA2" w:rsidRDefault="0038380C" w:rsidP="0019374A">
      <w:pPr>
        <w:pStyle w:val="madeunder"/>
        <w:spacing w:before="240" w:after="120"/>
        <w:rPr>
          <w:rFonts w:ascii="Times New Roman" w:hAnsi="Times New Roman" w:cs="Times New Roman"/>
        </w:rPr>
      </w:pPr>
      <w:r>
        <w:rPr>
          <w:rFonts w:ascii="Times New Roman" w:hAnsi="Times New Roman" w:cs="Times New Roman"/>
        </w:rPr>
        <w:t>made under the</w:t>
      </w:r>
    </w:p>
    <w:bookmarkEnd w:id="0"/>
    <w:bookmarkEnd w:id="1"/>
    <w:p w:rsidR="00956FE0" w:rsidRDefault="00956FE0" w:rsidP="008F4458">
      <w:pPr>
        <w:pStyle w:val="CoverActName"/>
        <w:spacing w:before="100" w:beforeAutospacing="1" w:after="0"/>
        <w:rPr>
          <w:snapToGrid w:val="0"/>
          <w:color w:val="000000"/>
          <w:sz w:val="20"/>
          <w:szCs w:val="20"/>
        </w:rPr>
      </w:pPr>
      <w:r w:rsidRPr="006627A0">
        <w:rPr>
          <w:i/>
          <w:snapToGrid w:val="0"/>
          <w:color w:val="000000"/>
          <w:sz w:val="20"/>
          <w:szCs w:val="20"/>
        </w:rPr>
        <w:t>Work Health and Safety Act 2011</w:t>
      </w:r>
      <w:r>
        <w:rPr>
          <w:snapToGrid w:val="0"/>
          <w:color w:val="000000"/>
          <w:sz w:val="20"/>
          <w:szCs w:val="20"/>
        </w:rPr>
        <w:t>, s 278 (Determination of fees)</w:t>
      </w:r>
    </w:p>
    <w:p w:rsidR="008F4458" w:rsidRDefault="008F4458" w:rsidP="008F4458">
      <w:pPr>
        <w:pStyle w:val="CoverActName"/>
        <w:spacing w:before="0" w:after="0"/>
        <w:rPr>
          <w:snapToGrid w:val="0"/>
          <w:color w:val="000000"/>
          <w:sz w:val="20"/>
          <w:szCs w:val="20"/>
        </w:rPr>
      </w:pPr>
    </w:p>
    <w:p w:rsidR="00020AA2" w:rsidRDefault="00020AA2">
      <w:pPr>
        <w:pStyle w:val="N-line3"/>
        <w:pBdr>
          <w:bottom w:val="none" w:sz="0" w:space="0" w:color="auto"/>
        </w:pBdr>
      </w:pPr>
    </w:p>
    <w:p w:rsidR="00020AA2" w:rsidRDefault="00020AA2">
      <w:pPr>
        <w:pStyle w:val="N-line3"/>
        <w:pBdr>
          <w:top w:val="single" w:sz="12" w:space="1" w:color="auto"/>
          <w:bottom w:val="none" w:sz="0" w:space="0" w:color="auto"/>
        </w:pBdr>
      </w:pPr>
    </w:p>
    <w:p w:rsidR="00020AA2" w:rsidRDefault="00020AA2" w:rsidP="008C19A2">
      <w:pPr>
        <w:keepNext/>
        <w:spacing w:before="60" w:after="60"/>
        <w:rPr>
          <w:b/>
          <w:bCs/>
        </w:rPr>
      </w:pPr>
      <w:r>
        <w:rPr>
          <w:b/>
          <w:bCs/>
        </w:rPr>
        <w:t>1</w:t>
      </w:r>
      <w:r>
        <w:rPr>
          <w:b/>
          <w:bCs/>
        </w:rPr>
        <w:tab/>
        <w:t>Name of instrument</w:t>
      </w:r>
    </w:p>
    <w:p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956FE0" w:rsidRPr="00AD0AFC">
        <w:rPr>
          <w:rFonts w:ascii="Times New Roman" w:hAnsi="Times New Roman" w:cs="Times New Roman"/>
          <w:i/>
        </w:rPr>
        <w:t>Work Health and Safety</w:t>
      </w:r>
      <w:r w:rsidR="00F55F08" w:rsidRPr="00AD0AFC">
        <w:rPr>
          <w:rFonts w:ascii="Times New Roman" w:hAnsi="Times New Roman" w:cs="Times New Roman"/>
          <w:i/>
        </w:rPr>
        <w:t xml:space="preserve"> </w:t>
      </w:r>
      <w:r w:rsidR="00C9097A" w:rsidRPr="00AD0AFC">
        <w:rPr>
          <w:rFonts w:ascii="Times New Roman" w:hAnsi="Times New Roman" w:cs="Times New Roman"/>
          <w:i/>
        </w:rPr>
        <w:t>(</w:t>
      </w:r>
      <w:r w:rsidR="007F5555" w:rsidRPr="00AD0AFC">
        <w:rPr>
          <w:rFonts w:ascii="Times New Roman" w:hAnsi="Times New Roman" w:cs="Times New Roman"/>
          <w:i/>
        </w:rPr>
        <w:t>Fees) Determination 20</w:t>
      </w:r>
      <w:r w:rsidR="0003026A">
        <w:rPr>
          <w:rFonts w:ascii="Times New Roman" w:hAnsi="Times New Roman" w:cs="Times New Roman"/>
          <w:i/>
        </w:rPr>
        <w:t>1</w:t>
      </w:r>
      <w:r w:rsidR="002563AA">
        <w:rPr>
          <w:rFonts w:ascii="Times New Roman" w:hAnsi="Times New Roman" w:cs="Times New Roman"/>
          <w:i/>
        </w:rPr>
        <w:t>8</w:t>
      </w:r>
      <w:r w:rsidR="001B6BF1">
        <w:rPr>
          <w:rFonts w:ascii="Times New Roman" w:hAnsi="Times New Roman" w:cs="Times New Roman"/>
          <w:i/>
        </w:rPr>
        <w:t xml:space="preserve"> (No 2)</w:t>
      </w:r>
      <w:r>
        <w:rPr>
          <w:rFonts w:ascii="Times New Roman" w:hAnsi="Times New Roman" w:cs="Times New Roman"/>
        </w:rPr>
        <w:t>.</w:t>
      </w:r>
      <w:r w:rsidR="00D033A3">
        <w:rPr>
          <w:rFonts w:ascii="Times New Roman" w:hAnsi="Times New Roman" w:cs="Times New Roman"/>
        </w:rPr>
        <w:t xml:space="preserve"> </w:t>
      </w:r>
    </w:p>
    <w:p w:rsidR="00020AA2" w:rsidRDefault="00020AA2" w:rsidP="00C245FD">
      <w:pPr>
        <w:keepNext/>
        <w:spacing w:before="240" w:after="60"/>
        <w:ind w:left="720" w:hanging="720"/>
        <w:rPr>
          <w:b/>
          <w:bCs/>
        </w:rPr>
      </w:pPr>
      <w:r>
        <w:rPr>
          <w:b/>
          <w:bCs/>
        </w:rPr>
        <w:t>2</w:t>
      </w:r>
      <w:r>
        <w:rPr>
          <w:b/>
          <w:bCs/>
        </w:rPr>
        <w:tab/>
        <w:t xml:space="preserve">Commencement </w:t>
      </w:r>
    </w:p>
    <w:p w:rsidR="00F303F0" w:rsidRDefault="00F303F0" w:rsidP="00F303F0">
      <w:pPr>
        <w:spacing w:before="80" w:after="60"/>
        <w:ind w:left="720"/>
        <w:rPr>
          <w:rFonts w:ascii="Times New Roman" w:hAnsi="Times New Roman" w:cs="Times New Roman"/>
        </w:rPr>
      </w:pPr>
      <w:r>
        <w:rPr>
          <w:rFonts w:ascii="Times New Roman" w:hAnsi="Times New Roman" w:cs="Times New Roman"/>
        </w:rPr>
        <w:t xml:space="preserve">This instrument commences </w:t>
      </w:r>
      <w:r w:rsidR="005F44ED">
        <w:rPr>
          <w:rFonts w:ascii="Times New Roman" w:hAnsi="Times New Roman" w:cs="Times New Roman"/>
        </w:rPr>
        <w:t>the day after notification</w:t>
      </w:r>
      <w:r>
        <w:rPr>
          <w:rFonts w:ascii="Times New Roman" w:hAnsi="Times New Roman" w:cs="Times New Roman"/>
        </w:rPr>
        <w:t>.</w:t>
      </w:r>
    </w:p>
    <w:p w:rsidR="00C0008F" w:rsidRDefault="00C0008F" w:rsidP="00C0008F">
      <w:pPr>
        <w:keepNext/>
        <w:spacing w:before="240" w:after="60"/>
        <w:ind w:left="720" w:hanging="720"/>
        <w:rPr>
          <w:b/>
          <w:bCs/>
        </w:rPr>
      </w:pPr>
      <w:r>
        <w:rPr>
          <w:b/>
          <w:bCs/>
        </w:rPr>
        <w:t>3</w:t>
      </w:r>
      <w:r>
        <w:rPr>
          <w:b/>
          <w:bCs/>
        </w:rPr>
        <w:tab/>
        <w:t>Revocation</w:t>
      </w:r>
    </w:p>
    <w:p w:rsidR="00C0008F" w:rsidRPr="001B6BF1" w:rsidRDefault="002913CC" w:rsidP="005F44ED">
      <w:pPr>
        <w:spacing w:before="80" w:after="60"/>
        <w:ind w:left="720"/>
        <w:rPr>
          <w:rFonts w:ascii="Times New Roman" w:hAnsi="Times New Roman" w:cs="Times New Roman"/>
        </w:rPr>
      </w:pPr>
      <w:r>
        <w:rPr>
          <w:rFonts w:ascii="Times New Roman" w:hAnsi="Times New Roman" w:cs="Times New Roman"/>
        </w:rPr>
        <w:t>This</w:t>
      </w:r>
      <w:r w:rsidR="00C0008F">
        <w:rPr>
          <w:rFonts w:ascii="Times New Roman" w:hAnsi="Times New Roman" w:cs="Times New Roman"/>
        </w:rPr>
        <w:t xml:space="preserve"> instrument</w:t>
      </w:r>
      <w:r>
        <w:rPr>
          <w:rFonts w:ascii="Times New Roman" w:hAnsi="Times New Roman" w:cs="Times New Roman"/>
        </w:rPr>
        <w:t xml:space="preserve"> revokes</w:t>
      </w:r>
      <w:r w:rsidR="001B6BF1">
        <w:rPr>
          <w:rFonts w:ascii="Times New Roman" w:hAnsi="Times New Roman" w:cs="Times New Roman"/>
        </w:rPr>
        <w:t xml:space="preserve"> DI2018-113, the </w:t>
      </w:r>
      <w:r w:rsidR="001B6BF1">
        <w:rPr>
          <w:rFonts w:ascii="Times New Roman" w:hAnsi="Times New Roman" w:cs="Times New Roman"/>
          <w:i/>
        </w:rPr>
        <w:t>Work Health and Safety (Fees) Determination 2018</w:t>
      </w:r>
      <w:r w:rsidR="00C0008F" w:rsidRPr="001B6BF1">
        <w:rPr>
          <w:rFonts w:ascii="Times New Roman" w:hAnsi="Times New Roman" w:cs="Times New Roman"/>
        </w:rPr>
        <w:t>.</w:t>
      </w:r>
    </w:p>
    <w:p w:rsidR="00020AA2" w:rsidRDefault="00C0008F" w:rsidP="00D54E49">
      <w:pPr>
        <w:spacing w:before="240" w:after="60"/>
        <w:rPr>
          <w:b/>
          <w:bCs/>
        </w:rPr>
      </w:pPr>
      <w:r>
        <w:rPr>
          <w:b/>
          <w:bCs/>
        </w:rPr>
        <w:t>4</w:t>
      </w:r>
      <w:r w:rsidR="00282576">
        <w:rPr>
          <w:b/>
          <w:bCs/>
        </w:rPr>
        <w:tab/>
        <w:t>Determination of fees</w:t>
      </w:r>
    </w:p>
    <w:p w:rsidR="00020AA2" w:rsidRDefault="00282576" w:rsidP="00282576">
      <w:pPr>
        <w:spacing w:before="80" w:after="60"/>
        <w:ind w:left="144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020AA2">
        <w:rPr>
          <w:rFonts w:ascii="Times New Roman" w:hAnsi="Times New Roman" w:cs="Times New Roman"/>
        </w:rPr>
        <w:t xml:space="preserve">The fee payable for a matter stated in an item in </w:t>
      </w:r>
      <w:r w:rsidR="0038380C">
        <w:rPr>
          <w:rFonts w:ascii="Times New Roman" w:hAnsi="Times New Roman" w:cs="Times New Roman"/>
        </w:rPr>
        <w:t>the schedule</w:t>
      </w:r>
      <w:r w:rsidR="00020AA2">
        <w:rPr>
          <w:rFonts w:ascii="Times New Roman" w:hAnsi="Times New Roman" w:cs="Times New Roman"/>
        </w:rPr>
        <w:t>, column 2 is the fee stated in the schedule, column 3 for that matter.</w:t>
      </w:r>
    </w:p>
    <w:p w:rsidR="00282576" w:rsidRPr="0075450D" w:rsidRDefault="00282576" w:rsidP="00282576">
      <w:pPr>
        <w:keepNext/>
        <w:spacing w:before="24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75450D">
        <w:rPr>
          <w:rFonts w:ascii="Times New Roman" w:hAnsi="Times New Roman" w:cs="Times New Roman"/>
        </w:rPr>
        <w:t xml:space="preserve">The fee for a matter stated in an item in </w:t>
      </w:r>
      <w:r>
        <w:rPr>
          <w:rFonts w:ascii="Times New Roman" w:hAnsi="Times New Roman" w:cs="Times New Roman"/>
        </w:rPr>
        <w:t>the schedule</w:t>
      </w:r>
      <w:r w:rsidRPr="0075450D">
        <w:rPr>
          <w:rFonts w:ascii="Times New Roman" w:hAnsi="Times New Roman" w:cs="Times New Roman"/>
        </w:rPr>
        <w:t>, column 2 is payable by the person requesting the service.</w:t>
      </w:r>
    </w:p>
    <w:p w:rsidR="00282576" w:rsidRDefault="00C0008F" w:rsidP="00282576">
      <w:pPr>
        <w:keepNext/>
        <w:spacing w:before="240" w:after="60"/>
        <w:ind w:left="720" w:hanging="720"/>
        <w:rPr>
          <w:b/>
          <w:bCs/>
        </w:rPr>
      </w:pPr>
      <w:r>
        <w:rPr>
          <w:b/>
          <w:bCs/>
        </w:rPr>
        <w:t>5</w:t>
      </w:r>
      <w:r w:rsidR="00282576">
        <w:rPr>
          <w:b/>
          <w:bCs/>
        </w:rPr>
        <w:tab/>
        <w:t>Payment of fees</w:t>
      </w:r>
    </w:p>
    <w:p w:rsidR="00020AA2" w:rsidRDefault="00020AA2" w:rsidP="00282576">
      <w:pPr>
        <w:spacing w:before="80" w:after="60"/>
        <w:ind w:left="720"/>
        <w:rPr>
          <w:rFonts w:ascii="Times New Roman" w:hAnsi="Times New Roman" w:cs="Times New Roman"/>
        </w:rPr>
      </w:pPr>
      <w:r>
        <w:rPr>
          <w:rFonts w:ascii="Times New Roman" w:hAnsi="Times New Roman" w:cs="Times New Roman"/>
        </w:rPr>
        <w:t>The fee payable for a matte</w:t>
      </w:r>
      <w:r w:rsidR="0038380C">
        <w:rPr>
          <w:rFonts w:ascii="Times New Roman" w:hAnsi="Times New Roman" w:cs="Times New Roman"/>
        </w:rPr>
        <w:t>r stated in an item in the schedule</w:t>
      </w:r>
      <w:r>
        <w:rPr>
          <w:rFonts w:ascii="Times New Roman" w:hAnsi="Times New Roman" w:cs="Times New Roman"/>
        </w:rPr>
        <w:t>, column 2 is payable to the Territory.</w:t>
      </w:r>
    </w:p>
    <w:p w:rsidR="00020AA2" w:rsidRDefault="00020AA2">
      <w:pPr>
        <w:rPr>
          <w:rFonts w:ascii="Times New Roman" w:hAnsi="Times New Roman" w:cs="Times New Roman"/>
        </w:rPr>
      </w:pPr>
    </w:p>
    <w:p w:rsidR="00282576" w:rsidRDefault="00282576">
      <w:pPr>
        <w:rPr>
          <w:rFonts w:ascii="Times New Roman" w:hAnsi="Times New Roman" w:cs="Times New Roman"/>
        </w:rPr>
      </w:pPr>
    </w:p>
    <w:p w:rsidR="00020AA2" w:rsidRDefault="00020AA2">
      <w:pPr>
        <w:rPr>
          <w:rFonts w:ascii="Times New Roman" w:hAnsi="Times New Roman" w:cs="Times New Roman"/>
        </w:rPr>
      </w:pPr>
    </w:p>
    <w:p w:rsidR="002802C2" w:rsidRDefault="002802C2">
      <w:pPr>
        <w:rPr>
          <w:rFonts w:ascii="Times New Roman" w:hAnsi="Times New Roman" w:cs="Times New Roman"/>
        </w:rPr>
      </w:pPr>
    </w:p>
    <w:p w:rsidR="00020AA2" w:rsidRDefault="00603908">
      <w:pPr>
        <w:rPr>
          <w:rFonts w:ascii="Times New Roman" w:hAnsi="Times New Roman" w:cs="Times New Roman"/>
        </w:rPr>
      </w:pPr>
      <w:r>
        <w:rPr>
          <w:rFonts w:ascii="Times New Roman" w:hAnsi="Times New Roman" w:cs="Times New Roman"/>
        </w:rPr>
        <w:t>Rachel Stephen-Smith</w:t>
      </w:r>
      <w:r w:rsidR="00020AA2">
        <w:rPr>
          <w:rFonts w:ascii="Times New Roman" w:hAnsi="Times New Roman" w:cs="Times New Roman"/>
        </w:rPr>
        <w:t xml:space="preserve"> MLA</w:t>
      </w:r>
    </w:p>
    <w:p w:rsidR="005D4B65" w:rsidRDefault="00D47829" w:rsidP="005865CC">
      <w:pPr>
        <w:spacing w:after="120"/>
        <w:rPr>
          <w:rFonts w:ascii="Times New Roman" w:hAnsi="Times New Roman" w:cs="Times New Roman"/>
        </w:rPr>
      </w:pPr>
      <w:r>
        <w:rPr>
          <w:rFonts w:ascii="Times New Roman" w:hAnsi="Times New Roman" w:cs="Times New Roman"/>
        </w:rPr>
        <w:t>Minister for Workplace Safety and Industrial Relations</w:t>
      </w:r>
      <w:r w:rsidR="005865CC">
        <w:rPr>
          <w:rFonts w:ascii="Times New Roman" w:hAnsi="Times New Roman" w:cs="Times New Roman"/>
        </w:rPr>
        <w:br/>
        <w:t>14 August 2018</w:t>
      </w:r>
    </w:p>
    <w:p w:rsidR="005D4B65" w:rsidRDefault="005D4B65">
      <w:pPr>
        <w:rPr>
          <w:rFonts w:ascii="Times New Roman" w:hAnsi="Times New Roman" w:cs="Times New Roman"/>
        </w:rPr>
      </w:pPr>
    </w:p>
    <w:p w:rsidR="005D4B65" w:rsidRDefault="005D4B65">
      <w:pPr>
        <w:rPr>
          <w:rFonts w:ascii="Times New Roman" w:hAnsi="Times New Roman" w:cs="Times New Roman"/>
        </w:rPr>
      </w:pPr>
    </w:p>
    <w:p w:rsidR="005D4B65" w:rsidRDefault="005D4B65">
      <w:pPr>
        <w:spacing w:after="200" w:line="276" w:lineRule="auto"/>
        <w:rPr>
          <w:b/>
          <w:bCs/>
        </w:rPr>
      </w:pPr>
    </w:p>
    <w:tbl>
      <w:tblPr>
        <w:tblpPr w:leftFromText="180" w:rightFromText="180" w:vertAnchor="page" w:horzAnchor="margin" w:tblpXSpec="center" w:tblpY="1"/>
        <w:tblOverlap w:val="never"/>
        <w:tblW w:w="10206" w:type="dxa"/>
        <w:tblLook w:val="04A0"/>
      </w:tblPr>
      <w:tblGrid>
        <w:gridCol w:w="969"/>
        <w:gridCol w:w="6665"/>
        <w:gridCol w:w="2572"/>
      </w:tblGrid>
      <w:tr w:rsidR="005D4B65" w:rsidTr="00752F27">
        <w:trPr>
          <w:trHeight w:val="426"/>
          <w:tblHeader/>
        </w:trPr>
        <w:tc>
          <w:tcPr>
            <w:tcW w:w="969" w:type="dxa"/>
          </w:tcPr>
          <w:p w:rsidR="005D4B65" w:rsidRDefault="005D4B65" w:rsidP="005D4B65">
            <w:pPr>
              <w:widowControl w:val="0"/>
              <w:spacing w:before="60" w:after="60" w:line="276" w:lineRule="auto"/>
              <w:rPr>
                <w:snapToGrid w:val="0"/>
                <w:color w:val="000000"/>
                <w:sz w:val="14"/>
              </w:rPr>
            </w:pPr>
          </w:p>
        </w:tc>
        <w:tc>
          <w:tcPr>
            <w:tcW w:w="6665" w:type="dxa"/>
          </w:tcPr>
          <w:p w:rsidR="005D4B65" w:rsidRDefault="005D4B65" w:rsidP="005D4B65">
            <w:pPr>
              <w:widowControl w:val="0"/>
              <w:spacing w:before="60" w:after="60" w:line="276" w:lineRule="auto"/>
              <w:rPr>
                <w:snapToGrid w:val="0"/>
                <w:color w:val="000000"/>
                <w:sz w:val="14"/>
              </w:rPr>
            </w:pPr>
          </w:p>
        </w:tc>
        <w:tc>
          <w:tcPr>
            <w:tcW w:w="2572" w:type="dxa"/>
          </w:tcPr>
          <w:p w:rsidR="005D4B65" w:rsidRDefault="005D4B65" w:rsidP="005D4B65">
            <w:pPr>
              <w:widowControl w:val="0"/>
              <w:spacing w:before="60" w:after="60" w:line="276" w:lineRule="auto"/>
              <w:rPr>
                <w:snapToGrid w:val="0"/>
                <w:color w:val="000000"/>
                <w:sz w:val="14"/>
              </w:rPr>
            </w:pPr>
          </w:p>
        </w:tc>
      </w:tr>
      <w:tr w:rsidR="005D4B65" w:rsidTr="00BF4DF6">
        <w:trPr>
          <w:trHeight w:val="142"/>
          <w:tblHeader/>
        </w:trPr>
        <w:tc>
          <w:tcPr>
            <w:tcW w:w="10206" w:type="dxa"/>
            <w:gridSpan w:val="3"/>
          </w:tcPr>
          <w:p w:rsidR="005D4B65" w:rsidRDefault="005D4B65" w:rsidP="005D4B65">
            <w:pPr>
              <w:tabs>
                <w:tab w:val="left" w:pos="2280"/>
                <w:tab w:val="left" w:pos="3860"/>
              </w:tabs>
              <w:ind w:right="-308"/>
              <w:jc w:val="center"/>
              <w:rPr>
                <w:b/>
                <w:bCs/>
              </w:rPr>
            </w:pPr>
            <w:r>
              <w:rPr>
                <w:b/>
                <w:bCs/>
              </w:rPr>
              <w:lastRenderedPageBreak/>
              <w:t>SCHEDULE</w:t>
            </w:r>
            <w:r>
              <w:t xml:space="preserve"> - </w:t>
            </w:r>
            <w:r>
              <w:rPr>
                <w:b/>
                <w:bCs/>
              </w:rPr>
              <w:t>FEES AND CHARGES TO BE PAID</w:t>
            </w:r>
          </w:p>
          <w:p w:rsidR="005D4B65" w:rsidRDefault="005D4B65" w:rsidP="005D4B65">
            <w:pPr>
              <w:widowControl w:val="0"/>
              <w:spacing w:before="60" w:after="60" w:line="276" w:lineRule="auto"/>
              <w:rPr>
                <w:snapToGrid w:val="0"/>
                <w:color w:val="000000"/>
                <w:sz w:val="14"/>
              </w:rPr>
            </w:pPr>
          </w:p>
        </w:tc>
      </w:tr>
      <w:tr w:rsidR="005D4B65" w:rsidTr="005D4B65">
        <w:trPr>
          <w:trHeight w:val="142"/>
          <w:tblHeader/>
        </w:trPr>
        <w:tc>
          <w:tcPr>
            <w:tcW w:w="969" w:type="dxa"/>
            <w:hideMark/>
          </w:tcPr>
          <w:p w:rsidR="005D4B65" w:rsidRDefault="005D4B65" w:rsidP="005D4B65">
            <w:pPr>
              <w:widowControl w:val="0"/>
              <w:spacing w:before="60" w:after="60" w:line="276" w:lineRule="auto"/>
              <w:rPr>
                <w:snapToGrid w:val="0"/>
                <w:color w:val="000000"/>
                <w:sz w:val="14"/>
              </w:rPr>
            </w:pPr>
            <w:bookmarkStart w:id="2" w:name="_Sale_of_Motor"/>
            <w:bookmarkEnd w:id="2"/>
            <w:r>
              <w:rPr>
                <w:snapToGrid w:val="0"/>
                <w:color w:val="000000"/>
                <w:sz w:val="14"/>
              </w:rPr>
              <w:t>Column 1</w:t>
            </w:r>
          </w:p>
          <w:p w:rsidR="005D4B65" w:rsidRDefault="005D4B65" w:rsidP="005D4B65">
            <w:pPr>
              <w:widowControl w:val="0"/>
              <w:spacing w:before="60" w:after="60" w:line="276" w:lineRule="auto"/>
              <w:rPr>
                <w:snapToGrid w:val="0"/>
                <w:color w:val="000000"/>
              </w:rPr>
            </w:pPr>
            <w:r>
              <w:rPr>
                <w:snapToGrid w:val="0"/>
                <w:color w:val="000000"/>
              </w:rPr>
              <w:t>Item</w:t>
            </w:r>
          </w:p>
        </w:tc>
        <w:tc>
          <w:tcPr>
            <w:tcW w:w="6665" w:type="dxa"/>
            <w:hideMark/>
          </w:tcPr>
          <w:p w:rsidR="005D4B65" w:rsidRDefault="005D4B65" w:rsidP="005D4B65">
            <w:pPr>
              <w:widowControl w:val="0"/>
              <w:spacing w:before="60" w:after="60" w:line="276" w:lineRule="auto"/>
              <w:rPr>
                <w:snapToGrid w:val="0"/>
                <w:color w:val="000000"/>
                <w:sz w:val="14"/>
              </w:rPr>
            </w:pPr>
            <w:r>
              <w:rPr>
                <w:snapToGrid w:val="0"/>
                <w:color w:val="000000"/>
                <w:sz w:val="14"/>
              </w:rPr>
              <w:t>Column 2</w:t>
            </w:r>
          </w:p>
          <w:p w:rsidR="005D4B65" w:rsidRDefault="005D4B65" w:rsidP="005D4B65">
            <w:pPr>
              <w:widowControl w:val="0"/>
              <w:spacing w:before="60" w:after="60" w:line="276" w:lineRule="auto"/>
              <w:rPr>
                <w:snapToGrid w:val="0"/>
              </w:rPr>
            </w:pPr>
            <w:r>
              <w:rPr>
                <w:snapToGrid w:val="0"/>
                <w:color w:val="000000"/>
              </w:rPr>
              <w:t xml:space="preserve">Matter in respect of which fee or charge is payable </w:t>
            </w:r>
          </w:p>
        </w:tc>
        <w:tc>
          <w:tcPr>
            <w:tcW w:w="2572" w:type="dxa"/>
          </w:tcPr>
          <w:p w:rsidR="005D4B65" w:rsidRDefault="005D4B65" w:rsidP="005D4B65">
            <w:pPr>
              <w:widowControl w:val="0"/>
              <w:spacing w:before="60" w:after="60" w:line="276" w:lineRule="auto"/>
              <w:rPr>
                <w:snapToGrid w:val="0"/>
                <w:color w:val="000000"/>
                <w:sz w:val="14"/>
              </w:rPr>
            </w:pPr>
            <w:r>
              <w:rPr>
                <w:snapToGrid w:val="0"/>
                <w:color w:val="000000"/>
                <w:sz w:val="14"/>
              </w:rPr>
              <w:t>Column 3</w:t>
            </w:r>
          </w:p>
          <w:p w:rsidR="005D4B65" w:rsidRDefault="005D4B65" w:rsidP="005D4B65">
            <w:pPr>
              <w:widowControl w:val="0"/>
              <w:spacing w:before="60" w:after="60" w:line="276" w:lineRule="auto"/>
              <w:rPr>
                <w:snapToGrid w:val="0"/>
                <w:color w:val="000000"/>
              </w:rPr>
            </w:pPr>
            <w:r>
              <w:rPr>
                <w:snapToGrid w:val="0"/>
                <w:color w:val="000000"/>
              </w:rPr>
              <w:t>Amount Payable</w:t>
            </w:r>
          </w:p>
          <w:p w:rsidR="005D4B65" w:rsidRDefault="005D4B65" w:rsidP="005D4B65">
            <w:pPr>
              <w:widowControl w:val="0"/>
              <w:spacing w:before="60" w:after="60" w:line="276" w:lineRule="auto"/>
              <w:rPr>
                <w:snapToGrid w:val="0"/>
              </w:rPr>
            </w:pP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364.1</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xml:space="preserve">Construction Induction Training Card – Application </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w:t>
            </w:r>
            <w:r>
              <w:rPr>
                <w:rFonts w:ascii="Times New Roman" w:hAnsi="Times New Roman" w:cs="Times New Roman"/>
                <w:color w:val="000000"/>
                <w:sz w:val="16"/>
                <w:szCs w:val="16"/>
              </w:rPr>
              <w:t>9</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$3</w:t>
            </w:r>
            <w:r>
              <w:rPr>
                <w:rFonts w:ascii="Times New Roman" w:hAnsi="Times New Roman" w:cs="Times New Roman"/>
                <w:i/>
                <w:iCs/>
                <w:color w:val="000080"/>
                <w:sz w:val="16"/>
                <w:szCs w:val="16"/>
              </w:rPr>
              <w:t>8</w:t>
            </w:r>
            <w:r w:rsidRPr="00F679F0">
              <w:rPr>
                <w:rFonts w:ascii="Times New Roman" w:hAnsi="Times New Roman" w:cs="Times New Roman"/>
                <w:i/>
                <w:iCs/>
                <w:color w:val="000080"/>
                <w:sz w:val="16"/>
                <w:szCs w:val="16"/>
              </w:rPr>
              <w:t>.00</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364.2</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Construction Induction Training Card – Replacement of lost, stolen or damaged card</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w:t>
            </w:r>
            <w:r>
              <w:rPr>
                <w:rFonts w:ascii="Times New Roman" w:hAnsi="Times New Roman" w:cs="Times New Roman"/>
                <w:color w:val="000000"/>
                <w:sz w:val="16"/>
                <w:szCs w:val="16"/>
              </w:rPr>
              <w:t>9</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$3</w:t>
            </w:r>
            <w:r>
              <w:rPr>
                <w:rFonts w:ascii="Times New Roman" w:hAnsi="Times New Roman" w:cs="Times New Roman"/>
                <w:i/>
                <w:iCs/>
                <w:color w:val="000080"/>
                <w:sz w:val="16"/>
                <w:szCs w:val="16"/>
              </w:rPr>
              <w:t>8</w:t>
            </w:r>
            <w:r w:rsidRPr="00F679F0">
              <w:rPr>
                <w:rFonts w:ascii="Times New Roman" w:hAnsi="Times New Roman" w:cs="Times New Roman"/>
                <w:i/>
                <w:iCs/>
                <w:color w:val="000080"/>
                <w:sz w:val="16"/>
                <w:szCs w:val="16"/>
              </w:rPr>
              <w:t>.00</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365.1</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High risk work licence – application</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w:t>
            </w:r>
            <w:r>
              <w:rPr>
                <w:rFonts w:ascii="Times New Roman" w:hAnsi="Times New Roman" w:cs="Times New Roman"/>
                <w:color w:val="000000"/>
                <w:sz w:val="16"/>
                <w:szCs w:val="16"/>
              </w:rPr>
              <w:t>98</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w:t>
            </w:r>
            <w:r>
              <w:rPr>
                <w:rFonts w:ascii="Times New Roman" w:hAnsi="Times New Roman" w:cs="Times New Roman"/>
                <w:i/>
                <w:iCs/>
                <w:color w:val="000080"/>
                <w:sz w:val="16"/>
                <w:szCs w:val="16"/>
              </w:rPr>
              <w:t>95</w:t>
            </w:r>
            <w:r w:rsidRPr="00F679F0">
              <w:rPr>
                <w:rFonts w:ascii="Times New Roman" w:hAnsi="Times New Roman" w:cs="Times New Roman"/>
                <w:i/>
                <w:iCs/>
                <w:color w:val="000080"/>
                <w:sz w:val="16"/>
                <w:szCs w:val="16"/>
              </w:rPr>
              <w:t>.00</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365.2</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xml:space="preserve">High risk work licence – application for renewal </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w:t>
            </w:r>
            <w:r>
              <w:rPr>
                <w:rFonts w:ascii="Times New Roman" w:hAnsi="Times New Roman" w:cs="Times New Roman"/>
                <w:color w:val="000000"/>
                <w:sz w:val="16"/>
                <w:szCs w:val="16"/>
              </w:rPr>
              <w:t>98</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w:t>
            </w:r>
            <w:r>
              <w:rPr>
                <w:rFonts w:ascii="Times New Roman" w:hAnsi="Times New Roman" w:cs="Times New Roman"/>
                <w:i/>
                <w:iCs/>
                <w:color w:val="000080"/>
                <w:sz w:val="16"/>
                <w:szCs w:val="16"/>
              </w:rPr>
              <w:t>95</w:t>
            </w:r>
            <w:r w:rsidRPr="00F679F0">
              <w:rPr>
                <w:rFonts w:ascii="Times New Roman" w:hAnsi="Times New Roman" w:cs="Times New Roman"/>
                <w:i/>
                <w:iCs/>
                <w:color w:val="000080"/>
                <w:sz w:val="16"/>
                <w:szCs w:val="16"/>
              </w:rPr>
              <w:t>.00</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365.3</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High risk work licence – application to vary</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w:t>
            </w:r>
            <w:r>
              <w:rPr>
                <w:rFonts w:ascii="Times New Roman" w:hAnsi="Times New Roman" w:cs="Times New Roman"/>
                <w:color w:val="000000"/>
                <w:sz w:val="16"/>
                <w:szCs w:val="16"/>
              </w:rPr>
              <w:t>98</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w:t>
            </w:r>
            <w:r>
              <w:rPr>
                <w:rFonts w:ascii="Times New Roman" w:hAnsi="Times New Roman" w:cs="Times New Roman"/>
                <w:i/>
                <w:iCs/>
                <w:color w:val="000080"/>
                <w:sz w:val="16"/>
                <w:szCs w:val="16"/>
              </w:rPr>
              <w:t>95</w:t>
            </w:r>
            <w:r w:rsidRPr="00F679F0">
              <w:rPr>
                <w:rFonts w:ascii="Times New Roman" w:hAnsi="Times New Roman" w:cs="Times New Roman"/>
                <w:i/>
                <w:iCs/>
                <w:color w:val="000080"/>
                <w:sz w:val="16"/>
                <w:szCs w:val="16"/>
              </w:rPr>
              <w:t>.00</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365.4</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High risk work licence – replacement of lost, stolen or damaged card</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w:t>
            </w:r>
            <w:r>
              <w:rPr>
                <w:rFonts w:ascii="Times New Roman" w:hAnsi="Times New Roman" w:cs="Times New Roman"/>
                <w:color w:val="000000"/>
                <w:sz w:val="16"/>
                <w:szCs w:val="16"/>
              </w:rPr>
              <w:t>9</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$3</w:t>
            </w:r>
            <w:r>
              <w:rPr>
                <w:rFonts w:ascii="Times New Roman" w:hAnsi="Times New Roman" w:cs="Times New Roman"/>
                <w:i/>
                <w:iCs/>
                <w:color w:val="000080"/>
                <w:sz w:val="16"/>
                <w:szCs w:val="16"/>
              </w:rPr>
              <w:t>8</w:t>
            </w:r>
            <w:r w:rsidRPr="00F679F0">
              <w:rPr>
                <w:rFonts w:ascii="Times New Roman" w:hAnsi="Times New Roman" w:cs="Times New Roman"/>
                <w:i/>
                <w:iCs/>
                <w:color w:val="000080"/>
                <w:sz w:val="16"/>
                <w:szCs w:val="16"/>
              </w:rPr>
              <w:t>.00</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365.5</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High Risk Work Licence-Application for Exemption</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$5</w:t>
            </w:r>
            <w:r>
              <w:rPr>
                <w:rFonts w:ascii="Times New Roman" w:hAnsi="Times New Roman" w:cs="Times New Roman"/>
                <w:color w:val="000000"/>
                <w:sz w:val="16"/>
                <w:szCs w:val="16"/>
              </w:rPr>
              <w:t>43</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w:t>
            </w:r>
            <w:r>
              <w:rPr>
                <w:rFonts w:ascii="Times New Roman" w:hAnsi="Times New Roman" w:cs="Times New Roman"/>
                <w:i/>
                <w:iCs/>
                <w:color w:val="000080"/>
                <w:sz w:val="16"/>
                <w:szCs w:val="16"/>
              </w:rPr>
              <w:t>523</w:t>
            </w:r>
            <w:r w:rsidRPr="00F679F0">
              <w:rPr>
                <w:rFonts w:ascii="Times New Roman" w:hAnsi="Times New Roman" w:cs="Times New Roman"/>
                <w:i/>
                <w:iCs/>
                <w:color w:val="000080"/>
                <w:sz w:val="16"/>
                <w:szCs w:val="16"/>
              </w:rPr>
              <w:t>.00</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366.1</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Workplace Health and Safety Entry Permit-Application</w:t>
            </w:r>
          </w:p>
        </w:tc>
        <w:tc>
          <w:tcPr>
            <w:tcW w:w="2572"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$9</w:t>
            </w:r>
            <w:r>
              <w:rPr>
                <w:rFonts w:ascii="Times New Roman" w:hAnsi="Times New Roman" w:cs="Times New Roman"/>
                <w:color w:val="000000"/>
                <w:sz w:val="16"/>
                <w:szCs w:val="16"/>
              </w:rPr>
              <w:t>6</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The fee is consistent with the cost for a high risk work licence, as they have</w:t>
            </w:r>
            <w:r w:rsidRPr="00F679F0">
              <w:rPr>
                <w:rFonts w:ascii="Times New Roman" w:hAnsi="Times New Roman" w:cs="Times New Roman"/>
                <w:i/>
                <w:iCs/>
                <w:color w:val="000080"/>
                <w:sz w:val="16"/>
                <w:szCs w:val="16"/>
              </w:rPr>
              <w:br/>
              <w:t>similar requirements. Last Financial Year the fee was $</w:t>
            </w:r>
            <w:r>
              <w:rPr>
                <w:rFonts w:ascii="Times New Roman" w:hAnsi="Times New Roman" w:cs="Times New Roman"/>
                <w:i/>
                <w:iCs/>
                <w:color w:val="000080"/>
                <w:sz w:val="16"/>
                <w:szCs w:val="16"/>
              </w:rPr>
              <w:t>93</w:t>
            </w:r>
            <w:r w:rsidRPr="00F679F0">
              <w:rPr>
                <w:rFonts w:ascii="Times New Roman" w:hAnsi="Times New Roman" w:cs="Times New Roman"/>
                <w:i/>
                <w:iCs/>
                <w:color w:val="000080"/>
                <w:sz w:val="16"/>
                <w:szCs w:val="16"/>
              </w:rPr>
              <w:t>.00.</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noWrap/>
            <w:hideMark/>
          </w:tcPr>
          <w:p w:rsidR="005D4B65" w:rsidRPr="00F679F0" w:rsidRDefault="005D4B65" w:rsidP="005D4B65">
            <w:pPr>
              <w:rPr>
                <w:rFonts w:ascii="Times New Roman" w:hAnsi="Times New Roman" w:cs="Times New Roman"/>
                <w:color w:val="00000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366.2</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Workplace Health and Safety Entry Permit-Replacement of lost, stolen or damaged card</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w:t>
            </w:r>
            <w:r>
              <w:rPr>
                <w:rFonts w:ascii="Times New Roman" w:hAnsi="Times New Roman" w:cs="Times New Roman"/>
                <w:color w:val="000000"/>
                <w:sz w:val="16"/>
                <w:szCs w:val="16"/>
              </w:rPr>
              <w:t>9</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 xml:space="preserve">Explanatory Note: The fee </w:t>
            </w:r>
            <w:r>
              <w:rPr>
                <w:rFonts w:ascii="Times New Roman" w:hAnsi="Times New Roman" w:cs="Times New Roman"/>
                <w:i/>
                <w:iCs/>
                <w:color w:val="000080"/>
                <w:sz w:val="16"/>
                <w:szCs w:val="16"/>
              </w:rPr>
              <w:t>change aligns</w:t>
            </w:r>
            <w:r w:rsidRPr="00F679F0">
              <w:rPr>
                <w:rFonts w:ascii="Times New Roman" w:hAnsi="Times New Roman" w:cs="Times New Roman"/>
                <w:i/>
                <w:iCs/>
                <w:color w:val="000080"/>
                <w:sz w:val="16"/>
                <w:szCs w:val="16"/>
              </w:rPr>
              <w:t xml:space="preserve"> with the cost for replacing other similar licences issued by Access Canberra. Last Financial Year the fee was $</w:t>
            </w:r>
            <w:r>
              <w:rPr>
                <w:rFonts w:ascii="Times New Roman" w:hAnsi="Times New Roman" w:cs="Times New Roman"/>
                <w:i/>
                <w:iCs/>
                <w:color w:val="000080"/>
                <w:sz w:val="16"/>
                <w:szCs w:val="16"/>
              </w:rPr>
              <w:t>48</w:t>
            </w:r>
            <w:r w:rsidRPr="00F679F0">
              <w:rPr>
                <w:rFonts w:ascii="Times New Roman" w:hAnsi="Times New Roman" w:cs="Times New Roman"/>
                <w:i/>
                <w:iCs/>
                <w:color w:val="000080"/>
                <w:sz w:val="16"/>
                <w:szCs w:val="16"/>
              </w:rPr>
              <w:t>.00.</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367</w:t>
            </w:r>
          </w:p>
        </w:tc>
        <w:tc>
          <w:tcPr>
            <w:tcW w:w="6665"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Approval of course of training in workplace entry by Workplace Health and Safety entry permit holder-Application</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$6</w:t>
            </w:r>
            <w:r>
              <w:rPr>
                <w:rFonts w:ascii="Times New Roman" w:hAnsi="Times New Roman" w:cs="Times New Roman"/>
                <w:color w:val="000000"/>
                <w:sz w:val="16"/>
                <w:szCs w:val="16"/>
              </w:rPr>
              <w:t>86</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Schedule 2, Work Health and Safety Regulation 2011 (C'wlth) determines this</w:t>
            </w:r>
            <w:r w:rsidRPr="00F679F0">
              <w:rPr>
                <w:rFonts w:ascii="Times New Roman" w:hAnsi="Times New Roman" w:cs="Times New Roman"/>
                <w:i/>
                <w:iCs/>
                <w:color w:val="000080"/>
                <w:sz w:val="16"/>
                <w:szCs w:val="16"/>
              </w:rPr>
              <w:br/>
              <w:t>fee. Last Financial Year the fee was $6</w:t>
            </w:r>
            <w:r>
              <w:rPr>
                <w:rFonts w:ascii="Times New Roman" w:hAnsi="Times New Roman" w:cs="Times New Roman"/>
                <w:i/>
                <w:iCs/>
                <w:color w:val="000080"/>
                <w:sz w:val="16"/>
                <w:szCs w:val="16"/>
              </w:rPr>
              <w:t>60</w:t>
            </w:r>
            <w:r w:rsidRPr="00F679F0">
              <w:rPr>
                <w:rFonts w:ascii="Times New Roman" w:hAnsi="Times New Roman" w:cs="Times New Roman"/>
                <w:i/>
                <w:iCs/>
                <w:color w:val="000080"/>
                <w:sz w:val="16"/>
                <w:szCs w:val="16"/>
              </w:rPr>
              <w:t>.00.</w:t>
            </w: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hideMark/>
          </w:tcPr>
          <w:p w:rsidR="005D4B65" w:rsidRPr="00F679F0" w:rsidRDefault="005D4B65" w:rsidP="005D4B65">
            <w:pPr>
              <w:rPr>
                <w:rFonts w:ascii="Times New Roman" w:hAnsi="Times New Roman" w:cs="Times New Roman"/>
                <w:color w:val="000000"/>
                <w:sz w:val="16"/>
                <w:szCs w:val="16"/>
              </w:rPr>
            </w:pPr>
          </w:p>
        </w:tc>
        <w:tc>
          <w:tcPr>
            <w:tcW w:w="2572" w:type="dxa"/>
            <w:noWrap/>
            <w:hideMark/>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371.1</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Application for an asbestos assessor, asbestos removalist Class A and asbestos removalist Class B licence. Where the application is made online.</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w:t>
            </w:r>
            <w:r>
              <w:rPr>
                <w:rFonts w:ascii="Times New Roman" w:hAnsi="Times New Roman" w:cs="Times New Roman"/>
                <w:color w:val="000000"/>
                <w:sz w:val="16"/>
                <w:szCs w:val="16"/>
              </w:rPr>
              <w:t>64</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 xml:space="preserve">Explanatory Note: </w:t>
            </w:r>
            <w:r w:rsidRPr="002B706C">
              <w:rPr>
                <w:rFonts w:ascii="Times New Roman" w:hAnsi="Times New Roman" w:cs="Times New Roman"/>
                <w:i/>
                <w:iCs/>
                <w:color w:val="000080"/>
                <w:sz w:val="16"/>
                <w:szCs w:val="16"/>
              </w:rPr>
              <w:t xml:space="preserve">The application fee is based on similar licence types assessed by Access Canberra. The fee provides a 10% reduction for electronic lodgement. </w:t>
            </w:r>
            <w:r w:rsidRPr="00F679F0">
              <w:rPr>
                <w:rFonts w:ascii="Times New Roman" w:hAnsi="Times New Roman" w:cs="Times New Roman"/>
                <w:i/>
                <w:iCs/>
                <w:color w:val="000080"/>
                <w:sz w:val="16"/>
                <w:szCs w:val="16"/>
              </w:rPr>
              <w:t>Last Financial Year the fee was $</w:t>
            </w:r>
            <w:r>
              <w:rPr>
                <w:rFonts w:ascii="Times New Roman" w:hAnsi="Times New Roman" w:cs="Times New Roman"/>
                <w:i/>
                <w:iCs/>
                <w:color w:val="000080"/>
                <w:sz w:val="16"/>
                <w:szCs w:val="16"/>
              </w:rPr>
              <w:t>447</w:t>
            </w:r>
            <w:r w:rsidRPr="00F679F0">
              <w:rPr>
                <w:rFonts w:ascii="Times New Roman" w:hAnsi="Times New Roman" w:cs="Times New Roman"/>
                <w:i/>
                <w:iCs/>
                <w:color w:val="000080"/>
                <w:sz w:val="16"/>
                <w:szCs w:val="16"/>
              </w:rPr>
              <w:t>.00</w:t>
            </w:r>
            <w:r>
              <w:rPr>
                <w:rFonts w:ascii="Times New Roman" w:hAnsi="Times New Roman" w:cs="Times New Roman"/>
                <w:i/>
                <w:iCs/>
                <w:color w:val="000080"/>
                <w:sz w:val="16"/>
                <w:szCs w:val="16"/>
              </w:rPr>
              <w:t>.</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371.2</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Application for an asbestos assessor, asbestos removalist Class A and asbestos removalist Class B licence. Where the application is made in person or by post.</w:t>
            </w:r>
          </w:p>
        </w:tc>
        <w:tc>
          <w:tcPr>
            <w:tcW w:w="2572" w:type="dxa"/>
            <w:noWrap/>
          </w:tcPr>
          <w:p w:rsidR="005D4B65" w:rsidRPr="00F679F0" w:rsidRDefault="005D4B65" w:rsidP="005D4B65">
            <w:pPr>
              <w:rPr>
                <w:rFonts w:ascii="Times New Roman" w:hAnsi="Times New Roman" w:cs="Times New Roman"/>
                <w:color w:val="000000"/>
                <w:sz w:val="16"/>
                <w:szCs w:val="16"/>
              </w:rPr>
            </w:pPr>
            <w:r>
              <w:rPr>
                <w:rFonts w:ascii="Times New Roman" w:hAnsi="Times New Roman" w:cs="Times New Roman"/>
                <w:color w:val="000000"/>
                <w:sz w:val="16"/>
                <w:szCs w:val="16"/>
              </w:rPr>
              <w:t>$510</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The application fee is based on similar licence types assessed by Access Canberra. Last Financial Year the fee was $</w:t>
            </w:r>
            <w:r>
              <w:rPr>
                <w:rFonts w:ascii="Times New Roman" w:hAnsi="Times New Roman" w:cs="Times New Roman"/>
                <w:i/>
                <w:iCs/>
                <w:color w:val="000080"/>
                <w:sz w:val="16"/>
                <w:szCs w:val="16"/>
              </w:rPr>
              <w:t>491</w:t>
            </w:r>
            <w:r w:rsidRPr="00F679F0">
              <w:rPr>
                <w:rFonts w:ascii="Times New Roman" w:hAnsi="Times New Roman" w:cs="Times New Roman"/>
                <w:i/>
                <w:iCs/>
                <w:color w:val="000080"/>
                <w:sz w:val="16"/>
                <w:szCs w:val="16"/>
              </w:rPr>
              <w:t>.00</w:t>
            </w:r>
            <w:r>
              <w:rPr>
                <w:rFonts w:ascii="Times New Roman" w:hAnsi="Times New Roman" w:cs="Times New Roman"/>
                <w:i/>
                <w:iCs/>
                <w:color w:val="000080"/>
                <w:sz w:val="16"/>
                <w:szCs w:val="16"/>
              </w:rPr>
              <w:t>.</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i/>
                <w:iCs/>
                <w:color w:val="00008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371.3</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xml:space="preserve">Application for recognition of experience to perform scope of work not authorised by an asbestos assessor licence issued in another jurisdiction under a corresponding WHS law. </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w:t>
            </w:r>
            <w:r>
              <w:rPr>
                <w:rFonts w:ascii="Times New Roman" w:hAnsi="Times New Roman" w:cs="Times New Roman"/>
                <w:color w:val="000000"/>
                <w:sz w:val="16"/>
                <w:szCs w:val="16"/>
              </w:rPr>
              <w:t>64</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The scope of work for an asbestos assessor in the ACT differs to other jurisdictions who have adopted the model WHS laws.  This fee is to undertake the assessment of the relevant experience in order for the applicant to be provided the opportunity to expand the scope of work authorised under their licence issued in their home jurisdiction.</w:t>
            </w:r>
            <w:r w:rsidRPr="005D4B65">
              <w:rPr>
                <w:rFonts w:ascii="Times New Roman" w:hAnsi="Times New Roman" w:cs="Times New Roman"/>
                <w:i/>
                <w:iCs/>
                <w:color w:val="000080"/>
                <w:sz w:val="16"/>
                <w:szCs w:val="16"/>
              </w:rPr>
              <w:t xml:space="preserve">  </w:t>
            </w:r>
            <w:r w:rsidRPr="00F679F0">
              <w:rPr>
                <w:rFonts w:ascii="Times New Roman" w:hAnsi="Times New Roman" w:cs="Times New Roman"/>
                <w:i/>
                <w:iCs/>
                <w:color w:val="000080"/>
                <w:sz w:val="16"/>
                <w:szCs w:val="16"/>
              </w:rPr>
              <w:t>Last Financial Year the fee was $</w:t>
            </w:r>
            <w:r>
              <w:rPr>
                <w:rFonts w:ascii="Times New Roman" w:hAnsi="Times New Roman" w:cs="Times New Roman"/>
                <w:i/>
                <w:iCs/>
                <w:color w:val="000080"/>
                <w:sz w:val="16"/>
                <w:szCs w:val="16"/>
              </w:rPr>
              <w:t>447</w:t>
            </w:r>
            <w:r w:rsidRPr="00F679F0">
              <w:rPr>
                <w:rFonts w:ascii="Times New Roman" w:hAnsi="Times New Roman" w:cs="Times New Roman"/>
                <w:i/>
                <w:iCs/>
                <w:color w:val="000080"/>
                <w:sz w:val="16"/>
                <w:szCs w:val="16"/>
              </w:rPr>
              <w:t>.00</w:t>
            </w:r>
            <w:r>
              <w:rPr>
                <w:rFonts w:ascii="Times New Roman" w:hAnsi="Times New Roman" w:cs="Times New Roman"/>
                <w:i/>
                <w:iCs/>
                <w:color w:val="000080"/>
                <w:sz w:val="16"/>
                <w:szCs w:val="16"/>
              </w:rPr>
              <w:t>.</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Application for an asbestos removal licence (Class B) or to renew the licence</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 xml:space="preserve">Explanatory Note: This fee has been removed and replaced with an application and term fee. </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color w:val="00000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371.4</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Asbestos removal or assessor - replacement of lost, stolen or damaged card</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w:t>
            </w:r>
            <w:r>
              <w:rPr>
                <w:rFonts w:ascii="Times New Roman" w:hAnsi="Times New Roman" w:cs="Times New Roman"/>
                <w:color w:val="000000"/>
                <w:sz w:val="16"/>
                <w:szCs w:val="16"/>
              </w:rPr>
              <w:t>9</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The fee is consistent with the cost for replacing other similar licences issued by Access Canberra. Last Financial Year the fee was $</w:t>
            </w:r>
            <w:r>
              <w:rPr>
                <w:rFonts w:ascii="Times New Roman" w:hAnsi="Times New Roman" w:cs="Times New Roman"/>
                <w:i/>
                <w:iCs/>
                <w:color w:val="000080"/>
                <w:sz w:val="16"/>
                <w:szCs w:val="16"/>
              </w:rPr>
              <w:t>48</w:t>
            </w:r>
            <w:r w:rsidRPr="00F679F0">
              <w:rPr>
                <w:rFonts w:ascii="Times New Roman" w:hAnsi="Times New Roman" w:cs="Times New Roman"/>
                <w:i/>
                <w:iCs/>
                <w:color w:val="000080"/>
                <w:sz w:val="16"/>
                <w:szCs w:val="16"/>
              </w:rPr>
              <w:t>.00.</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color w:val="00000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Application to renew an asbestos removal licence (Class B)</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 xml:space="preserve">Explanatory Note: This fee has been removed and replaced with a term fee. </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i/>
                <w:iCs/>
                <w:color w:val="00008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371.5</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Licence Term fee for a period of 5 years for an asbestos assessor and asbestos removalist Class B licence.</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$1,</w:t>
            </w:r>
            <w:r>
              <w:rPr>
                <w:rFonts w:ascii="Times New Roman" w:hAnsi="Times New Roman" w:cs="Times New Roman"/>
                <w:color w:val="000000"/>
                <w:sz w:val="16"/>
                <w:szCs w:val="16"/>
              </w:rPr>
              <w:t>797</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Last Financial Year the fee was $</w:t>
            </w:r>
            <w:r>
              <w:rPr>
                <w:rFonts w:ascii="Times New Roman" w:hAnsi="Times New Roman" w:cs="Times New Roman"/>
                <w:i/>
                <w:iCs/>
                <w:color w:val="000080"/>
                <w:sz w:val="16"/>
                <w:szCs w:val="16"/>
              </w:rPr>
              <w:t>1,728</w:t>
            </w:r>
            <w:r w:rsidRPr="00F679F0">
              <w:rPr>
                <w:rFonts w:ascii="Times New Roman" w:hAnsi="Times New Roman" w:cs="Times New Roman"/>
                <w:i/>
                <w:iCs/>
                <w:color w:val="000080"/>
                <w:sz w:val="16"/>
                <w:szCs w:val="16"/>
              </w:rPr>
              <w:t>.00.</w:t>
            </w:r>
          </w:p>
          <w:p w:rsidR="005D4B65" w:rsidRPr="00F679F0" w:rsidRDefault="005D4B65" w:rsidP="005D4B65">
            <w:pPr>
              <w:rPr>
                <w:rFonts w:ascii="Times New Roman" w:hAnsi="Times New Roman" w:cs="Times New Roman"/>
                <w:i/>
                <w:iCs/>
                <w:color w:val="00008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i/>
                <w:iCs/>
                <w:color w:val="00008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371.6</w:t>
            </w:r>
          </w:p>
        </w:tc>
        <w:tc>
          <w:tcPr>
            <w:tcW w:w="6665"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Licence Term fee for a period of 5 years for an asbestos removalist Class A licence.</w:t>
            </w:r>
          </w:p>
        </w:tc>
        <w:tc>
          <w:tcPr>
            <w:tcW w:w="2572" w:type="dxa"/>
            <w:noWrap/>
          </w:tcPr>
          <w:p w:rsidR="005D4B65" w:rsidRPr="00F679F0" w:rsidRDefault="005D4B65" w:rsidP="005D4B65">
            <w:pPr>
              <w:rPr>
                <w:rFonts w:ascii="Times New Roman" w:hAnsi="Times New Roman" w:cs="Times New Roman"/>
                <w:color w:val="000000"/>
                <w:sz w:val="16"/>
                <w:szCs w:val="16"/>
              </w:rPr>
            </w:pPr>
            <w:r>
              <w:rPr>
                <w:rFonts w:ascii="Times New Roman" w:hAnsi="Times New Roman" w:cs="Times New Roman"/>
                <w:color w:val="000000"/>
                <w:sz w:val="16"/>
                <w:szCs w:val="16"/>
              </w:rPr>
              <w:t>$1,930</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5D4B65">
            <w:pPr>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w:t>
            </w:r>
            <w:r>
              <w:rPr>
                <w:rFonts w:ascii="Times New Roman" w:hAnsi="Times New Roman" w:cs="Times New Roman"/>
                <w:i/>
                <w:iCs/>
                <w:color w:val="000080"/>
                <w:sz w:val="16"/>
                <w:szCs w:val="16"/>
              </w:rPr>
              <w:t>:</w:t>
            </w:r>
            <w:r w:rsidRPr="00F679F0">
              <w:rPr>
                <w:rFonts w:ascii="Times New Roman" w:hAnsi="Times New Roman" w:cs="Times New Roman"/>
                <w:i/>
                <w:iCs/>
                <w:color w:val="000080"/>
                <w:sz w:val="16"/>
                <w:szCs w:val="16"/>
              </w:rPr>
              <w:t xml:space="preserve"> Last Financial Year the fee was $</w:t>
            </w:r>
            <w:r>
              <w:rPr>
                <w:rFonts w:ascii="Times New Roman" w:hAnsi="Times New Roman" w:cs="Times New Roman"/>
                <w:i/>
                <w:iCs/>
                <w:color w:val="000080"/>
                <w:sz w:val="16"/>
                <w:szCs w:val="16"/>
              </w:rPr>
              <w:t>1,856</w:t>
            </w:r>
            <w:r w:rsidRPr="00F679F0">
              <w:rPr>
                <w:rFonts w:ascii="Times New Roman" w:hAnsi="Times New Roman" w:cs="Times New Roman"/>
                <w:i/>
                <w:iCs/>
                <w:color w:val="000080"/>
                <w:sz w:val="16"/>
                <w:szCs w:val="16"/>
              </w:rPr>
              <w:t>.00.</w:t>
            </w:r>
          </w:p>
        </w:tc>
        <w:tc>
          <w:tcPr>
            <w:tcW w:w="2572" w:type="dxa"/>
            <w:noWrap/>
          </w:tcPr>
          <w:p w:rsidR="005D4B65" w:rsidRPr="00F679F0" w:rsidRDefault="005D4B65" w:rsidP="005D4B65">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D4B65" w:rsidRPr="007A417E" w:rsidTr="005D4B65">
        <w:trPr>
          <w:trHeight w:val="142"/>
          <w:tblHeader/>
        </w:trPr>
        <w:tc>
          <w:tcPr>
            <w:tcW w:w="969" w:type="dxa"/>
          </w:tcPr>
          <w:p w:rsidR="005D4B65" w:rsidRPr="00F679F0" w:rsidRDefault="005D4B65" w:rsidP="005D4B65">
            <w:pPr>
              <w:rPr>
                <w:rFonts w:ascii="Times New Roman" w:hAnsi="Times New Roman" w:cs="Times New Roman"/>
                <w:color w:val="000000"/>
                <w:sz w:val="16"/>
                <w:szCs w:val="16"/>
              </w:rPr>
            </w:pPr>
          </w:p>
        </w:tc>
        <w:tc>
          <w:tcPr>
            <w:tcW w:w="6665" w:type="dxa"/>
          </w:tcPr>
          <w:p w:rsidR="005D4B65" w:rsidRPr="00F679F0" w:rsidRDefault="005D4B65" w:rsidP="005D4B65">
            <w:pPr>
              <w:rPr>
                <w:rFonts w:ascii="Times New Roman" w:hAnsi="Times New Roman" w:cs="Times New Roman"/>
                <w:i/>
                <w:iCs/>
                <w:color w:val="000080"/>
                <w:sz w:val="16"/>
                <w:szCs w:val="16"/>
              </w:rPr>
            </w:pPr>
          </w:p>
        </w:tc>
        <w:tc>
          <w:tcPr>
            <w:tcW w:w="2572" w:type="dxa"/>
            <w:noWrap/>
          </w:tcPr>
          <w:p w:rsidR="005D4B65" w:rsidRPr="00F679F0" w:rsidRDefault="005D4B65" w:rsidP="005D4B65">
            <w:pPr>
              <w:rPr>
                <w:rFonts w:ascii="Times New Roman" w:hAnsi="Times New Roman" w:cs="Times New Roman"/>
                <w:color w:val="000000"/>
                <w:sz w:val="16"/>
                <w:szCs w:val="16"/>
              </w:rPr>
            </w:pPr>
          </w:p>
        </w:tc>
      </w:tr>
      <w:tr w:rsidR="00DC0C54" w:rsidRPr="007A417E" w:rsidTr="005D4B65">
        <w:trPr>
          <w:trHeight w:val="142"/>
          <w:tblHeader/>
        </w:trPr>
        <w:tc>
          <w:tcPr>
            <w:tcW w:w="969" w:type="dxa"/>
          </w:tcPr>
          <w:p w:rsidR="00DC0C54" w:rsidRPr="00F679F0" w:rsidRDefault="00DC0C54" w:rsidP="005D4B65">
            <w:pPr>
              <w:rPr>
                <w:rFonts w:ascii="Times New Roman" w:hAnsi="Times New Roman" w:cs="Times New Roman"/>
                <w:color w:val="000000"/>
                <w:sz w:val="16"/>
                <w:szCs w:val="16"/>
              </w:rPr>
            </w:pPr>
          </w:p>
        </w:tc>
        <w:tc>
          <w:tcPr>
            <w:tcW w:w="6665" w:type="dxa"/>
          </w:tcPr>
          <w:p w:rsidR="00DC0C54" w:rsidRPr="00F679F0" w:rsidRDefault="00DC0C54" w:rsidP="005D4B65">
            <w:pPr>
              <w:rPr>
                <w:rFonts w:ascii="Times New Roman" w:hAnsi="Times New Roman" w:cs="Times New Roman"/>
                <w:color w:val="000000"/>
                <w:sz w:val="16"/>
                <w:szCs w:val="16"/>
              </w:rPr>
            </w:pPr>
          </w:p>
        </w:tc>
        <w:tc>
          <w:tcPr>
            <w:tcW w:w="2572" w:type="dxa"/>
            <w:noWrap/>
          </w:tcPr>
          <w:p w:rsidR="00DC0C54" w:rsidRPr="00F679F0" w:rsidRDefault="00DC0C54" w:rsidP="005D4B65">
            <w:pPr>
              <w:rPr>
                <w:rFonts w:ascii="Times New Roman" w:hAnsi="Times New Roman" w:cs="Times New Roman"/>
                <w:color w:val="000000"/>
                <w:sz w:val="16"/>
                <w:szCs w:val="16"/>
              </w:rPr>
            </w:pPr>
          </w:p>
        </w:tc>
      </w:tr>
      <w:tr w:rsidR="005D4B65" w:rsidRPr="007A417E" w:rsidTr="005D4B65">
        <w:trPr>
          <w:trHeight w:val="142"/>
          <w:tblHeader/>
        </w:trPr>
        <w:tc>
          <w:tcPr>
            <w:tcW w:w="969" w:type="dxa"/>
          </w:tcPr>
          <w:p w:rsidR="005D4B65" w:rsidRPr="00F679F0" w:rsidRDefault="005D4B65" w:rsidP="00FC4C01">
            <w:pPr>
              <w:keepNext/>
              <w:rPr>
                <w:rFonts w:ascii="Times New Roman" w:hAnsi="Times New Roman" w:cs="Times New Roman"/>
                <w:color w:val="000000"/>
                <w:sz w:val="16"/>
                <w:szCs w:val="16"/>
              </w:rPr>
            </w:pPr>
            <w:r w:rsidRPr="00F679F0">
              <w:rPr>
                <w:rFonts w:ascii="Times New Roman" w:hAnsi="Times New Roman" w:cs="Times New Roman"/>
                <w:color w:val="000000"/>
                <w:sz w:val="16"/>
                <w:szCs w:val="16"/>
              </w:rPr>
              <w:lastRenderedPageBreak/>
              <w:t>371.7</w:t>
            </w:r>
          </w:p>
        </w:tc>
        <w:tc>
          <w:tcPr>
            <w:tcW w:w="6665" w:type="dxa"/>
          </w:tcPr>
          <w:p w:rsidR="005D4B65" w:rsidRPr="00F679F0" w:rsidRDefault="005D4B65" w:rsidP="00FC4C01">
            <w:pPr>
              <w:keepNext/>
              <w:rPr>
                <w:rFonts w:ascii="Times New Roman" w:hAnsi="Times New Roman" w:cs="Times New Roman"/>
                <w:color w:val="000000"/>
                <w:sz w:val="16"/>
                <w:szCs w:val="16"/>
              </w:rPr>
            </w:pPr>
            <w:r w:rsidRPr="00F679F0">
              <w:rPr>
                <w:rFonts w:ascii="Times New Roman" w:hAnsi="Times New Roman" w:cs="Times New Roman"/>
                <w:color w:val="000000"/>
                <w:sz w:val="16"/>
                <w:szCs w:val="16"/>
              </w:rPr>
              <w:t>Application fee for the appointment of a asbestos removal supervisor where the appointment is not at the time of application.</w:t>
            </w:r>
          </w:p>
        </w:tc>
        <w:tc>
          <w:tcPr>
            <w:tcW w:w="2572" w:type="dxa"/>
            <w:noWrap/>
          </w:tcPr>
          <w:p w:rsidR="005D4B65" w:rsidRPr="00F679F0" w:rsidRDefault="005D4B65" w:rsidP="00FC4C01">
            <w:pPr>
              <w:keepNext/>
              <w:rPr>
                <w:rFonts w:ascii="Times New Roman" w:hAnsi="Times New Roman" w:cs="Times New Roman"/>
                <w:color w:val="000000"/>
                <w:sz w:val="16"/>
                <w:szCs w:val="16"/>
              </w:rPr>
            </w:pPr>
            <w:r w:rsidRPr="00F679F0">
              <w:rPr>
                <w:rFonts w:ascii="Times New Roman" w:hAnsi="Times New Roman" w:cs="Times New Roman"/>
                <w:color w:val="000000"/>
                <w:sz w:val="16"/>
                <w:szCs w:val="16"/>
              </w:rPr>
              <w:t>$2</w:t>
            </w:r>
            <w:r>
              <w:rPr>
                <w:rFonts w:ascii="Times New Roman" w:hAnsi="Times New Roman" w:cs="Times New Roman"/>
                <w:color w:val="000000"/>
                <w:sz w:val="16"/>
                <w:szCs w:val="16"/>
              </w:rPr>
              <w:t>5</w:t>
            </w:r>
            <w:r w:rsidRPr="00F679F0">
              <w:rPr>
                <w:rFonts w:ascii="Times New Roman" w:hAnsi="Times New Roman" w:cs="Times New Roman"/>
                <w:color w:val="000000"/>
                <w:sz w:val="16"/>
                <w:szCs w:val="16"/>
              </w:rPr>
              <w:t>.00 (GST is not applicable)</w:t>
            </w:r>
          </w:p>
        </w:tc>
      </w:tr>
      <w:tr w:rsidR="005D4B65" w:rsidRPr="007A417E" w:rsidTr="005D4B65">
        <w:trPr>
          <w:trHeight w:val="142"/>
          <w:tblHeader/>
        </w:trPr>
        <w:tc>
          <w:tcPr>
            <w:tcW w:w="969" w:type="dxa"/>
          </w:tcPr>
          <w:p w:rsidR="005D4B65" w:rsidRPr="00F679F0" w:rsidRDefault="005D4B65" w:rsidP="00FC4C01">
            <w:pPr>
              <w:keepNext/>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5D4B65" w:rsidRPr="00F679F0" w:rsidRDefault="005D4B65" w:rsidP="00FC4C01">
            <w:pPr>
              <w:keepNext/>
              <w:rPr>
                <w:rFonts w:ascii="Times New Roman" w:hAnsi="Times New Roman" w:cs="Times New Roman"/>
                <w:i/>
                <w:iCs/>
                <w:color w:val="000080"/>
                <w:sz w:val="16"/>
                <w:szCs w:val="16"/>
              </w:rPr>
            </w:pPr>
            <w:r w:rsidRPr="00F679F0">
              <w:rPr>
                <w:rFonts w:ascii="Times New Roman" w:hAnsi="Times New Roman" w:cs="Times New Roman"/>
                <w:i/>
                <w:iCs/>
                <w:color w:val="000080"/>
                <w:sz w:val="16"/>
                <w:szCs w:val="16"/>
              </w:rPr>
              <w:t>Explanatory Note: This is a fee to cater for the assessment of eligibility for an individual to be appointed as an asbestos removal supervisor. This fee is consistent with other fees for appointing supervisors/nominees in other licence types administered by Access Canberra</w:t>
            </w:r>
            <w:r>
              <w:rPr>
                <w:rFonts w:ascii="Times New Roman" w:hAnsi="Times New Roman" w:cs="Times New Roman"/>
                <w:i/>
                <w:iCs/>
                <w:color w:val="000080"/>
                <w:sz w:val="16"/>
                <w:szCs w:val="16"/>
              </w:rPr>
              <w:t xml:space="preserve">.   </w:t>
            </w:r>
            <w:r w:rsidRPr="00F679F0">
              <w:rPr>
                <w:rFonts w:ascii="Times New Roman" w:hAnsi="Times New Roman" w:cs="Times New Roman"/>
                <w:i/>
                <w:iCs/>
                <w:color w:val="000080"/>
                <w:sz w:val="16"/>
                <w:szCs w:val="16"/>
              </w:rPr>
              <w:t>Last Financial Year the fee was $</w:t>
            </w:r>
            <w:r>
              <w:rPr>
                <w:rFonts w:ascii="Times New Roman" w:hAnsi="Times New Roman" w:cs="Times New Roman"/>
                <w:i/>
                <w:iCs/>
                <w:color w:val="000080"/>
                <w:sz w:val="16"/>
                <w:szCs w:val="16"/>
              </w:rPr>
              <w:t>24</w:t>
            </w:r>
            <w:r w:rsidRPr="00F679F0">
              <w:rPr>
                <w:rFonts w:ascii="Times New Roman" w:hAnsi="Times New Roman" w:cs="Times New Roman"/>
                <w:i/>
                <w:iCs/>
                <w:color w:val="000080"/>
                <w:sz w:val="16"/>
                <w:szCs w:val="16"/>
              </w:rPr>
              <w:t>.00.</w:t>
            </w:r>
          </w:p>
        </w:tc>
        <w:tc>
          <w:tcPr>
            <w:tcW w:w="2572" w:type="dxa"/>
            <w:noWrap/>
          </w:tcPr>
          <w:p w:rsidR="005D4B65" w:rsidRPr="00F679F0" w:rsidRDefault="005D4B65" w:rsidP="00FC4C01">
            <w:pPr>
              <w:keepNext/>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5828E1" w:rsidRPr="007A417E" w:rsidTr="005D4B65">
        <w:trPr>
          <w:trHeight w:val="142"/>
          <w:tblHeader/>
        </w:trPr>
        <w:tc>
          <w:tcPr>
            <w:tcW w:w="969" w:type="dxa"/>
          </w:tcPr>
          <w:p w:rsidR="005828E1" w:rsidRPr="004D23E3" w:rsidRDefault="005828E1" w:rsidP="00FC4C01">
            <w:pPr>
              <w:keepNext/>
              <w:rPr>
                <w:rFonts w:ascii="Times New Roman" w:hAnsi="Times New Roman" w:cs="Times New Roman"/>
                <w:color w:val="000000"/>
                <w:sz w:val="16"/>
                <w:szCs w:val="16"/>
                <w:highlight w:val="yellow"/>
              </w:rPr>
            </w:pPr>
          </w:p>
        </w:tc>
        <w:tc>
          <w:tcPr>
            <w:tcW w:w="6665" w:type="dxa"/>
          </w:tcPr>
          <w:p w:rsidR="005828E1" w:rsidRPr="004D23E3" w:rsidRDefault="005828E1" w:rsidP="00FC4C01">
            <w:pPr>
              <w:keepNext/>
              <w:rPr>
                <w:rFonts w:ascii="Times New Roman" w:hAnsi="Times New Roman" w:cs="Times New Roman"/>
                <w:color w:val="000000"/>
                <w:sz w:val="16"/>
                <w:szCs w:val="16"/>
                <w:highlight w:val="yellow"/>
              </w:rPr>
            </w:pPr>
          </w:p>
        </w:tc>
        <w:tc>
          <w:tcPr>
            <w:tcW w:w="2572" w:type="dxa"/>
            <w:noWrap/>
          </w:tcPr>
          <w:p w:rsidR="005828E1" w:rsidRPr="004D23E3" w:rsidRDefault="005828E1" w:rsidP="00FC4C01">
            <w:pPr>
              <w:keepNext/>
              <w:rPr>
                <w:rFonts w:ascii="Times New Roman" w:hAnsi="Times New Roman" w:cs="Times New Roman"/>
                <w:color w:val="000000"/>
                <w:sz w:val="16"/>
                <w:szCs w:val="16"/>
                <w:highlight w:val="yellow"/>
              </w:rPr>
            </w:pPr>
          </w:p>
        </w:tc>
      </w:tr>
      <w:tr w:rsidR="001B6BF1" w:rsidRPr="007A417E" w:rsidTr="005D4B65">
        <w:trPr>
          <w:trHeight w:val="142"/>
          <w:tblHeader/>
        </w:trPr>
        <w:tc>
          <w:tcPr>
            <w:tcW w:w="969" w:type="dxa"/>
          </w:tcPr>
          <w:p w:rsidR="001B6BF1" w:rsidRPr="001B6BF1" w:rsidRDefault="001B6BF1" w:rsidP="00FC4C01">
            <w:pPr>
              <w:keepNext/>
              <w:rPr>
                <w:rFonts w:ascii="Times New Roman" w:hAnsi="Times New Roman" w:cs="Times New Roman"/>
                <w:color w:val="000000"/>
                <w:sz w:val="16"/>
                <w:szCs w:val="16"/>
              </w:rPr>
            </w:pPr>
            <w:r w:rsidRPr="001B6BF1">
              <w:rPr>
                <w:rFonts w:ascii="Times New Roman" w:hAnsi="Times New Roman" w:cs="Times New Roman"/>
                <w:color w:val="000000"/>
                <w:sz w:val="16"/>
                <w:szCs w:val="16"/>
              </w:rPr>
              <w:t>372.1</w:t>
            </w:r>
          </w:p>
        </w:tc>
        <w:tc>
          <w:tcPr>
            <w:tcW w:w="6665" w:type="dxa"/>
          </w:tcPr>
          <w:p w:rsidR="001B6BF1" w:rsidRPr="001B6BF1" w:rsidRDefault="001B6BF1" w:rsidP="00FC4C01">
            <w:pPr>
              <w:keepNext/>
              <w:rPr>
                <w:rFonts w:ascii="Times New Roman" w:hAnsi="Times New Roman" w:cs="Times New Roman"/>
                <w:color w:val="000000"/>
                <w:sz w:val="16"/>
                <w:szCs w:val="16"/>
              </w:rPr>
            </w:pPr>
            <w:r w:rsidRPr="001B6BF1">
              <w:rPr>
                <w:rFonts w:ascii="Times New Roman" w:hAnsi="Times New Roman" w:cs="Times New Roman"/>
                <w:color w:val="000000"/>
                <w:sz w:val="16"/>
                <w:szCs w:val="16"/>
              </w:rPr>
              <w:t xml:space="preserve">Notification fee for notice in relation manifest quantities of Schedule 11 hazardous chemicals </w:t>
            </w:r>
          </w:p>
        </w:tc>
        <w:tc>
          <w:tcPr>
            <w:tcW w:w="2572" w:type="dxa"/>
            <w:noWrap/>
          </w:tcPr>
          <w:p w:rsidR="001B6BF1" w:rsidRPr="001B6BF1" w:rsidRDefault="004A1092" w:rsidP="00FC4C01">
            <w:pPr>
              <w:keepNext/>
              <w:rPr>
                <w:rFonts w:ascii="Times New Roman" w:hAnsi="Times New Roman" w:cs="Times New Roman"/>
                <w:color w:val="000000"/>
                <w:sz w:val="16"/>
                <w:szCs w:val="16"/>
              </w:rPr>
            </w:pPr>
            <w:r>
              <w:rPr>
                <w:rFonts w:ascii="Times New Roman" w:hAnsi="Times New Roman" w:cs="Times New Roman"/>
                <w:color w:val="000000"/>
                <w:sz w:val="16"/>
                <w:szCs w:val="16"/>
              </w:rPr>
              <w:t>$123</w:t>
            </w:r>
            <w:r w:rsidR="001B6BF1" w:rsidRPr="001B6BF1">
              <w:rPr>
                <w:rFonts w:ascii="Times New Roman" w:hAnsi="Times New Roman" w:cs="Times New Roman"/>
                <w:color w:val="000000"/>
                <w:sz w:val="16"/>
                <w:szCs w:val="16"/>
              </w:rPr>
              <w:t>.00 (GST is not applicable)</w:t>
            </w:r>
          </w:p>
        </w:tc>
      </w:tr>
      <w:tr w:rsidR="001B6BF1" w:rsidRPr="007A417E" w:rsidTr="005D4B65">
        <w:trPr>
          <w:trHeight w:val="142"/>
          <w:tblHeader/>
        </w:trPr>
        <w:tc>
          <w:tcPr>
            <w:tcW w:w="969" w:type="dxa"/>
          </w:tcPr>
          <w:p w:rsidR="001B6BF1" w:rsidRPr="001B6BF1" w:rsidRDefault="001B6BF1" w:rsidP="00FC4C01">
            <w:pPr>
              <w:keepNext/>
              <w:rPr>
                <w:rFonts w:ascii="Times New Roman" w:hAnsi="Times New Roman" w:cs="Times New Roman"/>
                <w:color w:val="000000"/>
                <w:sz w:val="16"/>
                <w:szCs w:val="16"/>
              </w:rPr>
            </w:pPr>
          </w:p>
        </w:tc>
        <w:tc>
          <w:tcPr>
            <w:tcW w:w="6665" w:type="dxa"/>
          </w:tcPr>
          <w:p w:rsidR="001B6BF1" w:rsidRPr="001B6BF1" w:rsidRDefault="001B6BF1" w:rsidP="00FC4C01">
            <w:pPr>
              <w:keepNext/>
              <w:rPr>
                <w:rFonts w:ascii="Times New Roman" w:hAnsi="Times New Roman" w:cs="Times New Roman"/>
                <w:color w:val="000000"/>
                <w:sz w:val="16"/>
                <w:szCs w:val="16"/>
              </w:rPr>
            </w:pPr>
            <w:r w:rsidRPr="001B6BF1">
              <w:rPr>
                <w:rFonts w:ascii="Times New Roman" w:hAnsi="Times New Roman" w:cs="Times New Roman"/>
                <w:i/>
                <w:iCs/>
                <w:color w:val="000080"/>
                <w:sz w:val="16"/>
                <w:szCs w:val="16"/>
              </w:rPr>
              <w:t>Explanatory Note: New fee determined following the adoption of chapter 7 under the Work Health and Safety Regulation 2011 on 29 March 2018. This fee has been set consistent with other similar fees administered by Access Canberra, such as the application for plant registration.</w:t>
            </w:r>
          </w:p>
        </w:tc>
        <w:tc>
          <w:tcPr>
            <w:tcW w:w="2572" w:type="dxa"/>
            <w:noWrap/>
          </w:tcPr>
          <w:p w:rsidR="001B6BF1" w:rsidRPr="001B6BF1" w:rsidRDefault="001B6BF1" w:rsidP="00FC4C01">
            <w:pPr>
              <w:keepNext/>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i/>
                <w:iCs/>
                <w:color w:val="000080"/>
                <w:sz w:val="16"/>
                <w:szCs w:val="16"/>
              </w:rPr>
            </w:pP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372.2</w:t>
            </w: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Application fee for exemption from requiring authorisation for the storage or handling of a prohibited or restricted carcinogen</w:t>
            </w:r>
          </w:p>
        </w:tc>
        <w:tc>
          <w:tcPr>
            <w:tcW w:w="2572" w:type="dxa"/>
            <w:noWrap/>
          </w:tcPr>
          <w:p w:rsidR="001B6BF1" w:rsidRPr="001B6BF1" w:rsidRDefault="004A1092" w:rsidP="001B6BF1">
            <w:pPr>
              <w:rPr>
                <w:rFonts w:ascii="Times New Roman" w:hAnsi="Times New Roman" w:cs="Times New Roman"/>
                <w:color w:val="000000"/>
                <w:sz w:val="16"/>
                <w:szCs w:val="16"/>
              </w:rPr>
            </w:pPr>
            <w:r>
              <w:rPr>
                <w:rFonts w:ascii="Times New Roman" w:hAnsi="Times New Roman" w:cs="Times New Roman"/>
                <w:color w:val="000000"/>
                <w:sz w:val="16"/>
                <w:szCs w:val="16"/>
              </w:rPr>
              <w:t>$543</w:t>
            </w:r>
            <w:r w:rsidR="001B6BF1" w:rsidRPr="001B6BF1">
              <w:rPr>
                <w:rFonts w:ascii="Times New Roman" w:hAnsi="Times New Roman" w:cs="Times New Roman"/>
                <w:color w:val="000000"/>
                <w:sz w:val="16"/>
                <w:szCs w:val="16"/>
              </w:rPr>
              <w:t>.00 (GST is not applicable)</w:t>
            </w: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i/>
                <w:iCs/>
                <w:color w:val="000080"/>
                <w:sz w:val="16"/>
                <w:szCs w:val="16"/>
              </w:rPr>
              <w:t>Explanatory Note: New fee determined following the adoption of chapter 7 under the Work Health and Safety Regulation 2011 on 29 March 2018. This fee has been set consistent with the fee for an application for exemption from a High Risk Work license, which is also administered by Access Canberra.</w:t>
            </w: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color w:val="000000"/>
                <w:sz w:val="16"/>
                <w:szCs w:val="16"/>
              </w:rPr>
            </w:pP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372.3</w:t>
            </w: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Fee for determination that a facility, or proposed facility is a major hazard facility where Schedule 15 chemicals are present or likely to be present in a quantity that exceeds 10% of their threshold quantity</w:t>
            </w:r>
          </w:p>
        </w:tc>
        <w:tc>
          <w:tcPr>
            <w:tcW w:w="2572" w:type="dxa"/>
            <w:noWrap/>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$8,000.00 (GST is not applicable)</w:t>
            </w: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i/>
                <w:iCs/>
                <w:color w:val="000080"/>
                <w:sz w:val="16"/>
                <w:szCs w:val="16"/>
              </w:rPr>
              <w:t>Explanatory Note: New fee determined following the adoption of chapter 9 under the Work Health and Safety Regulation 2011 on 29 March 2018. This fee has been set consistent with other similar fees administered by Access Canberra, for example the workers’ compensation approved insurer licence fee.</w:t>
            </w: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color w:val="000000"/>
                <w:sz w:val="16"/>
                <w:szCs w:val="16"/>
              </w:rPr>
            </w:pP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372.4</w:t>
            </w: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Application fee for a major hazard facilities licence</w:t>
            </w:r>
          </w:p>
        </w:tc>
        <w:tc>
          <w:tcPr>
            <w:tcW w:w="2572" w:type="dxa"/>
            <w:noWrap/>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color w:val="000000"/>
                <w:sz w:val="16"/>
                <w:szCs w:val="16"/>
              </w:rPr>
              <w:t>$8,000.00 (GST is not applicable)</w:t>
            </w:r>
          </w:p>
        </w:tc>
      </w:tr>
      <w:tr w:rsidR="001B6BF1" w:rsidRPr="007A417E" w:rsidTr="005D4B65">
        <w:trPr>
          <w:trHeight w:val="142"/>
          <w:tblHeader/>
        </w:trPr>
        <w:tc>
          <w:tcPr>
            <w:tcW w:w="969" w:type="dxa"/>
          </w:tcPr>
          <w:p w:rsidR="001B6BF1" w:rsidRPr="001B6BF1" w:rsidRDefault="001B6BF1" w:rsidP="001B6BF1">
            <w:pPr>
              <w:rPr>
                <w:rFonts w:ascii="Times New Roman" w:hAnsi="Times New Roman" w:cs="Times New Roman"/>
                <w:color w:val="000000"/>
                <w:sz w:val="16"/>
                <w:szCs w:val="16"/>
              </w:rPr>
            </w:pPr>
          </w:p>
        </w:tc>
        <w:tc>
          <w:tcPr>
            <w:tcW w:w="6665" w:type="dxa"/>
          </w:tcPr>
          <w:p w:rsidR="001B6BF1" w:rsidRPr="001B6BF1" w:rsidRDefault="001B6BF1" w:rsidP="001B6BF1">
            <w:pPr>
              <w:rPr>
                <w:rFonts w:ascii="Times New Roman" w:hAnsi="Times New Roman" w:cs="Times New Roman"/>
                <w:color w:val="000000"/>
                <w:sz w:val="16"/>
                <w:szCs w:val="16"/>
              </w:rPr>
            </w:pPr>
            <w:r w:rsidRPr="001B6BF1">
              <w:rPr>
                <w:rFonts w:ascii="Times New Roman" w:hAnsi="Times New Roman" w:cs="Times New Roman"/>
                <w:i/>
                <w:iCs/>
                <w:color w:val="000080"/>
                <w:sz w:val="16"/>
                <w:szCs w:val="16"/>
              </w:rPr>
              <w:t>Explanatory Note: New fee determined following the adoption of chapter 9 under the Work Health and Safety Regulation 2011 on 29 March 2018.  This fee has been set consistent with other similar fees administered by Access Canberra, for example the workers’ compensation approved insurer licence fee.</w:t>
            </w:r>
          </w:p>
        </w:tc>
        <w:tc>
          <w:tcPr>
            <w:tcW w:w="2572" w:type="dxa"/>
            <w:noWrap/>
          </w:tcPr>
          <w:p w:rsidR="001B6BF1" w:rsidRPr="001B6BF1" w:rsidRDefault="001B6BF1" w:rsidP="001B6BF1">
            <w:pPr>
              <w:rPr>
                <w:rFonts w:ascii="Times New Roman" w:hAnsi="Times New Roman" w:cs="Times New Roman"/>
                <w:color w:val="000000"/>
                <w:sz w:val="16"/>
                <w:szCs w:val="16"/>
              </w:rPr>
            </w:pPr>
          </w:p>
        </w:tc>
      </w:tr>
      <w:tr w:rsidR="001B6BF1" w:rsidRPr="007A417E" w:rsidTr="005D4B65">
        <w:trPr>
          <w:trHeight w:val="142"/>
          <w:tblHeader/>
        </w:trPr>
        <w:tc>
          <w:tcPr>
            <w:tcW w:w="969" w:type="dxa"/>
          </w:tcPr>
          <w:p w:rsidR="001B6BF1"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1B6BF1" w:rsidRPr="00F679F0" w:rsidRDefault="001B6BF1" w:rsidP="001B6BF1">
            <w:pPr>
              <w:rPr>
                <w:rFonts w:ascii="Times New Roman" w:hAnsi="Times New Roman" w:cs="Times New Roman"/>
                <w:color w:val="000000"/>
                <w:sz w:val="16"/>
                <w:szCs w:val="16"/>
              </w:rPr>
            </w:pPr>
          </w:p>
        </w:tc>
        <w:tc>
          <w:tcPr>
            <w:tcW w:w="2572" w:type="dxa"/>
            <w:noWrap/>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430</w:t>
            </w:r>
          </w:p>
        </w:tc>
        <w:tc>
          <w:tcPr>
            <w:tcW w:w="6665"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xml:space="preserve">Alteration to design approval </w:t>
            </w:r>
          </w:p>
        </w:tc>
        <w:tc>
          <w:tcPr>
            <w:tcW w:w="2572" w:type="dxa"/>
            <w:noWrap/>
          </w:tcPr>
          <w:p w:rsidR="001B6BF1" w:rsidRPr="00F679F0" w:rsidRDefault="001B6BF1" w:rsidP="001B6BF1">
            <w:pPr>
              <w:rPr>
                <w:rFonts w:ascii="Times New Roman" w:hAnsi="Times New Roman" w:cs="Times New Roman"/>
                <w:color w:val="000000"/>
                <w:sz w:val="16"/>
                <w:szCs w:val="16"/>
              </w:rPr>
            </w:pPr>
            <w:r>
              <w:rPr>
                <w:rFonts w:ascii="Times New Roman" w:hAnsi="Times New Roman" w:cs="Times New Roman"/>
                <w:color w:val="000000"/>
                <w:sz w:val="16"/>
                <w:szCs w:val="16"/>
              </w:rPr>
              <w:t>$123</w:t>
            </w:r>
            <w:r w:rsidRPr="00F679F0">
              <w:rPr>
                <w:rFonts w:ascii="Times New Roman" w:hAnsi="Times New Roman" w:cs="Times New Roman"/>
                <w:color w:val="000000"/>
                <w:sz w:val="16"/>
                <w:szCs w:val="16"/>
              </w:rPr>
              <w:t>.00 (GST is not applicable)</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i/>
                <w:iCs/>
                <w:color w:val="000080"/>
                <w:sz w:val="16"/>
                <w:szCs w:val="16"/>
              </w:rPr>
              <w:t>Explanatory Note: Last Financial Year the fee was $11</w:t>
            </w:r>
            <w:r>
              <w:rPr>
                <w:rFonts w:ascii="Times New Roman" w:hAnsi="Times New Roman" w:cs="Times New Roman"/>
                <w:i/>
                <w:iCs/>
                <w:color w:val="000080"/>
                <w:sz w:val="16"/>
                <w:szCs w:val="16"/>
              </w:rPr>
              <w:t>9</w:t>
            </w:r>
            <w:r w:rsidRPr="00F679F0">
              <w:rPr>
                <w:rFonts w:ascii="Times New Roman" w:hAnsi="Times New Roman" w:cs="Times New Roman"/>
                <w:i/>
                <w:iCs/>
                <w:color w:val="000080"/>
                <w:sz w:val="16"/>
                <w:szCs w:val="16"/>
              </w:rPr>
              <w:t>.00.</w:t>
            </w:r>
          </w:p>
        </w:tc>
        <w:tc>
          <w:tcPr>
            <w:tcW w:w="2572" w:type="dxa"/>
            <w:noWrap/>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1B6BF1" w:rsidRPr="00F679F0" w:rsidRDefault="001B6BF1" w:rsidP="001B6BF1">
            <w:pPr>
              <w:rPr>
                <w:rFonts w:ascii="Times New Roman" w:hAnsi="Times New Roman" w:cs="Times New Roman"/>
                <w:i/>
                <w:iCs/>
                <w:color w:val="000080"/>
                <w:sz w:val="16"/>
                <w:szCs w:val="16"/>
              </w:rPr>
            </w:pPr>
          </w:p>
        </w:tc>
        <w:tc>
          <w:tcPr>
            <w:tcW w:w="2572" w:type="dxa"/>
            <w:noWrap/>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431</w:t>
            </w:r>
          </w:p>
        </w:tc>
        <w:tc>
          <w:tcPr>
            <w:tcW w:w="6665"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xml:space="preserve">Application for renewal of a registration of an item of plant </w:t>
            </w:r>
          </w:p>
        </w:tc>
        <w:tc>
          <w:tcPr>
            <w:tcW w:w="2572" w:type="dxa"/>
            <w:noWrap/>
          </w:tcPr>
          <w:p w:rsidR="001B6BF1" w:rsidRPr="00F679F0" w:rsidRDefault="001B6BF1" w:rsidP="001B6BF1">
            <w:pPr>
              <w:rPr>
                <w:rFonts w:ascii="Times New Roman" w:hAnsi="Times New Roman" w:cs="Times New Roman"/>
                <w:color w:val="000000"/>
                <w:sz w:val="16"/>
                <w:szCs w:val="16"/>
              </w:rPr>
            </w:pPr>
            <w:r>
              <w:rPr>
                <w:rFonts w:ascii="Times New Roman" w:hAnsi="Times New Roman" w:cs="Times New Roman"/>
                <w:color w:val="000000"/>
                <w:sz w:val="16"/>
                <w:szCs w:val="16"/>
              </w:rPr>
              <w:t>$123</w:t>
            </w:r>
            <w:r w:rsidRPr="00F679F0">
              <w:rPr>
                <w:rFonts w:ascii="Times New Roman" w:hAnsi="Times New Roman" w:cs="Times New Roman"/>
                <w:color w:val="000000"/>
                <w:sz w:val="16"/>
                <w:szCs w:val="16"/>
              </w:rPr>
              <w:t>.00 (GST is not applicable)</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c>
          <w:tcPr>
            <w:tcW w:w="6665" w:type="dxa"/>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i/>
                <w:iCs/>
                <w:color w:val="000080"/>
                <w:sz w:val="16"/>
                <w:szCs w:val="16"/>
              </w:rPr>
              <w:t>Explanatory Note: Last Financial Year the fee was $11</w:t>
            </w:r>
            <w:r>
              <w:rPr>
                <w:rFonts w:ascii="Times New Roman" w:hAnsi="Times New Roman" w:cs="Times New Roman"/>
                <w:i/>
                <w:iCs/>
                <w:color w:val="000080"/>
                <w:sz w:val="16"/>
                <w:szCs w:val="16"/>
              </w:rPr>
              <w:t>9</w:t>
            </w:r>
            <w:r w:rsidRPr="00F679F0">
              <w:rPr>
                <w:rFonts w:ascii="Times New Roman" w:hAnsi="Times New Roman" w:cs="Times New Roman"/>
                <w:i/>
                <w:iCs/>
                <w:color w:val="000080"/>
                <w:sz w:val="16"/>
                <w:szCs w:val="16"/>
              </w:rPr>
              <w:t>.00.</w:t>
            </w:r>
          </w:p>
        </w:tc>
        <w:tc>
          <w:tcPr>
            <w:tcW w:w="2572" w:type="dxa"/>
            <w:noWrap/>
          </w:tcPr>
          <w:p w:rsidR="001B6BF1" w:rsidRPr="00F679F0" w:rsidRDefault="001B6BF1" w:rsidP="001B6BF1">
            <w:pPr>
              <w:rPr>
                <w:rFonts w:ascii="Times New Roman" w:hAnsi="Times New Roman" w:cs="Times New Roman"/>
                <w:color w:val="000000"/>
                <w:sz w:val="16"/>
                <w:szCs w:val="16"/>
              </w:rPr>
            </w:pPr>
            <w:r w:rsidRPr="00F679F0">
              <w:rPr>
                <w:rFonts w:ascii="Times New Roman" w:hAnsi="Times New Roman" w:cs="Times New Roman"/>
                <w:color w:val="000000"/>
                <w:sz w:val="16"/>
                <w:szCs w:val="16"/>
              </w:rPr>
              <w:t> </w:t>
            </w:r>
          </w:p>
        </w:tc>
      </w:tr>
      <w:tr w:rsidR="001B6BF1" w:rsidRPr="007A417E" w:rsidTr="005D4B65">
        <w:trPr>
          <w:trHeight w:val="142"/>
          <w:tblHeader/>
        </w:trPr>
        <w:tc>
          <w:tcPr>
            <w:tcW w:w="969" w:type="dxa"/>
          </w:tcPr>
          <w:p w:rsidR="001B6BF1" w:rsidRPr="00F679F0" w:rsidRDefault="001B6BF1" w:rsidP="001B6BF1">
            <w:pPr>
              <w:rPr>
                <w:rFonts w:ascii="Times New Roman" w:hAnsi="Times New Roman" w:cs="Times New Roman"/>
                <w:color w:val="000000"/>
                <w:sz w:val="16"/>
                <w:szCs w:val="16"/>
              </w:rPr>
            </w:pPr>
          </w:p>
        </w:tc>
        <w:tc>
          <w:tcPr>
            <w:tcW w:w="6665" w:type="dxa"/>
          </w:tcPr>
          <w:p w:rsidR="001B6BF1" w:rsidRPr="00F679F0" w:rsidRDefault="001B6BF1" w:rsidP="001B6BF1">
            <w:pPr>
              <w:rPr>
                <w:rFonts w:ascii="Times New Roman" w:hAnsi="Times New Roman" w:cs="Times New Roman"/>
                <w:i/>
                <w:iCs/>
                <w:color w:val="000080"/>
                <w:sz w:val="16"/>
                <w:szCs w:val="16"/>
              </w:rPr>
            </w:pPr>
          </w:p>
        </w:tc>
        <w:tc>
          <w:tcPr>
            <w:tcW w:w="2572" w:type="dxa"/>
            <w:noWrap/>
          </w:tcPr>
          <w:p w:rsidR="001B6BF1" w:rsidRPr="00F679F0" w:rsidRDefault="001B6BF1" w:rsidP="001B6BF1">
            <w:pPr>
              <w:rPr>
                <w:rFonts w:ascii="Times New Roman" w:hAnsi="Times New Roman" w:cs="Times New Roman"/>
                <w:color w:val="000000"/>
                <w:sz w:val="16"/>
                <w:szCs w:val="16"/>
              </w:rPr>
            </w:pPr>
          </w:p>
        </w:tc>
      </w:tr>
    </w:tbl>
    <w:p w:rsidR="00FE0903" w:rsidRDefault="00FE0903" w:rsidP="00F679F0">
      <w:bookmarkStart w:id="3" w:name="_GoBack"/>
      <w:bookmarkEnd w:id="3"/>
    </w:p>
    <w:sectPr w:rsidR="00FE0903" w:rsidSect="000F6D4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304" w:bottom="567" w:left="1304" w:header="720" w:footer="943"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6C" w:rsidRDefault="002B706C">
      <w:r>
        <w:separator/>
      </w:r>
    </w:p>
  </w:endnote>
  <w:endnote w:type="continuationSeparator" w:id="0">
    <w:p w:rsidR="002B706C" w:rsidRDefault="002B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8D" w:rsidRDefault="000C5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19" w:rsidRPr="000C5A8D" w:rsidRDefault="000C5A8D" w:rsidP="000C5A8D">
    <w:pPr>
      <w:pStyle w:val="Footer"/>
      <w:jc w:val="center"/>
      <w:rPr>
        <w:sz w:val="14"/>
      </w:rPr>
    </w:pPr>
    <w:r w:rsidRPr="000C5A8D">
      <w:rPr>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8D" w:rsidRDefault="000C5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6C" w:rsidRDefault="002B706C">
      <w:r>
        <w:separator/>
      </w:r>
    </w:p>
  </w:footnote>
  <w:footnote w:type="continuationSeparator" w:id="0">
    <w:p w:rsidR="002B706C" w:rsidRDefault="002B7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8D" w:rsidRDefault="000C5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6C" w:rsidRDefault="002B706C">
    <w:pPr>
      <w:tabs>
        <w:tab w:val="left" w:pos="2280"/>
        <w:tab w:val="left" w:pos="3860"/>
      </w:tabs>
      <w:ind w:right="-308"/>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8D" w:rsidRDefault="000C5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FB642D8"/>
    <w:multiLevelType w:val="hybridMultilevel"/>
    <w:tmpl w:val="12FC9A8A"/>
    <w:lvl w:ilvl="0" w:tplc="5A12D1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9">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0"/>
  </w:num>
  <w:num w:numId="3">
    <w:abstractNumId w:val="8"/>
  </w:num>
  <w:num w:numId="4">
    <w:abstractNumId w:val="45"/>
  </w:num>
  <w:num w:numId="5">
    <w:abstractNumId w:val="24"/>
  </w:num>
  <w:num w:numId="6">
    <w:abstractNumId w:val="39"/>
  </w:num>
  <w:num w:numId="7">
    <w:abstractNumId w:val="5"/>
  </w:num>
  <w:num w:numId="8">
    <w:abstractNumId w:val="43"/>
  </w:num>
  <w:num w:numId="9">
    <w:abstractNumId w:val="2"/>
  </w:num>
  <w:num w:numId="10">
    <w:abstractNumId w:val="4"/>
  </w:num>
  <w:num w:numId="11">
    <w:abstractNumId w:val="40"/>
  </w:num>
  <w:num w:numId="12">
    <w:abstractNumId w:val="1"/>
  </w:num>
  <w:num w:numId="13">
    <w:abstractNumId w:val="41"/>
  </w:num>
  <w:num w:numId="14">
    <w:abstractNumId w:val="46"/>
  </w:num>
  <w:num w:numId="15">
    <w:abstractNumId w:val="10"/>
  </w:num>
  <w:num w:numId="16">
    <w:abstractNumId w:val="11"/>
  </w:num>
  <w:num w:numId="17">
    <w:abstractNumId w:val="15"/>
  </w:num>
  <w:num w:numId="18">
    <w:abstractNumId w:val="42"/>
  </w:num>
  <w:num w:numId="19">
    <w:abstractNumId w:val="33"/>
  </w:num>
  <w:num w:numId="20">
    <w:abstractNumId w:val="21"/>
  </w:num>
  <w:num w:numId="21">
    <w:abstractNumId w:val="44"/>
  </w:num>
  <w:num w:numId="22">
    <w:abstractNumId w:val="7"/>
  </w:num>
  <w:num w:numId="23">
    <w:abstractNumId w:val="3"/>
  </w:num>
  <w:num w:numId="24">
    <w:abstractNumId w:val="34"/>
  </w:num>
  <w:num w:numId="25">
    <w:abstractNumId w:val="47"/>
  </w:num>
  <w:num w:numId="26">
    <w:abstractNumId w:val="31"/>
  </w:num>
  <w:num w:numId="27">
    <w:abstractNumId w:val="17"/>
  </w:num>
  <w:num w:numId="28">
    <w:abstractNumId w:val="49"/>
  </w:num>
  <w:num w:numId="29">
    <w:abstractNumId w:val="16"/>
  </w:num>
  <w:num w:numId="30">
    <w:abstractNumId w:val="25"/>
  </w:num>
  <w:num w:numId="31">
    <w:abstractNumId w:val="12"/>
  </w:num>
  <w:num w:numId="32">
    <w:abstractNumId w:val="35"/>
  </w:num>
  <w:num w:numId="33">
    <w:abstractNumId w:val="27"/>
  </w:num>
  <w:num w:numId="34">
    <w:abstractNumId w:val="29"/>
  </w:num>
  <w:num w:numId="35">
    <w:abstractNumId w:val="36"/>
  </w:num>
  <w:num w:numId="36">
    <w:abstractNumId w:val="37"/>
  </w:num>
  <w:num w:numId="37">
    <w:abstractNumId w:val="38"/>
  </w:num>
  <w:num w:numId="38">
    <w:abstractNumId w:val="20"/>
  </w:num>
  <w:num w:numId="39">
    <w:abstractNumId w:val="18"/>
  </w:num>
  <w:num w:numId="40">
    <w:abstractNumId w:val="22"/>
  </w:num>
  <w:num w:numId="41">
    <w:abstractNumId w:val="32"/>
  </w:num>
  <w:num w:numId="42">
    <w:abstractNumId w:val="28"/>
  </w:num>
  <w:num w:numId="43">
    <w:abstractNumId w:val="1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6"/>
  </w:num>
  <w:num w:numId="48">
    <w:abstractNumId w:val="13"/>
  </w:num>
  <w:num w:numId="49">
    <w:abstractNumId w:val="26"/>
  </w:num>
  <w:num w:numId="50">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oNotTrackFormatting/>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ED022C"/>
    <w:rsid w:val="00004B80"/>
    <w:rsid w:val="000055E6"/>
    <w:rsid w:val="000056F7"/>
    <w:rsid w:val="00007E8E"/>
    <w:rsid w:val="00011A69"/>
    <w:rsid w:val="00013653"/>
    <w:rsid w:val="000153D2"/>
    <w:rsid w:val="000202F0"/>
    <w:rsid w:val="00020651"/>
    <w:rsid w:val="00020AA2"/>
    <w:rsid w:val="00025FCD"/>
    <w:rsid w:val="00027DD8"/>
    <w:rsid w:val="0003026A"/>
    <w:rsid w:val="00034237"/>
    <w:rsid w:val="00034E0E"/>
    <w:rsid w:val="00036422"/>
    <w:rsid w:val="00036624"/>
    <w:rsid w:val="00041876"/>
    <w:rsid w:val="00043EC5"/>
    <w:rsid w:val="0005173B"/>
    <w:rsid w:val="00051DE3"/>
    <w:rsid w:val="00054F69"/>
    <w:rsid w:val="00060843"/>
    <w:rsid w:val="000610E8"/>
    <w:rsid w:val="000622A6"/>
    <w:rsid w:val="00062706"/>
    <w:rsid w:val="0006447C"/>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C2F11"/>
    <w:rsid w:val="000C33B1"/>
    <w:rsid w:val="000C35DE"/>
    <w:rsid w:val="000C3EB9"/>
    <w:rsid w:val="000C5A8D"/>
    <w:rsid w:val="000C6379"/>
    <w:rsid w:val="000C7A76"/>
    <w:rsid w:val="000D1427"/>
    <w:rsid w:val="000D15DE"/>
    <w:rsid w:val="000D1EAF"/>
    <w:rsid w:val="000D3008"/>
    <w:rsid w:val="000D38F5"/>
    <w:rsid w:val="000E1337"/>
    <w:rsid w:val="000E236B"/>
    <w:rsid w:val="000E246F"/>
    <w:rsid w:val="000E4DD1"/>
    <w:rsid w:val="000F07E0"/>
    <w:rsid w:val="000F1EE2"/>
    <w:rsid w:val="000F2035"/>
    <w:rsid w:val="000F4A11"/>
    <w:rsid w:val="000F5A40"/>
    <w:rsid w:val="000F65F5"/>
    <w:rsid w:val="000F6D45"/>
    <w:rsid w:val="00100B65"/>
    <w:rsid w:val="00104752"/>
    <w:rsid w:val="00105442"/>
    <w:rsid w:val="00107E48"/>
    <w:rsid w:val="00113511"/>
    <w:rsid w:val="001138EA"/>
    <w:rsid w:val="00114D0C"/>
    <w:rsid w:val="00117BD5"/>
    <w:rsid w:val="00121A21"/>
    <w:rsid w:val="00122D8A"/>
    <w:rsid w:val="00127C7B"/>
    <w:rsid w:val="00132DF6"/>
    <w:rsid w:val="001426D2"/>
    <w:rsid w:val="0014649C"/>
    <w:rsid w:val="001464BE"/>
    <w:rsid w:val="00147037"/>
    <w:rsid w:val="00150023"/>
    <w:rsid w:val="0015309B"/>
    <w:rsid w:val="0015759A"/>
    <w:rsid w:val="0016087C"/>
    <w:rsid w:val="00161BDF"/>
    <w:rsid w:val="00172D4D"/>
    <w:rsid w:val="00173A2A"/>
    <w:rsid w:val="00175CD7"/>
    <w:rsid w:val="00176DB6"/>
    <w:rsid w:val="00177765"/>
    <w:rsid w:val="00185950"/>
    <w:rsid w:val="00185AB2"/>
    <w:rsid w:val="00185E74"/>
    <w:rsid w:val="00190D36"/>
    <w:rsid w:val="0019374A"/>
    <w:rsid w:val="00193C03"/>
    <w:rsid w:val="001971C4"/>
    <w:rsid w:val="001A0643"/>
    <w:rsid w:val="001A311F"/>
    <w:rsid w:val="001A330D"/>
    <w:rsid w:val="001A7B30"/>
    <w:rsid w:val="001B0752"/>
    <w:rsid w:val="001B0C90"/>
    <w:rsid w:val="001B0F94"/>
    <w:rsid w:val="001B23F6"/>
    <w:rsid w:val="001B3A32"/>
    <w:rsid w:val="001B4DA6"/>
    <w:rsid w:val="001B666F"/>
    <w:rsid w:val="001B6BF1"/>
    <w:rsid w:val="001C5C2C"/>
    <w:rsid w:val="001D03CC"/>
    <w:rsid w:val="001D3C5D"/>
    <w:rsid w:val="001E0453"/>
    <w:rsid w:val="001E0674"/>
    <w:rsid w:val="001E3CA7"/>
    <w:rsid w:val="001E57A7"/>
    <w:rsid w:val="001E64B3"/>
    <w:rsid w:val="001E6BF8"/>
    <w:rsid w:val="001F291C"/>
    <w:rsid w:val="001F5677"/>
    <w:rsid w:val="00203533"/>
    <w:rsid w:val="00204314"/>
    <w:rsid w:val="00207FF6"/>
    <w:rsid w:val="00211673"/>
    <w:rsid w:val="0021226D"/>
    <w:rsid w:val="00212323"/>
    <w:rsid w:val="0021242C"/>
    <w:rsid w:val="00212A56"/>
    <w:rsid w:val="00217525"/>
    <w:rsid w:val="00220A55"/>
    <w:rsid w:val="00220F23"/>
    <w:rsid w:val="0022579F"/>
    <w:rsid w:val="00232B32"/>
    <w:rsid w:val="002335BD"/>
    <w:rsid w:val="002340C8"/>
    <w:rsid w:val="002346D9"/>
    <w:rsid w:val="002356AC"/>
    <w:rsid w:val="0024230E"/>
    <w:rsid w:val="00244A98"/>
    <w:rsid w:val="00250014"/>
    <w:rsid w:val="00251BFB"/>
    <w:rsid w:val="00252340"/>
    <w:rsid w:val="00252FA2"/>
    <w:rsid w:val="00253EE6"/>
    <w:rsid w:val="00254834"/>
    <w:rsid w:val="00255C4F"/>
    <w:rsid w:val="002563AA"/>
    <w:rsid w:val="00262FEE"/>
    <w:rsid w:val="00266B59"/>
    <w:rsid w:val="00270C03"/>
    <w:rsid w:val="00270FD5"/>
    <w:rsid w:val="00274710"/>
    <w:rsid w:val="00277378"/>
    <w:rsid w:val="00277C5A"/>
    <w:rsid w:val="002802C2"/>
    <w:rsid w:val="00282576"/>
    <w:rsid w:val="00282BDD"/>
    <w:rsid w:val="00285594"/>
    <w:rsid w:val="00286B2B"/>
    <w:rsid w:val="00290348"/>
    <w:rsid w:val="002913CC"/>
    <w:rsid w:val="002A16B2"/>
    <w:rsid w:val="002A692F"/>
    <w:rsid w:val="002A6B73"/>
    <w:rsid w:val="002A796A"/>
    <w:rsid w:val="002B706C"/>
    <w:rsid w:val="002C0299"/>
    <w:rsid w:val="002C1598"/>
    <w:rsid w:val="002C1AD4"/>
    <w:rsid w:val="002C33F8"/>
    <w:rsid w:val="002C4BF2"/>
    <w:rsid w:val="002C5610"/>
    <w:rsid w:val="002C7FB1"/>
    <w:rsid w:val="002C7FB5"/>
    <w:rsid w:val="002D2F93"/>
    <w:rsid w:val="002D3B0A"/>
    <w:rsid w:val="002E207B"/>
    <w:rsid w:val="002E2C30"/>
    <w:rsid w:val="002E3EA6"/>
    <w:rsid w:val="002F333E"/>
    <w:rsid w:val="002F692A"/>
    <w:rsid w:val="002F787C"/>
    <w:rsid w:val="003004DC"/>
    <w:rsid w:val="00307F8D"/>
    <w:rsid w:val="00307FDD"/>
    <w:rsid w:val="0031151C"/>
    <w:rsid w:val="0031291E"/>
    <w:rsid w:val="00315C01"/>
    <w:rsid w:val="00320C13"/>
    <w:rsid w:val="0032256F"/>
    <w:rsid w:val="00324033"/>
    <w:rsid w:val="0032684C"/>
    <w:rsid w:val="00330B4C"/>
    <w:rsid w:val="00337DA3"/>
    <w:rsid w:val="003459DC"/>
    <w:rsid w:val="00350032"/>
    <w:rsid w:val="00350C58"/>
    <w:rsid w:val="0035145F"/>
    <w:rsid w:val="00354B8D"/>
    <w:rsid w:val="00357403"/>
    <w:rsid w:val="00361399"/>
    <w:rsid w:val="0036223D"/>
    <w:rsid w:val="00363481"/>
    <w:rsid w:val="00363E19"/>
    <w:rsid w:val="00365605"/>
    <w:rsid w:val="003656FA"/>
    <w:rsid w:val="0037000A"/>
    <w:rsid w:val="00371FD7"/>
    <w:rsid w:val="00374095"/>
    <w:rsid w:val="0037589C"/>
    <w:rsid w:val="00375927"/>
    <w:rsid w:val="00376BFC"/>
    <w:rsid w:val="00377D27"/>
    <w:rsid w:val="00380695"/>
    <w:rsid w:val="003813C7"/>
    <w:rsid w:val="003817FB"/>
    <w:rsid w:val="0038315F"/>
    <w:rsid w:val="0038380C"/>
    <w:rsid w:val="00384DFB"/>
    <w:rsid w:val="003851CC"/>
    <w:rsid w:val="0039084E"/>
    <w:rsid w:val="00390D87"/>
    <w:rsid w:val="00394344"/>
    <w:rsid w:val="0039443D"/>
    <w:rsid w:val="00396913"/>
    <w:rsid w:val="003A4CD0"/>
    <w:rsid w:val="003A62A9"/>
    <w:rsid w:val="003B3232"/>
    <w:rsid w:val="003B331E"/>
    <w:rsid w:val="003B3670"/>
    <w:rsid w:val="003B6EEA"/>
    <w:rsid w:val="003B71C7"/>
    <w:rsid w:val="003C1086"/>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09F1"/>
    <w:rsid w:val="0041141C"/>
    <w:rsid w:val="0041171B"/>
    <w:rsid w:val="00411E9F"/>
    <w:rsid w:val="0041261F"/>
    <w:rsid w:val="004135B2"/>
    <w:rsid w:val="00415ECE"/>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7203E"/>
    <w:rsid w:val="004823C5"/>
    <w:rsid w:val="00483427"/>
    <w:rsid w:val="00486788"/>
    <w:rsid w:val="00494BAB"/>
    <w:rsid w:val="00495EAE"/>
    <w:rsid w:val="00497033"/>
    <w:rsid w:val="004A1092"/>
    <w:rsid w:val="004A1180"/>
    <w:rsid w:val="004A27B8"/>
    <w:rsid w:val="004A3CC2"/>
    <w:rsid w:val="004A5A7F"/>
    <w:rsid w:val="004B66AE"/>
    <w:rsid w:val="004C1FBD"/>
    <w:rsid w:val="004C42FA"/>
    <w:rsid w:val="004C49DE"/>
    <w:rsid w:val="004C4DEB"/>
    <w:rsid w:val="004C5AAA"/>
    <w:rsid w:val="004C6EF6"/>
    <w:rsid w:val="004D02DA"/>
    <w:rsid w:val="004D0FD4"/>
    <w:rsid w:val="004D23E3"/>
    <w:rsid w:val="004D2A83"/>
    <w:rsid w:val="004D3F36"/>
    <w:rsid w:val="004E6B0F"/>
    <w:rsid w:val="004E6D80"/>
    <w:rsid w:val="004E77CF"/>
    <w:rsid w:val="004F0EE3"/>
    <w:rsid w:val="004F3022"/>
    <w:rsid w:val="004F5CE6"/>
    <w:rsid w:val="00500F9D"/>
    <w:rsid w:val="00502593"/>
    <w:rsid w:val="00502A5D"/>
    <w:rsid w:val="00504825"/>
    <w:rsid w:val="005108D1"/>
    <w:rsid w:val="005118C4"/>
    <w:rsid w:val="005159DE"/>
    <w:rsid w:val="005169A5"/>
    <w:rsid w:val="00521BFE"/>
    <w:rsid w:val="005332DE"/>
    <w:rsid w:val="005335C1"/>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28E1"/>
    <w:rsid w:val="005865CC"/>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208"/>
    <w:rsid w:val="005C35AE"/>
    <w:rsid w:val="005C656A"/>
    <w:rsid w:val="005C780B"/>
    <w:rsid w:val="005D1766"/>
    <w:rsid w:val="005D2CCF"/>
    <w:rsid w:val="005D4B65"/>
    <w:rsid w:val="005D4CBE"/>
    <w:rsid w:val="005D5A60"/>
    <w:rsid w:val="005E12C8"/>
    <w:rsid w:val="005E1E26"/>
    <w:rsid w:val="005E3F8B"/>
    <w:rsid w:val="005E470A"/>
    <w:rsid w:val="005E6A3C"/>
    <w:rsid w:val="005E78B1"/>
    <w:rsid w:val="005F121D"/>
    <w:rsid w:val="005F29D2"/>
    <w:rsid w:val="005F44ED"/>
    <w:rsid w:val="005F70DD"/>
    <w:rsid w:val="005F7FA8"/>
    <w:rsid w:val="00603908"/>
    <w:rsid w:val="00603D6F"/>
    <w:rsid w:val="0061013A"/>
    <w:rsid w:val="006109B5"/>
    <w:rsid w:val="0061166B"/>
    <w:rsid w:val="00613B88"/>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27A0"/>
    <w:rsid w:val="006640AD"/>
    <w:rsid w:val="00666389"/>
    <w:rsid w:val="006707A6"/>
    <w:rsid w:val="00670A8B"/>
    <w:rsid w:val="00672189"/>
    <w:rsid w:val="00681F9D"/>
    <w:rsid w:val="00682049"/>
    <w:rsid w:val="00685BC7"/>
    <w:rsid w:val="00686DE9"/>
    <w:rsid w:val="0068739F"/>
    <w:rsid w:val="006919FA"/>
    <w:rsid w:val="0069290D"/>
    <w:rsid w:val="006933CA"/>
    <w:rsid w:val="00693709"/>
    <w:rsid w:val="0069491E"/>
    <w:rsid w:val="006A0279"/>
    <w:rsid w:val="006A3028"/>
    <w:rsid w:val="006A3ECC"/>
    <w:rsid w:val="006A609C"/>
    <w:rsid w:val="006A61AB"/>
    <w:rsid w:val="006A72F3"/>
    <w:rsid w:val="006B18D7"/>
    <w:rsid w:val="006B3231"/>
    <w:rsid w:val="006B6498"/>
    <w:rsid w:val="006B7A24"/>
    <w:rsid w:val="006C353D"/>
    <w:rsid w:val="006C5A40"/>
    <w:rsid w:val="006D1917"/>
    <w:rsid w:val="006D1DAE"/>
    <w:rsid w:val="006D74F4"/>
    <w:rsid w:val="006E1759"/>
    <w:rsid w:val="006E1F9D"/>
    <w:rsid w:val="006E2792"/>
    <w:rsid w:val="006E5D82"/>
    <w:rsid w:val="006E7BAF"/>
    <w:rsid w:val="006F013C"/>
    <w:rsid w:val="006F0721"/>
    <w:rsid w:val="006F1AFE"/>
    <w:rsid w:val="006F4D50"/>
    <w:rsid w:val="006F7A98"/>
    <w:rsid w:val="006F7BB0"/>
    <w:rsid w:val="00701B0F"/>
    <w:rsid w:val="007034EC"/>
    <w:rsid w:val="007059C2"/>
    <w:rsid w:val="00705B03"/>
    <w:rsid w:val="00711354"/>
    <w:rsid w:val="00714718"/>
    <w:rsid w:val="00715848"/>
    <w:rsid w:val="00717DBF"/>
    <w:rsid w:val="0072286D"/>
    <w:rsid w:val="007261FA"/>
    <w:rsid w:val="00727E0F"/>
    <w:rsid w:val="0073261A"/>
    <w:rsid w:val="00733234"/>
    <w:rsid w:val="00735FDA"/>
    <w:rsid w:val="0074386A"/>
    <w:rsid w:val="00745B3A"/>
    <w:rsid w:val="00747174"/>
    <w:rsid w:val="00752F27"/>
    <w:rsid w:val="00753986"/>
    <w:rsid w:val="0075450D"/>
    <w:rsid w:val="00757C8D"/>
    <w:rsid w:val="007611E7"/>
    <w:rsid w:val="00762225"/>
    <w:rsid w:val="00764902"/>
    <w:rsid w:val="0076637E"/>
    <w:rsid w:val="007707FD"/>
    <w:rsid w:val="0077087E"/>
    <w:rsid w:val="00772C02"/>
    <w:rsid w:val="007740FC"/>
    <w:rsid w:val="00774F30"/>
    <w:rsid w:val="0077678D"/>
    <w:rsid w:val="007910A1"/>
    <w:rsid w:val="00792422"/>
    <w:rsid w:val="0079260D"/>
    <w:rsid w:val="007937EC"/>
    <w:rsid w:val="007951BB"/>
    <w:rsid w:val="00797277"/>
    <w:rsid w:val="007A340D"/>
    <w:rsid w:val="007A417E"/>
    <w:rsid w:val="007A587A"/>
    <w:rsid w:val="007A5A08"/>
    <w:rsid w:val="007B3E96"/>
    <w:rsid w:val="007B3F2F"/>
    <w:rsid w:val="007B434F"/>
    <w:rsid w:val="007B6E56"/>
    <w:rsid w:val="007B720D"/>
    <w:rsid w:val="007C0363"/>
    <w:rsid w:val="007C1767"/>
    <w:rsid w:val="007C3F11"/>
    <w:rsid w:val="007C4D6A"/>
    <w:rsid w:val="007C4EA9"/>
    <w:rsid w:val="007C52B9"/>
    <w:rsid w:val="007D130D"/>
    <w:rsid w:val="007D1B9F"/>
    <w:rsid w:val="007D3CDD"/>
    <w:rsid w:val="007E2687"/>
    <w:rsid w:val="007E3485"/>
    <w:rsid w:val="007E3DC4"/>
    <w:rsid w:val="007E3F89"/>
    <w:rsid w:val="007E459C"/>
    <w:rsid w:val="007F1737"/>
    <w:rsid w:val="007F27B8"/>
    <w:rsid w:val="007F4EAA"/>
    <w:rsid w:val="007F5555"/>
    <w:rsid w:val="007F5DDE"/>
    <w:rsid w:val="007F6928"/>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9019E"/>
    <w:rsid w:val="0089091C"/>
    <w:rsid w:val="00892DB4"/>
    <w:rsid w:val="00894690"/>
    <w:rsid w:val="00894E0B"/>
    <w:rsid w:val="008A05DE"/>
    <w:rsid w:val="008A0FD9"/>
    <w:rsid w:val="008A37B0"/>
    <w:rsid w:val="008B0C24"/>
    <w:rsid w:val="008B0D9B"/>
    <w:rsid w:val="008B13FC"/>
    <w:rsid w:val="008B32E4"/>
    <w:rsid w:val="008B3F2E"/>
    <w:rsid w:val="008B6F3C"/>
    <w:rsid w:val="008C127B"/>
    <w:rsid w:val="008C19A2"/>
    <w:rsid w:val="008C1B2C"/>
    <w:rsid w:val="008C1D4B"/>
    <w:rsid w:val="008C4B06"/>
    <w:rsid w:val="008C6532"/>
    <w:rsid w:val="008D0090"/>
    <w:rsid w:val="008D11BB"/>
    <w:rsid w:val="008E48CE"/>
    <w:rsid w:val="008E53E0"/>
    <w:rsid w:val="008E6CC2"/>
    <w:rsid w:val="008F1149"/>
    <w:rsid w:val="008F24B0"/>
    <w:rsid w:val="008F36C7"/>
    <w:rsid w:val="008F3D22"/>
    <w:rsid w:val="008F40FB"/>
    <w:rsid w:val="008F4458"/>
    <w:rsid w:val="008F5888"/>
    <w:rsid w:val="008F63B9"/>
    <w:rsid w:val="009020F7"/>
    <w:rsid w:val="00905602"/>
    <w:rsid w:val="009066D6"/>
    <w:rsid w:val="00910A55"/>
    <w:rsid w:val="009119EE"/>
    <w:rsid w:val="00912190"/>
    <w:rsid w:val="00913328"/>
    <w:rsid w:val="00917E23"/>
    <w:rsid w:val="009212D6"/>
    <w:rsid w:val="00921EF4"/>
    <w:rsid w:val="00926E13"/>
    <w:rsid w:val="0093109B"/>
    <w:rsid w:val="00933909"/>
    <w:rsid w:val="00934334"/>
    <w:rsid w:val="00935665"/>
    <w:rsid w:val="00935CC8"/>
    <w:rsid w:val="00937083"/>
    <w:rsid w:val="0094269C"/>
    <w:rsid w:val="00951542"/>
    <w:rsid w:val="00956FE0"/>
    <w:rsid w:val="00957838"/>
    <w:rsid w:val="00960900"/>
    <w:rsid w:val="00960A98"/>
    <w:rsid w:val="00964388"/>
    <w:rsid w:val="00965BE6"/>
    <w:rsid w:val="00965C7F"/>
    <w:rsid w:val="00965F52"/>
    <w:rsid w:val="00967324"/>
    <w:rsid w:val="00971644"/>
    <w:rsid w:val="00971AC4"/>
    <w:rsid w:val="00975E45"/>
    <w:rsid w:val="0098023A"/>
    <w:rsid w:val="009808BC"/>
    <w:rsid w:val="00987035"/>
    <w:rsid w:val="009942D1"/>
    <w:rsid w:val="00995BBE"/>
    <w:rsid w:val="00997F96"/>
    <w:rsid w:val="009A0568"/>
    <w:rsid w:val="009A0D5E"/>
    <w:rsid w:val="009A4360"/>
    <w:rsid w:val="009A5235"/>
    <w:rsid w:val="009A5DA3"/>
    <w:rsid w:val="009A6F8A"/>
    <w:rsid w:val="009B3D8B"/>
    <w:rsid w:val="009B51F0"/>
    <w:rsid w:val="009B64A3"/>
    <w:rsid w:val="009C056B"/>
    <w:rsid w:val="009C1283"/>
    <w:rsid w:val="009C6368"/>
    <w:rsid w:val="009D0E3A"/>
    <w:rsid w:val="009D1695"/>
    <w:rsid w:val="009D24B2"/>
    <w:rsid w:val="009D44BA"/>
    <w:rsid w:val="009D7537"/>
    <w:rsid w:val="009D7D08"/>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4875"/>
    <w:rsid w:val="00A15010"/>
    <w:rsid w:val="00A20807"/>
    <w:rsid w:val="00A21C75"/>
    <w:rsid w:val="00A23303"/>
    <w:rsid w:val="00A2347A"/>
    <w:rsid w:val="00A23B1D"/>
    <w:rsid w:val="00A31D43"/>
    <w:rsid w:val="00A3235A"/>
    <w:rsid w:val="00A32494"/>
    <w:rsid w:val="00A330ED"/>
    <w:rsid w:val="00A337A2"/>
    <w:rsid w:val="00A3777B"/>
    <w:rsid w:val="00A40D99"/>
    <w:rsid w:val="00A45A90"/>
    <w:rsid w:val="00A46B25"/>
    <w:rsid w:val="00A5221E"/>
    <w:rsid w:val="00A55605"/>
    <w:rsid w:val="00A60B01"/>
    <w:rsid w:val="00A6118D"/>
    <w:rsid w:val="00A62592"/>
    <w:rsid w:val="00A64839"/>
    <w:rsid w:val="00A67156"/>
    <w:rsid w:val="00A6798D"/>
    <w:rsid w:val="00A701F7"/>
    <w:rsid w:val="00A74A91"/>
    <w:rsid w:val="00A77A05"/>
    <w:rsid w:val="00A830F1"/>
    <w:rsid w:val="00A871DF"/>
    <w:rsid w:val="00A917A6"/>
    <w:rsid w:val="00A91853"/>
    <w:rsid w:val="00A918AF"/>
    <w:rsid w:val="00A92667"/>
    <w:rsid w:val="00A92E89"/>
    <w:rsid w:val="00A96A8C"/>
    <w:rsid w:val="00AA0225"/>
    <w:rsid w:val="00AA1C61"/>
    <w:rsid w:val="00AA4D7B"/>
    <w:rsid w:val="00AA5494"/>
    <w:rsid w:val="00AA5B6E"/>
    <w:rsid w:val="00AB4F53"/>
    <w:rsid w:val="00AB63D1"/>
    <w:rsid w:val="00AB732F"/>
    <w:rsid w:val="00AC60E1"/>
    <w:rsid w:val="00AC692D"/>
    <w:rsid w:val="00AD06C2"/>
    <w:rsid w:val="00AD0AFC"/>
    <w:rsid w:val="00AD32F1"/>
    <w:rsid w:val="00AD387B"/>
    <w:rsid w:val="00AD46A7"/>
    <w:rsid w:val="00AD669C"/>
    <w:rsid w:val="00AD7DE4"/>
    <w:rsid w:val="00AD7F81"/>
    <w:rsid w:val="00AE2200"/>
    <w:rsid w:val="00AE45CF"/>
    <w:rsid w:val="00AE7DAE"/>
    <w:rsid w:val="00AF1018"/>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2C08"/>
    <w:rsid w:val="00B83E3E"/>
    <w:rsid w:val="00B8509F"/>
    <w:rsid w:val="00B85901"/>
    <w:rsid w:val="00B90799"/>
    <w:rsid w:val="00B93863"/>
    <w:rsid w:val="00B94FAE"/>
    <w:rsid w:val="00B952D1"/>
    <w:rsid w:val="00B958E3"/>
    <w:rsid w:val="00B95B71"/>
    <w:rsid w:val="00B96104"/>
    <w:rsid w:val="00B97FD4"/>
    <w:rsid w:val="00BA340E"/>
    <w:rsid w:val="00BA4CAC"/>
    <w:rsid w:val="00BA4D99"/>
    <w:rsid w:val="00BA6E70"/>
    <w:rsid w:val="00BB26B1"/>
    <w:rsid w:val="00BB42FC"/>
    <w:rsid w:val="00BB7F26"/>
    <w:rsid w:val="00BC27E8"/>
    <w:rsid w:val="00BC2D7B"/>
    <w:rsid w:val="00BC30A2"/>
    <w:rsid w:val="00BC5284"/>
    <w:rsid w:val="00BC79A0"/>
    <w:rsid w:val="00BD0B8F"/>
    <w:rsid w:val="00BD2F66"/>
    <w:rsid w:val="00BD4A08"/>
    <w:rsid w:val="00BD4FF9"/>
    <w:rsid w:val="00BD580A"/>
    <w:rsid w:val="00BE04B1"/>
    <w:rsid w:val="00BE091C"/>
    <w:rsid w:val="00BE17B2"/>
    <w:rsid w:val="00BE25A3"/>
    <w:rsid w:val="00BE5C50"/>
    <w:rsid w:val="00BF4480"/>
    <w:rsid w:val="00BF4DF6"/>
    <w:rsid w:val="00C0008F"/>
    <w:rsid w:val="00C00C8F"/>
    <w:rsid w:val="00C062AA"/>
    <w:rsid w:val="00C06AE4"/>
    <w:rsid w:val="00C07C33"/>
    <w:rsid w:val="00C15FC9"/>
    <w:rsid w:val="00C16AC2"/>
    <w:rsid w:val="00C213CC"/>
    <w:rsid w:val="00C21674"/>
    <w:rsid w:val="00C22C7C"/>
    <w:rsid w:val="00C23B15"/>
    <w:rsid w:val="00C245FD"/>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685"/>
    <w:rsid w:val="00CC6AFE"/>
    <w:rsid w:val="00CC78A3"/>
    <w:rsid w:val="00CD0C2F"/>
    <w:rsid w:val="00CD25CE"/>
    <w:rsid w:val="00CD5461"/>
    <w:rsid w:val="00CD675C"/>
    <w:rsid w:val="00CD783C"/>
    <w:rsid w:val="00CE186F"/>
    <w:rsid w:val="00CE2C2F"/>
    <w:rsid w:val="00CE5DAE"/>
    <w:rsid w:val="00CF2381"/>
    <w:rsid w:val="00CF27D3"/>
    <w:rsid w:val="00CF738D"/>
    <w:rsid w:val="00D016C7"/>
    <w:rsid w:val="00D0277A"/>
    <w:rsid w:val="00D033A3"/>
    <w:rsid w:val="00D0352B"/>
    <w:rsid w:val="00D04784"/>
    <w:rsid w:val="00D05CFE"/>
    <w:rsid w:val="00D12A1B"/>
    <w:rsid w:val="00D12F07"/>
    <w:rsid w:val="00D225B7"/>
    <w:rsid w:val="00D22A12"/>
    <w:rsid w:val="00D240E1"/>
    <w:rsid w:val="00D24CE0"/>
    <w:rsid w:val="00D30850"/>
    <w:rsid w:val="00D3113A"/>
    <w:rsid w:val="00D345F3"/>
    <w:rsid w:val="00D35D17"/>
    <w:rsid w:val="00D36584"/>
    <w:rsid w:val="00D36A50"/>
    <w:rsid w:val="00D400EC"/>
    <w:rsid w:val="00D41698"/>
    <w:rsid w:val="00D419FB"/>
    <w:rsid w:val="00D451F2"/>
    <w:rsid w:val="00D475BD"/>
    <w:rsid w:val="00D47829"/>
    <w:rsid w:val="00D54E49"/>
    <w:rsid w:val="00D56B34"/>
    <w:rsid w:val="00D62A84"/>
    <w:rsid w:val="00D700EA"/>
    <w:rsid w:val="00D71AFB"/>
    <w:rsid w:val="00D72108"/>
    <w:rsid w:val="00D72B29"/>
    <w:rsid w:val="00D73890"/>
    <w:rsid w:val="00D81A23"/>
    <w:rsid w:val="00D82A6D"/>
    <w:rsid w:val="00D84180"/>
    <w:rsid w:val="00D84F10"/>
    <w:rsid w:val="00D85CE4"/>
    <w:rsid w:val="00D956F7"/>
    <w:rsid w:val="00DA0944"/>
    <w:rsid w:val="00DA1F0C"/>
    <w:rsid w:val="00DA2195"/>
    <w:rsid w:val="00DA26CF"/>
    <w:rsid w:val="00DA5F47"/>
    <w:rsid w:val="00DA7882"/>
    <w:rsid w:val="00DA7F51"/>
    <w:rsid w:val="00DB16A3"/>
    <w:rsid w:val="00DB294A"/>
    <w:rsid w:val="00DB38BE"/>
    <w:rsid w:val="00DB430B"/>
    <w:rsid w:val="00DB4823"/>
    <w:rsid w:val="00DB4B29"/>
    <w:rsid w:val="00DB5079"/>
    <w:rsid w:val="00DB754E"/>
    <w:rsid w:val="00DC0C54"/>
    <w:rsid w:val="00DC1844"/>
    <w:rsid w:val="00DC2527"/>
    <w:rsid w:val="00DC2C2D"/>
    <w:rsid w:val="00DD127A"/>
    <w:rsid w:val="00DD2C71"/>
    <w:rsid w:val="00DE0612"/>
    <w:rsid w:val="00DE08D5"/>
    <w:rsid w:val="00DE157C"/>
    <w:rsid w:val="00DE25F8"/>
    <w:rsid w:val="00DE2A8C"/>
    <w:rsid w:val="00DE3875"/>
    <w:rsid w:val="00DE5016"/>
    <w:rsid w:val="00DF47B0"/>
    <w:rsid w:val="00DF4F72"/>
    <w:rsid w:val="00DF6129"/>
    <w:rsid w:val="00E0052C"/>
    <w:rsid w:val="00E01031"/>
    <w:rsid w:val="00E037CE"/>
    <w:rsid w:val="00E03E17"/>
    <w:rsid w:val="00E050F3"/>
    <w:rsid w:val="00E061CA"/>
    <w:rsid w:val="00E06816"/>
    <w:rsid w:val="00E1089A"/>
    <w:rsid w:val="00E117A5"/>
    <w:rsid w:val="00E160D8"/>
    <w:rsid w:val="00E169D8"/>
    <w:rsid w:val="00E16A48"/>
    <w:rsid w:val="00E16C80"/>
    <w:rsid w:val="00E20C1A"/>
    <w:rsid w:val="00E24175"/>
    <w:rsid w:val="00E24DA8"/>
    <w:rsid w:val="00E27687"/>
    <w:rsid w:val="00E27C14"/>
    <w:rsid w:val="00E31CF4"/>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4964"/>
    <w:rsid w:val="00E9711C"/>
    <w:rsid w:val="00EA11C0"/>
    <w:rsid w:val="00EA5DEF"/>
    <w:rsid w:val="00EA6BB1"/>
    <w:rsid w:val="00EB05BB"/>
    <w:rsid w:val="00EB22AF"/>
    <w:rsid w:val="00EB23CE"/>
    <w:rsid w:val="00EB4082"/>
    <w:rsid w:val="00EC1305"/>
    <w:rsid w:val="00EC16EB"/>
    <w:rsid w:val="00EC2E7D"/>
    <w:rsid w:val="00EC3ECC"/>
    <w:rsid w:val="00ED022C"/>
    <w:rsid w:val="00ED2E06"/>
    <w:rsid w:val="00ED441A"/>
    <w:rsid w:val="00ED5FA4"/>
    <w:rsid w:val="00ED6C70"/>
    <w:rsid w:val="00ED6F50"/>
    <w:rsid w:val="00ED760A"/>
    <w:rsid w:val="00ED7B71"/>
    <w:rsid w:val="00EE0B18"/>
    <w:rsid w:val="00EE0CC5"/>
    <w:rsid w:val="00EE1422"/>
    <w:rsid w:val="00EE1E15"/>
    <w:rsid w:val="00EE5D8D"/>
    <w:rsid w:val="00EE6C89"/>
    <w:rsid w:val="00F00ADE"/>
    <w:rsid w:val="00F11124"/>
    <w:rsid w:val="00F122C9"/>
    <w:rsid w:val="00F1243A"/>
    <w:rsid w:val="00F127FD"/>
    <w:rsid w:val="00F12CBE"/>
    <w:rsid w:val="00F16856"/>
    <w:rsid w:val="00F16D43"/>
    <w:rsid w:val="00F20B0E"/>
    <w:rsid w:val="00F20C8F"/>
    <w:rsid w:val="00F2209D"/>
    <w:rsid w:val="00F234E2"/>
    <w:rsid w:val="00F303F0"/>
    <w:rsid w:val="00F30939"/>
    <w:rsid w:val="00F338E4"/>
    <w:rsid w:val="00F3393A"/>
    <w:rsid w:val="00F3475E"/>
    <w:rsid w:val="00F366ED"/>
    <w:rsid w:val="00F36F17"/>
    <w:rsid w:val="00F36F86"/>
    <w:rsid w:val="00F37ADC"/>
    <w:rsid w:val="00F401D2"/>
    <w:rsid w:val="00F402B4"/>
    <w:rsid w:val="00F42608"/>
    <w:rsid w:val="00F43B04"/>
    <w:rsid w:val="00F440D5"/>
    <w:rsid w:val="00F47A4D"/>
    <w:rsid w:val="00F55F08"/>
    <w:rsid w:val="00F5614C"/>
    <w:rsid w:val="00F5724C"/>
    <w:rsid w:val="00F60629"/>
    <w:rsid w:val="00F649C0"/>
    <w:rsid w:val="00F65CA2"/>
    <w:rsid w:val="00F66EC0"/>
    <w:rsid w:val="00F679F0"/>
    <w:rsid w:val="00F67B48"/>
    <w:rsid w:val="00F70732"/>
    <w:rsid w:val="00F711F3"/>
    <w:rsid w:val="00F71DFF"/>
    <w:rsid w:val="00F7207C"/>
    <w:rsid w:val="00F72716"/>
    <w:rsid w:val="00F75BDB"/>
    <w:rsid w:val="00F77CC1"/>
    <w:rsid w:val="00F81F7E"/>
    <w:rsid w:val="00F81F99"/>
    <w:rsid w:val="00F830B2"/>
    <w:rsid w:val="00F855A3"/>
    <w:rsid w:val="00F860DE"/>
    <w:rsid w:val="00F90F0D"/>
    <w:rsid w:val="00F91FB3"/>
    <w:rsid w:val="00F978B3"/>
    <w:rsid w:val="00FA0960"/>
    <w:rsid w:val="00FA2D80"/>
    <w:rsid w:val="00FB323E"/>
    <w:rsid w:val="00FB5A80"/>
    <w:rsid w:val="00FB5D7E"/>
    <w:rsid w:val="00FB625A"/>
    <w:rsid w:val="00FC031A"/>
    <w:rsid w:val="00FC4C01"/>
    <w:rsid w:val="00FC6319"/>
    <w:rsid w:val="00FC739B"/>
    <w:rsid w:val="00FD06CD"/>
    <w:rsid w:val="00FD18A7"/>
    <w:rsid w:val="00FD3619"/>
    <w:rsid w:val="00FD50DA"/>
    <w:rsid w:val="00FE0903"/>
    <w:rsid w:val="00FE0F71"/>
    <w:rsid w:val="00FE13A4"/>
    <w:rsid w:val="00FE17A7"/>
    <w:rsid w:val="00FE1D9B"/>
    <w:rsid w:val="00FE34B9"/>
    <w:rsid w:val="00FE438F"/>
    <w:rsid w:val="00FF17B3"/>
    <w:rsid w:val="00FF247D"/>
    <w:rsid w:val="00FF2E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Default">
    <w:name w:val="Default"/>
    <w:rsid w:val="00DB16A3"/>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4">
    <w:name w:val="Pa4"/>
    <w:basedOn w:val="Default"/>
    <w:next w:val="Default"/>
    <w:uiPriority w:val="99"/>
    <w:rsid w:val="00DB16A3"/>
    <w:pPr>
      <w:spacing w:line="181" w:lineRule="atLeast"/>
    </w:pPr>
    <w:rPr>
      <w:rFonts w:cs="Times New Roman"/>
      <w:color w:val="auto"/>
    </w:rPr>
  </w:style>
  <w:style w:type="paragraph" w:customStyle="1" w:styleId="Pa5">
    <w:name w:val="Pa5"/>
    <w:basedOn w:val="Default"/>
    <w:next w:val="Default"/>
    <w:uiPriority w:val="99"/>
    <w:rsid w:val="00DB16A3"/>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880165128">
      <w:marLeft w:val="0"/>
      <w:marRight w:val="0"/>
      <w:marTop w:val="0"/>
      <w:marBottom w:val="0"/>
      <w:divBdr>
        <w:top w:val="none" w:sz="0" w:space="0" w:color="auto"/>
        <w:left w:val="none" w:sz="0" w:space="0" w:color="auto"/>
        <w:bottom w:val="none" w:sz="0" w:space="0" w:color="auto"/>
        <w:right w:val="none" w:sz="0" w:space="0" w:color="auto"/>
      </w:divBdr>
    </w:div>
    <w:div w:id="880165129">
      <w:marLeft w:val="0"/>
      <w:marRight w:val="0"/>
      <w:marTop w:val="0"/>
      <w:marBottom w:val="0"/>
      <w:divBdr>
        <w:top w:val="none" w:sz="0" w:space="0" w:color="auto"/>
        <w:left w:val="none" w:sz="0" w:space="0" w:color="auto"/>
        <w:bottom w:val="none" w:sz="0" w:space="0" w:color="auto"/>
        <w:right w:val="none" w:sz="0" w:space="0" w:color="auto"/>
      </w:divBdr>
    </w:div>
    <w:div w:id="880165130">
      <w:marLeft w:val="0"/>
      <w:marRight w:val="0"/>
      <w:marTop w:val="0"/>
      <w:marBottom w:val="0"/>
      <w:divBdr>
        <w:top w:val="none" w:sz="0" w:space="0" w:color="auto"/>
        <w:left w:val="none" w:sz="0" w:space="0" w:color="auto"/>
        <w:bottom w:val="none" w:sz="0" w:space="0" w:color="auto"/>
        <w:right w:val="none" w:sz="0" w:space="0" w:color="auto"/>
      </w:divBdr>
    </w:div>
    <w:div w:id="880165131">
      <w:marLeft w:val="0"/>
      <w:marRight w:val="0"/>
      <w:marTop w:val="0"/>
      <w:marBottom w:val="0"/>
      <w:divBdr>
        <w:top w:val="none" w:sz="0" w:space="0" w:color="auto"/>
        <w:left w:val="none" w:sz="0" w:space="0" w:color="auto"/>
        <w:bottom w:val="none" w:sz="0" w:space="0" w:color="auto"/>
        <w:right w:val="none" w:sz="0" w:space="0" w:color="auto"/>
      </w:divBdr>
    </w:div>
    <w:div w:id="880165132">
      <w:marLeft w:val="0"/>
      <w:marRight w:val="0"/>
      <w:marTop w:val="0"/>
      <w:marBottom w:val="0"/>
      <w:divBdr>
        <w:top w:val="none" w:sz="0" w:space="0" w:color="auto"/>
        <w:left w:val="none" w:sz="0" w:space="0" w:color="auto"/>
        <w:bottom w:val="none" w:sz="0" w:space="0" w:color="auto"/>
        <w:right w:val="none" w:sz="0" w:space="0" w:color="auto"/>
      </w:divBdr>
    </w:div>
    <w:div w:id="880165133">
      <w:marLeft w:val="0"/>
      <w:marRight w:val="0"/>
      <w:marTop w:val="0"/>
      <w:marBottom w:val="0"/>
      <w:divBdr>
        <w:top w:val="none" w:sz="0" w:space="0" w:color="auto"/>
        <w:left w:val="none" w:sz="0" w:space="0" w:color="auto"/>
        <w:bottom w:val="none" w:sz="0" w:space="0" w:color="auto"/>
        <w:right w:val="none" w:sz="0" w:space="0" w:color="auto"/>
      </w:divBdr>
    </w:div>
    <w:div w:id="880165134">
      <w:marLeft w:val="0"/>
      <w:marRight w:val="0"/>
      <w:marTop w:val="0"/>
      <w:marBottom w:val="0"/>
      <w:divBdr>
        <w:top w:val="none" w:sz="0" w:space="0" w:color="auto"/>
        <w:left w:val="none" w:sz="0" w:space="0" w:color="auto"/>
        <w:bottom w:val="none" w:sz="0" w:space="0" w:color="auto"/>
        <w:right w:val="none" w:sz="0" w:space="0" w:color="auto"/>
      </w:divBdr>
    </w:div>
    <w:div w:id="880165135">
      <w:marLeft w:val="0"/>
      <w:marRight w:val="0"/>
      <w:marTop w:val="0"/>
      <w:marBottom w:val="0"/>
      <w:divBdr>
        <w:top w:val="none" w:sz="0" w:space="0" w:color="auto"/>
        <w:left w:val="none" w:sz="0" w:space="0" w:color="auto"/>
        <w:bottom w:val="none" w:sz="0" w:space="0" w:color="auto"/>
        <w:right w:val="none" w:sz="0" w:space="0" w:color="auto"/>
      </w:divBdr>
    </w:div>
    <w:div w:id="880165136">
      <w:marLeft w:val="0"/>
      <w:marRight w:val="0"/>
      <w:marTop w:val="0"/>
      <w:marBottom w:val="0"/>
      <w:divBdr>
        <w:top w:val="none" w:sz="0" w:space="0" w:color="auto"/>
        <w:left w:val="none" w:sz="0" w:space="0" w:color="auto"/>
        <w:bottom w:val="none" w:sz="0" w:space="0" w:color="auto"/>
        <w:right w:val="none" w:sz="0" w:space="0" w:color="auto"/>
      </w:divBdr>
    </w:div>
    <w:div w:id="880165137">
      <w:marLeft w:val="0"/>
      <w:marRight w:val="0"/>
      <w:marTop w:val="0"/>
      <w:marBottom w:val="0"/>
      <w:divBdr>
        <w:top w:val="none" w:sz="0" w:space="0" w:color="auto"/>
        <w:left w:val="none" w:sz="0" w:space="0" w:color="auto"/>
        <w:bottom w:val="none" w:sz="0" w:space="0" w:color="auto"/>
        <w:right w:val="none" w:sz="0" w:space="0" w:color="auto"/>
      </w:divBdr>
    </w:div>
    <w:div w:id="880165138">
      <w:marLeft w:val="0"/>
      <w:marRight w:val="0"/>
      <w:marTop w:val="0"/>
      <w:marBottom w:val="0"/>
      <w:divBdr>
        <w:top w:val="none" w:sz="0" w:space="0" w:color="auto"/>
        <w:left w:val="none" w:sz="0" w:space="0" w:color="auto"/>
        <w:bottom w:val="none" w:sz="0" w:space="0" w:color="auto"/>
        <w:right w:val="none" w:sz="0" w:space="0" w:color="auto"/>
      </w:divBdr>
    </w:div>
    <w:div w:id="880165139">
      <w:marLeft w:val="0"/>
      <w:marRight w:val="0"/>
      <w:marTop w:val="0"/>
      <w:marBottom w:val="0"/>
      <w:divBdr>
        <w:top w:val="none" w:sz="0" w:space="0" w:color="auto"/>
        <w:left w:val="none" w:sz="0" w:space="0" w:color="auto"/>
        <w:bottom w:val="none" w:sz="0" w:space="0" w:color="auto"/>
        <w:right w:val="none" w:sz="0" w:space="0" w:color="auto"/>
      </w:divBdr>
    </w:div>
    <w:div w:id="880165140">
      <w:marLeft w:val="0"/>
      <w:marRight w:val="0"/>
      <w:marTop w:val="0"/>
      <w:marBottom w:val="0"/>
      <w:divBdr>
        <w:top w:val="none" w:sz="0" w:space="0" w:color="auto"/>
        <w:left w:val="none" w:sz="0" w:space="0" w:color="auto"/>
        <w:bottom w:val="none" w:sz="0" w:space="0" w:color="auto"/>
        <w:right w:val="none" w:sz="0" w:space="0" w:color="auto"/>
      </w:divBdr>
    </w:div>
    <w:div w:id="880165141">
      <w:marLeft w:val="0"/>
      <w:marRight w:val="0"/>
      <w:marTop w:val="0"/>
      <w:marBottom w:val="0"/>
      <w:divBdr>
        <w:top w:val="none" w:sz="0" w:space="0" w:color="auto"/>
        <w:left w:val="none" w:sz="0" w:space="0" w:color="auto"/>
        <w:bottom w:val="none" w:sz="0" w:space="0" w:color="auto"/>
        <w:right w:val="none" w:sz="0" w:space="0" w:color="auto"/>
      </w:divBdr>
    </w:div>
    <w:div w:id="880165142">
      <w:marLeft w:val="0"/>
      <w:marRight w:val="0"/>
      <w:marTop w:val="0"/>
      <w:marBottom w:val="0"/>
      <w:divBdr>
        <w:top w:val="none" w:sz="0" w:space="0" w:color="auto"/>
        <w:left w:val="none" w:sz="0" w:space="0" w:color="auto"/>
        <w:bottom w:val="none" w:sz="0" w:space="0" w:color="auto"/>
        <w:right w:val="none" w:sz="0" w:space="0" w:color="auto"/>
      </w:divBdr>
    </w:div>
    <w:div w:id="880165143">
      <w:marLeft w:val="0"/>
      <w:marRight w:val="0"/>
      <w:marTop w:val="0"/>
      <w:marBottom w:val="0"/>
      <w:divBdr>
        <w:top w:val="none" w:sz="0" w:space="0" w:color="auto"/>
        <w:left w:val="none" w:sz="0" w:space="0" w:color="auto"/>
        <w:bottom w:val="none" w:sz="0" w:space="0" w:color="auto"/>
        <w:right w:val="none" w:sz="0" w:space="0" w:color="auto"/>
      </w:divBdr>
    </w:div>
    <w:div w:id="880165144">
      <w:marLeft w:val="0"/>
      <w:marRight w:val="0"/>
      <w:marTop w:val="0"/>
      <w:marBottom w:val="0"/>
      <w:divBdr>
        <w:top w:val="none" w:sz="0" w:space="0" w:color="auto"/>
        <w:left w:val="none" w:sz="0" w:space="0" w:color="auto"/>
        <w:bottom w:val="none" w:sz="0" w:space="0" w:color="auto"/>
        <w:right w:val="none" w:sz="0" w:space="0" w:color="auto"/>
      </w:divBdr>
    </w:div>
    <w:div w:id="880165145">
      <w:marLeft w:val="0"/>
      <w:marRight w:val="0"/>
      <w:marTop w:val="0"/>
      <w:marBottom w:val="0"/>
      <w:divBdr>
        <w:top w:val="none" w:sz="0" w:space="0" w:color="auto"/>
        <w:left w:val="none" w:sz="0" w:space="0" w:color="auto"/>
        <w:bottom w:val="none" w:sz="0" w:space="0" w:color="auto"/>
        <w:right w:val="none" w:sz="0" w:space="0" w:color="auto"/>
      </w:divBdr>
    </w:div>
    <w:div w:id="880165146">
      <w:marLeft w:val="0"/>
      <w:marRight w:val="0"/>
      <w:marTop w:val="0"/>
      <w:marBottom w:val="0"/>
      <w:divBdr>
        <w:top w:val="none" w:sz="0" w:space="0" w:color="auto"/>
        <w:left w:val="none" w:sz="0" w:space="0" w:color="auto"/>
        <w:bottom w:val="none" w:sz="0" w:space="0" w:color="auto"/>
        <w:right w:val="none" w:sz="0" w:space="0" w:color="auto"/>
      </w:divBdr>
    </w:div>
    <w:div w:id="880165147">
      <w:marLeft w:val="0"/>
      <w:marRight w:val="0"/>
      <w:marTop w:val="0"/>
      <w:marBottom w:val="0"/>
      <w:divBdr>
        <w:top w:val="none" w:sz="0" w:space="0" w:color="auto"/>
        <w:left w:val="none" w:sz="0" w:space="0" w:color="auto"/>
        <w:bottom w:val="none" w:sz="0" w:space="0" w:color="auto"/>
        <w:right w:val="none" w:sz="0" w:space="0" w:color="auto"/>
      </w:divBdr>
    </w:div>
    <w:div w:id="880165148">
      <w:marLeft w:val="0"/>
      <w:marRight w:val="0"/>
      <w:marTop w:val="0"/>
      <w:marBottom w:val="0"/>
      <w:divBdr>
        <w:top w:val="none" w:sz="0" w:space="0" w:color="auto"/>
        <w:left w:val="none" w:sz="0" w:space="0" w:color="auto"/>
        <w:bottom w:val="none" w:sz="0" w:space="0" w:color="auto"/>
        <w:right w:val="none" w:sz="0" w:space="0" w:color="auto"/>
      </w:divBdr>
    </w:div>
    <w:div w:id="880165149">
      <w:marLeft w:val="0"/>
      <w:marRight w:val="0"/>
      <w:marTop w:val="0"/>
      <w:marBottom w:val="0"/>
      <w:divBdr>
        <w:top w:val="none" w:sz="0" w:space="0" w:color="auto"/>
        <w:left w:val="none" w:sz="0" w:space="0" w:color="auto"/>
        <w:bottom w:val="none" w:sz="0" w:space="0" w:color="auto"/>
        <w:right w:val="none" w:sz="0" w:space="0" w:color="auto"/>
      </w:divBdr>
    </w:div>
    <w:div w:id="880165150">
      <w:marLeft w:val="0"/>
      <w:marRight w:val="0"/>
      <w:marTop w:val="0"/>
      <w:marBottom w:val="0"/>
      <w:divBdr>
        <w:top w:val="none" w:sz="0" w:space="0" w:color="auto"/>
        <w:left w:val="none" w:sz="0" w:space="0" w:color="auto"/>
        <w:bottom w:val="none" w:sz="0" w:space="0" w:color="auto"/>
        <w:right w:val="none" w:sz="0" w:space="0" w:color="auto"/>
      </w:divBdr>
    </w:div>
    <w:div w:id="880165151">
      <w:marLeft w:val="0"/>
      <w:marRight w:val="0"/>
      <w:marTop w:val="0"/>
      <w:marBottom w:val="0"/>
      <w:divBdr>
        <w:top w:val="none" w:sz="0" w:space="0" w:color="auto"/>
        <w:left w:val="none" w:sz="0" w:space="0" w:color="auto"/>
        <w:bottom w:val="none" w:sz="0" w:space="0" w:color="auto"/>
        <w:right w:val="none" w:sz="0" w:space="0" w:color="auto"/>
      </w:divBdr>
    </w:div>
    <w:div w:id="880165152">
      <w:marLeft w:val="0"/>
      <w:marRight w:val="0"/>
      <w:marTop w:val="0"/>
      <w:marBottom w:val="0"/>
      <w:divBdr>
        <w:top w:val="none" w:sz="0" w:space="0" w:color="auto"/>
        <w:left w:val="none" w:sz="0" w:space="0" w:color="auto"/>
        <w:bottom w:val="none" w:sz="0" w:space="0" w:color="auto"/>
        <w:right w:val="none" w:sz="0" w:space="0" w:color="auto"/>
      </w:divBdr>
    </w:div>
    <w:div w:id="880165153">
      <w:marLeft w:val="0"/>
      <w:marRight w:val="0"/>
      <w:marTop w:val="0"/>
      <w:marBottom w:val="0"/>
      <w:divBdr>
        <w:top w:val="none" w:sz="0" w:space="0" w:color="auto"/>
        <w:left w:val="none" w:sz="0" w:space="0" w:color="auto"/>
        <w:bottom w:val="none" w:sz="0" w:space="0" w:color="auto"/>
        <w:right w:val="none" w:sz="0" w:space="0" w:color="auto"/>
      </w:divBdr>
    </w:div>
    <w:div w:id="880165154">
      <w:marLeft w:val="0"/>
      <w:marRight w:val="0"/>
      <w:marTop w:val="0"/>
      <w:marBottom w:val="0"/>
      <w:divBdr>
        <w:top w:val="none" w:sz="0" w:space="0" w:color="auto"/>
        <w:left w:val="none" w:sz="0" w:space="0" w:color="auto"/>
        <w:bottom w:val="none" w:sz="0" w:space="0" w:color="auto"/>
        <w:right w:val="none" w:sz="0" w:space="0" w:color="auto"/>
      </w:divBdr>
    </w:div>
    <w:div w:id="880165155">
      <w:marLeft w:val="0"/>
      <w:marRight w:val="0"/>
      <w:marTop w:val="0"/>
      <w:marBottom w:val="0"/>
      <w:divBdr>
        <w:top w:val="none" w:sz="0" w:space="0" w:color="auto"/>
        <w:left w:val="none" w:sz="0" w:space="0" w:color="auto"/>
        <w:bottom w:val="none" w:sz="0" w:space="0" w:color="auto"/>
        <w:right w:val="none" w:sz="0" w:space="0" w:color="auto"/>
      </w:divBdr>
    </w:div>
    <w:div w:id="880165156">
      <w:marLeft w:val="0"/>
      <w:marRight w:val="0"/>
      <w:marTop w:val="0"/>
      <w:marBottom w:val="0"/>
      <w:divBdr>
        <w:top w:val="none" w:sz="0" w:space="0" w:color="auto"/>
        <w:left w:val="none" w:sz="0" w:space="0" w:color="auto"/>
        <w:bottom w:val="none" w:sz="0" w:space="0" w:color="auto"/>
        <w:right w:val="none" w:sz="0" w:space="0" w:color="auto"/>
      </w:divBdr>
    </w:div>
    <w:div w:id="880165157">
      <w:marLeft w:val="0"/>
      <w:marRight w:val="0"/>
      <w:marTop w:val="0"/>
      <w:marBottom w:val="0"/>
      <w:divBdr>
        <w:top w:val="none" w:sz="0" w:space="0" w:color="auto"/>
        <w:left w:val="none" w:sz="0" w:space="0" w:color="auto"/>
        <w:bottom w:val="none" w:sz="0" w:space="0" w:color="auto"/>
        <w:right w:val="none" w:sz="0" w:space="0" w:color="auto"/>
      </w:divBdr>
    </w:div>
    <w:div w:id="880165158">
      <w:marLeft w:val="0"/>
      <w:marRight w:val="0"/>
      <w:marTop w:val="0"/>
      <w:marBottom w:val="0"/>
      <w:divBdr>
        <w:top w:val="none" w:sz="0" w:space="0" w:color="auto"/>
        <w:left w:val="none" w:sz="0" w:space="0" w:color="auto"/>
        <w:bottom w:val="none" w:sz="0" w:space="0" w:color="auto"/>
        <w:right w:val="none" w:sz="0" w:space="0" w:color="auto"/>
      </w:divBdr>
    </w:div>
    <w:div w:id="880165159">
      <w:marLeft w:val="0"/>
      <w:marRight w:val="0"/>
      <w:marTop w:val="0"/>
      <w:marBottom w:val="0"/>
      <w:divBdr>
        <w:top w:val="none" w:sz="0" w:space="0" w:color="auto"/>
        <w:left w:val="none" w:sz="0" w:space="0" w:color="auto"/>
        <w:bottom w:val="none" w:sz="0" w:space="0" w:color="auto"/>
        <w:right w:val="none" w:sz="0" w:space="0" w:color="auto"/>
      </w:divBdr>
    </w:div>
    <w:div w:id="880165160">
      <w:marLeft w:val="0"/>
      <w:marRight w:val="0"/>
      <w:marTop w:val="0"/>
      <w:marBottom w:val="0"/>
      <w:divBdr>
        <w:top w:val="none" w:sz="0" w:space="0" w:color="auto"/>
        <w:left w:val="none" w:sz="0" w:space="0" w:color="auto"/>
        <w:bottom w:val="none" w:sz="0" w:space="0" w:color="auto"/>
        <w:right w:val="none" w:sz="0" w:space="0" w:color="auto"/>
      </w:divBdr>
    </w:div>
    <w:div w:id="880165161">
      <w:marLeft w:val="0"/>
      <w:marRight w:val="0"/>
      <w:marTop w:val="0"/>
      <w:marBottom w:val="0"/>
      <w:divBdr>
        <w:top w:val="none" w:sz="0" w:space="0" w:color="auto"/>
        <w:left w:val="none" w:sz="0" w:space="0" w:color="auto"/>
        <w:bottom w:val="none" w:sz="0" w:space="0" w:color="auto"/>
        <w:right w:val="none" w:sz="0" w:space="0" w:color="auto"/>
      </w:divBdr>
    </w:div>
    <w:div w:id="880165162">
      <w:marLeft w:val="0"/>
      <w:marRight w:val="0"/>
      <w:marTop w:val="0"/>
      <w:marBottom w:val="0"/>
      <w:divBdr>
        <w:top w:val="none" w:sz="0" w:space="0" w:color="auto"/>
        <w:left w:val="none" w:sz="0" w:space="0" w:color="auto"/>
        <w:bottom w:val="none" w:sz="0" w:space="0" w:color="auto"/>
        <w:right w:val="none" w:sz="0" w:space="0" w:color="auto"/>
      </w:divBdr>
    </w:div>
    <w:div w:id="880165163">
      <w:marLeft w:val="0"/>
      <w:marRight w:val="0"/>
      <w:marTop w:val="0"/>
      <w:marBottom w:val="0"/>
      <w:divBdr>
        <w:top w:val="none" w:sz="0" w:space="0" w:color="auto"/>
        <w:left w:val="none" w:sz="0" w:space="0" w:color="auto"/>
        <w:bottom w:val="none" w:sz="0" w:space="0" w:color="auto"/>
        <w:right w:val="none" w:sz="0" w:space="0" w:color="auto"/>
      </w:divBdr>
    </w:div>
    <w:div w:id="880165164">
      <w:marLeft w:val="0"/>
      <w:marRight w:val="0"/>
      <w:marTop w:val="0"/>
      <w:marBottom w:val="0"/>
      <w:divBdr>
        <w:top w:val="none" w:sz="0" w:space="0" w:color="auto"/>
        <w:left w:val="none" w:sz="0" w:space="0" w:color="auto"/>
        <w:bottom w:val="none" w:sz="0" w:space="0" w:color="auto"/>
        <w:right w:val="none" w:sz="0" w:space="0" w:color="auto"/>
      </w:divBdr>
    </w:div>
    <w:div w:id="880165165">
      <w:marLeft w:val="0"/>
      <w:marRight w:val="0"/>
      <w:marTop w:val="0"/>
      <w:marBottom w:val="0"/>
      <w:divBdr>
        <w:top w:val="none" w:sz="0" w:space="0" w:color="auto"/>
        <w:left w:val="none" w:sz="0" w:space="0" w:color="auto"/>
        <w:bottom w:val="none" w:sz="0" w:space="0" w:color="auto"/>
        <w:right w:val="none" w:sz="0" w:space="0" w:color="auto"/>
      </w:divBdr>
    </w:div>
    <w:div w:id="880165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3443-875A-4C2E-96B0-ACA9CFA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6594</Characters>
  <Application>Microsoft Office Word</Application>
  <DocSecurity>0</DocSecurity>
  <Lines>309</Lines>
  <Paragraphs>121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2017-06-06T02:10:00Z</cp:lastPrinted>
  <dcterms:created xsi:type="dcterms:W3CDTF">2018-08-14T05:01:00Z</dcterms:created>
  <dcterms:modified xsi:type="dcterms:W3CDTF">2018-08-14T05:01:00Z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936503</vt:lpwstr>
  </property>
  <property fmtid="{D5CDD505-2E9C-101B-9397-08002B2CF9AE}" pid="4" name="JMSREQUIREDCHECKIN">
    <vt:lpwstr/>
  </property>
</Properties>
</file>