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78" w:rsidRDefault="00042678" w:rsidP="00042678">
      <w:pPr>
        <w:spacing w:before="120"/>
        <w:rPr>
          <w:rFonts w:ascii="Arial" w:hAnsi="Arial" w:cs="Arial"/>
        </w:rPr>
      </w:pPr>
      <w:bookmarkStart w:id="0" w:name="_Toc44738651"/>
      <w:bookmarkStart w:id="1" w:name="_GoBack"/>
      <w:bookmarkEnd w:id="1"/>
      <w:r>
        <w:rPr>
          <w:rFonts w:ascii="Arial" w:hAnsi="Arial" w:cs="Arial"/>
        </w:rPr>
        <w:t>Australian Capital Territory</w:t>
      </w:r>
    </w:p>
    <w:p w:rsidR="00042678" w:rsidRDefault="00042678" w:rsidP="00042678">
      <w:pPr>
        <w:pStyle w:val="Billname"/>
        <w:spacing w:before="700"/>
      </w:pPr>
      <w:r>
        <w:t xml:space="preserve">Civil Law (Wrongs) The Law Society of New South Wales Professional Standards Scheme 2018 </w:t>
      </w:r>
    </w:p>
    <w:p w:rsidR="00042678" w:rsidRDefault="00042678" w:rsidP="00042678">
      <w:pPr>
        <w:spacing w:before="340"/>
        <w:rPr>
          <w:rFonts w:ascii="Arial" w:hAnsi="Arial" w:cs="Arial"/>
          <w:b/>
          <w:bCs/>
        </w:rPr>
      </w:pPr>
      <w:r>
        <w:rPr>
          <w:rFonts w:ascii="Arial" w:hAnsi="Arial" w:cs="Arial"/>
          <w:b/>
          <w:bCs/>
        </w:rPr>
        <w:t>Disallowable instrument DI</w:t>
      </w:r>
      <w:r>
        <w:rPr>
          <w:rFonts w:ascii="Arial" w:hAnsi="Arial" w:cs="Arial"/>
          <w:b/>
          <w:bCs/>
          <w:iCs/>
        </w:rPr>
        <w:t>2018</w:t>
      </w:r>
      <w:r>
        <w:rPr>
          <w:rFonts w:ascii="Arial" w:hAnsi="Arial" w:cs="Arial"/>
          <w:b/>
          <w:bCs/>
        </w:rPr>
        <w:t>–</w:t>
      </w:r>
      <w:r w:rsidR="001C55AA">
        <w:rPr>
          <w:rFonts w:ascii="Arial" w:hAnsi="Arial" w:cs="Arial"/>
          <w:b/>
          <w:bCs/>
        </w:rPr>
        <w:t>286</w:t>
      </w:r>
    </w:p>
    <w:p w:rsidR="00042678" w:rsidRDefault="00042678" w:rsidP="00042678">
      <w:pPr>
        <w:pStyle w:val="madeunder"/>
        <w:spacing w:before="300" w:after="0"/>
      </w:pPr>
      <w:r>
        <w:t xml:space="preserve">made under the  </w:t>
      </w:r>
    </w:p>
    <w:p w:rsidR="00042678" w:rsidRDefault="00042678" w:rsidP="00042678">
      <w:pPr>
        <w:pStyle w:val="CoverActName"/>
        <w:spacing w:before="320" w:after="0"/>
        <w:rPr>
          <w:rFonts w:cs="Arial"/>
          <w:sz w:val="20"/>
        </w:rPr>
      </w:pPr>
      <w:r>
        <w:rPr>
          <w:rFonts w:cs="Arial"/>
          <w:sz w:val="20"/>
        </w:rPr>
        <w:t xml:space="preserve">Civil Law (Wrongs) Act 2002, schedule 4, section 4.10 (Schemes are subject to disallowance) </w:t>
      </w:r>
    </w:p>
    <w:p w:rsidR="00042678" w:rsidRDefault="00042678" w:rsidP="00042678">
      <w:pPr>
        <w:pStyle w:val="N-line3"/>
        <w:pBdr>
          <w:bottom w:val="none" w:sz="0" w:space="0" w:color="auto"/>
        </w:pBdr>
        <w:spacing w:before="60"/>
      </w:pPr>
    </w:p>
    <w:p w:rsidR="00042678" w:rsidRDefault="00042678" w:rsidP="00042678">
      <w:pPr>
        <w:pStyle w:val="N-line3"/>
        <w:pBdr>
          <w:top w:val="single" w:sz="12" w:space="1" w:color="auto"/>
          <w:bottom w:val="none" w:sz="0" w:space="0" w:color="auto"/>
        </w:pBdr>
      </w:pPr>
    </w:p>
    <w:p w:rsidR="00042678" w:rsidRDefault="00042678" w:rsidP="0004267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042678" w:rsidRDefault="00042678" w:rsidP="00042678">
      <w:pPr>
        <w:spacing w:before="140"/>
        <w:ind w:left="720"/>
        <w:rPr>
          <w:i/>
        </w:rPr>
      </w:pPr>
      <w:r>
        <w:t xml:space="preserve">This instrument is the </w:t>
      </w:r>
      <w:r>
        <w:rPr>
          <w:i/>
        </w:rPr>
        <w:t xml:space="preserve">Civil Law (Wrongs) The Law Society of New South Wales Professional Standards Scheme 2018. </w:t>
      </w:r>
    </w:p>
    <w:p w:rsidR="00042678" w:rsidRDefault="00042678" w:rsidP="0004267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042678" w:rsidRDefault="00042678" w:rsidP="00042678">
      <w:pPr>
        <w:spacing w:before="140"/>
        <w:ind w:left="720"/>
      </w:pPr>
      <w:r>
        <w:t>This instr</w:t>
      </w:r>
      <w:r w:rsidR="00F36044">
        <w:t>ument commences on 30</w:t>
      </w:r>
      <w:r>
        <w:t xml:space="preserve"> November 2018. </w:t>
      </w:r>
    </w:p>
    <w:p w:rsidR="00042678" w:rsidRDefault="00042678" w:rsidP="00042678">
      <w:pPr>
        <w:spacing w:before="300"/>
        <w:ind w:left="720" w:hanging="720"/>
        <w:rPr>
          <w:rFonts w:ascii="Arial" w:hAnsi="Arial" w:cs="Arial"/>
          <w:b/>
          <w:bCs/>
        </w:rPr>
      </w:pPr>
      <w:r>
        <w:rPr>
          <w:rFonts w:ascii="Arial" w:hAnsi="Arial" w:cs="Arial"/>
          <w:b/>
          <w:bCs/>
        </w:rPr>
        <w:t>3</w:t>
      </w:r>
      <w:r>
        <w:rPr>
          <w:rFonts w:ascii="Arial" w:hAnsi="Arial" w:cs="Arial"/>
          <w:b/>
          <w:bCs/>
        </w:rPr>
        <w:tab/>
        <w:t>Notice</w:t>
      </w:r>
    </w:p>
    <w:p w:rsidR="00042678" w:rsidRDefault="00042678" w:rsidP="00042678">
      <w:pPr>
        <w:spacing w:before="140"/>
        <w:ind w:left="1440" w:hanging="720"/>
      </w:pPr>
      <w:r>
        <w:t xml:space="preserve">(1) </w:t>
      </w:r>
      <w:r>
        <w:tab/>
        <w:t xml:space="preserve">I give notice of the Professional Standards Councils’ approval of the attached The Law Society of New South Wales Professional Standards Scheme. </w:t>
      </w:r>
    </w:p>
    <w:p w:rsidR="00042678" w:rsidRDefault="00042678" w:rsidP="00042678">
      <w:pPr>
        <w:spacing w:before="140"/>
        <w:ind w:left="1440" w:hanging="720"/>
      </w:pPr>
      <w:r>
        <w:t>(2)</w:t>
      </w:r>
      <w:r>
        <w:tab/>
        <w:t xml:space="preserve">The scheme is in force for a period of five years, </w:t>
      </w:r>
      <w:r w:rsidR="00F36044" w:rsidRPr="00F36044">
        <w:t>from the date of commencement in New South Wales</w:t>
      </w:r>
      <w:r>
        <w:t xml:space="preserve">. </w:t>
      </w:r>
    </w:p>
    <w:p w:rsidR="00042678" w:rsidRDefault="00042678" w:rsidP="00042678">
      <w:pPr>
        <w:tabs>
          <w:tab w:val="left" w:pos="4320"/>
        </w:tabs>
        <w:spacing w:before="720"/>
      </w:pPr>
      <w:r>
        <w:t>Gordon Ramsay MLA</w:t>
      </w:r>
    </w:p>
    <w:p w:rsidR="00042678" w:rsidRDefault="00042678" w:rsidP="00042678">
      <w:pPr>
        <w:tabs>
          <w:tab w:val="left" w:pos="4320"/>
        </w:tabs>
      </w:pPr>
      <w:r>
        <w:t>Attorney-General</w:t>
      </w:r>
      <w:bookmarkEnd w:id="0"/>
    </w:p>
    <w:p w:rsidR="001C55AA" w:rsidRDefault="001C55AA" w:rsidP="00042678">
      <w:pPr>
        <w:tabs>
          <w:tab w:val="left" w:pos="4320"/>
        </w:tabs>
      </w:pPr>
      <w:r>
        <w:t>29 November 2018</w:t>
      </w:r>
    </w:p>
    <w:p w:rsidR="00042678" w:rsidRDefault="00042678">
      <w:pPr>
        <w:spacing w:after="160" w:line="259" w:lineRule="auto"/>
      </w:pPr>
      <w:r>
        <w:br w:type="page"/>
      </w:r>
    </w:p>
    <w:p w:rsidR="00042678" w:rsidRDefault="00042678" w:rsidP="00042678">
      <w:pPr>
        <w:spacing w:before="132"/>
        <w:ind w:left="2351"/>
        <w:rPr>
          <w:sz w:val="21"/>
        </w:rPr>
      </w:pPr>
      <w:r>
        <w:rPr>
          <w:i/>
          <w:w w:val="105"/>
          <w:sz w:val="21"/>
        </w:rPr>
        <w:lastRenderedPageBreak/>
        <w:t xml:space="preserve">Professional Standards Act 1994 </w:t>
      </w:r>
      <w:r>
        <w:rPr>
          <w:w w:val="105"/>
          <w:sz w:val="21"/>
        </w:rPr>
        <w:t>(NSW)</w:t>
      </w:r>
    </w:p>
    <w:p w:rsidR="00042678" w:rsidRDefault="00042678" w:rsidP="00042678">
      <w:pPr>
        <w:pStyle w:val="BodyText"/>
        <w:spacing w:before="2"/>
        <w:rPr>
          <w:sz w:val="23"/>
        </w:rPr>
      </w:pPr>
    </w:p>
    <w:p w:rsidR="00042678" w:rsidRDefault="00042678" w:rsidP="00042678">
      <w:pPr>
        <w:pStyle w:val="Heading1"/>
        <w:spacing w:before="1" w:line="252" w:lineRule="auto"/>
        <w:ind w:left="1931" w:right="2025"/>
        <w:jc w:val="center"/>
      </w:pPr>
      <w:r>
        <w:rPr>
          <w:w w:val="105"/>
        </w:rPr>
        <w:t>THE LAW SOCIETY OF NEW SOUTH WALES PROFESSIONAL STANDARDS SCHEME</w:t>
      </w:r>
    </w:p>
    <w:p w:rsidR="00042678" w:rsidRDefault="00042678" w:rsidP="00042678">
      <w:pPr>
        <w:pStyle w:val="BodyText"/>
        <w:spacing w:before="3"/>
        <w:rPr>
          <w:b/>
          <w:sz w:val="13"/>
        </w:rPr>
      </w:pPr>
    </w:p>
    <w:p w:rsidR="00042678" w:rsidRDefault="00042678" w:rsidP="00042678">
      <w:pPr>
        <w:spacing w:before="98"/>
        <w:ind w:left="126"/>
        <w:rPr>
          <w:b/>
          <w:sz w:val="21"/>
        </w:rPr>
      </w:pPr>
      <w:r>
        <w:rPr>
          <w:b/>
          <w:w w:val="105"/>
          <w:sz w:val="21"/>
        </w:rPr>
        <w:t>PREAMBLE</w:t>
      </w:r>
    </w:p>
    <w:p w:rsidR="00042678" w:rsidRDefault="00042678" w:rsidP="00042678">
      <w:pPr>
        <w:pStyle w:val="BodyText"/>
        <w:spacing w:before="10"/>
        <w:rPr>
          <w:b/>
          <w:sz w:val="22"/>
        </w:rPr>
      </w:pPr>
    </w:p>
    <w:p w:rsidR="00042678" w:rsidRDefault="00042678" w:rsidP="00042678">
      <w:pPr>
        <w:ind w:left="126"/>
        <w:rPr>
          <w:b/>
          <w:sz w:val="21"/>
        </w:rPr>
      </w:pPr>
      <w:r>
        <w:rPr>
          <w:b/>
          <w:w w:val="105"/>
          <w:sz w:val="21"/>
        </w:rPr>
        <w:t>Occupational Association</w:t>
      </w:r>
    </w:p>
    <w:p w:rsidR="00042678" w:rsidRDefault="00042678" w:rsidP="00042678">
      <w:pPr>
        <w:pStyle w:val="BodyText"/>
        <w:rPr>
          <w:b/>
          <w:sz w:val="22"/>
        </w:rPr>
      </w:pPr>
    </w:p>
    <w:p w:rsidR="00042678" w:rsidRDefault="00042678" w:rsidP="00042678">
      <w:pPr>
        <w:pStyle w:val="ListParagraph"/>
        <w:numPr>
          <w:ilvl w:val="0"/>
          <w:numId w:val="5"/>
        </w:numPr>
        <w:tabs>
          <w:tab w:val="left" w:pos="847"/>
        </w:tabs>
        <w:spacing w:line="252" w:lineRule="auto"/>
        <w:ind w:right="695"/>
        <w:rPr>
          <w:sz w:val="21"/>
        </w:rPr>
      </w:pPr>
      <w:r>
        <w:rPr>
          <w:w w:val="105"/>
          <w:sz w:val="21"/>
        </w:rPr>
        <w:t>The Law Society of New South Wales (“the Law Society”) is a voluntary occupational association for local legal practitioners in New South</w:t>
      </w:r>
      <w:r>
        <w:rPr>
          <w:spacing w:val="-40"/>
          <w:w w:val="105"/>
          <w:sz w:val="21"/>
        </w:rPr>
        <w:t xml:space="preserve"> </w:t>
      </w:r>
      <w:r>
        <w:rPr>
          <w:w w:val="105"/>
          <w:sz w:val="21"/>
        </w:rPr>
        <w:t>Wales.</w:t>
      </w:r>
    </w:p>
    <w:p w:rsidR="00042678" w:rsidRDefault="00042678" w:rsidP="00042678">
      <w:pPr>
        <w:pStyle w:val="BodyText"/>
      </w:pPr>
    </w:p>
    <w:p w:rsidR="00042678" w:rsidRDefault="00042678" w:rsidP="00042678">
      <w:pPr>
        <w:pStyle w:val="ListParagraph"/>
        <w:numPr>
          <w:ilvl w:val="0"/>
          <w:numId w:val="5"/>
        </w:numPr>
        <w:tabs>
          <w:tab w:val="left" w:pos="847"/>
        </w:tabs>
        <w:spacing w:line="252" w:lineRule="auto"/>
        <w:ind w:right="328"/>
        <w:rPr>
          <w:sz w:val="21"/>
        </w:rPr>
      </w:pPr>
      <w:r>
        <w:rPr>
          <w:w w:val="105"/>
          <w:sz w:val="21"/>
        </w:rPr>
        <w:t>The occupational group, for the purposes of this Scheme, represented by</w:t>
      </w:r>
      <w:r>
        <w:rPr>
          <w:spacing w:val="-44"/>
          <w:w w:val="105"/>
          <w:sz w:val="21"/>
        </w:rPr>
        <w:t xml:space="preserve"> </w:t>
      </w:r>
      <w:r>
        <w:rPr>
          <w:w w:val="105"/>
          <w:sz w:val="21"/>
        </w:rPr>
        <w:t>the Law</w:t>
      </w:r>
      <w:r>
        <w:rPr>
          <w:spacing w:val="-3"/>
          <w:w w:val="105"/>
          <w:sz w:val="21"/>
        </w:rPr>
        <w:t xml:space="preserve"> </w:t>
      </w:r>
      <w:r>
        <w:rPr>
          <w:w w:val="105"/>
          <w:sz w:val="21"/>
        </w:rPr>
        <w:t>Society</w:t>
      </w:r>
      <w:r>
        <w:rPr>
          <w:spacing w:val="-4"/>
          <w:w w:val="105"/>
          <w:sz w:val="21"/>
        </w:rPr>
        <w:t xml:space="preserve"> </w:t>
      </w:r>
      <w:r>
        <w:rPr>
          <w:w w:val="105"/>
          <w:sz w:val="21"/>
        </w:rPr>
        <w:t>consists</w:t>
      </w:r>
      <w:r>
        <w:rPr>
          <w:spacing w:val="-4"/>
          <w:w w:val="105"/>
          <w:sz w:val="21"/>
        </w:rPr>
        <w:t xml:space="preserve"> </w:t>
      </w:r>
      <w:r>
        <w:rPr>
          <w:w w:val="105"/>
          <w:sz w:val="21"/>
        </w:rPr>
        <w:t>of</w:t>
      </w:r>
      <w:r>
        <w:rPr>
          <w:spacing w:val="-5"/>
          <w:w w:val="105"/>
          <w:sz w:val="21"/>
        </w:rPr>
        <w:t xml:space="preserve"> </w:t>
      </w:r>
      <w:r>
        <w:rPr>
          <w:w w:val="105"/>
          <w:sz w:val="21"/>
        </w:rPr>
        <w:t>legal</w:t>
      </w:r>
      <w:r>
        <w:rPr>
          <w:spacing w:val="-5"/>
          <w:w w:val="105"/>
          <w:sz w:val="21"/>
        </w:rPr>
        <w:t xml:space="preserve"> </w:t>
      </w:r>
      <w:r>
        <w:rPr>
          <w:w w:val="105"/>
          <w:sz w:val="21"/>
        </w:rPr>
        <w:t>practitioners</w:t>
      </w:r>
      <w:r>
        <w:rPr>
          <w:spacing w:val="-4"/>
          <w:w w:val="105"/>
          <w:sz w:val="21"/>
        </w:rPr>
        <w:t xml:space="preserve"> </w:t>
      </w:r>
      <w:r>
        <w:rPr>
          <w:w w:val="105"/>
          <w:sz w:val="21"/>
        </w:rPr>
        <w:t>with</w:t>
      </w:r>
      <w:r>
        <w:rPr>
          <w:spacing w:val="-4"/>
          <w:w w:val="105"/>
          <w:sz w:val="21"/>
        </w:rPr>
        <w:t xml:space="preserve"> </w:t>
      </w:r>
      <w:r>
        <w:rPr>
          <w:w w:val="105"/>
          <w:sz w:val="21"/>
        </w:rPr>
        <w:t>a</w:t>
      </w:r>
      <w:r>
        <w:rPr>
          <w:spacing w:val="-4"/>
          <w:w w:val="105"/>
          <w:sz w:val="21"/>
        </w:rPr>
        <w:t xml:space="preserve"> </w:t>
      </w:r>
      <w:r>
        <w:rPr>
          <w:w w:val="105"/>
          <w:sz w:val="21"/>
        </w:rPr>
        <w:t>principal</w:t>
      </w:r>
      <w:r>
        <w:rPr>
          <w:spacing w:val="-5"/>
          <w:w w:val="105"/>
          <w:sz w:val="21"/>
        </w:rPr>
        <w:t xml:space="preserve"> </w:t>
      </w:r>
      <w:r>
        <w:rPr>
          <w:w w:val="105"/>
          <w:sz w:val="21"/>
        </w:rPr>
        <w:t>place</w:t>
      </w:r>
      <w:r>
        <w:rPr>
          <w:spacing w:val="-4"/>
          <w:w w:val="105"/>
          <w:sz w:val="21"/>
        </w:rPr>
        <w:t xml:space="preserve"> </w:t>
      </w:r>
      <w:r>
        <w:rPr>
          <w:w w:val="105"/>
          <w:sz w:val="21"/>
        </w:rPr>
        <w:t>of</w:t>
      </w:r>
      <w:r>
        <w:rPr>
          <w:spacing w:val="-4"/>
          <w:w w:val="105"/>
          <w:sz w:val="21"/>
        </w:rPr>
        <w:t xml:space="preserve"> </w:t>
      </w:r>
      <w:r>
        <w:rPr>
          <w:w w:val="105"/>
          <w:sz w:val="21"/>
        </w:rPr>
        <w:t>practice</w:t>
      </w:r>
      <w:r>
        <w:rPr>
          <w:spacing w:val="-4"/>
          <w:w w:val="105"/>
          <w:sz w:val="21"/>
        </w:rPr>
        <w:t xml:space="preserve"> </w:t>
      </w:r>
      <w:r>
        <w:rPr>
          <w:w w:val="105"/>
          <w:sz w:val="21"/>
        </w:rPr>
        <w:t xml:space="preserve">in New South Wales who hold Australian </w:t>
      </w:r>
      <w:proofErr w:type="spellStart"/>
      <w:r>
        <w:rPr>
          <w:w w:val="105"/>
          <w:sz w:val="21"/>
        </w:rPr>
        <w:t>practising</w:t>
      </w:r>
      <w:proofErr w:type="spellEnd"/>
      <w:r>
        <w:rPr>
          <w:w w:val="105"/>
          <w:sz w:val="21"/>
        </w:rPr>
        <w:t xml:space="preserve"> certificates issued by the Council of the Law Society (“the Law Society</w:t>
      </w:r>
      <w:r>
        <w:rPr>
          <w:spacing w:val="1"/>
          <w:w w:val="105"/>
          <w:sz w:val="21"/>
        </w:rPr>
        <w:t xml:space="preserve"> </w:t>
      </w:r>
      <w:r>
        <w:rPr>
          <w:w w:val="105"/>
          <w:sz w:val="21"/>
        </w:rPr>
        <w:t>Council”).</w:t>
      </w:r>
    </w:p>
    <w:p w:rsidR="00042678" w:rsidRDefault="00042678" w:rsidP="00042678">
      <w:pPr>
        <w:pStyle w:val="BodyText"/>
        <w:spacing w:before="9"/>
        <w:rPr>
          <w:sz w:val="30"/>
        </w:rPr>
      </w:pPr>
    </w:p>
    <w:p w:rsidR="00042678" w:rsidRDefault="00042678" w:rsidP="00042678">
      <w:pPr>
        <w:pStyle w:val="Heading1"/>
      </w:pPr>
      <w:r>
        <w:rPr>
          <w:w w:val="105"/>
        </w:rPr>
        <w:t>Nature of Scheme</w:t>
      </w:r>
    </w:p>
    <w:p w:rsidR="00042678" w:rsidRDefault="00042678" w:rsidP="00042678">
      <w:pPr>
        <w:pStyle w:val="BodyText"/>
        <w:spacing w:before="3"/>
        <w:rPr>
          <w:b/>
          <w:sz w:val="23"/>
        </w:rPr>
      </w:pPr>
    </w:p>
    <w:p w:rsidR="00042678" w:rsidRDefault="00042678" w:rsidP="00042678">
      <w:pPr>
        <w:pStyle w:val="ListParagraph"/>
        <w:numPr>
          <w:ilvl w:val="0"/>
          <w:numId w:val="5"/>
        </w:numPr>
        <w:tabs>
          <w:tab w:val="left" w:pos="847"/>
        </w:tabs>
        <w:spacing w:line="252" w:lineRule="auto"/>
        <w:ind w:right="280"/>
        <w:rPr>
          <w:sz w:val="21"/>
        </w:rPr>
      </w:pPr>
      <w:r>
        <w:rPr>
          <w:w w:val="105"/>
          <w:sz w:val="21"/>
        </w:rPr>
        <w:t xml:space="preserve">The Law Society has made an application to the Professional Standards Council (“the Council”), appointed under the </w:t>
      </w:r>
      <w:r>
        <w:rPr>
          <w:i/>
          <w:w w:val="105"/>
          <w:sz w:val="21"/>
        </w:rPr>
        <w:t>Professional Standards Act</w:t>
      </w:r>
      <w:r>
        <w:rPr>
          <w:i/>
          <w:spacing w:val="-41"/>
          <w:w w:val="105"/>
          <w:sz w:val="21"/>
        </w:rPr>
        <w:t xml:space="preserve"> </w:t>
      </w:r>
      <w:r>
        <w:rPr>
          <w:i/>
          <w:w w:val="105"/>
          <w:sz w:val="21"/>
        </w:rPr>
        <w:t xml:space="preserve">1994 </w:t>
      </w:r>
      <w:r>
        <w:rPr>
          <w:w w:val="105"/>
          <w:sz w:val="21"/>
        </w:rPr>
        <w:t>(NSW) (“the Act”), for approval of a scheme under the Act and this document comprises the scheme (“the</w:t>
      </w:r>
      <w:r>
        <w:rPr>
          <w:spacing w:val="5"/>
          <w:w w:val="105"/>
          <w:sz w:val="21"/>
        </w:rPr>
        <w:t xml:space="preserve"> </w:t>
      </w:r>
      <w:r>
        <w:rPr>
          <w:w w:val="105"/>
          <w:sz w:val="21"/>
        </w:rPr>
        <w:t>Scheme”).</w:t>
      </w:r>
    </w:p>
    <w:p w:rsidR="00042678" w:rsidRDefault="00042678" w:rsidP="00042678">
      <w:pPr>
        <w:pStyle w:val="BodyText"/>
        <w:spacing w:before="6"/>
      </w:pPr>
    </w:p>
    <w:p w:rsidR="00042678" w:rsidRDefault="00042678" w:rsidP="00042678">
      <w:pPr>
        <w:pStyle w:val="ListParagraph"/>
        <w:numPr>
          <w:ilvl w:val="0"/>
          <w:numId w:val="5"/>
        </w:numPr>
        <w:tabs>
          <w:tab w:val="left" w:pos="847"/>
        </w:tabs>
        <w:spacing w:line="252" w:lineRule="auto"/>
        <w:ind w:right="450"/>
        <w:rPr>
          <w:sz w:val="21"/>
        </w:rPr>
      </w:pPr>
      <w:r>
        <w:rPr>
          <w:w w:val="105"/>
          <w:sz w:val="21"/>
        </w:rPr>
        <w:t>The</w:t>
      </w:r>
      <w:r>
        <w:rPr>
          <w:spacing w:val="-4"/>
          <w:w w:val="105"/>
          <w:sz w:val="21"/>
        </w:rPr>
        <w:t xml:space="preserve"> </w:t>
      </w:r>
      <w:r>
        <w:rPr>
          <w:w w:val="105"/>
          <w:sz w:val="21"/>
        </w:rPr>
        <w:t>Scheme</w:t>
      </w:r>
      <w:r>
        <w:rPr>
          <w:spacing w:val="-4"/>
          <w:w w:val="105"/>
          <w:sz w:val="21"/>
        </w:rPr>
        <w:t xml:space="preserve"> </w:t>
      </w:r>
      <w:r>
        <w:rPr>
          <w:w w:val="105"/>
          <w:sz w:val="21"/>
        </w:rPr>
        <w:t>is</w:t>
      </w:r>
      <w:r>
        <w:rPr>
          <w:spacing w:val="-4"/>
          <w:w w:val="105"/>
          <w:sz w:val="21"/>
        </w:rPr>
        <w:t xml:space="preserve"> </w:t>
      </w:r>
      <w:r>
        <w:rPr>
          <w:w w:val="105"/>
          <w:sz w:val="21"/>
        </w:rPr>
        <w:t>intended</w:t>
      </w:r>
      <w:r>
        <w:rPr>
          <w:spacing w:val="-4"/>
          <w:w w:val="105"/>
          <w:sz w:val="21"/>
        </w:rPr>
        <w:t xml:space="preserve"> </w:t>
      </w:r>
      <w:r>
        <w:rPr>
          <w:w w:val="105"/>
          <w:sz w:val="21"/>
        </w:rPr>
        <w:t>to</w:t>
      </w:r>
      <w:r>
        <w:rPr>
          <w:spacing w:val="-4"/>
          <w:w w:val="105"/>
          <w:sz w:val="21"/>
        </w:rPr>
        <w:t xml:space="preserve"> </w:t>
      </w:r>
      <w:r>
        <w:rPr>
          <w:w w:val="105"/>
          <w:sz w:val="21"/>
        </w:rPr>
        <w:t>operate</w:t>
      </w:r>
      <w:r>
        <w:rPr>
          <w:spacing w:val="-4"/>
          <w:w w:val="105"/>
          <w:sz w:val="21"/>
        </w:rPr>
        <w:t xml:space="preserve"> </w:t>
      </w:r>
      <w:r>
        <w:rPr>
          <w:w w:val="105"/>
          <w:sz w:val="21"/>
        </w:rPr>
        <w:t>under</w:t>
      </w:r>
      <w:r>
        <w:rPr>
          <w:spacing w:val="-4"/>
          <w:w w:val="105"/>
          <w:sz w:val="21"/>
        </w:rPr>
        <w:t xml:space="preserve"> </w:t>
      </w:r>
      <w:r>
        <w:rPr>
          <w:w w:val="105"/>
          <w:sz w:val="21"/>
        </w:rPr>
        <w:t>the</w:t>
      </w:r>
      <w:r>
        <w:rPr>
          <w:spacing w:val="-4"/>
          <w:w w:val="105"/>
          <w:sz w:val="21"/>
        </w:rPr>
        <w:t xml:space="preserve"> </w:t>
      </w:r>
      <w:r>
        <w:rPr>
          <w:w w:val="105"/>
          <w:sz w:val="21"/>
        </w:rPr>
        <w:t>Act,</w:t>
      </w:r>
      <w:r>
        <w:rPr>
          <w:spacing w:val="-5"/>
          <w:w w:val="105"/>
          <w:sz w:val="21"/>
        </w:rPr>
        <w:t xml:space="preserve"> </w:t>
      </w:r>
      <w:r>
        <w:rPr>
          <w:w w:val="105"/>
          <w:sz w:val="21"/>
        </w:rPr>
        <w:t>which</w:t>
      </w:r>
      <w:r>
        <w:rPr>
          <w:spacing w:val="-4"/>
          <w:w w:val="105"/>
          <w:sz w:val="21"/>
        </w:rPr>
        <w:t xml:space="preserve"> </w:t>
      </w:r>
      <w:r>
        <w:rPr>
          <w:w w:val="105"/>
          <w:sz w:val="21"/>
        </w:rPr>
        <w:t>has</w:t>
      </w:r>
      <w:r>
        <w:rPr>
          <w:spacing w:val="-4"/>
          <w:w w:val="105"/>
          <w:sz w:val="21"/>
        </w:rPr>
        <w:t xml:space="preserve"> </w:t>
      </w:r>
      <w:r>
        <w:rPr>
          <w:w w:val="105"/>
          <w:sz w:val="21"/>
        </w:rPr>
        <w:t>the</w:t>
      </w:r>
      <w:r>
        <w:rPr>
          <w:spacing w:val="-4"/>
          <w:w w:val="105"/>
          <w:sz w:val="21"/>
        </w:rPr>
        <w:t xml:space="preserve"> </w:t>
      </w:r>
      <w:r>
        <w:rPr>
          <w:w w:val="105"/>
          <w:sz w:val="21"/>
        </w:rPr>
        <w:t>purpose</w:t>
      </w:r>
      <w:r>
        <w:rPr>
          <w:spacing w:val="-4"/>
          <w:w w:val="105"/>
          <w:sz w:val="21"/>
        </w:rPr>
        <w:t xml:space="preserve"> </w:t>
      </w:r>
      <w:r>
        <w:rPr>
          <w:w w:val="105"/>
          <w:sz w:val="21"/>
        </w:rPr>
        <w:t>of improving occupational standards of professional persons and to protect consumers of their</w:t>
      </w:r>
      <w:r>
        <w:rPr>
          <w:spacing w:val="1"/>
          <w:w w:val="105"/>
          <w:sz w:val="21"/>
        </w:rPr>
        <w:t xml:space="preserve"> </w:t>
      </w:r>
      <w:r>
        <w:rPr>
          <w:w w:val="105"/>
          <w:sz w:val="21"/>
        </w:rPr>
        <w:t>services.</w:t>
      </w:r>
    </w:p>
    <w:p w:rsidR="00042678" w:rsidRDefault="00042678" w:rsidP="00042678">
      <w:pPr>
        <w:pStyle w:val="BodyText"/>
        <w:spacing w:before="11"/>
      </w:pPr>
    </w:p>
    <w:p w:rsidR="00042678" w:rsidRDefault="00042678" w:rsidP="00042678">
      <w:pPr>
        <w:pStyle w:val="ListParagraph"/>
        <w:numPr>
          <w:ilvl w:val="0"/>
          <w:numId w:val="5"/>
        </w:numPr>
        <w:tabs>
          <w:tab w:val="left" w:pos="847"/>
        </w:tabs>
        <w:spacing w:line="249" w:lineRule="auto"/>
        <w:ind w:right="256"/>
        <w:rPr>
          <w:sz w:val="21"/>
        </w:rPr>
      </w:pPr>
      <w:r>
        <w:rPr>
          <w:w w:val="105"/>
          <w:sz w:val="21"/>
        </w:rPr>
        <w:t>The Scheme has been prepared by the Law Society for the purposes of limiting</w:t>
      </w:r>
      <w:r>
        <w:rPr>
          <w:spacing w:val="-5"/>
          <w:w w:val="105"/>
          <w:sz w:val="21"/>
        </w:rPr>
        <w:t xml:space="preserve"> </w:t>
      </w:r>
      <w:r>
        <w:rPr>
          <w:w w:val="105"/>
          <w:sz w:val="21"/>
        </w:rPr>
        <w:t>occupational</w:t>
      </w:r>
      <w:r>
        <w:rPr>
          <w:spacing w:val="-7"/>
          <w:w w:val="105"/>
          <w:sz w:val="21"/>
        </w:rPr>
        <w:t xml:space="preserve"> </w:t>
      </w:r>
      <w:r>
        <w:rPr>
          <w:w w:val="105"/>
          <w:sz w:val="21"/>
        </w:rPr>
        <w:t>liability</w:t>
      </w:r>
      <w:r>
        <w:rPr>
          <w:spacing w:val="-5"/>
          <w:w w:val="105"/>
          <w:sz w:val="21"/>
        </w:rPr>
        <w:t xml:space="preserve"> </w:t>
      </w:r>
      <w:r>
        <w:rPr>
          <w:w w:val="105"/>
          <w:sz w:val="21"/>
        </w:rPr>
        <w:t>of</w:t>
      </w:r>
      <w:r>
        <w:rPr>
          <w:spacing w:val="-6"/>
          <w:w w:val="105"/>
          <w:sz w:val="21"/>
        </w:rPr>
        <w:t xml:space="preserve"> </w:t>
      </w:r>
      <w:r>
        <w:rPr>
          <w:w w:val="105"/>
          <w:sz w:val="21"/>
        </w:rPr>
        <w:t>Participating</w:t>
      </w:r>
      <w:r>
        <w:rPr>
          <w:spacing w:val="-5"/>
          <w:w w:val="105"/>
          <w:sz w:val="21"/>
        </w:rPr>
        <w:t xml:space="preserve"> </w:t>
      </w:r>
      <w:r>
        <w:rPr>
          <w:w w:val="105"/>
          <w:sz w:val="21"/>
        </w:rPr>
        <w:t>Members</w:t>
      </w:r>
      <w:r>
        <w:rPr>
          <w:spacing w:val="-6"/>
          <w:w w:val="105"/>
          <w:sz w:val="21"/>
        </w:rPr>
        <w:t xml:space="preserve"> </w:t>
      </w:r>
      <w:r>
        <w:rPr>
          <w:w w:val="105"/>
          <w:sz w:val="21"/>
        </w:rPr>
        <w:t>who</w:t>
      </w:r>
      <w:r>
        <w:rPr>
          <w:spacing w:val="-6"/>
          <w:w w:val="105"/>
          <w:sz w:val="21"/>
        </w:rPr>
        <w:t xml:space="preserve"> </w:t>
      </w:r>
      <w:r>
        <w:rPr>
          <w:w w:val="105"/>
          <w:sz w:val="21"/>
        </w:rPr>
        <w:t>provide</w:t>
      </w:r>
      <w:r>
        <w:rPr>
          <w:spacing w:val="-6"/>
          <w:w w:val="105"/>
          <w:sz w:val="21"/>
        </w:rPr>
        <w:t xml:space="preserve"> </w:t>
      </w:r>
      <w:r>
        <w:rPr>
          <w:w w:val="105"/>
          <w:sz w:val="21"/>
        </w:rPr>
        <w:t>services</w:t>
      </w:r>
      <w:r>
        <w:rPr>
          <w:spacing w:val="-6"/>
          <w:w w:val="105"/>
          <w:sz w:val="21"/>
        </w:rPr>
        <w:t xml:space="preserve"> </w:t>
      </w:r>
      <w:r>
        <w:rPr>
          <w:w w:val="105"/>
          <w:sz w:val="21"/>
        </w:rPr>
        <w:t>to the public to the extent to which such liability may be limited under the</w:t>
      </w:r>
      <w:r>
        <w:rPr>
          <w:spacing w:val="-27"/>
          <w:w w:val="105"/>
          <w:sz w:val="21"/>
        </w:rPr>
        <w:t xml:space="preserve"> </w:t>
      </w:r>
      <w:r>
        <w:rPr>
          <w:w w:val="105"/>
          <w:sz w:val="21"/>
        </w:rPr>
        <w:t>Act.</w:t>
      </w:r>
    </w:p>
    <w:p w:rsidR="00042678" w:rsidRDefault="00042678" w:rsidP="00042678">
      <w:pPr>
        <w:pStyle w:val="BodyText"/>
        <w:spacing w:before="6"/>
        <w:rPr>
          <w:sz w:val="22"/>
        </w:rPr>
      </w:pPr>
    </w:p>
    <w:p w:rsidR="00042678" w:rsidRDefault="00042678" w:rsidP="00042678">
      <w:pPr>
        <w:pStyle w:val="ListParagraph"/>
        <w:numPr>
          <w:ilvl w:val="0"/>
          <w:numId w:val="5"/>
        </w:numPr>
        <w:tabs>
          <w:tab w:val="left" w:pos="847"/>
        </w:tabs>
        <w:spacing w:line="252" w:lineRule="auto"/>
        <w:ind w:right="277"/>
        <w:rPr>
          <w:sz w:val="21"/>
        </w:rPr>
      </w:pPr>
      <w:r>
        <w:rPr>
          <w:w w:val="105"/>
          <w:sz w:val="21"/>
        </w:rPr>
        <w:t>The Scheme does not affect damages which are below the monetary ceiling specified in the Scheme for each Participating Member. The Scheme limits liability for damages to the monetary ceiling specified for that member provided that that Participating Member has insurance as required under</w:t>
      </w:r>
      <w:r>
        <w:rPr>
          <w:spacing w:val="-39"/>
          <w:w w:val="105"/>
          <w:sz w:val="21"/>
        </w:rPr>
        <w:t xml:space="preserve"> </w:t>
      </w:r>
      <w:r>
        <w:rPr>
          <w:w w:val="105"/>
          <w:sz w:val="21"/>
        </w:rPr>
        <w:t>s.21 of the Act.</w:t>
      </w:r>
    </w:p>
    <w:p w:rsidR="00042678" w:rsidRDefault="00042678" w:rsidP="00042678">
      <w:pPr>
        <w:pStyle w:val="BodyText"/>
        <w:spacing w:before="8"/>
      </w:pPr>
    </w:p>
    <w:p w:rsidR="00042678" w:rsidRDefault="00042678" w:rsidP="00042678">
      <w:pPr>
        <w:pStyle w:val="ListParagraph"/>
        <w:numPr>
          <w:ilvl w:val="0"/>
          <w:numId w:val="5"/>
        </w:numPr>
        <w:tabs>
          <w:tab w:val="left" w:pos="847"/>
        </w:tabs>
        <w:rPr>
          <w:sz w:val="21"/>
        </w:rPr>
      </w:pPr>
      <w:r>
        <w:rPr>
          <w:w w:val="105"/>
          <w:sz w:val="21"/>
        </w:rPr>
        <w:t>The Scheme is to apply to all Participating Members.</w:t>
      </w:r>
    </w:p>
    <w:p w:rsidR="00042678" w:rsidRDefault="00042678" w:rsidP="00042678">
      <w:pPr>
        <w:pStyle w:val="BodyText"/>
        <w:rPr>
          <w:sz w:val="22"/>
        </w:rPr>
      </w:pPr>
    </w:p>
    <w:p w:rsidR="00042678" w:rsidRDefault="00042678" w:rsidP="00042678">
      <w:pPr>
        <w:pStyle w:val="Heading1"/>
      </w:pPr>
      <w:r>
        <w:rPr>
          <w:w w:val="105"/>
        </w:rPr>
        <w:t>Risk Management</w:t>
      </w:r>
    </w:p>
    <w:p w:rsidR="00042678" w:rsidRDefault="00042678" w:rsidP="00042678">
      <w:pPr>
        <w:pStyle w:val="BodyText"/>
        <w:rPr>
          <w:b/>
          <w:sz w:val="22"/>
        </w:rPr>
      </w:pPr>
    </w:p>
    <w:p w:rsidR="00042678" w:rsidRDefault="00042678" w:rsidP="00042678">
      <w:pPr>
        <w:pStyle w:val="ListParagraph"/>
        <w:numPr>
          <w:ilvl w:val="0"/>
          <w:numId w:val="5"/>
        </w:numPr>
        <w:tabs>
          <w:tab w:val="left" w:pos="847"/>
        </w:tabs>
        <w:spacing w:line="252" w:lineRule="auto"/>
        <w:ind w:right="291"/>
        <w:rPr>
          <w:sz w:val="21"/>
        </w:rPr>
      </w:pPr>
      <w:r>
        <w:rPr>
          <w:w w:val="105"/>
          <w:sz w:val="21"/>
        </w:rPr>
        <w:t>The Law Society has furnished the Council with a detailed list of the risk management strategies intended to be implemented in respect of its Participating Members and the means by which these strategies are</w:t>
      </w:r>
      <w:r>
        <w:rPr>
          <w:spacing w:val="-37"/>
          <w:w w:val="105"/>
          <w:sz w:val="21"/>
        </w:rPr>
        <w:t xml:space="preserve"> </w:t>
      </w:r>
      <w:r>
        <w:rPr>
          <w:w w:val="105"/>
          <w:sz w:val="21"/>
        </w:rPr>
        <w:t>intended to be</w:t>
      </w:r>
      <w:r>
        <w:rPr>
          <w:spacing w:val="2"/>
          <w:w w:val="105"/>
          <w:sz w:val="21"/>
        </w:rPr>
        <w:t xml:space="preserve"> </w:t>
      </w:r>
      <w:r>
        <w:rPr>
          <w:w w:val="105"/>
          <w:sz w:val="21"/>
        </w:rPr>
        <w:t>implemented.</w:t>
      </w:r>
    </w:p>
    <w:p w:rsidR="00042678" w:rsidRDefault="00042678" w:rsidP="00042678">
      <w:pPr>
        <w:pStyle w:val="BodyText"/>
        <w:spacing w:before="4"/>
        <w:rPr>
          <w:sz w:val="20"/>
        </w:rPr>
      </w:pPr>
    </w:p>
    <w:p w:rsidR="00042678" w:rsidRDefault="00042678" w:rsidP="00042678">
      <w:pPr>
        <w:pStyle w:val="ListParagraph"/>
        <w:numPr>
          <w:ilvl w:val="0"/>
          <w:numId w:val="5"/>
        </w:numPr>
        <w:tabs>
          <w:tab w:val="left" w:pos="840"/>
          <w:tab w:val="left" w:pos="841"/>
        </w:tabs>
        <w:spacing w:line="252" w:lineRule="auto"/>
        <w:ind w:left="840" w:right="250" w:hanging="357"/>
        <w:rPr>
          <w:sz w:val="21"/>
        </w:rPr>
      </w:pPr>
      <w:r>
        <w:rPr>
          <w:w w:val="105"/>
          <w:sz w:val="21"/>
        </w:rPr>
        <w:t>The</w:t>
      </w:r>
      <w:r>
        <w:rPr>
          <w:spacing w:val="-4"/>
          <w:w w:val="105"/>
          <w:sz w:val="21"/>
        </w:rPr>
        <w:t xml:space="preserve"> </w:t>
      </w:r>
      <w:r>
        <w:rPr>
          <w:w w:val="105"/>
          <w:sz w:val="21"/>
        </w:rPr>
        <w:t>Law</w:t>
      </w:r>
      <w:r>
        <w:rPr>
          <w:spacing w:val="-3"/>
          <w:w w:val="105"/>
          <w:sz w:val="21"/>
        </w:rPr>
        <w:t xml:space="preserve"> </w:t>
      </w:r>
      <w:r>
        <w:rPr>
          <w:w w:val="105"/>
          <w:sz w:val="21"/>
        </w:rPr>
        <w:t>Society</w:t>
      </w:r>
      <w:r>
        <w:rPr>
          <w:spacing w:val="-3"/>
          <w:w w:val="105"/>
          <w:sz w:val="21"/>
        </w:rPr>
        <w:t xml:space="preserve"> </w:t>
      </w:r>
      <w:r>
        <w:rPr>
          <w:w w:val="105"/>
          <w:sz w:val="21"/>
        </w:rPr>
        <w:t>will</w:t>
      </w:r>
      <w:r>
        <w:rPr>
          <w:spacing w:val="-5"/>
          <w:w w:val="105"/>
          <w:sz w:val="21"/>
        </w:rPr>
        <w:t xml:space="preserve"> </w:t>
      </w:r>
      <w:r>
        <w:rPr>
          <w:w w:val="105"/>
          <w:sz w:val="21"/>
        </w:rPr>
        <w:t>report</w:t>
      </w:r>
      <w:r>
        <w:rPr>
          <w:spacing w:val="-5"/>
          <w:w w:val="105"/>
          <w:sz w:val="21"/>
        </w:rPr>
        <w:t xml:space="preserve"> </w:t>
      </w:r>
      <w:r>
        <w:rPr>
          <w:w w:val="105"/>
          <w:sz w:val="21"/>
        </w:rPr>
        <w:t>annually</w:t>
      </w:r>
      <w:r>
        <w:rPr>
          <w:spacing w:val="-3"/>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Council</w:t>
      </w:r>
      <w:r>
        <w:rPr>
          <w:spacing w:val="-5"/>
          <w:w w:val="105"/>
          <w:sz w:val="21"/>
        </w:rPr>
        <w:t xml:space="preserve"> </w:t>
      </w:r>
      <w:r>
        <w:rPr>
          <w:w w:val="105"/>
          <w:sz w:val="21"/>
        </w:rPr>
        <w:t>on</w:t>
      </w:r>
      <w:r>
        <w:rPr>
          <w:spacing w:val="-4"/>
          <w:w w:val="105"/>
          <w:sz w:val="21"/>
        </w:rPr>
        <w:t xml:space="preserve"> </w:t>
      </w:r>
      <w:r>
        <w:rPr>
          <w:w w:val="105"/>
          <w:sz w:val="21"/>
        </w:rPr>
        <w:t>the</w:t>
      </w:r>
      <w:r>
        <w:rPr>
          <w:spacing w:val="-4"/>
          <w:w w:val="105"/>
          <w:sz w:val="21"/>
        </w:rPr>
        <w:t xml:space="preserve"> </w:t>
      </w:r>
      <w:r>
        <w:rPr>
          <w:w w:val="105"/>
          <w:sz w:val="21"/>
        </w:rPr>
        <w:t>implementation</w:t>
      </w:r>
      <w:r>
        <w:rPr>
          <w:spacing w:val="-4"/>
          <w:w w:val="105"/>
          <w:sz w:val="21"/>
        </w:rPr>
        <w:t xml:space="preserve"> </w:t>
      </w:r>
      <w:r>
        <w:rPr>
          <w:w w:val="105"/>
          <w:sz w:val="21"/>
        </w:rPr>
        <w:t>and monitoring of its risk management strategies, the effect of those strategies and any changes made to</w:t>
      </w:r>
      <w:r>
        <w:rPr>
          <w:spacing w:val="2"/>
          <w:w w:val="105"/>
          <w:sz w:val="21"/>
        </w:rPr>
        <w:t xml:space="preserve"> </w:t>
      </w:r>
      <w:r>
        <w:rPr>
          <w:w w:val="105"/>
          <w:sz w:val="21"/>
        </w:rPr>
        <w:t>them.</w:t>
      </w:r>
    </w:p>
    <w:p w:rsidR="00042678" w:rsidRDefault="00042678" w:rsidP="00042678">
      <w:pPr>
        <w:spacing w:line="252" w:lineRule="auto"/>
        <w:rPr>
          <w:sz w:val="21"/>
        </w:rPr>
        <w:sectPr w:rsidR="00042678" w:rsidSect="00CE3224">
          <w:footerReference w:type="default" r:id="rId7"/>
          <w:pgSz w:w="11900" w:h="16840"/>
          <w:pgMar w:top="1600" w:right="1560" w:bottom="600" w:left="1680" w:header="720" w:footer="402" w:gutter="0"/>
          <w:pgNumType w:start="1"/>
          <w:cols w:space="720"/>
        </w:sectPr>
      </w:pPr>
    </w:p>
    <w:p w:rsidR="00042678" w:rsidRDefault="00042678" w:rsidP="00042678">
      <w:pPr>
        <w:pStyle w:val="Heading1"/>
        <w:spacing w:before="78"/>
      </w:pPr>
      <w:r>
        <w:rPr>
          <w:w w:val="105"/>
        </w:rPr>
        <w:lastRenderedPageBreak/>
        <w:t>Insurance</w:t>
      </w:r>
    </w:p>
    <w:p w:rsidR="00042678" w:rsidRDefault="00042678" w:rsidP="00042678">
      <w:pPr>
        <w:pStyle w:val="BodyText"/>
        <w:rPr>
          <w:b/>
          <w:sz w:val="22"/>
        </w:rPr>
      </w:pPr>
    </w:p>
    <w:p w:rsidR="00042678" w:rsidRDefault="00042678" w:rsidP="00042678">
      <w:pPr>
        <w:pStyle w:val="ListParagraph"/>
        <w:numPr>
          <w:ilvl w:val="0"/>
          <w:numId w:val="5"/>
        </w:numPr>
        <w:tabs>
          <w:tab w:val="left" w:pos="847"/>
        </w:tabs>
        <w:spacing w:line="252" w:lineRule="auto"/>
        <w:ind w:right="243"/>
        <w:rPr>
          <w:sz w:val="21"/>
        </w:rPr>
      </w:pPr>
      <w:r>
        <w:rPr>
          <w:w w:val="105"/>
          <w:sz w:val="21"/>
        </w:rPr>
        <w:t>Participating Members are required to maintain current professional</w:t>
      </w:r>
      <w:r>
        <w:rPr>
          <w:spacing w:val="-39"/>
          <w:w w:val="105"/>
          <w:sz w:val="21"/>
        </w:rPr>
        <w:t xml:space="preserve"> </w:t>
      </w:r>
      <w:r>
        <w:rPr>
          <w:w w:val="105"/>
          <w:sz w:val="21"/>
        </w:rPr>
        <w:t xml:space="preserve">indemnity insurance with an approved insurer, as required of legal practitioners who hold an Australian </w:t>
      </w:r>
      <w:proofErr w:type="spellStart"/>
      <w:r>
        <w:rPr>
          <w:w w:val="105"/>
          <w:sz w:val="21"/>
        </w:rPr>
        <w:t>practising</w:t>
      </w:r>
      <w:proofErr w:type="spellEnd"/>
      <w:r>
        <w:rPr>
          <w:w w:val="105"/>
          <w:sz w:val="21"/>
        </w:rPr>
        <w:t xml:space="preserve"> certificate issued by the Law Society Council under the </w:t>
      </w:r>
      <w:r>
        <w:rPr>
          <w:i/>
          <w:w w:val="105"/>
          <w:sz w:val="21"/>
        </w:rPr>
        <w:t xml:space="preserve">legal profession legislation </w:t>
      </w:r>
      <w:r w:rsidRPr="002354A9">
        <w:rPr>
          <w:w w:val="105"/>
          <w:sz w:val="21"/>
        </w:rPr>
        <w:t>(</w:t>
      </w:r>
      <w:r>
        <w:rPr>
          <w:w w:val="105"/>
          <w:sz w:val="21"/>
        </w:rPr>
        <w:t xml:space="preserve">as defined in s.3A of the </w:t>
      </w:r>
      <w:r>
        <w:rPr>
          <w:i/>
          <w:w w:val="105"/>
          <w:sz w:val="21"/>
        </w:rPr>
        <w:t>Legal Profession Uniform Law Application Act 2014</w:t>
      </w:r>
      <w:r>
        <w:rPr>
          <w:w w:val="105"/>
          <w:sz w:val="21"/>
        </w:rPr>
        <w:t xml:space="preserve"> (NSW)</w:t>
      </w:r>
      <w:r>
        <w:rPr>
          <w:i/>
          <w:w w:val="105"/>
          <w:sz w:val="21"/>
        </w:rPr>
        <w:t xml:space="preserve"> </w:t>
      </w:r>
      <w:r>
        <w:rPr>
          <w:w w:val="105"/>
          <w:sz w:val="21"/>
        </w:rPr>
        <w:t>(“the Application</w:t>
      </w:r>
      <w:r>
        <w:rPr>
          <w:spacing w:val="-5"/>
          <w:w w:val="105"/>
          <w:sz w:val="21"/>
        </w:rPr>
        <w:t xml:space="preserve"> </w:t>
      </w:r>
      <w:r>
        <w:rPr>
          <w:w w:val="105"/>
          <w:sz w:val="21"/>
        </w:rPr>
        <w:t>Act”)).</w:t>
      </w:r>
    </w:p>
    <w:p w:rsidR="00042678" w:rsidRDefault="00042678" w:rsidP="00042678">
      <w:pPr>
        <w:pStyle w:val="BodyText"/>
        <w:spacing w:before="7"/>
      </w:pPr>
    </w:p>
    <w:p w:rsidR="00042678" w:rsidRDefault="00042678" w:rsidP="00042678">
      <w:pPr>
        <w:pStyle w:val="Heading1"/>
        <w:spacing w:before="1"/>
      </w:pPr>
      <w:r>
        <w:rPr>
          <w:w w:val="105"/>
        </w:rPr>
        <w:t>Complaints and Discipline</w:t>
      </w:r>
    </w:p>
    <w:p w:rsidR="00042678" w:rsidRDefault="00042678" w:rsidP="00042678">
      <w:pPr>
        <w:pStyle w:val="BodyText"/>
        <w:spacing w:before="11"/>
        <w:rPr>
          <w:b/>
        </w:rPr>
      </w:pPr>
    </w:p>
    <w:p w:rsidR="00042678" w:rsidRDefault="00042678" w:rsidP="00042678">
      <w:pPr>
        <w:pStyle w:val="ListParagraph"/>
        <w:numPr>
          <w:ilvl w:val="0"/>
          <w:numId w:val="5"/>
        </w:numPr>
        <w:tabs>
          <w:tab w:val="left" w:pos="847"/>
        </w:tabs>
        <w:spacing w:line="249" w:lineRule="auto"/>
        <w:ind w:right="241"/>
        <w:rPr>
          <w:sz w:val="21"/>
        </w:rPr>
      </w:pPr>
      <w:r>
        <w:rPr>
          <w:w w:val="105"/>
          <w:sz w:val="21"/>
        </w:rPr>
        <w:t xml:space="preserve">Participating Members are subject to a complaints and discipline process regime operating under the </w:t>
      </w:r>
      <w:r>
        <w:rPr>
          <w:i/>
          <w:w w:val="105"/>
          <w:sz w:val="21"/>
        </w:rPr>
        <w:t xml:space="preserve">legal profession legislation. </w:t>
      </w:r>
      <w:r>
        <w:rPr>
          <w:w w:val="105"/>
          <w:sz w:val="21"/>
        </w:rPr>
        <w:t>All Participating Members must comply with the provisions of the Memorandum and Articles</w:t>
      </w:r>
      <w:r>
        <w:rPr>
          <w:spacing w:val="-42"/>
          <w:w w:val="105"/>
          <w:sz w:val="21"/>
        </w:rPr>
        <w:t xml:space="preserve"> </w:t>
      </w:r>
      <w:r>
        <w:rPr>
          <w:w w:val="105"/>
          <w:sz w:val="21"/>
        </w:rPr>
        <w:t xml:space="preserve">of Association of the Law Society (“the Constitution”) and the </w:t>
      </w:r>
      <w:proofErr w:type="spellStart"/>
      <w:r>
        <w:rPr>
          <w:i/>
          <w:w w:val="105"/>
          <w:sz w:val="21"/>
        </w:rPr>
        <w:t>Iegal</w:t>
      </w:r>
      <w:proofErr w:type="spellEnd"/>
      <w:r>
        <w:rPr>
          <w:i/>
          <w:w w:val="105"/>
          <w:sz w:val="21"/>
        </w:rPr>
        <w:t xml:space="preserve"> profession legislation</w:t>
      </w:r>
      <w:r>
        <w:rPr>
          <w:w w:val="105"/>
          <w:sz w:val="21"/>
        </w:rPr>
        <w:t>.</w:t>
      </w:r>
    </w:p>
    <w:p w:rsidR="00042678" w:rsidRDefault="00042678" w:rsidP="00042678">
      <w:pPr>
        <w:pStyle w:val="BodyText"/>
        <w:spacing w:before="5"/>
      </w:pPr>
    </w:p>
    <w:p w:rsidR="00042678" w:rsidRDefault="00042678" w:rsidP="00042678">
      <w:pPr>
        <w:pStyle w:val="ListParagraph"/>
        <w:numPr>
          <w:ilvl w:val="0"/>
          <w:numId w:val="5"/>
        </w:numPr>
        <w:tabs>
          <w:tab w:val="left" w:pos="841"/>
        </w:tabs>
        <w:spacing w:line="252" w:lineRule="auto"/>
        <w:ind w:left="840" w:right="604" w:hanging="357"/>
        <w:rPr>
          <w:sz w:val="21"/>
        </w:rPr>
      </w:pPr>
      <w:r>
        <w:rPr>
          <w:w w:val="105"/>
          <w:sz w:val="21"/>
        </w:rPr>
        <w:t>Responsibility for the administration of the Scheme and ensuring that it complies with the requirements of the Act and of the Council rests with</w:t>
      </w:r>
      <w:r>
        <w:rPr>
          <w:spacing w:val="-39"/>
          <w:w w:val="105"/>
          <w:sz w:val="21"/>
        </w:rPr>
        <w:t xml:space="preserve"> </w:t>
      </w:r>
      <w:r>
        <w:rPr>
          <w:w w:val="105"/>
          <w:sz w:val="21"/>
        </w:rPr>
        <w:t>the Law Society</w:t>
      </w:r>
      <w:r>
        <w:rPr>
          <w:spacing w:val="2"/>
          <w:w w:val="105"/>
          <w:sz w:val="21"/>
        </w:rPr>
        <w:t xml:space="preserve"> </w:t>
      </w:r>
      <w:r>
        <w:rPr>
          <w:w w:val="105"/>
          <w:sz w:val="21"/>
        </w:rPr>
        <w:t>Council.</w:t>
      </w:r>
    </w:p>
    <w:p w:rsidR="00042678" w:rsidRDefault="00042678" w:rsidP="00042678">
      <w:pPr>
        <w:pStyle w:val="BodyText"/>
        <w:spacing w:before="8"/>
        <w:rPr>
          <w:sz w:val="20"/>
        </w:rPr>
      </w:pPr>
    </w:p>
    <w:p w:rsidR="00042678" w:rsidRDefault="00042678" w:rsidP="00042678">
      <w:pPr>
        <w:pStyle w:val="Heading1"/>
      </w:pPr>
      <w:r>
        <w:rPr>
          <w:w w:val="105"/>
        </w:rPr>
        <w:t>Commencement and Duration</w:t>
      </w:r>
    </w:p>
    <w:p w:rsidR="00042678" w:rsidRDefault="00042678" w:rsidP="00042678">
      <w:pPr>
        <w:pStyle w:val="BodyText"/>
        <w:rPr>
          <w:b/>
          <w:sz w:val="22"/>
        </w:rPr>
      </w:pPr>
    </w:p>
    <w:p w:rsidR="00042678" w:rsidRDefault="00F36044" w:rsidP="00042678">
      <w:pPr>
        <w:pStyle w:val="ListParagraph"/>
        <w:numPr>
          <w:ilvl w:val="0"/>
          <w:numId w:val="5"/>
        </w:numPr>
        <w:tabs>
          <w:tab w:val="left" w:pos="847"/>
        </w:tabs>
        <w:spacing w:line="252" w:lineRule="auto"/>
        <w:ind w:right="328"/>
        <w:rPr>
          <w:sz w:val="21"/>
        </w:rPr>
      </w:pPr>
      <w:r>
        <w:rPr>
          <w:w w:val="105"/>
          <w:sz w:val="21"/>
        </w:rPr>
        <w:t xml:space="preserve">The Scheme </w:t>
      </w:r>
      <w:r w:rsidR="00042678">
        <w:rPr>
          <w:w w:val="105"/>
          <w:sz w:val="21"/>
        </w:rPr>
        <w:t>commence</w:t>
      </w:r>
      <w:r>
        <w:rPr>
          <w:w w:val="105"/>
          <w:sz w:val="21"/>
        </w:rPr>
        <w:t>d</w:t>
      </w:r>
      <w:r w:rsidR="00042678">
        <w:rPr>
          <w:w w:val="105"/>
          <w:sz w:val="21"/>
        </w:rPr>
        <w:t xml:space="preserve"> in New South Wales on 22</w:t>
      </w:r>
      <w:r w:rsidR="00042678">
        <w:rPr>
          <w:spacing w:val="-41"/>
          <w:w w:val="105"/>
          <w:sz w:val="21"/>
        </w:rPr>
        <w:t xml:space="preserve">  </w:t>
      </w:r>
      <w:r w:rsidR="00042678">
        <w:rPr>
          <w:w w:val="105"/>
          <w:sz w:val="21"/>
        </w:rPr>
        <w:t>November 2018.</w:t>
      </w:r>
    </w:p>
    <w:p w:rsidR="00042678" w:rsidRDefault="00042678" w:rsidP="00042678">
      <w:pPr>
        <w:pStyle w:val="BodyText"/>
        <w:spacing w:before="10"/>
      </w:pPr>
    </w:p>
    <w:p w:rsidR="00042678" w:rsidRDefault="00042678" w:rsidP="00042678">
      <w:pPr>
        <w:pStyle w:val="ListParagraph"/>
        <w:numPr>
          <w:ilvl w:val="0"/>
          <w:numId w:val="5"/>
        </w:numPr>
        <w:tabs>
          <w:tab w:val="left" w:pos="847"/>
        </w:tabs>
        <w:spacing w:line="252" w:lineRule="auto"/>
        <w:ind w:right="427"/>
        <w:rPr>
          <w:sz w:val="21"/>
        </w:rPr>
      </w:pPr>
      <w:r>
        <w:rPr>
          <w:w w:val="105"/>
          <w:sz w:val="21"/>
        </w:rPr>
        <w:t>The Scheme is intended to remain in force for a period of five (5) years</w:t>
      </w:r>
      <w:r>
        <w:rPr>
          <w:spacing w:val="-37"/>
          <w:w w:val="105"/>
          <w:sz w:val="21"/>
        </w:rPr>
        <w:t xml:space="preserve"> </w:t>
      </w:r>
      <w:r>
        <w:rPr>
          <w:w w:val="105"/>
          <w:sz w:val="21"/>
        </w:rPr>
        <w:t>from its commencement, subject to s.32 of the</w:t>
      </w:r>
      <w:r>
        <w:rPr>
          <w:spacing w:val="3"/>
          <w:w w:val="105"/>
          <w:sz w:val="21"/>
        </w:rPr>
        <w:t xml:space="preserve"> </w:t>
      </w:r>
      <w:r>
        <w:rPr>
          <w:w w:val="105"/>
          <w:sz w:val="21"/>
        </w:rPr>
        <w:t>Act.</w:t>
      </w:r>
    </w:p>
    <w:p w:rsidR="00042678" w:rsidRDefault="00042678" w:rsidP="00042678">
      <w:pPr>
        <w:pStyle w:val="BodyText"/>
        <w:spacing w:before="7"/>
        <w:rPr>
          <w:sz w:val="20"/>
        </w:rPr>
      </w:pPr>
    </w:p>
    <w:p w:rsidR="00042678" w:rsidRDefault="00042678" w:rsidP="00042678">
      <w:pPr>
        <w:pStyle w:val="Heading1"/>
      </w:pPr>
      <w:r>
        <w:rPr>
          <w:w w:val="105"/>
        </w:rPr>
        <w:t>Jurisdiction</w:t>
      </w:r>
    </w:p>
    <w:p w:rsidR="00042678" w:rsidRDefault="00042678" w:rsidP="00042678">
      <w:pPr>
        <w:pStyle w:val="BodyText"/>
        <w:spacing w:before="11"/>
        <w:rPr>
          <w:b/>
        </w:rPr>
      </w:pPr>
    </w:p>
    <w:p w:rsidR="00042678" w:rsidRDefault="00042678" w:rsidP="00042678">
      <w:pPr>
        <w:pStyle w:val="ListParagraph"/>
        <w:numPr>
          <w:ilvl w:val="0"/>
          <w:numId w:val="5"/>
        </w:numPr>
        <w:tabs>
          <w:tab w:val="left" w:pos="847"/>
        </w:tabs>
        <w:rPr>
          <w:sz w:val="21"/>
        </w:rPr>
      </w:pPr>
      <w:r>
        <w:rPr>
          <w:w w:val="105"/>
          <w:sz w:val="21"/>
        </w:rPr>
        <w:t>The Scheme is intended to apply in all jurisdictions within</w:t>
      </w:r>
      <w:r>
        <w:rPr>
          <w:spacing w:val="-8"/>
          <w:w w:val="105"/>
          <w:sz w:val="21"/>
        </w:rPr>
        <w:t xml:space="preserve"> </w:t>
      </w:r>
      <w:r>
        <w:rPr>
          <w:w w:val="105"/>
          <w:sz w:val="21"/>
        </w:rPr>
        <w:t>Australia.</w:t>
      </w:r>
    </w:p>
    <w:p w:rsidR="00042678" w:rsidRDefault="00042678" w:rsidP="00042678">
      <w:pPr>
        <w:pStyle w:val="BodyText"/>
        <w:rPr>
          <w:sz w:val="24"/>
        </w:rPr>
      </w:pPr>
    </w:p>
    <w:p w:rsidR="00042678" w:rsidRDefault="00042678" w:rsidP="00042678">
      <w:pPr>
        <w:pStyle w:val="BodyText"/>
        <w:rPr>
          <w:sz w:val="24"/>
        </w:rPr>
      </w:pPr>
    </w:p>
    <w:p w:rsidR="00042678" w:rsidRDefault="00042678" w:rsidP="00042678">
      <w:pPr>
        <w:pStyle w:val="BodyText"/>
        <w:spacing w:before="1"/>
        <w:rPr>
          <w:sz w:val="19"/>
        </w:rPr>
      </w:pPr>
    </w:p>
    <w:p w:rsidR="00042678" w:rsidRDefault="00042678" w:rsidP="00042678">
      <w:pPr>
        <w:pStyle w:val="Heading1"/>
        <w:spacing w:line="252" w:lineRule="auto"/>
        <w:ind w:left="3812" w:hanging="3478"/>
      </w:pPr>
      <w:r>
        <w:rPr>
          <w:w w:val="105"/>
        </w:rPr>
        <w:t>THE LAW SOCIETY OF NEW SOUTH WALES PROFESSIONAL STANDARDS SCHEME</w:t>
      </w:r>
    </w:p>
    <w:p w:rsidR="00042678" w:rsidRDefault="00042678" w:rsidP="00042678">
      <w:pPr>
        <w:pStyle w:val="BodyText"/>
        <w:spacing w:before="10"/>
        <w:rPr>
          <w:b/>
        </w:rPr>
      </w:pPr>
    </w:p>
    <w:p w:rsidR="00042678" w:rsidRDefault="00042678" w:rsidP="00042678">
      <w:pPr>
        <w:pStyle w:val="ListParagraph"/>
        <w:numPr>
          <w:ilvl w:val="0"/>
          <w:numId w:val="4"/>
        </w:numPr>
        <w:tabs>
          <w:tab w:val="left" w:pos="372"/>
        </w:tabs>
        <w:rPr>
          <w:b/>
          <w:sz w:val="21"/>
        </w:rPr>
      </w:pPr>
      <w:r>
        <w:rPr>
          <w:b/>
          <w:w w:val="105"/>
          <w:sz w:val="21"/>
        </w:rPr>
        <w:t>Occupational</w:t>
      </w:r>
      <w:r>
        <w:rPr>
          <w:b/>
          <w:spacing w:val="-1"/>
          <w:w w:val="105"/>
          <w:sz w:val="21"/>
        </w:rPr>
        <w:t xml:space="preserve"> </w:t>
      </w:r>
      <w:r>
        <w:rPr>
          <w:b/>
          <w:w w:val="105"/>
          <w:sz w:val="21"/>
        </w:rPr>
        <w:t>Association</w:t>
      </w:r>
    </w:p>
    <w:p w:rsidR="00042678" w:rsidRDefault="00042678" w:rsidP="00042678">
      <w:pPr>
        <w:pStyle w:val="BodyText"/>
        <w:spacing w:before="2"/>
        <w:rPr>
          <w:b/>
          <w:sz w:val="23"/>
        </w:rPr>
      </w:pPr>
    </w:p>
    <w:p w:rsidR="00042678" w:rsidRDefault="00042678" w:rsidP="00042678">
      <w:pPr>
        <w:pStyle w:val="ListParagraph"/>
        <w:numPr>
          <w:ilvl w:val="1"/>
          <w:numId w:val="4"/>
        </w:numPr>
        <w:tabs>
          <w:tab w:val="left" w:pos="487"/>
        </w:tabs>
        <w:spacing w:before="1" w:line="247" w:lineRule="auto"/>
        <w:ind w:right="625"/>
        <w:rPr>
          <w:sz w:val="21"/>
        </w:rPr>
      </w:pPr>
      <w:r>
        <w:rPr>
          <w:w w:val="105"/>
          <w:sz w:val="21"/>
        </w:rPr>
        <w:t>This Scheme is a scheme under the Act prepared by and for the Law</w:t>
      </w:r>
      <w:r>
        <w:rPr>
          <w:spacing w:val="-43"/>
          <w:w w:val="105"/>
          <w:sz w:val="21"/>
        </w:rPr>
        <w:t xml:space="preserve"> </w:t>
      </w:r>
      <w:r>
        <w:rPr>
          <w:w w:val="105"/>
          <w:sz w:val="21"/>
        </w:rPr>
        <w:t>Society, whose business address is 170 Phillip Street, Sydney New South</w:t>
      </w:r>
      <w:r>
        <w:rPr>
          <w:spacing w:val="-20"/>
          <w:w w:val="105"/>
          <w:sz w:val="21"/>
        </w:rPr>
        <w:t xml:space="preserve"> </w:t>
      </w:r>
      <w:r>
        <w:rPr>
          <w:w w:val="105"/>
          <w:sz w:val="21"/>
        </w:rPr>
        <w:t>Wales.</w:t>
      </w:r>
    </w:p>
    <w:p w:rsidR="00042678" w:rsidRDefault="00042678" w:rsidP="00042678">
      <w:pPr>
        <w:pStyle w:val="BodyText"/>
        <w:spacing w:before="7"/>
        <w:rPr>
          <w:sz w:val="22"/>
        </w:rPr>
      </w:pPr>
    </w:p>
    <w:p w:rsidR="00042678" w:rsidRDefault="00042678" w:rsidP="00042678">
      <w:pPr>
        <w:pStyle w:val="ListParagraph"/>
        <w:numPr>
          <w:ilvl w:val="1"/>
          <w:numId w:val="4"/>
        </w:numPr>
        <w:tabs>
          <w:tab w:val="left" w:pos="676"/>
          <w:tab w:val="left" w:pos="677"/>
        </w:tabs>
        <w:spacing w:before="1"/>
        <w:ind w:left="676" w:hanging="550"/>
        <w:rPr>
          <w:sz w:val="21"/>
        </w:rPr>
      </w:pPr>
      <w:r>
        <w:rPr>
          <w:w w:val="105"/>
          <w:sz w:val="21"/>
        </w:rPr>
        <w:t>Relevant definitions for the purpose of this Scheme are as</w:t>
      </w:r>
      <w:r>
        <w:rPr>
          <w:spacing w:val="-6"/>
          <w:w w:val="105"/>
          <w:sz w:val="21"/>
        </w:rPr>
        <w:t xml:space="preserve"> </w:t>
      </w:r>
      <w:r>
        <w:rPr>
          <w:w w:val="105"/>
          <w:sz w:val="21"/>
        </w:rPr>
        <w:t>follows:</w:t>
      </w:r>
    </w:p>
    <w:p w:rsidR="00042678" w:rsidRDefault="00042678" w:rsidP="00042678">
      <w:pPr>
        <w:pStyle w:val="BodyText"/>
        <w:spacing w:before="9"/>
        <w:rPr>
          <w:sz w:val="22"/>
        </w:rPr>
      </w:pPr>
    </w:p>
    <w:p w:rsidR="00042678" w:rsidRDefault="00042678" w:rsidP="00042678">
      <w:pPr>
        <w:pStyle w:val="BodyText"/>
        <w:spacing w:line="252" w:lineRule="auto"/>
        <w:ind w:left="676" w:right="282"/>
      </w:pPr>
      <w:r>
        <w:rPr>
          <w:w w:val="105"/>
        </w:rPr>
        <w:t>“Australian legal practitioner” has the same meaning as it has in s.6 of the Legal Profession Uniform Law;</w:t>
      </w:r>
    </w:p>
    <w:p w:rsidR="00042678" w:rsidRDefault="00042678" w:rsidP="00042678">
      <w:pPr>
        <w:pStyle w:val="BodyText"/>
        <w:spacing w:before="10"/>
      </w:pPr>
    </w:p>
    <w:p w:rsidR="00042678" w:rsidRDefault="00042678" w:rsidP="00042678">
      <w:pPr>
        <w:pStyle w:val="BodyText"/>
        <w:spacing w:line="252" w:lineRule="auto"/>
        <w:ind w:left="676"/>
      </w:pPr>
      <w:r>
        <w:rPr>
          <w:w w:val="105"/>
        </w:rPr>
        <w:t xml:space="preserve">“Australian </w:t>
      </w:r>
      <w:proofErr w:type="spellStart"/>
      <w:r>
        <w:rPr>
          <w:w w:val="105"/>
        </w:rPr>
        <w:t>practising</w:t>
      </w:r>
      <w:proofErr w:type="spellEnd"/>
      <w:r>
        <w:rPr>
          <w:w w:val="105"/>
        </w:rPr>
        <w:t xml:space="preserve"> certificate” has the same meaning as it has in s.6 of the Legal Profession Uniform Law;</w:t>
      </w:r>
    </w:p>
    <w:p w:rsidR="00042678" w:rsidRDefault="00042678" w:rsidP="00042678">
      <w:pPr>
        <w:pStyle w:val="BodyText"/>
        <w:spacing w:before="10"/>
      </w:pPr>
    </w:p>
    <w:p w:rsidR="00042678" w:rsidRDefault="00042678" w:rsidP="00042678">
      <w:pPr>
        <w:pStyle w:val="BodyText"/>
        <w:spacing w:line="252" w:lineRule="auto"/>
        <w:ind w:left="676" w:right="282"/>
        <w:rPr>
          <w:w w:val="105"/>
        </w:rPr>
      </w:pPr>
      <w:r>
        <w:rPr>
          <w:w w:val="105"/>
        </w:rPr>
        <w:t>“Corporate Legal Practitioner” has the same meaning as it has in s.6 of the Legal Profession Uniform Law and who has their principal place of practice in New South Wales;</w:t>
      </w:r>
    </w:p>
    <w:p w:rsidR="00042678" w:rsidRDefault="00042678" w:rsidP="00042678">
      <w:pPr>
        <w:pStyle w:val="BodyText"/>
        <w:spacing w:line="252" w:lineRule="auto"/>
        <w:ind w:left="676" w:right="282"/>
        <w:rPr>
          <w:w w:val="105"/>
        </w:rPr>
      </w:pPr>
    </w:p>
    <w:p w:rsidR="00042678" w:rsidRDefault="00042678" w:rsidP="00042678">
      <w:pPr>
        <w:pStyle w:val="BodyText"/>
        <w:spacing w:line="252" w:lineRule="auto"/>
        <w:ind w:left="676" w:right="282"/>
      </w:pPr>
      <w:r>
        <w:t>“Corresponding laws” means</w:t>
      </w:r>
      <w:r w:rsidRPr="00AE4FAC">
        <w:rPr>
          <w:w w:val="105"/>
        </w:rPr>
        <w:t xml:space="preserve"> </w:t>
      </w:r>
      <w:r>
        <w:rPr>
          <w:w w:val="105"/>
        </w:rPr>
        <w:t xml:space="preserve">the </w:t>
      </w:r>
      <w:r w:rsidRPr="00AE4FAC">
        <w:rPr>
          <w:i/>
          <w:w w:val="105"/>
        </w:rPr>
        <w:t>Professional Standards Act 2003</w:t>
      </w:r>
      <w:r>
        <w:rPr>
          <w:w w:val="105"/>
        </w:rPr>
        <w:t xml:space="preserve"> (Vic), the </w:t>
      </w:r>
      <w:r w:rsidRPr="00AE4FAC">
        <w:rPr>
          <w:i/>
          <w:w w:val="105"/>
        </w:rPr>
        <w:t>Professional Standards Act 2004</w:t>
      </w:r>
      <w:r>
        <w:rPr>
          <w:w w:val="105"/>
        </w:rPr>
        <w:t xml:space="preserve"> (</w:t>
      </w:r>
      <w:proofErr w:type="spellStart"/>
      <w:r>
        <w:rPr>
          <w:w w:val="105"/>
        </w:rPr>
        <w:t>Qld</w:t>
      </w:r>
      <w:proofErr w:type="spellEnd"/>
      <w:r>
        <w:rPr>
          <w:w w:val="105"/>
        </w:rPr>
        <w:t xml:space="preserve">), the </w:t>
      </w:r>
      <w:r w:rsidRPr="00AE4FAC">
        <w:rPr>
          <w:i/>
          <w:w w:val="105"/>
        </w:rPr>
        <w:t>Professional Standards Act 2004</w:t>
      </w:r>
      <w:r>
        <w:rPr>
          <w:w w:val="105"/>
        </w:rPr>
        <w:t xml:space="preserve"> (SA), the </w:t>
      </w:r>
      <w:r w:rsidRPr="00AE4FAC">
        <w:rPr>
          <w:i/>
          <w:w w:val="105"/>
        </w:rPr>
        <w:t>Professional Standards Act 1997</w:t>
      </w:r>
      <w:r>
        <w:rPr>
          <w:w w:val="105"/>
        </w:rPr>
        <w:t xml:space="preserve"> (WA), the </w:t>
      </w:r>
      <w:r w:rsidRPr="00AE4FAC">
        <w:rPr>
          <w:i/>
          <w:w w:val="105"/>
        </w:rPr>
        <w:t>Professional Standards Act 2005</w:t>
      </w:r>
      <w:r>
        <w:rPr>
          <w:w w:val="105"/>
        </w:rPr>
        <w:t xml:space="preserve"> (</w:t>
      </w:r>
      <w:proofErr w:type="spellStart"/>
      <w:r>
        <w:rPr>
          <w:w w:val="105"/>
        </w:rPr>
        <w:t>Tas</w:t>
      </w:r>
      <w:proofErr w:type="spellEnd"/>
      <w:r>
        <w:rPr>
          <w:w w:val="105"/>
        </w:rPr>
        <w:t xml:space="preserve">), the </w:t>
      </w:r>
      <w:r w:rsidRPr="00AE4FAC">
        <w:rPr>
          <w:i/>
          <w:w w:val="105"/>
        </w:rPr>
        <w:t xml:space="preserve">Professional Standards Act </w:t>
      </w:r>
      <w:r>
        <w:rPr>
          <w:w w:val="105"/>
        </w:rPr>
        <w:t xml:space="preserve">(NT), and the </w:t>
      </w:r>
      <w:r w:rsidRPr="00AE4FAC">
        <w:rPr>
          <w:i/>
          <w:w w:val="105"/>
        </w:rPr>
        <w:t>Civil Law (Wrongs) Act 2002</w:t>
      </w:r>
      <w:r>
        <w:rPr>
          <w:w w:val="105"/>
        </w:rPr>
        <w:t xml:space="preserve"> (ACT), as applicable;</w:t>
      </w:r>
    </w:p>
    <w:p w:rsidR="00042678" w:rsidRDefault="00042678" w:rsidP="00042678">
      <w:pPr>
        <w:pStyle w:val="BodyText"/>
        <w:spacing w:before="10"/>
      </w:pPr>
    </w:p>
    <w:p w:rsidR="00042678" w:rsidRDefault="00042678" w:rsidP="00042678">
      <w:pPr>
        <w:pStyle w:val="BodyText"/>
        <w:ind w:left="676"/>
        <w:rPr>
          <w:w w:val="105"/>
        </w:rPr>
      </w:pPr>
      <w:r>
        <w:rPr>
          <w:w w:val="105"/>
        </w:rPr>
        <w:t>“Court” has the same meaning as it has in the Act;</w:t>
      </w:r>
    </w:p>
    <w:p w:rsidR="00042678" w:rsidRDefault="00042678" w:rsidP="00042678">
      <w:pPr>
        <w:pStyle w:val="BodyText"/>
        <w:ind w:left="676"/>
        <w:rPr>
          <w:w w:val="105"/>
        </w:rPr>
      </w:pPr>
    </w:p>
    <w:p w:rsidR="00042678" w:rsidRDefault="00042678" w:rsidP="00042678">
      <w:pPr>
        <w:pStyle w:val="BodyText"/>
        <w:ind w:left="676"/>
      </w:pPr>
      <w:r>
        <w:rPr>
          <w:w w:val="105"/>
        </w:rPr>
        <w:t>“damages” has the same meaning as it has in the Act;</w:t>
      </w:r>
    </w:p>
    <w:p w:rsidR="00042678" w:rsidRDefault="00042678" w:rsidP="00042678">
      <w:pPr>
        <w:pStyle w:val="BodyText"/>
        <w:spacing w:before="9"/>
        <w:rPr>
          <w:sz w:val="22"/>
        </w:rPr>
      </w:pPr>
    </w:p>
    <w:p w:rsidR="00042678" w:rsidRDefault="00042678" w:rsidP="00042678">
      <w:pPr>
        <w:pStyle w:val="BodyText"/>
        <w:spacing w:line="249" w:lineRule="auto"/>
        <w:ind w:left="676"/>
      </w:pPr>
      <w:r>
        <w:rPr>
          <w:w w:val="105"/>
        </w:rPr>
        <w:t>“Exempted Member” means a Full Member or an Incorporated Legal Practice Member who is, or was, at the Relevant Time, exempted by the Law Society Council from participation in the Scheme pursuant to clause 3.3;</w:t>
      </w:r>
    </w:p>
    <w:p w:rsidR="00042678" w:rsidRDefault="00042678" w:rsidP="00042678">
      <w:pPr>
        <w:pStyle w:val="BodyText"/>
        <w:spacing w:before="1"/>
        <w:rPr>
          <w:sz w:val="22"/>
        </w:rPr>
      </w:pPr>
    </w:p>
    <w:p w:rsidR="00042678" w:rsidRDefault="00042678" w:rsidP="00042678">
      <w:pPr>
        <w:pStyle w:val="BodyText"/>
        <w:spacing w:before="1" w:line="252" w:lineRule="auto"/>
        <w:ind w:left="676"/>
      </w:pPr>
      <w:r>
        <w:rPr>
          <w:w w:val="105"/>
        </w:rPr>
        <w:t>“financial year” means a financial accounting period commencing on 1 July and ending 30 June;</w:t>
      </w:r>
    </w:p>
    <w:p w:rsidR="00042678" w:rsidRDefault="00042678" w:rsidP="00042678">
      <w:pPr>
        <w:pStyle w:val="BodyText"/>
        <w:spacing w:before="1"/>
        <w:rPr>
          <w:sz w:val="22"/>
        </w:rPr>
      </w:pPr>
    </w:p>
    <w:p w:rsidR="00042678" w:rsidRDefault="00042678" w:rsidP="00042678">
      <w:pPr>
        <w:pStyle w:val="BodyText"/>
        <w:spacing w:line="252" w:lineRule="auto"/>
        <w:ind w:left="676"/>
      </w:pPr>
      <w:r>
        <w:rPr>
          <w:w w:val="105"/>
        </w:rPr>
        <w:t>“Full Member” means a person within the category of Solicitor Member and Life Member of The Law Society as contemplated in the Constitution (as amended from time to time);</w:t>
      </w:r>
    </w:p>
    <w:p w:rsidR="00042678" w:rsidRDefault="00042678" w:rsidP="00042678">
      <w:pPr>
        <w:pStyle w:val="BodyText"/>
        <w:spacing w:before="11"/>
      </w:pPr>
    </w:p>
    <w:p w:rsidR="00042678" w:rsidRDefault="00042678" w:rsidP="00042678">
      <w:pPr>
        <w:pStyle w:val="BodyText"/>
        <w:spacing w:line="252" w:lineRule="auto"/>
        <w:ind w:left="676" w:right="475"/>
        <w:jc w:val="both"/>
      </w:pPr>
      <w:r>
        <w:rPr>
          <w:w w:val="105"/>
        </w:rPr>
        <w:t>“Government Legal Practitioner” has the same meaning as it has in s.6 of</w:t>
      </w:r>
      <w:r>
        <w:rPr>
          <w:spacing w:val="-40"/>
          <w:w w:val="105"/>
        </w:rPr>
        <w:t xml:space="preserve"> </w:t>
      </w:r>
      <w:r>
        <w:rPr>
          <w:w w:val="105"/>
        </w:rPr>
        <w:t>the Legal</w:t>
      </w:r>
      <w:r>
        <w:rPr>
          <w:spacing w:val="-5"/>
          <w:w w:val="105"/>
        </w:rPr>
        <w:t xml:space="preserve"> </w:t>
      </w:r>
      <w:r>
        <w:rPr>
          <w:w w:val="105"/>
        </w:rPr>
        <w:t>Profession</w:t>
      </w:r>
      <w:r>
        <w:rPr>
          <w:spacing w:val="-4"/>
          <w:w w:val="105"/>
        </w:rPr>
        <w:t xml:space="preserve"> </w:t>
      </w:r>
      <w:r>
        <w:rPr>
          <w:w w:val="105"/>
        </w:rPr>
        <w:t>Uniform</w:t>
      </w:r>
      <w:r>
        <w:rPr>
          <w:spacing w:val="-2"/>
          <w:w w:val="105"/>
        </w:rPr>
        <w:t xml:space="preserve"> </w:t>
      </w:r>
      <w:r>
        <w:rPr>
          <w:w w:val="105"/>
        </w:rPr>
        <w:t>Law</w:t>
      </w:r>
      <w:r>
        <w:rPr>
          <w:spacing w:val="-3"/>
          <w:w w:val="105"/>
        </w:rPr>
        <w:t xml:space="preserve"> </w:t>
      </w:r>
      <w:r>
        <w:rPr>
          <w:w w:val="105"/>
        </w:rPr>
        <w:t>and</w:t>
      </w:r>
      <w:r>
        <w:rPr>
          <w:spacing w:val="-4"/>
          <w:w w:val="105"/>
        </w:rPr>
        <w:t xml:space="preserve"> </w:t>
      </w:r>
      <w:r>
        <w:rPr>
          <w:w w:val="105"/>
        </w:rPr>
        <w:t>who</w:t>
      </w:r>
      <w:r>
        <w:rPr>
          <w:spacing w:val="-4"/>
          <w:w w:val="105"/>
        </w:rPr>
        <w:t xml:space="preserve"> </w:t>
      </w:r>
      <w:r>
        <w:rPr>
          <w:w w:val="105"/>
        </w:rPr>
        <w:t>has</w:t>
      </w:r>
      <w:r>
        <w:rPr>
          <w:spacing w:val="-4"/>
          <w:w w:val="105"/>
        </w:rPr>
        <w:t xml:space="preserve"> </w:t>
      </w:r>
      <w:r>
        <w:rPr>
          <w:w w:val="105"/>
        </w:rPr>
        <w:t>their</w:t>
      </w:r>
      <w:r>
        <w:rPr>
          <w:spacing w:val="-4"/>
          <w:w w:val="105"/>
        </w:rPr>
        <w:t xml:space="preserve"> </w:t>
      </w:r>
      <w:r>
        <w:rPr>
          <w:w w:val="105"/>
        </w:rPr>
        <w:t>principal</w:t>
      </w:r>
      <w:r>
        <w:rPr>
          <w:spacing w:val="-5"/>
          <w:w w:val="105"/>
        </w:rPr>
        <w:t xml:space="preserve"> </w:t>
      </w:r>
      <w:r>
        <w:rPr>
          <w:w w:val="105"/>
        </w:rPr>
        <w:t>place</w:t>
      </w:r>
      <w:r>
        <w:rPr>
          <w:spacing w:val="-4"/>
          <w:w w:val="105"/>
        </w:rPr>
        <w:t xml:space="preserve"> </w:t>
      </w:r>
      <w:r>
        <w:rPr>
          <w:w w:val="105"/>
        </w:rPr>
        <w:t>of</w:t>
      </w:r>
      <w:r>
        <w:rPr>
          <w:spacing w:val="-5"/>
          <w:w w:val="105"/>
        </w:rPr>
        <w:t xml:space="preserve"> </w:t>
      </w:r>
      <w:r>
        <w:rPr>
          <w:w w:val="105"/>
        </w:rPr>
        <w:t>practice</w:t>
      </w:r>
      <w:r>
        <w:rPr>
          <w:spacing w:val="-4"/>
          <w:w w:val="105"/>
        </w:rPr>
        <w:t xml:space="preserve"> </w:t>
      </w:r>
      <w:r>
        <w:rPr>
          <w:w w:val="105"/>
        </w:rPr>
        <w:t>in New South</w:t>
      </w:r>
      <w:r>
        <w:rPr>
          <w:spacing w:val="1"/>
          <w:w w:val="105"/>
        </w:rPr>
        <w:t xml:space="preserve"> </w:t>
      </w:r>
      <w:r>
        <w:rPr>
          <w:w w:val="105"/>
        </w:rPr>
        <w:t>Wales;</w:t>
      </w:r>
    </w:p>
    <w:p w:rsidR="00042678" w:rsidRDefault="00042678" w:rsidP="00042678">
      <w:pPr>
        <w:pStyle w:val="BodyText"/>
        <w:spacing w:before="11"/>
      </w:pPr>
    </w:p>
    <w:p w:rsidR="00042678" w:rsidRDefault="00042678" w:rsidP="00042678">
      <w:pPr>
        <w:pStyle w:val="BodyText"/>
        <w:spacing w:line="252" w:lineRule="auto"/>
        <w:ind w:left="676" w:right="212"/>
      </w:pPr>
      <w:r>
        <w:rPr>
          <w:w w:val="105"/>
        </w:rPr>
        <w:t>“Incorporated Legal Practice” means an incorporated legal practice as defined in s.6 of the Legal Profession Uniform Law that is a member of the Law Society;</w:t>
      </w:r>
    </w:p>
    <w:p w:rsidR="00042678" w:rsidRDefault="00042678" w:rsidP="00042678">
      <w:pPr>
        <w:pStyle w:val="BodyText"/>
        <w:spacing w:before="9"/>
      </w:pPr>
    </w:p>
    <w:p w:rsidR="00042678" w:rsidRDefault="00042678" w:rsidP="00042678">
      <w:pPr>
        <w:pStyle w:val="BodyText"/>
        <w:spacing w:before="1" w:line="252" w:lineRule="auto"/>
        <w:ind w:left="676" w:right="282"/>
      </w:pPr>
      <w:r>
        <w:rPr>
          <w:w w:val="105"/>
        </w:rPr>
        <w:t>"Incorporated Legal Practice Member" means an Incorporated Legal Practice specified in the Register of the Law Society as an Incorporated Legal Practice Member and in which all legal practitioner directors and employed legal practitioners are individually recorded as Full Members on the Register of the Law Society;</w:t>
      </w:r>
    </w:p>
    <w:p w:rsidR="00042678" w:rsidRDefault="00042678" w:rsidP="00042678">
      <w:pPr>
        <w:pStyle w:val="BodyText"/>
        <w:spacing w:before="7"/>
      </w:pPr>
    </w:p>
    <w:p w:rsidR="00042678" w:rsidRDefault="00042678" w:rsidP="00042678">
      <w:pPr>
        <w:pStyle w:val="BodyText"/>
        <w:ind w:left="676"/>
      </w:pPr>
      <w:r>
        <w:rPr>
          <w:w w:val="105"/>
        </w:rPr>
        <w:t>“Law Practice” has the same meaning as it has in s.6 of the Legal Profession Uniform Law;</w:t>
      </w:r>
    </w:p>
    <w:p w:rsidR="00042678" w:rsidRDefault="00042678" w:rsidP="00042678">
      <w:pPr>
        <w:pStyle w:val="BodyText"/>
        <w:spacing w:before="3"/>
        <w:rPr>
          <w:sz w:val="23"/>
        </w:rPr>
      </w:pPr>
    </w:p>
    <w:p w:rsidR="00042678" w:rsidRDefault="00042678" w:rsidP="00042678">
      <w:pPr>
        <w:pStyle w:val="BodyText"/>
        <w:spacing w:before="1" w:line="252" w:lineRule="auto"/>
        <w:ind w:left="676"/>
      </w:pPr>
      <w:r>
        <w:rPr>
          <w:w w:val="105"/>
        </w:rPr>
        <w:t>“legal profession legislation’’ has the same meaning as set out in s.3A of the Application Act;</w:t>
      </w:r>
    </w:p>
    <w:p w:rsidR="00042678" w:rsidRDefault="00042678" w:rsidP="00042678">
      <w:pPr>
        <w:pStyle w:val="BodyText"/>
        <w:spacing w:before="9"/>
      </w:pPr>
    </w:p>
    <w:p w:rsidR="00042678" w:rsidRDefault="00042678" w:rsidP="00042678">
      <w:pPr>
        <w:spacing w:line="252" w:lineRule="auto"/>
        <w:ind w:left="676"/>
        <w:rPr>
          <w:sz w:val="21"/>
        </w:rPr>
      </w:pPr>
      <w:r>
        <w:rPr>
          <w:w w:val="105"/>
          <w:sz w:val="21"/>
        </w:rPr>
        <w:t xml:space="preserve">"the Legal Profession Uniform Law" means the </w:t>
      </w:r>
      <w:r>
        <w:rPr>
          <w:i/>
          <w:w w:val="105"/>
          <w:sz w:val="21"/>
        </w:rPr>
        <w:t xml:space="preserve">Legal Profession Uniform Law (NSW) (2014) </w:t>
      </w:r>
      <w:r>
        <w:rPr>
          <w:w w:val="105"/>
          <w:sz w:val="21"/>
        </w:rPr>
        <w:t xml:space="preserve">set out in Schedule 1 to the </w:t>
      </w:r>
      <w:r>
        <w:rPr>
          <w:i/>
          <w:w w:val="105"/>
          <w:sz w:val="21"/>
        </w:rPr>
        <w:t xml:space="preserve">Legal Profession Uniform Law Application Act 2014 </w:t>
      </w:r>
      <w:r>
        <w:rPr>
          <w:w w:val="105"/>
          <w:sz w:val="21"/>
        </w:rPr>
        <w:t>of Victoria, which applies as a law of New South Wales pursuant to section 4 of the Application Act as amended;</w:t>
      </w:r>
    </w:p>
    <w:p w:rsidR="00042678" w:rsidRDefault="00042678" w:rsidP="00042678">
      <w:pPr>
        <w:pStyle w:val="BodyText"/>
        <w:spacing w:before="9"/>
      </w:pPr>
    </w:p>
    <w:p w:rsidR="00042678" w:rsidRDefault="00042678" w:rsidP="00042678">
      <w:pPr>
        <w:pStyle w:val="BodyText"/>
        <w:spacing w:line="252" w:lineRule="auto"/>
        <w:ind w:left="676"/>
      </w:pPr>
      <w:r>
        <w:rPr>
          <w:w w:val="105"/>
        </w:rPr>
        <w:t>“legal services” has the same meaning as it has in s.6 of the Legal Profession Uniform Law;</w:t>
      </w:r>
    </w:p>
    <w:p w:rsidR="00042678" w:rsidRDefault="00042678" w:rsidP="00042678">
      <w:pPr>
        <w:pStyle w:val="BodyText"/>
        <w:spacing w:before="3"/>
        <w:rPr>
          <w:sz w:val="19"/>
        </w:rPr>
      </w:pPr>
    </w:p>
    <w:p w:rsidR="00042678" w:rsidRDefault="00042678" w:rsidP="00042678">
      <w:pPr>
        <w:pStyle w:val="BodyText"/>
        <w:spacing w:line="247" w:lineRule="auto"/>
        <w:ind w:left="676" w:right="282"/>
      </w:pPr>
      <w:r>
        <w:rPr>
          <w:w w:val="105"/>
        </w:rPr>
        <w:t>“local legal practitioner” has the same meaning as it has in s.3 of the Application Act;</w:t>
      </w:r>
    </w:p>
    <w:p w:rsidR="00042678" w:rsidRDefault="00042678" w:rsidP="00042678">
      <w:pPr>
        <w:pStyle w:val="BodyText"/>
        <w:spacing w:before="3"/>
        <w:rPr>
          <w:sz w:val="19"/>
        </w:rPr>
      </w:pPr>
    </w:p>
    <w:p w:rsidR="00042678" w:rsidRDefault="00042678" w:rsidP="00042678">
      <w:pPr>
        <w:spacing w:line="139" w:lineRule="exact"/>
        <w:ind w:left="7048"/>
        <w:rPr>
          <w:sz w:val="14"/>
        </w:rPr>
      </w:pPr>
      <w:r>
        <w:rPr>
          <w:w w:val="99"/>
          <w:sz w:val="14"/>
        </w:rPr>
        <w:t>1</w:t>
      </w:r>
    </w:p>
    <w:p w:rsidR="00042678" w:rsidRDefault="00042678" w:rsidP="00042678">
      <w:pPr>
        <w:pStyle w:val="BodyText"/>
        <w:spacing w:line="219" w:lineRule="exact"/>
        <w:ind w:left="676"/>
      </w:pPr>
      <w:r>
        <w:rPr>
          <w:w w:val="105"/>
        </w:rPr>
        <w:t>“Occupational Liability” has the same meaning as it has in the Act;</w:t>
      </w:r>
    </w:p>
    <w:p w:rsidR="00042678" w:rsidRDefault="00042678" w:rsidP="00042678">
      <w:pPr>
        <w:pStyle w:val="BodyText"/>
        <w:spacing w:before="9"/>
        <w:rPr>
          <w:sz w:val="22"/>
        </w:rPr>
      </w:pPr>
    </w:p>
    <w:p w:rsidR="00042678" w:rsidRDefault="00042678" w:rsidP="00042678">
      <w:pPr>
        <w:pStyle w:val="BodyText"/>
        <w:spacing w:line="247" w:lineRule="auto"/>
        <w:ind w:left="676"/>
      </w:pPr>
      <w:r>
        <w:rPr>
          <w:w w:val="105"/>
        </w:rPr>
        <w:t>“Participating Members” means those persons specified in clause 3.1 of the Scheme;</w:t>
      </w:r>
    </w:p>
    <w:p w:rsidR="00042678" w:rsidRDefault="00042678" w:rsidP="00042678">
      <w:pPr>
        <w:pStyle w:val="BodyText"/>
        <w:spacing w:before="8"/>
        <w:rPr>
          <w:sz w:val="22"/>
        </w:rPr>
      </w:pPr>
    </w:p>
    <w:p w:rsidR="00042678" w:rsidRDefault="00042678" w:rsidP="00042678">
      <w:pPr>
        <w:pStyle w:val="BodyText"/>
        <w:ind w:left="676"/>
      </w:pPr>
      <w:r>
        <w:rPr>
          <w:w w:val="105"/>
        </w:rPr>
        <w:t>“person” means an individual or a body corporate;</w:t>
      </w:r>
    </w:p>
    <w:p w:rsidR="00042678" w:rsidRDefault="00042678" w:rsidP="00042678">
      <w:pPr>
        <w:pStyle w:val="BodyText"/>
        <w:spacing w:before="4"/>
        <w:rPr>
          <w:sz w:val="24"/>
        </w:rPr>
      </w:pPr>
      <w:r>
        <w:rPr>
          <w:noProof/>
          <w:lang w:val="en-AU" w:eastAsia="en-AU"/>
        </w:rPr>
        <mc:AlternateContent>
          <mc:Choice Requires="wps">
            <w:drawing>
              <wp:anchor distT="0" distB="0" distL="0" distR="0" simplePos="0" relativeHeight="251659264" behindDoc="0" locked="0" layoutInCell="1" allowOverlap="1" wp14:anchorId="67029A85" wp14:editId="69EED8B9">
                <wp:simplePos x="0" y="0"/>
                <wp:positionH relativeFrom="page">
                  <wp:posOffset>1159510</wp:posOffset>
                </wp:positionH>
                <wp:positionV relativeFrom="paragraph">
                  <wp:posOffset>207645</wp:posOffset>
                </wp:positionV>
                <wp:extent cx="5095875" cy="0"/>
                <wp:effectExtent l="6985" t="9525" r="1206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line">
                          <a:avLst/>
                        </a:prstGeom>
                        <a:noFill/>
                        <a:ln w="9525">
                          <a:solidFill>
                            <a:srgbClr val="5B92C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0E08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3pt,16.35pt" to="49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" strokecolor="#5b92c7">
                <w10:wrap type="topAndBottom" anchorx="page"/>
              </v:line>
            </w:pict>
          </mc:Fallback>
        </mc:AlternateContent>
      </w:r>
    </w:p>
    <w:p w:rsidR="00042678" w:rsidRDefault="00042678" w:rsidP="00042678">
      <w:pPr>
        <w:pStyle w:val="ListParagraph"/>
        <w:numPr>
          <w:ilvl w:val="0"/>
          <w:numId w:val="3"/>
        </w:numPr>
        <w:tabs>
          <w:tab w:val="left" w:pos="277"/>
        </w:tabs>
        <w:spacing w:line="254" w:lineRule="auto"/>
        <w:ind w:right="307" w:firstLine="0"/>
        <w:rPr>
          <w:sz w:val="17"/>
        </w:rPr>
      </w:pPr>
      <w:r>
        <w:rPr>
          <w:w w:val="105"/>
          <w:sz w:val="17"/>
        </w:rPr>
        <w:t>Section 5(1) of the Act provides that the Act does not apply to liability for damages arising from the death of or personal injury to a person; a breach of trust or fraud or dishonesty. Section 5(2) of the Act also provides that the Act does not apply to liability which may be the subject of proceedings under Part 14 of the Real Property Act</w:t>
      </w:r>
      <w:r>
        <w:rPr>
          <w:spacing w:val="6"/>
          <w:w w:val="105"/>
          <w:sz w:val="17"/>
        </w:rPr>
        <w:t xml:space="preserve"> </w:t>
      </w:r>
      <w:r>
        <w:rPr>
          <w:w w:val="105"/>
          <w:sz w:val="17"/>
        </w:rPr>
        <w:t>1900.</w:t>
      </w:r>
    </w:p>
    <w:p w:rsidR="00042678" w:rsidRDefault="00042678" w:rsidP="00042678">
      <w:pPr>
        <w:spacing w:line="254" w:lineRule="auto"/>
        <w:rPr>
          <w:sz w:val="17"/>
        </w:rPr>
        <w:sectPr w:rsidR="00042678">
          <w:pgSz w:w="11900" w:h="16840"/>
          <w:pgMar w:top="1380" w:right="1560" w:bottom="600" w:left="1680" w:header="0" w:footer="402" w:gutter="0"/>
          <w:cols w:space="720"/>
        </w:sectPr>
      </w:pPr>
    </w:p>
    <w:p w:rsidR="00042678" w:rsidRDefault="00042678" w:rsidP="00042678">
      <w:pPr>
        <w:pStyle w:val="BodyText"/>
        <w:spacing w:before="78" w:line="252" w:lineRule="auto"/>
        <w:ind w:left="676" w:right="282"/>
      </w:pPr>
      <w:r>
        <w:rPr>
          <w:w w:val="105"/>
        </w:rPr>
        <w:lastRenderedPageBreak/>
        <w:t>“Principal” has the same meaning as it has in s.6 of the Legal Profession Uniform Law;</w:t>
      </w:r>
    </w:p>
    <w:p w:rsidR="00042678" w:rsidRDefault="00042678" w:rsidP="00042678">
      <w:pPr>
        <w:pStyle w:val="BodyText"/>
        <w:spacing w:before="10"/>
      </w:pPr>
    </w:p>
    <w:p w:rsidR="00042678" w:rsidRDefault="00042678" w:rsidP="00042678">
      <w:pPr>
        <w:pStyle w:val="BodyText"/>
        <w:spacing w:line="252" w:lineRule="auto"/>
        <w:ind w:left="676"/>
      </w:pPr>
      <w:r>
        <w:rPr>
          <w:w w:val="105"/>
        </w:rPr>
        <w:t>“Relevant Time” refers to a cause of action founded on an act or omission, specifically to the time of that act or omission occurring; and</w:t>
      </w:r>
    </w:p>
    <w:p w:rsidR="00042678" w:rsidRDefault="00042678" w:rsidP="00042678">
      <w:pPr>
        <w:pStyle w:val="BodyText"/>
        <w:spacing w:before="10"/>
      </w:pPr>
    </w:p>
    <w:p w:rsidR="00042678" w:rsidRDefault="00042678" w:rsidP="00042678">
      <w:pPr>
        <w:pStyle w:val="BodyText"/>
        <w:spacing w:line="252" w:lineRule="auto"/>
        <w:ind w:left="676" w:right="282"/>
      </w:pPr>
      <w:r>
        <w:rPr>
          <w:w w:val="105"/>
        </w:rPr>
        <w:t>“Total annual fee income” means the amount charged during a financial year for services provided by or on behalf of a Law Practice some of whose members are members of the Law Society to whom the Scheme applies.</w:t>
      </w:r>
    </w:p>
    <w:p w:rsidR="00042678" w:rsidRDefault="00042678" w:rsidP="00042678">
      <w:pPr>
        <w:pStyle w:val="BodyText"/>
        <w:spacing w:before="10"/>
      </w:pPr>
    </w:p>
    <w:p w:rsidR="00042678" w:rsidRDefault="00042678" w:rsidP="00042678">
      <w:pPr>
        <w:pStyle w:val="Heading1"/>
        <w:numPr>
          <w:ilvl w:val="0"/>
          <w:numId w:val="4"/>
        </w:numPr>
        <w:tabs>
          <w:tab w:val="left" w:pos="372"/>
        </w:tabs>
      </w:pPr>
      <w:r>
        <w:rPr>
          <w:w w:val="105"/>
        </w:rPr>
        <w:t>Jurisdiction</w:t>
      </w:r>
    </w:p>
    <w:p w:rsidR="00042678" w:rsidRDefault="00042678" w:rsidP="00042678">
      <w:pPr>
        <w:pStyle w:val="BodyText"/>
        <w:rPr>
          <w:b/>
          <w:sz w:val="22"/>
        </w:rPr>
      </w:pPr>
    </w:p>
    <w:p w:rsidR="00042678" w:rsidRDefault="00042678" w:rsidP="00042678">
      <w:pPr>
        <w:pStyle w:val="ListParagraph"/>
        <w:numPr>
          <w:ilvl w:val="1"/>
          <w:numId w:val="4"/>
        </w:numPr>
        <w:tabs>
          <w:tab w:val="left" w:pos="693"/>
          <w:tab w:val="left" w:pos="694"/>
        </w:tabs>
        <w:ind w:left="693" w:hanging="567"/>
        <w:rPr>
          <w:sz w:val="21"/>
        </w:rPr>
      </w:pPr>
      <w:r>
        <w:rPr>
          <w:w w:val="105"/>
          <w:sz w:val="21"/>
        </w:rPr>
        <w:t>The Scheme applies in New South Wales in accordance with the</w:t>
      </w:r>
      <w:r>
        <w:rPr>
          <w:spacing w:val="-9"/>
          <w:w w:val="105"/>
          <w:sz w:val="21"/>
        </w:rPr>
        <w:t xml:space="preserve"> </w:t>
      </w:r>
      <w:r>
        <w:rPr>
          <w:w w:val="105"/>
          <w:sz w:val="21"/>
        </w:rPr>
        <w:t>Act.</w:t>
      </w:r>
    </w:p>
    <w:p w:rsidR="00042678" w:rsidRDefault="00042678" w:rsidP="00042678">
      <w:pPr>
        <w:pStyle w:val="BodyText"/>
        <w:spacing w:before="7"/>
      </w:pPr>
    </w:p>
    <w:p w:rsidR="00042678" w:rsidRDefault="00042678" w:rsidP="00042678">
      <w:pPr>
        <w:pStyle w:val="ListParagraph"/>
        <w:numPr>
          <w:ilvl w:val="1"/>
          <w:numId w:val="4"/>
        </w:numPr>
        <w:tabs>
          <w:tab w:val="left" w:pos="693"/>
          <w:tab w:val="left" w:pos="694"/>
        </w:tabs>
        <w:spacing w:line="252" w:lineRule="auto"/>
        <w:ind w:left="693" w:right="272" w:hanging="567"/>
        <w:rPr>
          <w:sz w:val="21"/>
        </w:rPr>
      </w:pPr>
      <w:r>
        <w:rPr>
          <w:w w:val="105"/>
          <w:sz w:val="21"/>
        </w:rPr>
        <w:t>In addition to New South Wales, the Scheme is intended to operate in Victoria, Queensland, South Australia, Western Australia, Tasmania, the Northern Territory and the Australian Capital Territory in accordance with the professional standards legislation of those states and territories and subject to the requirements of that legislation (‘the corresponding laws’), so that references to a provision of the Act, the application of the Scheme to a liability, the</w:t>
      </w:r>
      <w:r>
        <w:rPr>
          <w:spacing w:val="-3"/>
          <w:w w:val="105"/>
          <w:sz w:val="21"/>
        </w:rPr>
        <w:t xml:space="preserve"> </w:t>
      </w:r>
      <w:r>
        <w:rPr>
          <w:w w:val="105"/>
          <w:sz w:val="21"/>
        </w:rPr>
        <w:t>limit</w:t>
      </w:r>
      <w:r>
        <w:rPr>
          <w:spacing w:val="-5"/>
          <w:w w:val="105"/>
          <w:sz w:val="21"/>
        </w:rPr>
        <w:t xml:space="preserve"> </w:t>
      </w:r>
      <w:r>
        <w:rPr>
          <w:w w:val="105"/>
          <w:sz w:val="21"/>
        </w:rPr>
        <w:t>of</w:t>
      </w:r>
      <w:r>
        <w:rPr>
          <w:spacing w:val="-5"/>
          <w:w w:val="105"/>
          <w:sz w:val="21"/>
        </w:rPr>
        <w:t xml:space="preserve"> </w:t>
      </w:r>
      <w:r>
        <w:rPr>
          <w:w w:val="105"/>
          <w:sz w:val="21"/>
        </w:rPr>
        <w:t>a</w:t>
      </w:r>
      <w:r>
        <w:rPr>
          <w:spacing w:val="-3"/>
          <w:w w:val="105"/>
          <w:sz w:val="21"/>
        </w:rPr>
        <w:t xml:space="preserve"> </w:t>
      </w:r>
      <w:r>
        <w:rPr>
          <w:w w:val="105"/>
          <w:sz w:val="21"/>
        </w:rPr>
        <w:t>liability</w:t>
      </w:r>
      <w:r>
        <w:rPr>
          <w:spacing w:val="-4"/>
          <w:w w:val="105"/>
          <w:sz w:val="21"/>
        </w:rPr>
        <w:t xml:space="preserve"> </w:t>
      </w:r>
      <w:r>
        <w:rPr>
          <w:w w:val="105"/>
          <w:sz w:val="21"/>
        </w:rPr>
        <w:t>under</w:t>
      </w:r>
      <w:r>
        <w:rPr>
          <w:spacing w:val="-4"/>
          <w:w w:val="105"/>
          <w:sz w:val="21"/>
        </w:rPr>
        <w:t xml:space="preserve"> </w:t>
      </w:r>
      <w:r>
        <w:rPr>
          <w:w w:val="105"/>
          <w:sz w:val="21"/>
        </w:rPr>
        <w:t>the</w:t>
      </w:r>
      <w:r>
        <w:rPr>
          <w:spacing w:val="-3"/>
          <w:w w:val="105"/>
          <w:sz w:val="21"/>
        </w:rPr>
        <w:t xml:space="preserve"> </w:t>
      </w:r>
      <w:r>
        <w:rPr>
          <w:w w:val="105"/>
          <w:sz w:val="21"/>
        </w:rPr>
        <w:t>Act</w:t>
      </w:r>
      <w:r>
        <w:rPr>
          <w:spacing w:val="-5"/>
          <w:w w:val="105"/>
          <w:sz w:val="21"/>
        </w:rPr>
        <w:t xml:space="preserve"> </w:t>
      </w:r>
      <w:r>
        <w:rPr>
          <w:w w:val="105"/>
          <w:sz w:val="21"/>
        </w:rPr>
        <w:t>or</w:t>
      </w:r>
      <w:r>
        <w:rPr>
          <w:spacing w:val="-4"/>
          <w:w w:val="105"/>
          <w:sz w:val="21"/>
        </w:rPr>
        <w:t xml:space="preserve"> </w:t>
      </w:r>
      <w:r>
        <w:rPr>
          <w:w w:val="105"/>
          <w:sz w:val="21"/>
        </w:rPr>
        <w:t>what</w:t>
      </w:r>
      <w:r>
        <w:rPr>
          <w:spacing w:val="-5"/>
          <w:w w:val="105"/>
          <w:sz w:val="21"/>
        </w:rPr>
        <w:t xml:space="preserve"> </w:t>
      </w:r>
      <w:r>
        <w:rPr>
          <w:w w:val="105"/>
          <w:sz w:val="21"/>
        </w:rPr>
        <w:t>constitutes</w:t>
      </w:r>
      <w:r>
        <w:rPr>
          <w:spacing w:val="-4"/>
          <w:w w:val="105"/>
          <w:sz w:val="21"/>
        </w:rPr>
        <w:t xml:space="preserve"> </w:t>
      </w:r>
      <w:r>
        <w:rPr>
          <w:w w:val="105"/>
          <w:sz w:val="21"/>
        </w:rPr>
        <w:t>Occupational</w:t>
      </w:r>
      <w:r>
        <w:rPr>
          <w:spacing w:val="-5"/>
          <w:w w:val="105"/>
          <w:sz w:val="21"/>
        </w:rPr>
        <w:t xml:space="preserve"> </w:t>
      </w:r>
      <w:r>
        <w:rPr>
          <w:w w:val="105"/>
          <w:sz w:val="21"/>
        </w:rPr>
        <w:t>Liability</w:t>
      </w:r>
      <w:r>
        <w:rPr>
          <w:spacing w:val="-4"/>
          <w:w w:val="105"/>
          <w:sz w:val="21"/>
        </w:rPr>
        <w:t xml:space="preserve"> </w:t>
      </w:r>
      <w:r>
        <w:rPr>
          <w:w w:val="105"/>
          <w:sz w:val="21"/>
        </w:rPr>
        <w:t>are intended to pick up the relevant provisions of the corresponding laws, applied mutatis mutandis, to the extent that is necessary for the application of the Scheme in any of those jurisdictions as an interstate</w:t>
      </w:r>
      <w:r>
        <w:rPr>
          <w:spacing w:val="2"/>
          <w:w w:val="105"/>
          <w:sz w:val="21"/>
        </w:rPr>
        <w:t xml:space="preserve"> </w:t>
      </w:r>
      <w:r>
        <w:rPr>
          <w:w w:val="105"/>
          <w:sz w:val="21"/>
        </w:rPr>
        <w:t>scheme.</w:t>
      </w:r>
    </w:p>
    <w:p w:rsidR="00042678" w:rsidRDefault="00042678" w:rsidP="00042678">
      <w:pPr>
        <w:pStyle w:val="BodyText"/>
        <w:spacing w:before="7"/>
      </w:pPr>
    </w:p>
    <w:p w:rsidR="00042678" w:rsidRDefault="00042678" w:rsidP="00042678">
      <w:pPr>
        <w:pStyle w:val="ListParagraph"/>
        <w:numPr>
          <w:ilvl w:val="1"/>
          <w:numId w:val="4"/>
        </w:numPr>
        <w:tabs>
          <w:tab w:val="left" w:pos="693"/>
          <w:tab w:val="left" w:pos="694"/>
        </w:tabs>
        <w:spacing w:line="252" w:lineRule="auto"/>
        <w:ind w:left="693" w:right="262" w:hanging="578"/>
        <w:rPr>
          <w:sz w:val="21"/>
        </w:rPr>
      </w:pPr>
      <w:r>
        <w:rPr>
          <w:w w:val="105"/>
          <w:sz w:val="21"/>
        </w:rPr>
        <w:t>Notwithstanding anything to the contrary contained in this Scheme if, in particular circumstances giving rise to occupational liability, the liability of any person who is subject to this Scheme is capped both by this Scheme and also by any other scheme under professional standards legislation (whether of this jurisdiction or under the corresponding law of any other Australian state or territory) and, if the amount of such caps should differ, then the cap on the liability of such person arising from such circumstances which is higher shall</w:t>
      </w:r>
      <w:r>
        <w:rPr>
          <w:spacing w:val="-41"/>
          <w:w w:val="105"/>
          <w:sz w:val="21"/>
        </w:rPr>
        <w:t xml:space="preserve"> </w:t>
      </w:r>
      <w:r>
        <w:rPr>
          <w:w w:val="105"/>
          <w:sz w:val="21"/>
        </w:rPr>
        <w:t>be the applicable</w:t>
      </w:r>
      <w:r>
        <w:rPr>
          <w:spacing w:val="2"/>
          <w:w w:val="105"/>
          <w:sz w:val="21"/>
        </w:rPr>
        <w:t xml:space="preserve"> </w:t>
      </w:r>
      <w:r>
        <w:rPr>
          <w:w w:val="105"/>
          <w:sz w:val="21"/>
        </w:rPr>
        <w:t>cap.</w:t>
      </w:r>
    </w:p>
    <w:p w:rsidR="00042678" w:rsidRDefault="00042678" w:rsidP="00042678">
      <w:pPr>
        <w:pStyle w:val="BodyText"/>
        <w:spacing w:before="10"/>
      </w:pPr>
    </w:p>
    <w:p w:rsidR="00042678" w:rsidRDefault="00042678" w:rsidP="00042678">
      <w:pPr>
        <w:pStyle w:val="Heading1"/>
        <w:numPr>
          <w:ilvl w:val="0"/>
          <w:numId w:val="4"/>
        </w:numPr>
        <w:tabs>
          <w:tab w:val="left" w:pos="372"/>
        </w:tabs>
      </w:pPr>
      <w:r>
        <w:rPr>
          <w:w w:val="105"/>
        </w:rPr>
        <w:t>Persons to whom the Scheme</w:t>
      </w:r>
      <w:r>
        <w:rPr>
          <w:spacing w:val="8"/>
          <w:w w:val="105"/>
        </w:rPr>
        <w:t xml:space="preserve"> </w:t>
      </w:r>
      <w:r>
        <w:rPr>
          <w:w w:val="105"/>
        </w:rPr>
        <w:t>applies</w:t>
      </w:r>
    </w:p>
    <w:p w:rsidR="00042678" w:rsidRDefault="00042678" w:rsidP="00042678">
      <w:pPr>
        <w:pStyle w:val="BodyText"/>
        <w:spacing w:before="9"/>
        <w:rPr>
          <w:b/>
          <w:sz w:val="22"/>
        </w:rPr>
      </w:pPr>
    </w:p>
    <w:p w:rsidR="00042678" w:rsidRDefault="00042678" w:rsidP="00042678">
      <w:pPr>
        <w:pStyle w:val="ListParagraph"/>
        <w:numPr>
          <w:ilvl w:val="1"/>
          <w:numId w:val="4"/>
        </w:numPr>
        <w:tabs>
          <w:tab w:val="left" w:pos="494"/>
        </w:tabs>
        <w:spacing w:before="1"/>
        <w:ind w:left="681" w:hanging="555"/>
        <w:rPr>
          <w:sz w:val="21"/>
        </w:rPr>
      </w:pPr>
      <w:r>
        <w:rPr>
          <w:w w:val="105"/>
          <w:sz w:val="21"/>
        </w:rPr>
        <w:t>The Scheme applies</w:t>
      </w:r>
      <w:r>
        <w:rPr>
          <w:spacing w:val="3"/>
          <w:w w:val="105"/>
          <w:sz w:val="21"/>
        </w:rPr>
        <w:t xml:space="preserve"> </w:t>
      </w:r>
      <w:r>
        <w:rPr>
          <w:w w:val="105"/>
          <w:sz w:val="21"/>
        </w:rPr>
        <w:t>to:</w:t>
      </w:r>
    </w:p>
    <w:p w:rsidR="00042678" w:rsidRDefault="00042678" w:rsidP="00042678">
      <w:pPr>
        <w:pStyle w:val="BodyText"/>
        <w:spacing w:before="9"/>
        <w:rPr>
          <w:sz w:val="22"/>
        </w:rPr>
      </w:pPr>
    </w:p>
    <w:p w:rsidR="00042678" w:rsidRDefault="00042678" w:rsidP="00042678">
      <w:pPr>
        <w:pStyle w:val="ListParagraph"/>
        <w:numPr>
          <w:ilvl w:val="2"/>
          <w:numId w:val="4"/>
        </w:numPr>
        <w:tabs>
          <w:tab w:val="left" w:pos="1402"/>
          <w:tab w:val="left" w:pos="1403"/>
        </w:tabs>
        <w:spacing w:line="252" w:lineRule="auto"/>
        <w:ind w:right="381"/>
        <w:rPr>
          <w:sz w:val="21"/>
        </w:rPr>
      </w:pPr>
      <w:r>
        <w:rPr>
          <w:w w:val="105"/>
          <w:sz w:val="21"/>
        </w:rPr>
        <w:t xml:space="preserve">Full Members who hold a current Australian </w:t>
      </w:r>
      <w:proofErr w:type="spellStart"/>
      <w:r>
        <w:rPr>
          <w:w w:val="105"/>
          <w:sz w:val="21"/>
        </w:rPr>
        <w:t>Practising</w:t>
      </w:r>
      <w:proofErr w:type="spellEnd"/>
      <w:r>
        <w:rPr>
          <w:w w:val="105"/>
          <w:sz w:val="21"/>
        </w:rPr>
        <w:t xml:space="preserve"> Certificate who are not excluded or exempted under clauses 3.2 or 3.3 of the</w:t>
      </w:r>
      <w:r>
        <w:rPr>
          <w:spacing w:val="-35"/>
          <w:w w:val="105"/>
          <w:sz w:val="21"/>
        </w:rPr>
        <w:t xml:space="preserve"> </w:t>
      </w:r>
      <w:r>
        <w:rPr>
          <w:w w:val="105"/>
          <w:sz w:val="21"/>
        </w:rPr>
        <w:t>Scheme;</w:t>
      </w:r>
    </w:p>
    <w:p w:rsidR="00042678" w:rsidRDefault="00042678" w:rsidP="00042678">
      <w:pPr>
        <w:pStyle w:val="ListParagraph"/>
        <w:numPr>
          <w:ilvl w:val="2"/>
          <w:numId w:val="4"/>
        </w:numPr>
        <w:tabs>
          <w:tab w:val="left" w:pos="1402"/>
          <w:tab w:val="left" w:pos="1403"/>
        </w:tabs>
        <w:spacing w:before="122" w:line="247" w:lineRule="auto"/>
        <w:ind w:right="726"/>
        <w:rPr>
          <w:sz w:val="21"/>
        </w:rPr>
      </w:pPr>
      <w:r>
        <w:rPr>
          <w:w w:val="105"/>
          <w:sz w:val="21"/>
        </w:rPr>
        <w:t>Incorporated Legal Practice Members who are not exempted</w:t>
      </w:r>
      <w:r>
        <w:rPr>
          <w:spacing w:val="-37"/>
          <w:w w:val="105"/>
          <w:sz w:val="21"/>
        </w:rPr>
        <w:t xml:space="preserve"> </w:t>
      </w:r>
      <w:r>
        <w:rPr>
          <w:w w:val="105"/>
          <w:sz w:val="21"/>
        </w:rPr>
        <w:t>under clause 3.3 of the</w:t>
      </w:r>
      <w:r>
        <w:rPr>
          <w:spacing w:val="5"/>
          <w:w w:val="105"/>
          <w:sz w:val="21"/>
        </w:rPr>
        <w:t xml:space="preserve"> </w:t>
      </w:r>
      <w:r>
        <w:rPr>
          <w:w w:val="105"/>
          <w:sz w:val="21"/>
        </w:rPr>
        <w:t>Scheme;</w:t>
      </w:r>
    </w:p>
    <w:p w:rsidR="00042678" w:rsidRDefault="00042678" w:rsidP="00042678">
      <w:pPr>
        <w:pStyle w:val="ListParagraph"/>
        <w:numPr>
          <w:ilvl w:val="2"/>
          <w:numId w:val="4"/>
        </w:numPr>
        <w:tabs>
          <w:tab w:val="left" w:pos="1402"/>
          <w:tab w:val="left" w:pos="1403"/>
        </w:tabs>
        <w:spacing w:before="126" w:line="230" w:lineRule="exact"/>
        <w:rPr>
          <w:sz w:val="21"/>
        </w:rPr>
      </w:pPr>
      <w:r>
        <w:rPr>
          <w:w w:val="105"/>
          <w:sz w:val="21"/>
        </w:rPr>
        <w:t>all persons to whom the scheme applies, by virtue of ss.18, 19, 20</w:t>
      </w:r>
      <w:r>
        <w:rPr>
          <w:spacing w:val="-17"/>
          <w:w w:val="105"/>
          <w:sz w:val="21"/>
        </w:rPr>
        <w:t xml:space="preserve"> </w:t>
      </w:r>
      <w:r>
        <w:rPr>
          <w:w w:val="105"/>
          <w:sz w:val="21"/>
        </w:rPr>
        <w:t>or</w:t>
      </w:r>
    </w:p>
    <w:p w:rsidR="00042678" w:rsidRDefault="00042678" w:rsidP="00042678">
      <w:pPr>
        <w:spacing w:line="107" w:lineRule="exact"/>
        <w:ind w:left="2784"/>
        <w:rPr>
          <w:sz w:val="14"/>
        </w:rPr>
      </w:pPr>
      <w:r>
        <w:rPr>
          <w:w w:val="99"/>
          <w:sz w:val="14"/>
        </w:rPr>
        <w:t>2</w:t>
      </w:r>
    </w:p>
    <w:p w:rsidR="00042678" w:rsidRDefault="00042678" w:rsidP="00042678">
      <w:pPr>
        <w:pStyle w:val="BodyText"/>
        <w:spacing w:line="241" w:lineRule="exact"/>
        <w:ind w:left="1402"/>
      </w:pPr>
      <w:r>
        <w:rPr>
          <w:w w:val="105"/>
        </w:rPr>
        <w:t>20A of the Act</w:t>
      </w:r>
    </w:p>
    <w:p w:rsidR="00042678" w:rsidRDefault="00042678" w:rsidP="00042678">
      <w:pPr>
        <w:pStyle w:val="BodyText"/>
        <w:spacing w:before="6"/>
        <w:rPr>
          <w:sz w:val="13"/>
        </w:rPr>
      </w:pPr>
      <w:r>
        <w:rPr>
          <w:noProof/>
          <w:lang w:val="en-AU" w:eastAsia="en-AU"/>
        </w:rPr>
        <mc:AlternateContent>
          <mc:Choice Requires="wps">
            <w:drawing>
              <wp:anchor distT="0" distB="0" distL="0" distR="0" simplePos="0" relativeHeight="251660288" behindDoc="0" locked="0" layoutInCell="1" allowOverlap="1" wp14:anchorId="0AFD2D71" wp14:editId="2DC501AC">
                <wp:simplePos x="0" y="0"/>
                <wp:positionH relativeFrom="page">
                  <wp:posOffset>1147445</wp:posOffset>
                </wp:positionH>
                <wp:positionV relativeFrom="paragraph">
                  <wp:posOffset>127635</wp:posOffset>
                </wp:positionV>
                <wp:extent cx="5276215" cy="0"/>
                <wp:effectExtent l="13970" t="6350" r="571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215" cy="0"/>
                        </a:xfrm>
                        <a:prstGeom prst="line">
                          <a:avLst/>
                        </a:prstGeom>
                        <a:noFill/>
                        <a:ln w="7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83FB"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35pt,10.05pt" to="505.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" strokeweight=".19736mm">
                <w10:wrap type="topAndBottom" anchorx="page"/>
              </v:line>
            </w:pict>
          </mc:Fallback>
        </mc:AlternateContent>
      </w:r>
    </w:p>
    <w:p w:rsidR="00042678" w:rsidRDefault="00042678" w:rsidP="00042678">
      <w:pPr>
        <w:pStyle w:val="ListParagraph"/>
        <w:numPr>
          <w:ilvl w:val="0"/>
          <w:numId w:val="3"/>
        </w:numPr>
        <w:tabs>
          <w:tab w:val="left" w:pos="277"/>
        </w:tabs>
        <w:spacing w:line="178" w:lineRule="exact"/>
        <w:ind w:firstLine="0"/>
        <w:rPr>
          <w:sz w:val="17"/>
        </w:rPr>
      </w:pPr>
      <w:r>
        <w:rPr>
          <w:w w:val="105"/>
          <w:sz w:val="17"/>
        </w:rPr>
        <w:t>Sections 18 and 19 of the Act provide that if the Scheme applies to a body corporate, the Scheme</w:t>
      </w:r>
      <w:r>
        <w:rPr>
          <w:spacing w:val="32"/>
          <w:w w:val="105"/>
          <w:sz w:val="17"/>
        </w:rPr>
        <w:t xml:space="preserve"> </w:t>
      </w:r>
      <w:r>
        <w:rPr>
          <w:w w:val="105"/>
          <w:sz w:val="17"/>
        </w:rPr>
        <w:t>also</w:t>
      </w:r>
    </w:p>
    <w:p w:rsidR="00042678" w:rsidRDefault="00042678" w:rsidP="00042678">
      <w:pPr>
        <w:spacing w:before="11" w:line="254" w:lineRule="auto"/>
        <w:ind w:left="126" w:right="278"/>
        <w:rPr>
          <w:sz w:val="17"/>
        </w:rPr>
      </w:pPr>
      <w:r>
        <w:rPr>
          <w:w w:val="105"/>
          <w:sz w:val="17"/>
        </w:rPr>
        <w:t>applies to each officer of the body corporate and if the Scheme applies to a person, the Scheme also applies to each partner of that person, and if the Scheme applies to a person, the Scheme also applies to each employee of that person, provided that if such officer of the corporation or partner of the person or employee of the person is entitled to be a member of the same occupational association, such officer, partner or employee is a member of the occupational association. Section 20 provides that the Scheme also applies to other persons prescribed by the regulations for the purposes of section 29 (4) as being associated with persons to whom a scheme applies. Section 20A extends the limitation of liability of persons to whom the Scheme applies by virtue of sections 18 to</w:t>
      </w:r>
      <w:r>
        <w:rPr>
          <w:spacing w:val="15"/>
          <w:w w:val="105"/>
          <w:sz w:val="17"/>
        </w:rPr>
        <w:t xml:space="preserve"> </w:t>
      </w:r>
      <w:r>
        <w:rPr>
          <w:w w:val="105"/>
          <w:sz w:val="17"/>
        </w:rPr>
        <w:t>20.</w:t>
      </w:r>
    </w:p>
    <w:p w:rsidR="00042678" w:rsidRDefault="00042678" w:rsidP="00042678">
      <w:pPr>
        <w:spacing w:line="254" w:lineRule="auto"/>
        <w:rPr>
          <w:sz w:val="17"/>
        </w:rPr>
        <w:sectPr w:rsidR="00042678">
          <w:pgSz w:w="11900" w:h="16840"/>
          <w:pgMar w:top="1380" w:right="1560" w:bottom="600" w:left="1680" w:header="0" w:footer="402" w:gutter="0"/>
          <w:cols w:space="720"/>
        </w:sectPr>
      </w:pPr>
    </w:p>
    <w:p w:rsidR="00042678" w:rsidRDefault="00042678" w:rsidP="00042678">
      <w:pPr>
        <w:pStyle w:val="ListParagraph"/>
        <w:numPr>
          <w:ilvl w:val="2"/>
          <w:numId w:val="4"/>
        </w:numPr>
        <w:tabs>
          <w:tab w:val="left" w:pos="1402"/>
          <w:tab w:val="left" w:pos="1403"/>
        </w:tabs>
        <w:spacing w:before="78" w:line="252" w:lineRule="auto"/>
        <w:ind w:right="516"/>
        <w:rPr>
          <w:sz w:val="21"/>
        </w:rPr>
      </w:pPr>
      <w:r>
        <w:rPr>
          <w:w w:val="105"/>
          <w:sz w:val="21"/>
        </w:rPr>
        <w:lastRenderedPageBreak/>
        <w:t>all persons to whom clause 3.1.1 applied at the Relevant Time but</w:t>
      </w:r>
      <w:r>
        <w:rPr>
          <w:spacing w:val="-37"/>
          <w:w w:val="105"/>
          <w:sz w:val="21"/>
        </w:rPr>
        <w:t xml:space="preserve">  </w:t>
      </w:r>
      <w:r>
        <w:rPr>
          <w:w w:val="105"/>
          <w:sz w:val="21"/>
        </w:rPr>
        <w:t>no longer applies;</w:t>
      </w:r>
    </w:p>
    <w:p w:rsidR="00042678" w:rsidRDefault="00042678" w:rsidP="00042678">
      <w:pPr>
        <w:pStyle w:val="ListParagraph"/>
        <w:numPr>
          <w:ilvl w:val="2"/>
          <w:numId w:val="4"/>
        </w:numPr>
        <w:tabs>
          <w:tab w:val="left" w:pos="1402"/>
          <w:tab w:val="left" w:pos="1403"/>
        </w:tabs>
        <w:spacing w:before="117" w:line="252" w:lineRule="auto"/>
        <w:ind w:right="516"/>
        <w:rPr>
          <w:sz w:val="21"/>
        </w:rPr>
      </w:pPr>
      <w:r>
        <w:rPr>
          <w:w w:val="105"/>
          <w:sz w:val="21"/>
        </w:rPr>
        <w:t>all persons to whom clause 3.1.2 applied at the Relevant Time but</w:t>
      </w:r>
      <w:r>
        <w:rPr>
          <w:spacing w:val="-37"/>
          <w:w w:val="105"/>
          <w:sz w:val="21"/>
        </w:rPr>
        <w:t xml:space="preserve">  </w:t>
      </w:r>
      <w:r>
        <w:rPr>
          <w:w w:val="105"/>
          <w:sz w:val="21"/>
        </w:rPr>
        <w:t>no longer applies.</w:t>
      </w:r>
    </w:p>
    <w:p w:rsidR="00042678" w:rsidRDefault="00042678" w:rsidP="00042678">
      <w:pPr>
        <w:pStyle w:val="ListParagraph"/>
        <w:numPr>
          <w:ilvl w:val="1"/>
          <w:numId w:val="4"/>
        </w:numPr>
        <w:tabs>
          <w:tab w:val="left" w:pos="681"/>
          <w:tab w:val="left" w:pos="682"/>
        </w:tabs>
        <w:spacing w:before="208" w:line="252" w:lineRule="auto"/>
        <w:ind w:left="681" w:right="285" w:hanging="555"/>
        <w:rPr>
          <w:sz w:val="21"/>
        </w:rPr>
      </w:pPr>
      <w:r>
        <w:rPr>
          <w:w w:val="105"/>
          <w:sz w:val="21"/>
        </w:rPr>
        <w:t>A person referred to in clause 3.1 does not include a person who is a</w:t>
      </w:r>
      <w:r>
        <w:rPr>
          <w:spacing w:val="-40"/>
          <w:w w:val="105"/>
          <w:sz w:val="21"/>
        </w:rPr>
        <w:t xml:space="preserve"> </w:t>
      </w:r>
      <w:r>
        <w:rPr>
          <w:w w:val="105"/>
          <w:sz w:val="21"/>
        </w:rPr>
        <w:t>corporate legal practitioner or a government legal practitioner.</w:t>
      </w:r>
    </w:p>
    <w:p w:rsidR="00042678" w:rsidRDefault="00042678" w:rsidP="00042678">
      <w:pPr>
        <w:pStyle w:val="BodyText"/>
        <w:spacing w:before="10"/>
      </w:pPr>
    </w:p>
    <w:p w:rsidR="00042678" w:rsidRDefault="00042678" w:rsidP="00042678">
      <w:pPr>
        <w:pStyle w:val="ListParagraph"/>
        <w:numPr>
          <w:ilvl w:val="1"/>
          <w:numId w:val="4"/>
        </w:numPr>
        <w:tabs>
          <w:tab w:val="left" w:pos="681"/>
          <w:tab w:val="left" w:pos="682"/>
        </w:tabs>
        <w:spacing w:line="252" w:lineRule="auto"/>
        <w:ind w:left="681" w:right="649" w:hanging="555"/>
        <w:rPr>
          <w:sz w:val="21"/>
        </w:rPr>
      </w:pPr>
      <w:r>
        <w:rPr>
          <w:w w:val="105"/>
          <w:sz w:val="21"/>
        </w:rPr>
        <w:t>A person referred to in clause 3.1 may, on application, be exempted from participation in the Scheme by the Law Society Council with effect from the date specified by the Law Society. This clause does not apply to persons</w:t>
      </w:r>
      <w:r>
        <w:rPr>
          <w:spacing w:val="-43"/>
          <w:w w:val="105"/>
          <w:sz w:val="21"/>
        </w:rPr>
        <w:t xml:space="preserve"> </w:t>
      </w:r>
      <w:r>
        <w:rPr>
          <w:w w:val="105"/>
          <w:sz w:val="21"/>
        </w:rPr>
        <w:t>to whom the Scheme applies by virtue of ss. 18, 19, 20 or 20A of the</w:t>
      </w:r>
      <w:r>
        <w:rPr>
          <w:spacing w:val="-22"/>
          <w:w w:val="105"/>
          <w:sz w:val="21"/>
        </w:rPr>
        <w:t xml:space="preserve"> </w:t>
      </w:r>
      <w:r>
        <w:rPr>
          <w:w w:val="105"/>
          <w:sz w:val="21"/>
        </w:rPr>
        <w:t>Act.</w:t>
      </w:r>
    </w:p>
    <w:p w:rsidR="00042678" w:rsidRDefault="00042678" w:rsidP="00042678">
      <w:pPr>
        <w:pStyle w:val="BodyText"/>
        <w:rPr>
          <w:sz w:val="22"/>
        </w:rPr>
      </w:pPr>
    </w:p>
    <w:p w:rsidR="00042678" w:rsidRDefault="00042678" w:rsidP="00042678">
      <w:pPr>
        <w:pStyle w:val="ListParagraph"/>
        <w:numPr>
          <w:ilvl w:val="1"/>
          <w:numId w:val="4"/>
        </w:numPr>
        <w:tabs>
          <w:tab w:val="left" w:pos="681"/>
          <w:tab w:val="left" w:pos="682"/>
        </w:tabs>
        <w:spacing w:line="249" w:lineRule="auto"/>
        <w:ind w:left="681" w:right="260" w:hanging="555"/>
        <w:rPr>
          <w:sz w:val="21"/>
        </w:rPr>
      </w:pPr>
      <w:r>
        <w:rPr>
          <w:w w:val="105"/>
          <w:sz w:val="21"/>
        </w:rPr>
        <w:t>The Law Society Council may, upon application by an Exempted Member, revoke</w:t>
      </w:r>
      <w:r>
        <w:rPr>
          <w:spacing w:val="-4"/>
          <w:w w:val="105"/>
          <w:sz w:val="21"/>
        </w:rPr>
        <w:t xml:space="preserve"> </w:t>
      </w:r>
      <w:r>
        <w:rPr>
          <w:w w:val="105"/>
          <w:sz w:val="21"/>
        </w:rPr>
        <w:t>an</w:t>
      </w:r>
      <w:r>
        <w:rPr>
          <w:spacing w:val="-4"/>
          <w:w w:val="105"/>
          <w:sz w:val="21"/>
        </w:rPr>
        <w:t xml:space="preserve"> </w:t>
      </w:r>
      <w:r>
        <w:rPr>
          <w:w w:val="105"/>
          <w:sz w:val="21"/>
        </w:rPr>
        <w:t>exemption</w:t>
      </w:r>
      <w:r>
        <w:rPr>
          <w:spacing w:val="-4"/>
          <w:w w:val="105"/>
          <w:sz w:val="21"/>
        </w:rPr>
        <w:t xml:space="preserve"> </w:t>
      </w:r>
      <w:r>
        <w:rPr>
          <w:w w:val="105"/>
          <w:sz w:val="21"/>
        </w:rPr>
        <w:t>of</w:t>
      </w:r>
      <w:r>
        <w:rPr>
          <w:spacing w:val="-5"/>
          <w:w w:val="105"/>
          <w:sz w:val="21"/>
        </w:rPr>
        <w:t xml:space="preserve"> </w:t>
      </w:r>
      <w:r>
        <w:rPr>
          <w:w w:val="105"/>
          <w:sz w:val="21"/>
        </w:rPr>
        <w:t>that</w:t>
      </w:r>
      <w:r>
        <w:rPr>
          <w:spacing w:val="-5"/>
          <w:w w:val="105"/>
          <w:sz w:val="21"/>
        </w:rPr>
        <w:t xml:space="preserve"> </w:t>
      </w:r>
      <w:r>
        <w:rPr>
          <w:w w:val="105"/>
          <w:sz w:val="21"/>
        </w:rPr>
        <w:t>person</w:t>
      </w:r>
      <w:r>
        <w:rPr>
          <w:spacing w:val="-4"/>
          <w:w w:val="105"/>
          <w:sz w:val="21"/>
        </w:rPr>
        <w:t xml:space="preserve"> </w:t>
      </w:r>
      <w:r>
        <w:rPr>
          <w:w w:val="105"/>
          <w:sz w:val="21"/>
        </w:rPr>
        <w:t>from</w:t>
      </w:r>
      <w:r>
        <w:rPr>
          <w:spacing w:val="-3"/>
          <w:w w:val="105"/>
          <w:sz w:val="21"/>
        </w:rPr>
        <w:t xml:space="preserve"> </w:t>
      </w:r>
      <w:r>
        <w:rPr>
          <w:w w:val="105"/>
          <w:sz w:val="21"/>
        </w:rPr>
        <w:t>participation</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Scheme</w:t>
      </w:r>
      <w:r>
        <w:rPr>
          <w:spacing w:val="-4"/>
          <w:w w:val="105"/>
          <w:sz w:val="21"/>
        </w:rPr>
        <w:t xml:space="preserve"> </w:t>
      </w:r>
      <w:r>
        <w:rPr>
          <w:w w:val="105"/>
          <w:sz w:val="21"/>
        </w:rPr>
        <w:t>with</w:t>
      </w:r>
      <w:r>
        <w:rPr>
          <w:spacing w:val="-4"/>
          <w:w w:val="105"/>
          <w:sz w:val="21"/>
        </w:rPr>
        <w:t xml:space="preserve"> </w:t>
      </w:r>
      <w:r>
        <w:rPr>
          <w:w w:val="105"/>
          <w:sz w:val="21"/>
        </w:rPr>
        <w:t>effect from the date specified by the Law Society</w:t>
      </w:r>
      <w:r>
        <w:rPr>
          <w:spacing w:val="5"/>
          <w:w w:val="105"/>
          <w:sz w:val="21"/>
        </w:rPr>
        <w:t xml:space="preserve"> </w:t>
      </w:r>
      <w:r>
        <w:rPr>
          <w:w w:val="105"/>
          <w:sz w:val="21"/>
        </w:rPr>
        <w:t>Council.</w:t>
      </w:r>
    </w:p>
    <w:p w:rsidR="00042678" w:rsidRDefault="00042678" w:rsidP="00042678">
      <w:pPr>
        <w:pStyle w:val="BodyText"/>
        <w:spacing w:before="1"/>
        <w:rPr>
          <w:sz w:val="22"/>
        </w:rPr>
      </w:pPr>
    </w:p>
    <w:p w:rsidR="00042678" w:rsidRDefault="00042678" w:rsidP="00042678">
      <w:pPr>
        <w:pStyle w:val="Heading1"/>
        <w:numPr>
          <w:ilvl w:val="0"/>
          <w:numId w:val="4"/>
        </w:numPr>
        <w:tabs>
          <w:tab w:val="left" w:pos="372"/>
        </w:tabs>
        <w:spacing w:before="1"/>
      </w:pPr>
      <w:r>
        <w:rPr>
          <w:w w:val="105"/>
        </w:rPr>
        <w:t>Limitation of</w:t>
      </w:r>
      <w:r>
        <w:rPr>
          <w:spacing w:val="1"/>
          <w:w w:val="105"/>
        </w:rPr>
        <w:t xml:space="preserve"> </w:t>
      </w:r>
      <w:r>
        <w:rPr>
          <w:w w:val="105"/>
        </w:rPr>
        <w:t>liability</w:t>
      </w:r>
    </w:p>
    <w:p w:rsidR="00042678" w:rsidRDefault="00042678" w:rsidP="00042678">
      <w:pPr>
        <w:pStyle w:val="ListParagraph"/>
        <w:numPr>
          <w:ilvl w:val="1"/>
          <w:numId w:val="4"/>
        </w:numPr>
        <w:tabs>
          <w:tab w:val="left" w:pos="494"/>
        </w:tabs>
        <w:spacing w:before="132" w:line="230" w:lineRule="exact"/>
        <w:ind w:left="681" w:hanging="555"/>
        <w:rPr>
          <w:sz w:val="21"/>
        </w:rPr>
      </w:pPr>
      <w:r>
        <w:rPr>
          <w:w w:val="105"/>
          <w:sz w:val="21"/>
        </w:rPr>
        <w:t>The Scheme limits the Occupational Liability of a Participating Member</w:t>
      </w:r>
      <w:r>
        <w:rPr>
          <w:spacing w:val="-8"/>
          <w:w w:val="105"/>
          <w:sz w:val="21"/>
        </w:rPr>
        <w:t xml:space="preserve"> </w:t>
      </w:r>
      <w:r>
        <w:rPr>
          <w:w w:val="105"/>
          <w:sz w:val="21"/>
        </w:rPr>
        <w:t>for</w:t>
      </w:r>
    </w:p>
    <w:p w:rsidR="00042678" w:rsidRDefault="00042678" w:rsidP="00042678">
      <w:pPr>
        <w:spacing w:line="107" w:lineRule="exact"/>
        <w:ind w:left="1587"/>
        <w:rPr>
          <w:sz w:val="14"/>
        </w:rPr>
      </w:pPr>
      <w:r>
        <w:rPr>
          <w:w w:val="99"/>
          <w:sz w:val="14"/>
        </w:rPr>
        <w:t>3</w:t>
      </w:r>
    </w:p>
    <w:p w:rsidR="00042678" w:rsidRDefault="00042678" w:rsidP="00042678">
      <w:pPr>
        <w:pStyle w:val="BodyText"/>
        <w:spacing w:line="241" w:lineRule="exact"/>
        <w:ind w:left="682"/>
      </w:pPr>
      <w:r>
        <w:rPr>
          <w:w w:val="105"/>
        </w:rPr>
        <w:t>damages;</w:t>
      </w:r>
    </w:p>
    <w:p w:rsidR="00042678" w:rsidRDefault="00042678" w:rsidP="00042678">
      <w:pPr>
        <w:pStyle w:val="BodyText"/>
        <w:spacing w:before="2"/>
        <w:rPr>
          <w:sz w:val="14"/>
        </w:rPr>
      </w:pPr>
    </w:p>
    <w:p w:rsidR="00042678" w:rsidRDefault="00042678" w:rsidP="00042678">
      <w:pPr>
        <w:pStyle w:val="ListParagraph"/>
        <w:numPr>
          <w:ilvl w:val="2"/>
          <w:numId w:val="4"/>
        </w:numPr>
        <w:tabs>
          <w:tab w:val="left" w:pos="1402"/>
          <w:tab w:val="left" w:pos="1403"/>
        </w:tabs>
        <w:spacing w:before="99" w:line="252" w:lineRule="auto"/>
        <w:ind w:right="505"/>
        <w:rPr>
          <w:sz w:val="21"/>
        </w:rPr>
      </w:pPr>
      <w:r>
        <w:rPr>
          <w:w w:val="105"/>
          <w:sz w:val="21"/>
        </w:rPr>
        <w:t>arising from a single cause of action founded on an act or omission</w:t>
      </w:r>
      <w:r>
        <w:rPr>
          <w:spacing w:val="-38"/>
          <w:w w:val="105"/>
          <w:sz w:val="21"/>
        </w:rPr>
        <w:t xml:space="preserve"> </w:t>
      </w:r>
      <w:r>
        <w:rPr>
          <w:w w:val="105"/>
          <w:sz w:val="21"/>
        </w:rPr>
        <w:t>in relation to the provision of legal services;</w:t>
      </w:r>
      <w:r>
        <w:rPr>
          <w:spacing w:val="-2"/>
          <w:w w:val="105"/>
          <w:sz w:val="21"/>
        </w:rPr>
        <w:t xml:space="preserve"> </w:t>
      </w:r>
      <w:r>
        <w:rPr>
          <w:w w:val="105"/>
          <w:sz w:val="21"/>
        </w:rPr>
        <w:t>and</w:t>
      </w:r>
    </w:p>
    <w:p w:rsidR="00042678" w:rsidRDefault="00042678" w:rsidP="00042678">
      <w:pPr>
        <w:pStyle w:val="ListParagraph"/>
        <w:numPr>
          <w:ilvl w:val="2"/>
          <w:numId w:val="4"/>
        </w:numPr>
        <w:tabs>
          <w:tab w:val="left" w:pos="1402"/>
          <w:tab w:val="left" w:pos="1403"/>
        </w:tabs>
        <w:spacing w:before="117" w:line="252" w:lineRule="auto"/>
        <w:ind w:right="370"/>
        <w:rPr>
          <w:sz w:val="21"/>
        </w:rPr>
      </w:pPr>
      <w:r>
        <w:rPr>
          <w:w w:val="105"/>
          <w:sz w:val="21"/>
        </w:rPr>
        <w:t>to the extent those damages exceed the amounts specified in the</w:t>
      </w:r>
      <w:r>
        <w:rPr>
          <w:spacing w:val="-38"/>
          <w:w w:val="105"/>
          <w:sz w:val="21"/>
        </w:rPr>
        <w:t xml:space="preserve"> </w:t>
      </w:r>
      <w:r>
        <w:rPr>
          <w:w w:val="105"/>
          <w:sz w:val="21"/>
        </w:rPr>
        <w:t>table in clause</w:t>
      </w:r>
      <w:r>
        <w:rPr>
          <w:spacing w:val="2"/>
          <w:w w:val="105"/>
          <w:sz w:val="21"/>
        </w:rPr>
        <w:t xml:space="preserve"> </w:t>
      </w:r>
      <w:r>
        <w:rPr>
          <w:w w:val="105"/>
          <w:sz w:val="21"/>
        </w:rPr>
        <w:t>4.4.</w:t>
      </w:r>
    </w:p>
    <w:p w:rsidR="00042678" w:rsidRDefault="00042678" w:rsidP="00042678">
      <w:pPr>
        <w:pStyle w:val="BodyText"/>
        <w:spacing w:before="10"/>
      </w:pPr>
    </w:p>
    <w:p w:rsidR="00042678" w:rsidRDefault="00042678" w:rsidP="00042678">
      <w:pPr>
        <w:pStyle w:val="ListParagraph"/>
        <w:numPr>
          <w:ilvl w:val="1"/>
          <w:numId w:val="4"/>
        </w:numPr>
        <w:tabs>
          <w:tab w:val="left" w:pos="681"/>
          <w:tab w:val="left" w:pos="682"/>
        </w:tabs>
        <w:spacing w:line="252" w:lineRule="auto"/>
        <w:ind w:left="681" w:right="407" w:hanging="555"/>
        <w:rPr>
          <w:sz w:val="21"/>
        </w:rPr>
      </w:pPr>
      <w:r>
        <w:rPr>
          <w:w w:val="105"/>
          <w:sz w:val="21"/>
        </w:rPr>
        <w:t>If a Participating Member against whom a proceeding relating to</w:t>
      </w:r>
      <w:r>
        <w:rPr>
          <w:spacing w:val="-42"/>
          <w:w w:val="105"/>
          <w:sz w:val="21"/>
        </w:rPr>
        <w:t xml:space="preserve"> </w:t>
      </w:r>
      <w:r>
        <w:rPr>
          <w:w w:val="105"/>
          <w:sz w:val="21"/>
        </w:rPr>
        <w:t>Occupational Liability is brought is able to satisfy the Court that</w:t>
      </w:r>
      <w:r>
        <w:rPr>
          <w:spacing w:val="5"/>
          <w:w w:val="105"/>
          <w:sz w:val="21"/>
        </w:rPr>
        <w:t xml:space="preserve"> </w:t>
      </w:r>
      <w:r>
        <w:rPr>
          <w:w w:val="105"/>
          <w:sz w:val="21"/>
        </w:rPr>
        <w:t>–</w:t>
      </w:r>
    </w:p>
    <w:p w:rsidR="00042678" w:rsidRDefault="00042678" w:rsidP="00042678">
      <w:pPr>
        <w:pStyle w:val="BodyText"/>
        <w:spacing w:before="10"/>
      </w:pPr>
    </w:p>
    <w:p w:rsidR="00042678" w:rsidRDefault="00042678" w:rsidP="00042678">
      <w:pPr>
        <w:pStyle w:val="ListParagraph"/>
        <w:numPr>
          <w:ilvl w:val="2"/>
          <w:numId w:val="4"/>
        </w:numPr>
        <w:tabs>
          <w:tab w:val="left" w:pos="1337"/>
        </w:tabs>
        <w:spacing w:line="252" w:lineRule="auto"/>
        <w:ind w:left="1336" w:right="560" w:hanging="660"/>
        <w:rPr>
          <w:sz w:val="21"/>
        </w:rPr>
      </w:pPr>
      <w:r>
        <w:rPr>
          <w:w w:val="105"/>
          <w:sz w:val="21"/>
        </w:rPr>
        <w:t>the Participating Member has the benefit of an insurance policy or policies insuring him or her against the Occupational Liability to</w:t>
      </w:r>
      <w:r>
        <w:rPr>
          <w:spacing w:val="-41"/>
          <w:w w:val="105"/>
          <w:sz w:val="21"/>
        </w:rPr>
        <w:t xml:space="preserve"> </w:t>
      </w:r>
      <w:r>
        <w:rPr>
          <w:w w:val="105"/>
          <w:sz w:val="21"/>
        </w:rPr>
        <w:t>which the cause of action relates;</w:t>
      </w:r>
      <w:r>
        <w:rPr>
          <w:spacing w:val="3"/>
          <w:w w:val="105"/>
          <w:sz w:val="21"/>
        </w:rPr>
        <w:t xml:space="preserve"> </w:t>
      </w:r>
      <w:r>
        <w:rPr>
          <w:w w:val="105"/>
          <w:sz w:val="21"/>
        </w:rPr>
        <w:t>and</w:t>
      </w:r>
    </w:p>
    <w:p w:rsidR="00042678" w:rsidRDefault="00042678" w:rsidP="00042678">
      <w:pPr>
        <w:pStyle w:val="BodyText"/>
        <w:spacing w:before="10"/>
      </w:pPr>
    </w:p>
    <w:p w:rsidR="00042678" w:rsidRDefault="00042678" w:rsidP="00042678">
      <w:pPr>
        <w:pStyle w:val="ListParagraph"/>
        <w:numPr>
          <w:ilvl w:val="2"/>
          <w:numId w:val="4"/>
        </w:numPr>
        <w:tabs>
          <w:tab w:val="left" w:pos="1337"/>
        </w:tabs>
        <w:spacing w:line="230" w:lineRule="exact"/>
        <w:ind w:left="1336" w:hanging="660"/>
        <w:rPr>
          <w:sz w:val="21"/>
        </w:rPr>
      </w:pPr>
      <w:r>
        <w:rPr>
          <w:w w:val="105"/>
          <w:sz w:val="21"/>
        </w:rPr>
        <w:t>the amount payable under the policy or policies in respect of</w:t>
      </w:r>
      <w:r>
        <w:rPr>
          <w:spacing w:val="-7"/>
          <w:w w:val="105"/>
          <w:sz w:val="21"/>
        </w:rPr>
        <w:t xml:space="preserve"> </w:t>
      </w:r>
      <w:r>
        <w:rPr>
          <w:w w:val="105"/>
          <w:sz w:val="21"/>
        </w:rPr>
        <w:t>that</w:t>
      </w:r>
    </w:p>
    <w:p w:rsidR="00042678" w:rsidRDefault="00042678" w:rsidP="00042678">
      <w:pPr>
        <w:spacing w:line="107" w:lineRule="exact"/>
        <w:ind w:right="1748"/>
        <w:jc w:val="center"/>
        <w:rPr>
          <w:sz w:val="14"/>
        </w:rPr>
      </w:pPr>
      <w:r>
        <w:rPr>
          <w:w w:val="99"/>
          <w:sz w:val="14"/>
        </w:rPr>
        <w:t>4</w:t>
      </w:r>
    </w:p>
    <w:p w:rsidR="00042678" w:rsidRDefault="00042678" w:rsidP="00042678">
      <w:pPr>
        <w:pStyle w:val="BodyText"/>
        <w:spacing w:line="241" w:lineRule="exact"/>
        <w:ind w:left="1336"/>
      </w:pPr>
      <w:r>
        <w:rPr>
          <w:w w:val="105"/>
        </w:rPr>
        <w:t>Occupational Liability is not less than the amount of the monetary ceiling</w:t>
      </w:r>
    </w:p>
    <w:p w:rsidR="00042678" w:rsidRDefault="00042678" w:rsidP="00042678">
      <w:pPr>
        <w:pStyle w:val="BodyText"/>
        <w:spacing w:before="8" w:line="252" w:lineRule="auto"/>
        <w:ind w:left="1336"/>
      </w:pPr>
      <w:r>
        <w:rPr>
          <w:w w:val="105"/>
        </w:rPr>
        <w:t>(maximum amount of liability) specified in clause 4.4 as applying to such Participating Member to which the cause of action relates –</w:t>
      </w:r>
    </w:p>
    <w:p w:rsidR="00042678" w:rsidRDefault="00042678" w:rsidP="00042678">
      <w:pPr>
        <w:pStyle w:val="BodyText"/>
        <w:spacing w:before="9"/>
      </w:pPr>
    </w:p>
    <w:p w:rsidR="00042678" w:rsidRDefault="00042678" w:rsidP="00042678">
      <w:pPr>
        <w:pStyle w:val="BodyText"/>
        <w:spacing w:before="1" w:line="252" w:lineRule="auto"/>
        <w:ind w:left="846"/>
      </w:pPr>
      <w:r>
        <w:rPr>
          <w:w w:val="105"/>
        </w:rPr>
        <w:t>the Participating Member is not liable for damages in relation to that cause of action above the amount of that monetary ceiling.</w:t>
      </w:r>
    </w:p>
    <w:p w:rsidR="00042678" w:rsidRDefault="00042678" w:rsidP="00042678">
      <w:pPr>
        <w:pStyle w:val="BodyText"/>
        <w:spacing w:before="1"/>
        <w:ind w:left="126"/>
      </w:pPr>
      <w:r>
        <w:rPr>
          <w:w w:val="105"/>
        </w:rPr>
        <w:t>__________________________________________________________________</w:t>
      </w:r>
    </w:p>
    <w:p w:rsidR="00042678" w:rsidRDefault="00042678" w:rsidP="00042678">
      <w:pPr>
        <w:pStyle w:val="ListParagraph"/>
        <w:numPr>
          <w:ilvl w:val="0"/>
          <w:numId w:val="3"/>
        </w:numPr>
        <w:tabs>
          <w:tab w:val="left" w:pos="377"/>
        </w:tabs>
        <w:spacing w:before="17"/>
        <w:ind w:left="376" w:hanging="250"/>
        <w:rPr>
          <w:sz w:val="17"/>
        </w:rPr>
      </w:pPr>
      <w:r>
        <w:rPr>
          <w:w w:val="105"/>
          <w:sz w:val="17"/>
        </w:rPr>
        <w:t>Damages as defined in section 4 of the Act</w:t>
      </w:r>
      <w:r>
        <w:rPr>
          <w:spacing w:val="12"/>
          <w:w w:val="105"/>
          <w:sz w:val="17"/>
        </w:rPr>
        <w:t xml:space="preserve"> </w:t>
      </w:r>
      <w:r>
        <w:rPr>
          <w:w w:val="105"/>
          <w:sz w:val="17"/>
        </w:rPr>
        <w:t>means:</w:t>
      </w:r>
    </w:p>
    <w:p w:rsidR="00042678" w:rsidRDefault="00042678" w:rsidP="00042678">
      <w:pPr>
        <w:pStyle w:val="ListParagraph"/>
        <w:numPr>
          <w:ilvl w:val="1"/>
          <w:numId w:val="3"/>
        </w:numPr>
        <w:tabs>
          <w:tab w:val="left" w:pos="694"/>
        </w:tabs>
        <w:spacing w:before="11"/>
        <w:ind w:hanging="283"/>
        <w:rPr>
          <w:sz w:val="17"/>
        </w:rPr>
      </w:pPr>
      <w:r>
        <w:rPr>
          <w:w w:val="105"/>
          <w:sz w:val="17"/>
        </w:rPr>
        <w:t>damages awarded in respect of a claim or counter-claim or by way of set-off;</w:t>
      </w:r>
      <w:r>
        <w:rPr>
          <w:spacing w:val="18"/>
          <w:w w:val="105"/>
          <w:sz w:val="17"/>
        </w:rPr>
        <w:t xml:space="preserve"> </w:t>
      </w:r>
      <w:r>
        <w:rPr>
          <w:w w:val="105"/>
          <w:sz w:val="17"/>
        </w:rPr>
        <w:t>and</w:t>
      </w:r>
    </w:p>
    <w:p w:rsidR="00042678" w:rsidRDefault="00042678" w:rsidP="00042678">
      <w:pPr>
        <w:pStyle w:val="ListParagraph"/>
        <w:numPr>
          <w:ilvl w:val="1"/>
          <w:numId w:val="3"/>
        </w:numPr>
        <w:tabs>
          <w:tab w:val="left" w:pos="694"/>
        </w:tabs>
        <w:spacing w:before="11" w:line="254" w:lineRule="auto"/>
        <w:ind w:right="570" w:hanging="283"/>
        <w:rPr>
          <w:sz w:val="17"/>
        </w:rPr>
      </w:pPr>
      <w:r>
        <w:rPr>
          <w:w w:val="105"/>
          <w:sz w:val="17"/>
        </w:rPr>
        <w:t>costs in or in relation to the proceedings ordered to be paid in connection with such an award (other than costs incurred in enforcing a judgment or incurred on an appeal made by a defendant); and</w:t>
      </w:r>
    </w:p>
    <w:p w:rsidR="00042678" w:rsidRDefault="00042678" w:rsidP="00042678">
      <w:pPr>
        <w:pStyle w:val="ListParagraph"/>
        <w:numPr>
          <w:ilvl w:val="1"/>
          <w:numId w:val="3"/>
        </w:numPr>
        <w:tabs>
          <w:tab w:val="left" w:pos="694"/>
        </w:tabs>
        <w:spacing w:line="193" w:lineRule="exact"/>
        <w:ind w:hanging="283"/>
        <w:rPr>
          <w:sz w:val="17"/>
        </w:rPr>
      </w:pPr>
      <w:r>
        <w:rPr>
          <w:w w:val="105"/>
          <w:sz w:val="17"/>
        </w:rPr>
        <w:t>any interest payable on the amount of those damages or</w:t>
      </w:r>
      <w:r>
        <w:rPr>
          <w:spacing w:val="12"/>
          <w:w w:val="105"/>
          <w:sz w:val="17"/>
        </w:rPr>
        <w:t xml:space="preserve"> </w:t>
      </w:r>
      <w:r>
        <w:rPr>
          <w:w w:val="105"/>
          <w:sz w:val="17"/>
        </w:rPr>
        <w:t>costs.</w:t>
      </w:r>
    </w:p>
    <w:p w:rsidR="00042678" w:rsidRDefault="00042678" w:rsidP="00042678">
      <w:pPr>
        <w:pStyle w:val="ListParagraph"/>
        <w:numPr>
          <w:ilvl w:val="0"/>
          <w:numId w:val="3"/>
        </w:numPr>
        <w:tabs>
          <w:tab w:val="left" w:pos="377"/>
        </w:tabs>
        <w:spacing w:before="11" w:line="254" w:lineRule="auto"/>
        <w:ind w:left="410" w:right="883" w:hanging="284"/>
        <w:rPr>
          <w:sz w:val="17"/>
        </w:rPr>
      </w:pPr>
      <w:r>
        <w:rPr>
          <w:w w:val="105"/>
          <w:sz w:val="17"/>
        </w:rPr>
        <w:t>Section 4(1A) of the Act provides that a reference in the Act “to the amount payable under an insurance policy in respect of an occupational liability includes a reference to</w:t>
      </w:r>
      <w:r>
        <w:rPr>
          <w:spacing w:val="12"/>
          <w:w w:val="105"/>
          <w:sz w:val="17"/>
        </w:rPr>
        <w:t xml:space="preserve"> </w:t>
      </w:r>
      <w:r>
        <w:rPr>
          <w:w w:val="105"/>
          <w:sz w:val="17"/>
        </w:rPr>
        <w:t>–</w:t>
      </w:r>
    </w:p>
    <w:p w:rsidR="00042678" w:rsidRDefault="00042678" w:rsidP="00042678">
      <w:pPr>
        <w:pStyle w:val="ListParagraph"/>
        <w:numPr>
          <w:ilvl w:val="1"/>
          <w:numId w:val="3"/>
        </w:numPr>
        <w:tabs>
          <w:tab w:val="left" w:pos="846"/>
          <w:tab w:val="left" w:pos="847"/>
        </w:tabs>
        <w:spacing w:before="3" w:line="254" w:lineRule="auto"/>
        <w:ind w:left="846" w:right="326" w:hanging="436"/>
        <w:rPr>
          <w:sz w:val="17"/>
        </w:rPr>
      </w:pPr>
      <w:proofErr w:type="spellStart"/>
      <w:r>
        <w:rPr>
          <w:w w:val="105"/>
          <w:sz w:val="17"/>
        </w:rPr>
        <w:t>defence</w:t>
      </w:r>
      <w:proofErr w:type="spellEnd"/>
      <w:r>
        <w:rPr>
          <w:w w:val="105"/>
          <w:sz w:val="17"/>
        </w:rPr>
        <w:t xml:space="preserve"> costs payable in respect of a claim, or notification that may lead to a claim (other than reimbursement of the defendant for the time spent in relation to the claim), but only if those costs are payable out of the one sum insured under the policy in respect of the occupational liability; and</w:t>
      </w:r>
    </w:p>
    <w:p w:rsidR="00042678" w:rsidRDefault="00042678" w:rsidP="00042678">
      <w:pPr>
        <w:pStyle w:val="ListParagraph"/>
        <w:numPr>
          <w:ilvl w:val="1"/>
          <w:numId w:val="3"/>
        </w:numPr>
        <w:tabs>
          <w:tab w:val="left" w:pos="896"/>
          <w:tab w:val="left" w:pos="897"/>
        </w:tabs>
        <w:spacing w:line="192" w:lineRule="exact"/>
        <w:ind w:left="896" w:hanging="486"/>
        <w:rPr>
          <w:sz w:val="17"/>
        </w:rPr>
      </w:pPr>
      <w:r>
        <w:rPr>
          <w:w w:val="105"/>
          <w:sz w:val="17"/>
        </w:rPr>
        <w:t>the amount payable under or in relation to the policy by way of</w:t>
      </w:r>
      <w:r>
        <w:rPr>
          <w:spacing w:val="18"/>
          <w:w w:val="105"/>
          <w:sz w:val="17"/>
        </w:rPr>
        <w:t xml:space="preserve"> </w:t>
      </w:r>
      <w:r>
        <w:rPr>
          <w:w w:val="105"/>
          <w:sz w:val="17"/>
        </w:rPr>
        <w:t>excess.”</w:t>
      </w:r>
    </w:p>
    <w:p w:rsidR="00042678" w:rsidRDefault="00042678" w:rsidP="00042678">
      <w:pPr>
        <w:spacing w:before="11" w:line="254" w:lineRule="auto"/>
        <w:ind w:left="126"/>
        <w:rPr>
          <w:sz w:val="17"/>
        </w:rPr>
      </w:pPr>
      <w:r>
        <w:rPr>
          <w:w w:val="105"/>
          <w:sz w:val="17"/>
        </w:rPr>
        <w:t>However, see also section 26A of the Act and its note, which has the effect that section 4 (1A) does not reduce the cap on the liability of the Participating Member to the client.</w:t>
      </w:r>
    </w:p>
    <w:p w:rsidR="00042678" w:rsidRDefault="00042678" w:rsidP="00042678">
      <w:pPr>
        <w:spacing w:line="254" w:lineRule="auto"/>
        <w:rPr>
          <w:sz w:val="17"/>
        </w:rPr>
        <w:sectPr w:rsidR="00042678">
          <w:pgSz w:w="11900" w:h="16840"/>
          <w:pgMar w:top="1380" w:right="1560" w:bottom="600" w:left="1680" w:header="0" w:footer="402" w:gutter="0"/>
          <w:cols w:space="720"/>
        </w:sectPr>
      </w:pPr>
    </w:p>
    <w:p w:rsidR="00042678" w:rsidRPr="00C31F53" w:rsidRDefault="00042678" w:rsidP="00042678">
      <w:pPr>
        <w:pStyle w:val="ListParagraph"/>
        <w:numPr>
          <w:ilvl w:val="1"/>
          <w:numId w:val="4"/>
        </w:numPr>
        <w:tabs>
          <w:tab w:val="left" w:pos="677"/>
        </w:tabs>
        <w:spacing w:before="113" w:line="249" w:lineRule="auto"/>
        <w:ind w:left="676" w:right="280" w:hanging="550"/>
        <w:jc w:val="both"/>
        <w:rPr>
          <w:sz w:val="21"/>
        </w:rPr>
      </w:pPr>
      <w:r>
        <w:rPr>
          <w:w w:val="105"/>
          <w:sz w:val="21"/>
        </w:rPr>
        <w:lastRenderedPageBreak/>
        <w:t>For the purposes of section 26 of the Act, the Scheme only affects a liability for damages</w:t>
      </w:r>
      <w:r>
        <w:rPr>
          <w:spacing w:val="-4"/>
          <w:w w:val="105"/>
          <w:sz w:val="21"/>
        </w:rPr>
        <w:t xml:space="preserve"> </w:t>
      </w:r>
      <w:r>
        <w:rPr>
          <w:w w:val="105"/>
          <w:sz w:val="21"/>
        </w:rPr>
        <w:t>arising</w:t>
      </w:r>
      <w:r>
        <w:rPr>
          <w:spacing w:val="-4"/>
          <w:w w:val="105"/>
          <w:sz w:val="21"/>
        </w:rPr>
        <w:t xml:space="preserve"> </w:t>
      </w:r>
      <w:r>
        <w:rPr>
          <w:w w:val="105"/>
          <w:sz w:val="21"/>
        </w:rPr>
        <w:t>from</w:t>
      </w:r>
      <w:r>
        <w:rPr>
          <w:spacing w:val="-3"/>
          <w:w w:val="105"/>
          <w:sz w:val="21"/>
        </w:rPr>
        <w:t xml:space="preserve"> </w:t>
      </w:r>
      <w:r>
        <w:rPr>
          <w:w w:val="105"/>
          <w:sz w:val="21"/>
        </w:rPr>
        <w:t>a</w:t>
      </w:r>
      <w:r>
        <w:rPr>
          <w:spacing w:val="-4"/>
          <w:w w:val="105"/>
          <w:sz w:val="21"/>
        </w:rPr>
        <w:t xml:space="preserve"> </w:t>
      </w:r>
      <w:r>
        <w:rPr>
          <w:w w:val="105"/>
          <w:sz w:val="21"/>
        </w:rPr>
        <w:t>single</w:t>
      </w:r>
      <w:r>
        <w:rPr>
          <w:spacing w:val="-4"/>
          <w:w w:val="105"/>
          <w:sz w:val="21"/>
        </w:rPr>
        <w:t xml:space="preserve"> </w:t>
      </w:r>
      <w:r>
        <w:rPr>
          <w:w w:val="105"/>
          <w:sz w:val="21"/>
        </w:rPr>
        <w:t>cause</w:t>
      </w:r>
      <w:r>
        <w:rPr>
          <w:spacing w:val="-4"/>
          <w:w w:val="105"/>
          <w:sz w:val="21"/>
        </w:rPr>
        <w:t xml:space="preserve"> </w:t>
      </w:r>
      <w:r>
        <w:rPr>
          <w:w w:val="105"/>
          <w:sz w:val="21"/>
        </w:rPr>
        <w:t>of</w:t>
      </w:r>
      <w:r>
        <w:rPr>
          <w:spacing w:val="-5"/>
          <w:w w:val="105"/>
          <w:sz w:val="21"/>
        </w:rPr>
        <w:t xml:space="preserve"> </w:t>
      </w:r>
      <w:r>
        <w:rPr>
          <w:w w:val="105"/>
          <w:sz w:val="21"/>
        </w:rPr>
        <w:t>action</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extent</w:t>
      </w:r>
      <w:r>
        <w:rPr>
          <w:spacing w:val="-5"/>
          <w:w w:val="105"/>
          <w:sz w:val="21"/>
        </w:rPr>
        <w:t xml:space="preserve"> </w:t>
      </w:r>
      <w:r>
        <w:rPr>
          <w:w w:val="105"/>
          <w:sz w:val="21"/>
        </w:rPr>
        <w:t>to</w:t>
      </w:r>
      <w:r>
        <w:rPr>
          <w:spacing w:val="-4"/>
          <w:w w:val="105"/>
          <w:sz w:val="21"/>
        </w:rPr>
        <w:t xml:space="preserve"> </w:t>
      </w:r>
      <w:r>
        <w:rPr>
          <w:w w:val="105"/>
          <w:sz w:val="21"/>
        </w:rPr>
        <w:t>which</w:t>
      </w:r>
      <w:r>
        <w:rPr>
          <w:spacing w:val="-4"/>
          <w:w w:val="105"/>
          <w:sz w:val="21"/>
        </w:rPr>
        <w:t xml:space="preserve"> </w:t>
      </w:r>
      <w:r>
        <w:rPr>
          <w:w w:val="105"/>
          <w:sz w:val="21"/>
        </w:rPr>
        <w:t>the</w:t>
      </w:r>
      <w:r>
        <w:rPr>
          <w:spacing w:val="-4"/>
          <w:w w:val="105"/>
          <w:sz w:val="21"/>
        </w:rPr>
        <w:t xml:space="preserve"> </w:t>
      </w:r>
      <w:r>
        <w:rPr>
          <w:w w:val="105"/>
          <w:sz w:val="21"/>
        </w:rPr>
        <w:t xml:space="preserve">liability results in damages exceeding the applicable monetary </w:t>
      </w:r>
      <w:r w:rsidRPr="00C31F53">
        <w:rPr>
          <w:w w:val="105"/>
          <w:sz w:val="21"/>
        </w:rPr>
        <w:t>ceiling set out in clause 4.4 below.</w:t>
      </w:r>
    </w:p>
    <w:p w:rsidR="00042678" w:rsidRDefault="00042678" w:rsidP="00042678">
      <w:pPr>
        <w:pStyle w:val="BodyText"/>
        <w:spacing w:before="6"/>
        <w:rPr>
          <w:sz w:val="22"/>
        </w:rPr>
      </w:pPr>
    </w:p>
    <w:p w:rsidR="00042678" w:rsidRDefault="00042678" w:rsidP="00042678">
      <w:pPr>
        <w:pStyle w:val="ListParagraph"/>
        <w:numPr>
          <w:ilvl w:val="1"/>
          <w:numId w:val="4"/>
        </w:numPr>
        <w:tabs>
          <w:tab w:val="left" w:pos="676"/>
          <w:tab w:val="left" w:pos="677"/>
        </w:tabs>
        <w:spacing w:line="249" w:lineRule="auto"/>
        <w:ind w:left="676" w:right="315" w:hanging="550"/>
        <w:rPr>
          <w:sz w:val="21"/>
        </w:rPr>
      </w:pPr>
      <w:r>
        <w:rPr>
          <w:w w:val="105"/>
          <w:sz w:val="21"/>
        </w:rPr>
        <w:t>The monetary ceiling (maximum amount of liability) applicable for the</w:t>
      </w:r>
      <w:r>
        <w:rPr>
          <w:spacing w:val="-44"/>
          <w:w w:val="105"/>
          <w:sz w:val="21"/>
        </w:rPr>
        <w:t xml:space="preserve"> </w:t>
      </w:r>
      <w:r>
        <w:rPr>
          <w:w w:val="105"/>
          <w:sz w:val="21"/>
        </w:rPr>
        <w:t>purposes of limitation of liability under the Scheme at the Relevant Time is to be determined according to the following table</w:t>
      </w:r>
      <w:r>
        <w:rPr>
          <w:spacing w:val="2"/>
          <w:w w:val="105"/>
          <w:sz w:val="21"/>
        </w:rPr>
        <w:t xml:space="preserve"> </w:t>
      </w:r>
      <w:r>
        <w:rPr>
          <w:w w:val="105"/>
          <w:sz w:val="21"/>
        </w:rPr>
        <w:t>-</w:t>
      </w:r>
    </w:p>
    <w:p w:rsidR="00042678" w:rsidRDefault="00042678" w:rsidP="00042678">
      <w:pPr>
        <w:pStyle w:val="BodyText"/>
        <w:spacing w:before="8"/>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4253"/>
        <w:gridCol w:w="2751"/>
      </w:tblGrid>
      <w:tr w:rsidR="00042678" w:rsidTr="00414C8F">
        <w:trPr>
          <w:trHeight w:val="762"/>
        </w:trPr>
        <w:tc>
          <w:tcPr>
            <w:tcW w:w="1416" w:type="dxa"/>
          </w:tcPr>
          <w:p w:rsidR="00042678" w:rsidRDefault="00042678" w:rsidP="00414C8F">
            <w:pPr>
              <w:pStyle w:val="TableParagraph"/>
              <w:rPr>
                <w:b/>
                <w:sz w:val="21"/>
              </w:rPr>
            </w:pPr>
            <w:r>
              <w:rPr>
                <w:b/>
                <w:w w:val="105"/>
                <w:sz w:val="21"/>
              </w:rPr>
              <w:t>Class</w:t>
            </w:r>
          </w:p>
        </w:tc>
        <w:tc>
          <w:tcPr>
            <w:tcW w:w="4253" w:type="dxa"/>
          </w:tcPr>
          <w:p w:rsidR="00042678" w:rsidRDefault="00042678" w:rsidP="00414C8F">
            <w:pPr>
              <w:pStyle w:val="TableParagraph"/>
              <w:rPr>
                <w:b/>
                <w:sz w:val="21"/>
              </w:rPr>
            </w:pPr>
            <w:r>
              <w:rPr>
                <w:b/>
                <w:w w:val="105"/>
                <w:sz w:val="21"/>
              </w:rPr>
              <w:t>Description</w:t>
            </w:r>
          </w:p>
        </w:tc>
        <w:tc>
          <w:tcPr>
            <w:tcW w:w="2751" w:type="dxa"/>
          </w:tcPr>
          <w:p w:rsidR="00042678" w:rsidRDefault="00042678" w:rsidP="00414C8F">
            <w:pPr>
              <w:pStyle w:val="TableParagraph"/>
              <w:ind w:left="271" w:firstLine="238"/>
              <w:rPr>
                <w:b/>
                <w:sz w:val="21"/>
              </w:rPr>
            </w:pPr>
            <w:r>
              <w:rPr>
                <w:b/>
                <w:w w:val="105"/>
                <w:sz w:val="21"/>
              </w:rPr>
              <w:t>Monetary ceiling</w:t>
            </w:r>
          </w:p>
          <w:p w:rsidR="00042678" w:rsidRDefault="00042678" w:rsidP="00414C8F">
            <w:pPr>
              <w:pStyle w:val="TableParagraph"/>
              <w:spacing w:before="5" w:line="250" w:lineRule="atLeast"/>
              <w:ind w:left="250" w:right="235"/>
              <w:jc w:val="center"/>
              <w:rPr>
                <w:b/>
                <w:sz w:val="21"/>
              </w:rPr>
            </w:pPr>
            <w:r>
              <w:rPr>
                <w:b/>
                <w:w w:val="105"/>
                <w:sz w:val="21"/>
              </w:rPr>
              <w:t>(Maximum amount of liability)</w:t>
            </w:r>
          </w:p>
        </w:tc>
      </w:tr>
      <w:tr w:rsidR="00042678" w:rsidTr="00414C8F">
        <w:trPr>
          <w:trHeight w:val="1770"/>
        </w:trPr>
        <w:tc>
          <w:tcPr>
            <w:tcW w:w="1416" w:type="dxa"/>
          </w:tcPr>
          <w:p w:rsidR="00042678" w:rsidRDefault="00042678" w:rsidP="00414C8F">
            <w:pPr>
              <w:pStyle w:val="TableParagraph"/>
              <w:ind w:left="171"/>
              <w:rPr>
                <w:sz w:val="21"/>
              </w:rPr>
            </w:pPr>
            <w:r>
              <w:rPr>
                <w:w w:val="102"/>
                <w:sz w:val="21"/>
              </w:rPr>
              <w:t>1</w:t>
            </w:r>
          </w:p>
        </w:tc>
        <w:tc>
          <w:tcPr>
            <w:tcW w:w="4253" w:type="dxa"/>
          </w:tcPr>
          <w:p w:rsidR="00042678" w:rsidRDefault="00042678" w:rsidP="00414C8F">
            <w:pPr>
              <w:pStyle w:val="TableParagraph"/>
              <w:spacing w:line="252" w:lineRule="auto"/>
              <w:ind w:right="10"/>
              <w:rPr>
                <w:sz w:val="21"/>
              </w:rPr>
            </w:pPr>
            <w:r>
              <w:rPr>
                <w:w w:val="105"/>
                <w:sz w:val="21"/>
              </w:rPr>
              <w:t>Participating Members who were at the Relevant Time in a Law Practice consisting of up to and including 20 Principals and where the Law Practice generates total annual fee income for the financial year at the Relevant Time up to</w:t>
            </w:r>
          </w:p>
          <w:p w:rsidR="00042678" w:rsidRDefault="00042678" w:rsidP="00414C8F">
            <w:pPr>
              <w:pStyle w:val="TableParagraph"/>
              <w:spacing w:before="0" w:line="225" w:lineRule="exact"/>
              <w:rPr>
                <w:sz w:val="21"/>
              </w:rPr>
            </w:pPr>
            <w:r>
              <w:rPr>
                <w:w w:val="105"/>
                <w:sz w:val="21"/>
              </w:rPr>
              <w:t>and including $10m.</w:t>
            </w:r>
          </w:p>
        </w:tc>
        <w:tc>
          <w:tcPr>
            <w:tcW w:w="2751" w:type="dxa"/>
          </w:tcPr>
          <w:p w:rsidR="00042678" w:rsidRDefault="00042678" w:rsidP="00414C8F">
            <w:pPr>
              <w:pStyle w:val="TableParagraph"/>
              <w:spacing w:before="1"/>
              <w:ind w:left="0"/>
            </w:pPr>
          </w:p>
          <w:p w:rsidR="00042678" w:rsidRDefault="00042678" w:rsidP="00414C8F">
            <w:pPr>
              <w:pStyle w:val="TableParagraph"/>
              <w:spacing w:before="0"/>
              <w:ind w:left="248" w:right="235"/>
              <w:jc w:val="center"/>
              <w:rPr>
                <w:sz w:val="21"/>
              </w:rPr>
            </w:pPr>
            <w:r>
              <w:rPr>
                <w:w w:val="105"/>
                <w:sz w:val="21"/>
              </w:rPr>
              <w:t>$1.5 million</w:t>
            </w:r>
          </w:p>
        </w:tc>
      </w:tr>
      <w:tr w:rsidR="00042678" w:rsidTr="00414C8F">
        <w:trPr>
          <w:trHeight w:val="2102"/>
        </w:trPr>
        <w:tc>
          <w:tcPr>
            <w:tcW w:w="1416" w:type="dxa"/>
          </w:tcPr>
          <w:p w:rsidR="00042678" w:rsidRDefault="00042678" w:rsidP="00414C8F">
            <w:pPr>
              <w:pStyle w:val="TableParagraph"/>
              <w:ind w:left="171"/>
              <w:rPr>
                <w:sz w:val="21"/>
              </w:rPr>
            </w:pPr>
            <w:r>
              <w:rPr>
                <w:w w:val="102"/>
                <w:sz w:val="21"/>
              </w:rPr>
              <w:t>2</w:t>
            </w:r>
          </w:p>
        </w:tc>
        <w:tc>
          <w:tcPr>
            <w:tcW w:w="4253" w:type="dxa"/>
          </w:tcPr>
          <w:p w:rsidR="00042678" w:rsidRDefault="00042678" w:rsidP="00414C8F">
            <w:pPr>
              <w:pStyle w:val="TableParagraph"/>
              <w:numPr>
                <w:ilvl w:val="0"/>
                <w:numId w:val="2"/>
              </w:numPr>
              <w:tabs>
                <w:tab w:val="left" w:pos="441"/>
              </w:tabs>
              <w:spacing w:line="249" w:lineRule="auto"/>
              <w:ind w:right="218" w:firstLine="0"/>
              <w:rPr>
                <w:sz w:val="21"/>
              </w:rPr>
            </w:pPr>
            <w:r>
              <w:rPr>
                <w:w w:val="105"/>
                <w:sz w:val="21"/>
              </w:rPr>
              <w:t>Participating Members who were at the Relevant Time in a Law Practice consisting of more than 20 Principals;</w:t>
            </w:r>
            <w:r>
              <w:rPr>
                <w:spacing w:val="-23"/>
                <w:w w:val="105"/>
                <w:sz w:val="21"/>
              </w:rPr>
              <w:t xml:space="preserve"> </w:t>
            </w:r>
            <w:r>
              <w:rPr>
                <w:w w:val="105"/>
                <w:sz w:val="21"/>
              </w:rPr>
              <w:t>or</w:t>
            </w:r>
          </w:p>
          <w:p w:rsidR="00042678" w:rsidRDefault="00042678" w:rsidP="00414C8F">
            <w:pPr>
              <w:pStyle w:val="TableParagraph"/>
              <w:numPr>
                <w:ilvl w:val="0"/>
                <w:numId w:val="2"/>
              </w:numPr>
              <w:tabs>
                <w:tab w:val="left" w:pos="441"/>
              </w:tabs>
              <w:spacing w:before="87" w:line="252" w:lineRule="auto"/>
              <w:ind w:right="291" w:firstLine="0"/>
              <w:rPr>
                <w:sz w:val="21"/>
              </w:rPr>
            </w:pPr>
            <w:r>
              <w:rPr>
                <w:w w:val="105"/>
                <w:sz w:val="21"/>
              </w:rPr>
              <w:t>Participating Members who were at the Relevant Time in a Law Practice where the Law Practice generates total annual fee income for the financial</w:t>
            </w:r>
            <w:r>
              <w:rPr>
                <w:spacing w:val="-21"/>
                <w:w w:val="105"/>
                <w:sz w:val="21"/>
              </w:rPr>
              <w:t xml:space="preserve"> </w:t>
            </w:r>
            <w:r>
              <w:rPr>
                <w:w w:val="105"/>
                <w:sz w:val="21"/>
              </w:rPr>
              <w:t>year</w:t>
            </w:r>
          </w:p>
          <w:p w:rsidR="00042678" w:rsidRDefault="00042678" w:rsidP="00414C8F">
            <w:pPr>
              <w:pStyle w:val="TableParagraph"/>
              <w:spacing w:before="0" w:line="223" w:lineRule="exact"/>
              <w:rPr>
                <w:sz w:val="21"/>
              </w:rPr>
            </w:pPr>
            <w:r>
              <w:rPr>
                <w:w w:val="105"/>
                <w:sz w:val="21"/>
              </w:rPr>
              <w:t>at the Relevant Time greater than $10m.</w:t>
            </w:r>
          </w:p>
        </w:tc>
        <w:tc>
          <w:tcPr>
            <w:tcW w:w="2751" w:type="dxa"/>
          </w:tcPr>
          <w:p w:rsidR="00042678" w:rsidRDefault="00042678" w:rsidP="00414C8F">
            <w:pPr>
              <w:pStyle w:val="TableParagraph"/>
              <w:spacing w:before="1"/>
              <w:ind w:left="0"/>
            </w:pPr>
          </w:p>
          <w:p w:rsidR="00042678" w:rsidRDefault="00042678" w:rsidP="00414C8F">
            <w:pPr>
              <w:pStyle w:val="TableParagraph"/>
              <w:spacing w:before="0"/>
              <w:ind w:left="248" w:right="235"/>
              <w:jc w:val="center"/>
              <w:rPr>
                <w:sz w:val="21"/>
              </w:rPr>
            </w:pPr>
            <w:r>
              <w:rPr>
                <w:w w:val="105"/>
                <w:sz w:val="21"/>
              </w:rPr>
              <w:t>$10 million</w:t>
            </w:r>
          </w:p>
        </w:tc>
      </w:tr>
    </w:tbl>
    <w:p w:rsidR="00042678" w:rsidRDefault="00042678" w:rsidP="00042678">
      <w:pPr>
        <w:pStyle w:val="BodyText"/>
        <w:rPr>
          <w:sz w:val="24"/>
        </w:rPr>
      </w:pPr>
    </w:p>
    <w:p w:rsidR="00042678" w:rsidRDefault="00042678" w:rsidP="00042678">
      <w:pPr>
        <w:pStyle w:val="BodyText"/>
        <w:spacing w:before="2"/>
        <w:rPr>
          <w:sz w:val="20"/>
        </w:rPr>
      </w:pPr>
    </w:p>
    <w:p w:rsidR="00042678" w:rsidRDefault="00042678" w:rsidP="00042678">
      <w:pPr>
        <w:pStyle w:val="Heading1"/>
        <w:numPr>
          <w:ilvl w:val="0"/>
          <w:numId w:val="4"/>
        </w:numPr>
        <w:tabs>
          <w:tab w:val="left" w:pos="372"/>
        </w:tabs>
      </w:pPr>
      <w:r>
        <w:rPr>
          <w:w w:val="105"/>
        </w:rPr>
        <w:t>Conferral of discretionary</w:t>
      </w:r>
      <w:r>
        <w:rPr>
          <w:spacing w:val="1"/>
          <w:w w:val="105"/>
        </w:rPr>
        <w:t xml:space="preserve"> </w:t>
      </w:r>
      <w:r>
        <w:rPr>
          <w:w w:val="105"/>
        </w:rPr>
        <w:t>authority</w:t>
      </w:r>
    </w:p>
    <w:p w:rsidR="00042678" w:rsidRDefault="00042678" w:rsidP="00042678">
      <w:pPr>
        <w:pStyle w:val="ListParagraph"/>
        <w:numPr>
          <w:ilvl w:val="1"/>
          <w:numId w:val="4"/>
        </w:numPr>
        <w:tabs>
          <w:tab w:val="left" w:pos="676"/>
          <w:tab w:val="left" w:pos="677"/>
        </w:tabs>
        <w:spacing w:before="133" w:line="252" w:lineRule="auto"/>
        <w:ind w:left="676" w:right="485" w:hanging="550"/>
        <w:rPr>
          <w:sz w:val="21"/>
        </w:rPr>
      </w:pPr>
      <w:r>
        <w:rPr>
          <w:w w:val="105"/>
          <w:sz w:val="21"/>
        </w:rPr>
        <w:t>The Law Society Council has discretionary authority, on application by a Participating Member, to specify in relation to the Participating Member, a higher maximum amount of liability than would otherwise apply under the Scheme in relation to him or her either in all cases or in any specified case</w:t>
      </w:r>
      <w:r>
        <w:rPr>
          <w:spacing w:val="-36"/>
          <w:w w:val="105"/>
          <w:sz w:val="21"/>
        </w:rPr>
        <w:t xml:space="preserve"> </w:t>
      </w:r>
      <w:r>
        <w:rPr>
          <w:w w:val="105"/>
          <w:sz w:val="21"/>
        </w:rPr>
        <w:t>or class of case.</w:t>
      </w:r>
    </w:p>
    <w:p w:rsidR="00042678" w:rsidRDefault="00042678" w:rsidP="00042678">
      <w:pPr>
        <w:pStyle w:val="ListParagraph"/>
        <w:numPr>
          <w:ilvl w:val="1"/>
          <w:numId w:val="4"/>
        </w:numPr>
        <w:tabs>
          <w:tab w:val="left" w:pos="676"/>
          <w:tab w:val="left" w:pos="677"/>
        </w:tabs>
        <w:spacing w:before="120" w:line="252" w:lineRule="auto"/>
        <w:ind w:left="676" w:right="496" w:hanging="550"/>
        <w:rPr>
          <w:sz w:val="21"/>
        </w:rPr>
      </w:pPr>
      <w:r>
        <w:rPr>
          <w:w w:val="105"/>
          <w:sz w:val="21"/>
        </w:rPr>
        <w:t>If, in the exercise of discretion under clause 5.1, the Law Society Council</w:t>
      </w:r>
      <w:r>
        <w:rPr>
          <w:spacing w:val="-43"/>
          <w:w w:val="105"/>
          <w:sz w:val="21"/>
        </w:rPr>
        <w:t xml:space="preserve"> </w:t>
      </w:r>
      <w:r>
        <w:rPr>
          <w:w w:val="105"/>
          <w:sz w:val="21"/>
        </w:rPr>
        <w:t>has specified a higher maximum amount of liability than would otherwise apply under the Scheme in relation to a Participating Member, after satisfying itself that there is evidence of top up Professional Indemnity Insurance commensurate with the higher maximum amount of liability sought, then the maximum amount of liability in relation to that Participating Member is that higher maximum</w:t>
      </w:r>
      <w:r>
        <w:rPr>
          <w:spacing w:val="1"/>
          <w:w w:val="105"/>
          <w:sz w:val="21"/>
        </w:rPr>
        <w:t xml:space="preserve"> </w:t>
      </w:r>
      <w:r>
        <w:rPr>
          <w:w w:val="105"/>
          <w:sz w:val="21"/>
        </w:rPr>
        <w:t>amount.</w:t>
      </w:r>
    </w:p>
    <w:p w:rsidR="00042678" w:rsidRDefault="00042678" w:rsidP="00042678">
      <w:pPr>
        <w:pStyle w:val="BodyText"/>
        <w:spacing w:before="4"/>
      </w:pPr>
    </w:p>
    <w:p w:rsidR="00042678" w:rsidRDefault="00042678" w:rsidP="00042678">
      <w:pPr>
        <w:pStyle w:val="Heading1"/>
        <w:numPr>
          <w:ilvl w:val="0"/>
          <w:numId w:val="4"/>
        </w:numPr>
        <w:tabs>
          <w:tab w:val="left" w:pos="372"/>
        </w:tabs>
      </w:pPr>
      <w:r>
        <w:rPr>
          <w:w w:val="105"/>
        </w:rPr>
        <w:t>Duration</w:t>
      </w:r>
    </w:p>
    <w:p w:rsidR="00042678" w:rsidRPr="00E7353D" w:rsidRDefault="00F36044" w:rsidP="00F36044">
      <w:pPr>
        <w:pStyle w:val="ListParagraph"/>
        <w:numPr>
          <w:ilvl w:val="1"/>
          <w:numId w:val="4"/>
        </w:numPr>
        <w:tabs>
          <w:tab w:val="left" w:pos="693"/>
          <w:tab w:val="left" w:pos="694"/>
        </w:tabs>
        <w:spacing w:before="133"/>
        <w:ind w:left="709" w:hanging="583"/>
        <w:rPr>
          <w:sz w:val="21"/>
        </w:rPr>
      </w:pPr>
      <w:bookmarkStart w:id="2" w:name="_Hlk515619783"/>
      <w:r>
        <w:rPr>
          <w:w w:val="105"/>
          <w:sz w:val="21"/>
        </w:rPr>
        <w:t xml:space="preserve">This Scheme </w:t>
      </w:r>
      <w:r w:rsidR="00042678">
        <w:rPr>
          <w:w w:val="105"/>
          <w:sz w:val="21"/>
        </w:rPr>
        <w:t>commence</w:t>
      </w:r>
      <w:r>
        <w:rPr>
          <w:w w:val="105"/>
          <w:sz w:val="21"/>
        </w:rPr>
        <w:t>d</w:t>
      </w:r>
      <w:r w:rsidR="00042678">
        <w:rPr>
          <w:w w:val="105"/>
          <w:sz w:val="21"/>
        </w:rPr>
        <w:t xml:space="preserve"> in New South Wales, Victoria, Queensland, Western Australia, Tasmania, </w:t>
      </w:r>
      <w:r w:rsidRPr="00F36044">
        <w:rPr>
          <w:w w:val="105"/>
          <w:sz w:val="21"/>
        </w:rPr>
        <w:t xml:space="preserve">South Australia </w:t>
      </w:r>
      <w:r w:rsidR="00042678">
        <w:rPr>
          <w:w w:val="105"/>
          <w:sz w:val="21"/>
        </w:rPr>
        <w:t>and the Northern Territory on 22 November 2018.</w:t>
      </w:r>
      <w:bookmarkEnd w:id="2"/>
    </w:p>
    <w:p w:rsidR="00042678" w:rsidRPr="00E7353D" w:rsidRDefault="00042678" w:rsidP="00042678">
      <w:pPr>
        <w:pStyle w:val="ListParagraph"/>
        <w:numPr>
          <w:ilvl w:val="1"/>
          <w:numId w:val="4"/>
        </w:numPr>
        <w:tabs>
          <w:tab w:val="left" w:pos="693"/>
          <w:tab w:val="left" w:pos="694"/>
        </w:tabs>
        <w:spacing w:before="133"/>
        <w:ind w:left="693" w:hanging="567"/>
        <w:rPr>
          <w:sz w:val="21"/>
        </w:rPr>
      </w:pPr>
      <w:bookmarkStart w:id="3" w:name="_Hlk515619841"/>
      <w:r>
        <w:rPr>
          <w:w w:val="105"/>
          <w:sz w:val="21"/>
        </w:rPr>
        <w:t>In the Aus</w:t>
      </w:r>
      <w:r w:rsidR="00F36044">
        <w:rPr>
          <w:w w:val="105"/>
          <w:sz w:val="21"/>
        </w:rPr>
        <w:t>tralian Capital Territory</w:t>
      </w:r>
      <w:r>
        <w:rPr>
          <w:w w:val="105"/>
          <w:sz w:val="21"/>
        </w:rPr>
        <w:t xml:space="preserve"> the Scheme will commence:</w:t>
      </w:r>
    </w:p>
    <w:p w:rsidR="00042678" w:rsidRDefault="00042678" w:rsidP="00042678">
      <w:pPr>
        <w:pStyle w:val="ListParagraph"/>
        <w:numPr>
          <w:ilvl w:val="2"/>
          <w:numId w:val="4"/>
        </w:numPr>
        <w:tabs>
          <w:tab w:val="left" w:pos="693"/>
          <w:tab w:val="left" w:pos="694"/>
        </w:tabs>
        <w:spacing w:before="133"/>
        <w:rPr>
          <w:sz w:val="21"/>
        </w:rPr>
      </w:pPr>
      <w:r>
        <w:rPr>
          <w:sz w:val="21"/>
        </w:rPr>
        <w:t>on the date provided for in the Minister’s notice in relation to the Scheme, if a date is provided; or</w:t>
      </w:r>
    </w:p>
    <w:p w:rsidR="00042678" w:rsidRDefault="00042678" w:rsidP="00042678">
      <w:pPr>
        <w:pStyle w:val="ListParagraph"/>
        <w:numPr>
          <w:ilvl w:val="2"/>
          <w:numId w:val="4"/>
        </w:numPr>
        <w:tabs>
          <w:tab w:val="left" w:pos="693"/>
          <w:tab w:val="left" w:pos="694"/>
        </w:tabs>
        <w:spacing w:before="133"/>
        <w:rPr>
          <w:sz w:val="21"/>
        </w:rPr>
      </w:pPr>
      <w:r>
        <w:rPr>
          <w:sz w:val="21"/>
        </w:rPr>
        <w:t>on the first day two months after the day on which notice was given, in any other case.</w:t>
      </w:r>
    </w:p>
    <w:bookmarkEnd w:id="3"/>
    <w:p w:rsidR="00042678" w:rsidRDefault="00042678" w:rsidP="00042678">
      <w:pPr>
        <w:pStyle w:val="ListParagraph"/>
        <w:numPr>
          <w:ilvl w:val="1"/>
          <w:numId w:val="1"/>
        </w:numPr>
        <w:tabs>
          <w:tab w:val="left" w:pos="693"/>
          <w:tab w:val="left" w:pos="694"/>
        </w:tabs>
        <w:spacing w:before="129" w:line="252" w:lineRule="auto"/>
        <w:ind w:right="421" w:hanging="551"/>
        <w:rPr>
          <w:sz w:val="21"/>
        </w:rPr>
      </w:pPr>
      <w:r>
        <w:rPr>
          <w:sz w:val="21"/>
        </w:rPr>
        <w:lastRenderedPageBreak/>
        <w:t>T</w:t>
      </w:r>
      <w:bookmarkStart w:id="4" w:name="_Hlk515619963"/>
      <w:r>
        <w:rPr>
          <w:sz w:val="21"/>
        </w:rPr>
        <w:t>his Scheme will be in force for five years from its commencement in New South Wales</w:t>
      </w:r>
      <w:bookmarkEnd w:id="4"/>
      <w:r>
        <w:rPr>
          <w:sz w:val="21"/>
        </w:rPr>
        <w:t>.</w:t>
      </w:r>
    </w:p>
    <w:p w:rsidR="00042678" w:rsidRDefault="00042678" w:rsidP="00042678">
      <w:pPr>
        <w:pStyle w:val="ListParagraph"/>
        <w:numPr>
          <w:ilvl w:val="1"/>
          <w:numId w:val="1"/>
        </w:numPr>
        <w:tabs>
          <w:tab w:val="left" w:pos="693"/>
          <w:tab w:val="left" w:pos="694"/>
        </w:tabs>
        <w:spacing w:before="129" w:line="252" w:lineRule="auto"/>
        <w:ind w:right="421" w:hanging="567"/>
        <w:rPr>
          <w:sz w:val="21"/>
        </w:rPr>
      </w:pPr>
      <w:bookmarkStart w:id="5" w:name="_Hlk515620008"/>
      <w:r>
        <w:rPr>
          <w:sz w:val="21"/>
        </w:rPr>
        <w:t>For any other jurisdiction, the Scheme will be in force for:</w:t>
      </w:r>
    </w:p>
    <w:p w:rsidR="00042678" w:rsidRDefault="00042678" w:rsidP="00042678">
      <w:pPr>
        <w:pStyle w:val="ListParagraph"/>
        <w:numPr>
          <w:ilvl w:val="2"/>
          <w:numId w:val="1"/>
        </w:numPr>
        <w:tabs>
          <w:tab w:val="left" w:pos="693"/>
          <w:tab w:val="left" w:pos="694"/>
        </w:tabs>
        <w:spacing w:before="129" w:line="252" w:lineRule="auto"/>
        <w:ind w:right="421"/>
        <w:rPr>
          <w:sz w:val="21"/>
        </w:rPr>
      </w:pPr>
      <w:r>
        <w:rPr>
          <w:sz w:val="21"/>
        </w:rPr>
        <w:t>five years from the date of commencement in that jurisdiction; or</w:t>
      </w:r>
    </w:p>
    <w:p w:rsidR="00042678" w:rsidRDefault="00042678" w:rsidP="00042678">
      <w:pPr>
        <w:pStyle w:val="ListParagraph"/>
        <w:numPr>
          <w:ilvl w:val="2"/>
          <w:numId w:val="1"/>
        </w:numPr>
        <w:tabs>
          <w:tab w:val="left" w:pos="693"/>
          <w:tab w:val="left" w:pos="694"/>
        </w:tabs>
        <w:spacing w:before="129" w:line="252" w:lineRule="auto"/>
        <w:ind w:right="421"/>
        <w:rPr>
          <w:sz w:val="21"/>
        </w:rPr>
      </w:pPr>
      <w:r>
        <w:rPr>
          <w:sz w:val="21"/>
        </w:rPr>
        <w:t>five years from the date of commencement in New South Wales;</w:t>
      </w:r>
    </w:p>
    <w:p w:rsidR="00042678" w:rsidRDefault="00042678" w:rsidP="00042678">
      <w:pPr>
        <w:tabs>
          <w:tab w:val="left" w:pos="693"/>
          <w:tab w:val="left" w:pos="694"/>
        </w:tabs>
        <w:spacing w:before="129" w:line="252" w:lineRule="auto"/>
        <w:ind w:left="709" w:right="421"/>
        <w:rPr>
          <w:sz w:val="21"/>
        </w:rPr>
      </w:pPr>
      <w:r>
        <w:rPr>
          <w:sz w:val="21"/>
        </w:rPr>
        <w:t>whichever period ends first.</w:t>
      </w:r>
    </w:p>
    <w:bookmarkEnd w:id="5"/>
    <w:p w:rsidR="00042678" w:rsidRPr="00D21962" w:rsidRDefault="00042678" w:rsidP="00042678">
      <w:pPr>
        <w:tabs>
          <w:tab w:val="left" w:pos="693"/>
          <w:tab w:val="left" w:pos="694"/>
        </w:tabs>
        <w:spacing w:before="129" w:line="252" w:lineRule="auto"/>
        <w:ind w:left="709" w:right="421" w:hanging="567"/>
        <w:rPr>
          <w:sz w:val="21"/>
        </w:rPr>
      </w:pPr>
      <w:r>
        <w:rPr>
          <w:sz w:val="21"/>
        </w:rPr>
        <w:t>6.5</w:t>
      </w:r>
      <w:r>
        <w:rPr>
          <w:sz w:val="21"/>
        </w:rPr>
        <w:tab/>
        <w:t>Clauses 6.3 and 6.4 are subject to the provisions of each jurisdiction applicable to the revocation, extension or cessation of Schemes.</w:t>
      </w:r>
    </w:p>
    <w:p w:rsidR="00042678" w:rsidRPr="009346E3" w:rsidRDefault="00042678" w:rsidP="00042678">
      <w:pPr>
        <w:pStyle w:val="Footer"/>
        <w:rPr>
          <w:sz w:val="22"/>
        </w:rPr>
      </w:pPr>
      <w:r w:rsidRPr="009346E3">
        <w:rPr>
          <w:sz w:val="22"/>
        </w:rPr>
        <w:fldChar w:fldCharType="begin"/>
      </w:r>
      <w:r w:rsidRPr="009346E3">
        <w:rPr>
          <w:sz w:val="22"/>
        </w:rPr>
        <w:instrText xml:space="preserve"> DOCPROPERTY  Author  \* MERGEFORMAT </w:instrText>
      </w:r>
      <w:r w:rsidRPr="009346E3">
        <w:rPr>
          <w:sz w:val="22"/>
        </w:rPr>
        <w:fldChar w:fldCharType="end"/>
      </w:r>
    </w:p>
    <w:p w:rsidR="00FE4F48" w:rsidRDefault="00E12419"/>
    <w:sectPr w:rsidR="00FE4F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7B" w:rsidRDefault="00C4167B">
      <w:r>
        <w:separator/>
      </w:r>
    </w:p>
  </w:endnote>
  <w:endnote w:type="continuationSeparator" w:id="0">
    <w:p w:rsidR="00C4167B" w:rsidRDefault="00C4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224" w:rsidRPr="00E12419" w:rsidRDefault="00042678" w:rsidP="00E12419">
    <w:pPr>
      <w:jc w:val="center"/>
      <w:rPr>
        <w:rFonts w:ascii="Arial" w:hAnsi="Arial" w:cs="Arial"/>
        <w:sz w:val="14"/>
        <w:szCs w:val="14"/>
      </w:rPr>
    </w:pPr>
    <w:r w:rsidRPr="00E12419">
      <w:rPr>
        <w:rFonts w:ascii="Arial" w:hAnsi="Arial" w:cs="Arial"/>
        <w:noProof/>
        <w:sz w:val="14"/>
        <w:szCs w:val="14"/>
        <w:lang w:eastAsia="en-AU"/>
      </w:rPr>
      <mc:AlternateContent>
        <mc:Choice Requires="wps">
          <w:drawing>
            <wp:anchor distT="0" distB="0" distL="114300" distR="114300" simplePos="0" relativeHeight="251659264" behindDoc="1" locked="0" layoutInCell="1" allowOverlap="1" wp14:anchorId="4139CD34" wp14:editId="6182254C">
              <wp:simplePos x="0" y="0"/>
              <wp:positionH relativeFrom="page">
                <wp:posOffset>6344285</wp:posOffset>
              </wp:positionH>
              <wp:positionV relativeFrom="page">
                <wp:posOffset>10298430</wp:posOffset>
              </wp:positionV>
              <wp:extent cx="107315" cy="137795"/>
              <wp:effectExtent l="635"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224" w:rsidRDefault="00042678">
                          <w:pPr>
                            <w:spacing w:before="13"/>
                            <w:ind w:left="40"/>
                            <w:rPr>
                              <w:sz w:val="16"/>
                            </w:rPr>
                          </w:pPr>
                          <w:r>
                            <w:fldChar w:fldCharType="begin"/>
                          </w:r>
                          <w:r>
                            <w:rPr>
                              <w:w w:val="99"/>
                              <w:sz w:val="16"/>
                            </w:rPr>
                            <w:instrText xml:space="preserve"> PAGE </w:instrText>
                          </w:r>
                          <w:r>
                            <w:fldChar w:fldCharType="separate"/>
                          </w:r>
                          <w:r w:rsidR="00E12419">
                            <w:rPr>
                              <w:noProof/>
                              <w:w w:val="99"/>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9CD34" id="_x0000_t202" coordsize="21600,21600" o:spt="202" path="m,l,21600r21600,l21600,xe">
              <v:stroke joinstyle="miter"/>
              <v:path gradientshapeok="t" o:connecttype="rect"/>
            </v:shapetype>
            <v:shape id="Text Box 1" o:spid="_x0000_s1026" type="#_x0000_t202" style="position:absolute;left:0;text-align:left;margin-left:499.55pt;margin-top:810.9pt;width:8.45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O1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" filled="f" stroked="f">
              <v:textbox inset="0,0,0,0">
                <w:txbxContent>
                  <w:p w:rsidR="00CE3224" w:rsidRDefault="00042678">
                    <w:pPr>
                      <w:spacing w:before="13"/>
                      <w:ind w:left="40"/>
                      <w:rPr>
                        <w:sz w:val="16"/>
                      </w:rPr>
                    </w:pPr>
                    <w:r>
                      <w:fldChar w:fldCharType="begin"/>
                    </w:r>
                    <w:r>
                      <w:rPr>
                        <w:w w:val="99"/>
                        <w:sz w:val="16"/>
                      </w:rPr>
                      <w:instrText xml:space="preserve"> PAGE </w:instrText>
                    </w:r>
                    <w:r>
                      <w:fldChar w:fldCharType="separate"/>
                    </w:r>
                    <w:r w:rsidR="00E12419">
                      <w:rPr>
                        <w:noProof/>
                        <w:w w:val="99"/>
                        <w:sz w:val="16"/>
                      </w:rPr>
                      <w:t>8</w:t>
                    </w:r>
                    <w:r>
                      <w:fldChar w:fldCharType="end"/>
                    </w:r>
                  </w:p>
                </w:txbxContent>
              </v:textbox>
              <w10:wrap anchorx="page" anchory="page"/>
            </v:shape>
          </w:pict>
        </mc:Fallback>
      </mc:AlternateContent>
    </w:r>
    <w:proofErr w:type="spellStart"/>
    <w:r w:rsidR="00603925" w:rsidRPr="00E12419">
      <w:rPr>
        <w:rFonts w:ascii="Arial" w:hAnsi="Arial" w:cs="Arial"/>
        <w:sz w:val="14"/>
        <w:szCs w:val="14"/>
      </w:rPr>
      <w:t>Unauthorised</w:t>
    </w:r>
    <w:proofErr w:type="spellEnd"/>
    <w:r w:rsidR="00603925" w:rsidRPr="00E12419">
      <w:rPr>
        <w:rFonts w:ascii="Arial" w:hAnsi="Arial" w:cs="Arial"/>
        <w:sz w:val="14"/>
        <w:szCs w:val="14"/>
      </w:rPr>
      <w:t xml:space="preserve">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7B" w:rsidRDefault="00C4167B">
      <w:r>
        <w:separator/>
      </w:r>
    </w:p>
  </w:footnote>
  <w:footnote w:type="continuationSeparator" w:id="0">
    <w:p w:rsidR="00C4167B" w:rsidRDefault="00C4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12D7"/>
    <w:multiLevelType w:val="hybridMultilevel"/>
    <w:tmpl w:val="ED3CAC58"/>
    <w:lvl w:ilvl="0" w:tplc="460CB3EA">
      <w:start w:val="1"/>
      <w:numFmt w:val="lowerLetter"/>
      <w:lvlText w:val="(%1)"/>
      <w:lvlJc w:val="left"/>
      <w:pPr>
        <w:ind w:left="110" w:hanging="331"/>
      </w:pPr>
      <w:rPr>
        <w:rFonts w:ascii="Arial" w:eastAsia="Arial" w:hAnsi="Arial" w:cs="Arial" w:hint="default"/>
        <w:spacing w:val="0"/>
        <w:w w:val="102"/>
        <w:sz w:val="21"/>
        <w:szCs w:val="21"/>
      </w:rPr>
    </w:lvl>
    <w:lvl w:ilvl="1" w:tplc="9D62253E">
      <w:numFmt w:val="bullet"/>
      <w:lvlText w:val="•"/>
      <w:lvlJc w:val="left"/>
      <w:pPr>
        <w:ind w:left="532" w:hanging="331"/>
      </w:pPr>
      <w:rPr>
        <w:rFonts w:hint="default"/>
      </w:rPr>
    </w:lvl>
    <w:lvl w:ilvl="2" w:tplc="3B6286F8">
      <w:numFmt w:val="bullet"/>
      <w:lvlText w:val="•"/>
      <w:lvlJc w:val="left"/>
      <w:pPr>
        <w:ind w:left="944" w:hanging="331"/>
      </w:pPr>
      <w:rPr>
        <w:rFonts w:hint="default"/>
      </w:rPr>
    </w:lvl>
    <w:lvl w:ilvl="3" w:tplc="768C4F22">
      <w:numFmt w:val="bullet"/>
      <w:lvlText w:val="•"/>
      <w:lvlJc w:val="left"/>
      <w:pPr>
        <w:ind w:left="1356" w:hanging="331"/>
      </w:pPr>
      <w:rPr>
        <w:rFonts w:hint="default"/>
      </w:rPr>
    </w:lvl>
    <w:lvl w:ilvl="4" w:tplc="3ED0FD4A">
      <w:numFmt w:val="bullet"/>
      <w:lvlText w:val="•"/>
      <w:lvlJc w:val="left"/>
      <w:pPr>
        <w:ind w:left="1769" w:hanging="331"/>
      </w:pPr>
      <w:rPr>
        <w:rFonts w:hint="default"/>
      </w:rPr>
    </w:lvl>
    <w:lvl w:ilvl="5" w:tplc="B5424052">
      <w:numFmt w:val="bullet"/>
      <w:lvlText w:val="•"/>
      <w:lvlJc w:val="left"/>
      <w:pPr>
        <w:ind w:left="2181" w:hanging="331"/>
      </w:pPr>
      <w:rPr>
        <w:rFonts w:hint="default"/>
      </w:rPr>
    </w:lvl>
    <w:lvl w:ilvl="6" w:tplc="DE4233A4">
      <w:numFmt w:val="bullet"/>
      <w:lvlText w:val="•"/>
      <w:lvlJc w:val="left"/>
      <w:pPr>
        <w:ind w:left="2593" w:hanging="331"/>
      </w:pPr>
      <w:rPr>
        <w:rFonts w:hint="default"/>
      </w:rPr>
    </w:lvl>
    <w:lvl w:ilvl="7" w:tplc="72C46C84">
      <w:numFmt w:val="bullet"/>
      <w:lvlText w:val="•"/>
      <w:lvlJc w:val="left"/>
      <w:pPr>
        <w:ind w:left="3006" w:hanging="331"/>
      </w:pPr>
      <w:rPr>
        <w:rFonts w:hint="default"/>
      </w:rPr>
    </w:lvl>
    <w:lvl w:ilvl="8" w:tplc="6B0AB70C">
      <w:numFmt w:val="bullet"/>
      <w:lvlText w:val="•"/>
      <w:lvlJc w:val="left"/>
      <w:pPr>
        <w:ind w:left="3418" w:hanging="331"/>
      </w:pPr>
      <w:rPr>
        <w:rFonts w:hint="default"/>
      </w:rPr>
    </w:lvl>
  </w:abstractNum>
  <w:abstractNum w:abstractNumId="1" w15:restartNumberingAfterBreak="0">
    <w:nsid w:val="5B760F01"/>
    <w:multiLevelType w:val="multilevel"/>
    <w:tmpl w:val="93D4A2A6"/>
    <w:lvl w:ilvl="0">
      <w:start w:val="1"/>
      <w:numFmt w:val="decimal"/>
      <w:lvlText w:val="%1."/>
      <w:lvlJc w:val="left"/>
      <w:pPr>
        <w:ind w:left="371" w:hanging="245"/>
      </w:pPr>
      <w:rPr>
        <w:rFonts w:ascii="Arial" w:eastAsia="Arial" w:hAnsi="Arial" w:cs="Arial" w:hint="default"/>
        <w:b/>
        <w:bCs/>
        <w:spacing w:val="0"/>
        <w:w w:val="102"/>
        <w:sz w:val="21"/>
        <w:szCs w:val="21"/>
      </w:rPr>
    </w:lvl>
    <w:lvl w:ilvl="1">
      <w:start w:val="1"/>
      <w:numFmt w:val="decimal"/>
      <w:lvlText w:val="%1.%2"/>
      <w:lvlJc w:val="left"/>
      <w:pPr>
        <w:ind w:left="486" w:hanging="360"/>
      </w:pPr>
      <w:rPr>
        <w:rFonts w:ascii="Arial" w:eastAsia="Arial" w:hAnsi="Arial" w:cs="Arial" w:hint="default"/>
        <w:spacing w:val="0"/>
        <w:w w:val="102"/>
        <w:sz w:val="21"/>
        <w:szCs w:val="21"/>
      </w:rPr>
    </w:lvl>
    <w:lvl w:ilvl="2">
      <w:start w:val="1"/>
      <w:numFmt w:val="decimal"/>
      <w:lvlText w:val="%1.%2.%3"/>
      <w:lvlJc w:val="left"/>
      <w:pPr>
        <w:ind w:left="1402" w:hanging="709"/>
      </w:pPr>
      <w:rPr>
        <w:rFonts w:ascii="Arial" w:eastAsia="Arial" w:hAnsi="Arial" w:cs="Arial" w:hint="default"/>
        <w:spacing w:val="0"/>
        <w:w w:val="102"/>
        <w:sz w:val="21"/>
        <w:szCs w:val="21"/>
      </w:rPr>
    </w:lvl>
    <w:lvl w:ilvl="3">
      <w:numFmt w:val="bullet"/>
      <w:lvlText w:val="•"/>
      <w:lvlJc w:val="left"/>
      <w:pPr>
        <w:ind w:left="700" w:hanging="709"/>
      </w:pPr>
      <w:rPr>
        <w:rFonts w:hint="default"/>
      </w:rPr>
    </w:lvl>
    <w:lvl w:ilvl="4">
      <w:numFmt w:val="bullet"/>
      <w:lvlText w:val="•"/>
      <w:lvlJc w:val="left"/>
      <w:pPr>
        <w:ind w:left="1340" w:hanging="709"/>
      </w:pPr>
      <w:rPr>
        <w:rFonts w:hint="default"/>
      </w:rPr>
    </w:lvl>
    <w:lvl w:ilvl="5">
      <w:numFmt w:val="bullet"/>
      <w:lvlText w:val="•"/>
      <w:lvlJc w:val="left"/>
      <w:pPr>
        <w:ind w:left="1400" w:hanging="709"/>
      </w:pPr>
      <w:rPr>
        <w:rFonts w:hint="default"/>
      </w:rPr>
    </w:lvl>
    <w:lvl w:ilvl="6">
      <w:numFmt w:val="bullet"/>
      <w:lvlText w:val="•"/>
      <w:lvlJc w:val="left"/>
      <w:pPr>
        <w:ind w:left="2852" w:hanging="709"/>
      </w:pPr>
      <w:rPr>
        <w:rFonts w:hint="default"/>
      </w:rPr>
    </w:lvl>
    <w:lvl w:ilvl="7">
      <w:numFmt w:val="bullet"/>
      <w:lvlText w:val="•"/>
      <w:lvlJc w:val="left"/>
      <w:pPr>
        <w:ind w:left="4304" w:hanging="709"/>
      </w:pPr>
      <w:rPr>
        <w:rFonts w:hint="default"/>
      </w:rPr>
    </w:lvl>
    <w:lvl w:ilvl="8">
      <w:numFmt w:val="bullet"/>
      <w:lvlText w:val="•"/>
      <w:lvlJc w:val="left"/>
      <w:pPr>
        <w:ind w:left="5756" w:hanging="709"/>
      </w:pPr>
      <w:rPr>
        <w:rFonts w:hint="default"/>
      </w:rPr>
    </w:lvl>
  </w:abstractNum>
  <w:abstractNum w:abstractNumId="2" w15:restartNumberingAfterBreak="0">
    <w:nsid w:val="762F35ED"/>
    <w:multiLevelType w:val="hybridMultilevel"/>
    <w:tmpl w:val="1F5A09C8"/>
    <w:lvl w:ilvl="0" w:tplc="BECC3DBC">
      <w:start w:val="1"/>
      <w:numFmt w:val="upperLetter"/>
      <w:lvlText w:val="%1."/>
      <w:lvlJc w:val="left"/>
      <w:pPr>
        <w:ind w:left="846" w:hanging="360"/>
      </w:pPr>
      <w:rPr>
        <w:rFonts w:ascii="Arial" w:eastAsia="Arial" w:hAnsi="Arial" w:cs="Arial" w:hint="default"/>
        <w:spacing w:val="0"/>
        <w:w w:val="102"/>
        <w:sz w:val="21"/>
        <w:szCs w:val="21"/>
      </w:rPr>
    </w:lvl>
    <w:lvl w:ilvl="1" w:tplc="BEB82EDA">
      <w:numFmt w:val="bullet"/>
      <w:lvlText w:val="•"/>
      <w:lvlJc w:val="left"/>
      <w:pPr>
        <w:ind w:left="1622" w:hanging="360"/>
      </w:pPr>
      <w:rPr>
        <w:rFonts w:hint="default"/>
      </w:rPr>
    </w:lvl>
    <w:lvl w:ilvl="2" w:tplc="DBBC34E4">
      <w:numFmt w:val="bullet"/>
      <w:lvlText w:val="•"/>
      <w:lvlJc w:val="left"/>
      <w:pPr>
        <w:ind w:left="2404" w:hanging="360"/>
      </w:pPr>
      <w:rPr>
        <w:rFonts w:hint="default"/>
      </w:rPr>
    </w:lvl>
    <w:lvl w:ilvl="3" w:tplc="74ECE0DA">
      <w:numFmt w:val="bullet"/>
      <w:lvlText w:val="•"/>
      <w:lvlJc w:val="left"/>
      <w:pPr>
        <w:ind w:left="3186" w:hanging="360"/>
      </w:pPr>
      <w:rPr>
        <w:rFonts w:hint="default"/>
      </w:rPr>
    </w:lvl>
    <w:lvl w:ilvl="4" w:tplc="8668D688">
      <w:numFmt w:val="bullet"/>
      <w:lvlText w:val="•"/>
      <w:lvlJc w:val="left"/>
      <w:pPr>
        <w:ind w:left="3968" w:hanging="360"/>
      </w:pPr>
      <w:rPr>
        <w:rFonts w:hint="default"/>
      </w:rPr>
    </w:lvl>
    <w:lvl w:ilvl="5" w:tplc="ABC2CEB0">
      <w:numFmt w:val="bullet"/>
      <w:lvlText w:val="•"/>
      <w:lvlJc w:val="left"/>
      <w:pPr>
        <w:ind w:left="4750" w:hanging="360"/>
      </w:pPr>
      <w:rPr>
        <w:rFonts w:hint="default"/>
      </w:rPr>
    </w:lvl>
    <w:lvl w:ilvl="6" w:tplc="C690FCB4">
      <w:numFmt w:val="bullet"/>
      <w:lvlText w:val="•"/>
      <w:lvlJc w:val="left"/>
      <w:pPr>
        <w:ind w:left="5532" w:hanging="360"/>
      </w:pPr>
      <w:rPr>
        <w:rFonts w:hint="default"/>
      </w:rPr>
    </w:lvl>
    <w:lvl w:ilvl="7" w:tplc="35C40B06">
      <w:numFmt w:val="bullet"/>
      <w:lvlText w:val="•"/>
      <w:lvlJc w:val="left"/>
      <w:pPr>
        <w:ind w:left="6314" w:hanging="360"/>
      </w:pPr>
      <w:rPr>
        <w:rFonts w:hint="default"/>
      </w:rPr>
    </w:lvl>
    <w:lvl w:ilvl="8" w:tplc="2E666846">
      <w:numFmt w:val="bullet"/>
      <w:lvlText w:val="•"/>
      <w:lvlJc w:val="left"/>
      <w:pPr>
        <w:ind w:left="7096" w:hanging="360"/>
      </w:pPr>
      <w:rPr>
        <w:rFonts w:hint="default"/>
      </w:rPr>
    </w:lvl>
  </w:abstractNum>
  <w:abstractNum w:abstractNumId="3" w15:restartNumberingAfterBreak="0">
    <w:nsid w:val="79447E48"/>
    <w:multiLevelType w:val="multilevel"/>
    <w:tmpl w:val="AC22282E"/>
    <w:lvl w:ilvl="0">
      <w:start w:val="6"/>
      <w:numFmt w:val="decimal"/>
      <w:lvlText w:val="%1"/>
      <w:lvlJc w:val="left"/>
      <w:pPr>
        <w:ind w:left="1566" w:hanging="720"/>
      </w:pPr>
      <w:rPr>
        <w:rFonts w:hint="default"/>
      </w:rPr>
    </w:lvl>
    <w:lvl w:ilvl="1">
      <w:start w:val="3"/>
      <w:numFmt w:val="decimal"/>
      <w:lvlText w:val="%1.%2"/>
      <w:lvlJc w:val="left"/>
      <w:pPr>
        <w:ind w:left="693" w:hanging="720"/>
      </w:pPr>
      <w:rPr>
        <w:rFonts w:hint="default"/>
      </w:rPr>
    </w:lvl>
    <w:lvl w:ilvl="2">
      <w:start w:val="1"/>
      <w:numFmt w:val="decimal"/>
      <w:lvlText w:val="%1.%2.%3"/>
      <w:lvlJc w:val="left"/>
      <w:pPr>
        <w:ind w:left="1566" w:hanging="720"/>
      </w:pPr>
      <w:rPr>
        <w:rFonts w:ascii="Arial" w:eastAsia="Arial" w:hAnsi="Arial" w:cs="Arial" w:hint="default"/>
        <w:spacing w:val="0"/>
        <w:w w:val="102"/>
        <w:sz w:val="21"/>
        <w:szCs w:val="21"/>
      </w:rPr>
    </w:lvl>
    <w:lvl w:ilvl="3">
      <w:numFmt w:val="bullet"/>
      <w:lvlText w:val="•"/>
      <w:lvlJc w:val="left"/>
      <w:pPr>
        <w:ind w:left="3137" w:hanging="720"/>
      </w:pPr>
      <w:rPr>
        <w:rFonts w:hint="default"/>
      </w:rPr>
    </w:lvl>
    <w:lvl w:ilvl="4">
      <w:numFmt w:val="bullet"/>
      <w:lvlText w:val="•"/>
      <w:lvlJc w:val="left"/>
      <w:pPr>
        <w:ind w:left="3926" w:hanging="720"/>
      </w:pPr>
      <w:rPr>
        <w:rFonts w:hint="default"/>
      </w:rPr>
    </w:lvl>
    <w:lvl w:ilvl="5">
      <w:numFmt w:val="bullet"/>
      <w:lvlText w:val="•"/>
      <w:lvlJc w:val="left"/>
      <w:pPr>
        <w:ind w:left="4715" w:hanging="720"/>
      </w:pPr>
      <w:rPr>
        <w:rFonts w:hint="default"/>
      </w:rPr>
    </w:lvl>
    <w:lvl w:ilvl="6">
      <w:numFmt w:val="bullet"/>
      <w:lvlText w:val="•"/>
      <w:lvlJc w:val="left"/>
      <w:pPr>
        <w:ind w:left="5504" w:hanging="720"/>
      </w:pPr>
      <w:rPr>
        <w:rFonts w:hint="default"/>
      </w:rPr>
    </w:lvl>
    <w:lvl w:ilvl="7">
      <w:numFmt w:val="bullet"/>
      <w:lvlText w:val="•"/>
      <w:lvlJc w:val="left"/>
      <w:pPr>
        <w:ind w:left="6293" w:hanging="720"/>
      </w:pPr>
      <w:rPr>
        <w:rFonts w:hint="default"/>
      </w:rPr>
    </w:lvl>
    <w:lvl w:ilvl="8">
      <w:numFmt w:val="bullet"/>
      <w:lvlText w:val="•"/>
      <w:lvlJc w:val="left"/>
      <w:pPr>
        <w:ind w:left="7082" w:hanging="720"/>
      </w:pPr>
      <w:rPr>
        <w:rFonts w:hint="default"/>
      </w:rPr>
    </w:lvl>
  </w:abstractNum>
  <w:abstractNum w:abstractNumId="4" w15:restartNumberingAfterBreak="0">
    <w:nsid w:val="7C1C18B3"/>
    <w:multiLevelType w:val="hybridMultilevel"/>
    <w:tmpl w:val="81483322"/>
    <w:lvl w:ilvl="0" w:tplc="1B7CC22E">
      <w:start w:val="1"/>
      <w:numFmt w:val="decimal"/>
      <w:lvlText w:val="%1"/>
      <w:lvlJc w:val="left"/>
      <w:pPr>
        <w:ind w:left="126" w:hanging="151"/>
      </w:pPr>
      <w:rPr>
        <w:rFonts w:ascii="Arial" w:eastAsia="Arial" w:hAnsi="Arial" w:cs="Arial" w:hint="default"/>
        <w:w w:val="104"/>
        <w:sz w:val="17"/>
        <w:szCs w:val="17"/>
      </w:rPr>
    </w:lvl>
    <w:lvl w:ilvl="1" w:tplc="12A6AC74">
      <w:start w:val="1"/>
      <w:numFmt w:val="lowerLetter"/>
      <w:lvlText w:val="(%2)"/>
      <w:lvlJc w:val="left"/>
      <w:pPr>
        <w:ind w:left="693" w:hanging="284"/>
      </w:pPr>
      <w:rPr>
        <w:rFonts w:ascii="Arial" w:eastAsia="Arial" w:hAnsi="Arial" w:cs="Arial" w:hint="default"/>
        <w:w w:val="104"/>
        <w:sz w:val="17"/>
        <w:szCs w:val="17"/>
      </w:rPr>
    </w:lvl>
    <w:lvl w:ilvl="2" w:tplc="73005322">
      <w:numFmt w:val="bullet"/>
      <w:lvlText w:val="•"/>
      <w:lvlJc w:val="left"/>
      <w:pPr>
        <w:ind w:left="840" w:hanging="284"/>
      </w:pPr>
      <w:rPr>
        <w:rFonts w:hint="default"/>
      </w:rPr>
    </w:lvl>
    <w:lvl w:ilvl="3" w:tplc="8ECA71F2">
      <w:numFmt w:val="bullet"/>
      <w:lvlText w:val="•"/>
      <w:lvlJc w:val="left"/>
      <w:pPr>
        <w:ind w:left="1817" w:hanging="284"/>
      </w:pPr>
      <w:rPr>
        <w:rFonts w:hint="default"/>
      </w:rPr>
    </w:lvl>
    <w:lvl w:ilvl="4" w:tplc="D6CCFF54">
      <w:numFmt w:val="bullet"/>
      <w:lvlText w:val="•"/>
      <w:lvlJc w:val="left"/>
      <w:pPr>
        <w:ind w:left="2795" w:hanging="284"/>
      </w:pPr>
      <w:rPr>
        <w:rFonts w:hint="default"/>
      </w:rPr>
    </w:lvl>
    <w:lvl w:ilvl="5" w:tplc="F7B47632">
      <w:numFmt w:val="bullet"/>
      <w:lvlText w:val="•"/>
      <w:lvlJc w:val="left"/>
      <w:pPr>
        <w:ind w:left="3772" w:hanging="284"/>
      </w:pPr>
      <w:rPr>
        <w:rFonts w:hint="default"/>
      </w:rPr>
    </w:lvl>
    <w:lvl w:ilvl="6" w:tplc="D416C9EC">
      <w:numFmt w:val="bullet"/>
      <w:lvlText w:val="•"/>
      <w:lvlJc w:val="left"/>
      <w:pPr>
        <w:ind w:left="4750" w:hanging="284"/>
      </w:pPr>
      <w:rPr>
        <w:rFonts w:hint="default"/>
      </w:rPr>
    </w:lvl>
    <w:lvl w:ilvl="7" w:tplc="EB68B420">
      <w:numFmt w:val="bullet"/>
      <w:lvlText w:val="•"/>
      <w:lvlJc w:val="left"/>
      <w:pPr>
        <w:ind w:left="5727" w:hanging="284"/>
      </w:pPr>
      <w:rPr>
        <w:rFonts w:hint="default"/>
      </w:rPr>
    </w:lvl>
    <w:lvl w:ilvl="8" w:tplc="9DCE5112">
      <w:numFmt w:val="bullet"/>
      <w:lvlText w:val="•"/>
      <w:lvlJc w:val="left"/>
      <w:pPr>
        <w:ind w:left="6705" w:hanging="284"/>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78"/>
    <w:rsid w:val="00042678"/>
    <w:rsid w:val="001C55AA"/>
    <w:rsid w:val="00603925"/>
    <w:rsid w:val="006F7598"/>
    <w:rsid w:val="009D7DE0"/>
    <w:rsid w:val="00C4167B"/>
    <w:rsid w:val="00D0594C"/>
    <w:rsid w:val="00E12419"/>
    <w:rsid w:val="00EE4C1D"/>
    <w:rsid w:val="00F36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5F76F-1C12-4EAC-8EE1-C2C9CF1C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78"/>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042678"/>
    <w:pPr>
      <w:widowControl w:val="0"/>
      <w:autoSpaceDE w:val="0"/>
      <w:autoSpaceDN w:val="0"/>
      <w:ind w:left="126"/>
      <w:outlineLvl w:val="0"/>
    </w:pPr>
    <w:rPr>
      <w:rFonts w:ascii="Arial" w:eastAsia="Arial"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042678"/>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042678"/>
    <w:pPr>
      <w:pBdr>
        <w:bottom w:val="single" w:sz="12" w:space="1" w:color="auto"/>
      </w:pBdr>
      <w:jc w:val="both"/>
    </w:pPr>
  </w:style>
  <w:style w:type="paragraph" w:customStyle="1" w:styleId="madeunder">
    <w:name w:val="made under"/>
    <w:basedOn w:val="Normal"/>
    <w:rsid w:val="00042678"/>
    <w:pPr>
      <w:spacing w:before="180" w:after="60"/>
      <w:jc w:val="both"/>
    </w:pPr>
  </w:style>
  <w:style w:type="paragraph" w:customStyle="1" w:styleId="CoverActName">
    <w:name w:val="CoverActName"/>
    <w:basedOn w:val="Normal"/>
    <w:rsid w:val="00042678"/>
    <w:pPr>
      <w:tabs>
        <w:tab w:val="left" w:pos="2600"/>
      </w:tabs>
      <w:spacing w:before="200" w:after="60"/>
      <w:jc w:val="both"/>
    </w:pPr>
    <w:rPr>
      <w:rFonts w:ascii="Arial" w:hAnsi="Arial"/>
      <w:b/>
    </w:rPr>
  </w:style>
  <w:style w:type="character" w:customStyle="1" w:styleId="Heading1Char">
    <w:name w:val="Heading 1 Char"/>
    <w:basedOn w:val="DefaultParagraphFont"/>
    <w:link w:val="Heading1"/>
    <w:uiPriority w:val="1"/>
    <w:rsid w:val="00042678"/>
    <w:rPr>
      <w:rFonts w:ascii="Arial" w:eastAsia="Arial" w:hAnsi="Arial" w:cs="Arial"/>
      <w:b/>
      <w:bCs/>
      <w:sz w:val="21"/>
      <w:szCs w:val="21"/>
      <w:lang w:val="en-US"/>
    </w:rPr>
  </w:style>
  <w:style w:type="paragraph" w:styleId="Footer">
    <w:name w:val="footer"/>
    <w:basedOn w:val="Normal"/>
    <w:link w:val="FooterChar"/>
    <w:rsid w:val="00042678"/>
    <w:pPr>
      <w:widowControl w:val="0"/>
      <w:tabs>
        <w:tab w:val="center" w:pos="4320"/>
        <w:tab w:val="right" w:pos="8640"/>
      </w:tabs>
      <w:autoSpaceDE w:val="0"/>
      <w:autoSpaceDN w:val="0"/>
    </w:pPr>
    <w:rPr>
      <w:rFonts w:ascii="Arial" w:eastAsia="Arial" w:hAnsi="Arial" w:cs="Arial"/>
      <w:sz w:val="16"/>
      <w:szCs w:val="22"/>
      <w:lang w:val="en-US"/>
    </w:rPr>
  </w:style>
  <w:style w:type="character" w:customStyle="1" w:styleId="FooterChar">
    <w:name w:val="Footer Char"/>
    <w:basedOn w:val="DefaultParagraphFont"/>
    <w:link w:val="Footer"/>
    <w:rsid w:val="00042678"/>
    <w:rPr>
      <w:rFonts w:ascii="Arial" w:eastAsia="Arial" w:hAnsi="Arial" w:cs="Arial"/>
      <w:sz w:val="16"/>
      <w:lang w:val="en-US"/>
    </w:rPr>
  </w:style>
  <w:style w:type="paragraph" w:styleId="BodyText">
    <w:name w:val="Body Text"/>
    <w:basedOn w:val="Normal"/>
    <w:link w:val="BodyTextChar"/>
    <w:uiPriority w:val="1"/>
    <w:qFormat/>
    <w:rsid w:val="00042678"/>
    <w:pPr>
      <w:widowControl w:val="0"/>
      <w:autoSpaceDE w:val="0"/>
      <w:autoSpaceDN w:val="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042678"/>
    <w:rPr>
      <w:rFonts w:ascii="Arial" w:eastAsia="Arial" w:hAnsi="Arial" w:cs="Arial"/>
      <w:sz w:val="21"/>
      <w:szCs w:val="21"/>
      <w:lang w:val="en-US"/>
    </w:rPr>
  </w:style>
  <w:style w:type="paragraph" w:styleId="ListParagraph">
    <w:name w:val="List Paragraph"/>
    <w:basedOn w:val="Normal"/>
    <w:uiPriority w:val="1"/>
    <w:qFormat/>
    <w:rsid w:val="00042678"/>
    <w:pPr>
      <w:widowControl w:val="0"/>
      <w:autoSpaceDE w:val="0"/>
      <w:autoSpaceDN w:val="0"/>
      <w:ind w:left="846" w:hanging="360"/>
    </w:pPr>
    <w:rPr>
      <w:rFonts w:ascii="Arial" w:eastAsia="Arial" w:hAnsi="Arial" w:cs="Arial"/>
      <w:sz w:val="22"/>
      <w:szCs w:val="22"/>
      <w:lang w:val="en-US"/>
    </w:rPr>
  </w:style>
  <w:style w:type="paragraph" w:customStyle="1" w:styleId="TableParagraph">
    <w:name w:val="Table Paragraph"/>
    <w:basedOn w:val="Normal"/>
    <w:uiPriority w:val="1"/>
    <w:qFormat/>
    <w:rsid w:val="00042678"/>
    <w:pPr>
      <w:widowControl w:val="0"/>
      <w:autoSpaceDE w:val="0"/>
      <w:autoSpaceDN w:val="0"/>
      <w:spacing w:before="4"/>
      <w:ind w:left="110"/>
    </w:pPr>
    <w:rPr>
      <w:rFonts w:ascii="Arial" w:eastAsia="Arial" w:hAnsi="Arial" w:cs="Arial"/>
      <w:sz w:val="22"/>
      <w:szCs w:val="22"/>
      <w:lang w:val="en-US"/>
    </w:rPr>
  </w:style>
  <w:style w:type="paragraph" w:styleId="Header">
    <w:name w:val="header"/>
    <w:basedOn w:val="Normal"/>
    <w:link w:val="HeaderChar"/>
    <w:uiPriority w:val="99"/>
    <w:unhideWhenUsed/>
    <w:rsid w:val="00603925"/>
    <w:pPr>
      <w:tabs>
        <w:tab w:val="center" w:pos="4513"/>
        <w:tab w:val="right" w:pos="9026"/>
      </w:tabs>
    </w:pPr>
  </w:style>
  <w:style w:type="character" w:customStyle="1" w:styleId="HeaderChar">
    <w:name w:val="Header Char"/>
    <w:basedOn w:val="DefaultParagraphFont"/>
    <w:link w:val="Header"/>
    <w:uiPriority w:val="99"/>
    <w:rsid w:val="006039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60965BEC.dotm</Template>
  <TotalTime>1</TotalTime>
  <Pages>8</Pages>
  <Words>3054</Words>
  <Characters>13470</Characters>
  <Application>Microsoft Office Word</Application>
  <DocSecurity>0</DocSecurity>
  <Lines>538</Lines>
  <Paragraphs>458</Paragraphs>
  <ScaleCrop>false</ScaleCrop>
  <Company>ACT Government</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6</cp:revision>
  <dcterms:created xsi:type="dcterms:W3CDTF">2018-11-29T05:40:00Z</dcterms:created>
  <dcterms:modified xsi:type="dcterms:W3CDTF">2018-11-29T06:23:00Z</dcterms:modified>
</cp:coreProperties>
</file>