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6E3B5B">
      <w:pPr>
        <w:pStyle w:val="Billname"/>
        <w:spacing w:before="700"/>
      </w:pPr>
      <w:r>
        <w:t xml:space="preserve">Government Procurement (Secure Local Jobs </w:t>
      </w:r>
      <w:r w:rsidR="00A214C8">
        <w:t>Complaints and Noncompliance Investigation</w:t>
      </w:r>
      <w:r w:rsidR="002245AB">
        <w:t>)</w:t>
      </w:r>
      <w:r>
        <w:t xml:space="preserve"> Guidelines</w:t>
      </w:r>
      <w:r w:rsidRPr="003353B1">
        <w:t xml:space="preserve"> 201</w:t>
      </w:r>
      <w:r>
        <w:t>8</w:t>
      </w:r>
    </w:p>
    <w:p w:rsidR="00F10CB2" w:rsidRDefault="00F10CB2" w:rsidP="00D47F13">
      <w:pPr>
        <w:spacing w:before="340"/>
        <w:rPr>
          <w:rFonts w:ascii="Arial" w:hAnsi="Arial" w:cs="Arial"/>
          <w:b/>
          <w:bCs/>
        </w:rPr>
      </w:pPr>
      <w:r>
        <w:rPr>
          <w:rFonts w:ascii="Arial" w:hAnsi="Arial" w:cs="Arial"/>
          <w:b/>
          <w:bCs/>
        </w:rPr>
        <w:t>Disallowable instrument DI</w:t>
      </w:r>
      <w:r w:rsidR="006E3B5B">
        <w:rPr>
          <w:rFonts w:ascii="Arial" w:hAnsi="Arial" w:cs="Arial"/>
          <w:b/>
          <w:bCs/>
          <w:iCs/>
        </w:rPr>
        <w:t>2018</w:t>
      </w:r>
      <w:r>
        <w:rPr>
          <w:rFonts w:ascii="Arial" w:hAnsi="Arial" w:cs="Arial"/>
          <w:b/>
          <w:bCs/>
        </w:rPr>
        <w:t>–</w:t>
      </w:r>
      <w:r w:rsidR="00324DE2">
        <w:rPr>
          <w:rFonts w:ascii="Arial" w:hAnsi="Arial" w:cs="Arial"/>
          <w:b/>
          <w:bCs/>
        </w:rPr>
        <w:t>288</w:t>
      </w:r>
    </w:p>
    <w:p w:rsidR="00F10CB2" w:rsidRDefault="006E3B5B" w:rsidP="00CD4E55">
      <w:pPr>
        <w:pStyle w:val="madeunder"/>
        <w:spacing w:before="300" w:after="0"/>
      </w:pPr>
      <w:r>
        <w:t xml:space="preserve">made under the </w:t>
      </w:r>
    </w:p>
    <w:p w:rsidR="00F10CB2" w:rsidRDefault="006E3B5B" w:rsidP="00CD4E55">
      <w:pPr>
        <w:pStyle w:val="CoverActName"/>
        <w:spacing w:before="320" w:after="0"/>
        <w:rPr>
          <w:rFonts w:cs="Arial"/>
          <w:sz w:val="20"/>
        </w:rPr>
      </w:pPr>
      <w:r w:rsidRPr="006E3B5B">
        <w:rPr>
          <w:rFonts w:cs="Arial"/>
          <w:i/>
          <w:sz w:val="20"/>
        </w:rPr>
        <w:t>Government Procurement Act 2001</w:t>
      </w:r>
      <w:r>
        <w:rPr>
          <w:rFonts w:cs="Arial"/>
          <w:sz w:val="20"/>
        </w:rPr>
        <w:t xml:space="preserve">, </w:t>
      </w:r>
      <w:r w:rsidR="002245AB">
        <w:rPr>
          <w:rFonts w:cs="Arial"/>
          <w:sz w:val="20"/>
        </w:rPr>
        <w:t>s22U (Guidelines for audits, complaints and requests for information)</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This instrument is the</w:t>
      </w:r>
      <w:r w:rsidR="006E3B5B">
        <w:t xml:space="preserve"> </w:t>
      </w:r>
      <w:r w:rsidR="002245AB" w:rsidRPr="002245AB">
        <w:rPr>
          <w:i/>
        </w:rPr>
        <w:t>Government Procurement (</w:t>
      </w:r>
      <w:r w:rsidR="006E3B5B" w:rsidRPr="002245AB">
        <w:rPr>
          <w:i/>
        </w:rPr>
        <w:t xml:space="preserve">Secure Local Jobs </w:t>
      </w:r>
      <w:r w:rsidR="00A214C8" w:rsidRPr="002245AB">
        <w:rPr>
          <w:i/>
        </w:rPr>
        <w:t>Complaints and Noncompliance Investigation</w:t>
      </w:r>
      <w:r w:rsidR="002245AB" w:rsidRPr="002245AB">
        <w:rPr>
          <w:i/>
        </w:rPr>
        <w:t>)</w:t>
      </w:r>
      <w:r w:rsidR="006E3B5B" w:rsidRPr="002245AB">
        <w:rPr>
          <w:i/>
        </w:rPr>
        <w:t xml:space="preserve"> Guidelines</w:t>
      </w:r>
      <w:r w:rsidR="002245AB" w:rsidRPr="002245AB">
        <w:rPr>
          <w:i/>
        </w:rPr>
        <w:t xml:space="preserve"> 2018</w:t>
      </w:r>
      <w:r w:rsidR="002245AB">
        <w:t>.</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76861" w:rsidRPr="0079282B" w:rsidRDefault="00876861" w:rsidP="00876861">
      <w:pPr>
        <w:pStyle w:val="IMain"/>
      </w:pPr>
      <w:r>
        <w:tab/>
      </w:r>
      <w:r w:rsidRPr="0079282B">
        <w:t>(1)</w:t>
      </w:r>
      <w:r w:rsidRPr="0079282B">
        <w:tab/>
        <w:t>This instrument commences on the day after its notification day.</w:t>
      </w:r>
    </w:p>
    <w:p w:rsidR="00876861" w:rsidRPr="0079282B" w:rsidRDefault="00876861" w:rsidP="00876861">
      <w:pPr>
        <w:pStyle w:val="IMain"/>
      </w:pPr>
      <w:r w:rsidRPr="0079282B">
        <w:tab/>
        <w:t>(2)</w:t>
      </w:r>
      <w:r w:rsidRPr="0079282B">
        <w:tab/>
        <w:t xml:space="preserve">The </w:t>
      </w:r>
      <w:r w:rsidRPr="005E48B7">
        <w:rPr>
          <w:i/>
        </w:rPr>
        <w:t>Legislation Act 2001</w:t>
      </w:r>
      <w:r w:rsidRPr="0079282B">
        <w:t>, section 81 (6) applies to this instrument.</w:t>
      </w:r>
    </w:p>
    <w:p w:rsidR="00876861" w:rsidRPr="0079282B" w:rsidRDefault="00876861" w:rsidP="00876861">
      <w:pPr>
        <w:pStyle w:val="aNote"/>
        <w:rPr>
          <w:rStyle w:val="charItals"/>
        </w:rPr>
      </w:pPr>
      <w:r w:rsidRPr="0079282B">
        <w:rPr>
          <w:rStyle w:val="charItals"/>
        </w:rPr>
        <w:t xml:space="preserve">Note: </w:t>
      </w:r>
      <w:r w:rsidRPr="0079282B">
        <w:rPr>
          <w:rStyle w:val="charItals"/>
        </w:rPr>
        <w:tab/>
        <w:t xml:space="preserve">The </w:t>
      </w:r>
      <w:r w:rsidRPr="003E3B74">
        <w:rPr>
          <w:rStyle w:val="charItals"/>
        </w:rPr>
        <w:t>Legislation Act</w:t>
      </w:r>
      <w:r>
        <w:rPr>
          <w:rStyle w:val="charItals"/>
        </w:rPr>
        <w:t xml:space="preserve"> 2001</w:t>
      </w:r>
      <w:r w:rsidRPr="0079282B">
        <w:rPr>
          <w:rStyle w:val="charItals"/>
        </w:rPr>
        <w:t>, s 81 provides for the exercise of a power given by a law if the law, or amending law, has been notified but has not</w:t>
      </w:r>
      <w:r>
        <w:rPr>
          <w:rStyle w:val="charItals"/>
        </w:rPr>
        <w:t xml:space="preserve"> yet</w:t>
      </w:r>
      <w:r w:rsidRPr="0079282B">
        <w:rPr>
          <w:rStyle w:val="charItals"/>
        </w:rPr>
        <w:t xml:space="preserve"> commenced.</w:t>
      </w:r>
    </w:p>
    <w:p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6E3B5B">
        <w:rPr>
          <w:rFonts w:ascii="Arial" w:hAnsi="Arial" w:cs="Arial"/>
          <w:b/>
          <w:bCs/>
        </w:rPr>
        <w:t xml:space="preserve">Secure Local Jobs </w:t>
      </w:r>
      <w:r w:rsidR="00A214C8">
        <w:rPr>
          <w:rFonts w:ascii="Arial" w:hAnsi="Arial" w:cs="Arial"/>
          <w:b/>
          <w:bCs/>
        </w:rPr>
        <w:t>Complaints and Noncompliance Investigation</w:t>
      </w:r>
      <w:r w:rsidR="006E3B5B">
        <w:rPr>
          <w:rFonts w:ascii="Arial" w:hAnsi="Arial" w:cs="Arial"/>
          <w:b/>
          <w:bCs/>
        </w:rPr>
        <w:t xml:space="preserve"> Guidelines</w:t>
      </w:r>
    </w:p>
    <w:p w:rsidR="006E3B5B" w:rsidRPr="006E3B5B" w:rsidRDefault="006E3B5B" w:rsidP="007C7C90">
      <w:pPr>
        <w:spacing w:before="72"/>
        <w:ind w:left="720"/>
      </w:pPr>
      <w:r>
        <w:t xml:space="preserve">I make the </w:t>
      </w:r>
      <w:r w:rsidR="00A214C8">
        <w:t>S</w:t>
      </w:r>
      <w:r>
        <w:t>ec</w:t>
      </w:r>
      <w:r w:rsidR="00A214C8">
        <w:t>ure L</w:t>
      </w:r>
      <w:r>
        <w:t xml:space="preserve">ocal </w:t>
      </w:r>
      <w:r w:rsidR="00A214C8">
        <w:t>J</w:t>
      </w:r>
      <w:r>
        <w:t xml:space="preserve">obs </w:t>
      </w:r>
      <w:r w:rsidR="00A214C8">
        <w:t>Complaints and Noncompliance Investigation Guidelines</w:t>
      </w:r>
      <w:r>
        <w:t xml:space="preserve"> </w:t>
      </w:r>
      <w:r w:rsidR="007C7C90">
        <w:t xml:space="preserve">as </w:t>
      </w:r>
      <w:r w:rsidR="002245AB">
        <w:t>attached to</w:t>
      </w:r>
      <w:r>
        <w:t xml:space="preserve"> this instrument.</w:t>
      </w: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Pr="00611380" w:rsidRDefault="006E3B5B" w:rsidP="006E3B5B">
      <w:pPr>
        <w:tabs>
          <w:tab w:val="left" w:pos="4320"/>
        </w:tabs>
        <w:spacing w:before="72"/>
        <w:rPr>
          <w:b/>
          <w:bCs/>
        </w:rPr>
      </w:pPr>
    </w:p>
    <w:p w:rsidR="006E3B5B" w:rsidRDefault="006E3B5B" w:rsidP="006E3B5B">
      <w:pPr>
        <w:tabs>
          <w:tab w:val="left" w:pos="4320"/>
        </w:tabs>
        <w:spacing w:before="72"/>
      </w:pPr>
      <w:r>
        <w:t>Rachel Stephen-Smith</w:t>
      </w:r>
    </w:p>
    <w:p w:rsidR="00A214C8" w:rsidRDefault="006E3B5B" w:rsidP="006E3B5B">
      <w:pPr>
        <w:tabs>
          <w:tab w:val="left" w:pos="4320"/>
        </w:tabs>
        <w:spacing w:before="72"/>
      </w:pPr>
      <w:r>
        <w:t xml:space="preserve">Minister for </w:t>
      </w:r>
      <w:r w:rsidR="00A214C8">
        <w:t>Government Services and Procurement</w:t>
      </w:r>
    </w:p>
    <w:p w:rsidR="00F10CB2" w:rsidRDefault="00A214C8" w:rsidP="00A214C8">
      <w:pPr>
        <w:tabs>
          <w:tab w:val="left" w:pos="4320"/>
        </w:tabs>
        <w:spacing w:before="72"/>
      </w:pPr>
      <w:r>
        <w:t>30 November 2018</w:t>
      </w:r>
    </w:p>
    <w:p w:rsidR="00D7283F" w:rsidRDefault="00D7283F" w:rsidP="00A214C8">
      <w:pPr>
        <w:tabs>
          <w:tab w:val="left" w:pos="4320"/>
        </w:tabs>
        <w:spacing w:before="72"/>
        <w:sectPr w:rsidR="00D7283F"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pPr>
    </w:p>
    <w:p w:rsidR="00D7283F" w:rsidRDefault="00D7283F" w:rsidP="00D7283F">
      <w:r>
        <w:rPr>
          <w:noProof/>
          <w:lang w:eastAsia="en-AU"/>
        </w:rPr>
        <w:lastRenderedPageBreak/>
        <w:drawing>
          <wp:anchor distT="0" distB="0" distL="114300" distR="114300" simplePos="0" relativeHeight="251665408" behindDoc="1" locked="0" layoutInCell="1" allowOverlap="1" wp14:anchorId="611EF3B6" wp14:editId="7B788320">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Pr>
          <w:noProof/>
          <w:lang w:eastAsia="en-AU"/>
        </w:rPr>
        <w:drawing>
          <wp:anchor distT="0" distB="0" distL="114300" distR="114300" simplePos="0" relativeHeight="251661312" behindDoc="0" locked="0" layoutInCell="1" allowOverlap="1" wp14:anchorId="594B660C" wp14:editId="3C96CB47">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hAnsiTheme="majorHAnsi"/>
          <w:caps/>
          <w:noProof/>
          <w:color w:val="EEECE1" w:themeColor="background2"/>
          <w:sz w:val="36"/>
          <w:szCs w:val="40"/>
        </w:rPr>
      </w:sdtEndPr>
      <w:sdtContent>
        <w:p w:rsidR="00D7283F" w:rsidRDefault="00D7283F" w:rsidP="00D7283F"/>
        <w:p w:rsidR="00D7283F" w:rsidRDefault="00F82CDD" w:rsidP="00D7283F">
          <w:pPr>
            <w:spacing w:line="276" w:lineRule="auto"/>
            <w:rPr>
              <w:rFonts w:asciiTheme="majorHAnsi" w:hAnsiTheme="majorHAnsi"/>
              <w:caps/>
              <w:noProof/>
              <w:color w:val="EEECE1" w:themeColor="background2"/>
              <w:sz w:val="36"/>
              <w:szCs w:val="40"/>
            </w:rPr>
          </w:pPr>
          <w:r>
            <w:rPr>
              <w:noProof/>
              <w:lang w:eastAsia="en-AU"/>
            </w:rPr>
            <mc:AlternateContent>
              <mc:Choice Requires="wps">
                <w:drawing>
                  <wp:anchor distT="0" distB="0" distL="114300" distR="114300" simplePos="0" relativeHeight="251667456" behindDoc="0" locked="0" layoutInCell="1" allowOverlap="1" wp14:anchorId="48A34179" wp14:editId="3A139473">
                    <wp:simplePos x="0" y="0"/>
                    <wp:positionH relativeFrom="column">
                      <wp:posOffset>1303655</wp:posOffset>
                    </wp:positionH>
                    <wp:positionV relativeFrom="paragraph">
                      <wp:posOffset>8940800</wp:posOffset>
                    </wp:positionV>
                    <wp:extent cx="3171825"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18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CDD" w:rsidRPr="00C0331E" w:rsidRDefault="00F82CDD" w:rsidP="00F82CDD">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34179" id="_x0000_t202" coordsize="21600,21600" o:spt="202" path="m,l,21600r21600,l21600,xe">
                    <v:stroke joinstyle="miter"/>
                    <v:path gradientshapeok="t" o:connecttype="rect"/>
                  </v:shapetype>
                  <v:shape id="Text Box 3" o:spid="_x0000_s1026" type="#_x0000_t202" style="position:absolute;margin-left:102.65pt;margin-top:704pt;width:249.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" filled="f" stroked="f" strokeweight=".5pt">
                    <v:textbox>
                      <w:txbxContent>
                        <w:p w:rsidR="00F82CDD" w:rsidRPr="00C0331E" w:rsidRDefault="00F82CDD" w:rsidP="00F82CDD">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v:textbox>
                  </v:shape>
                </w:pict>
              </mc:Fallback>
            </mc:AlternateContent>
          </w:r>
          <w:r w:rsidR="00D7283F">
            <w:rPr>
              <w:rFonts w:asciiTheme="majorHAnsi" w:hAnsiTheme="majorHAnsi"/>
              <w:caps/>
              <w:noProof/>
              <w:color w:val="EEECE1" w:themeColor="background2"/>
              <w:sz w:val="36"/>
              <w:szCs w:val="40"/>
              <w:lang w:eastAsia="en-AU"/>
            </w:rPr>
            <mc:AlternateContent>
              <mc:Choice Requires="wps">
                <w:drawing>
                  <wp:anchor distT="0" distB="0" distL="114300" distR="114300" simplePos="0" relativeHeight="251663360" behindDoc="0" locked="0" layoutInCell="1" allowOverlap="1" wp14:anchorId="0001325F" wp14:editId="48F6163E">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3F" w:rsidRPr="000016B9" w:rsidRDefault="00D7283F" w:rsidP="00D7283F">
                                <w:pPr>
                                  <w:pStyle w:val="Intro"/>
                                  <w:rPr>
                                    <w:caps/>
                                    <w:color w:val="FFFFFF"/>
                                  </w:rPr>
                                </w:pPr>
                                <w:r>
                                  <w:rPr>
                                    <w:color w:val="FFFFFF"/>
                                  </w:rPr>
                                  <w:t>Chief Minister, Treasury and Economic Development</w:t>
                                </w:r>
                              </w:p>
                              <w:p w:rsidR="00D7283F" w:rsidRPr="000016B9" w:rsidRDefault="00D7283F" w:rsidP="00D7283F">
                                <w:pPr>
                                  <w:pStyle w:val="Intro"/>
                                  <w:rPr>
                                    <w:caps/>
                                    <w:color w:val="FFFFFF"/>
                                  </w:rPr>
                                </w:pPr>
                                <w:r>
                                  <w:rPr>
                                    <w:color w:val="FFFFFF"/>
                                  </w:rPr>
                                  <w:t xml:space="preserve">November </w:t>
                                </w:r>
                                <w:r w:rsidRPr="000016B9">
                                  <w:rPr>
                                    <w:color w:val="FFFFFF"/>
                                  </w:rPr>
                                  <w:t>201</w:t>
                                </w:r>
                                <w:r>
                                  <w:rPr>
                                    <w:color w:val="FFFFFF"/>
                                  </w:rPr>
                                  <w:t>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01325F" id="Text Box 10" o:spid="_x0000_s1027" type="#_x0000_t202" style="position:absolute;margin-left:-16.9pt;margin-top:614.75pt;width:180.95pt;height:72.2pt;z-index:251663360;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D7283F" w:rsidRPr="000016B9" w:rsidRDefault="00D7283F" w:rsidP="00D7283F">
                          <w:pPr>
                            <w:pStyle w:val="Intro"/>
                            <w:rPr>
                              <w:caps/>
                              <w:color w:val="FFFFFF"/>
                            </w:rPr>
                          </w:pPr>
                          <w:r>
                            <w:rPr>
                              <w:color w:val="FFFFFF"/>
                            </w:rPr>
                            <w:t>Chief Minister, Treasury and Economic Development</w:t>
                          </w:r>
                        </w:p>
                        <w:p w:rsidR="00D7283F" w:rsidRPr="000016B9" w:rsidRDefault="00D7283F" w:rsidP="00D7283F">
                          <w:pPr>
                            <w:pStyle w:val="Intro"/>
                            <w:rPr>
                              <w:caps/>
                              <w:color w:val="FFFFFF"/>
                            </w:rPr>
                          </w:pPr>
                          <w:r>
                            <w:rPr>
                              <w:color w:val="FFFFFF"/>
                            </w:rPr>
                            <w:t xml:space="preserve">November </w:t>
                          </w:r>
                          <w:r w:rsidRPr="000016B9">
                            <w:rPr>
                              <w:color w:val="FFFFFF"/>
                            </w:rPr>
                            <w:t>201</w:t>
                          </w:r>
                          <w:r>
                            <w:rPr>
                              <w:color w:val="FFFFFF"/>
                            </w:rPr>
                            <w:t>8</w:t>
                          </w:r>
                        </w:p>
                      </w:txbxContent>
                    </v:textbox>
                    <w10:wrap anchorx="margin" anchory="page"/>
                  </v:shape>
                </w:pict>
              </mc:Fallback>
            </mc:AlternateContent>
          </w:r>
          <w:r w:rsidR="00D7283F">
            <w:rPr>
              <w:rFonts w:asciiTheme="majorHAnsi" w:hAnsiTheme="majorHAnsi"/>
              <w:caps/>
              <w:noProof/>
              <w:color w:val="EEECE1" w:themeColor="background2"/>
              <w:sz w:val="36"/>
              <w:szCs w:val="40"/>
              <w:lang w:eastAsia="en-AU"/>
            </w:rPr>
            <mc:AlternateContent>
              <mc:Choice Requires="wps">
                <w:drawing>
                  <wp:anchor distT="0" distB="0" distL="114300" distR="114300" simplePos="0" relativeHeight="251662336" behindDoc="0" locked="0" layoutInCell="1" allowOverlap="1" wp14:anchorId="23C0170D" wp14:editId="1B411CD9">
                    <wp:simplePos x="0" y="0"/>
                    <wp:positionH relativeFrom="margin">
                      <wp:posOffset>-214630</wp:posOffset>
                    </wp:positionH>
                    <wp:positionV relativeFrom="page">
                      <wp:posOffset>4673600</wp:posOffset>
                    </wp:positionV>
                    <wp:extent cx="331470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3F" w:rsidRPr="00A56A36" w:rsidRDefault="00D7283F" w:rsidP="00A56A36">
                                <w:pPr>
                                  <w:pStyle w:val="Title"/>
                                  <w:pBdr>
                                    <w:top w:val="none" w:sz="0" w:space="0" w:color="auto"/>
                                    <w:bottom w:val="none" w:sz="0" w:space="0" w:color="auto"/>
                                  </w:pBdr>
                                  <w:spacing w:before="0" w:after="120" w:line="680" w:lineRule="exact"/>
                                  <w:rPr>
                                    <w:rFonts w:asciiTheme="minorHAnsi" w:eastAsiaTheme="minorHAnsi" w:hAnsiTheme="minorHAnsi"/>
                                    <w:b w:val="0"/>
                                    <w:caps/>
                                    <w:color w:val="FFFFFF"/>
                                    <w:w w:val="110"/>
                                    <w:kern w:val="0"/>
                                    <w:sz w:val="72"/>
                                    <w:szCs w:val="72"/>
                                    <w:lang w:eastAsia="en-AU"/>
                                  </w:rPr>
                                </w:pPr>
                                <w:r w:rsidRPr="00A56A36">
                                  <w:rPr>
                                    <w:rFonts w:asciiTheme="minorHAnsi" w:eastAsiaTheme="minorHAnsi" w:hAnsiTheme="minorHAnsi"/>
                                    <w:b w:val="0"/>
                                    <w:caps/>
                                    <w:color w:val="FFFFFF"/>
                                    <w:w w:val="110"/>
                                    <w:kern w:val="0"/>
                                    <w:sz w:val="72"/>
                                    <w:szCs w:val="72"/>
                                    <w:lang w:eastAsia="en-AU"/>
                                  </w:rPr>
                                  <w:t>SECURE LOCAL JOBS</w:t>
                                </w:r>
                              </w:p>
                              <w:p w:rsidR="00D7283F" w:rsidRDefault="00D7283F" w:rsidP="00D7283F">
                                <w:pPr>
                                  <w:pStyle w:val="Subtitle"/>
                                  <w:spacing w:before="240"/>
                                  <w:rPr>
                                    <w:color w:val="FFFFFF"/>
                                  </w:rPr>
                                </w:pPr>
                                <w:r>
                                  <w:rPr>
                                    <w:color w:val="FFFFFF"/>
                                  </w:rPr>
                                  <w:t>Complaints and Noncompliance Investigation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0170D" id="Text Box 9" o:spid="_x0000_s1028" type="#_x0000_t202" style="position:absolute;margin-left:-16.9pt;margin-top:368pt;width:261pt;height:2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N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" filled="f" stroked="f">
                    <v:textbox>
                      <w:txbxContent>
                        <w:p w:rsidR="00D7283F" w:rsidRPr="00A56A36" w:rsidRDefault="00D7283F" w:rsidP="00A56A36">
                          <w:pPr>
                            <w:pStyle w:val="Title"/>
                            <w:pBdr>
                              <w:top w:val="none" w:sz="0" w:space="0" w:color="auto"/>
                              <w:bottom w:val="none" w:sz="0" w:space="0" w:color="auto"/>
                            </w:pBdr>
                            <w:spacing w:before="0" w:after="120" w:line="680" w:lineRule="exact"/>
                            <w:rPr>
                              <w:rFonts w:asciiTheme="minorHAnsi" w:eastAsiaTheme="minorHAnsi" w:hAnsiTheme="minorHAnsi"/>
                              <w:b w:val="0"/>
                              <w:caps/>
                              <w:color w:val="FFFFFF"/>
                              <w:w w:val="110"/>
                              <w:kern w:val="0"/>
                              <w:sz w:val="72"/>
                              <w:szCs w:val="72"/>
                              <w:lang w:eastAsia="en-AU"/>
                            </w:rPr>
                          </w:pPr>
                          <w:r w:rsidRPr="00A56A36">
                            <w:rPr>
                              <w:rFonts w:asciiTheme="minorHAnsi" w:eastAsiaTheme="minorHAnsi" w:hAnsiTheme="minorHAnsi"/>
                              <w:b w:val="0"/>
                              <w:caps/>
                              <w:color w:val="FFFFFF"/>
                              <w:w w:val="110"/>
                              <w:kern w:val="0"/>
                              <w:sz w:val="72"/>
                              <w:szCs w:val="72"/>
                              <w:lang w:eastAsia="en-AU"/>
                            </w:rPr>
                            <w:t>SECURE LOCAL JOBS</w:t>
                          </w:r>
                        </w:p>
                        <w:p w:rsidR="00D7283F" w:rsidRDefault="00D7283F" w:rsidP="00D7283F">
                          <w:pPr>
                            <w:pStyle w:val="Subtitle"/>
                            <w:spacing w:before="240"/>
                            <w:rPr>
                              <w:color w:val="FFFFFF"/>
                            </w:rPr>
                          </w:pPr>
                          <w:r>
                            <w:rPr>
                              <w:color w:val="FFFFFF"/>
                            </w:rPr>
                            <w:t>Complaints and Noncompliance Investigation Guidelines</w:t>
                          </w:r>
                        </w:p>
                      </w:txbxContent>
                    </v:textbox>
                    <w10:wrap anchorx="margin" anchory="page"/>
                  </v:shape>
                </w:pict>
              </mc:Fallback>
            </mc:AlternateContent>
          </w:r>
          <w:r w:rsidR="00D7283F">
            <w:rPr>
              <w:rFonts w:asciiTheme="majorHAnsi" w:hAnsiTheme="majorHAnsi"/>
              <w:caps/>
              <w:noProof/>
              <w:color w:val="EEECE1" w:themeColor="background2"/>
              <w:sz w:val="36"/>
              <w:szCs w:val="40"/>
            </w:rPr>
            <w:br w:type="page"/>
          </w:r>
        </w:p>
      </w:sdtContent>
    </w:sdt>
    <w:p w:rsidR="00D7283F" w:rsidRPr="00A56A36" w:rsidRDefault="00A56A36" w:rsidP="00D7283F">
      <w:pPr>
        <w:pStyle w:val="Heading1"/>
        <w:rPr>
          <w:rFonts w:asciiTheme="minorHAnsi" w:hAnsiTheme="minorHAnsi"/>
          <w:b w:val="0"/>
          <w:noProof/>
          <w:sz w:val="32"/>
          <w:szCs w:val="32"/>
        </w:rPr>
      </w:pPr>
      <w:r w:rsidRPr="00A56A36">
        <w:rPr>
          <w:rFonts w:asciiTheme="minorHAnsi" w:hAnsiTheme="minorHAnsi"/>
          <w:b w:val="0"/>
          <w:color w:val="7030A0"/>
          <w:sz w:val="44"/>
          <w:szCs w:val="44"/>
        </w:rPr>
        <w:lastRenderedPageBreak/>
        <w:t>CONTENTS</w:t>
      </w:r>
      <w:r w:rsidR="00D7283F" w:rsidRPr="00A56A36">
        <w:rPr>
          <w:rFonts w:asciiTheme="minorHAnsi" w:eastAsiaTheme="majorEastAsia" w:hAnsiTheme="minorHAnsi" w:cstheme="majorBidi"/>
          <w:b w:val="0"/>
          <w:bCs/>
          <w:caps/>
          <w:color w:val="EEECE1" w:themeColor="background2"/>
          <w:spacing w:val="-20"/>
          <w:kern w:val="36"/>
          <w:sz w:val="32"/>
          <w:szCs w:val="32"/>
        </w:rPr>
        <w:fldChar w:fldCharType="begin"/>
      </w:r>
      <w:r w:rsidR="00D7283F" w:rsidRPr="00A56A36">
        <w:rPr>
          <w:rFonts w:asciiTheme="minorHAnsi" w:hAnsiTheme="minorHAnsi"/>
          <w:b w:val="0"/>
          <w:sz w:val="32"/>
          <w:szCs w:val="32"/>
        </w:rPr>
        <w:instrText xml:space="preserve"> TOC \o "1-4" \u </w:instrText>
      </w:r>
      <w:r w:rsidR="00D7283F" w:rsidRPr="00A56A36">
        <w:rPr>
          <w:rFonts w:asciiTheme="minorHAnsi" w:eastAsiaTheme="majorEastAsia" w:hAnsiTheme="minorHAnsi" w:cstheme="majorBidi"/>
          <w:b w:val="0"/>
          <w:bCs/>
          <w:caps/>
          <w:color w:val="EEECE1" w:themeColor="background2"/>
          <w:spacing w:val="-20"/>
          <w:kern w:val="36"/>
          <w:sz w:val="32"/>
          <w:szCs w:val="32"/>
        </w:rPr>
        <w:fldChar w:fldCharType="separate"/>
      </w:r>
    </w:p>
    <w:p w:rsidR="00D7283F" w:rsidRPr="00DA4EA6" w:rsidRDefault="00D7283F" w:rsidP="00DA4EA6">
      <w:pPr>
        <w:pStyle w:val="TOC1"/>
        <w:rPr>
          <w:rFonts w:eastAsiaTheme="minorEastAsia" w:cstheme="minorBidi"/>
          <w:caps/>
          <w:noProof/>
        </w:rPr>
      </w:pPr>
      <w:r w:rsidRPr="00A56A36">
        <w:rPr>
          <w:noProof/>
        </w:rPr>
        <w:t>1.</w:t>
      </w:r>
      <w:r w:rsidRPr="00A56A36">
        <w:rPr>
          <w:rFonts w:eastAsiaTheme="minorEastAsia" w:cstheme="minorBidi"/>
          <w:noProof/>
        </w:rPr>
        <w:tab/>
      </w:r>
      <w:r w:rsidR="00A56A36" w:rsidRPr="00DA4EA6">
        <w:rPr>
          <w:noProof/>
        </w:rPr>
        <w:t>INTRODUCTION</w:t>
      </w:r>
      <w:r w:rsidR="00DA4EA6" w:rsidRPr="00DA4EA6">
        <w:rPr>
          <w:noProof/>
        </w:rPr>
        <w:tab/>
      </w:r>
      <w:r w:rsidRPr="00DA4EA6">
        <w:rPr>
          <w:noProof/>
        </w:rPr>
        <w:fldChar w:fldCharType="begin"/>
      </w:r>
      <w:r w:rsidRPr="00DA4EA6">
        <w:rPr>
          <w:noProof/>
        </w:rPr>
        <w:instrText xml:space="preserve"> PAGEREF _Toc530392408 \h </w:instrText>
      </w:r>
      <w:r w:rsidRPr="00DA4EA6">
        <w:rPr>
          <w:noProof/>
        </w:rPr>
      </w:r>
      <w:r w:rsidRPr="00DA4EA6">
        <w:rPr>
          <w:noProof/>
        </w:rPr>
        <w:fldChar w:fldCharType="separate"/>
      </w:r>
      <w:r w:rsidR="00697781">
        <w:rPr>
          <w:noProof/>
        </w:rPr>
        <w:t>4</w:t>
      </w:r>
      <w:r w:rsidRPr="00DA4EA6">
        <w:rPr>
          <w:noProof/>
        </w:rPr>
        <w:fldChar w:fldCharType="end"/>
      </w:r>
    </w:p>
    <w:p w:rsidR="00D7283F" w:rsidRPr="00DA4EA6" w:rsidRDefault="00D7283F" w:rsidP="00DA4EA6">
      <w:pPr>
        <w:pStyle w:val="TOC1"/>
        <w:rPr>
          <w:rFonts w:eastAsiaTheme="minorEastAsia"/>
          <w:caps/>
          <w:noProof/>
        </w:rPr>
      </w:pPr>
      <w:r w:rsidRPr="00DA4EA6">
        <w:rPr>
          <w:noProof/>
        </w:rPr>
        <w:t>2.</w:t>
      </w:r>
      <w:r w:rsidRPr="00DA4EA6">
        <w:rPr>
          <w:rFonts w:eastAsiaTheme="minorEastAsia"/>
          <w:noProof/>
        </w:rPr>
        <w:tab/>
      </w:r>
      <w:r w:rsidR="00A56A36" w:rsidRPr="00DA4EA6">
        <w:rPr>
          <w:rFonts w:eastAsiaTheme="minorEastAsia"/>
          <w:noProof/>
        </w:rPr>
        <w:t>MAKING A COMPLAINT ABOUT NONCOMPLIANCE</w:t>
      </w:r>
      <w:r w:rsidRPr="00DA4EA6">
        <w:rPr>
          <w:noProof/>
        </w:rPr>
        <w:tab/>
      </w:r>
      <w:r w:rsidRPr="00DA4EA6">
        <w:rPr>
          <w:noProof/>
        </w:rPr>
        <w:fldChar w:fldCharType="begin"/>
      </w:r>
      <w:r w:rsidRPr="00DA4EA6">
        <w:rPr>
          <w:noProof/>
        </w:rPr>
        <w:instrText xml:space="preserve"> PAGEREF _Toc530392409 \h </w:instrText>
      </w:r>
      <w:r w:rsidRPr="00DA4EA6">
        <w:rPr>
          <w:noProof/>
        </w:rPr>
      </w:r>
      <w:r w:rsidRPr="00DA4EA6">
        <w:rPr>
          <w:noProof/>
        </w:rPr>
        <w:fldChar w:fldCharType="separate"/>
      </w:r>
      <w:r w:rsidR="00697781">
        <w:rPr>
          <w:noProof/>
        </w:rPr>
        <w:t>4</w:t>
      </w:r>
      <w:r w:rsidRPr="00DA4EA6">
        <w:rPr>
          <w:noProof/>
        </w:rPr>
        <w:fldChar w:fldCharType="end"/>
      </w:r>
    </w:p>
    <w:p w:rsidR="00D7283F" w:rsidRPr="00DA4EA6" w:rsidRDefault="00D7283F" w:rsidP="00DA4EA6">
      <w:pPr>
        <w:pStyle w:val="TOC1"/>
        <w:rPr>
          <w:rFonts w:eastAsiaTheme="minorEastAsia" w:cstheme="minorBidi"/>
          <w:caps/>
          <w:noProof/>
        </w:rPr>
      </w:pPr>
      <w:r w:rsidRPr="00DA4EA6">
        <w:rPr>
          <w:noProof/>
        </w:rPr>
        <w:t>3.</w:t>
      </w:r>
      <w:r w:rsidRPr="00DA4EA6">
        <w:rPr>
          <w:rFonts w:eastAsiaTheme="minorEastAsia" w:cstheme="minorBidi"/>
          <w:noProof/>
        </w:rPr>
        <w:tab/>
      </w:r>
      <w:r w:rsidRPr="00DA4EA6">
        <w:rPr>
          <w:noProof/>
        </w:rPr>
        <w:t>R</w:t>
      </w:r>
      <w:r w:rsidR="00A56A36" w:rsidRPr="00DA4EA6">
        <w:rPr>
          <w:noProof/>
        </w:rPr>
        <w:t>ECEIVING AN ALLEGATION OF NONCOMPLIANCE</w:t>
      </w:r>
      <w:r w:rsidRPr="00DA4EA6">
        <w:rPr>
          <w:noProof/>
        </w:rPr>
        <w:tab/>
      </w:r>
      <w:r w:rsidRPr="00DA4EA6">
        <w:rPr>
          <w:noProof/>
        </w:rPr>
        <w:fldChar w:fldCharType="begin"/>
      </w:r>
      <w:r w:rsidRPr="00DA4EA6">
        <w:rPr>
          <w:noProof/>
        </w:rPr>
        <w:instrText xml:space="preserve"> PAGEREF _Toc530392410 \h </w:instrText>
      </w:r>
      <w:r w:rsidRPr="00DA4EA6">
        <w:rPr>
          <w:noProof/>
        </w:rPr>
      </w:r>
      <w:r w:rsidRPr="00DA4EA6">
        <w:rPr>
          <w:noProof/>
        </w:rPr>
        <w:fldChar w:fldCharType="separate"/>
      </w:r>
      <w:r w:rsidR="00697781">
        <w:rPr>
          <w:noProof/>
        </w:rPr>
        <w:t>5</w:t>
      </w:r>
      <w:r w:rsidRPr="00DA4EA6">
        <w:rPr>
          <w:noProof/>
        </w:rPr>
        <w:fldChar w:fldCharType="end"/>
      </w:r>
    </w:p>
    <w:p w:rsidR="00D7283F" w:rsidRPr="00DA4EA6" w:rsidRDefault="00D7283F" w:rsidP="00DA4EA6">
      <w:pPr>
        <w:pStyle w:val="TOC1"/>
        <w:rPr>
          <w:rFonts w:eastAsiaTheme="minorEastAsia" w:cstheme="minorBidi"/>
          <w:caps/>
          <w:noProof/>
        </w:rPr>
      </w:pPr>
      <w:r w:rsidRPr="00DA4EA6">
        <w:rPr>
          <w:noProof/>
        </w:rPr>
        <w:t>4.</w:t>
      </w:r>
      <w:r w:rsidRPr="00DA4EA6">
        <w:rPr>
          <w:rFonts w:eastAsiaTheme="minorEastAsia" w:cstheme="minorBidi"/>
          <w:noProof/>
        </w:rPr>
        <w:tab/>
      </w:r>
      <w:r w:rsidR="00DA4EA6" w:rsidRPr="00DA4EA6">
        <w:rPr>
          <w:noProof/>
        </w:rPr>
        <w:t>REFERRAL TO A REGULATORY AUTHORITY</w:t>
      </w:r>
      <w:r w:rsidRPr="00DA4EA6">
        <w:rPr>
          <w:noProof/>
        </w:rPr>
        <w:tab/>
      </w:r>
      <w:r w:rsidRPr="00DA4EA6">
        <w:rPr>
          <w:noProof/>
        </w:rPr>
        <w:fldChar w:fldCharType="begin"/>
      </w:r>
      <w:r w:rsidRPr="00DA4EA6">
        <w:rPr>
          <w:noProof/>
        </w:rPr>
        <w:instrText xml:space="preserve"> PAGEREF _Toc530392411 \h </w:instrText>
      </w:r>
      <w:r w:rsidRPr="00DA4EA6">
        <w:rPr>
          <w:noProof/>
        </w:rPr>
      </w:r>
      <w:r w:rsidRPr="00DA4EA6">
        <w:rPr>
          <w:noProof/>
        </w:rPr>
        <w:fldChar w:fldCharType="separate"/>
      </w:r>
      <w:r w:rsidR="00697781">
        <w:rPr>
          <w:noProof/>
        </w:rPr>
        <w:t>5</w:t>
      </w:r>
      <w:r w:rsidRPr="00DA4EA6">
        <w:rPr>
          <w:noProof/>
        </w:rPr>
        <w:fldChar w:fldCharType="end"/>
      </w:r>
    </w:p>
    <w:p w:rsidR="00D7283F" w:rsidRPr="00DA4EA6" w:rsidRDefault="00D7283F" w:rsidP="00DA4EA6">
      <w:pPr>
        <w:pStyle w:val="TOC1"/>
        <w:rPr>
          <w:rFonts w:eastAsiaTheme="minorEastAsia" w:cstheme="minorBidi"/>
          <w:caps/>
          <w:noProof/>
        </w:rPr>
      </w:pPr>
      <w:r w:rsidRPr="00DA4EA6">
        <w:rPr>
          <w:noProof/>
        </w:rPr>
        <w:t>5.</w:t>
      </w:r>
      <w:r w:rsidRPr="00DA4EA6">
        <w:rPr>
          <w:rFonts w:eastAsiaTheme="minorEastAsia" w:cstheme="minorBidi"/>
          <w:noProof/>
        </w:rPr>
        <w:tab/>
      </w:r>
      <w:r w:rsidRPr="00DA4EA6">
        <w:rPr>
          <w:noProof/>
        </w:rPr>
        <w:t>A</w:t>
      </w:r>
      <w:r w:rsidR="00DA4EA6" w:rsidRPr="00DA4EA6">
        <w:rPr>
          <w:noProof/>
        </w:rPr>
        <w:t>UDIT PROCESS</w:t>
      </w:r>
      <w:r w:rsidRPr="00DA4EA6">
        <w:rPr>
          <w:noProof/>
        </w:rPr>
        <w:tab/>
      </w:r>
      <w:r w:rsidRPr="00DA4EA6">
        <w:rPr>
          <w:noProof/>
        </w:rPr>
        <w:fldChar w:fldCharType="begin"/>
      </w:r>
      <w:r w:rsidRPr="00DA4EA6">
        <w:rPr>
          <w:noProof/>
        </w:rPr>
        <w:instrText xml:space="preserve"> PAGEREF _Toc530392412 \h </w:instrText>
      </w:r>
      <w:r w:rsidRPr="00DA4EA6">
        <w:rPr>
          <w:noProof/>
        </w:rPr>
      </w:r>
      <w:r w:rsidRPr="00DA4EA6">
        <w:rPr>
          <w:noProof/>
        </w:rPr>
        <w:fldChar w:fldCharType="separate"/>
      </w:r>
      <w:r w:rsidR="00697781">
        <w:rPr>
          <w:noProof/>
        </w:rPr>
        <w:t>6</w:t>
      </w:r>
      <w:r w:rsidRPr="00DA4EA6">
        <w:rPr>
          <w:noProof/>
        </w:rPr>
        <w:fldChar w:fldCharType="end"/>
      </w:r>
    </w:p>
    <w:p w:rsidR="00D7283F" w:rsidRPr="00DA4EA6" w:rsidRDefault="00D7283F" w:rsidP="00DA4EA6">
      <w:pPr>
        <w:pStyle w:val="TOC1"/>
        <w:rPr>
          <w:rFonts w:eastAsiaTheme="minorEastAsia" w:cstheme="minorBidi"/>
          <w:caps/>
          <w:noProof/>
        </w:rPr>
      </w:pPr>
      <w:r w:rsidRPr="00DA4EA6">
        <w:rPr>
          <w:noProof/>
        </w:rPr>
        <w:t>6.</w:t>
      </w:r>
      <w:r w:rsidRPr="00DA4EA6">
        <w:rPr>
          <w:rFonts w:eastAsiaTheme="minorEastAsia" w:cstheme="minorBidi"/>
          <w:noProof/>
        </w:rPr>
        <w:tab/>
      </w:r>
      <w:r w:rsidR="00DA4EA6" w:rsidRPr="00DA4EA6">
        <w:rPr>
          <w:rFonts w:eastAsiaTheme="minorEastAsia" w:cstheme="minorBidi"/>
          <w:noProof/>
        </w:rPr>
        <w:t>INVESTIGATION BY THE REGISTRAR</w:t>
      </w:r>
      <w:r w:rsidRPr="00DA4EA6">
        <w:rPr>
          <w:noProof/>
        </w:rPr>
        <w:tab/>
      </w:r>
      <w:r w:rsidRPr="00DA4EA6">
        <w:rPr>
          <w:noProof/>
        </w:rPr>
        <w:fldChar w:fldCharType="begin"/>
      </w:r>
      <w:r w:rsidRPr="00DA4EA6">
        <w:rPr>
          <w:noProof/>
        </w:rPr>
        <w:instrText xml:space="preserve"> PAGEREF _Toc530392413 \h </w:instrText>
      </w:r>
      <w:r w:rsidRPr="00DA4EA6">
        <w:rPr>
          <w:noProof/>
        </w:rPr>
      </w:r>
      <w:r w:rsidRPr="00DA4EA6">
        <w:rPr>
          <w:noProof/>
        </w:rPr>
        <w:fldChar w:fldCharType="separate"/>
      </w:r>
      <w:r w:rsidR="00697781">
        <w:rPr>
          <w:noProof/>
        </w:rPr>
        <w:t>6</w:t>
      </w:r>
      <w:r w:rsidRPr="00DA4EA6">
        <w:rPr>
          <w:noProof/>
        </w:rPr>
        <w:fldChar w:fldCharType="end"/>
      </w:r>
    </w:p>
    <w:p w:rsidR="00D7283F" w:rsidRPr="00DA4EA6" w:rsidRDefault="00D7283F" w:rsidP="00DA4EA6">
      <w:pPr>
        <w:pStyle w:val="TOC1"/>
        <w:rPr>
          <w:rFonts w:eastAsiaTheme="minorEastAsia"/>
          <w:caps/>
          <w:noProof/>
        </w:rPr>
      </w:pPr>
      <w:r w:rsidRPr="00DA4EA6">
        <w:rPr>
          <w:noProof/>
        </w:rPr>
        <w:t>7.</w:t>
      </w:r>
      <w:r w:rsidRPr="00DA4EA6">
        <w:rPr>
          <w:rFonts w:eastAsiaTheme="minorEastAsia"/>
          <w:noProof/>
        </w:rPr>
        <w:tab/>
      </w:r>
      <w:r w:rsidR="00DA4EA6" w:rsidRPr="00DA4EA6">
        <w:rPr>
          <w:rFonts w:eastAsiaTheme="minorEastAsia"/>
          <w:noProof/>
        </w:rPr>
        <w:t>APPLICATION OF SANCTIONS IN RESPONSE TO AN ADVERSE RULING</w:t>
      </w:r>
      <w:r w:rsidRPr="00DA4EA6">
        <w:rPr>
          <w:noProof/>
        </w:rPr>
        <w:tab/>
      </w:r>
      <w:r w:rsidRPr="00DA4EA6">
        <w:rPr>
          <w:noProof/>
        </w:rPr>
        <w:fldChar w:fldCharType="begin"/>
      </w:r>
      <w:r w:rsidRPr="00DA4EA6">
        <w:rPr>
          <w:noProof/>
        </w:rPr>
        <w:instrText xml:space="preserve"> PAGEREF _Toc530392414 \h </w:instrText>
      </w:r>
      <w:r w:rsidRPr="00DA4EA6">
        <w:rPr>
          <w:noProof/>
        </w:rPr>
      </w:r>
      <w:r w:rsidRPr="00DA4EA6">
        <w:rPr>
          <w:noProof/>
        </w:rPr>
        <w:fldChar w:fldCharType="separate"/>
      </w:r>
      <w:r w:rsidR="00697781">
        <w:rPr>
          <w:noProof/>
        </w:rPr>
        <w:t>7</w:t>
      </w:r>
      <w:r w:rsidRPr="00DA4EA6">
        <w:rPr>
          <w:noProof/>
        </w:rPr>
        <w:fldChar w:fldCharType="end"/>
      </w:r>
    </w:p>
    <w:p w:rsidR="00D7283F" w:rsidRPr="00DA4EA6" w:rsidRDefault="00D7283F" w:rsidP="00DA4EA6">
      <w:pPr>
        <w:pStyle w:val="TOC2"/>
        <w:rPr>
          <w:rFonts w:eastAsiaTheme="minorEastAsia" w:cstheme="minorBidi"/>
          <w:noProof/>
        </w:rPr>
      </w:pPr>
      <w:r w:rsidRPr="00DA4EA6">
        <w:rPr>
          <w:noProof/>
        </w:rPr>
        <w:t>Table 1. Classification of noncompliance and possible sanctions</w:t>
      </w:r>
      <w:r w:rsidRPr="00DA4EA6">
        <w:rPr>
          <w:noProof/>
        </w:rPr>
        <w:tab/>
      </w:r>
      <w:r w:rsidRPr="00DA4EA6">
        <w:rPr>
          <w:noProof/>
        </w:rPr>
        <w:fldChar w:fldCharType="begin"/>
      </w:r>
      <w:r w:rsidRPr="00DA4EA6">
        <w:rPr>
          <w:noProof/>
        </w:rPr>
        <w:instrText xml:space="preserve"> PAGEREF _Toc530392415 \h </w:instrText>
      </w:r>
      <w:r w:rsidRPr="00DA4EA6">
        <w:rPr>
          <w:noProof/>
        </w:rPr>
      </w:r>
      <w:r w:rsidRPr="00DA4EA6">
        <w:rPr>
          <w:noProof/>
        </w:rPr>
        <w:fldChar w:fldCharType="separate"/>
      </w:r>
      <w:r w:rsidR="00697781">
        <w:rPr>
          <w:noProof/>
        </w:rPr>
        <w:t>9</w:t>
      </w:r>
      <w:r w:rsidRPr="00DA4EA6">
        <w:rPr>
          <w:noProof/>
        </w:rPr>
        <w:fldChar w:fldCharType="end"/>
      </w:r>
    </w:p>
    <w:p w:rsidR="00D7283F" w:rsidRPr="00DA4EA6" w:rsidRDefault="00D7283F" w:rsidP="00697781">
      <w:pPr>
        <w:pStyle w:val="TOC1"/>
        <w:tabs>
          <w:tab w:val="clear" w:pos="8789"/>
          <w:tab w:val="left" w:pos="8647"/>
        </w:tabs>
        <w:rPr>
          <w:rFonts w:eastAsiaTheme="minorEastAsia" w:cstheme="minorBidi"/>
          <w:caps/>
          <w:noProof/>
        </w:rPr>
      </w:pPr>
      <w:r w:rsidRPr="00DA4EA6">
        <w:rPr>
          <w:noProof/>
        </w:rPr>
        <w:t>8.</w:t>
      </w:r>
      <w:r w:rsidRPr="00DA4EA6">
        <w:rPr>
          <w:rFonts w:eastAsiaTheme="minorEastAsia" w:cstheme="minorBidi"/>
          <w:noProof/>
        </w:rPr>
        <w:tab/>
      </w:r>
      <w:r w:rsidR="00DA4EA6" w:rsidRPr="00DA4EA6">
        <w:rPr>
          <w:noProof/>
        </w:rPr>
        <w:t>REVIEW PROCESS</w:t>
      </w:r>
      <w:r w:rsidRPr="00DA4EA6">
        <w:rPr>
          <w:noProof/>
        </w:rPr>
        <w:tab/>
      </w:r>
      <w:r w:rsidRPr="00DA4EA6">
        <w:rPr>
          <w:noProof/>
        </w:rPr>
        <w:fldChar w:fldCharType="begin"/>
      </w:r>
      <w:r w:rsidRPr="00DA4EA6">
        <w:rPr>
          <w:noProof/>
        </w:rPr>
        <w:instrText xml:space="preserve"> PAGEREF _Toc530392416 \h </w:instrText>
      </w:r>
      <w:r w:rsidRPr="00DA4EA6">
        <w:rPr>
          <w:noProof/>
        </w:rPr>
      </w:r>
      <w:r w:rsidRPr="00DA4EA6">
        <w:rPr>
          <w:noProof/>
        </w:rPr>
        <w:fldChar w:fldCharType="separate"/>
      </w:r>
      <w:r w:rsidR="00697781">
        <w:rPr>
          <w:noProof/>
        </w:rPr>
        <w:t>10</w:t>
      </w:r>
      <w:r w:rsidRPr="00DA4EA6">
        <w:rPr>
          <w:noProof/>
        </w:rPr>
        <w:fldChar w:fldCharType="end"/>
      </w:r>
    </w:p>
    <w:p w:rsidR="00D7283F" w:rsidRDefault="00D7283F" w:rsidP="00D7283F">
      <w:pPr>
        <w:pStyle w:val="bodytextreverse"/>
        <w:sectPr w:rsidR="00D7283F" w:rsidSect="00D7283F">
          <w:headerReference w:type="default" r:id="rId15"/>
          <w:footerReference w:type="default" r:id="rId16"/>
          <w:pgSz w:w="11906" w:h="16838" w:code="9"/>
          <w:pgMar w:top="1253" w:right="1418" w:bottom="1701" w:left="1418" w:header="567" w:footer="709" w:gutter="0"/>
          <w:cols w:space="708"/>
          <w:docGrid w:linePitch="360"/>
        </w:sectPr>
      </w:pPr>
      <w:r w:rsidRPr="00A56A36">
        <w:rPr>
          <w:rFonts w:asciiTheme="minorHAnsi" w:hAnsiTheme="minorHAnsi"/>
          <w:sz w:val="32"/>
          <w:szCs w:val="32"/>
        </w:rPr>
        <w:fldChar w:fldCharType="end"/>
      </w:r>
      <w:r>
        <w:softHyphen/>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2" w:name="_Toc530392408"/>
      <w:r w:rsidRPr="00A56A36">
        <w:rPr>
          <w:rFonts w:asciiTheme="minorHAnsi" w:eastAsiaTheme="majorEastAsia" w:hAnsiTheme="minorHAnsi" w:cstheme="majorBidi"/>
          <w:b w:val="0"/>
          <w:bCs/>
          <w:caps/>
          <w:color w:val="7030A0"/>
          <w:spacing w:val="-20"/>
          <w:kern w:val="36"/>
          <w:sz w:val="44"/>
          <w:szCs w:val="48"/>
          <w:lang w:eastAsia="en-AU"/>
        </w:rPr>
        <w:lastRenderedPageBreak/>
        <w:t>Introduction</w:t>
      </w:r>
      <w:bookmarkEnd w:id="2"/>
    </w:p>
    <w:p w:rsidR="00D7283F" w:rsidRPr="00E713EE" w:rsidRDefault="00D7283F" w:rsidP="00D7283F">
      <w:pPr>
        <w:pStyle w:val="ListParagraph"/>
        <w:numPr>
          <w:ilvl w:val="1"/>
          <w:numId w:val="11"/>
        </w:numPr>
        <w:ind w:left="788" w:hanging="431"/>
        <w:contextualSpacing w:val="0"/>
        <w:rPr>
          <w:sz w:val="22"/>
          <w:szCs w:val="22"/>
        </w:rPr>
      </w:pPr>
      <w:r w:rsidRPr="00E713EE">
        <w:rPr>
          <w:sz w:val="22"/>
          <w:szCs w:val="22"/>
        </w:rPr>
        <w:t xml:space="preserve">The ACT Government has amended the </w:t>
      </w:r>
      <w:r w:rsidRPr="00E713EE">
        <w:rPr>
          <w:i/>
          <w:sz w:val="22"/>
          <w:szCs w:val="22"/>
        </w:rPr>
        <w:t>Government Procurement Act 2001</w:t>
      </w:r>
      <w:r w:rsidRPr="00E713EE">
        <w:rPr>
          <w:sz w:val="22"/>
          <w:szCs w:val="22"/>
        </w:rPr>
        <w:t xml:space="preserve"> </w:t>
      </w:r>
      <w:r>
        <w:rPr>
          <w:sz w:val="22"/>
          <w:szCs w:val="22"/>
        </w:rPr>
        <w:t>(</w:t>
      </w:r>
      <w:r w:rsidRPr="00522EF9">
        <w:rPr>
          <w:b/>
          <w:sz w:val="22"/>
          <w:szCs w:val="22"/>
        </w:rPr>
        <w:t>the Act</w:t>
      </w:r>
      <w:r>
        <w:rPr>
          <w:sz w:val="22"/>
          <w:szCs w:val="22"/>
        </w:rPr>
        <w:t xml:space="preserve">) to support businesses that </w:t>
      </w:r>
      <w:r w:rsidRPr="00E713EE">
        <w:rPr>
          <w:sz w:val="22"/>
          <w:szCs w:val="22"/>
        </w:rPr>
        <w:t>do the</w:t>
      </w:r>
      <w:r>
        <w:rPr>
          <w:sz w:val="22"/>
          <w:szCs w:val="22"/>
        </w:rPr>
        <w:t xml:space="preserve"> right thing by their workers. </w:t>
      </w:r>
      <w:r w:rsidRPr="00E713EE">
        <w:rPr>
          <w:sz w:val="22"/>
          <w:szCs w:val="22"/>
        </w:rPr>
        <w:t xml:space="preserve">The </w:t>
      </w:r>
      <w:r>
        <w:rPr>
          <w:sz w:val="22"/>
          <w:szCs w:val="22"/>
        </w:rPr>
        <w:t>Secure Local Jobs Code</w:t>
      </w:r>
      <w:r w:rsidRPr="00E713EE">
        <w:rPr>
          <w:sz w:val="22"/>
          <w:szCs w:val="22"/>
        </w:rPr>
        <w:t xml:space="preserve"> </w:t>
      </w:r>
      <w:r>
        <w:rPr>
          <w:sz w:val="22"/>
          <w:szCs w:val="22"/>
        </w:rPr>
        <w:t>(</w:t>
      </w:r>
      <w:r w:rsidRPr="00522EF9">
        <w:rPr>
          <w:b/>
          <w:sz w:val="22"/>
          <w:szCs w:val="22"/>
        </w:rPr>
        <w:t>the</w:t>
      </w:r>
      <w:r>
        <w:rPr>
          <w:b/>
          <w:sz w:val="22"/>
          <w:szCs w:val="22"/>
        </w:rPr>
        <w:t xml:space="preserve"> Code</w:t>
      </w:r>
      <w:r w:rsidRPr="00522EF9">
        <w:rPr>
          <w:sz w:val="22"/>
          <w:szCs w:val="22"/>
        </w:rPr>
        <w:t>)</w:t>
      </w:r>
      <w:r>
        <w:rPr>
          <w:b/>
          <w:sz w:val="22"/>
          <w:szCs w:val="22"/>
        </w:rPr>
        <w:t xml:space="preserve"> </w:t>
      </w:r>
      <w:r w:rsidRPr="00E713EE">
        <w:rPr>
          <w:sz w:val="22"/>
          <w:szCs w:val="22"/>
        </w:rPr>
        <w:t>strengthens the ACT Government’s procurement practices so its contracts are only awarded to businesses that meet</w:t>
      </w:r>
      <w:r w:rsidR="0029564F">
        <w:rPr>
          <w:sz w:val="22"/>
          <w:szCs w:val="22"/>
        </w:rPr>
        <w:t xml:space="preserve"> the</w:t>
      </w:r>
      <w:r w:rsidRPr="00E713EE">
        <w:rPr>
          <w:sz w:val="22"/>
          <w:szCs w:val="22"/>
        </w:rPr>
        <w:t xml:space="preserve"> high</w:t>
      </w:r>
      <w:r w:rsidR="0029564F">
        <w:rPr>
          <w:sz w:val="22"/>
          <w:szCs w:val="22"/>
        </w:rPr>
        <w:t>est</w:t>
      </w:r>
      <w:r w:rsidRPr="00E713EE">
        <w:rPr>
          <w:sz w:val="22"/>
          <w:szCs w:val="22"/>
        </w:rPr>
        <w:t xml:space="preserve"> ethical and labour standards.</w:t>
      </w:r>
    </w:p>
    <w:p w:rsidR="00D7283F" w:rsidRPr="00E713EE" w:rsidRDefault="00D7283F" w:rsidP="00D7283F">
      <w:pPr>
        <w:pStyle w:val="ListParagraph"/>
        <w:numPr>
          <w:ilvl w:val="1"/>
          <w:numId w:val="11"/>
        </w:numPr>
        <w:ind w:left="788" w:hanging="431"/>
        <w:contextualSpacing w:val="0"/>
        <w:rPr>
          <w:sz w:val="22"/>
          <w:szCs w:val="22"/>
        </w:rPr>
      </w:pPr>
      <w:r w:rsidRPr="00E713EE">
        <w:rPr>
          <w:sz w:val="22"/>
          <w:szCs w:val="22"/>
        </w:rPr>
        <w:t>The</w:t>
      </w:r>
      <w:r>
        <w:rPr>
          <w:sz w:val="22"/>
          <w:szCs w:val="22"/>
        </w:rPr>
        <w:t xml:space="preserve"> Act</w:t>
      </w:r>
      <w:r w:rsidRPr="00E713EE">
        <w:rPr>
          <w:sz w:val="22"/>
          <w:szCs w:val="22"/>
        </w:rPr>
        <w:t xml:space="preserve"> establishes a registrar, an independent statutory appointment, whose functions include:</w:t>
      </w:r>
    </w:p>
    <w:p w:rsidR="00D7283F" w:rsidRPr="00E713EE" w:rsidRDefault="00D7283F" w:rsidP="00D7283F">
      <w:pPr>
        <w:pStyle w:val="Bullet1"/>
        <w:ind w:left="1151" w:hanging="357"/>
        <w:rPr>
          <w:szCs w:val="22"/>
        </w:rPr>
      </w:pPr>
      <w:r w:rsidRPr="00E713EE">
        <w:rPr>
          <w:szCs w:val="22"/>
        </w:rPr>
        <w:t>maintaining a number of registers</w:t>
      </w:r>
    </w:p>
    <w:p w:rsidR="00D7283F" w:rsidRPr="00E713EE" w:rsidRDefault="00D7283F" w:rsidP="00D7283F">
      <w:pPr>
        <w:pStyle w:val="Bullet1"/>
        <w:ind w:left="1151" w:hanging="357"/>
        <w:rPr>
          <w:szCs w:val="22"/>
        </w:rPr>
      </w:pPr>
      <w:r>
        <w:rPr>
          <w:szCs w:val="22"/>
        </w:rPr>
        <w:t>administering the Code</w:t>
      </w:r>
      <w:r w:rsidRPr="00E713EE">
        <w:rPr>
          <w:szCs w:val="22"/>
        </w:rPr>
        <w:t xml:space="preserve"> and the legislative obli</w:t>
      </w:r>
      <w:r>
        <w:rPr>
          <w:szCs w:val="22"/>
        </w:rPr>
        <w:t>gations conferred on Territory e</w:t>
      </w:r>
      <w:r w:rsidRPr="00E713EE">
        <w:rPr>
          <w:szCs w:val="22"/>
        </w:rPr>
        <w:t xml:space="preserve">ntities, </w:t>
      </w:r>
      <w:r>
        <w:rPr>
          <w:szCs w:val="22"/>
        </w:rPr>
        <w:t>Code Certified E</w:t>
      </w:r>
      <w:r w:rsidRPr="00E713EE">
        <w:rPr>
          <w:szCs w:val="22"/>
        </w:rPr>
        <w:t>ntities and approved auditors</w:t>
      </w:r>
    </w:p>
    <w:p w:rsidR="00D7283F" w:rsidRPr="00E713EE" w:rsidRDefault="00D7283F" w:rsidP="00D7283F">
      <w:pPr>
        <w:pStyle w:val="Bullet1"/>
        <w:ind w:left="1151" w:hanging="357"/>
        <w:rPr>
          <w:szCs w:val="22"/>
        </w:rPr>
      </w:pPr>
      <w:r w:rsidRPr="00E713EE">
        <w:rPr>
          <w:szCs w:val="22"/>
        </w:rPr>
        <w:t xml:space="preserve">making decisions regarding applications for </w:t>
      </w:r>
      <w:r>
        <w:rPr>
          <w:szCs w:val="22"/>
        </w:rPr>
        <w:t>Secure Local Jobs Code C</w:t>
      </w:r>
      <w:r w:rsidRPr="00E713EE">
        <w:rPr>
          <w:szCs w:val="22"/>
        </w:rPr>
        <w:t>ertificates</w:t>
      </w:r>
    </w:p>
    <w:p w:rsidR="00D7283F" w:rsidRPr="00E713EE" w:rsidRDefault="00D7283F" w:rsidP="00D7283F">
      <w:pPr>
        <w:pStyle w:val="Bullet1"/>
        <w:ind w:left="1151" w:hanging="357"/>
        <w:rPr>
          <w:szCs w:val="22"/>
        </w:rPr>
      </w:pPr>
      <w:r w:rsidRPr="00E713EE">
        <w:rPr>
          <w:szCs w:val="22"/>
        </w:rPr>
        <w:t>appoint</w:t>
      </w:r>
      <w:r>
        <w:rPr>
          <w:szCs w:val="22"/>
        </w:rPr>
        <w:t>ing</w:t>
      </w:r>
      <w:r w:rsidRPr="00E713EE">
        <w:rPr>
          <w:szCs w:val="22"/>
        </w:rPr>
        <w:t xml:space="preserve"> approved auditors</w:t>
      </w:r>
    </w:p>
    <w:p w:rsidR="00D7283F" w:rsidRPr="00E713EE" w:rsidRDefault="00D7283F" w:rsidP="00D7283F">
      <w:pPr>
        <w:pStyle w:val="Bullet1"/>
        <w:ind w:left="1151" w:hanging="357"/>
        <w:rPr>
          <w:szCs w:val="22"/>
        </w:rPr>
      </w:pPr>
      <w:r w:rsidRPr="00E713EE">
        <w:rPr>
          <w:szCs w:val="22"/>
        </w:rPr>
        <w:t xml:space="preserve">conducting investigations in response to complaints and apparent noncompliance with the Code </w:t>
      </w:r>
    </w:p>
    <w:p w:rsidR="00D7283F" w:rsidRPr="00E713EE" w:rsidRDefault="00D7283F" w:rsidP="00D7283F">
      <w:pPr>
        <w:pStyle w:val="Bullet1"/>
        <w:ind w:left="1151" w:hanging="357"/>
        <w:rPr>
          <w:szCs w:val="22"/>
        </w:rPr>
      </w:pPr>
      <w:r w:rsidRPr="00E713EE">
        <w:rPr>
          <w:szCs w:val="22"/>
        </w:rPr>
        <w:t>acting on the outcomes of suc</w:t>
      </w:r>
      <w:r>
        <w:rPr>
          <w:szCs w:val="22"/>
        </w:rPr>
        <w:t xml:space="preserve">h investigations, including imposing </w:t>
      </w:r>
      <w:r w:rsidRPr="00E713EE">
        <w:rPr>
          <w:szCs w:val="22"/>
        </w:rPr>
        <w:t>sanctions</w:t>
      </w:r>
    </w:p>
    <w:p w:rsidR="00D7283F" w:rsidRPr="00E713EE" w:rsidRDefault="00D7283F" w:rsidP="00D7283F">
      <w:pPr>
        <w:pStyle w:val="Bullet1"/>
        <w:ind w:left="1151" w:hanging="357"/>
        <w:rPr>
          <w:szCs w:val="22"/>
        </w:rPr>
      </w:pPr>
      <w:r w:rsidRPr="00E713EE">
        <w:rPr>
          <w:szCs w:val="22"/>
        </w:rPr>
        <w:t>granting exemptions.</w:t>
      </w:r>
    </w:p>
    <w:p w:rsidR="00D7283F" w:rsidRPr="00E713EE" w:rsidRDefault="00D7283F" w:rsidP="00D7283F">
      <w:pPr>
        <w:pStyle w:val="ListParagraph"/>
        <w:numPr>
          <w:ilvl w:val="1"/>
          <w:numId w:val="11"/>
        </w:numPr>
        <w:ind w:left="788" w:hanging="431"/>
        <w:contextualSpacing w:val="0"/>
        <w:rPr>
          <w:sz w:val="22"/>
          <w:szCs w:val="22"/>
        </w:rPr>
      </w:pPr>
      <w:r w:rsidRPr="00E713EE">
        <w:rPr>
          <w:sz w:val="22"/>
          <w:szCs w:val="22"/>
        </w:rPr>
        <w:t>The registrar is supported by a dedicated compliance unit (</w:t>
      </w:r>
      <w:r w:rsidRPr="00C0036A">
        <w:rPr>
          <w:b/>
          <w:sz w:val="22"/>
          <w:szCs w:val="22"/>
        </w:rPr>
        <w:t>the</w:t>
      </w:r>
      <w:r w:rsidRPr="00E713EE">
        <w:rPr>
          <w:sz w:val="22"/>
          <w:szCs w:val="22"/>
        </w:rPr>
        <w:t xml:space="preserve"> </w:t>
      </w:r>
      <w:r w:rsidRPr="00E713EE">
        <w:rPr>
          <w:b/>
          <w:sz w:val="22"/>
          <w:szCs w:val="22"/>
        </w:rPr>
        <w:t>Compliance Unit</w:t>
      </w:r>
      <w:r w:rsidRPr="00E713EE">
        <w:rPr>
          <w:sz w:val="22"/>
          <w:szCs w:val="22"/>
        </w:rPr>
        <w:t>) which conducts education, compliance and investigation activities associated with the Code.</w:t>
      </w:r>
    </w:p>
    <w:p w:rsidR="00D7283F" w:rsidRPr="00E713EE" w:rsidRDefault="00D7283F" w:rsidP="00D7283F">
      <w:pPr>
        <w:pStyle w:val="ListParagraph"/>
        <w:numPr>
          <w:ilvl w:val="1"/>
          <w:numId w:val="11"/>
        </w:numPr>
        <w:ind w:left="788" w:hanging="431"/>
        <w:contextualSpacing w:val="0"/>
        <w:rPr>
          <w:sz w:val="22"/>
          <w:szCs w:val="22"/>
        </w:rPr>
      </w:pPr>
      <w:r w:rsidRPr="00E713EE">
        <w:rPr>
          <w:sz w:val="22"/>
          <w:szCs w:val="22"/>
        </w:rPr>
        <w:t xml:space="preserve">These </w:t>
      </w:r>
      <w:r w:rsidRPr="00AD51C4">
        <w:rPr>
          <w:sz w:val="22"/>
          <w:szCs w:val="22"/>
        </w:rPr>
        <w:t>Guidelines</w:t>
      </w:r>
      <w:r>
        <w:rPr>
          <w:sz w:val="22"/>
          <w:szCs w:val="22"/>
        </w:rPr>
        <w:t xml:space="preserve"> outline</w:t>
      </w:r>
      <w:r w:rsidRPr="00E713EE">
        <w:rPr>
          <w:sz w:val="22"/>
          <w:szCs w:val="22"/>
        </w:rPr>
        <w:t>:</w:t>
      </w:r>
    </w:p>
    <w:p w:rsidR="00D7283F" w:rsidRPr="00AD51C4" w:rsidRDefault="00D7283F" w:rsidP="00D7283F">
      <w:pPr>
        <w:pStyle w:val="Bullet1"/>
        <w:ind w:left="1151" w:hanging="357"/>
        <w:rPr>
          <w:szCs w:val="22"/>
        </w:rPr>
      </w:pPr>
      <w:r w:rsidRPr="00AD51C4">
        <w:rPr>
          <w:szCs w:val="22"/>
        </w:rPr>
        <w:t>the process for informing the Territory</w:t>
      </w:r>
      <w:r>
        <w:rPr>
          <w:szCs w:val="22"/>
        </w:rPr>
        <w:t xml:space="preserve"> of alleged noncompliance of a Code Certified Entity with their C</w:t>
      </w:r>
      <w:r w:rsidRPr="00AD51C4">
        <w:rPr>
          <w:szCs w:val="22"/>
        </w:rPr>
        <w:t>ode obligations</w:t>
      </w:r>
    </w:p>
    <w:p w:rsidR="00D7283F" w:rsidRPr="00AD51C4" w:rsidRDefault="00D7283F" w:rsidP="00D7283F">
      <w:pPr>
        <w:pStyle w:val="Bullet1"/>
        <w:ind w:left="1151" w:hanging="357"/>
        <w:rPr>
          <w:szCs w:val="22"/>
        </w:rPr>
      </w:pPr>
      <w:r w:rsidRPr="00AD51C4">
        <w:rPr>
          <w:szCs w:val="22"/>
        </w:rPr>
        <w:t>the process on receipt of an allegation of noncompliance</w:t>
      </w:r>
    </w:p>
    <w:p w:rsidR="00D7283F" w:rsidRPr="00AD51C4" w:rsidRDefault="00D7283F" w:rsidP="00D7283F">
      <w:pPr>
        <w:pStyle w:val="Bullet1"/>
        <w:ind w:left="1151" w:hanging="357"/>
        <w:rPr>
          <w:szCs w:val="22"/>
        </w:rPr>
      </w:pPr>
      <w:r>
        <w:rPr>
          <w:szCs w:val="22"/>
        </w:rPr>
        <w:t>referral to a regulatory a</w:t>
      </w:r>
      <w:r w:rsidRPr="00AD51C4">
        <w:rPr>
          <w:szCs w:val="22"/>
        </w:rPr>
        <w:t>uthority</w:t>
      </w:r>
    </w:p>
    <w:p w:rsidR="00D7283F" w:rsidRPr="00AD51C4" w:rsidRDefault="00D7283F" w:rsidP="00D7283F">
      <w:pPr>
        <w:pStyle w:val="Bullet1"/>
        <w:ind w:left="1151" w:hanging="357"/>
        <w:rPr>
          <w:szCs w:val="22"/>
        </w:rPr>
      </w:pPr>
      <w:r w:rsidRPr="00AD51C4">
        <w:rPr>
          <w:szCs w:val="22"/>
        </w:rPr>
        <w:t>audit process</w:t>
      </w:r>
    </w:p>
    <w:p w:rsidR="00D7283F" w:rsidRPr="00AD51C4" w:rsidRDefault="00D7283F" w:rsidP="00D7283F">
      <w:pPr>
        <w:pStyle w:val="Bullet1"/>
        <w:ind w:left="1151" w:hanging="357"/>
        <w:rPr>
          <w:szCs w:val="22"/>
        </w:rPr>
      </w:pPr>
      <w:r w:rsidRPr="00AD51C4">
        <w:rPr>
          <w:szCs w:val="22"/>
        </w:rPr>
        <w:t>investigations into allegation</w:t>
      </w:r>
      <w:r>
        <w:rPr>
          <w:szCs w:val="22"/>
        </w:rPr>
        <w:t>s or instances of noncompliance</w:t>
      </w:r>
    </w:p>
    <w:p w:rsidR="00D7283F" w:rsidRPr="00AD51C4" w:rsidRDefault="00D7283F" w:rsidP="00D7283F">
      <w:pPr>
        <w:pStyle w:val="Bullet1"/>
        <w:ind w:left="1151" w:hanging="357"/>
        <w:rPr>
          <w:szCs w:val="22"/>
        </w:rPr>
      </w:pPr>
      <w:r w:rsidRPr="00AD51C4">
        <w:rPr>
          <w:szCs w:val="22"/>
        </w:rPr>
        <w:t>sanctions available to the Territory</w:t>
      </w:r>
    </w:p>
    <w:p w:rsidR="00D7283F" w:rsidRPr="00AD51C4" w:rsidRDefault="00D7283F" w:rsidP="00D7283F">
      <w:pPr>
        <w:pStyle w:val="Bullet1"/>
        <w:ind w:left="1151" w:hanging="357"/>
        <w:rPr>
          <w:szCs w:val="22"/>
        </w:rPr>
      </w:pPr>
      <w:r>
        <w:rPr>
          <w:szCs w:val="22"/>
        </w:rPr>
        <w:t>review pathways.</w:t>
      </w:r>
    </w:p>
    <w:p w:rsidR="00D7283F" w:rsidRPr="00E713EE" w:rsidRDefault="00D7283F" w:rsidP="00D7283F">
      <w:pPr>
        <w:pStyle w:val="ListParagraph"/>
        <w:numPr>
          <w:ilvl w:val="1"/>
          <w:numId w:val="11"/>
        </w:numPr>
        <w:ind w:left="788" w:hanging="431"/>
        <w:contextualSpacing w:val="0"/>
        <w:rPr>
          <w:sz w:val="22"/>
          <w:szCs w:val="22"/>
        </w:rPr>
      </w:pPr>
      <w:r w:rsidRPr="00E713EE">
        <w:rPr>
          <w:sz w:val="22"/>
          <w:szCs w:val="22"/>
        </w:rPr>
        <w:t>Some terms used in these Guidelines have a define</w:t>
      </w:r>
      <w:r>
        <w:rPr>
          <w:sz w:val="22"/>
          <w:szCs w:val="22"/>
        </w:rPr>
        <w:t xml:space="preserve">d meaning set out in the Code. </w:t>
      </w:r>
      <w:r w:rsidRPr="00E713EE">
        <w:rPr>
          <w:sz w:val="22"/>
          <w:szCs w:val="22"/>
        </w:rPr>
        <w:t>In addition, some terms are defined in these Guidelines by including the defined term in brackets and bolded following the definition.</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3" w:name="_Toc530392409"/>
      <w:r w:rsidRPr="00A56A36">
        <w:rPr>
          <w:rFonts w:asciiTheme="minorHAnsi" w:eastAsiaTheme="majorEastAsia" w:hAnsiTheme="minorHAnsi" w:cstheme="majorBidi"/>
          <w:b w:val="0"/>
          <w:bCs/>
          <w:caps/>
          <w:color w:val="7030A0"/>
          <w:spacing w:val="-20"/>
          <w:kern w:val="36"/>
          <w:sz w:val="44"/>
          <w:szCs w:val="48"/>
          <w:lang w:eastAsia="en-AU"/>
        </w:rPr>
        <w:t>Making a Complaint about Noncompliance</w:t>
      </w:r>
      <w:bookmarkEnd w:id="3"/>
    </w:p>
    <w:p w:rsidR="00D7283F" w:rsidRDefault="00D7283F" w:rsidP="00D7283F">
      <w:pPr>
        <w:pStyle w:val="ListParagraph"/>
        <w:numPr>
          <w:ilvl w:val="1"/>
          <w:numId w:val="11"/>
        </w:numPr>
        <w:ind w:left="788" w:hanging="431"/>
        <w:contextualSpacing w:val="0"/>
        <w:rPr>
          <w:sz w:val="22"/>
          <w:szCs w:val="22"/>
        </w:rPr>
      </w:pPr>
      <w:r w:rsidRPr="00AD51C4">
        <w:rPr>
          <w:sz w:val="22"/>
          <w:szCs w:val="22"/>
        </w:rPr>
        <w:t>The Code places a number of obligations</w:t>
      </w:r>
      <w:r>
        <w:rPr>
          <w:sz w:val="22"/>
          <w:szCs w:val="22"/>
        </w:rPr>
        <w:t xml:space="preserve"> on Code Certified Entities, Territory e</w:t>
      </w:r>
      <w:r w:rsidRPr="00AD51C4">
        <w:rPr>
          <w:sz w:val="22"/>
          <w:szCs w:val="22"/>
        </w:rPr>
        <w:t>ntities and approved auditors.</w:t>
      </w:r>
    </w:p>
    <w:p w:rsidR="00D7283F" w:rsidRPr="00AD51C4" w:rsidRDefault="00D7283F" w:rsidP="00D7283F">
      <w:pPr>
        <w:pStyle w:val="ListParagraph"/>
        <w:numPr>
          <w:ilvl w:val="1"/>
          <w:numId w:val="11"/>
        </w:numPr>
        <w:ind w:left="788" w:hanging="431"/>
        <w:contextualSpacing w:val="0"/>
        <w:rPr>
          <w:sz w:val="22"/>
          <w:szCs w:val="22"/>
        </w:rPr>
      </w:pPr>
      <w:r w:rsidRPr="00AD51C4">
        <w:rPr>
          <w:sz w:val="22"/>
          <w:szCs w:val="22"/>
        </w:rPr>
        <w:t>The registrar is responsible for responding to allegations of noncompliance with the Code.</w:t>
      </w:r>
    </w:p>
    <w:p w:rsidR="00D7283F" w:rsidRPr="00AD51C4" w:rsidRDefault="00D7283F" w:rsidP="00D7283F">
      <w:pPr>
        <w:pStyle w:val="ListParagraph"/>
        <w:numPr>
          <w:ilvl w:val="1"/>
          <w:numId w:val="11"/>
        </w:numPr>
        <w:ind w:left="788" w:hanging="431"/>
        <w:contextualSpacing w:val="0"/>
        <w:rPr>
          <w:sz w:val="22"/>
          <w:szCs w:val="22"/>
        </w:rPr>
      </w:pPr>
      <w:r w:rsidRPr="00AD51C4">
        <w:rPr>
          <w:sz w:val="22"/>
          <w:szCs w:val="22"/>
        </w:rPr>
        <w:t>Allegations of noncompliance</w:t>
      </w:r>
      <w:r>
        <w:rPr>
          <w:sz w:val="22"/>
          <w:szCs w:val="22"/>
        </w:rPr>
        <w:t xml:space="preserve"> by a Code Certified Entity</w:t>
      </w:r>
      <w:r w:rsidRPr="00AD51C4">
        <w:rPr>
          <w:sz w:val="22"/>
          <w:szCs w:val="22"/>
        </w:rPr>
        <w:t xml:space="preserve"> must be made in writing using the </w:t>
      </w:r>
      <w:r>
        <w:rPr>
          <w:sz w:val="22"/>
          <w:szCs w:val="22"/>
        </w:rPr>
        <w:t xml:space="preserve">Territory’s </w:t>
      </w:r>
      <w:r w:rsidRPr="00AD51C4">
        <w:rPr>
          <w:sz w:val="22"/>
          <w:szCs w:val="22"/>
        </w:rPr>
        <w:t>notification form.</w:t>
      </w:r>
    </w:p>
    <w:p w:rsidR="00D7283F" w:rsidRPr="00AD51C4" w:rsidRDefault="00D7283F" w:rsidP="00D7283F">
      <w:pPr>
        <w:pStyle w:val="ListParagraph"/>
        <w:numPr>
          <w:ilvl w:val="1"/>
          <w:numId w:val="11"/>
        </w:numPr>
        <w:ind w:left="788" w:hanging="431"/>
        <w:contextualSpacing w:val="0"/>
        <w:rPr>
          <w:sz w:val="22"/>
          <w:szCs w:val="22"/>
        </w:rPr>
      </w:pPr>
      <w:r w:rsidRPr="00AD51C4">
        <w:rPr>
          <w:sz w:val="22"/>
          <w:szCs w:val="22"/>
        </w:rPr>
        <w:lastRenderedPageBreak/>
        <w:t>P</w:t>
      </w:r>
      <w:r>
        <w:rPr>
          <w:sz w:val="22"/>
          <w:szCs w:val="22"/>
        </w:rPr>
        <w:t>ersons (</w:t>
      </w:r>
      <w:r w:rsidRPr="00522EF9">
        <w:rPr>
          <w:b/>
          <w:sz w:val="22"/>
          <w:szCs w:val="22"/>
        </w:rPr>
        <w:t>the</w:t>
      </w:r>
      <w:r>
        <w:rPr>
          <w:sz w:val="22"/>
          <w:szCs w:val="22"/>
        </w:rPr>
        <w:t xml:space="preserve"> </w:t>
      </w:r>
      <w:r w:rsidRPr="00AD51C4">
        <w:rPr>
          <w:b/>
          <w:sz w:val="22"/>
          <w:szCs w:val="22"/>
        </w:rPr>
        <w:t>Claimant</w:t>
      </w:r>
      <w:r w:rsidRPr="00AD51C4">
        <w:rPr>
          <w:sz w:val="22"/>
          <w:szCs w:val="22"/>
        </w:rPr>
        <w:t xml:space="preserve">) wishing to notify the Territory of an allegation of noncompliance by a </w:t>
      </w:r>
      <w:r>
        <w:rPr>
          <w:sz w:val="22"/>
          <w:szCs w:val="22"/>
        </w:rPr>
        <w:t>Code Certified Entity</w:t>
      </w:r>
      <w:r w:rsidRPr="00AD51C4">
        <w:rPr>
          <w:sz w:val="22"/>
          <w:szCs w:val="22"/>
        </w:rPr>
        <w:t xml:space="preserve"> must complete the notification form and submit it with supporting documentation to the registrar. </w:t>
      </w:r>
    </w:p>
    <w:p w:rsidR="00D7283F" w:rsidRPr="00AD51C4" w:rsidRDefault="00D7283F" w:rsidP="00D7283F">
      <w:pPr>
        <w:pStyle w:val="ListParagraph"/>
        <w:numPr>
          <w:ilvl w:val="1"/>
          <w:numId w:val="11"/>
        </w:numPr>
        <w:ind w:left="788" w:hanging="431"/>
        <w:contextualSpacing w:val="0"/>
        <w:rPr>
          <w:sz w:val="22"/>
          <w:szCs w:val="22"/>
        </w:rPr>
      </w:pPr>
      <w:r w:rsidRPr="00AD51C4">
        <w:rPr>
          <w:sz w:val="22"/>
          <w:szCs w:val="22"/>
        </w:rPr>
        <w:t>The Claimant must</w:t>
      </w:r>
      <w:r>
        <w:rPr>
          <w:sz w:val="22"/>
          <w:szCs w:val="22"/>
        </w:rPr>
        <w:t xml:space="preserve"> ensure</w:t>
      </w:r>
      <w:r w:rsidRPr="00AD51C4">
        <w:rPr>
          <w:sz w:val="22"/>
          <w:szCs w:val="22"/>
        </w:rPr>
        <w:t xml:space="preserve"> particulars in the notification form and supporting docum</w:t>
      </w:r>
      <w:r>
        <w:rPr>
          <w:sz w:val="22"/>
          <w:szCs w:val="22"/>
        </w:rPr>
        <w:t xml:space="preserve">entation are true and correct. </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4" w:name="_Toc530392410"/>
      <w:r w:rsidRPr="00A56A36">
        <w:rPr>
          <w:rFonts w:asciiTheme="minorHAnsi" w:eastAsiaTheme="majorEastAsia" w:hAnsiTheme="minorHAnsi" w:cstheme="majorBidi"/>
          <w:b w:val="0"/>
          <w:bCs/>
          <w:caps/>
          <w:color w:val="7030A0"/>
          <w:spacing w:val="-20"/>
          <w:kern w:val="36"/>
          <w:sz w:val="44"/>
          <w:szCs w:val="48"/>
          <w:lang w:eastAsia="en-AU"/>
        </w:rPr>
        <w:t>Receiving an Allegation of noncompliance</w:t>
      </w:r>
      <w:bookmarkEnd w:id="4"/>
    </w:p>
    <w:p w:rsidR="00D7283F" w:rsidRPr="002F43B6" w:rsidRDefault="00D7283F" w:rsidP="00D7283F">
      <w:pPr>
        <w:pStyle w:val="ListParagraph"/>
        <w:numPr>
          <w:ilvl w:val="1"/>
          <w:numId w:val="11"/>
        </w:numPr>
        <w:ind w:left="788" w:hanging="431"/>
        <w:contextualSpacing w:val="0"/>
        <w:rPr>
          <w:sz w:val="22"/>
          <w:szCs w:val="22"/>
        </w:rPr>
      </w:pPr>
      <w:r w:rsidRPr="00AD51C4">
        <w:rPr>
          <w:sz w:val="22"/>
          <w:szCs w:val="22"/>
        </w:rPr>
        <w:t xml:space="preserve">Notification of a complaint should be made in writing to the registrar using the </w:t>
      </w:r>
      <w:r>
        <w:rPr>
          <w:sz w:val="22"/>
          <w:szCs w:val="22"/>
        </w:rPr>
        <w:t xml:space="preserve">Territory’s </w:t>
      </w:r>
      <w:r w:rsidRPr="00AD51C4">
        <w:rPr>
          <w:sz w:val="22"/>
          <w:szCs w:val="22"/>
        </w:rPr>
        <w:t>notification form.</w:t>
      </w:r>
      <w:r>
        <w:rPr>
          <w:sz w:val="22"/>
          <w:szCs w:val="22"/>
        </w:rPr>
        <w:t xml:space="preserve"> The form is available</w:t>
      </w:r>
      <w:r w:rsidRPr="00E713EE">
        <w:rPr>
          <w:sz w:val="22"/>
          <w:szCs w:val="22"/>
        </w:rPr>
        <w:t xml:space="preserve"> at </w:t>
      </w:r>
      <w:hyperlink r:id="rId17" w:history="1">
        <w:r w:rsidRPr="00121D2E">
          <w:rPr>
            <w:rStyle w:val="Hyperlink"/>
            <w:sz w:val="22"/>
          </w:rPr>
          <w:t>procurement.act.gov.au</w:t>
        </w:r>
      </w:hyperlink>
      <w:r w:rsidRPr="00E713EE">
        <w:rPr>
          <w:sz w:val="22"/>
          <w:szCs w:val="22"/>
        </w:rPr>
        <w:t xml:space="preserve"> (or another site determined by the Territory).</w:t>
      </w:r>
    </w:p>
    <w:p w:rsidR="00D7283F" w:rsidRDefault="00D7283F" w:rsidP="00D7283F">
      <w:pPr>
        <w:pStyle w:val="ListParagraph"/>
        <w:numPr>
          <w:ilvl w:val="1"/>
          <w:numId w:val="11"/>
        </w:numPr>
        <w:ind w:left="788" w:hanging="431"/>
        <w:contextualSpacing w:val="0"/>
        <w:rPr>
          <w:sz w:val="22"/>
          <w:szCs w:val="22"/>
        </w:rPr>
      </w:pPr>
      <w:r w:rsidRPr="00AD51C4">
        <w:rPr>
          <w:sz w:val="22"/>
          <w:szCs w:val="22"/>
        </w:rPr>
        <w:t xml:space="preserve">The Claimant should complete the notification form and provide a detailed description of the allegation of noncompliance with the Code along with supporting documentation relevant to the allegation. </w:t>
      </w:r>
    </w:p>
    <w:p w:rsidR="00D7283F" w:rsidRPr="00AD51C4" w:rsidRDefault="00D7283F" w:rsidP="00D7283F">
      <w:pPr>
        <w:pStyle w:val="ListParagraph"/>
        <w:numPr>
          <w:ilvl w:val="1"/>
          <w:numId w:val="11"/>
        </w:numPr>
        <w:ind w:left="788" w:hanging="431"/>
        <w:contextualSpacing w:val="0"/>
        <w:rPr>
          <w:sz w:val="22"/>
          <w:szCs w:val="22"/>
        </w:rPr>
      </w:pPr>
      <w:r w:rsidRPr="00AD51C4">
        <w:rPr>
          <w:sz w:val="22"/>
          <w:szCs w:val="22"/>
        </w:rPr>
        <w:t>After receiving a notification form detailing alleged noncompliance with the Code, the Compliance Unit will acknowledge receipt of the complaint on behalf of the registrar within five days.</w:t>
      </w:r>
    </w:p>
    <w:p w:rsidR="00D7283F" w:rsidRDefault="00D7283F" w:rsidP="00D7283F">
      <w:pPr>
        <w:pStyle w:val="ListParagraph"/>
        <w:numPr>
          <w:ilvl w:val="1"/>
          <w:numId w:val="11"/>
        </w:numPr>
        <w:ind w:left="788" w:hanging="431"/>
        <w:contextualSpacing w:val="0"/>
        <w:rPr>
          <w:sz w:val="22"/>
          <w:szCs w:val="22"/>
        </w:rPr>
      </w:pPr>
      <w:r w:rsidRPr="00AD51C4">
        <w:rPr>
          <w:sz w:val="22"/>
          <w:szCs w:val="22"/>
        </w:rPr>
        <w:t xml:space="preserve">If the registrar considers </w:t>
      </w:r>
      <w:r>
        <w:rPr>
          <w:sz w:val="22"/>
          <w:szCs w:val="22"/>
        </w:rPr>
        <w:t>further information is required</w:t>
      </w:r>
      <w:r w:rsidRPr="00AD51C4">
        <w:rPr>
          <w:sz w:val="22"/>
          <w:szCs w:val="22"/>
        </w:rPr>
        <w:t xml:space="preserve"> and/or that the form is incomplete, the registrar must give the Claimant an opportunity to provide that information and/or rectify that deficiency within a specified timeframe.</w:t>
      </w:r>
    </w:p>
    <w:p w:rsidR="00D7283F" w:rsidRPr="00107D92" w:rsidRDefault="00D7283F" w:rsidP="00D7283F">
      <w:pPr>
        <w:pStyle w:val="ListParagraph"/>
        <w:numPr>
          <w:ilvl w:val="1"/>
          <w:numId w:val="11"/>
        </w:numPr>
        <w:ind w:left="788" w:hanging="431"/>
        <w:contextualSpacing w:val="0"/>
        <w:rPr>
          <w:sz w:val="22"/>
          <w:szCs w:val="22"/>
        </w:rPr>
      </w:pPr>
      <w:r w:rsidRPr="00107D92">
        <w:rPr>
          <w:sz w:val="22"/>
          <w:szCs w:val="22"/>
        </w:rPr>
        <w:t>When the registrar has obtained all required forms and documentation</w:t>
      </w:r>
      <w:r>
        <w:rPr>
          <w:sz w:val="22"/>
          <w:szCs w:val="22"/>
        </w:rPr>
        <w:t>,</w:t>
      </w:r>
      <w:r w:rsidRPr="00107D92">
        <w:rPr>
          <w:sz w:val="22"/>
          <w:szCs w:val="22"/>
        </w:rPr>
        <w:t xml:space="preserve"> a determination will be made. The registrar may determine for example to do any one or a combination of:</w:t>
      </w:r>
    </w:p>
    <w:p w:rsidR="00D7283F" w:rsidRPr="00107D92" w:rsidRDefault="00D7283F" w:rsidP="00D7283F">
      <w:pPr>
        <w:pStyle w:val="Bullet1"/>
        <w:rPr>
          <w:szCs w:val="22"/>
        </w:rPr>
      </w:pPr>
      <w:r w:rsidRPr="00107D92">
        <w:rPr>
          <w:szCs w:val="22"/>
        </w:rPr>
        <w:t xml:space="preserve">advise any Territory </w:t>
      </w:r>
      <w:r>
        <w:rPr>
          <w:szCs w:val="22"/>
        </w:rPr>
        <w:t>e</w:t>
      </w:r>
      <w:r w:rsidRPr="00107D92">
        <w:rPr>
          <w:szCs w:val="22"/>
        </w:rPr>
        <w:t xml:space="preserve">ntity for which the </w:t>
      </w:r>
      <w:r>
        <w:rPr>
          <w:szCs w:val="22"/>
        </w:rPr>
        <w:t>Code Certified Entity</w:t>
      </w:r>
      <w:r w:rsidRPr="00107D92">
        <w:rPr>
          <w:szCs w:val="22"/>
        </w:rPr>
        <w:t xml:space="preserve"> is performing </w:t>
      </w:r>
      <w:r>
        <w:rPr>
          <w:szCs w:val="22"/>
        </w:rPr>
        <w:t>t</w:t>
      </w:r>
      <w:r w:rsidRPr="00107D92">
        <w:rPr>
          <w:szCs w:val="22"/>
        </w:rPr>
        <w:t xml:space="preserve">erritory </w:t>
      </w:r>
      <w:r>
        <w:rPr>
          <w:szCs w:val="22"/>
        </w:rPr>
        <w:t>f</w:t>
      </w:r>
      <w:r w:rsidRPr="00107D92">
        <w:rPr>
          <w:szCs w:val="22"/>
        </w:rPr>
        <w:t xml:space="preserve">unded </w:t>
      </w:r>
      <w:r>
        <w:rPr>
          <w:szCs w:val="22"/>
        </w:rPr>
        <w:t>w</w:t>
      </w:r>
      <w:r w:rsidRPr="00107D92">
        <w:rPr>
          <w:szCs w:val="22"/>
        </w:rPr>
        <w:t xml:space="preserve">ork that an allegation of noncompliance has been made and seek any </w:t>
      </w:r>
      <w:r>
        <w:rPr>
          <w:szCs w:val="22"/>
        </w:rPr>
        <w:t>information that the Territory e</w:t>
      </w:r>
      <w:r w:rsidRPr="00107D92">
        <w:rPr>
          <w:szCs w:val="22"/>
        </w:rPr>
        <w:t>ntity may have that is relevant to the allegation</w:t>
      </w:r>
    </w:p>
    <w:p w:rsidR="00D7283F" w:rsidRPr="00107D92" w:rsidRDefault="00D7283F" w:rsidP="00D7283F">
      <w:pPr>
        <w:pStyle w:val="Bullet1"/>
        <w:rPr>
          <w:szCs w:val="22"/>
        </w:rPr>
      </w:pPr>
      <w:r w:rsidRPr="00107D92">
        <w:rPr>
          <w:szCs w:val="22"/>
        </w:rPr>
        <w:t>refer the matter to an a</w:t>
      </w:r>
      <w:r>
        <w:rPr>
          <w:szCs w:val="22"/>
        </w:rPr>
        <w:t>ppropriate regulatory authority</w:t>
      </w:r>
    </w:p>
    <w:p w:rsidR="00D7283F" w:rsidRPr="00107D92" w:rsidRDefault="00D7283F" w:rsidP="00D7283F">
      <w:pPr>
        <w:pStyle w:val="Bullet1"/>
        <w:rPr>
          <w:szCs w:val="22"/>
        </w:rPr>
      </w:pPr>
      <w:r>
        <w:rPr>
          <w:szCs w:val="22"/>
        </w:rPr>
        <w:t>initiate an audit</w:t>
      </w:r>
    </w:p>
    <w:p w:rsidR="00D7283F" w:rsidRPr="00107D92" w:rsidRDefault="00D7283F" w:rsidP="00D7283F">
      <w:pPr>
        <w:pStyle w:val="Bullet1"/>
        <w:rPr>
          <w:szCs w:val="22"/>
        </w:rPr>
      </w:pPr>
      <w:r w:rsidRPr="00107D92">
        <w:rPr>
          <w:szCs w:val="22"/>
        </w:rPr>
        <w:t>co</w:t>
      </w:r>
      <w:r>
        <w:rPr>
          <w:szCs w:val="22"/>
        </w:rPr>
        <w:t>nduct its own investigation</w:t>
      </w:r>
    </w:p>
    <w:p w:rsidR="00D7283F" w:rsidRPr="00107D92" w:rsidRDefault="00D7283F" w:rsidP="00D7283F">
      <w:pPr>
        <w:pStyle w:val="Bullet1"/>
        <w:rPr>
          <w:szCs w:val="22"/>
        </w:rPr>
      </w:pPr>
      <w:r>
        <w:rPr>
          <w:szCs w:val="22"/>
        </w:rPr>
        <w:t>work with the Code Certified Entity</w:t>
      </w:r>
      <w:r w:rsidRPr="00107D92">
        <w:rPr>
          <w:szCs w:val="22"/>
        </w:rPr>
        <w:t xml:space="preserve"> to ensure they rectify alleged noncompliance</w:t>
      </w:r>
      <w:r>
        <w:rPr>
          <w:szCs w:val="22"/>
        </w:rPr>
        <w:t xml:space="preserve"> and meet the</w:t>
      </w:r>
      <w:r w:rsidRPr="00107D92">
        <w:rPr>
          <w:szCs w:val="22"/>
        </w:rPr>
        <w:t xml:space="preserve"> obligations.</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Where the decision is made to undertake an investigation, the </w:t>
      </w:r>
      <w:r>
        <w:rPr>
          <w:sz w:val="22"/>
          <w:szCs w:val="22"/>
        </w:rPr>
        <w:t>Code Certified Entity</w:t>
      </w:r>
      <w:r w:rsidRPr="00BF0C9B">
        <w:rPr>
          <w:sz w:val="22"/>
          <w:szCs w:val="22"/>
        </w:rPr>
        <w:t xml:space="preserve"> subject to the allegation will be informed in writing and given the opportunity to make submissions in respect of the alleged noncompliance.</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5" w:name="_Toc530392411"/>
      <w:r w:rsidRPr="00A56A36">
        <w:rPr>
          <w:rFonts w:asciiTheme="minorHAnsi" w:eastAsiaTheme="majorEastAsia" w:hAnsiTheme="minorHAnsi" w:cstheme="majorBidi"/>
          <w:b w:val="0"/>
          <w:bCs/>
          <w:caps/>
          <w:color w:val="7030A0"/>
          <w:spacing w:val="-20"/>
          <w:kern w:val="36"/>
          <w:sz w:val="44"/>
          <w:szCs w:val="48"/>
          <w:lang w:eastAsia="en-AU"/>
        </w:rPr>
        <w:t>Referral to a Regulatory Authority</w:t>
      </w:r>
      <w:bookmarkEnd w:id="5"/>
      <w:r w:rsidRPr="00A56A36">
        <w:rPr>
          <w:rFonts w:asciiTheme="minorHAnsi" w:eastAsiaTheme="majorEastAsia" w:hAnsiTheme="minorHAnsi" w:cstheme="majorBidi"/>
          <w:b w:val="0"/>
          <w:bCs/>
          <w:caps/>
          <w:color w:val="7030A0"/>
          <w:spacing w:val="-20"/>
          <w:kern w:val="36"/>
          <w:sz w:val="44"/>
          <w:szCs w:val="48"/>
          <w:lang w:eastAsia="en-AU"/>
        </w:rPr>
        <w:t xml:space="preserve"> </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If an allegation of noncompliance relates to a breach of a legislative requirement </w:t>
      </w:r>
      <w:r>
        <w:rPr>
          <w:sz w:val="22"/>
          <w:szCs w:val="22"/>
        </w:rPr>
        <w:t>for which there is an existing regulatory a</w:t>
      </w:r>
      <w:r w:rsidRPr="00BF0C9B">
        <w:rPr>
          <w:sz w:val="22"/>
          <w:szCs w:val="22"/>
        </w:rPr>
        <w:t>uthority</w:t>
      </w:r>
      <w:r>
        <w:rPr>
          <w:sz w:val="22"/>
          <w:szCs w:val="22"/>
        </w:rPr>
        <w:t>,</w:t>
      </w:r>
      <w:r w:rsidRPr="00BF0C9B">
        <w:rPr>
          <w:sz w:val="22"/>
          <w:szCs w:val="22"/>
        </w:rPr>
        <w:t xml:space="preserve"> the complaint may be referred to that </w:t>
      </w:r>
      <w:r>
        <w:rPr>
          <w:sz w:val="22"/>
          <w:szCs w:val="22"/>
        </w:rPr>
        <w:t>r</w:t>
      </w:r>
      <w:r w:rsidRPr="00BF0C9B">
        <w:rPr>
          <w:sz w:val="22"/>
          <w:szCs w:val="22"/>
        </w:rPr>
        <w:t xml:space="preserve">egulatory </w:t>
      </w:r>
      <w:r>
        <w:rPr>
          <w:sz w:val="22"/>
          <w:szCs w:val="22"/>
        </w:rPr>
        <w:t>a</w:t>
      </w:r>
      <w:r w:rsidRPr="00BF0C9B">
        <w:rPr>
          <w:sz w:val="22"/>
          <w:szCs w:val="22"/>
        </w:rPr>
        <w:t>uthority as outlined in Section 22Q</w:t>
      </w:r>
      <w:r>
        <w:rPr>
          <w:sz w:val="22"/>
          <w:szCs w:val="22"/>
        </w:rPr>
        <w:t xml:space="preserve"> </w:t>
      </w:r>
      <w:r w:rsidRPr="00BF0C9B">
        <w:rPr>
          <w:sz w:val="22"/>
          <w:szCs w:val="22"/>
        </w:rPr>
        <w:t>(3)</w:t>
      </w:r>
      <w:r>
        <w:rPr>
          <w:sz w:val="22"/>
          <w:szCs w:val="22"/>
        </w:rPr>
        <w:t xml:space="preserve"> </w:t>
      </w:r>
      <w:r w:rsidRPr="00BF0C9B">
        <w:rPr>
          <w:sz w:val="22"/>
          <w:szCs w:val="22"/>
        </w:rPr>
        <w:t>(b)</w:t>
      </w:r>
      <w:r>
        <w:rPr>
          <w:sz w:val="22"/>
          <w:szCs w:val="22"/>
        </w:rPr>
        <w:t xml:space="preserve"> </w:t>
      </w:r>
      <w:r w:rsidRPr="00BF0C9B">
        <w:rPr>
          <w:sz w:val="22"/>
          <w:szCs w:val="22"/>
        </w:rPr>
        <w:t>of the Act.</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This referral does not preclude a concurrent investigation or action being taken by the registrar or Compliance Unit.</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6" w:name="_Toc530392412"/>
      <w:r w:rsidRPr="00A56A36">
        <w:rPr>
          <w:rFonts w:asciiTheme="minorHAnsi" w:eastAsiaTheme="majorEastAsia" w:hAnsiTheme="minorHAnsi" w:cstheme="majorBidi"/>
          <w:b w:val="0"/>
          <w:bCs/>
          <w:caps/>
          <w:color w:val="7030A0"/>
          <w:spacing w:val="-20"/>
          <w:kern w:val="36"/>
          <w:sz w:val="44"/>
          <w:szCs w:val="48"/>
          <w:lang w:eastAsia="en-AU"/>
        </w:rPr>
        <w:lastRenderedPageBreak/>
        <w:t>Audit Process</w:t>
      </w:r>
      <w:bookmarkEnd w:id="6"/>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In response to allegations of noncompliance, the registrar may appoint an approved auditor to conduct an audit of:</w:t>
      </w:r>
    </w:p>
    <w:p w:rsidR="00D7283F" w:rsidRPr="00BF0C9B" w:rsidRDefault="00D7283F" w:rsidP="00D7283F">
      <w:pPr>
        <w:pStyle w:val="Bullet1"/>
        <w:rPr>
          <w:szCs w:val="22"/>
        </w:rPr>
      </w:pPr>
      <w:r>
        <w:rPr>
          <w:szCs w:val="22"/>
        </w:rPr>
        <w:t>a Code Certified Entity</w:t>
      </w:r>
      <w:r w:rsidRPr="00BF0C9B">
        <w:rPr>
          <w:szCs w:val="22"/>
        </w:rPr>
        <w:t>’s compliance with their Code obligations with specific reference to the alleged complaint; or</w:t>
      </w:r>
    </w:p>
    <w:p w:rsidR="00D7283F" w:rsidRPr="00BF0C9B" w:rsidRDefault="00D7283F" w:rsidP="00D7283F">
      <w:pPr>
        <w:pStyle w:val="Bullet1"/>
        <w:rPr>
          <w:szCs w:val="22"/>
        </w:rPr>
      </w:pPr>
      <w:r w:rsidRPr="00BF0C9B">
        <w:rPr>
          <w:szCs w:val="22"/>
        </w:rPr>
        <w:t xml:space="preserve">compliance with the Code obligations of one or more </w:t>
      </w:r>
      <w:r>
        <w:rPr>
          <w:szCs w:val="22"/>
        </w:rPr>
        <w:t>C</w:t>
      </w:r>
      <w:r w:rsidRPr="00BF0C9B">
        <w:rPr>
          <w:szCs w:val="22"/>
        </w:rPr>
        <w:t xml:space="preserve">ode </w:t>
      </w:r>
      <w:r>
        <w:rPr>
          <w:szCs w:val="22"/>
        </w:rPr>
        <w:t>C</w:t>
      </w:r>
      <w:r w:rsidRPr="00BF0C9B">
        <w:rPr>
          <w:szCs w:val="22"/>
        </w:rPr>
        <w:t xml:space="preserve">ertified </w:t>
      </w:r>
      <w:r>
        <w:rPr>
          <w:szCs w:val="22"/>
        </w:rPr>
        <w:t>E</w:t>
      </w:r>
      <w:r w:rsidRPr="00BF0C9B">
        <w:rPr>
          <w:szCs w:val="22"/>
        </w:rPr>
        <w:t xml:space="preserve">ntities contracted to deliver specified </w:t>
      </w:r>
      <w:r>
        <w:rPr>
          <w:szCs w:val="22"/>
        </w:rPr>
        <w:t>t</w:t>
      </w:r>
      <w:r w:rsidRPr="00BF0C9B">
        <w:rPr>
          <w:szCs w:val="22"/>
        </w:rPr>
        <w:t xml:space="preserve">erritory </w:t>
      </w:r>
      <w:r>
        <w:rPr>
          <w:szCs w:val="22"/>
        </w:rPr>
        <w:t>f</w:t>
      </w:r>
      <w:r w:rsidRPr="00BF0C9B">
        <w:rPr>
          <w:szCs w:val="22"/>
        </w:rPr>
        <w:t xml:space="preserve">unded </w:t>
      </w:r>
      <w:r>
        <w:rPr>
          <w:szCs w:val="22"/>
        </w:rPr>
        <w:t>w</w:t>
      </w:r>
      <w:r w:rsidRPr="00BF0C9B">
        <w:rPr>
          <w:szCs w:val="22"/>
        </w:rPr>
        <w:t>ork.</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If such a referral is made, the registrar will provide written no</w:t>
      </w:r>
      <w:r>
        <w:rPr>
          <w:sz w:val="22"/>
          <w:szCs w:val="22"/>
        </w:rPr>
        <w:t>tification of the audit to the Code Certified Entity</w:t>
      </w:r>
      <w:r w:rsidRPr="00BF0C9B">
        <w:rPr>
          <w:sz w:val="22"/>
          <w:szCs w:val="22"/>
        </w:rPr>
        <w:t>. Written notification will include the details of the approved auditor appointed by the registrar to conduct the audit.</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An approved a</w:t>
      </w:r>
      <w:r>
        <w:rPr>
          <w:sz w:val="22"/>
          <w:szCs w:val="22"/>
        </w:rPr>
        <w:t>uditor</w:t>
      </w:r>
      <w:r w:rsidRPr="00BF0C9B">
        <w:rPr>
          <w:sz w:val="22"/>
          <w:szCs w:val="22"/>
        </w:rPr>
        <w:t xml:space="preserve"> appointed by the registrar to undertake an audit, c</w:t>
      </w:r>
      <w:r>
        <w:rPr>
          <w:sz w:val="22"/>
          <w:szCs w:val="22"/>
        </w:rPr>
        <w:t>annot have assessed any of the Code Certified Entity</w:t>
      </w:r>
      <w:r w:rsidRPr="00BF0C9B">
        <w:rPr>
          <w:sz w:val="22"/>
          <w:szCs w:val="22"/>
        </w:rPr>
        <w:t xml:space="preserve">’s previous three applications for a </w:t>
      </w:r>
      <w:r>
        <w:rPr>
          <w:sz w:val="22"/>
          <w:szCs w:val="22"/>
        </w:rPr>
        <w:t>Secure Local Jobs Code</w:t>
      </w:r>
      <w:r w:rsidRPr="00BF0C9B">
        <w:rPr>
          <w:sz w:val="22"/>
          <w:szCs w:val="22"/>
        </w:rPr>
        <w:t xml:space="preserve"> Certificate.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U</w:t>
      </w:r>
      <w:r>
        <w:rPr>
          <w:sz w:val="22"/>
          <w:szCs w:val="22"/>
        </w:rPr>
        <w:t>pon referral for an audit, the Code Certified Entity</w:t>
      </w:r>
      <w:r w:rsidRPr="00BF0C9B">
        <w:rPr>
          <w:sz w:val="22"/>
          <w:szCs w:val="22"/>
        </w:rPr>
        <w:t xml:space="preserve"> is required to provide all information requested by the registrar and any supporting documentation to the approved auditor within five days. </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Code re</w:t>
      </w:r>
      <w:r>
        <w:rPr>
          <w:sz w:val="22"/>
          <w:szCs w:val="22"/>
        </w:rPr>
        <w:t>quires that, subject to law, a Code Certified Entity</w:t>
      </w:r>
      <w:r w:rsidRPr="00BF0C9B">
        <w:rPr>
          <w:sz w:val="22"/>
          <w:szCs w:val="22"/>
        </w:rPr>
        <w:t xml:space="preserve"> comply with any reasonable request for information, access to records or directions given by the approved auditor for the purpose of investigation of alleged noncompliance.</w:t>
      </w:r>
      <w:r>
        <w:rPr>
          <w:sz w:val="22"/>
          <w:szCs w:val="22"/>
        </w:rPr>
        <w:t xml:space="preserve"> </w:t>
      </w:r>
      <w:r w:rsidRPr="00BF0C9B">
        <w:rPr>
          <w:sz w:val="22"/>
          <w:szCs w:val="22"/>
        </w:rPr>
        <w:t>Failure to comply with the audit requirements may result in a finding of noncompliance and the imposition of sanctions.</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In respect of an audit, the cost of the approved auditor will be met by the Territory. However, the </w:t>
      </w:r>
      <w:r>
        <w:rPr>
          <w:sz w:val="22"/>
          <w:szCs w:val="22"/>
        </w:rPr>
        <w:t>Code Certified Entity</w:t>
      </w:r>
      <w:r w:rsidRPr="00BF0C9B">
        <w:rPr>
          <w:sz w:val="22"/>
          <w:szCs w:val="22"/>
        </w:rPr>
        <w:t xml:space="preserve"> will meet all of its own costs associated with complying with the audit requirements and will have no claim for recovery of those costs from the Territory.</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Once an a</w:t>
      </w:r>
      <w:r>
        <w:rPr>
          <w:sz w:val="22"/>
          <w:szCs w:val="22"/>
        </w:rPr>
        <w:t>udit is complete,</w:t>
      </w:r>
      <w:r w:rsidRPr="00BF0C9B">
        <w:rPr>
          <w:sz w:val="22"/>
          <w:szCs w:val="22"/>
        </w:rPr>
        <w:t xml:space="preserve"> the auditor will provide the r</w:t>
      </w:r>
      <w:r>
        <w:rPr>
          <w:sz w:val="22"/>
          <w:szCs w:val="22"/>
        </w:rPr>
        <w:t>egistrar with an a</w:t>
      </w:r>
      <w:r w:rsidRPr="00BF0C9B">
        <w:rPr>
          <w:sz w:val="22"/>
          <w:szCs w:val="22"/>
        </w:rPr>
        <w:t xml:space="preserve">udit </w:t>
      </w:r>
      <w:r>
        <w:rPr>
          <w:sz w:val="22"/>
          <w:szCs w:val="22"/>
        </w:rPr>
        <w:t>r</w:t>
      </w:r>
      <w:r w:rsidRPr="00BF0C9B">
        <w:rPr>
          <w:sz w:val="22"/>
          <w:szCs w:val="22"/>
        </w:rPr>
        <w:t xml:space="preserve">eport. </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registrar will evaluate the findings of the report to determine what</w:t>
      </w:r>
      <w:r>
        <w:rPr>
          <w:sz w:val="22"/>
          <w:szCs w:val="22"/>
        </w:rPr>
        <w:t xml:space="preserve"> </w:t>
      </w:r>
      <w:r w:rsidRPr="00BF0C9B">
        <w:rPr>
          <w:sz w:val="22"/>
          <w:szCs w:val="22"/>
        </w:rPr>
        <w:t>further action is required</w:t>
      </w:r>
      <w:r>
        <w:rPr>
          <w:sz w:val="22"/>
          <w:szCs w:val="22"/>
        </w:rPr>
        <w:t>, if any</w:t>
      </w:r>
      <w:r w:rsidRPr="00BF0C9B">
        <w:rPr>
          <w:sz w:val="22"/>
          <w:szCs w:val="22"/>
        </w:rPr>
        <w:t>. Such action may include:</w:t>
      </w:r>
    </w:p>
    <w:p w:rsidR="00D7283F" w:rsidRPr="00BF0C9B" w:rsidRDefault="00D7283F" w:rsidP="00D7283F">
      <w:pPr>
        <w:pStyle w:val="Bullet1"/>
        <w:rPr>
          <w:szCs w:val="22"/>
        </w:rPr>
      </w:pPr>
      <w:r w:rsidRPr="00BF0C9B">
        <w:rPr>
          <w:szCs w:val="22"/>
        </w:rPr>
        <w:t>resolution of the noncompliance allegation</w:t>
      </w:r>
    </w:p>
    <w:p w:rsidR="00D7283F" w:rsidRPr="00BF0C9B" w:rsidRDefault="00D7283F" w:rsidP="00D7283F">
      <w:pPr>
        <w:pStyle w:val="Bullet1"/>
        <w:rPr>
          <w:szCs w:val="22"/>
        </w:rPr>
      </w:pPr>
      <w:r w:rsidRPr="00BF0C9B">
        <w:rPr>
          <w:szCs w:val="22"/>
        </w:rPr>
        <w:t>further investigation by the Compliance Unit</w:t>
      </w:r>
    </w:p>
    <w:p w:rsidR="00D7283F" w:rsidRPr="00BF0C9B" w:rsidRDefault="00D7283F" w:rsidP="00D7283F">
      <w:pPr>
        <w:pStyle w:val="Bullet1"/>
        <w:rPr>
          <w:szCs w:val="22"/>
        </w:rPr>
      </w:pPr>
      <w:r w:rsidRPr="00BF0C9B">
        <w:rPr>
          <w:szCs w:val="22"/>
        </w:rPr>
        <w:t>imposition of sanctions.</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7" w:name="_Toc530392413"/>
      <w:r w:rsidRPr="00A56A36">
        <w:rPr>
          <w:rFonts w:asciiTheme="minorHAnsi" w:eastAsiaTheme="majorEastAsia" w:hAnsiTheme="minorHAnsi" w:cstheme="majorBidi"/>
          <w:b w:val="0"/>
          <w:bCs/>
          <w:caps/>
          <w:color w:val="7030A0"/>
          <w:spacing w:val="-20"/>
          <w:kern w:val="36"/>
          <w:sz w:val="44"/>
          <w:szCs w:val="48"/>
          <w:lang w:eastAsia="en-AU"/>
        </w:rPr>
        <w:t>Investigation by the registrar</w:t>
      </w:r>
      <w:bookmarkEnd w:id="7"/>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registrar may direct the Compliance Unit to investigate claims of noncompliance with the Code. The registrar may also initiate investigations where it believes, on reasonable grounds</w:t>
      </w:r>
      <w:r>
        <w:rPr>
          <w:sz w:val="22"/>
          <w:szCs w:val="22"/>
        </w:rPr>
        <w:t>,</w:t>
      </w:r>
      <w:r w:rsidRPr="00BF0C9B">
        <w:rPr>
          <w:sz w:val="22"/>
          <w:szCs w:val="22"/>
        </w:rPr>
        <w:t xml:space="preserve"> that the </w:t>
      </w:r>
      <w:r>
        <w:rPr>
          <w:sz w:val="22"/>
          <w:szCs w:val="22"/>
        </w:rPr>
        <w:t>Code Certified Entity</w:t>
      </w:r>
      <w:r w:rsidRPr="00BF0C9B">
        <w:rPr>
          <w:sz w:val="22"/>
          <w:szCs w:val="22"/>
        </w:rPr>
        <w:t xml:space="preserve"> may not be compliant with its obligations under the Code.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purpose of an investigation is to establish whether there has been one or more instances of noncompliance. Where an allegation has been made under Section 2 of these Guidelines, the starting point of the investigation is the information provided by the Claimant. The investigator may also consider whether other instances of noncompliance have occurred based on information gathered during the course of the investigation.</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lastRenderedPageBreak/>
        <w:t xml:space="preserve">Where there is a relevant </w:t>
      </w:r>
      <w:r>
        <w:rPr>
          <w:sz w:val="22"/>
          <w:szCs w:val="22"/>
        </w:rPr>
        <w:t>r</w:t>
      </w:r>
      <w:r w:rsidRPr="00BF0C9B">
        <w:rPr>
          <w:sz w:val="22"/>
          <w:szCs w:val="22"/>
        </w:rPr>
        <w:t xml:space="preserve">egulatory </w:t>
      </w:r>
      <w:r>
        <w:rPr>
          <w:sz w:val="22"/>
          <w:szCs w:val="22"/>
        </w:rPr>
        <w:t>a</w:t>
      </w:r>
      <w:r w:rsidRPr="00BF0C9B">
        <w:rPr>
          <w:sz w:val="22"/>
          <w:szCs w:val="22"/>
        </w:rPr>
        <w:t xml:space="preserve">uthority in place, an investigation by that </w:t>
      </w:r>
      <w:r>
        <w:rPr>
          <w:sz w:val="22"/>
          <w:szCs w:val="22"/>
        </w:rPr>
        <w:t>a</w:t>
      </w:r>
      <w:r w:rsidRPr="00BF0C9B">
        <w:rPr>
          <w:sz w:val="22"/>
          <w:szCs w:val="22"/>
        </w:rPr>
        <w:t>uthority will take preference over an investigation by the Compliance Unit.</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Where the decision is made to undertake an investigation, the </w:t>
      </w:r>
      <w:r>
        <w:rPr>
          <w:sz w:val="22"/>
          <w:szCs w:val="22"/>
        </w:rPr>
        <w:t>Code Certified Entity</w:t>
      </w:r>
      <w:r w:rsidRPr="00BF0C9B">
        <w:rPr>
          <w:sz w:val="22"/>
          <w:szCs w:val="22"/>
        </w:rPr>
        <w:t xml:space="preserve"> subject to the allegation will be informed in writing and given the opportunity to make submissions in respect of the alleged noncompliance.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Submissions by the </w:t>
      </w:r>
      <w:r>
        <w:rPr>
          <w:sz w:val="22"/>
          <w:szCs w:val="22"/>
        </w:rPr>
        <w:t>Code Certified Entity</w:t>
      </w:r>
      <w:r w:rsidRPr="00BF0C9B">
        <w:rPr>
          <w:sz w:val="22"/>
          <w:szCs w:val="22"/>
        </w:rPr>
        <w:t xml:space="preserve"> in respect of the alleged noncompliance must be provided to the registrar within seven days of the date of the registrar’s written notice.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At the conclusion of the investigation a written report will be provided to the registrar. The report should detail matters considered in the investigation, including:</w:t>
      </w:r>
    </w:p>
    <w:p w:rsidR="00D7283F" w:rsidRPr="00BF0C9B" w:rsidRDefault="00D7283F" w:rsidP="00D7283F">
      <w:pPr>
        <w:pStyle w:val="Bullet1"/>
        <w:rPr>
          <w:szCs w:val="22"/>
        </w:rPr>
      </w:pPr>
      <w:r w:rsidRPr="00BF0C9B">
        <w:rPr>
          <w:szCs w:val="22"/>
        </w:rPr>
        <w:t>the noncompliance alleged by the Claimant or any other grounds f</w:t>
      </w:r>
      <w:r>
        <w:rPr>
          <w:szCs w:val="22"/>
        </w:rPr>
        <w:t>or initiating the investigation</w:t>
      </w:r>
    </w:p>
    <w:p w:rsidR="00D7283F" w:rsidRPr="00BF0C9B" w:rsidRDefault="00D7283F" w:rsidP="00D7283F">
      <w:pPr>
        <w:pStyle w:val="Bullet1"/>
        <w:rPr>
          <w:szCs w:val="22"/>
        </w:rPr>
      </w:pPr>
      <w:r w:rsidRPr="00BF0C9B">
        <w:rPr>
          <w:szCs w:val="22"/>
        </w:rPr>
        <w:t>any other potential noncompliance subsequen</w:t>
      </w:r>
      <w:r>
        <w:rPr>
          <w:szCs w:val="22"/>
        </w:rPr>
        <w:t>tly identified and investigated</w:t>
      </w:r>
    </w:p>
    <w:p w:rsidR="00D7283F" w:rsidRPr="00BF0C9B" w:rsidRDefault="00D7283F" w:rsidP="00D7283F">
      <w:pPr>
        <w:pStyle w:val="Bullet1"/>
        <w:rPr>
          <w:szCs w:val="22"/>
        </w:rPr>
      </w:pPr>
      <w:r w:rsidRPr="00BF0C9B">
        <w:rPr>
          <w:szCs w:val="22"/>
        </w:rPr>
        <w:t xml:space="preserve">summary of information considered in the </w:t>
      </w:r>
      <w:r>
        <w:rPr>
          <w:szCs w:val="22"/>
        </w:rPr>
        <w:t>course of the investigation</w:t>
      </w:r>
    </w:p>
    <w:p w:rsidR="00D7283F" w:rsidRPr="00BF0C9B" w:rsidRDefault="00D7283F" w:rsidP="00D7283F">
      <w:pPr>
        <w:pStyle w:val="Bullet1"/>
        <w:rPr>
          <w:szCs w:val="22"/>
        </w:rPr>
      </w:pPr>
      <w:r w:rsidRPr="00BF0C9B">
        <w:rPr>
          <w:szCs w:val="22"/>
        </w:rPr>
        <w:t>findings based on the evidence, including any findings of noncompliance</w:t>
      </w:r>
      <w:r>
        <w:rPr>
          <w:szCs w:val="22"/>
        </w:rPr>
        <w:t xml:space="preserve"> with the Code</w:t>
      </w:r>
    </w:p>
    <w:p w:rsidR="00D7283F" w:rsidRPr="00BF0C9B" w:rsidRDefault="00D7283F" w:rsidP="00D7283F">
      <w:pPr>
        <w:pStyle w:val="Bullet1"/>
        <w:rPr>
          <w:szCs w:val="22"/>
        </w:rPr>
      </w:pPr>
      <w:r w:rsidRPr="00BF0C9B">
        <w:rPr>
          <w:szCs w:val="22"/>
        </w:rPr>
        <w:t xml:space="preserve">actions taken, including to rectify noncompliance, referral to relevant </w:t>
      </w:r>
      <w:r>
        <w:rPr>
          <w:szCs w:val="22"/>
        </w:rPr>
        <w:t>r</w:t>
      </w:r>
      <w:r w:rsidRPr="00BF0C9B">
        <w:rPr>
          <w:szCs w:val="22"/>
        </w:rPr>
        <w:t xml:space="preserve">egulatory </w:t>
      </w:r>
      <w:r>
        <w:rPr>
          <w:szCs w:val="22"/>
        </w:rPr>
        <w:t>a</w:t>
      </w:r>
      <w:r w:rsidRPr="00BF0C9B">
        <w:rPr>
          <w:szCs w:val="22"/>
        </w:rPr>
        <w:t>uthority or the imposition of sanctions.</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If an investigation is inconclusive in any respect, the report should indicate so. If any part of the noncompliance alleged by the Claimant was not investigated, the report should explain the reasons for the decision not to investigate those matters.</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registrar will evaluate the findings of the report to determine what further action is required</w:t>
      </w:r>
      <w:r>
        <w:rPr>
          <w:sz w:val="22"/>
          <w:szCs w:val="22"/>
        </w:rPr>
        <w:t>, if any</w:t>
      </w:r>
      <w:r w:rsidRPr="00BF0C9B">
        <w:rPr>
          <w:sz w:val="22"/>
          <w:szCs w:val="22"/>
        </w:rPr>
        <w:t>. Such action may include:</w:t>
      </w:r>
    </w:p>
    <w:p w:rsidR="00D7283F" w:rsidRPr="00BF0C9B" w:rsidRDefault="00D7283F" w:rsidP="00D7283F">
      <w:pPr>
        <w:pStyle w:val="Bullet1"/>
        <w:rPr>
          <w:szCs w:val="22"/>
        </w:rPr>
      </w:pPr>
      <w:r w:rsidRPr="00BF0C9B">
        <w:rPr>
          <w:szCs w:val="22"/>
        </w:rPr>
        <w:t>resolution of the noncompliance allegation</w:t>
      </w:r>
    </w:p>
    <w:p w:rsidR="00D7283F" w:rsidRPr="00BF0C9B" w:rsidRDefault="00D7283F" w:rsidP="00D7283F">
      <w:pPr>
        <w:pStyle w:val="Bullet1"/>
        <w:rPr>
          <w:szCs w:val="22"/>
        </w:rPr>
      </w:pPr>
      <w:r w:rsidRPr="00BF0C9B">
        <w:rPr>
          <w:szCs w:val="22"/>
        </w:rPr>
        <w:t xml:space="preserve">further investigation by </w:t>
      </w:r>
      <w:r>
        <w:rPr>
          <w:szCs w:val="22"/>
        </w:rPr>
        <w:t xml:space="preserve">the </w:t>
      </w:r>
      <w:r w:rsidRPr="00BF0C9B">
        <w:rPr>
          <w:szCs w:val="22"/>
        </w:rPr>
        <w:t xml:space="preserve">Compliance Unit </w:t>
      </w:r>
    </w:p>
    <w:p w:rsidR="00D7283F" w:rsidRPr="00BF0C9B" w:rsidRDefault="00D7283F" w:rsidP="00D7283F">
      <w:pPr>
        <w:pStyle w:val="Bullet1"/>
        <w:rPr>
          <w:szCs w:val="22"/>
        </w:rPr>
      </w:pPr>
      <w:r w:rsidRPr="00BF0C9B">
        <w:rPr>
          <w:szCs w:val="22"/>
        </w:rPr>
        <w:t>imposition of infringement points and sanctions.</w:t>
      </w:r>
    </w:p>
    <w:p w:rsidR="00D7283F" w:rsidRPr="00B603D5" w:rsidRDefault="00D7283F" w:rsidP="00D7283F">
      <w:pPr>
        <w:pStyle w:val="ListParagraph"/>
        <w:numPr>
          <w:ilvl w:val="1"/>
          <w:numId w:val="11"/>
        </w:numPr>
        <w:ind w:left="788" w:hanging="431"/>
        <w:contextualSpacing w:val="0"/>
        <w:rPr>
          <w:sz w:val="22"/>
          <w:szCs w:val="22"/>
        </w:rPr>
      </w:pPr>
      <w:r w:rsidRPr="00BF0C9B">
        <w:rPr>
          <w:sz w:val="22"/>
          <w:szCs w:val="22"/>
        </w:rPr>
        <w:t>The registrar will provide the Claimant advice on the status of their</w:t>
      </w:r>
      <w:r w:rsidRPr="00B603D5">
        <w:rPr>
          <w:sz w:val="22"/>
          <w:szCs w:val="22"/>
        </w:rPr>
        <w:t xml:space="preserve"> complaint. Status advice will be in respect of process matters (i.e. if an investigation has commenced, estimated time to complete investigation, conclusion of investigation).</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8" w:name="_Toc530392414"/>
      <w:r w:rsidRPr="00A56A36">
        <w:rPr>
          <w:rFonts w:asciiTheme="minorHAnsi" w:eastAsiaTheme="majorEastAsia" w:hAnsiTheme="minorHAnsi" w:cstheme="majorBidi"/>
          <w:b w:val="0"/>
          <w:bCs/>
          <w:caps/>
          <w:color w:val="7030A0"/>
          <w:spacing w:val="-20"/>
          <w:kern w:val="36"/>
          <w:sz w:val="44"/>
          <w:szCs w:val="48"/>
          <w:lang w:eastAsia="en-AU"/>
        </w:rPr>
        <w:t>Application of Sanctions in response to an adverse ruling</w:t>
      </w:r>
      <w:bookmarkEnd w:id="8"/>
      <w:r w:rsidRPr="00A56A36">
        <w:rPr>
          <w:rFonts w:asciiTheme="minorHAnsi" w:eastAsiaTheme="majorEastAsia" w:hAnsiTheme="minorHAnsi" w:cstheme="majorBidi"/>
          <w:b w:val="0"/>
          <w:bCs/>
          <w:caps/>
          <w:color w:val="7030A0"/>
          <w:spacing w:val="-20"/>
          <w:kern w:val="36"/>
          <w:sz w:val="44"/>
          <w:szCs w:val="48"/>
          <w:lang w:eastAsia="en-AU"/>
        </w:rPr>
        <w:t xml:space="preserve"> </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The registrar may impose sanctions against a </w:t>
      </w:r>
      <w:r>
        <w:rPr>
          <w:sz w:val="22"/>
          <w:szCs w:val="22"/>
        </w:rPr>
        <w:t>Code Certified Entity</w:t>
      </w:r>
      <w:r w:rsidRPr="00BF0C9B">
        <w:rPr>
          <w:sz w:val="22"/>
          <w:szCs w:val="22"/>
        </w:rPr>
        <w:t xml:space="preserve"> for noncompliance with the Code or in the event of an </w:t>
      </w:r>
      <w:r>
        <w:rPr>
          <w:sz w:val="22"/>
          <w:szCs w:val="22"/>
        </w:rPr>
        <w:t>a</w:t>
      </w:r>
      <w:r w:rsidRPr="00BF0C9B">
        <w:rPr>
          <w:sz w:val="22"/>
          <w:szCs w:val="22"/>
        </w:rPr>
        <w:t xml:space="preserve">dverse </w:t>
      </w:r>
      <w:r>
        <w:rPr>
          <w:sz w:val="22"/>
          <w:szCs w:val="22"/>
        </w:rPr>
        <w:t>r</w:t>
      </w:r>
      <w:r w:rsidRPr="00BF0C9B">
        <w:rPr>
          <w:sz w:val="22"/>
          <w:szCs w:val="22"/>
        </w:rPr>
        <w:t xml:space="preserve">uling against </w:t>
      </w:r>
      <w:r>
        <w:rPr>
          <w:sz w:val="22"/>
          <w:szCs w:val="22"/>
        </w:rPr>
        <w:t>a</w:t>
      </w:r>
      <w:r w:rsidRPr="00BF0C9B">
        <w:rPr>
          <w:sz w:val="22"/>
          <w:szCs w:val="22"/>
        </w:rPr>
        <w:t xml:space="preserve"> Code C</w:t>
      </w:r>
      <w:r>
        <w:rPr>
          <w:sz w:val="22"/>
          <w:szCs w:val="22"/>
        </w:rPr>
        <w:t>ertified</w:t>
      </w:r>
      <w:r w:rsidRPr="00BF0C9B">
        <w:rPr>
          <w:sz w:val="22"/>
          <w:szCs w:val="22"/>
        </w:rPr>
        <w:t xml:space="preserve"> Entity. In determining any sanction the registrar will consider proportionality to the breach.</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In considering proportionality, the registrar will take into account:</w:t>
      </w:r>
    </w:p>
    <w:p w:rsidR="00D7283F" w:rsidRPr="00BF0C9B" w:rsidRDefault="00D7283F" w:rsidP="00D7283F">
      <w:pPr>
        <w:pStyle w:val="Bullet1"/>
        <w:rPr>
          <w:szCs w:val="22"/>
        </w:rPr>
      </w:pPr>
      <w:r w:rsidRPr="00BF0C9B">
        <w:rPr>
          <w:szCs w:val="22"/>
        </w:rPr>
        <w:t xml:space="preserve">the nature and extent of the </w:t>
      </w:r>
      <w:r>
        <w:rPr>
          <w:szCs w:val="22"/>
        </w:rPr>
        <w:t>conduct which led to the breach</w:t>
      </w:r>
    </w:p>
    <w:p w:rsidR="00D7283F" w:rsidRPr="00BF0C9B" w:rsidRDefault="00D7283F" w:rsidP="00D7283F">
      <w:pPr>
        <w:pStyle w:val="Bullet1"/>
        <w:rPr>
          <w:szCs w:val="22"/>
        </w:rPr>
      </w:pPr>
      <w:r w:rsidRPr="00BF0C9B">
        <w:rPr>
          <w:szCs w:val="22"/>
        </w:rPr>
        <w:t>the circumstances i</w:t>
      </w:r>
      <w:r>
        <w:rPr>
          <w:szCs w:val="22"/>
        </w:rPr>
        <w:t>n which that conduct took place</w:t>
      </w:r>
    </w:p>
    <w:p w:rsidR="00D7283F" w:rsidRPr="00BF0C9B" w:rsidRDefault="00D7283F" w:rsidP="00D7283F">
      <w:pPr>
        <w:pStyle w:val="Bullet1"/>
        <w:rPr>
          <w:szCs w:val="22"/>
        </w:rPr>
      </w:pPr>
      <w:r w:rsidRPr="00BF0C9B">
        <w:rPr>
          <w:szCs w:val="22"/>
        </w:rPr>
        <w:t>the nature and extent of any loss or damage sustained as a result of the br</w:t>
      </w:r>
      <w:r>
        <w:rPr>
          <w:szCs w:val="22"/>
        </w:rPr>
        <w:t>each</w:t>
      </w:r>
    </w:p>
    <w:p w:rsidR="00D7283F" w:rsidRPr="00BF0C9B" w:rsidRDefault="00D7283F" w:rsidP="00D7283F">
      <w:pPr>
        <w:pStyle w:val="Bullet1"/>
        <w:rPr>
          <w:szCs w:val="22"/>
        </w:rPr>
      </w:pPr>
      <w:r w:rsidRPr="00BF0C9B">
        <w:rPr>
          <w:szCs w:val="22"/>
        </w:rPr>
        <w:t xml:space="preserve">whether there had been similar previous conduct by the </w:t>
      </w:r>
      <w:r>
        <w:rPr>
          <w:szCs w:val="22"/>
        </w:rPr>
        <w:t>Code Certified Entity</w:t>
      </w:r>
    </w:p>
    <w:p w:rsidR="00D7283F" w:rsidRPr="00BF0C9B" w:rsidRDefault="00D7283F" w:rsidP="00D7283F">
      <w:pPr>
        <w:pStyle w:val="Bullet1"/>
        <w:rPr>
          <w:szCs w:val="22"/>
        </w:rPr>
      </w:pPr>
      <w:r w:rsidRPr="00BF0C9B">
        <w:rPr>
          <w:szCs w:val="22"/>
        </w:rPr>
        <w:t>whether the breaches were properly distinct or arose o</w:t>
      </w:r>
      <w:r>
        <w:rPr>
          <w:szCs w:val="22"/>
        </w:rPr>
        <w:t>ut of the one course of conduct</w:t>
      </w:r>
    </w:p>
    <w:p w:rsidR="00D7283F" w:rsidRPr="00BF0C9B" w:rsidRDefault="00D7283F" w:rsidP="00D7283F">
      <w:pPr>
        <w:pStyle w:val="Bullet1"/>
        <w:rPr>
          <w:szCs w:val="22"/>
        </w:rPr>
      </w:pPr>
      <w:r w:rsidRPr="00BF0C9B">
        <w:rPr>
          <w:szCs w:val="22"/>
        </w:rPr>
        <w:t xml:space="preserve">the size of the </w:t>
      </w:r>
      <w:r>
        <w:rPr>
          <w:szCs w:val="22"/>
        </w:rPr>
        <w:t>Code Certified Entity involved</w:t>
      </w:r>
    </w:p>
    <w:p w:rsidR="00D7283F" w:rsidRPr="00BF0C9B" w:rsidRDefault="00D7283F" w:rsidP="00D7283F">
      <w:pPr>
        <w:pStyle w:val="Bullet1"/>
        <w:rPr>
          <w:szCs w:val="22"/>
        </w:rPr>
      </w:pPr>
      <w:r w:rsidRPr="00BF0C9B">
        <w:rPr>
          <w:szCs w:val="22"/>
        </w:rPr>
        <w:lastRenderedPageBreak/>
        <w:t xml:space="preserve">whether or not the breach was </w:t>
      </w:r>
      <w:r>
        <w:rPr>
          <w:szCs w:val="22"/>
        </w:rPr>
        <w:t>deliberate</w:t>
      </w:r>
    </w:p>
    <w:p w:rsidR="00D7283F" w:rsidRPr="00BF0C9B" w:rsidRDefault="00D7283F" w:rsidP="00D7283F">
      <w:pPr>
        <w:pStyle w:val="Bullet1"/>
        <w:rPr>
          <w:szCs w:val="22"/>
        </w:rPr>
      </w:pPr>
      <w:r w:rsidRPr="00BF0C9B">
        <w:rPr>
          <w:szCs w:val="22"/>
        </w:rPr>
        <w:t>whether senior manage</w:t>
      </w:r>
      <w:r>
        <w:rPr>
          <w:szCs w:val="22"/>
        </w:rPr>
        <w:t>ment was involved in the breach</w:t>
      </w:r>
    </w:p>
    <w:p w:rsidR="00D7283F" w:rsidRPr="00BF0C9B" w:rsidRDefault="00D7283F" w:rsidP="00D7283F">
      <w:pPr>
        <w:pStyle w:val="Bullet1"/>
        <w:rPr>
          <w:szCs w:val="22"/>
        </w:rPr>
      </w:pPr>
      <w:r w:rsidRPr="00BF0C9B">
        <w:rPr>
          <w:szCs w:val="22"/>
        </w:rPr>
        <w:t xml:space="preserve">whether the party committing the </w:t>
      </w:r>
      <w:r>
        <w:rPr>
          <w:szCs w:val="22"/>
        </w:rPr>
        <w:t>breach had exhibited contrition</w:t>
      </w:r>
    </w:p>
    <w:p w:rsidR="00D7283F" w:rsidRPr="00BF0C9B" w:rsidRDefault="00D7283F" w:rsidP="00D7283F">
      <w:pPr>
        <w:pStyle w:val="Bullet1"/>
        <w:rPr>
          <w:szCs w:val="22"/>
        </w:rPr>
      </w:pPr>
      <w:r w:rsidRPr="00BF0C9B">
        <w:rPr>
          <w:szCs w:val="22"/>
        </w:rPr>
        <w:t>whether the party committing the bre</w:t>
      </w:r>
      <w:r>
        <w:rPr>
          <w:szCs w:val="22"/>
        </w:rPr>
        <w:t>ach had taken corrective action</w:t>
      </w:r>
    </w:p>
    <w:p w:rsidR="00D7283F" w:rsidRPr="00BF0C9B" w:rsidRDefault="00D7283F" w:rsidP="00D7283F">
      <w:pPr>
        <w:pStyle w:val="Bullet1"/>
        <w:rPr>
          <w:szCs w:val="22"/>
        </w:rPr>
      </w:pPr>
      <w:r w:rsidRPr="00BF0C9B">
        <w:rPr>
          <w:szCs w:val="22"/>
        </w:rPr>
        <w:t>whether the party committing the breach had cooperated with the regis</w:t>
      </w:r>
      <w:r>
        <w:rPr>
          <w:szCs w:val="22"/>
        </w:rPr>
        <w:t>trar or enforcement authorities</w:t>
      </w:r>
    </w:p>
    <w:p w:rsidR="00D7283F" w:rsidRPr="00BF0C9B" w:rsidRDefault="00D7283F" w:rsidP="00D7283F">
      <w:pPr>
        <w:pStyle w:val="Bullet1"/>
        <w:rPr>
          <w:szCs w:val="22"/>
        </w:rPr>
      </w:pPr>
      <w:r w:rsidRPr="00BF0C9B">
        <w:rPr>
          <w:szCs w:val="22"/>
        </w:rPr>
        <w:t>the need to ensure compliance with minimum standards by provision of an effective means for investigation and enforceme</w:t>
      </w:r>
      <w:r>
        <w:rPr>
          <w:szCs w:val="22"/>
        </w:rPr>
        <w:t>nt of employee entitlements</w:t>
      </w:r>
    </w:p>
    <w:p w:rsidR="00D7283F" w:rsidRPr="00BF0C9B" w:rsidRDefault="00D7283F" w:rsidP="00D7283F">
      <w:pPr>
        <w:pStyle w:val="Bullet1"/>
        <w:rPr>
          <w:szCs w:val="22"/>
        </w:rPr>
      </w:pPr>
      <w:r w:rsidRPr="00BF0C9B">
        <w:rPr>
          <w:szCs w:val="22"/>
        </w:rPr>
        <w:t>the need for specific and general deterrence.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Table 1 provides classifications of noncompliance and highlights examples of infringement point allocation and possible sanctions. Examples are provided as a guide and are not limited or exhaustive</w:t>
      </w:r>
      <w:r>
        <w:rPr>
          <w:sz w:val="22"/>
          <w:szCs w:val="22"/>
        </w:rPr>
        <w:t xml:space="preserve">. </w:t>
      </w:r>
      <w:r w:rsidRPr="00BF0C9B">
        <w:rPr>
          <w:sz w:val="22"/>
          <w:szCs w:val="22"/>
        </w:rPr>
        <w:t>The application of infringement points and sanctions may be extended subject to the registrar’s discretion.</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Infringement points imposed upon a </w:t>
      </w:r>
      <w:r>
        <w:rPr>
          <w:sz w:val="22"/>
          <w:szCs w:val="22"/>
        </w:rPr>
        <w:t>Code Certified Entity</w:t>
      </w:r>
      <w:r w:rsidRPr="00BF0C9B">
        <w:rPr>
          <w:sz w:val="22"/>
          <w:szCs w:val="22"/>
        </w:rPr>
        <w:t xml:space="preserve"> remain in place for a period of two </w:t>
      </w:r>
      <w:r>
        <w:rPr>
          <w:sz w:val="22"/>
          <w:szCs w:val="22"/>
        </w:rPr>
        <w:t xml:space="preserve">years. </w:t>
      </w:r>
      <w:r w:rsidRPr="00BF0C9B">
        <w:rPr>
          <w:sz w:val="22"/>
          <w:szCs w:val="22"/>
        </w:rPr>
        <w:t xml:space="preserve">If a </w:t>
      </w:r>
      <w:r>
        <w:rPr>
          <w:sz w:val="22"/>
          <w:szCs w:val="22"/>
        </w:rPr>
        <w:t>Code Certified Entity</w:t>
      </w:r>
      <w:r w:rsidRPr="00BF0C9B">
        <w:rPr>
          <w:sz w:val="22"/>
          <w:szCs w:val="22"/>
        </w:rPr>
        <w:t xml:space="preserve"> accumulates or has a total of 100 points imposed within a two year period, the registrar may suspend or cancel the entity’s </w:t>
      </w:r>
      <w:r>
        <w:rPr>
          <w:sz w:val="22"/>
          <w:szCs w:val="22"/>
        </w:rPr>
        <w:t>Secure Local Jobs Code C</w:t>
      </w:r>
      <w:r w:rsidRPr="00BF0C9B">
        <w:rPr>
          <w:sz w:val="22"/>
          <w:szCs w:val="22"/>
        </w:rPr>
        <w:t>ertificate.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In addition to the imposition of infringement points or sanctions the registrar may also:</w:t>
      </w:r>
    </w:p>
    <w:p w:rsidR="00D7283F" w:rsidRPr="001A184D" w:rsidRDefault="00D7283F" w:rsidP="00D7283F">
      <w:pPr>
        <w:pStyle w:val="Bullet1"/>
        <w:rPr>
          <w:szCs w:val="22"/>
        </w:rPr>
      </w:pPr>
      <w:r w:rsidRPr="001A184D">
        <w:rPr>
          <w:szCs w:val="22"/>
        </w:rPr>
        <w:t xml:space="preserve">direct a </w:t>
      </w:r>
      <w:r>
        <w:rPr>
          <w:szCs w:val="22"/>
        </w:rPr>
        <w:t>Code Certified Entity</w:t>
      </w:r>
      <w:r w:rsidRPr="001A184D">
        <w:rPr>
          <w:szCs w:val="22"/>
        </w:rPr>
        <w:t xml:space="preserve"> to demonstrate their compliance with their Code obligations at intervals specified by the Territory</w:t>
      </w:r>
    </w:p>
    <w:p w:rsidR="00D7283F" w:rsidRPr="001A184D" w:rsidRDefault="00D7283F" w:rsidP="00D7283F">
      <w:pPr>
        <w:pStyle w:val="Bullet1"/>
        <w:rPr>
          <w:szCs w:val="22"/>
        </w:rPr>
      </w:pPr>
      <w:r w:rsidRPr="001A184D">
        <w:rPr>
          <w:szCs w:val="22"/>
        </w:rPr>
        <w:t xml:space="preserve">take into consideration any findings of noncompliance or </w:t>
      </w:r>
      <w:r>
        <w:rPr>
          <w:szCs w:val="22"/>
        </w:rPr>
        <w:t>a</w:t>
      </w:r>
      <w:r w:rsidRPr="001A184D">
        <w:rPr>
          <w:szCs w:val="22"/>
        </w:rPr>
        <w:t xml:space="preserve">dverse </w:t>
      </w:r>
      <w:r>
        <w:rPr>
          <w:szCs w:val="22"/>
        </w:rPr>
        <w:t>r</w:t>
      </w:r>
      <w:r w:rsidRPr="001A184D">
        <w:rPr>
          <w:szCs w:val="22"/>
        </w:rPr>
        <w:t>uling when assessi</w:t>
      </w:r>
      <w:r>
        <w:rPr>
          <w:szCs w:val="22"/>
        </w:rPr>
        <w:t>ng an application for a new or</w:t>
      </w:r>
      <w:r w:rsidRPr="001A184D">
        <w:rPr>
          <w:szCs w:val="22"/>
        </w:rPr>
        <w:t xml:space="preserve"> renewal of a </w:t>
      </w:r>
      <w:r>
        <w:rPr>
          <w:szCs w:val="22"/>
        </w:rPr>
        <w:t>Secure Local Jobs Code C</w:t>
      </w:r>
      <w:r w:rsidRPr="001A184D">
        <w:rPr>
          <w:szCs w:val="22"/>
        </w:rPr>
        <w:t>ertificate</w:t>
      </w:r>
    </w:p>
    <w:p w:rsidR="00D7283F" w:rsidRPr="001A184D" w:rsidRDefault="00D7283F" w:rsidP="00D7283F">
      <w:pPr>
        <w:pStyle w:val="Bullet1"/>
        <w:rPr>
          <w:szCs w:val="22"/>
        </w:rPr>
      </w:pPr>
      <w:r w:rsidRPr="001A184D">
        <w:rPr>
          <w:szCs w:val="22"/>
        </w:rPr>
        <w:t>take the details of the noncompliance into account in assessing future responses to procurement for territory funded work</w:t>
      </w:r>
    </w:p>
    <w:p w:rsidR="00D7283F" w:rsidRPr="001A184D" w:rsidRDefault="00D7283F" w:rsidP="00D7283F">
      <w:pPr>
        <w:pStyle w:val="Bullet1"/>
        <w:rPr>
          <w:szCs w:val="22"/>
        </w:rPr>
      </w:pPr>
      <w:r w:rsidRPr="001A184D">
        <w:rPr>
          <w:szCs w:val="22"/>
        </w:rPr>
        <w:t xml:space="preserve">refer the matter to an appropriate </w:t>
      </w:r>
      <w:r>
        <w:rPr>
          <w:szCs w:val="22"/>
        </w:rPr>
        <w:t>r</w:t>
      </w:r>
      <w:r w:rsidRPr="001A184D">
        <w:rPr>
          <w:szCs w:val="22"/>
        </w:rPr>
        <w:t xml:space="preserve">egulatory </w:t>
      </w:r>
      <w:r>
        <w:rPr>
          <w:szCs w:val="22"/>
        </w:rPr>
        <w:t>a</w:t>
      </w:r>
      <w:r w:rsidRPr="001A184D">
        <w:rPr>
          <w:szCs w:val="22"/>
        </w:rPr>
        <w:t>uthority for investigation.</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 xml:space="preserve">In determining their course of action, the registrar may take into account findings from an </w:t>
      </w:r>
      <w:r>
        <w:rPr>
          <w:sz w:val="22"/>
          <w:szCs w:val="22"/>
        </w:rPr>
        <w:t>a</w:t>
      </w:r>
      <w:r w:rsidRPr="00BF0C9B">
        <w:rPr>
          <w:sz w:val="22"/>
          <w:szCs w:val="22"/>
        </w:rPr>
        <w:t xml:space="preserve">udit or an </w:t>
      </w:r>
      <w:r>
        <w:rPr>
          <w:sz w:val="22"/>
          <w:szCs w:val="22"/>
        </w:rPr>
        <w:t>a</w:t>
      </w:r>
      <w:r w:rsidRPr="00BF0C9B">
        <w:rPr>
          <w:sz w:val="22"/>
          <w:szCs w:val="22"/>
        </w:rPr>
        <w:t xml:space="preserve">dverse </w:t>
      </w:r>
      <w:r>
        <w:rPr>
          <w:sz w:val="22"/>
          <w:szCs w:val="22"/>
        </w:rPr>
        <w:t>r</w:t>
      </w:r>
      <w:r w:rsidRPr="00BF0C9B">
        <w:rPr>
          <w:sz w:val="22"/>
          <w:szCs w:val="22"/>
        </w:rPr>
        <w:t xml:space="preserve">uling or decision of a relevant </w:t>
      </w:r>
      <w:r>
        <w:rPr>
          <w:sz w:val="22"/>
          <w:szCs w:val="22"/>
        </w:rPr>
        <w:t>r</w:t>
      </w:r>
      <w:r w:rsidRPr="00BF0C9B">
        <w:rPr>
          <w:sz w:val="22"/>
          <w:szCs w:val="22"/>
        </w:rPr>
        <w:t xml:space="preserve">egulatory </w:t>
      </w:r>
      <w:r>
        <w:rPr>
          <w:sz w:val="22"/>
          <w:szCs w:val="22"/>
        </w:rPr>
        <w:t xml:space="preserve">authority. </w:t>
      </w:r>
      <w:r w:rsidRPr="00BF0C9B">
        <w:rPr>
          <w:sz w:val="22"/>
          <w:szCs w:val="22"/>
        </w:rPr>
        <w:t>The registrar may also consider any aggravating factors in determining infringement point allocation and sanctions for noncompliance which may include, but are not limited to involvement of</w:t>
      </w:r>
      <w:r>
        <w:rPr>
          <w:sz w:val="22"/>
          <w:szCs w:val="22"/>
        </w:rPr>
        <w:t>:</w:t>
      </w:r>
      <w:r w:rsidRPr="00BF0C9B">
        <w:rPr>
          <w:sz w:val="22"/>
          <w:szCs w:val="22"/>
        </w:rPr>
        <w:t xml:space="preserve"> </w:t>
      </w:r>
    </w:p>
    <w:p w:rsidR="00D7283F" w:rsidRPr="00BF0C9B" w:rsidRDefault="00D7283F" w:rsidP="00D7283F">
      <w:pPr>
        <w:pStyle w:val="Bullet1"/>
        <w:rPr>
          <w:szCs w:val="22"/>
        </w:rPr>
      </w:pPr>
      <w:r w:rsidRPr="00BF0C9B">
        <w:rPr>
          <w:szCs w:val="22"/>
        </w:rPr>
        <w:t>vulnerabl</w:t>
      </w:r>
      <w:r>
        <w:rPr>
          <w:szCs w:val="22"/>
        </w:rPr>
        <w:t xml:space="preserve">e workers. For example, </w:t>
      </w:r>
      <w:r w:rsidRPr="00BF0C9B">
        <w:rPr>
          <w:szCs w:val="22"/>
        </w:rPr>
        <w:t>young workers (aged under 25), migrant workers (either visa workers or workers from a non-English speaking background</w:t>
      </w:r>
      <w:r>
        <w:rPr>
          <w:szCs w:val="22"/>
        </w:rPr>
        <w:t>), or workers with a disability</w:t>
      </w:r>
    </w:p>
    <w:p w:rsidR="00D7283F" w:rsidRPr="00BF0C9B" w:rsidRDefault="00D7283F" w:rsidP="00D7283F">
      <w:pPr>
        <w:pStyle w:val="Bullet1"/>
        <w:rPr>
          <w:szCs w:val="22"/>
        </w:rPr>
      </w:pPr>
      <w:r w:rsidRPr="00BF0C9B">
        <w:rPr>
          <w:szCs w:val="22"/>
        </w:rPr>
        <w:t xml:space="preserve">a large section of the </w:t>
      </w:r>
      <w:r>
        <w:rPr>
          <w:szCs w:val="22"/>
        </w:rPr>
        <w:t>Code Certified Entity</w:t>
      </w:r>
      <w:r w:rsidRPr="00BF0C9B">
        <w:rPr>
          <w:szCs w:val="22"/>
        </w:rPr>
        <w:t>’s workforce</w:t>
      </w:r>
      <w:r>
        <w:rPr>
          <w:szCs w:val="22"/>
        </w:rPr>
        <w:t>. For example,</w:t>
      </w:r>
      <w:r w:rsidRPr="00BF0C9B">
        <w:rPr>
          <w:szCs w:val="22"/>
        </w:rPr>
        <w:t xml:space="preserve"> &gt;25</w:t>
      </w:r>
      <w:r>
        <w:rPr>
          <w:szCs w:val="22"/>
        </w:rPr>
        <w:t xml:space="preserve"> percent</w:t>
      </w:r>
      <w:r w:rsidRPr="00BF0C9B">
        <w:rPr>
          <w:szCs w:val="22"/>
        </w:rPr>
        <w:t xml:space="preserve"> of the </w:t>
      </w:r>
      <w:r>
        <w:rPr>
          <w:szCs w:val="22"/>
        </w:rPr>
        <w:t>Code Certified Entity</w:t>
      </w:r>
      <w:r w:rsidRPr="00BF0C9B">
        <w:rPr>
          <w:szCs w:val="22"/>
        </w:rPr>
        <w:t>’s workforce</w:t>
      </w:r>
    </w:p>
    <w:p w:rsidR="00D7283F" w:rsidRPr="00BF0C9B" w:rsidRDefault="00D7283F" w:rsidP="00D7283F">
      <w:pPr>
        <w:pStyle w:val="Bullet1"/>
        <w:rPr>
          <w:szCs w:val="22"/>
        </w:rPr>
      </w:pPr>
      <w:r w:rsidRPr="00BF0C9B">
        <w:rPr>
          <w:szCs w:val="22"/>
        </w:rPr>
        <w:t>a lengthy period of noncompliance.</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The registrar may also take into consideration an entity’s previous history of noncompliance with Code obligations and seek advice from other parties when determining infringement points or sanctions</w:t>
      </w:r>
      <w:r>
        <w:rPr>
          <w:sz w:val="22"/>
          <w:szCs w:val="22"/>
        </w:rPr>
        <w:t>.</w:t>
      </w:r>
    </w:p>
    <w:p w:rsidR="00D7283F" w:rsidRPr="00BF0C9B" w:rsidRDefault="00D7283F" w:rsidP="00D7283F">
      <w:pPr>
        <w:pStyle w:val="ListParagraph"/>
        <w:numPr>
          <w:ilvl w:val="1"/>
          <w:numId w:val="11"/>
        </w:numPr>
        <w:ind w:left="788" w:hanging="431"/>
        <w:contextualSpacing w:val="0"/>
        <w:rPr>
          <w:sz w:val="22"/>
          <w:szCs w:val="22"/>
        </w:rPr>
      </w:pPr>
      <w:r w:rsidRPr="00BF0C9B">
        <w:rPr>
          <w:sz w:val="22"/>
          <w:szCs w:val="22"/>
        </w:rPr>
        <w:t>Contracts for territory funded work may contain specific penalties related to noncompliance with the Code. In enforcing any such contract terms, the registrar will wo</w:t>
      </w:r>
      <w:r>
        <w:rPr>
          <w:sz w:val="22"/>
          <w:szCs w:val="22"/>
        </w:rPr>
        <w:t>rk with the relevant Territory e</w:t>
      </w:r>
      <w:r w:rsidRPr="00BF0C9B">
        <w:rPr>
          <w:sz w:val="22"/>
          <w:szCs w:val="22"/>
        </w:rPr>
        <w:t>ntities who manage the contract.</w:t>
      </w:r>
    </w:p>
    <w:p w:rsidR="00D7283F" w:rsidRDefault="00D7283F" w:rsidP="00D7283F">
      <w:pPr>
        <w:pStyle w:val="Heading2"/>
        <w:sectPr w:rsidR="00D7283F" w:rsidSect="001A184D">
          <w:pgSz w:w="11906" w:h="16838" w:code="9"/>
          <w:pgMar w:top="1276" w:right="1418" w:bottom="1701" w:left="1418" w:header="567" w:footer="709" w:gutter="0"/>
          <w:cols w:space="708"/>
          <w:docGrid w:linePitch="360"/>
        </w:sectPr>
      </w:pPr>
      <w:bookmarkStart w:id="9" w:name="_Toc462753957"/>
      <w:bookmarkStart w:id="10" w:name="_Toc530389650"/>
    </w:p>
    <w:p w:rsidR="00D7283F" w:rsidRPr="00A56A36" w:rsidRDefault="00D7283F" w:rsidP="00A56A36">
      <w:pPr>
        <w:pStyle w:val="Heading2"/>
        <w:widowControl/>
        <w:suppressAutoHyphens/>
        <w:spacing w:before="240" w:after="60" w:line="300" w:lineRule="exact"/>
        <w:jc w:val="left"/>
        <w:rPr>
          <w:rFonts w:asciiTheme="minorHAnsi" w:eastAsiaTheme="minorHAnsi" w:hAnsiTheme="minorHAnsi" w:cs="Times New Roman"/>
          <w:b/>
          <w:i w:val="0"/>
          <w:iCs w:val="0"/>
          <w:color w:val="AB4399"/>
          <w:sz w:val="38"/>
          <w:szCs w:val="36"/>
          <w:lang w:eastAsia="en-AU"/>
        </w:rPr>
      </w:pPr>
      <w:bookmarkStart w:id="11" w:name="_Toc530392415"/>
      <w:r w:rsidRPr="00A56A36">
        <w:rPr>
          <w:rFonts w:asciiTheme="minorHAnsi" w:eastAsiaTheme="minorHAnsi" w:hAnsiTheme="minorHAnsi" w:cs="Times New Roman"/>
          <w:b/>
          <w:i w:val="0"/>
          <w:iCs w:val="0"/>
          <w:color w:val="AB4399"/>
          <w:sz w:val="38"/>
          <w:szCs w:val="36"/>
          <w:lang w:eastAsia="en-AU"/>
        </w:rPr>
        <w:lastRenderedPageBreak/>
        <w:t>Table 1. Classification of noncompliance and possible sanctions</w:t>
      </w:r>
      <w:bookmarkEnd w:id="9"/>
      <w:bookmarkEnd w:id="10"/>
      <w:bookmarkEnd w:id="11"/>
    </w:p>
    <w:tbl>
      <w:tblPr>
        <w:tblStyle w:val="ColorfulLis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529"/>
        <w:gridCol w:w="2266"/>
      </w:tblGrid>
      <w:tr w:rsidR="00D7283F" w:rsidTr="00A56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shd w:val="clear" w:color="auto" w:fill="7030A0"/>
          </w:tcPr>
          <w:p w:rsidR="00D7283F" w:rsidRPr="00A56A36" w:rsidRDefault="00D7283F" w:rsidP="00974A25">
            <w:pPr>
              <w:pStyle w:val="Tableheading"/>
              <w:rPr>
                <w:rFonts w:ascii="Arial" w:hAnsi="Arial" w:cs="Arial"/>
              </w:rPr>
            </w:pPr>
            <w:r w:rsidRPr="00A56A36">
              <w:rPr>
                <w:rFonts w:ascii="Arial" w:hAnsi="Arial" w:cs="Arial"/>
              </w:rPr>
              <w:t>Classification and infringement points</w:t>
            </w:r>
          </w:p>
        </w:tc>
        <w:tc>
          <w:tcPr>
            <w:tcW w:w="4535" w:type="dxa"/>
            <w:shd w:val="clear" w:color="auto" w:fill="7030A0"/>
          </w:tcPr>
          <w:p w:rsidR="00D7283F" w:rsidRPr="00A56A36" w:rsidRDefault="00D7283F" w:rsidP="00974A25">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A56A36">
              <w:rPr>
                <w:rFonts w:ascii="Arial" w:hAnsi="Arial" w:cs="Arial"/>
              </w:rPr>
              <w:t>Example of noncompliance</w:t>
            </w:r>
          </w:p>
        </w:tc>
        <w:tc>
          <w:tcPr>
            <w:tcW w:w="2268" w:type="dxa"/>
            <w:shd w:val="clear" w:color="auto" w:fill="7030A0"/>
          </w:tcPr>
          <w:p w:rsidR="00D7283F" w:rsidRPr="00A56A36" w:rsidRDefault="00D7283F" w:rsidP="00974A25">
            <w:pPr>
              <w:pStyle w:val="Tablehead"/>
              <w:cnfStyle w:val="100000000000" w:firstRow="1" w:lastRow="0" w:firstColumn="0" w:lastColumn="0" w:oddVBand="0" w:evenVBand="0" w:oddHBand="0" w:evenHBand="0" w:firstRowFirstColumn="0" w:firstRowLastColumn="0" w:lastRowFirstColumn="0" w:lastRowLastColumn="0"/>
              <w:rPr>
                <w:rFonts w:ascii="Arial" w:hAnsi="Arial" w:cs="Arial"/>
              </w:rPr>
            </w:pPr>
            <w:r w:rsidRPr="00A56A36">
              <w:rPr>
                <w:rFonts w:ascii="Arial" w:hAnsi="Arial" w:cs="Arial"/>
              </w:rPr>
              <w:t>Possible sanctions</w:t>
            </w:r>
          </w:p>
        </w:tc>
      </w:tr>
      <w:tr w:rsidR="00D7283F" w:rsidTr="0097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rsidR="00D7283F" w:rsidRPr="00A56A36" w:rsidRDefault="00D7283F" w:rsidP="00974A25">
            <w:pPr>
              <w:rPr>
                <w:sz w:val="21"/>
                <w:szCs w:val="21"/>
              </w:rPr>
            </w:pPr>
            <w:r w:rsidRPr="00A56A36">
              <w:rPr>
                <w:sz w:val="21"/>
                <w:szCs w:val="21"/>
              </w:rPr>
              <w:t xml:space="preserve">Extreme </w:t>
            </w:r>
            <w:r w:rsidRPr="00A56A36">
              <w:rPr>
                <w:b w:val="0"/>
                <w:sz w:val="21"/>
                <w:szCs w:val="21"/>
              </w:rPr>
              <w:t>– serious noncompliance</w:t>
            </w:r>
            <w:r w:rsidRPr="00A56A36">
              <w:rPr>
                <w:sz w:val="21"/>
                <w:szCs w:val="21"/>
              </w:rPr>
              <w:t xml:space="preserve"> </w:t>
            </w:r>
          </w:p>
          <w:p w:rsidR="00D7283F" w:rsidRPr="00A56A36" w:rsidRDefault="00D7283F" w:rsidP="00974A25">
            <w:pPr>
              <w:rPr>
                <w:sz w:val="21"/>
                <w:szCs w:val="21"/>
              </w:rPr>
            </w:pPr>
          </w:p>
          <w:p w:rsidR="00D7283F" w:rsidRPr="00A56A36" w:rsidRDefault="00D7283F" w:rsidP="00974A25">
            <w:pPr>
              <w:rPr>
                <w:sz w:val="21"/>
                <w:szCs w:val="21"/>
              </w:rPr>
            </w:pPr>
            <w:r w:rsidRPr="00A56A36">
              <w:rPr>
                <w:sz w:val="21"/>
                <w:szCs w:val="21"/>
              </w:rPr>
              <w:t>100 points</w:t>
            </w:r>
          </w:p>
        </w:tc>
        <w:tc>
          <w:tcPr>
            <w:tcW w:w="4535" w:type="dxa"/>
          </w:tcPr>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Providing false or misleading information on a statutory declaration.</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Falsification or concealment of documents requested by the registrar under Section 22S of the Code.</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Failure to provide documents requested by the registrar under Section 22S of the Code.</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Intentional disregard for the law.</w:t>
            </w:r>
          </w:p>
        </w:tc>
        <w:tc>
          <w:tcPr>
            <w:tcW w:w="2268" w:type="dxa"/>
          </w:tcPr>
          <w:p w:rsidR="00D7283F" w:rsidRPr="00A56A36" w:rsidRDefault="00D7283F" w:rsidP="00974A25">
            <w:pPr>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Immediate cancellation of Secure Local Jobs Code Certificate</w:t>
            </w:r>
          </w:p>
        </w:tc>
      </w:tr>
      <w:tr w:rsidR="00D7283F" w:rsidTr="00974A25">
        <w:tc>
          <w:tcPr>
            <w:cnfStyle w:val="001000000000" w:firstRow="0" w:lastRow="0" w:firstColumn="1" w:lastColumn="0" w:oddVBand="0" w:evenVBand="0" w:oddHBand="0" w:evenHBand="0" w:firstRowFirstColumn="0" w:firstRowLastColumn="0" w:lastRowFirstColumn="0" w:lastRowLastColumn="0"/>
            <w:tcW w:w="2267" w:type="dxa"/>
          </w:tcPr>
          <w:p w:rsidR="00D7283F" w:rsidRPr="00A56A36" w:rsidRDefault="00D7283F" w:rsidP="00974A25">
            <w:pPr>
              <w:rPr>
                <w:sz w:val="21"/>
                <w:szCs w:val="21"/>
              </w:rPr>
            </w:pPr>
            <w:r w:rsidRPr="00A56A36">
              <w:rPr>
                <w:sz w:val="21"/>
                <w:szCs w:val="21"/>
              </w:rPr>
              <w:t xml:space="preserve">Major </w:t>
            </w:r>
            <w:r w:rsidRPr="00A56A36">
              <w:rPr>
                <w:b w:val="0"/>
                <w:sz w:val="21"/>
                <w:szCs w:val="21"/>
              </w:rPr>
              <w:t>– significant noncompliance with the Code</w:t>
            </w:r>
            <w:r w:rsidRPr="00A56A36">
              <w:rPr>
                <w:sz w:val="21"/>
                <w:szCs w:val="21"/>
              </w:rPr>
              <w:t xml:space="preserve"> </w:t>
            </w:r>
          </w:p>
          <w:p w:rsidR="00D7283F" w:rsidRPr="00A56A36" w:rsidRDefault="00D7283F" w:rsidP="00974A25">
            <w:pPr>
              <w:rPr>
                <w:sz w:val="21"/>
                <w:szCs w:val="21"/>
              </w:rPr>
            </w:pPr>
          </w:p>
          <w:p w:rsidR="00D7283F" w:rsidRPr="00A56A36" w:rsidRDefault="00D7283F" w:rsidP="00974A25">
            <w:pPr>
              <w:rPr>
                <w:sz w:val="21"/>
                <w:szCs w:val="21"/>
              </w:rPr>
            </w:pPr>
            <w:r w:rsidRPr="00A56A36">
              <w:rPr>
                <w:sz w:val="21"/>
                <w:szCs w:val="21"/>
              </w:rPr>
              <w:t>50 points</w:t>
            </w:r>
          </w:p>
        </w:tc>
        <w:tc>
          <w:tcPr>
            <w:tcW w:w="4535" w:type="dxa"/>
          </w:tcPr>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 xml:space="preserve">Failure to notify the Territory within seven days of an adverse ruling against the Code Certified Entity by a relevant regulatory authority. </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 xml:space="preserve">Failure to meet the requirements of prescribed legislation and failure to inform the Territory within seven days of any actions being taken by a relevant regulatory authority. </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 xml:space="preserve">Failure to comply with orders, directions or decisions of any court, tribunal, board, commission or any other relevant authority. </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Repeated noncompliance with the Code obligations.</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Failure to disclose all associated entities.</w:t>
            </w:r>
          </w:p>
        </w:tc>
        <w:tc>
          <w:tcPr>
            <w:tcW w:w="2268" w:type="dxa"/>
          </w:tcPr>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Suspension of Secure Local Jobs Code Certificate.</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Reduction in period of current Secure Local Jobs Code Certificate.</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Increased audit regime during period of current Secure Local Jobs Code Certificate.</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Secure Local Jobs Code Certificate issued for a period less than the standard term on renewal (&lt;18 months).</w:t>
            </w:r>
          </w:p>
        </w:tc>
      </w:tr>
      <w:tr w:rsidR="00D7283F" w:rsidTr="0097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rsidR="00D7283F" w:rsidRPr="00A56A36" w:rsidRDefault="00D7283F" w:rsidP="00974A25">
            <w:pPr>
              <w:rPr>
                <w:sz w:val="21"/>
                <w:szCs w:val="21"/>
              </w:rPr>
            </w:pPr>
            <w:r w:rsidRPr="00A56A36">
              <w:rPr>
                <w:sz w:val="21"/>
                <w:szCs w:val="21"/>
              </w:rPr>
              <w:t xml:space="preserve">Moderate </w:t>
            </w:r>
            <w:r w:rsidRPr="00A56A36">
              <w:rPr>
                <w:b w:val="0"/>
                <w:sz w:val="21"/>
                <w:szCs w:val="21"/>
              </w:rPr>
              <w:t>–noncompliance with the Code</w:t>
            </w:r>
            <w:r w:rsidRPr="00A56A36">
              <w:rPr>
                <w:sz w:val="21"/>
                <w:szCs w:val="21"/>
              </w:rPr>
              <w:t xml:space="preserve"> </w:t>
            </w:r>
          </w:p>
          <w:p w:rsidR="00D7283F" w:rsidRPr="00A56A36" w:rsidRDefault="00D7283F" w:rsidP="00974A25">
            <w:pPr>
              <w:rPr>
                <w:sz w:val="21"/>
                <w:szCs w:val="21"/>
              </w:rPr>
            </w:pPr>
          </w:p>
          <w:p w:rsidR="00D7283F" w:rsidRPr="00A56A36" w:rsidRDefault="00D7283F" w:rsidP="00974A25">
            <w:pPr>
              <w:rPr>
                <w:sz w:val="21"/>
                <w:szCs w:val="21"/>
              </w:rPr>
            </w:pPr>
            <w:r w:rsidRPr="00A56A36">
              <w:rPr>
                <w:sz w:val="21"/>
                <w:szCs w:val="21"/>
              </w:rPr>
              <w:t>20 points</w:t>
            </w:r>
          </w:p>
        </w:tc>
        <w:tc>
          <w:tcPr>
            <w:tcW w:w="4535" w:type="dxa"/>
          </w:tcPr>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Territory notified of action plan in place with relevant regulatory authority to address a failure to meet the requirements of prescribed legislation.</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Failure of Code Certified Entity to ensure that all subcontractors it engages on territory funded work are also a Code Certified Entity.</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Failure to meet obligations under the Code.</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 xml:space="preserve">Failure to meet commitments made in a Labour Relations, Training and Workplace Equity Plan. </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 xml:space="preserve">Increased or additional liability to Australian Taxation Office of Superannuation Guarantee. </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 xml:space="preserve">Failure to maintain registration with ACT Long Service Leave Authority. </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Failure to retain currency with workers compensation during the term of Secure Local Jobs Code Certificate or project.</w:t>
            </w:r>
          </w:p>
        </w:tc>
        <w:tc>
          <w:tcPr>
            <w:tcW w:w="2268" w:type="dxa"/>
          </w:tcPr>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Secure Local Jobs Code Certificate issued for a period less than the standard term on renewal (&lt;18 months).</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Increased audit regime during period of current Secure Local Jobs Code Certificate.</w:t>
            </w:r>
          </w:p>
        </w:tc>
      </w:tr>
      <w:tr w:rsidR="00D7283F" w:rsidTr="00974A25">
        <w:tc>
          <w:tcPr>
            <w:cnfStyle w:val="001000000000" w:firstRow="0" w:lastRow="0" w:firstColumn="1" w:lastColumn="0" w:oddVBand="0" w:evenVBand="0" w:oddHBand="0" w:evenHBand="0" w:firstRowFirstColumn="0" w:firstRowLastColumn="0" w:lastRowFirstColumn="0" w:lastRowLastColumn="0"/>
            <w:tcW w:w="2267" w:type="dxa"/>
          </w:tcPr>
          <w:p w:rsidR="00D7283F" w:rsidRPr="00A56A36" w:rsidRDefault="00D7283F" w:rsidP="00974A25">
            <w:pPr>
              <w:rPr>
                <w:sz w:val="21"/>
                <w:szCs w:val="21"/>
              </w:rPr>
            </w:pPr>
            <w:r w:rsidRPr="00A56A36">
              <w:rPr>
                <w:sz w:val="21"/>
                <w:szCs w:val="21"/>
              </w:rPr>
              <w:lastRenderedPageBreak/>
              <w:t xml:space="preserve">Minor </w:t>
            </w:r>
            <w:r w:rsidRPr="00A56A36">
              <w:rPr>
                <w:b w:val="0"/>
                <w:sz w:val="21"/>
                <w:szCs w:val="21"/>
              </w:rPr>
              <w:t>–noncompliance with administrative requirements of the Code.</w:t>
            </w:r>
            <w:r w:rsidRPr="00A56A36">
              <w:rPr>
                <w:sz w:val="21"/>
                <w:szCs w:val="21"/>
              </w:rPr>
              <w:t xml:space="preserve"> </w:t>
            </w:r>
          </w:p>
          <w:p w:rsidR="00D7283F" w:rsidRPr="00A56A36" w:rsidRDefault="00D7283F" w:rsidP="00974A25">
            <w:pPr>
              <w:rPr>
                <w:sz w:val="21"/>
                <w:szCs w:val="21"/>
              </w:rPr>
            </w:pPr>
          </w:p>
          <w:p w:rsidR="00D7283F" w:rsidRPr="00A56A36" w:rsidRDefault="00D7283F" w:rsidP="00974A25">
            <w:pPr>
              <w:rPr>
                <w:sz w:val="21"/>
                <w:szCs w:val="21"/>
              </w:rPr>
            </w:pPr>
            <w:r w:rsidRPr="00A56A36">
              <w:rPr>
                <w:sz w:val="21"/>
                <w:szCs w:val="21"/>
              </w:rPr>
              <w:t>5 points</w:t>
            </w:r>
          </w:p>
        </w:tc>
        <w:tc>
          <w:tcPr>
            <w:tcW w:w="4535" w:type="dxa"/>
          </w:tcPr>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Isolated incident of failure to deal with matters relating to industrial relations and/or employment obligations. For example failure to provide payslips, pay appropriate overtime rates.</w:t>
            </w:r>
          </w:p>
        </w:tc>
        <w:tc>
          <w:tcPr>
            <w:tcW w:w="2268" w:type="dxa"/>
          </w:tcPr>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Increased audit regime during period of current Secure Local Jobs Code Certificate.</w:t>
            </w:r>
          </w:p>
          <w:p w:rsidR="00D7283F" w:rsidRPr="00A56A36" w:rsidRDefault="00D7283F" w:rsidP="00974A25">
            <w:pPr>
              <w:spacing w:after="60"/>
              <w:cnfStyle w:val="000000000000" w:firstRow="0" w:lastRow="0" w:firstColumn="0" w:lastColumn="0" w:oddVBand="0" w:evenVBand="0" w:oddHBand="0" w:evenHBand="0" w:firstRowFirstColumn="0" w:firstRowLastColumn="0" w:lastRowFirstColumn="0" w:lastRowLastColumn="0"/>
              <w:rPr>
                <w:sz w:val="21"/>
                <w:szCs w:val="21"/>
              </w:rPr>
            </w:pPr>
            <w:r w:rsidRPr="00A56A36">
              <w:rPr>
                <w:sz w:val="21"/>
                <w:szCs w:val="21"/>
              </w:rPr>
              <w:t>Secure Local Jobs Code Certificate issued for a period less than the standard term on renewal (&lt;18 months).</w:t>
            </w:r>
          </w:p>
        </w:tc>
      </w:tr>
      <w:tr w:rsidR="00D7283F" w:rsidTr="0097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rsidR="00D7283F" w:rsidRPr="00A56A36" w:rsidRDefault="00D7283F" w:rsidP="00974A25">
            <w:pPr>
              <w:rPr>
                <w:b w:val="0"/>
                <w:sz w:val="21"/>
                <w:szCs w:val="21"/>
              </w:rPr>
            </w:pPr>
            <w:r w:rsidRPr="00A56A36">
              <w:rPr>
                <w:sz w:val="21"/>
                <w:szCs w:val="21"/>
              </w:rPr>
              <w:t>No sanction imposed -</w:t>
            </w:r>
          </w:p>
          <w:p w:rsidR="00D7283F" w:rsidRPr="00A56A36" w:rsidRDefault="00D7283F" w:rsidP="00974A25">
            <w:pPr>
              <w:rPr>
                <w:sz w:val="21"/>
                <w:szCs w:val="21"/>
              </w:rPr>
            </w:pPr>
            <w:r w:rsidRPr="00A56A36">
              <w:rPr>
                <w:b w:val="0"/>
                <w:sz w:val="21"/>
                <w:szCs w:val="21"/>
              </w:rPr>
              <w:t>during the course of the audit or investigation process the registrar made a determination to impose no sanctions on a Code Certified Entity.</w:t>
            </w:r>
          </w:p>
        </w:tc>
        <w:tc>
          <w:tcPr>
            <w:tcW w:w="4535" w:type="dxa"/>
          </w:tcPr>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The complaint was found to lack substance or evidence.</w:t>
            </w:r>
          </w:p>
          <w:p w:rsidR="00D7283F" w:rsidRPr="00A56A36" w:rsidRDefault="00D7283F" w:rsidP="00974A25">
            <w:pPr>
              <w:spacing w:after="60"/>
              <w:cnfStyle w:val="000000100000" w:firstRow="0" w:lastRow="0" w:firstColumn="0" w:lastColumn="0" w:oddVBand="0" w:evenVBand="0" w:oddHBand="1" w:evenHBand="0" w:firstRowFirstColumn="0" w:firstRowLastColumn="0" w:lastRowFirstColumn="0" w:lastRowLastColumn="0"/>
              <w:rPr>
                <w:sz w:val="21"/>
                <w:szCs w:val="21"/>
              </w:rPr>
            </w:pPr>
            <w:r w:rsidRPr="00A56A36">
              <w:rPr>
                <w:sz w:val="21"/>
                <w:szCs w:val="21"/>
              </w:rPr>
              <w:t>Exceptional circumstances beyond the Code Certified Entity’s control.</w:t>
            </w:r>
          </w:p>
        </w:tc>
        <w:tc>
          <w:tcPr>
            <w:tcW w:w="2268" w:type="dxa"/>
          </w:tcPr>
          <w:p w:rsidR="00D7283F" w:rsidRPr="00A56A36" w:rsidRDefault="00D7283F" w:rsidP="00974A25">
            <w:pPr>
              <w:cnfStyle w:val="000000100000" w:firstRow="0" w:lastRow="0" w:firstColumn="0" w:lastColumn="0" w:oddVBand="0" w:evenVBand="0" w:oddHBand="1" w:evenHBand="0" w:firstRowFirstColumn="0" w:firstRowLastColumn="0" w:lastRowFirstColumn="0" w:lastRowLastColumn="0"/>
              <w:rPr>
                <w:sz w:val="21"/>
                <w:szCs w:val="21"/>
              </w:rPr>
            </w:pPr>
          </w:p>
        </w:tc>
      </w:tr>
    </w:tbl>
    <w:p w:rsidR="00D7283F" w:rsidRDefault="00D7283F" w:rsidP="00D7283F">
      <w:pPr>
        <w:pStyle w:val="Note"/>
      </w:pPr>
      <w:r w:rsidRPr="001A184D">
        <w:t>Table 1 - Classification of noncompliance and possible sanctions</w:t>
      </w:r>
    </w:p>
    <w:p w:rsidR="00D7283F" w:rsidRPr="00A56A36" w:rsidRDefault="00D7283F" w:rsidP="00D7283F">
      <w:pPr>
        <w:pStyle w:val="Heading1"/>
        <w:pageBreakBefore w:val="0"/>
        <w:numPr>
          <w:ilvl w:val="0"/>
          <w:numId w:val="11"/>
        </w:numPr>
        <w:pBdr>
          <w:bottom w:val="none" w:sz="0" w:space="0" w:color="auto"/>
        </w:pBdr>
        <w:tabs>
          <w:tab w:val="clear" w:pos="2880"/>
        </w:tabs>
        <w:suppressAutoHyphens/>
        <w:spacing w:before="360" w:line="440" w:lineRule="exact"/>
        <w:rPr>
          <w:rFonts w:asciiTheme="minorHAnsi" w:eastAsiaTheme="majorEastAsia" w:hAnsiTheme="minorHAnsi" w:cstheme="majorBidi"/>
          <w:b w:val="0"/>
          <w:bCs/>
          <w:caps/>
          <w:color w:val="7030A0"/>
          <w:spacing w:val="-20"/>
          <w:kern w:val="36"/>
          <w:sz w:val="44"/>
          <w:szCs w:val="48"/>
          <w:lang w:eastAsia="en-AU"/>
        </w:rPr>
      </w:pPr>
      <w:bookmarkStart w:id="12" w:name="_Toc530392416"/>
      <w:r w:rsidRPr="00A56A36">
        <w:rPr>
          <w:rFonts w:asciiTheme="minorHAnsi" w:eastAsiaTheme="majorEastAsia" w:hAnsiTheme="minorHAnsi" w:cstheme="majorBidi"/>
          <w:b w:val="0"/>
          <w:bCs/>
          <w:caps/>
          <w:color w:val="7030A0"/>
          <w:spacing w:val="-20"/>
          <w:kern w:val="36"/>
          <w:sz w:val="44"/>
          <w:szCs w:val="48"/>
          <w:lang w:eastAsia="en-AU"/>
        </w:rPr>
        <w:t>Review Process</w:t>
      </w:r>
      <w:bookmarkEnd w:id="12"/>
      <w:r w:rsidRPr="00A56A36">
        <w:rPr>
          <w:rFonts w:asciiTheme="minorHAnsi" w:eastAsiaTheme="majorEastAsia" w:hAnsiTheme="minorHAnsi" w:cstheme="majorBidi"/>
          <w:b w:val="0"/>
          <w:bCs/>
          <w:caps/>
          <w:color w:val="7030A0"/>
          <w:spacing w:val="-20"/>
          <w:kern w:val="36"/>
          <w:sz w:val="44"/>
          <w:szCs w:val="48"/>
          <w:lang w:eastAsia="en-AU"/>
        </w:rPr>
        <w:t xml:space="preserve"> </w:t>
      </w:r>
    </w:p>
    <w:p w:rsidR="00D7283F" w:rsidRPr="001A184D" w:rsidRDefault="00D7283F" w:rsidP="00D7283F">
      <w:pPr>
        <w:pStyle w:val="ListParagraph"/>
        <w:numPr>
          <w:ilvl w:val="1"/>
          <w:numId w:val="11"/>
        </w:numPr>
        <w:contextualSpacing w:val="0"/>
        <w:rPr>
          <w:sz w:val="22"/>
          <w:szCs w:val="22"/>
        </w:rPr>
      </w:pPr>
      <w:r w:rsidRPr="001A184D">
        <w:rPr>
          <w:sz w:val="22"/>
          <w:szCs w:val="22"/>
        </w:rPr>
        <w:t xml:space="preserve">If the registrar proposes to apply sanctions, the </w:t>
      </w:r>
      <w:r>
        <w:rPr>
          <w:sz w:val="22"/>
          <w:szCs w:val="22"/>
        </w:rPr>
        <w:t>Code Certified Entity</w:t>
      </w:r>
      <w:r w:rsidRPr="001A184D">
        <w:rPr>
          <w:sz w:val="22"/>
          <w:szCs w:val="22"/>
        </w:rPr>
        <w:t xml:space="preserve"> and Claimant will first be given the opportunity to show reasons why the sanctions should/should not be applied.  The registrar will issue a Show Reason Notice and the </w:t>
      </w:r>
      <w:r>
        <w:rPr>
          <w:sz w:val="22"/>
          <w:szCs w:val="22"/>
        </w:rPr>
        <w:t>Code Certified Entity</w:t>
      </w:r>
      <w:r w:rsidRPr="001A184D">
        <w:rPr>
          <w:sz w:val="22"/>
          <w:szCs w:val="22"/>
        </w:rPr>
        <w:t xml:space="preserve"> and Claimant will be given not more than 10 business days to respond.</w:t>
      </w:r>
    </w:p>
    <w:p w:rsidR="00D7283F" w:rsidRPr="001A184D" w:rsidRDefault="00D7283F" w:rsidP="00D7283F">
      <w:pPr>
        <w:pStyle w:val="ListParagraph"/>
        <w:numPr>
          <w:ilvl w:val="1"/>
          <w:numId w:val="11"/>
        </w:numPr>
        <w:contextualSpacing w:val="0"/>
        <w:rPr>
          <w:sz w:val="22"/>
          <w:szCs w:val="22"/>
        </w:rPr>
      </w:pPr>
      <w:r w:rsidRPr="001A184D">
        <w:rPr>
          <w:sz w:val="22"/>
          <w:szCs w:val="22"/>
        </w:rPr>
        <w:t xml:space="preserve">Submissions received from the </w:t>
      </w:r>
      <w:r>
        <w:rPr>
          <w:sz w:val="22"/>
          <w:szCs w:val="22"/>
        </w:rPr>
        <w:t>Code Certified Entity</w:t>
      </w:r>
      <w:r w:rsidRPr="001A184D">
        <w:rPr>
          <w:sz w:val="22"/>
          <w:szCs w:val="22"/>
        </w:rPr>
        <w:t xml:space="preserve"> and clai</w:t>
      </w:r>
      <w:r>
        <w:rPr>
          <w:sz w:val="22"/>
          <w:szCs w:val="22"/>
        </w:rPr>
        <w:t>mant within the 10 business day</w:t>
      </w:r>
      <w:r w:rsidRPr="001A184D">
        <w:rPr>
          <w:sz w:val="22"/>
          <w:szCs w:val="22"/>
        </w:rPr>
        <w:t xml:space="preserve"> response period will be considered by the registrar in the determination of any sanctions.</w:t>
      </w:r>
    </w:p>
    <w:p w:rsidR="00D7283F" w:rsidRPr="001A184D" w:rsidRDefault="00D7283F" w:rsidP="00D7283F">
      <w:pPr>
        <w:pStyle w:val="ListParagraph"/>
        <w:numPr>
          <w:ilvl w:val="1"/>
          <w:numId w:val="11"/>
        </w:numPr>
        <w:contextualSpacing w:val="0"/>
        <w:rPr>
          <w:sz w:val="22"/>
          <w:szCs w:val="22"/>
        </w:rPr>
      </w:pPr>
      <w:r w:rsidRPr="001A184D">
        <w:rPr>
          <w:sz w:val="22"/>
          <w:szCs w:val="22"/>
        </w:rPr>
        <w:t xml:space="preserve">If by the time specified in a Show Reason Notice the </w:t>
      </w:r>
      <w:r>
        <w:rPr>
          <w:sz w:val="22"/>
          <w:szCs w:val="22"/>
        </w:rPr>
        <w:t>Code Certified Entity</w:t>
      </w:r>
      <w:r w:rsidRPr="001A184D">
        <w:rPr>
          <w:sz w:val="22"/>
          <w:szCs w:val="22"/>
        </w:rPr>
        <w:t xml:space="preserve"> or claimant fails to respond or to satisfy the registrar they should not apply the sanctions, the registrar may apply the sanctions.</w:t>
      </w:r>
    </w:p>
    <w:p w:rsidR="00D7283F" w:rsidRPr="001A184D" w:rsidRDefault="00D7283F" w:rsidP="00D7283F">
      <w:pPr>
        <w:pStyle w:val="ListParagraph"/>
        <w:numPr>
          <w:ilvl w:val="1"/>
          <w:numId w:val="11"/>
        </w:numPr>
        <w:contextualSpacing w:val="0"/>
        <w:rPr>
          <w:sz w:val="22"/>
          <w:szCs w:val="22"/>
        </w:rPr>
      </w:pPr>
      <w:r w:rsidRPr="001A184D">
        <w:rPr>
          <w:sz w:val="22"/>
          <w:szCs w:val="22"/>
        </w:rPr>
        <w:t xml:space="preserve">The </w:t>
      </w:r>
      <w:r>
        <w:rPr>
          <w:sz w:val="22"/>
          <w:szCs w:val="22"/>
        </w:rPr>
        <w:t>Code Certified Entity</w:t>
      </w:r>
      <w:r w:rsidRPr="001A184D">
        <w:rPr>
          <w:sz w:val="22"/>
          <w:szCs w:val="22"/>
        </w:rPr>
        <w:t xml:space="preserve"> may then apply to the A</w:t>
      </w:r>
      <w:r>
        <w:rPr>
          <w:sz w:val="22"/>
          <w:szCs w:val="22"/>
        </w:rPr>
        <w:t xml:space="preserve">CT Civil and Administrative Tribunal </w:t>
      </w:r>
      <w:r w:rsidRPr="001A184D">
        <w:rPr>
          <w:sz w:val="22"/>
          <w:szCs w:val="22"/>
        </w:rPr>
        <w:t>for a review of the decision.</w:t>
      </w:r>
    </w:p>
    <w:p w:rsidR="00D7283F" w:rsidRPr="00703B1E" w:rsidRDefault="00D7283F" w:rsidP="00D7283F">
      <w:pPr>
        <w:pStyle w:val="ListParagraph"/>
        <w:numPr>
          <w:ilvl w:val="1"/>
          <w:numId w:val="11"/>
        </w:numPr>
        <w:spacing w:before="60" w:after="60"/>
        <w:contextualSpacing w:val="0"/>
        <w:sectPr w:rsidR="00D7283F" w:rsidRPr="00703B1E" w:rsidSect="001A184D">
          <w:pgSz w:w="11906" w:h="16838" w:code="9"/>
          <w:pgMar w:top="1276" w:right="1418" w:bottom="1701" w:left="1418" w:header="567" w:footer="709" w:gutter="0"/>
          <w:cols w:space="708"/>
          <w:docGrid w:linePitch="360"/>
        </w:sectPr>
      </w:pPr>
    </w:p>
    <w:p w:rsidR="00D7283F" w:rsidRDefault="00D7283F" w:rsidP="00D7283F">
      <w:pPr>
        <w:spacing w:before="240"/>
      </w:pPr>
    </w:p>
    <w:p w:rsidR="00D7283F" w:rsidRDefault="00D7283F" w:rsidP="00D7283F">
      <w:pPr>
        <w:spacing w:line="276" w:lineRule="auto"/>
      </w:pPr>
      <w:r>
        <w:rPr>
          <w:noProof/>
          <w:lang w:eastAsia="en-AU"/>
        </w:rPr>
        <w:drawing>
          <wp:anchor distT="0" distB="0" distL="114300" distR="114300" simplePos="0" relativeHeight="251664384" behindDoc="1" locked="0" layoutInCell="1" allowOverlap="1" wp14:anchorId="2BFC837B" wp14:editId="114CC693">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D7283F" w:rsidRDefault="00D7283F" w:rsidP="00D7283F">
      <w:pPr>
        <w:spacing w:line="276" w:lineRule="auto"/>
        <w:rPr>
          <w:rFonts w:eastAsia="TimesNewRomanPS-ItalicMT"/>
        </w:rPr>
      </w:pPr>
    </w:p>
    <w:p w:rsidR="00D7283F" w:rsidRDefault="00D7283F" w:rsidP="00D7283F">
      <w:pPr>
        <w:spacing w:line="276" w:lineRule="auto"/>
        <w:rPr>
          <w:rFonts w:eastAsia="TimesNewRomanPS-ItalicMT"/>
        </w:rPr>
      </w:pPr>
    </w:p>
    <w:p w:rsidR="00D7283F" w:rsidRPr="003B2710" w:rsidRDefault="00D7283F" w:rsidP="00D7283F">
      <w:pPr>
        <w:rPr>
          <w:rFonts w:eastAsia="TimesNewRomanPS-ItalicMT"/>
        </w:rPr>
      </w:pPr>
    </w:p>
    <w:p w:rsidR="00D7283F" w:rsidRPr="00632F54" w:rsidRDefault="00D7283F" w:rsidP="00D7283F">
      <w:pPr>
        <w:pStyle w:val="Heading2"/>
      </w:pPr>
      <w:bookmarkStart w:id="13" w:name="_Toc530131796"/>
      <w:bookmarkStart w:id="14" w:name="_Toc530134460"/>
      <w:bookmarkStart w:id="15" w:name="_Toc530389652"/>
      <w:bookmarkStart w:id="16" w:name="_Toc530390051"/>
      <w:bookmarkStart w:id="17" w:name="_Toc530392417"/>
      <w:r>
        <w:rPr>
          <w:noProof/>
          <w:lang w:eastAsia="en-AU"/>
        </w:rPr>
        <w:drawing>
          <wp:anchor distT="0" distB="0" distL="114300" distR="114300" simplePos="0" relativeHeight="251659264" behindDoc="0" locked="0" layoutInCell="1" allowOverlap="1" wp14:anchorId="496AB46B" wp14:editId="1D983D7F">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cstate="print"/>
                    <a:stretch>
                      <a:fillRect/>
                    </a:stretch>
                  </pic:blipFill>
                  <pic:spPr bwMode="auto">
                    <a:xfrm>
                      <a:off x="0" y="0"/>
                      <a:ext cx="1413510" cy="721995"/>
                    </a:xfrm>
                    <a:prstGeom prst="rect">
                      <a:avLst/>
                    </a:prstGeom>
                    <a:noFill/>
                  </pic:spPr>
                </pic:pic>
              </a:graphicData>
            </a:graphic>
          </wp:anchor>
        </w:drawing>
      </w:r>
      <w:r>
        <w:rPr>
          <w:noProof/>
          <w:lang w:eastAsia="en-AU"/>
        </w:rPr>
        <mc:AlternateContent>
          <mc:Choice Requires="wps">
            <w:drawing>
              <wp:anchor distT="0" distB="0" distL="114300" distR="114300" simplePos="0" relativeHeight="251660288" behindDoc="0" locked="0" layoutInCell="1" allowOverlap="1" wp14:anchorId="747BF5B1" wp14:editId="528D8F38">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3F" w:rsidRPr="000016B9" w:rsidRDefault="00D7283F" w:rsidP="00D7283F">
                            <w:pPr>
                              <w:pStyle w:val="Intro"/>
                              <w:rPr>
                                <w:caps/>
                                <w:color w:val="FFFFFF"/>
                              </w:rPr>
                            </w:pPr>
                            <w:r>
                              <w:rPr>
                                <w:color w:val="FFFFFF"/>
                              </w:rPr>
                              <w:t>Chief Minister, Treasury and Economic Development</w:t>
                            </w:r>
                          </w:p>
                          <w:p w:rsidR="00D7283F" w:rsidRPr="003D4DBC" w:rsidRDefault="00D7283F" w:rsidP="00D7283F">
                            <w:pPr>
                              <w:pStyle w:val="Intro"/>
                              <w:rPr>
                                <w:color w:val="FFFFFF" w:themeColor="background1"/>
                              </w:rPr>
                            </w:pPr>
                            <w:r>
                              <w:rPr>
                                <w:color w:val="FFFFFF" w:themeColor="background1"/>
                              </w:rPr>
                              <w:t>November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7BF5B1" id="Text Box 7" o:spid="_x0000_s1029" type="#_x0000_t202" style="position:absolute;left:0;text-align:left;margin-left:0;margin-top:708.75pt;width:270.85pt;height:7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0jNpCbkC&#10;AADBBQAADgAAAAAAAAAAAAAAAAAuAgAAZHJzL2Uyb0RvYy54bWxQSwECLQAUAAYACAAAACEAyxhc&#10;X94AAAAKAQAADwAAAAAAAAAAAAAAAAATBQAAZHJzL2Rvd25yZXYueG1sUEsFBgAAAAAEAAQA8wAA&#10;AB4GAAAAAA==&#10;" filled="f" stroked="f">
                <v:textbox style="mso-fit-shape-to-text:t">
                  <w:txbxContent>
                    <w:p w:rsidR="00D7283F" w:rsidRPr="000016B9" w:rsidRDefault="00D7283F" w:rsidP="00D7283F">
                      <w:pPr>
                        <w:pStyle w:val="Intro"/>
                        <w:rPr>
                          <w:caps/>
                          <w:color w:val="FFFFFF"/>
                        </w:rPr>
                      </w:pPr>
                      <w:r>
                        <w:rPr>
                          <w:color w:val="FFFFFF"/>
                        </w:rPr>
                        <w:t>Chief Minister, Treasury and Economic Development</w:t>
                      </w:r>
                    </w:p>
                    <w:p w:rsidR="00D7283F" w:rsidRPr="003D4DBC" w:rsidRDefault="00D7283F" w:rsidP="00D7283F">
                      <w:pPr>
                        <w:pStyle w:val="Intro"/>
                        <w:rPr>
                          <w:color w:val="FFFFFF" w:themeColor="background1"/>
                        </w:rPr>
                      </w:pPr>
                      <w:r>
                        <w:rPr>
                          <w:color w:val="FFFFFF" w:themeColor="background1"/>
                        </w:rPr>
                        <w:t>November 2018</w:t>
                      </w:r>
                    </w:p>
                  </w:txbxContent>
                </v:textbox>
                <w10:wrap anchory="page"/>
              </v:shape>
            </w:pict>
          </mc:Fallback>
        </mc:AlternateContent>
      </w:r>
      <w:bookmarkEnd w:id="13"/>
      <w:bookmarkEnd w:id="14"/>
      <w:bookmarkEnd w:id="15"/>
      <w:bookmarkEnd w:id="16"/>
      <w:bookmarkEnd w:id="17"/>
      <w:r>
        <w:t xml:space="preserve"> </w:t>
      </w:r>
    </w:p>
    <w:p w:rsidR="00D7283F" w:rsidRDefault="00F82CDD" w:rsidP="00A214C8">
      <w:pPr>
        <w:tabs>
          <w:tab w:val="left" w:pos="4320"/>
        </w:tabs>
        <w:spacing w:before="72"/>
      </w:pPr>
      <w:r>
        <w:rPr>
          <w:noProof/>
          <w:lang w:eastAsia="en-AU"/>
        </w:rPr>
        <mc:AlternateContent>
          <mc:Choice Requires="wps">
            <w:drawing>
              <wp:anchor distT="0" distB="0" distL="114300" distR="114300" simplePos="0" relativeHeight="251669504" behindDoc="0" locked="0" layoutInCell="1" allowOverlap="1" wp14:anchorId="48A34179" wp14:editId="3A139473">
                <wp:simplePos x="0" y="0"/>
                <wp:positionH relativeFrom="column">
                  <wp:posOffset>1271270</wp:posOffset>
                </wp:positionH>
                <wp:positionV relativeFrom="paragraph">
                  <wp:posOffset>8171815</wp:posOffset>
                </wp:positionV>
                <wp:extent cx="3171825"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18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CDD" w:rsidRPr="00C0331E" w:rsidRDefault="00F82CDD" w:rsidP="00F82CDD">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4179" id="Text Box 1" o:spid="_x0000_s1030" type="#_x0000_t202" style="position:absolute;margin-left:100.1pt;margin-top:643.45pt;width:249.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" filled="f" stroked="f" strokeweight=".5pt">
                <v:textbox>
                  <w:txbxContent>
                    <w:p w:rsidR="00F82CDD" w:rsidRPr="00C0331E" w:rsidRDefault="00F82CDD" w:rsidP="00F82CDD">
                      <w:pPr>
                        <w:rPr>
                          <w:rFonts w:ascii="Arial" w:hAnsi="Arial" w:cs="Arial"/>
                          <w:color w:val="FFFFFF" w:themeColor="background1"/>
                          <w:sz w:val="14"/>
                          <w:szCs w:val="14"/>
                        </w:rPr>
                      </w:pPr>
                      <w:r w:rsidRPr="00C0331E">
                        <w:rPr>
                          <w:rFonts w:ascii="Arial" w:hAnsi="Arial" w:cs="Arial"/>
                          <w:color w:val="FFFFFF" w:themeColor="background1"/>
                          <w:sz w:val="14"/>
                        </w:rPr>
                        <w:t>Unauthorised version prepared by ACT Parliamentary Counsel’s Office</w:t>
                      </w:r>
                    </w:p>
                  </w:txbxContent>
                </v:textbox>
              </v:shape>
            </w:pict>
          </mc:Fallback>
        </mc:AlternateContent>
      </w:r>
    </w:p>
    <w:bookmarkEnd w:id="0"/>
    <w:sectPr w:rsidR="00D7283F" w:rsidSect="00C151F4">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C3" w:rsidRDefault="00704DC3" w:rsidP="00F10CB2">
      <w:r>
        <w:separator/>
      </w:r>
    </w:p>
  </w:endnote>
  <w:endnote w:type="continuationSeparator" w:id="0">
    <w:p w:rsidR="00704DC3" w:rsidRDefault="00704DC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A6" w:rsidRDefault="00F17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8E" w:rsidRPr="00F177A6" w:rsidRDefault="00F177A6" w:rsidP="00F177A6">
    <w:pPr>
      <w:pStyle w:val="Footer"/>
      <w:jc w:val="center"/>
      <w:rPr>
        <w:rFonts w:cs="Arial"/>
        <w:sz w:val="14"/>
      </w:rPr>
    </w:pPr>
    <w:r w:rsidRPr="00F177A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A6" w:rsidRDefault="00F17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3F" w:rsidRDefault="00D7283F" w:rsidP="00AE12D2">
    <w:pPr>
      <w:pStyle w:val="Intro"/>
      <w:tabs>
        <w:tab w:val="right" w:pos="8789"/>
        <w:tab w:val="right" w:pos="9070"/>
      </w:tabs>
      <w:spacing w:after="120" w:line="240" w:lineRule="auto"/>
      <w:rPr>
        <w:color w:val="7030A0"/>
        <w:sz w:val="20"/>
        <w:szCs w:val="20"/>
      </w:rPr>
    </w:pPr>
    <w:r w:rsidRPr="00A56A36">
      <w:rPr>
        <w:noProof/>
        <w:color w:val="7030A0"/>
        <w:sz w:val="18"/>
        <w:szCs w:val="18"/>
      </w:rPr>
      <mc:AlternateContent>
        <mc:Choice Requires="wps">
          <w:drawing>
            <wp:anchor distT="0" distB="0" distL="114300" distR="114300" simplePos="0" relativeHeight="251659264" behindDoc="0" locked="0" layoutInCell="1" allowOverlap="1" wp14:anchorId="5F580D3F" wp14:editId="50010D78">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38394"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Pr="00A56A36">
      <w:rPr>
        <w:color w:val="7030A0"/>
        <w:sz w:val="18"/>
        <w:szCs w:val="18"/>
      </w:rPr>
      <w:t>Secure Local Jobs Complaints and Noncompliance Investigation Guidelines</w:t>
    </w:r>
    <w:r w:rsidRPr="00A56A36">
      <w:rPr>
        <w:color w:val="7030A0"/>
      </w:rPr>
      <w:tab/>
    </w:r>
    <w:r w:rsidRPr="00A56A36">
      <w:rPr>
        <w:color w:val="7030A0"/>
        <w:sz w:val="20"/>
        <w:szCs w:val="20"/>
      </w:rPr>
      <w:fldChar w:fldCharType="begin"/>
    </w:r>
    <w:r w:rsidRPr="00A56A36">
      <w:rPr>
        <w:color w:val="7030A0"/>
        <w:sz w:val="20"/>
        <w:szCs w:val="20"/>
      </w:rPr>
      <w:instrText xml:space="preserve"> PAGE   \* MERGEFORMAT </w:instrText>
    </w:r>
    <w:r w:rsidRPr="00A56A36">
      <w:rPr>
        <w:color w:val="7030A0"/>
        <w:sz w:val="20"/>
        <w:szCs w:val="20"/>
      </w:rPr>
      <w:fldChar w:fldCharType="separate"/>
    </w:r>
    <w:r w:rsidR="00697781">
      <w:rPr>
        <w:noProof/>
        <w:color w:val="7030A0"/>
        <w:sz w:val="20"/>
        <w:szCs w:val="20"/>
      </w:rPr>
      <w:t>11</w:t>
    </w:r>
    <w:r w:rsidRPr="00A56A36">
      <w:rPr>
        <w:color w:val="7030A0"/>
        <w:sz w:val="20"/>
        <w:szCs w:val="20"/>
      </w:rPr>
      <w:fldChar w:fldCharType="end"/>
    </w:r>
  </w:p>
  <w:p w:rsidR="0080408E" w:rsidRPr="00F177A6" w:rsidRDefault="00F177A6" w:rsidP="00F177A6">
    <w:pPr>
      <w:pStyle w:val="Intro"/>
      <w:tabs>
        <w:tab w:val="right" w:pos="8789"/>
        <w:tab w:val="right" w:pos="9070"/>
      </w:tabs>
      <w:spacing w:after="0" w:line="240" w:lineRule="auto"/>
      <w:jc w:val="center"/>
      <w:rPr>
        <w:rFonts w:ascii="Arial" w:hAnsi="Arial" w:cs="Arial"/>
        <w:color w:val="7030A0"/>
        <w:sz w:val="14"/>
      </w:rPr>
    </w:pPr>
    <w:r w:rsidRPr="00F177A6">
      <w:rPr>
        <w:rFonts w:ascii="Arial" w:hAnsi="Arial" w:cs="Arial"/>
        <w:color w:val="7030A0"/>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C3" w:rsidRDefault="00704DC3" w:rsidP="00F10CB2">
      <w:r>
        <w:separator/>
      </w:r>
    </w:p>
  </w:footnote>
  <w:footnote w:type="continuationSeparator" w:id="0">
    <w:p w:rsidR="00704DC3" w:rsidRDefault="00704DC3"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A6" w:rsidRDefault="00F1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A6" w:rsidRDefault="00F17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A6" w:rsidRDefault="00F17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3F" w:rsidRPr="006046FF" w:rsidRDefault="00D7283F" w:rsidP="002009BA">
    <w:pPr>
      <w:pStyle w:val="Intro"/>
      <w:rPr>
        <w:b/>
        <w:caps/>
        <w:color w:val="000000" w:themeColor="text1"/>
      </w:rPr>
    </w:pPr>
    <w:r w:rsidRPr="006046FF">
      <w:rPr>
        <w:b/>
        <w:caps/>
        <w:noProof/>
        <w:color w:val="000000" w:themeColor="text1"/>
      </w:rPr>
      <w:drawing>
        <wp:anchor distT="0" distB="0" distL="114300" distR="114300" simplePos="0" relativeHeight="251660288" behindDoc="1" locked="0" layoutInCell="1" allowOverlap="1" wp14:anchorId="42F9BD88" wp14:editId="01E8E9A5">
          <wp:simplePos x="0" y="0"/>
          <wp:positionH relativeFrom="page">
            <wp:posOffset>534035</wp:posOffset>
          </wp:positionH>
          <wp:positionV relativeFrom="page">
            <wp:posOffset>-584200</wp:posOffset>
          </wp:positionV>
          <wp:extent cx="7632000" cy="903600"/>
          <wp:effectExtent l="38100" t="0" r="7620" b="640080"/>
          <wp:wrapNone/>
          <wp:docPr id="10"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930C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5AA6C9D"/>
    <w:multiLevelType w:val="multilevel"/>
    <w:tmpl w:val="D0840706"/>
    <w:lvl w:ilvl="0">
      <w:start w:val="1"/>
      <w:numFmt w:val="decimal"/>
      <w:pStyle w:val="HeaderStyle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9D420E"/>
    <w:multiLevelType w:val="hybridMultilevel"/>
    <w:tmpl w:val="695EDD6C"/>
    <w:lvl w:ilvl="0" w:tplc="1F80BF74">
      <w:start w:val="1"/>
      <w:numFmt w:val="bullet"/>
      <w:pStyle w:val="Bullet1"/>
      <w:lvlText w:val=""/>
      <w:lvlJc w:val="left"/>
      <w:pPr>
        <w:ind w:left="1152" w:hanging="360"/>
      </w:pPr>
      <w:rPr>
        <w:rFonts w:ascii="Symbol" w:hAnsi="Symbol" w:hint="default"/>
        <w:sz w:val="24"/>
      </w:rPr>
    </w:lvl>
    <w:lvl w:ilvl="1" w:tplc="0C090019">
      <w:start w:val="1"/>
      <w:numFmt w:val="bullet"/>
      <w:lvlText w:val="o"/>
      <w:lvlJc w:val="left"/>
      <w:pPr>
        <w:tabs>
          <w:tab w:val="num" w:pos="2592"/>
        </w:tabs>
        <w:ind w:left="2592" w:hanging="360"/>
      </w:pPr>
      <w:rPr>
        <w:rFonts w:ascii="Courier New" w:hAnsi="Courier New" w:hint="default"/>
      </w:rPr>
    </w:lvl>
    <w:lvl w:ilvl="2" w:tplc="0C09001B">
      <w:start w:val="1"/>
      <w:numFmt w:val="bullet"/>
      <w:lvlText w:val=""/>
      <w:lvlJc w:val="left"/>
      <w:pPr>
        <w:tabs>
          <w:tab w:val="num" w:pos="3312"/>
        </w:tabs>
        <w:ind w:left="3312" w:hanging="360"/>
      </w:pPr>
      <w:rPr>
        <w:rFonts w:ascii="Wingdings" w:hAnsi="Wingdings" w:hint="default"/>
      </w:rPr>
    </w:lvl>
    <w:lvl w:ilvl="3" w:tplc="0C09000F">
      <w:start w:val="1"/>
      <w:numFmt w:val="bullet"/>
      <w:lvlText w:val=""/>
      <w:lvlJc w:val="left"/>
      <w:pPr>
        <w:tabs>
          <w:tab w:val="num" w:pos="4032"/>
        </w:tabs>
        <w:ind w:left="4032" w:hanging="360"/>
      </w:pPr>
      <w:rPr>
        <w:rFonts w:ascii="Symbol" w:hAnsi="Symbol" w:hint="default"/>
      </w:rPr>
    </w:lvl>
    <w:lvl w:ilvl="4" w:tplc="0C090019">
      <w:start w:val="1"/>
      <w:numFmt w:val="bullet"/>
      <w:lvlText w:val="o"/>
      <w:lvlJc w:val="left"/>
      <w:pPr>
        <w:tabs>
          <w:tab w:val="num" w:pos="4752"/>
        </w:tabs>
        <w:ind w:left="4752" w:hanging="360"/>
      </w:pPr>
      <w:rPr>
        <w:rFonts w:ascii="Courier New" w:hAnsi="Courier New" w:hint="default"/>
      </w:rPr>
    </w:lvl>
    <w:lvl w:ilvl="5" w:tplc="0C09001B">
      <w:start w:val="1"/>
      <w:numFmt w:val="bullet"/>
      <w:lvlText w:val=""/>
      <w:lvlJc w:val="left"/>
      <w:pPr>
        <w:tabs>
          <w:tab w:val="num" w:pos="5472"/>
        </w:tabs>
        <w:ind w:left="5472" w:hanging="360"/>
      </w:pPr>
      <w:rPr>
        <w:rFonts w:ascii="Wingdings" w:hAnsi="Wingdings" w:hint="default"/>
      </w:rPr>
    </w:lvl>
    <w:lvl w:ilvl="6" w:tplc="0C09000F">
      <w:start w:val="1"/>
      <w:numFmt w:val="bullet"/>
      <w:lvlText w:val=""/>
      <w:lvlJc w:val="left"/>
      <w:pPr>
        <w:tabs>
          <w:tab w:val="num" w:pos="6192"/>
        </w:tabs>
        <w:ind w:left="6192" w:hanging="360"/>
      </w:pPr>
      <w:rPr>
        <w:rFonts w:ascii="Symbol" w:hAnsi="Symbol" w:hint="default"/>
      </w:rPr>
    </w:lvl>
    <w:lvl w:ilvl="7" w:tplc="0C090019">
      <w:start w:val="1"/>
      <w:numFmt w:val="bullet"/>
      <w:lvlText w:val="o"/>
      <w:lvlJc w:val="left"/>
      <w:pPr>
        <w:tabs>
          <w:tab w:val="num" w:pos="6912"/>
        </w:tabs>
        <w:ind w:left="6912" w:hanging="360"/>
      </w:pPr>
      <w:rPr>
        <w:rFonts w:ascii="Courier New" w:hAnsi="Courier New" w:hint="default"/>
      </w:rPr>
    </w:lvl>
    <w:lvl w:ilvl="8" w:tplc="0C09001B">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8"/>
  </w:num>
  <w:num w:numId="5">
    <w:abstractNumId w:val="11"/>
  </w:num>
  <w:num w:numId="6">
    <w:abstractNumId w:val="2"/>
  </w:num>
  <w:num w:numId="7">
    <w:abstractNumId w:val="6"/>
  </w:num>
  <w:num w:numId="8">
    <w:abstractNumId w:val="7"/>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22B16"/>
    <w:rsid w:val="000A1A69"/>
    <w:rsid w:val="00194AC7"/>
    <w:rsid w:val="002245AB"/>
    <w:rsid w:val="00232478"/>
    <w:rsid w:val="0023271B"/>
    <w:rsid w:val="0029564F"/>
    <w:rsid w:val="00324DE2"/>
    <w:rsid w:val="00421AE2"/>
    <w:rsid w:val="00611380"/>
    <w:rsid w:val="00627F0C"/>
    <w:rsid w:val="00667281"/>
    <w:rsid w:val="00697781"/>
    <w:rsid w:val="006E3B5B"/>
    <w:rsid w:val="00704DC3"/>
    <w:rsid w:val="0072003E"/>
    <w:rsid w:val="007C7C90"/>
    <w:rsid w:val="0080408E"/>
    <w:rsid w:val="00876861"/>
    <w:rsid w:val="00A0585C"/>
    <w:rsid w:val="00A214C8"/>
    <w:rsid w:val="00A56A36"/>
    <w:rsid w:val="00A74E13"/>
    <w:rsid w:val="00AE12D2"/>
    <w:rsid w:val="00B30B9A"/>
    <w:rsid w:val="00BA52F5"/>
    <w:rsid w:val="00BB241F"/>
    <w:rsid w:val="00C3120A"/>
    <w:rsid w:val="00C41B1B"/>
    <w:rsid w:val="00CD4E55"/>
    <w:rsid w:val="00D47F13"/>
    <w:rsid w:val="00D7283F"/>
    <w:rsid w:val="00DA4EA6"/>
    <w:rsid w:val="00E556F2"/>
    <w:rsid w:val="00E82B1C"/>
    <w:rsid w:val="00F10CB2"/>
    <w:rsid w:val="00F15AC3"/>
    <w:rsid w:val="00F177A6"/>
    <w:rsid w:val="00F82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DA4EA6"/>
    <w:pPr>
      <w:tabs>
        <w:tab w:val="left" w:pos="709"/>
        <w:tab w:val="left" w:pos="8789"/>
      </w:tabs>
      <w:spacing w:before="360" w:after="120" w:line="440" w:lineRule="exact"/>
      <w:ind w:left="709" w:hanging="709"/>
    </w:pPr>
    <w:rPr>
      <w:rFonts w:asciiTheme="minorHAnsi" w:hAnsiTheme="minorHAnsi"/>
      <w:b/>
      <w:color w:val="7030A0"/>
      <w:sz w:val="32"/>
      <w:szCs w:val="32"/>
    </w:rPr>
  </w:style>
  <w:style w:type="paragraph" w:styleId="TOC2">
    <w:name w:val="toc 2"/>
    <w:basedOn w:val="Normal"/>
    <w:next w:val="Normal"/>
    <w:autoRedefine/>
    <w:semiHidden/>
    <w:rsid w:val="00DA4EA6"/>
    <w:pPr>
      <w:tabs>
        <w:tab w:val="left" w:pos="8789"/>
      </w:tabs>
      <w:spacing w:before="120" w:after="120" w:line="320" w:lineRule="exact"/>
      <w:ind w:left="709"/>
    </w:pPr>
    <w:rPr>
      <w:rFonts w:asciiTheme="minorHAnsi" w:hAnsiTheme="minorHAnsi"/>
      <w:color w:val="7030A0"/>
      <w:sz w:val="28"/>
      <w:szCs w:val="28"/>
    </w:r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customStyle="1" w:styleId="IMain">
    <w:name w:val="I Main"/>
    <w:basedOn w:val="Normal"/>
    <w:rsid w:val="00876861"/>
    <w:pPr>
      <w:tabs>
        <w:tab w:val="right" w:pos="900"/>
        <w:tab w:val="left" w:pos="1100"/>
      </w:tabs>
      <w:spacing w:before="140"/>
      <w:ind w:left="1100" w:hanging="1100"/>
      <w:jc w:val="both"/>
    </w:pPr>
  </w:style>
  <w:style w:type="paragraph" w:customStyle="1" w:styleId="aNote">
    <w:name w:val="aNote"/>
    <w:basedOn w:val="Normal"/>
    <w:rsid w:val="00876861"/>
    <w:pPr>
      <w:spacing w:before="140"/>
      <w:ind w:left="1900" w:hanging="800"/>
      <w:jc w:val="both"/>
    </w:pPr>
    <w:rPr>
      <w:sz w:val="20"/>
    </w:rPr>
  </w:style>
  <w:style w:type="character" w:customStyle="1" w:styleId="charItals">
    <w:name w:val="charItals"/>
    <w:basedOn w:val="DefaultParagraphFont"/>
    <w:rsid w:val="00876861"/>
    <w:rPr>
      <w:rFonts w:cs="Times New Roman"/>
      <w:i/>
    </w:rPr>
  </w:style>
  <w:style w:type="character" w:customStyle="1" w:styleId="TitleChar">
    <w:name w:val="Title Char"/>
    <w:basedOn w:val="DefaultParagraphFont"/>
    <w:link w:val="Title"/>
    <w:uiPriority w:val="10"/>
    <w:rsid w:val="00D7283F"/>
    <w:rPr>
      <w:rFonts w:ascii="Arial" w:hAnsi="Arial"/>
      <w:b/>
      <w:kern w:val="28"/>
      <w:sz w:val="40"/>
      <w:lang w:eastAsia="en-US"/>
    </w:rPr>
  </w:style>
  <w:style w:type="paragraph" w:styleId="Subtitle">
    <w:name w:val="Subtitle"/>
    <w:basedOn w:val="Normal"/>
    <w:link w:val="SubtitleChar"/>
    <w:uiPriority w:val="11"/>
    <w:qFormat/>
    <w:rsid w:val="00D7283F"/>
    <w:pPr>
      <w:spacing w:after="200"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11"/>
    <w:rsid w:val="00D7283F"/>
    <w:rPr>
      <w:rFonts w:asciiTheme="minorHAnsi" w:eastAsiaTheme="minorHAnsi" w:hAnsiTheme="minorHAnsi"/>
      <w:b/>
      <w:color w:val="262626"/>
      <w:sz w:val="48"/>
      <w:szCs w:val="40"/>
    </w:rPr>
  </w:style>
  <w:style w:type="paragraph" w:customStyle="1" w:styleId="Intro">
    <w:name w:val="Intro"/>
    <w:basedOn w:val="Normal"/>
    <w:rsid w:val="00D7283F"/>
    <w:pPr>
      <w:spacing w:after="200" w:line="300" w:lineRule="exact"/>
    </w:pPr>
    <w:rPr>
      <w:rFonts w:asciiTheme="minorHAnsi" w:eastAsiaTheme="minorHAnsi" w:hAnsiTheme="minorHAnsi"/>
      <w:color w:val="EEECE1" w:themeColor="background2"/>
      <w:w w:val="110"/>
      <w:sz w:val="25"/>
      <w:szCs w:val="24"/>
      <w:lang w:eastAsia="en-AU"/>
    </w:rPr>
  </w:style>
  <w:style w:type="paragraph" w:customStyle="1" w:styleId="Tablehead">
    <w:name w:val="Table head"/>
    <w:basedOn w:val="Normal"/>
    <w:uiPriority w:val="1"/>
    <w:qFormat/>
    <w:rsid w:val="00D7283F"/>
    <w:pPr>
      <w:widowControl w:val="0"/>
      <w:spacing w:before="120" w:after="120" w:line="250" w:lineRule="exact"/>
    </w:pPr>
    <w:rPr>
      <w:rFonts w:asciiTheme="minorHAnsi" w:eastAsia="Montserrat Light" w:hAnsiTheme="minorHAnsi" w:cstheme="minorBidi"/>
      <w:color w:val="FFFFFF" w:themeColor="background1"/>
      <w:sz w:val="21"/>
      <w:szCs w:val="24"/>
      <w:lang w:val="en-US"/>
    </w:rPr>
  </w:style>
  <w:style w:type="paragraph" w:customStyle="1" w:styleId="Bullet1">
    <w:name w:val="Bullet 1"/>
    <w:basedOn w:val="Normal"/>
    <w:link w:val="Bullet1Char"/>
    <w:qFormat/>
    <w:rsid w:val="00D7283F"/>
    <w:pPr>
      <w:numPr>
        <w:numId w:val="10"/>
      </w:numPr>
      <w:spacing w:after="60"/>
    </w:pPr>
    <w:rPr>
      <w:rFonts w:asciiTheme="minorHAnsi" w:hAnsiTheme="minorHAnsi"/>
      <w:sz w:val="22"/>
    </w:rPr>
  </w:style>
  <w:style w:type="character" w:customStyle="1" w:styleId="Bullet1Char">
    <w:name w:val="Bullet 1 Char"/>
    <w:basedOn w:val="DefaultParagraphFont"/>
    <w:link w:val="Bullet1"/>
    <w:rsid w:val="00D7283F"/>
    <w:rPr>
      <w:rFonts w:asciiTheme="minorHAnsi" w:hAnsiTheme="minorHAnsi"/>
      <w:sz w:val="22"/>
      <w:lang w:eastAsia="en-US"/>
    </w:rPr>
  </w:style>
  <w:style w:type="paragraph" w:customStyle="1" w:styleId="Note">
    <w:name w:val="Note"/>
    <w:basedOn w:val="Normal"/>
    <w:link w:val="NoteChar"/>
    <w:qFormat/>
    <w:rsid w:val="00D7283F"/>
    <w:pPr>
      <w:keepNext/>
      <w:spacing w:before="120" w:after="200" w:line="250" w:lineRule="exact"/>
    </w:pPr>
    <w:rPr>
      <w:rFonts w:asciiTheme="minorHAnsi" w:hAnsiTheme="minorHAnsi"/>
      <w:sz w:val="18"/>
      <w:szCs w:val="16"/>
    </w:rPr>
  </w:style>
  <w:style w:type="character" w:customStyle="1" w:styleId="NoteChar">
    <w:name w:val="Note Char"/>
    <w:link w:val="Note"/>
    <w:rsid w:val="00D7283F"/>
    <w:rPr>
      <w:rFonts w:asciiTheme="minorHAnsi" w:hAnsiTheme="minorHAnsi"/>
      <w:sz w:val="18"/>
      <w:szCs w:val="16"/>
      <w:lang w:eastAsia="en-US"/>
    </w:rPr>
  </w:style>
  <w:style w:type="paragraph" w:customStyle="1" w:styleId="Tableheading">
    <w:name w:val="Table heading"/>
    <w:basedOn w:val="Tablehead"/>
    <w:qFormat/>
    <w:rsid w:val="00D7283F"/>
    <w:rPr>
      <w:rFonts w:asciiTheme="majorHAnsi" w:hAnsiTheme="majorHAnsi"/>
      <w:bCs/>
    </w:rPr>
  </w:style>
  <w:style w:type="paragraph" w:styleId="ListParagraph">
    <w:name w:val="List Paragraph"/>
    <w:basedOn w:val="Normal"/>
    <w:link w:val="ListParagraphChar"/>
    <w:uiPriority w:val="34"/>
    <w:qFormat/>
    <w:rsid w:val="00D7283F"/>
    <w:pPr>
      <w:spacing w:after="200" w:line="250" w:lineRule="exact"/>
      <w:ind w:left="720"/>
      <w:contextualSpacing/>
    </w:pPr>
    <w:rPr>
      <w:rFonts w:asciiTheme="minorHAnsi" w:eastAsiaTheme="minorHAnsi" w:hAnsiTheme="minorHAnsi"/>
      <w:sz w:val="21"/>
      <w:szCs w:val="21"/>
      <w:lang w:eastAsia="en-AU"/>
    </w:rPr>
  </w:style>
  <w:style w:type="paragraph" w:customStyle="1" w:styleId="bodytextreverse">
    <w:name w:val="body text reverse"/>
    <w:basedOn w:val="Normal"/>
    <w:qFormat/>
    <w:rsid w:val="00D7283F"/>
    <w:pPr>
      <w:spacing w:after="200" w:line="270" w:lineRule="exact"/>
    </w:pPr>
    <w:rPr>
      <w:rFonts w:ascii="Arial" w:eastAsiaTheme="minorHAnsi" w:hAnsi="Arial"/>
      <w:noProof/>
      <w:color w:val="FFFFFF" w:themeColor="background1"/>
      <w:kern w:val="22"/>
      <w:sz w:val="22"/>
      <w:szCs w:val="21"/>
      <w:lang w:eastAsia="en-AU"/>
    </w:rPr>
  </w:style>
  <w:style w:type="paragraph" w:customStyle="1" w:styleId="HeaderStyle2">
    <w:name w:val="Header Style 2"/>
    <w:basedOn w:val="ListParagraph"/>
    <w:qFormat/>
    <w:rsid w:val="00D7283F"/>
    <w:pPr>
      <w:numPr>
        <w:numId w:val="12"/>
      </w:numPr>
      <w:tabs>
        <w:tab w:val="num" w:pos="720"/>
      </w:tabs>
      <w:autoSpaceDE w:val="0"/>
      <w:autoSpaceDN w:val="0"/>
      <w:adjustRightInd w:val="0"/>
      <w:spacing w:after="0" w:line="240" w:lineRule="auto"/>
      <w:ind w:left="720" w:hanging="720"/>
      <w:contextualSpacing w:val="0"/>
    </w:pPr>
    <w:rPr>
      <w:rFonts w:ascii="Calibri" w:eastAsia="Calibri" w:hAnsi="Calibri"/>
      <w:b/>
      <w:sz w:val="28"/>
      <w:szCs w:val="28"/>
      <w:lang w:eastAsia="en-US"/>
    </w:rPr>
  </w:style>
  <w:style w:type="character" w:customStyle="1" w:styleId="ListParagraphChar">
    <w:name w:val="List Paragraph Char"/>
    <w:basedOn w:val="DefaultParagraphFont"/>
    <w:link w:val="ListParagraph"/>
    <w:uiPriority w:val="34"/>
    <w:rsid w:val="00D7283F"/>
    <w:rPr>
      <w:rFonts w:asciiTheme="minorHAnsi" w:eastAsiaTheme="minorHAnsi" w:hAnsiTheme="minorHAnsi"/>
      <w:sz w:val="21"/>
      <w:szCs w:val="21"/>
    </w:rPr>
  </w:style>
  <w:style w:type="table" w:customStyle="1" w:styleId="ColorfulList-Accent51">
    <w:name w:val="Colorful List - Accent 51"/>
    <w:basedOn w:val="TableNormal"/>
    <w:next w:val="ColorfulList-Accent5"/>
    <w:uiPriority w:val="72"/>
    <w:rsid w:val="00D7283F"/>
    <w:rPr>
      <w:rFonts w:asciiTheme="minorHAnsi" w:eastAsiaTheme="minorHAnsi" w:hAnsiTheme="minorHAnsi" w:cstheme="minorBidi"/>
      <w:color w:val="000000" w:themeColor="text1"/>
      <w:sz w:val="22"/>
      <w:szCs w:val="22"/>
      <w:lang w:eastAsia="en-US"/>
    </w:rPr>
    <w:tblPr>
      <w:tblStyleRowBandSize w:val="1"/>
      <w:tblBorders>
        <w:insideV w:val="single" w:sz="4" w:space="0" w:color="FFFFFF" w:themeColor="background1"/>
      </w:tblBorders>
      <w:tblCellMar>
        <w:top w:w="113" w:type="dxa"/>
        <w:bottom w:w="113" w:type="dxa"/>
      </w:tblCellMar>
    </w:tblPr>
    <w:tcPr>
      <w:shd w:val="clear" w:color="auto" w:fill="F2DBDB"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EEECE1" w:themeFill="background2"/>
      </w:tcPr>
    </w:tblStylePr>
    <w:tblStylePr w:type="lastRow">
      <w:rPr>
        <w:b/>
        <w:bCs/>
        <w:color w:val="1F497D"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5">
    <w:name w:val="Colorful List Accent 5"/>
    <w:basedOn w:val="TableNormal"/>
    <w:uiPriority w:val="72"/>
    <w:semiHidden/>
    <w:unhideWhenUsed/>
    <w:rsid w:val="00D7283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A56A36"/>
    <w:rPr>
      <w:rFonts w:ascii="Arial" w:hAnsi="Arial"/>
      <w:b/>
      <w:kern w:val="28"/>
      <w:sz w:val="36"/>
      <w:lang w:eastAsia="en-US"/>
    </w:rPr>
  </w:style>
  <w:style w:type="character" w:customStyle="1" w:styleId="Heading2Char">
    <w:name w:val="Heading 2 Char"/>
    <w:basedOn w:val="DefaultParagraphFont"/>
    <w:link w:val="Heading2"/>
    <w:uiPriority w:val="9"/>
    <w:rsid w:val="00A56A36"/>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9247">
      <w:bodyDiv w:val="1"/>
      <w:marLeft w:val="0"/>
      <w:marRight w:val="0"/>
      <w:marTop w:val="0"/>
      <w:marBottom w:val="0"/>
      <w:divBdr>
        <w:top w:val="none" w:sz="0" w:space="0" w:color="auto"/>
        <w:left w:val="none" w:sz="0" w:space="0" w:color="auto"/>
        <w:bottom w:val="none" w:sz="0" w:space="0" w:color="auto"/>
        <w:right w:val="none" w:sz="0" w:space="0" w:color="auto"/>
      </w:divBdr>
    </w:div>
    <w:div w:id="15297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rocurement.act.gov.a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49B2DAD8.dotm</Template>
  <TotalTime>3</TotalTime>
  <Pages>11</Pages>
  <Words>2835</Words>
  <Characters>15782</Characters>
  <Application>Microsoft Office Word</Application>
  <DocSecurity>0</DocSecurity>
  <Lines>384</Lines>
  <Paragraphs>206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7</cp:revision>
  <cp:lastPrinted>2004-04-05T00:37:00Z</cp:lastPrinted>
  <dcterms:created xsi:type="dcterms:W3CDTF">2018-11-30T00:43:00Z</dcterms:created>
  <dcterms:modified xsi:type="dcterms:W3CDTF">2018-12-03T03:44:00Z</dcterms:modified>
</cp:coreProperties>
</file>