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4B0" w:rsidRDefault="00F624B0" w:rsidP="00835607">
      <w:pPr>
        <w:spacing w:before="1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Australian Capital Territory</w:t>
      </w:r>
    </w:p>
    <w:p w:rsidR="00F624B0" w:rsidRDefault="00F624B0" w:rsidP="00835607">
      <w:pPr>
        <w:pStyle w:val="Heading7"/>
        <w:spacing w:before="700" w:after="100"/>
        <w:rPr>
          <w:sz w:val="40"/>
          <w:szCs w:val="40"/>
        </w:rPr>
      </w:pPr>
      <w:r>
        <w:rPr>
          <w:sz w:val="40"/>
          <w:szCs w:val="40"/>
        </w:rPr>
        <w:t>Community Title (Fees) Determination 20</w:t>
      </w:r>
      <w:r w:rsidR="00874423">
        <w:rPr>
          <w:sz w:val="40"/>
          <w:szCs w:val="40"/>
        </w:rPr>
        <w:t>1</w:t>
      </w:r>
      <w:r w:rsidR="006A079E">
        <w:rPr>
          <w:sz w:val="40"/>
          <w:szCs w:val="40"/>
        </w:rPr>
        <w:t>9</w:t>
      </w:r>
      <w:r>
        <w:rPr>
          <w:sz w:val="40"/>
          <w:szCs w:val="40"/>
        </w:rPr>
        <w:t xml:space="preserve"> </w:t>
      </w:r>
    </w:p>
    <w:p w:rsidR="00F624B0" w:rsidRDefault="002C2769" w:rsidP="00835607">
      <w:pPr>
        <w:pStyle w:val="Heading2"/>
        <w:spacing w:before="340"/>
      </w:pPr>
      <w:r>
        <w:t xml:space="preserve">Disallowable </w:t>
      </w:r>
      <w:r w:rsidR="00D7735F">
        <w:t>i</w:t>
      </w:r>
      <w:r>
        <w:t>nstrument DI20</w:t>
      </w:r>
      <w:r w:rsidR="00874423">
        <w:t>1</w:t>
      </w:r>
      <w:r w:rsidR="006A079E">
        <w:t>9</w:t>
      </w:r>
      <w:r w:rsidR="00465952">
        <w:t>-</w:t>
      </w:r>
      <w:r w:rsidR="0066143C">
        <w:t>132</w:t>
      </w:r>
    </w:p>
    <w:p w:rsidR="00F624B0" w:rsidRDefault="00F624B0" w:rsidP="00835607">
      <w:pPr>
        <w:pStyle w:val="Heading1"/>
        <w:spacing w:before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p w:rsidR="00F624B0" w:rsidRDefault="00F624B0" w:rsidP="00835607">
      <w:pPr>
        <w:spacing w:before="320"/>
        <w:rPr>
          <w:rFonts w:ascii="Arial" w:hAnsi="Arial" w:cs="Arial"/>
          <w:b/>
          <w:bCs/>
        </w:rPr>
      </w:pPr>
      <w:r w:rsidRPr="00846BEB">
        <w:rPr>
          <w:rFonts w:ascii="Arial" w:hAnsi="Arial" w:cs="Arial"/>
          <w:b/>
          <w:bCs/>
        </w:rPr>
        <w:t>Community Title Act 2001</w:t>
      </w:r>
      <w:r>
        <w:rPr>
          <w:rFonts w:ascii="Arial" w:hAnsi="Arial" w:cs="Arial"/>
          <w:b/>
          <w:bCs/>
        </w:rPr>
        <w:t>, s 96 (Determination of fees)</w:t>
      </w:r>
    </w:p>
    <w:p w:rsidR="00F624B0" w:rsidRPr="00835607" w:rsidRDefault="00F624B0" w:rsidP="00835607">
      <w:pPr>
        <w:pBdr>
          <w:bottom w:val="single" w:sz="8" w:space="1" w:color="auto"/>
        </w:pBdr>
        <w:spacing w:before="60"/>
        <w:rPr>
          <w:rFonts w:ascii="Arial" w:hAnsi="Arial" w:cs="Arial"/>
          <w:bCs/>
          <w:iCs/>
          <w:sz w:val="24"/>
          <w:szCs w:val="24"/>
        </w:rPr>
      </w:pPr>
    </w:p>
    <w:p w:rsidR="00F624B0" w:rsidRDefault="00F624B0" w:rsidP="00835607">
      <w:pPr>
        <w:rPr>
          <w:rFonts w:ascii="Arial" w:hAnsi="Arial" w:cs="Arial"/>
          <w:b/>
          <w:bCs/>
        </w:rPr>
      </w:pPr>
    </w:p>
    <w:p w:rsidR="00F624B0" w:rsidRDefault="00F624B0" w:rsidP="00835607">
      <w:pPr>
        <w:numPr>
          <w:ilvl w:val="0"/>
          <w:numId w:val="2"/>
        </w:numPr>
        <w:tabs>
          <w:tab w:val="clear" w:pos="360"/>
        </w:tabs>
        <w:spacing w:before="60" w:after="60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Name of </w:t>
      </w:r>
      <w:r w:rsidR="00D7735F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nstrument</w:t>
      </w:r>
    </w:p>
    <w:p w:rsidR="00F624B0" w:rsidRDefault="00F624B0" w:rsidP="00835607">
      <w:pPr>
        <w:pStyle w:val="BodyTextIndent3"/>
        <w:tabs>
          <w:tab w:val="num" w:pos="426"/>
          <w:tab w:val="num" w:pos="709"/>
        </w:tabs>
        <w:spacing w:before="140"/>
        <w:ind w:left="720"/>
        <w:rPr>
          <w:i/>
          <w:iCs/>
        </w:rPr>
      </w:pPr>
      <w:r>
        <w:t xml:space="preserve">This instrument is the </w:t>
      </w:r>
      <w:r>
        <w:rPr>
          <w:i/>
          <w:iCs/>
        </w:rPr>
        <w:t>Community Title</w:t>
      </w:r>
      <w:r>
        <w:t xml:space="preserve"> </w:t>
      </w:r>
      <w:r>
        <w:rPr>
          <w:i/>
          <w:iCs/>
        </w:rPr>
        <w:t>(Fees) Determination 20</w:t>
      </w:r>
      <w:r w:rsidR="00874423">
        <w:rPr>
          <w:i/>
          <w:iCs/>
        </w:rPr>
        <w:t>1</w:t>
      </w:r>
      <w:r w:rsidR="006A079E">
        <w:rPr>
          <w:i/>
          <w:iCs/>
        </w:rPr>
        <w:t>9</w:t>
      </w:r>
      <w:r>
        <w:rPr>
          <w:i/>
          <w:iCs/>
        </w:rPr>
        <w:t>.</w:t>
      </w:r>
    </w:p>
    <w:p w:rsidR="00F624B0" w:rsidRDefault="00F624B0" w:rsidP="00835607">
      <w:pPr>
        <w:numPr>
          <w:ilvl w:val="0"/>
          <w:numId w:val="2"/>
        </w:numPr>
        <w:tabs>
          <w:tab w:val="clear" w:pos="360"/>
        </w:tabs>
        <w:spacing w:before="300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Commencement</w:t>
      </w:r>
    </w:p>
    <w:p w:rsidR="006D122C" w:rsidRDefault="006D122C" w:rsidP="00835607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>This instrument commences on 1 July 20</w:t>
      </w:r>
      <w:r w:rsidR="00874423">
        <w:t>1</w:t>
      </w:r>
      <w:r w:rsidR="006A079E">
        <w:t>9</w:t>
      </w:r>
      <w:r>
        <w:t>.</w:t>
      </w:r>
    </w:p>
    <w:p w:rsidR="00F624B0" w:rsidRDefault="00F624B0" w:rsidP="00835607">
      <w:pPr>
        <w:numPr>
          <w:ilvl w:val="0"/>
          <w:numId w:val="2"/>
        </w:numPr>
        <w:tabs>
          <w:tab w:val="clear" w:pos="360"/>
          <w:tab w:val="num" w:pos="709"/>
        </w:tabs>
        <w:spacing w:before="300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Determination of fees</w:t>
      </w:r>
    </w:p>
    <w:p w:rsidR="00F624B0" w:rsidRDefault="00846BEB" w:rsidP="00835607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>I determine the fee payable for a matter listed in column 2 of the schedule to be the fee listed in the corresponding entry in column 4 of the schedule.</w:t>
      </w:r>
    </w:p>
    <w:p w:rsidR="00F624B0" w:rsidRDefault="00F624B0" w:rsidP="00835607">
      <w:pPr>
        <w:numPr>
          <w:ilvl w:val="0"/>
          <w:numId w:val="2"/>
        </w:numPr>
        <w:tabs>
          <w:tab w:val="clear" w:pos="360"/>
          <w:tab w:val="num" w:pos="709"/>
        </w:tabs>
        <w:spacing w:before="300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Payment of fees</w:t>
      </w:r>
    </w:p>
    <w:p w:rsidR="00F624B0" w:rsidRDefault="00846BEB" w:rsidP="00835607">
      <w:pPr>
        <w:pStyle w:val="BodyTextIndent3"/>
        <w:spacing w:before="140"/>
        <w:ind w:left="720"/>
      </w:pPr>
      <w:r>
        <w:t xml:space="preserve">A fee mentioned in the schedule is payable to the </w:t>
      </w:r>
      <w:r w:rsidR="000F2154">
        <w:t>Territory</w:t>
      </w:r>
      <w:r>
        <w:t xml:space="preserve"> by the person requesting the goods or services described in the schedule. </w:t>
      </w:r>
    </w:p>
    <w:p w:rsidR="00F624B0" w:rsidRDefault="00F624B0" w:rsidP="00835607">
      <w:pPr>
        <w:numPr>
          <w:ilvl w:val="0"/>
          <w:numId w:val="2"/>
        </w:numPr>
        <w:tabs>
          <w:tab w:val="clear" w:pos="360"/>
          <w:tab w:val="num" w:pos="709"/>
        </w:tabs>
        <w:spacing w:before="300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Revocation</w:t>
      </w:r>
    </w:p>
    <w:p w:rsidR="00F624B0" w:rsidRDefault="00EA1311" w:rsidP="00835607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>This instrument</w:t>
      </w:r>
      <w:r w:rsidR="00846BEB">
        <w:t xml:space="preserve"> revoke</w:t>
      </w:r>
      <w:r>
        <w:t>s</w:t>
      </w:r>
      <w:r w:rsidR="00846BEB">
        <w:t xml:space="preserve"> the </w:t>
      </w:r>
      <w:r w:rsidR="00846BEB">
        <w:rPr>
          <w:i/>
        </w:rPr>
        <w:t>Community Title (Fees) Determination 201</w:t>
      </w:r>
      <w:r w:rsidR="006A079E">
        <w:rPr>
          <w:i/>
        </w:rPr>
        <w:t>8</w:t>
      </w:r>
      <w:r w:rsidR="00846BEB">
        <w:rPr>
          <w:i/>
        </w:rPr>
        <w:t xml:space="preserve"> </w:t>
      </w:r>
      <w:r w:rsidR="00846BEB">
        <w:t>(</w:t>
      </w:r>
      <w:r w:rsidR="007B4BC1">
        <w:t>DI</w:t>
      </w:r>
      <w:r w:rsidR="00AB1A39" w:rsidRPr="003B7CC1">
        <w:t>201</w:t>
      </w:r>
      <w:r w:rsidR="006A079E">
        <w:t>8</w:t>
      </w:r>
      <w:r w:rsidR="00965ABF" w:rsidRPr="003B7CC1">
        <w:noBreakHyphen/>
        <w:t>1</w:t>
      </w:r>
      <w:r w:rsidR="006A079E">
        <w:t>59</w:t>
      </w:r>
      <w:r w:rsidR="00846BEB">
        <w:t>).</w:t>
      </w:r>
      <w:r w:rsidR="00F624B0">
        <w:t xml:space="preserve"> </w:t>
      </w:r>
    </w:p>
    <w:p w:rsidR="00846BEB" w:rsidRDefault="00846BEB" w:rsidP="00835607">
      <w:pPr>
        <w:pStyle w:val="BodyText"/>
        <w:spacing w:before="960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Mick Gentleman</w:t>
      </w:r>
      <w:r w:rsidR="00580141">
        <w:rPr>
          <w:rFonts w:ascii="Times New Roman" w:hAnsi="Times New Roman" w:cs="Times New Roman"/>
          <w:lang w:val="en-AU"/>
        </w:rPr>
        <w:t xml:space="preserve"> MLA</w:t>
      </w:r>
      <w:r>
        <w:rPr>
          <w:rFonts w:ascii="Times New Roman" w:hAnsi="Times New Roman" w:cs="Times New Roman"/>
          <w:lang w:val="en-AU"/>
        </w:rPr>
        <w:br/>
        <w:t>Minister for Planning and Land Manag</w:t>
      </w:r>
      <w:r w:rsidR="00C51232">
        <w:rPr>
          <w:rFonts w:ascii="Times New Roman" w:hAnsi="Times New Roman" w:cs="Times New Roman"/>
          <w:lang w:val="en-AU"/>
        </w:rPr>
        <w:t>e</w:t>
      </w:r>
      <w:r>
        <w:rPr>
          <w:rFonts w:ascii="Times New Roman" w:hAnsi="Times New Roman" w:cs="Times New Roman"/>
          <w:lang w:val="en-AU"/>
        </w:rPr>
        <w:t>ment</w:t>
      </w:r>
      <w:r>
        <w:rPr>
          <w:rFonts w:ascii="Times New Roman" w:hAnsi="Times New Roman" w:cs="Times New Roman"/>
          <w:lang w:val="en-AU"/>
        </w:rPr>
        <w:br/>
      </w:r>
      <w:r w:rsidR="0066143C">
        <w:rPr>
          <w:rFonts w:ascii="Times New Roman" w:hAnsi="Times New Roman" w:cs="Times New Roman"/>
          <w:lang w:val="en-AU"/>
        </w:rPr>
        <w:t xml:space="preserve">25 June </w:t>
      </w:r>
      <w:r>
        <w:rPr>
          <w:rFonts w:ascii="Times New Roman" w:hAnsi="Times New Roman" w:cs="Times New Roman"/>
          <w:lang w:val="en-AU"/>
        </w:rPr>
        <w:t>201</w:t>
      </w:r>
      <w:r w:rsidR="006A079E">
        <w:rPr>
          <w:rFonts w:ascii="Times New Roman" w:hAnsi="Times New Roman" w:cs="Times New Roman"/>
          <w:lang w:val="en-AU"/>
        </w:rPr>
        <w:t>9</w:t>
      </w:r>
    </w:p>
    <w:p w:rsidR="00F624B0" w:rsidRDefault="00F624B0"/>
    <w:p w:rsidR="00846BEB" w:rsidRDefault="00511CC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8931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685"/>
        <w:gridCol w:w="1790"/>
        <w:gridCol w:w="1896"/>
      </w:tblGrid>
      <w:tr w:rsidR="00846BEB" w:rsidTr="001B397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BEB" w:rsidRDefault="00846BEB" w:rsidP="001B3970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Column 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BEB" w:rsidRDefault="00846BEB" w:rsidP="001B3970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Column 2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BEB" w:rsidRPr="008C79BA" w:rsidRDefault="00846BEB" w:rsidP="001B3970">
            <w:pPr>
              <w:jc w:val="center"/>
              <w:rPr>
                <w:b/>
                <w:bCs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snapToGrid w:val="0"/>
                <w:color w:val="000000"/>
                <w:sz w:val="24"/>
                <w:szCs w:val="24"/>
              </w:rPr>
              <w:t>Column 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BEB" w:rsidRDefault="00846BEB" w:rsidP="001B3970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Column 4</w:t>
            </w:r>
          </w:p>
        </w:tc>
      </w:tr>
      <w:tr w:rsidR="00846BEB" w:rsidTr="001B397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BEB" w:rsidRDefault="00846BEB" w:rsidP="001B3970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Relevant Section for which a fee is payable</w:t>
            </w:r>
          </w:p>
          <w:p w:rsidR="00846BEB" w:rsidRPr="00511CCC" w:rsidRDefault="00846BEB" w:rsidP="001B39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BEB" w:rsidRDefault="00846BEB" w:rsidP="001B3970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 of Matter for which fee is payable</w:t>
            </w:r>
          </w:p>
          <w:p w:rsidR="00846BEB" w:rsidRDefault="00846BEB" w:rsidP="001B39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BEB" w:rsidRPr="008C79BA" w:rsidRDefault="00846BEB" w:rsidP="001B3970">
            <w:pPr>
              <w:jc w:val="center"/>
              <w:rPr>
                <w:b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8C79BA">
              <w:rPr>
                <w:b/>
                <w:bCs/>
                <w:iCs/>
                <w:snapToGrid w:val="0"/>
                <w:color w:val="000000"/>
                <w:sz w:val="24"/>
                <w:szCs w:val="24"/>
              </w:rPr>
              <w:t>Fee Payable</w:t>
            </w:r>
          </w:p>
          <w:p w:rsidR="00846BEB" w:rsidRPr="008C79BA" w:rsidRDefault="00846BEB" w:rsidP="001B3970">
            <w:pPr>
              <w:jc w:val="center"/>
              <w:rPr>
                <w:b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8C79BA">
              <w:rPr>
                <w:b/>
                <w:bCs/>
                <w:iCs/>
                <w:snapToGrid w:val="0"/>
                <w:color w:val="000000"/>
                <w:sz w:val="24"/>
                <w:szCs w:val="24"/>
              </w:rPr>
              <w:t xml:space="preserve">GST Exempt </w:t>
            </w:r>
          </w:p>
          <w:p w:rsidR="00846BEB" w:rsidRPr="008C79BA" w:rsidRDefault="00846BEB" w:rsidP="001B3970">
            <w:pPr>
              <w:jc w:val="center"/>
              <w:rPr>
                <w:b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8C79BA">
              <w:rPr>
                <w:b/>
                <w:bCs/>
                <w:iCs/>
                <w:snapToGrid w:val="0"/>
                <w:color w:val="000000"/>
                <w:sz w:val="24"/>
                <w:szCs w:val="24"/>
              </w:rPr>
              <w:t>$</w:t>
            </w:r>
          </w:p>
          <w:p w:rsidR="00846BEB" w:rsidRDefault="00846BEB" w:rsidP="001B39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="006A079E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-1</w:t>
            </w:r>
            <w:r w:rsidR="006A079E">
              <w:rPr>
                <w:b/>
                <w:bCs/>
                <w:sz w:val="24"/>
                <w:szCs w:val="24"/>
              </w:rPr>
              <w:t>9</w:t>
            </w:r>
          </w:p>
          <w:p w:rsidR="00846BEB" w:rsidRPr="00511CCC" w:rsidRDefault="00846BEB" w:rsidP="001B3970">
            <w:pPr>
              <w:pStyle w:val="Heading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BEB" w:rsidRDefault="00846BEB" w:rsidP="001B3970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Fee Payable</w:t>
            </w:r>
          </w:p>
          <w:p w:rsidR="00846BEB" w:rsidRDefault="00846BEB" w:rsidP="001B39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GST Exempt</w:t>
            </w:r>
          </w:p>
          <w:p w:rsidR="00846BEB" w:rsidRDefault="00846BEB" w:rsidP="001B39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</w:p>
          <w:p w:rsidR="00846BEB" w:rsidRDefault="00846BEB" w:rsidP="001B39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="006A079E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6A079E">
              <w:rPr>
                <w:b/>
                <w:bCs/>
                <w:sz w:val="24"/>
                <w:szCs w:val="24"/>
              </w:rPr>
              <w:t>20</w:t>
            </w:r>
          </w:p>
          <w:p w:rsidR="00846BEB" w:rsidRDefault="00846BEB" w:rsidP="001B39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46BEB" w:rsidRDefault="00846BEB">
      <w:pPr>
        <w:rPr>
          <w:sz w:val="24"/>
          <w:szCs w:val="24"/>
        </w:rPr>
      </w:pPr>
    </w:p>
    <w:p w:rsidR="00F624B0" w:rsidRDefault="00F624B0">
      <w:pPr>
        <w:rPr>
          <w:sz w:val="24"/>
          <w:szCs w:val="24"/>
        </w:rPr>
      </w:pPr>
    </w:p>
    <w:tbl>
      <w:tblPr>
        <w:tblW w:w="89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3685"/>
        <w:gridCol w:w="1843"/>
        <w:gridCol w:w="1843"/>
      </w:tblGrid>
      <w:tr w:rsidR="00337CE2" w:rsidTr="00BE5E43">
        <w:trPr>
          <w:trHeight w:val="105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7CE2" w:rsidRDefault="00337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7CE2" w:rsidRDefault="00337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 Residential Developments – where the number of proposed lots is 3 – un-staged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37CE2" w:rsidRPr="00A6639A" w:rsidRDefault="007C4A2A" w:rsidP="00791A9E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2,0</w:t>
            </w:r>
            <w:r w:rsidR="006A079E">
              <w:rPr>
                <w:i/>
                <w:sz w:val="24"/>
                <w:szCs w:val="24"/>
              </w:rPr>
              <w:t>63</w:t>
            </w:r>
            <w:r w:rsidR="00337CE2" w:rsidRPr="00A6639A">
              <w:rPr>
                <w:i/>
                <w:sz w:val="24"/>
                <w:szCs w:val="24"/>
              </w:rPr>
              <w:t>.00</w:t>
            </w:r>
          </w:p>
          <w:p w:rsidR="00337CE2" w:rsidRPr="00A6639A" w:rsidRDefault="00337CE2" w:rsidP="00AC7D4B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37CE2" w:rsidRPr="00375281" w:rsidRDefault="007C4A2A" w:rsidP="00BA750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2,</w:t>
            </w:r>
            <w:r w:rsidR="007F146E">
              <w:rPr>
                <w:b/>
                <w:color w:val="000000"/>
                <w:sz w:val="24"/>
                <w:szCs w:val="24"/>
              </w:rPr>
              <w:t>114</w:t>
            </w:r>
            <w:r w:rsidR="00D061B5">
              <w:rPr>
                <w:b/>
                <w:color w:val="000000"/>
                <w:sz w:val="24"/>
                <w:szCs w:val="24"/>
              </w:rPr>
              <w:t>.</w:t>
            </w:r>
            <w:r w:rsidR="00BA7507">
              <w:rPr>
                <w:b/>
                <w:color w:val="000000"/>
                <w:sz w:val="24"/>
                <w:szCs w:val="24"/>
              </w:rPr>
              <w:t>0</w:t>
            </w:r>
            <w:r w:rsidR="00337CE2" w:rsidRPr="00375281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337CE2" w:rsidTr="00BE5E43">
        <w:trPr>
          <w:trHeight w:val="10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7CE2" w:rsidRDefault="00337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7CE2" w:rsidRDefault="00337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 Residential Developments – where the number of proposed lots is 3 – staged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37CE2" w:rsidRPr="00A6639A" w:rsidRDefault="007C4A2A" w:rsidP="006A079E">
            <w:pP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2,5</w:t>
            </w:r>
            <w:r w:rsidR="006A079E">
              <w:rPr>
                <w:i/>
                <w:sz w:val="24"/>
                <w:szCs w:val="24"/>
              </w:rPr>
              <w:t>78</w:t>
            </w:r>
            <w:r w:rsidR="00337CE2" w:rsidRPr="00A6639A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37CE2" w:rsidRPr="00375281" w:rsidRDefault="007C4A2A" w:rsidP="00BA750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2,</w:t>
            </w:r>
            <w:r w:rsidR="00D061B5">
              <w:rPr>
                <w:b/>
                <w:color w:val="000000"/>
                <w:sz w:val="24"/>
                <w:szCs w:val="24"/>
              </w:rPr>
              <w:t>6</w:t>
            </w:r>
            <w:r w:rsidR="007F146E">
              <w:rPr>
                <w:b/>
                <w:color w:val="000000"/>
                <w:sz w:val="24"/>
                <w:szCs w:val="24"/>
              </w:rPr>
              <w:t>42</w:t>
            </w:r>
            <w:r w:rsidR="00D061B5">
              <w:rPr>
                <w:b/>
                <w:color w:val="000000"/>
                <w:sz w:val="24"/>
                <w:szCs w:val="24"/>
              </w:rPr>
              <w:t>.</w:t>
            </w:r>
            <w:r w:rsidR="00BA7507">
              <w:rPr>
                <w:b/>
                <w:color w:val="000000"/>
                <w:sz w:val="24"/>
                <w:szCs w:val="24"/>
              </w:rPr>
              <w:t>0</w:t>
            </w:r>
            <w:r w:rsidR="00337CE2" w:rsidRPr="00375281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337CE2" w:rsidTr="00BE5E43">
        <w:trPr>
          <w:trHeight w:val="129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7CE2" w:rsidRDefault="00337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7CE2" w:rsidRDefault="00337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 Residential Developments – where the number of proposed lots is more than 3 – fee per additional lot – un-staged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37CE2" w:rsidRPr="00A6639A" w:rsidRDefault="007C4A2A" w:rsidP="006A079E">
            <w:pP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6A079E">
              <w:rPr>
                <w:i/>
                <w:sz w:val="24"/>
                <w:szCs w:val="24"/>
              </w:rPr>
              <w:t>53</w:t>
            </w:r>
            <w:r w:rsidR="00337CE2" w:rsidRPr="00A6639A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37CE2" w:rsidRPr="00375281" w:rsidRDefault="007C4A2A" w:rsidP="00BA750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D061B5">
              <w:rPr>
                <w:b/>
                <w:color w:val="000000"/>
                <w:sz w:val="24"/>
                <w:szCs w:val="24"/>
              </w:rPr>
              <w:t>6</w:t>
            </w:r>
            <w:r w:rsidR="007F146E">
              <w:rPr>
                <w:b/>
                <w:color w:val="000000"/>
                <w:sz w:val="24"/>
                <w:szCs w:val="24"/>
              </w:rPr>
              <w:t>0</w:t>
            </w:r>
            <w:r w:rsidR="00BA7507">
              <w:rPr>
                <w:b/>
                <w:color w:val="000000"/>
                <w:sz w:val="24"/>
                <w:szCs w:val="24"/>
              </w:rPr>
              <w:t>.0</w:t>
            </w:r>
            <w:r w:rsidR="00337CE2" w:rsidRPr="00375281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337CE2" w:rsidTr="00BE5E43">
        <w:trPr>
          <w:trHeight w:val="13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7CE2" w:rsidRDefault="00337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7CE2" w:rsidRDefault="00337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 Residential Developments – where the number of proposed lots is more than 3 – fee per additional lot – staged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37CE2" w:rsidRPr="00A6639A" w:rsidRDefault="007C4A2A" w:rsidP="006A079E">
            <w:pP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6A079E">
              <w:rPr>
                <w:i/>
                <w:sz w:val="24"/>
                <w:szCs w:val="24"/>
              </w:rPr>
              <w:t>90</w:t>
            </w:r>
            <w:r w:rsidR="00337CE2" w:rsidRPr="00A6639A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37CE2" w:rsidRPr="00375281" w:rsidRDefault="007C4A2A" w:rsidP="00D061B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</w:t>
            </w:r>
            <w:r w:rsidR="007F146E">
              <w:rPr>
                <w:b/>
                <w:color w:val="000000"/>
                <w:sz w:val="24"/>
                <w:szCs w:val="24"/>
              </w:rPr>
              <w:t>8</w:t>
            </w:r>
            <w:r w:rsidR="00337CE2" w:rsidRPr="00375281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337CE2" w:rsidTr="00BE5E43">
        <w:trPr>
          <w:trHeight w:val="10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7CE2" w:rsidRDefault="00337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7CE2" w:rsidRDefault="00337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 Commercial or Mixed Use Developments – where the number of proposed lots is 3 – un-staged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37CE2" w:rsidRPr="00A6639A" w:rsidRDefault="007C4A2A" w:rsidP="006A079E">
            <w:pP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2,5</w:t>
            </w:r>
            <w:r w:rsidR="006A079E">
              <w:rPr>
                <w:i/>
                <w:sz w:val="24"/>
                <w:szCs w:val="24"/>
              </w:rPr>
              <w:t>78</w:t>
            </w:r>
            <w:r w:rsidR="00337CE2" w:rsidRPr="00A6639A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37CE2" w:rsidRPr="00375281" w:rsidRDefault="007C4A2A" w:rsidP="00D061B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2,</w:t>
            </w:r>
            <w:r w:rsidR="00BA7507">
              <w:rPr>
                <w:b/>
                <w:color w:val="000000"/>
                <w:sz w:val="24"/>
                <w:szCs w:val="24"/>
              </w:rPr>
              <w:t>6</w:t>
            </w:r>
            <w:r w:rsidR="007F146E">
              <w:rPr>
                <w:b/>
                <w:color w:val="000000"/>
                <w:sz w:val="24"/>
                <w:szCs w:val="24"/>
              </w:rPr>
              <w:t>42</w:t>
            </w:r>
            <w:r w:rsidR="00BA7507">
              <w:rPr>
                <w:b/>
                <w:color w:val="000000"/>
                <w:sz w:val="24"/>
                <w:szCs w:val="24"/>
              </w:rPr>
              <w:t>.0</w:t>
            </w:r>
            <w:r w:rsidR="00337CE2" w:rsidRPr="00375281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337CE2" w:rsidTr="00BE5E43">
        <w:trPr>
          <w:trHeight w:val="10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7CE2" w:rsidRDefault="00337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7CE2" w:rsidRDefault="00337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 Commercial or Mixed Use Developments – where the number of proposed lots is 3 – staged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37CE2" w:rsidRPr="00A6639A" w:rsidRDefault="007C4A2A" w:rsidP="006A079E">
            <w:pP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3,0</w:t>
            </w:r>
            <w:r w:rsidR="006A079E">
              <w:rPr>
                <w:i/>
                <w:sz w:val="24"/>
                <w:szCs w:val="24"/>
              </w:rPr>
              <w:t>93</w:t>
            </w:r>
            <w:r w:rsidR="00337CE2" w:rsidRPr="00A6639A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37CE2" w:rsidRPr="00375281" w:rsidRDefault="007C4A2A" w:rsidP="00D061B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3,</w:t>
            </w:r>
            <w:r w:rsidR="00BA7507">
              <w:rPr>
                <w:b/>
                <w:color w:val="000000"/>
                <w:sz w:val="24"/>
                <w:szCs w:val="24"/>
              </w:rPr>
              <w:t>1</w:t>
            </w:r>
            <w:r w:rsidR="007F146E">
              <w:rPr>
                <w:b/>
                <w:color w:val="000000"/>
                <w:sz w:val="24"/>
                <w:szCs w:val="24"/>
              </w:rPr>
              <w:t>71</w:t>
            </w:r>
            <w:r w:rsidR="00BA7507">
              <w:rPr>
                <w:b/>
                <w:color w:val="000000"/>
                <w:sz w:val="24"/>
                <w:szCs w:val="24"/>
              </w:rPr>
              <w:t>.0</w:t>
            </w:r>
            <w:r w:rsidR="00337CE2" w:rsidRPr="00375281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337CE2" w:rsidTr="00BE5E43">
        <w:trPr>
          <w:trHeight w:val="2333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7CE2" w:rsidRDefault="00337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7CE2" w:rsidRDefault="00337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 Commercial or Mixed Use Developments – where the number of proposed lots is more than 3 – fee per additional lot – un-staged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37CE2" w:rsidRPr="00A6639A" w:rsidRDefault="007C4A2A" w:rsidP="006A079E">
            <w:pP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6A079E">
              <w:rPr>
                <w:i/>
                <w:sz w:val="24"/>
                <w:szCs w:val="24"/>
              </w:rPr>
              <w:t>53</w:t>
            </w:r>
            <w:r w:rsidR="00337CE2" w:rsidRPr="00A6639A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37CE2" w:rsidRPr="00375281" w:rsidRDefault="007C4A2A" w:rsidP="00BA750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D061B5">
              <w:rPr>
                <w:b/>
                <w:color w:val="000000"/>
                <w:sz w:val="24"/>
                <w:szCs w:val="24"/>
              </w:rPr>
              <w:t>6</w:t>
            </w:r>
            <w:r w:rsidR="007F146E">
              <w:rPr>
                <w:b/>
                <w:color w:val="000000"/>
                <w:sz w:val="24"/>
                <w:szCs w:val="24"/>
              </w:rPr>
              <w:t>0</w:t>
            </w:r>
            <w:r w:rsidR="00BA7507">
              <w:rPr>
                <w:b/>
                <w:color w:val="000000"/>
                <w:sz w:val="24"/>
                <w:szCs w:val="24"/>
              </w:rPr>
              <w:t>.0</w:t>
            </w:r>
            <w:r w:rsidR="00337CE2" w:rsidRPr="00375281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6771FE" w:rsidRDefault="006771FE">
      <w:r>
        <w:br w:type="page"/>
      </w:r>
    </w:p>
    <w:tbl>
      <w:tblPr>
        <w:tblW w:w="8931" w:type="dxa"/>
        <w:tblInd w:w="108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3685"/>
        <w:gridCol w:w="1790"/>
        <w:gridCol w:w="1896"/>
      </w:tblGrid>
      <w:tr w:rsidR="00BE5E43" w:rsidTr="00EA131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E43" w:rsidRDefault="00BE5E43" w:rsidP="00BE5E43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Column 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E43" w:rsidRDefault="00BE5E43" w:rsidP="00BE5E43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Column 2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E43" w:rsidRPr="008C79BA" w:rsidRDefault="00BE5E43" w:rsidP="00BE5E43">
            <w:pPr>
              <w:rPr>
                <w:b/>
                <w:bCs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snapToGrid w:val="0"/>
                <w:color w:val="000000"/>
                <w:sz w:val="24"/>
                <w:szCs w:val="24"/>
              </w:rPr>
              <w:t xml:space="preserve">     Column 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E43" w:rsidRDefault="00BE5E43" w:rsidP="00BE5E43">
            <w:pPr>
              <w:pStyle w:val="Heading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Column 4</w:t>
            </w:r>
          </w:p>
        </w:tc>
      </w:tr>
      <w:tr w:rsidR="00BE5E43" w:rsidTr="00EA131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E43" w:rsidRDefault="00BE5E43" w:rsidP="00897E84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Relevant Section for which a fee is payable</w:t>
            </w:r>
          </w:p>
          <w:p w:rsidR="00BE5E43" w:rsidRPr="00511CCC" w:rsidRDefault="00BE5E43" w:rsidP="00897E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E43" w:rsidRDefault="00BE5E43" w:rsidP="00897E84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 of Matter for which fee is payable</w:t>
            </w:r>
          </w:p>
          <w:p w:rsidR="00BE5E43" w:rsidRDefault="00BE5E43" w:rsidP="00897E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E43" w:rsidRPr="008C79BA" w:rsidRDefault="00BE5E43" w:rsidP="00897E84">
            <w:pPr>
              <w:jc w:val="center"/>
              <w:rPr>
                <w:b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8C79BA">
              <w:rPr>
                <w:b/>
                <w:bCs/>
                <w:iCs/>
                <w:snapToGrid w:val="0"/>
                <w:color w:val="000000"/>
                <w:sz w:val="24"/>
                <w:szCs w:val="24"/>
              </w:rPr>
              <w:t>Fee Payable</w:t>
            </w:r>
          </w:p>
          <w:p w:rsidR="00BE5E43" w:rsidRPr="008C79BA" w:rsidRDefault="00BE5E43" w:rsidP="00897E84">
            <w:pPr>
              <w:jc w:val="center"/>
              <w:rPr>
                <w:b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8C79BA">
              <w:rPr>
                <w:b/>
                <w:bCs/>
                <w:iCs/>
                <w:snapToGrid w:val="0"/>
                <w:color w:val="000000"/>
                <w:sz w:val="24"/>
                <w:szCs w:val="24"/>
              </w:rPr>
              <w:t xml:space="preserve">GST Exempt </w:t>
            </w:r>
          </w:p>
          <w:p w:rsidR="00BE5E43" w:rsidRPr="008C79BA" w:rsidRDefault="00BE5E43" w:rsidP="00897E84">
            <w:pPr>
              <w:jc w:val="center"/>
              <w:rPr>
                <w:b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8C79BA">
              <w:rPr>
                <w:b/>
                <w:bCs/>
                <w:iCs/>
                <w:snapToGrid w:val="0"/>
                <w:color w:val="000000"/>
                <w:sz w:val="24"/>
                <w:szCs w:val="24"/>
              </w:rPr>
              <w:t>$</w:t>
            </w:r>
          </w:p>
          <w:p w:rsidR="00BE5E43" w:rsidRDefault="00BE5E43" w:rsidP="00897E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="006A079E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-201</w:t>
            </w:r>
            <w:r w:rsidR="006A079E">
              <w:rPr>
                <w:b/>
                <w:bCs/>
                <w:sz w:val="24"/>
                <w:szCs w:val="24"/>
              </w:rPr>
              <w:t>9</w:t>
            </w:r>
          </w:p>
          <w:p w:rsidR="00BE5E43" w:rsidRPr="00511CCC" w:rsidRDefault="00BE5E43" w:rsidP="00897E84">
            <w:pPr>
              <w:pStyle w:val="Heading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E43" w:rsidRDefault="00BE5E43" w:rsidP="00897E84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Fee Payable</w:t>
            </w:r>
          </w:p>
          <w:p w:rsidR="00BE5E43" w:rsidRDefault="00BE5E43" w:rsidP="00897E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GST Exempt</w:t>
            </w:r>
          </w:p>
          <w:p w:rsidR="00BE5E43" w:rsidRDefault="00BE5E43" w:rsidP="00897E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</w:p>
          <w:p w:rsidR="00BE5E43" w:rsidRDefault="00BE5E43" w:rsidP="00897E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="006A079E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-20</w:t>
            </w:r>
            <w:r w:rsidR="006A079E">
              <w:rPr>
                <w:b/>
                <w:bCs/>
                <w:sz w:val="24"/>
                <w:szCs w:val="24"/>
              </w:rPr>
              <w:t>20</w:t>
            </w:r>
          </w:p>
          <w:p w:rsidR="00BE5E43" w:rsidRDefault="00BE5E43" w:rsidP="00897E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E5E43" w:rsidRDefault="00BE5E43" w:rsidP="00BE5E43">
      <w:pPr>
        <w:rPr>
          <w:sz w:val="24"/>
          <w:szCs w:val="24"/>
        </w:rPr>
      </w:pPr>
    </w:p>
    <w:p w:rsidR="00BE5E43" w:rsidRDefault="00BE5E43" w:rsidP="00BE5E43">
      <w:pPr>
        <w:rPr>
          <w:sz w:val="24"/>
          <w:szCs w:val="24"/>
        </w:rPr>
      </w:pPr>
    </w:p>
    <w:tbl>
      <w:tblPr>
        <w:tblW w:w="89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3685"/>
        <w:gridCol w:w="1843"/>
        <w:gridCol w:w="1843"/>
      </w:tblGrid>
      <w:tr w:rsidR="00BE5E43" w:rsidRPr="00375281" w:rsidTr="00897E84">
        <w:trPr>
          <w:trHeight w:val="1394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E43" w:rsidRDefault="00BE5E43" w:rsidP="00897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E43" w:rsidRDefault="00BE5E43" w:rsidP="00897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 Commercial or Mixed Use Developments – where the number of proposed lots is more than 3 – fee per additional lot – staged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5E43" w:rsidRPr="00A6639A" w:rsidRDefault="00BE5E43" w:rsidP="006A079E">
            <w:pP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6A079E">
              <w:rPr>
                <w:i/>
                <w:sz w:val="24"/>
                <w:szCs w:val="24"/>
              </w:rPr>
              <w:t>90</w:t>
            </w:r>
            <w:r w:rsidRPr="00A6639A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5E43" w:rsidRPr="00375281" w:rsidRDefault="00BE5E43" w:rsidP="00D061B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</w:t>
            </w:r>
            <w:r w:rsidR="007F146E">
              <w:rPr>
                <w:b/>
                <w:color w:val="000000"/>
                <w:sz w:val="24"/>
                <w:szCs w:val="24"/>
              </w:rPr>
              <w:t>8</w:t>
            </w:r>
            <w:r w:rsidRPr="00375281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BE5E43" w:rsidRPr="00375281" w:rsidTr="00897E84">
        <w:trPr>
          <w:trHeight w:val="7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E43" w:rsidRDefault="00BE5E43" w:rsidP="00897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E43" w:rsidRDefault="00BE5E43" w:rsidP="00897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Lapse of endorsement of community title scheme after 3 months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5E43" w:rsidRPr="00A6639A" w:rsidRDefault="00BE5E43" w:rsidP="006A079E">
            <w:pP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6A079E">
              <w:rPr>
                <w:i/>
                <w:sz w:val="24"/>
                <w:szCs w:val="24"/>
              </w:rPr>
              <w:t>20</w:t>
            </w:r>
            <w:r w:rsidRPr="00A6639A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5E43" w:rsidRPr="00375281" w:rsidRDefault="00BE5E43" w:rsidP="00D061B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  <w:r w:rsidR="00BA7507">
              <w:rPr>
                <w:b/>
                <w:color w:val="000000"/>
                <w:sz w:val="24"/>
                <w:szCs w:val="24"/>
              </w:rPr>
              <w:t>3.0</w:t>
            </w:r>
            <w:r w:rsidRPr="00375281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BE5E43" w:rsidRPr="00375281" w:rsidTr="00897E84">
        <w:trPr>
          <w:trHeight w:val="105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E43" w:rsidRDefault="00BE5E43" w:rsidP="00897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E43" w:rsidRDefault="00BE5E43" w:rsidP="00897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Amendment of a community title scheme after registration – where the number of lots is 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5E43" w:rsidRPr="00A6639A" w:rsidRDefault="00BE5E43" w:rsidP="006A079E">
            <w:pP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6A079E">
              <w:rPr>
                <w:i/>
                <w:sz w:val="24"/>
                <w:szCs w:val="24"/>
              </w:rPr>
              <w:t>30</w:t>
            </w:r>
            <w:r w:rsidRPr="00A6639A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5E43" w:rsidRPr="00375281" w:rsidRDefault="00BE5E43" w:rsidP="00BA750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  <w:r w:rsidR="007F146E">
              <w:rPr>
                <w:b/>
                <w:color w:val="000000"/>
                <w:sz w:val="24"/>
                <w:szCs w:val="24"/>
              </w:rPr>
              <w:t>55</w:t>
            </w:r>
            <w:r w:rsidR="00BA7507">
              <w:rPr>
                <w:b/>
                <w:color w:val="000000"/>
                <w:sz w:val="24"/>
                <w:szCs w:val="24"/>
              </w:rPr>
              <w:t>.0</w:t>
            </w:r>
            <w:r w:rsidRPr="00375281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BE5E43" w:rsidRPr="00375281" w:rsidTr="00897E84">
        <w:trPr>
          <w:trHeight w:val="1316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E43" w:rsidRDefault="00BE5E43" w:rsidP="00897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E43" w:rsidRDefault="00BE5E43" w:rsidP="00897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Amendment of a community title scheme after registration – where the number of lots is more than 3 – fee per additional lot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5E43" w:rsidRPr="00A6639A" w:rsidRDefault="00BE5E43" w:rsidP="006A079E">
            <w:pP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  <w:r w:rsidR="006A079E">
              <w:rPr>
                <w:i/>
                <w:sz w:val="24"/>
                <w:szCs w:val="24"/>
              </w:rPr>
              <w:t>7</w:t>
            </w:r>
            <w:r w:rsidRPr="00A6639A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5E43" w:rsidRPr="00375281" w:rsidRDefault="00BE5E43" w:rsidP="00D061B5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75281">
              <w:rPr>
                <w:b/>
                <w:color w:val="000000"/>
                <w:sz w:val="24"/>
                <w:szCs w:val="24"/>
              </w:rPr>
              <w:t>1</w:t>
            </w:r>
            <w:r w:rsidR="00BA7507">
              <w:rPr>
                <w:b/>
                <w:color w:val="000000"/>
                <w:sz w:val="24"/>
                <w:szCs w:val="24"/>
              </w:rPr>
              <w:t>72.0</w:t>
            </w:r>
            <w:r w:rsidRPr="00375281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BE5E43" w:rsidRPr="00375281" w:rsidTr="00897E84">
        <w:trPr>
          <w:trHeight w:val="99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E43" w:rsidRDefault="00BE5E43" w:rsidP="00897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E43" w:rsidRDefault="00BE5E43" w:rsidP="00897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Lapse of authorisation of a community title scheme after 3 months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5E43" w:rsidRPr="00A6639A" w:rsidRDefault="00BE5E43" w:rsidP="006A079E">
            <w:pP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6A079E">
              <w:rPr>
                <w:i/>
                <w:sz w:val="24"/>
                <w:szCs w:val="24"/>
              </w:rPr>
              <w:t>20</w:t>
            </w:r>
            <w:r w:rsidRPr="00A6639A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5E43" w:rsidRPr="00375281" w:rsidRDefault="00BE5E43" w:rsidP="00D061B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  <w:r w:rsidR="00D061B5">
              <w:rPr>
                <w:b/>
                <w:color w:val="000000"/>
                <w:sz w:val="24"/>
                <w:szCs w:val="24"/>
              </w:rPr>
              <w:t>3</w:t>
            </w:r>
            <w:r w:rsidRPr="00375281">
              <w:rPr>
                <w:b/>
                <w:color w:val="000000"/>
                <w:sz w:val="24"/>
                <w:szCs w:val="24"/>
              </w:rPr>
              <w:t>.</w:t>
            </w:r>
            <w:r w:rsidR="00BA7507">
              <w:rPr>
                <w:b/>
                <w:color w:val="000000"/>
                <w:sz w:val="24"/>
                <w:szCs w:val="24"/>
              </w:rPr>
              <w:t>0</w:t>
            </w:r>
            <w:r w:rsidRPr="00375281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F624B0" w:rsidRDefault="00F624B0">
      <w:pPr>
        <w:rPr>
          <w:sz w:val="24"/>
          <w:szCs w:val="24"/>
        </w:rPr>
      </w:pPr>
    </w:p>
    <w:p w:rsidR="006771FE" w:rsidRPr="006C39F0" w:rsidRDefault="006771FE" w:rsidP="006771FE">
      <w:pPr>
        <w:pStyle w:val="note"/>
        <w:ind w:left="0"/>
        <w:jc w:val="center"/>
      </w:pPr>
      <w:r w:rsidRPr="006C39F0">
        <w:rPr>
          <w:i/>
        </w:rPr>
        <w:t>Note:</w:t>
      </w:r>
      <w:r w:rsidRPr="006C39F0">
        <w:rPr>
          <w:i/>
        </w:rPr>
        <w:tab/>
      </w:r>
      <w:r w:rsidRPr="006C39F0">
        <w:t xml:space="preserve">The amount in column </w:t>
      </w:r>
      <w:r>
        <w:t>3</w:t>
      </w:r>
      <w:r w:rsidRPr="006C39F0">
        <w:t xml:space="preserve"> is for comparison purposes only.</w:t>
      </w:r>
    </w:p>
    <w:p w:rsidR="006771FE" w:rsidRDefault="006771FE">
      <w:pPr>
        <w:rPr>
          <w:sz w:val="24"/>
          <w:szCs w:val="24"/>
        </w:rPr>
      </w:pPr>
    </w:p>
    <w:sectPr w:rsidR="006771FE" w:rsidSect="008C7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517" w:bottom="1440" w:left="1797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D7B" w:rsidRDefault="007E4D7B">
      <w:r>
        <w:separator/>
      </w:r>
    </w:p>
  </w:endnote>
  <w:endnote w:type="continuationSeparator" w:id="0">
    <w:p w:rsidR="007E4D7B" w:rsidRDefault="007E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86C" w:rsidRDefault="00A3086C">
    <w:pPr>
      <w:jc w:val="center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86C" w:rsidRPr="00F0075E" w:rsidRDefault="00F0075E" w:rsidP="00F0075E">
    <w:pPr>
      <w:jc w:val="center"/>
      <w:rPr>
        <w:rFonts w:ascii="Arial" w:hAnsi="Arial" w:cs="Arial"/>
        <w:sz w:val="14"/>
        <w:szCs w:val="14"/>
      </w:rPr>
    </w:pPr>
    <w:r w:rsidRPr="00F0075E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86C" w:rsidRPr="00F0075E" w:rsidRDefault="00A3086C" w:rsidP="00F0075E">
    <w:pPr>
      <w:pStyle w:val="Footer"/>
      <w:jc w:val="center"/>
      <w:rPr>
        <w:rFonts w:ascii="Arial" w:hAnsi="Arial" w:cs="Arial"/>
        <w:sz w:val="14"/>
        <w:szCs w:val="18"/>
      </w:rPr>
    </w:pPr>
    <w:r w:rsidRPr="00F0075E">
      <w:rPr>
        <w:rFonts w:ascii="Arial" w:hAnsi="Arial" w:cs="Arial"/>
        <w:sz w:val="14"/>
        <w:szCs w:val="18"/>
      </w:rPr>
      <w:t xml:space="preserve"> </w:t>
    </w:r>
    <w:r w:rsidR="00F0075E" w:rsidRPr="00F0075E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D7B" w:rsidRDefault="007E4D7B">
      <w:r>
        <w:separator/>
      </w:r>
    </w:p>
  </w:footnote>
  <w:footnote w:type="continuationSeparator" w:id="0">
    <w:p w:rsidR="007E4D7B" w:rsidRDefault="007E4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86C" w:rsidRDefault="00A3086C">
    <w:pPr>
      <w:pStyle w:val="Header"/>
    </w:pPr>
    <w:r>
      <w:t>THIS IS PAGE 1 OF THE SCHEDULE TO THE DETERMINATION MADE BY THE MINISTER UNDER THE COMMUNITY TITLE ACT 2001.</w:t>
    </w:r>
  </w:p>
  <w:p w:rsidR="00A3086C" w:rsidRDefault="00A3086C">
    <w:pPr>
      <w:pStyle w:val="Header"/>
    </w:pPr>
  </w:p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418"/>
      <w:gridCol w:w="3827"/>
      <w:gridCol w:w="1559"/>
      <w:gridCol w:w="1560"/>
    </w:tblGrid>
    <w:tr w:rsidR="00A3086C">
      <w:tblPrEx>
        <w:tblCellMar>
          <w:top w:w="0" w:type="dxa"/>
          <w:bottom w:w="0" w:type="dxa"/>
        </w:tblCellMar>
      </w:tblPrEx>
      <w:tc>
        <w:tcPr>
          <w:tcW w:w="1418" w:type="dxa"/>
          <w:tcBorders>
            <w:top w:val="single" w:sz="6" w:space="0" w:color="000000"/>
            <w:left w:val="nil"/>
            <w:bottom w:val="single" w:sz="4" w:space="0" w:color="auto"/>
            <w:right w:val="nil"/>
          </w:tcBorders>
          <w:shd w:val="clear" w:color="C0C0C0" w:fill="auto"/>
        </w:tcPr>
        <w:p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  <w:bookmarkStart w:id="1" w:name="OLE_LINK1"/>
          <w:r>
            <w:rPr>
              <w:b/>
              <w:bCs/>
              <w:snapToGrid w:val="0"/>
              <w:color w:val="000000"/>
              <w:sz w:val="24"/>
              <w:szCs w:val="24"/>
            </w:rPr>
            <w:t>Relevant Section for which a fee is payable</w:t>
          </w:r>
        </w:p>
        <w:p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</w:p>
        <w:p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snapToGrid w:val="0"/>
              <w:color w:val="000000"/>
              <w:sz w:val="24"/>
              <w:szCs w:val="24"/>
            </w:rPr>
            <w:t>(1)</w:t>
          </w:r>
        </w:p>
      </w:tc>
      <w:tc>
        <w:tcPr>
          <w:tcW w:w="3827" w:type="dxa"/>
          <w:tcBorders>
            <w:top w:val="single" w:sz="6" w:space="0" w:color="000000"/>
            <w:left w:val="nil"/>
            <w:bottom w:val="single" w:sz="4" w:space="0" w:color="auto"/>
            <w:right w:val="nil"/>
          </w:tcBorders>
          <w:shd w:val="clear" w:color="C0C0C0" w:fill="auto"/>
        </w:tcPr>
        <w:p w:rsidR="00A3086C" w:rsidRDefault="00A3086C">
          <w:pPr>
            <w:pStyle w:val="BodyTextIndent"/>
          </w:pPr>
          <w:r>
            <w:t>Description of Matter for which fee is payable</w:t>
          </w:r>
        </w:p>
        <w:p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</w:p>
        <w:p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</w:p>
        <w:p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</w:p>
        <w:p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snapToGrid w:val="0"/>
              <w:color w:val="000000"/>
              <w:sz w:val="24"/>
              <w:szCs w:val="24"/>
            </w:rPr>
            <w:t>(2)</w:t>
          </w:r>
        </w:p>
      </w:tc>
      <w:tc>
        <w:tcPr>
          <w:tcW w:w="1559" w:type="dxa"/>
          <w:tcBorders>
            <w:top w:val="single" w:sz="6" w:space="0" w:color="000000"/>
            <w:left w:val="nil"/>
            <w:bottom w:val="single" w:sz="4" w:space="0" w:color="auto"/>
            <w:right w:val="nil"/>
          </w:tcBorders>
          <w:shd w:val="clear" w:color="C0C0C0" w:fill="auto"/>
        </w:tcPr>
        <w:p w:rsidR="00A3086C" w:rsidRDefault="00A3086C">
          <w:pPr>
            <w:jc w:val="center"/>
            <w:rPr>
              <w:b/>
              <w:bCs/>
              <w:i/>
              <w:i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i/>
              <w:iCs/>
              <w:snapToGrid w:val="0"/>
              <w:color w:val="000000"/>
              <w:sz w:val="24"/>
              <w:szCs w:val="24"/>
            </w:rPr>
            <w:t>Explanatory Notes</w:t>
          </w:r>
        </w:p>
        <w:p w:rsidR="00A3086C" w:rsidRDefault="00A3086C">
          <w:pPr>
            <w:jc w:val="center"/>
            <w:rPr>
              <w:b/>
              <w:bCs/>
              <w:i/>
              <w:i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i/>
              <w:iCs/>
              <w:snapToGrid w:val="0"/>
              <w:color w:val="000000"/>
              <w:sz w:val="24"/>
              <w:szCs w:val="24"/>
            </w:rPr>
            <w:t>(Fee Payable-GST Exempt</w:t>
          </w:r>
        </w:p>
        <w:p w:rsidR="00A3086C" w:rsidRDefault="00A3086C">
          <w:pPr>
            <w:jc w:val="center"/>
            <w:rPr>
              <w:b/>
              <w:bCs/>
              <w:i/>
              <w:i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i/>
              <w:iCs/>
              <w:snapToGrid w:val="0"/>
              <w:color w:val="000000"/>
              <w:sz w:val="24"/>
              <w:szCs w:val="24"/>
            </w:rPr>
            <w:t>$</w:t>
          </w:r>
        </w:p>
        <w:p w:rsidR="00A3086C" w:rsidRDefault="00A3086C">
          <w:pPr>
            <w:jc w:val="center"/>
            <w:rPr>
              <w:b/>
              <w:bCs/>
              <w:i/>
              <w:i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i/>
              <w:iCs/>
              <w:snapToGrid w:val="0"/>
              <w:color w:val="000000"/>
              <w:sz w:val="24"/>
              <w:szCs w:val="24"/>
            </w:rPr>
            <w:t>2006-2007)</w:t>
          </w:r>
        </w:p>
        <w:p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i/>
              <w:iCs/>
              <w:snapToGrid w:val="0"/>
              <w:color w:val="000000"/>
              <w:sz w:val="24"/>
              <w:szCs w:val="24"/>
            </w:rPr>
            <w:t>(3)</w:t>
          </w:r>
        </w:p>
      </w:tc>
      <w:tc>
        <w:tcPr>
          <w:tcW w:w="1560" w:type="dxa"/>
          <w:tcBorders>
            <w:top w:val="single" w:sz="6" w:space="0" w:color="000000"/>
            <w:left w:val="nil"/>
            <w:bottom w:val="single" w:sz="4" w:space="0" w:color="auto"/>
            <w:right w:val="nil"/>
          </w:tcBorders>
          <w:shd w:val="clear" w:color="C0C0C0" w:fill="auto"/>
        </w:tcPr>
        <w:p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snapToGrid w:val="0"/>
              <w:color w:val="000000"/>
              <w:sz w:val="24"/>
              <w:szCs w:val="24"/>
            </w:rPr>
            <w:t xml:space="preserve">Fee Payable </w:t>
          </w:r>
        </w:p>
        <w:p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snapToGrid w:val="0"/>
              <w:color w:val="000000"/>
              <w:sz w:val="24"/>
              <w:szCs w:val="24"/>
            </w:rPr>
            <w:t>(GST Exempt)</w:t>
          </w:r>
        </w:p>
        <w:p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snapToGrid w:val="0"/>
              <w:color w:val="000000"/>
              <w:sz w:val="24"/>
              <w:szCs w:val="24"/>
            </w:rPr>
            <w:t>$</w:t>
          </w:r>
        </w:p>
        <w:p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</w:p>
        <w:p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snapToGrid w:val="0"/>
              <w:color w:val="000000"/>
              <w:sz w:val="24"/>
              <w:szCs w:val="24"/>
            </w:rPr>
            <w:t>2007-2008</w:t>
          </w:r>
        </w:p>
        <w:p w:rsidR="00A3086C" w:rsidRDefault="00A3086C">
          <w:pPr>
            <w:jc w:val="center"/>
            <w:rPr>
              <w:b/>
              <w:bCs/>
              <w:snapToGrid w:val="0"/>
              <w:color w:val="000000"/>
              <w:sz w:val="24"/>
              <w:szCs w:val="24"/>
            </w:rPr>
          </w:pPr>
          <w:r>
            <w:rPr>
              <w:b/>
              <w:bCs/>
              <w:snapToGrid w:val="0"/>
              <w:color w:val="000000"/>
              <w:sz w:val="24"/>
              <w:szCs w:val="24"/>
            </w:rPr>
            <w:t>(4)</w:t>
          </w:r>
        </w:p>
      </w:tc>
    </w:tr>
    <w:bookmarkEnd w:id="1"/>
  </w:tbl>
  <w:p w:rsidR="00A3086C" w:rsidRDefault="00A30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86C" w:rsidRPr="00D7735F" w:rsidRDefault="00846BEB">
    <w:pPr>
      <w:pStyle w:val="Header"/>
      <w:rPr>
        <w:rFonts w:ascii="Arial" w:hAnsi="Arial" w:cs="Arial"/>
        <w:b/>
      </w:rPr>
    </w:pPr>
    <w:r w:rsidRPr="00D7735F">
      <w:rPr>
        <w:rFonts w:ascii="Arial" w:hAnsi="Arial" w:cs="Arial"/>
        <w:b/>
      </w:rPr>
      <w:t>Schedule</w:t>
    </w:r>
  </w:p>
  <w:p w:rsidR="00846BEB" w:rsidRPr="00D7735F" w:rsidRDefault="00846BEB" w:rsidP="00846BEB">
    <w:pPr>
      <w:pStyle w:val="Header"/>
      <w:pBdr>
        <w:bottom w:val="single" w:sz="4" w:space="1" w:color="auto"/>
      </w:pBdr>
    </w:pPr>
    <w:r w:rsidRPr="00D7735F">
      <w:t>(see s 3)</w:t>
    </w:r>
  </w:p>
  <w:p w:rsidR="00BE5E43" w:rsidRDefault="00BE5E43">
    <w:pPr>
      <w:pStyle w:val="Header"/>
    </w:pPr>
  </w:p>
  <w:p w:rsidR="00BE5E43" w:rsidRDefault="00BE5E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75E" w:rsidRDefault="00F007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2022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3101"/>
    <w:rsid w:val="00032C2F"/>
    <w:rsid w:val="00052512"/>
    <w:rsid w:val="00054BE2"/>
    <w:rsid w:val="00074DE1"/>
    <w:rsid w:val="00090E16"/>
    <w:rsid w:val="00092D67"/>
    <w:rsid w:val="000F2154"/>
    <w:rsid w:val="0010687B"/>
    <w:rsid w:val="00127635"/>
    <w:rsid w:val="00135695"/>
    <w:rsid w:val="00157D95"/>
    <w:rsid w:val="00185715"/>
    <w:rsid w:val="001A1606"/>
    <w:rsid w:val="001B3970"/>
    <w:rsid w:val="001C4C9D"/>
    <w:rsid w:val="001C5DCB"/>
    <w:rsid w:val="00204C21"/>
    <w:rsid w:val="00216B56"/>
    <w:rsid w:val="00226EDB"/>
    <w:rsid w:val="0026128B"/>
    <w:rsid w:val="00271183"/>
    <w:rsid w:val="0027643A"/>
    <w:rsid w:val="00282BA0"/>
    <w:rsid w:val="002C2769"/>
    <w:rsid w:val="002F1D3B"/>
    <w:rsid w:val="0033060F"/>
    <w:rsid w:val="00337CE2"/>
    <w:rsid w:val="00337E88"/>
    <w:rsid w:val="00343ECA"/>
    <w:rsid w:val="00375281"/>
    <w:rsid w:val="00382F49"/>
    <w:rsid w:val="003B7CC1"/>
    <w:rsid w:val="003E4F84"/>
    <w:rsid w:val="00431384"/>
    <w:rsid w:val="00440D24"/>
    <w:rsid w:val="0044550E"/>
    <w:rsid w:val="00453DCC"/>
    <w:rsid w:val="00457649"/>
    <w:rsid w:val="00465952"/>
    <w:rsid w:val="00467E08"/>
    <w:rsid w:val="00511CCC"/>
    <w:rsid w:val="00524A86"/>
    <w:rsid w:val="00564C47"/>
    <w:rsid w:val="00577E21"/>
    <w:rsid w:val="00580141"/>
    <w:rsid w:val="005B3AE9"/>
    <w:rsid w:val="005D1F0A"/>
    <w:rsid w:val="005E0820"/>
    <w:rsid w:val="0060305E"/>
    <w:rsid w:val="0066143C"/>
    <w:rsid w:val="0066184C"/>
    <w:rsid w:val="006771FE"/>
    <w:rsid w:val="006A079E"/>
    <w:rsid w:val="006B55C8"/>
    <w:rsid w:val="006D122C"/>
    <w:rsid w:val="006F5885"/>
    <w:rsid w:val="007159BB"/>
    <w:rsid w:val="00783583"/>
    <w:rsid w:val="00791A9E"/>
    <w:rsid w:val="007B4BC1"/>
    <w:rsid w:val="007C4A2A"/>
    <w:rsid w:val="007D279A"/>
    <w:rsid w:val="007D445B"/>
    <w:rsid w:val="007E4D7B"/>
    <w:rsid w:val="007F146E"/>
    <w:rsid w:val="00803133"/>
    <w:rsid w:val="00835607"/>
    <w:rsid w:val="00846BEB"/>
    <w:rsid w:val="00874423"/>
    <w:rsid w:val="00893FE9"/>
    <w:rsid w:val="00897E84"/>
    <w:rsid w:val="008C79BA"/>
    <w:rsid w:val="0093667F"/>
    <w:rsid w:val="00945C35"/>
    <w:rsid w:val="00965ABF"/>
    <w:rsid w:val="009945DE"/>
    <w:rsid w:val="009A6C50"/>
    <w:rsid w:val="009B69D5"/>
    <w:rsid w:val="009C6916"/>
    <w:rsid w:val="009E31DE"/>
    <w:rsid w:val="00A3086C"/>
    <w:rsid w:val="00A326E0"/>
    <w:rsid w:val="00A6639A"/>
    <w:rsid w:val="00A81AD7"/>
    <w:rsid w:val="00AA25C6"/>
    <w:rsid w:val="00AB1A39"/>
    <w:rsid w:val="00AC7D4B"/>
    <w:rsid w:val="00AF16B0"/>
    <w:rsid w:val="00B13101"/>
    <w:rsid w:val="00B141EC"/>
    <w:rsid w:val="00B16F8A"/>
    <w:rsid w:val="00B312C1"/>
    <w:rsid w:val="00B5771B"/>
    <w:rsid w:val="00BA7507"/>
    <w:rsid w:val="00BB747D"/>
    <w:rsid w:val="00BC5AC8"/>
    <w:rsid w:val="00BE4F71"/>
    <w:rsid w:val="00BE5E43"/>
    <w:rsid w:val="00C06761"/>
    <w:rsid w:val="00C51232"/>
    <w:rsid w:val="00CC3F9D"/>
    <w:rsid w:val="00D061B5"/>
    <w:rsid w:val="00D16912"/>
    <w:rsid w:val="00D52418"/>
    <w:rsid w:val="00D630AB"/>
    <w:rsid w:val="00D7735F"/>
    <w:rsid w:val="00DA220C"/>
    <w:rsid w:val="00DB08EC"/>
    <w:rsid w:val="00DB2AF6"/>
    <w:rsid w:val="00DD4F1C"/>
    <w:rsid w:val="00DE19DF"/>
    <w:rsid w:val="00DE5DD5"/>
    <w:rsid w:val="00E039CC"/>
    <w:rsid w:val="00E36602"/>
    <w:rsid w:val="00E472B2"/>
    <w:rsid w:val="00EA1311"/>
    <w:rsid w:val="00EB3FE1"/>
    <w:rsid w:val="00EF0959"/>
    <w:rsid w:val="00EF2F6C"/>
    <w:rsid w:val="00F0075E"/>
    <w:rsid w:val="00F046EA"/>
    <w:rsid w:val="00F5029F"/>
    <w:rsid w:val="00F624B0"/>
    <w:rsid w:val="00F729B4"/>
    <w:rsid w:val="00F915CD"/>
    <w:rsid w:val="00FA079C"/>
    <w:rsid w:val="00FA389E"/>
    <w:rsid w:val="00FA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BD8088D-5343-45C4-83E7-E4202184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  <w:szCs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4"/>
      <w:szCs w:val="24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32"/>
      <w:szCs w:val="3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sz w:val="24"/>
      <w:szCs w:val="24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jc w:val="center"/>
    </w:pPr>
    <w:rPr>
      <w:b/>
      <w:bCs/>
      <w:color w:val="000000"/>
      <w:sz w:val="24"/>
      <w:szCs w:val="24"/>
    </w:rPr>
  </w:style>
  <w:style w:type="paragraph" w:styleId="BodyTextIndent3">
    <w:name w:val="Body Text Indent 3"/>
    <w:basedOn w:val="Normal"/>
    <w:pPr>
      <w:ind w:left="360"/>
    </w:pPr>
    <w:rPr>
      <w:sz w:val="24"/>
      <w:szCs w:val="24"/>
    </w:rPr>
  </w:style>
  <w:style w:type="character" w:styleId="PageNumber">
    <w:name w:val="page number"/>
    <w:basedOn w:val="DefaultParagraphFont"/>
    <w:rsid w:val="00DA220C"/>
  </w:style>
  <w:style w:type="paragraph" w:styleId="BalloonText">
    <w:name w:val="Balloon Text"/>
    <w:basedOn w:val="Normal"/>
    <w:semiHidden/>
    <w:rsid w:val="00465952"/>
    <w:rPr>
      <w:rFonts w:ascii="Tahoma" w:hAnsi="Tahoma" w:cs="Tahoma"/>
      <w:sz w:val="16"/>
      <w:szCs w:val="16"/>
    </w:rPr>
  </w:style>
  <w:style w:type="paragraph" w:customStyle="1" w:styleId="note">
    <w:name w:val="note"/>
    <w:basedOn w:val="Normal"/>
    <w:next w:val="Normal"/>
    <w:uiPriority w:val="99"/>
    <w:rsid w:val="006771FE"/>
    <w:pPr>
      <w:spacing w:before="80" w:after="60"/>
      <w:ind w:left="70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70BFD865-0D18-4740-A216-A8071C3BBBF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2376</Characters>
  <Application>Microsoft Office Word</Application>
  <DocSecurity>0</DocSecurity>
  <Lines>159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adrian walsh</dc:creator>
  <cp:keywords/>
  <dc:description/>
  <cp:lastModifiedBy>PCODCS</cp:lastModifiedBy>
  <cp:revision>4</cp:revision>
  <cp:lastPrinted>2014-06-17T02:37:00Z</cp:lastPrinted>
  <dcterms:created xsi:type="dcterms:W3CDTF">2019-06-25T07:04:00Z</dcterms:created>
  <dcterms:modified xsi:type="dcterms:W3CDTF">2019-06-25T07:04:00Z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A17443451</vt:lpwstr>
  </property>
  <property fmtid="{D5CDD505-2E9C-101B-9397-08002B2CF9AE}" pid="3" name="Objective-Comment">
    <vt:lpwstr/>
  </property>
  <property fmtid="{D5CDD505-2E9C-101B-9397-08002B2CF9AE}" pid="4" name="Objective-CreationStamp">
    <vt:filetime>2018-11-16T00:25:57Z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2019-05-16T05:53:36Z</vt:filetime>
  </property>
  <property fmtid="{D5CDD505-2E9C-101B-9397-08002B2CF9AE}" pid="8" name="Objective-ModificationStamp">
    <vt:filetime>2019-05-21T06:20:20Z</vt:filetime>
  </property>
  <property fmtid="{D5CDD505-2E9C-101B-9397-08002B2CF9AE}" pid="9" name="Objective-Owner">
    <vt:lpwstr>Hong Tsai</vt:lpwstr>
  </property>
  <property fmtid="{D5CDD505-2E9C-101B-9397-08002B2CF9AE}" pid="10" name="Objective-Path">
    <vt:lpwstr>Whole of ACT Government:EPSDD - Environment Planning and Sustainable Development Directorate:DIVISION - Business, Governance and Capability:Finance, Information and Assets:TEAM - Strategic Finance:Fees &amp; Charges:19-20:18/32499 - Ministerial Information Br</vt:lpwstr>
  </property>
  <property fmtid="{D5CDD505-2E9C-101B-9397-08002B2CF9AE}" pid="11" name="Objective-Parent">
    <vt:lpwstr>Attachment C - Planning and Land Management</vt:lpwstr>
  </property>
  <property fmtid="{D5CDD505-2E9C-101B-9397-08002B2CF9AE}" pid="12" name="Objective-State">
    <vt:lpwstr>Published</vt:lpwstr>
  </property>
  <property fmtid="{D5CDD505-2E9C-101B-9397-08002B2CF9AE}" pid="13" name="Objective-Title">
    <vt:lpwstr>04. DI - Community Titles (Fees) Determination 2019</vt:lpwstr>
  </property>
  <property fmtid="{D5CDD505-2E9C-101B-9397-08002B2CF9AE}" pid="14" name="Objective-Version">
    <vt:lpwstr>9.0</vt:lpwstr>
  </property>
  <property fmtid="{D5CDD505-2E9C-101B-9397-08002B2CF9AE}" pid="15" name="Objective-VersionComment">
    <vt:lpwstr/>
  </property>
  <property fmtid="{D5CDD505-2E9C-101B-9397-08002B2CF9AE}" pid="16" name="Objective-VersionNumber">
    <vt:r8>9</vt:r8>
  </property>
  <property fmtid="{D5CDD505-2E9C-101B-9397-08002B2CF9AE}" pid="17" name="Objective-FileNumber">
    <vt:lpwstr>1-2018/32499</vt:lpwstr>
  </property>
  <property fmtid="{D5CDD505-2E9C-101B-9397-08002B2CF9AE}" pid="18" name="Objective-Classification">
    <vt:lpwstr>[Inherited - Unclassified (beige file cover)]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c9f71746-6fdd-47a5-b65e-3da480e9d8c5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