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F8FF9" w14:textId="77777777" w:rsidR="00EA1FFB" w:rsidRDefault="00EA1FF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60F32370" w14:textId="77777777" w:rsidR="00EA1FFB" w:rsidRDefault="00EA1FFB">
      <w:pPr>
        <w:rPr>
          <w:rFonts w:ascii="Arial" w:hAnsi="Arial" w:cs="Arial"/>
          <w:sz w:val="20"/>
          <w:szCs w:val="20"/>
        </w:rPr>
      </w:pPr>
    </w:p>
    <w:p w14:paraId="6AA373AD" w14:textId="77777777" w:rsidR="00EA1FFB" w:rsidRPr="00A4447D" w:rsidRDefault="00EA1FFB" w:rsidP="00662153">
      <w:pPr>
        <w:tabs>
          <w:tab w:val="clear" w:pos="2880"/>
        </w:tabs>
        <w:autoSpaceDE/>
        <w:autoSpaceDN/>
        <w:spacing w:before="120"/>
        <w:rPr>
          <w:rFonts w:ascii="Arial" w:hAnsi="Arial" w:cs="Arial"/>
          <w:sz w:val="20"/>
          <w:szCs w:val="20"/>
        </w:rPr>
      </w:pPr>
      <w:r w:rsidRPr="00A4447D">
        <w:rPr>
          <w:rFonts w:ascii="Arial" w:hAnsi="Arial" w:cs="Arial"/>
          <w:szCs w:val="20"/>
          <w:lang w:val="en-AU"/>
        </w:rPr>
        <w:t>Australian Capital Territory</w:t>
      </w:r>
    </w:p>
    <w:p w14:paraId="1B999495" w14:textId="1B34B014" w:rsidR="00EA1FFB" w:rsidRPr="00070A91" w:rsidRDefault="003E5E90" w:rsidP="00662153">
      <w:pPr>
        <w:pStyle w:val="Billname"/>
        <w:autoSpaceDE/>
        <w:autoSpaceDN/>
        <w:spacing w:before="700"/>
      </w:pPr>
      <w:r w:rsidRPr="003E5E90">
        <w:t>Racing (Appeals Tribunal) Rules 2019 (No</w:t>
      </w:r>
      <w:r>
        <w:t> </w:t>
      </w:r>
      <w:r w:rsidRPr="003E5E90">
        <w:t>1)</w:t>
      </w:r>
      <w:r>
        <w:t>*</w:t>
      </w:r>
    </w:p>
    <w:p w14:paraId="6DE5DEB5" w14:textId="231F12C9" w:rsidR="00A4447D" w:rsidRDefault="00EA1FFB" w:rsidP="00A4447D">
      <w:pPr>
        <w:spacing w:before="240" w:after="60"/>
        <w:jc w:val="both"/>
      </w:pPr>
      <w:bookmarkStart w:id="1" w:name="Citation"/>
      <w:r w:rsidRPr="00A4447D">
        <w:rPr>
          <w:rFonts w:ascii="Arial" w:hAnsi="Arial" w:cs="Arial"/>
          <w:b/>
          <w:bCs/>
        </w:rPr>
        <w:t>Disallowable Instrument DI20</w:t>
      </w:r>
      <w:r w:rsidR="00C93279" w:rsidRPr="00A4447D">
        <w:rPr>
          <w:rFonts w:ascii="Arial" w:hAnsi="Arial" w:cs="Arial"/>
          <w:b/>
          <w:bCs/>
        </w:rPr>
        <w:t>1</w:t>
      </w:r>
      <w:r w:rsidR="00A4447D">
        <w:rPr>
          <w:rFonts w:ascii="Arial" w:hAnsi="Arial" w:cs="Arial"/>
          <w:b/>
          <w:bCs/>
        </w:rPr>
        <w:t>9</w:t>
      </w:r>
      <w:r w:rsidR="00374CBA">
        <w:rPr>
          <w:rFonts w:ascii="Arial" w:hAnsi="Arial" w:cs="Arial"/>
          <w:b/>
          <w:bCs/>
        </w:rPr>
        <w:t>-</w:t>
      </w:r>
      <w:r w:rsidR="00463ACE">
        <w:rPr>
          <w:rFonts w:ascii="Arial" w:hAnsi="Arial" w:cs="Arial"/>
          <w:b/>
          <w:bCs/>
        </w:rPr>
        <w:t>224</w:t>
      </w:r>
    </w:p>
    <w:p w14:paraId="269DCA01" w14:textId="77777777" w:rsidR="00EA1FFB" w:rsidRPr="00A4447D" w:rsidRDefault="00EA1FFB" w:rsidP="00374CBA">
      <w:pPr>
        <w:spacing w:before="240" w:after="60"/>
        <w:jc w:val="both"/>
      </w:pPr>
      <w:r w:rsidRPr="00A4447D">
        <w:t>made under the</w:t>
      </w:r>
    </w:p>
    <w:p w14:paraId="0E5B52C5" w14:textId="77777777" w:rsidR="00EA1FFB" w:rsidRPr="00374CBA" w:rsidRDefault="00EA1FFB">
      <w:pPr>
        <w:pStyle w:val="CoverActName"/>
        <w:jc w:val="left"/>
        <w:rPr>
          <w:bCs w:val="0"/>
          <w:sz w:val="20"/>
          <w:szCs w:val="20"/>
        </w:rPr>
      </w:pPr>
      <w:r w:rsidRPr="00A4447D">
        <w:rPr>
          <w:bCs w:val="0"/>
          <w:i/>
          <w:sz w:val="20"/>
          <w:szCs w:val="20"/>
        </w:rPr>
        <w:t>Racing Act 1999</w:t>
      </w:r>
      <w:r w:rsidRPr="00A4447D">
        <w:rPr>
          <w:bCs w:val="0"/>
          <w:sz w:val="20"/>
          <w:szCs w:val="20"/>
        </w:rPr>
        <w:t>,</w:t>
      </w:r>
      <w:r w:rsidR="00A4447D" w:rsidRPr="00A4447D">
        <w:rPr>
          <w:bCs w:val="0"/>
          <w:sz w:val="20"/>
          <w:szCs w:val="20"/>
        </w:rPr>
        <w:t xml:space="preserve"> </w:t>
      </w:r>
      <w:r w:rsidR="00662153" w:rsidRPr="00374CBA">
        <w:rPr>
          <w:bCs w:val="0"/>
          <w:sz w:val="20"/>
          <w:szCs w:val="20"/>
        </w:rPr>
        <w:t xml:space="preserve">section </w:t>
      </w:r>
      <w:r w:rsidRPr="00374CBA">
        <w:rPr>
          <w:bCs w:val="0"/>
          <w:sz w:val="20"/>
          <w:szCs w:val="20"/>
        </w:rPr>
        <w:t xml:space="preserve">45(1) </w:t>
      </w:r>
      <w:r w:rsidR="00A4447D">
        <w:rPr>
          <w:bCs w:val="0"/>
          <w:sz w:val="20"/>
          <w:szCs w:val="20"/>
        </w:rPr>
        <w:t>–</w:t>
      </w:r>
      <w:r w:rsidRPr="00374CBA">
        <w:rPr>
          <w:bCs w:val="0"/>
          <w:sz w:val="20"/>
          <w:szCs w:val="20"/>
        </w:rPr>
        <w:t xml:space="preserve"> </w:t>
      </w:r>
      <w:r w:rsidR="00A4447D">
        <w:rPr>
          <w:bCs w:val="0"/>
          <w:sz w:val="20"/>
          <w:szCs w:val="20"/>
        </w:rPr>
        <w:t>(</w:t>
      </w:r>
      <w:r w:rsidRPr="00374CBA">
        <w:rPr>
          <w:bCs w:val="0"/>
          <w:sz w:val="20"/>
          <w:szCs w:val="20"/>
        </w:rPr>
        <w:t>Rules of the tribunal</w:t>
      </w:r>
      <w:r w:rsidR="00A4447D">
        <w:rPr>
          <w:bCs w:val="0"/>
          <w:sz w:val="20"/>
          <w:szCs w:val="20"/>
        </w:rPr>
        <w:t>)</w:t>
      </w:r>
    </w:p>
    <w:bookmarkEnd w:id="1"/>
    <w:p w14:paraId="60831134" w14:textId="77777777" w:rsidR="00EA1FFB" w:rsidRPr="00374CBA" w:rsidRDefault="00EA1FFB">
      <w:pPr>
        <w:pStyle w:val="N-line3"/>
        <w:pBdr>
          <w:bottom w:val="none" w:sz="0" w:space="0" w:color="auto"/>
        </w:pBdr>
        <w:jc w:val="left"/>
        <w:rPr>
          <w:sz w:val="16"/>
          <w:szCs w:val="16"/>
        </w:rPr>
      </w:pPr>
    </w:p>
    <w:p w14:paraId="1F37D63A" w14:textId="77777777" w:rsidR="00EA1FFB" w:rsidRPr="00374CBA" w:rsidRDefault="00EA1FFB">
      <w:pPr>
        <w:pStyle w:val="N-line3"/>
        <w:pBdr>
          <w:top w:val="single" w:sz="12" w:space="1" w:color="auto"/>
          <w:bottom w:val="none" w:sz="0" w:space="0" w:color="auto"/>
        </w:pBdr>
        <w:jc w:val="left"/>
        <w:rPr>
          <w:sz w:val="16"/>
          <w:szCs w:val="16"/>
        </w:rPr>
      </w:pPr>
    </w:p>
    <w:p w14:paraId="3C223CD9" w14:textId="77777777" w:rsidR="00EA1FFB" w:rsidRPr="00374CBA" w:rsidRDefault="00662153" w:rsidP="005517EB">
      <w:pPr>
        <w:tabs>
          <w:tab w:val="clear" w:pos="2880"/>
        </w:tabs>
        <w:autoSpaceDE/>
        <w:autoSpaceDN/>
        <w:spacing w:before="300"/>
        <w:ind w:left="720" w:hanging="720"/>
        <w:rPr>
          <w:rFonts w:ascii="Arial" w:hAnsi="Arial" w:cs="Arial"/>
          <w:b/>
          <w:bCs/>
          <w:szCs w:val="20"/>
          <w:lang w:val="en-AU"/>
        </w:rPr>
      </w:pPr>
      <w:r w:rsidRPr="00374CBA">
        <w:rPr>
          <w:rFonts w:ascii="Arial" w:hAnsi="Arial" w:cs="Arial"/>
          <w:b/>
          <w:bCs/>
          <w:szCs w:val="20"/>
          <w:lang w:val="en-AU"/>
        </w:rPr>
        <w:t>1</w:t>
      </w:r>
      <w:r w:rsidRPr="00374CBA">
        <w:rPr>
          <w:rFonts w:ascii="Arial" w:hAnsi="Arial" w:cs="Arial"/>
          <w:b/>
          <w:bCs/>
          <w:szCs w:val="20"/>
          <w:lang w:val="en-AU"/>
        </w:rPr>
        <w:tab/>
      </w:r>
      <w:r w:rsidR="00EA1FFB" w:rsidRPr="00374CBA">
        <w:rPr>
          <w:rFonts w:ascii="Arial" w:hAnsi="Arial" w:cs="Arial"/>
          <w:b/>
          <w:bCs/>
          <w:szCs w:val="20"/>
          <w:lang w:val="en-AU"/>
        </w:rPr>
        <w:t>Name of Instrument</w:t>
      </w:r>
    </w:p>
    <w:p w14:paraId="08851924" w14:textId="5F2D9C66" w:rsidR="00EA1FFB" w:rsidRPr="00374CBA" w:rsidRDefault="00EA1FFB" w:rsidP="00374CBA">
      <w:pPr>
        <w:pStyle w:val="CoverActName"/>
        <w:tabs>
          <w:tab w:val="clear" w:pos="2600"/>
          <w:tab w:val="left" w:pos="567"/>
        </w:tabs>
        <w:spacing w:before="120" w:after="0"/>
        <w:ind w:left="720"/>
        <w:jc w:val="left"/>
        <w:rPr>
          <w:rFonts w:ascii="Times New Roman" w:hAnsi="Times New Roman" w:cs="Times New Roman"/>
          <w:b w:val="0"/>
          <w:bCs w:val="0"/>
        </w:rPr>
      </w:pPr>
      <w:r w:rsidRPr="00374CBA">
        <w:rPr>
          <w:rFonts w:ascii="Times New Roman" w:hAnsi="Times New Roman" w:cs="Times New Roman"/>
          <w:b w:val="0"/>
          <w:bCs w:val="0"/>
        </w:rPr>
        <w:t xml:space="preserve">This </w:t>
      </w:r>
      <w:r w:rsidR="00662153" w:rsidRPr="00374CBA">
        <w:rPr>
          <w:rFonts w:ascii="Times New Roman" w:hAnsi="Times New Roman" w:cs="Times New Roman"/>
          <w:b w:val="0"/>
          <w:bCs w:val="0"/>
        </w:rPr>
        <w:t>i</w:t>
      </w:r>
      <w:r w:rsidRPr="00374CBA">
        <w:rPr>
          <w:rFonts w:ascii="Times New Roman" w:hAnsi="Times New Roman" w:cs="Times New Roman"/>
          <w:b w:val="0"/>
          <w:bCs w:val="0"/>
        </w:rPr>
        <w:t xml:space="preserve">nstrument is the </w:t>
      </w:r>
      <w:r w:rsidR="00693C5F" w:rsidRPr="00693C5F">
        <w:rPr>
          <w:rFonts w:ascii="Times New Roman" w:hAnsi="Times New Roman" w:cs="Times New Roman"/>
          <w:b w:val="0"/>
          <w:bCs w:val="0"/>
          <w:i/>
          <w:iCs/>
        </w:rPr>
        <w:t>Racing (Appeals Tribunal) Rules 2019 (No 1)</w:t>
      </w:r>
      <w:r w:rsidRPr="00374CBA">
        <w:rPr>
          <w:rFonts w:ascii="Times New Roman" w:hAnsi="Times New Roman" w:cs="Times New Roman"/>
          <w:b w:val="0"/>
          <w:bCs w:val="0"/>
        </w:rPr>
        <w:t>.</w:t>
      </w:r>
    </w:p>
    <w:p w14:paraId="7522386A" w14:textId="77777777" w:rsidR="00662153" w:rsidRPr="00374CBA" w:rsidRDefault="00662153" w:rsidP="005517EB">
      <w:pPr>
        <w:tabs>
          <w:tab w:val="clear" w:pos="2880"/>
        </w:tabs>
        <w:autoSpaceDE/>
        <w:autoSpaceDN/>
        <w:spacing w:before="300"/>
        <w:ind w:left="720" w:hanging="720"/>
        <w:rPr>
          <w:rFonts w:ascii="Arial" w:hAnsi="Arial" w:cs="Arial"/>
          <w:b/>
          <w:bCs/>
          <w:szCs w:val="20"/>
          <w:lang w:val="en-AU"/>
        </w:rPr>
      </w:pPr>
      <w:r w:rsidRPr="00374CBA">
        <w:rPr>
          <w:rFonts w:ascii="Arial" w:hAnsi="Arial" w:cs="Arial"/>
          <w:b/>
          <w:bCs/>
          <w:szCs w:val="20"/>
          <w:lang w:val="en-AU"/>
        </w:rPr>
        <w:t>2</w:t>
      </w:r>
      <w:r w:rsidRPr="00374CBA">
        <w:rPr>
          <w:rFonts w:ascii="Arial" w:hAnsi="Arial" w:cs="Arial"/>
          <w:b/>
          <w:bCs/>
          <w:szCs w:val="20"/>
          <w:lang w:val="en-AU"/>
        </w:rPr>
        <w:tab/>
        <w:t>Commencement</w:t>
      </w:r>
    </w:p>
    <w:p w14:paraId="3CDB3F82" w14:textId="77777777" w:rsidR="00662153" w:rsidRPr="00374CBA" w:rsidRDefault="00662153" w:rsidP="00374CBA">
      <w:pPr>
        <w:pStyle w:val="CoverActName"/>
        <w:tabs>
          <w:tab w:val="clear" w:pos="2600"/>
          <w:tab w:val="left" w:pos="567"/>
        </w:tabs>
        <w:spacing w:before="120" w:after="0"/>
        <w:ind w:left="720"/>
        <w:jc w:val="left"/>
        <w:rPr>
          <w:rFonts w:ascii="Times New Roman" w:hAnsi="Times New Roman" w:cs="Times New Roman"/>
          <w:b w:val="0"/>
          <w:bCs w:val="0"/>
        </w:rPr>
      </w:pPr>
      <w:r w:rsidRPr="00374CBA">
        <w:rPr>
          <w:rFonts w:ascii="Times New Roman" w:hAnsi="Times New Roman" w:cs="Times New Roman"/>
          <w:b w:val="0"/>
          <w:bCs w:val="0"/>
        </w:rPr>
        <w:t xml:space="preserve">This instrument commences </w:t>
      </w:r>
      <w:r w:rsidR="00803082" w:rsidRPr="00374CBA">
        <w:rPr>
          <w:rFonts w:ascii="Times New Roman" w:hAnsi="Times New Roman" w:cs="Times New Roman"/>
          <w:b w:val="0"/>
          <w:bCs w:val="0"/>
        </w:rPr>
        <w:t xml:space="preserve">on </w:t>
      </w:r>
      <w:r w:rsidRPr="00374CBA">
        <w:rPr>
          <w:rFonts w:ascii="Times New Roman" w:hAnsi="Times New Roman" w:cs="Times New Roman"/>
          <w:b w:val="0"/>
          <w:bCs w:val="0"/>
        </w:rPr>
        <w:t xml:space="preserve">the day after notification. </w:t>
      </w:r>
    </w:p>
    <w:p w14:paraId="42202196" w14:textId="77777777" w:rsidR="00803082" w:rsidRPr="00374CBA" w:rsidRDefault="00662153" w:rsidP="00803082">
      <w:pPr>
        <w:tabs>
          <w:tab w:val="clear" w:pos="2880"/>
        </w:tabs>
        <w:autoSpaceDE/>
        <w:autoSpaceDN/>
        <w:spacing w:before="300"/>
        <w:ind w:left="720" w:hanging="720"/>
        <w:rPr>
          <w:rFonts w:ascii="Arial" w:hAnsi="Arial" w:cs="Arial"/>
          <w:b/>
          <w:bCs/>
          <w:szCs w:val="20"/>
          <w:lang w:val="en-AU"/>
        </w:rPr>
      </w:pPr>
      <w:r w:rsidRPr="00374CBA">
        <w:rPr>
          <w:rFonts w:ascii="Arial" w:hAnsi="Arial" w:cs="Arial"/>
          <w:b/>
          <w:bCs/>
          <w:szCs w:val="20"/>
          <w:lang w:val="en-AU"/>
        </w:rPr>
        <w:t>3</w:t>
      </w:r>
      <w:r w:rsidRPr="00374CBA">
        <w:rPr>
          <w:rFonts w:ascii="Arial" w:hAnsi="Arial" w:cs="Arial"/>
          <w:b/>
          <w:bCs/>
          <w:szCs w:val="20"/>
          <w:lang w:val="en-AU"/>
        </w:rPr>
        <w:tab/>
      </w:r>
      <w:r w:rsidR="00803082" w:rsidRPr="00374CBA">
        <w:rPr>
          <w:rFonts w:ascii="Arial" w:hAnsi="Arial" w:cs="Arial"/>
          <w:b/>
          <w:bCs/>
          <w:szCs w:val="20"/>
          <w:lang w:val="en-AU"/>
        </w:rPr>
        <w:t>Rules of the Tribunal</w:t>
      </w:r>
    </w:p>
    <w:p w14:paraId="65B55CA5" w14:textId="77777777" w:rsidR="00662153" w:rsidRPr="00374CBA" w:rsidRDefault="00803082" w:rsidP="00374CBA">
      <w:pPr>
        <w:pStyle w:val="CoverActName"/>
        <w:tabs>
          <w:tab w:val="clear" w:pos="2600"/>
          <w:tab w:val="left" w:pos="567"/>
        </w:tabs>
        <w:spacing w:before="120" w:after="0"/>
        <w:ind w:left="720"/>
        <w:jc w:val="left"/>
        <w:rPr>
          <w:rFonts w:ascii="Times New Roman" w:hAnsi="Times New Roman" w:cs="Times New Roman"/>
          <w:b w:val="0"/>
          <w:bCs w:val="0"/>
        </w:rPr>
      </w:pPr>
      <w:r w:rsidRPr="00374CBA">
        <w:rPr>
          <w:rFonts w:ascii="Times New Roman" w:hAnsi="Times New Roman" w:cs="Times New Roman"/>
          <w:b w:val="0"/>
          <w:bCs w:val="0"/>
        </w:rPr>
        <w:t>The Racing Appeals Tribunal makes the following rules of the tribunal as set out in the Schedule to this instrument</w:t>
      </w:r>
      <w:r w:rsidR="00374CBA">
        <w:rPr>
          <w:rFonts w:ascii="Times New Roman" w:hAnsi="Times New Roman" w:cs="Times New Roman"/>
          <w:b w:val="0"/>
          <w:bCs w:val="0"/>
        </w:rPr>
        <w:t>.</w:t>
      </w:r>
    </w:p>
    <w:p w14:paraId="79B00805" w14:textId="77777777" w:rsidR="00EA1FFB" w:rsidRPr="00374CBA" w:rsidRDefault="00662153" w:rsidP="005517EB">
      <w:pPr>
        <w:tabs>
          <w:tab w:val="clear" w:pos="2880"/>
        </w:tabs>
        <w:autoSpaceDE/>
        <w:autoSpaceDN/>
        <w:spacing w:before="300"/>
        <w:ind w:left="720" w:hanging="720"/>
        <w:rPr>
          <w:rFonts w:ascii="Arial" w:hAnsi="Arial" w:cs="Arial"/>
          <w:b/>
          <w:bCs/>
          <w:szCs w:val="20"/>
          <w:lang w:val="en-AU"/>
        </w:rPr>
      </w:pPr>
      <w:r w:rsidRPr="00374CBA">
        <w:rPr>
          <w:rFonts w:ascii="Arial" w:hAnsi="Arial" w:cs="Arial"/>
          <w:b/>
          <w:bCs/>
          <w:szCs w:val="20"/>
          <w:lang w:val="en-AU"/>
        </w:rPr>
        <w:t>4</w:t>
      </w:r>
      <w:r w:rsidRPr="00374CBA">
        <w:rPr>
          <w:rFonts w:ascii="Arial" w:hAnsi="Arial" w:cs="Arial"/>
          <w:b/>
          <w:bCs/>
          <w:szCs w:val="20"/>
          <w:lang w:val="en-AU"/>
        </w:rPr>
        <w:tab/>
      </w:r>
      <w:r w:rsidR="00EA1FFB" w:rsidRPr="00374CBA">
        <w:rPr>
          <w:rFonts w:ascii="Arial" w:hAnsi="Arial" w:cs="Arial"/>
          <w:b/>
          <w:bCs/>
          <w:szCs w:val="20"/>
          <w:lang w:val="en-AU"/>
        </w:rPr>
        <w:t>R</w:t>
      </w:r>
      <w:r w:rsidR="00803082" w:rsidRPr="00374CBA">
        <w:rPr>
          <w:rFonts w:ascii="Arial" w:hAnsi="Arial" w:cs="Arial"/>
          <w:b/>
          <w:bCs/>
          <w:szCs w:val="20"/>
          <w:lang w:val="en-AU"/>
        </w:rPr>
        <w:t>evocation</w:t>
      </w:r>
    </w:p>
    <w:p w14:paraId="71309F19" w14:textId="5DA93236" w:rsidR="00EA1FFB" w:rsidRPr="00374CBA" w:rsidRDefault="00803082" w:rsidP="00374CBA">
      <w:pPr>
        <w:pStyle w:val="CoverActName"/>
        <w:tabs>
          <w:tab w:val="clear" w:pos="2600"/>
          <w:tab w:val="left" w:pos="567"/>
        </w:tabs>
        <w:spacing w:before="120" w:after="0"/>
        <w:ind w:left="720"/>
        <w:jc w:val="left"/>
        <w:rPr>
          <w:rFonts w:ascii="Times New Roman" w:hAnsi="Times New Roman" w:cs="Times New Roman"/>
          <w:b w:val="0"/>
          <w:bCs w:val="0"/>
        </w:rPr>
      </w:pPr>
      <w:r w:rsidRPr="00374CBA">
        <w:rPr>
          <w:rFonts w:ascii="Times New Roman" w:hAnsi="Times New Roman" w:cs="Times New Roman"/>
          <w:b w:val="0"/>
          <w:bCs w:val="0"/>
        </w:rPr>
        <w:t xml:space="preserve">This instrument revokes the </w:t>
      </w:r>
      <w:r w:rsidRPr="00374CBA">
        <w:rPr>
          <w:rFonts w:ascii="Times New Roman" w:hAnsi="Times New Roman" w:cs="Times New Roman"/>
          <w:b w:val="0"/>
          <w:bCs w:val="0"/>
          <w:i/>
        </w:rPr>
        <w:t>Racing Appeals Tribunal (Rules of the Tribunal) 20</w:t>
      </w:r>
      <w:r w:rsidR="00A4447D">
        <w:rPr>
          <w:rFonts w:ascii="Times New Roman" w:hAnsi="Times New Roman" w:cs="Times New Roman"/>
          <w:b w:val="0"/>
          <w:bCs w:val="0"/>
          <w:i/>
        </w:rPr>
        <w:t>18</w:t>
      </w:r>
      <w:r w:rsidR="006F2504">
        <w:rPr>
          <w:rFonts w:ascii="Times New Roman" w:hAnsi="Times New Roman" w:cs="Times New Roman"/>
          <w:b w:val="0"/>
          <w:bCs w:val="0"/>
          <w:i/>
        </w:rPr>
        <w:t xml:space="preserve"> </w:t>
      </w:r>
      <w:r w:rsidRPr="00374CBA">
        <w:rPr>
          <w:rFonts w:ascii="Times New Roman" w:hAnsi="Times New Roman" w:cs="Times New Roman"/>
          <w:b w:val="0"/>
          <w:bCs w:val="0"/>
          <w:i/>
        </w:rPr>
        <w:t>(No 1)</w:t>
      </w:r>
      <w:r w:rsidRPr="00374CBA">
        <w:rPr>
          <w:rFonts w:ascii="Times New Roman" w:hAnsi="Times New Roman" w:cs="Times New Roman"/>
          <w:b w:val="0"/>
          <w:bCs w:val="0"/>
        </w:rPr>
        <w:t xml:space="preserve"> DI20</w:t>
      </w:r>
      <w:r w:rsidR="00A4447D">
        <w:rPr>
          <w:rFonts w:ascii="Times New Roman" w:hAnsi="Times New Roman" w:cs="Times New Roman"/>
          <w:b w:val="0"/>
          <w:bCs w:val="0"/>
        </w:rPr>
        <w:t>18</w:t>
      </w:r>
      <w:r w:rsidRPr="00374CBA">
        <w:rPr>
          <w:rFonts w:ascii="Times New Roman" w:hAnsi="Times New Roman" w:cs="Times New Roman"/>
          <w:b w:val="0"/>
          <w:bCs w:val="0"/>
        </w:rPr>
        <w:noBreakHyphen/>
      </w:r>
      <w:r w:rsidR="00A4447D">
        <w:rPr>
          <w:rFonts w:ascii="Times New Roman" w:hAnsi="Times New Roman" w:cs="Times New Roman"/>
          <w:b w:val="0"/>
          <w:bCs w:val="0"/>
        </w:rPr>
        <w:t>293</w:t>
      </w:r>
      <w:r w:rsidR="00374CBA">
        <w:rPr>
          <w:rFonts w:ascii="Times New Roman" w:hAnsi="Times New Roman" w:cs="Times New Roman"/>
          <w:b w:val="0"/>
          <w:bCs w:val="0"/>
        </w:rPr>
        <w:t>.</w:t>
      </w:r>
    </w:p>
    <w:p w14:paraId="715488E0" w14:textId="77777777" w:rsidR="00EA1FFB" w:rsidRPr="00374CBA" w:rsidRDefault="00EA1FFB">
      <w:pPr>
        <w:pStyle w:val="CoverActName"/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5313F0E3" w14:textId="77777777" w:rsidR="00EA1FFB" w:rsidRPr="00374CBA" w:rsidRDefault="00EA1FFB">
      <w:pPr>
        <w:pStyle w:val="CoverActName"/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F0D0384" w14:textId="77777777" w:rsidR="00EA1FFB" w:rsidRPr="00374CBA" w:rsidRDefault="00EA1FFB">
      <w:pPr>
        <w:pStyle w:val="CoverActName"/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714CAAA1" w14:textId="77777777" w:rsidR="00EA1FFB" w:rsidRPr="00374CBA" w:rsidRDefault="00EA1FFB">
      <w:pPr>
        <w:pStyle w:val="CoverActName"/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253ACDDD" w14:textId="77777777" w:rsidR="00EA1FFB" w:rsidRPr="00070A91" w:rsidRDefault="00EA1FFB">
      <w:pPr>
        <w:pStyle w:val="CoverActName"/>
        <w:spacing w:before="0" w:after="0"/>
        <w:jc w:val="left"/>
      </w:pPr>
    </w:p>
    <w:p w14:paraId="5BF85600" w14:textId="77777777" w:rsidR="00EA1FFB" w:rsidRPr="006F2504" w:rsidRDefault="00C93279">
      <w:pPr>
        <w:pStyle w:val="CoverActName"/>
        <w:widowControl w:val="0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 w:rsidRPr="006F2504">
        <w:rPr>
          <w:rFonts w:ascii="Times New Roman" w:hAnsi="Times New Roman" w:cs="Times New Roman"/>
          <w:b w:val="0"/>
          <w:bCs w:val="0"/>
        </w:rPr>
        <w:t>John Kalokerinos</w:t>
      </w:r>
      <w:r w:rsidR="00EA1FFB" w:rsidRPr="006F2504">
        <w:rPr>
          <w:rFonts w:ascii="Times New Roman" w:hAnsi="Times New Roman" w:cs="Times New Roman"/>
          <w:b w:val="0"/>
          <w:bCs w:val="0"/>
        </w:rPr>
        <w:br/>
        <w:t>President</w:t>
      </w:r>
    </w:p>
    <w:p w14:paraId="6108191C" w14:textId="77777777" w:rsidR="00EA1FFB" w:rsidRPr="006F2504" w:rsidRDefault="00EA1FFB">
      <w:pPr>
        <w:pStyle w:val="CoverActName"/>
        <w:suppressLineNumbers/>
        <w:tabs>
          <w:tab w:val="clear" w:pos="2600"/>
          <w:tab w:val="left" w:pos="360"/>
          <w:tab w:val="left" w:pos="5160"/>
        </w:tabs>
        <w:spacing w:before="100" w:beforeAutospacing="1" w:after="100" w:afterAutospacing="1" w:line="120" w:lineRule="auto"/>
        <w:rPr>
          <w:rFonts w:ascii="Times New Roman" w:hAnsi="Times New Roman" w:cs="Times New Roman"/>
          <w:b w:val="0"/>
          <w:bCs w:val="0"/>
        </w:rPr>
      </w:pPr>
      <w:r w:rsidRPr="006F2504">
        <w:rPr>
          <w:rFonts w:ascii="Times New Roman" w:hAnsi="Times New Roman" w:cs="Times New Roman"/>
          <w:b w:val="0"/>
          <w:bCs w:val="0"/>
        </w:rPr>
        <w:t>Racing Appeals Tribunal</w:t>
      </w:r>
    </w:p>
    <w:p w14:paraId="0EB84295" w14:textId="42693D26" w:rsidR="00EA1FFB" w:rsidRPr="00374CBA" w:rsidRDefault="006F2504">
      <w:pPr>
        <w:pStyle w:val="Amain"/>
        <w:tabs>
          <w:tab w:val="clear" w:pos="700"/>
          <w:tab w:val="left" w:pos="0"/>
        </w:tabs>
        <w:ind w:left="0" w:firstLine="0"/>
        <w:jc w:val="left"/>
        <w:rPr>
          <w:sz w:val="20"/>
          <w:szCs w:val="20"/>
        </w:rPr>
      </w:pPr>
      <w:r w:rsidRPr="006F2504">
        <w:t xml:space="preserve">30 September </w:t>
      </w:r>
      <w:r w:rsidR="00EA1FFB" w:rsidRPr="00374CBA">
        <w:t>20</w:t>
      </w:r>
      <w:r w:rsidR="00662153" w:rsidRPr="00374CBA">
        <w:t>1</w:t>
      </w:r>
      <w:r w:rsidR="00A4447D">
        <w:t>9</w:t>
      </w:r>
    </w:p>
    <w:p w14:paraId="4DDF07D3" w14:textId="77777777" w:rsidR="00EA1FFB" w:rsidRPr="00374CBA" w:rsidRDefault="00EA1FFB">
      <w:pPr>
        <w:pStyle w:val="CoverActName"/>
        <w:tabs>
          <w:tab w:val="clear" w:pos="2600"/>
          <w:tab w:val="left" w:pos="360"/>
          <w:tab w:val="left" w:pos="5160"/>
        </w:tabs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03BFE40" w14:textId="77777777" w:rsidR="00EA1FFB" w:rsidRPr="00374CBA" w:rsidRDefault="00EA1FFB">
      <w:pPr>
        <w:jc w:val="both"/>
        <w:sectPr w:rsidR="00EA1FFB" w:rsidRPr="00374CBA" w:rsidSect="00070A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984" w:bottom="1440" w:left="1797" w:header="720" w:footer="720" w:gutter="0"/>
          <w:pgNumType w:fmt="lowerRoman"/>
          <w:cols w:space="709"/>
          <w:titlePg/>
          <w:docGrid w:linePitch="326"/>
        </w:sectPr>
      </w:pPr>
    </w:p>
    <w:p w14:paraId="18959380" w14:textId="77777777" w:rsidR="00EA1FFB" w:rsidRPr="00374CBA" w:rsidRDefault="00EA1FFB" w:rsidP="00374CBA">
      <w:pPr>
        <w:pStyle w:val="BillBasic"/>
        <w:tabs>
          <w:tab w:val="left" w:pos="2880"/>
        </w:tabs>
        <w:spacing w:before="0" w:after="0"/>
        <w:jc w:val="center"/>
        <w:rPr>
          <w:rStyle w:val="CharPartNo"/>
          <w:rFonts w:ascii="Arial" w:hAnsi="Arial" w:cs="Arial"/>
          <w:b/>
          <w:bCs/>
        </w:rPr>
      </w:pPr>
      <w:bookmarkStart w:id="2" w:name="_Toc42652238"/>
      <w:bookmarkStart w:id="3" w:name="_Toc46028756"/>
      <w:r w:rsidRPr="00374CBA">
        <w:rPr>
          <w:rStyle w:val="CharPartNo"/>
          <w:rFonts w:ascii="Arial" w:hAnsi="Arial" w:cs="Arial"/>
          <w:b/>
          <w:bCs/>
        </w:rPr>
        <w:lastRenderedPageBreak/>
        <w:t>SCHEDULE</w:t>
      </w:r>
    </w:p>
    <w:bookmarkEnd w:id="2"/>
    <w:bookmarkEnd w:id="3"/>
    <w:p w14:paraId="3D485C76" w14:textId="77777777" w:rsidR="00EA1FFB" w:rsidRPr="00374CBA" w:rsidRDefault="00EA1FFB">
      <w:pPr>
        <w:rPr>
          <w:rFonts w:ascii="Arial" w:hAnsi="Arial" w:cs="Arial"/>
        </w:rPr>
      </w:pPr>
    </w:p>
    <w:p w14:paraId="1C0FDD3D" w14:textId="77777777" w:rsidR="00EA1FFB" w:rsidRPr="00374CBA" w:rsidRDefault="00EA1FFB">
      <w:pPr>
        <w:pStyle w:val="Formula"/>
        <w:tabs>
          <w:tab w:val="left" w:pos="2880"/>
        </w:tabs>
        <w:spacing w:before="0" w:after="0" w:line="240" w:lineRule="auto"/>
        <w:rPr>
          <w:rFonts w:ascii="Arial" w:hAnsi="Arial" w:cs="Arial"/>
          <w:b/>
          <w:bCs/>
          <w:lang w:val="en-US"/>
        </w:rPr>
      </w:pPr>
      <w:r w:rsidRPr="00374CBA">
        <w:rPr>
          <w:rFonts w:ascii="Arial" w:hAnsi="Arial" w:cs="Arial"/>
          <w:b/>
          <w:bCs/>
          <w:lang w:val="en-US"/>
        </w:rPr>
        <w:t>RULES OF THE TRIBUNAL</w:t>
      </w:r>
    </w:p>
    <w:p w14:paraId="27A725F5" w14:textId="77777777" w:rsidR="005517EB" w:rsidRPr="00374CBA" w:rsidRDefault="005517EB" w:rsidP="00BA2C6F">
      <w:pPr>
        <w:pStyle w:val="BodyTextIndent"/>
        <w:tabs>
          <w:tab w:val="clear" w:pos="993"/>
          <w:tab w:val="left" w:pos="1134"/>
        </w:tabs>
        <w:spacing w:after="120"/>
        <w:ind w:left="709" w:hanging="709"/>
        <w:rPr>
          <w:szCs w:val="20"/>
          <w:lang w:val="en-AU"/>
        </w:rPr>
      </w:pPr>
    </w:p>
    <w:p w14:paraId="5267F5B4" w14:textId="77777777" w:rsidR="00EA1FFB" w:rsidRPr="00374CBA" w:rsidRDefault="00B7536B" w:rsidP="00BA2C6F">
      <w:pPr>
        <w:pStyle w:val="BodyTextIndent"/>
        <w:tabs>
          <w:tab w:val="clear" w:pos="993"/>
          <w:tab w:val="left" w:pos="1134"/>
        </w:tabs>
        <w:spacing w:after="120"/>
        <w:ind w:left="709" w:hanging="709"/>
        <w:rPr>
          <w:szCs w:val="20"/>
          <w:lang w:val="en-AU"/>
        </w:rPr>
      </w:pPr>
      <w:r w:rsidRPr="00374CBA">
        <w:rPr>
          <w:b/>
          <w:bCs/>
          <w:szCs w:val="20"/>
          <w:lang w:val="en-AU"/>
        </w:rPr>
        <w:t>1</w:t>
      </w:r>
      <w:r w:rsidRPr="00374CBA">
        <w:rPr>
          <w:b/>
          <w:bCs/>
          <w:szCs w:val="20"/>
          <w:lang w:val="en-AU"/>
        </w:rPr>
        <w:tab/>
      </w:r>
      <w:r w:rsidR="00EA1FFB" w:rsidRPr="00374CBA">
        <w:rPr>
          <w:b/>
          <w:bCs/>
          <w:szCs w:val="20"/>
          <w:lang w:val="en-AU"/>
        </w:rPr>
        <w:t>Bond</w:t>
      </w:r>
    </w:p>
    <w:p w14:paraId="2273752F" w14:textId="6ACFEC2F" w:rsidR="00EA1FFB" w:rsidRPr="00773022" w:rsidRDefault="00EA1FFB" w:rsidP="00773022">
      <w:pPr>
        <w:pStyle w:val="Amain"/>
        <w:numPr>
          <w:ilvl w:val="0"/>
          <w:numId w:val="19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 xml:space="preserve">A </w:t>
      </w:r>
      <w:r w:rsidRPr="00374CBA">
        <w:rPr>
          <w:szCs w:val="20"/>
          <w:lang w:eastAsia="en-AU"/>
        </w:rPr>
        <w:t>bond</w:t>
      </w:r>
      <w:r w:rsidRPr="00374CBA">
        <w:t xml:space="preserve"> must be lodged when an appeal is </w:t>
      </w:r>
      <w:r w:rsidR="006B1F0E" w:rsidRPr="00374CBA">
        <w:t>filed</w:t>
      </w:r>
      <w:r w:rsidRPr="00374CBA">
        <w:t xml:space="preserve"> with the registrar of the tribunal.</w:t>
      </w:r>
    </w:p>
    <w:p w14:paraId="75364E22" w14:textId="2D220A2C" w:rsidR="00EA1FFB" w:rsidRPr="00773022" w:rsidRDefault="00EA1FFB" w:rsidP="00773022">
      <w:pPr>
        <w:pStyle w:val="Amain"/>
        <w:numPr>
          <w:ilvl w:val="0"/>
          <w:numId w:val="19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right="-57" w:hanging="709"/>
      </w:pPr>
      <w:r w:rsidRPr="00374CBA">
        <w:t xml:space="preserve">The amount of the bond to be lodged with the </w:t>
      </w:r>
      <w:r w:rsidR="005E78D4" w:rsidRPr="00374CBA">
        <w:t xml:space="preserve">tribunal, as required by </w:t>
      </w:r>
      <w:r w:rsidR="006F2504">
        <w:t>subrule </w:t>
      </w:r>
      <w:r w:rsidRPr="00374CBA">
        <w:t>1</w:t>
      </w:r>
      <w:r w:rsidR="003333B4" w:rsidRPr="00374CBA">
        <w:t>(1)</w:t>
      </w:r>
      <w:r w:rsidRPr="00374CBA">
        <w:t>, is $</w:t>
      </w:r>
      <w:r w:rsidR="005E78D4" w:rsidRPr="00374CBA">
        <w:t>3</w:t>
      </w:r>
      <w:r w:rsidRPr="00374CBA">
        <w:t>50.00.</w:t>
      </w:r>
    </w:p>
    <w:p w14:paraId="3F605D05" w14:textId="77777777" w:rsidR="00EA1FFB" w:rsidRPr="00374CBA" w:rsidRDefault="00EA1FFB" w:rsidP="00F94EE4">
      <w:pPr>
        <w:pStyle w:val="Amain"/>
        <w:numPr>
          <w:ilvl w:val="0"/>
          <w:numId w:val="19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>The bond must not be refunded, in full or part, unless ordered by the tribunal.</w:t>
      </w:r>
    </w:p>
    <w:p w14:paraId="6EDD6D98" w14:textId="77777777" w:rsidR="00EA1FFB" w:rsidRPr="00374CBA" w:rsidRDefault="00EA1FFB">
      <w:pPr>
        <w:pStyle w:val="BodyTextIndent"/>
        <w:tabs>
          <w:tab w:val="clear" w:pos="993"/>
          <w:tab w:val="left" w:pos="0"/>
        </w:tabs>
        <w:ind w:left="0" w:firstLine="0"/>
        <w:rPr>
          <w:rFonts w:ascii="Times New Roman" w:hAnsi="Times New Roman" w:cs="Times New Roman"/>
        </w:rPr>
      </w:pPr>
    </w:p>
    <w:p w14:paraId="3FC245D2" w14:textId="77777777" w:rsidR="005E78D4" w:rsidRPr="00374CBA" w:rsidRDefault="005E78D4" w:rsidP="005517EB">
      <w:pPr>
        <w:pStyle w:val="BodyTextIndent"/>
        <w:tabs>
          <w:tab w:val="clear" w:pos="993"/>
          <w:tab w:val="left" w:pos="1134"/>
        </w:tabs>
        <w:spacing w:before="240" w:after="120"/>
        <w:ind w:left="709" w:hanging="709"/>
        <w:rPr>
          <w:b/>
          <w:bCs/>
          <w:szCs w:val="20"/>
          <w:lang w:val="en-AU"/>
        </w:rPr>
      </w:pPr>
      <w:r w:rsidRPr="00374CBA">
        <w:rPr>
          <w:b/>
          <w:bCs/>
          <w:szCs w:val="20"/>
          <w:lang w:val="en-AU"/>
        </w:rPr>
        <w:t>2</w:t>
      </w:r>
      <w:r w:rsidRPr="00374CBA">
        <w:rPr>
          <w:b/>
          <w:bCs/>
          <w:szCs w:val="20"/>
          <w:lang w:val="en-AU"/>
        </w:rPr>
        <w:tab/>
        <w:t>Grounds of appeal</w:t>
      </w:r>
    </w:p>
    <w:p w14:paraId="1AFD6ED2" w14:textId="77777777" w:rsidR="005E78D4" w:rsidRPr="00374CBA" w:rsidRDefault="005E78D4" w:rsidP="00F94EE4">
      <w:pPr>
        <w:pStyle w:val="Amain"/>
        <w:numPr>
          <w:ilvl w:val="0"/>
          <w:numId w:val="29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 xml:space="preserve">An appeal </w:t>
      </w:r>
      <w:r w:rsidR="00113957" w:rsidRPr="00374CBA">
        <w:t>filed</w:t>
      </w:r>
      <w:r w:rsidRPr="00374CBA">
        <w:t xml:space="preserve"> with </w:t>
      </w:r>
      <w:r w:rsidR="00F24ED0" w:rsidRPr="00374CBA">
        <w:t xml:space="preserve">the registrar of the </w:t>
      </w:r>
      <w:r w:rsidRPr="00374CBA">
        <w:t xml:space="preserve">tribunal </w:t>
      </w:r>
      <w:r w:rsidR="00113957" w:rsidRPr="00374CBA">
        <w:rPr>
          <w:rFonts w:ascii="TimesNewRomanPSMT" w:hAnsi="TimesNewRomanPSMT" w:cs="TimesNewRomanPSMT"/>
        </w:rPr>
        <w:t xml:space="preserve">under section 48 of the </w:t>
      </w:r>
      <w:r w:rsidR="00113957" w:rsidRPr="00374CBA">
        <w:rPr>
          <w:rFonts w:ascii="TimesNewRomanPSMT" w:hAnsi="TimesNewRomanPSMT" w:cs="TimesNewRomanPSMT"/>
          <w:i/>
          <w:iCs/>
        </w:rPr>
        <w:t xml:space="preserve">Racing Act 1999 </w:t>
      </w:r>
      <w:r w:rsidRPr="00374CBA">
        <w:t>m</w:t>
      </w:r>
      <w:r w:rsidR="00F24ED0" w:rsidRPr="00374CBA">
        <w:t xml:space="preserve">ust </w:t>
      </w:r>
      <w:r w:rsidR="004555D2" w:rsidRPr="00374CBA">
        <w:t>set out</w:t>
      </w:r>
      <w:r w:rsidR="00F24ED0" w:rsidRPr="00374CBA">
        <w:t xml:space="preserve"> the grounds for the appeal</w:t>
      </w:r>
      <w:r w:rsidRPr="00374CBA">
        <w:t>.</w:t>
      </w:r>
    </w:p>
    <w:p w14:paraId="0791267D" w14:textId="77777777" w:rsidR="005E78D4" w:rsidRPr="00374CBA" w:rsidRDefault="005E78D4" w:rsidP="005E78D4">
      <w:pPr>
        <w:pStyle w:val="BodyTextIndent"/>
        <w:tabs>
          <w:tab w:val="clear" w:pos="993"/>
          <w:tab w:val="left" w:pos="709"/>
        </w:tabs>
        <w:ind w:left="0" w:firstLine="0"/>
        <w:rPr>
          <w:rFonts w:ascii="Times New Roman" w:hAnsi="Times New Roman" w:cs="Times New Roman"/>
        </w:rPr>
      </w:pPr>
    </w:p>
    <w:p w14:paraId="667E45BA" w14:textId="77777777" w:rsidR="00B7536B" w:rsidRPr="00374CBA" w:rsidRDefault="00B7536B" w:rsidP="005517EB">
      <w:pPr>
        <w:pStyle w:val="BodyTextIndent"/>
        <w:tabs>
          <w:tab w:val="clear" w:pos="993"/>
          <w:tab w:val="left" w:pos="1134"/>
        </w:tabs>
        <w:spacing w:before="240" w:after="120"/>
        <w:ind w:left="709" w:hanging="709"/>
        <w:rPr>
          <w:b/>
          <w:bCs/>
          <w:szCs w:val="20"/>
          <w:lang w:val="en-AU"/>
        </w:rPr>
      </w:pPr>
      <w:bookmarkStart w:id="4" w:name="_Toc252806598"/>
      <w:r w:rsidRPr="00374CBA">
        <w:rPr>
          <w:b/>
          <w:bCs/>
          <w:szCs w:val="20"/>
          <w:lang w:val="en-AU"/>
        </w:rPr>
        <w:t>3</w:t>
      </w:r>
      <w:r w:rsidRPr="00374CBA">
        <w:rPr>
          <w:b/>
          <w:bCs/>
          <w:szCs w:val="20"/>
          <w:lang w:val="en-AU"/>
        </w:rPr>
        <w:tab/>
        <w:t>Rejecting documents—abuse of process etc</w:t>
      </w:r>
      <w:bookmarkEnd w:id="4"/>
    </w:p>
    <w:p w14:paraId="1545D2E1" w14:textId="77777777" w:rsidR="00B7536B" w:rsidRPr="00374CBA" w:rsidRDefault="00F94EE4" w:rsidP="00F94EE4">
      <w:pPr>
        <w:pStyle w:val="Amain"/>
        <w:numPr>
          <w:ilvl w:val="0"/>
          <w:numId w:val="30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rPr>
          <w:rFonts w:ascii="TimesNewRomanPSMT" w:hAnsi="TimesNewRomanPSMT" w:cs="TimesNewRomanPSMT"/>
        </w:rPr>
        <w:t>This rule applies if an appeal filed with the registrar of the tribunal appears to the registrar on its face to be an abuse of the tribunal’s process</w:t>
      </w:r>
      <w:r w:rsidR="00B7536B" w:rsidRPr="00374CBA">
        <w:t xml:space="preserve"> or to be frivolous or vexatious.</w:t>
      </w:r>
    </w:p>
    <w:p w14:paraId="32B7C134" w14:textId="77777777" w:rsidR="00B7536B" w:rsidRPr="00374CBA" w:rsidRDefault="00BA2C6F" w:rsidP="00F94EE4">
      <w:pPr>
        <w:pStyle w:val="Amain"/>
        <w:numPr>
          <w:ilvl w:val="0"/>
          <w:numId w:val="30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>T</w:t>
      </w:r>
      <w:r w:rsidR="00B7536B" w:rsidRPr="00374CBA">
        <w:t>he registrar may</w:t>
      </w:r>
      <w:r w:rsidR="00F94EE4" w:rsidRPr="00374CBA">
        <w:t xml:space="preserve"> </w:t>
      </w:r>
      <w:r w:rsidR="00F94EE4" w:rsidRPr="00374CBA">
        <w:rPr>
          <w:rFonts w:ascii="TimesNewRomanPSMT" w:hAnsi="TimesNewRomanPSMT" w:cs="TimesNewRomanPSMT"/>
        </w:rPr>
        <w:t>refer the appeal to the president or the deputy president for directions about how to deal with it.</w:t>
      </w:r>
      <w:r w:rsidR="00F94EE4" w:rsidRPr="00374CBA">
        <w:t xml:space="preserve"> </w:t>
      </w:r>
    </w:p>
    <w:p w14:paraId="4E7BBBF6" w14:textId="77777777" w:rsidR="00B7536B" w:rsidRPr="00374CBA" w:rsidRDefault="00B7536B" w:rsidP="00F94EE4">
      <w:pPr>
        <w:pStyle w:val="Amain"/>
        <w:numPr>
          <w:ilvl w:val="0"/>
          <w:numId w:val="30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 xml:space="preserve">If the registrar refers the </w:t>
      </w:r>
      <w:r w:rsidR="000A04AA" w:rsidRPr="00374CBA">
        <w:t xml:space="preserve">appeal </w:t>
      </w:r>
      <w:r w:rsidRPr="00374CBA">
        <w:t>to the president or the deputy president, the president or the deputy president may direct the registrar to—</w:t>
      </w:r>
    </w:p>
    <w:p w14:paraId="7BE69E8F" w14:textId="77777777" w:rsidR="00B7536B" w:rsidRPr="00374CBA" w:rsidRDefault="00B7536B" w:rsidP="00B7536B">
      <w:pPr>
        <w:pStyle w:val="Apara"/>
      </w:pPr>
      <w:r w:rsidRPr="00374CBA">
        <w:tab/>
        <w:t>(a)</w:t>
      </w:r>
      <w:r w:rsidRPr="00374CBA">
        <w:tab/>
      </w:r>
      <w:r w:rsidR="009208DA" w:rsidRPr="00374CBA">
        <w:t>l</w:t>
      </w:r>
      <w:r w:rsidR="00F94EE4" w:rsidRPr="00374CBA">
        <w:rPr>
          <w:rFonts w:ascii="TimesNewRomanPSMT" w:hAnsi="TimesNewRomanPSMT" w:cs="TimesNewRomanPSMT"/>
        </w:rPr>
        <w:t>ist the appeal for a directions hearing in the ordinary course; or</w:t>
      </w:r>
    </w:p>
    <w:p w14:paraId="595DDE1E" w14:textId="77777777" w:rsidR="00B7536B" w:rsidRPr="00374CBA" w:rsidRDefault="00B7536B" w:rsidP="007C0EE6">
      <w:pPr>
        <w:pStyle w:val="Apara"/>
        <w:ind w:right="142"/>
      </w:pPr>
      <w:r w:rsidRPr="00374CBA">
        <w:tab/>
        <w:t>(b)</w:t>
      </w:r>
      <w:r w:rsidRPr="00374CBA">
        <w:tab/>
      </w:r>
      <w:r w:rsidR="009208DA" w:rsidRPr="00374CBA">
        <w:rPr>
          <w:rFonts w:ascii="TimesNewRomanPSMT" w:hAnsi="TimesNewRomanPSMT" w:cs="TimesNewRomanPSMT"/>
        </w:rPr>
        <w:t>i</w:t>
      </w:r>
      <w:r w:rsidR="00F94EE4" w:rsidRPr="00374CBA">
        <w:rPr>
          <w:rFonts w:ascii="TimesNewRomanPSMT" w:hAnsi="TimesNewRomanPSMT" w:cs="TimesNewRomanPSMT"/>
        </w:rPr>
        <w:t>nvite the applicant to respond within a specified timeframe, in writing or in person at a preliminary hearing, to the tribunal’s concerns that the appeal appears to be an abuse of the tribunal’s process or to be frivolous vexatious</w:t>
      </w:r>
      <w:r w:rsidRPr="00374CBA">
        <w:t>.</w:t>
      </w:r>
    </w:p>
    <w:p w14:paraId="011EFCA5" w14:textId="77777777" w:rsidR="00B7536B" w:rsidRPr="00374CBA" w:rsidRDefault="00B7536B" w:rsidP="00B7536B">
      <w:pPr>
        <w:pStyle w:val="BodyTextIndent"/>
        <w:tabs>
          <w:tab w:val="clear" w:pos="993"/>
          <w:tab w:val="left" w:pos="1134"/>
        </w:tabs>
        <w:ind w:left="709" w:hanging="709"/>
        <w:rPr>
          <w:rFonts w:ascii="Times New Roman" w:hAnsi="Times New Roman" w:cs="Times New Roman"/>
          <w:b/>
          <w:bCs/>
        </w:rPr>
      </w:pPr>
    </w:p>
    <w:p w14:paraId="1CCEEDF5" w14:textId="77777777" w:rsidR="00EA1FFB" w:rsidRPr="00374CBA" w:rsidRDefault="00B7536B" w:rsidP="005517EB">
      <w:pPr>
        <w:pStyle w:val="BodyTextIndent"/>
        <w:tabs>
          <w:tab w:val="clear" w:pos="993"/>
          <w:tab w:val="left" w:pos="1134"/>
        </w:tabs>
        <w:spacing w:before="240" w:after="120"/>
        <w:ind w:left="709" w:hanging="709"/>
        <w:rPr>
          <w:b/>
          <w:bCs/>
          <w:szCs w:val="20"/>
          <w:lang w:val="en-AU"/>
        </w:rPr>
      </w:pPr>
      <w:r w:rsidRPr="00374CBA">
        <w:rPr>
          <w:b/>
          <w:bCs/>
          <w:szCs w:val="20"/>
          <w:lang w:val="en-AU"/>
        </w:rPr>
        <w:t>4</w:t>
      </w:r>
      <w:r w:rsidRPr="00374CBA">
        <w:rPr>
          <w:b/>
          <w:bCs/>
          <w:szCs w:val="20"/>
          <w:lang w:val="en-AU"/>
        </w:rPr>
        <w:tab/>
      </w:r>
      <w:r w:rsidR="005E78D4" w:rsidRPr="00374CBA">
        <w:rPr>
          <w:b/>
          <w:bCs/>
          <w:szCs w:val="20"/>
          <w:lang w:val="en-AU"/>
        </w:rPr>
        <w:t xml:space="preserve">Withdrawal </w:t>
      </w:r>
      <w:r w:rsidR="00EA1FFB" w:rsidRPr="00374CBA">
        <w:rPr>
          <w:b/>
          <w:bCs/>
          <w:szCs w:val="20"/>
          <w:lang w:val="en-AU"/>
        </w:rPr>
        <w:t xml:space="preserve">of </w:t>
      </w:r>
      <w:r w:rsidR="005E78D4" w:rsidRPr="00374CBA">
        <w:rPr>
          <w:b/>
          <w:bCs/>
          <w:szCs w:val="20"/>
          <w:lang w:val="en-AU"/>
        </w:rPr>
        <w:t>a</w:t>
      </w:r>
      <w:r w:rsidR="00EA1FFB" w:rsidRPr="00374CBA">
        <w:rPr>
          <w:b/>
          <w:bCs/>
          <w:szCs w:val="20"/>
          <w:lang w:val="en-AU"/>
        </w:rPr>
        <w:t>ppeal</w:t>
      </w:r>
    </w:p>
    <w:p w14:paraId="498B8355" w14:textId="77777777" w:rsidR="00EA1FFB" w:rsidRPr="00374CBA" w:rsidRDefault="00EA1FFB" w:rsidP="00113957">
      <w:pPr>
        <w:pStyle w:val="Amain"/>
        <w:numPr>
          <w:ilvl w:val="0"/>
          <w:numId w:val="31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 xml:space="preserve">An appeal </w:t>
      </w:r>
      <w:r w:rsidR="00113957" w:rsidRPr="00374CBA">
        <w:t>filed</w:t>
      </w:r>
      <w:r w:rsidRPr="00374CBA">
        <w:t xml:space="preserve"> with the tribunal may not be withdrawn except with the leave of the tribunal.</w:t>
      </w:r>
    </w:p>
    <w:p w14:paraId="083A231F" w14:textId="77777777" w:rsidR="00F24ED0" w:rsidRPr="00374CBA" w:rsidRDefault="00EA1FFB" w:rsidP="00F94EE4">
      <w:pPr>
        <w:pStyle w:val="Amain"/>
        <w:numPr>
          <w:ilvl w:val="0"/>
          <w:numId w:val="31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 xml:space="preserve">In granting or refusing such leave, the tribunal may impose such conditions as it </w:t>
      </w:r>
      <w:r w:rsidR="00113957" w:rsidRPr="00374CBA">
        <w:rPr>
          <w:rFonts w:ascii="TimesNewRomanPSMT" w:hAnsi="TimesNewRomanPSMT" w:cs="TimesNewRomanPSMT"/>
        </w:rPr>
        <w:t>considers appropriate</w:t>
      </w:r>
      <w:r w:rsidRPr="00374CBA">
        <w:t>, including the payment of costs.</w:t>
      </w:r>
    </w:p>
    <w:p w14:paraId="3961FFC7" w14:textId="77777777" w:rsidR="00EA1FFB" w:rsidRPr="00374CBA" w:rsidRDefault="00EA1FFB" w:rsidP="00F94EE4">
      <w:pPr>
        <w:pStyle w:val="Amain"/>
        <w:numPr>
          <w:ilvl w:val="0"/>
          <w:numId w:val="31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>In granting or refusing such leave, the tribunal must order that the bond be forfeited or refunded, either in full or in part.</w:t>
      </w:r>
    </w:p>
    <w:p w14:paraId="7F9E52E0" w14:textId="77777777" w:rsidR="004D5C21" w:rsidRPr="00374CBA" w:rsidRDefault="004D5C21" w:rsidP="005517EB">
      <w:pPr>
        <w:pStyle w:val="BodyTextIndent"/>
        <w:tabs>
          <w:tab w:val="clear" w:pos="993"/>
          <w:tab w:val="left" w:pos="1134"/>
        </w:tabs>
        <w:spacing w:after="120"/>
        <w:ind w:left="709" w:hanging="709"/>
        <w:rPr>
          <w:b/>
          <w:bCs/>
          <w:szCs w:val="20"/>
          <w:lang w:val="en-AU"/>
        </w:rPr>
      </w:pPr>
      <w:bookmarkStart w:id="5" w:name="_Toc252806610"/>
    </w:p>
    <w:p w14:paraId="77DE568E" w14:textId="77777777" w:rsidR="00A155C1" w:rsidRPr="00374CBA" w:rsidRDefault="00A155C1" w:rsidP="005517EB">
      <w:pPr>
        <w:pStyle w:val="BodyTextIndent"/>
        <w:tabs>
          <w:tab w:val="clear" w:pos="993"/>
          <w:tab w:val="left" w:pos="1134"/>
        </w:tabs>
        <w:spacing w:after="120"/>
        <w:ind w:left="709" w:hanging="709"/>
        <w:rPr>
          <w:b/>
          <w:bCs/>
          <w:szCs w:val="20"/>
          <w:lang w:val="en-AU"/>
        </w:rPr>
      </w:pPr>
    </w:p>
    <w:p w14:paraId="27AB771B" w14:textId="77777777" w:rsidR="00BA2C6F" w:rsidRPr="00374CBA" w:rsidRDefault="00BA2C6F" w:rsidP="005517EB">
      <w:pPr>
        <w:pStyle w:val="BodyTextIndent"/>
        <w:tabs>
          <w:tab w:val="clear" w:pos="993"/>
          <w:tab w:val="left" w:pos="1134"/>
        </w:tabs>
        <w:spacing w:before="240" w:after="120"/>
        <w:ind w:left="709" w:hanging="709"/>
        <w:rPr>
          <w:b/>
          <w:bCs/>
          <w:szCs w:val="20"/>
          <w:lang w:val="en-AU"/>
        </w:rPr>
      </w:pPr>
      <w:r w:rsidRPr="00374CBA">
        <w:rPr>
          <w:b/>
          <w:bCs/>
          <w:szCs w:val="20"/>
          <w:lang w:val="en-AU"/>
        </w:rPr>
        <w:lastRenderedPageBreak/>
        <w:t>5</w:t>
      </w:r>
      <w:r w:rsidRPr="00374CBA">
        <w:rPr>
          <w:b/>
          <w:bCs/>
          <w:szCs w:val="20"/>
          <w:lang w:val="en-AU"/>
        </w:rPr>
        <w:tab/>
        <w:t xml:space="preserve">Directions </w:t>
      </w:r>
      <w:bookmarkEnd w:id="5"/>
    </w:p>
    <w:p w14:paraId="78050179" w14:textId="77777777" w:rsidR="00BB70CD" w:rsidRPr="00374CBA" w:rsidRDefault="00BB70CD" w:rsidP="00BB70CD">
      <w:pPr>
        <w:pStyle w:val="Amain"/>
        <w:numPr>
          <w:ilvl w:val="0"/>
          <w:numId w:val="32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>The tribunal may make directions with or without a directions hearing.</w:t>
      </w:r>
    </w:p>
    <w:p w14:paraId="731687C6" w14:textId="77777777" w:rsidR="00BA2C6F" w:rsidRPr="00374CBA" w:rsidRDefault="00BA2C6F" w:rsidP="00113957">
      <w:pPr>
        <w:pStyle w:val="Amain"/>
        <w:numPr>
          <w:ilvl w:val="0"/>
          <w:numId w:val="32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>If the tribunal sets a date for a directions hearing, the registrar must give the parties notice of the date.</w:t>
      </w:r>
    </w:p>
    <w:p w14:paraId="4263AAD8" w14:textId="77777777" w:rsidR="00BA2C6F" w:rsidRPr="00374CBA" w:rsidRDefault="00BA2C6F" w:rsidP="00F94EE4">
      <w:pPr>
        <w:pStyle w:val="Amain"/>
        <w:numPr>
          <w:ilvl w:val="0"/>
          <w:numId w:val="32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>The appellant and each respondent must attend the directions hearing.</w:t>
      </w:r>
    </w:p>
    <w:p w14:paraId="049DFA50" w14:textId="77777777" w:rsidR="00BA2C6F" w:rsidRPr="00374CBA" w:rsidRDefault="00BA2C6F" w:rsidP="00F94EE4">
      <w:pPr>
        <w:pStyle w:val="Amain"/>
        <w:numPr>
          <w:ilvl w:val="0"/>
          <w:numId w:val="32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>At the directions hearing, the tribunal may—</w:t>
      </w:r>
    </w:p>
    <w:p w14:paraId="3B987A5F" w14:textId="77777777" w:rsidR="00BA2C6F" w:rsidRPr="00374CBA" w:rsidRDefault="00BA2C6F" w:rsidP="00BA2C6F">
      <w:pPr>
        <w:pStyle w:val="Apara"/>
      </w:pPr>
      <w:r w:rsidRPr="00374CBA">
        <w:tab/>
        <w:t>(a)</w:t>
      </w:r>
      <w:r w:rsidRPr="00374CBA">
        <w:tab/>
        <w:t>give the directions it considers appropriate to have the appeal made ready for hearing; or</w:t>
      </w:r>
    </w:p>
    <w:p w14:paraId="639B67E6" w14:textId="77777777" w:rsidR="00113957" w:rsidRPr="00374CBA" w:rsidRDefault="00BA2C6F" w:rsidP="00BA2C6F">
      <w:pPr>
        <w:pStyle w:val="Apara"/>
      </w:pPr>
      <w:r w:rsidRPr="00374CBA">
        <w:tab/>
        <w:t>(b)</w:t>
      </w:r>
      <w:r w:rsidRPr="00374CBA">
        <w:tab/>
        <w:t>adjourn the directions hearing</w:t>
      </w:r>
      <w:r w:rsidR="00113957" w:rsidRPr="00374CBA">
        <w:t>; and/or</w:t>
      </w:r>
    </w:p>
    <w:p w14:paraId="5BEDD724" w14:textId="77777777" w:rsidR="00BA2C6F" w:rsidRPr="00374CBA" w:rsidRDefault="00113957" w:rsidP="00BA2C6F">
      <w:pPr>
        <w:pStyle w:val="Apara"/>
      </w:pPr>
      <w:r w:rsidRPr="00374CBA">
        <w:tab/>
        <w:t>(c)</w:t>
      </w:r>
      <w:r w:rsidRPr="00374CBA">
        <w:tab/>
        <w:t>fix a date, time and location for the hearing of the appeal</w:t>
      </w:r>
      <w:r w:rsidR="00BA2C6F" w:rsidRPr="00374CBA">
        <w:t>.</w:t>
      </w:r>
    </w:p>
    <w:p w14:paraId="4E637231" w14:textId="77777777" w:rsidR="00BA2C6F" w:rsidRPr="00374CBA" w:rsidRDefault="00BA2C6F" w:rsidP="00F94EE4">
      <w:pPr>
        <w:pStyle w:val="Amain"/>
        <w:numPr>
          <w:ilvl w:val="0"/>
          <w:numId w:val="32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>The tribunal may at any time amend or revoke a direction made under this rule</w:t>
      </w:r>
      <w:r w:rsidR="00B376F1" w:rsidRPr="00374CBA">
        <w:t xml:space="preserve"> on application by a party or on its own initiative</w:t>
      </w:r>
      <w:r w:rsidRPr="00374CBA">
        <w:t>.</w:t>
      </w:r>
    </w:p>
    <w:p w14:paraId="5820B424" w14:textId="77777777" w:rsidR="00BA2C6F" w:rsidRPr="00374CBA" w:rsidRDefault="00BA2C6F">
      <w:pPr>
        <w:pStyle w:val="Amain"/>
        <w:tabs>
          <w:tab w:val="clear" w:pos="500"/>
          <w:tab w:val="clear" w:pos="700"/>
          <w:tab w:val="right" w:pos="900"/>
          <w:tab w:val="left" w:pos="1100"/>
        </w:tabs>
        <w:autoSpaceDE/>
        <w:autoSpaceDN/>
        <w:spacing w:before="140" w:after="0"/>
        <w:ind w:left="0" w:firstLine="0"/>
      </w:pPr>
    </w:p>
    <w:p w14:paraId="79ABA9F5" w14:textId="77777777" w:rsidR="00BA2C6F" w:rsidRPr="00374CBA" w:rsidRDefault="00BA2C6F" w:rsidP="005517EB">
      <w:pPr>
        <w:pStyle w:val="BodyTextIndent"/>
        <w:tabs>
          <w:tab w:val="clear" w:pos="993"/>
          <w:tab w:val="left" w:pos="1134"/>
        </w:tabs>
        <w:spacing w:before="240" w:after="120"/>
        <w:ind w:left="709" w:hanging="709"/>
        <w:rPr>
          <w:b/>
          <w:bCs/>
          <w:szCs w:val="20"/>
          <w:lang w:val="en-AU"/>
        </w:rPr>
      </w:pPr>
      <w:bookmarkStart w:id="6" w:name="_Toc252806611"/>
      <w:r w:rsidRPr="00374CBA">
        <w:rPr>
          <w:b/>
          <w:bCs/>
          <w:szCs w:val="20"/>
          <w:lang w:val="en-AU"/>
        </w:rPr>
        <w:t>6</w:t>
      </w:r>
      <w:r w:rsidRPr="00374CBA">
        <w:rPr>
          <w:b/>
          <w:bCs/>
          <w:szCs w:val="20"/>
          <w:lang w:val="en-AU"/>
        </w:rPr>
        <w:tab/>
        <w:t>Failure to comply with directions</w:t>
      </w:r>
      <w:bookmarkEnd w:id="6"/>
    </w:p>
    <w:p w14:paraId="49A416E3" w14:textId="77777777" w:rsidR="00BA2C6F" w:rsidRPr="00374CBA" w:rsidRDefault="00BA2C6F" w:rsidP="007C0EE6">
      <w:pPr>
        <w:pStyle w:val="Amain"/>
        <w:numPr>
          <w:ilvl w:val="0"/>
          <w:numId w:val="33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>If the appellant fails to comply with a direction, the tribunal may—</w:t>
      </w:r>
    </w:p>
    <w:p w14:paraId="370ED81C" w14:textId="77777777" w:rsidR="00BA2C6F" w:rsidRPr="00374CBA" w:rsidRDefault="00BA2C6F" w:rsidP="00BA2C6F">
      <w:pPr>
        <w:pStyle w:val="Apara"/>
      </w:pPr>
      <w:r w:rsidRPr="00374CBA">
        <w:tab/>
        <w:t>(a)</w:t>
      </w:r>
      <w:r w:rsidRPr="00374CBA">
        <w:tab/>
        <w:t>dismiss the appeal; or</w:t>
      </w:r>
    </w:p>
    <w:p w14:paraId="4F857540" w14:textId="77777777" w:rsidR="00BA2C6F" w:rsidRPr="00374CBA" w:rsidRDefault="00BA2C6F" w:rsidP="00BA2C6F">
      <w:pPr>
        <w:pStyle w:val="Apara"/>
      </w:pPr>
      <w:r w:rsidRPr="00374CBA">
        <w:tab/>
        <w:t>(b)</w:t>
      </w:r>
      <w:r w:rsidRPr="00374CBA">
        <w:tab/>
        <w:t>stay the appeal until the appellant complies with the direction; or</w:t>
      </w:r>
    </w:p>
    <w:p w14:paraId="4DEFF23D" w14:textId="77777777" w:rsidR="00BA2C6F" w:rsidRPr="00374CBA" w:rsidRDefault="00BA2C6F" w:rsidP="00BA2C6F">
      <w:pPr>
        <w:pStyle w:val="Apara"/>
      </w:pPr>
      <w:r w:rsidRPr="00374CBA">
        <w:tab/>
        <w:t>(c)</w:t>
      </w:r>
      <w:r w:rsidRPr="00374CBA">
        <w:tab/>
        <w:t>if the direction requires information to be provided—proceed with the appeal in the absence of the information.</w:t>
      </w:r>
    </w:p>
    <w:p w14:paraId="092CEDC6" w14:textId="77777777" w:rsidR="00BA2C6F" w:rsidRPr="00374CBA" w:rsidRDefault="00BA2C6F" w:rsidP="00F94EE4">
      <w:pPr>
        <w:pStyle w:val="Amain"/>
        <w:numPr>
          <w:ilvl w:val="0"/>
          <w:numId w:val="33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>If a respondent fails to comply with a direction, the tribunal may—</w:t>
      </w:r>
    </w:p>
    <w:p w14:paraId="1BAA6FB7" w14:textId="77777777" w:rsidR="00BA2C6F" w:rsidRPr="00374CBA" w:rsidRDefault="00BA2C6F" w:rsidP="00BA2C6F">
      <w:pPr>
        <w:pStyle w:val="Apara"/>
      </w:pPr>
      <w:r w:rsidRPr="00374CBA">
        <w:tab/>
        <w:t>(a)</w:t>
      </w:r>
      <w:r w:rsidRPr="00374CBA">
        <w:tab/>
      </w:r>
      <w:r w:rsidR="00113957" w:rsidRPr="00374CBA">
        <w:rPr>
          <w:rFonts w:ascii="TimesNewRomanPSMT" w:hAnsi="TimesNewRomanPSMT" w:cs="TimesNewRomanPSMT"/>
        </w:rPr>
        <w:t>allow the appeal and set aside the decision on review</w:t>
      </w:r>
      <w:r w:rsidRPr="00374CBA">
        <w:t>; or</w:t>
      </w:r>
    </w:p>
    <w:p w14:paraId="748C8E74" w14:textId="77777777" w:rsidR="00BA2C6F" w:rsidRPr="00374CBA" w:rsidRDefault="00BA2C6F" w:rsidP="00BA2C6F">
      <w:pPr>
        <w:pStyle w:val="Apara"/>
      </w:pPr>
      <w:r w:rsidRPr="00374CBA">
        <w:tab/>
        <w:t>(b)</w:t>
      </w:r>
      <w:r w:rsidRPr="00374CBA">
        <w:tab/>
        <w:t>if the direction requires information to be provided—proceed with the appeal in the absence of the information.</w:t>
      </w:r>
    </w:p>
    <w:p w14:paraId="4F41E336" w14:textId="77777777" w:rsidR="00F24E35" w:rsidRPr="00374CBA" w:rsidRDefault="00F24E35" w:rsidP="00BA2C6F">
      <w:pPr>
        <w:pStyle w:val="Apara"/>
      </w:pPr>
    </w:p>
    <w:p w14:paraId="2DB67E30" w14:textId="77777777" w:rsidR="00123344" w:rsidRPr="00374CBA" w:rsidRDefault="00F3574C" w:rsidP="005517EB">
      <w:pPr>
        <w:pStyle w:val="BodyTextIndent"/>
        <w:tabs>
          <w:tab w:val="clear" w:pos="993"/>
          <w:tab w:val="left" w:pos="1134"/>
        </w:tabs>
        <w:spacing w:before="240" w:after="120"/>
        <w:ind w:left="709" w:hanging="709"/>
        <w:rPr>
          <w:b/>
          <w:bCs/>
          <w:szCs w:val="20"/>
          <w:lang w:val="en-AU"/>
        </w:rPr>
      </w:pPr>
      <w:bookmarkStart w:id="7" w:name="_Toc252806620"/>
      <w:r w:rsidRPr="00374CBA">
        <w:rPr>
          <w:b/>
          <w:bCs/>
          <w:szCs w:val="20"/>
          <w:lang w:val="en-AU"/>
        </w:rPr>
        <w:t>7</w:t>
      </w:r>
      <w:r w:rsidR="00123344" w:rsidRPr="00374CBA">
        <w:rPr>
          <w:b/>
          <w:bCs/>
          <w:szCs w:val="20"/>
          <w:lang w:val="en-AU"/>
        </w:rPr>
        <w:tab/>
        <w:t>Failure to attend a hearing</w:t>
      </w:r>
    </w:p>
    <w:p w14:paraId="4D13BCAC" w14:textId="77777777" w:rsidR="00123344" w:rsidRPr="00374CBA" w:rsidRDefault="00123344" w:rsidP="00113957">
      <w:pPr>
        <w:pStyle w:val="Amain"/>
        <w:numPr>
          <w:ilvl w:val="0"/>
          <w:numId w:val="34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 xml:space="preserve">If the appellant fails to </w:t>
      </w:r>
      <w:r w:rsidR="00F3574C" w:rsidRPr="00374CBA">
        <w:t>attend a hearing (including a directions hearing)</w:t>
      </w:r>
      <w:r w:rsidRPr="00374CBA">
        <w:t>, the tribunal may—</w:t>
      </w:r>
    </w:p>
    <w:p w14:paraId="0939E608" w14:textId="77777777" w:rsidR="00123344" w:rsidRPr="00374CBA" w:rsidRDefault="00123344" w:rsidP="00123344">
      <w:pPr>
        <w:pStyle w:val="Apara"/>
      </w:pPr>
      <w:r w:rsidRPr="00374CBA">
        <w:tab/>
        <w:t>(a)</w:t>
      </w:r>
      <w:r w:rsidRPr="00374CBA">
        <w:tab/>
        <w:t>dismiss the appeal; or</w:t>
      </w:r>
    </w:p>
    <w:p w14:paraId="0D3A88B1" w14:textId="77777777" w:rsidR="00123344" w:rsidRPr="00374CBA" w:rsidRDefault="00123344" w:rsidP="00F3574C">
      <w:pPr>
        <w:pStyle w:val="Apara"/>
      </w:pPr>
      <w:r w:rsidRPr="00374CBA">
        <w:tab/>
        <w:t>(b)</w:t>
      </w:r>
      <w:r w:rsidRPr="00374CBA">
        <w:tab/>
        <w:t>stay the appeal.</w:t>
      </w:r>
    </w:p>
    <w:p w14:paraId="199AA23B" w14:textId="77777777" w:rsidR="00123344" w:rsidRPr="00374CBA" w:rsidRDefault="00123344" w:rsidP="00F94EE4">
      <w:pPr>
        <w:pStyle w:val="Amain"/>
        <w:numPr>
          <w:ilvl w:val="0"/>
          <w:numId w:val="34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>If a respondent fails to</w:t>
      </w:r>
      <w:r w:rsidR="00F3574C" w:rsidRPr="00374CBA">
        <w:t xml:space="preserve"> attend a hearing (including a directions hearing),</w:t>
      </w:r>
      <w:r w:rsidRPr="00374CBA">
        <w:t xml:space="preserve"> the </w:t>
      </w:r>
      <w:r w:rsidR="00A50C46" w:rsidRPr="00374CBA">
        <w:t xml:space="preserve">tribunal may </w:t>
      </w:r>
      <w:r w:rsidR="0032230D" w:rsidRPr="00374CBA">
        <w:rPr>
          <w:rFonts w:ascii="TimesNewRomanPSMT" w:hAnsi="TimesNewRomanPSMT" w:cs="TimesNewRomanPSMT"/>
        </w:rPr>
        <w:t>allow the appeal and set aside the decision on review</w:t>
      </w:r>
      <w:r w:rsidR="00A50C46" w:rsidRPr="00374CBA">
        <w:t>.</w:t>
      </w:r>
    </w:p>
    <w:p w14:paraId="5C4E6030" w14:textId="77777777" w:rsidR="00123344" w:rsidRPr="00374CBA" w:rsidRDefault="00123344" w:rsidP="00123344">
      <w:pPr>
        <w:pStyle w:val="Apara"/>
      </w:pPr>
    </w:p>
    <w:p w14:paraId="45CCF877" w14:textId="77777777" w:rsidR="00A155C1" w:rsidRPr="00374CBA" w:rsidRDefault="00A155C1" w:rsidP="00123344">
      <w:pPr>
        <w:pStyle w:val="Apara"/>
      </w:pPr>
    </w:p>
    <w:p w14:paraId="6364BDB4" w14:textId="77777777" w:rsidR="007C0EE6" w:rsidRPr="00374CBA" w:rsidRDefault="007C0EE6" w:rsidP="00123344">
      <w:pPr>
        <w:pStyle w:val="Apara"/>
      </w:pPr>
    </w:p>
    <w:p w14:paraId="2ACE7F61" w14:textId="77777777" w:rsidR="00BA2C6F" w:rsidRPr="00374CBA" w:rsidRDefault="00F3574C" w:rsidP="005517EB">
      <w:pPr>
        <w:pStyle w:val="BodyTextIndent"/>
        <w:tabs>
          <w:tab w:val="clear" w:pos="993"/>
          <w:tab w:val="left" w:pos="1134"/>
        </w:tabs>
        <w:spacing w:before="240" w:after="120"/>
        <w:ind w:left="709" w:hanging="709"/>
        <w:rPr>
          <w:b/>
          <w:bCs/>
          <w:szCs w:val="20"/>
          <w:lang w:val="en-AU"/>
        </w:rPr>
      </w:pPr>
      <w:r w:rsidRPr="00374CBA">
        <w:rPr>
          <w:b/>
          <w:bCs/>
          <w:szCs w:val="20"/>
          <w:lang w:val="en-AU"/>
        </w:rPr>
        <w:lastRenderedPageBreak/>
        <w:t>8</w:t>
      </w:r>
      <w:r w:rsidR="00BA2C6F" w:rsidRPr="00374CBA">
        <w:rPr>
          <w:b/>
          <w:bCs/>
          <w:szCs w:val="20"/>
          <w:lang w:val="en-AU"/>
        </w:rPr>
        <w:tab/>
      </w:r>
      <w:r w:rsidR="003333B4" w:rsidRPr="00374CBA">
        <w:rPr>
          <w:b/>
          <w:bCs/>
          <w:szCs w:val="20"/>
          <w:lang w:val="en-AU"/>
        </w:rPr>
        <w:t xml:space="preserve">Dealing with </w:t>
      </w:r>
      <w:r w:rsidR="00144AE8" w:rsidRPr="00374CBA">
        <w:rPr>
          <w:b/>
          <w:bCs/>
          <w:szCs w:val="20"/>
          <w:lang w:val="en-AU"/>
        </w:rPr>
        <w:t>an appeal</w:t>
      </w:r>
      <w:r w:rsidR="003333B4" w:rsidRPr="00374CBA">
        <w:rPr>
          <w:b/>
          <w:bCs/>
          <w:szCs w:val="20"/>
          <w:lang w:val="en-AU"/>
        </w:rPr>
        <w:t xml:space="preserve"> </w:t>
      </w:r>
      <w:r w:rsidR="00BA2C6F" w:rsidRPr="00374CBA">
        <w:rPr>
          <w:b/>
          <w:bCs/>
          <w:szCs w:val="20"/>
          <w:lang w:val="en-AU"/>
        </w:rPr>
        <w:t>by consent</w:t>
      </w:r>
      <w:bookmarkEnd w:id="7"/>
    </w:p>
    <w:p w14:paraId="4EF96FAC" w14:textId="77777777" w:rsidR="00144AE8" w:rsidRPr="00374CBA" w:rsidRDefault="00BA2C6F" w:rsidP="00374CBA">
      <w:pPr>
        <w:pStyle w:val="Amain"/>
        <w:numPr>
          <w:ilvl w:val="0"/>
          <w:numId w:val="35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  <w:outlineLvl w:val="3"/>
      </w:pPr>
      <w:r w:rsidRPr="00374CBA">
        <w:t xml:space="preserve">The parties to an appeal may </w:t>
      </w:r>
      <w:r w:rsidR="00123344" w:rsidRPr="00374CBA">
        <w:t>request</w:t>
      </w:r>
      <w:r w:rsidRPr="00374CBA">
        <w:t xml:space="preserve"> that the </w:t>
      </w:r>
      <w:r w:rsidR="00BB70CD" w:rsidRPr="00374CBA">
        <w:t>t</w:t>
      </w:r>
      <w:r w:rsidR="003333B4" w:rsidRPr="00374CBA">
        <w:t xml:space="preserve">ribunal </w:t>
      </w:r>
      <w:r w:rsidR="00144AE8" w:rsidRPr="00374CBA">
        <w:t xml:space="preserve">make </w:t>
      </w:r>
      <w:r w:rsidR="00E04C85" w:rsidRPr="00374CBA">
        <w:t xml:space="preserve">any </w:t>
      </w:r>
      <w:r w:rsidR="00144AE8" w:rsidRPr="00374CBA">
        <w:t xml:space="preserve">orders </w:t>
      </w:r>
      <w:r w:rsidR="00E04C85" w:rsidRPr="00374CBA">
        <w:t xml:space="preserve">agreed </w:t>
      </w:r>
      <w:r w:rsidR="00144AE8" w:rsidRPr="00374CBA">
        <w:t xml:space="preserve">by the parties </w:t>
      </w:r>
      <w:r w:rsidRPr="00374CBA">
        <w:t>by consent.</w:t>
      </w:r>
    </w:p>
    <w:p w14:paraId="523E059B" w14:textId="77777777" w:rsidR="00BA2C6F" w:rsidRPr="00374CBA" w:rsidRDefault="004F145C" w:rsidP="007C0EE6">
      <w:pPr>
        <w:pStyle w:val="Amain"/>
        <w:numPr>
          <w:ilvl w:val="0"/>
          <w:numId w:val="35"/>
        </w:numPr>
        <w:tabs>
          <w:tab w:val="clear" w:pos="500"/>
          <w:tab w:val="clear" w:pos="700"/>
          <w:tab w:val="right" w:pos="709"/>
          <w:tab w:val="left" w:pos="1100"/>
        </w:tabs>
        <w:autoSpaceDE/>
        <w:autoSpaceDN/>
        <w:spacing w:before="140" w:after="0"/>
        <w:ind w:left="709" w:hanging="709"/>
      </w:pPr>
      <w:r w:rsidRPr="00374CBA">
        <w:t xml:space="preserve">The </w:t>
      </w:r>
      <w:r w:rsidR="00BB70CD" w:rsidRPr="00374CBA">
        <w:t>t</w:t>
      </w:r>
      <w:r w:rsidRPr="00374CBA">
        <w:t xml:space="preserve">ribunal may </w:t>
      </w:r>
      <w:r w:rsidR="00144AE8" w:rsidRPr="00374CBA">
        <w:t>make the orders requested by the parties, or any other orders.</w:t>
      </w:r>
    </w:p>
    <w:p w14:paraId="3069E945" w14:textId="77777777" w:rsidR="00EA1FFB" w:rsidRDefault="00EA1FFB" w:rsidP="00374CBA">
      <w:pPr>
        <w:pStyle w:val="Apara"/>
        <w:keepNext/>
        <w:keepLines/>
      </w:pPr>
    </w:p>
    <w:sectPr w:rsidR="00EA1FFB" w:rsidSect="00070A91">
      <w:headerReference w:type="default" r:id="rId14"/>
      <w:headerReference w:type="first" r:id="rId15"/>
      <w:footerReference w:type="first" r:id="rId16"/>
      <w:pgSz w:w="11907" w:h="16839" w:code="9"/>
      <w:pgMar w:top="1440" w:right="1842" w:bottom="1440" w:left="1701" w:header="720" w:footer="720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C05F3" w14:textId="77777777" w:rsidR="006547B0" w:rsidRDefault="006547B0">
      <w:r>
        <w:separator/>
      </w:r>
    </w:p>
  </w:endnote>
  <w:endnote w:type="continuationSeparator" w:id="0">
    <w:p w14:paraId="66301D14" w14:textId="77777777" w:rsidR="006547B0" w:rsidRDefault="0065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0F9B5" w14:textId="77777777" w:rsidR="007115C9" w:rsidRDefault="007115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99F9D" w14:textId="776B39BC" w:rsidR="007115C9" w:rsidRPr="007115C9" w:rsidRDefault="007115C9" w:rsidP="007115C9">
    <w:pPr>
      <w:pStyle w:val="Footer"/>
      <w:jc w:val="center"/>
      <w:rPr>
        <w:sz w:val="14"/>
      </w:rPr>
    </w:pPr>
    <w:r w:rsidRPr="007115C9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8D5E5" w14:textId="1D7975FD" w:rsidR="00070A91" w:rsidRDefault="00070A91" w:rsidP="00070A91">
    <w:pPr>
      <w:pStyle w:val="Footer"/>
    </w:pPr>
    <w:r w:rsidRPr="00070A91">
      <w:t>*Name amended under Legislation Act, s 60</w:t>
    </w:r>
  </w:p>
  <w:p w14:paraId="57B02D5F" w14:textId="1CC973C6" w:rsidR="007115C9" w:rsidRPr="007115C9" w:rsidRDefault="007115C9" w:rsidP="007115C9">
    <w:pPr>
      <w:pStyle w:val="Footer"/>
      <w:jc w:val="center"/>
      <w:rPr>
        <w:sz w:val="14"/>
      </w:rPr>
    </w:pPr>
    <w:r w:rsidRPr="007115C9">
      <w:rPr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E7A0F" w14:textId="6792D416" w:rsidR="00693C5F" w:rsidRPr="007115C9" w:rsidRDefault="007115C9" w:rsidP="007115C9">
    <w:pPr>
      <w:pStyle w:val="Footer"/>
      <w:jc w:val="center"/>
      <w:rPr>
        <w:sz w:val="14"/>
      </w:rPr>
    </w:pPr>
    <w:r w:rsidRPr="007115C9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C0189" w14:textId="77777777" w:rsidR="006547B0" w:rsidRDefault="006547B0">
      <w:r>
        <w:separator/>
      </w:r>
    </w:p>
  </w:footnote>
  <w:footnote w:type="continuationSeparator" w:id="0">
    <w:p w14:paraId="396E3677" w14:textId="77777777" w:rsidR="006547B0" w:rsidRDefault="0065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897FD" w14:textId="77777777" w:rsidR="007115C9" w:rsidRDefault="00711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E2F62" w14:textId="77777777" w:rsidR="007115C9" w:rsidRDefault="007115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230DD" w14:textId="77777777" w:rsidR="007115C9" w:rsidRDefault="007115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ACF08" w14:textId="267B1DC4" w:rsidR="00B376F1" w:rsidRPr="00B84292" w:rsidRDefault="00B84292" w:rsidP="00B84292">
    <w:pPr>
      <w:pStyle w:val="Header"/>
      <w:jc w:val="center"/>
    </w:pPr>
    <w:r w:rsidRPr="00B84292">
      <w:rPr>
        <w:rFonts w:ascii="Arial" w:hAnsi="Arial" w:cs="Arial"/>
        <w:i/>
      </w:rPr>
      <w:t>Racing (Appeals Tribunal) Rules 2019 (No 1)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36600" w14:textId="640E3F4A" w:rsidR="00693C5F" w:rsidRPr="00693C5F" w:rsidRDefault="00693C5F" w:rsidP="00693C5F">
    <w:pPr>
      <w:pStyle w:val="Header"/>
      <w:jc w:val="center"/>
      <w:rPr>
        <w:rFonts w:ascii="Arial" w:hAnsi="Arial" w:cs="Arial"/>
        <w:i/>
      </w:rPr>
    </w:pPr>
    <w:r w:rsidRPr="00693C5F">
      <w:rPr>
        <w:rFonts w:ascii="Arial" w:hAnsi="Arial" w:cs="Arial"/>
        <w:i/>
      </w:rPr>
      <w:t>Racing (Appeals Tribunal) Rules 2019 (No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Times New Roman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FFFFFF83"/>
    <w:multiLevelType w:val="singleLevel"/>
    <w:tmpl w:val="638EB2C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9742EB"/>
    <w:multiLevelType w:val="hybridMultilevel"/>
    <w:tmpl w:val="D2963B04"/>
    <w:lvl w:ilvl="0" w:tplc="034E29B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4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5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6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0DAC2B91"/>
    <w:multiLevelType w:val="hybridMultilevel"/>
    <w:tmpl w:val="79FAEC86"/>
    <w:lvl w:ilvl="0" w:tplc="9E4A041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2865E76"/>
    <w:multiLevelType w:val="hybridMultilevel"/>
    <w:tmpl w:val="ED4043B8"/>
    <w:lvl w:ilvl="0" w:tplc="D04CAEA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0" w15:restartNumberingAfterBreak="0">
    <w:nsid w:val="19C24DE3"/>
    <w:multiLevelType w:val="hybridMultilevel"/>
    <w:tmpl w:val="CF3CE7B0"/>
    <w:lvl w:ilvl="0" w:tplc="412EEC6E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B8EFF12">
      <w:start w:val="1"/>
      <w:numFmt w:val="lowerRoman"/>
      <w:lvlText w:val="(%2)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1ADA4AEE"/>
    <w:multiLevelType w:val="hybridMultilevel"/>
    <w:tmpl w:val="79FAEC86"/>
    <w:lvl w:ilvl="0" w:tplc="9E4A041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 w15:restartNumberingAfterBreak="0">
    <w:nsid w:val="20631BDA"/>
    <w:multiLevelType w:val="hybridMultilevel"/>
    <w:tmpl w:val="79FAEC86"/>
    <w:lvl w:ilvl="0" w:tplc="9E4A041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3733C84"/>
    <w:multiLevelType w:val="multilevel"/>
    <w:tmpl w:val="15C0BA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7D13D11"/>
    <w:multiLevelType w:val="hybridMultilevel"/>
    <w:tmpl w:val="F2DED2B4"/>
    <w:lvl w:ilvl="0" w:tplc="4B882D3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114108"/>
    <w:multiLevelType w:val="hybridMultilevel"/>
    <w:tmpl w:val="F002327E"/>
    <w:lvl w:ilvl="0" w:tplc="AB16FA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69D46156">
      <w:start w:val="3"/>
      <w:numFmt w:val="decimal"/>
      <w:lvlText w:val="%2"/>
      <w:lvlJc w:val="left"/>
      <w:pPr>
        <w:ind w:left="720" w:hanging="36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8" w15:restartNumberingAfterBreak="0">
    <w:nsid w:val="29707044"/>
    <w:multiLevelType w:val="hybridMultilevel"/>
    <w:tmpl w:val="79FAEC86"/>
    <w:lvl w:ilvl="0" w:tplc="9E4A041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C0B553A"/>
    <w:multiLevelType w:val="hybridMultilevel"/>
    <w:tmpl w:val="79FAEC86"/>
    <w:lvl w:ilvl="0" w:tplc="9E4A041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D0D7A1A"/>
    <w:multiLevelType w:val="hybridMultilevel"/>
    <w:tmpl w:val="79FAEC86"/>
    <w:lvl w:ilvl="0" w:tplc="9E4A041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D24733D"/>
    <w:multiLevelType w:val="hybridMultilevel"/>
    <w:tmpl w:val="86BC5BDE"/>
    <w:lvl w:ilvl="0" w:tplc="9E36FB6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25" w15:restartNumberingAfterBreak="0">
    <w:nsid w:val="49C417E3"/>
    <w:multiLevelType w:val="hybridMultilevel"/>
    <w:tmpl w:val="79FAEC86"/>
    <w:lvl w:ilvl="0" w:tplc="9E4A041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AEB5358"/>
    <w:multiLevelType w:val="multilevel"/>
    <w:tmpl w:val="2FC4DC7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BDC05B7"/>
    <w:multiLevelType w:val="hybridMultilevel"/>
    <w:tmpl w:val="CE64754A"/>
    <w:lvl w:ilvl="0" w:tplc="4BB8423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8A616D7"/>
    <w:multiLevelType w:val="hybridMultilevel"/>
    <w:tmpl w:val="F920CA9C"/>
    <w:lvl w:ilvl="0" w:tplc="8876B21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B06854"/>
    <w:multiLevelType w:val="hybridMultilevel"/>
    <w:tmpl w:val="79FAEC86"/>
    <w:lvl w:ilvl="0" w:tplc="9E4A041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C235362"/>
    <w:multiLevelType w:val="hybridMultilevel"/>
    <w:tmpl w:val="B3C88FC0"/>
    <w:lvl w:ilvl="0" w:tplc="2758B89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7AD6B46"/>
    <w:multiLevelType w:val="hybridMultilevel"/>
    <w:tmpl w:val="6534DD60"/>
    <w:lvl w:ilvl="0" w:tplc="B220E2B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A0436F0"/>
    <w:multiLevelType w:val="hybridMultilevel"/>
    <w:tmpl w:val="9C8AE826"/>
    <w:lvl w:ilvl="0" w:tplc="BCA6A9C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4"/>
  </w:num>
  <w:num w:numId="15">
    <w:abstractNumId w:val="10"/>
  </w:num>
  <w:num w:numId="16">
    <w:abstractNumId w:val="26"/>
  </w:num>
  <w:num w:numId="17">
    <w:abstractNumId w:val="15"/>
  </w:num>
  <w:num w:numId="18">
    <w:abstractNumId w:val="33"/>
  </w:num>
  <w:num w:numId="19">
    <w:abstractNumId w:val="19"/>
  </w:num>
  <w:num w:numId="20">
    <w:abstractNumId w:val="17"/>
  </w:num>
  <w:num w:numId="21">
    <w:abstractNumId w:val="8"/>
  </w:num>
  <w:num w:numId="22">
    <w:abstractNumId w:val="21"/>
  </w:num>
  <w:num w:numId="23">
    <w:abstractNumId w:val="35"/>
  </w:num>
  <w:num w:numId="24">
    <w:abstractNumId w:val="29"/>
  </w:num>
  <w:num w:numId="25">
    <w:abstractNumId w:val="27"/>
  </w:num>
  <w:num w:numId="26">
    <w:abstractNumId w:val="16"/>
  </w:num>
  <w:num w:numId="27">
    <w:abstractNumId w:val="34"/>
  </w:num>
  <w:num w:numId="28">
    <w:abstractNumId w:val="2"/>
  </w:num>
  <w:num w:numId="29">
    <w:abstractNumId w:val="25"/>
  </w:num>
  <w:num w:numId="30">
    <w:abstractNumId w:val="14"/>
  </w:num>
  <w:num w:numId="31">
    <w:abstractNumId w:val="30"/>
  </w:num>
  <w:num w:numId="32">
    <w:abstractNumId w:val="7"/>
  </w:num>
  <w:num w:numId="33">
    <w:abstractNumId w:val="18"/>
  </w:num>
  <w:num w:numId="34">
    <w:abstractNumId w:val="20"/>
  </w:num>
  <w:num w:numId="3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FFB"/>
    <w:rsid w:val="00007E0E"/>
    <w:rsid w:val="00031647"/>
    <w:rsid w:val="00070A91"/>
    <w:rsid w:val="000A04AA"/>
    <w:rsid w:val="000C17F3"/>
    <w:rsid w:val="000E315C"/>
    <w:rsid w:val="000F67FD"/>
    <w:rsid w:val="0010796C"/>
    <w:rsid w:val="00113957"/>
    <w:rsid w:val="00123344"/>
    <w:rsid w:val="00144AE8"/>
    <w:rsid w:val="00207717"/>
    <w:rsid w:val="00222D6B"/>
    <w:rsid w:val="00246B5F"/>
    <w:rsid w:val="0032230D"/>
    <w:rsid w:val="003333B4"/>
    <w:rsid w:val="00374CBA"/>
    <w:rsid w:val="00394156"/>
    <w:rsid w:val="003E5E90"/>
    <w:rsid w:val="00425D3C"/>
    <w:rsid w:val="004555D2"/>
    <w:rsid w:val="00463ACE"/>
    <w:rsid w:val="004D0263"/>
    <w:rsid w:val="004D2880"/>
    <w:rsid w:val="004D5C21"/>
    <w:rsid w:val="004F145C"/>
    <w:rsid w:val="004F7C39"/>
    <w:rsid w:val="005517EB"/>
    <w:rsid w:val="005C3F93"/>
    <w:rsid w:val="005E78D4"/>
    <w:rsid w:val="006547B0"/>
    <w:rsid w:val="00662153"/>
    <w:rsid w:val="00693C5F"/>
    <w:rsid w:val="006B1F0E"/>
    <w:rsid w:val="006F2504"/>
    <w:rsid w:val="007115C9"/>
    <w:rsid w:val="00773022"/>
    <w:rsid w:val="00780D1E"/>
    <w:rsid w:val="00782792"/>
    <w:rsid w:val="00795245"/>
    <w:rsid w:val="007C0EE6"/>
    <w:rsid w:val="007D2303"/>
    <w:rsid w:val="007D7799"/>
    <w:rsid w:val="00803082"/>
    <w:rsid w:val="008366F6"/>
    <w:rsid w:val="00856766"/>
    <w:rsid w:val="00894712"/>
    <w:rsid w:val="008E2FCE"/>
    <w:rsid w:val="008E386C"/>
    <w:rsid w:val="009208DA"/>
    <w:rsid w:val="00971676"/>
    <w:rsid w:val="009E4D23"/>
    <w:rsid w:val="00A04237"/>
    <w:rsid w:val="00A155C1"/>
    <w:rsid w:val="00A34EC4"/>
    <w:rsid w:val="00A4447D"/>
    <w:rsid w:val="00A50C46"/>
    <w:rsid w:val="00AA1E9F"/>
    <w:rsid w:val="00AD2C22"/>
    <w:rsid w:val="00AD7F1E"/>
    <w:rsid w:val="00B10512"/>
    <w:rsid w:val="00B376F1"/>
    <w:rsid w:val="00B7536B"/>
    <w:rsid w:val="00B82065"/>
    <w:rsid w:val="00B84292"/>
    <w:rsid w:val="00BA2C6F"/>
    <w:rsid w:val="00BB70CD"/>
    <w:rsid w:val="00C8111A"/>
    <w:rsid w:val="00C93279"/>
    <w:rsid w:val="00CA62DB"/>
    <w:rsid w:val="00D332E0"/>
    <w:rsid w:val="00D36891"/>
    <w:rsid w:val="00D95D1F"/>
    <w:rsid w:val="00DD7BC6"/>
    <w:rsid w:val="00DF2D58"/>
    <w:rsid w:val="00E04C85"/>
    <w:rsid w:val="00E65094"/>
    <w:rsid w:val="00EA1FFB"/>
    <w:rsid w:val="00EB63AC"/>
    <w:rsid w:val="00EC42D3"/>
    <w:rsid w:val="00F2136A"/>
    <w:rsid w:val="00F24E35"/>
    <w:rsid w:val="00F24ED0"/>
    <w:rsid w:val="00F3574C"/>
    <w:rsid w:val="00F45B89"/>
    <w:rsid w:val="00F84C4C"/>
    <w:rsid w:val="00F94EE4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F1D4C2C"/>
  <w14:defaultImageDpi w14:val="0"/>
  <w15:docId w15:val="{514D2072-B218-46FE-8874-C76CCF94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tabs>
        <w:tab w:val="left" w:pos="2880"/>
      </w:tabs>
      <w:autoSpaceDE w:val="0"/>
      <w:autoSpaceDN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4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4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4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4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numPr>
        <w:ilvl w:val="4"/>
        <w:numId w:val="14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numPr>
        <w:ilvl w:val="5"/>
        <w:numId w:val="14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numPr>
        <w:ilvl w:val="6"/>
        <w:numId w:val="14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numPr>
        <w:ilvl w:val="7"/>
        <w:numId w:val="14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Arial" w:hAnsi="Arial" w:cs="Arial"/>
      <w:b/>
      <w:bCs/>
      <w:kern w:val="28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Arial" w:hAnsi="Arial" w:cs="Arial"/>
      <w:b/>
      <w:bCs/>
      <w:i/>
      <w:iCs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Arial" w:hAnsi="Arial" w:cs="Arial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i/>
      <w:i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Arial" w:hAnsi="Arial" w:cs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Arial" w:hAnsi="Arial" w:cs="Arial"/>
      <w:i/>
      <w:iCs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Arial" w:hAnsi="Arial" w:cs="Arial"/>
      <w:b/>
      <w:bCs/>
      <w:i/>
      <w:iCs/>
      <w:sz w:val="18"/>
      <w:szCs w:val="18"/>
      <w:lang w:val="en-US" w:eastAsia="en-US"/>
    </w:rPr>
  </w:style>
  <w:style w:type="paragraph" w:customStyle="1" w:styleId="Norm-5pt">
    <w:name w:val="Norm-5pt"/>
    <w:basedOn w:val="Normal"/>
    <w:uiPriority w:val="99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</w:style>
  <w:style w:type="paragraph" w:customStyle="1" w:styleId="00ClientCover">
    <w:name w:val="00ClientCover"/>
    <w:basedOn w:val="Normal"/>
    <w:uiPriority w:val="99"/>
  </w:style>
  <w:style w:type="paragraph" w:customStyle="1" w:styleId="02Text">
    <w:name w:val="02Text"/>
    <w:basedOn w:val="Normal"/>
    <w:uiPriority w:val="99"/>
  </w:style>
  <w:style w:type="paragraph" w:customStyle="1" w:styleId="BillBasic">
    <w:name w:val="BillBasic"/>
    <w:uiPriority w:val="99"/>
    <w:pPr>
      <w:autoSpaceDE w:val="0"/>
      <w:autoSpaceDN w:val="0"/>
      <w:spacing w:before="80" w:after="60"/>
      <w:jc w:val="both"/>
    </w:pPr>
    <w:rPr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lang w:val="en-US" w:eastAsia="en-US"/>
    </w:rPr>
  </w:style>
  <w:style w:type="paragraph" w:customStyle="1" w:styleId="Billname">
    <w:name w:val="Billname"/>
    <w:basedOn w:val="Normal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pPr>
      <w:ind w:left="700"/>
    </w:pPr>
  </w:style>
  <w:style w:type="paragraph" w:customStyle="1" w:styleId="Apara">
    <w:name w:val="A para"/>
    <w:basedOn w:val="BillBasic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pPr>
      <w:spacing w:before="120" w:after="60"/>
    </w:pPr>
  </w:style>
  <w:style w:type="paragraph" w:customStyle="1" w:styleId="HeaderOdd6">
    <w:name w:val="HeaderOdd6"/>
    <w:basedOn w:val="HeaderEven6"/>
    <w:uiPriority w:val="99"/>
    <w:pPr>
      <w:jc w:val="right"/>
    </w:pPr>
  </w:style>
  <w:style w:type="paragraph" w:customStyle="1" w:styleId="HeaderOdd">
    <w:name w:val="HeaderOdd"/>
    <w:basedOn w:val="HeaderEven"/>
    <w:uiPriority w:val="99"/>
    <w:pPr>
      <w:jc w:val="right"/>
    </w:pPr>
  </w:style>
  <w:style w:type="paragraph" w:customStyle="1" w:styleId="BillNo">
    <w:name w:val="BillNo"/>
    <w:basedOn w:val="BillBasicHeading"/>
    <w:uiPriority w:val="99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uiPriority w:val="99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pPr>
      <w:spacing w:before="60"/>
    </w:pPr>
  </w:style>
  <w:style w:type="paragraph" w:customStyle="1" w:styleId="Comment">
    <w:name w:val="Comment"/>
    <w:basedOn w:val="BillBasic"/>
    <w:uiPriority w:val="99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ched-Form">
    <w:name w:val="Sched-Form"/>
    <w:basedOn w:val="BillBasicHeading"/>
    <w:next w:val="Schclauseheading"/>
    <w:uiPriority w:val="99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Schclauseheading">
    <w:name w:val="Sch clause heading"/>
    <w:basedOn w:val="BillBasic"/>
    <w:next w:val="Amain"/>
    <w:uiPriority w:val="99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ShadedSchClause">
    <w:name w:val="Shaded Sch Clause"/>
    <w:basedOn w:val="Schclauseheading"/>
    <w:next w:val="direction"/>
    <w:uiPriority w:val="99"/>
    <w:pPr>
      <w:shd w:val="pct15" w:color="auto" w:fill="auto"/>
      <w:outlineLvl w:val="3"/>
    </w:pPr>
  </w:style>
  <w:style w:type="paragraph" w:customStyle="1" w:styleId="direction">
    <w:name w:val="direction"/>
    <w:basedOn w:val="BillBasic"/>
    <w:next w:val="Amainreturn"/>
    <w:uiPriority w:val="99"/>
    <w:pPr>
      <w:ind w:left="700"/>
    </w:pPr>
    <w:rPr>
      <w:i/>
      <w:iCs/>
    </w:rPr>
  </w:style>
  <w:style w:type="paragraph" w:customStyle="1" w:styleId="Dict-Heading">
    <w:name w:val="Dict-Heading"/>
    <w:basedOn w:val="BillBasicHeading"/>
    <w:next w:val="ref"/>
    <w:uiPriority w:val="99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">
    <w:name w:val="Endnote2"/>
    <w:basedOn w:val="Normal"/>
    <w:uiPriority w:val="99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EndNote20">
    <w:name w:val="EndNote2"/>
    <w:basedOn w:val="BillBasic"/>
    <w:uiPriority w:val="99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</w:style>
  <w:style w:type="paragraph" w:customStyle="1" w:styleId="IH4SubDiv">
    <w:name w:val="I H4 SubDiv"/>
    <w:basedOn w:val="BillBasicHeading"/>
    <w:next w:val="IH5Sec"/>
    <w:uiPriority w:val="99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Pr>
      <w:rFonts w:ascii="Arial" w:hAnsi="Arial" w:cs="Times New Roman"/>
      <w:sz w:val="16"/>
    </w:rPr>
  </w:style>
  <w:style w:type="paragraph" w:customStyle="1" w:styleId="PageBreak">
    <w:name w:val="PageBreak"/>
    <w:basedOn w:val="Normal"/>
    <w:uiPriority w:val="99"/>
    <w:rPr>
      <w:sz w:val="4"/>
      <w:szCs w:val="4"/>
    </w:rPr>
  </w:style>
  <w:style w:type="paragraph" w:customStyle="1" w:styleId="04Dictionary">
    <w:name w:val="04Dictionary"/>
    <w:basedOn w:val="Normal"/>
    <w:uiPriority w:val="99"/>
  </w:style>
  <w:style w:type="paragraph" w:customStyle="1" w:styleId="N-line1">
    <w:name w:val="N-line1"/>
    <w:basedOn w:val="BillBasic"/>
    <w:uiPriority w:val="99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</w:style>
  <w:style w:type="paragraph" w:customStyle="1" w:styleId="03Schedule">
    <w:name w:val="03Schedule"/>
    <w:basedOn w:val="Normal"/>
    <w:uiPriority w:val="99"/>
  </w:style>
  <w:style w:type="paragraph" w:customStyle="1" w:styleId="ISched-heading">
    <w:name w:val="I Sched-heading"/>
    <w:basedOn w:val="BillBasicHeading"/>
    <w:next w:val="ref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</w:style>
  <w:style w:type="paragraph" w:customStyle="1" w:styleId="Isubpara">
    <w:name w:val="I subpara"/>
    <w:basedOn w:val="Asubpara"/>
    <w:uiPriority w:val="99"/>
  </w:style>
  <w:style w:type="paragraph" w:customStyle="1" w:styleId="Isubsubpara">
    <w:name w:val="I subsubpara"/>
    <w:basedOn w:val="Asubsubpara"/>
    <w:uiPriority w:val="99"/>
  </w:style>
  <w:style w:type="character" w:customStyle="1" w:styleId="CharSectNo">
    <w:name w:val="CharSectNo"/>
  </w:style>
  <w:style w:type="character" w:customStyle="1" w:styleId="CharDivNo">
    <w:name w:val="CharDivNo"/>
    <w:uiPriority w:val="99"/>
  </w:style>
  <w:style w:type="character" w:customStyle="1" w:styleId="CharDivText">
    <w:name w:val="CharDivText"/>
    <w:uiPriority w:val="99"/>
  </w:style>
  <w:style w:type="character" w:customStyle="1" w:styleId="CharPartNo">
    <w:name w:val="CharPartNo"/>
    <w:uiPriority w:val="99"/>
  </w:style>
  <w:style w:type="paragraph" w:customStyle="1" w:styleId="Placeholder">
    <w:name w:val="Placeholder"/>
    <w:basedOn w:val="Normal"/>
    <w:uiPriority w:val="99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Times New Roman"/>
      <w:sz w:val="20"/>
      <w:lang w:val="en-US" w:eastAsia="en-US"/>
    </w:rPr>
  </w:style>
  <w:style w:type="character" w:customStyle="1" w:styleId="CharChapNo">
    <w:name w:val="CharChapNo"/>
    <w:uiPriority w:val="99"/>
  </w:style>
  <w:style w:type="character" w:customStyle="1" w:styleId="CharChapText">
    <w:name w:val="CharChapText"/>
    <w:uiPriority w:val="99"/>
  </w:style>
  <w:style w:type="character" w:customStyle="1" w:styleId="CharPartText">
    <w:name w:val="CharPartText"/>
    <w:uiPriority w:val="99"/>
  </w:style>
  <w:style w:type="paragraph" w:styleId="TOC1">
    <w:name w:val="toc 1"/>
    <w:basedOn w:val="Normal"/>
    <w:next w:val="Normal"/>
    <w:autoRedefine/>
    <w:uiPriority w:val="99"/>
    <w:semiHidden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semiHidden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semiHidden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semiHidden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lang w:val="en-US" w:eastAsia="en-US"/>
    </w:rPr>
  </w:style>
  <w:style w:type="paragraph" w:customStyle="1" w:styleId="ActNo">
    <w:name w:val="ActNo"/>
    <w:basedOn w:val="BillBasicHeading"/>
    <w:uiPriority w:val="99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pPr>
      <w:ind w:left="0" w:firstLine="0"/>
    </w:pPr>
  </w:style>
  <w:style w:type="paragraph" w:customStyle="1" w:styleId="Minister">
    <w:name w:val="Minister"/>
    <w:basedOn w:val="BillBasic"/>
    <w:uiPriority w:val="99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pPr>
      <w:tabs>
        <w:tab w:val="left" w:pos="4320"/>
      </w:tabs>
    </w:pPr>
  </w:style>
  <w:style w:type="paragraph" w:customStyle="1" w:styleId="madeunder">
    <w:name w:val="made under"/>
    <w:basedOn w:val="BillBasic"/>
    <w:uiPriority w:val="99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Pr>
      <w:i/>
      <w:iCs/>
    </w:rPr>
  </w:style>
  <w:style w:type="paragraph" w:customStyle="1" w:styleId="00SigningPage">
    <w:name w:val="00SigningPage"/>
    <w:basedOn w:val="Normal"/>
    <w:uiPriority w:val="99"/>
  </w:style>
  <w:style w:type="paragraph" w:customStyle="1" w:styleId="Letterhead">
    <w:name w:val="Letterhead"/>
    <w:uiPriority w:val="99"/>
    <w:pPr>
      <w:widowControl w:val="0"/>
      <w:autoSpaceDE w:val="0"/>
      <w:autoSpaceDN w:val="0"/>
      <w:spacing w:after="180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Sched-name">
    <w:name w:val="Sched-name"/>
    <w:basedOn w:val="Normal"/>
    <w:uiPriority w:val="99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pPr>
      <w:spacing w:before="240"/>
    </w:pPr>
  </w:style>
  <w:style w:type="paragraph" w:styleId="TOC7">
    <w:name w:val="toc 7"/>
    <w:basedOn w:val="TOC2"/>
    <w:next w:val="Normal"/>
    <w:autoRedefine/>
    <w:uiPriority w:val="99"/>
    <w:semiHidden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libri Light" w:hAnsi="Calibri Light" w:cs="Times New Roman"/>
      <w:b/>
      <w:kern w:val="28"/>
      <w:sz w:val="32"/>
      <w:lang w:val="en-US" w:eastAsia="en-US"/>
    </w:rPr>
  </w:style>
  <w:style w:type="paragraph" w:customStyle="1" w:styleId="LongTitle">
    <w:name w:val="LongTitle"/>
    <w:basedOn w:val="BillBasic"/>
    <w:uiPriority w:val="99"/>
    <w:pPr>
      <w:spacing w:before="240"/>
    </w:pPr>
  </w:style>
  <w:style w:type="paragraph" w:customStyle="1" w:styleId="Aparareturn">
    <w:name w:val="A para return"/>
    <w:basedOn w:val="BillBasic"/>
    <w:uiPriority w:val="99"/>
    <w:pPr>
      <w:ind w:left="1200"/>
    </w:pPr>
  </w:style>
  <w:style w:type="paragraph" w:customStyle="1" w:styleId="Asubparareturn">
    <w:name w:val="A subpara return"/>
    <w:basedOn w:val="BillBasic"/>
    <w:uiPriority w:val="99"/>
    <w:pPr>
      <w:ind w:left="1740"/>
    </w:pPr>
  </w:style>
  <w:style w:type="paragraph" w:customStyle="1" w:styleId="CommentNum">
    <w:name w:val="CommentNum"/>
    <w:basedOn w:val="Comment"/>
    <w:uiPriority w:val="99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semiHidden/>
  </w:style>
  <w:style w:type="paragraph" w:customStyle="1" w:styleId="Judges">
    <w:name w:val="Judges"/>
    <w:basedOn w:val="Minister"/>
    <w:uiPriority w:val="99"/>
    <w:pPr>
      <w:spacing w:before="180" w:after="40"/>
    </w:pPr>
  </w:style>
  <w:style w:type="paragraph" w:customStyle="1" w:styleId="BillFor">
    <w:name w:val="BillFor"/>
    <w:basedOn w:val="BillBasicHeading"/>
    <w:uiPriority w:val="99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pPr>
      <w:spacing w:before="600"/>
    </w:pPr>
    <w:rPr>
      <w:rFonts w:ascii="Arial" w:hAnsi="Arial" w:cs="Arial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uiPriority w:val="99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pPr>
      <w:ind w:left="2260" w:hanging="520"/>
    </w:pPr>
  </w:style>
  <w:style w:type="paragraph" w:customStyle="1" w:styleId="aDefpara">
    <w:name w:val="aDef para"/>
    <w:basedOn w:val="Apara"/>
    <w:uiPriority w:val="99"/>
  </w:style>
  <w:style w:type="paragraph" w:customStyle="1" w:styleId="aDefsubpara">
    <w:name w:val="aDef subpara"/>
    <w:basedOn w:val="Asubpara"/>
    <w:uiPriority w:val="99"/>
  </w:style>
  <w:style w:type="paragraph" w:customStyle="1" w:styleId="Idefpara">
    <w:name w:val="I def para"/>
    <w:basedOn w:val="Ipara"/>
    <w:uiPriority w:val="99"/>
    <w:pPr>
      <w:outlineLvl w:val="9"/>
    </w:pPr>
  </w:style>
  <w:style w:type="paragraph" w:customStyle="1" w:styleId="Idefsubpara">
    <w:name w:val="I def subpara"/>
    <w:basedOn w:val="Isubpara"/>
    <w:uiPriority w:val="99"/>
    <w:pPr>
      <w:outlineLvl w:val="9"/>
    </w:pPr>
  </w:style>
  <w:style w:type="paragraph" w:customStyle="1" w:styleId="Notified">
    <w:name w:val="Notified"/>
    <w:basedOn w:val="BillBasic"/>
    <w:uiPriority w:val="99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</w:style>
  <w:style w:type="paragraph" w:customStyle="1" w:styleId="IDict-Heading">
    <w:name w:val="I Dict-Heading"/>
    <w:basedOn w:val="BillBasicHeading"/>
    <w:uiPriority w:val="99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4"/>
      <w:lang w:val="en-US" w:eastAsia="en-US"/>
    </w:rPr>
  </w:style>
  <w:style w:type="paragraph" w:customStyle="1" w:styleId="aNoteBullet">
    <w:name w:val="aNoteBullet"/>
    <w:basedOn w:val="aNote"/>
    <w:uiPriority w:val="99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pPr>
      <w:jc w:val="right"/>
    </w:pPr>
  </w:style>
  <w:style w:type="paragraph" w:customStyle="1" w:styleId="aExamPara">
    <w:name w:val="aExamPara"/>
    <w:basedOn w:val="aExam"/>
    <w:uiPriority w:val="99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pPr>
      <w:ind w:left="1100"/>
    </w:pPr>
  </w:style>
  <w:style w:type="paragraph" w:customStyle="1" w:styleId="aExamBullet">
    <w:name w:val="aExamBullet"/>
    <w:basedOn w:val="aExam"/>
    <w:uiPriority w:val="99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pPr>
      <w:keepNext/>
    </w:pPr>
    <w:rPr>
      <w:b/>
      <w:bCs/>
      <w:sz w:val="18"/>
      <w:szCs w:val="18"/>
    </w:rPr>
  </w:style>
  <w:style w:type="paragraph" w:customStyle="1" w:styleId="aExplanText">
    <w:name w:val="aExplanText"/>
    <w:basedOn w:val="BillBasic"/>
    <w:uiPriority w:val="99"/>
    <w:rPr>
      <w:sz w:val="20"/>
      <w:szCs w:val="20"/>
    </w:rPr>
  </w:style>
  <w:style w:type="paragraph" w:customStyle="1" w:styleId="aParaNotePara">
    <w:name w:val="aParaNotePara"/>
    <w:basedOn w:val="aNotePara"/>
    <w:uiPriority w:val="99"/>
    <w:pPr>
      <w:tabs>
        <w:tab w:val="clear" w:pos="1740"/>
        <w:tab w:val="clear" w:pos="2000"/>
        <w:tab w:val="right" w:pos="2244"/>
      </w:tabs>
      <w:ind w:left="2520" w:hanging="1320"/>
    </w:pPr>
  </w:style>
  <w:style w:type="character" w:customStyle="1" w:styleId="charBold">
    <w:name w:val="charBold"/>
    <w:uiPriority w:val="99"/>
    <w:rPr>
      <w:b/>
    </w:rPr>
  </w:style>
  <w:style w:type="character" w:customStyle="1" w:styleId="charBoldItals">
    <w:name w:val="charBoldItals"/>
    <w:uiPriority w:val="99"/>
    <w:rPr>
      <w:b/>
      <w:i/>
    </w:rPr>
  </w:style>
  <w:style w:type="character" w:customStyle="1" w:styleId="charItals">
    <w:name w:val="charItals"/>
    <w:uiPriority w:val="99"/>
    <w:rPr>
      <w:i/>
    </w:rPr>
  </w:style>
  <w:style w:type="character" w:customStyle="1" w:styleId="charUnderline">
    <w:name w:val="charUnderline"/>
    <w:uiPriority w:val="99"/>
    <w:rPr>
      <w:u w:val="single"/>
    </w:rPr>
  </w:style>
  <w:style w:type="paragraph" w:customStyle="1" w:styleId="TableHd">
    <w:name w:val="TableHd"/>
    <w:basedOn w:val="Normal"/>
    <w:uiPriority w:val="99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Actdetails">
    <w:name w:val="Act details"/>
    <w:basedOn w:val="Normal"/>
    <w:uiPriority w:val="99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CoverInForce">
    <w:name w:val="CoverInForce"/>
    <w:basedOn w:val="BillBasicHeading"/>
    <w:uiPriority w:val="99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="Calibri Light" w:hAnsi="Calibri Light" w:cs="Times New Roman"/>
      <w:sz w:val="24"/>
      <w:lang w:val="en-US" w:eastAsia="en-US"/>
    </w:rPr>
  </w:style>
  <w:style w:type="paragraph" w:customStyle="1" w:styleId="CoverActName">
    <w:name w:val="CoverActName"/>
    <w:basedOn w:val="BillBasicHeading"/>
    <w:uiPriority w:val="99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Pr>
      <w:b w:val="0"/>
      <w:bCs w:val="0"/>
    </w:rPr>
  </w:style>
  <w:style w:type="paragraph" w:customStyle="1" w:styleId="Asamby">
    <w:name w:val="As am by"/>
    <w:basedOn w:val="Normal"/>
    <w:next w:val="NewAct"/>
    <w:uiPriority w:val="99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pPr>
      <w:tabs>
        <w:tab w:val="right" w:pos="1032"/>
      </w:tabs>
      <w:spacing w:after="0"/>
      <w:ind w:left="1440" w:hanging="1440"/>
    </w:pPr>
  </w:style>
  <w:style w:type="paragraph" w:customStyle="1" w:styleId="EndNoteTextEPS">
    <w:name w:val="EndNoteTextEPS"/>
    <w:basedOn w:val="Normal"/>
    <w:uiPriority w:val="99"/>
    <w:pPr>
      <w:spacing w:before="20" w:after="40"/>
      <w:ind w:left="700"/>
      <w:jc w:val="both"/>
    </w:pPr>
    <w:rPr>
      <w:sz w:val="20"/>
      <w:szCs w:val="20"/>
    </w:rPr>
  </w:style>
  <w:style w:type="paragraph" w:customStyle="1" w:styleId="NewReg">
    <w:name w:val="New Reg"/>
    <w:basedOn w:val="NewAct"/>
    <w:next w:val="Actdetails"/>
    <w:uiPriority w:val="99"/>
  </w:style>
  <w:style w:type="paragraph" w:customStyle="1" w:styleId="Endnote3">
    <w:name w:val="Endnote3"/>
    <w:basedOn w:val="Normal"/>
    <w:uiPriority w:val="99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uiPriority w:val="99"/>
  </w:style>
  <w:style w:type="character" w:customStyle="1" w:styleId="charTableText">
    <w:name w:val="charTableText"/>
    <w:uiPriority w:val="99"/>
  </w:style>
  <w:style w:type="paragraph" w:customStyle="1" w:styleId="TLegEntries">
    <w:name w:val="TLegEntries"/>
    <w:basedOn w:val="Normal"/>
    <w:uiPriority w:val="99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Pr>
      <w:color w:val="000000"/>
    </w:rPr>
  </w:style>
  <w:style w:type="paragraph" w:customStyle="1" w:styleId="AH5SecSymb">
    <w:name w:val="A H5 Sec Symb"/>
    <w:basedOn w:val="AH5Sec"/>
    <w:uiPriority w:val="99"/>
    <w:pPr>
      <w:tabs>
        <w:tab w:val="left" w:pos="0"/>
      </w:tabs>
      <w:ind w:hanging="1180"/>
    </w:pPr>
  </w:style>
  <w:style w:type="character" w:customStyle="1" w:styleId="charSymb">
    <w:name w:val="charSymb"/>
    <w:uiPriority w:val="99"/>
    <w:rPr>
      <w:rFonts w:ascii="Arial" w:hAnsi="Arial"/>
      <w:sz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</w:style>
  <w:style w:type="paragraph" w:customStyle="1" w:styleId="Billcrest0">
    <w:name w:val="Billcrest"/>
    <w:basedOn w:val="Normal"/>
    <w:uiPriority w:val="99"/>
    <w:pPr>
      <w:spacing w:after="60"/>
      <w:ind w:left="2800"/>
    </w:pPr>
    <w:rPr>
      <w:rFonts w:ascii="ACTCrest" w:hAnsi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</w:style>
  <w:style w:type="paragraph" w:customStyle="1" w:styleId="AFHdg">
    <w:name w:val="AFHdg"/>
    <w:basedOn w:val="BillBasicHeading"/>
    <w:uiPriority w:val="99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pPr>
      <w:ind w:left="1400"/>
    </w:pPr>
  </w:style>
  <w:style w:type="paragraph" w:customStyle="1" w:styleId="Modparareturn">
    <w:name w:val="Mod para return"/>
    <w:basedOn w:val="Aparareturn"/>
    <w:uiPriority w:val="99"/>
    <w:pPr>
      <w:ind w:left="1900"/>
    </w:pPr>
  </w:style>
  <w:style w:type="paragraph" w:customStyle="1" w:styleId="Modsubparareturn">
    <w:name w:val="Mod subpara return"/>
    <w:basedOn w:val="Asubparareturn"/>
    <w:uiPriority w:val="99"/>
    <w:pPr>
      <w:ind w:left="2640"/>
    </w:pPr>
  </w:style>
  <w:style w:type="paragraph" w:customStyle="1" w:styleId="Modref">
    <w:name w:val="Mod ref"/>
    <w:basedOn w:val="ref"/>
    <w:uiPriority w:val="99"/>
    <w:pPr>
      <w:ind w:left="700"/>
    </w:pPr>
  </w:style>
  <w:style w:type="paragraph" w:customStyle="1" w:styleId="ModaNote">
    <w:name w:val="Mod a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pPr>
      <w:ind w:left="0" w:firstLine="0"/>
    </w:pPr>
  </w:style>
  <w:style w:type="paragraph" w:customStyle="1" w:styleId="Status">
    <w:name w:val="Status"/>
    <w:basedOn w:val="Normal"/>
    <w:uiPriority w:val="99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clear" w:pos="2880"/>
        <w:tab w:val="left" w:pos="993"/>
      </w:tabs>
      <w:ind w:left="993" w:hanging="993"/>
    </w:pPr>
    <w:rPr>
      <w:rFonts w:ascii="Arial" w:hAnsi="Arial" w:cs="Arial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1702" w:hanging="568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pPr>
      <w:tabs>
        <w:tab w:val="clear" w:pos="2880"/>
      </w:tabs>
      <w:ind w:left="1843" w:hanging="709"/>
    </w:pPr>
    <w:rPr>
      <w:rFonts w:ascii="Arial" w:hAnsi="Arial" w:cs="Arial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lang w:val="en-US" w:eastAsia="en-US"/>
    </w:rPr>
  </w:style>
  <w:style w:type="paragraph" w:customStyle="1" w:styleId="DefaultText">
    <w:name w:val="Default Text"/>
    <w:basedOn w:val="Normal"/>
    <w:uiPriority w:val="99"/>
    <w:pPr>
      <w:tabs>
        <w:tab w:val="clear" w:pos="2880"/>
      </w:tabs>
    </w:pPr>
    <w:rPr>
      <w:rFonts w:ascii="TimesNewRomanPS" w:hAnsi="TimesNewRomanPS"/>
      <w:noProof/>
    </w:rPr>
  </w:style>
  <w:style w:type="paragraph" w:styleId="Index1">
    <w:name w:val="index 1"/>
    <w:basedOn w:val="Normal"/>
    <w:next w:val="Normal"/>
    <w:autoRedefine/>
    <w:uiPriority w:val="99"/>
    <w:semiHidden/>
    <w:pPr>
      <w:tabs>
        <w:tab w:val="clear" w:pos="2880"/>
      </w:tabs>
      <w:ind w:left="1276" w:hanging="567"/>
    </w:pPr>
    <w:rPr>
      <w:rFonts w:ascii="Arial" w:hAnsi="Arial" w:cs="Arial"/>
    </w:rPr>
  </w:style>
  <w:style w:type="paragraph" w:styleId="ListBullet2">
    <w:name w:val="List Bullet 2"/>
    <w:basedOn w:val="Normal"/>
    <w:autoRedefine/>
    <w:uiPriority w:val="99"/>
    <w:pPr>
      <w:numPr>
        <w:numId w:val="2"/>
      </w:numPr>
      <w:tabs>
        <w:tab w:val="clear" w:pos="2880"/>
        <w:tab w:val="num" w:pos="540"/>
        <w:tab w:val="num" w:pos="1247"/>
      </w:tabs>
      <w:autoSpaceDE/>
      <w:autoSpaceDN/>
    </w:pPr>
    <w:rPr>
      <w:sz w:val="20"/>
      <w:szCs w:val="20"/>
      <w:lang w:val="en-AU"/>
    </w:rPr>
  </w:style>
  <w:style w:type="paragraph" w:styleId="IndexHeading">
    <w:name w:val="index heading"/>
    <w:basedOn w:val="Normal"/>
    <w:next w:val="Index1"/>
    <w:uiPriority w:val="99"/>
    <w:semiHidden/>
    <w:pPr>
      <w:tabs>
        <w:tab w:val="clear" w:pos="2880"/>
      </w:tabs>
      <w:autoSpaceDE/>
      <w:autoSpaceDN/>
    </w:pPr>
    <w:rPr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08DA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A44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39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91F08-9D0D-44F6-8E23-E3BF0CB8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713</Words>
  <Characters>3415</Characters>
  <Application>Microsoft Office Word</Application>
  <DocSecurity>0</DocSecurity>
  <Lines>107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of the Tribunal - Instrument</vt:lpstr>
    </vt:vector>
  </TitlesOfParts>
  <Manager>Gavan desmond</Manager>
  <Company>Gambling and Racing Commission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the Tribunal - Instrument</dc:title>
  <dc:subject>Bond</dc:subject>
  <dc:creator>ACT Government</dc:creator>
  <cp:keywords>2</cp:keywords>
  <dc:description/>
  <cp:lastModifiedBy>PCODCS</cp:lastModifiedBy>
  <cp:revision>4</cp:revision>
  <cp:lastPrinted>2018-12-13T07:35:00Z</cp:lastPrinted>
  <dcterms:created xsi:type="dcterms:W3CDTF">2019-10-02T06:25:00Z</dcterms:created>
  <dcterms:modified xsi:type="dcterms:W3CDTF">2019-10-02T06:25:00Z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Unauthorised version prepared by ACT Parliamentary Counsel's Office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CHECKEDOUTFROMJMS">
    <vt:lpwstr/>
  </property>
  <property fmtid="{D5CDD505-2E9C-101B-9397-08002B2CF9AE}" pid="6" name="DMSID">
    <vt:lpwstr>1100384</vt:lpwstr>
  </property>
  <property fmtid="{D5CDD505-2E9C-101B-9397-08002B2CF9AE}" pid="7" name="JMSREQUIREDCHECKIN">
    <vt:lpwstr/>
  </property>
</Properties>
</file>