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99" w:rsidRDefault="00312A58" w:rsidP="004A154F">
      <w:pPr>
        <w:pStyle w:val="ACTheader"/>
      </w:pPr>
      <w:bookmarkStart w:id="0" w:name="_GoBack"/>
      <w:bookmarkEnd w:id="0"/>
      <w:smartTag w:uri="urn:schemas-microsoft-com:office:smarttags" w:element="place">
        <w:smartTag w:uri="urn:schemas-microsoft-com:office:smarttags" w:element="State">
          <w:r>
            <w:t>Australian Capital Territory</w:t>
          </w:r>
        </w:smartTag>
      </w:smartTag>
    </w:p>
    <w:p w:rsidR="00312A58" w:rsidRPr="00431150" w:rsidRDefault="00431150" w:rsidP="004A154F">
      <w:pPr>
        <w:pStyle w:val="InstrumentTitle"/>
      </w:pPr>
      <w:r>
        <w:t xml:space="preserve">Public </w:t>
      </w:r>
      <w:r w:rsidR="008E2E6A">
        <w:t xml:space="preserve">Unleased Land </w:t>
      </w:r>
      <w:r w:rsidR="00172C13">
        <w:t>(</w:t>
      </w:r>
      <w:r w:rsidR="0097755D">
        <w:t>Movable Signs) Code of Practice</w:t>
      </w:r>
      <w:r w:rsidR="00172C13">
        <w:t xml:space="preserve"> </w:t>
      </w:r>
      <w:r w:rsidR="0097755D">
        <w:t>201</w:t>
      </w:r>
      <w:r w:rsidR="00EE24C8">
        <w:t>9</w:t>
      </w:r>
      <w:r w:rsidR="00A56499">
        <w:t xml:space="preserve"> (No 1)</w:t>
      </w:r>
    </w:p>
    <w:p w:rsidR="00326668" w:rsidRPr="00431150" w:rsidRDefault="0097755D" w:rsidP="004A154F">
      <w:pPr>
        <w:pStyle w:val="NIorDInumber"/>
      </w:pPr>
      <w:r>
        <w:t>Disallowable</w:t>
      </w:r>
      <w:r w:rsidR="000410C7" w:rsidRPr="00431150">
        <w:t xml:space="preserve"> </w:t>
      </w:r>
      <w:r w:rsidR="00A71E5F" w:rsidRPr="00431150">
        <w:t xml:space="preserve">Instrument </w:t>
      </w:r>
      <w:r>
        <w:t>D</w:t>
      </w:r>
      <w:r w:rsidR="00326668" w:rsidRPr="00431150">
        <w:t>I20</w:t>
      </w:r>
      <w:r w:rsidR="00431150" w:rsidRPr="00431150">
        <w:t>1</w:t>
      </w:r>
      <w:r w:rsidR="00EE24C8">
        <w:t>9</w:t>
      </w:r>
      <w:r w:rsidR="0013181F">
        <w:rPr>
          <w:rFonts w:ascii="Arial" w:hAnsi="Arial"/>
        </w:rPr>
        <w:t>—</w:t>
      </w:r>
      <w:r w:rsidR="000F24AE">
        <w:rPr>
          <w:rFonts w:ascii="Arial" w:hAnsi="Arial"/>
        </w:rPr>
        <w:t>41</w:t>
      </w:r>
    </w:p>
    <w:p w:rsidR="00312A58" w:rsidRPr="00431150" w:rsidRDefault="00312A58" w:rsidP="004A154F">
      <w:pPr>
        <w:pStyle w:val="madeunderthe"/>
      </w:pPr>
      <w:r w:rsidRPr="00431150">
        <w:t>made under</w:t>
      </w:r>
      <w:r w:rsidR="00326668" w:rsidRPr="00431150">
        <w:t xml:space="preserve"> the</w:t>
      </w:r>
    </w:p>
    <w:p w:rsidR="00312A58" w:rsidRPr="00326668" w:rsidRDefault="00431150" w:rsidP="00A71E5F">
      <w:pPr>
        <w:pStyle w:val="Actsourceofpower"/>
      </w:pPr>
      <w:r>
        <w:rPr>
          <w:i/>
        </w:rPr>
        <w:t xml:space="preserve">Public </w:t>
      </w:r>
      <w:r w:rsidR="00172C13">
        <w:rPr>
          <w:i/>
        </w:rPr>
        <w:t>Unleased Land Act 2013</w:t>
      </w:r>
      <w:r w:rsidRPr="00172C13">
        <w:t>,</w:t>
      </w:r>
      <w:r>
        <w:rPr>
          <w:i/>
        </w:rPr>
        <w:t xml:space="preserve"> </w:t>
      </w:r>
      <w:r w:rsidR="00A71E5F" w:rsidRPr="00431150">
        <w:t xml:space="preserve">section </w:t>
      </w:r>
      <w:r w:rsidR="0097755D">
        <w:t>27</w:t>
      </w:r>
      <w:r w:rsidR="00312A58" w:rsidRPr="00431150">
        <w:t xml:space="preserve"> </w:t>
      </w:r>
      <w:r w:rsidR="00A71E5F" w:rsidRPr="00431150">
        <w:t>(</w:t>
      </w:r>
      <w:r w:rsidR="0097755D">
        <w:t>Movable signs code of practice</w:t>
      </w:r>
      <w:r w:rsidR="00A71E5F" w:rsidRPr="00431150">
        <w:t>)</w:t>
      </w:r>
    </w:p>
    <w:p w:rsidR="00326668" w:rsidRDefault="00326668" w:rsidP="00326668">
      <w:pPr>
        <w:pStyle w:val="N-line3"/>
        <w:pBdr>
          <w:bottom w:val="none" w:sz="0" w:space="0" w:color="auto"/>
        </w:pBdr>
      </w:pPr>
    </w:p>
    <w:p w:rsidR="00326668" w:rsidRDefault="00326668" w:rsidP="00326668">
      <w:pPr>
        <w:pStyle w:val="N-line3"/>
        <w:pBdr>
          <w:top w:val="single" w:sz="12" w:space="1" w:color="auto"/>
          <w:bottom w:val="none" w:sz="0" w:space="0" w:color="auto"/>
        </w:pBdr>
      </w:pPr>
    </w:p>
    <w:p w:rsidR="00326668" w:rsidRPr="004A154F" w:rsidRDefault="00326668" w:rsidP="004A154F">
      <w:pPr>
        <w:pStyle w:val="Heading1"/>
      </w:pPr>
      <w:r w:rsidRPr="004A154F">
        <w:t>1</w:t>
      </w:r>
      <w:r w:rsidRPr="004A154F">
        <w:tab/>
        <w:t>Name of instrument</w:t>
      </w:r>
    </w:p>
    <w:p w:rsidR="00326668" w:rsidRPr="00DF0844" w:rsidRDefault="00326668" w:rsidP="00FC4619">
      <w:pPr>
        <w:pStyle w:val="sectiontext"/>
      </w:pPr>
      <w:r w:rsidRPr="00326668">
        <w:t xml:space="preserve">This instrument is the </w:t>
      </w:r>
      <w:r w:rsidR="00172C13" w:rsidRPr="00DF0844">
        <w:rPr>
          <w:i/>
        </w:rPr>
        <w:t>Public Unleased Land (</w:t>
      </w:r>
      <w:r w:rsidR="0097755D" w:rsidRPr="00DF0844">
        <w:rPr>
          <w:i/>
        </w:rPr>
        <w:t>Movable Signs)</w:t>
      </w:r>
      <w:r w:rsidR="00172C13" w:rsidRPr="00DF0844">
        <w:rPr>
          <w:i/>
        </w:rPr>
        <w:t xml:space="preserve"> </w:t>
      </w:r>
      <w:r w:rsidR="0097755D" w:rsidRPr="00DF0844">
        <w:rPr>
          <w:i/>
        </w:rPr>
        <w:t>Code of Practice 201</w:t>
      </w:r>
      <w:r w:rsidR="00EE24C8" w:rsidRPr="00DF0844">
        <w:rPr>
          <w:i/>
        </w:rPr>
        <w:t>9</w:t>
      </w:r>
      <w:r w:rsidR="00A52D65" w:rsidRPr="00DF0844">
        <w:rPr>
          <w:i/>
        </w:rPr>
        <w:t xml:space="preserve"> (No 1)</w:t>
      </w:r>
      <w:r w:rsidR="00DC6872" w:rsidRPr="00DF0844">
        <w:rPr>
          <w:i/>
        </w:rPr>
        <w:t>.</w:t>
      </w:r>
    </w:p>
    <w:p w:rsidR="00326668" w:rsidRPr="004A154F" w:rsidRDefault="00326668" w:rsidP="004A154F">
      <w:pPr>
        <w:pStyle w:val="Heading1"/>
      </w:pPr>
      <w:r w:rsidRPr="004A154F">
        <w:t>2</w:t>
      </w:r>
      <w:r w:rsidRPr="004A154F">
        <w:tab/>
        <w:t>Commencement</w:t>
      </w:r>
    </w:p>
    <w:p w:rsidR="00326668" w:rsidRDefault="00326668" w:rsidP="00A71E5F">
      <w:pPr>
        <w:pStyle w:val="sectiontext"/>
      </w:pPr>
      <w:r w:rsidRPr="00326668">
        <w:t xml:space="preserve">This instrument </w:t>
      </w:r>
      <w:r w:rsidR="00EE24C8">
        <w:t>commences on the day after its notification day</w:t>
      </w:r>
      <w:r w:rsidR="00DC6872">
        <w:t>.</w:t>
      </w:r>
    </w:p>
    <w:p w:rsidR="00326668" w:rsidRPr="004A154F" w:rsidRDefault="004A154F" w:rsidP="004A154F">
      <w:pPr>
        <w:pStyle w:val="Heading1"/>
      </w:pPr>
      <w:r w:rsidRPr="004A154F">
        <w:t>3</w:t>
      </w:r>
      <w:r w:rsidRPr="004A154F">
        <w:tab/>
      </w:r>
      <w:r w:rsidR="00F23877">
        <w:t>Approval</w:t>
      </w:r>
    </w:p>
    <w:p w:rsidR="00FC4619" w:rsidRDefault="00172C13" w:rsidP="00DF0844">
      <w:pPr>
        <w:pStyle w:val="sectiontext"/>
      </w:pPr>
      <w:r w:rsidRPr="00DF0844">
        <w:t>I app</w:t>
      </w:r>
      <w:r w:rsidR="00F23877" w:rsidRPr="00DF0844">
        <w:t xml:space="preserve">rove the code of practice about movable signs on public unleased land in </w:t>
      </w:r>
      <w:r w:rsidRPr="00DF0844">
        <w:t xml:space="preserve">the </w:t>
      </w:r>
      <w:r w:rsidR="00F23877" w:rsidRPr="00DF0844">
        <w:t xml:space="preserve">attached </w:t>
      </w:r>
      <w:r w:rsidRPr="00DF0844">
        <w:t>schedule</w:t>
      </w:r>
      <w:r w:rsidR="00F23877" w:rsidRPr="00DF0844">
        <w:t>.</w:t>
      </w:r>
    </w:p>
    <w:p w:rsidR="0013181F" w:rsidRPr="0013181F" w:rsidRDefault="0013181F" w:rsidP="0013181F">
      <w:pPr>
        <w:pStyle w:val="Heading1"/>
      </w:pPr>
      <w:r w:rsidRPr="0013181F">
        <w:t>4</w:t>
      </w:r>
      <w:r w:rsidRPr="0013181F">
        <w:tab/>
        <w:t>Revocation</w:t>
      </w:r>
    </w:p>
    <w:p w:rsidR="0013181F" w:rsidRPr="00854757" w:rsidRDefault="0013181F" w:rsidP="0013181F">
      <w:pPr>
        <w:pStyle w:val="sectiontext"/>
      </w:pPr>
      <w:r w:rsidRPr="00DF0844">
        <w:t xml:space="preserve">This instrument revokes the </w:t>
      </w:r>
      <w:r w:rsidRPr="0013181F">
        <w:rPr>
          <w:i/>
        </w:rPr>
        <w:t>Public Unleased Land (Movable Signs) Code of Practice 2013 (No 1)</w:t>
      </w:r>
      <w:r w:rsidRPr="00DF0844">
        <w:t xml:space="preserve"> (DI2013-144).</w:t>
      </w:r>
    </w:p>
    <w:p w:rsidR="00FC4619" w:rsidRDefault="00FC4619" w:rsidP="00FC4619">
      <w:pPr>
        <w:pStyle w:val="sectiontext"/>
      </w:pPr>
    </w:p>
    <w:p w:rsidR="008E2E6A" w:rsidRDefault="008E2E6A" w:rsidP="00FC4619">
      <w:pPr>
        <w:pStyle w:val="sectiontext"/>
      </w:pPr>
    </w:p>
    <w:p w:rsidR="00CD1924" w:rsidRDefault="00CD1924" w:rsidP="00FC4619">
      <w:pPr>
        <w:pStyle w:val="sectiontext"/>
      </w:pPr>
    </w:p>
    <w:p w:rsidR="005E7BC6" w:rsidRDefault="005E7BC6" w:rsidP="00FC4619">
      <w:pPr>
        <w:pStyle w:val="sectiontext"/>
      </w:pPr>
    </w:p>
    <w:p w:rsidR="00FC4619" w:rsidRPr="00431150" w:rsidRDefault="006C6B56" w:rsidP="00FC4619">
      <w:pPr>
        <w:pStyle w:val="signatureblock"/>
      </w:pPr>
      <w:r>
        <w:t>Chris Steel MLA</w:t>
      </w:r>
    </w:p>
    <w:p w:rsidR="00431150" w:rsidRPr="00431150" w:rsidRDefault="00F23877" w:rsidP="00431150">
      <w:pPr>
        <w:rPr>
          <w:rFonts w:ascii="Times New Roman" w:hAnsi="Times New Roman" w:cs="Times New Roman"/>
        </w:rPr>
      </w:pPr>
      <w:r>
        <w:rPr>
          <w:rFonts w:ascii="Times New Roman" w:hAnsi="Times New Roman" w:cs="Times New Roman"/>
        </w:rPr>
        <w:t xml:space="preserve">Minister for </w:t>
      </w:r>
      <w:r w:rsidR="006C6B56">
        <w:rPr>
          <w:rFonts w:ascii="Times New Roman" w:hAnsi="Times New Roman" w:cs="Times New Roman"/>
        </w:rPr>
        <w:t>City Services</w:t>
      </w:r>
    </w:p>
    <w:p w:rsidR="00FB34F3" w:rsidRDefault="00FB34F3" w:rsidP="00DC6872">
      <w:pPr>
        <w:pStyle w:val="signatureblock"/>
      </w:pPr>
    </w:p>
    <w:p w:rsidR="00DC6872" w:rsidRDefault="000F24AE" w:rsidP="000F24AE">
      <w:pPr>
        <w:pStyle w:val="signatureblock"/>
      </w:pPr>
      <w:r>
        <w:t xml:space="preserve">7 </w:t>
      </w:r>
      <w:r w:rsidR="002A06B2">
        <w:t>April</w:t>
      </w:r>
      <w:r w:rsidR="00EE24C8">
        <w:t xml:space="preserve"> 2019</w:t>
      </w:r>
    </w:p>
    <w:p w:rsidR="00EF2F06" w:rsidRDefault="00EF2F06">
      <w:r>
        <w:br w:type="page"/>
      </w:r>
    </w:p>
    <w:p w:rsidR="00EE24C8" w:rsidRDefault="00EE24C8" w:rsidP="00EF2F06">
      <w:pPr>
        <w:pStyle w:val="Header"/>
        <w:jc w:val="center"/>
        <w:rPr>
          <w:b/>
          <w:bCs/>
          <w:caps/>
        </w:rPr>
      </w:pPr>
    </w:p>
    <w:p w:rsidR="00EF2F06" w:rsidRDefault="00EF2F06" w:rsidP="00EF2F06">
      <w:pPr>
        <w:pStyle w:val="Header"/>
        <w:jc w:val="center"/>
        <w:rPr>
          <w:b/>
          <w:bCs/>
          <w:caps/>
        </w:rPr>
      </w:pPr>
      <w:r>
        <w:rPr>
          <w:b/>
          <w:bCs/>
          <w:caps/>
        </w:rPr>
        <w:t>Code of Practice</w:t>
      </w:r>
    </w:p>
    <w:p w:rsidR="00EF2F06" w:rsidRDefault="00EF2F06" w:rsidP="00EF2F06">
      <w:pPr>
        <w:pStyle w:val="Header"/>
        <w:jc w:val="center"/>
        <w:rPr>
          <w:b/>
          <w:bCs/>
          <w:caps/>
        </w:rPr>
      </w:pPr>
      <w:r>
        <w:rPr>
          <w:b/>
          <w:bCs/>
          <w:caps/>
        </w:rPr>
        <w:t>for the Placement of Movable Signs in Public Places</w:t>
      </w:r>
    </w:p>
    <w:p w:rsidR="00EF2F06" w:rsidRDefault="00EF2F06" w:rsidP="00EF2F06">
      <w:pPr>
        <w:pStyle w:val="Header"/>
        <w:jc w:val="both"/>
      </w:pPr>
    </w:p>
    <w:p w:rsidR="00EF2F06" w:rsidRDefault="00EF2F06" w:rsidP="00EF2F06">
      <w:pPr>
        <w:pStyle w:val="Header"/>
        <w:numPr>
          <w:ilvl w:val="0"/>
          <w:numId w:val="21"/>
        </w:numPr>
        <w:jc w:val="both"/>
        <w:rPr>
          <w:b/>
          <w:bCs/>
        </w:rPr>
      </w:pPr>
      <w:r>
        <w:rPr>
          <w:b/>
          <w:bCs/>
        </w:rPr>
        <w:t>Interpretation</w:t>
      </w:r>
    </w:p>
    <w:p w:rsidR="00EF2F06" w:rsidRDefault="00EF2F06" w:rsidP="00EF2F06">
      <w:pPr>
        <w:pStyle w:val="Header"/>
        <w:jc w:val="both"/>
        <w:rPr>
          <w:sz w:val="22"/>
          <w:szCs w:val="22"/>
        </w:rPr>
      </w:pPr>
    </w:p>
    <w:p w:rsidR="00EF2F06" w:rsidRDefault="00EF2F06" w:rsidP="00EF2F06">
      <w:pPr>
        <w:pStyle w:val="Header"/>
        <w:jc w:val="both"/>
      </w:pPr>
      <w:r>
        <w:t>In this Code, unless the contrary intention appears–</w:t>
      </w:r>
    </w:p>
    <w:p w:rsidR="00EF2F06" w:rsidRDefault="00EF2F06" w:rsidP="00EF2F06">
      <w:pPr>
        <w:pStyle w:val="Header"/>
        <w:jc w:val="both"/>
      </w:pPr>
    </w:p>
    <w:p w:rsidR="00EF2F06" w:rsidRDefault="00EF2F06" w:rsidP="00EF2F06">
      <w:pPr>
        <w:pStyle w:val="Header"/>
        <w:jc w:val="both"/>
      </w:pPr>
      <w:r>
        <w:t>“arcade directory sign” means a fixed sign located outside an arcade entry that lists businesses within the arcade;</w:t>
      </w:r>
    </w:p>
    <w:p w:rsidR="00EF2F06" w:rsidRDefault="00EF2F06" w:rsidP="00EF2F06">
      <w:pPr>
        <w:pStyle w:val="Header"/>
        <w:jc w:val="both"/>
      </w:pPr>
    </w:p>
    <w:p w:rsidR="00EF2F06" w:rsidRDefault="00EF2F06" w:rsidP="00EF2F06">
      <w:pPr>
        <w:pStyle w:val="Header"/>
        <w:jc w:val="both"/>
      </w:pPr>
      <w:r>
        <w:t>“business signs” means movable advertising signs placed by businesses;</w:t>
      </w:r>
    </w:p>
    <w:p w:rsidR="00EF2F06" w:rsidRDefault="00EF2F06" w:rsidP="00EF2F06">
      <w:pPr>
        <w:pStyle w:val="Header"/>
        <w:jc w:val="both"/>
      </w:pPr>
    </w:p>
    <w:p w:rsidR="00EF2F06" w:rsidRDefault="00EF2F06" w:rsidP="00EF2F06">
      <w:pPr>
        <w:pStyle w:val="Header"/>
        <w:jc w:val="both"/>
      </w:pPr>
      <w:r>
        <w:t>“community signs” means movable signs placed by charities, schools and community groups to advertise temporary events;</w:t>
      </w:r>
    </w:p>
    <w:p w:rsidR="00EF2F06" w:rsidRDefault="00EF2F06" w:rsidP="00EF2F06">
      <w:pPr>
        <w:pStyle w:val="Header"/>
        <w:ind w:firstLine="720"/>
        <w:jc w:val="both"/>
      </w:pPr>
    </w:p>
    <w:p w:rsidR="00EF2F06" w:rsidRDefault="00EF2F06" w:rsidP="00EF2F06">
      <w:pPr>
        <w:pStyle w:val="Header"/>
        <w:jc w:val="both"/>
      </w:pPr>
      <w:r>
        <w:t xml:space="preserve">“electoral advertising signs” means movable signs containing any printed electoral matter to which any of the following provisions apply:  section 292 of the </w:t>
      </w:r>
      <w:r>
        <w:rPr>
          <w:i/>
          <w:iCs/>
        </w:rPr>
        <w:t>Electoral Act 1992</w:t>
      </w:r>
      <w:r>
        <w:t xml:space="preserve">, section 292 of the </w:t>
      </w:r>
      <w:r>
        <w:rPr>
          <w:i/>
          <w:iCs/>
        </w:rPr>
        <w:t>Electoral Act 1992</w:t>
      </w:r>
      <w:r>
        <w:t xml:space="preserve"> as applied by section 17 of the </w:t>
      </w:r>
      <w:r>
        <w:rPr>
          <w:i/>
          <w:iCs/>
        </w:rPr>
        <w:t>Referendum (Machinery Provisions) Act 1994</w:t>
      </w:r>
      <w:r>
        <w:t xml:space="preserve">, section 328 of the </w:t>
      </w:r>
      <w:r>
        <w:rPr>
          <w:i/>
          <w:iCs/>
        </w:rPr>
        <w:t>Commonwealth Electoral Act 1918</w:t>
      </w:r>
      <w:r>
        <w:t xml:space="preserve"> (Cwlth) or section 121 of the </w:t>
      </w:r>
      <w:r>
        <w:rPr>
          <w:i/>
          <w:iCs/>
        </w:rPr>
        <w:t xml:space="preserve">Referendum (Machinery Provisions) Act 1984 </w:t>
      </w:r>
      <w:r w:rsidRPr="00B92F9C">
        <w:rPr>
          <w:iCs/>
        </w:rPr>
        <w:t>(Cwlth)</w:t>
      </w:r>
      <w:r>
        <w:t>;</w:t>
      </w:r>
    </w:p>
    <w:p w:rsidR="00EF2F06" w:rsidRDefault="00EF2F06" w:rsidP="00EF2F06">
      <w:pPr>
        <w:pStyle w:val="Header"/>
        <w:jc w:val="both"/>
      </w:pPr>
    </w:p>
    <w:p w:rsidR="00EF2F06" w:rsidRDefault="00EF2F06" w:rsidP="00EF2F06">
      <w:pPr>
        <w:pStyle w:val="Header"/>
        <w:jc w:val="both"/>
      </w:pPr>
      <w:r>
        <w:t>“person” includes any business, charity, school, community group or political party or candidate;</w:t>
      </w:r>
    </w:p>
    <w:p w:rsidR="00EF2F06" w:rsidRDefault="00EF2F06" w:rsidP="00EF2F06">
      <w:pPr>
        <w:pStyle w:val="Header"/>
        <w:jc w:val="both"/>
      </w:pPr>
    </w:p>
    <w:p w:rsidR="00EF2F06" w:rsidRDefault="00EF2F06" w:rsidP="00EF2F06">
      <w:pPr>
        <w:pStyle w:val="Header"/>
        <w:jc w:val="both"/>
      </w:pPr>
      <w:r>
        <w:t>“public place” means any place that is unleased Territory Land, which the public are entitled to use or which is open to, or used by, the public and includes every public road;</w:t>
      </w:r>
    </w:p>
    <w:p w:rsidR="00EF2F06" w:rsidRDefault="00EF2F06" w:rsidP="00EF2F06">
      <w:pPr>
        <w:pStyle w:val="Header"/>
        <w:ind w:firstLine="720"/>
        <w:jc w:val="both"/>
      </w:pPr>
    </w:p>
    <w:p w:rsidR="00EF2F06" w:rsidRDefault="00EF2F06" w:rsidP="00EF2F06">
      <w:pPr>
        <w:pStyle w:val="Header"/>
        <w:jc w:val="both"/>
      </w:pPr>
      <w:r>
        <w:t>“real estate signs” means movable signs placed by real estate agents to advertise properties which are for sale and/or open for exhibition;</w:t>
      </w:r>
    </w:p>
    <w:p w:rsidR="00EF2F06" w:rsidRDefault="00EF2F06" w:rsidP="00EF2F06">
      <w:pPr>
        <w:pStyle w:val="Header"/>
        <w:ind w:left="720"/>
        <w:jc w:val="both"/>
      </w:pPr>
    </w:p>
    <w:p w:rsidR="00EF2F06" w:rsidRDefault="00EF2F06" w:rsidP="00EF2F06">
      <w:pPr>
        <w:pStyle w:val="Header"/>
        <w:jc w:val="both"/>
      </w:pPr>
      <w:r>
        <w:t>“sign” includes a notice and an advertisement.</w:t>
      </w:r>
    </w:p>
    <w:p w:rsidR="00EF2F06" w:rsidRDefault="00EF2F06" w:rsidP="00EF2F06">
      <w:pPr>
        <w:pStyle w:val="Header"/>
        <w:jc w:val="both"/>
      </w:pPr>
    </w:p>
    <w:p w:rsidR="00EF2F06" w:rsidRDefault="00EF2F06" w:rsidP="00EF2F06">
      <w:pPr>
        <w:pStyle w:val="Header"/>
        <w:numPr>
          <w:ilvl w:val="0"/>
          <w:numId w:val="21"/>
        </w:numPr>
        <w:jc w:val="both"/>
        <w:rPr>
          <w:b/>
          <w:bCs/>
          <w:sz w:val="22"/>
          <w:szCs w:val="22"/>
        </w:rPr>
      </w:pPr>
      <w:r>
        <w:rPr>
          <w:b/>
          <w:bCs/>
        </w:rPr>
        <w:t>Application of code</w:t>
      </w:r>
    </w:p>
    <w:p w:rsidR="00EF2F06" w:rsidRDefault="00EF2F06" w:rsidP="00EF2F06">
      <w:pPr>
        <w:pStyle w:val="Header"/>
        <w:jc w:val="both"/>
        <w:rPr>
          <w:sz w:val="22"/>
          <w:szCs w:val="22"/>
        </w:rPr>
      </w:pPr>
    </w:p>
    <w:p w:rsidR="00EF2F06" w:rsidRDefault="00EF2F06" w:rsidP="00EF2F06">
      <w:pPr>
        <w:pStyle w:val="Header"/>
        <w:numPr>
          <w:ilvl w:val="0"/>
          <w:numId w:val="11"/>
        </w:numPr>
        <w:jc w:val="both"/>
      </w:pPr>
      <w:r>
        <w:t xml:space="preserve">This Code of Practice is established by the </w:t>
      </w:r>
      <w:r>
        <w:rPr>
          <w:i/>
          <w:iCs/>
        </w:rPr>
        <w:t>Public Unleased Land Act 2013</w:t>
      </w:r>
      <w:r>
        <w:t xml:space="preserve"> (the Act) and applies to movable signs including but not restricted to:</w:t>
      </w:r>
    </w:p>
    <w:p w:rsidR="00EF2F06" w:rsidRDefault="00EF2F06" w:rsidP="00EF2F06">
      <w:pPr>
        <w:pStyle w:val="Header"/>
        <w:ind w:left="720"/>
        <w:jc w:val="both"/>
      </w:pPr>
    </w:p>
    <w:p w:rsidR="00EF2F06" w:rsidRDefault="00EF2F06" w:rsidP="00EF2F06">
      <w:pPr>
        <w:pStyle w:val="Header"/>
        <w:numPr>
          <w:ilvl w:val="0"/>
          <w:numId w:val="12"/>
        </w:numPr>
        <w:jc w:val="both"/>
      </w:pPr>
      <w:r>
        <w:t>business signs;</w:t>
      </w:r>
    </w:p>
    <w:p w:rsidR="00EF2F06" w:rsidRDefault="00EF2F06" w:rsidP="00EF2F06">
      <w:pPr>
        <w:pStyle w:val="Header"/>
        <w:ind w:left="720"/>
        <w:jc w:val="both"/>
      </w:pPr>
    </w:p>
    <w:p w:rsidR="00EF2F06" w:rsidRDefault="00EF2F06" w:rsidP="00EF2F06">
      <w:pPr>
        <w:pStyle w:val="Header"/>
        <w:numPr>
          <w:ilvl w:val="0"/>
          <w:numId w:val="12"/>
        </w:numPr>
        <w:jc w:val="both"/>
      </w:pPr>
      <w:r>
        <w:t>real estate signs;</w:t>
      </w:r>
    </w:p>
    <w:p w:rsidR="00EF2F06" w:rsidRDefault="00EF2F06" w:rsidP="00EF2F06">
      <w:pPr>
        <w:pStyle w:val="Header"/>
        <w:jc w:val="both"/>
      </w:pPr>
    </w:p>
    <w:p w:rsidR="00EF2F06" w:rsidRDefault="00EF2F06" w:rsidP="00EF2F06">
      <w:pPr>
        <w:pStyle w:val="Header"/>
        <w:numPr>
          <w:ilvl w:val="0"/>
          <w:numId w:val="12"/>
        </w:numPr>
        <w:jc w:val="both"/>
      </w:pPr>
      <w:r>
        <w:t>community signs; and</w:t>
      </w:r>
    </w:p>
    <w:p w:rsidR="00EF2F06" w:rsidRDefault="00EF2F06" w:rsidP="00EF2F06">
      <w:pPr>
        <w:pStyle w:val="Header"/>
        <w:jc w:val="both"/>
      </w:pPr>
    </w:p>
    <w:p w:rsidR="00EF2F06" w:rsidRDefault="00EF2F06" w:rsidP="00EF2F06">
      <w:pPr>
        <w:pStyle w:val="Header"/>
        <w:numPr>
          <w:ilvl w:val="0"/>
          <w:numId w:val="12"/>
        </w:numPr>
        <w:jc w:val="both"/>
      </w:pPr>
      <w:r>
        <w:t>electoral advertising signs.</w:t>
      </w:r>
    </w:p>
    <w:p w:rsidR="00EF2F06" w:rsidRDefault="00EF2F06" w:rsidP="00EF2F06">
      <w:pPr>
        <w:pStyle w:val="Header"/>
        <w:jc w:val="both"/>
      </w:pPr>
    </w:p>
    <w:p w:rsidR="00EF2F06" w:rsidRDefault="00EF2F06" w:rsidP="00EF2F06">
      <w:pPr>
        <w:pStyle w:val="Header"/>
        <w:numPr>
          <w:ilvl w:val="0"/>
          <w:numId w:val="11"/>
        </w:numPr>
        <w:jc w:val="both"/>
      </w:pPr>
      <w:r>
        <w:t>It is an offence to, without reasonable excuse, place or keep a movable sign in a public place other than in accordance with this Code of Practice.</w:t>
      </w:r>
    </w:p>
    <w:p w:rsidR="00EF2F06" w:rsidRDefault="00EF2F06" w:rsidP="00EF2F06">
      <w:pPr>
        <w:pStyle w:val="Header"/>
        <w:jc w:val="both"/>
      </w:pPr>
    </w:p>
    <w:p w:rsidR="00EF2F06" w:rsidRDefault="00EF2F06" w:rsidP="00EF2F06">
      <w:pPr>
        <w:pStyle w:val="Header"/>
        <w:keepNext/>
        <w:numPr>
          <w:ilvl w:val="0"/>
          <w:numId w:val="21"/>
        </w:numPr>
        <w:ind w:left="357" w:hanging="357"/>
        <w:jc w:val="both"/>
        <w:rPr>
          <w:b/>
          <w:bCs/>
        </w:rPr>
      </w:pPr>
      <w:r>
        <w:rPr>
          <w:b/>
          <w:bCs/>
        </w:rPr>
        <w:t>Movable sign construction and safety aspects</w:t>
      </w:r>
    </w:p>
    <w:p w:rsidR="00EF2F06" w:rsidRDefault="00EF2F06" w:rsidP="00EF2F06">
      <w:pPr>
        <w:pStyle w:val="Header"/>
        <w:keepNext/>
        <w:jc w:val="both"/>
        <w:rPr>
          <w:sz w:val="22"/>
          <w:szCs w:val="22"/>
        </w:rPr>
      </w:pPr>
    </w:p>
    <w:p w:rsidR="00EF2F06" w:rsidRDefault="00EF2F06" w:rsidP="00EF2F06">
      <w:pPr>
        <w:pStyle w:val="Header"/>
        <w:numPr>
          <w:ilvl w:val="0"/>
          <w:numId w:val="13"/>
        </w:numPr>
        <w:jc w:val="both"/>
      </w:pPr>
      <w:r>
        <w:t>All movable signs must have maximum enveloping dimensions, including framework or supporting wooden stake(s), of 900mm x 1200mm.</w:t>
      </w:r>
    </w:p>
    <w:p w:rsidR="00EF2F06" w:rsidRDefault="00EF2F06" w:rsidP="00EF2F06">
      <w:pPr>
        <w:pStyle w:val="Header"/>
        <w:jc w:val="both"/>
      </w:pPr>
    </w:p>
    <w:p w:rsidR="00EF2F06" w:rsidRDefault="00EF2F06" w:rsidP="00EF2F06">
      <w:pPr>
        <w:pStyle w:val="Header"/>
        <w:numPr>
          <w:ilvl w:val="0"/>
          <w:numId w:val="13"/>
        </w:numPr>
        <w:jc w:val="both"/>
      </w:pPr>
      <w:r>
        <w:t>Business signs must be an A-frame construction.</w:t>
      </w:r>
    </w:p>
    <w:p w:rsidR="00EF2F06" w:rsidRDefault="00EF2F06" w:rsidP="00EF2F06">
      <w:pPr>
        <w:pStyle w:val="Header"/>
        <w:jc w:val="both"/>
      </w:pPr>
    </w:p>
    <w:p w:rsidR="00EF2F06" w:rsidRDefault="00EF2F06" w:rsidP="00EF2F06">
      <w:pPr>
        <w:pStyle w:val="Header"/>
        <w:numPr>
          <w:ilvl w:val="0"/>
          <w:numId w:val="13"/>
        </w:numPr>
        <w:jc w:val="both"/>
      </w:pPr>
      <w:r>
        <w:t>Real estate signs, community signs and electoral advertising signs may be either A-frame construction or in the form of a board mounted on to one or more wooden stakes driven into the ground and must not exceed a dimension of 900mm x 1200mm.</w:t>
      </w:r>
    </w:p>
    <w:p w:rsidR="00EF2F06" w:rsidRDefault="00EF2F06" w:rsidP="00EF2F06">
      <w:pPr>
        <w:pStyle w:val="Header"/>
        <w:jc w:val="both"/>
      </w:pPr>
    </w:p>
    <w:p w:rsidR="00EF2F06" w:rsidRDefault="00EF2F06" w:rsidP="00EF2F06">
      <w:pPr>
        <w:pStyle w:val="Header"/>
        <w:numPr>
          <w:ilvl w:val="0"/>
          <w:numId w:val="13"/>
        </w:numPr>
        <w:jc w:val="both"/>
      </w:pPr>
      <w:r>
        <w:t>All movable signs must be constructed to be stable in windy conditions and not require support from any other object.</w:t>
      </w:r>
    </w:p>
    <w:p w:rsidR="00EF2F06" w:rsidRDefault="00EF2F06" w:rsidP="00EF2F06">
      <w:pPr>
        <w:pStyle w:val="Header"/>
        <w:jc w:val="both"/>
      </w:pPr>
    </w:p>
    <w:p w:rsidR="00EF2F06" w:rsidRDefault="00EF2F06" w:rsidP="00EF2F06">
      <w:pPr>
        <w:pStyle w:val="Header"/>
        <w:numPr>
          <w:ilvl w:val="0"/>
          <w:numId w:val="13"/>
        </w:numPr>
        <w:jc w:val="both"/>
      </w:pPr>
      <w:r>
        <w:t>Movable signs may be of any shape but must have smooth edges and no protrusions, which could be a danger to the public.</w:t>
      </w:r>
    </w:p>
    <w:p w:rsidR="00EF2F06" w:rsidRDefault="00EF2F06" w:rsidP="00EF2F06">
      <w:pPr>
        <w:pStyle w:val="Header"/>
        <w:jc w:val="both"/>
      </w:pPr>
    </w:p>
    <w:p w:rsidR="00EF2F06" w:rsidRDefault="00EF2F06" w:rsidP="00EF2F06">
      <w:pPr>
        <w:pStyle w:val="Header"/>
        <w:numPr>
          <w:ilvl w:val="0"/>
          <w:numId w:val="13"/>
        </w:numPr>
        <w:jc w:val="both"/>
      </w:pPr>
      <w:r>
        <w:t>Sheet metal is not to be used in construction of movable signs mounted on stakes.</w:t>
      </w:r>
    </w:p>
    <w:p w:rsidR="00EF2F06" w:rsidRDefault="00EF2F06" w:rsidP="00EF2F06">
      <w:pPr>
        <w:pStyle w:val="ListParagraph"/>
      </w:pPr>
    </w:p>
    <w:p w:rsidR="00EF2F06" w:rsidRDefault="00EF2F06" w:rsidP="00EF2F06">
      <w:pPr>
        <w:pStyle w:val="Header"/>
        <w:numPr>
          <w:ilvl w:val="0"/>
          <w:numId w:val="13"/>
        </w:numPr>
        <w:jc w:val="both"/>
      </w:pPr>
      <w:r>
        <w:t>A self adhesive sign is not a moveable sign and is not included in this code.</w:t>
      </w:r>
    </w:p>
    <w:p w:rsidR="00EF2F06" w:rsidRDefault="00EF2F06" w:rsidP="00EF2F06">
      <w:pPr>
        <w:pStyle w:val="Header"/>
        <w:jc w:val="both"/>
        <w:rPr>
          <w:sz w:val="22"/>
          <w:szCs w:val="22"/>
        </w:rPr>
      </w:pPr>
    </w:p>
    <w:p w:rsidR="00EF2F06" w:rsidRDefault="00EF2F06" w:rsidP="00EF2F06">
      <w:pPr>
        <w:pStyle w:val="Header"/>
        <w:numPr>
          <w:ilvl w:val="0"/>
          <w:numId w:val="21"/>
        </w:numPr>
        <w:jc w:val="both"/>
        <w:rPr>
          <w:b/>
          <w:bCs/>
        </w:rPr>
      </w:pPr>
      <w:r>
        <w:rPr>
          <w:b/>
          <w:bCs/>
        </w:rPr>
        <w:t>Content of movable signs</w:t>
      </w:r>
    </w:p>
    <w:p w:rsidR="00EF2F06" w:rsidRDefault="00EF2F06" w:rsidP="00EF2F06">
      <w:pPr>
        <w:pStyle w:val="Header"/>
        <w:jc w:val="both"/>
        <w:rPr>
          <w:sz w:val="22"/>
          <w:szCs w:val="22"/>
        </w:rPr>
      </w:pPr>
    </w:p>
    <w:p w:rsidR="00EF2F06" w:rsidRDefault="00EF2F06" w:rsidP="00EF2F06">
      <w:pPr>
        <w:pStyle w:val="Header"/>
        <w:numPr>
          <w:ilvl w:val="0"/>
          <w:numId w:val="14"/>
        </w:numPr>
        <w:jc w:val="both"/>
      </w:pPr>
      <w:r>
        <w:t>Movable signs must not display words or images likely to cause offence to a reasonable adult to the extent that the movable sign should not be displayed in a public place.</w:t>
      </w:r>
    </w:p>
    <w:p w:rsidR="00EF2F06" w:rsidRDefault="00EF2F06" w:rsidP="00EF2F06">
      <w:pPr>
        <w:pStyle w:val="Header"/>
        <w:jc w:val="both"/>
      </w:pPr>
    </w:p>
    <w:p w:rsidR="00EF2F06" w:rsidRDefault="00EF2F06" w:rsidP="00EF2F06">
      <w:pPr>
        <w:pStyle w:val="Header"/>
        <w:numPr>
          <w:ilvl w:val="0"/>
          <w:numId w:val="14"/>
        </w:numPr>
        <w:jc w:val="both"/>
      </w:pPr>
      <w:r>
        <w:t>The name of the business, estate agency, charity, school or community group responsible for placing the movable sign must be displayed on the movable sign for identification.</w:t>
      </w:r>
    </w:p>
    <w:p w:rsidR="00EF2F06" w:rsidRDefault="00EF2F06" w:rsidP="00EF2F06">
      <w:pPr>
        <w:pStyle w:val="Header"/>
        <w:jc w:val="both"/>
      </w:pPr>
    </w:p>
    <w:p w:rsidR="00EF2F06" w:rsidRDefault="00EF2F06" w:rsidP="00EF2F06">
      <w:pPr>
        <w:pStyle w:val="Header"/>
        <w:numPr>
          <w:ilvl w:val="0"/>
          <w:numId w:val="14"/>
        </w:numPr>
        <w:jc w:val="both"/>
      </w:pPr>
      <w:r>
        <w:t>Electoral advertising signs must comply with the requirements of any of the following provisions:</w:t>
      </w:r>
    </w:p>
    <w:p w:rsidR="00EF2F06" w:rsidRDefault="00EF2F06" w:rsidP="00EF2F06">
      <w:pPr>
        <w:pStyle w:val="Header"/>
        <w:jc w:val="both"/>
      </w:pPr>
    </w:p>
    <w:p w:rsidR="00EF2F06" w:rsidRDefault="00EF2F06" w:rsidP="00EF2F06">
      <w:pPr>
        <w:pStyle w:val="Header"/>
        <w:numPr>
          <w:ilvl w:val="0"/>
          <w:numId w:val="23"/>
        </w:numPr>
        <w:jc w:val="both"/>
      </w:pPr>
      <w:r>
        <w:t xml:space="preserve">section 292 of the </w:t>
      </w:r>
      <w:r>
        <w:rPr>
          <w:i/>
          <w:iCs/>
        </w:rPr>
        <w:t>Electoral Act 1992</w:t>
      </w:r>
      <w:r>
        <w:t>;</w:t>
      </w:r>
    </w:p>
    <w:p w:rsidR="00EF2F06" w:rsidRDefault="00EF2F06" w:rsidP="00EF2F06">
      <w:pPr>
        <w:pStyle w:val="Header"/>
        <w:numPr>
          <w:ilvl w:val="0"/>
          <w:numId w:val="23"/>
        </w:numPr>
        <w:jc w:val="both"/>
      </w:pPr>
      <w:r>
        <w:t xml:space="preserve">section 292 of the </w:t>
      </w:r>
      <w:r w:rsidRPr="00B92F9C">
        <w:rPr>
          <w:i/>
        </w:rPr>
        <w:t>Electoral Act 1992</w:t>
      </w:r>
      <w:r>
        <w:t xml:space="preserve"> as applied by the </w:t>
      </w:r>
      <w:r>
        <w:rPr>
          <w:i/>
          <w:iCs/>
        </w:rPr>
        <w:t>Referendum (Machinery Provisions) Act 1994</w:t>
      </w:r>
      <w:r>
        <w:t>;</w:t>
      </w:r>
    </w:p>
    <w:p w:rsidR="00EF2F06" w:rsidRDefault="00EF2F06" w:rsidP="00EF2F06">
      <w:pPr>
        <w:pStyle w:val="Header"/>
        <w:numPr>
          <w:ilvl w:val="0"/>
          <w:numId w:val="23"/>
        </w:numPr>
        <w:jc w:val="both"/>
      </w:pPr>
      <w:r>
        <w:t xml:space="preserve">section 328 of the </w:t>
      </w:r>
      <w:r>
        <w:rPr>
          <w:i/>
          <w:iCs/>
        </w:rPr>
        <w:t>Commonwealth Electoral Act 1918</w:t>
      </w:r>
      <w:r>
        <w:t xml:space="preserve"> (Cwlth); or</w:t>
      </w:r>
    </w:p>
    <w:p w:rsidR="00EF2F06" w:rsidRDefault="00EF2F06" w:rsidP="00EF2F06">
      <w:pPr>
        <w:pStyle w:val="Header"/>
        <w:numPr>
          <w:ilvl w:val="0"/>
          <w:numId w:val="23"/>
        </w:numPr>
        <w:jc w:val="both"/>
      </w:pPr>
      <w:r>
        <w:t xml:space="preserve">section 121 of the </w:t>
      </w:r>
      <w:r>
        <w:rPr>
          <w:i/>
          <w:iCs/>
        </w:rPr>
        <w:t>Referendum (Machinery Provisions) Act 1984</w:t>
      </w:r>
      <w:r>
        <w:t xml:space="preserve"> (Cwlth).</w:t>
      </w:r>
    </w:p>
    <w:p w:rsidR="00EF2F06" w:rsidRDefault="00EF2F06" w:rsidP="00EF2F06">
      <w:pPr>
        <w:pStyle w:val="Header"/>
        <w:jc w:val="both"/>
      </w:pPr>
    </w:p>
    <w:p w:rsidR="00EF2F06" w:rsidRDefault="00EF2F06" w:rsidP="00EF2F06">
      <w:pPr>
        <w:pStyle w:val="Header"/>
        <w:numPr>
          <w:ilvl w:val="0"/>
          <w:numId w:val="21"/>
        </w:numPr>
        <w:jc w:val="both"/>
        <w:rPr>
          <w:b/>
          <w:bCs/>
        </w:rPr>
      </w:pPr>
      <w:r>
        <w:rPr>
          <w:b/>
          <w:bCs/>
        </w:rPr>
        <w:t>Insurance requirements</w:t>
      </w:r>
    </w:p>
    <w:p w:rsidR="00EF2F06" w:rsidRDefault="00EF2F06" w:rsidP="00EF2F06">
      <w:pPr>
        <w:pStyle w:val="Header"/>
        <w:jc w:val="both"/>
        <w:rPr>
          <w:sz w:val="22"/>
          <w:szCs w:val="22"/>
        </w:rPr>
      </w:pPr>
    </w:p>
    <w:p w:rsidR="00EF2F06" w:rsidRDefault="00EF2F06" w:rsidP="00EF2F06">
      <w:pPr>
        <w:pStyle w:val="Header"/>
        <w:numPr>
          <w:ilvl w:val="0"/>
          <w:numId w:val="15"/>
        </w:numPr>
        <w:jc w:val="both"/>
      </w:pPr>
      <w:r>
        <w:t>A person who places a movable sign in a public place must have a current public liability insurance policy of at least $10,000,000 limit of liability, which would include any liability to the public or the Territory arising out of such a sign, its design, construction or placement.</w:t>
      </w:r>
    </w:p>
    <w:p w:rsidR="00EF2F06" w:rsidRDefault="00EF2F06" w:rsidP="00EF2F06">
      <w:pPr>
        <w:pStyle w:val="Header"/>
        <w:jc w:val="both"/>
        <w:rPr>
          <w:sz w:val="22"/>
          <w:szCs w:val="22"/>
        </w:rPr>
      </w:pPr>
    </w:p>
    <w:p w:rsidR="00EF2F06" w:rsidRDefault="00EF2F06" w:rsidP="00EF2F06">
      <w:pPr>
        <w:pStyle w:val="Header"/>
        <w:keepNext/>
        <w:numPr>
          <w:ilvl w:val="0"/>
          <w:numId w:val="21"/>
        </w:numPr>
        <w:ind w:left="357" w:hanging="357"/>
        <w:jc w:val="both"/>
        <w:rPr>
          <w:b/>
          <w:bCs/>
        </w:rPr>
      </w:pPr>
      <w:r>
        <w:rPr>
          <w:b/>
          <w:bCs/>
        </w:rPr>
        <w:lastRenderedPageBreak/>
        <w:t>Number of movable signs and time limits</w:t>
      </w:r>
    </w:p>
    <w:p w:rsidR="00EF2F06" w:rsidRDefault="00EF2F06" w:rsidP="00EF2F06">
      <w:pPr>
        <w:pStyle w:val="Header"/>
        <w:keepNext/>
        <w:jc w:val="both"/>
        <w:rPr>
          <w:sz w:val="22"/>
          <w:szCs w:val="22"/>
        </w:rPr>
      </w:pPr>
    </w:p>
    <w:p w:rsidR="00EF2F06" w:rsidRDefault="00EF2F06" w:rsidP="00EF2F06">
      <w:pPr>
        <w:pStyle w:val="Header"/>
        <w:keepNext/>
        <w:numPr>
          <w:ilvl w:val="0"/>
          <w:numId w:val="16"/>
        </w:numPr>
        <w:jc w:val="both"/>
      </w:pPr>
      <w:r>
        <w:t>Business signs –</w:t>
      </w:r>
    </w:p>
    <w:p w:rsidR="00EF2F06" w:rsidRDefault="00EF2F06" w:rsidP="00EF2F06">
      <w:pPr>
        <w:pStyle w:val="Header"/>
        <w:ind w:left="720"/>
        <w:jc w:val="both"/>
      </w:pPr>
      <w:r>
        <w:t xml:space="preserve">Each business may display a maximum of two (2) movable signs while the business is open for trading.  Business signs must be kept within the boundaries of the commercial or industrial trading area in which the business is </w:t>
      </w:r>
      <w:r w:rsidR="00FD01B0">
        <w:t xml:space="preserve">physically located </w:t>
      </w:r>
      <w:r>
        <w:t>[see also Clause 7, Placement of movable signs].</w:t>
      </w:r>
    </w:p>
    <w:p w:rsidR="00EF2F06" w:rsidRDefault="00EF2F06" w:rsidP="00EF2F06">
      <w:pPr>
        <w:pStyle w:val="Header"/>
        <w:jc w:val="both"/>
        <w:rPr>
          <w:sz w:val="22"/>
          <w:szCs w:val="22"/>
        </w:rPr>
      </w:pPr>
    </w:p>
    <w:p w:rsidR="00EF2F06" w:rsidRDefault="00EF2F06" w:rsidP="00EF2F06">
      <w:pPr>
        <w:pStyle w:val="Header"/>
        <w:numPr>
          <w:ilvl w:val="0"/>
          <w:numId w:val="15"/>
        </w:numPr>
        <w:jc w:val="both"/>
      </w:pPr>
      <w:r>
        <w:t>Real estate signs –</w:t>
      </w:r>
    </w:p>
    <w:p w:rsidR="00EF2F06" w:rsidRDefault="00EF2F06" w:rsidP="00EF2F06">
      <w:pPr>
        <w:pStyle w:val="Header"/>
        <w:ind w:left="720"/>
        <w:jc w:val="both"/>
      </w:pPr>
      <w:r>
        <w:t>Direction signs indicating open home or display home exhibitions may only be displayed during the hours the exhibition is open for viewing.</w:t>
      </w:r>
    </w:p>
    <w:p w:rsidR="00EF2F06" w:rsidRDefault="00EF2F06" w:rsidP="00EF2F06">
      <w:pPr>
        <w:pStyle w:val="Header"/>
        <w:jc w:val="both"/>
      </w:pPr>
    </w:p>
    <w:p w:rsidR="00EF2F06" w:rsidRDefault="00EF2F06" w:rsidP="00EF2F06">
      <w:pPr>
        <w:pStyle w:val="Header"/>
        <w:numPr>
          <w:ilvl w:val="0"/>
          <w:numId w:val="15"/>
        </w:numPr>
        <w:jc w:val="both"/>
      </w:pPr>
      <w:r>
        <w:t>Community signs –</w:t>
      </w:r>
    </w:p>
    <w:p w:rsidR="00EF2F06" w:rsidRDefault="00EF2F06" w:rsidP="00EF2F06">
      <w:pPr>
        <w:pStyle w:val="Header"/>
        <w:ind w:left="720"/>
        <w:jc w:val="both"/>
      </w:pPr>
      <w:r>
        <w:t>Schools, community groups and registered charities may display a maximum of twenty (20) movable signs for a period of two (2) weeks prior to the advertised event.</w:t>
      </w:r>
    </w:p>
    <w:p w:rsidR="00EF2F06" w:rsidRDefault="00EF2F06" w:rsidP="00EF2F06">
      <w:pPr>
        <w:pStyle w:val="Header"/>
        <w:jc w:val="both"/>
        <w:rPr>
          <w:sz w:val="22"/>
          <w:szCs w:val="22"/>
        </w:rPr>
      </w:pPr>
    </w:p>
    <w:p w:rsidR="00EF2F06" w:rsidRDefault="00EF2F06" w:rsidP="00EF2F06">
      <w:pPr>
        <w:pStyle w:val="Header"/>
        <w:numPr>
          <w:ilvl w:val="0"/>
          <w:numId w:val="15"/>
        </w:numPr>
        <w:jc w:val="both"/>
      </w:pPr>
      <w:r>
        <w:t>Electoral advertising signs –</w:t>
      </w:r>
    </w:p>
    <w:p w:rsidR="00EF2F06" w:rsidRPr="00C85950" w:rsidRDefault="00EF2F06" w:rsidP="00EF2F06">
      <w:pPr>
        <w:pStyle w:val="Header"/>
        <w:ind w:left="709"/>
        <w:jc w:val="both"/>
      </w:pPr>
      <w:r>
        <w:t xml:space="preserve">Electoral advertising signs may only be displayed for a period of up to six (6) weeks.  </w:t>
      </w:r>
      <w:r w:rsidRPr="00C85950">
        <w:t xml:space="preserve">The 6 week period is the 6 weeks immediately preceding the election date. </w:t>
      </w:r>
    </w:p>
    <w:p w:rsidR="00EF2F06" w:rsidRPr="00C85950" w:rsidRDefault="00EF2F06" w:rsidP="00EF2F06">
      <w:pPr>
        <w:pStyle w:val="Header"/>
        <w:ind w:left="709"/>
        <w:jc w:val="both"/>
      </w:pPr>
    </w:p>
    <w:p w:rsidR="00EF2F06" w:rsidRPr="00C85950" w:rsidRDefault="00EF2F06" w:rsidP="00EF2F06">
      <w:pPr>
        <w:pStyle w:val="Header"/>
        <w:ind w:left="709"/>
        <w:jc w:val="both"/>
      </w:pPr>
      <w:r w:rsidRPr="00C85950">
        <w:t>Election signs are only covered by the code for 48 hours after the official election day and must be removed within 48 hours of the close of the polling booths.  Any election sign not removed within 48 hours of the close of polling booths will be considered to be an illegal s</w:t>
      </w:r>
      <w:r>
        <w:t>ign or poster and the Territory</w:t>
      </w:r>
      <w:r w:rsidRPr="00C85950">
        <w:t xml:space="preserve"> will implement provisions to remove the offending sign.</w:t>
      </w:r>
    </w:p>
    <w:p w:rsidR="00EF2F06" w:rsidRPr="00C85950" w:rsidRDefault="00EF2F06" w:rsidP="00EF2F06">
      <w:pPr>
        <w:pStyle w:val="Header"/>
        <w:jc w:val="both"/>
      </w:pPr>
    </w:p>
    <w:p w:rsidR="00EF2F06" w:rsidRDefault="00EF2F06" w:rsidP="00EF2F06">
      <w:pPr>
        <w:pStyle w:val="Header"/>
        <w:numPr>
          <w:ilvl w:val="0"/>
          <w:numId w:val="21"/>
        </w:numPr>
        <w:jc w:val="both"/>
        <w:rPr>
          <w:b/>
          <w:bCs/>
        </w:rPr>
      </w:pPr>
      <w:r>
        <w:rPr>
          <w:b/>
          <w:bCs/>
        </w:rPr>
        <w:t>Placement of movable signs</w:t>
      </w:r>
    </w:p>
    <w:p w:rsidR="00EF2F06" w:rsidRPr="00501669" w:rsidRDefault="00EF2F06" w:rsidP="00EF2F06">
      <w:pPr>
        <w:pStyle w:val="Header"/>
        <w:jc w:val="both"/>
        <w:rPr>
          <w:bCs/>
          <w:sz w:val="22"/>
          <w:szCs w:val="22"/>
        </w:rPr>
      </w:pPr>
    </w:p>
    <w:p w:rsidR="00EF2F06" w:rsidRDefault="00EF2F06" w:rsidP="00EF2F06">
      <w:pPr>
        <w:pStyle w:val="Header"/>
        <w:tabs>
          <w:tab w:val="left" w:pos="709"/>
        </w:tabs>
        <w:ind w:left="709" w:hanging="709"/>
        <w:jc w:val="both"/>
      </w:pPr>
      <w:r>
        <w:rPr>
          <w:sz w:val="22"/>
          <w:szCs w:val="22"/>
        </w:rPr>
        <w:t>(1)</w:t>
      </w:r>
      <w:r>
        <w:rPr>
          <w:sz w:val="22"/>
          <w:szCs w:val="22"/>
        </w:rPr>
        <w:tab/>
      </w:r>
      <w:r>
        <w:t>Movable signs may be placed on unleased Territory Land subject to the following restrictions –</w:t>
      </w:r>
    </w:p>
    <w:p w:rsidR="00EF2F06" w:rsidRDefault="00EF2F06" w:rsidP="00EF2F06">
      <w:pPr>
        <w:pStyle w:val="Header"/>
        <w:jc w:val="both"/>
      </w:pPr>
    </w:p>
    <w:p w:rsidR="00EF2F06" w:rsidRDefault="00EF2F06" w:rsidP="00EF2F06">
      <w:pPr>
        <w:pStyle w:val="Header"/>
        <w:numPr>
          <w:ilvl w:val="0"/>
          <w:numId w:val="17"/>
        </w:numPr>
        <w:jc w:val="both"/>
      </w:pPr>
      <w:r>
        <w:t>Movable signs must not be placed in the following areas:</w:t>
      </w:r>
    </w:p>
    <w:p w:rsidR="00EF2F06" w:rsidRDefault="00EF2F06" w:rsidP="00EF2F06">
      <w:pPr>
        <w:pStyle w:val="Header"/>
        <w:jc w:val="both"/>
      </w:pPr>
    </w:p>
    <w:p w:rsidR="00EF2F06" w:rsidRDefault="00EF2F06" w:rsidP="00EF2F06">
      <w:pPr>
        <w:pStyle w:val="Header"/>
        <w:numPr>
          <w:ilvl w:val="0"/>
          <w:numId w:val="18"/>
        </w:numPr>
        <w:jc w:val="both"/>
      </w:pPr>
      <w:r>
        <w:t>Designated Areas, ie areas with the special characteristics of the National Capital – except with the express approval of the National Capital Authority [see also Clause 8, Designated Areas];</w:t>
      </w:r>
    </w:p>
    <w:p w:rsidR="00EF2F06" w:rsidRDefault="00EF2F06" w:rsidP="00EF2F06">
      <w:pPr>
        <w:pStyle w:val="Header"/>
        <w:ind w:left="1440"/>
        <w:jc w:val="both"/>
      </w:pPr>
    </w:p>
    <w:p w:rsidR="00EF2F06" w:rsidRDefault="00EF2F06" w:rsidP="00EF2F06">
      <w:pPr>
        <w:pStyle w:val="Header"/>
        <w:numPr>
          <w:ilvl w:val="0"/>
          <w:numId w:val="18"/>
        </w:numPr>
        <w:jc w:val="both"/>
      </w:pPr>
      <w:r>
        <w:t xml:space="preserve">in the case of business signs – outside the boundaries of the commercial or industrial centre in which the business is </w:t>
      </w:r>
      <w:r w:rsidR="001321FF">
        <w:t>physically located</w:t>
      </w:r>
      <w:r>
        <w:t>.  These boundaries are defined by the land use policies shown on the Territory Plan maps;</w:t>
      </w:r>
    </w:p>
    <w:p w:rsidR="00FD01B0" w:rsidRDefault="00FD01B0" w:rsidP="00EE24C8">
      <w:pPr>
        <w:pStyle w:val="ListParagraph"/>
      </w:pPr>
    </w:p>
    <w:p w:rsidR="00FD01B0" w:rsidRDefault="00FD01B0" w:rsidP="00FD01B0">
      <w:pPr>
        <w:pStyle w:val="Header"/>
        <w:numPr>
          <w:ilvl w:val="0"/>
          <w:numId w:val="18"/>
        </w:numPr>
        <w:jc w:val="both"/>
      </w:pPr>
      <w:r>
        <w:t>in the case of home business signs – all residential areas (real estate signs exempt)</w:t>
      </w:r>
      <w:r w:rsidR="002A06B2">
        <w:t>;</w:t>
      </w:r>
    </w:p>
    <w:p w:rsidR="00EF2F06" w:rsidRDefault="00EF2F06" w:rsidP="00EF2F06">
      <w:pPr>
        <w:pStyle w:val="Header"/>
        <w:jc w:val="both"/>
      </w:pPr>
    </w:p>
    <w:p w:rsidR="00EF2F06" w:rsidRDefault="00EF2F06" w:rsidP="00EF2F06">
      <w:pPr>
        <w:pStyle w:val="Header"/>
        <w:numPr>
          <w:ilvl w:val="0"/>
          <w:numId w:val="18"/>
        </w:numPr>
        <w:jc w:val="both"/>
      </w:pPr>
      <w:r>
        <w:t>roundabouts;</w:t>
      </w:r>
    </w:p>
    <w:p w:rsidR="00EF2F06" w:rsidRDefault="00EF2F06" w:rsidP="00EF2F06">
      <w:pPr>
        <w:pStyle w:val="Header"/>
        <w:ind w:left="1440"/>
        <w:jc w:val="both"/>
      </w:pPr>
    </w:p>
    <w:p w:rsidR="00EF2F06" w:rsidRDefault="00EF2F06" w:rsidP="00EF2F06">
      <w:pPr>
        <w:pStyle w:val="Header"/>
        <w:numPr>
          <w:ilvl w:val="0"/>
          <w:numId w:val="18"/>
        </w:numPr>
        <w:jc w:val="both"/>
      </w:pPr>
      <w:r>
        <w:lastRenderedPageBreak/>
        <w:t>median strips of roads (schools and charities exempt);</w:t>
      </w:r>
    </w:p>
    <w:p w:rsidR="00EF2F06" w:rsidRDefault="00EF2F06" w:rsidP="00EF2F06">
      <w:pPr>
        <w:pStyle w:val="Header"/>
        <w:jc w:val="both"/>
      </w:pPr>
    </w:p>
    <w:p w:rsidR="001321FF" w:rsidRDefault="00EF2F06" w:rsidP="00FD01B0">
      <w:pPr>
        <w:pStyle w:val="Header"/>
        <w:numPr>
          <w:ilvl w:val="0"/>
          <w:numId w:val="18"/>
        </w:numPr>
        <w:jc w:val="both"/>
      </w:pPr>
      <w:r>
        <w:t>within 20 metres of traffic lights;</w:t>
      </w:r>
    </w:p>
    <w:p w:rsidR="00EF2F06" w:rsidRDefault="00EF2F06" w:rsidP="00EF2F06">
      <w:pPr>
        <w:pStyle w:val="Header"/>
        <w:jc w:val="both"/>
      </w:pPr>
    </w:p>
    <w:p w:rsidR="00EF2F06" w:rsidRDefault="00EF2F06" w:rsidP="00EF2F06">
      <w:pPr>
        <w:pStyle w:val="Header"/>
        <w:numPr>
          <w:ilvl w:val="0"/>
          <w:numId w:val="18"/>
        </w:numPr>
        <w:jc w:val="both"/>
      </w:pPr>
      <w:r>
        <w:t xml:space="preserve">on residential nature strips (real estate signs exempt); </w:t>
      </w:r>
    </w:p>
    <w:p w:rsidR="00EF2F06" w:rsidRDefault="00EF2F06" w:rsidP="00EF2F06">
      <w:pPr>
        <w:pStyle w:val="Header"/>
        <w:jc w:val="both"/>
      </w:pPr>
    </w:p>
    <w:p w:rsidR="00EF2F06" w:rsidRDefault="00EF2F06" w:rsidP="00EF2F06">
      <w:pPr>
        <w:pStyle w:val="Header"/>
        <w:numPr>
          <w:ilvl w:val="0"/>
          <w:numId w:val="18"/>
        </w:numPr>
        <w:jc w:val="both"/>
      </w:pPr>
      <w:bookmarkStart w:id="1" w:name="OLE_LINK1"/>
      <w:r>
        <w:t xml:space="preserve">within 20 metres of the apex of the kerb lines at an intersection (real estate directional signs exempt); </w:t>
      </w:r>
    </w:p>
    <w:p w:rsidR="00EF2F06" w:rsidRDefault="00EF2F06" w:rsidP="00EF2F06">
      <w:pPr>
        <w:pStyle w:val="Header"/>
        <w:jc w:val="both"/>
      </w:pPr>
    </w:p>
    <w:p w:rsidR="00EF2F06" w:rsidRDefault="00EF2F06" w:rsidP="00EF2F06">
      <w:pPr>
        <w:pStyle w:val="Header"/>
        <w:numPr>
          <w:ilvl w:val="0"/>
          <w:numId w:val="18"/>
        </w:numPr>
        <w:jc w:val="both"/>
      </w:pPr>
      <w:r>
        <w:t>where an arcade directory sign is installed for the arcade building that a business is located in</w:t>
      </w:r>
      <w:r w:rsidR="00FA2832">
        <w:t>;</w:t>
      </w:r>
      <w:bookmarkEnd w:id="1"/>
      <w:r w:rsidR="00FA2832">
        <w:t xml:space="preserve"> or</w:t>
      </w:r>
    </w:p>
    <w:p w:rsidR="00271DD3" w:rsidRDefault="00271DD3" w:rsidP="00EE24C8">
      <w:pPr>
        <w:pStyle w:val="ListParagraph"/>
      </w:pPr>
    </w:p>
    <w:p w:rsidR="00271DD3" w:rsidRDefault="00271DD3" w:rsidP="00271DD3">
      <w:pPr>
        <w:pStyle w:val="Header"/>
        <w:numPr>
          <w:ilvl w:val="0"/>
          <w:numId w:val="18"/>
        </w:numPr>
        <w:jc w:val="both"/>
      </w:pPr>
      <w:r>
        <w:t xml:space="preserve">within the Light Rail and associated road corridor network, including all station </w:t>
      </w:r>
      <w:r w:rsidR="002A06B2">
        <w:t>and</w:t>
      </w:r>
      <w:r>
        <w:t xml:space="preserve"> layover areas</w:t>
      </w:r>
      <w:r w:rsidR="00455712">
        <w:t xml:space="preserve">. </w:t>
      </w:r>
      <w:r w:rsidR="00B33F67">
        <w:t xml:space="preserve">Network information  </w:t>
      </w:r>
      <w:r w:rsidR="002A06B2">
        <w:t xml:space="preserve">is </w:t>
      </w:r>
      <w:r w:rsidR="00B33F67">
        <w:t xml:space="preserve">available at </w:t>
      </w:r>
      <w:r w:rsidR="002A06B2">
        <w:t>www.t</w:t>
      </w:r>
      <w:r w:rsidR="00455712">
        <w:t>ransport</w:t>
      </w:r>
      <w:r w:rsidR="00B33F67">
        <w:t xml:space="preserve">.act.gov.au </w:t>
      </w:r>
    </w:p>
    <w:p w:rsidR="00EF2F06" w:rsidRDefault="00EF2F06" w:rsidP="00EF2F06">
      <w:pPr>
        <w:pStyle w:val="Header"/>
        <w:jc w:val="both"/>
      </w:pPr>
    </w:p>
    <w:p w:rsidR="00EF2F06" w:rsidRDefault="00EF2F06" w:rsidP="00EF2F06">
      <w:pPr>
        <w:pStyle w:val="Header"/>
        <w:numPr>
          <w:ilvl w:val="0"/>
          <w:numId w:val="17"/>
        </w:numPr>
        <w:jc w:val="both"/>
      </w:pPr>
      <w:r>
        <w:t>Movable signs must not be attached to, affixed to under any circumstances, or obstruct any part of the following objects:</w:t>
      </w:r>
    </w:p>
    <w:p w:rsidR="00EF2F06" w:rsidRDefault="00EF2F06" w:rsidP="00EF2F06">
      <w:pPr>
        <w:pStyle w:val="Header"/>
        <w:jc w:val="both"/>
      </w:pPr>
    </w:p>
    <w:p w:rsidR="00EF2F06" w:rsidRDefault="00EF2F06" w:rsidP="00EF2F06">
      <w:pPr>
        <w:pStyle w:val="Header"/>
        <w:numPr>
          <w:ilvl w:val="0"/>
          <w:numId w:val="25"/>
        </w:numPr>
        <w:jc w:val="both"/>
      </w:pPr>
      <w:r>
        <w:t>bridges or overpasses;</w:t>
      </w:r>
    </w:p>
    <w:p w:rsidR="00EF2F06" w:rsidRDefault="00EF2F06" w:rsidP="00EF2F06">
      <w:pPr>
        <w:pStyle w:val="Header"/>
        <w:jc w:val="both"/>
      </w:pPr>
    </w:p>
    <w:p w:rsidR="00EF2F06" w:rsidRDefault="00EF2F06" w:rsidP="00EF2F06">
      <w:pPr>
        <w:pStyle w:val="Header"/>
        <w:numPr>
          <w:ilvl w:val="0"/>
          <w:numId w:val="25"/>
        </w:numPr>
        <w:jc w:val="both"/>
      </w:pPr>
      <w:r>
        <w:t>Government property;</w:t>
      </w:r>
    </w:p>
    <w:p w:rsidR="00EF2F06" w:rsidRDefault="00EF2F06" w:rsidP="00EF2F06">
      <w:pPr>
        <w:pStyle w:val="Header"/>
        <w:jc w:val="both"/>
      </w:pPr>
    </w:p>
    <w:p w:rsidR="00EF2F06" w:rsidRPr="00C85950" w:rsidRDefault="00EF2F06" w:rsidP="00EF2F06">
      <w:pPr>
        <w:pStyle w:val="Header"/>
        <w:numPr>
          <w:ilvl w:val="0"/>
          <w:numId w:val="25"/>
        </w:numPr>
        <w:jc w:val="both"/>
      </w:pPr>
      <w:r w:rsidRPr="00C85950">
        <w:t>trees or other vegetation; or</w:t>
      </w:r>
    </w:p>
    <w:p w:rsidR="00EF2F06" w:rsidRPr="00C85950" w:rsidRDefault="00EF2F06" w:rsidP="00EF2F06">
      <w:pPr>
        <w:pStyle w:val="Header"/>
        <w:jc w:val="both"/>
      </w:pPr>
    </w:p>
    <w:p w:rsidR="00EF2F06" w:rsidRPr="00C85950" w:rsidRDefault="00EF2F06" w:rsidP="00EF2F06">
      <w:pPr>
        <w:pStyle w:val="Header"/>
        <w:numPr>
          <w:ilvl w:val="0"/>
          <w:numId w:val="25"/>
        </w:numPr>
        <w:jc w:val="both"/>
      </w:pPr>
      <w:r w:rsidRPr="00C85950">
        <w:t>traffic lights or street lights;</w:t>
      </w:r>
    </w:p>
    <w:p w:rsidR="00EF2F06" w:rsidRPr="00C85950" w:rsidRDefault="00EF2F06" w:rsidP="00EF2F06">
      <w:pPr>
        <w:pStyle w:val="ListParagraph"/>
      </w:pPr>
    </w:p>
    <w:p w:rsidR="00EF2F06" w:rsidRPr="00C85950" w:rsidRDefault="00EF2F06" w:rsidP="00EF2F06">
      <w:pPr>
        <w:pStyle w:val="Header"/>
        <w:numPr>
          <w:ilvl w:val="0"/>
          <w:numId w:val="25"/>
        </w:numPr>
        <w:jc w:val="both"/>
      </w:pPr>
      <w:r w:rsidRPr="00C85950">
        <w:t>Other infrastructure which includes, but is not limited to poles, light poles, traffic signs, traffic lights, traffic control boxes and other traffic control devices, transformer boxes, trees, fences, bridges, whether owne</w:t>
      </w:r>
      <w:r>
        <w:t>d or under control of ACTEW or the</w:t>
      </w:r>
      <w:r w:rsidRPr="00C85950">
        <w:t xml:space="preserve"> ACT Government.</w:t>
      </w:r>
    </w:p>
    <w:p w:rsidR="00EF2F06" w:rsidRPr="00C85950" w:rsidRDefault="00EF2F06" w:rsidP="00EF2F06">
      <w:pPr>
        <w:pStyle w:val="Header"/>
        <w:jc w:val="both"/>
      </w:pPr>
    </w:p>
    <w:p w:rsidR="00EF2F06" w:rsidRPr="00C85950" w:rsidRDefault="00EF2F06" w:rsidP="00EF2F06">
      <w:pPr>
        <w:pStyle w:val="Header"/>
        <w:numPr>
          <w:ilvl w:val="0"/>
          <w:numId w:val="17"/>
        </w:numPr>
        <w:jc w:val="both"/>
      </w:pPr>
      <w:r w:rsidRPr="00C85950">
        <w:t>Prohibited Actions:</w:t>
      </w:r>
    </w:p>
    <w:p w:rsidR="00EF2F06" w:rsidRPr="00C85950" w:rsidRDefault="00EF2F06" w:rsidP="00EF2F06">
      <w:pPr>
        <w:pStyle w:val="Header"/>
        <w:jc w:val="both"/>
      </w:pPr>
    </w:p>
    <w:p w:rsidR="00EF2F06" w:rsidRDefault="00EF2F06" w:rsidP="00EF2F06">
      <w:pPr>
        <w:pStyle w:val="Header"/>
        <w:numPr>
          <w:ilvl w:val="0"/>
          <w:numId w:val="26"/>
        </w:numPr>
        <w:jc w:val="both"/>
      </w:pPr>
      <w:r>
        <w:t>movable signs must not cause a danger or restrict pedestrian access on walkways or nature strips;</w:t>
      </w:r>
    </w:p>
    <w:p w:rsidR="00EF2F06" w:rsidRDefault="00EF2F06" w:rsidP="00EF2F06">
      <w:pPr>
        <w:pStyle w:val="Header"/>
        <w:jc w:val="both"/>
      </w:pPr>
    </w:p>
    <w:p w:rsidR="00EF2F06" w:rsidRDefault="00EF2F06" w:rsidP="00EF2F06">
      <w:pPr>
        <w:pStyle w:val="Header"/>
        <w:numPr>
          <w:ilvl w:val="0"/>
          <w:numId w:val="26"/>
        </w:numPr>
        <w:jc w:val="both"/>
      </w:pPr>
      <w:r>
        <w:t>movable signs must not cause a danger or restricted access for visually or physically impaired pedestrians, or pedestrians pushing a stroller, pram trolley or any other object;</w:t>
      </w:r>
    </w:p>
    <w:p w:rsidR="00EF2F06" w:rsidRDefault="00EF2F06" w:rsidP="00EF2F06">
      <w:pPr>
        <w:pStyle w:val="Header"/>
        <w:jc w:val="both"/>
      </w:pPr>
    </w:p>
    <w:p w:rsidR="00EF2F06" w:rsidRDefault="00EF2F06" w:rsidP="00EF2F06">
      <w:pPr>
        <w:pStyle w:val="Header"/>
        <w:numPr>
          <w:ilvl w:val="0"/>
          <w:numId w:val="26"/>
        </w:numPr>
        <w:jc w:val="both"/>
      </w:pPr>
      <w:r>
        <w:t>placement of movable signs must be a minimum of 1.2 metres back from the back of the street kerb to allow persons free access when alighting from a vehicle;</w:t>
      </w:r>
    </w:p>
    <w:p w:rsidR="00EF2F06" w:rsidRDefault="00EF2F06" w:rsidP="00EF2F06">
      <w:pPr>
        <w:pStyle w:val="Header"/>
        <w:jc w:val="both"/>
      </w:pPr>
    </w:p>
    <w:p w:rsidR="00EF2F06" w:rsidRDefault="00EF2F06" w:rsidP="00EF2F06">
      <w:pPr>
        <w:pStyle w:val="Header"/>
        <w:numPr>
          <w:ilvl w:val="0"/>
          <w:numId w:val="26"/>
        </w:numPr>
        <w:jc w:val="both"/>
      </w:pPr>
      <w:r>
        <w:t>movable signs must not encroach on to or cause an obstruction on pedestrian or bicycle footpaths;</w:t>
      </w:r>
    </w:p>
    <w:p w:rsidR="00EF2F06" w:rsidRDefault="00EF2F06" w:rsidP="00EF2F06">
      <w:pPr>
        <w:pStyle w:val="Header"/>
        <w:jc w:val="both"/>
      </w:pPr>
    </w:p>
    <w:p w:rsidR="00EF2F06" w:rsidRDefault="00EF2F06" w:rsidP="00EF2F06">
      <w:pPr>
        <w:pStyle w:val="Header"/>
        <w:numPr>
          <w:ilvl w:val="0"/>
          <w:numId w:val="26"/>
        </w:numPr>
        <w:jc w:val="both"/>
      </w:pPr>
      <w:r>
        <w:lastRenderedPageBreak/>
        <w:t>in commercial areas pedestrians must have access to a minimum of a 2.5 metres wide walkway free of movable signs or other obstructions, in addition to 1.2 metres back from the top of the street kerb.  The walkway should allow pedestrians to walk either in a straight line or in a line which follows the street contour (see Fig. 1).</w:t>
      </w:r>
    </w:p>
    <w:p w:rsidR="00FA2832" w:rsidRDefault="00FA2832" w:rsidP="00EF2F06">
      <w:pPr>
        <w:spacing w:after="200" w:line="276" w:lineRule="auto"/>
        <w:rPr>
          <w:b/>
          <w:bCs/>
          <w:sz w:val="22"/>
          <w:szCs w:val="22"/>
        </w:rPr>
      </w:pPr>
    </w:p>
    <w:p w:rsidR="00EF2F06" w:rsidRDefault="00EF2F06" w:rsidP="00EE24C8">
      <w:pPr>
        <w:spacing w:after="200" w:line="276" w:lineRule="auto"/>
        <w:rPr>
          <w:b/>
          <w:bCs/>
          <w:sz w:val="22"/>
          <w:szCs w:val="22"/>
        </w:rPr>
      </w:pPr>
      <w:r>
        <w:rPr>
          <w:b/>
          <w:bCs/>
          <w:sz w:val="22"/>
          <w:szCs w:val="22"/>
        </w:rPr>
        <w:t>Figure 1</w:t>
      </w:r>
    </w:p>
    <w:p w:rsidR="00EF2F06" w:rsidRDefault="00EF2F06" w:rsidP="00EF2F06">
      <w:pPr>
        <w:pStyle w:val="Header"/>
        <w:keepNext/>
        <w:jc w:val="both"/>
        <w:rPr>
          <w:sz w:val="22"/>
          <w:szCs w:val="22"/>
        </w:rPr>
      </w:pPr>
    </w:p>
    <w:tbl>
      <w:tblPr>
        <w:tblW w:w="0" w:type="auto"/>
        <w:tblInd w:w="2358" w:type="dxa"/>
        <w:tblLayout w:type="fixed"/>
        <w:tblLook w:val="0000" w:firstRow="0" w:lastRow="0" w:firstColumn="0" w:lastColumn="0" w:noHBand="0" w:noVBand="0"/>
      </w:tblPr>
      <w:tblGrid>
        <w:gridCol w:w="630"/>
        <w:gridCol w:w="5868"/>
      </w:tblGrid>
      <w:tr w:rsidR="00EF2F06" w:rsidTr="00E65CCB">
        <w:trPr>
          <w:cantSplit/>
        </w:trPr>
        <w:tc>
          <w:tcPr>
            <w:tcW w:w="6498" w:type="dxa"/>
            <w:gridSpan w:val="2"/>
            <w:tcBorders>
              <w:top w:val="nil"/>
              <w:left w:val="nil"/>
              <w:bottom w:val="nil"/>
              <w:right w:val="nil"/>
            </w:tcBorders>
          </w:tcPr>
          <w:p w:rsidR="00EF2F06" w:rsidRDefault="00EF2F06" w:rsidP="00E65CCB">
            <w:pPr>
              <w:pStyle w:val="Header"/>
              <w:keepNext/>
              <w:jc w:val="center"/>
              <w:rPr>
                <w:b/>
                <w:bCs/>
              </w:rPr>
            </w:pPr>
            <w:r>
              <w:rPr>
                <w:b/>
                <w:bCs/>
                <w:sz w:val="22"/>
                <w:szCs w:val="22"/>
              </w:rPr>
              <w:t>Building Frontage</w:t>
            </w:r>
          </w:p>
        </w:tc>
      </w:tr>
      <w:tr w:rsidR="00EF2F06" w:rsidTr="00E65CCB">
        <w:trPr>
          <w:cantSplit/>
        </w:trPr>
        <w:tc>
          <w:tcPr>
            <w:tcW w:w="630" w:type="dxa"/>
            <w:vMerge w:val="restart"/>
            <w:tcBorders>
              <w:top w:val="single" w:sz="12" w:space="0" w:color="auto"/>
              <w:left w:val="nil"/>
              <w:bottom w:val="single" w:sz="12" w:space="0" w:color="auto"/>
              <w:right w:val="nil"/>
            </w:tcBorders>
            <w:textDirection w:val="btLr"/>
          </w:tcPr>
          <w:p w:rsidR="00EF2F06" w:rsidRDefault="00EF2F06" w:rsidP="00E65CCB">
            <w:pPr>
              <w:pStyle w:val="Header"/>
              <w:ind w:left="113" w:right="113"/>
              <w:jc w:val="center"/>
              <w:rPr>
                <w:i/>
                <w:iCs/>
              </w:rPr>
            </w:pPr>
            <w:r>
              <w:rPr>
                <w:i/>
                <w:iCs/>
                <w:sz w:val="22"/>
                <w:szCs w:val="22"/>
              </w:rPr>
              <w:sym w:font="Symbol" w:char="F0AC"/>
            </w:r>
            <w:r>
              <w:rPr>
                <w:i/>
                <w:iCs/>
                <w:sz w:val="22"/>
                <w:szCs w:val="22"/>
              </w:rPr>
              <w:t xml:space="preserve">   Total width of footpath    </w:t>
            </w:r>
            <w:r>
              <w:rPr>
                <w:i/>
                <w:iCs/>
                <w:sz w:val="22"/>
                <w:szCs w:val="22"/>
              </w:rPr>
              <w:sym w:font="Symbol" w:char="F0AE"/>
            </w:r>
          </w:p>
        </w:tc>
        <w:tc>
          <w:tcPr>
            <w:tcW w:w="5868" w:type="dxa"/>
            <w:tcBorders>
              <w:top w:val="single" w:sz="12" w:space="0" w:color="auto"/>
              <w:left w:val="nil"/>
              <w:bottom w:val="nil"/>
              <w:right w:val="nil"/>
            </w:tcBorders>
          </w:tcPr>
          <w:p w:rsidR="00EF2F06" w:rsidRDefault="00EF2F06" w:rsidP="00E65CCB">
            <w:pPr>
              <w:pStyle w:val="Header"/>
              <w:jc w:val="both"/>
            </w:pPr>
          </w:p>
          <w:p w:rsidR="00EF2F06" w:rsidRDefault="00EF2F06" w:rsidP="00E65CCB">
            <w:pPr>
              <w:pStyle w:val="Header"/>
              <w:jc w:val="both"/>
            </w:pPr>
          </w:p>
        </w:tc>
      </w:tr>
      <w:tr w:rsidR="00EF2F06" w:rsidTr="00E65CCB">
        <w:trPr>
          <w:cantSplit/>
        </w:trPr>
        <w:tc>
          <w:tcPr>
            <w:tcW w:w="630" w:type="dxa"/>
            <w:vMerge/>
            <w:tcBorders>
              <w:top w:val="nil"/>
              <w:left w:val="nil"/>
              <w:bottom w:val="single" w:sz="12" w:space="0" w:color="auto"/>
              <w:right w:val="nil"/>
            </w:tcBorders>
          </w:tcPr>
          <w:p w:rsidR="00EF2F06" w:rsidRDefault="00EF2F06" w:rsidP="00E65CCB">
            <w:pPr>
              <w:pStyle w:val="Header"/>
              <w:jc w:val="both"/>
            </w:pPr>
          </w:p>
        </w:tc>
        <w:tc>
          <w:tcPr>
            <w:tcW w:w="5868" w:type="dxa"/>
            <w:tcBorders>
              <w:top w:val="nil"/>
              <w:left w:val="nil"/>
              <w:bottom w:val="nil"/>
              <w:right w:val="nil"/>
            </w:tcBorders>
            <w:shd w:val="pct10" w:color="auto" w:fill="FFFFFF"/>
          </w:tcPr>
          <w:p w:rsidR="00EF2F06" w:rsidRDefault="00EF2F06" w:rsidP="00E65CCB">
            <w:pPr>
              <w:pStyle w:val="Header"/>
              <w:shd w:val="pct10" w:color="auto" w:fill="FFFFFF"/>
              <w:jc w:val="both"/>
            </w:pPr>
          </w:p>
          <w:p w:rsidR="00EF2F06" w:rsidRDefault="00EF2F06" w:rsidP="00E65CCB">
            <w:pPr>
              <w:pStyle w:val="Header"/>
              <w:shd w:val="pct10" w:color="auto" w:fill="FFFFFF"/>
              <w:jc w:val="both"/>
            </w:pPr>
          </w:p>
          <w:p w:rsidR="00EF2F06" w:rsidRDefault="00EF2F06" w:rsidP="00E65CCB">
            <w:pPr>
              <w:pStyle w:val="Header"/>
              <w:shd w:val="pct10" w:color="auto" w:fill="FFFFFF"/>
              <w:jc w:val="center"/>
            </w:pPr>
            <w:r>
              <w:rPr>
                <w:sz w:val="22"/>
                <w:szCs w:val="22"/>
              </w:rPr>
              <w:t xml:space="preserve">You </w:t>
            </w:r>
            <w:r>
              <w:rPr>
                <w:sz w:val="22"/>
                <w:szCs w:val="22"/>
                <w:u w:val="single"/>
              </w:rPr>
              <w:t>must</w:t>
            </w:r>
            <w:r>
              <w:rPr>
                <w:sz w:val="22"/>
                <w:szCs w:val="22"/>
              </w:rPr>
              <w:t xml:space="preserve"> leave a 2.5 metre wide unobstructed walkway for pedestrians.</w:t>
            </w:r>
          </w:p>
          <w:p w:rsidR="00EF2F06" w:rsidRDefault="00EF2F06" w:rsidP="00E65CCB">
            <w:pPr>
              <w:pStyle w:val="Header"/>
              <w:shd w:val="pct10" w:color="auto" w:fill="FFFFFF"/>
              <w:jc w:val="both"/>
            </w:pPr>
          </w:p>
          <w:p w:rsidR="00EF2F06" w:rsidRDefault="00EF2F06" w:rsidP="00E65CCB">
            <w:pPr>
              <w:pStyle w:val="Header"/>
              <w:jc w:val="both"/>
            </w:pPr>
          </w:p>
        </w:tc>
      </w:tr>
      <w:tr w:rsidR="00EF2F06" w:rsidTr="00E65CCB">
        <w:trPr>
          <w:cantSplit/>
        </w:trPr>
        <w:tc>
          <w:tcPr>
            <w:tcW w:w="630" w:type="dxa"/>
            <w:vMerge/>
            <w:tcBorders>
              <w:top w:val="nil"/>
              <w:left w:val="nil"/>
              <w:bottom w:val="single" w:sz="12" w:space="0" w:color="auto"/>
              <w:right w:val="nil"/>
            </w:tcBorders>
          </w:tcPr>
          <w:p w:rsidR="00EF2F06" w:rsidRDefault="00EF2F06" w:rsidP="00E65CCB">
            <w:pPr>
              <w:pStyle w:val="Header"/>
              <w:jc w:val="both"/>
            </w:pPr>
          </w:p>
        </w:tc>
        <w:tc>
          <w:tcPr>
            <w:tcW w:w="5868" w:type="dxa"/>
            <w:tcBorders>
              <w:top w:val="nil"/>
              <w:left w:val="nil"/>
              <w:bottom w:val="nil"/>
              <w:right w:val="nil"/>
            </w:tcBorders>
          </w:tcPr>
          <w:p w:rsidR="00EF2F06" w:rsidRDefault="00EF2F06" w:rsidP="00E65CCB">
            <w:pPr>
              <w:pStyle w:val="Header"/>
              <w:jc w:val="both"/>
            </w:pPr>
          </w:p>
          <w:p w:rsidR="00EF2F06" w:rsidRDefault="00EF2F06" w:rsidP="00E65CCB">
            <w:pPr>
              <w:pStyle w:val="Header"/>
              <w:jc w:val="both"/>
            </w:pPr>
          </w:p>
        </w:tc>
      </w:tr>
      <w:tr w:rsidR="00EF2F06" w:rsidTr="00E65CCB">
        <w:trPr>
          <w:cantSplit/>
        </w:trPr>
        <w:tc>
          <w:tcPr>
            <w:tcW w:w="630" w:type="dxa"/>
            <w:vMerge/>
            <w:tcBorders>
              <w:top w:val="nil"/>
              <w:left w:val="nil"/>
              <w:bottom w:val="nil"/>
              <w:right w:val="nil"/>
            </w:tcBorders>
          </w:tcPr>
          <w:p w:rsidR="00EF2F06" w:rsidRDefault="00EF2F06" w:rsidP="00E65CCB">
            <w:pPr>
              <w:pStyle w:val="Header"/>
              <w:jc w:val="both"/>
            </w:pPr>
          </w:p>
        </w:tc>
        <w:tc>
          <w:tcPr>
            <w:tcW w:w="5868" w:type="dxa"/>
            <w:tcBorders>
              <w:top w:val="nil"/>
              <w:left w:val="nil"/>
              <w:bottom w:val="single" w:sz="12" w:space="0" w:color="auto"/>
              <w:right w:val="nil"/>
            </w:tcBorders>
            <w:shd w:val="pct10" w:color="auto" w:fill="FFFFFF"/>
          </w:tcPr>
          <w:p w:rsidR="00EF2F06" w:rsidRDefault="00EF2F06" w:rsidP="00E65CCB">
            <w:pPr>
              <w:pStyle w:val="Header"/>
              <w:jc w:val="both"/>
            </w:pPr>
          </w:p>
          <w:p w:rsidR="00EF2F06" w:rsidRDefault="00EF2F06" w:rsidP="00E65CCB">
            <w:pPr>
              <w:pStyle w:val="Header"/>
              <w:jc w:val="center"/>
            </w:pPr>
            <w:r>
              <w:rPr>
                <w:sz w:val="22"/>
                <w:szCs w:val="22"/>
              </w:rPr>
              <w:t xml:space="preserve">You </w:t>
            </w:r>
            <w:r>
              <w:rPr>
                <w:sz w:val="22"/>
                <w:szCs w:val="22"/>
                <w:u w:val="single"/>
              </w:rPr>
              <w:t>must</w:t>
            </w:r>
            <w:r>
              <w:rPr>
                <w:sz w:val="22"/>
                <w:szCs w:val="22"/>
              </w:rPr>
              <w:t xml:space="preserve"> leave a 1.2 metre space beside the kerb for people to alight from vehicles.</w:t>
            </w:r>
          </w:p>
          <w:p w:rsidR="00EF2F06" w:rsidRDefault="00EF2F06" w:rsidP="00E65CCB">
            <w:pPr>
              <w:pStyle w:val="Header"/>
              <w:jc w:val="both"/>
            </w:pPr>
          </w:p>
        </w:tc>
      </w:tr>
      <w:tr w:rsidR="00EF2F06" w:rsidTr="00E65CCB">
        <w:tc>
          <w:tcPr>
            <w:tcW w:w="630" w:type="dxa"/>
            <w:tcBorders>
              <w:top w:val="single" w:sz="12" w:space="0" w:color="auto"/>
              <w:left w:val="nil"/>
              <w:bottom w:val="nil"/>
              <w:right w:val="nil"/>
            </w:tcBorders>
          </w:tcPr>
          <w:p w:rsidR="00EF2F06" w:rsidRDefault="00EF2F06" w:rsidP="00E65CCB">
            <w:pPr>
              <w:pStyle w:val="Header"/>
              <w:jc w:val="both"/>
            </w:pPr>
          </w:p>
        </w:tc>
        <w:tc>
          <w:tcPr>
            <w:tcW w:w="5868" w:type="dxa"/>
            <w:tcBorders>
              <w:top w:val="nil"/>
              <w:left w:val="nil"/>
              <w:bottom w:val="nil"/>
              <w:right w:val="nil"/>
            </w:tcBorders>
          </w:tcPr>
          <w:p w:rsidR="00EF2F06" w:rsidRDefault="00EF2F06" w:rsidP="00E65CCB">
            <w:pPr>
              <w:pStyle w:val="Header"/>
              <w:jc w:val="center"/>
              <w:rPr>
                <w:b/>
                <w:bCs/>
              </w:rPr>
            </w:pPr>
            <w:r>
              <w:rPr>
                <w:b/>
                <w:bCs/>
                <w:sz w:val="22"/>
                <w:szCs w:val="22"/>
              </w:rPr>
              <w:t>Kerb</w:t>
            </w:r>
          </w:p>
        </w:tc>
      </w:tr>
    </w:tbl>
    <w:p w:rsidR="00EF2F06" w:rsidRDefault="00EF2F06" w:rsidP="00EF2F06">
      <w:pPr>
        <w:pStyle w:val="Header"/>
        <w:ind w:left="2160"/>
        <w:jc w:val="both"/>
        <w:rPr>
          <w:sz w:val="22"/>
          <w:szCs w:val="22"/>
        </w:rPr>
      </w:pPr>
    </w:p>
    <w:p w:rsidR="00EF2F06" w:rsidRDefault="00EF2F06" w:rsidP="00EF2F06">
      <w:pPr>
        <w:pStyle w:val="Header"/>
        <w:numPr>
          <w:ilvl w:val="0"/>
          <w:numId w:val="26"/>
        </w:numPr>
        <w:jc w:val="both"/>
      </w:pPr>
      <w:r>
        <w:t>movable signs must not be placed in pedestrian access under awnings which are 2.5 metres or less in width;</w:t>
      </w:r>
    </w:p>
    <w:p w:rsidR="00EF2F06" w:rsidRDefault="00EF2F06" w:rsidP="00EF2F06">
      <w:pPr>
        <w:pStyle w:val="Header"/>
        <w:jc w:val="both"/>
      </w:pPr>
    </w:p>
    <w:p w:rsidR="00EF2F06" w:rsidRDefault="00EF2F06" w:rsidP="00EF2F06">
      <w:pPr>
        <w:pStyle w:val="Header"/>
        <w:numPr>
          <w:ilvl w:val="0"/>
          <w:numId w:val="26"/>
        </w:numPr>
        <w:jc w:val="both"/>
      </w:pPr>
      <w:r>
        <w:t>the use of metal pickets, rope, wire, chains, padlocks or any other device must not be used to secure movable signs in the ground or to another object;</w:t>
      </w:r>
    </w:p>
    <w:p w:rsidR="00EF2F06" w:rsidRDefault="00EF2F06" w:rsidP="00EF2F06">
      <w:pPr>
        <w:pStyle w:val="Header"/>
        <w:jc w:val="both"/>
      </w:pPr>
    </w:p>
    <w:p w:rsidR="00EF2F06" w:rsidRDefault="00EF2F06" w:rsidP="00EF2F06">
      <w:pPr>
        <w:pStyle w:val="Header"/>
        <w:numPr>
          <w:ilvl w:val="0"/>
          <w:numId w:val="26"/>
        </w:numPr>
        <w:jc w:val="both"/>
      </w:pPr>
      <w:r>
        <w:t>movable signs must not be placed in front of, over the top of, or in a position that will restrict access to fire hydrants, above-ground and in-ground access to services; and</w:t>
      </w:r>
    </w:p>
    <w:p w:rsidR="00EF2F06" w:rsidRDefault="00EF2F06" w:rsidP="00EF2F06">
      <w:pPr>
        <w:pStyle w:val="Header"/>
        <w:jc w:val="both"/>
      </w:pPr>
    </w:p>
    <w:p w:rsidR="00EF2F06" w:rsidRDefault="00EF2F06" w:rsidP="00EF2F06">
      <w:pPr>
        <w:pStyle w:val="Header"/>
        <w:numPr>
          <w:ilvl w:val="0"/>
          <w:numId w:val="26"/>
        </w:numPr>
        <w:jc w:val="both"/>
      </w:pPr>
      <w:r>
        <w:t>movable signs must not be placed in emergency vehicle access routes.</w:t>
      </w:r>
    </w:p>
    <w:p w:rsidR="00EF2F06" w:rsidRDefault="00EF2F06" w:rsidP="00EF2F06">
      <w:pPr>
        <w:pStyle w:val="Header"/>
        <w:jc w:val="both"/>
      </w:pPr>
    </w:p>
    <w:p w:rsidR="00EF2F06" w:rsidRDefault="00EF2F06" w:rsidP="00EF2F06">
      <w:pPr>
        <w:pStyle w:val="Header"/>
        <w:numPr>
          <w:ilvl w:val="0"/>
          <w:numId w:val="17"/>
        </w:numPr>
        <w:jc w:val="both"/>
      </w:pPr>
      <w:r>
        <w:t>The placement of movable signs must not impede maintenance activities (eg the mowing of grass).</w:t>
      </w:r>
    </w:p>
    <w:p w:rsidR="00EF2F06" w:rsidRDefault="00EF2F06" w:rsidP="00EF2F06">
      <w:pPr>
        <w:pStyle w:val="Header"/>
        <w:jc w:val="both"/>
        <w:rPr>
          <w:sz w:val="22"/>
          <w:szCs w:val="22"/>
        </w:rPr>
      </w:pPr>
    </w:p>
    <w:p w:rsidR="00EF2F06" w:rsidRDefault="00EF2F06" w:rsidP="00EF2F06">
      <w:pPr>
        <w:pStyle w:val="Header"/>
        <w:numPr>
          <w:ilvl w:val="0"/>
          <w:numId w:val="16"/>
        </w:numPr>
        <w:jc w:val="both"/>
      </w:pPr>
      <w:r>
        <w:rPr>
          <w:sz w:val="22"/>
          <w:szCs w:val="22"/>
        </w:rPr>
        <w:t>I</w:t>
      </w:r>
      <w:r>
        <w:t>n relation to movable signs in the immediate vicinity of polling places –</w:t>
      </w:r>
    </w:p>
    <w:p w:rsidR="00EF2F06" w:rsidRDefault="00EF2F06" w:rsidP="00EF2F06">
      <w:pPr>
        <w:pStyle w:val="Header"/>
        <w:jc w:val="both"/>
      </w:pPr>
    </w:p>
    <w:p w:rsidR="00EF2F06" w:rsidRDefault="00EF2F06" w:rsidP="00EF2F06">
      <w:pPr>
        <w:pStyle w:val="Header"/>
        <w:tabs>
          <w:tab w:val="clear" w:pos="2880"/>
          <w:tab w:val="left" w:pos="1418"/>
        </w:tabs>
        <w:ind w:firstLine="720"/>
        <w:jc w:val="both"/>
      </w:pPr>
      <w:r>
        <w:t>(a)</w:t>
      </w:r>
      <w:r>
        <w:tab/>
        <w:t>In this paragraph:</w:t>
      </w:r>
    </w:p>
    <w:p w:rsidR="00EF2F06" w:rsidRDefault="00EF2F06" w:rsidP="00EF2F06">
      <w:pPr>
        <w:pStyle w:val="Header"/>
        <w:jc w:val="both"/>
      </w:pPr>
    </w:p>
    <w:p w:rsidR="00EF2F06" w:rsidRDefault="00EF2F06" w:rsidP="00EF2F06">
      <w:pPr>
        <w:pStyle w:val="Header"/>
        <w:ind w:firstLine="720"/>
        <w:jc w:val="both"/>
      </w:pPr>
      <w:r>
        <w:t>“Polling place” means</w:t>
      </w:r>
    </w:p>
    <w:p w:rsidR="00EF2F06" w:rsidRDefault="00EF2F06" w:rsidP="00EF2F06">
      <w:pPr>
        <w:pStyle w:val="Header"/>
        <w:jc w:val="both"/>
      </w:pPr>
    </w:p>
    <w:p w:rsidR="00EF2F06" w:rsidRDefault="00EF2F06" w:rsidP="00EF2F06">
      <w:pPr>
        <w:pStyle w:val="Header"/>
        <w:numPr>
          <w:ilvl w:val="0"/>
          <w:numId w:val="22"/>
        </w:numPr>
        <w:tabs>
          <w:tab w:val="num" w:pos="2160"/>
        </w:tabs>
        <w:ind w:left="2160"/>
        <w:jc w:val="both"/>
      </w:pPr>
      <w:r>
        <w:lastRenderedPageBreak/>
        <w:t xml:space="preserve">For Territory elections, the same as “polling place” in section 291 of the </w:t>
      </w:r>
      <w:r>
        <w:rPr>
          <w:i/>
          <w:iCs/>
        </w:rPr>
        <w:t>Electoral Act 1992</w:t>
      </w:r>
      <w:r>
        <w:t>;</w:t>
      </w:r>
    </w:p>
    <w:p w:rsidR="00EF2F06" w:rsidRDefault="00EF2F06" w:rsidP="00EF2F06">
      <w:pPr>
        <w:pStyle w:val="Header"/>
        <w:jc w:val="both"/>
      </w:pPr>
    </w:p>
    <w:p w:rsidR="00EF2F06" w:rsidRDefault="00EF2F06" w:rsidP="00EF2F06">
      <w:pPr>
        <w:pStyle w:val="Header"/>
        <w:numPr>
          <w:ilvl w:val="0"/>
          <w:numId w:val="22"/>
        </w:numPr>
        <w:tabs>
          <w:tab w:val="num" w:pos="2160"/>
        </w:tabs>
        <w:ind w:left="2160"/>
        <w:jc w:val="both"/>
      </w:pPr>
      <w:r>
        <w:t xml:space="preserve">For Commonwealth elections, a place appointed as a polling place in pursuance of section 80 of the </w:t>
      </w:r>
      <w:r>
        <w:rPr>
          <w:i/>
          <w:iCs/>
        </w:rPr>
        <w:t>Commonwealth Electoral Act 1919</w:t>
      </w:r>
      <w:r>
        <w:t xml:space="preserve"> (Cwlth);</w:t>
      </w:r>
    </w:p>
    <w:p w:rsidR="00EF2F06" w:rsidRDefault="00EF2F06" w:rsidP="00EF2F06">
      <w:pPr>
        <w:pStyle w:val="Header"/>
        <w:jc w:val="both"/>
      </w:pPr>
    </w:p>
    <w:p w:rsidR="00EF2F06" w:rsidRDefault="00EF2F06" w:rsidP="00EF2F06">
      <w:pPr>
        <w:pStyle w:val="Header"/>
        <w:numPr>
          <w:ilvl w:val="0"/>
          <w:numId w:val="22"/>
        </w:numPr>
        <w:tabs>
          <w:tab w:val="num" w:pos="2160"/>
        </w:tabs>
        <w:ind w:left="2160"/>
        <w:jc w:val="both"/>
      </w:pPr>
      <w:r>
        <w:t xml:space="preserve">For Territory referendums, section 291 of the </w:t>
      </w:r>
      <w:r w:rsidRPr="00B92F9C">
        <w:rPr>
          <w:i/>
        </w:rPr>
        <w:t>Electoral Act 1992</w:t>
      </w:r>
      <w:r>
        <w:t xml:space="preserve"> as applied by the </w:t>
      </w:r>
      <w:r>
        <w:rPr>
          <w:i/>
          <w:iCs/>
        </w:rPr>
        <w:t>Referendum (Machinery Provisions) Act 1994</w:t>
      </w:r>
      <w:r>
        <w:t>; and</w:t>
      </w:r>
    </w:p>
    <w:p w:rsidR="00EF2F06" w:rsidRDefault="00EF2F06" w:rsidP="00EF2F06">
      <w:pPr>
        <w:pStyle w:val="Header"/>
        <w:jc w:val="both"/>
      </w:pPr>
    </w:p>
    <w:p w:rsidR="00EF2F06" w:rsidRDefault="00EF2F06" w:rsidP="00EF2F06">
      <w:pPr>
        <w:pStyle w:val="Header"/>
        <w:numPr>
          <w:ilvl w:val="0"/>
          <w:numId w:val="22"/>
        </w:numPr>
        <w:tabs>
          <w:tab w:val="num" w:pos="2160"/>
        </w:tabs>
        <w:ind w:left="2160"/>
        <w:jc w:val="both"/>
      </w:pPr>
      <w:r>
        <w:t xml:space="preserve">For Commonwealth referendums, section 80 of the </w:t>
      </w:r>
      <w:r>
        <w:rPr>
          <w:i/>
          <w:iCs/>
        </w:rPr>
        <w:t>Commonwealth Electoral Act 1918</w:t>
      </w:r>
      <w:r>
        <w:t xml:space="preserve"> (Cwlth) as applied by section 16 of the </w:t>
      </w:r>
      <w:r>
        <w:rPr>
          <w:i/>
          <w:iCs/>
        </w:rPr>
        <w:t>Referendum (Machinery Provisions) Act 1984</w:t>
      </w:r>
      <w:r>
        <w:t xml:space="preserve"> (Cwlth).</w:t>
      </w:r>
    </w:p>
    <w:p w:rsidR="00EF2F06" w:rsidRDefault="00EF2F06" w:rsidP="00EF2F06">
      <w:pPr>
        <w:pStyle w:val="Header"/>
        <w:jc w:val="both"/>
      </w:pPr>
    </w:p>
    <w:p w:rsidR="00EF2F06" w:rsidRDefault="00EF2F06" w:rsidP="00EF2F06">
      <w:pPr>
        <w:pStyle w:val="Header"/>
        <w:ind w:left="720"/>
        <w:jc w:val="both"/>
      </w:pPr>
      <w:r>
        <w:t>“Polling hours” means the hours for which a polling place is open and taking votes.</w:t>
      </w:r>
    </w:p>
    <w:p w:rsidR="00EF2F06" w:rsidRDefault="00EF2F06" w:rsidP="00EF2F06">
      <w:pPr>
        <w:pStyle w:val="Header"/>
        <w:jc w:val="both"/>
      </w:pPr>
    </w:p>
    <w:p w:rsidR="00EF2F06" w:rsidRDefault="00EF2F06" w:rsidP="00EF2F06">
      <w:pPr>
        <w:pStyle w:val="Header"/>
        <w:numPr>
          <w:ilvl w:val="0"/>
          <w:numId w:val="24"/>
        </w:numPr>
        <w:jc w:val="both"/>
      </w:pPr>
      <w:r>
        <w:t>Paragraphs 7 (1) (b) (ii), 7 (1) (b) (iii) and 7 (1) (c) (vii) of this Code do not apply to polling places during polling hours.</w:t>
      </w:r>
    </w:p>
    <w:p w:rsidR="00EF2F06" w:rsidRDefault="00EF2F06" w:rsidP="00EF2F06">
      <w:pPr>
        <w:pStyle w:val="Header"/>
        <w:jc w:val="both"/>
      </w:pPr>
    </w:p>
    <w:p w:rsidR="00EF2F06" w:rsidRDefault="00EF2F06" w:rsidP="00EF2F06">
      <w:pPr>
        <w:pStyle w:val="Header"/>
        <w:numPr>
          <w:ilvl w:val="0"/>
          <w:numId w:val="24"/>
        </w:numPr>
        <w:jc w:val="both"/>
      </w:pPr>
      <w:r>
        <w:t>Paragraph 3 (3) of this Code does not apply to the area within 25 metres of the entrance to polling places during polling hours.</w:t>
      </w:r>
    </w:p>
    <w:p w:rsidR="00EF2F06" w:rsidRDefault="00EF2F06" w:rsidP="00EF2F06">
      <w:pPr>
        <w:pStyle w:val="Header"/>
        <w:jc w:val="both"/>
      </w:pPr>
    </w:p>
    <w:p w:rsidR="00EF2F06" w:rsidRDefault="00EF2F06" w:rsidP="00EF2F06">
      <w:pPr>
        <w:pStyle w:val="Header"/>
        <w:numPr>
          <w:ilvl w:val="0"/>
          <w:numId w:val="24"/>
        </w:numPr>
        <w:jc w:val="both"/>
      </w:pPr>
      <w:r>
        <w:t>Sheet metal is not to be used in the construction of any movable sign under this paragraph other than signs of A-frame construction.</w:t>
      </w:r>
    </w:p>
    <w:p w:rsidR="00EF2F06" w:rsidRDefault="00EF2F06" w:rsidP="00EF2F06">
      <w:pPr>
        <w:pStyle w:val="Header"/>
        <w:jc w:val="both"/>
        <w:rPr>
          <w:sz w:val="22"/>
          <w:szCs w:val="22"/>
        </w:rPr>
      </w:pPr>
    </w:p>
    <w:p w:rsidR="00EF2F06" w:rsidRDefault="00EF2F06" w:rsidP="00EF2F06">
      <w:pPr>
        <w:pStyle w:val="Header"/>
        <w:numPr>
          <w:ilvl w:val="0"/>
          <w:numId w:val="21"/>
        </w:numPr>
        <w:jc w:val="both"/>
        <w:rPr>
          <w:b/>
          <w:bCs/>
        </w:rPr>
      </w:pPr>
      <w:r>
        <w:rPr>
          <w:b/>
          <w:bCs/>
        </w:rPr>
        <w:t>Designated Areas</w:t>
      </w:r>
    </w:p>
    <w:p w:rsidR="00EF2F06" w:rsidRDefault="00EF2F06" w:rsidP="00EF2F06">
      <w:pPr>
        <w:pStyle w:val="Header"/>
        <w:jc w:val="both"/>
        <w:rPr>
          <w:b/>
          <w:bCs/>
          <w:sz w:val="22"/>
          <w:szCs w:val="22"/>
        </w:rPr>
      </w:pPr>
    </w:p>
    <w:p w:rsidR="00EF2F06" w:rsidRDefault="00EF2F06" w:rsidP="00EF2F06">
      <w:pPr>
        <w:pStyle w:val="Header"/>
        <w:numPr>
          <w:ilvl w:val="0"/>
          <w:numId w:val="19"/>
        </w:numPr>
        <w:jc w:val="both"/>
      </w:pPr>
      <w:r>
        <w:t>Movable signs must not be placed in public places in Designated Areas without the approval of the National Capital Authority.</w:t>
      </w:r>
    </w:p>
    <w:p w:rsidR="00EF2F06" w:rsidRDefault="00EF2F06" w:rsidP="00EF2F06">
      <w:pPr>
        <w:pStyle w:val="Header"/>
        <w:jc w:val="both"/>
      </w:pPr>
    </w:p>
    <w:p w:rsidR="00EF2F06" w:rsidRDefault="00EF2F06" w:rsidP="00EF2F06">
      <w:pPr>
        <w:pStyle w:val="Header"/>
        <w:numPr>
          <w:ilvl w:val="0"/>
          <w:numId w:val="19"/>
        </w:numPr>
        <w:jc w:val="both"/>
      </w:pPr>
      <w:r>
        <w:t>Designated Areas are areas that have the special characteristics of the National Capital and are identified in both the National Capital Plan and the Territory Plan.  They include:</w:t>
      </w:r>
    </w:p>
    <w:p w:rsidR="00EF2F06" w:rsidRDefault="00EF2F06" w:rsidP="00EF2F06">
      <w:pPr>
        <w:pStyle w:val="Header"/>
        <w:jc w:val="both"/>
      </w:pPr>
    </w:p>
    <w:p w:rsidR="00EF2F06" w:rsidRDefault="00EF2F06" w:rsidP="00EF2F06">
      <w:pPr>
        <w:pStyle w:val="Header"/>
        <w:numPr>
          <w:ilvl w:val="0"/>
          <w:numId w:val="20"/>
        </w:numPr>
        <w:tabs>
          <w:tab w:val="num" w:pos="2160"/>
        </w:tabs>
        <w:spacing w:line="360" w:lineRule="auto"/>
        <w:ind w:left="2160"/>
        <w:jc w:val="both"/>
      </w:pPr>
      <w:r>
        <w:t>the Parliamentary Zone;</w:t>
      </w:r>
    </w:p>
    <w:p w:rsidR="00EF2F06" w:rsidRDefault="00EF2F06" w:rsidP="00EF2F06">
      <w:pPr>
        <w:pStyle w:val="Header"/>
        <w:numPr>
          <w:ilvl w:val="0"/>
          <w:numId w:val="20"/>
        </w:numPr>
        <w:tabs>
          <w:tab w:val="num" w:pos="2160"/>
        </w:tabs>
        <w:spacing w:line="360" w:lineRule="auto"/>
        <w:ind w:left="2160"/>
        <w:jc w:val="both"/>
      </w:pPr>
      <w:r>
        <w:t>the War Memorial surrounds;</w:t>
      </w:r>
    </w:p>
    <w:p w:rsidR="00EF2F06" w:rsidRDefault="00EF2F06" w:rsidP="00EF2F06">
      <w:pPr>
        <w:pStyle w:val="Header"/>
        <w:numPr>
          <w:ilvl w:val="0"/>
          <w:numId w:val="20"/>
        </w:numPr>
        <w:tabs>
          <w:tab w:val="num" w:pos="2160"/>
        </w:tabs>
        <w:spacing w:line="360" w:lineRule="auto"/>
        <w:ind w:left="2160"/>
        <w:jc w:val="both"/>
      </w:pPr>
      <w:r>
        <w:t>Commonwealth and Kings Park; and</w:t>
      </w:r>
    </w:p>
    <w:p w:rsidR="00EF2F06" w:rsidRDefault="00EF2F06" w:rsidP="00EF2F06">
      <w:pPr>
        <w:pStyle w:val="Header"/>
        <w:spacing w:line="360" w:lineRule="auto"/>
        <w:ind w:left="720"/>
        <w:jc w:val="both"/>
      </w:pPr>
      <w:r>
        <w:t>the following Main Avenues and Approach Routes:</w:t>
      </w:r>
    </w:p>
    <w:p w:rsidR="00EF2F06" w:rsidRDefault="00EF2F06" w:rsidP="00EF2F06">
      <w:pPr>
        <w:pStyle w:val="Header"/>
        <w:numPr>
          <w:ilvl w:val="0"/>
          <w:numId w:val="20"/>
        </w:numPr>
        <w:tabs>
          <w:tab w:val="num" w:pos="2160"/>
        </w:tabs>
        <w:spacing w:line="360" w:lineRule="auto"/>
        <w:ind w:left="2160"/>
        <w:jc w:val="both"/>
      </w:pPr>
      <w:r>
        <w:t>Adelaide Avenue;</w:t>
      </w:r>
    </w:p>
    <w:p w:rsidR="00EF2F06" w:rsidRDefault="00EF2F06" w:rsidP="00EF2F06">
      <w:pPr>
        <w:pStyle w:val="Header"/>
        <w:numPr>
          <w:ilvl w:val="0"/>
          <w:numId w:val="20"/>
        </w:numPr>
        <w:tabs>
          <w:tab w:val="num" w:pos="2160"/>
        </w:tabs>
        <w:spacing w:line="360" w:lineRule="auto"/>
        <w:ind w:left="2160"/>
        <w:jc w:val="both"/>
      </w:pPr>
      <w:r>
        <w:t>Ainslie Avenue;</w:t>
      </w:r>
    </w:p>
    <w:p w:rsidR="00EF2F06" w:rsidRDefault="00EF2F06" w:rsidP="00EF2F06">
      <w:pPr>
        <w:pStyle w:val="Header"/>
        <w:numPr>
          <w:ilvl w:val="0"/>
          <w:numId w:val="20"/>
        </w:numPr>
        <w:tabs>
          <w:tab w:val="num" w:pos="2160"/>
        </w:tabs>
        <w:spacing w:line="360" w:lineRule="auto"/>
        <w:ind w:left="2160"/>
        <w:jc w:val="both"/>
      </w:pPr>
      <w:r>
        <w:t>Anzac Parade;</w:t>
      </w:r>
    </w:p>
    <w:p w:rsidR="00EF2F06" w:rsidRDefault="00EF2F06" w:rsidP="00EF2F06">
      <w:pPr>
        <w:pStyle w:val="Header"/>
        <w:numPr>
          <w:ilvl w:val="0"/>
          <w:numId w:val="20"/>
        </w:numPr>
        <w:tabs>
          <w:tab w:val="num" w:pos="2160"/>
        </w:tabs>
        <w:spacing w:line="360" w:lineRule="auto"/>
        <w:ind w:left="2160"/>
        <w:jc w:val="both"/>
      </w:pPr>
      <w:r>
        <w:t>Barton Highway;</w:t>
      </w:r>
    </w:p>
    <w:p w:rsidR="00EF2F06" w:rsidRDefault="00EF2F06" w:rsidP="00EF2F06">
      <w:pPr>
        <w:pStyle w:val="Header"/>
        <w:numPr>
          <w:ilvl w:val="0"/>
          <w:numId w:val="20"/>
        </w:numPr>
        <w:tabs>
          <w:tab w:val="num" w:pos="2160"/>
        </w:tabs>
        <w:spacing w:line="360" w:lineRule="auto"/>
        <w:ind w:left="2160"/>
        <w:jc w:val="both"/>
      </w:pPr>
      <w:r>
        <w:t>Brisbane Avenue;</w:t>
      </w:r>
    </w:p>
    <w:p w:rsidR="00EF2F06" w:rsidRDefault="00EF2F06" w:rsidP="00EF2F06">
      <w:pPr>
        <w:pStyle w:val="Header"/>
        <w:numPr>
          <w:ilvl w:val="0"/>
          <w:numId w:val="20"/>
        </w:numPr>
        <w:tabs>
          <w:tab w:val="num" w:pos="2160"/>
        </w:tabs>
        <w:spacing w:line="360" w:lineRule="auto"/>
        <w:ind w:left="2160"/>
        <w:jc w:val="both"/>
      </w:pPr>
      <w:r>
        <w:t>Canberra Avenue;</w:t>
      </w:r>
    </w:p>
    <w:p w:rsidR="00EF2F06" w:rsidRDefault="00EF2F06" w:rsidP="00EF2F06">
      <w:pPr>
        <w:pStyle w:val="Header"/>
        <w:numPr>
          <w:ilvl w:val="0"/>
          <w:numId w:val="20"/>
        </w:numPr>
        <w:tabs>
          <w:tab w:val="num" w:pos="2160"/>
        </w:tabs>
        <w:spacing w:line="360" w:lineRule="auto"/>
        <w:ind w:left="2160"/>
        <w:jc w:val="both"/>
      </w:pPr>
      <w:r>
        <w:lastRenderedPageBreak/>
        <w:t>Commonwealth Avenue;</w:t>
      </w:r>
    </w:p>
    <w:p w:rsidR="00EF2F06" w:rsidRDefault="00EF2F06" w:rsidP="00EF2F06">
      <w:pPr>
        <w:pStyle w:val="Header"/>
        <w:numPr>
          <w:ilvl w:val="0"/>
          <w:numId w:val="20"/>
        </w:numPr>
        <w:tabs>
          <w:tab w:val="num" w:pos="2160"/>
        </w:tabs>
        <w:spacing w:line="360" w:lineRule="auto"/>
        <w:ind w:left="2160"/>
        <w:jc w:val="both"/>
      </w:pPr>
      <w:r>
        <w:t>Constitution Avenue;</w:t>
      </w:r>
    </w:p>
    <w:p w:rsidR="00EF2F06" w:rsidRDefault="00EF2F06" w:rsidP="00EF2F06">
      <w:pPr>
        <w:pStyle w:val="Header"/>
        <w:numPr>
          <w:ilvl w:val="0"/>
          <w:numId w:val="20"/>
        </w:numPr>
        <w:tabs>
          <w:tab w:val="num" w:pos="2160"/>
        </w:tabs>
        <w:spacing w:line="360" w:lineRule="auto"/>
        <w:ind w:left="2160"/>
        <w:jc w:val="both"/>
      </w:pPr>
      <w:r>
        <w:t>Edinburgh Avenue;</w:t>
      </w:r>
    </w:p>
    <w:p w:rsidR="00EF2F06" w:rsidRDefault="00EF2F06" w:rsidP="00EF2F06">
      <w:pPr>
        <w:pStyle w:val="Header"/>
        <w:numPr>
          <w:ilvl w:val="0"/>
          <w:numId w:val="20"/>
        </w:numPr>
        <w:tabs>
          <w:tab w:val="num" w:pos="2160"/>
        </w:tabs>
        <w:spacing w:line="360" w:lineRule="auto"/>
        <w:ind w:left="2160"/>
        <w:jc w:val="both"/>
      </w:pPr>
      <w:r>
        <w:t>Fairbairn Avenue;</w:t>
      </w:r>
    </w:p>
    <w:p w:rsidR="00EF2F06" w:rsidRDefault="00EF2F06" w:rsidP="00EF2F06">
      <w:pPr>
        <w:pStyle w:val="Header"/>
        <w:numPr>
          <w:ilvl w:val="0"/>
          <w:numId w:val="20"/>
        </w:numPr>
        <w:tabs>
          <w:tab w:val="num" w:pos="2160"/>
        </w:tabs>
        <w:spacing w:line="360" w:lineRule="auto"/>
        <w:ind w:left="2160"/>
        <w:jc w:val="both"/>
      </w:pPr>
      <w:r>
        <w:t>Federal Highway;</w:t>
      </w:r>
    </w:p>
    <w:p w:rsidR="00EF2F06" w:rsidRDefault="00EF2F06" w:rsidP="00EF2F06">
      <w:pPr>
        <w:pStyle w:val="Header"/>
        <w:numPr>
          <w:ilvl w:val="0"/>
          <w:numId w:val="20"/>
        </w:numPr>
        <w:tabs>
          <w:tab w:val="num" w:pos="2160"/>
        </w:tabs>
        <w:spacing w:line="360" w:lineRule="auto"/>
        <w:ind w:left="2160"/>
        <w:jc w:val="both"/>
      </w:pPr>
      <w:r>
        <w:t>Hobart Avenue;</w:t>
      </w:r>
    </w:p>
    <w:p w:rsidR="00EF2F06" w:rsidRDefault="00EF2F06" w:rsidP="00EF2F06">
      <w:pPr>
        <w:pStyle w:val="Header"/>
        <w:numPr>
          <w:ilvl w:val="0"/>
          <w:numId w:val="20"/>
        </w:numPr>
        <w:tabs>
          <w:tab w:val="num" w:pos="2160"/>
        </w:tabs>
        <w:spacing w:line="360" w:lineRule="auto"/>
        <w:ind w:left="2160"/>
        <w:jc w:val="both"/>
      </w:pPr>
      <w:r>
        <w:t>Kings Avenue;</w:t>
      </w:r>
    </w:p>
    <w:p w:rsidR="00EF2F06" w:rsidRDefault="00EF2F06" w:rsidP="00EF2F06">
      <w:pPr>
        <w:pStyle w:val="Header"/>
        <w:numPr>
          <w:ilvl w:val="0"/>
          <w:numId w:val="20"/>
        </w:numPr>
        <w:tabs>
          <w:tab w:val="num" w:pos="2160"/>
        </w:tabs>
        <w:spacing w:line="360" w:lineRule="auto"/>
        <w:ind w:left="2160"/>
        <w:jc w:val="both"/>
      </w:pPr>
      <w:r>
        <w:t>Limestone Avenue (south of Ainslie Avenue);</w:t>
      </w:r>
    </w:p>
    <w:p w:rsidR="00EF2F06" w:rsidRDefault="00EF2F06" w:rsidP="00EF2F06">
      <w:pPr>
        <w:pStyle w:val="Header"/>
        <w:numPr>
          <w:ilvl w:val="0"/>
          <w:numId w:val="20"/>
        </w:numPr>
        <w:tabs>
          <w:tab w:val="num" w:pos="2160"/>
        </w:tabs>
        <w:spacing w:line="360" w:lineRule="auto"/>
        <w:ind w:left="2160"/>
        <w:jc w:val="both"/>
      </w:pPr>
      <w:r>
        <w:t>Melbourne Avenue;</w:t>
      </w:r>
    </w:p>
    <w:p w:rsidR="00EF2F06" w:rsidRDefault="00EF2F06" w:rsidP="00EF2F06">
      <w:pPr>
        <w:pStyle w:val="Header"/>
        <w:numPr>
          <w:ilvl w:val="0"/>
          <w:numId w:val="20"/>
        </w:numPr>
        <w:tabs>
          <w:tab w:val="num" w:pos="2160"/>
        </w:tabs>
        <w:spacing w:line="360" w:lineRule="auto"/>
        <w:ind w:left="2160"/>
        <w:jc w:val="both"/>
      </w:pPr>
      <w:r>
        <w:t>Monaro Highway;</w:t>
      </w:r>
    </w:p>
    <w:p w:rsidR="00EF2F06" w:rsidRDefault="00EF2F06" w:rsidP="00EF2F06">
      <w:pPr>
        <w:pStyle w:val="Header"/>
        <w:numPr>
          <w:ilvl w:val="0"/>
          <w:numId w:val="20"/>
        </w:numPr>
        <w:tabs>
          <w:tab w:val="num" w:pos="2160"/>
        </w:tabs>
        <w:spacing w:line="360" w:lineRule="auto"/>
        <w:ind w:left="2160"/>
        <w:jc w:val="both"/>
      </w:pPr>
      <w:r>
        <w:t>Morshead Drive;</w:t>
      </w:r>
    </w:p>
    <w:p w:rsidR="00EF2F06" w:rsidRDefault="00EF2F06" w:rsidP="00EF2F06">
      <w:pPr>
        <w:pStyle w:val="Header"/>
        <w:numPr>
          <w:ilvl w:val="0"/>
          <w:numId w:val="20"/>
        </w:numPr>
        <w:tabs>
          <w:tab w:val="num" w:pos="2160"/>
        </w:tabs>
        <w:spacing w:line="360" w:lineRule="auto"/>
        <w:ind w:left="2160"/>
        <w:jc w:val="both"/>
      </w:pPr>
      <w:r>
        <w:t>Northbourne Avenue;</w:t>
      </w:r>
    </w:p>
    <w:p w:rsidR="00EF2F06" w:rsidRDefault="00EF2F06" w:rsidP="00EF2F06">
      <w:pPr>
        <w:pStyle w:val="Header"/>
        <w:numPr>
          <w:ilvl w:val="0"/>
          <w:numId w:val="20"/>
        </w:numPr>
        <w:tabs>
          <w:tab w:val="num" w:pos="2160"/>
        </w:tabs>
        <w:spacing w:line="360" w:lineRule="auto"/>
        <w:ind w:left="2160"/>
        <w:jc w:val="both"/>
      </w:pPr>
      <w:r>
        <w:t>Perth Avenue;</w:t>
      </w:r>
    </w:p>
    <w:p w:rsidR="00EF2F06" w:rsidRDefault="00EF2F06" w:rsidP="00EF2F06">
      <w:pPr>
        <w:pStyle w:val="Header"/>
        <w:numPr>
          <w:ilvl w:val="0"/>
          <w:numId w:val="20"/>
        </w:numPr>
        <w:tabs>
          <w:tab w:val="num" w:pos="2160"/>
        </w:tabs>
        <w:spacing w:line="360" w:lineRule="auto"/>
        <w:ind w:left="2160"/>
        <w:jc w:val="both"/>
      </w:pPr>
      <w:r>
        <w:t>Pialligo Avenue;</w:t>
      </w:r>
    </w:p>
    <w:p w:rsidR="00EF2F06" w:rsidRDefault="00EF2F06" w:rsidP="00EF2F06">
      <w:pPr>
        <w:pStyle w:val="Header"/>
        <w:numPr>
          <w:ilvl w:val="0"/>
          <w:numId w:val="20"/>
        </w:numPr>
        <w:tabs>
          <w:tab w:val="num" w:pos="2160"/>
        </w:tabs>
        <w:spacing w:line="360" w:lineRule="auto"/>
        <w:ind w:left="2160"/>
        <w:jc w:val="both"/>
      </w:pPr>
      <w:r>
        <w:t>State Circle;</w:t>
      </w:r>
    </w:p>
    <w:p w:rsidR="00EF2F06" w:rsidRDefault="00EF2F06" w:rsidP="00EF2F06">
      <w:pPr>
        <w:pStyle w:val="Header"/>
        <w:numPr>
          <w:ilvl w:val="0"/>
          <w:numId w:val="20"/>
        </w:numPr>
        <w:tabs>
          <w:tab w:val="num" w:pos="2160"/>
        </w:tabs>
        <w:spacing w:line="360" w:lineRule="auto"/>
        <w:ind w:left="2160"/>
        <w:jc w:val="both"/>
      </w:pPr>
      <w:r>
        <w:t>Sydney Avenue;</w:t>
      </w:r>
    </w:p>
    <w:p w:rsidR="00EF2F06" w:rsidRDefault="00EF2F06" w:rsidP="00EF2F06">
      <w:pPr>
        <w:pStyle w:val="Header"/>
        <w:numPr>
          <w:ilvl w:val="0"/>
          <w:numId w:val="20"/>
        </w:numPr>
        <w:tabs>
          <w:tab w:val="num" w:pos="2160"/>
        </w:tabs>
        <w:spacing w:line="360" w:lineRule="auto"/>
        <w:ind w:left="2160"/>
        <w:jc w:val="both"/>
      </w:pPr>
      <w:r>
        <w:t>University Avenue;</w:t>
      </w:r>
    </w:p>
    <w:p w:rsidR="00EF2F06" w:rsidRDefault="00EF2F06" w:rsidP="00EF2F06">
      <w:pPr>
        <w:pStyle w:val="Header"/>
        <w:numPr>
          <w:ilvl w:val="0"/>
          <w:numId w:val="20"/>
        </w:numPr>
        <w:tabs>
          <w:tab w:val="num" w:pos="2160"/>
        </w:tabs>
        <w:spacing w:line="360" w:lineRule="auto"/>
        <w:ind w:left="2160"/>
        <w:jc w:val="both"/>
      </w:pPr>
      <w:r>
        <w:t>Wentworth Avenue</w:t>
      </w:r>
    </w:p>
    <w:sectPr w:rsidR="00EF2F06" w:rsidSect="00EE24C8">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BCC" w:rsidRDefault="00A31BCC" w:rsidP="00A56499">
      <w:r>
        <w:separator/>
      </w:r>
    </w:p>
  </w:endnote>
  <w:endnote w:type="continuationSeparator" w:id="0">
    <w:p w:rsidR="00A31BCC" w:rsidRDefault="00A31BCC" w:rsidP="00A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BF3" w:rsidRDefault="00987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499" w:rsidRPr="003F5AAE" w:rsidRDefault="003F5AAE" w:rsidP="003F5AAE">
    <w:pPr>
      <w:pStyle w:val="Footer"/>
      <w:jc w:val="center"/>
      <w:rPr>
        <w:rFonts w:ascii="Arial" w:hAnsi="Arial"/>
        <w:sz w:val="14"/>
      </w:rPr>
    </w:pPr>
    <w:r w:rsidRPr="003F5AAE">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499" w:rsidRPr="003F5AAE" w:rsidRDefault="003F5AAE" w:rsidP="003F5AAE">
    <w:pPr>
      <w:pStyle w:val="Footer"/>
      <w:jc w:val="center"/>
      <w:rPr>
        <w:rFonts w:ascii="Arial" w:hAnsi="Arial"/>
        <w:sz w:val="14"/>
      </w:rPr>
    </w:pPr>
    <w:r w:rsidRPr="003F5AAE">
      <w:rPr>
        <w:rFonts w:ascii="Arial" w:hAnsi="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BCC" w:rsidRDefault="00A31BCC" w:rsidP="00A56499">
      <w:r>
        <w:separator/>
      </w:r>
    </w:p>
  </w:footnote>
  <w:footnote w:type="continuationSeparator" w:id="0">
    <w:p w:rsidR="00A31BCC" w:rsidRDefault="00A31BCC" w:rsidP="00A5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BF3" w:rsidRDefault="00987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C8" w:rsidRDefault="00EE24C8">
    <w:pPr>
      <w:pStyle w:val="Header"/>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BF3" w:rsidRDefault="00987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1932"/>
    <w:multiLevelType w:val="singleLevel"/>
    <w:tmpl w:val="B5621F68"/>
    <w:lvl w:ilvl="0">
      <w:start w:val="1"/>
      <w:numFmt w:val="lowerRoman"/>
      <w:lvlText w:val="(%1)"/>
      <w:lvlJc w:val="left"/>
      <w:pPr>
        <w:tabs>
          <w:tab w:val="num" w:pos="2160"/>
        </w:tabs>
        <w:ind w:left="2160" w:hanging="720"/>
      </w:pPr>
      <w:rPr>
        <w:rFonts w:cs="Times New Roman" w:hint="default"/>
      </w:rPr>
    </w:lvl>
  </w:abstractNum>
  <w:abstractNum w:abstractNumId="11" w15:restartNumberingAfterBreak="0">
    <w:nsid w:val="100B39E6"/>
    <w:multiLevelType w:val="singleLevel"/>
    <w:tmpl w:val="D4FA340E"/>
    <w:lvl w:ilvl="0">
      <w:start w:val="1"/>
      <w:numFmt w:val="lowerRoman"/>
      <w:lvlText w:val="(%1)"/>
      <w:lvlJc w:val="left"/>
      <w:pPr>
        <w:tabs>
          <w:tab w:val="num" w:pos="1440"/>
        </w:tabs>
        <w:ind w:left="1440" w:hanging="720"/>
      </w:pPr>
      <w:rPr>
        <w:rFonts w:cs="Times New Roman" w:hint="default"/>
      </w:rPr>
    </w:lvl>
  </w:abstractNum>
  <w:abstractNum w:abstractNumId="12" w15:restartNumberingAfterBreak="0">
    <w:nsid w:val="16C94868"/>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1B182884"/>
    <w:multiLevelType w:val="hybridMultilevel"/>
    <w:tmpl w:val="F78AF0FC"/>
    <w:lvl w:ilvl="0" w:tplc="B5621F68">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CA23C7B"/>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371C7A12"/>
    <w:multiLevelType w:val="singleLevel"/>
    <w:tmpl w:val="B60C9480"/>
    <w:lvl w:ilvl="0">
      <w:start w:val="1"/>
      <w:numFmt w:val="lowerLetter"/>
      <w:lvlText w:val="(%1)"/>
      <w:lvlJc w:val="left"/>
      <w:pPr>
        <w:tabs>
          <w:tab w:val="num" w:pos="1440"/>
        </w:tabs>
        <w:ind w:left="1440" w:hanging="720"/>
      </w:pPr>
      <w:rPr>
        <w:rFonts w:cs="Times New Roman" w:hint="default"/>
      </w:rPr>
    </w:lvl>
  </w:abstractNum>
  <w:abstractNum w:abstractNumId="16" w15:restartNumberingAfterBreak="0">
    <w:nsid w:val="3C1070A0"/>
    <w:multiLevelType w:val="singleLevel"/>
    <w:tmpl w:val="EA543576"/>
    <w:lvl w:ilvl="0">
      <w:start w:val="1"/>
      <w:numFmt w:val="lowerRoman"/>
      <w:lvlText w:val="(%1)"/>
      <w:lvlJc w:val="left"/>
      <w:pPr>
        <w:tabs>
          <w:tab w:val="num" w:pos="1440"/>
        </w:tabs>
        <w:ind w:left="1440" w:hanging="720"/>
      </w:pPr>
      <w:rPr>
        <w:rFonts w:cs="Times New Roman" w:hint="default"/>
        <w:i w:val="0"/>
        <w:iCs w:val="0"/>
      </w:rPr>
    </w:lvl>
  </w:abstractNum>
  <w:abstractNum w:abstractNumId="17" w15:restartNumberingAfterBreak="0">
    <w:nsid w:val="4F4A7D3C"/>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18" w15:restartNumberingAfterBreak="0">
    <w:nsid w:val="52361DE6"/>
    <w:multiLevelType w:val="singleLevel"/>
    <w:tmpl w:val="6472D388"/>
    <w:lvl w:ilvl="0">
      <w:start w:val="2"/>
      <w:numFmt w:val="lowerLetter"/>
      <w:lvlText w:val="(%1)"/>
      <w:lvlJc w:val="left"/>
      <w:pPr>
        <w:tabs>
          <w:tab w:val="num" w:pos="1440"/>
        </w:tabs>
        <w:ind w:left="1440" w:hanging="720"/>
      </w:pPr>
      <w:rPr>
        <w:rFonts w:cs="Times New Roman" w:hint="default"/>
      </w:rPr>
    </w:lvl>
  </w:abstractNum>
  <w:abstractNum w:abstractNumId="19" w15:restartNumberingAfterBreak="0">
    <w:nsid w:val="5EBB0913"/>
    <w:multiLevelType w:val="hybridMultilevel"/>
    <w:tmpl w:val="9CBC4A96"/>
    <w:lvl w:ilvl="0" w:tplc="B5621F68">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0EF0326"/>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21" w15:restartNumberingAfterBreak="0">
    <w:nsid w:val="6ED81B35"/>
    <w:multiLevelType w:val="singleLevel"/>
    <w:tmpl w:val="17044198"/>
    <w:lvl w:ilvl="0">
      <w:start w:val="1"/>
      <w:numFmt w:val="decimal"/>
      <w:lvlText w:val="(%1)"/>
      <w:lvlJc w:val="left"/>
      <w:pPr>
        <w:tabs>
          <w:tab w:val="num" w:pos="720"/>
        </w:tabs>
        <w:ind w:left="720" w:hanging="720"/>
      </w:pPr>
      <w:rPr>
        <w:rFonts w:cs="Times New Roman" w:hint="default"/>
      </w:rPr>
    </w:lvl>
  </w:abstractNum>
  <w:abstractNum w:abstractNumId="22" w15:restartNumberingAfterBreak="0">
    <w:nsid w:val="6FFC66E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3" w15:restartNumberingAfterBreak="0">
    <w:nsid w:val="752A1FFE"/>
    <w:multiLevelType w:val="singleLevel"/>
    <w:tmpl w:val="2146D8E2"/>
    <w:lvl w:ilvl="0">
      <w:start w:val="1"/>
      <w:numFmt w:val="lowerLetter"/>
      <w:lvlText w:val="(%1)"/>
      <w:lvlJc w:val="left"/>
      <w:pPr>
        <w:tabs>
          <w:tab w:val="num" w:pos="1440"/>
        </w:tabs>
        <w:ind w:left="1440" w:hanging="720"/>
      </w:pPr>
      <w:rPr>
        <w:rFonts w:cs="Times New Roman" w:hint="default"/>
      </w:rPr>
    </w:lvl>
  </w:abstractNum>
  <w:abstractNum w:abstractNumId="24" w15:restartNumberingAfterBreak="0">
    <w:nsid w:val="78AE10C6"/>
    <w:multiLevelType w:val="singleLevel"/>
    <w:tmpl w:val="3EE40D0C"/>
    <w:lvl w:ilvl="0">
      <w:start w:val="1"/>
      <w:numFmt w:val="lowerLetter"/>
      <w:lvlText w:val="(%1)"/>
      <w:lvlJc w:val="left"/>
      <w:pPr>
        <w:tabs>
          <w:tab w:val="num" w:pos="1440"/>
        </w:tabs>
        <w:ind w:left="1440" w:hanging="720"/>
      </w:pPr>
      <w:rPr>
        <w:rFonts w:cs="Times New Roman" w:hint="default"/>
      </w:rPr>
    </w:lvl>
  </w:abstractNum>
  <w:abstractNum w:abstractNumId="25" w15:restartNumberingAfterBreak="0">
    <w:nsid w:val="78B33FF5"/>
    <w:multiLevelType w:val="singleLevel"/>
    <w:tmpl w:val="17044198"/>
    <w:lvl w:ilvl="0">
      <w:start w:val="1"/>
      <w:numFmt w:val="decimal"/>
      <w:lvlText w:val="(%1)"/>
      <w:lvlJc w:val="left"/>
      <w:pPr>
        <w:tabs>
          <w:tab w:val="num" w:pos="720"/>
        </w:tabs>
        <w:ind w:left="720" w:hanging="72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21"/>
  </w:num>
  <w:num w:numId="14">
    <w:abstractNumId w:val="25"/>
  </w:num>
  <w:num w:numId="15">
    <w:abstractNumId w:val="20"/>
  </w:num>
  <w:num w:numId="16">
    <w:abstractNumId w:val="12"/>
  </w:num>
  <w:num w:numId="17">
    <w:abstractNumId w:val="24"/>
  </w:num>
  <w:num w:numId="18">
    <w:abstractNumId w:val="10"/>
  </w:num>
  <w:num w:numId="19">
    <w:abstractNumId w:val="17"/>
  </w:num>
  <w:num w:numId="20">
    <w:abstractNumId w:val="15"/>
  </w:num>
  <w:num w:numId="21">
    <w:abstractNumId w:val="22"/>
  </w:num>
  <w:num w:numId="22">
    <w:abstractNumId w:val="16"/>
  </w:num>
  <w:num w:numId="23">
    <w:abstractNumId w:val="11"/>
  </w:num>
  <w:num w:numId="24">
    <w:abstractNumId w:val="18"/>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58"/>
    <w:rsid w:val="00027D04"/>
    <w:rsid w:val="000410C7"/>
    <w:rsid w:val="000756E0"/>
    <w:rsid w:val="00083C56"/>
    <w:rsid w:val="0009675B"/>
    <w:rsid w:val="000F24AE"/>
    <w:rsid w:val="000F4489"/>
    <w:rsid w:val="0013181F"/>
    <w:rsid w:val="001321FF"/>
    <w:rsid w:val="00172C13"/>
    <w:rsid w:val="001D6B05"/>
    <w:rsid w:val="00205146"/>
    <w:rsid w:val="00271DD3"/>
    <w:rsid w:val="002A06B2"/>
    <w:rsid w:val="002E4F4E"/>
    <w:rsid w:val="003119E2"/>
    <w:rsid w:val="00312A58"/>
    <w:rsid w:val="00326668"/>
    <w:rsid w:val="00344E93"/>
    <w:rsid w:val="00354611"/>
    <w:rsid w:val="003669FA"/>
    <w:rsid w:val="00397609"/>
    <w:rsid w:val="003E37C5"/>
    <w:rsid w:val="003F5AAE"/>
    <w:rsid w:val="003F6B38"/>
    <w:rsid w:val="00402B90"/>
    <w:rsid w:val="00421593"/>
    <w:rsid w:val="00431150"/>
    <w:rsid w:val="00455712"/>
    <w:rsid w:val="00474348"/>
    <w:rsid w:val="004A154F"/>
    <w:rsid w:val="004D71B1"/>
    <w:rsid w:val="00501669"/>
    <w:rsid w:val="00524499"/>
    <w:rsid w:val="00550A52"/>
    <w:rsid w:val="005B653B"/>
    <w:rsid w:val="005D734A"/>
    <w:rsid w:val="005E7BC6"/>
    <w:rsid w:val="006269E1"/>
    <w:rsid w:val="00646CB3"/>
    <w:rsid w:val="00690F56"/>
    <w:rsid w:val="006C6B56"/>
    <w:rsid w:val="006D2159"/>
    <w:rsid w:val="007024ED"/>
    <w:rsid w:val="0071198B"/>
    <w:rsid w:val="00732555"/>
    <w:rsid w:val="00735DCF"/>
    <w:rsid w:val="00746B1B"/>
    <w:rsid w:val="007E52D8"/>
    <w:rsid w:val="008A3D85"/>
    <w:rsid w:val="008A6A8D"/>
    <w:rsid w:val="008E2E6A"/>
    <w:rsid w:val="009307F5"/>
    <w:rsid w:val="00934247"/>
    <w:rsid w:val="00955D23"/>
    <w:rsid w:val="00963DD8"/>
    <w:rsid w:val="0097755D"/>
    <w:rsid w:val="00987BF3"/>
    <w:rsid w:val="009957E2"/>
    <w:rsid w:val="009A6592"/>
    <w:rsid w:val="00A13AD2"/>
    <w:rsid w:val="00A31BCC"/>
    <w:rsid w:val="00A52D65"/>
    <w:rsid w:val="00A56499"/>
    <w:rsid w:val="00A71E5F"/>
    <w:rsid w:val="00A834EF"/>
    <w:rsid w:val="00AB36FA"/>
    <w:rsid w:val="00AB756E"/>
    <w:rsid w:val="00B061A0"/>
    <w:rsid w:val="00B33F67"/>
    <w:rsid w:val="00B36538"/>
    <w:rsid w:val="00B8609F"/>
    <w:rsid w:val="00B92F9C"/>
    <w:rsid w:val="00B96899"/>
    <w:rsid w:val="00C10998"/>
    <w:rsid w:val="00C141E4"/>
    <w:rsid w:val="00C85950"/>
    <w:rsid w:val="00CB3086"/>
    <w:rsid w:val="00CD1924"/>
    <w:rsid w:val="00CE4F8E"/>
    <w:rsid w:val="00CF7A2B"/>
    <w:rsid w:val="00D40592"/>
    <w:rsid w:val="00D550D9"/>
    <w:rsid w:val="00DC6872"/>
    <w:rsid w:val="00DF0844"/>
    <w:rsid w:val="00E32D53"/>
    <w:rsid w:val="00E4332E"/>
    <w:rsid w:val="00E4497D"/>
    <w:rsid w:val="00E65CCB"/>
    <w:rsid w:val="00E72EEA"/>
    <w:rsid w:val="00EA2C49"/>
    <w:rsid w:val="00EE24C8"/>
    <w:rsid w:val="00EF2F06"/>
    <w:rsid w:val="00EF79D8"/>
    <w:rsid w:val="00F105F4"/>
    <w:rsid w:val="00F23877"/>
    <w:rsid w:val="00F36964"/>
    <w:rsid w:val="00FA2832"/>
    <w:rsid w:val="00FA709A"/>
    <w:rsid w:val="00FB34F3"/>
    <w:rsid w:val="00FC4619"/>
    <w:rsid w:val="00FD01B0"/>
    <w:rsid w:val="00FE1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efaultImageDpi w14:val="0"/>
  <w15:docId w15:val="{6E053635-08BE-4890-9986-5A7BCFA9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41E4"/>
    <w:rPr>
      <w:rFonts w:ascii="Arial (W1)" w:hAnsi="Arial (W1)" w:cs="Arial"/>
      <w:color w:val="000000"/>
      <w:sz w:val="24"/>
      <w:szCs w:val="24"/>
      <w:lang w:eastAsia="en-US"/>
    </w:rPr>
  </w:style>
  <w:style w:type="paragraph" w:styleId="Heading1">
    <w:name w:val="heading 1"/>
    <w:basedOn w:val="Normal"/>
    <w:next w:val="sectiontext"/>
    <w:link w:val="Heading1Char"/>
    <w:uiPriority w:val="9"/>
    <w:qFormat/>
    <w:rsid w:val="00FC461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lang w:val="x-none" w:eastAsia="en-US"/>
    </w:rPr>
  </w:style>
  <w:style w:type="paragraph" w:customStyle="1" w:styleId="N-line3">
    <w:name w:val="N-line3"/>
    <w:basedOn w:val="Normal"/>
    <w:next w:val="Normal"/>
    <w:rsid w:val="00326668"/>
    <w:pPr>
      <w:pBdr>
        <w:bottom w:val="single" w:sz="12" w:space="1" w:color="auto"/>
      </w:pBdr>
      <w:jc w:val="both"/>
    </w:pPr>
    <w:rPr>
      <w:rFonts w:ascii="Times New Roman" w:hAnsi="Times New Roman" w:cs="Times New Roman"/>
      <w:color w:val="auto"/>
      <w:szCs w:val="20"/>
    </w:rPr>
  </w:style>
  <w:style w:type="paragraph" w:customStyle="1" w:styleId="InstrumentTitle">
    <w:name w:val="Instrument Title"/>
    <w:basedOn w:val="Normal"/>
    <w:next w:val="NIorDInumber"/>
    <w:rsid w:val="00FC4619"/>
    <w:pPr>
      <w:spacing w:before="600" w:after="120"/>
    </w:pPr>
    <w:rPr>
      <w:b/>
      <w:sz w:val="40"/>
      <w:szCs w:val="40"/>
    </w:rPr>
  </w:style>
  <w:style w:type="paragraph" w:customStyle="1" w:styleId="ACTheader">
    <w:name w:val="ACT header"/>
    <w:basedOn w:val="Normal"/>
    <w:next w:val="InstrumentTitle"/>
    <w:rsid w:val="00FC4619"/>
    <w:pPr>
      <w:spacing w:before="120"/>
    </w:pPr>
  </w:style>
  <w:style w:type="paragraph" w:customStyle="1" w:styleId="NIorDInumber">
    <w:name w:val="NI or DI number"/>
    <w:basedOn w:val="Normal"/>
    <w:next w:val="madeunderthe"/>
    <w:rsid w:val="00FC4619"/>
    <w:pPr>
      <w:spacing w:before="240" w:after="60"/>
    </w:pPr>
    <w:rPr>
      <w:b/>
    </w:rPr>
  </w:style>
  <w:style w:type="paragraph" w:customStyle="1" w:styleId="madeunderthe">
    <w:name w:val="made under the"/>
    <w:basedOn w:val="Normal"/>
    <w:next w:val="Actsourceofpower"/>
    <w:rsid w:val="00FC4619"/>
    <w:pPr>
      <w:spacing w:before="240" w:after="60"/>
    </w:pPr>
    <w:rPr>
      <w:rFonts w:ascii="Times New Roman" w:hAnsi="Times New Roman" w:cs="Times New Roman"/>
    </w:rPr>
  </w:style>
  <w:style w:type="paragraph" w:customStyle="1" w:styleId="Actsourceofpower">
    <w:name w:val="Act source of power"/>
    <w:basedOn w:val="Normal"/>
    <w:next w:val="Normal"/>
    <w:rsid w:val="00FC4619"/>
    <w:pPr>
      <w:spacing w:before="240" w:after="60"/>
    </w:pPr>
    <w:rPr>
      <w:b/>
      <w:sz w:val="20"/>
      <w:szCs w:val="20"/>
    </w:rPr>
  </w:style>
  <w:style w:type="paragraph" w:customStyle="1" w:styleId="sectiontext">
    <w:name w:val="section text"/>
    <w:basedOn w:val="Normal"/>
    <w:rsid w:val="00FC4619"/>
    <w:pPr>
      <w:spacing w:before="80" w:after="60"/>
      <w:ind w:left="709"/>
    </w:pPr>
    <w:rPr>
      <w:rFonts w:ascii="Times New Roman" w:hAnsi="Times New Roman" w:cs="Times New Roman"/>
    </w:rPr>
  </w:style>
  <w:style w:type="paragraph" w:customStyle="1" w:styleId="note">
    <w:name w:val="note"/>
    <w:basedOn w:val="sectiontext"/>
    <w:next w:val="sectiontext"/>
    <w:rsid w:val="00083C56"/>
    <w:rPr>
      <w:sz w:val="20"/>
      <w:szCs w:val="20"/>
    </w:rPr>
  </w:style>
  <w:style w:type="paragraph" w:customStyle="1" w:styleId="signatureblock">
    <w:name w:val="signature block"/>
    <w:basedOn w:val="sectiontext"/>
    <w:next w:val="Normal"/>
    <w:rsid w:val="00FC4619"/>
    <w:pPr>
      <w:spacing w:before="0" w:after="0"/>
      <w:ind w:left="0"/>
    </w:pPr>
  </w:style>
  <w:style w:type="paragraph" w:customStyle="1" w:styleId="subsection">
    <w:name w:val="subsection"/>
    <w:basedOn w:val="sectiontext"/>
    <w:next w:val="sectiontext"/>
    <w:rsid w:val="00FC4619"/>
    <w:pPr>
      <w:ind w:hanging="425"/>
    </w:pPr>
  </w:style>
  <w:style w:type="paragraph" w:customStyle="1" w:styleId="paragraph">
    <w:name w:val="paragraph"/>
    <w:basedOn w:val="sectiontext"/>
    <w:rsid w:val="00550A52"/>
  </w:style>
  <w:style w:type="paragraph" w:customStyle="1" w:styleId="subparagraph">
    <w:name w:val="subparagraph"/>
    <w:basedOn w:val="paragraph"/>
    <w:rsid w:val="00550A52"/>
    <w:pPr>
      <w:ind w:left="2127" w:hanging="709"/>
    </w:pPr>
  </w:style>
  <w:style w:type="paragraph" w:customStyle="1" w:styleId="sub-subparagraph">
    <w:name w:val="sub-subparagraph"/>
    <w:basedOn w:val="subparagraph"/>
    <w:rsid w:val="00550A52"/>
    <w:pPr>
      <w:ind w:left="2835" w:hanging="708"/>
    </w:pPr>
  </w:style>
  <w:style w:type="paragraph" w:styleId="BalloonText">
    <w:name w:val="Balloon Text"/>
    <w:basedOn w:val="Normal"/>
    <w:link w:val="BalloonTextChar"/>
    <w:uiPriority w:val="99"/>
    <w:rsid w:val="00AB36FA"/>
    <w:rPr>
      <w:rFonts w:ascii="Tahoma" w:hAnsi="Tahoma" w:cs="Tahoma"/>
      <w:sz w:val="16"/>
      <w:szCs w:val="16"/>
    </w:rPr>
  </w:style>
  <w:style w:type="character" w:customStyle="1" w:styleId="BalloonTextChar">
    <w:name w:val="Balloon Text Char"/>
    <w:basedOn w:val="DefaultParagraphFont"/>
    <w:link w:val="BalloonText"/>
    <w:uiPriority w:val="99"/>
    <w:locked/>
    <w:rsid w:val="00AB36FA"/>
    <w:rPr>
      <w:rFonts w:ascii="Tahoma" w:hAnsi="Tahoma" w:cs="Tahoma"/>
      <w:color w:val="000000"/>
      <w:sz w:val="16"/>
      <w:szCs w:val="16"/>
      <w:lang w:val="x-none" w:eastAsia="en-US"/>
    </w:rPr>
  </w:style>
  <w:style w:type="table" w:styleId="TableGrid">
    <w:name w:val="Table Grid"/>
    <w:basedOn w:val="TableNormal"/>
    <w:uiPriority w:val="39"/>
    <w:rsid w:val="008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F2F06"/>
    <w:pPr>
      <w:tabs>
        <w:tab w:val="left" w:pos="2880"/>
        <w:tab w:val="center" w:pos="4153"/>
        <w:tab w:val="right" w:pos="8306"/>
      </w:tabs>
    </w:pPr>
    <w:rPr>
      <w:rFonts w:ascii="Times New Roman" w:eastAsiaTheme="minorEastAsia" w:hAnsi="Times New Roman" w:cs="Times New Roman"/>
      <w:color w:val="auto"/>
    </w:rPr>
  </w:style>
  <w:style w:type="character" w:customStyle="1" w:styleId="HeaderChar">
    <w:name w:val="Header Char"/>
    <w:basedOn w:val="DefaultParagraphFont"/>
    <w:link w:val="Header"/>
    <w:uiPriority w:val="99"/>
    <w:locked/>
    <w:rsid w:val="00EF2F06"/>
    <w:rPr>
      <w:rFonts w:eastAsiaTheme="minorEastAsia" w:cs="Times New Roman"/>
      <w:sz w:val="24"/>
      <w:szCs w:val="24"/>
      <w:lang w:val="x-none" w:eastAsia="en-US"/>
    </w:rPr>
  </w:style>
  <w:style w:type="paragraph" w:styleId="ListParagraph">
    <w:name w:val="List Paragraph"/>
    <w:basedOn w:val="Normal"/>
    <w:uiPriority w:val="34"/>
    <w:qFormat/>
    <w:rsid w:val="00EF2F06"/>
    <w:pPr>
      <w:ind w:left="720"/>
      <w:contextualSpacing/>
    </w:pPr>
    <w:rPr>
      <w:rFonts w:ascii="Times New Roman" w:eastAsiaTheme="minorEastAsia" w:hAnsi="Times New Roman" w:cs="Times New Roman"/>
      <w:color w:val="auto"/>
    </w:rPr>
  </w:style>
  <w:style w:type="paragraph" w:styleId="Footer">
    <w:name w:val="footer"/>
    <w:basedOn w:val="Normal"/>
    <w:link w:val="FooterChar"/>
    <w:uiPriority w:val="99"/>
    <w:rsid w:val="00A56499"/>
    <w:pPr>
      <w:tabs>
        <w:tab w:val="center" w:pos="4513"/>
        <w:tab w:val="right" w:pos="9026"/>
      </w:tabs>
    </w:pPr>
  </w:style>
  <w:style w:type="character" w:customStyle="1" w:styleId="FooterChar">
    <w:name w:val="Footer Char"/>
    <w:basedOn w:val="DefaultParagraphFont"/>
    <w:link w:val="Footer"/>
    <w:uiPriority w:val="99"/>
    <w:locked/>
    <w:rsid w:val="00A56499"/>
    <w:rPr>
      <w:rFonts w:ascii="Arial (W1)" w:hAnsi="Arial (W1)" w:cs="Arial"/>
      <w:color w:val="00000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1392A4C-7983-4A0E-89A1-0D2BEE059B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1869</Words>
  <Characters>9558</Characters>
  <Application>Microsoft Office Word</Application>
  <DocSecurity>0</DocSecurity>
  <Lines>367</Lines>
  <Paragraphs>141</Paragraphs>
  <ScaleCrop>false</ScaleCrop>
  <HeadingPairs>
    <vt:vector size="2" baseType="variant">
      <vt:variant>
        <vt:lpstr>Title</vt:lpstr>
      </vt:variant>
      <vt:variant>
        <vt:i4>1</vt:i4>
      </vt:variant>
    </vt:vector>
  </HeadingPairs>
  <TitlesOfParts>
    <vt:vector size="1" baseType="lpstr">
      <vt:lpstr>Basic Instrument Template</vt:lpstr>
    </vt:vector>
  </TitlesOfParts>
  <Company>Territory and Municipal Servcies</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Instrument Template</dc:title>
  <dc:subject/>
  <dc:creator>ACT Government</dc:creator>
  <cp:keywords>2</cp:keywords>
  <dc:description/>
  <cp:lastModifiedBy>PCODCS</cp:lastModifiedBy>
  <cp:revision>4</cp:revision>
  <cp:lastPrinted>2019-03-18T04:45:00Z</cp:lastPrinted>
  <dcterms:created xsi:type="dcterms:W3CDTF">2019-04-12T03:02:00Z</dcterms:created>
  <dcterms:modified xsi:type="dcterms:W3CDTF">2019-04-12T03:02:00Z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58875028-6cd8-45ba-808f-f0bc8d7237e0</vt:lpwstr>
  </property>
  <property fmtid="{D5CDD505-2E9C-101B-9397-08002B2CF9AE}" pid="3" name="bjSaver">
    <vt:lpwstr>mp84qrzyHY/goy5rCRSfD69TpgcosZc0</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A19079493</vt:lpwstr>
  </property>
  <property fmtid="{D5CDD505-2E9C-101B-9397-08002B2CF9AE}" pid="10" name="Objective-Title">
    <vt:lpwstr>Public Unleased Land (Moveable Signs) Code of Practice 2019 (No 1) - v1.0</vt:lpwstr>
  </property>
  <property fmtid="{D5CDD505-2E9C-101B-9397-08002B2CF9AE}" pid="11" name="Objective-Comment">
    <vt:lpwstr/>
  </property>
  <property fmtid="{D5CDD505-2E9C-101B-9397-08002B2CF9AE}" pid="12" name="Objective-CreationStamp">
    <vt:filetime>2019-03-19T04:58:57Z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2019-03-19T05:06:23Z</vt:filetime>
  </property>
  <property fmtid="{D5CDD505-2E9C-101B-9397-08002B2CF9AE}" pid="17" name="Objective-Owner">
    <vt:lpwstr>Mark Milner</vt:lpwstr>
  </property>
  <property fmtid="{D5CDD505-2E9C-101B-9397-08002B2CF9AE}" pid="18" name="Objective-Path">
    <vt:lpwstr>Whole of ACT Government:TCCS STRUCTURE - Content Restriction Hierarchy:DIVISION: Finance Legal and Sustainability:BRANCH: Legal Contracts and Procurement:SECTION: Legal and Contracts:Legal Instruments:2018-19 Instruments:Publice Unleased Land Act 2013:</vt:lpwstr>
  </property>
  <property fmtid="{D5CDD505-2E9C-101B-9397-08002B2CF9AE}" pid="19" name="Objective-Parent">
    <vt:lpwstr>Publice Unleased Land Act 2013</vt:lpwstr>
  </property>
  <property fmtid="{D5CDD505-2E9C-101B-9397-08002B2CF9AE}" pid="20" name="Objective-State">
    <vt:lpwstr>Being Drafted</vt:lpwstr>
  </property>
  <property fmtid="{D5CDD505-2E9C-101B-9397-08002B2CF9AE}" pid="21" name="Objective-Version">
    <vt:lpwstr>0.2</vt:lpwstr>
  </property>
  <property fmtid="{D5CDD505-2E9C-101B-9397-08002B2CF9AE}" pid="22" name="Objective-VersionNumber">
    <vt:r8>2</vt:r8>
  </property>
  <property fmtid="{D5CDD505-2E9C-101B-9397-08002B2CF9AE}" pid="23" name="Objective-VersionComment">
    <vt:lpwstr>Version 2</vt:lpwstr>
  </property>
  <property fmtid="{D5CDD505-2E9C-101B-9397-08002B2CF9AE}" pid="24" name="Objective-FileNumber">
    <vt:lpwstr/>
  </property>
  <property fmtid="{D5CDD505-2E9C-101B-9397-08002B2CF9AE}" pid="25" name="Objective-Classification">
    <vt:lpwstr>[Inherited - Unclassified (beige file cover)]</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CHECKEDOUTFROMJMS">
    <vt:lpwstr/>
  </property>
  <property fmtid="{D5CDD505-2E9C-101B-9397-08002B2CF9AE}" pid="39" name="DMSID">
    <vt:lpwstr>1034531</vt:lpwstr>
  </property>
  <property fmtid="{D5CDD505-2E9C-101B-9397-08002B2CF9AE}" pid="40" name="JMSREQUIREDCHECKIN">
    <vt:lpwstr/>
  </property>
</Properties>
</file>