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B2F4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1B533DF" w14:textId="3A2DA969" w:rsidR="00F10CB2" w:rsidRDefault="00EF3C3B">
      <w:pPr>
        <w:pStyle w:val="Billname"/>
        <w:spacing w:before="700"/>
      </w:pPr>
      <w:r>
        <w:t>Long Service Leave (Portable Schemes) Interest Rate Guidelines 2020</w:t>
      </w:r>
    </w:p>
    <w:p w14:paraId="4F93EE2B" w14:textId="4E162AB5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F3C3B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E13DA0">
        <w:rPr>
          <w:rFonts w:ascii="Arial" w:hAnsi="Arial" w:cs="Arial"/>
          <w:b/>
          <w:bCs/>
        </w:rPr>
        <w:t>217</w:t>
      </w:r>
    </w:p>
    <w:p w14:paraId="7924C0B5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1201DED6" w14:textId="59B75D9E" w:rsidR="00F10CB2" w:rsidRDefault="00EF3C3B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Long Service Leave (Portable Schemes) Act 2009 – s53 (Interest rate)</w:t>
      </w:r>
    </w:p>
    <w:p w14:paraId="6CCE6D9D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465010E1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08A4507F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2B0D9ED" w14:textId="04C90720" w:rsidR="00F10CB2" w:rsidRDefault="00F10CB2" w:rsidP="00D47F13">
      <w:pPr>
        <w:spacing w:before="140"/>
        <w:ind w:left="720"/>
      </w:pPr>
      <w:r>
        <w:t xml:space="preserve">This instrument is the </w:t>
      </w:r>
      <w:r w:rsidR="00EF3C3B" w:rsidRPr="00EF3C3B">
        <w:rPr>
          <w:i/>
          <w:iCs/>
        </w:rPr>
        <w:t>Long Service Leave (Portable Schemes) Interest Rate Guidelines 2020</w:t>
      </w:r>
      <w:r w:rsidRPr="00627F0C">
        <w:rPr>
          <w:bCs/>
          <w:iCs/>
        </w:rPr>
        <w:t>.</w:t>
      </w:r>
    </w:p>
    <w:p w14:paraId="75A51F01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AA35542" w14:textId="40B9A1EB" w:rsidR="00F10CB2" w:rsidRDefault="00F10CB2" w:rsidP="00D47F13">
      <w:pPr>
        <w:spacing w:before="140"/>
        <w:ind w:left="720"/>
      </w:pPr>
      <w:r>
        <w:t>This instrument commences on</w:t>
      </w:r>
      <w:r w:rsidR="00EF3C3B">
        <w:t xml:space="preserve"> the day after notification</w:t>
      </w:r>
      <w:r>
        <w:t xml:space="preserve">. </w:t>
      </w:r>
    </w:p>
    <w:p w14:paraId="578E16BB" w14:textId="2F231245" w:rsidR="002B6D78" w:rsidRDefault="002B6D78" w:rsidP="002B6D7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Interest rate guidelines 2020</w:t>
      </w:r>
    </w:p>
    <w:p w14:paraId="23652A0F" w14:textId="1198378E" w:rsidR="002B6D78" w:rsidRPr="002B6D78" w:rsidRDefault="002B6D78" w:rsidP="002B6D78">
      <w:pPr>
        <w:spacing w:before="140"/>
        <w:ind w:left="720"/>
      </w:pPr>
      <w:r w:rsidRPr="002B6D78">
        <w:t>I make th</w:t>
      </w:r>
      <w:r w:rsidR="00DA086C">
        <w:t>e</w:t>
      </w:r>
      <w:r w:rsidRPr="002B6D78">
        <w:t xml:space="preserve"> </w:t>
      </w:r>
      <w:r w:rsidR="004A5128">
        <w:t>I</w:t>
      </w:r>
      <w:r w:rsidRPr="002B6D78">
        <w:t xml:space="preserve">nterest </w:t>
      </w:r>
      <w:r w:rsidR="004A5128">
        <w:t>R</w:t>
      </w:r>
      <w:r w:rsidRPr="002B6D78">
        <w:t xml:space="preserve">ate </w:t>
      </w:r>
      <w:r w:rsidR="004A5128">
        <w:t>G</w:t>
      </w:r>
      <w:r w:rsidRPr="002B6D78">
        <w:t>uidelines 2020 as provided in the Schedule.</w:t>
      </w:r>
    </w:p>
    <w:p w14:paraId="384628E7" w14:textId="769BE887" w:rsidR="002B6D78" w:rsidRDefault="002B6D78" w:rsidP="002B6D78">
      <w:pPr>
        <w:spacing w:before="140"/>
      </w:pPr>
    </w:p>
    <w:p w14:paraId="25503D73" w14:textId="77777777" w:rsidR="002B6D78" w:rsidRDefault="002B6D78" w:rsidP="002B6D78">
      <w:pPr>
        <w:tabs>
          <w:tab w:val="left" w:pos="4320"/>
        </w:tabs>
        <w:spacing w:before="720"/>
      </w:pPr>
    </w:p>
    <w:p w14:paraId="55CA3B37" w14:textId="1F80A540" w:rsidR="002B6D78" w:rsidRDefault="002B6D78" w:rsidP="002B6D78">
      <w:pPr>
        <w:tabs>
          <w:tab w:val="left" w:pos="4320"/>
        </w:tabs>
        <w:spacing w:before="720"/>
      </w:pPr>
      <w:r>
        <w:t>Suzanne Orr MLA</w:t>
      </w:r>
    </w:p>
    <w:p w14:paraId="4A4E810D" w14:textId="2BC453F8" w:rsidR="002B6D78" w:rsidRDefault="002B6D78" w:rsidP="002B6D78">
      <w:pPr>
        <w:tabs>
          <w:tab w:val="left" w:pos="4320"/>
        </w:tabs>
      </w:pPr>
      <w:r>
        <w:t>Minister for Employment and Workplace Safety</w:t>
      </w:r>
    </w:p>
    <w:p w14:paraId="25D61475" w14:textId="3F2F2162" w:rsidR="00E13DA0" w:rsidRDefault="00E13DA0" w:rsidP="002B6D78">
      <w:pPr>
        <w:tabs>
          <w:tab w:val="left" w:pos="4320"/>
        </w:tabs>
      </w:pPr>
      <w:r>
        <w:t>20/07/20</w:t>
      </w:r>
    </w:p>
    <w:p w14:paraId="5634863E" w14:textId="380ED476" w:rsidR="002B6D78" w:rsidRDefault="002B6D78" w:rsidP="002B6D78">
      <w:pPr>
        <w:spacing w:before="140"/>
      </w:pPr>
    </w:p>
    <w:p w14:paraId="2BF987D6" w14:textId="12523D45" w:rsidR="002B6D78" w:rsidRDefault="002B6D78">
      <w:r>
        <w:br w:type="page"/>
      </w:r>
    </w:p>
    <w:p w14:paraId="66DB94B1" w14:textId="77777777" w:rsidR="002B6D78" w:rsidRPr="00AF1E87" w:rsidRDefault="002B6D78" w:rsidP="002B6D78">
      <w:pPr>
        <w:tabs>
          <w:tab w:val="left" w:pos="4320"/>
        </w:tabs>
        <w:rPr>
          <w:b/>
          <w:bCs/>
        </w:rPr>
      </w:pPr>
      <w:r w:rsidRPr="00AF1E87">
        <w:rPr>
          <w:b/>
          <w:bCs/>
        </w:rPr>
        <w:lastRenderedPageBreak/>
        <w:t>Schedule</w:t>
      </w:r>
    </w:p>
    <w:p w14:paraId="10E431DB" w14:textId="77777777" w:rsidR="002B6D78" w:rsidRDefault="002B6D78" w:rsidP="002B6D78">
      <w:pPr>
        <w:tabs>
          <w:tab w:val="left" w:pos="4320"/>
        </w:tabs>
      </w:pPr>
      <w:r>
        <w:t>(see s3)</w:t>
      </w:r>
    </w:p>
    <w:p w14:paraId="1D595316" w14:textId="77777777" w:rsidR="002B6D78" w:rsidRDefault="002B6D78" w:rsidP="002B6D78">
      <w:pPr>
        <w:tabs>
          <w:tab w:val="left" w:pos="4320"/>
        </w:tabs>
      </w:pPr>
    </w:p>
    <w:p w14:paraId="06D53322" w14:textId="77777777" w:rsidR="002B6D78" w:rsidRDefault="002B6D78" w:rsidP="002B6D78">
      <w:pPr>
        <w:tabs>
          <w:tab w:val="left" w:pos="4320"/>
        </w:tabs>
      </w:pPr>
    </w:p>
    <w:p w14:paraId="3C176569" w14:textId="77777777" w:rsidR="002B6D78" w:rsidRDefault="002B6D78" w:rsidP="002B6D78">
      <w:pPr>
        <w:tabs>
          <w:tab w:val="left" w:pos="4320"/>
        </w:tabs>
      </w:pPr>
    </w:p>
    <w:p w14:paraId="689A409D" w14:textId="77777777" w:rsidR="002B6D78" w:rsidRDefault="002B6D78" w:rsidP="002B6D78">
      <w:pPr>
        <w:tabs>
          <w:tab w:val="left" w:pos="4320"/>
        </w:tabs>
      </w:pPr>
    </w:p>
    <w:p w14:paraId="00ADAE37" w14:textId="77777777" w:rsidR="002B6D78" w:rsidRDefault="002B6D78" w:rsidP="002B6D78">
      <w:pPr>
        <w:tabs>
          <w:tab w:val="left" w:pos="4320"/>
        </w:tabs>
      </w:pPr>
    </w:p>
    <w:p w14:paraId="22012C07" w14:textId="77777777" w:rsidR="002B6D78" w:rsidRDefault="002B6D78" w:rsidP="002B6D78">
      <w:pPr>
        <w:tabs>
          <w:tab w:val="left" w:pos="4320"/>
        </w:tabs>
      </w:pPr>
    </w:p>
    <w:p w14:paraId="2202DD4A" w14:textId="77777777" w:rsidR="002B6D78" w:rsidRDefault="002B6D78" w:rsidP="002B6D78">
      <w:pPr>
        <w:tabs>
          <w:tab w:val="left" w:pos="4320"/>
        </w:tabs>
      </w:pPr>
    </w:p>
    <w:p w14:paraId="62F02F91" w14:textId="77777777" w:rsidR="002B6D78" w:rsidRDefault="002B6D78" w:rsidP="002B6D78">
      <w:pPr>
        <w:tabs>
          <w:tab w:val="left" w:pos="4320"/>
        </w:tabs>
      </w:pPr>
    </w:p>
    <w:p w14:paraId="335DC167" w14:textId="362DC35F" w:rsidR="002B6D78" w:rsidRPr="00AF1E87" w:rsidRDefault="002B6D78" w:rsidP="002B6D78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Interest Rate Guidelines 2020</w:t>
      </w:r>
    </w:p>
    <w:p w14:paraId="2ED167FB" w14:textId="77777777" w:rsidR="002B6D78" w:rsidRDefault="002B6D78" w:rsidP="002B6D78">
      <w:pPr>
        <w:tabs>
          <w:tab w:val="left" w:pos="4320"/>
        </w:tabs>
        <w:jc w:val="center"/>
        <w:rPr>
          <w:rFonts w:asciiTheme="minorHAnsi" w:hAnsiTheme="minorHAnsi" w:cstheme="minorHAnsi"/>
        </w:rPr>
      </w:pPr>
    </w:p>
    <w:p w14:paraId="328EE0AD" w14:textId="603B5A03" w:rsidR="002B6D78" w:rsidRPr="00BE2DF9" w:rsidRDefault="002B6D78" w:rsidP="002B6D78">
      <w:pPr>
        <w:tabs>
          <w:tab w:val="left" w:pos="4320"/>
        </w:tabs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BE2DF9">
        <w:rPr>
          <w:rFonts w:asciiTheme="minorHAnsi" w:hAnsiTheme="minorHAnsi" w:cstheme="minorHAnsi"/>
          <w:b/>
          <w:bCs/>
          <w:i/>
          <w:iCs/>
          <w:sz w:val="32"/>
          <w:szCs w:val="32"/>
        </w:rPr>
        <w:t>Long Service Leave (Portable Schemes)</w:t>
      </w:r>
      <w:r w:rsidR="00BE2DF9" w:rsidRPr="00BE2DF9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Act 2009</w:t>
      </w:r>
    </w:p>
    <w:p w14:paraId="1746654E" w14:textId="02A92034" w:rsidR="002B6D78" w:rsidRDefault="002B6D78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1C99033F" w14:textId="1439FDCA" w:rsidR="002B6D78" w:rsidRPr="0012628D" w:rsidRDefault="002B6D78" w:rsidP="002B6D78">
      <w:pPr>
        <w:spacing w:before="140"/>
        <w:rPr>
          <w:rFonts w:ascii="Arial" w:hAnsi="Arial" w:cs="Arial"/>
        </w:rPr>
      </w:pPr>
      <w:r w:rsidRPr="0012628D">
        <w:rPr>
          <w:rFonts w:ascii="Arial" w:hAnsi="Arial" w:cs="Arial"/>
        </w:rPr>
        <w:lastRenderedPageBreak/>
        <w:t>Th</w:t>
      </w:r>
      <w:r w:rsidR="0012628D">
        <w:rPr>
          <w:rFonts w:ascii="Arial" w:hAnsi="Arial" w:cs="Arial"/>
        </w:rPr>
        <w:t>e</w:t>
      </w:r>
      <w:r w:rsidRPr="0012628D">
        <w:rPr>
          <w:rFonts w:ascii="Arial" w:hAnsi="Arial" w:cs="Arial"/>
        </w:rPr>
        <w:t xml:space="preserve"> Interest Rate Guidelines 2020 (the Guidelines)</w:t>
      </w:r>
      <w:r w:rsidR="00BE2DF9" w:rsidRPr="0012628D">
        <w:rPr>
          <w:rFonts w:ascii="Arial" w:hAnsi="Arial" w:cs="Arial"/>
        </w:rPr>
        <w:t xml:space="preserve"> </w:t>
      </w:r>
      <w:r w:rsidR="0012628D">
        <w:rPr>
          <w:rFonts w:ascii="Arial" w:hAnsi="Arial" w:cs="Arial"/>
        </w:rPr>
        <w:t xml:space="preserve">are </w:t>
      </w:r>
      <w:r w:rsidRPr="0012628D">
        <w:rPr>
          <w:rFonts w:ascii="Arial" w:hAnsi="Arial" w:cs="Arial"/>
        </w:rPr>
        <w:t>made by the Minister for Employment and Workplace Safety in accordance with section 5</w:t>
      </w:r>
      <w:r w:rsidR="00DA086C">
        <w:rPr>
          <w:rFonts w:ascii="Arial" w:hAnsi="Arial" w:cs="Arial"/>
        </w:rPr>
        <w:t xml:space="preserve">3 </w:t>
      </w:r>
      <w:r w:rsidRPr="0012628D">
        <w:rPr>
          <w:rFonts w:ascii="Arial" w:hAnsi="Arial" w:cs="Arial"/>
        </w:rPr>
        <w:t>(</w:t>
      </w:r>
      <w:r w:rsidR="00DA086C">
        <w:rPr>
          <w:rFonts w:ascii="Arial" w:hAnsi="Arial" w:cs="Arial"/>
        </w:rPr>
        <w:t>2</w:t>
      </w:r>
      <w:r w:rsidRPr="0012628D">
        <w:rPr>
          <w:rFonts w:ascii="Arial" w:hAnsi="Arial" w:cs="Arial"/>
        </w:rPr>
        <w:t xml:space="preserve">) of the </w:t>
      </w:r>
      <w:r w:rsidRPr="0012628D">
        <w:rPr>
          <w:rFonts w:ascii="Arial" w:hAnsi="Arial" w:cs="Arial"/>
          <w:i/>
          <w:iCs/>
        </w:rPr>
        <w:t>Long Service Leave (Portable Schemes) Act 2009</w:t>
      </w:r>
      <w:r w:rsidRPr="0012628D">
        <w:rPr>
          <w:rFonts w:ascii="Arial" w:hAnsi="Arial" w:cs="Arial"/>
        </w:rPr>
        <w:t xml:space="preserve"> (the Act).</w:t>
      </w:r>
    </w:p>
    <w:p w14:paraId="68A3993C" w14:textId="77777777" w:rsidR="002B6D78" w:rsidRPr="0012628D" w:rsidRDefault="002B6D78" w:rsidP="002B6D78">
      <w:pPr>
        <w:spacing w:before="140"/>
        <w:rPr>
          <w:rFonts w:ascii="Arial" w:hAnsi="Arial" w:cs="Arial"/>
        </w:rPr>
      </w:pPr>
    </w:p>
    <w:p w14:paraId="126662E1" w14:textId="4B2B0623" w:rsidR="002B6D78" w:rsidRPr="0012628D" w:rsidRDefault="000F0235" w:rsidP="002B6D78">
      <w:pPr>
        <w:spacing w:before="140"/>
        <w:rPr>
          <w:rFonts w:ascii="Arial" w:hAnsi="Arial" w:cs="Arial"/>
          <w:b/>
          <w:bCs/>
        </w:rPr>
      </w:pPr>
      <w:r w:rsidRPr="0012628D">
        <w:rPr>
          <w:rFonts w:ascii="Arial" w:hAnsi="Arial" w:cs="Arial"/>
          <w:b/>
          <w:bCs/>
        </w:rPr>
        <w:t>BACKGROUND</w:t>
      </w:r>
    </w:p>
    <w:p w14:paraId="6F0D6CF3" w14:textId="5FD67C85" w:rsidR="0012628D" w:rsidRDefault="0012628D" w:rsidP="002B6D78">
      <w:pPr>
        <w:spacing w:before="140"/>
        <w:rPr>
          <w:rFonts w:ascii="Arial" w:hAnsi="Arial" w:cs="Arial"/>
        </w:rPr>
      </w:pPr>
      <w:r>
        <w:rPr>
          <w:rFonts w:ascii="Arial" w:hAnsi="Arial" w:cs="Arial"/>
        </w:rPr>
        <w:t>The Act established portable long service leave schemes for covered industries. To fund these schemes, levies are paid by registered employers under the Act in the covered industries.</w:t>
      </w:r>
    </w:p>
    <w:p w14:paraId="488D3C4B" w14:textId="6AEE7F18" w:rsidR="002B6D78" w:rsidRPr="0012628D" w:rsidRDefault="0012628D" w:rsidP="002B6D78">
      <w:pPr>
        <w:spacing w:before="140"/>
        <w:rPr>
          <w:rFonts w:ascii="Arial" w:hAnsi="Arial" w:cs="Arial"/>
        </w:rPr>
      </w:pPr>
      <w:r>
        <w:rPr>
          <w:rFonts w:ascii="Arial" w:hAnsi="Arial" w:cs="Arial"/>
        </w:rPr>
        <w:t xml:space="preserve">If an employer for a </w:t>
      </w:r>
      <w:r w:rsidR="00DA086C">
        <w:rPr>
          <w:rFonts w:ascii="Arial" w:hAnsi="Arial" w:cs="Arial"/>
        </w:rPr>
        <w:t xml:space="preserve">covered industry </w:t>
      </w:r>
      <w:r w:rsidR="00612EC8" w:rsidRPr="0012628D">
        <w:rPr>
          <w:rFonts w:ascii="Arial" w:hAnsi="Arial" w:cs="Arial"/>
        </w:rPr>
        <w:t>fails to pay the Long Service Leave Authority (the Authority) the levy payable in relation to a return for a quarter, the employer is liable to pay to the Authority interest on the amount of the levy unpaid</w:t>
      </w:r>
      <w:r w:rsidR="000F0235">
        <w:rPr>
          <w:rFonts w:ascii="Arial" w:hAnsi="Arial" w:cs="Arial"/>
        </w:rPr>
        <w:t xml:space="preserve"> under section 52 of the Act</w:t>
      </w:r>
      <w:r w:rsidR="00612EC8" w:rsidRPr="0012628D">
        <w:rPr>
          <w:rFonts w:ascii="Arial" w:hAnsi="Arial" w:cs="Arial"/>
        </w:rPr>
        <w:t>.</w:t>
      </w:r>
    </w:p>
    <w:p w14:paraId="2B22FF05" w14:textId="07DC9362" w:rsidR="00612EC8" w:rsidRPr="0012628D" w:rsidRDefault="00612EC8" w:rsidP="002B6D78">
      <w:pPr>
        <w:spacing w:before="140"/>
        <w:rPr>
          <w:rFonts w:ascii="Arial" w:hAnsi="Arial" w:cs="Arial"/>
        </w:rPr>
      </w:pPr>
      <w:r w:rsidRPr="0012628D">
        <w:rPr>
          <w:rFonts w:ascii="Arial" w:hAnsi="Arial" w:cs="Arial"/>
        </w:rPr>
        <w:t xml:space="preserve">The interest is to be charged daily from the </w:t>
      </w:r>
      <w:r w:rsidR="000F0235">
        <w:rPr>
          <w:rFonts w:ascii="Arial" w:hAnsi="Arial" w:cs="Arial"/>
        </w:rPr>
        <w:t xml:space="preserve">end of the </w:t>
      </w:r>
      <w:r w:rsidRPr="0012628D">
        <w:rPr>
          <w:rFonts w:ascii="Arial" w:hAnsi="Arial" w:cs="Arial"/>
        </w:rPr>
        <w:t xml:space="preserve">due day of the quarterly return until the day the outstanding levy payment is made. </w:t>
      </w:r>
    </w:p>
    <w:p w14:paraId="38660637" w14:textId="0EE84845" w:rsidR="00612EC8" w:rsidRPr="0012628D" w:rsidRDefault="00612EC8" w:rsidP="002B6D78">
      <w:pPr>
        <w:spacing w:before="140"/>
        <w:rPr>
          <w:rFonts w:ascii="Arial" w:hAnsi="Arial" w:cs="Arial"/>
        </w:rPr>
      </w:pPr>
      <w:r w:rsidRPr="0012628D">
        <w:rPr>
          <w:rFonts w:ascii="Arial" w:hAnsi="Arial" w:cs="Arial"/>
        </w:rPr>
        <w:t xml:space="preserve">The Registrar of the Authority can waive all or part of the interest </w:t>
      </w:r>
      <w:r w:rsidR="000F0235">
        <w:rPr>
          <w:rFonts w:ascii="Arial" w:hAnsi="Arial" w:cs="Arial"/>
        </w:rPr>
        <w:t xml:space="preserve">as </w:t>
      </w:r>
      <w:r w:rsidRPr="0012628D">
        <w:rPr>
          <w:rFonts w:ascii="Arial" w:hAnsi="Arial" w:cs="Arial"/>
        </w:rPr>
        <w:t>allowed in s</w:t>
      </w:r>
      <w:r w:rsidR="00DA086C">
        <w:rPr>
          <w:rFonts w:ascii="Arial" w:hAnsi="Arial" w:cs="Arial"/>
        </w:rPr>
        <w:t xml:space="preserve">ection </w:t>
      </w:r>
      <w:r w:rsidRPr="0012628D">
        <w:rPr>
          <w:rFonts w:ascii="Arial" w:hAnsi="Arial" w:cs="Arial"/>
        </w:rPr>
        <w:t>52 (3) of the Act, if</w:t>
      </w:r>
      <w:r w:rsidR="000F0235">
        <w:rPr>
          <w:rFonts w:ascii="Arial" w:hAnsi="Arial" w:cs="Arial"/>
        </w:rPr>
        <w:t xml:space="preserve"> the Registrar is</w:t>
      </w:r>
      <w:r w:rsidRPr="0012628D">
        <w:rPr>
          <w:rFonts w:ascii="Arial" w:hAnsi="Arial" w:cs="Arial"/>
        </w:rPr>
        <w:t xml:space="preserve"> satisfied that the circumstances for the failure to pay were not caused by the employer or if charging the component would be unfair or unreasonable. </w:t>
      </w:r>
    </w:p>
    <w:p w14:paraId="34E9C5CE" w14:textId="77777777" w:rsidR="002B6D78" w:rsidRPr="0012628D" w:rsidRDefault="002B6D78" w:rsidP="002B6D78">
      <w:pPr>
        <w:spacing w:before="140"/>
        <w:rPr>
          <w:rFonts w:ascii="Arial" w:hAnsi="Arial" w:cs="Arial"/>
        </w:rPr>
      </w:pPr>
    </w:p>
    <w:p w14:paraId="1391CC51" w14:textId="71B1C07D" w:rsidR="002B6D78" w:rsidRPr="0012628D" w:rsidRDefault="000F0235" w:rsidP="002B6D78">
      <w:pPr>
        <w:spacing w:before="140"/>
        <w:rPr>
          <w:rFonts w:ascii="Arial" w:hAnsi="Arial" w:cs="Arial"/>
          <w:b/>
          <w:bCs/>
        </w:rPr>
      </w:pPr>
      <w:r w:rsidRPr="0012628D">
        <w:rPr>
          <w:rFonts w:ascii="Arial" w:hAnsi="Arial" w:cs="Arial"/>
          <w:b/>
          <w:bCs/>
        </w:rPr>
        <w:t xml:space="preserve">INTEREST RATE </w:t>
      </w:r>
      <w:r w:rsidR="00DD22A4">
        <w:rPr>
          <w:rFonts w:ascii="Arial" w:hAnsi="Arial" w:cs="Arial"/>
          <w:b/>
          <w:bCs/>
        </w:rPr>
        <w:t>GUIDELINE</w:t>
      </w:r>
    </w:p>
    <w:p w14:paraId="3202AD70" w14:textId="2C2F2263" w:rsidR="0043249D" w:rsidRPr="00A13C51" w:rsidRDefault="0043249D" w:rsidP="00A13C51">
      <w:pPr>
        <w:pStyle w:val="ListParagraph"/>
        <w:numPr>
          <w:ilvl w:val="0"/>
          <w:numId w:val="13"/>
        </w:numPr>
        <w:spacing w:before="140" w:after="120"/>
        <w:ind w:hanging="720"/>
        <w:contextualSpacing w:val="0"/>
        <w:rPr>
          <w:rFonts w:ascii="Arial" w:hAnsi="Arial" w:cs="Arial"/>
        </w:rPr>
      </w:pPr>
      <w:r w:rsidRPr="00A13C51">
        <w:rPr>
          <w:rFonts w:ascii="Arial" w:hAnsi="Arial" w:cs="Arial"/>
        </w:rPr>
        <w:t xml:space="preserve">The following </w:t>
      </w:r>
      <w:r w:rsidR="000F0235" w:rsidRPr="00A13C51">
        <w:rPr>
          <w:rFonts w:ascii="Arial" w:hAnsi="Arial" w:cs="Arial"/>
        </w:rPr>
        <w:t xml:space="preserve">methodology is </w:t>
      </w:r>
      <w:r w:rsidRPr="00A13C51">
        <w:rPr>
          <w:rFonts w:ascii="Arial" w:hAnsi="Arial" w:cs="Arial"/>
        </w:rPr>
        <w:t>to be applied in determining the interest rate on unpaid levies:</w:t>
      </w:r>
    </w:p>
    <w:p w14:paraId="20A28FBC" w14:textId="46AB69B3" w:rsidR="00A13C51" w:rsidRDefault="000F0235" w:rsidP="00A13C51">
      <w:pPr>
        <w:pStyle w:val="ListParagraph"/>
        <w:numPr>
          <w:ilvl w:val="0"/>
          <w:numId w:val="14"/>
        </w:numPr>
        <w:spacing w:before="14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3249D" w:rsidRPr="0012628D">
        <w:rPr>
          <w:rFonts w:ascii="Arial" w:hAnsi="Arial" w:cs="Arial"/>
        </w:rPr>
        <w:t>he</w:t>
      </w:r>
      <w:r w:rsidR="000E698D" w:rsidRPr="0012628D">
        <w:rPr>
          <w:rFonts w:ascii="Arial" w:hAnsi="Arial" w:cs="Arial"/>
        </w:rPr>
        <w:t xml:space="preserve"> interest rate</w:t>
      </w:r>
      <w:r w:rsidR="0040285A">
        <w:rPr>
          <w:rFonts w:ascii="Arial" w:hAnsi="Arial" w:cs="Arial"/>
        </w:rPr>
        <w:t xml:space="preserve"> (</w:t>
      </w:r>
      <w:r w:rsidR="0040285A" w:rsidRPr="007E21F0">
        <w:rPr>
          <w:rFonts w:ascii="Arial" w:hAnsi="Arial" w:cs="Arial"/>
          <w:b/>
          <w:bCs/>
          <w:i/>
          <w:iCs/>
        </w:rPr>
        <w:t>annual interest rate</w:t>
      </w:r>
      <w:r w:rsidR="0040285A">
        <w:rPr>
          <w:rFonts w:ascii="Arial" w:hAnsi="Arial" w:cs="Arial"/>
        </w:rPr>
        <w:t>)</w:t>
      </w:r>
      <w:r w:rsidR="000E698D" w:rsidRPr="0012628D">
        <w:rPr>
          <w:rFonts w:ascii="Arial" w:hAnsi="Arial" w:cs="Arial"/>
        </w:rPr>
        <w:t xml:space="preserve"> is the sum of the discount rate component and the premium rate component</w:t>
      </w:r>
      <w:r w:rsidR="0043249D" w:rsidRPr="0012628D">
        <w:rPr>
          <w:rFonts w:ascii="Arial" w:hAnsi="Arial" w:cs="Arial"/>
        </w:rPr>
        <w:t>, under s</w:t>
      </w:r>
      <w:r>
        <w:rPr>
          <w:rFonts w:ascii="Arial" w:hAnsi="Arial" w:cs="Arial"/>
        </w:rPr>
        <w:t xml:space="preserve">ection </w:t>
      </w:r>
      <w:r w:rsidR="0043249D" w:rsidRPr="0012628D">
        <w:rPr>
          <w:rFonts w:ascii="Arial" w:hAnsi="Arial" w:cs="Arial"/>
        </w:rPr>
        <w:t>53 (1) of the Ac</w:t>
      </w:r>
      <w:r>
        <w:rPr>
          <w:rFonts w:ascii="Arial" w:hAnsi="Arial" w:cs="Arial"/>
        </w:rPr>
        <w:t>t;</w:t>
      </w:r>
    </w:p>
    <w:p w14:paraId="26319995" w14:textId="5A61A7A4" w:rsidR="00A13C51" w:rsidRDefault="000F0235" w:rsidP="00A13C51">
      <w:pPr>
        <w:pStyle w:val="ListParagraph"/>
        <w:numPr>
          <w:ilvl w:val="0"/>
          <w:numId w:val="14"/>
        </w:numPr>
        <w:spacing w:before="140" w:after="120"/>
        <w:contextualSpacing w:val="0"/>
        <w:rPr>
          <w:rFonts w:ascii="Arial" w:hAnsi="Arial" w:cs="Arial"/>
        </w:rPr>
      </w:pPr>
      <w:r w:rsidRPr="00A13C51">
        <w:rPr>
          <w:rFonts w:ascii="Arial" w:hAnsi="Arial" w:cs="Arial"/>
        </w:rPr>
        <w:t>t</w:t>
      </w:r>
      <w:r w:rsidR="000E698D" w:rsidRPr="00A13C51">
        <w:rPr>
          <w:rFonts w:ascii="Arial" w:hAnsi="Arial" w:cs="Arial"/>
        </w:rPr>
        <w:t xml:space="preserve">he Long Service Leave Authority </w:t>
      </w:r>
      <w:r w:rsidR="007E21F0">
        <w:rPr>
          <w:rFonts w:ascii="Arial" w:hAnsi="Arial" w:cs="Arial"/>
        </w:rPr>
        <w:t xml:space="preserve">Governing </w:t>
      </w:r>
      <w:r w:rsidR="000E698D" w:rsidRPr="00A13C51">
        <w:rPr>
          <w:rFonts w:ascii="Arial" w:hAnsi="Arial" w:cs="Arial"/>
        </w:rPr>
        <w:t xml:space="preserve">Board </w:t>
      </w:r>
      <w:r w:rsidR="0043249D" w:rsidRPr="00A13C51">
        <w:rPr>
          <w:rFonts w:ascii="Arial" w:hAnsi="Arial" w:cs="Arial"/>
        </w:rPr>
        <w:t>will</w:t>
      </w:r>
      <w:r w:rsidR="0074708B" w:rsidRPr="00A13C51">
        <w:rPr>
          <w:rFonts w:ascii="Arial" w:hAnsi="Arial" w:cs="Arial"/>
        </w:rPr>
        <w:t xml:space="preserve"> </w:t>
      </w:r>
      <w:r w:rsidR="000E698D" w:rsidRPr="00A13C51">
        <w:rPr>
          <w:rFonts w:ascii="Arial" w:hAnsi="Arial" w:cs="Arial"/>
        </w:rPr>
        <w:t xml:space="preserve">set the discount rate component </w:t>
      </w:r>
      <w:r w:rsidR="00900D06">
        <w:rPr>
          <w:rFonts w:ascii="Arial" w:hAnsi="Arial" w:cs="Arial"/>
        </w:rPr>
        <w:t xml:space="preserve">the same as </w:t>
      </w:r>
      <w:r w:rsidR="000E698D" w:rsidRPr="00A13C51">
        <w:rPr>
          <w:rFonts w:ascii="Arial" w:hAnsi="Arial" w:cs="Arial"/>
        </w:rPr>
        <w:t>the Authority’s long-term investment return rate which reflects the cost of monies unpaid by non</w:t>
      </w:r>
      <w:r w:rsidRPr="00A13C51">
        <w:rPr>
          <w:rFonts w:ascii="Arial" w:hAnsi="Arial" w:cs="Arial"/>
        </w:rPr>
        <w:noBreakHyphen/>
      </w:r>
      <w:r w:rsidR="000E698D" w:rsidRPr="00A13C51">
        <w:rPr>
          <w:rFonts w:ascii="Arial" w:hAnsi="Arial" w:cs="Arial"/>
        </w:rPr>
        <w:t>compliant employers</w:t>
      </w:r>
      <w:r w:rsidR="00A13C51">
        <w:rPr>
          <w:rFonts w:ascii="Arial" w:hAnsi="Arial" w:cs="Arial"/>
        </w:rPr>
        <w:t>;</w:t>
      </w:r>
      <w:r w:rsidR="000D51B8">
        <w:rPr>
          <w:rFonts w:ascii="Arial" w:hAnsi="Arial" w:cs="Arial"/>
        </w:rPr>
        <w:t xml:space="preserve"> and</w:t>
      </w:r>
    </w:p>
    <w:p w14:paraId="440BBFBD" w14:textId="1B9CA8BA" w:rsidR="000E698D" w:rsidRPr="00A13C51" w:rsidRDefault="000D51B8" w:rsidP="00A13C51">
      <w:pPr>
        <w:pStyle w:val="ListParagraph"/>
        <w:numPr>
          <w:ilvl w:val="0"/>
          <w:numId w:val="14"/>
        </w:numPr>
        <w:spacing w:before="140"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Long Service Leave Authority </w:t>
      </w:r>
      <w:r w:rsidR="007E21F0">
        <w:rPr>
          <w:rFonts w:ascii="Arial" w:hAnsi="Arial" w:cs="Arial"/>
        </w:rPr>
        <w:t xml:space="preserve">Governing </w:t>
      </w:r>
      <w:r>
        <w:rPr>
          <w:rFonts w:ascii="Arial" w:hAnsi="Arial" w:cs="Arial"/>
        </w:rPr>
        <w:t xml:space="preserve">Board will set </w:t>
      </w:r>
      <w:r w:rsidR="000F0235" w:rsidRPr="00A13C51">
        <w:rPr>
          <w:rFonts w:ascii="Arial" w:hAnsi="Arial" w:cs="Arial"/>
        </w:rPr>
        <w:t>t</w:t>
      </w:r>
      <w:r w:rsidR="000E698D" w:rsidRPr="00A13C51">
        <w:rPr>
          <w:rFonts w:ascii="Arial" w:hAnsi="Arial" w:cs="Arial"/>
        </w:rPr>
        <w:t xml:space="preserve">he premium rate component </w:t>
      </w:r>
      <w:r>
        <w:rPr>
          <w:rFonts w:ascii="Arial" w:hAnsi="Arial" w:cs="Arial"/>
        </w:rPr>
        <w:t xml:space="preserve">to </w:t>
      </w:r>
      <w:r w:rsidR="000E698D" w:rsidRPr="00A13C51">
        <w:rPr>
          <w:rFonts w:ascii="Arial" w:hAnsi="Arial" w:cs="Arial"/>
        </w:rPr>
        <w:t>reflect the Authority’s administration costs for processing and collecting the unpaid levies owed by non-compliant employers</w:t>
      </w:r>
      <w:r w:rsidR="00A13C51">
        <w:rPr>
          <w:rFonts w:ascii="Arial" w:hAnsi="Arial" w:cs="Arial"/>
        </w:rPr>
        <w:t>.</w:t>
      </w:r>
    </w:p>
    <w:p w14:paraId="201C6265" w14:textId="75CF8C48" w:rsidR="000E698D" w:rsidRPr="00A13C51" w:rsidRDefault="00A13C51" w:rsidP="00A13C51">
      <w:pPr>
        <w:pStyle w:val="ListParagraph"/>
        <w:numPr>
          <w:ilvl w:val="0"/>
          <w:numId w:val="13"/>
        </w:numPr>
        <w:spacing w:before="140"/>
        <w:ind w:hanging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E698D" w:rsidRPr="00A13C51">
        <w:rPr>
          <w:rFonts w:ascii="Arial" w:hAnsi="Arial" w:cs="Arial"/>
        </w:rPr>
        <w:t xml:space="preserve">he formula </w:t>
      </w:r>
      <w:r>
        <w:rPr>
          <w:rFonts w:ascii="Arial" w:hAnsi="Arial" w:cs="Arial"/>
        </w:rPr>
        <w:t xml:space="preserve">used </w:t>
      </w:r>
      <w:r w:rsidR="000E698D" w:rsidRPr="00A13C51">
        <w:rPr>
          <w:rFonts w:ascii="Arial" w:hAnsi="Arial" w:cs="Arial"/>
        </w:rPr>
        <w:t>to calculate the</w:t>
      </w:r>
      <w:r w:rsidR="007E21F0">
        <w:rPr>
          <w:rFonts w:ascii="Arial" w:hAnsi="Arial" w:cs="Arial"/>
        </w:rPr>
        <w:t xml:space="preserve"> accrued</w:t>
      </w:r>
      <w:r w:rsidR="000E698D" w:rsidRPr="00A13C51">
        <w:rPr>
          <w:rFonts w:ascii="Arial" w:hAnsi="Arial" w:cs="Arial"/>
        </w:rPr>
        <w:t xml:space="preserve"> interest </w:t>
      </w:r>
      <w:r w:rsidR="0043249D" w:rsidRPr="00A13C51">
        <w:rPr>
          <w:rFonts w:ascii="Arial" w:hAnsi="Arial" w:cs="Arial"/>
        </w:rPr>
        <w:t>will be</w:t>
      </w:r>
      <w:r w:rsidR="000E698D" w:rsidRPr="00A13C51">
        <w:rPr>
          <w:rFonts w:ascii="Arial" w:hAnsi="Arial" w:cs="Arial"/>
        </w:rPr>
        <w:t>:</w:t>
      </w:r>
    </w:p>
    <w:p w14:paraId="7BF78FA2" w14:textId="77777777" w:rsidR="000E698D" w:rsidRDefault="000E698D" w:rsidP="000E698D">
      <w:pPr>
        <w:pStyle w:val="ListParagraph"/>
        <w:spacing w:before="140"/>
        <w:ind w:left="1080"/>
      </w:pPr>
    </w:p>
    <w:p w14:paraId="634E3CF9" w14:textId="71DEA4A5" w:rsidR="000E698D" w:rsidRDefault="000E698D" w:rsidP="000E698D">
      <w:pPr>
        <w:spacing w:before="140"/>
      </w:pPr>
      <w:r>
        <w:rPr>
          <w:noProof/>
        </w:rPr>
        <w:drawing>
          <wp:inline distT="0" distB="0" distL="0" distR="0" wp14:anchorId="4B8617DD" wp14:editId="724E5957">
            <wp:extent cx="5274945" cy="493248"/>
            <wp:effectExtent l="0" t="0" r="190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9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38AA1A5" w14:textId="0CFF917C" w:rsidR="00A13C51" w:rsidRDefault="00A13C51" w:rsidP="00A13C51">
      <w:pPr>
        <w:pStyle w:val="ListParagraph"/>
        <w:spacing w:before="14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Annual interest rate</w:t>
      </w:r>
      <w:r>
        <w:rPr>
          <w:rFonts w:ascii="Arial" w:hAnsi="Arial" w:cs="Arial"/>
        </w:rPr>
        <w:t xml:space="preserve"> is the interest rate </w:t>
      </w:r>
      <w:r w:rsidR="00DD22A4">
        <w:rPr>
          <w:rFonts w:ascii="Arial" w:hAnsi="Arial" w:cs="Arial"/>
        </w:rPr>
        <w:t xml:space="preserve">determined by the Board in accordance </w:t>
      </w:r>
      <w:r w:rsidR="00366DFF">
        <w:rPr>
          <w:rFonts w:ascii="Arial" w:hAnsi="Arial" w:cs="Arial"/>
        </w:rPr>
        <w:t xml:space="preserve">with </w:t>
      </w:r>
      <w:r w:rsidR="00DD22A4">
        <w:rPr>
          <w:rFonts w:ascii="Arial" w:hAnsi="Arial" w:cs="Arial"/>
        </w:rPr>
        <w:t>this Guideline.</w:t>
      </w:r>
    </w:p>
    <w:p w14:paraId="640716CF" w14:textId="5D351ED4" w:rsidR="000E698D" w:rsidRPr="00DD22A4" w:rsidRDefault="00DD22A4" w:rsidP="00DD22A4">
      <w:pPr>
        <w:pStyle w:val="ListParagraph"/>
        <w:spacing w:before="140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Accrued interest</w:t>
      </w:r>
      <w:r>
        <w:rPr>
          <w:rFonts w:ascii="Arial" w:hAnsi="Arial" w:cs="Arial"/>
        </w:rPr>
        <w:t xml:space="preserve"> is the interest payable on unpaid levies by an employer.</w:t>
      </w:r>
    </w:p>
    <w:sectPr w:rsidR="000E698D" w:rsidRPr="00DD22A4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190F" w14:textId="77777777" w:rsidR="00B1267E" w:rsidRDefault="00B1267E" w:rsidP="00F10CB2">
      <w:r>
        <w:separator/>
      </w:r>
    </w:p>
  </w:endnote>
  <w:endnote w:type="continuationSeparator" w:id="0">
    <w:p w14:paraId="06E1BEB0" w14:textId="77777777" w:rsidR="00B1267E" w:rsidRDefault="00B1267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3FA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B2EA8" w14:textId="06DF30D5" w:rsidR="00704DC3" w:rsidRPr="00E56DAE" w:rsidRDefault="00E56DAE" w:rsidP="00E56DAE">
    <w:pPr>
      <w:pStyle w:val="Footer"/>
      <w:jc w:val="center"/>
      <w:rPr>
        <w:rFonts w:cs="Arial"/>
        <w:sz w:val="14"/>
      </w:rPr>
    </w:pPr>
    <w:r w:rsidRPr="00E56DA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AE8D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08C9" w14:textId="77777777" w:rsidR="00B1267E" w:rsidRDefault="00B1267E" w:rsidP="00F10CB2">
      <w:r>
        <w:separator/>
      </w:r>
    </w:p>
  </w:footnote>
  <w:footnote w:type="continuationSeparator" w:id="0">
    <w:p w14:paraId="5AEBAF57" w14:textId="77777777" w:rsidR="00B1267E" w:rsidRDefault="00B1267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C1ADE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E542C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E434F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466AAE"/>
    <w:multiLevelType w:val="hybridMultilevel"/>
    <w:tmpl w:val="1A6CF0B6"/>
    <w:lvl w:ilvl="0" w:tplc="87AA0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2C54E66"/>
    <w:multiLevelType w:val="hybridMultilevel"/>
    <w:tmpl w:val="71DC93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0ACF"/>
    <w:multiLevelType w:val="hybridMultilevel"/>
    <w:tmpl w:val="27043090"/>
    <w:lvl w:ilvl="0" w:tplc="50ECE4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2D33C8"/>
    <w:multiLevelType w:val="hybridMultilevel"/>
    <w:tmpl w:val="71DC93B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F6941D3"/>
    <w:multiLevelType w:val="hybridMultilevel"/>
    <w:tmpl w:val="84FEA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D51B8"/>
    <w:rsid w:val="000E3638"/>
    <w:rsid w:val="000E698D"/>
    <w:rsid w:val="000F0235"/>
    <w:rsid w:val="0012628D"/>
    <w:rsid w:val="00194AC7"/>
    <w:rsid w:val="00232478"/>
    <w:rsid w:val="002B6D78"/>
    <w:rsid w:val="00366DFF"/>
    <w:rsid w:val="0040285A"/>
    <w:rsid w:val="0043249D"/>
    <w:rsid w:val="004A5128"/>
    <w:rsid w:val="00592BC3"/>
    <w:rsid w:val="00593D2D"/>
    <w:rsid w:val="00612EC8"/>
    <w:rsid w:val="00627F0C"/>
    <w:rsid w:val="006308FF"/>
    <w:rsid w:val="00667281"/>
    <w:rsid w:val="00704DC3"/>
    <w:rsid w:val="0072003E"/>
    <w:rsid w:val="0074708B"/>
    <w:rsid w:val="007D58BA"/>
    <w:rsid w:val="007E21F0"/>
    <w:rsid w:val="008426A3"/>
    <w:rsid w:val="00900D06"/>
    <w:rsid w:val="00A0585C"/>
    <w:rsid w:val="00A13C51"/>
    <w:rsid w:val="00A9244E"/>
    <w:rsid w:val="00AC72DE"/>
    <w:rsid w:val="00B1267E"/>
    <w:rsid w:val="00B30B9A"/>
    <w:rsid w:val="00BA52F5"/>
    <w:rsid w:val="00BB241F"/>
    <w:rsid w:val="00BE2DF9"/>
    <w:rsid w:val="00BF7F6F"/>
    <w:rsid w:val="00C41B1B"/>
    <w:rsid w:val="00C77E3A"/>
    <w:rsid w:val="00CD4E55"/>
    <w:rsid w:val="00D47F13"/>
    <w:rsid w:val="00D677EA"/>
    <w:rsid w:val="00DA086C"/>
    <w:rsid w:val="00DD22A4"/>
    <w:rsid w:val="00E13DA0"/>
    <w:rsid w:val="00E556F2"/>
    <w:rsid w:val="00E56DAE"/>
    <w:rsid w:val="00E85AD3"/>
    <w:rsid w:val="00E93C91"/>
    <w:rsid w:val="00EF3C3B"/>
    <w:rsid w:val="00F10CB2"/>
    <w:rsid w:val="00F15AC3"/>
    <w:rsid w:val="00FE30FD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A936C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612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D7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0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0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2284</Characters>
  <Application>Microsoft Office Word</Application>
  <DocSecurity>0</DocSecurity>
  <Lines>76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2020-07-22T01:01:00Z</dcterms:created>
  <dcterms:modified xsi:type="dcterms:W3CDTF">2020-07-22T01:01:00Z</dcterms:modified>
</cp:coreProperties>
</file>