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87F7" w14:textId="77777777" w:rsidR="00DB76C6" w:rsidRPr="00DB76C6" w:rsidRDefault="00DB76C6" w:rsidP="00DB76C6">
      <w:pPr>
        <w:spacing w:before="120" w:after="0" w:line="240" w:lineRule="auto"/>
        <w:rPr>
          <w:rFonts w:ascii="Arial" w:eastAsia="Times New Roman" w:hAnsi="Arial" w:cs="Arial"/>
          <w:sz w:val="24"/>
          <w:szCs w:val="20"/>
        </w:rPr>
      </w:pPr>
      <w:bookmarkStart w:id="0" w:name="_Toc44738651"/>
      <w:bookmarkStart w:id="1" w:name="_GoBack"/>
      <w:bookmarkEnd w:id="1"/>
      <w:r w:rsidRPr="00DB76C6">
        <w:rPr>
          <w:rFonts w:ascii="Arial" w:eastAsia="Times New Roman" w:hAnsi="Arial" w:cs="Arial"/>
          <w:sz w:val="24"/>
          <w:szCs w:val="20"/>
        </w:rPr>
        <w:t>Australian Capital Territory</w:t>
      </w:r>
    </w:p>
    <w:p w14:paraId="47B6CAD3" w14:textId="77777777" w:rsidR="00DB76C6" w:rsidRPr="00DB76C6" w:rsidRDefault="00DB76C6" w:rsidP="00DB76C6">
      <w:pPr>
        <w:tabs>
          <w:tab w:val="left" w:pos="2400"/>
          <w:tab w:val="left" w:pos="2880"/>
        </w:tabs>
        <w:spacing w:before="700" w:after="100" w:line="240" w:lineRule="auto"/>
        <w:rPr>
          <w:rFonts w:ascii="Arial" w:eastAsia="Times New Roman" w:hAnsi="Arial" w:cs="Times New Roman"/>
          <w:b/>
          <w:sz w:val="40"/>
          <w:szCs w:val="20"/>
        </w:rPr>
      </w:pPr>
      <w:r w:rsidRPr="00DB76C6">
        <w:rPr>
          <w:rFonts w:ascii="Arial" w:eastAsia="Times New Roman" w:hAnsi="Arial" w:cs="Times New Roman"/>
          <w:b/>
          <w:sz w:val="40"/>
          <w:szCs w:val="20"/>
        </w:rPr>
        <w:t>Waste Management and Resource Recovery (Environment Protection</w:t>
      </w:r>
      <w:bookmarkStart w:id="2" w:name="_Hlk47341566"/>
      <w:r w:rsidRPr="00DB76C6">
        <w:rPr>
          <w:rFonts w:ascii="Arial" w:eastAsia="Times New Roman" w:hAnsi="Arial" w:cs="Times New Roman"/>
          <w:b/>
          <w:sz w:val="40"/>
          <w:szCs w:val="20"/>
        </w:rPr>
        <w:t>—</w:t>
      </w:r>
      <w:bookmarkEnd w:id="2"/>
      <w:r w:rsidRPr="00DB76C6">
        <w:rPr>
          <w:rFonts w:ascii="Arial" w:eastAsia="Times New Roman" w:hAnsi="Arial" w:cs="Times New Roman"/>
          <w:b/>
          <w:sz w:val="40"/>
          <w:szCs w:val="20"/>
        </w:rPr>
        <w:t>Used Packaging Materials) Code of Practice 2020</w:t>
      </w:r>
    </w:p>
    <w:p w14:paraId="4A8FCE0E" w14:textId="59D6BB3C" w:rsidR="00DB76C6" w:rsidRPr="00DB76C6" w:rsidRDefault="00DB76C6" w:rsidP="00DB76C6">
      <w:pPr>
        <w:spacing w:before="340" w:after="0" w:line="240" w:lineRule="auto"/>
        <w:rPr>
          <w:rFonts w:ascii="Arial" w:eastAsia="Times New Roman" w:hAnsi="Arial" w:cs="Arial"/>
          <w:b/>
          <w:bCs/>
          <w:sz w:val="24"/>
          <w:szCs w:val="20"/>
        </w:rPr>
      </w:pPr>
      <w:r w:rsidRPr="00DB76C6">
        <w:rPr>
          <w:rFonts w:ascii="Arial" w:eastAsia="Times New Roman" w:hAnsi="Arial" w:cs="Arial"/>
          <w:b/>
          <w:bCs/>
          <w:sz w:val="24"/>
          <w:szCs w:val="20"/>
        </w:rPr>
        <w:t>Disallowable instrument DI</w:t>
      </w:r>
      <w:r w:rsidRPr="00DB76C6">
        <w:rPr>
          <w:rFonts w:ascii="Arial" w:eastAsia="Times New Roman" w:hAnsi="Arial" w:cs="Arial"/>
          <w:b/>
          <w:bCs/>
          <w:iCs/>
          <w:sz w:val="24"/>
          <w:szCs w:val="20"/>
        </w:rPr>
        <w:t>2020</w:t>
      </w:r>
      <w:r w:rsidRPr="00DB76C6">
        <w:rPr>
          <w:rFonts w:ascii="Arial" w:eastAsia="Times New Roman" w:hAnsi="Arial" w:cs="Arial"/>
          <w:b/>
          <w:bCs/>
          <w:sz w:val="24"/>
          <w:szCs w:val="20"/>
        </w:rPr>
        <w:t>–</w:t>
      </w:r>
      <w:r w:rsidR="00980707">
        <w:rPr>
          <w:rFonts w:ascii="Arial" w:eastAsia="Times New Roman" w:hAnsi="Arial" w:cs="Arial"/>
          <w:b/>
          <w:bCs/>
          <w:sz w:val="24"/>
          <w:szCs w:val="20"/>
        </w:rPr>
        <w:t>256</w:t>
      </w:r>
    </w:p>
    <w:p w14:paraId="09E0BAEB" w14:textId="77777777" w:rsidR="00DB76C6" w:rsidRPr="00DB76C6" w:rsidRDefault="00DB76C6" w:rsidP="00DB76C6">
      <w:pPr>
        <w:spacing w:before="300" w:after="0" w:line="240" w:lineRule="auto"/>
        <w:jc w:val="both"/>
        <w:rPr>
          <w:rFonts w:ascii="Times New Roman" w:eastAsia="Times New Roman" w:hAnsi="Times New Roman" w:cs="Times New Roman"/>
          <w:sz w:val="24"/>
          <w:szCs w:val="20"/>
        </w:rPr>
      </w:pPr>
      <w:r w:rsidRPr="00DB76C6">
        <w:rPr>
          <w:rFonts w:ascii="Times New Roman" w:eastAsia="Times New Roman" w:hAnsi="Times New Roman" w:cs="Times New Roman"/>
          <w:sz w:val="24"/>
          <w:szCs w:val="20"/>
        </w:rPr>
        <w:t xml:space="preserve">made under the  </w:t>
      </w:r>
    </w:p>
    <w:p w14:paraId="0D6F75F5" w14:textId="77777777" w:rsidR="00DB76C6" w:rsidRPr="00DB76C6" w:rsidRDefault="00DB76C6" w:rsidP="00DB76C6">
      <w:pPr>
        <w:tabs>
          <w:tab w:val="left" w:pos="2600"/>
        </w:tabs>
        <w:spacing w:before="320" w:after="0" w:line="240" w:lineRule="auto"/>
        <w:jc w:val="both"/>
        <w:rPr>
          <w:rFonts w:ascii="Arial" w:eastAsia="Times New Roman" w:hAnsi="Arial" w:cs="Arial"/>
          <w:b/>
          <w:sz w:val="20"/>
          <w:szCs w:val="20"/>
        </w:rPr>
      </w:pPr>
      <w:r w:rsidRPr="00DB76C6">
        <w:rPr>
          <w:rFonts w:ascii="Arial" w:eastAsia="Times New Roman" w:hAnsi="Arial" w:cs="Arial"/>
          <w:b/>
          <w:sz w:val="20"/>
          <w:szCs w:val="20"/>
        </w:rPr>
        <w:t>Waste Management and Resource Recovery Act 2016, s 60 (Codes of practice</w:t>
      </w:r>
      <w:bookmarkStart w:id="3" w:name="_Hlk47341574"/>
      <w:r w:rsidRPr="00DB76C6">
        <w:rPr>
          <w:rFonts w:ascii="Arial" w:eastAsia="Times New Roman" w:hAnsi="Arial" w:cs="Arial"/>
          <w:b/>
          <w:sz w:val="20"/>
          <w:szCs w:val="20"/>
        </w:rPr>
        <w:t>—</w:t>
      </w:r>
      <w:bookmarkEnd w:id="3"/>
      <w:r w:rsidRPr="00DB76C6">
        <w:rPr>
          <w:rFonts w:ascii="Arial" w:eastAsia="Times New Roman" w:hAnsi="Arial" w:cs="Arial"/>
          <w:b/>
          <w:sz w:val="20"/>
          <w:szCs w:val="20"/>
        </w:rPr>
        <w:t>approval)</w:t>
      </w:r>
    </w:p>
    <w:p w14:paraId="080CEE68" w14:textId="77777777" w:rsidR="00DB76C6" w:rsidRPr="00DB76C6" w:rsidRDefault="00DB76C6" w:rsidP="00DB76C6">
      <w:pPr>
        <w:spacing w:before="60" w:after="0" w:line="240" w:lineRule="auto"/>
        <w:jc w:val="both"/>
        <w:rPr>
          <w:rFonts w:ascii="Times New Roman" w:eastAsia="Times New Roman" w:hAnsi="Times New Roman" w:cs="Times New Roman"/>
          <w:sz w:val="24"/>
          <w:szCs w:val="20"/>
        </w:rPr>
      </w:pPr>
    </w:p>
    <w:p w14:paraId="7322BA4F" w14:textId="77777777" w:rsidR="00DB76C6" w:rsidRPr="00DB76C6" w:rsidRDefault="00DB76C6" w:rsidP="00DB76C6">
      <w:pPr>
        <w:pBdr>
          <w:top w:val="single" w:sz="12" w:space="1" w:color="auto"/>
        </w:pBdr>
        <w:spacing w:after="0" w:line="240" w:lineRule="auto"/>
        <w:jc w:val="both"/>
        <w:rPr>
          <w:rFonts w:ascii="Times New Roman" w:eastAsia="Times New Roman" w:hAnsi="Times New Roman" w:cs="Times New Roman"/>
          <w:sz w:val="24"/>
          <w:szCs w:val="20"/>
        </w:rPr>
      </w:pPr>
    </w:p>
    <w:p w14:paraId="16526130" w14:textId="77777777" w:rsidR="00DB76C6" w:rsidRPr="00DB76C6" w:rsidRDefault="00DB76C6" w:rsidP="00DB76C6">
      <w:pPr>
        <w:spacing w:before="60" w:after="60" w:line="240" w:lineRule="auto"/>
        <w:ind w:left="720" w:hanging="720"/>
        <w:rPr>
          <w:rFonts w:ascii="Arial" w:eastAsia="Times New Roman" w:hAnsi="Arial" w:cs="Arial"/>
          <w:b/>
          <w:bCs/>
          <w:sz w:val="24"/>
          <w:szCs w:val="20"/>
        </w:rPr>
      </w:pPr>
      <w:r w:rsidRPr="00DB76C6">
        <w:rPr>
          <w:rFonts w:ascii="Arial" w:eastAsia="Times New Roman" w:hAnsi="Arial" w:cs="Arial"/>
          <w:b/>
          <w:bCs/>
          <w:sz w:val="24"/>
          <w:szCs w:val="20"/>
        </w:rPr>
        <w:t>1</w:t>
      </w:r>
      <w:r w:rsidRPr="00DB76C6">
        <w:rPr>
          <w:rFonts w:ascii="Arial" w:eastAsia="Times New Roman" w:hAnsi="Arial" w:cs="Arial"/>
          <w:b/>
          <w:bCs/>
          <w:sz w:val="24"/>
          <w:szCs w:val="20"/>
        </w:rPr>
        <w:tab/>
        <w:t>Name of instrument</w:t>
      </w:r>
    </w:p>
    <w:p w14:paraId="716724E8" w14:textId="77777777" w:rsidR="00DB76C6" w:rsidRPr="00DB76C6" w:rsidRDefault="00DB76C6" w:rsidP="00DB76C6">
      <w:pPr>
        <w:spacing w:before="140" w:after="0" w:line="240" w:lineRule="auto"/>
        <w:ind w:left="720"/>
        <w:rPr>
          <w:rFonts w:ascii="Times New Roman" w:eastAsia="Times New Roman" w:hAnsi="Times New Roman" w:cs="Times New Roman"/>
          <w:sz w:val="24"/>
          <w:szCs w:val="20"/>
        </w:rPr>
      </w:pPr>
      <w:r w:rsidRPr="00DB76C6">
        <w:rPr>
          <w:rFonts w:ascii="Times New Roman" w:eastAsia="Times New Roman" w:hAnsi="Times New Roman" w:cs="Times New Roman"/>
          <w:sz w:val="24"/>
          <w:szCs w:val="20"/>
        </w:rPr>
        <w:t xml:space="preserve">This instrument is the </w:t>
      </w:r>
      <w:r w:rsidRPr="00DB76C6">
        <w:rPr>
          <w:rFonts w:ascii="Times New Roman" w:eastAsia="Times New Roman" w:hAnsi="Times New Roman" w:cs="Times New Roman"/>
          <w:i/>
          <w:iCs/>
          <w:sz w:val="24"/>
          <w:szCs w:val="20"/>
        </w:rPr>
        <w:t>Waste Management and Resource Recovery (Environment Protection—Used Packaging Materials) Code of Practice 2020</w:t>
      </w:r>
      <w:r w:rsidRPr="00DB76C6">
        <w:rPr>
          <w:rFonts w:ascii="Times New Roman" w:eastAsia="Times New Roman" w:hAnsi="Times New Roman" w:cs="Times New Roman"/>
          <w:bCs/>
          <w:iCs/>
          <w:sz w:val="24"/>
          <w:szCs w:val="20"/>
        </w:rPr>
        <w:t>.</w:t>
      </w:r>
    </w:p>
    <w:p w14:paraId="1CFFDA82" w14:textId="77777777" w:rsidR="00DB76C6" w:rsidRPr="00DB76C6" w:rsidRDefault="00DB76C6" w:rsidP="00DB76C6">
      <w:pPr>
        <w:spacing w:before="300" w:after="0" w:line="240" w:lineRule="auto"/>
        <w:ind w:left="720" w:hanging="720"/>
        <w:rPr>
          <w:rFonts w:ascii="Arial" w:eastAsia="Times New Roman" w:hAnsi="Arial" w:cs="Arial"/>
          <w:b/>
          <w:bCs/>
          <w:sz w:val="24"/>
          <w:szCs w:val="20"/>
        </w:rPr>
      </w:pPr>
      <w:r w:rsidRPr="00DB76C6">
        <w:rPr>
          <w:rFonts w:ascii="Arial" w:eastAsia="Times New Roman" w:hAnsi="Arial" w:cs="Arial"/>
          <w:b/>
          <w:bCs/>
          <w:sz w:val="24"/>
          <w:szCs w:val="20"/>
        </w:rPr>
        <w:t>2</w:t>
      </w:r>
      <w:r w:rsidRPr="00DB76C6">
        <w:rPr>
          <w:rFonts w:ascii="Arial" w:eastAsia="Times New Roman" w:hAnsi="Arial" w:cs="Arial"/>
          <w:b/>
          <w:bCs/>
          <w:sz w:val="24"/>
          <w:szCs w:val="20"/>
        </w:rPr>
        <w:tab/>
        <w:t xml:space="preserve">Commencement </w:t>
      </w:r>
    </w:p>
    <w:p w14:paraId="1E6E7B61" w14:textId="77777777" w:rsidR="00DB76C6" w:rsidRPr="00DB76C6" w:rsidRDefault="00DB76C6" w:rsidP="00DB76C6">
      <w:pPr>
        <w:spacing w:before="140" w:after="0" w:line="240" w:lineRule="auto"/>
        <w:ind w:left="720"/>
        <w:rPr>
          <w:rFonts w:ascii="Times New Roman" w:eastAsia="Times New Roman" w:hAnsi="Times New Roman" w:cs="Times New Roman"/>
          <w:sz w:val="24"/>
          <w:szCs w:val="20"/>
        </w:rPr>
      </w:pPr>
      <w:r w:rsidRPr="00DB76C6">
        <w:rPr>
          <w:rFonts w:ascii="Times New Roman" w:eastAsia="Times New Roman" w:hAnsi="Times New Roman" w:cs="Times New Roman"/>
          <w:sz w:val="24"/>
          <w:szCs w:val="20"/>
        </w:rPr>
        <w:t xml:space="preserve">This instrument commences on the day after notification. </w:t>
      </w:r>
    </w:p>
    <w:p w14:paraId="0F7FFD07" w14:textId="77777777" w:rsidR="00DB76C6" w:rsidRPr="00DB76C6" w:rsidRDefault="00DB76C6" w:rsidP="00DB76C6">
      <w:pPr>
        <w:spacing w:before="300" w:after="0" w:line="240" w:lineRule="auto"/>
        <w:ind w:left="720" w:hanging="720"/>
        <w:rPr>
          <w:rFonts w:ascii="Arial" w:eastAsia="Times New Roman" w:hAnsi="Arial" w:cs="Arial"/>
          <w:b/>
          <w:bCs/>
          <w:sz w:val="24"/>
          <w:szCs w:val="20"/>
        </w:rPr>
      </w:pPr>
      <w:r w:rsidRPr="00DB76C6">
        <w:rPr>
          <w:rFonts w:ascii="Arial" w:eastAsia="Times New Roman" w:hAnsi="Arial" w:cs="Arial"/>
          <w:b/>
          <w:bCs/>
          <w:sz w:val="24"/>
          <w:szCs w:val="20"/>
        </w:rPr>
        <w:t>3</w:t>
      </w:r>
      <w:r w:rsidRPr="00DB76C6">
        <w:rPr>
          <w:rFonts w:ascii="Arial" w:eastAsia="Times New Roman" w:hAnsi="Arial" w:cs="Arial"/>
          <w:b/>
          <w:bCs/>
          <w:sz w:val="24"/>
          <w:szCs w:val="20"/>
        </w:rPr>
        <w:tab/>
        <w:t>Approval</w:t>
      </w:r>
    </w:p>
    <w:p w14:paraId="3C1A9F47" w14:textId="77777777" w:rsidR="00DB76C6" w:rsidRPr="00DB76C6" w:rsidRDefault="00DB76C6" w:rsidP="00DB76C6">
      <w:pPr>
        <w:spacing w:before="140" w:after="0" w:line="240" w:lineRule="auto"/>
        <w:ind w:left="720"/>
        <w:rPr>
          <w:rFonts w:ascii="Times New Roman" w:eastAsia="Times New Roman" w:hAnsi="Times New Roman" w:cs="Times New Roman"/>
          <w:sz w:val="24"/>
          <w:szCs w:val="20"/>
        </w:rPr>
      </w:pPr>
      <w:r w:rsidRPr="00DB76C6">
        <w:rPr>
          <w:rFonts w:ascii="Times New Roman" w:eastAsia="Times New Roman" w:hAnsi="Times New Roman" w:cs="Times New Roman"/>
          <w:sz w:val="24"/>
          <w:szCs w:val="20"/>
        </w:rPr>
        <w:t>I approve the Environment Protection (Used Packaging Materials) Code of Practice as set out in Schedule 1.</w:t>
      </w:r>
    </w:p>
    <w:p w14:paraId="645D474C" w14:textId="77777777" w:rsidR="00DB76C6" w:rsidRPr="00DB76C6" w:rsidRDefault="00DB76C6" w:rsidP="00DB76C6">
      <w:pPr>
        <w:tabs>
          <w:tab w:val="left" w:pos="4320"/>
        </w:tabs>
        <w:spacing w:before="720" w:after="0" w:line="240" w:lineRule="auto"/>
        <w:rPr>
          <w:rFonts w:ascii="Arial" w:eastAsia="Times New Roman" w:hAnsi="Arial" w:cs="Arial"/>
          <w:b/>
          <w:bCs/>
          <w:sz w:val="24"/>
          <w:szCs w:val="20"/>
        </w:rPr>
      </w:pPr>
    </w:p>
    <w:p w14:paraId="69852D03" w14:textId="77777777" w:rsidR="00DB76C6" w:rsidRPr="00DB76C6" w:rsidRDefault="00DB76C6" w:rsidP="00DB76C6">
      <w:pPr>
        <w:tabs>
          <w:tab w:val="left" w:pos="4320"/>
        </w:tabs>
        <w:spacing w:before="720" w:after="0" w:line="240" w:lineRule="auto"/>
        <w:rPr>
          <w:rFonts w:ascii="Times New Roman" w:eastAsia="Times New Roman" w:hAnsi="Times New Roman" w:cs="Times New Roman"/>
          <w:sz w:val="24"/>
          <w:szCs w:val="20"/>
        </w:rPr>
      </w:pPr>
      <w:r w:rsidRPr="00DB76C6">
        <w:rPr>
          <w:rFonts w:ascii="Times New Roman" w:eastAsia="Times New Roman" w:hAnsi="Times New Roman" w:cs="Times New Roman"/>
          <w:sz w:val="24"/>
          <w:szCs w:val="20"/>
        </w:rPr>
        <w:t>Chris Steel MLA</w:t>
      </w:r>
    </w:p>
    <w:p w14:paraId="351CB657" w14:textId="77777777" w:rsidR="00DB76C6" w:rsidRPr="00DB76C6" w:rsidRDefault="00DB76C6" w:rsidP="00DB76C6">
      <w:pPr>
        <w:tabs>
          <w:tab w:val="left" w:pos="4320"/>
        </w:tabs>
        <w:spacing w:after="0" w:line="240" w:lineRule="auto"/>
        <w:rPr>
          <w:rFonts w:ascii="Times New Roman" w:eastAsia="Times New Roman" w:hAnsi="Times New Roman" w:cs="Times New Roman"/>
          <w:sz w:val="24"/>
          <w:szCs w:val="20"/>
        </w:rPr>
      </w:pPr>
      <w:r w:rsidRPr="00DB76C6">
        <w:rPr>
          <w:rFonts w:ascii="Times New Roman" w:eastAsia="Times New Roman" w:hAnsi="Times New Roman" w:cs="Times New Roman"/>
          <w:sz w:val="24"/>
          <w:szCs w:val="20"/>
        </w:rPr>
        <w:t>Minister for Recycling and Waste Reduction</w:t>
      </w:r>
    </w:p>
    <w:p w14:paraId="298BF0D0" w14:textId="77777777" w:rsidR="00DB76C6" w:rsidRPr="00DB76C6" w:rsidRDefault="00DB76C6" w:rsidP="00DB76C6">
      <w:pPr>
        <w:tabs>
          <w:tab w:val="left" w:pos="4320"/>
        </w:tabs>
        <w:spacing w:after="0" w:line="240" w:lineRule="auto"/>
        <w:rPr>
          <w:rFonts w:ascii="Times New Roman" w:eastAsia="Times New Roman" w:hAnsi="Times New Roman" w:cs="Times New Roman"/>
          <w:sz w:val="24"/>
          <w:szCs w:val="20"/>
        </w:rPr>
      </w:pPr>
    </w:p>
    <w:bookmarkEnd w:id="0"/>
    <w:p w14:paraId="78A220CB" w14:textId="79CDE214" w:rsidR="00DB76C6" w:rsidRPr="00DB76C6" w:rsidRDefault="00980707" w:rsidP="00DB76C6">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31 August 2020</w:t>
      </w:r>
    </w:p>
    <w:p w14:paraId="65DD6F14" w14:textId="77777777" w:rsidR="00DB76C6" w:rsidRDefault="00DB76C6">
      <w:pPr>
        <w:rPr>
          <w:rFonts w:ascii="Arial" w:eastAsiaTheme="majorEastAsia" w:hAnsi="Arial" w:cs="Arial"/>
          <w:color w:val="FFFFFF"/>
          <w:sz w:val="72"/>
          <w:szCs w:val="72"/>
          <w:lang w:val="en-US"/>
        </w:rPr>
      </w:pPr>
      <w:r>
        <w:rPr>
          <w:rFonts w:ascii="Arial" w:hAnsi="Arial" w:cs="Arial"/>
          <w:color w:val="FFFFFF"/>
          <w:sz w:val="72"/>
          <w:szCs w:val="72"/>
        </w:rPr>
        <w:br w:type="page"/>
      </w:r>
    </w:p>
    <w:p w14:paraId="0187DF42" w14:textId="6F90BB46" w:rsidR="00AF1DA1" w:rsidRDefault="00F27321" w:rsidP="00AF1DA1">
      <w:pPr>
        <w:pStyle w:val="TOCHeading"/>
        <w:rPr>
          <w:rFonts w:ascii="Arial" w:hAnsi="Arial" w:cs="Arial"/>
          <w:color w:val="FFFFFF"/>
          <w:sz w:val="72"/>
          <w:szCs w:val="72"/>
        </w:rPr>
      </w:pPr>
      <w:r w:rsidRPr="00F94807">
        <w:rPr>
          <w:rFonts w:ascii="Arial" w:hAnsi="Arial" w:cs="Arial"/>
          <w:noProof/>
          <w:color w:val="FFFFFF"/>
          <w:sz w:val="72"/>
          <w:szCs w:val="72"/>
        </w:rPr>
        <w:lastRenderedPageBreak/>
        <w:drawing>
          <wp:anchor distT="0" distB="0" distL="114300" distR="114300" simplePos="0" relativeHeight="251661312" behindDoc="1" locked="0" layoutInCell="1" allowOverlap="1" wp14:anchorId="4BBD5B72" wp14:editId="769B0016">
            <wp:simplePos x="0" y="0"/>
            <wp:positionH relativeFrom="page">
              <wp:posOffset>-23495</wp:posOffset>
            </wp:positionH>
            <wp:positionV relativeFrom="page">
              <wp:posOffset>-33655</wp:posOffset>
            </wp:positionV>
            <wp:extent cx="7594600" cy="107429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flipV="1">
                      <a:off x="0" y="0"/>
                      <a:ext cx="7594600" cy="1074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A1">
        <w:rPr>
          <w:noProof/>
        </w:rPr>
        <w:drawing>
          <wp:anchor distT="0" distB="0" distL="114300" distR="114300" simplePos="0" relativeHeight="251665408" behindDoc="0" locked="0" layoutInCell="1" allowOverlap="1" wp14:anchorId="0E1EEB0A" wp14:editId="1E6D696A">
            <wp:simplePos x="0" y="0"/>
            <wp:positionH relativeFrom="margin">
              <wp:posOffset>54610</wp:posOffset>
            </wp:positionH>
            <wp:positionV relativeFrom="page">
              <wp:posOffset>1440019</wp:posOffset>
            </wp:positionV>
            <wp:extent cx="1414145" cy="723265"/>
            <wp:effectExtent l="0" t="0" r="0" b="635"/>
            <wp:wrapSquare wrapText="bothSides"/>
            <wp:docPr id="4"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9546E" w14:textId="327E73A6" w:rsidR="00AF1DA1" w:rsidRDefault="00AF1DA1" w:rsidP="00AF1DA1">
      <w:pPr>
        <w:pStyle w:val="TOCHeading"/>
        <w:rPr>
          <w:rFonts w:ascii="Arial" w:hAnsi="Arial" w:cs="Arial"/>
          <w:color w:val="FFFFFF"/>
          <w:sz w:val="72"/>
          <w:szCs w:val="72"/>
        </w:rPr>
      </w:pPr>
    </w:p>
    <w:p w14:paraId="203B452B" w14:textId="22561A72" w:rsidR="00AF1DA1" w:rsidRDefault="00AF1DA1" w:rsidP="00AF1DA1">
      <w:pPr>
        <w:pStyle w:val="TOCHeading"/>
        <w:rPr>
          <w:rFonts w:ascii="Arial" w:hAnsi="Arial" w:cs="Arial"/>
          <w:color w:val="FFFFFF"/>
          <w:sz w:val="72"/>
          <w:szCs w:val="72"/>
        </w:rPr>
      </w:pPr>
    </w:p>
    <w:p w14:paraId="574488FD" w14:textId="1A8BDAB4" w:rsidR="00AF1DA1" w:rsidRDefault="00AF1DA1" w:rsidP="00AF1DA1">
      <w:pPr>
        <w:pStyle w:val="TOCHeading"/>
        <w:rPr>
          <w:rFonts w:ascii="Arial" w:hAnsi="Arial" w:cs="Arial"/>
          <w:color w:val="FFFFFF"/>
          <w:sz w:val="72"/>
          <w:szCs w:val="72"/>
        </w:rPr>
      </w:pPr>
    </w:p>
    <w:p w14:paraId="314AE4D8" w14:textId="3FD61430" w:rsidR="00AF1DA1" w:rsidRDefault="00AD49A7" w:rsidP="00AF1DA1">
      <w:pPr>
        <w:pStyle w:val="TOCHeading"/>
        <w:rPr>
          <w:rFonts w:ascii="Arial" w:hAnsi="Arial" w:cs="Arial"/>
          <w:color w:val="FFFFFF"/>
          <w:sz w:val="72"/>
          <w:szCs w:val="72"/>
        </w:rPr>
      </w:pPr>
      <w:r>
        <w:rPr>
          <w:rFonts w:ascii="Arial" w:hAnsi="Arial" w:cs="Arial"/>
          <w:color w:val="FFFFFF"/>
          <w:sz w:val="72"/>
          <w:szCs w:val="72"/>
        </w:rPr>
        <w:t xml:space="preserve">Schedule 1 - </w:t>
      </w:r>
      <w:r w:rsidR="00AF1DA1">
        <w:rPr>
          <w:rFonts w:ascii="Arial" w:hAnsi="Arial" w:cs="Arial"/>
          <w:color w:val="FFFFFF"/>
          <w:sz w:val="72"/>
          <w:szCs w:val="72"/>
        </w:rPr>
        <w:t xml:space="preserve">Environment Protection (Used Packaging Materials) Code of Practice </w:t>
      </w:r>
    </w:p>
    <w:p w14:paraId="044AC3A6" w14:textId="4A95E07E" w:rsidR="00AF1DA1" w:rsidRDefault="00AF1DA1" w:rsidP="00AF1DA1">
      <w:pPr>
        <w:pStyle w:val="BodyText"/>
      </w:pPr>
    </w:p>
    <w:p w14:paraId="72D22BB8" w14:textId="03E42BE8" w:rsidR="00AD49A7" w:rsidRDefault="00AD49A7" w:rsidP="00AF1DA1">
      <w:pPr>
        <w:pStyle w:val="BodyText"/>
      </w:pPr>
    </w:p>
    <w:p w14:paraId="637512B6" w14:textId="1D5BA922" w:rsidR="00AD49A7" w:rsidRDefault="00AD49A7" w:rsidP="00AF1DA1">
      <w:pPr>
        <w:pStyle w:val="BodyText"/>
      </w:pPr>
    </w:p>
    <w:p w14:paraId="60744F19" w14:textId="4D6B5CBD" w:rsidR="00AD49A7" w:rsidRDefault="00AD49A7" w:rsidP="00AF1DA1">
      <w:pPr>
        <w:pStyle w:val="BodyText"/>
      </w:pPr>
    </w:p>
    <w:p w14:paraId="2AD192E2" w14:textId="77777777" w:rsidR="00AD49A7" w:rsidRDefault="00AD49A7" w:rsidP="00AF1DA1">
      <w:pPr>
        <w:pStyle w:val="BodyText"/>
      </w:pPr>
    </w:p>
    <w:p w14:paraId="48D5E1E4" w14:textId="77777777" w:rsidR="00AF1DA1" w:rsidRDefault="00AF1DA1" w:rsidP="00AF1DA1">
      <w:pPr>
        <w:keepNext/>
        <w:keepLines/>
        <w:spacing w:after="0"/>
        <w:jc w:val="right"/>
        <w:rPr>
          <w:rFonts w:eastAsiaTheme="majorEastAsia" w:cs="Arial"/>
          <w:b/>
          <w:bCs/>
          <w:noProof/>
          <w:color w:val="FFFFFF"/>
          <w:sz w:val="40"/>
          <w:szCs w:val="40"/>
        </w:rPr>
      </w:pPr>
    </w:p>
    <w:p w14:paraId="69E9654B" w14:textId="77777777" w:rsidR="00AF1DA1" w:rsidRDefault="00AF1DA1" w:rsidP="00AF1DA1">
      <w:pPr>
        <w:keepNext/>
        <w:keepLines/>
        <w:spacing w:after="0"/>
        <w:jc w:val="right"/>
        <w:rPr>
          <w:rFonts w:eastAsiaTheme="majorEastAsia" w:cs="Arial"/>
          <w:b/>
          <w:bCs/>
          <w:noProof/>
          <w:color w:val="FFFFFF"/>
          <w:sz w:val="40"/>
          <w:szCs w:val="40"/>
        </w:rPr>
      </w:pPr>
    </w:p>
    <w:p w14:paraId="4E7B2327" w14:textId="77777777" w:rsidR="00AF1DA1" w:rsidRDefault="00AF1DA1" w:rsidP="00AF1DA1">
      <w:pPr>
        <w:keepNext/>
        <w:keepLines/>
        <w:spacing w:after="0"/>
        <w:jc w:val="right"/>
        <w:rPr>
          <w:rFonts w:eastAsiaTheme="majorEastAsia" w:cs="Arial"/>
          <w:noProof/>
          <w:color w:val="FFFFFF"/>
          <w:sz w:val="32"/>
          <w:szCs w:val="32"/>
        </w:rPr>
      </w:pPr>
    </w:p>
    <w:p w14:paraId="59EEF8BC" w14:textId="77777777" w:rsidR="00AF1DA1" w:rsidRDefault="00AF1DA1" w:rsidP="00AF1DA1">
      <w:pPr>
        <w:keepNext/>
        <w:keepLines/>
        <w:spacing w:after="0"/>
        <w:jc w:val="right"/>
        <w:rPr>
          <w:rFonts w:eastAsiaTheme="majorEastAsia" w:cs="Arial"/>
          <w:noProof/>
          <w:color w:val="FFFFFF"/>
          <w:sz w:val="32"/>
          <w:szCs w:val="32"/>
        </w:rPr>
      </w:pPr>
    </w:p>
    <w:p w14:paraId="25AF272F" w14:textId="77777777" w:rsidR="00AF1DA1" w:rsidRDefault="00AF1DA1" w:rsidP="00AF1DA1">
      <w:pPr>
        <w:keepNext/>
        <w:keepLines/>
        <w:spacing w:after="0"/>
        <w:jc w:val="right"/>
        <w:rPr>
          <w:rFonts w:eastAsiaTheme="majorEastAsia" w:cs="Arial"/>
          <w:noProof/>
          <w:color w:val="FFFFFF"/>
          <w:sz w:val="32"/>
          <w:szCs w:val="32"/>
        </w:rPr>
      </w:pPr>
    </w:p>
    <w:p w14:paraId="634D844B" w14:textId="77777777" w:rsidR="00AF1DA1" w:rsidRDefault="00AF1DA1" w:rsidP="00AF1DA1">
      <w:pPr>
        <w:keepNext/>
        <w:keepLines/>
        <w:spacing w:after="0"/>
        <w:jc w:val="right"/>
        <w:rPr>
          <w:rFonts w:eastAsiaTheme="majorEastAsia" w:cs="Arial"/>
          <w:noProof/>
          <w:color w:val="FFFFFF"/>
          <w:sz w:val="32"/>
          <w:szCs w:val="32"/>
        </w:rPr>
      </w:pPr>
    </w:p>
    <w:p w14:paraId="05055F1E" w14:textId="4B7F0772" w:rsidR="00AF1DA1" w:rsidRPr="00AF1DA1" w:rsidRDefault="00AF1DA1" w:rsidP="00AF1DA1">
      <w:pPr>
        <w:keepNext/>
        <w:keepLines/>
        <w:spacing w:after="0"/>
        <w:jc w:val="right"/>
        <w:rPr>
          <w:rFonts w:eastAsiaTheme="majorEastAsia" w:cs="Arial"/>
          <w:noProof/>
          <w:color w:val="FFFFFF"/>
          <w:sz w:val="32"/>
          <w:szCs w:val="32"/>
        </w:rPr>
      </w:pPr>
      <w:r w:rsidRPr="00AF1DA1">
        <w:rPr>
          <w:rFonts w:eastAsiaTheme="majorEastAsia" w:cs="Arial"/>
          <w:noProof/>
          <w:color w:val="FFFFFF"/>
          <w:sz w:val="32"/>
          <w:szCs w:val="32"/>
        </w:rPr>
        <w:t xml:space="preserve">TRANSPORT CANBERRA AND </w:t>
      </w:r>
    </w:p>
    <w:p w14:paraId="45326369" w14:textId="242D9DA4" w:rsidR="00AF1DA1" w:rsidRPr="00AF1DA1" w:rsidRDefault="00AF1DA1" w:rsidP="00AF1DA1">
      <w:pPr>
        <w:keepNext/>
        <w:keepLines/>
        <w:spacing w:after="0"/>
        <w:jc w:val="right"/>
        <w:rPr>
          <w:rFonts w:eastAsiaTheme="majorEastAsia" w:cs="Arial"/>
          <w:b/>
          <w:bCs/>
          <w:noProof/>
          <w:color w:val="FFFFFF"/>
          <w:sz w:val="32"/>
          <w:szCs w:val="32"/>
        </w:rPr>
      </w:pPr>
      <w:r w:rsidRPr="00AF1DA1">
        <w:rPr>
          <w:rFonts w:eastAsiaTheme="majorEastAsia" w:cs="Arial"/>
          <w:noProof/>
          <w:color w:val="FFFFFF"/>
          <w:sz w:val="32"/>
          <w:szCs w:val="32"/>
        </w:rPr>
        <w:t>CITY SERVICES DIRECTORATE</w:t>
      </w:r>
      <w:r w:rsidRPr="00AF1DA1">
        <w:rPr>
          <w:rFonts w:eastAsiaTheme="majorEastAsia" w:cs="Arial"/>
          <w:b/>
          <w:bCs/>
          <w:noProof/>
          <w:color w:val="FFFFFF"/>
          <w:sz w:val="32"/>
          <w:szCs w:val="32"/>
        </w:rPr>
        <w:t xml:space="preserve"> </w:t>
      </w:r>
    </w:p>
    <w:p w14:paraId="170E6632" w14:textId="77777777" w:rsidR="00AF1DA1" w:rsidRPr="00AF1DA1" w:rsidRDefault="00AF1DA1" w:rsidP="00AF1DA1">
      <w:pPr>
        <w:pStyle w:val="BodyText"/>
      </w:pPr>
    </w:p>
    <w:sdt>
      <w:sdtPr>
        <w:rPr>
          <w:rFonts w:asciiTheme="minorHAnsi" w:eastAsiaTheme="minorHAnsi" w:hAnsiTheme="minorHAnsi" w:cstheme="minorBidi"/>
          <w:color w:val="auto"/>
          <w:sz w:val="22"/>
          <w:szCs w:val="22"/>
          <w:lang w:val="en-AU"/>
        </w:rPr>
        <w:id w:val="-1688747608"/>
        <w:docPartObj>
          <w:docPartGallery w:val="Table of Contents"/>
          <w:docPartUnique/>
        </w:docPartObj>
      </w:sdtPr>
      <w:sdtEndPr>
        <w:rPr>
          <w:b/>
          <w:bCs/>
          <w:noProof/>
        </w:rPr>
      </w:sdtEndPr>
      <w:sdtContent>
        <w:p w14:paraId="248A7B7F" w14:textId="50A8CCCE" w:rsidR="00FC3788" w:rsidRDefault="00FC3788">
          <w:pPr>
            <w:pStyle w:val="TOCHeading"/>
          </w:pPr>
          <w:r>
            <w:t>Contents</w:t>
          </w:r>
        </w:p>
        <w:p w14:paraId="71388482" w14:textId="168885B7" w:rsidR="00AF1DA1" w:rsidRDefault="00FC3788">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358551" w:history="1">
            <w:r w:rsidR="00AF1DA1" w:rsidRPr="006B54C3">
              <w:rPr>
                <w:rStyle w:val="Hyperlink"/>
                <w:noProof/>
              </w:rPr>
              <w:t>Preface</w:t>
            </w:r>
            <w:r w:rsidR="00AF1DA1">
              <w:rPr>
                <w:noProof/>
                <w:webHidden/>
              </w:rPr>
              <w:tab/>
            </w:r>
            <w:r w:rsidR="00AF1DA1">
              <w:rPr>
                <w:noProof/>
                <w:webHidden/>
              </w:rPr>
              <w:fldChar w:fldCharType="begin"/>
            </w:r>
            <w:r w:rsidR="00AF1DA1">
              <w:rPr>
                <w:noProof/>
                <w:webHidden/>
              </w:rPr>
              <w:instrText xml:space="preserve"> PAGEREF _Toc47358551 \h </w:instrText>
            </w:r>
            <w:r w:rsidR="00AF1DA1">
              <w:rPr>
                <w:noProof/>
                <w:webHidden/>
              </w:rPr>
            </w:r>
            <w:r w:rsidR="00AF1DA1">
              <w:rPr>
                <w:noProof/>
                <w:webHidden/>
              </w:rPr>
              <w:fldChar w:fldCharType="separate"/>
            </w:r>
            <w:r w:rsidR="00AF1DA1">
              <w:rPr>
                <w:noProof/>
                <w:webHidden/>
              </w:rPr>
              <w:t>4</w:t>
            </w:r>
            <w:r w:rsidR="00AF1DA1">
              <w:rPr>
                <w:noProof/>
                <w:webHidden/>
              </w:rPr>
              <w:fldChar w:fldCharType="end"/>
            </w:r>
          </w:hyperlink>
        </w:p>
        <w:p w14:paraId="20407187" w14:textId="09FFDB59" w:rsidR="00AF1DA1" w:rsidRDefault="00722C2B">
          <w:pPr>
            <w:pStyle w:val="TOC2"/>
            <w:tabs>
              <w:tab w:val="right" w:leader="dot" w:pos="9016"/>
            </w:tabs>
            <w:rPr>
              <w:rFonts w:eastAsiaTheme="minorEastAsia"/>
              <w:noProof/>
              <w:lang w:eastAsia="en-AU"/>
            </w:rPr>
          </w:pPr>
          <w:hyperlink w:anchor="_Toc47358552" w:history="1">
            <w:r w:rsidR="00AF1DA1" w:rsidRPr="006B54C3">
              <w:rPr>
                <w:rStyle w:val="Hyperlink"/>
                <w:noProof/>
              </w:rPr>
              <w:t>The National Environment Protection Measures</w:t>
            </w:r>
            <w:r w:rsidR="00AF1DA1">
              <w:rPr>
                <w:noProof/>
                <w:webHidden/>
              </w:rPr>
              <w:tab/>
            </w:r>
            <w:r w:rsidR="00AF1DA1">
              <w:rPr>
                <w:noProof/>
                <w:webHidden/>
              </w:rPr>
              <w:fldChar w:fldCharType="begin"/>
            </w:r>
            <w:r w:rsidR="00AF1DA1">
              <w:rPr>
                <w:noProof/>
                <w:webHidden/>
              </w:rPr>
              <w:instrText xml:space="preserve"> PAGEREF _Toc47358552 \h </w:instrText>
            </w:r>
            <w:r w:rsidR="00AF1DA1">
              <w:rPr>
                <w:noProof/>
                <w:webHidden/>
              </w:rPr>
            </w:r>
            <w:r w:rsidR="00AF1DA1">
              <w:rPr>
                <w:noProof/>
                <w:webHidden/>
              </w:rPr>
              <w:fldChar w:fldCharType="separate"/>
            </w:r>
            <w:r w:rsidR="00AF1DA1">
              <w:rPr>
                <w:noProof/>
                <w:webHidden/>
              </w:rPr>
              <w:t>4</w:t>
            </w:r>
            <w:r w:rsidR="00AF1DA1">
              <w:rPr>
                <w:noProof/>
                <w:webHidden/>
              </w:rPr>
              <w:fldChar w:fldCharType="end"/>
            </w:r>
          </w:hyperlink>
        </w:p>
        <w:p w14:paraId="63501D16" w14:textId="64FB673F" w:rsidR="00AF1DA1" w:rsidRDefault="00722C2B">
          <w:pPr>
            <w:pStyle w:val="TOC2"/>
            <w:tabs>
              <w:tab w:val="right" w:leader="dot" w:pos="9016"/>
            </w:tabs>
            <w:rPr>
              <w:rFonts w:eastAsiaTheme="minorEastAsia"/>
              <w:noProof/>
              <w:lang w:eastAsia="en-AU"/>
            </w:rPr>
          </w:pPr>
          <w:hyperlink w:anchor="_Toc47358553" w:history="1">
            <w:r w:rsidR="00AF1DA1" w:rsidRPr="006B54C3">
              <w:rPr>
                <w:rStyle w:val="Hyperlink"/>
                <w:noProof/>
              </w:rPr>
              <w:t xml:space="preserve">The </w:t>
            </w:r>
            <w:r w:rsidR="00AF1DA1" w:rsidRPr="006B54C3">
              <w:rPr>
                <w:rStyle w:val="Hyperlink"/>
                <w:i/>
                <w:iCs/>
                <w:noProof/>
              </w:rPr>
              <w:t>National Environment Protection (Used Packaging Materials) Measure 2011</w:t>
            </w:r>
            <w:r w:rsidR="00AF1DA1" w:rsidRPr="006B54C3">
              <w:rPr>
                <w:rStyle w:val="Hyperlink"/>
                <w:noProof/>
              </w:rPr>
              <w:t xml:space="preserve"> (UPM NEPM)</w:t>
            </w:r>
            <w:r w:rsidR="00AF1DA1">
              <w:rPr>
                <w:noProof/>
                <w:webHidden/>
              </w:rPr>
              <w:tab/>
            </w:r>
            <w:r w:rsidR="00AF1DA1">
              <w:rPr>
                <w:noProof/>
                <w:webHidden/>
              </w:rPr>
              <w:fldChar w:fldCharType="begin"/>
            </w:r>
            <w:r w:rsidR="00AF1DA1">
              <w:rPr>
                <w:noProof/>
                <w:webHidden/>
              </w:rPr>
              <w:instrText xml:space="preserve"> PAGEREF _Toc47358553 \h </w:instrText>
            </w:r>
            <w:r w:rsidR="00AF1DA1">
              <w:rPr>
                <w:noProof/>
                <w:webHidden/>
              </w:rPr>
            </w:r>
            <w:r w:rsidR="00AF1DA1">
              <w:rPr>
                <w:noProof/>
                <w:webHidden/>
              </w:rPr>
              <w:fldChar w:fldCharType="separate"/>
            </w:r>
            <w:r w:rsidR="00AF1DA1">
              <w:rPr>
                <w:noProof/>
                <w:webHidden/>
              </w:rPr>
              <w:t>4</w:t>
            </w:r>
            <w:r w:rsidR="00AF1DA1">
              <w:rPr>
                <w:noProof/>
                <w:webHidden/>
              </w:rPr>
              <w:fldChar w:fldCharType="end"/>
            </w:r>
          </w:hyperlink>
        </w:p>
        <w:p w14:paraId="1378B50E" w14:textId="11B366DD" w:rsidR="00AF1DA1" w:rsidRDefault="00722C2B">
          <w:pPr>
            <w:pStyle w:val="TOC2"/>
            <w:tabs>
              <w:tab w:val="right" w:leader="dot" w:pos="9016"/>
            </w:tabs>
            <w:rPr>
              <w:rFonts w:eastAsiaTheme="minorEastAsia"/>
              <w:noProof/>
              <w:lang w:eastAsia="en-AU"/>
            </w:rPr>
          </w:pPr>
          <w:hyperlink w:anchor="_Toc47358554" w:history="1">
            <w:r w:rsidR="00AF1DA1" w:rsidRPr="006B54C3">
              <w:rPr>
                <w:rStyle w:val="Hyperlink"/>
                <w:noProof/>
              </w:rPr>
              <w:t>The Australian Packaging Covenant (the Covenant)</w:t>
            </w:r>
            <w:r w:rsidR="00AF1DA1">
              <w:rPr>
                <w:noProof/>
                <w:webHidden/>
              </w:rPr>
              <w:tab/>
            </w:r>
            <w:r w:rsidR="00AF1DA1">
              <w:rPr>
                <w:noProof/>
                <w:webHidden/>
              </w:rPr>
              <w:fldChar w:fldCharType="begin"/>
            </w:r>
            <w:r w:rsidR="00AF1DA1">
              <w:rPr>
                <w:noProof/>
                <w:webHidden/>
              </w:rPr>
              <w:instrText xml:space="preserve"> PAGEREF _Toc47358554 \h </w:instrText>
            </w:r>
            <w:r w:rsidR="00AF1DA1">
              <w:rPr>
                <w:noProof/>
                <w:webHidden/>
              </w:rPr>
            </w:r>
            <w:r w:rsidR="00AF1DA1">
              <w:rPr>
                <w:noProof/>
                <w:webHidden/>
              </w:rPr>
              <w:fldChar w:fldCharType="separate"/>
            </w:r>
            <w:r w:rsidR="00AF1DA1">
              <w:rPr>
                <w:noProof/>
                <w:webHidden/>
              </w:rPr>
              <w:t>4</w:t>
            </w:r>
            <w:r w:rsidR="00AF1DA1">
              <w:rPr>
                <w:noProof/>
                <w:webHidden/>
              </w:rPr>
              <w:fldChar w:fldCharType="end"/>
            </w:r>
          </w:hyperlink>
        </w:p>
        <w:p w14:paraId="18C68852" w14:textId="4665557B" w:rsidR="00AF1DA1" w:rsidRDefault="00722C2B">
          <w:pPr>
            <w:pStyle w:val="TOC2"/>
            <w:tabs>
              <w:tab w:val="right" w:leader="dot" w:pos="9016"/>
            </w:tabs>
            <w:rPr>
              <w:rFonts w:eastAsiaTheme="minorEastAsia"/>
              <w:noProof/>
              <w:lang w:eastAsia="en-AU"/>
            </w:rPr>
          </w:pPr>
          <w:hyperlink w:anchor="_Toc47358555" w:history="1">
            <w:r w:rsidR="00AF1DA1" w:rsidRPr="006B54C3">
              <w:rPr>
                <w:rStyle w:val="Hyperlink"/>
                <w:noProof/>
              </w:rPr>
              <w:t>The Territory context</w:t>
            </w:r>
            <w:r w:rsidR="00AF1DA1">
              <w:rPr>
                <w:noProof/>
                <w:webHidden/>
              </w:rPr>
              <w:tab/>
            </w:r>
            <w:r w:rsidR="00AF1DA1">
              <w:rPr>
                <w:noProof/>
                <w:webHidden/>
              </w:rPr>
              <w:fldChar w:fldCharType="begin"/>
            </w:r>
            <w:r w:rsidR="00AF1DA1">
              <w:rPr>
                <w:noProof/>
                <w:webHidden/>
              </w:rPr>
              <w:instrText xml:space="preserve"> PAGEREF _Toc47358555 \h </w:instrText>
            </w:r>
            <w:r w:rsidR="00AF1DA1">
              <w:rPr>
                <w:noProof/>
                <w:webHidden/>
              </w:rPr>
            </w:r>
            <w:r w:rsidR="00AF1DA1">
              <w:rPr>
                <w:noProof/>
                <w:webHidden/>
              </w:rPr>
              <w:fldChar w:fldCharType="separate"/>
            </w:r>
            <w:r w:rsidR="00AF1DA1">
              <w:rPr>
                <w:noProof/>
                <w:webHidden/>
              </w:rPr>
              <w:t>4</w:t>
            </w:r>
            <w:r w:rsidR="00AF1DA1">
              <w:rPr>
                <w:noProof/>
                <w:webHidden/>
              </w:rPr>
              <w:fldChar w:fldCharType="end"/>
            </w:r>
          </w:hyperlink>
        </w:p>
        <w:p w14:paraId="1368680A" w14:textId="0013F639" w:rsidR="00AF1DA1" w:rsidRDefault="00722C2B">
          <w:pPr>
            <w:pStyle w:val="TOC1"/>
            <w:tabs>
              <w:tab w:val="right" w:leader="dot" w:pos="9016"/>
            </w:tabs>
            <w:rPr>
              <w:rFonts w:eastAsiaTheme="minorEastAsia"/>
              <w:noProof/>
              <w:lang w:eastAsia="en-AU"/>
            </w:rPr>
          </w:pPr>
          <w:hyperlink w:anchor="_Toc47358556" w:history="1">
            <w:r w:rsidR="00AF1DA1" w:rsidRPr="006B54C3">
              <w:rPr>
                <w:rStyle w:val="Hyperlink"/>
                <w:noProof/>
              </w:rPr>
              <w:t>Definitions</w:t>
            </w:r>
            <w:r w:rsidR="00AF1DA1">
              <w:rPr>
                <w:noProof/>
                <w:webHidden/>
              </w:rPr>
              <w:tab/>
            </w:r>
            <w:r w:rsidR="00AF1DA1">
              <w:rPr>
                <w:noProof/>
                <w:webHidden/>
              </w:rPr>
              <w:fldChar w:fldCharType="begin"/>
            </w:r>
            <w:r w:rsidR="00AF1DA1">
              <w:rPr>
                <w:noProof/>
                <w:webHidden/>
              </w:rPr>
              <w:instrText xml:space="preserve"> PAGEREF _Toc47358556 \h </w:instrText>
            </w:r>
            <w:r w:rsidR="00AF1DA1">
              <w:rPr>
                <w:noProof/>
                <w:webHidden/>
              </w:rPr>
            </w:r>
            <w:r w:rsidR="00AF1DA1">
              <w:rPr>
                <w:noProof/>
                <w:webHidden/>
              </w:rPr>
              <w:fldChar w:fldCharType="separate"/>
            </w:r>
            <w:r w:rsidR="00AF1DA1">
              <w:rPr>
                <w:noProof/>
                <w:webHidden/>
              </w:rPr>
              <w:t>5</w:t>
            </w:r>
            <w:r w:rsidR="00AF1DA1">
              <w:rPr>
                <w:noProof/>
                <w:webHidden/>
              </w:rPr>
              <w:fldChar w:fldCharType="end"/>
            </w:r>
          </w:hyperlink>
        </w:p>
        <w:p w14:paraId="276C0E97" w14:textId="38006759" w:rsidR="00AF1DA1" w:rsidRDefault="00722C2B">
          <w:pPr>
            <w:pStyle w:val="TOC1"/>
            <w:tabs>
              <w:tab w:val="right" w:leader="dot" w:pos="9016"/>
            </w:tabs>
            <w:rPr>
              <w:rFonts w:eastAsiaTheme="minorEastAsia"/>
              <w:noProof/>
              <w:lang w:eastAsia="en-AU"/>
            </w:rPr>
          </w:pPr>
          <w:hyperlink w:anchor="_Toc47358557" w:history="1">
            <w:r w:rsidR="00AF1DA1" w:rsidRPr="006B54C3">
              <w:rPr>
                <w:rStyle w:val="Hyperlink"/>
                <w:noProof/>
              </w:rPr>
              <w:t>Background</w:t>
            </w:r>
            <w:r w:rsidR="00AF1DA1">
              <w:rPr>
                <w:noProof/>
                <w:webHidden/>
              </w:rPr>
              <w:tab/>
            </w:r>
            <w:r w:rsidR="00AF1DA1">
              <w:rPr>
                <w:noProof/>
                <w:webHidden/>
              </w:rPr>
              <w:fldChar w:fldCharType="begin"/>
            </w:r>
            <w:r w:rsidR="00AF1DA1">
              <w:rPr>
                <w:noProof/>
                <w:webHidden/>
              </w:rPr>
              <w:instrText xml:space="preserve"> PAGEREF _Toc47358557 \h </w:instrText>
            </w:r>
            <w:r w:rsidR="00AF1DA1">
              <w:rPr>
                <w:noProof/>
                <w:webHidden/>
              </w:rPr>
            </w:r>
            <w:r w:rsidR="00AF1DA1">
              <w:rPr>
                <w:noProof/>
                <w:webHidden/>
              </w:rPr>
              <w:fldChar w:fldCharType="separate"/>
            </w:r>
            <w:r w:rsidR="00AF1DA1">
              <w:rPr>
                <w:noProof/>
                <w:webHidden/>
              </w:rPr>
              <w:t>7</w:t>
            </w:r>
            <w:r w:rsidR="00AF1DA1">
              <w:rPr>
                <w:noProof/>
                <w:webHidden/>
              </w:rPr>
              <w:fldChar w:fldCharType="end"/>
            </w:r>
          </w:hyperlink>
        </w:p>
        <w:p w14:paraId="77789137" w14:textId="4C5E2D3D" w:rsidR="00AF1DA1" w:rsidRDefault="00722C2B">
          <w:pPr>
            <w:pStyle w:val="TOC2"/>
            <w:tabs>
              <w:tab w:val="right" w:leader="dot" w:pos="9016"/>
            </w:tabs>
            <w:rPr>
              <w:rFonts w:eastAsiaTheme="minorEastAsia"/>
              <w:noProof/>
              <w:lang w:eastAsia="en-AU"/>
            </w:rPr>
          </w:pPr>
          <w:hyperlink w:anchor="_Toc47358558" w:history="1">
            <w:r w:rsidR="00AF1DA1" w:rsidRPr="006B54C3">
              <w:rPr>
                <w:rStyle w:val="Hyperlink"/>
                <w:noProof/>
              </w:rPr>
              <w:t>National Environment Protection Goal</w:t>
            </w:r>
            <w:r w:rsidR="00AF1DA1">
              <w:rPr>
                <w:noProof/>
                <w:webHidden/>
              </w:rPr>
              <w:tab/>
            </w:r>
            <w:r w:rsidR="00AF1DA1">
              <w:rPr>
                <w:noProof/>
                <w:webHidden/>
              </w:rPr>
              <w:fldChar w:fldCharType="begin"/>
            </w:r>
            <w:r w:rsidR="00AF1DA1">
              <w:rPr>
                <w:noProof/>
                <w:webHidden/>
              </w:rPr>
              <w:instrText xml:space="preserve"> PAGEREF _Toc47358558 \h </w:instrText>
            </w:r>
            <w:r w:rsidR="00AF1DA1">
              <w:rPr>
                <w:noProof/>
                <w:webHidden/>
              </w:rPr>
            </w:r>
            <w:r w:rsidR="00AF1DA1">
              <w:rPr>
                <w:noProof/>
                <w:webHidden/>
              </w:rPr>
              <w:fldChar w:fldCharType="separate"/>
            </w:r>
            <w:r w:rsidR="00AF1DA1">
              <w:rPr>
                <w:noProof/>
                <w:webHidden/>
              </w:rPr>
              <w:t>8</w:t>
            </w:r>
            <w:r w:rsidR="00AF1DA1">
              <w:rPr>
                <w:noProof/>
                <w:webHidden/>
              </w:rPr>
              <w:fldChar w:fldCharType="end"/>
            </w:r>
          </w:hyperlink>
        </w:p>
        <w:p w14:paraId="6767ED6E" w14:textId="3707C89A" w:rsidR="00AF1DA1" w:rsidRDefault="00722C2B">
          <w:pPr>
            <w:pStyle w:val="TOC1"/>
            <w:tabs>
              <w:tab w:val="right" w:leader="dot" w:pos="9016"/>
            </w:tabs>
            <w:rPr>
              <w:rFonts w:eastAsiaTheme="minorEastAsia"/>
              <w:noProof/>
              <w:lang w:eastAsia="en-AU"/>
            </w:rPr>
          </w:pPr>
          <w:hyperlink w:anchor="_Toc47358559" w:history="1">
            <w:r w:rsidR="00AF1DA1" w:rsidRPr="006B54C3">
              <w:rPr>
                <w:rStyle w:val="Hyperlink"/>
                <w:noProof/>
              </w:rPr>
              <w:t>Purpose</w:t>
            </w:r>
            <w:r w:rsidR="00AF1DA1">
              <w:rPr>
                <w:noProof/>
                <w:webHidden/>
              </w:rPr>
              <w:tab/>
            </w:r>
            <w:r w:rsidR="00AF1DA1">
              <w:rPr>
                <w:noProof/>
                <w:webHidden/>
              </w:rPr>
              <w:fldChar w:fldCharType="begin"/>
            </w:r>
            <w:r w:rsidR="00AF1DA1">
              <w:rPr>
                <w:noProof/>
                <w:webHidden/>
              </w:rPr>
              <w:instrText xml:space="preserve"> PAGEREF _Toc47358559 \h </w:instrText>
            </w:r>
            <w:r w:rsidR="00AF1DA1">
              <w:rPr>
                <w:noProof/>
                <w:webHidden/>
              </w:rPr>
            </w:r>
            <w:r w:rsidR="00AF1DA1">
              <w:rPr>
                <w:noProof/>
                <w:webHidden/>
              </w:rPr>
              <w:fldChar w:fldCharType="separate"/>
            </w:r>
            <w:r w:rsidR="00AF1DA1">
              <w:rPr>
                <w:noProof/>
                <w:webHidden/>
              </w:rPr>
              <w:t>8</w:t>
            </w:r>
            <w:r w:rsidR="00AF1DA1">
              <w:rPr>
                <w:noProof/>
                <w:webHidden/>
              </w:rPr>
              <w:fldChar w:fldCharType="end"/>
            </w:r>
          </w:hyperlink>
        </w:p>
        <w:p w14:paraId="190C77F2" w14:textId="10B19ABB" w:rsidR="00AF1DA1" w:rsidRDefault="00722C2B">
          <w:pPr>
            <w:pStyle w:val="TOC1"/>
            <w:tabs>
              <w:tab w:val="right" w:leader="dot" w:pos="9016"/>
            </w:tabs>
            <w:rPr>
              <w:rFonts w:eastAsiaTheme="minorEastAsia"/>
              <w:noProof/>
              <w:lang w:eastAsia="en-AU"/>
            </w:rPr>
          </w:pPr>
          <w:hyperlink w:anchor="_Toc47358560" w:history="1">
            <w:r w:rsidR="00AF1DA1" w:rsidRPr="006B54C3">
              <w:rPr>
                <w:rStyle w:val="Hyperlink"/>
                <w:noProof/>
              </w:rPr>
              <w:t>Objectives</w:t>
            </w:r>
            <w:r w:rsidR="00AF1DA1">
              <w:rPr>
                <w:noProof/>
                <w:webHidden/>
              </w:rPr>
              <w:tab/>
            </w:r>
            <w:r w:rsidR="00AF1DA1">
              <w:rPr>
                <w:noProof/>
                <w:webHidden/>
              </w:rPr>
              <w:fldChar w:fldCharType="begin"/>
            </w:r>
            <w:r w:rsidR="00AF1DA1">
              <w:rPr>
                <w:noProof/>
                <w:webHidden/>
              </w:rPr>
              <w:instrText xml:space="preserve"> PAGEREF _Toc47358560 \h </w:instrText>
            </w:r>
            <w:r w:rsidR="00AF1DA1">
              <w:rPr>
                <w:noProof/>
                <w:webHidden/>
              </w:rPr>
            </w:r>
            <w:r w:rsidR="00AF1DA1">
              <w:rPr>
                <w:noProof/>
                <w:webHidden/>
              </w:rPr>
              <w:fldChar w:fldCharType="separate"/>
            </w:r>
            <w:r w:rsidR="00AF1DA1">
              <w:rPr>
                <w:noProof/>
                <w:webHidden/>
              </w:rPr>
              <w:t>8</w:t>
            </w:r>
            <w:r w:rsidR="00AF1DA1">
              <w:rPr>
                <w:noProof/>
                <w:webHidden/>
              </w:rPr>
              <w:fldChar w:fldCharType="end"/>
            </w:r>
          </w:hyperlink>
        </w:p>
        <w:p w14:paraId="0E62305F" w14:textId="518F0778" w:rsidR="00AF1DA1" w:rsidRDefault="00722C2B">
          <w:pPr>
            <w:pStyle w:val="TOC1"/>
            <w:tabs>
              <w:tab w:val="right" w:leader="dot" w:pos="9016"/>
            </w:tabs>
            <w:rPr>
              <w:rFonts w:eastAsiaTheme="minorEastAsia"/>
              <w:noProof/>
              <w:lang w:eastAsia="en-AU"/>
            </w:rPr>
          </w:pPr>
          <w:hyperlink w:anchor="_Toc47358561" w:history="1">
            <w:r w:rsidR="00AF1DA1" w:rsidRPr="006B54C3">
              <w:rPr>
                <w:rStyle w:val="Hyperlink"/>
                <w:noProof/>
              </w:rPr>
              <w:t>Scope</w:t>
            </w:r>
            <w:r w:rsidR="00AF1DA1">
              <w:rPr>
                <w:noProof/>
                <w:webHidden/>
              </w:rPr>
              <w:tab/>
            </w:r>
            <w:r w:rsidR="00AF1DA1">
              <w:rPr>
                <w:noProof/>
                <w:webHidden/>
              </w:rPr>
              <w:fldChar w:fldCharType="begin"/>
            </w:r>
            <w:r w:rsidR="00AF1DA1">
              <w:rPr>
                <w:noProof/>
                <w:webHidden/>
              </w:rPr>
              <w:instrText xml:space="preserve"> PAGEREF _Toc47358561 \h </w:instrText>
            </w:r>
            <w:r w:rsidR="00AF1DA1">
              <w:rPr>
                <w:noProof/>
                <w:webHidden/>
              </w:rPr>
            </w:r>
            <w:r w:rsidR="00AF1DA1">
              <w:rPr>
                <w:noProof/>
                <w:webHidden/>
              </w:rPr>
              <w:fldChar w:fldCharType="separate"/>
            </w:r>
            <w:r w:rsidR="00AF1DA1">
              <w:rPr>
                <w:noProof/>
                <w:webHidden/>
              </w:rPr>
              <w:t>8</w:t>
            </w:r>
            <w:r w:rsidR="00AF1DA1">
              <w:rPr>
                <w:noProof/>
                <w:webHidden/>
              </w:rPr>
              <w:fldChar w:fldCharType="end"/>
            </w:r>
          </w:hyperlink>
        </w:p>
        <w:p w14:paraId="67E65B7D" w14:textId="4002A7FD" w:rsidR="00AF1DA1" w:rsidRDefault="00722C2B">
          <w:pPr>
            <w:pStyle w:val="TOC1"/>
            <w:tabs>
              <w:tab w:val="right" w:leader="dot" w:pos="9016"/>
            </w:tabs>
            <w:rPr>
              <w:rFonts w:eastAsiaTheme="minorEastAsia"/>
              <w:noProof/>
              <w:lang w:eastAsia="en-AU"/>
            </w:rPr>
          </w:pPr>
          <w:hyperlink w:anchor="_Toc47358562" w:history="1">
            <w:r w:rsidR="00AF1DA1" w:rsidRPr="006B54C3">
              <w:rPr>
                <w:rStyle w:val="Hyperlink"/>
                <w:noProof/>
              </w:rPr>
              <w:t>Application of the Code of Practice</w:t>
            </w:r>
            <w:r w:rsidR="00AF1DA1">
              <w:rPr>
                <w:noProof/>
                <w:webHidden/>
              </w:rPr>
              <w:tab/>
            </w:r>
            <w:r w:rsidR="00AF1DA1">
              <w:rPr>
                <w:noProof/>
                <w:webHidden/>
              </w:rPr>
              <w:fldChar w:fldCharType="begin"/>
            </w:r>
            <w:r w:rsidR="00AF1DA1">
              <w:rPr>
                <w:noProof/>
                <w:webHidden/>
              </w:rPr>
              <w:instrText xml:space="preserve"> PAGEREF _Toc47358562 \h </w:instrText>
            </w:r>
            <w:r w:rsidR="00AF1DA1">
              <w:rPr>
                <w:noProof/>
                <w:webHidden/>
              </w:rPr>
            </w:r>
            <w:r w:rsidR="00AF1DA1">
              <w:rPr>
                <w:noProof/>
                <w:webHidden/>
              </w:rPr>
              <w:fldChar w:fldCharType="separate"/>
            </w:r>
            <w:r w:rsidR="00AF1DA1">
              <w:rPr>
                <w:noProof/>
                <w:webHidden/>
              </w:rPr>
              <w:t>9</w:t>
            </w:r>
            <w:r w:rsidR="00AF1DA1">
              <w:rPr>
                <w:noProof/>
                <w:webHidden/>
              </w:rPr>
              <w:fldChar w:fldCharType="end"/>
            </w:r>
          </w:hyperlink>
        </w:p>
        <w:p w14:paraId="0B50C658" w14:textId="7492D410" w:rsidR="00AF1DA1" w:rsidRDefault="00722C2B">
          <w:pPr>
            <w:pStyle w:val="TOC1"/>
            <w:tabs>
              <w:tab w:val="right" w:leader="dot" w:pos="9016"/>
            </w:tabs>
            <w:rPr>
              <w:rFonts w:eastAsiaTheme="minorEastAsia"/>
              <w:noProof/>
              <w:lang w:eastAsia="en-AU"/>
            </w:rPr>
          </w:pPr>
          <w:hyperlink w:anchor="_Toc47358563" w:history="1">
            <w:r w:rsidR="00AF1DA1" w:rsidRPr="006B54C3">
              <w:rPr>
                <w:rStyle w:val="Hyperlink"/>
                <w:noProof/>
              </w:rPr>
              <w:t>Obligations</w:t>
            </w:r>
            <w:r w:rsidR="00AF1DA1">
              <w:rPr>
                <w:noProof/>
                <w:webHidden/>
              </w:rPr>
              <w:tab/>
            </w:r>
            <w:r w:rsidR="00AF1DA1">
              <w:rPr>
                <w:noProof/>
                <w:webHidden/>
              </w:rPr>
              <w:fldChar w:fldCharType="begin"/>
            </w:r>
            <w:r w:rsidR="00AF1DA1">
              <w:rPr>
                <w:noProof/>
                <w:webHidden/>
              </w:rPr>
              <w:instrText xml:space="preserve"> PAGEREF _Toc47358563 \h </w:instrText>
            </w:r>
            <w:r w:rsidR="00AF1DA1">
              <w:rPr>
                <w:noProof/>
                <w:webHidden/>
              </w:rPr>
            </w:r>
            <w:r w:rsidR="00AF1DA1">
              <w:rPr>
                <w:noProof/>
                <w:webHidden/>
              </w:rPr>
              <w:fldChar w:fldCharType="separate"/>
            </w:r>
            <w:r w:rsidR="00AF1DA1">
              <w:rPr>
                <w:noProof/>
                <w:webHidden/>
              </w:rPr>
              <w:t>9</w:t>
            </w:r>
            <w:r w:rsidR="00AF1DA1">
              <w:rPr>
                <w:noProof/>
                <w:webHidden/>
              </w:rPr>
              <w:fldChar w:fldCharType="end"/>
            </w:r>
          </w:hyperlink>
        </w:p>
        <w:p w14:paraId="34D5E214" w14:textId="058F6239" w:rsidR="00AF1DA1" w:rsidRDefault="00722C2B">
          <w:pPr>
            <w:pStyle w:val="TOC1"/>
            <w:tabs>
              <w:tab w:val="right" w:leader="dot" w:pos="9016"/>
            </w:tabs>
            <w:rPr>
              <w:rFonts w:eastAsiaTheme="minorEastAsia"/>
              <w:noProof/>
              <w:lang w:eastAsia="en-AU"/>
            </w:rPr>
          </w:pPr>
          <w:hyperlink w:anchor="_Toc47358564" w:history="1">
            <w:r w:rsidR="00AF1DA1" w:rsidRPr="006B54C3">
              <w:rPr>
                <w:rStyle w:val="Hyperlink"/>
                <w:noProof/>
              </w:rPr>
              <w:t>Targets</w:t>
            </w:r>
            <w:r w:rsidR="00AF1DA1">
              <w:rPr>
                <w:noProof/>
                <w:webHidden/>
              </w:rPr>
              <w:tab/>
            </w:r>
            <w:r w:rsidR="00AF1DA1">
              <w:rPr>
                <w:noProof/>
                <w:webHidden/>
              </w:rPr>
              <w:fldChar w:fldCharType="begin"/>
            </w:r>
            <w:r w:rsidR="00AF1DA1">
              <w:rPr>
                <w:noProof/>
                <w:webHidden/>
              </w:rPr>
              <w:instrText xml:space="preserve"> PAGEREF _Toc47358564 \h </w:instrText>
            </w:r>
            <w:r w:rsidR="00AF1DA1">
              <w:rPr>
                <w:noProof/>
                <w:webHidden/>
              </w:rPr>
            </w:r>
            <w:r w:rsidR="00AF1DA1">
              <w:rPr>
                <w:noProof/>
                <w:webHidden/>
              </w:rPr>
              <w:fldChar w:fldCharType="separate"/>
            </w:r>
            <w:r w:rsidR="00AF1DA1">
              <w:rPr>
                <w:noProof/>
                <w:webHidden/>
              </w:rPr>
              <w:t>10</w:t>
            </w:r>
            <w:r w:rsidR="00AF1DA1">
              <w:rPr>
                <w:noProof/>
                <w:webHidden/>
              </w:rPr>
              <w:fldChar w:fldCharType="end"/>
            </w:r>
          </w:hyperlink>
        </w:p>
        <w:p w14:paraId="0C4EF761" w14:textId="1738C290" w:rsidR="00AF1DA1" w:rsidRDefault="00722C2B">
          <w:pPr>
            <w:pStyle w:val="TOC1"/>
            <w:tabs>
              <w:tab w:val="right" w:leader="dot" w:pos="9016"/>
            </w:tabs>
            <w:rPr>
              <w:rFonts w:eastAsiaTheme="minorEastAsia"/>
              <w:noProof/>
              <w:lang w:eastAsia="en-AU"/>
            </w:rPr>
          </w:pPr>
          <w:hyperlink w:anchor="_Toc47358565" w:history="1">
            <w:r w:rsidR="00AF1DA1" w:rsidRPr="006B54C3">
              <w:rPr>
                <w:rStyle w:val="Hyperlink"/>
                <w:noProof/>
              </w:rPr>
              <w:t>Enforcement of the Code of Practice</w:t>
            </w:r>
            <w:r w:rsidR="00AF1DA1">
              <w:rPr>
                <w:noProof/>
                <w:webHidden/>
              </w:rPr>
              <w:tab/>
            </w:r>
            <w:r w:rsidR="00AF1DA1">
              <w:rPr>
                <w:noProof/>
                <w:webHidden/>
              </w:rPr>
              <w:fldChar w:fldCharType="begin"/>
            </w:r>
            <w:r w:rsidR="00AF1DA1">
              <w:rPr>
                <w:noProof/>
                <w:webHidden/>
              </w:rPr>
              <w:instrText xml:space="preserve"> PAGEREF _Toc47358565 \h </w:instrText>
            </w:r>
            <w:r w:rsidR="00AF1DA1">
              <w:rPr>
                <w:noProof/>
                <w:webHidden/>
              </w:rPr>
            </w:r>
            <w:r w:rsidR="00AF1DA1">
              <w:rPr>
                <w:noProof/>
                <w:webHidden/>
              </w:rPr>
              <w:fldChar w:fldCharType="separate"/>
            </w:r>
            <w:r w:rsidR="00AF1DA1">
              <w:rPr>
                <w:noProof/>
                <w:webHidden/>
              </w:rPr>
              <w:t>10</w:t>
            </w:r>
            <w:r w:rsidR="00AF1DA1">
              <w:rPr>
                <w:noProof/>
                <w:webHidden/>
              </w:rPr>
              <w:fldChar w:fldCharType="end"/>
            </w:r>
          </w:hyperlink>
        </w:p>
        <w:p w14:paraId="4C74FD1C" w14:textId="66FC45FF" w:rsidR="00AF1DA1" w:rsidRDefault="00722C2B">
          <w:pPr>
            <w:pStyle w:val="TOC2"/>
            <w:tabs>
              <w:tab w:val="right" w:leader="dot" w:pos="9016"/>
            </w:tabs>
            <w:rPr>
              <w:rFonts w:eastAsiaTheme="minorEastAsia"/>
              <w:noProof/>
              <w:lang w:eastAsia="en-AU"/>
            </w:rPr>
          </w:pPr>
          <w:hyperlink w:anchor="_Toc47358566" w:history="1">
            <w:r w:rsidR="00AF1DA1" w:rsidRPr="006B54C3">
              <w:rPr>
                <w:rStyle w:val="Hyperlink"/>
                <w:noProof/>
              </w:rPr>
              <w:t>Failure to comply</w:t>
            </w:r>
            <w:r w:rsidR="00AF1DA1">
              <w:rPr>
                <w:noProof/>
                <w:webHidden/>
              </w:rPr>
              <w:tab/>
            </w:r>
            <w:r w:rsidR="00AF1DA1">
              <w:rPr>
                <w:noProof/>
                <w:webHidden/>
              </w:rPr>
              <w:fldChar w:fldCharType="begin"/>
            </w:r>
            <w:r w:rsidR="00AF1DA1">
              <w:rPr>
                <w:noProof/>
                <w:webHidden/>
              </w:rPr>
              <w:instrText xml:space="preserve"> PAGEREF _Toc47358566 \h </w:instrText>
            </w:r>
            <w:r w:rsidR="00AF1DA1">
              <w:rPr>
                <w:noProof/>
                <w:webHidden/>
              </w:rPr>
            </w:r>
            <w:r w:rsidR="00AF1DA1">
              <w:rPr>
                <w:noProof/>
                <w:webHidden/>
              </w:rPr>
              <w:fldChar w:fldCharType="separate"/>
            </w:r>
            <w:r w:rsidR="00AF1DA1">
              <w:rPr>
                <w:noProof/>
                <w:webHidden/>
              </w:rPr>
              <w:t>10</w:t>
            </w:r>
            <w:r w:rsidR="00AF1DA1">
              <w:rPr>
                <w:noProof/>
                <w:webHidden/>
              </w:rPr>
              <w:fldChar w:fldCharType="end"/>
            </w:r>
          </w:hyperlink>
        </w:p>
        <w:p w14:paraId="3F1EEFD7" w14:textId="2A2B7DAA" w:rsidR="00AF1DA1" w:rsidRDefault="00722C2B">
          <w:pPr>
            <w:pStyle w:val="TOC2"/>
            <w:tabs>
              <w:tab w:val="right" w:leader="dot" w:pos="9016"/>
            </w:tabs>
            <w:rPr>
              <w:rFonts w:eastAsiaTheme="minorEastAsia"/>
              <w:noProof/>
              <w:lang w:eastAsia="en-AU"/>
            </w:rPr>
          </w:pPr>
          <w:hyperlink w:anchor="_Toc47358567" w:history="1">
            <w:r w:rsidR="00AF1DA1" w:rsidRPr="006B54C3">
              <w:rPr>
                <w:rStyle w:val="Hyperlink"/>
                <w:noProof/>
              </w:rPr>
              <w:t>Written direction</w:t>
            </w:r>
            <w:r w:rsidR="00AF1DA1">
              <w:rPr>
                <w:noProof/>
                <w:webHidden/>
              </w:rPr>
              <w:tab/>
            </w:r>
            <w:r w:rsidR="00AF1DA1">
              <w:rPr>
                <w:noProof/>
                <w:webHidden/>
              </w:rPr>
              <w:fldChar w:fldCharType="begin"/>
            </w:r>
            <w:r w:rsidR="00AF1DA1">
              <w:rPr>
                <w:noProof/>
                <w:webHidden/>
              </w:rPr>
              <w:instrText xml:space="preserve"> PAGEREF _Toc47358567 \h </w:instrText>
            </w:r>
            <w:r w:rsidR="00AF1DA1">
              <w:rPr>
                <w:noProof/>
                <w:webHidden/>
              </w:rPr>
            </w:r>
            <w:r w:rsidR="00AF1DA1">
              <w:rPr>
                <w:noProof/>
                <w:webHidden/>
              </w:rPr>
              <w:fldChar w:fldCharType="separate"/>
            </w:r>
            <w:r w:rsidR="00AF1DA1">
              <w:rPr>
                <w:noProof/>
                <w:webHidden/>
              </w:rPr>
              <w:t>11</w:t>
            </w:r>
            <w:r w:rsidR="00AF1DA1">
              <w:rPr>
                <w:noProof/>
                <w:webHidden/>
              </w:rPr>
              <w:fldChar w:fldCharType="end"/>
            </w:r>
          </w:hyperlink>
        </w:p>
        <w:p w14:paraId="20E3EEB0" w14:textId="7DB770E7" w:rsidR="00AF1DA1" w:rsidRDefault="00722C2B">
          <w:pPr>
            <w:pStyle w:val="TOC2"/>
            <w:tabs>
              <w:tab w:val="right" w:leader="dot" w:pos="9016"/>
            </w:tabs>
            <w:rPr>
              <w:rFonts w:eastAsiaTheme="minorEastAsia"/>
              <w:noProof/>
              <w:lang w:eastAsia="en-AU"/>
            </w:rPr>
          </w:pPr>
          <w:hyperlink w:anchor="_Toc47358568" w:history="1">
            <w:r w:rsidR="00AF1DA1" w:rsidRPr="006B54C3">
              <w:rPr>
                <w:rStyle w:val="Hyperlink"/>
                <w:noProof/>
              </w:rPr>
              <w:t>Penalties</w:t>
            </w:r>
            <w:r w:rsidR="00AF1DA1">
              <w:rPr>
                <w:noProof/>
                <w:webHidden/>
              </w:rPr>
              <w:tab/>
            </w:r>
            <w:r w:rsidR="00AF1DA1">
              <w:rPr>
                <w:noProof/>
                <w:webHidden/>
              </w:rPr>
              <w:fldChar w:fldCharType="begin"/>
            </w:r>
            <w:r w:rsidR="00AF1DA1">
              <w:rPr>
                <w:noProof/>
                <w:webHidden/>
              </w:rPr>
              <w:instrText xml:space="preserve"> PAGEREF _Toc47358568 \h </w:instrText>
            </w:r>
            <w:r w:rsidR="00AF1DA1">
              <w:rPr>
                <w:noProof/>
                <w:webHidden/>
              </w:rPr>
            </w:r>
            <w:r w:rsidR="00AF1DA1">
              <w:rPr>
                <w:noProof/>
                <w:webHidden/>
              </w:rPr>
              <w:fldChar w:fldCharType="separate"/>
            </w:r>
            <w:r w:rsidR="00AF1DA1">
              <w:rPr>
                <w:noProof/>
                <w:webHidden/>
              </w:rPr>
              <w:t>11</w:t>
            </w:r>
            <w:r w:rsidR="00AF1DA1">
              <w:rPr>
                <w:noProof/>
                <w:webHidden/>
              </w:rPr>
              <w:fldChar w:fldCharType="end"/>
            </w:r>
          </w:hyperlink>
        </w:p>
        <w:p w14:paraId="634898C6" w14:textId="4D663603" w:rsidR="00AF1DA1" w:rsidRDefault="00722C2B">
          <w:pPr>
            <w:pStyle w:val="TOC1"/>
            <w:tabs>
              <w:tab w:val="right" w:leader="dot" w:pos="9016"/>
            </w:tabs>
            <w:rPr>
              <w:rFonts w:eastAsiaTheme="minorEastAsia"/>
              <w:noProof/>
              <w:lang w:eastAsia="en-AU"/>
            </w:rPr>
          </w:pPr>
          <w:hyperlink w:anchor="_Toc47358569" w:history="1">
            <w:r w:rsidR="00AF1DA1" w:rsidRPr="006B54C3">
              <w:rPr>
                <w:rStyle w:val="Hyperlink"/>
                <w:noProof/>
              </w:rPr>
              <w:t>Requirements</w:t>
            </w:r>
            <w:r w:rsidR="00AF1DA1">
              <w:rPr>
                <w:noProof/>
                <w:webHidden/>
              </w:rPr>
              <w:tab/>
            </w:r>
            <w:r w:rsidR="00AF1DA1">
              <w:rPr>
                <w:noProof/>
                <w:webHidden/>
              </w:rPr>
              <w:fldChar w:fldCharType="begin"/>
            </w:r>
            <w:r w:rsidR="00AF1DA1">
              <w:rPr>
                <w:noProof/>
                <w:webHidden/>
              </w:rPr>
              <w:instrText xml:space="preserve"> PAGEREF _Toc47358569 \h </w:instrText>
            </w:r>
            <w:r w:rsidR="00AF1DA1">
              <w:rPr>
                <w:noProof/>
                <w:webHidden/>
              </w:rPr>
            </w:r>
            <w:r w:rsidR="00AF1DA1">
              <w:rPr>
                <w:noProof/>
                <w:webHidden/>
              </w:rPr>
              <w:fldChar w:fldCharType="separate"/>
            </w:r>
            <w:r w:rsidR="00AF1DA1">
              <w:rPr>
                <w:noProof/>
                <w:webHidden/>
              </w:rPr>
              <w:t>11</w:t>
            </w:r>
            <w:r w:rsidR="00AF1DA1">
              <w:rPr>
                <w:noProof/>
                <w:webHidden/>
              </w:rPr>
              <w:fldChar w:fldCharType="end"/>
            </w:r>
          </w:hyperlink>
        </w:p>
        <w:p w14:paraId="7319BEAA" w14:textId="43987B8A" w:rsidR="00AF1DA1" w:rsidRDefault="00722C2B">
          <w:pPr>
            <w:pStyle w:val="TOC2"/>
            <w:tabs>
              <w:tab w:val="right" w:leader="dot" w:pos="9016"/>
            </w:tabs>
            <w:rPr>
              <w:rFonts w:eastAsiaTheme="minorEastAsia"/>
              <w:noProof/>
              <w:lang w:eastAsia="en-AU"/>
            </w:rPr>
          </w:pPr>
          <w:hyperlink w:anchor="_Toc47358570" w:history="1">
            <w:r w:rsidR="00AF1DA1" w:rsidRPr="006B54C3">
              <w:rPr>
                <w:rStyle w:val="Hyperlink"/>
                <w:noProof/>
              </w:rPr>
              <w:t>Requirement 1 – prepare waste action plan</w:t>
            </w:r>
            <w:r w:rsidR="00AF1DA1">
              <w:rPr>
                <w:noProof/>
                <w:webHidden/>
              </w:rPr>
              <w:tab/>
            </w:r>
            <w:r w:rsidR="00AF1DA1">
              <w:rPr>
                <w:noProof/>
                <w:webHidden/>
              </w:rPr>
              <w:fldChar w:fldCharType="begin"/>
            </w:r>
            <w:r w:rsidR="00AF1DA1">
              <w:rPr>
                <w:noProof/>
                <w:webHidden/>
              </w:rPr>
              <w:instrText xml:space="preserve"> PAGEREF _Toc47358570 \h </w:instrText>
            </w:r>
            <w:r w:rsidR="00AF1DA1">
              <w:rPr>
                <w:noProof/>
                <w:webHidden/>
              </w:rPr>
            </w:r>
            <w:r w:rsidR="00AF1DA1">
              <w:rPr>
                <w:noProof/>
                <w:webHidden/>
              </w:rPr>
              <w:fldChar w:fldCharType="separate"/>
            </w:r>
            <w:r w:rsidR="00AF1DA1">
              <w:rPr>
                <w:noProof/>
                <w:webHidden/>
              </w:rPr>
              <w:t>11</w:t>
            </w:r>
            <w:r w:rsidR="00AF1DA1">
              <w:rPr>
                <w:noProof/>
                <w:webHidden/>
              </w:rPr>
              <w:fldChar w:fldCharType="end"/>
            </w:r>
          </w:hyperlink>
        </w:p>
        <w:p w14:paraId="3DB47EB0" w14:textId="36135605" w:rsidR="00AF1DA1" w:rsidRDefault="00722C2B">
          <w:pPr>
            <w:pStyle w:val="TOC3"/>
            <w:tabs>
              <w:tab w:val="left" w:pos="880"/>
              <w:tab w:val="right" w:leader="dot" w:pos="9016"/>
            </w:tabs>
            <w:rPr>
              <w:rFonts w:eastAsiaTheme="minorEastAsia"/>
              <w:noProof/>
              <w:lang w:eastAsia="en-AU"/>
            </w:rPr>
          </w:pPr>
          <w:hyperlink w:anchor="_Toc47358571" w:history="1">
            <w:r w:rsidR="00AF1DA1" w:rsidRPr="006B54C3">
              <w:rPr>
                <w:rStyle w:val="Hyperlink"/>
                <w:noProof/>
              </w:rPr>
              <w:t>1.</w:t>
            </w:r>
            <w:r w:rsidR="00AF1DA1">
              <w:rPr>
                <w:rFonts w:eastAsiaTheme="minorEastAsia"/>
                <w:noProof/>
                <w:lang w:eastAsia="en-AU"/>
              </w:rPr>
              <w:tab/>
            </w:r>
            <w:r w:rsidR="00AF1DA1" w:rsidRPr="006B54C3">
              <w:rPr>
                <w:rStyle w:val="Hyperlink"/>
                <w:noProof/>
              </w:rPr>
              <w:t>Submission</w:t>
            </w:r>
            <w:r w:rsidR="00AF1DA1">
              <w:rPr>
                <w:noProof/>
                <w:webHidden/>
              </w:rPr>
              <w:tab/>
            </w:r>
            <w:r w:rsidR="00AF1DA1">
              <w:rPr>
                <w:noProof/>
                <w:webHidden/>
              </w:rPr>
              <w:fldChar w:fldCharType="begin"/>
            </w:r>
            <w:r w:rsidR="00AF1DA1">
              <w:rPr>
                <w:noProof/>
                <w:webHidden/>
              </w:rPr>
              <w:instrText xml:space="preserve"> PAGEREF _Toc47358571 \h </w:instrText>
            </w:r>
            <w:r w:rsidR="00AF1DA1">
              <w:rPr>
                <w:noProof/>
                <w:webHidden/>
              </w:rPr>
            </w:r>
            <w:r w:rsidR="00AF1DA1">
              <w:rPr>
                <w:noProof/>
                <w:webHidden/>
              </w:rPr>
              <w:fldChar w:fldCharType="separate"/>
            </w:r>
            <w:r w:rsidR="00AF1DA1">
              <w:rPr>
                <w:noProof/>
                <w:webHidden/>
              </w:rPr>
              <w:t>11</w:t>
            </w:r>
            <w:r w:rsidR="00AF1DA1">
              <w:rPr>
                <w:noProof/>
                <w:webHidden/>
              </w:rPr>
              <w:fldChar w:fldCharType="end"/>
            </w:r>
          </w:hyperlink>
        </w:p>
        <w:p w14:paraId="506CF463" w14:textId="24DBEDE4" w:rsidR="00AF1DA1" w:rsidRDefault="00722C2B">
          <w:pPr>
            <w:pStyle w:val="TOC3"/>
            <w:tabs>
              <w:tab w:val="left" w:pos="880"/>
              <w:tab w:val="right" w:leader="dot" w:pos="9016"/>
            </w:tabs>
            <w:rPr>
              <w:rFonts w:eastAsiaTheme="minorEastAsia"/>
              <w:noProof/>
              <w:lang w:eastAsia="en-AU"/>
            </w:rPr>
          </w:pPr>
          <w:hyperlink w:anchor="_Toc47358572" w:history="1">
            <w:r w:rsidR="00AF1DA1" w:rsidRPr="006B54C3">
              <w:rPr>
                <w:rStyle w:val="Hyperlink"/>
                <w:noProof/>
              </w:rPr>
              <w:t>2.</w:t>
            </w:r>
            <w:r w:rsidR="00AF1DA1">
              <w:rPr>
                <w:rFonts w:eastAsiaTheme="minorEastAsia"/>
                <w:noProof/>
                <w:lang w:eastAsia="en-AU"/>
              </w:rPr>
              <w:tab/>
            </w:r>
            <w:r w:rsidR="00AF1DA1" w:rsidRPr="006B54C3">
              <w:rPr>
                <w:rStyle w:val="Hyperlink"/>
                <w:noProof/>
              </w:rPr>
              <w:t>Content</w:t>
            </w:r>
            <w:r w:rsidR="00AF1DA1">
              <w:rPr>
                <w:noProof/>
                <w:webHidden/>
              </w:rPr>
              <w:tab/>
            </w:r>
            <w:r w:rsidR="00AF1DA1">
              <w:rPr>
                <w:noProof/>
                <w:webHidden/>
              </w:rPr>
              <w:fldChar w:fldCharType="begin"/>
            </w:r>
            <w:r w:rsidR="00AF1DA1">
              <w:rPr>
                <w:noProof/>
                <w:webHidden/>
              </w:rPr>
              <w:instrText xml:space="preserve"> PAGEREF _Toc47358572 \h </w:instrText>
            </w:r>
            <w:r w:rsidR="00AF1DA1">
              <w:rPr>
                <w:noProof/>
                <w:webHidden/>
              </w:rPr>
            </w:r>
            <w:r w:rsidR="00AF1DA1">
              <w:rPr>
                <w:noProof/>
                <w:webHidden/>
              </w:rPr>
              <w:fldChar w:fldCharType="separate"/>
            </w:r>
            <w:r w:rsidR="00AF1DA1">
              <w:rPr>
                <w:noProof/>
                <w:webHidden/>
              </w:rPr>
              <w:t>11</w:t>
            </w:r>
            <w:r w:rsidR="00AF1DA1">
              <w:rPr>
                <w:noProof/>
                <w:webHidden/>
              </w:rPr>
              <w:fldChar w:fldCharType="end"/>
            </w:r>
          </w:hyperlink>
        </w:p>
        <w:p w14:paraId="7EE85A9E" w14:textId="5CAA4B56" w:rsidR="00AF1DA1" w:rsidRDefault="00722C2B">
          <w:pPr>
            <w:pStyle w:val="TOC3"/>
            <w:tabs>
              <w:tab w:val="left" w:pos="880"/>
              <w:tab w:val="right" w:leader="dot" w:pos="9016"/>
            </w:tabs>
            <w:rPr>
              <w:rFonts w:eastAsiaTheme="minorEastAsia"/>
              <w:noProof/>
              <w:lang w:eastAsia="en-AU"/>
            </w:rPr>
          </w:pPr>
          <w:hyperlink w:anchor="_Toc47358573" w:history="1">
            <w:r w:rsidR="00AF1DA1" w:rsidRPr="006B54C3">
              <w:rPr>
                <w:rStyle w:val="Hyperlink"/>
                <w:noProof/>
              </w:rPr>
              <w:t>3.</w:t>
            </w:r>
            <w:r w:rsidR="00AF1DA1">
              <w:rPr>
                <w:rFonts w:eastAsiaTheme="minorEastAsia"/>
                <w:noProof/>
                <w:lang w:eastAsia="en-AU"/>
              </w:rPr>
              <w:tab/>
            </w:r>
            <w:r w:rsidR="00AF1DA1" w:rsidRPr="006B54C3">
              <w:rPr>
                <w:rStyle w:val="Hyperlink"/>
                <w:noProof/>
              </w:rPr>
              <w:t>Approval</w:t>
            </w:r>
            <w:r w:rsidR="00AF1DA1">
              <w:rPr>
                <w:noProof/>
                <w:webHidden/>
              </w:rPr>
              <w:tab/>
            </w:r>
            <w:r w:rsidR="00AF1DA1">
              <w:rPr>
                <w:noProof/>
                <w:webHidden/>
              </w:rPr>
              <w:fldChar w:fldCharType="begin"/>
            </w:r>
            <w:r w:rsidR="00AF1DA1">
              <w:rPr>
                <w:noProof/>
                <w:webHidden/>
              </w:rPr>
              <w:instrText xml:space="preserve"> PAGEREF _Toc47358573 \h </w:instrText>
            </w:r>
            <w:r w:rsidR="00AF1DA1">
              <w:rPr>
                <w:noProof/>
                <w:webHidden/>
              </w:rPr>
            </w:r>
            <w:r w:rsidR="00AF1DA1">
              <w:rPr>
                <w:noProof/>
                <w:webHidden/>
              </w:rPr>
              <w:fldChar w:fldCharType="separate"/>
            </w:r>
            <w:r w:rsidR="00AF1DA1">
              <w:rPr>
                <w:noProof/>
                <w:webHidden/>
              </w:rPr>
              <w:t>12</w:t>
            </w:r>
            <w:r w:rsidR="00AF1DA1">
              <w:rPr>
                <w:noProof/>
                <w:webHidden/>
              </w:rPr>
              <w:fldChar w:fldCharType="end"/>
            </w:r>
          </w:hyperlink>
        </w:p>
        <w:p w14:paraId="32E96BBE" w14:textId="43E06B6F" w:rsidR="00AF1DA1" w:rsidRDefault="00722C2B">
          <w:pPr>
            <w:pStyle w:val="TOC2"/>
            <w:tabs>
              <w:tab w:val="right" w:leader="dot" w:pos="9016"/>
            </w:tabs>
            <w:rPr>
              <w:rFonts w:eastAsiaTheme="minorEastAsia"/>
              <w:noProof/>
              <w:lang w:eastAsia="en-AU"/>
            </w:rPr>
          </w:pPr>
          <w:hyperlink w:anchor="_Toc47358574" w:history="1">
            <w:r w:rsidR="00AF1DA1" w:rsidRPr="006B54C3">
              <w:rPr>
                <w:rStyle w:val="Hyperlink"/>
                <w:noProof/>
              </w:rPr>
              <w:t>Requirement 2 – annual reporting and record keeping</w:t>
            </w:r>
            <w:r w:rsidR="00AF1DA1">
              <w:rPr>
                <w:noProof/>
                <w:webHidden/>
              </w:rPr>
              <w:tab/>
            </w:r>
            <w:r w:rsidR="00AF1DA1">
              <w:rPr>
                <w:noProof/>
                <w:webHidden/>
              </w:rPr>
              <w:fldChar w:fldCharType="begin"/>
            </w:r>
            <w:r w:rsidR="00AF1DA1">
              <w:rPr>
                <w:noProof/>
                <w:webHidden/>
              </w:rPr>
              <w:instrText xml:space="preserve"> PAGEREF _Toc47358574 \h </w:instrText>
            </w:r>
            <w:r w:rsidR="00AF1DA1">
              <w:rPr>
                <w:noProof/>
                <w:webHidden/>
              </w:rPr>
            </w:r>
            <w:r w:rsidR="00AF1DA1">
              <w:rPr>
                <w:noProof/>
                <w:webHidden/>
              </w:rPr>
              <w:fldChar w:fldCharType="separate"/>
            </w:r>
            <w:r w:rsidR="00AF1DA1">
              <w:rPr>
                <w:noProof/>
                <w:webHidden/>
              </w:rPr>
              <w:t>12</w:t>
            </w:r>
            <w:r w:rsidR="00AF1DA1">
              <w:rPr>
                <w:noProof/>
                <w:webHidden/>
              </w:rPr>
              <w:fldChar w:fldCharType="end"/>
            </w:r>
          </w:hyperlink>
        </w:p>
        <w:p w14:paraId="3FD713BE" w14:textId="17A51C21" w:rsidR="00AF1DA1" w:rsidRDefault="00722C2B">
          <w:pPr>
            <w:pStyle w:val="TOC3"/>
            <w:tabs>
              <w:tab w:val="right" w:leader="dot" w:pos="9016"/>
            </w:tabs>
            <w:rPr>
              <w:rFonts w:eastAsiaTheme="minorEastAsia"/>
              <w:noProof/>
              <w:lang w:eastAsia="en-AU"/>
            </w:rPr>
          </w:pPr>
          <w:hyperlink w:anchor="_Toc47358575" w:history="1">
            <w:r w:rsidR="00AF1DA1" w:rsidRPr="006B54C3">
              <w:rPr>
                <w:rStyle w:val="Hyperlink"/>
                <w:noProof/>
              </w:rPr>
              <w:t>Annual reporting to the Territory</w:t>
            </w:r>
            <w:r w:rsidR="00AF1DA1">
              <w:rPr>
                <w:noProof/>
                <w:webHidden/>
              </w:rPr>
              <w:tab/>
            </w:r>
            <w:r w:rsidR="00AF1DA1">
              <w:rPr>
                <w:noProof/>
                <w:webHidden/>
              </w:rPr>
              <w:fldChar w:fldCharType="begin"/>
            </w:r>
            <w:r w:rsidR="00AF1DA1">
              <w:rPr>
                <w:noProof/>
                <w:webHidden/>
              </w:rPr>
              <w:instrText xml:space="preserve"> PAGEREF _Toc47358575 \h </w:instrText>
            </w:r>
            <w:r w:rsidR="00AF1DA1">
              <w:rPr>
                <w:noProof/>
                <w:webHidden/>
              </w:rPr>
            </w:r>
            <w:r w:rsidR="00AF1DA1">
              <w:rPr>
                <w:noProof/>
                <w:webHidden/>
              </w:rPr>
              <w:fldChar w:fldCharType="separate"/>
            </w:r>
            <w:r w:rsidR="00AF1DA1">
              <w:rPr>
                <w:noProof/>
                <w:webHidden/>
              </w:rPr>
              <w:t>12</w:t>
            </w:r>
            <w:r w:rsidR="00AF1DA1">
              <w:rPr>
                <w:noProof/>
                <w:webHidden/>
              </w:rPr>
              <w:fldChar w:fldCharType="end"/>
            </w:r>
          </w:hyperlink>
        </w:p>
        <w:p w14:paraId="391D30F2" w14:textId="08ABB4B6" w:rsidR="00AF1DA1" w:rsidRDefault="00722C2B">
          <w:pPr>
            <w:pStyle w:val="TOC3"/>
            <w:tabs>
              <w:tab w:val="right" w:leader="dot" w:pos="9016"/>
            </w:tabs>
            <w:rPr>
              <w:rFonts w:eastAsiaTheme="minorEastAsia"/>
              <w:noProof/>
              <w:lang w:eastAsia="en-AU"/>
            </w:rPr>
          </w:pPr>
          <w:hyperlink w:anchor="_Toc47358576" w:history="1">
            <w:r w:rsidR="00AF1DA1" w:rsidRPr="006B54C3">
              <w:rPr>
                <w:rStyle w:val="Hyperlink"/>
                <w:noProof/>
              </w:rPr>
              <w:t>Collection of data and record keeping</w:t>
            </w:r>
            <w:r w:rsidR="00AF1DA1">
              <w:rPr>
                <w:noProof/>
                <w:webHidden/>
              </w:rPr>
              <w:tab/>
            </w:r>
            <w:r w:rsidR="00AF1DA1">
              <w:rPr>
                <w:noProof/>
                <w:webHidden/>
              </w:rPr>
              <w:fldChar w:fldCharType="begin"/>
            </w:r>
            <w:r w:rsidR="00AF1DA1">
              <w:rPr>
                <w:noProof/>
                <w:webHidden/>
              </w:rPr>
              <w:instrText xml:space="preserve"> PAGEREF _Toc47358576 \h </w:instrText>
            </w:r>
            <w:r w:rsidR="00AF1DA1">
              <w:rPr>
                <w:noProof/>
                <w:webHidden/>
              </w:rPr>
            </w:r>
            <w:r w:rsidR="00AF1DA1">
              <w:rPr>
                <w:noProof/>
                <w:webHidden/>
              </w:rPr>
              <w:fldChar w:fldCharType="separate"/>
            </w:r>
            <w:r w:rsidR="00AF1DA1">
              <w:rPr>
                <w:noProof/>
                <w:webHidden/>
              </w:rPr>
              <w:t>12</w:t>
            </w:r>
            <w:r w:rsidR="00AF1DA1">
              <w:rPr>
                <w:noProof/>
                <w:webHidden/>
              </w:rPr>
              <w:fldChar w:fldCharType="end"/>
            </w:r>
          </w:hyperlink>
        </w:p>
        <w:p w14:paraId="2FEB9459" w14:textId="2ECDCC18" w:rsidR="00AF1DA1" w:rsidRDefault="00722C2B">
          <w:pPr>
            <w:pStyle w:val="TOC1"/>
            <w:tabs>
              <w:tab w:val="right" w:leader="dot" w:pos="9016"/>
            </w:tabs>
            <w:rPr>
              <w:rFonts w:eastAsiaTheme="minorEastAsia"/>
              <w:noProof/>
              <w:lang w:eastAsia="en-AU"/>
            </w:rPr>
          </w:pPr>
          <w:hyperlink w:anchor="_Toc47358577" w:history="1">
            <w:r w:rsidR="00AF1DA1" w:rsidRPr="006B54C3">
              <w:rPr>
                <w:rStyle w:val="Hyperlink"/>
                <w:noProof/>
              </w:rPr>
              <w:t>Information supplied by the Territory</w:t>
            </w:r>
            <w:r w:rsidR="00AF1DA1">
              <w:rPr>
                <w:noProof/>
                <w:webHidden/>
              </w:rPr>
              <w:tab/>
            </w:r>
            <w:r w:rsidR="00AF1DA1">
              <w:rPr>
                <w:noProof/>
                <w:webHidden/>
              </w:rPr>
              <w:fldChar w:fldCharType="begin"/>
            </w:r>
            <w:r w:rsidR="00AF1DA1">
              <w:rPr>
                <w:noProof/>
                <w:webHidden/>
              </w:rPr>
              <w:instrText xml:space="preserve"> PAGEREF _Toc47358577 \h </w:instrText>
            </w:r>
            <w:r w:rsidR="00AF1DA1">
              <w:rPr>
                <w:noProof/>
                <w:webHidden/>
              </w:rPr>
            </w:r>
            <w:r w:rsidR="00AF1DA1">
              <w:rPr>
                <w:noProof/>
                <w:webHidden/>
              </w:rPr>
              <w:fldChar w:fldCharType="separate"/>
            </w:r>
            <w:r w:rsidR="00AF1DA1">
              <w:rPr>
                <w:noProof/>
                <w:webHidden/>
              </w:rPr>
              <w:t>13</w:t>
            </w:r>
            <w:r w:rsidR="00AF1DA1">
              <w:rPr>
                <w:noProof/>
                <w:webHidden/>
              </w:rPr>
              <w:fldChar w:fldCharType="end"/>
            </w:r>
          </w:hyperlink>
        </w:p>
        <w:p w14:paraId="7BA6EB67" w14:textId="7C4E7B02" w:rsidR="00AF1DA1" w:rsidRDefault="00722C2B">
          <w:pPr>
            <w:pStyle w:val="TOC1"/>
            <w:tabs>
              <w:tab w:val="right" w:leader="dot" w:pos="9016"/>
            </w:tabs>
            <w:rPr>
              <w:rFonts w:eastAsiaTheme="minorEastAsia"/>
              <w:noProof/>
              <w:lang w:eastAsia="en-AU"/>
            </w:rPr>
          </w:pPr>
          <w:hyperlink w:anchor="_Toc47358578" w:history="1">
            <w:r w:rsidR="00AF1DA1" w:rsidRPr="006B54C3">
              <w:rPr>
                <w:rStyle w:val="Hyperlink"/>
                <w:noProof/>
              </w:rPr>
              <w:t>Dependence on the Covenant</w:t>
            </w:r>
            <w:r w:rsidR="00AF1DA1">
              <w:rPr>
                <w:noProof/>
                <w:webHidden/>
              </w:rPr>
              <w:tab/>
            </w:r>
            <w:r w:rsidR="00AF1DA1">
              <w:rPr>
                <w:noProof/>
                <w:webHidden/>
              </w:rPr>
              <w:fldChar w:fldCharType="begin"/>
            </w:r>
            <w:r w:rsidR="00AF1DA1">
              <w:rPr>
                <w:noProof/>
                <w:webHidden/>
              </w:rPr>
              <w:instrText xml:space="preserve"> PAGEREF _Toc47358578 \h </w:instrText>
            </w:r>
            <w:r w:rsidR="00AF1DA1">
              <w:rPr>
                <w:noProof/>
                <w:webHidden/>
              </w:rPr>
            </w:r>
            <w:r w:rsidR="00AF1DA1">
              <w:rPr>
                <w:noProof/>
                <w:webHidden/>
              </w:rPr>
              <w:fldChar w:fldCharType="separate"/>
            </w:r>
            <w:r w:rsidR="00AF1DA1">
              <w:rPr>
                <w:noProof/>
                <w:webHidden/>
              </w:rPr>
              <w:t>13</w:t>
            </w:r>
            <w:r w:rsidR="00AF1DA1">
              <w:rPr>
                <w:noProof/>
                <w:webHidden/>
              </w:rPr>
              <w:fldChar w:fldCharType="end"/>
            </w:r>
          </w:hyperlink>
        </w:p>
        <w:p w14:paraId="6FB07DB7" w14:textId="4DA1BCC9" w:rsidR="00FC3788" w:rsidRDefault="00FC3788">
          <w:r>
            <w:rPr>
              <w:b/>
              <w:bCs/>
              <w:noProof/>
            </w:rPr>
            <w:fldChar w:fldCharType="end"/>
          </w:r>
        </w:p>
      </w:sdtContent>
    </w:sdt>
    <w:p w14:paraId="08F762CF" w14:textId="0974000C" w:rsidR="00792F56" w:rsidRDefault="00792F56">
      <w:pPr>
        <w:rPr>
          <w:b/>
          <w:bCs/>
          <w:sz w:val="24"/>
          <w:szCs w:val="24"/>
        </w:rPr>
      </w:pPr>
      <w:r>
        <w:rPr>
          <w:b/>
          <w:bCs/>
          <w:sz w:val="24"/>
          <w:szCs w:val="24"/>
        </w:rPr>
        <w:br w:type="page"/>
      </w:r>
    </w:p>
    <w:p w14:paraId="1F849DCD" w14:textId="0C2BD783" w:rsidR="00CA6946" w:rsidRPr="0050698F" w:rsidRDefault="00CA6946" w:rsidP="001F7D9C">
      <w:pPr>
        <w:pStyle w:val="Heading1"/>
      </w:pPr>
      <w:bookmarkStart w:id="4" w:name="_Toc47358551"/>
      <w:r w:rsidRPr="0050698F">
        <w:lastRenderedPageBreak/>
        <w:t>Preface</w:t>
      </w:r>
      <w:bookmarkEnd w:id="4"/>
    </w:p>
    <w:p w14:paraId="09D8857A" w14:textId="67324821" w:rsidR="00662BF1" w:rsidRPr="00662BF1" w:rsidRDefault="00662BF1" w:rsidP="001F7D9C">
      <w:pPr>
        <w:pStyle w:val="Heading2"/>
      </w:pPr>
      <w:bookmarkStart w:id="5" w:name="_Toc47358552"/>
      <w:r w:rsidRPr="00662BF1">
        <w:t xml:space="preserve">The National Environment Protection </w:t>
      </w:r>
      <w:r>
        <w:t>Measures</w:t>
      </w:r>
      <w:bookmarkEnd w:id="5"/>
      <w:r w:rsidRPr="00662BF1">
        <w:t xml:space="preserve"> </w:t>
      </w:r>
    </w:p>
    <w:p w14:paraId="1E4DE8C6" w14:textId="02548B70" w:rsidR="006E6759" w:rsidRDefault="00151EE6" w:rsidP="006E6759">
      <w:r w:rsidRPr="00151EE6">
        <w:t xml:space="preserve">The </w:t>
      </w:r>
      <w:r w:rsidRPr="00AD51DD">
        <w:rPr>
          <w:i/>
          <w:iCs/>
        </w:rPr>
        <w:t>National Environmental Protection Council Act 1994</w:t>
      </w:r>
      <w:r w:rsidRPr="00151EE6">
        <w:t xml:space="preserve"> (Cth) and </w:t>
      </w:r>
      <w:r w:rsidR="0025390E">
        <w:t>complementary state and territory</w:t>
      </w:r>
      <w:r w:rsidRPr="00151EE6">
        <w:t xml:space="preserve"> </w:t>
      </w:r>
      <w:r w:rsidR="0025390E">
        <w:t>legislation</w:t>
      </w:r>
      <w:r w:rsidRPr="00151EE6">
        <w:t xml:space="preserve"> authorise the National Environmental Protection Council (NEPC) to make National Environmental Protection Measures (NEPMs).</w:t>
      </w:r>
      <w:r w:rsidR="00AD51DD">
        <w:t xml:space="preserve"> </w:t>
      </w:r>
      <w:r w:rsidR="0025390E">
        <w:t xml:space="preserve">The </w:t>
      </w:r>
      <w:r w:rsidR="0025390E" w:rsidRPr="0025390E">
        <w:t>NEPMs are a set of national objectives designed to assist in protecting or managing aspects of the environment.</w:t>
      </w:r>
      <w:r w:rsidR="0025390E">
        <w:t xml:space="preserve"> </w:t>
      </w:r>
      <w:r w:rsidR="00D26DD7">
        <w:t xml:space="preserve">Jurisdictions individually decide how to implement the NEPMs. </w:t>
      </w:r>
      <w:r w:rsidR="00AD51DD">
        <w:t xml:space="preserve">In the ACT, the equivalent Act is the </w:t>
      </w:r>
      <w:r w:rsidR="00AD51DD" w:rsidRPr="00AD51DD">
        <w:rPr>
          <w:i/>
          <w:iCs/>
        </w:rPr>
        <w:t xml:space="preserve">National Environmental Protection Council Act 1994 </w:t>
      </w:r>
      <w:r w:rsidR="00AD51DD">
        <w:t xml:space="preserve">(ACT). </w:t>
      </w:r>
    </w:p>
    <w:p w14:paraId="7F415BD9" w14:textId="27357DA0" w:rsidR="00662BF1" w:rsidRPr="004100F2" w:rsidRDefault="00662BF1" w:rsidP="001F7D9C">
      <w:pPr>
        <w:pStyle w:val="Heading2"/>
      </w:pPr>
      <w:bookmarkStart w:id="6" w:name="_Toc47358553"/>
      <w:r w:rsidRPr="004100F2">
        <w:t xml:space="preserve">The </w:t>
      </w:r>
      <w:r w:rsidRPr="004100F2">
        <w:rPr>
          <w:i/>
          <w:iCs/>
        </w:rPr>
        <w:t>National Environment Protection (Used Packaging Materials) Measure 2011</w:t>
      </w:r>
      <w:r w:rsidRPr="004100F2">
        <w:t xml:space="preserve"> (</w:t>
      </w:r>
      <w:r w:rsidR="00AD51DD" w:rsidRPr="004100F2">
        <w:t>UPM</w:t>
      </w:r>
      <w:r w:rsidRPr="004100F2">
        <w:t xml:space="preserve"> NEPM)</w:t>
      </w:r>
      <w:bookmarkEnd w:id="6"/>
    </w:p>
    <w:p w14:paraId="131921A2" w14:textId="6D017A0F" w:rsidR="00446DDD" w:rsidRDefault="00662BF1" w:rsidP="006E6759">
      <w:r>
        <w:t xml:space="preserve">The </w:t>
      </w:r>
      <w:r w:rsidRPr="00AD51DD">
        <w:t>U</w:t>
      </w:r>
      <w:r w:rsidR="00AD51DD">
        <w:t xml:space="preserve">PM </w:t>
      </w:r>
      <w:r w:rsidRPr="00AD51DD">
        <w:t>NEPM</w:t>
      </w:r>
      <w:r w:rsidR="00054184">
        <w:t xml:space="preserve"> </w:t>
      </w:r>
      <w:r w:rsidR="00723A93">
        <w:t xml:space="preserve">aims to </w:t>
      </w:r>
      <w:r w:rsidR="00723A93" w:rsidRPr="00723A93">
        <w:t xml:space="preserve">reduce environmental degradation arising from the disposal of used packaging and conserve virgin materials through the encouragement of waste avoidance and the </w:t>
      </w:r>
      <w:r w:rsidR="001C4D82">
        <w:br/>
      </w:r>
      <w:r w:rsidR="00723A93" w:rsidRPr="00723A93">
        <w:t>re-use and recycling of used packaging materials</w:t>
      </w:r>
      <w:r w:rsidR="00723A93">
        <w:t xml:space="preserve">. </w:t>
      </w:r>
      <w:r w:rsidR="00723A93" w:rsidRPr="00723A93">
        <w:t xml:space="preserve"> </w:t>
      </w:r>
      <w:r w:rsidR="00723A93">
        <w:t xml:space="preserve">The </w:t>
      </w:r>
      <w:r w:rsidR="00AD51DD">
        <w:t>UPM</w:t>
      </w:r>
      <w:r w:rsidR="00723A93">
        <w:t xml:space="preserve"> NEPM supports and complements</w:t>
      </w:r>
      <w:r w:rsidR="00723A93" w:rsidRPr="00723A93">
        <w:t xml:space="preserve"> the voluntary strategies in the </w:t>
      </w:r>
      <w:r w:rsidR="00723A93">
        <w:t xml:space="preserve">Australian Packaging </w:t>
      </w:r>
      <w:r w:rsidR="00723A93" w:rsidRPr="00723A93">
        <w:t xml:space="preserve">Covenant </w:t>
      </w:r>
      <w:r w:rsidR="007A61F6">
        <w:t xml:space="preserve">(the Covenant) </w:t>
      </w:r>
      <w:r w:rsidR="00723A93" w:rsidRPr="00723A93">
        <w:t>and assist</w:t>
      </w:r>
      <w:r w:rsidR="00723A93">
        <w:t>s</w:t>
      </w:r>
      <w:r w:rsidR="00723A93" w:rsidRPr="00723A93">
        <w:t xml:space="preserve"> </w:t>
      </w:r>
      <w:r w:rsidR="003F54C3">
        <w:t>with</w:t>
      </w:r>
      <w:r w:rsidR="00723A93" w:rsidRPr="00723A93">
        <w:t xml:space="preserve"> </w:t>
      </w:r>
      <w:r w:rsidR="00F11F12" w:rsidRPr="00723A93">
        <w:t>assess</w:t>
      </w:r>
      <w:r w:rsidR="00F11F12">
        <w:t xml:space="preserve">ing </w:t>
      </w:r>
      <w:r w:rsidR="00F11F12" w:rsidRPr="00723A93">
        <w:t>performance</w:t>
      </w:r>
      <w:r w:rsidR="00723A93" w:rsidRPr="00723A93">
        <w:t xml:space="preserve"> of the Covenant.</w:t>
      </w:r>
    </w:p>
    <w:p w14:paraId="64ABABBA" w14:textId="74BE8470" w:rsidR="00662BF1" w:rsidRPr="00662BF1" w:rsidRDefault="00662BF1" w:rsidP="001F7D9C">
      <w:pPr>
        <w:pStyle w:val="Heading2"/>
      </w:pPr>
      <w:bookmarkStart w:id="7" w:name="_Toc47358554"/>
      <w:r w:rsidRPr="00662BF1">
        <w:t>The Australian Packaging Covenant (the Covenant)</w:t>
      </w:r>
      <w:bookmarkEnd w:id="7"/>
    </w:p>
    <w:p w14:paraId="45BDDE78" w14:textId="20343024" w:rsidR="00792F56" w:rsidRDefault="007A61F6" w:rsidP="006E6759">
      <w:r>
        <w:t xml:space="preserve">The </w:t>
      </w:r>
      <w:r w:rsidR="00662BF1">
        <w:t>Covenant</w:t>
      </w:r>
      <w:r>
        <w:t xml:space="preserve"> is a co-regulatory arrangement between industry and governments to manage packaging waste. </w:t>
      </w:r>
      <w:r w:rsidR="00572461">
        <w:t xml:space="preserve">The Covenant is based on the principles of product stewardship </w:t>
      </w:r>
      <w:r w:rsidR="00446DDD">
        <w:t>and shared responsibility</w:t>
      </w:r>
      <w:r w:rsidR="00AD51DD">
        <w:t xml:space="preserve">. It aims </w:t>
      </w:r>
      <w:r w:rsidR="00572461">
        <w:t xml:space="preserve">to ensure that parties in the consumer packaging supply chain work collaboratively to achieve sustainable packaging outcomes and minimise the environmental impact of packaging waste. </w:t>
      </w:r>
      <w:r w:rsidR="00572461" w:rsidRPr="00572461">
        <w:t xml:space="preserve">Under the Covenant, the </w:t>
      </w:r>
      <w:r w:rsidR="00572461">
        <w:t xml:space="preserve">Australian Packaging Covenant Organisation </w:t>
      </w:r>
      <w:r w:rsidR="00572461" w:rsidRPr="00572461">
        <w:t xml:space="preserve">partners with governments and industry to achieve the National Packaging Target endorsed by the Meeting of Environment Ministers in April 2018. </w:t>
      </w:r>
    </w:p>
    <w:p w14:paraId="5350DBFC" w14:textId="6887D043" w:rsidR="00723A93" w:rsidRDefault="00792F56" w:rsidP="006E6759">
      <w:r>
        <w:t xml:space="preserve">The National Packaging Target is </w:t>
      </w:r>
      <w:r w:rsidR="00186523">
        <w:t>to make</w:t>
      </w:r>
      <w:r>
        <w:t xml:space="preserve"> 100% of all Australian packaging reusable, recyclable or compostable by 2025 or earlier. This is supported by a number of sub-targets, developed and agreed by industry and endorsed by the Commonwealth Minister for the Environment</w:t>
      </w:r>
      <w:r w:rsidR="0034536F">
        <w:t>:</w:t>
      </w:r>
    </w:p>
    <w:p w14:paraId="4004A4AA" w14:textId="77E61FD7" w:rsidR="0034536F" w:rsidRDefault="00186523" w:rsidP="001636BC">
      <w:pPr>
        <w:pStyle w:val="ListParagraph"/>
        <w:numPr>
          <w:ilvl w:val="0"/>
          <w:numId w:val="18"/>
        </w:numPr>
      </w:pPr>
      <w:r>
        <w:t>70% of Australia’s plastic packaging will be recycled or composted by 2025</w:t>
      </w:r>
    </w:p>
    <w:p w14:paraId="526069C6" w14:textId="19799A5A" w:rsidR="00186523" w:rsidRDefault="009314D2" w:rsidP="001636BC">
      <w:pPr>
        <w:pStyle w:val="ListParagraph"/>
        <w:numPr>
          <w:ilvl w:val="0"/>
          <w:numId w:val="18"/>
        </w:numPr>
      </w:pPr>
      <w:r>
        <w:t>5</w:t>
      </w:r>
      <w:r w:rsidR="00186523">
        <w:t>0% average recycled content will be included across all packaging by 2025</w:t>
      </w:r>
    </w:p>
    <w:p w14:paraId="5B2E8672" w14:textId="035A1C30" w:rsidR="00186523" w:rsidRDefault="00186523" w:rsidP="001636BC">
      <w:pPr>
        <w:pStyle w:val="ListParagraph"/>
        <w:numPr>
          <w:ilvl w:val="0"/>
          <w:numId w:val="18"/>
        </w:numPr>
      </w:pPr>
      <w:r>
        <w:t>Problematic and unnecessary single-use plastic packaging will be phased out through design, innovation, or introduction of alternatives.</w:t>
      </w:r>
    </w:p>
    <w:p w14:paraId="1543CB76" w14:textId="6F59E603" w:rsidR="00857C79" w:rsidRPr="00857C79" w:rsidRDefault="00857C79" w:rsidP="001F7D9C">
      <w:pPr>
        <w:pStyle w:val="Heading2"/>
      </w:pPr>
      <w:bookmarkStart w:id="8" w:name="_Toc47358555"/>
      <w:r w:rsidRPr="00857C79">
        <w:t xml:space="preserve">The </w:t>
      </w:r>
      <w:r w:rsidR="0050698F">
        <w:t>Territory</w:t>
      </w:r>
      <w:r w:rsidRPr="00857C79">
        <w:t xml:space="preserve"> context</w:t>
      </w:r>
      <w:bookmarkEnd w:id="8"/>
    </w:p>
    <w:p w14:paraId="77266B90" w14:textId="3266A7B0" w:rsidR="00857C79" w:rsidRDefault="0034536F" w:rsidP="006E6759">
      <w:r>
        <w:t>T</w:t>
      </w:r>
      <w:r w:rsidR="00857C79">
        <w:t xml:space="preserve">he </w:t>
      </w:r>
      <w:r w:rsidR="0050698F">
        <w:t>Territory</w:t>
      </w:r>
      <w:r w:rsidR="00857C79">
        <w:t xml:space="preserve"> </w:t>
      </w:r>
      <w:r>
        <w:t xml:space="preserve">previously </w:t>
      </w:r>
      <w:r w:rsidR="00302DFA">
        <w:t xml:space="preserve">embedded the </w:t>
      </w:r>
      <w:r w:rsidR="00AD51DD">
        <w:t xml:space="preserve">UPM </w:t>
      </w:r>
      <w:r w:rsidR="00857C79">
        <w:t xml:space="preserve">NEPM </w:t>
      </w:r>
      <w:r w:rsidR="00AD51DD">
        <w:t>through</w:t>
      </w:r>
      <w:r w:rsidR="00857C79">
        <w:t xml:space="preserve"> the </w:t>
      </w:r>
      <w:r w:rsidR="00857C79" w:rsidRPr="00AD51DD">
        <w:rPr>
          <w:i/>
          <w:iCs/>
        </w:rPr>
        <w:t>Waste Minimisation (Used Packaging Materials Industry Waste Reduction Plan) Approval 2013 (No 1)</w:t>
      </w:r>
      <w:r w:rsidR="00857C79">
        <w:t xml:space="preserve"> (the IWRP)</w:t>
      </w:r>
      <w:r>
        <w:t xml:space="preserve"> under </w:t>
      </w:r>
      <w:r w:rsidRPr="00AD51DD">
        <w:t xml:space="preserve">the </w:t>
      </w:r>
      <w:r w:rsidRPr="00AD51DD">
        <w:rPr>
          <w:i/>
          <w:iCs/>
        </w:rPr>
        <w:t>Waste Minimisation Act 2001</w:t>
      </w:r>
      <w:r w:rsidR="00857C79">
        <w:t xml:space="preserve">. </w:t>
      </w:r>
      <w:r w:rsidR="00857C79" w:rsidRPr="00857C79">
        <w:t xml:space="preserve">The IWRP was an enforceable legislative </w:t>
      </w:r>
      <w:r w:rsidR="00857C79">
        <w:t>instrument.</w:t>
      </w:r>
    </w:p>
    <w:p w14:paraId="6208D369" w14:textId="6982774E" w:rsidR="00433A41" w:rsidRDefault="005C1922" w:rsidP="00662BF1">
      <w:r>
        <w:t>T</w:t>
      </w:r>
      <w:r w:rsidR="00857C79">
        <w:t>he IWRP was repealed when</w:t>
      </w:r>
      <w:r w:rsidR="00BB14AB">
        <w:t xml:space="preserve"> the </w:t>
      </w:r>
      <w:r w:rsidR="00BB14AB" w:rsidRPr="00AD51DD">
        <w:rPr>
          <w:i/>
          <w:iCs/>
        </w:rPr>
        <w:t>Waste Management and Resource Recovery Act 2016</w:t>
      </w:r>
      <w:r w:rsidR="00662BF1">
        <w:t xml:space="preserve"> (</w:t>
      </w:r>
      <w:r w:rsidR="009D2CE1">
        <w:t>the</w:t>
      </w:r>
      <w:r w:rsidR="00662BF1">
        <w:t xml:space="preserve"> Act)</w:t>
      </w:r>
      <w:r w:rsidR="00BB14AB">
        <w:t xml:space="preserve"> replaced the </w:t>
      </w:r>
      <w:r w:rsidR="00BB14AB" w:rsidRPr="00AD51DD">
        <w:rPr>
          <w:i/>
          <w:iCs/>
        </w:rPr>
        <w:t>Waste Minimisation Act 2001</w:t>
      </w:r>
      <w:r w:rsidR="00BB14AB">
        <w:t xml:space="preserve"> </w:t>
      </w:r>
      <w:r w:rsidR="00BB14AB" w:rsidRPr="00AD51DD">
        <w:t>on 1 July 2017</w:t>
      </w:r>
      <w:r w:rsidR="00662BF1" w:rsidRPr="00AD51DD">
        <w:t xml:space="preserve">. </w:t>
      </w:r>
      <w:r w:rsidR="00857C79" w:rsidRPr="00857C79">
        <w:t xml:space="preserve">The </w:t>
      </w:r>
      <w:r w:rsidR="00857C79" w:rsidRPr="00AD51DD">
        <w:rPr>
          <w:i/>
          <w:iCs/>
        </w:rPr>
        <w:t>Environment Protection (Used Packaging Materials) Code of Practice</w:t>
      </w:r>
      <w:r w:rsidR="0034536F">
        <w:rPr>
          <w:i/>
          <w:iCs/>
        </w:rPr>
        <w:t xml:space="preserve"> </w:t>
      </w:r>
      <w:r w:rsidR="00186523">
        <w:t>is an equivalent and refreshed</w:t>
      </w:r>
      <w:r w:rsidR="00302DFA">
        <w:t xml:space="preserve"> mechanism to embed the UPM NEPM under the </w:t>
      </w:r>
      <w:r w:rsidR="00804029">
        <w:t>Act.</w:t>
      </w:r>
      <w:r w:rsidR="00662BF1">
        <w:t xml:space="preserve"> </w:t>
      </w:r>
    </w:p>
    <w:p w14:paraId="465840DD" w14:textId="5583A04B" w:rsidR="009D2CE1" w:rsidRDefault="00662BF1" w:rsidP="00857C79">
      <w:r w:rsidRPr="00AD51DD">
        <w:t xml:space="preserve">The Act, the </w:t>
      </w:r>
      <w:r w:rsidRPr="00AD51DD">
        <w:rPr>
          <w:i/>
          <w:iCs/>
        </w:rPr>
        <w:t>Waste Management and Resource Recovery Regulation 2017</w:t>
      </w:r>
      <w:r w:rsidRPr="00AD51DD">
        <w:t xml:space="preserve">, and the Code of Practice provide an integrated framework </w:t>
      </w:r>
      <w:r w:rsidR="00956464">
        <w:t>to manage the impacts of packaging on the ACT environment</w:t>
      </w:r>
      <w:r w:rsidRPr="00AD51DD">
        <w:t>.</w:t>
      </w:r>
      <w:r>
        <w:t xml:space="preserve"> </w:t>
      </w:r>
    </w:p>
    <w:p w14:paraId="0DA8FC6B" w14:textId="77777777" w:rsidR="009D2CE1" w:rsidRDefault="009D2CE1">
      <w:r>
        <w:br w:type="page"/>
      </w:r>
    </w:p>
    <w:p w14:paraId="42DDBE76" w14:textId="3DA67360" w:rsidR="002A3863" w:rsidRPr="0050698F" w:rsidRDefault="00CA6946" w:rsidP="001F7D9C">
      <w:pPr>
        <w:pStyle w:val="Heading1"/>
      </w:pPr>
      <w:bookmarkStart w:id="9" w:name="_Toc47358556"/>
      <w:r w:rsidRPr="0050698F">
        <w:lastRenderedPageBreak/>
        <w:t>Definitions</w:t>
      </w:r>
      <w:bookmarkEnd w:id="9"/>
    </w:p>
    <w:p w14:paraId="3FF93B63" w14:textId="09E31092" w:rsidR="00431ECF" w:rsidRDefault="00431ECF" w:rsidP="00431ECF">
      <w:r w:rsidRPr="004146F9">
        <w:t>Unless otherwise specified, the following definitions apply to this Code</w:t>
      </w:r>
      <w:r w:rsidR="00EA0BD4">
        <w:t xml:space="preserve"> of Practice</w:t>
      </w:r>
      <w:r w:rsidRPr="004146F9">
        <w:t>:</w:t>
      </w:r>
    </w:p>
    <w:p w14:paraId="161EA9F1" w14:textId="640ADE8D" w:rsidR="009847D4" w:rsidRPr="009847D4" w:rsidRDefault="009847D4" w:rsidP="00431ECF">
      <w:r>
        <w:t xml:space="preserve">The </w:t>
      </w:r>
      <w:r>
        <w:rPr>
          <w:b/>
          <w:bCs/>
        </w:rPr>
        <w:t>Act</w:t>
      </w:r>
      <w:r>
        <w:t xml:space="preserve"> means the </w:t>
      </w:r>
      <w:r w:rsidRPr="00AD51DD">
        <w:rPr>
          <w:i/>
          <w:iCs/>
        </w:rPr>
        <w:t>Waste Management and Resource Recovery Act 2016</w:t>
      </w:r>
      <w:r w:rsidR="00D26DD7">
        <w:rPr>
          <w:i/>
          <w:iCs/>
        </w:rPr>
        <w:t xml:space="preserve"> </w:t>
      </w:r>
      <w:r w:rsidR="00D26DD7">
        <w:t>(ACT)</w:t>
      </w:r>
      <w:r w:rsidR="00AD51DD">
        <w:t>.</w:t>
      </w:r>
    </w:p>
    <w:p w14:paraId="01E1BACE" w14:textId="336579A5" w:rsidR="00CA6946" w:rsidRDefault="00431ECF" w:rsidP="00431ECF">
      <w:r w:rsidRPr="004146F9">
        <w:rPr>
          <w:b/>
          <w:bCs/>
        </w:rPr>
        <w:t>Australian Packaging Covenant</w:t>
      </w:r>
      <w:r w:rsidRPr="00431ECF">
        <w:t xml:space="preserve"> means the agreement by that name (including all schedules and annexes to that agreement) between industry organisations and governments in the packaging supply chain to reduce the environmental impacts of packaging.</w:t>
      </w:r>
    </w:p>
    <w:p w14:paraId="56F889E7" w14:textId="6D263284" w:rsidR="004146F9" w:rsidRPr="004146F9" w:rsidRDefault="004146F9" w:rsidP="00431ECF">
      <w:r>
        <w:rPr>
          <w:b/>
          <w:bCs/>
        </w:rPr>
        <w:t xml:space="preserve">Australian Packaging Covenant Organisation </w:t>
      </w:r>
      <w:r>
        <w:t xml:space="preserve">means the body established under the Australian Packaging Covenant for the purpose of administering the Covenant, including registration of signatories and action plans, monitoring, discipline and dispute resolution where required. </w:t>
      </w:r>
    </w:p>
    <w:p w14:paraId="161BA694" w14:textId="5C099200" w:rsidR="004146F9" w:rsidRDefault="004146F9" w:rsidP="004146F9">
      <w:r w:rsidRPr="004146F9">
        <w:rPr>
          <w:b/>
          <w:bCs/>
        </w:rPr>
        <w:t>Brand owner</w:t>
      </w:r>
      <w:r>
        <w:t xml:space="preserve"> means: </w:t>
      </w:r>
    </w:p>
    <w:p w14:paraId="6D46A209" w14:textId="7AE3F3A9" w:rsidR="004146F9" w:rsidRDefault="004146F9" w:rsidP="001636BC">
      <w:pPr>
        <w:pStyle w:val="ListParagraph"/>
        <w:numPr>
          <w:ilvl w:val="0"/>
          <w:numId w:val="4"/>
        </w:numPr>
      </w:pPr>
      <w:r>
        <w:t>a person who is the owner or licensee in Australia of a trademark under which a product is sold or otherwise distributed in Australia, whether the trademark is registered or not; or</w:t>
      </w:r>
    </w:p>
    <w:p w14:paraId="4525DB47" w14:textId="16BD0A73" w:rsidR="004146F9" w:rsidRDefault="004146F9" w:rsidP="001636BC">
      <w:pPr>
        <w:pStyle w:val="ListParagraph"/>
        <w:numPr>
          <w:ilvl w:val="0"/>
          <w:numId w:val="4"/>
        </w:numPr>
      </w:pPr>
      <w:r>
        <w:t>a person who is the franchisee in Australia of a business arrangement which allows an individual, partnership or company to operate under the name of an already established business; or</w:t>
      </w:r>
    </w:p>
    <w:p w14:paraId="585A1DB7" w14:textId="759D55A0" w:rsidR="004146F9" w:rsidRDefault="004146F9" w:rsidP="001636BC">
      <w:pPr>
        <w:pStyle w:val="ListParagraph"/>
        <w:numPr>
          <w:ilvl w:val="0"/>
          <w:numId w:val="4"/>
        </w:numPr>
      </w:pPr>
      <w:r>
        <w:t>in the case of a product which has been imported, the first person to sell that product in Australia; or</w:t>
      </w:r>
    </w:p>
    <w:p w14:paraId="1432D70A" w14:textId="7C1587A4" w:rsidR="004146F9" w:rsidRDefault="004146F9" w:rsidP="001636BC">
      <w:pPr>
        <w:pStyle w:val="ListParagraph"/>
        <w:numPr>
          <w:ilvl w:val="0"/>
          <w:numId w:val="4"/>
        </w:numPr>
      </w:pPr>
      <w:r>
        <w:t>in respect of in-store packaging, the supplier of the packaging to the retailer; or</w:t>
      </w:r>
    </w:p>
    <w:p w14:paraId="01545E94" w14:textId="160797FA" w:rsidR="004146F9" w:rsidRDefault="004146F9" w:rsidP="001636BC">
      <w:pPr>
        <w:pStyle w:val="ListParagraph"/>
        <w:numPr>
          <w:ilvl w:val="0"/>
          <w:numId w:val="4"/>
        </w:numPr>
      </w:pPr>
      <w:r>
        <w:t>in respect of plastic bags, the importer or manufacturer of the plastic bags or the retailer who provides the plastic bag to the consumer for the transportation of products purchased by the consumer at the point of sale.</w:t>
      </w:r>
    </w:p>
    <w:p w14:paraId="242E892C" w14:textId="2A78A70A" w:rsidR="006A2C43" w:rsidRPr="00C52E2C" w:rsidRDefault="006A2C43" w:rsidP="004146F9">
      <w:r>
        <w:rPr>
          <w:b/>
          <w:bCs/>
        </w:rPr>
        <w:t>Code</w:t>
      </w:r>
      <w:r w:rsidR="000841FD">
        <w:rPr>
          <w:b/>
          <w:bCs/>
        </w:rPr>
        <w:t xml:space="preserve"> of Practice</w:t>
      </w:r>
      <w:r>
        <w:t xml:space="preserve"> means this </w:t>
      </w:r>
      <w:r w:rsidRPr="00AD51DD">
        <w:rPr>
          <w:i/>
          <w:iCs/>
        </w:rPr>
        <w:t>Environment Protection (Used Packaging Materials) Code of Practice</w:t>
      </w:r>
      <w:r w:rsidR="00C52E2C">
        <w:t>.</w:t>
      </w:r>
      <w:r w:rsidRPr="00AD51DD">
        <w:rPr>
          <w:i/>
          <w:iCs/>
        </w:rPr>
        <w:t xml:space="preserve"> </w:t>
      </w:r>
    </w:p>
    <w:p w14:paraId="3C5E15C8" w14:textId="47FF5B0C" w:rsidR="004146F9" w:rsidRDefault="004146F9" w:rsidP="004146F9">
      <w:r w:rsidRPr="004146F9">
        <w:rPr>
          <w:b/>
          <w:bCs/>
        </w:rPr>
        <w:t>Consumer packaging</w:t>
      </w:r>
      <w:r w:rsidRPr="004146F9">
        <w:t xml:space="preserve"> means all packaging products made of any material, or combination of materials, for the containment, protection, marketing and handling of retail consumer products. This also includes distribution packaging.</w:t>
      </w:r>
    </w:p>
    <w:p w14:paraId="2A54AB3C" w14:textId="66B087D0" w:rsidR="001E6520" w:rsidRDefault="001E6520" w:rsidP="004146F9">
      <w:r w:rsidRPr="00D21408">
        <w:rPr>
          <w:b/>
          <w:bCs/>
        </w:rPr>
        <w:t>Council</w:t>
      </w:r>
      <w:r w:rsidRPr="001E6520">
        <w:t xml:space="preserve"> means the National Environment Protection Council established by</w:t>
      </w:r>
      <w:r w:rsidR="00D21408">
        <w:t xml:space="preserve"> the </w:t>
      </w:r>
      <w:r w:rsidR="00D21408" w:rsidRPr="00790BC9">
        <w:rPr>
          <w:i/>
          <w:iCs/>
        </w:rPr>
        <w:t xml:space="preserve">National Environment Protection Council </w:t>
      </w:r>
      <w:r w:rsidR="00091BBE" w:rsidRPr="00790BC9">
        <w:rPr>
          <w:i/>
          <w:iCs/>
        </w:rPr>
        <w:t>Act 1994</w:t>
      </w:r>
      <w:r w:rsidR="00091BBE">
        <w:t xml:space="preserve"> </w:t>
      </w:r>
      <w:r w:rsidRPr="001E6520">
        <w:t>and the equivalent provisions of the corresponding Acts of the Commonwealth and participating States or Territories</w:t>
      </w:r>
      <w:r w:rsidR="00D828DC">
        <w:t>.</w:t>
      </w:r>
      <w:r>
        <w:t xml:space="preserve"> </w:t>
      </w:r>
    </w:p>
    <w:p w14:paraId="092EA09A" w14:textId="28BE5B0F" w:rsidR="004146F9" w:rsidRDefault="004146F9" w:rsidP="004146F9">
      <w:r w:rsidRPr="004146F9">
        <w:rPr>
          <w:b/>
          <w:bCs/>
        </w:rPr>
        <w:t>Covenant</w:t>
      </w:r>
      <w:r w:rsidRPr="004146F9">
        <w:t xml:space="preserve"> means the Australian Packaging Covenant.</w:t>
      </w:r>
    </w:p>
    <w:p w14:paraId="6B3C6FD9" w14:textId="77777777" w:rsidR="00985E28" w:rsidRDefault="00985E28" w:rsidP="00985E28">
      <w:r w:rsidRPr="00985E28">
        <w:rPr>
          <w:b/>
          <w:bCs/>
        </w:rPr>
        <w:t>Distribution packaging</w:t>
      </w:r>
      <w:r>
        <w:t xml:space="preserve"> means all packaging that contains multiples of products (the same or mixed) intended for direct consumer purchase including:</w:t>
      </w:r>
    </w:p>
    <w:p w14:paraId="68674530" w14:textId="3BD165D5" w:rsidR="00985E28" w:rsidRDefault="00985E28" w:rsidP="001636BC">
      <w:pPr>
        <w:pStyle w:val="ListParagraph"/>
        <w:numPr>
          <w:ilvl w:val="0"/>
          <w:numId w:val="5"/>
        </w:numPr>
      </w:pPr>
      <w:r>
        <w:t>secondary packaging used to secure or unitise multiples of consumer products such as cardboard boxes, shipper, shrink film wrap; and</w:t>
      </w:r>
    </w:p>
    <w:p w14:paraId="7AF00634" w14:textId="7082942B" w:rsidR="00985E28" w:rsidRDefault="00985E28" w:rsidP="001636BC">
      <w:pPr>
        <w:pStyle w:val="ListParagraph"/>
        <w:numPr>
          <w:ilvl w:val="0"/>
          <w:numId w:val="5"/>
        </w:numPr>
      </w:pPr>
      <w:r>
        <w:t>tertiary packaging used to secure or unitise multiples of secondary packaging such as pallet wrapping stretch film, shrink wrap film, strapping.</w:t>
      </w:r>
    </w:p>
    <w:p w14:paraId="1B670876" w14:textId="77777777" w:rsidR="00985E28" w:rsidRDefault="00985E28" w:rsidP="00985E28">
      <w:r w:rsidRPr="00985E28">
        <w:rPr>
          <w:b/>
          <w:bCs/>
        </w:rPr>
        <w:t>Free rider</w:t>
      </w:r>
      <w:r>
        <w:t xml:space="preserve"> means a brand owner or organisation that is a participant in the packaging chain and is not a signatory to the Covenant, is not producing equivalent outcomes to those achieved through the Covenant, and, is not compliant with the relevant state or territory instruments.</w:t>
      </w:r>
    </w:p>
    <w:p w14:paraId="18F096C8" w14:textId="558E4C2D" w:rsidR="00183BA0" w:rsidRPr="00183BA0" w:rsidRDefault="00183BA0" w:rsidP="00985E28">
      <w:r>
        <w:rPr>
          <w:b/>
          <w:bCs/>
        </w:rPr>
        <w:t>Household recycling collection</w:t>
      </w:r>
      <w:r>
        <w:t>,</w:t>
      </w:r>
      <w:r w:rsidRPr="00985E28">
        <w:t xml:space="preserve"> </w:t>
      </w:r>
      <w:r>
        <w:t xml:space="preserve">also known as kerbside recycling collection, </w:t>
      </w:r>
      <w:r w:rsidRPr="00985E28">
        <w:t>means roadside collection of domestic solid waste separated for the purpose of recycling.</w:t>
      </w:r>
    </w:p>
    <w:p w14:paraId="0384000E" w14:textId="79825B2C" w:rsidR="00985E28" w:rsidRDefault="00985E28" w:rsidP="00985E28">
      <w:r w:rsidRPr="00985E28">
        <w:rPr>
          <w:b/>
          <w:bCs/>
        </w:rPr>
        <w:lastRenderedPageBreak/>
        <w:t>Industry</w:t>
      </w:r>
      <w:r w:rsidRPr="00985E28">
        <w:t xml:space="preserve"> means any manufacturing, industrial, commercial, wholesale or retail activity or process that can result in the generation, recycling, treatment, transport storage, or disposal of consumer packaging waste.</w:t>
      </w:r>
    </w:p>
    <w:p w14:paraId="5282A64F" w14:textId="1B5E3394" w:rsidR="00985E28" w:rsidRDefault="00985E28" w:rsidP="00985E28">
      <w:r w:rsidRPr="00985E28">
        <w:rPr>
          <w:b/>
          <w:bCs/>
        </w:rPr>
        <w:t>Landfill</w:t>
      </w:r>
      <w:r w:rsidRPr="00985E28">
        <w:t xml:space="preserve"> means waste disposal sites used for the authorised deposit of solid waste onto or into land.</w:t>
      </w:r>
    </w:p>
    <w:p w14:paraId="67969E35" w14:textId="184034D8" w:rsidR="00985E28" w:rsidRDefault="00985E28" w:rsidP="00985E28">
      <w:r w:rsidRPr="00985E28">
        <w:rPr>
          <w:b/>
          <w:bCs/>
        </w:rPr>
        <w:t>Lifecycle management</w:t>
      </w:r>
      <w:r w:rsidRPr="00985E28">
        <w:t xml:space="preserve"> means management of the potential environmental impacts of a product in all stages of production, distribution, use, collection, reuse, recycling, reprocessing and disposal of that product.</w:t>
      </w:r>
    </w:p>
    <w:p w14:paraId="240402FC" w14:textId="77777777" w:rsidR="00985E28" w:rsidRDefault="00985E28" w:rsidP="00985E28">
      <w:r w:rsidRPr="00985E28">
        <w:rPr>
          <w:b/>
          <w:bCs/>
        </w:rPr>
        <w:t>Materials recovery system</w:t>
      </w:r>
      <w:r>
        <w:t xml:space="preserve"> means any system to collect, sort and pre-process materials recovered from the waste stream, including but not limited to domestic kerbside recycling collections, drop-off collection systems, public place collection and industrial and commercial recycling collection systems.   </w:t>
      </w:r>
    </w:p>
    <w:p w14:paraId="48F33B83" w14:textId="77777777" w:rsidR="00985E28" w:rsidRDefault="00985E28" w:rsidP="00985E28">
      <w:r w:rsidRPr="00EA0BD4">
        <w:rPr>
          <w:b/>
          <w:bCs/>
        </w:rPr>
        <w:t>Nominated agency</w:t>
      </w:r>
      <w:r w:rsidRPr="00EA0BD4">
        <w:t xml:space="preserve"> means the agency nominated by a participating jurisdiction for the purposes of receiving and reporting data or inspecting records.</w:t>
      </w:r>
      <w:r>
        <w:t xml:space="preserve">  </w:t>
      </w:r>
    </w:p>
    <w:p w14:paraId="363EF2BF" w14:textId="77777777" w:rsidR="00985E28" w:rsidRDefault="00985E28" w:rsidP="00985E28">
      <w:r w:rsidRPr="00985E28">
        <w:rPr>
          <w:b/>
          <w:bCs/>
        </w:rPr>
        <w:t>Packaging chain</w:t>
      </w:r>
      <w:r>
        <w:t xml:space="preserve"> means the linkages among materials suppliers, packaging manufacturers, packaging fillers, wholesalers, retailers and consumers of packaged products. </w:t>
      </w:r>
    </w:p>
    <w:p w14:paraId="43C1F7CF" w14:textId="3B19B8AF" w:rsidR="001E6520" w:rsidRDefault="00985E28" w:rsidP="00985E28">
      <w:r w:rsidRPr="00985E28">
        <w:rPr>
          <w:b/>
          <w:bCs/>
        </w:rPr>
        <w:t>Participation rate</w:t>
      </w:r>
      <w:r>
        <w:t xml:space="preserve"> for a recycling collection service means the number of households or other premises participating in the service, expressed as a proportion of the number of households or premises to which the service is available. </w:t>
      </w:r>
    </w:p>
    <w:p w14:paraId="3EE7BD1B" w14:textId="5E6B218D" w:rsidR="00985E28" w:rsidRDefault="00985E28" w:rsidP="00985E28">
      <w:r w:rsidRPr="00985E28">
        <w:rPr>
          <w:b/>
          <w:bCs/>
        </w:rPr>
        <w:t>Plastic bags</w:t>
      </w:r>
      <w:r>
        <w:t xml:space="preserve"> include single</w:t>
      </w:r>
      <w:r w:rsidR="00956464">
        <w:t>-</w:t>
      </w:r>
      <w:r>
        <w:t xml:space="preserve">use, lightweight plastic carry bags containing virgin or recycled plastic. </w:t>
      </w:r>
    </w:p>
    <w:p w14:paraId="5B4E8641" w14:textId="57A96387" w:rsidR="00985E28" w:rsidRDefault="00985E28" w:rsidP="00985E28">
      <w:r w:rsidRPr="00985E28">
        <w:rPr>
          <w:b/>
          <w:bCs/>
        </w:rPr>
        <w:t>Product stewardship</w:t>
      </w:r>
      <w:r>
        <w:t xml:space="preserve"> means the ethic of shared responsibility through the lifecycle of products including the environmental impact of the product through to, and including, its ultimate disposal</w:t>
      </w:r>
      <w:r w:rsidR="009B5D81">
        <w:t>.</w:t>
      </w:r>
    </w:p>
    <w:p w14:paraId="538731A3" w14:textId="02BB8210" w:rsidR="00985E28" w:rsidRDefault="00985E28" w:rsidP="00985E28">
      <w:r w:rsidRPr="00787AE9">
        <w:rPr>
          <w:b/>
          <w:bCs/>
        </w:rPr>
        <w:t>Recovery rate</w:t>
      </w:r>
      <w:r>
        <w:t xml:space="preserve"> means the weight of</w:t>
      </w:r>
      <w:r w:rsidR="0054723C">
        <w:t xml:space="preserve"> the</w:t>
      </w:r>
      <w:r>
        <w:t xml:space="preserve"> </w:t>
      </w:r>
      <w:r w:rsidR="008E3CCD">
        <w:t xml:space="preserve">packaging </w:t>
      </w:r>
      <w:r>
        <w:t>material recovered from post-consumer waste stream divided by the weight of the</w:t>
      </w:r>
      <w:r w:rsidR="0054723C">
        <w:t xml:space="preserve"> packaging</w:t>
      </w:r>
      <w:r>
        <w:t xml:space="preserve"> material sold as packaging within Australia multiplied by 100.</w:t>
      </w:r>
      <w:r w:rsidR="00AD49A7">
        <w:t xml:space="preserve"> For the purposes of this calculation, packaging material means the principal component or components of the packaging or container and does not include incidental components such as labels and closures.</w:t>
      </w:r>
    </w:p>
    <w:p w14:paraId="5F18F95E" w14:textId="63F8594B" w:rsidR="00787AE9" w:rsidRDefault="00787AE9" w:rsidP="00985E28">
      <w:r w:rsidRPr="00787AE9">
        <w:rPr>
          <w:b/>
          <w:bCs/>
        </w:rPr>
        <w:t>Recyclable</w:t>
      </w:r>
      <w:r w:rsidRPr="00787AE9">
        <w:t xml:space="preserve"> means packaging for a product reasonably able to be recovered in Australia through an approved or accredited collection or drop-off system, and able to be reprocessed and used as a raw material for the manufacturer of a new product.</w:t>
      </w:r>
    </w:p>
    <w:p w14:paraId="335FAFA1" w14:textId="6236495D" w:rsidR="00787AE9" w:rsidRDefault="00787AE9" w:rsidP="00985E28">
      <w:r w:rsidRPr="00787AE9">
        <w:rPr>
          <w:b/>
          <w:bCs/>
        </w:rPr>
        <w:t>Recycle</w:t>
      </w:r>
      <w:r w:rsidRPr="00787AE9">
        <w:t>, for a product, means</w:t>
      </w:r>
      <w:r w:rsidR="009B5D81">
        <w:t xml:space="preserve"> to</w:t>
      </w:r>
      <w:r w:rsidRPr="00787AE9">
        <w:t xml:space="preserve"> recover the product and use it as a raw material to produce another product.</w:t>
      </w:r>
    </w:p>
    <w:p w14:paraId="5EA0BD09" w14:textId="10C5FEDB" w:rsidR="00866EFB" w:rsidRPr="00866EFB" w:rsidRDefault="00866EFB" w:rsidP="00985E28">
      <w:r w:rsidRPr="00EA0BD4">
        <w:rPr>
          <w:b/>
          <w:bCs/>
        </w:rPr>
        <w:t>Requirement</w:t>
      </w:r>
      <w:r w:rsidRPr="00EA0BD4">
        <w:t xml:space="preserve"> means conduct which must be undertaken to remain compliant with the Code of Practice. Requirements are enforceable under </w:t>
      </w:r>
      <w:r w:rsidR="00C52E2C">
        <w:t>p</w:t>
      </w:r>
      <w:r w:rsidRPr="00EA0BD4">
        <w:t>art 9 of the Act.</w:t>
      </w:r>
    </w:p>
    <w:p w14:paraId="2E8E99BB" w14:textId="17BA3C1C" w:rsidR="00787AE9" w:rsidRDefault="00787AE9" w:rsidP="00985E28">
      <w:r w:rsidRPr="00787AE9">
        <w:rPr>
          <w:b/>
          <w:bCs/>
        </w:rPr>
        <w:t>Re-use</w:t>
      </w:r>
      <w:r w:rsidRPr="00787AE9">
        <w:t>, for a product, means use of a product for the same or similar purpose as the original purpose without subjecting the product to a manufacturing process which would change its physical appearance.</w:t>
      </w:r>
    </w:p>
    <w:p w14:paraId="1558986A" w14:textId="2146257E" w:rsidR="00787AE9" w:rsidRDefault="00787AE9" w:rsidP="00985E28">
      <w:r w:rsidRPr="00787AE9">
        <w:rPr>
          <w:b/>
          <w:bCs/>
        </w:rPr>
        <w:t>Signatory</w:t>
      </w:r>
      <w:r w:rsidRPr="00787AE9">
        <w:t xml:space="preserve"> means a signatory to the Australian Packaging Covenant and includes an organisation that accedes to the Covenant after it is made, whether before or after the commencement of this Code of Practice</w:t>
      </w:r>
      <w:r>
        <w:t>.</w:t>
      </w:r>
    </w:p>
    <w:p w14:paraId="5645B6CD" w14:textId="2E6988FA" w:rsidR="00787AE9" w:rsidRDefault="00787AE9" w:rsidP="00787AE9">
      <w:r w:rsidRPr="00787AE9">
        <w:rPr>
          <w:b/>
          <w:bCs/>
        </w:rPr>
        <w:lastRenderedPageBreak/>
        <w:t>Sustainable Packaging Guidelines</w:t>
      </w:r>
      <w:r>
        <w:t xml:space="preserve"> means the guidelines </w:t>
      </w:r>
      <w:r w:rsidR="003B020B">
        <w:t>published by the Australian Packaging Covenant Organisation</w:t>
      </w:r>
      <w:r>
        <w:t>, previously known as the Environmental Code of Practice for Packaging before 1 July 2010. The guidelines assist the design, manufacture and end-of-life management of packaging, tackling the sometimes conflicting demands of market performance and cost, consumer protection, and environmental health, while meeting the needs of a sustainable society.</w:t>
      </w:r>
    </w:p>
    <w:p w14:paraId="4E43D553" w14:textId="4A3B9822" w:rsidR="00787AE9" w:rsidRDefault="00787AE9" w:rsidP="00787AE9">
      <w:r w:rsidRPr="00787AE9">
        <w:rPr>
          <w:b/>
          <w:bCs/>
        </w:rPr>
        <w:t>Turnover</w:t>
      </w:r>
      <w:r>
        <w:t xml:space="preserve"> means gross annual income.</w:t>
      </w:r>
    </w:p>
    <w:p w14:paraId="5428BBD9" w14:textId="43085931" w:rsidR="001E6520" w:rsidRPr="001E6520" w:rsidRDefault="001E6520" w:rsidP="00787AE9">
      <w:r>
        <w:rPr>
          <w:b/>
          <w:bCs/>
        </w:rPr>
        <w:t>Territory</w:t>
      </w:r>
      <w:r>
        <w:t xml:space="preserve"> means the Australian Capital Territory</w:t>
      </w:r>
      <w:r w:rsidR="00986789">
        <w:t>.</w:t>
      </w:r>
    </w:p>
    <w:p w14:paraId="497FDCBA" w14:textId="6FA601FA" w:rsidR="00787AE9" w:rsidRPr="00EA0BD4" w:rsidRDefault="00787AE9" w:rsidP="00787AE9">
      <w:r w:rsidRPr="00EA0BD4">
        <w:t>Note</w:t>
      </w:r>
      <w:r w:rsidR="006A2C43" w:rsidRPr="00EA0BD4">
        <w:t>:</w:t>
      </w:r>
      <w:r w:rsidRPr="00EA0BD4">
        <w:t xml:space="preserve"> The following expressions used in this </w:t>
      </w:r>
      <w:r w:rsidR="00C02889" w:rsidRPr="00EA0BD4">
        <w:t>Code of Practice</w:t>
      </w:r>
      <w:r w:rsidRPr="00EA0BD4">
        <w:t xml:space="preserve"> are defined in subsection 6 of the </w:t>
      </w:r>
      <w:hyperlink r:id="rId10" w:history="1">
        <w:r w:rsidR="001E6520" w:rsidRPr="00AA54A9">
          <w:rPr>
            <w:rStyle w:val="Hyperlink"/>
            <w:i/>
            <w:iCs/>
          </w:rPr>
          <w:t>National Environment Protection Council Act 1994</w:t>
        </w:r>
        <w:r w:rsidR="00C02889" w:rsidRPr="00AA54A9">
          <w:rPr>
            <w:rStyle w:val="Hyperlink"/>
          </w:rPr>
          <w:t xml:space="preserve"> (ACT)</w:t>
        </w:r>
      </w:hyperlink>
      <w:r w:rsidR="00AA54A9">
        <w:t>.</w:t>
      </w:r>
    </w:p>
    <w:p w14:paraId="4943A7E2" w14:textId="41A99D45" w:rsidR="00787AE9" w:rsidRPr="00EA0BD4" w:rsidRDefault="00787AE9" w:rsidP="001636BC">
      <w:pPr>
        <w:pStyle w:val="ListParagraph"/>
        <w:numPr>
          <w:ilvl w:val="0"/>
          <w:numId w:val="6"/>
        </w:numPr>
      </w:pPr>
      <w:r w:rsidRPr="00EA0BD4">
        <w:t>Agreement</w:t>
      </w:r>
      <w:r w:rsidR="00DE06CB">
        <w:t xml:space="preserve">; </w:t>
      </w:r>
    </w:p>
    <w:p w14:paraId="438C5A8C" w14:textId="5032AF89" w:rsidR="00787AE9" w:rsidRPr="00EA0BD4" w:rsidRDefault="001E6520" w:rsidP="001636BC">
      <w:pPr>
        <w:pStyle w:val="ListParagraph"/>
        <w:numPr>
          <w:ilvl w:val="0"/>
          <w:numId w:val="6"/>
        </w:numPr>
      </w:pPr>
      <w:r w:rsidRPr="00EA0BD4">
        <w:t>National Environment Protection Council</w:t>
      </w:r>
      <w:r w:rsidR="00DE06CB">
        <w:t xml:space="preserve">; </w:t>
      </w:r>
    </w:p>
    <w:p w14:paraId="7A7A97B4" w14:textId="5FE5081E" w:rsidR="00787AE9" w:rsidRPr="00EA0BD4" w:rsidRDefault="00787AE9" w:rsidP="001636BC">
      <w:pPr>
        <w:pStyle w:val="ListParagraph"/>
        <w:numPr>
          <w:ilvl w:val="0"/>
          <w:numId w:val="6"/>
        </w:numPr>
      </w:pPr>
      <w:r w:rsidRPr="00EA0BD4">
        <w:t>national environment protection goal</w:t>
      </w:r>
      <w:r w:rsidR="00DE06CB">
        <w:t xml:space="preserve">; </w:t>
      </w:r>
    </w:p>
    <w:p w14:paraId="3C775BAC" w14:textId="5E3E58F3" w:rsidR="00787AE9" w:rsidRPr="00EA0BD4" w:rsidRDefault="00787AE9" w:rsidP="001636BC">
      <w:pPr>
        <w:pStyle w:val="ListParagraph"/>
        <w:numPr>
          <w:ilvl w:val="0"/>
          <w:numId w:val="6"/>
        </w:numPr>
      </w:pPr>
      <w:r w:rsidRPr="00EA0BD4">
        <w:t>national environment protection measure</w:t>
      </w:r>
      <w:r w:rsidR="00DE06CB">
        <w:t xml:space="preserve">; </w:t>
      </w:r>
    </w:p>
    <w:p w14:paraId="3153AE7D" w14:textId="7D1378DF" w:rsidR="00787AE9" w:rsidRPr="00EA0BD4" w:rsidRDefault="00787AE9" w:rsidP="001636BC">
      <w:pPr>
        <w:pStyle w:val="ListParagraph"/>
        <w:numPr>
          <w:ilvl w:val="0"/>
          <w:numId w:val="6"/>
        </w:numPr>
      </w:pPr>
      <w:r w:rsidRPr="00EA0BD4">
        <w:t>participating jurisdiction</w:t>
      </w:r>
      <w:r w:rsidR="00DE06CB">
        <w:t xml:space="preserve">; </w:t>
      </w:r>
    </w:p>
    <w:p w14:paraId="7259C0AE" w14:textId="42CB0BC5" w:rsidR="00787AE9" w:rsidRPr="00EA0BD4" w:rsidRDefault="00787AE9" w:rsidP="001636BC">
      <w:pPr>
        <w:pStyle w:val="ListParagraph"/>
        <w:numPr>
          <w:ilvl w:val="0"/>
          <w:numId w:val="6"/>
        </w:numPr>
      </w:pPr>
      <w:r w:rsidRPr="00EA0BD4">
        <w:t>participating State</w:t>
      </w:r>
      <w:r w:rsidR="00DE06CB">
        <w:t>; and</w:t>
      </w:r>
    </w:p>
    <w:p w14:paraId="7841DA27" w14:textId="6A618552" w:rsidR="00787AE9" w:rsidRPr="00EA0BD4" w:rsidRDefault="00787AE9" w:rsidP="001636BC">
      <w:pPr>
        <w:pStyle w:val="ListParagraph"/>
        <w:numPr>
          <w:ilvl w:val="0"/>
          <w:numId w:val="6"/>
        </w:numPr>
      </w:pPr>
      <w:r w:rsidRPr="00EA0BD4">
        <w:t>participating Territory</w:t>
      </w:r>
      <w:r w:rsidR="00986789">
        <w:t>.</w:t>
      </w:r>
    </w:p>
    <w:p w14:paraId="790B21EC" w14:textId="2E5D8AAB" w:rsidR="00BB5564" w:rsidRPr="0050698F" w:rsidRDefault="00BB5564" w:rsidP="001F7D9C">
      <w:pPr>
        <w:pStyle w:val="Heading1"/>
      </w:pPr>
      <w:bookmarkStart w:id="10" w:name="_Toc47358557"/>
      <w:r w:rsidRPr="0050698F">
        <w:t>Background</w:t>
      </w:r>
      <w:bookmarkEnd w:id="10"/>
    </w:p>
    <w:p w14:paraId="181BE481" w14:textId="100C4A58" w:rsidR="00BB5564" w:rsidRPr="00BB5564" w:rsidRDefault="00BB5564" w:rsidP="00BB5564">
      <w:r w:rsidRPr="00BB5564">
        <w:t>The Covenant is an agreement entered into by governments and industry</w:t>
      </w:r>
      <w:r w:rsidR="00BC232D">
        <w:t xml:space="preserve"> </w:t>
      </w:r>
      <w:r w:rsidRPr="00BB5564">
        <w:t>participants in the packaging chain based on the principles of product</w:t>
      </w:r>
      <w:r w:rsidR="00BC232D">
        <w:t xml:space="preserve"> </w:t>
      </w:r>
      <w:r w:rsidRPr="00BB5564">
        <w:t>stewardship and shared responsibility. Product stewardship imposes an</w:t>
      </w:r>
      <w:r w:rsidR="00BC232D">
        <w:t xml:space="preserve"> </w:t>
      </w:r>
      <w:r w:rsidRPr="00BB5564">
        <w:t>obligation on all those who benefit from production to assume a share of</w:t>
      </w:r>
      <w:r w:rsidR="00BC232D">
        <w:t xml:space="preserve"> </w:t>
      </w:r>
      <w:r w:rsidRPr="00BB5564">
        <w:t>responsibility for a product over its lifecycle. The Covenant covers</w:t>
      </w:r>
      <w:r w:rsidR="00BC232D">
        <w:t xml:space="preserve"> </w:t>
      </w:r>
      <w:r w:rsidRPr="00BB5564">
        <w:t>consumer packaging.</w:t>
      </w:r>
    </w:p>
    <w:p w14:paraId="0119DCCB" w14:textId="3F5567A3" w:rsidR="00BB5564" w:rsidRPr="00BB5564" w:rsidRDefault="00BB5564" w:rsidP="00BB5564">
      <w:r w:rsidRPr="00BB5564">
        <w:t>All signatories to the Covenant have made a commitment to:</w:t>
      </w:r>
    </w:p>
    <w:p w14:paraId="785E4386" w14:textId="2D993CE8" w:rsidR="00BB5564" w:rsidRPr="00BB5564" w:rsidRDefault="00BB5564" w:rsidP="001636BC">
      <w:pPr>
        <w:pStyle w:val="ListParagraph"/>
        <w:numPr>
          <w:ilvl w:val="0"/>
          <w:numId w:val="15"/>
        </w:numPr>
      </w:pPr>
      <w:r w:rsidRPr="00BB5564">
        <w:t>work together to achieve the overarching targets established under the</w:t>
      </w:r>
      <w:r w:rsidR="00BC232D">
        <w:t xml:space="preserve"> </w:t>
      </w:r>
      <w:r w:rsidRPr="00BB5564">
        <w:t>Covenant; and</w:t>
      </w:r>
    </w:p>
    <w:p w14:paraId="60F216BB" w14:textId="0BEEE754" w:rsidR="00BB5564" w:rsidRPr="00BB5564" w:rsidRDefault="00BB5564" w:rsidP="001636BC">
      <w:pPr>
        <w:pStyle w:val="ListParagraph"/>
        <w:numPr>
          <w:ilvl w:val="0"/>
          <w:numId w:val="15"/>
        </w:numPr>
      </w:pPr>
      <w:r w:rsidRPr="00BB5564">
        <w:t>produce and report on public action plans with measurable actions that</w:t>
      </w:r>
      <w:r w:rsidR="00BC232D">
        <w:t xml:space="preserve"> </w:t>
      </w:r>
      <w:r w:rsidRPr="00BB5564">
        <w:t>will deliver improved environmental outcomes appropriate to their</w:t>
      </w:r>
      <w:r w:rsidR="00BC232D">
        <w:t xml:space="preserve"> </w:t>
      </w:r>
      <w:r w:rsidRPr="00BB5564">
        <w:t>production, usage, sale, recovery and/or reprocessing of consumer</w:t>
      </w:r>
      <w:r w:rsidR="00BC232D">
        <w:t xml:space="preserve"> </w:t>
      </w:r>
      <w:r w:rsidRPr="00BB5564">
        <w:t>packaging; and</w:t>
      </w:r>
    </w:p>
    <w:p w14:paraId="4EEFC9C3" w14:textId="3A8D9AA1" w:rsidR="00BB5564" w:rsidRPr="00BB5564" w:rsidRDefault="00BB5564" w:rsidP="001636BC">
      <w:pPr>
        <w:pStyle w:val="ListParagraph"/>
        <w:numPr>
          <w:ilvl w:val="0"/>
          <w:numId w:val="15"/>
        </w:numPr>
      </w:pPr>
      <w:r w:rsidRPr="00BB5564">
        <w:t>work co-operatively to develop good practice collection systems and</w:t>
      </w:r>
      <w:r w:rsidR="00BC232D">
        <w:t xml:space="preserve"> </w:t>
      </w:r>
      <w:r w:rsidRPr="00BB5564">
        <w:t>markets, and education and promotion programs; and</w:t>
      </w:r>
    </w:p>
    <w:p w14:paraId="30F61DAF" w14:textId="489CC9A1" w:rsidR="00BB5564" w:rsidRPr="00BB5564" w:rsidRDefault="00BB5564" w:rsidP="001636BC">
      <w:pPr>
        <w:pStyle w:val="ListParagraph"/>
        <w:numPr>
          <w:ilvl w:val="0"/>
          <w:numId w:val="15"/>
        </w:numPr>
      </w:pPr>
      <w:r w:rsidRPr="00BB5564">
        <w:t>provide data to assess the performance of the Covenant and progress</w:t>
      </w:r>
      <w:r w:rsidR="00BC232D">
        <w:t xml:space="preserve"> </w:t>
      </w:r>
      <w:r w:rsidRPr="00BB5564">
        <w:t>towards the national environment protection goal.</w:t>
      </w:r>
    </w:p>
    <w:p w14:paraId="7238F319" w14:textId="33760336" w:rsidR="00BB5564" w:rsidRPr="00BB5564" w:rsidRDefault="00BB5564" w:rsidP="00BB5564">
      <w:r w:rsidRPr="00BB5564">
        <w:t>Packaging chain signatories to the Covenant have made commitments to</w:t>
      </w:r>
      <w:r w:rsidR="00BC232D">
        <w:t xml:space="preserve"> </w:t>
      </w:r>
      <w:r w:rsidRPr="00BB5564">
        <w:t>practice product stewardship throughout the lifecycle of consumer</w:t>
      </w:r>
      <w:r w:rsidR="00BC232D">
        <w:t xml:space="preserve"> </w:t>
      </w:r>
      <w:r w:rsidRPr="00BB5564">
        <w:t>packaging, including to:</w:t>
      </w:r>
    </w:p>
    <w:p w14:paraId="71DBE4C0" w14:textId="3AF31944" w:rsidR="00BB5564" w:rsidRPr="00BB5564" w:rsidRDefault="00BB5564" w:rsidP="001636BC">
      <w:pPr>
        <w:pStyle w:val="ListParagraph"/>
        <w:numPr>
          <w:ilvl w:val="0"/>
          <w:numId w:val="16"/>
        </w:numPr>
      </w:pPr>
      <w:r w:rsidRPr="00BB5564">
        <w:t>design packaging to minimise use of materials and elimination of</w:t>
      </w:r>
      <w:r w:rsidR="00BC232D">
        <w:t xml:space="preserve"> </w:t>
      </w:r>
      <w:r w:rsidRPr="00BB5564">
        <w:t>excessive packaging; and</w:t>
      </w:r>
    </w:p>
    <w:p w14:paraId="05FA92F1" w14:textId="60EE24A6" w:rsidR="00BB5564" w:rsidRPr="00BB5564" w:rsidRDefault="00BB5564" w:rsidP="001636BC">
      <w:pPr>
        <w:pStyle w:val="ListParagraph"/>
        <w:numPr>
          <w:ilvl w:val="0"/>
          <w:numId w:val="16"/>
        </w:numPr>
      </w:pPr>
      <w:r w:rsidRPr="00BB5564">
        <w:t xml:space="preserve">adopt and implement the </w:t>
      </w:r>
      <w:r w:rsidR="00083B12">
        <w:t>Sustainable Packaging Guidelines</w:t>
      </w:r>
      <w:r w:rsidRPr="00BB5564">
        <w:t>; and</w:t>
      </w:r>
    </w:p>
    <w:p w14:paraId="7F2C3D4B" w14:textId="775AE812" w:rsidR="00BB5564" w:rsidRPr="00BB5564" w:rsidRDefault="00BB5564" w:rsidP="001636BC">
      <w:pPr>
        <w:pStyle w:val="ListParagraph"/>
        <w:numPr>
          <w:ilvl w:val="0"/>
          <w:numId w:val="16"/>
        </w:numPr>
      </w:pPr>
      <w:r w:rsidRPr="00BB5564">
        <w:t>support materials recovery systems and infrastructure for reprocessing</w:t>
      </w:r>
      <w:r w:rsidR="00BC232D">
        <w:t xml:space="preserve"> </w:t>
      </w:r>
      <w:r w:rsidRPr="00BB5564">
        <w:t>used packaging materials in collaboration with state and local</w:t>
      </w:r>
      <w:r w:rsidR="00BC232D">
        <w:t xml:space="preserve"> </w:t>
      </w:r>
      <w:r w:rsidRPr="00BB5564">
        <w:t>governments; and</w:t>
      </w:r>
    </w:p>
    <w:p w14:paraId="10D08630" w14:textId="1B9172F7" w:rsidR="00BB5564" w:rsidRPr="00BB5564" w:rsidRDefault="00BB5564" w:rsidP="001636BC">
      <w:pPr>
        <w:pStyle w:val="ListParagraph"/>
        <w:numPr>
          <w:ilvl w:val="0"/>
          <w:numId w:val="16"/>
        </w:numPr>
      </w:pPr>
      <w:r w:rsidRPr="00BB5564">
        <w:t>report and demonstrate continuous improvement against the key</w:t>
      </w:r>
      <w:r w:rsidR="00BC232D">
        <w:t xml:space="preserve"> </w:t>
      </w:r>
      <w:r w:rsidRPr="00BB5564">
        <w:t>performance indicators and targets specified in the Covenant.</w:t>
      </w:r>
    </w:p>
    <w:p w14:paraId="385263F5" w14:textId="4B170AD6" w:rsidR="00BB5564" w:rsidRPr="00BB5564" w:rsidRDefault="00BB5564" w:rsidP="00BB5564">
      <w:r w:rsidRPr="00BB5564">
        <w:t>Local government signatories to the Covenant have made commitments in</w:t>
      </w:r>
      <w:r w:rsidR="00BC232D">
        <w:t xml:space="preserve"> </w:t>
      </w:r>
      <w:r w:rsidRPr="00BB5564">
        <w:t xml:space="preserve">relation to good practice in the delivery of </w:t>
      </w:r>
      <w:r w:rsidR="00830AD7">
        <w:t>household</w:t>
      </w:r>
      <w:r w:rsidRPr="00BB5564">
        <w:t xml:space="preserve"> recycling collection</w:t>
      </w:r>
      <w:r w:rsidR="00BC232D">
        <w:t xml:space="preserve"> </w:t>
      </w:r>
      <w:r w:rsidRPr="00BB5564">
        <w:t>systems.</w:t>
      </w:r>
    </w:p>
    <w:p w14:paraId="5DF4DDA3" w14:textId="073A99C1" w:rsidR="00BB5564" w:rsidRPr="00BB5564" w:rsidRDefault="00BB5564" w:rsidP="00BB5564">
      <w:r w:rsidRPr="00BB5564">
        <w:lastRenderedPageBreak/>
        <w:t>The Commonwealth, State and Territory governments have made</w:t>
      </w:r>
      <w:r w:rsidR="00BC232D">
        <w:t xml:space="preserve"> </w:t>
      </w:r>
      <w:r w:rsidRPr="00BB5564">
        <w:t>commitments in relation to:</w:t>
      </w:r>
    </w:p>
    <w:p w14:paraId="1C875E65" w14:textId="6B405AFC" w:rsidR="00BB5564" w:rsidRPr="00BB5564" w:rsidRDefault="00BB5564" w:rsidP="001636BC">
      <w:pPr>
        <w:pStyle w:val="ListParagraph"/>
        <w:numPr>
          <w:ilvl w:val="0"/>
          <w:numId w:val="17"/>
        </w:numPr>
      </w:pPr>
      <w:r w:rsidRPr="00BB5564">
        <w:t>facilitating product stewardship through their legislation by developing</w:t>
      </w:r>
      <w:r w:rsidR="00BC232D">
        <w:t xml:space="preserve"> </w:t>
      </w:r>
      <w:r w:rsidRPr="00BB5564">
        <w:t>a national environment protection measure on used packaging</w:t>
      </w:r>
      <w:r w:rsidR="00BC232D">
        <w:t xml:space="preserve"> </w:t>
      </w:r>
      <w:r w:rsidRPr="00BB5564">
        <w:t>materials; and</w:t>
      </w:r>
    </w:p>
    <w:p w14:paraId="103CFB45" w14:textId="0F004641" w:rsidR="00BB5564" w:rsidRPr="00BB5564" w:rsidRDefault="00BB5564" w:rsidP="001636BC">
      <w:pPr>
        <w:pStyle w:val="ListParagraph"/>
        <w:numPr>
          <w:ilvl w:val="0"/>
          <w:numId w:val="17"/>
        </w:numPr>
      </w:pPr>
      <w:r w:rsidRPr="00BB5564">
        <w:t>facilitating market development initiatives; and</w:t>
      </w:r>
    </w:p>
    <w:p w14:paraId="0E8050D9" w14:textId="5E4DFFD8" w:rsidR="00BB5564" w:rsidRPr="00BB5564" w:rsidRDefault="00BB5564" w:rsidP="001636BC">
      <w:pPr>
        <w:pStyle w:val="ListParagraph"/>
        <w:numPr>
          <w:ilvl w:val="0"/>
          <w:numId w:val="17"/>
        </w:numPr>
      </w:pPr>
      <w:r w:rsidRPr="00BB5564">
        <w:t>applying product stewardship to their own operations; and</w:t>
      </w:r>
    </w:p>
    <w:p w14:paraId="6BAA52F2" w14:textId="123FEA81" w:rsidR="00BB5564" w:rsidRPr="00BB5564" w:rsidRDefault="00BB5564" w:rsidP="001636BC">
      <w:pPr>
        <w:pStyle w:val="ListParagraph"/>
        <w:numPr>
          <w:ilvl w:val="0"/>
          <w:numId w:val="17"/>
        </w:numPr>
      </w:pPr>
      <w:r w:rsidRPr="00BB5564">
        <w:t xml:space="preserve">supporting </w:t>
      </w:r>
      <w:r w:rsidR="00830AD7">
        <w:t>household</w:t>
      </w:r>
      <w:r w:rsidRPr="00BB5564">
        <w:t xml:space="preserve"> and other recycling collection services.</w:t>
      </w:r>
    </w:p>
    <w:p w14:paraId="09D946A5" w14:textId="056C9E94" w:rsidR="00BB5564" w:rsidRPr="00BC232D" w:rsidRDefault="00BB5564" w:rsidP="008A763B">
      <w:r w:rsidRPr="00BB5564">
        <w:t xml:space="preserve">As the Covenant includes a voluntary system of industry </w:t>
      </w:r>
      <w:r w:rsidR="00BC232D" w:rsidRPr="00BB5564">
        <w:t>self-regulation</w:t>
      </w:r>
      <w:r w:rsidRPr="00BB5564">
        <w:t>, the</w:t>
      </w:r>
      <w:r w:rsidR="00BC232D">
        <w:t xml:space="preserve"> </w:t>
      </w:r>
      <w:r w:rsidRPr="00BB5564">
        <w:t>intent of</w:t>
      </w:r>
      <w:r w:rsidR="00E46FAB">
        <w:t xml:space="preserve"> Australian Packaging Covenant Organisation</w:t>
      </w:r>
      <w:r w:rsidRPr="00BB5564">
        <w:t xml:space="preserve"> is to ensure that industry signatories do not suffer any</w:t>
      </w:r>
      <w:r w:rsidR="00BC232D">
        <w:t xml:space="preserve"> </w:t>
      </w:r>
      <w:r w:rsidRPr="00BB5564">
        <w:t>competitive disadvantage as a result of fulfilling their commitments under</w:t>
      </w:r>
      <w:r w:rsidR="00BC232D">
        <w:t xml:space="preserve"> </w:t>
      </w:r>
      <w:r w:rsidRPr="00BB5564">
        <w:t>the Covenant.</w:t>
      </w:r>
    </w:p>
    <w:p w14:paraId="5151FE5F" w14:textId="77777777" w:rsidR="00BB5564" w:rsidRPr="0050698F" w:rsidRDefault="00BB5564" w:rsidP="001F7D9C">
      <w:pPr>
        <w:pStyle w:val="Heading2"/>
      </w:pPr>
      <w:bookmarkStart w:id="11" w:name="_Toc47358558"/>
      <w:r w:rsidRPr="0050698F">
        <w:t>National Environment Protection Goal</w:t>
      </w:r>
      <w:bookmarkEnd w:id="11"/>
    </w:p>
    <w:p w14:paraId="686FF50C" w14:textId="25FD1C1A" w:rsidR="003B020B" w:rsidRDefault="003B020B" w:rsidP="008A763B">
      <w:r>
        <w:t>The goal of the Measure is to reduce environmental degradation arising from the disposal of used packaging and conserve virgin materials through the encouragement of waste avoidance and the re-use and recycling of used packaging materials by supporting and complementing the voluntary strategies in the Covenant and by assisting the assessment of the performance of the Covenant.</w:t>
      </w:r>
    </w:p>
    <w:p w14:paraId="00C7860A" w14:textId="1691AEED" w:rsidR="000856AB" w:rsidRPr="0050698F" w:rsidRDefault="000856AB" w:rsidP="001F7D9C">
      <w:pPr>
        <w:pStyle w:val="Heading1"/>
      </w:pPr>
      <w:bookmarkStart w:id="12" w:name="_Toc47358559"/>
      <w:r w:rsidRPr="0050698F">
        <w:t>Purpose</w:t>
      </w:r>
      <w:bookmarkEnd w:id="12"/>
      <w:r w:rsidR="000841FD" w:rsidRPr="0050698F">
        <w:t xml:space="preserve"> </w:t>
      </w:r>
    </w:p>
    <w:p w14:paraId="38F98FD6" w14:textId="618B4DF1" w:rsidR="00DE06CB" w:rsidRDefault="000856AB" w:rsidP="000856AB">
      <w:r>
        <w:t xml:space="preserve">The purpose of the Code of Practice is to implement the </w:t>
      </w:r>
      <w:r w:rsidR="009F64E5">
        <w:t>UPM</w:t>
      </w:r>
      <w:r>
        <w:t xml:space="preserve"> NEPM in the </w:t>
      </w:r>
      <w:r w:rsidR="0050698F">
        <w:t>Territory</w:t>
      </w:r>
      <w:r>
        <w:t xml:space="preserve">. This will ensure that the </w:t>
      </w:r>
      <w:r w:rsidR="0050698F">
        <w:t>Territory</w:t>
      </w:r>
      <w:r>
        <w:t xml:space="preserve"> meets its obligations under the UP</w:t>
      </w:r>
      <w:r w:rsidR="009F64E5">
        <w:t>M</w:t>
      </w:r>
      <w:r>
        <w:t xml:space="preserve"> NEPM and its responsibilities as a Covenant signatory. It establishes a statutory basis to ensure that Covenant signatories are not competitively disadvantaged by fulfilling the</w:t>
      </w:r>
      <w:r w:rsidR="007F7C06">
        <w:t>ir</w:t>
      </w:r>
      <w:r>
        <w:t xml:space="preserve"> obligations under the Covenant. </w:t>
      </w:r>
    </w:p>
    <w:p w14:paraId="6F02F09C" w14:textId="1EAD09FB" w:rsidR="000856AB" w:rsidRDefault="000856AB" w:rsidP="000856AB">
      <w:r>
        <w:t>The Code of Practice provide</w:t>
      </w:r>
      <w:r w:rsidR="001C4D82">
        <w:t>s</w:t>
      </w:r>
      <w:r>
        <w:t xml:space="preserve"> compliance options for brand owners located in the </w:t>
      </w:r>
      <w:r w:rsidR="0050698F">
        <w:t>Territory</w:t>
      </w:r>
      <w:r w:rsidR="00F11F12">
        <w:t>; they can choose to either become a Covenant signatory</w:t>
      </w:r>
      <w:r w:rsidR="00DA2BC6">
        <w:t>,</w:t>
      </w:r>
      <w:r w:rsidR="00F11F12">
        <w:t xml:space="preserve"> or</w:t>
      </w:r>
      <w:r w:rsidR="007C5D8B">
        <w:t xml:space="preserve"> to</w:t>
      </w:r>
      <w:r w:rsidR="00F11F12">
        <w:t xml:space="preserve"> be regulated by the Territory. The Code of Practice</w:t>
      </w:r>
      <w:r>
        <w:t xml:space="preserve"> will</w:t>
      </w:r>
      <w:r w:rsidR="001C4D82">
        <w:t xml:space="preserve"> also</w:t>
      </w:r>
      <w:r>
        <w:t xml:space="preserve"> authorise the </w:t>
      </w:r>
      <w:r w:rsidR="0050698F">
        <w:t>Territory</w:t>
      </w:r>
      <w:r>
        <w:t xml:space="preserve"> Government to undertake enforcement activities against non-compliant Covenant signatories. It complements the existing </w:t>
      </w:r>
      <w:r w:rsidR="0050698F">
        <w:t>Territory</w:t>
      </w:r>
      <w:r>
        <w:t xml:space="preserve"> packaging initiatives and policies, in addition to providing certainty to the community and industry about the </w:t>
      </w:r>
      <w:r w:rsidR="0050698F">
        <w:t>Territory’s</w:t>
      </w:r>
      <w:r>
        <w:t xml:space="preserve"> packaging commitments.</w:t>
      </w:r>
    </w:p>
    <w:p w14:paraId="5ED5769E" w14:textId="77777777" w:rsidR="000856AB" w:rsidRPr="0050698F" w:rsidRDefault="000856AB" w:rsidP="001F7D9C">
      <w:pPr>
        <w:pStyle w:val="Heading1"/>
      </w:pPr>
      <w:bookmarkStart w:id="13" w:name="_Toc47358560"/>
      <w:r w:rsidRPr="0050698F">
        <w:t>Objectives</w:t>
      </w:r>
      <w:bookmarkEnd w:id="13"/>
    </w:p>
    <w:p w14:paraId="3E3480F6" w14:textId="77777777" w:rsidR="000856AB" w:rsidRPr="00576ED8" w:rsidRDefault="000856AB" w:rsidP="000856AB">
      <w:r w:rsidRPr="00576ED8">
        <w:t>The objectives of the Code of Practice are to:</w:t>
      </w:r>
    </w:p>
    <w:p w14:paraId="7F4436FA" w14:textId="12F4FF5B" w:rsidR="000856AB" w:rsidRPr="00576ED8" w:rsidRDefault="000856AB" w:rsidP="001636BC">
      <w:pPr>
        <w:pStyle w:val="ListParagraph"/>
        <w:numPr>
          <w:ilvl w:val="0"/>
          <w:numId w:val="2"/>
        </w:numPr>
      </w:pPr>
      <w:r w:rsidRPr="00576ED8">
        <w:t xml:space="preserve">ensure greater industry responsibility for consumer packaging waste and other waste associated with used consumer packaging in the </w:t>
      </w:r>
      <w:r w:rsidR="0050698F">
        <w:t>Territory</w:t>
      </w:r>
      <w:r w:rsidRPr="00576ED8">
        <w:t xml:space="preserve">; </w:t>
      </w:r>
    </w:p>
    <w:p w14:paraId="76FE1E50" w14:textId="2FABCF4A" w:rsidR="000856AB" w:rsidRPr="00576ED8" w:rsidRDefault="000856AB" w:rsidP="001636BC">
      <w:pPr>
        <w:pStyle w:val="ListParagraph"/>
        <w:numPr>
          <w:ilvl w:val="0"/>
          <w:numId w:val="2"/>
        </w:numPr>
      </w:pPr>
      <w:r w:rsidRPr="00576ED8">
        <w:t xml:space="preserve">minimise the natural resources consumed in the manufacture, use, management and disposal of used packaging in the </w:t>
      </w:r>
      <w:r w:rsidR="0050698F">
        <w:t>Territory</w:t>
      </w:r>
      <w:r w:rsidRPr="00576ED8">
        <w:t xml:space="preserve">; </w:t>
      </w:r>
    </w:p>
    <w:p w14:paraId="0DDDC8E5" w14:textId="23443D5F" w:rsidR="000856AB" w:rsidRPr="00576ED8" w:rsidRDefault="000856AB" w:rsidP="001636BC">
      <w:pPr>
        <w:pStyle w:val="ListParagraph"/>
        <w:numPr>
          <w:ilvl w:val="0"/>
          <w:numId w:val="2"/>
        </w:numPr>
      </w:pPr>
      <w:r w:rsidRPr="00576ED8">
        <w:t xml:space="preserve">reduce the amount of used consumer packaging and consumer packaging waste being created in the </w:t>
      </w:r>
      <w:r w:rsidR="0050698F">
        <w:t>Territory</w:t>
      </w:r>
      <w:r w:rsidRPr="00576ED8">
        <w:t xml:space="preserve">; </w:t>
      </w:r>
    </w:p>
    <w:p w14:paraId="1070A6FA" w14:textId="05982B2B" w:rsidR="000856AB" w:rsidRPr="00576ED8" w:rsidRDefault="000856AB" w:rsidP="001636BC">
      <w:pPr>
        <w:pStyle w:val="ListParagraph"/>
        <w:numPr>
          <w:ilvl w:val="0"/>
          <w:numId w:val="2"/>
        </w:numPr>
      </w:pPr>
      <w:r w:rsidRPr="00576ED8">
        <w:t xml:space="preserve">reduce the amount of used consumer packaging and related waste requiring disposal in the </w:t>
      </w:r>
      <w:r w:rsidR="0050698F">
        <w:t>Territory</w:t>
      </w:r>
      <w:r w:rsidRPr="00576ED8">
        <w:t xml:space="preserve">; </w:t>
      </w:r>
    </w:p>
    <w:p w14:paraId="4CC2779F" w14:textId="5EAC1C7C" w:rsidR="000856AB" w:rsidRPr="00576ED8" w:rsidRDefault="000856AB" w:rsidP="001636BC">
      <w:pPr>
        <w:pStyle w:val="ListParagraph"/>
        <w:numPr>
          <w:ilvl w:val="0"/>
          <w:numId w:val="2"/>
        </w:numPr>
      </w:pPr>
      <w:r w:rsidRPr="00576ED8">
        <w:t xml:space="preserve">ensure Covenant signatories are not competitively disadvantaged in the </w:t>
      </w:r>
      <w:r w:rsidR="0050698F">
        <w:t>Territory</w:t>
      </w:r>
      <w:r w:rsidRPr="00576ED8">
        <w:t xml:space="preserve"> marketplace; and </w:t>
      </w:r>
    </w:p>
    <w:p w14:paraId="5B73EE72" w14:textId="6C0176D8" w:rsidR="000856AB" w:rsidRDefault="000856AB" w:rsidP="001636BC">
      <w:pPr>
        <w:pStyle w:val="ListParagraph"/>
        <w:numPr>
          <w:ilvl w:val="0"/>
          <w:numId w:val="2"/>
        </w:numPr>
      </w:pPr>
      <w:r w:rsidRPr="00576ED8">
        <w:t xml:space="preserve">assist in the waste reduction and recycling objectives of the Covenant in the </w:t>
      </w:r>
      <w:r w:rsidR="0050698F">
        <w:t>Territory</w:t>
      </w:r>
      <w:r w:rsidRPr="00576ED8">
        <w:t>.</w:t>
      </w:r>
    </w:p>
    <w:p w14:paraId="31CE351B" w14:textId="77777777" w:rsidR="001C4D82" w:rsidRDefault="001C4D82">
      <w:pPr>
        <w:rPr>
          <w:rFonts w:asciiTheme="majorHAnsi" w:eastAsiaTheme="majorEastAsia" w:hAnsiTheme="majorHAnsi" w:cstheme="majorBidi"/>
          <w:color w:val="2F5496" w:themeColor="accent1" w:themeShade="BF"/>
          <w:sz w:val="32"/>
          <w:szCs w:val="32"/>
        </w:rPr>
      </w:pPr>
      <w:bookmarkStart w:id="14" w:name="_Toc47358561"/>
      <w:r>
        <w:br w:type="page"/>
      </w:r>
    </w:p>
    <w:p w14:paraId="079F2280" w14:textId="11FCFEF8" w:rsidR="008A763B" w:rsidRPr="0050698F" w:rsidRDefault="008A763B" w:rsidP="001F7D9C">
      <w:pPr>
        <w:pStyle w:val="Heading1"/>
        <w:rPr>
          <w:sz w:val="24"/>
          <w:szCs w:val="24"/>
        </w:rPr>
      </w:pPr>
      <w:r w:rsidRPr="0050698F">
        <w:lastRenderedPageBreak/>
        <w:t>Scope</w:t>
      </w:r>
      <w:bookmarkEnd w:id="14"/>
    </w:p>
    <w:p w14:paraId="20106CF1" w14:textId="5B7D5C81" w:rsidR="008A763B" w:rsidRPr="00054184" w:rsidRDefault="008A763B" w:rsidP="008A763B">
      <w:bookmarkStart w:id="15" w:name="_Hlk47963094"/>
      <w:r w:rsidRPr="00054184">
        <w:t xml:space="preserve">The scope of the </w:t>
      </w:r>
      <w:r w:rsidR="009D2CE1">
        <w:t>Code of Practice</w:t>
      </w:r>
      <w:r w:rsidRPr="00054184">
        <w:t xml:space="preserve"> is limited to the recovery, re-use and recycling of used consumer packaging materials and will focus on:</w:t>
      </w:r>
    </w:p>
    <w:p w14:paraId="31301EA3" w14:textId="3C6EDBC5" w:rsidR="008A763B" w:rsidRDefault="008A763B" w:rsidP="001636BC">
      <w:pPr>
        <w:pStyle w:val="ListParagraph"/>
        <w:numPr>
          <w:ilvl w:val="0"/>
          <w:numId w:val="1"/>
        </w:numPr>
      </w:pPr>
      <w:r w:rsidRPr="00054184">
        <w:t xml:space="preserve">materials used for packaging retail products consumed in industrial, commercial and domestic premises and public places; </w:t>
      </w:r>
      <w:r w:rsidR="00F750CF">
        <w:t>and</w:t>
      </w:r>
    </w:p>
    <w:p w14:paraId="1E1418D3" w14:textId="302F4EFC" w:rsidR="008A763B" w:rsidRDefault="008A763B" w:rsidP="001636BC">
      <w:pPr>
        <w:pStyle w:val="ListParagraph"/>
        <w:numPr>
          <w:ilvl w:val="0"/>
          <w:numId w:val="1"/>
        </w:numPr>
      </w:pPr>
      <w:r w:rsidRPr="00054184">
        <w:t xml:space="preserve">materials used for packaging food and beverages intended for consumption in public places or in commercial provision of food services to individuals in hotels and restaurants; </w:t>
      </w:r>
      <w:r w:rsidR="00AD49A7">
        <w:t>and</w:t>
      </w:r>
    </w:p>
    <w:p w14:paraId="69E4BFCE" w14:textId="766E5954" w:rsidR="008A763B" w:rsidRDefault="008A763B" w:rsidP="001636BC">
      <w:pPr>
        <w:pStyle w:val="ListParagraph"/>
        <w:numPr>
          <w:ilvl w:val="0"/>
          <w:numId w:val="1"/>
        </w:numPr>
      </w:pPr>
      <w:r w:rsidRPr="00054184">
        <w:t>distribution packaging that contains multiples of products intended for consumer use.</w:t>
      </w:r>
      <w:r>
        <w:t xml:space="preserve"> </w:t>
      </w:r>
    </w:p>
    <w:bookmarkEnd w:id="15"/>
    <w:p w14:paraId="0968A51C" w14:textId="33FBF02E" w:rsidR="00C5369E" w:rsidRDefault="008A763B" w:rsidP="008A763B">
      <w:r>
        <w:t xml:space="preserve">The Code of Practice </w:t>
      </w:r>
      <w:r w:rsidR="001E12F4">
        <w:t>must</w:t>
      </w:r>
      <w:r>
        <w:t xml:space="preserve"> be considered in conjunction</w:t>
      </w:r>
      <w:r w:rsidR="00C5369E">
        <w:t xml:space="preserve"> </w:t>
      </w:r>
      <w:r w:rsidR="00C5369E" w:rsidRPr="00C5369E">
        <w:t xml:space="preserve">with other </w:t>
      </w:r>
      <w:r w:rsidR="00C5369E">
        <w:t xml:space="preserve">best practice guidelines </w:t>
      </w:r>
      <w:r w:rsidR="00C5369E" w:rsidRPr="00C5369E">
        <w:t xml:space="preserve">and related Commonwealth, </w:t>
      </w:r>
      <w:r w:rsidR="006C516A">
        <w:t>s</w:t>
      </w:r>
      <w:r w:rsidR="00C5369E" w:rsidRPr="00C5369E">
        <w:t xml:space="preserve">tate and </w:t>
      </w:r>
      <w:r w:rsidR="006C516A">
        <w:t>t</w:t>
      </w:r>
      <w:r w:rsidR="00C5369E" w:rsidRPr="00C5369E">
        <w:t>erritory legislation</w:t>
      </w:r>
      <w:r w:rsidR="00C5369E">
        <w:t xml:space="preserve"> and policies</w:t>
      </w:r>
      <w:r w:rsidR="00C5369E" w:rsidRPr="00C5369E">
        <w:t>, including</w:t>
      </w:r>
      <w:r w:rsidR="00C5369E">
        <w:t>:</w:t>
      </w:r>
    </w:p>
    <w:p w14:paraId="3A7891C5" w14:textId="32CD69D2" w:rsidR="00C5369E" w:rsidRDefault="00C5369E" w:rsidP="001636BC">
      <w:pPr>
        <w:pStyle w:val="ListParagraph"/>
        <w:numPr>
          <w:ilvl w:val="0"/>
          <w:numId w:val="3"/>
        </w:numPr>
      </w:pPr>
      <w:r>
        <w:t>the Sustainable Packaging Guidelines,</w:t>
      </w:r>
      <w:r w:rsidR="008C1F82">
        <w:t xml:space="preserve"> with emphasis on packaging design</w:t>
      </w:r>
      <w:r w:rsidR="0050698F">
        <w:t xml:space="preserve">; </w:t>
      </w:r>
      <w:r w:rsidR="00F750CF">
        <w:t>and</w:t>
      </w:r>
    </w:p>
    <w:p w14:paraId="20CB49DD" w14:textId="65046036" w:rsidR="00C5369E" w:rsidRDefault="00C5369E" w:rsidP="001636BC">
      <w:pPr>
        <w:pStyle w:val="ListParagraph"/>
        <w:numPr>
          <w:ilvl w:val="0"/>
          <w:numId w:val="3"/>
        </w:numPr>
      </w:pPr>
      <w:r>
        <w:t>the Australian Packaging Covenant</w:t>
      </w:r>
      <w:r w:rsidR="0050698F">
        <w:t xml:space="preserve">; </w:t>
      </w:r>
      <w:r w:rsidR="00F750CF">
        <w:t>and</w:t>
      </w:r>
    </w:p>
    <w:p w14:paraId="6787AA11" w14:textId="6AD1A76B" w:rsidR="00C5369E" w:rsidRDefault="00C5369E" w:rsidP="001636BC">
      <w:pPr>
        <w:pStyle w:val="ListParagraph"/>
        <w:numPr>
          <w:ilvl w:val="0"/>
          <w:numId w:val="3"/>
        </w:numPr>
      </w:pPr>
      <w:r>
        <w:t>ACT legislation and respective instruments regarding waste management</w:t>
      </w:r>
      <w:r w:rsidR="0050698F">
        <w:t>; and</w:t>
      </w:r>
    </w:p>
    <w:p w14:paraId="3B488319" w14:textId="3ECCA353" w:rsidR="00C5369E" w:rsidRPr="008A763B" w:rsidRDefault="0050698F" w:rsidP="001636BC">
      <w:pPr>
        <w:pStyle w:val="ListParagraph"/>
        <w:numPr>
          <w:ilvl w:val="0"/>
          <w:numId w:val="3"/>
        </w:numPr>
      </w:pPr>
      <w:r>
        <w:t>t</w:t>
      </w:r>
      <w:r w:rsidR="001E12F4">
        <w:t xml:space="preserve">he principles of environment protection set out in section 3D of the </w:t>
      </w:r>
      <w:r w:rsidR="001E12F4">
        <w:rPr>
          <w:i/>
          <w:iCs/>
        </w:rPr>
        <w:t xml:space="preserve">Environment Protection Act 1997 </w:t>
      </w:r>
      <w:r w:rsidR="001E12F4">
        <w:t>(ACT)</w:t>
      </w:r>
      <w:r>
        <w:t>.</w:t>
      </w:r>
    </w:p>
    <w:p w14:paraId="3677B675" w14:textId="3113EAE2" w:rsidR="00CA6946" w:rsidRPr="0050698F" w:rsidRDefault="00CA6946" w:rsidP="001F7D9C">
      <w:pPr>
        <w:pStyle w:val="Heading1"/>
      </w:pPr>
      <w:bookmarkStart w:id="16" w:name="_Toc47358562"/>
      <w:r w:rsidRPr="0050698F">
        <w:t>Application of the Code of Practice</w:t>
      </w:r>
      <w:bookmarkEnd w:id="16"/>
    </w:p>
    <w:p w14:paraId="6E50591B" w14:textId="6A2C02B4" w:rsidR="00EB1245" w:rsidRPr="00EB1245" w:rsidRDefault="00EB1245" w:rsidP="00EB1245">
      <w:r w:rsidRPr="00EB1245">
        <w:t>The Code</w:t>
      </w:r>
      <w:r>
        <w:t xml:space="preserve"> of Practice</w:t>
      </w:r>
      <w:r w:rsidRPr="00EB1245">
        <w:t xml:space="preserve"> applies to all </w:t>
      </w:r>
      <w:r>
        <w:t>b</w:t>
      </w:r>
      <w:r w:rsidRPr="00EB1245">
        <w:t xml:space="preserve">rand </w:t>
      </w:r>
      <w:r>
        <w:t>o</w:t>
      </w:r>
      <w:r w:rsidRPr="00EB1245">
        <w:t>wners who have an annual turnover of $5 million</w:t>
      </w:r>
      <w:r w:rsidR="006000CA">
        <w:t xml:space="preserve"> or more</w:t>
      </w:r>
      <w:r w:rsidRPr="00EB1245">
        <w:t>:</w:t>
      </w:r>
    </w:p>
    <w:p w14:paraId="1B775972" w14:textId="6748D721" w:rsidR="00EB1245" w:rsidRDefault="00EB1245" w:rsidP="001636BC">
      <w:pPr>
        <w:pStyle w:val="ListParagraph"/>
        <w:numPr>
          <w:ilvl w:val="0"/>
          <w:numId w:val="7"/>
        </w:numPr>
      </w:pPr>
      <w:r w:rsidRPr="00EB1245">
        <w:t>who are not Covenant signatories and whose consumer packaging forms part of the waste stream in the ACT;</w:t>
      </w:r>
      <w:r w:rsidR="00A141E3">
        <w:t xml:space="preserve"> or</w:t>
      </w:r>
    </w:p>
    <w:p w14:paraId="7071F882" w14:textId="2FA9C38B" w:rsidR="00B05E7A" w:rsidRDefault="00B05E7A" w:rsidP="001636BC">
      <w:pPr>
        <w:pStyle w:val="ListParagraph"/>
        <w:numPr>
          <w:ilvl w:val="0"/>
          <w:numId w:val="7"/>
        </w:numPr>
      </w:pPr>
      <w:r>
        <w:t>who have registered offices located in the ACT; and</w:t>
      </w:r>
    </w:p>
    <w:p w14:paraId="1EBF67BE" w14:textId="72678181" w:rsidR="00B05E7A" w:rsidRDefault="00B05E7A" w:rsidP="001636BC">
      <w:pPr>
        <w:pStyle w:val="ListParagraph"/>
        <w:numPr>
          <w:ilvl w:val="1"/>
          <w:numId w:val="7"/>
        </w:numPr>
      </w:pPr>
      <w:r>
        <w:t>who are not signatories to the Covenant; or</w:t>
      </w:r>
    </w:p>
    <w:p w14:paraId="07E02841" w14:textId="0DCB846F" w:rsidR="00B05E7A" w:rsidRDefault="00B05E7A" w:rsidP="001636BC">
      <w:pPr>
        <w:pStyle w:val="ListParagraph"/>
        <w:numPr>
          <w:ilvl w:val="1"/>
          <w:numId w:val="7"/>
        </w:numPr>
      </w:pPr>
      <w:r>
        <w:t>who are non-compliant Covenant signatories.</w:t>
      </w:r>
    </w:p>
    <w:p w14:paraId="3E39865D" w14:textId="77777777" w:rsidR="00083EE1" w:rsidRDefault="00083EE1" w:rsidP="00083EE1">
      <w:r>
        <w:t>For the purposes of this clause, a non-compliant Covenant signatory is:</w:t>
      </w:r>
    </w:p>
    <w:p w14:paraId="3FE460B2" w14:textId="77777777" w:rsidR="00083EE1" w:rsidRDefault="00083EE1" w:rsidP="001636BC">
      <w:pPr>
        <w:pStyle w:val="ListParagraph"/>
        <w:numPr>
          <w:ilvl w:val="0"/>
          <w:numId w:val="8"/>
        </w:numPr>
      </w:pPr>
      <w:r>
        <w:t>a brand owner who is a signatory to the Covenant; and</w:t>
      </w:r>
    </w:p>
    <w:p w14:paraId="375E6E5F" w14:textId="71568D2E" w:rsidR="00083EE1" w:rsidRDefault="00083EE1" w:rsidP="001636BC">
      <w:pPr>
        <w:pStyle w:val="ListParagraph"/>
        <w:numPr>
          <w:ilvl w:val="0"/>
          <w:numId w:val="8"/>
        </w:numPr>
      </w:pPr>
      <w:r>
        <w:t xml:space="preserve">the Territory has been notified by the Australian Packaging Covenant Organisation that the brand owner is no longer </w:t>
      </w:r>
      <w:r w:rsidR="006741D0">
        <w:t>compliant with</w:t>
      </w:r>
      <w:r>
        <w:t xml:space="preserve"> the Covenant</w:t>
      </w:r>
      <w:r w:rsidR="00091BBE">
        <w:t>.</w:t>
      </w:r>
    </w:p>
    <w:p w14:paraId="3C5A578F" w14:textId="69DDEAC1" w:rsidR="009A7315" w:rsidRDefault="009A7315" w:rsidP="00493C0C">
      <w:pPr>
        <w:jc w:val="both"/>
      </w:pPr>
      <w:r>
        <w:t xml:space="preserve">The Code of Practice does not apply if a brand owner is fulfilling their obligations under arrangements for other industries or industry sectors and </w:t>
      </w:r>
      <w:r w:rsidR="00493C0C">
        <w:t>has</w:t>
      </w:r>
      <w:r>
        <w:t xml:space="preserve"> written approval by an authorised office</w:t>
      </w:r>
      <w:r w:rsidR="00493C0C">
        <w:t>r</w:t>
      </w:r>
      <w:r>
        <w:t xml:space="preserve"> of the Territory that the Territory is satisfied the br</w:t>
      </w:r>
      <w:r w:rsidR="00493C0C">
        <w:t xml:space="preserve">and owner will produce equivalent outcomes set out in the Covenant and the Sustainable Packaging </w:t>
      </w:r>
      <w:r w:rsidR="00786D48">
        <w:t>G</w:t>
      </w:r>
      <w:r w:rsidR="00493C0C">
        <w:t xml:space="preserve">uidelines. </w:t>
      </w:r>
    </w:p>
    <w:p w14:paraId="6041F8F9" w14:textId="195723FE" w:rsidR="00CA6946" w:rsidRDefault="006808D5">
      <w:r w:rsidRPr="006808D5">
        <w:t xml:space="preserve">Note: the Covenant establishes monitoring, disciplinary and dispute resolution procedures for </w:t>
      </w:r>
      <w:r w:rsidR="001C4D82">
        <w:br/>
      </w:r>
      <w:r w:rsidRPr="006808D5">
        <w:t>non-compliant signatories, including the process for referring non-compl</w:t>
      </w:r>
      <w:r w:rsidR="005672A4">
        <w:t>iant</w:t>
      </w:r>
      <w:r w:rsidRPr="006808D5">
        <w:t xml:space="preserve"> signatories to </w:t>
      </w:r>
      <w:r w:rsidR="0085366E">
        <w:t>Australian</w:t>
      </w:r>
      <w:r w:rsidR="00833A59">
        <w:t xml:space="preserve"> </w:t>
      </w:r>
      <w:r w:rsidRPr="006808D5">
        <w:t>jurisdictions.</w:t>
      </w:r>
    </w:p>
    <w:p w14:paraId="3AC2603D" w14:textId="784B1C91" w:rsidR="00972694" w:rsidRDefault="00972694" w:rsidP="00972694">
      <w:pPr>
        <w:pStyle w:val="Heading1"/>
      </w:pPr>
      <w:bookmarkStart w:id="17" w:name="_Toc47358563"/>
      <w:r>
        <w:t>Obligations</w:t>
      </w:r>
      <w:bookmarkEnd w:id="17"/>
    </w:p>
    <w:p w14:paraId="7C4361A3" w14:textId="77777777" w:rsidR="00972694" w:rsidRDefault="00972694" w:rsidP="00972694">
      <w:r>
        <w:t xml:space="preserve">Brand owners have an obligation to recover, re-use and recycle packaging materials in accordance with the targets set out in this Code of Practice. </w:t>
      </w:r>
    </w:p>
    <w:p w14:paraId="40059BE2" w14:textId="77777777" w:rsidR="00972694" w:rsidRDefault="00972694" w:rsidP="00972694">
      <w:r>
        <w:t xml:space="preserve">Brand owners must: </w:t>
      </w:r>
    </w:p>
    <w:p w14:paraId="3239F5B5" w14:textId="2D7CAAC9" w:rsidR="00972694" w:rsidRDefault="00972694" w:rsidP="001636BC">
      <w:pPr>
        <w:pStyle w:val="ListParagraph"/>
        <w:numPr>
          <w:ilvl w:val="0"/>
          <w:numId w:val="9"/>
        </w:numPr>
      </w:pPr>
      <w:r>
        <w:t xml:space="preserve">undertake or assure the systematic recovery of consumer packaging in which the brand owner’s products are sold; </w:t>
      </w:r>
      <w:r w:rsidR="00F750CF">
        <w:t>and</w:t>
      </w:r>
    </w:p>
    <w:p w14:paraId="7493FAF7" w14:textId="1F99DAB6" w:rsidR="00972694" w:rsidRDefault="00972694" w:rsidP="001636BC">
      <w:pPr>
        <w:pStyle w:val="ListParagraph"/>
        <w:numPr>
          <w:ilvl w:val="0"/>
          <w:numId w:val="9"/>
        </w:numPr>
      </w:pPr>
      <w:r>
        <w:lastRenderedPageBreak/>
        <w:t xml:space="preserve">undertake or assure the reuse, recycling or energy recovery of consumer packaging in which the brand owner’s products are sold; </w:t>
      </w:r>
      <w:r w:rsidR="00F750CF">
        <w:t>and</w:t>
      </w:r>
    </w:p>
    <w:p w14:paraId="6C0FCA3E" w14:textId="77777777" w:rsidR="00972694" w:rsidRDefault="00972694" w:rsidP="001636BC">
      <w:pPr>
        <w:pStyle w:val="ListParagraph"/>
        <w:numPr>
          <w:ilvl w:val="0"/>
          <w:numId w:val="9"/>
        </w:numPr>
      </w:pPr>
      <w:r>
        <w:t xml:space="preserve">undertake or assure that all materials recovered by them or on their behalf have been utilised through in order of preference: </w:t>
      </w:r>
    </w:p>
    <w:p w14:paraId="34CE97BF" w14:textId="77777777" w:rsidR="00972694" w:rsidRDefault="00972694" w:rsidP="001636BC">
      <w:pPr>
        <w:pStyle w:val="ListParagraph"/>
        <w:numPr>
          <w:ilvl w:val="1"/>
          <w:numId w:val="10"/>
        </w:numPr>
      </w:pPr>
      <w:r>
        <w:t xml:space="preserve">reuse in the packaging of the brand owner’s products if applicable; or </w:t>
      </w:r>
    </w:p>
    <w:p w14:paraId="74A05187" w14:textId="77777777" w:rsidR="00972694" w:rsidRDefault="00972694" w:rsidP="001636BC">
      <w:pPr>
        <w:pStyle w:val="ListParagraph"/>
        <w:numPr>
          <w:ilvl w:val="1"/>
          <w:numId w:val="10"/>
        </w:numPr>
      </w:pPr>
      <w:r>
        <w:t>use within Australia as a secondary resource; or</w:t>
      </w:r>
    </w:p>
    <w:p w14:paraId="45648B66" w14:textId="77777777" w:rsidR="00972694" w:rsidRDefault="00972694" w:rsidP="001636BC">
      <w:pPr>
        <w:pStyle w:val="ListParagraph"/>
        <w:numPr>
          <w:ilvl w:val="1"/>
          <w:numId w:val="10"/>
        </w:numPr>
      </w:pPr>
      <w:r>
        <w:t xml:space="preserve">export as a secondary resource; and </w:t>
      </w:r>
    </w:p>
    <w:p w14:paraId="3D449C80" w14:textId="77777777" w:rsidR="00972694" w:rsidRDefault="00972694" w:rsidP="001636BC">
      <w:pPr>
        <w:pStyle w:val="ListParagraph"/>
        <w:numPr>
          <w:ilvl w:val="0"/>
          <w:numId w:val="9"/>
        </w:numPr>
      </w:pPr>
      <w:r>
        <w:t xml:space="preserve">demonstrate that reasonable steps have been taken to ensure that customers are adequately advised as to how the packaging is to be recovered.  </w:t>
      </w:r>
    </w:p>
    <w:p w14:paraId="0EDBFB19" w14:textId="3E6808F6" w:rsidR="0085366E" w:rsidRDefault="00972694">
      <w:r>
        <w:t xml:space="preserve">The brand owner can discharge their obligations under a) b) or c) above if the brand owner undertakes or assures the recovery and utilisation of used packaging materials which are of a size and type substantially the same as the packaging in which the brand owner’s products are sold. </w:t>
      </w:r>
    </w:p>
    <w:p w14:paraId="2A17F9FB" w14:textId="77777777" w:rsidR="00972694" w:rsidRDefault="00972694" w:rsidP="00972694">
      <w:pPr>
        <w:pStyle w:val="Heading1"/>
      </w:pPr>
      <w:bookmarkStart w:id="18" w:name="_Toc47358564"/>
      <w:r>
        <w:t>Targets</w:t>
      </w:r>
      <w:bookmarkEnd w:id="18"/>
    </w:p>
    <w:p w14:paraId="74DDCFEC" w14:textId="77777777" w:rsidR="00972694" w:rsidRDefault="00972694" w:rsidP="00972694">
      <w:r>
        <w:t>Brand owners must work cooperatively with the ACT Government to achieve the following targets.</w:t>
      </w:r>
    </w:p>
    <w:p w14:paraId="7C7E8458" w14:textId="77777777" w:rsidR="00972694" w:rsidRPr="00D159B3" w:rsidRDefault="00972694" w:rsidP="00972694">
      <w:pPr>
        <w:rPr>
          <w:b/>
          <w:bCs/>
        </w:rPr>
      </w:pPr>
      <w:r w:rsidRPr="00D159B3">
        <w:rPr>
          <w:b/>
          <w:bCs/>
        </w:rPr>
        <w:t>Target 1 – 100% reusable, recyclable or compostable packaging by 2025</w:t>
      </w:r>
    </w:p>
    <w:p w14:paraId="1CA82EAA" w14:textId="77777777" w:rsidR="00972694" w:rsidRDefault="00972694" w:rsidP="00972694">
      <w:r>
        <w:t>Brand owners must work to have 100% reusable, recyclable or compostable packaging by 2025 and actively encourage awareness, education and action at the consumer level. This will contribute to reducing the quantity of packaging waste generated.</w:t>
      </w:r>
    </w:p>
    <w:p w14:paraId="7B12EB9F" w14:textId="77777777" w:rsidR="00972694" w:rsidRPr="00D159B3" w:rsidRDefault="00972694" w:rsidP="00972694">
      <w:pPr>
        <w:rPr>
          <w:b/>
          <w:bCs/>
        </w:rPr>
      </w:pPr>
      <w:r w:rsidRPr="00D159B3">
        <w:rPr>
          <w:b/>
          <w:bCs/>
        </w:rPr>
        <w:t xml:space="preserve">Target 2 – </w:t>
      </w:r>
      <w:r>
        <w:rPr>
          <w:b/>
          <w:bCs/>
        </w:rPr>
        <w:t>full</w:t>
      </w:r>
      <w:r w:rsidRPr="00D159B3">
        <w:rPr>
          <w:b/>
          <w:bCs/>
        </w:rPr>
        <w:t xml:space="preserve"> resource recovery by 2025 </w:t>
      </w:r>
    </w:p>
    <w:p w14:paraId="1FE637FD" w14:textId="77777777" w:rsidR="00972694" w:rsidRDefault="00972694" w:rsidP="00972694">
      <w:r>
        <w:t>Brand owners must:</w:t>
      </w:r>
    </w:p>
    <w:p w14:paraId="436201C4" w14:textId="4094E9BC" w:rsidR="0054723C" w:rsidRDefault="0054723C" w:rsidP="009A7315">
      <w:pPr>
        <w:pStyle w:val="ListParagraph"/>
        <w:numPr>
          <w:ilvl w:val="0"/>
          <w:numId w:val="28"/>
        </w:numPr>
      </w:pPr>
      <w:r>
        <w:t>work towards the Territory’s target of full resource recovery by 2025;</w:t>
      </w:r>
      <w:r w:rsidR="00F750CF">
        <w:t xml:space="preserve"> and</w:t>
      </w:r>
    </w:p>
    <w:p w14:paraId="5DFE96E3" w14:textId="1B337CB9" w:rsidR="00972694" w:rsidRDefault="00972694" w:rsidP="009A7315">
      <w:pPr>
        <w:pStyle w:val="ListParagraph"/>
        <w:numPr>
          <w:ilvl w:val="0"/>
          <w:numId w:val="28"/>
        </w:numPr>
      </w:pPr>
      <w:r>
        <w:t xml:space="preserve">maintain their post-consumer packaging recycling rate at a minimum of 70%; </w:t>
      </w:r>
      <w:r w:rsidR="0054723C">
        <w:t>and</w:t>
      </w:r>
    </w:p>
    <w:p w14:paraId="0AEF623A" w14:textId="45ECC897" w:rsidR="00972694" w:rsidRDefault="00972694" w:rsidP="009A7315">
      <w:pPr>
        <w:pStyle w:val="ListParagraph"/>
        <w:numPr>
          <w:ilvl w:val="0"/>
          <w:numId w:val="28"/>
        </w:numPr>
      </w:pPr>
      <w:r>
        <w:t xml:space="preserve">ensure a minimum overall recovery rate of 70% for the following consumer packaging materials: </w:t>
      </w:r>
      <w:r w:rsidRPr="001262F7">
        <w:t>paper and cardboard</w:t>
      </w:r>
      <w:r>
        <w:t xml:space="preserve">, </w:t>
      </w:r>
      <w:r w:rsidRPr="001262F7">
        <w:t>glass</w:t>
      </w:r>
      <w:r>
        <w:t>,</w:t>
      </w:r>
      <w:r w:rsidRPr="001262F7">
        <w:t xml:space="preserve"> stee</w:t>
      </w:r>
      <w:r>
        <w:t xml:space="preserve">l, </w:t>
      </w:r>
      <w:r w:rsidRPr="001262F7">
        <w:t>aluminium</w:t>
      </w:r>
      <w:r>
        <w:t xml:space="preserve">, </w:t>
      </w:r>
      <w:r w:rsidRPr="001262F7">
        <w:t>PET plastics (Code 1)</w:t>
      </w:r>
      <w:r>
        <w:t xml:space="preserve">, </w:t>
      </w:r>
      <w:r w:rsidRPr="001262F7">
        <w:t>HDPE plastics (Code 2)</w:t>
      </w:r>
      <w:r>
        <w:t xml:space="preserve">, </w:t>
      </w:r>
      <w:r w:rsidRPr="001262F7">
        <w:t>plastics (Codes 3–7)</w:t>
      </w:r>
      <w:r w:rsidR="0054723C">
        <w:t>.</w:t>
      </w:r>
    </w:p>
    <w:p w14:paraId="0ED6497B" w14:textId="77777777" w:rsidR="00972694" w:rsidRPr="00D159B3" w:rsidRDefault="00972694" w:rsidP="00972694">
      <w:pPr>
        <w:rPr>
          <w:b/>
          <w:bCs/>
        </w:rPr>
      </w:pPr>
      <w:r w:rsidRPr="00D159B3">
        <w:rPr>
          <w:b/>
          <w:bCs/>
        </w:rPr>
        <w:t>Target 3 – no packaging to landfill by 2025</w:t>
      </w:r>
    </w:p>
    <w:p w14:paraId="4DCDB924" w14:textId="77777777" w:rsidR="00972694" w:rsidRDefault="00972694" w:rsidP="00972694">
      <w:r>
        <w:t>Brand owners must work towards the target of no packaging to any landfill by 2025.</w:t>
      </w:r>
    </w:p>
    <w:p w14:paraId="68448287" w14:textId="77777777" w:rsidR="00972694" w:rsidRPr="00D159B3" w:rsidRDefault="00972694" w:rsidP="00972694">
      <w:pPr>
        <w:rPr>
          <w:b/>
          <w:bCs/>
        </w:rPr>
      </w:pPr>
      <w:r w:rsidRPr="00D159B3">
        <w:rPr>
          <w:b/>
          <w:bCs/>
        </w:rPr>
        <w:t xml:space="preserve">Target 4 – 50% </w:t>
      </w:r>
      <w:r>
        <w:rPr>
          <w:b/>
          <w:bCs/>
        </w:rPr>
        <w:t xml:space="preserve">of </w:t>
      </w:r>
      <w:r w:rsidRPr="00D159B3">
        <w:rPr>
          <w:b/>
          <w:bCs/>
        </w:rPr>
        <w:t>average recycled content included in packaging by 2025</w:t>
      </w:r>
    </w:p>
    <w:p w14:paraId="275056D4" w14:textId="77777777" w:rsidR="00972694" w:rsidRDefault="00972694" w:rsidP="00972694">
      <w:r>
        <w:t>Brand owners must work to achieve an average of 50% recycled content in their packaging by 2025 and must work towards achieving the following targets for individual materials:</w:t>
      </w:r>
    </w:p>
    <w:tbl>
      <w:tblPr>
        <w:tblStyle w:val="TableGrid"/>
        <w:tblW w:w="0" w:type="auto"/>
        <w:tblLook w:val="04A0" w:firstRow="1" w:lastRow="0" w:firstColumn="1" w:lastColumn="0" w:noHBand="0" w:noVBand="1"/>
      </w:tblPr>
      <w:tblGrid>
        <w:gridCol w:w="2405"/>
        <w:gridCol w:w="1418"/>
      </w:tblGrid>
      <w:tr w:rsidR="00972694" w14:paraId="523E8B82" w14:textId="77777777" w:rsidTr="00AF1DA1">
        <w:tc>
          <w:tcPr>
            <w:tcW w:w="2405" w:type="dxa"/>
          </w:tcPr>
          <w:p w14:paraId="501FB810" w14:textId="77777777" w:rsidR="00972694" w:rsidRDefault="00972694" w:rsidP="00AF1DA1">
            <w:r>
              <w:t>Material type</w:t>
            </w:r>
          </w:p>
        </w:tc>
        <w:tc>
          <w:tcPr>
            <w:tcW w:w="1418" w:type="dxa"/>
          </w:tcPr>
          <w:p w14:paraId="6BE52EBA" w14:textId="77777777" w:rsidR="00972694" w:rsidRDefault="00972694" w:rsidP="00AF1DA1">
            <w:r>
              <w:t>2025 targets</w:t>
            </w:r>
          </w:p>
        </w:tc>
      </w:tr>
      <w:tr w:rsidR="00972694" w14:paraId="2950C079" w14:textId="77777777" w:rsidTr="00AF1DA1">
        <w:tc>
          <w:tcPr>
            <w:tcW w:w="2405" w:type="dxa"/>
          </w:tcPr>
          <w:p w14:paraId="447AD078" w14:textId="77777777" w:rsidR="00972694" w:rsidRDefault="00972694" w:rsidP="00AF1DA1">
            <w:r>
              <w:t>Plastics</w:t>
            </w:r>
          </w:p>
        </w:tc>
        <w:tc>
          <w:tcPr>
            <w:tcW w:w="1418" w:type="dxa"/>
          </w:tcPr>
          <w:p w14:paraId="369C680E" w14:textId="77777777" w:rsidR="00972694" w:rsidRDefault="00972694" w:rsidP="00AF1DA1">
            <w:r>
              <w:t>20%</w:t>
            </w:r>
          </w:p>
        </w:tc>
      </w:tr>
      <w:tr w:rsidR="00972694" w14:paraId="5830393C" w14:textId="77777777" w:rsidTr="00AF1DA1">
        <w:tc>
          <w:tcPr>
            <w:tcW w:w="2405" w:type="dxa"/>
          </w:tcPr>
          <w:p w14:paraId="19F49E34" w14:textId="77777777" w:rsidR="00972694" w:rsidRPr="008E3390" w:rsidRDefault="00972694" w:rsidP="00AF1DA1">
            <w:pPr>
              <w:pStyle w:val="ListParagraph"/>
              <w:ind w:left="315" w:right="603"/>
              <w:rPr>
                <w:i/>
                <w:iCs/>
              </w:rPr>
            </w:pPr>
            <w:r w:rsidRPr="008E3390">
              <w:rPr>
                <w:i/>
                <w:iCs/>
              </w:rPr>
              <w:t>PET</w:t>
            </w:r>
          </w:p>
        </w:tc>
        <w:tc>
          <w:tcPr>
            <w:tcW w:w="1418" w:type="dxa"/>
          </w:tcPr>
          <w:p w14:paraId="5865E5DD" w14:textId="77777777" w:rsidR="00972694" w:rsidRDefault="00972694" w:rsidP="00AF1DA1">
            <w:r>
              <w:t>30%</w:t>
            </w:r>
          </w:p>
        </w:tc>
      </w:tr>
      <w:tr w:rsidR="00972694" w14:paraId="59B664D2" w14:textId="77777777" w:rsidTr="00AF1DA1">
        <w:tc>
          <w:tcPr>
            <w:tcW w:w="2405" w:type="dxa"/>
          </w:tcPr>
          <w:p w14:paraId="4D10867E" w14:textId="77777777" w:rsidR="00972694" w:rsidRPr="008E3390" w:rsidRDefault="00972694" w:rsidP="00AF1DA1">
            <w:pPr>
              <w:pStyle w:val="ListParagraph"/>
              <w:ind w:left="315"/>
              <w:rPr>
                <w:i/>
                <w:iCs/>
              </w:rPr>
            </w:pPr>
            <w:r w:rsidRPr="008E3390">
              <w:rPr>
                <w:i/>
                <w:iCs/>
              </w:rPr>
              <w:t>HDPE</w:t>
            </w:r>
          </w:p>
        </w:tc>
        <w:tc>
          <w:tcPr>
            <w:tcW w:w="1418" w:type="dxa"/>
          </w:tcPr>
          <w:p w14:paraId="0E04657F" w14:textId="77777777" w:rsidR="00972694" w:rsidRDefault="00972694" w:rsidP="00AF1DA1">
            <w:r>
              <w:t>20%</w:t>
            </w:r>
          </w:p>
        </w:tc>
      </w:tr>
      <w:tr w:rsidR="00972694" w14:paraId="25FE6D95" w14:textId="77777777" w:rsidTr="00AF1DA1">
        <w:tc>
          <w:tcPr>
            <w:tcW w:w="2405" w:type="dxa"/>
          </w:tcPr>
          <w:p w14:paraId="4546A228" w14:textId="77777777" w:rsidR="00972694" w:rsidRPr="008E3390" w:rsidRDefault="00972694" w:rsidP="00AF1DA1">
            <w:pPr>
              <w:pStyle w:val="ListParagraph"/>
              <w:ind w:left="315"/>
              <w:rPr>
                <w:i/>
                <w:iCs/>
              </w:rPr>
            </w:pPr>
            <w:r w:rsidRPr="008E3390">
              <w:rPr>
                <w:i/>
                <w:iCs/>
              </w:rPr>
              <w:t>PP</w:t>
            </w:r>
          </w:p>
        </w:tc>
        <w:tc>
          <w:tcPr>
            <w:tcW w:w="1418" w:type="dxa"/>
          </w:tcPr>
          <w:p w14:paraId="41C7B884" w14:textId="77777777" w:rsidR="00972694" w:rsidRDefault="00972694" w:rsidP="00AF1DA1">
            <w:r>
              <w:t>20%</w:t>
            </w:r>
          </w:p>
        </w:tc>
      </w:tr>
      <w:tr w:rsidR="00972694" w14:paraId="30062384" w14:textId="77777777" w:rsidTr="00AF1DA1">
        <w:tc>
          <w:tcPr>
            <w:tcW w:w="2405" w:type="dxa"/>
          </w:tcPr>
          <w:p w14:paraId="2CBEA780" w14:textId="77777777" w:rsidR="00972694" w:rsidRPr="008E3390" w:rsidRDefault="00972694" w:rsidP="00AF1DA1">
            <w:pPr>
              <w:pStyle w:val="ListParagraph"/>
              <w:ind w:left="315"/>
              <w:rPr>
                <w:i/>
                <w:iCs/>
              </w:rPr>
            </w:pPr>
            <w:r w:rsidRPr="008E3390">
              <w:rPr>
                <w:i/>
                <w:iCs/>
              </w:rPr>
              <w:t>Flexible plastics</w:t>
            </w:r>
          </w:p>
        </w:tc>
        <w:tc>
          <w:tcPr>
            <w:tcW w:w="1418" w:type="dxa"/>
          </w:tcPr>
          <w:p w14:paraId="292CA016" w14:textId="77777777" w:rsidR="00972694" w:rsidRDefault="00972694" w:rsidP="00AF1DA1">
            <w:r>
              <w:t>10%</w:t>
            </w:r>
          </w:p>
        </w:tc>
      </w:tr>
      <w:tr w:rsidR="00972694" w14:paraId="50E283F8" w14:textId="77777777" w:rsidTr="00AF1DA1">
        <w:tc>
          <w:tcPr>
            <w:tcW w:w="2405" w:type="dxa"/>
          </w:tcPr>
          <w:p w14:paraId="768D4947" w14:textId="77777777" w:rsidR="00972694" w:rsidRDefault="00972694" w:rsidP="00AF1DA1">
            <w:r>
              <w:t>Paper</w:t>
            </w:r>
          </w:p>
        </w:tc>
        <w:tc>
          <w:tcPr>
            <w:tcW w:w="1418" w:type="dxa"/>
          </w:tcPr>
          <w:p w14:paraId="25413031" w14:textId="77777777" w:rsidR="00972694" w:rsidRDefault="00972694" w:rsidP="00AF1DA1">
            <w:r>
              <w:t>60%</w:t>
            </w:r>
          </w:p>
        </w:tc>
      </w:tr>
      <w:tr w:rsidR="00972694" w14:paraId="49027382" w14:textId="77777777" w:rsidTr="00AF1DA1">
        <w:tc>
          <w:tcPr>
            <w:tcW w:w="2405" w:type="dxa"/>
          </w:tcPr>
          <w:p w14:paraId="1CED9577" w14:textId="77777777" w:rsidR="00972694" w:rsidRDefault="00972694" w:rsidP="00AF1DA1">
            <w:r>
              <w:t>Metals</w:t>
            </w:r>
          </w:p>
        </w:tc>
        <w:tc>
          <w:tcPr>
            <w:tcW w:w="1418" w:type="dxa"/>
          </w:tcPr>
          <w:p w14:paraId="618BBDEF" w14:textId="77777777" w:rsidR="00972694" w:rsidRDefault="00972694" w:rsidP="00AF1DA1">
            <w:r>
              <w:t>35%</w:t>
            </w:r>
          </w:p>
        </w:tc>
      </w:tr>
      <w:tr w:rsidR="00972694" w14:paraId="7B64D43E" w14:textId="77777777" w:rsidTr="00AF1DA1">
        <w:tc>
          <w:tcPr>
            <w:tcW w:w="2405" w:type="dxa"/>
          </w:tcPr>
          <w:p w14:paraId="7E161B76" w14:textId="77777777" w:rsidR="00972694" w:rsidRDefault="00972694" w:rsidP="00AF1DA1">
            <w:r>
              <w:t>Glass</w:t>
            </w:r>
          </w:p>
        </w:tc>
        <w:tc>
          <w:tcPr>
            <w:tcW w:w="1418" w:type="dxa"/>
          </w:tcPr>
          <w:p w14:paraId="31288AE2" w14:textId="77777777" w:rsidR="00972694" w:rsidRDefault="00972694" w:rsidP="00AF1DA1">
            <w:r>
              <w:t>50%</w:t>
            </w:r>
          </w:p>
        </w:tc>
      </w:tr>
    </w:tbl>
    <w:p w14:paraId="22CF5FAE" w14:textId="2BD6CFBF" w:rsidR="001F7D9C" w:rsidRPr="005E1CA0" w:rsidRDefault="001F7D9C" w:rsidP="001F7D9C">
      <w:pPr>
        <w:pStyle w:val="Heading1"/>
      </w:pPr>
      <w:bookmarkStart w:id="19" w:name="_Toc47358569"/>
      <w:r>
        <w:lastRenderedPageBreak/>
        <w:t>Requirements</w:t>
      </w:r>
      <w:bookmarkEnd w:id="19"/>
    </w:p>
    <w:p w14:paraId="7B8F99F0" w14:textId="6A0D234E" w:rsidR="00CA6946" w:rsidRPr="0050698F" w:rsidRDefault="007D3FCF" w:rsidP="001F7D9C">
      <w:pPr>
        <w:pStyle w:val="Heading2"/>
      </w:pPr>
      <w:bookmarkStart w:id="20" w:name="_Toc47358570"/>
      <w:r w:rsidRPr="0050698F">
        <w:t xml:space="preserve">Requirement </w:t>
      </w:r>
      <w:r w:rsidR="00D55C44">
        <w:t>1</w:t>
      </w:r>
      <w:r w:rsidR="00CD140A" w:rsidRPr="0050698F">
        <w:t xml:space="preserve"> – </w:t>
      </w:r>
      <w:r w:rsidR="00180AB9">
        <w:t xml:space="preserve">prepare </w:t>
      </w:r>
      <w:r w:rsidR="00CA6946" w:rsidRPr="0050698F">
        <w:t>waste action plan</w:t>
      </w:r>
      <w:bookmarkEnd w:id="20"/>
    </w:p>
    <w:p w14:paraId="04671D91" w14:textId="283288B7" w:rsidR="0009487F" w:rsidRDefault="0009487F" w:rsidP="001636BC">
      <w:pPr>
        <w:pStyle w:val="Heading3"/>
        <w:numPr>
          <w:ilvl w:val="0"/>
          <w:numId w:val="22"/>
        </w:numPr>
      </w:pPr>
      <w:bookmarkStart w:id="21" w:name="_Toc47358571"/>
      <w:r>
        <w:t>Submission</w:t>
      </w:r>
      <w:bookmarkEnd w:id="21"/>
      <w:r>
        <w:t xml:space="preserve"> </w:t>
      </w:r>
    </w:p>
    <w:p w14:paraId="31CB4584" w14:textId="00236F78" w:rsidR="0085366E" w:rsidRDefault="00001712" w:rsidP="008649E4">
      <w:r>
        <w:t xml:space="preserve">A </w:t>
      </w:r>
      <w:r w:rsidR="00F45CF2">
        <w:t>brand owner to whom this Code of Practice applies</w:t>
      </w:r>
      <w:r w:rsidR="00F3477F">
        <w:t xml:space="preserve"> must </w:t>
      </w:r>
      <w:r w:rsidR="00A768D6">
        <w:t xml:space="preserve">submit </w:t>
      </w:r>
      <w:r w:rsidR="0085366E">
        <w:t>a</w:t>
      </w:r>
      <w:r w:rsidR="00A768D6">
        <w:t xml:space="preserve"> waste action plan to the </w:t>
      </w:r>
      <w:r w:rsidR="00FB1871">
        <w:t>Territory</w:t>
      </w:r>
      <w:r w:rsidR="00CC53A5">
        <w:t xml:space="preserve"> for approval</w:t>
      </w:r>
      <w:r w:rsidR="00E608D1">
        <w:t xml:space="preserve">. </w:t>
      </w:r>
    </w:p>
    <w:p w14:paraId="5A91EFF6" w14:textId="35B3A7F4" w:rsidR="0085366E" w:rsidRDefault="0009487F" w:rsidP="001636BC">
      <w:pPr>
        <w:pStyle w:val="Heading3"/>
        <w:numPr>
          <w:ilvl w:val="0"/>
          <w:numId w:val="22"/>
        </w:numPr>
      </w:pPr>
      <w:bookmarkStart w:id="22" w:name="_Toc47358572"/>
      <w:r>
        <w:t>C</w:t>
      </w:r>
      <w:r w:rsidR="0085366E">
        <w:t>ontent</w:t>
      </w:r>
      <w:bookmarkEnd w:id="22"/>
      <w:r w:rsidR="0085366E">
        <w:t xml:space="preserve"> </w:t>
      </w:r>
    </w:p>
    <w:p w14:paraId="144C4426" w14:textId="77777777" w:rsidR="0085366E" w:rsidRDefault="0085366E" w:rsidP="0085366E">
      <w:r>
        <w:t>The waste action plan must set out:</w:t>
      </w:r>
    </w:p>
    <w:p w14:paraId="4CDF25A5" w14:textId="00F408CB" w:rsidR="0085366E" w:rsidRDefault="0085366E" w:rsidP="009A7315">
      <w:pPr>
        <w:pStyle w:val="ListParagraph"/>
        <w:numPr>
          <w:ilvl w:val="0"/>
          <w:numId w:val="29"/>
        </w:numPr>
      </w:pPr>
      <w:bookmarkStart w:id="23" w:name="_Hlk47449160"/>
      <w:r>
        <w:t>baseline data</w:t>
      </w:r>
      <w:r w:rsidR="004672B5">
        <w:t xml:space="preserve"> for </w:t>
      </w:r>
      <w:r w:rsidR="00173FA1">
        <w:t xml:space="preserve">the </w:t>
      </w:r>
      <w:r w:rsidR="004672B5">
        <w:t>information outlined in the “Collection of data and record keeping” clause</w:t>
      </w:r>
      <w:r w:rsidR="00173FA1">
        <w:t>,</w:t>
      </w:r>
      <w:r>
        <w:t xml:space="preserve"> setting out the brand owner’s current performance regarding the use, recovery, </w:t>
      </w:r>
      <w:r w:rsidR="001176F3">
        <w:br/>
      </w:r>
      <w:r>
        <w:t>re-use and recycling of the materials used in the packaging for which the person is responsible</w:t>
      </w:r>
      <w:r w:rsidR="00B014FC">
        <w:t>;</w:t>
      </w:r>
      <w:bookmarkEnd w:id="23"/>
      <w:r w:rsidR="00F750CF">
        <w:t xml:space="preserve"> and</w:t>
      </w:r>
    </w:p>
    <w:p w14:paraId="27B3FB7E" w14:textId="77777777" w:rsidR="0085366E" w:rsidRDefault="0085366E" w:rsidP="009A7315">
      <w:pPr>
        <w:pStyle w:val="ListParagraph"/>
        <w:numPr>
          <w:ilvl w:val="0"/>
          <w:numId w:val="29"/>
        </w:numPr>
      </w:pPr>
      <w:r>
        <w:t>how the brand owner will ensure compliance with their obligations, including:</w:t>
      </w:r>
    </w:p>
    <w:p w14:paraId="3EC3CE5D" w14:textId="49CF54DA" w:rsidR="0085366E" w:rsidRDefault="0085366E" w:rsidP="009A7315">
      <w:pPr>
        <w:pStyle w:val="ListParagraph"/>
        <w:numPr>
          <w:ilvl w:val="1"/>
          <w:numId w:val="30"/>
        </w:numPr>
      </w:pPr>
      <w:r>
        <w:t xml:space="preserve">targets for the recovery of the materials used in the packaging and for reviewing the design of that packaging, which are at minimum equal to or greater than the targets set out in </w:t>
      </w:r>
      <w:r w:rsidR="0009487F">
        <w:t>the Code of Practice</w:t>
      </w:r>
      <w:r>
        <w:t xml:space="preserve">; </w:t>
      </w:r>
      <w:r w:rsidR="00F750CF">
        <w:t>and</w:t>
      </w:r>
    </w:p>
    <w:p w14:paraId="78D0AB76" w14:textId="5AE90E8E" w:rsidR="0085366E" w:rsidRDefault="0085366E" w:rsidP="009A7315">
      <w:pPr>
        <w:pStyle w:val="ListParagraph"/>
        <w:numPr>
          <w:ilvl w:val="1"/>
          <w:numId w:val="30"/>
        </w:numPr>
      </w:pPr>
      <w:r>
        <w:t xml:space="preserve">time frames, proposed actions and performance indicators for achieving those targets; </w:t>
      </w:r>
      <w:r w:rsidR="00F750CF">
        <w:t>and</w:t>
      </w:r>
    </w:p>
    <w:p w14:paraId="1A402544" w14:textId="18D3DFFB" w:rsidR="00173FA1" w:rsidRDefault="00173FA1" w:rsidP="009A7315">
      <w:pPr>
        <w:pStyle w:val="ListParagraph"/>
        <w:numPr>
          <w:ilvl w:val="1"/>
          <w:numId w:val="30"/>
        </w:numPr>
      </w:pPr>
      <w:r>
        <w:t>proposed methodologies for the collection of data; and</w:t>
      </w:r>
    </w:p>
    <w:p w14:paraId="784EBA5C" w14:textId="10C718A5" w:rsidR="0085366E" w:rsidRDefault="0085366E" w:rsidP="009A7315">
      <w:pPr>
        <w:pStyle w:val="ListParagraph"/>
        <w:numPr>
          <w:ilvl w:val="1"/>
          <w:numId w:val="30"/>
        </w:numPr>
      </w:pPr>
      <w:r>
        <w:t>monitoring and evaluation procedures to assess performance</w:t>
      </w:r>
      <w:r w:rsidR="00173FA1">
        <w:t>;</w:t>
      </w:r>
    </w:p>
    <w:p w14:paraId="7F505C38" w14:textId="77777777" w:rsidR="0085366E" w:rsidRDefault="0085366E" w:rsidP="009A7315">
      <w:pPr>
        <w:pStyle w:val="ListParagraph"/>
        <w:numPr>
          <w:ilvl w:val="0"/>
          <w:numId w:val="29"/>
        </w:numPr>
      </w:pPr>
      <w:r>
        <w:t>how the brand owner will ensure a continuous reduction in the number of packaging items in the waste stream; and</w:t>
      </w:r>
    </w:p>
    <w:p w14:paraId="37EC93F8" w14:textId="3A6F0323" w:rsidR="00F14069" w:rsidRDefault="0085366E" w:rsidP="009A7315">
      <w:pPr>
        <w:pStyle w:val="ListParagraph"/>
        <w:numPr>
          <w:ilvl w:val="0"/>
          <w:numId w:val="29"/>
        </w:numPr>
      </w:pPr>
      <w:r>
        <w:t xml:space="preserve">how the waste action plan and its targets align with the best practice guidelines </w:t>
      </w:r>
      <w:r w:rsidRPr="00C5369E">
        <w:t xml:space="preserve">and related Commonwealth, </w:t>
      </w:r>
      <w:r>
        <w:t>s</w:t>
      </w:r>
      <w:r w:rsidRPr="00C5369E">
        <w:t xml:space="preserve">tate and </w:t>
      </w:r>
      <w:r>
        <w:t>t</w:t>
      </w:r>
      <w:r w:rsidRPr="00C5369E">
        <w:t>erritory legislation</w:t>
      </w:r>
      <w:r>
        <w:t xml:space="preserve"> and policies listed under ‘Scope’.</w:t>
      </w:r>
    </w:p>
    <w:p w14:paraId="7215E72E" w14:textId="483EFC74" w:rsidR="000F27B4" w:rsidRDefault="000F27B4" w:rsidP="001636BC">
      <w:pPr>
        <w:pStyle w:val="Heading3"/>
        <w:numPr>
          <w:ilvl w:val="0"/>
          <w:numId w:val="22"/>
        </w:numPr>
      </w:pPr>
      <w:bookmarkStart w:id="24" w:name="_Toc47358573"/>
      <w:r>
        <w:t>Approval</w:t>
      </w:r>
      <w:bookmarkEnd w:id="24"/>
      <w:r w:rsidR="0009487F">
        <w:t xml:space="preserve"> </w:t>
      </w:r>
    </w:p>
    <w:p w14:paraId="7152D159" w14:textId="151064FE" w:rsidR="0009487F" w:rsidRDefault="0009487F" w:rsidP="00E64D6C">
      <w:bookmarkStart w:id="25" w:name="_Hlk45721002"/>
      <w:r>
        <w:t xml:space="preserve">The Territory </w:t>
      </w:r>
      <w:r w:rsidRPr="004672B5">
        <w:t>has 20 working days</w:t>
      </w:r>
      <w:r>
        <w:t xml:space="preserve"> to review the waste action plan unless otherwise agree</w:t>
      </w:r>
      <w:r w:rsidR="00180AB9">
        <w:t>d</w:t>
      </w:r>
      <w:r>
        <w:t xml:space="preserve"> between the Territory and the brand owner. </w:t>
      </w:r>
    </w:p>
    <w:p w14:paraId="651C854B" w14:textId="3E7A564C" w:rsidR="0009487F" w:rsidRDefault="0009487F" w:rsidP="00E64D6C">
      <w:r>
        <w:t xml:space="preserve">If the waste action plan </w:t>
      </w:r>
      <w:r w:rsidR="00180AB9">
        <w:t>complies with the Code of Practice</w:t>
      </w:r>
      <w:r>
        <w:t>, the Territory must provide written approval of the waste action plan.</w:t>
      </w:r>
      <w:r w:rsidR="009D6A7F">
        <w:t xml:space="preserve"> The waste action plan is deemed to be in force from the date of the Territory’s approval.</w:t>
      </w:r>
    </w:p>
    <w:p w14:paraId="623CF5C8" w14:textId="613DCACF" w:rsidR="00180AB9" w:rsidRDefault="0009487F" w:rsidP="004A6FDB">
      <w:r>
        <w:t xml:space="preserve">If the waste action plan does not </w:t>
      </w:r>
      <w:r w:rsidR="00180AB9">
        <w:t>comply with the Code of Practice, the Territory must</w:t>
      </w:r>
      <w:r w:rsidR="004A6FDB">
        <w:t xml:space="preserve"> </w:t>
      </w:r>
      <w:r w:rsidR="00180AB9">
        <w:t>provide written feedback which outlines:</w:t>
      </w:r>
    </w:p>
    <w:p w14:paraId="16BC2E7C" w14:textId="6E537C75" w:rsidR="009D6A7F" w:rsidRDefault="00180AB9" w:rsidP="009A7315">
      <w:pPr>
        <w:pStyle w:val="ListParagraph"/>
        <w:numPr>
          <w:ilvl w:val="0"/>
          <w:numId w:val="31"/>
        </w:numPr>
      </w:pPr>
      <w:r>
        <w:t xml:space="preserve">how the waste action plan does not comply with the Code of Practice; </w:t>
      </w:r>
      <w:r w:rsidR="00F750CF">
        <w:t>and</w:t>
      </w:r>
    </w:p>
    <w:p w14:paraId="27700785" w14:textId="5ACBA607" w:rsidR="009D6A7F" w:rsidRDefault="004A6FDB" w:rsidP="009A7315">
      <w:pPr>
        <w:pStyle w:val="ListParagraph"/>
        <w:numPr>
          <w:ilvl w:val="0"/>
          <w:numId w:val="31"/>
        </w:numPr>
      </w:pPr>
      <w:r>
        <w:t>t</w:t>
      </w:r>
      <w:r w:rsidR="009D6A7F">
        <w:t>he changes that need to be made before approval can be granted; and</w:t>
      </w:r>
    </w:p>
    <w:p w14:paraId="753CF068" w14:textId="211E26E6" w:rsidR="00180AB9" w:rsidRDefault="009D6A7F" w:rsidP="009A7315">
      <w:pPr>
        <w:pStyle w:val="ListParagraph"/>
        <w:numPr>
          <w:ilvl w:val="0"/>
          <w:numId w:val="31"/>
        </w:numPr>
      </w:pPr>
      <w:r>
        <w:t>the date by which the waste action plan needs to be resubmitted.</w:t>
      </w:r>
    </w:p>
    <w:p w14:paraId="07C11362" w14:textId="660342B6" w:rsidR="00CE076C" w:rsidRDefault="00E232C0" w:rsidP="00E232C0">
      <w:r>
        <w:t>The brand owner must</w:t>
      </w:r>
      <w:r w:rsidR="00DD3687">
        <w:t xml:space="preserve"> make the recommended changes and</w:t>
      </w:r>
      <w:r>
        <w:t xml:space="preserve"> re</w:t>
      </w:r>
      <w:r w:rsidR="00180AB9">
        <w:t xml:space="preserve">submit the </w:t>
      </w:r>
      <w:r w:rsidR="00DD3687">
        <w:t xml:space="preserve">waste </w:t>
      </w:r>
      <w:r w:rsidR="00180AB9">
        <w:t>action plan</w:t>
      </w:r>
      <w:r w:rsidR="00DD3687">
        <w:t xml:space="preserve"> to the Territory for approval</w:t>
      </w:r>
      <w:r w:rsidR="009D6A7F">
        <w:t xml:space="preserve"> by the specified date</w:t>
      </w:r>
      <w:r w:rsidR="004672B5">
        <w:t xml:space="preserve"> to comply with this Code of Practice.</w:t>
      </w:r>
      <w:r w:rsidR="00CE076C">
        <w:t xml:space="preserve"> </w:t>
      </w:r>
    </w:p>
    <w:p w14:paraId="373088DD" w14:textId="06633BE8" w:rsidR="00FE7FF0" w:rsidRDefault="00FE7FF0" w:rsidP="000F27B4">
      <w:pPr>
        <w:pStyle w:val="Heading2"/>
      </w:pPr>
      <w:bookmarkStart w:id="26" w:name="_Toc47358574"/>
      <w:bookmarkEnd w:id="25"/>
      <w:r w:rsidRPr="0050698F">
        <w:t xml:space="preserve">Requirement </w:t>
      </w:r>
      <w:r w:rsidR="0009487F">
        <w:t>2</w:t>
      </w:r>
      <w:r w:rsidR="00CD140A" w:rsidRPr="0050698F">
        <w:t xml:space="preserve"> –</w:t>
      </w:r>
      <w:r w:rsidR="004672B5">
        <w:t xml:space="preserve"> </w:t>
      </w:r>
      <w:r w:rsidR="00CD140A" w:rsidRPr="0050698F">
        <w:t xml:space="preserve">reporting </w:t>
      </w:r>
      <w:r w:rsidR="004D61EB">
        <w:t>and record keeping</w:t>
      </w:r>
      <w:bookmarkEnd w:id="26"/>
    </w:p>
    <w:p w14:paraId="74D6E203" w14:textId="3B0B98AD" w:rsidR="004D61EB" w:rsidRPr="004D61EB" w:rsidRDefault="004D61EB" w:rsidP="004D61EB">
      <w:pPr>
        <w:pStyle w:val="Heading3"/>
      </w:pPr>
      <w:bookmarkStart w:id="27" w:name="_Toc47358575"/>
      <w:r>
        <w:t>Annual reporting to the Territory</w:t>
      </w:r>
      <w:bookmarkEnd w:id="27"/>
    </w:p>
    <w:p w14:paraId="4024DB82" w14:textId="1829BF85" w:rsidR="00072EA1" w:rsidRDefault="004672B5" w:rsidP="00F11F12">
      <w:r>
        <w:t>Unless otherwise agreed with the Territory, t</w:t>
      </w:r>
      <w:r w:rsidR="006D44B4">
        <w:t>he brand owner must submit an annual report by 31</w:t>
      </w:r>
      <w:r w:rsidR="00246E04">
        <w:t> </w:t>
      </w:r>
      <w:r w:rsidR="006D44B4">
        <w:t>July each year</w:t>
      </w:r>
      <w:r>
        <w:t xml:space="preserve">, </w:t>
      </w:r>
      <w:r w:rsidR="006D44B4">
        <w:t xml:space="preserve">commencing in the financial year after this Code of Practice applies to the brand owner. </w:t>
      </w:r>
      <w:r w:rsidR="00072EA1">
        <w:t>The annual report must</w:t>
      </w:r>
      <w:r w:rsidR="00F242DE">
        <w:t xml:space="preserve"> </w:t>
      </w:r>
      <w:r w:rsidR="00072EA1">
        <w:t>be</w:t>
      </w:r>
      <w:r w:rsidR="0001686C">
        <w:t xml:space="preserve"> in a standard reporting format</w:t>
      </w:r>
      <w:r w:rsidR="00A906FE">
        <w:t xml:space="preserve"> in accordance with the </w:t>
      </w:r>
      <w:r w:rsidR="000F27B4">
        <w:t xml:space="preserve">National </w:t>
      </w:r>
      <w:r w:rsidR="000F27B4">
        <w:lastRenderedPageBreak/>
        <w:t>Environment Protection Council’s</w:t>
      </w:r>
      <w:r w:rsidR="00A906FE">
        <w:t xml:space="preserve"> reporting requirements</w:t>
      </w:r>
      <w:r w:rsidR="00072EA1">
        <w:t>, provided</w:t>
      </w:r>
      <w:r w:rsidR="00397E42">
        <w:t xml:space="preserve"> as directed</w:t>
      </w:r>
      <w:r w:rsidR="00072EA1">
        <w:t xml:space="preserve"> by the Territory</w:t>
      </w:r>
      <w:r w:rsidR="00397E42">
        <w:t xml:space="preserve">. At a minimum, reporting </w:t>
      </w:r>
      <w:r w:rsidR="00F242DE">
        <w:t>must be electronic</w:t>
      </w:r>
      <w:r w:rsidR="00F11F12">
        <w:t xml:space="preserve"> and</w:t>
      </w:r>
      <w:r w:rsidR="00F242DE">
        <w:t xml:space="preserve"> in a commonly used format</w:t>
      </w:r>
      <w:r w:rsidR="00F11F12">
        <w:t xml:space="preserve">. The annual report must: </w:t>
      </w:r>
    </w:p>
    <w:p w14:paraId="1F89ACC5" w14:textId="1884FF21" w:rsidR="00072EA1" w:rsidRDefault="00962BC8" w:rsidP="009A7315">
      <w:pPr>
        <w:pStyle w:val="ListParagraph"/>
        <w:numPr>
          <w:ilvl w:val="0"/>
          <w:numId w:val="32"/>
        </w:numPr>
      </w:pPr>
      <w:r>
        <w:t xml:space="preserve">outline </w:t>
      </w:r>
      <w:r w:rsidR="00C2767B">
        <w:t xml:space="preserve">annual </w:t>
      </w:r>
      <w:r>
        <w:t xml:space="preserve">performance against </w:t>
      </w:r>
      <w:r w:rsidR="000F27B4">
        <w:t>all</w:t>
      </w:r>
      <w:r>
        <w:t xml:space="preserve"> the waste action plan commitments in Requirement</w:t>
      </w:r>
      <w:r w:rsidR="00246E04">
        <w:t> </w:t>
      </w:r>
      <w:r w:rsidR="004D61EB">
        <w:t>1</w:t>
      </w:r>
      <w:r w:rsidR="00072EA1">
        <w:t>; and</w:t>
      </w:r>
    </w:p>
    <w:p w14:paraId="185EE691" w14:textId="34B30002" w:rsidR="00FE7FF0" w:rsidRDefault="003F749B" w:rsidP="009A7315">
      <w:pPr>
        <w:pStyle w:val="ListParagraph"/>
        <w:numPr>
          <w:ilvl w:val="0"/>
          <w:numId w:val="32"/>
        </w:numPr>
      </w:pPr>
      <w:r>
        <w:t>provide an annual</w:t>
      </w:r>
      <w:r w:rsidR="00C2767B">
        <w:t xml:space="preserve"> summary of </w:t>
      </w:r>
      <w:r w:rsidR="00962BC8">
        <w:t>the</w:t>
      </w:r>
      <w:r w:rsidR="00C2767B">
        <w:t xml:space="preserve"> data collection and</w:t>
      </w:r>
      <w:r w:rsidR="00962BC8">
        <w:t xml:space="preserve"> record keeping obligations in Requirement </w:t>
      </w:r>
      <w:r w:rsidR="004D61EB">
        <w:t>2</w:t>
      </w:r>
      <w:r w:rsidR="00962BC8">
        <w:t xml:space="preserve">. </w:t>
      </w:r>
    </w:p>
    <w:p w14:paraId="0999169F" w14:textId="301B53FC" w:rsidR="00FB1871" w:rsidRPr="0050698F" w:rsidRDefault="004D61EB" w:rsidP="004D61EB">
      <w:pPr>
        <w:pStyle w:val="Heading3"/>
      </w:pPr>
      <w:bookmarkStart w:id="28" w:name="_Toc47358576"/>
      <w:r>
        <w:t>C</w:t>
      </w:r>
      <w:r w:rsidR="00CD140A" w:rsidRPr="0050698F">
        <w:t>ollection of data and record keeping</w:t>
      </w:r>
      <w:bookmarkEnd w:id="28"/>
      <w:r w:rsidR="004E76D4" w:rsidRPr="0050698F">
        <w:t xml:space="preserve"> </w:t>
      </w:r>
    </w:p>
    <w:p w14:paraId="0B9B52DA" w14:textId="6DD5508C" w:rsidR="002A31A0" w:rsidRDefault="002A31A0" w:rsidP="002A31A0">
      <w:r>
        <w:t xml:space="preserve"> A </w:t>
      </w:r>
      <w:r w:rsidR="00BA2BEC">
        <w:t>brand owner</w:t>
      </w:r>
      <w:r>
        <w:t xml:space="preserve"> to whom this </w:t>
      </w:r>
      <w:r w:rsidR="00BA2BEC">
        <w:t>Code of Practice</w:t>
      </w:r>
      <w:r>
        <w:t xml:space="preserve"> applies must </w:t>
      </w:r>
      <w:r w:rsidR="00BA2BEC">
        <w:t>record the following information for each packaging material used during a financial year by the brand owner:</w:t>
      </w:r>
    </w:p>
    <w:p w14:paraId="51D67492" w14:textId="7FC8A216" w:rsidR="002A31A0" w:rsidRDefault="002A31A0" w:rsidP="009A7315">
      <w:pPr>
        <w:pStyle w:val="ListParagraph"/>
        <w:numPr>
          <w:ilvl w:val="0"/>
          <w:numId w:val="33"/>
        </w:numPr>
      </w:pPr>
      <w:r>
        <w:t>for each packaging material used by the person in packaging for which the person is responsible:</w:t>
      </w:r>
    </w:p>
    <w:p w14:paraId="2B42F728" w14:textId="6D11F379" w:rsidR="002A31A0" w:rsidRDefault="002A31A0" w:rsidP="009A7315">
      <w:pPr>
        <w:pStyle w:val="ListParagraph"/>
        <w:numPr>
          <w:ilvl w:val="1"/>
          <w:numId w:val="34"/>
        </w:numPr>
      </w:pPr>
      <w:r>
        <w:t>total weight of material used by material type</w:t>
      </w:r>
      <w:r w:rsidR="00BA2BEC">
        <w:t>;</w:t>
      </w:r>
      <w:r>
        <w:t xml:space="preserve"> </w:t>
      </w:r>
    </w:p>
    <w:p w14:paraId="43108582" w14:textId="38D9A8BF" w:rsidR="002A31A0" w:rsidRDefault="002A31A0" w:rsidP="009A7315">
      <w:pPr>
        <w:pStyle w:val="ListParagraph"/>
        <w:numPr>
          <w:ilvl w:val="1"/>
          <w:numId w:val="34"/>
        </w:numPr>
      </w:pPr>
      <w:r>
        <w:t>number of units of packaging by unit and material type</w:t>
      </w:r>
      <w:r w:rsidR="00BA2BEC">
        <w:t>;</w:t>
      </w:r>
    </w:p>
    <w:p w14:paraId="454C34FE" w14:textId="6F4A47F9" w:rsidR="002A31A0" w:rsidRDefault="002A31A0" w:rsidP="009A7315">
      <w:pPr>
        <w:pStyle w:val="ListParagraph"/>
        <w:numPr>
          <w:ilvl w:val="1"/>
          <w:numId w:val="34"/>
        </w:numPr>
      </w:pPr>
      <w:r>
        <w:t>total weight of material recovered by material type</w:t>
      </w:r>
      <w:r w:rsidR="00BA2BEC">
        <w:t>;</w:t>
      </w:r>
    </w:p>
    <w:p w14:paraId="028ABFF4" w14:textId="1E6905C8" w:rsidR="002A31A0" w:rsidRDefault="002A31A0" w:rsidP="009A7315">
      <w:pPr>
        <w:pStyle w:val="ListParagraph"/>
        <w:numPr>
          <w:ilvl w:val="1"/>
          <w:numId w:val="34"/>
        </w:numPr>
      </w:pPr>
      <w:r>
        <w:t xml:space="preserve">total weight of recovered material reused </w:t>
      </w:r>
      <w:r w:rsidR="00BA2BEC">
        <w:t>and</w:t>
      </w:r>
      <w:r>
        <w:t xml:space="preserve"> recycled in Australia by material type</w:t>
      </w:r>
      <w:r w:rsidR="00BA2BEC">
        <w:t>;</w:t>
      </w:r>
    </w:p>
    <w:p w14:paraId="39B48A93" w14:textId="33E97638" w:rsidR="002A31A0" w:rsidRDefault="002A31A0" w:rsidP="009A7315">
      <w:pPr>
        <w:pStyle w:val="ListParagraph"/>
        <w:numPr>
          <w:ilvl w:val="1"/>
          <w:numId w:val="34"/>
        </w:numPr>
      </w:pPr>
      <w:r>
        <w:t xml:space="preserve">total weight of recovered material reused </w:t>
      </w:r>
      <w:r w:rsidR="00BA2BEC">
        <w:t>and</w:t>
      </w:r>
      <w:r>
        <w:t xml:space="preserve"> recycled </w:t>
      </w:r>
      <w:r w:rsidR="00BA2BEC">
        <w:t>by material type through export;</w:t>
      </w:r>
    </w:p>
    <w:p w14:paraId="5E35051D" w14:textId="3E0F8F6A" w:rsidR="002A31A0" w:rsidRDefault="002A31A0" w:rsidP="009A7315">
      <w:pPr>
        <w:pStyle w:val="ListParagraph"/>
        <w:numPr>
          <w:ilvl w:val="1"/>
          <w:numId w:val="34"/>
        </w:numPr>
      </w:pPr>
      <w:r>
        <w:t>total amount of embedded energy recovered (in kilojoules)</w:t>
      </w:r>
      <w:r w:rsidR="00BA2BEC">
        <w:t>;</w:t>
      </w:r>
    </w:p>
    <w:p w14:paraId="33120FF7" w14:textId="5071F48B" w:rsidR="002A31A0" w:rsidRDefault="002A31A0" w:rsidP="009A7315">
      <w:pPr>
        <w:pStyle w:val="ListParagraph"/>
        <w:numPr>
          <w:ilvl w:val="1"/>
          <w:numId w:val="34"/>
        </w:numPr>
      </w:pPr>
      <w:r>
        <w:t>total weight of recovered material disposed of to landfill</w:t>
      </w:r>
      <w:r w:rsidR="00BA2BEC">
        <w:t>;</w:t>
      </w:r>
    </w:p>
    <w:p w14:paraId="56FB35D2" w14:textId="2284426F" w:rsidR="002A31A0" w:rsidRDefault="002A31A0" w:rsidP="009A7315">
      <w:pPr>
        <w:pStyle w:val="ListParagraph"/>
        <w:numPr>
          <w:ilvl w:val="1"/>
          <w:numId w:val="34"/>
        </w:numPr>
      </w:pPr>
      <w:r>
        <w:t>how recovered material is used</w:t>
      </w:r>
      <w:r w:rsidR="00BA2BEC">
        <w:t>;</w:t>
      </w:r>
    </w:p>
    <w:p w14:paraId="02C651EA" w14:textId="18A16B2E" w:rsidR="00BA2BEC" w:rsidRDefault="00BA2BEC" w:rsidP="009A7315">
      <w:pPr>
        <w:pStyle w:val="ListParagraph"/>
        <w:numPr>
          <w:ilvl w:val="1"/>
          <w:numId w:val="34"/>
        </w:numPr>
      </w:pPr>
      <w:r>
        <w:t>arrangements that are in place to ensure that material is recovered, including details of any agreement with a third party for the recovery of material;</w:t>
      </w:r>
    </w:p>
    <w:p w14:paraId="2DD7AF63" w14:textId="301B76F4" w:rsidR="00BA2BEC" w:rsidRDefault="002A31A0" w:rsidP="009A7315">
      <w:pPr>
        <w:pStyle w:val="ListParagraph"/>
        <w:numPr>
          <w:ilvl w:val="1"/>
          <w:numId w:val="34"/>
        </w:numPr>
      </w:pPr>
      <w:r>
        <w:t>how consumers have been advised as to how packaging is to be recovered</w:t>
      </w:r>
      <w:r w:rsidR="00BA2BEC">
        <w:t>; and</w:t>
      </w:r>
    </w:p>
    <w:p w14:paraId="0DDF7D2A" w14:textId="2354CFC2" w:rsidR="002A31A0" w:rsidRDefault="002A31A0" w:rsidP="009A7315">
      <w:pPr>
        <w:pStyle w:val="ListParagraph"/>
        <w:numPr>
          <w:ilvl w:val="0"/>
          <w:numId w:val="33"/>
        </w:numPr>
      </w:pPr>
      <w:r>
        <w:t xml:space="preserve">the percentages of existing and new packaging for which the </w:t>
      </w:r>
      <w:r w:rsidR="00962BC8">
        <w:t>brand owner</w:t>
      </w:r>
      <w:r>
        <w:t xml:space="preserve"> is responsible that is reviewed using the Sustainable Packaging Guidelines</w:t>
      </w:r>
      <w:r w:rsidR="00BA2BEC">
        <w:t>;</w:t>
      </w:r>
      <w:r w:rsidR="00F750CF">
        <w:t xml:space="preserve"> and</w:t>
      </w:r>
    </w:p>
    <w:p w14:paraId="51D17692" w14:textId="0CA596F8" w:rsidR="002A31A0" w:rsidRDefault="002A31A0" w:rsidP="009A7315">
      <w:pPr>
        <w:pStyle w:val="ListParagraph"/>
        <w:numPr>
          <w:ilvl w:val="0"/>
          <w:numId w:val="33"/>
        </w:numPr>
      </w:pPr>
      <w:r>
        <w:t>any improvements made to the design of that packaging</w:t>
      </w:r>
      <w:r w:rsidR="00BA2BEC">
        <w:t>; and</w:t>
      </w:r>
    </w:p>
    <w:p w14:paraId="088EB1D7" w14:textId="774FCDB7" w:rsidR="002A31A0" w:rsidRDefault="002A31A0" w:rsidP="009A7315">
      <w:pPr>
        <w:pStyle w:val="ListParagraph"/>
        <w:numPr>
          <w:ilvl w:val="0"/>
          <w:numId w:val="33"/>
        </w:numPr>
      </w:pPr>
      <w:r>
        <w:t xml:space="preserve">any measures that the </w:t>
      </w:r>
      <w:r w:rsidR="00962BC8">
        <w:t>brand owner</w:t>
      </w:r>
      <w:r>
        <w:t xml:space="preserve"> takes to ensure a continuous reduction in the number of packaging items in the litter stream</w:t>
      </w:r>
      <w:r w:rsidR="00BA2BEC">
        <w:t>.</w:t>
      </w:r>
    </w:p>
    <w:p w14:paraId="65492A7E" w14:textId="797D7C62" w:rsidR="002A31A0" w:rsidRDefault="002A31A0" w:rsidP="002A31A0">
      <w:r>
        <w:t xml:space="preserve">A </w:t>
      </w:r>
      <w:r w:rsidR="009B2D7E">
        <w:t>brand owner</w:t>
      </w:r>
      <w:r>
        <w:t xml:space="preserve"> who is required to keep records under this </w:t>
      </w:r>
      <w:r w:rsidR="009B2D7E">
        <w:t>Code of Practice</w:t>
      </w:r>
      <w:r>
        <w:t xml:space="preserve"> must:</w:t>
      </w:r>
    </w:p>
    <w:p w14:paraId="32A730A8" w14:textId="21BF6B69" w:rsidR="00F0307F" w:rsidRDefault="00F0307F" w:rsidP="009A7315">
      <w:pPr>
        <w:pStyle w:val="ListParagraph"/>
        <w:numPr>
          <w:ilvl w:val="0"/>
          <w:numId w:val="35"/>
        </w:numPr>
      </w:pPr>
      <w:r>
        <w:t>submit these records quarterly via the Territory’s reporting systems;</w:t>
      </w:r>
      <w:r w:rsidR="00F750CF">
        <w:t xml:space="preserve"> and</w:t>
      </w:r>
    </w:p>
    <w:p w14:paraId="3CAD6F06" w14:textId="6F76910A" w:rsidR="009B2D7E" w:rsidRDefault="002A31A0" w:rsidP="009A7315">
      <w:pPr>
        <w:pStyle w:val="ListParagraph"/>
        <w:numPr>
          <w:ilvl w:val="0"/>
          <w:numId w:val="35"/>
        </w:numPr>
      </w:pPr>
      <w:r>
        <w:t>ensure that those records are retained for at least 5 years</w:t>
      </w:r>
      <w:r w:rsidR="009B2D7E">
        <w:t xml:space="preserve"> from the date the records were made and make such records available for inspection by an authorised officer of the Territory on request</w:t>
      </w:r>
      <w:r w:rsidR="00753C7E">
        <w:t>; and</w:t>
      </w:r>
    </w:p>
    <w:p w14:paraId="37A7A751" w14:textId="1E083A33" w:rsidR="002A31A0" w:rsidRDefault="002A31A0" w:rsidP="009A7315">
      <w:pPr>
        <w:pStyle w:val="ListParagraph"/>
        <w:numPr>
          <w:ilvl w:val="0"/>
          <w:numId w:val="35"/>
        </w:numPr>
      </w:pPr>
      <w:r>
        <w:t>make those records available for inspection and copying by an authorised officer on request.</w:t>
      </w:r>
    </w:p>
    <w:p w14:paraId="2F2649DD" w14:textId="40328EFA" w:rsidR="002A31A0" w:rsidRDefault="002A31A0" w:rsidP="002A31A0">
      <w:r>
        <w:t>In this clause:</w:t>
      </w:r>
    </w:p>
    <w:p w14:paraId="6AEC60BA" w14:textId="6D49A3FD" w:rsidR="002A31A0" w:rsidRDefault="002A31A0" w:rsidP="009A7315">
      <w:pPr>
        <w:pStyle w:val="ListParagraph"/>
        <w:numPr>
          <w:ilvl w:val="0"/>
          <w:numId w:val="36"/>
        </w:numPr>
      </w:pPr>
      <w:r>
        <w:t xml:space="preserve">financial year, in relation to the keeping and retention of records by a </w:t>
      </w:r>
      <w:r w:rsidR="00962BC8">
        <w:t>brand owner</w:t>
      </w:r>
      <w:r>
        <w:t>, means:</w:t>
      </w:r>
    </w:p>
    <w:p w14:paraId="0947AE51" w14:textId="54B86A5D" w:rsidR="002A31A0" w:rsidRDefault="002A31A0" w:rsidP="009A7315">
      <w:pPr>
        <w:pStyle w:val="ListParagraph"/>
        <w:numPr>
          <w:ilvl w:val="1"/>
          <w:numId w:val="37"/>
        </w:numPr>
      </w:pPr>
      <w:r>
        <w:t xml:space="preserve">in the case of a </w:t>
      </w:r>
      <w:r w:rsidR="00962BC8">
        <w:t>brand owner</w:t>
      </w:r>
      <w:r>
        <w:t xml:space="preserve"> that is a company—a financial year of the company</w:t>
      </w:r>
      <w:r w:rsidR="00F750CF">
        <w:t>;</w:t>
      </w:r>
      <w:r>
        <w:t xml:space="preserve"> or</w:t>
      </w:r>
    </w:p>
    <w:p w14:paraId="6C60B0D8" w14:textId="2B7527C3" w:rsidR="002A31A0" w:rsidRDefault="002A31A0" w:rsidP="009A7315">
      <w:pPr>
        <w:pStyle w:val="ListParagraph"/>
        <w:numPr>
          <w:ilvl w:val="1"/>
          <w:numId w:val="37"/>
        </w:numPr>
      </w:pPr>
      <w:r>
        <w:t>in any other case—the period of 12 months commencing on 1 July in any year.</w:t>
      </w:r>
    </w:p>
    <w:p w14:paraId="2B5495A5" w14:textId="5C9DAB84" w:rsidR="00AD49A7" w:rsidRPr="0050698F" w:rsidRDefault="00AD49A7" w:rsidP="00AD49A7">
      <w:pPr>
        <w:pStyle w:val="Heading1"/>
      </w:pPr>
      <w:bookmarkStart w:id="29" w:name="_Enforcement_of_the"/>
      <w:bookmarkStart w:id="30" w:name="_Toc47358565"/>
      <w:bookmarkStart w:id="31" w:name="_Toc47358577"/>
      <w:bookmarkEnd w:id="29"/>
      <w:r w:rsidRPr="0050698F">
        <w:lastRenderedPageBreak/>
        <w:t>Enforcement of the Code of Practice</w:t>
      </w:r>
      <w:bookmarkEnd w:id="30"/>
    </w:p>
    <w:p w14:paraId="66FD9755" w14:textId="77777777" w:rsidR="00AD49A7" w:rsidRDefault="00AD49A7" w:rsidP="00AD49A7">
      <w:pPr>
        <w:pStyle w:val="Heading2"/>
      </w:pPr>
      <w:bookmarkStart w:id="32" w:name="_Toc47358566"/>
      <w:r>
        <w:t>Failure to comply</w:t>
      </w:r>
      <w:bookmarkEnd w:id="32"/>
    </w:p>
    <w:p w14:paraId="29A38128" w14:textId="7B7C4E2A" w:rsidR="00AD49A7" w:rsidRDefault="00AD49A7" w:rsidP="00AD49A7">
      <w:r>
        <w:t>A failure to comply with the Code of Practice includes a failure to meet any of the requirements of the brand owner’s waste action plan, to the extent that a waste action plan relates to a brand owner’s obligations.</w:t>
      </w:r>
    </w:p>
    <w:p w14:paraId="009E96E1" w14:textId="77777777" w:rsidR="00AD49A7" w:rsidRDefault="00AD49A7" w:rsidP="00AD49A7">
      <w:pPr>
        <w:pStyle w:val="Heading2"/>
      </w:pPr>
      <w:bookmarkStart w:id="33" w:name="_Toc47358567"/>
      <w:r>
        <w:t>Written direction</w:t>
      </w:r>
      <w:bookmarkEnd w:id="33"/>
    </w:p>
    <w:p w14:paraId="5F0EE3D1" w14:textId="4991FD50" w:rsidR="00AD49A7" w:rsidRDefault="00AD49A7" w:rsidP="00AD49A7">
      <w:r>
        <w:t xml:space="preserve">The Territory may give a person a written direction to rectify a breach of this Code of Practice under section 62 of the </w:t>
      </w:r>
      <w:r w:rsidR="001951D5" w:rsidRPr="00790BC9">
        <w:rPr>
          <w:i/>
          <w:iCs/>
        </w:rPr>
        <w:t xml:space="preserve">Waste Management and Resource Recovery </w:t>
      </w:r>
      <w:r w:rsidRPr="00790BC9">
        <w:rPr>
          <w:i/>
          <w:iCs/>
        </w:rPr>
        <w:t>Act</w:t>
      </w:r>
      <w:r w:rsidR="001951D5" w:rsidRPr="00790BC9">
        <w:rPr>
          <w:i/>
          <w:iCs/>
        </w:rPr>
        <w:t xml:space="preserve"> 2016</w:t>
      </w:r>
      <w:r w:rsidR="001951D5">
        <w:t xml:space="preserve"> (‘the Act’)</w:t>
      </w:r>
      <w:r>
        <w:t>.  The written direction may include:</w:t>
      </w:r>
    </w:p>
    <w:p w14:paraId="5946BDF7" w14:textId="77777777" w:rsidR="00AD49A7" w:rsidRDefault="00AD49A7" w:rsidP="009A7315">
      <w:pPr>
        <w:pStyle w:val="ListParagraph"/>
        <w:numPr>
          <w:ilvl w:val="0"/>
          <w:numId w:val="38"/>
        </w:numPr>
      </w:pPr>
      <w:r>
        <w:t>directing a brand owner to submit a draft waste action plan if the Territory has not received the draft waste action plan within one month of the date on which this Code of Practice applies to the brand owner; or</w:t>
      </w:r>
    </w:p>
    <w:p w14:paraId="09F28766" w14:textId="77777777" w:rsidR="00AD49A7" w:rsidRDefault="00AD49A7" w:rsidP="009A7315">
      <w:pPr>
        <w:pStyle w:val="ListParagraph"/>
        <w:numPr>
          <w:ilvl w:val="0"/>
          <w:numId w:val="38"/>
        </w:numPr>
      </w:pPr>
      <w:r>
        <w:t>directing the brand owner to resubmit a draft waste action plan if the Territory reasonably believes it is not sufficient to ensure:</w:t>
      </w:r>
    </w:p>
    <w:p w14:paraId="3840FF4A" w14:textId="0E8075AC" w:rsidR="00AD49A7" w:rsidRDefault="00AD49A7" w:rsidP="009A7315">
      <w:pPr>
        <w:pStyle w:val="ListParagraph"/>
        <w:numPr>
          <w:ilvl w:val="1"/>
          <w:numId w:val="39"/>
        </w:numPr>
      </w:pPr>
      <w:r>
        <w:t>that the brand owner will</w:t>
      </w:r>
      <w:r w:rsidR="003F749B">
        <w:t xml:space="preserve"> fulfil their obligations under this Code of Practice or</w:t>
      </w:r>
      <w:r>
        <w:t xml:space="preserve"> comply with Requirement 2; or</w:t>
      </w:r>
    </w:p>
    <w:p w14:paraId="308E8C4E" w14:textId="77777777" w:rsidR="00AD49A7" w:rsidRDefault="00AD49A7" w:rsidP="009A7315">
      <w:pPr>
        <w:pStyle w:val="ListParagraph"/>
        <w:numPr>
          <w:ilvl w:val="1"/>
          <w:numId w:val="39"/>
        </w:numPr>
      </w:pPr>
      <w:r>
        <w:t>a continuous reduction in the number of packaging items in the waste stream in the ACT; or</w:t>
      </w:r>
    </w:p>
    <w:p w14:paraId="67A95EAE" w14:textId="77777777" w:rsidR="00AD49A7" w:rsidRPr="004672B5" w:rsidRDefault="00AD49A7" w:rsidP="009A7315">
      <w:pPr>
        <w:pStyle w:val="ListParagraph"/>
        <w:numPr>
          <w:ilvl w:val="0"/>
          <w:numId w:val="38"/>
        </w:numPr>
      </w:pPr>
      <w:r w:rsidRPr="004672B5">
        <w:t>directing a brand owner to rectify the breach.</w:t>
      </w:r>
    </w:p>
    <w:p w14:paraId="67A22AF3" w14:textId="77777777" w:rsidR="00AD49A7" w:rsidRPr="003F749B" w:rsidRDefault="00AD49A7" w:rsidP="00AD49A7">
      <w:pPr>
        <w:pStyle w:val="Heading2"/>
      </w:pPr>
      <w:bookmarkStart w:id="34" w:name="_Toc47358568"/>
      <w:r w:rsidRPr="003F749B">
        <w:t>Penalties</w:t>
      </w:r>
      <w:bookmarkEnd w:id="34"/>
    </w:p>
    <w:p w14:paraId="5356A224" w14:textId="52C71097" w:rsidR="00AD49A7" w:rsidRPr="003F749B" w:rsidRDefault="00AD49A7" w:rsidP="00AD49A7">
      <w:r w:rsidRPr="003F749B">
        <w:t xml:space="preserve">A failure to comply with a requirement of this Code of Practice is a strict liability offence and is subject to penalties under section 61 of the Act. </w:t>
      </w:r>
    </w:p>
    <w:p w14:paraId="4DCBF99C" w14:textId="77777777" w:rsidR="00AC51D2" w:rsidRDefault="00AD49A7" w:rsidP="00AD49A7">
      <w:r w:rsidRPr="003F749B">
        <w:t xml:space="preserve">A brand owner may be liable for an infringement penalty or prosecution in the ACT Magistrates Court. The infringement penalty for failing to comply with a Code of Practice is set out in the </w:t>
      </w:r>
      <w:r w:rsidRPr="003F749B">
        <w:rPr>
          <w:i/>
          <w:iCs/>
        </w:rPr>
        <w:t>Magistrates Court (Waste Management and Resource Recovery Infringement Notices) Regulation 2017</w:t>
      </w:r>
      <w:r w:rsidRPr="003F749B">
        <w:t>.</w:t>
      </w:r>
      <w:r w:rsidR="001951D5">
        <w:t xml:space="preserve"> </w:t>
      </w:r>
      <w:r w:rsidR="004F4100">
        <w:t>If prosecuted in Court, t</w:t>
      </w:r>
      <w:r w:rsidR="004F4100" w:rsidRPr="003F749B">
        <w:t xml:space="preserve">he value of a penalty unit for an offence against this Code of Practice is set by section 133 of the </w:t>
      </w:r>
      <w:hyperlink r:id="rId11" w:history="1">
        <w:r w:rsidR="004F4100" w:rsidRPr="003F749B">
          <w:rPr>
            <w:rStyle w:val="Hyperlink"/>
            <w:i/>
            <w:iCs/>
          </w:rPr>
          <w:t>Legislation Act 2001</w:t>
        </w:r>
      </w:hyperlink>
      <w:r w:rsidR="004F4100" w:rsidRPr="003F749B">
        <w:t>.</w:t>
      </w:r>
      <w:r w:rsidR="00AC51D2">
        <w:t xml:space="preserve"> </w:t>
      </w:r>
    </w:p>
    <w:p w14:paraId="6708B389" w14:textId="71FB3923" w:rsidR="00AD49A7" w:rsidRPr="003F749B" w:rsidRDefault="00AD49A7" w:rsidP="00AD49A7">
      <w:r w:rsidRPr="003F749B">
        <w:t>Brand owners will not be penalised for failure to discharge their obligations under Requirements 1</w:t>
      </w:r>
      <w:r w:rsidR="00C2767B">
        <w:t xml:space="preserve"> and</w:t>
      </w:r>
      <w:r w:rsidRPr="003F749B">
        <w:t xml:space="preserve"> 2 unless brand owners have first been notified of the need to comply with these requirements and the options for exemption from those requirements, and they have failed to comply with that notice.</w:t>
      </w:r>
    </w:p>
    <w:p w14:paraId="53DC7605" w14:textId="6328866F" w:rsidR="00AD49A7" w:rsidRPr="003F749B" w:rsidRDefault="00AD49A7" w:rsidP="00AD49A7">
      <w:r w:rsidRPr="003F749B">
        <w:t>Brand owners are encouraged to pursue ambitious targets that are higher than those specified in the Code of Practice and to pursue packaging design and packaging reduction activities wider than the scope of the Code of Practice. Brand owners will not be penalised for falling short of ambitious waste action plan targets if they still comply with the minimum standards set out in the Code of Practice.</w:t>
      </w:r>
    </w:p>
    <w:p w14:paraId="15075DE6" w14:textId="77777777" w:rsidR="00AD49A7" w:rsidRPr="003F749B" w:rsidRDefault="00AD49A7" w:rsidP="00AD49A7">
      <w:pPr>
        <w:pStyle w:val="Heading1"/>
      </w:pPr>
      <w:r w:rsidRPr="003F749B">
        <w:t>Confidentiality</w:t>
      </w:r>
    </w:p>
    <w:p w14:paraId="56A9F8FA" w14:textId="77777777" w:rsidR="00AD49A7" w:rsidRPr="003F749B" w:rsidRDefault="00AD49A7" w:rsidP="00AD49A7">
      <w:r w:rsidRPr="003F749B">
        <w:t xml:space="preserve">The Territory will maintain confidentiality of commercially sensitive information given to it by the brand owner and shall not publicly release any information unless: </w:t>
      </w:r>
    </w:p>
    <w:p w14:paraId="51C1600B" w14:textId="77777777" w:rsidR="00AD49A7" w:rsidRPr="003F749B" w:rsidRDefault="00AD49A7" w:rsidP="009A7315">
      <w:pPr>
        <w:pStyle w:val="ListParagraph"/>
        <w:numPr>
          <w:ilvl w:val="0"/>
          <w:numId w:val="40"/>
        </w:numPr>
      </w:pPr>
      <w:r w:rsidRPr="003F749B">
        <w:t xml:space="preserve">the brand owner consents to release of the information, or </w:t>
      </w:r>
    </w:p>
    <w:p w14:paraId="028E5BF1" w14:textId="77777777" w:rsidR="00AD49A7" w:rsidRPr="003F749B" w:rsidRDefault="00AD49A7" w:rsidP="009A7315">
      <w:pPr>
        <w:pStyle w:val="ListParagraph"/>
        <w:numPr>
          <w:ilvl w:val="0"/>
          <w:numId w:val="40"/>
        </w:numPr>
      </w:pPr>
      <w:r w:rsidRPr="003F749B">
        <w:t xml:space="preserve">the Territory is legally required to release it; or </w:t>
      </w:r>
    </w:p>
    <w:p w14:paraId="2A69ED24" w14:textId="77777777" w:rsidR="00AD49A7" w:rsidRPr="003F749B" w:rsidRDefault="00AD49A7" w:rsidP="009A7315">
      <w:pPr>
        <w:pStyle w:val="ListParagraph"/>
        <w:numPr>
          <w:ilvl w:val="0"/>
          <w:numId w:val="40"/>
        </w:numPr>
      </w:pPr>
      <w:r w:rsidRPr="003F749B">
        <w:lastRenderedPageBreak/>
        <w:t xml:space="preserve">the information is aggregated with other information so as to conceal its source; or </w:t>
      </w:r>
    </w:p>
    <w:p w14:paraId="24BA2AC4" w14:textId="4C33C935" w:rsidR="00AD49A7" w:rsidRPr="003F749B" w:rsidRDefault="00AD49A7" w:rsidP="009A7315">
      <w:pPr>
        <w:pStyle w:val="ListParagraph"/>
        <w:numPr>
          <w:ilvl w:val="0"/>
          <w:numId w:val="40"/>
        </w:numPr>
      </w:pPr>
      <w:r w:rsidRPr="003F749B">
        <w:t>it is in the public interest to release it.</w:t>
      </w:r>
    </w:p>
    <w:p w14:paraId="2D1E24D4" w14:textId="4C0E3D30" w:rsidR="004E76D4" w:rsidRPr="0050698F" w:rsidRDefault="004E76D4" w:rsidP="00394DEF">
      <w:pPr>
        <w:pStyle w:val="Heading1"/>
      </w:pPr>
      <w:r w:rsidRPr="0050698F">
        <w:t>Information supplied</w:t>
      </w:r>
      <w:r w:rsidR="00A60F8B" w:rsidRPr="0050698F">
        <w:t xml:space="preserve"> by the Territory</w:t>
      </w:r>
      <w:bookmarkEnd w:id="31"/>
      <w:r w:rsidR="00891363" w:rsidRPr="0050698F">
        <w:t xml:space="preserve"> </w:t>
      </w:r>
    </w:p>
    <w:p w14:paraId="3D58364C" w14:textId="097E31DF" w:rsidR="00BE7FF1" w:rsidRDefault="00BE7FF1" w:rsidP="0001686C">
      <w:r>
        <w:t>The Territory will provide to the National Environment Protection Council, on or before 31 December each year, the following information in a standard reporting format:</w:t>
      </w:r>
    </w:p>
    <w:p w14:paraId="494BDD8D" w14:textId="541601DA" w:rsidR="00BE7FF1" w:rsidRDefault="00AD49A7" w:rsidP="009A7315">
      <w:pPr>
        <w:pStyle w:val="ListParagraph"/>
        <w:numPr>
          <w:ilvl w:val="0"/>
          <w:numId w:val="41"/>
        </w:numPr>
      </w:pPr>
      <w:r>
        <w:t>i</w:t>
      </w:r>
      <w:r w:rsidR="00BE7FF1">
        <w:t>nformation gathered from brand owners whose records have been audited;</w:t>
      </w:r>
      <w:r w:rsidR="00F750CF">
        <w:t xml:space="preserve"> and</w:t>
      </w:r>
    </w:p>
    <w:p w14:paraId="4EBFB7B4" w14:textId="240E5BDD" w:rsidR="00BE7FF1" w:rsidRDefault="00BE7FF1" w:rsidP="009A7315">
      <w:pPr>
        <w:pStyle w:val="ListParagraph"/>
        <w:numPr>
          <w:ilvl w:val="0"/>
          <w:numId w:val="41"/>
        </w:numPr>
      </w:pPr>
      <w:r w:rsidRPr="00261662">
        <w:t xml:space="preserve">information gathered through the conduct of surveys; </w:t>
      </w:r>
      <w:r w:rsidR="00F750CF">
        <w:t>and</w:t>
      </w:r>
    </w:p>
    <w:p w14:paraId="2BF748FC" w14:textId="3771B33C" w:rsidR="00BE7FF1" w:rsidRDefault="00BE7FF1" w:rsidP="009A7315">
      <w:pPr>
        <w:pStyle w:val="ListParagraph"/>
        <w:numPr>
          <w:ilvl w:val="0"/>
          <w:numId w:val="41"/>
        </w:numPr>
      </w:pPr>
      <w:r w:rsidRPr="00261662">
        <w:t xml:space="preserve">information relating to complaints received, investigations </w:t>
      </w:r>
      <w:r w:rsidR="00092584" w:rsidRPr="00261662">
        <w:t>undertaken,</w:t>
      </w:r>
      <w:r w:rsidRPr="00261662">
        <w:t xml:space="preserve"> and prosecutions mounted pursuant to this Plan; and</w:t>
      </w:r>
    </w:p>
    <w:p w14:paraId="7A0F02E0" w14:textId="184EE9E1" w:rsidR="00BE7FF1" w:rsidRDefault="00BE7FF1" w:rsidP="009A7315">
      <w:pPr>
        <w:pStyle w:val="ListParagraph"/>
        <w:numPr>
          <w:ilvl w:val="0"/>
          <w:numId w:val="41"/>
        </w:numPr>
      </w:pPr>
      <w:r w:rsidRPr="00261662">
        <w:t>a statement of interpretation of the information.</w:t>
      </w:r>
    </w:p>
    <w:p w14:paraId="302AD24B" w14:textId="6BCB2BC7" w:rsidR="00261662" w:rsidRDefault="00BE7FF1" w:rsidP="0001686C">
      <w:r>
        <w:t>The purpose of providing this information is f</w:t>
      </w:r>
      <w:r w:rsidR="00261662" w:rsidRPr="00261662">
        <w:t>or</w:t>
      </w:r>
      <w:r w:rsidR="00962BC8">
        <w:t xml:space="preserve"> </w:t>
      </w:r>
      <w:r w:rsidR="00E57CFB">
        <w:t xml:space="preserve">the </w:t>
      </w:r>
      <w:r w:rsidR="00962BC8">
        <w:t xml:space="preserve">National Environment Protection </w:t>
      </w:r>
      <w:r w:rsidR="00261662" w:rsidRPr="00261662">
        <w:t>Council to be able to publish a statement of overall national performance</w:t>
      </w:r>
      <w:r w:rsidR="00092584">
        <w:t>.</w:t>
      </w:r>
      <w:r w:rsidR="00261662" w:rsidRPr="00261662">
        <w:t xml:space="preserve"> </w:t>
      </w:r>
    </w:p>
    <w:p w14:paraId="214244C9" w14:textId="50D5B595" w:rsidR="004E76D4" w:rsidRPr="0050698F" w:rsidRDefault="004E76D4" w:rsidP="00394DEF">
      <w:pPr>
        <w:pStyle w:val="Heading1"/>
      </w:pPr>
      <w:bookmarkStart w:id="35" w:name="_Toc47358578"/>
      <w:r w:rsidRPr="0050698F">
        <w:t>Dependence on the Covenant</w:t>
      </w:r>
      <w:bookmarkEnd w:id="35"/>
      <w:r w:rsidRPr="0050698F">
        <w:t xml:space="preserve"> </w:t>
      </w:r>
    </w:p>
    <w:p w14:paraId="079A4A8B" w14:textId="77777777" w:rsidR="007A4DB8" w:rsidRDefault="00DD18C2" w:rsidP="007A4DB8">
      <w:r w:rsidRPr="00DD18C2">
        <w:t xml:space="preserve">This </w:t>
      </w:r>
      <w:r w:rsidR="008C2C3D">
        <w:t>Code of Practice</w:t>
      </w:r>
      <w:r w:rsidRPr="00DD18C2">
        <w:t xml:space="preserve"> will have no effect if</w:t>
      </w:r>
      <w:r w:rsidR="007A4DB8">
        <w:t xml:space="preserve"> </w:t>
      </w:r>
      <w:r w:rsidRPr="00DD18C2">
        <w:t>the Covenant ceases to be in force</w:t>
      </w:r>
      <w:r w:rsidR="007A4DB8">
        <w:t>.</w:t>
      </w:r>
    </w:p>
    <w:p w14:paraId="11402E8A" w14:textId="014441B8" w:rsidR="005E1CA0" w:rsidRPr="006B1347" w:rsidRDefault="00BE7FF1" w:rsidP="00A768D6">
      <w:r w:rsidRPr="006B1347">
        <w:t>This Code of Practice continues to be in</w:t>
      </w:r>
      <w:r>
        <w:t xml:space="preserve"> force if the UPM NEPM is revoked, varied or replaced by the </w:t>
      </w:r>
      <w:r w:rsidRPr="006B1347">
        <w:rPr>
          <w:i/>
          <w:iCs/>
        </w:rPr>
        <w:t>National Environment Protection Council Act 1994</w:t>
      </w:r>
      <w:r>
        <w:t xml:space="preserve">, except to the extent of any inconsistences with the UPM NEPM. </w:t>
      </w:r>
    </w:p>
    <w:p w14:paraId="40569A6F" w14:textId="0B62D389" w:rsidR="002A3863" w:rsidRPr="002A3863" w:rsidRDefault="002A3863">
      <w:pPr>
        <w:rPr>
          <w:b/>
          <w:bCs/>
        </w:rPr>
      </w:pPr>
    </w:p>
    <w:sectPr w:rsidR="002A3863" w:rsidRPr="002A3863" w:rsidSect="00DB76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C63B7" w14:textId="77777777" w:rsidR="00747F13" w:rsidRDefault="00747F13" w:rsidP="006808D5">
      <w:pPr>
        <w:spacing w:after="0" w:line="240" w:lineRule="auto"/>
      </w:pPr>
      <w:r>
        <w:separator/>
      </w:r>
    </w:p>
  </w:endnote>
  <w:endnote w:type="continuationSeparator" w:id="0">
    <w:p w14:paraId="3396FBDF" w14:textId="77777777" w:rsidR="00747F13" w:rsidRDefault="00747F13" w:rsidP="0068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A15C" w14:textId="77777777" w:rsidR="00CB5F32" w:rsidRDefault="00CB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FB7F" w14:textId="74A29F67" w:rsidR="00CB5F32" w:rsidRPr="00CB5F32" w:rsidRDefault="00CB5F32" w:rsidP="00CB5F32">
    <w:pPr>
      <w:pStyle w:val="Footer"/>
      <w:jc w:val="center"/>
      <w:rPr>
        <w:rFonts w:ascii="Arial" w:hAnsi="Arial" w:cs="Arial"/>
        <w:sz w:val="14"/>
      </w:rPr>
    </w:pPr>
    <w:r w:rsidRPr="00CB5F3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12A8" w14:textId="77777777" w:rsidR="00CB5F32" w:rsidRDefault="00CB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B1497" w14:textId="77777777" w:rsidR="00747F13" w:rsidRDefault="00747F13" w:rsidP="006808D5">
      <w:pPr>
        <w:spacing w:after="0" w:line="240" w:lineRule="auto"/>
      </w:pPr>
      <w:r>
        <w:separator/>
      </w:r>
    </w:p>
  </w:footnote>
  <w:footnote w:type="continuationSeparator" w:id="0">
    <w:p w14:paraId="6BB270AD" w14:textId="77777777" w:rsidR="00747F13" w:rsidRDefault="00747F13" w:rsidP="0068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04D1" w14:textId="77777777" w:rsidR="00CB5F32" w:rsidRDefault="00CB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DB0B" w14:textId="77777777" w:rsidR="00CB5F32" w:rsidRDefault="00CB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75B9" w14:textId="77777777" w:rsidR="00CB5F32" w:rsidRDefault="00CB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3B2"/>
    <w:multiLevelType w:val="hybridMultilevel"/>
    <w:tmpl w:val="9C8418A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08E3"/>
    <w:multiLevelType w:val="hybridMultilevel"/>
    <w:tmpl w:val="45623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E408E"/>
    <w:multiLevelType w:val="hybridMultilevel"/>
    <w:tmpl w:val="7C98562C"/>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45367"/>
    <w:multiLevelType w:val="hybridMultilevel"/>
    <w:tmpl w:val="DB3E606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84D27"/>
    <w:multiLevelType w:val="hybridMultilevel"/>
    <w:tmpl w:val="233865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2D3617"/>
    <w:multiLevelType w:val="hybridMultilevel"/>
    <w:tmpl w:val="866C4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45440"/>
    <w:multiLevelType w:val="hybridMultilevel"/>
    <w:tmpl w:val="C8D05B3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D4469"/>
    <w:multiLevelType w:val="hybridMultilevel"/>
    <w:tmpl w:val="6DACC12E"/>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1868F5"/>
    <w:multiLevelType w:val="hybridMultilevel"/>
    <w:tmpl w:val="B13CFC8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444815"/>
    <w:multiLevelType w:val="hybridMultilevel"/>
    <w:tmpl w:val="238407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4E4EC1"/>
    <w:multiLevelType w:val="hybridMultilevel"/>
    <w:tmpl w:val="01C09E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8C1162"/>
    <w:multiLevelType w:val="hybridMultilevel"/>
    <w:tmpl w:val="022E0358"/>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CE31AF"/>
    <w:multiLevelType w:val="hybridMultilevel"/>
    <w:tmpl w:val="807EF2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4A6BC4"/>
    <w:multiLevelType w:val="hybridMultilevel"/>
    <w:tmpl w:val="0C8EF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1401F"/>
    <w:multiLevelType w:val="hybridMultilevel"/>
    <w:tmpl w:val="1FF2C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2052DF"/>
    <w:multiLevelType w:val="hybridMultilevel"/>
    <w:tmpl w:val="0F381B7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F37567"/>
    <w:multiLevelType w:val="hybridMultilevel"/>
    <w:tmpl w:val="60528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D453C"/>
    <w:multiLevelType w:val="hybridMultilevel"/>
    <w:tmpl w:val="831E7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773991"/>
    <w:multiLevelType w:val="hybridMultilevel"/>
    <w:tmpl w:val="8486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812CA"/>
    <w:multiLevelType w:val="hybridMultilevel"/>
    <w:tmpl w:val="2278A54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B5D90"/>
    <w:multiLevelType w:val="hybridMultilevel"/>
    <w:tmpl w:val="3CE804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44245B7E"/>
    <w:multiLevelType w:val="hybridMultilevel"/>
    <w:tmpl w:val="6F9AFF3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43EE6"/>
    <w:multiLevelType w:val="hybridMultilevel"/>
    <w:tmpl w:val="937C96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C307B6"/>
    <w:multiLevelType w:val="hybridMultilevel"/>
    <w:tmpl w:val="F182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8759E"/>
    <w:multiLevelType w:val="hybridMultilevel"/>
    <w:tmpl w:val="FF144956"/>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6E2519"/>
    <w:multiLevelType w:val="hybridMultilevel"/>
    <w:tmpl w:val="ECD678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43106B"/>
    <w:multiLevelType w:val="hybridMultilevel"/>
    <w:tmpl w:val="F3B4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C733DE"/>
    <w:multiLevelType w:val="hybridMultilevel"/>
    <w:tmpl w:val="FE021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C81273"/>
    <w:multiLevelType w:val="hybridMultilevel"/>
    <w:tmpl w:val="16DEB0C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2178B8"/>
    <w:multiLevelType w:val="hybridMultilevel"/>
    <w:tmpl w:val="D7545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62964"/>
    <w:multiLevelType w:val="hybridMultilevel"/>
    <w:tmpl w:val="3B301D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C13DBB"/>
    <w:multiLevelType w:val="hybridMultilevel"/>
    <w:tmpl w:val="DAD4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334149"/>
    <w:multiLevelType w:val="hybridMultilevel"/>
    <w:tmpl w:val="B2C491B0"/>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E95BB1"/>
    <w:multiLevelType w:val="hybridMultilevel"/>
    <w:tmpl w:val="DFB60C4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320A0"/>
    <w:multiLevelType w:val="hybridMultilevel"/>
    <w:tmpl w:val="1A184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3B7CCB"/>
    <w:multiLevelType w:val="hybridMultilevel"/>
    <w:tmpl w:val="7082C5D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AB52B4"/>
    <w:multiLevelType w:val="hybridMultilevel"/>
    <w:tmpl w:val="0FA81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9C3E92"/>
    <w:multiLevelType w:val="hybridMultilevel"/>
    <w:tmpl w:val="5108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F7402"/>
    <w:multiLevelType w:val="hybridMultilevel"/>
    <w:tmpl w:val="5E58E9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372D33"/>
    <w:multiLevelType w:val="hybridMultilevel"/>
    <w:tmpl w:val="84566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E7364"/>
    <w:multiLevelType w:val="hybridMultilevel"/>
    <w:tmpl w:val="466C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4"/>
  </w:num>
  <w:num w:numId="4">
    <w:abstractNumId w:val="30"/>
  </w:num>
  <w:num w:numId="5">
    <w:abstractNumId w:val="37"/>
  </w:num>
  <w:num w:numId="6">
    <w:abstractNumId w:val="17"/>
  </w:num>
  <w:num w:numId="7">
    <w:abstractNumId w:val="22"/>
  </w:num>
  <w:num w:numId="8">
    <w:abstractNumId w:val="10"/>
  </w:num>
  <w:num w:numId="9">
    <w:abstractNumId w:val="3"/>
  </w:num>
  <w:num w:numId="10">
    <w:abstractNumId w:val="11"/>
  </w:num>
  <w:num w:numId="11">
    <w:abstractNumId w:val="39"/>
  </w:num>
  <w:num w:numId="12">
    <w:abstractNumId w:val="13"/>
  </w:num>
  <w:num w:numId="13">
    <w:abstractNumId w:val="27"/>
  </w:num>
  <w:num w:numId="14">
    <w:abstractNumId w:val="34"/>
  </w:num>
  <w:num w:numId="15">
    <w:abstractNumId w:val="31"/>
  </w:num>
  <w:num w:numId="16">
    <w:abstractNumId w:val="16"/>
  </w:num>
  <w:num w:numId="17">
    <w:abstractNumId w:val="23"/>
  </w:num>
  <w:num w:numId="18">
    <w:abstractNumId w:val="5"/>
  </w:num>
  <w:num w:numId="19">
    <w:abstractNumId w:val="1"/>
  </w:num>
  <w:num w:numId="20">
    <w:abstractNumId w:val="26"/>
  </w:num>
  <w:num w:numId="21">
    <w:abstractNumId w:val="40"/>
  </w:num>
  <w:num w:numId="22">
    <w:abstractNumId w:val="14"/>
  </w:num>
  <w:num w:numId="23">
    <w:abstractNumId w:val="36"/>
  </w:num>
  <w:num w:numId="24">
    <w:abstractNumId w:val="12"/>
  </w:num>
  <w:num w:numId="25">
    <w:abstractNumId w:val="29"/>
  </w:num>
  <w:num w:numId="26">
    <w:abstractNumId w:val="20"/>
  </w:num>
  <w:num w:numId="27">
    <w:abstractNumId w:val="18"/>
  </w:num>
  <w:num w:numId="28">
    <w:abstractNumId w:val="19"/>
  </w:num>
  <w:num w:numId="29">
    <w:abstractNumId w:val="21"/>
  </w:num>
  <w:num w:numId="30">
    <w:abstractNumId w:val="7"/>
  </w:num>
  <w:num w:numId="31">
    <w:abstractNumId w:val="28"/>
  </w:num>
  <w:num w:numId="32">
    <w:abstractNumId w:val="33"/>
  </w:num>
  <w:num w:numId="33">
    <w:abstractNumId w:val="38"/>
  </w:num>
  <w:num w:numId="34">
    <w:abstractNumId w:val="32"/>
  </w:num>
  <w:num w:numId="35">
    <w:abstractNumId w:val="8"/>
  </w:num>
  <w:num w:numId="36">
    <w:abstractNumId w:val="6"/>
  </w:num>
  <w:num w:numId="37">
    <w:abstractNumId w:val="2"/>
  </w:num>
  <w:num w:numId="38">
    <w:abstractNumId w:val="0"/>
  </w:num>
  <w:num w:numId="39">
    <w:abstractNumId w:val="24"/>
  </w:num>
  <w:num w:numId="40">
    <w:abstractNumId w:val="35"/>
  </w:num>
  <w:num w:numId="4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1E"/>
    <w:rsid w:val="00001712"/>
    <w:rsid w:val="0001686C"/>
    <w:rsid w:val="00030890"/>
    <w:rsid w:val="00034A92"/>
    <w:rsid w:val="00044C25"/>
    <w:rsid w:val="00054184"/>
    <w:rsid w:val="00070F2F"/>
    <w:rsid w:val="00072EA1"/>
    <w:rsid w:val="0007785D"/>
    <w:rsid w:val="00083B12"/>
    <w:rsid w:val="00083EE1"/>
    <w:rsid w:val="000841FD"/>
    <w:rsid w:val="000856AB"/>
    <w:rsid w:val="000873C8"/>
    <w:rsid w:val="00091BBE"/>
    <w:rsid w:val="00092584"/>
    <w:rsid w:val="0009487F"/>
    <w:rsid w:val="000C256B"/>
    <w:rsid w:val="000D2C13"/>
    <w:rsid w:val="000D5DEE"/>
    <w:rsid w:val="000F27B4"/>
    <w:rsid w:val="0010407F"/>
    <w:rsid w:val="001176F3"/>
    <w:rsid w:val="001262F7"/>
    <w:rsid w:val="001426AA"/>
    <w:rsid w:val="00151EE6"/>
    <w:rsid w:val="001534A0"/>
    <w:rsid w:val="0015794E"/>
    <w:rsid w:val="001636BC"/>
    <w:rsid w:val="00166146"/>
    <w:rsid w:val="00173FA1"/>
    <w:rsid w:val="00174CD6"/>
    <w:rsid w:val="00180AB9"/>
    <w:rsid w:val="00183BA0"/>
    <w:rsid w:val="00186523"/>
    <w:rsid w:val="00190EAF"/>
    <w:rsid w:val="001930D6"/>
    <w:rsid w:val="001951D5"/>
    <w:rsid w:val="001A0AF9"/>
    <w:rsid w:val="001A19C4"/>
    <w:rsid w:val="001B0961"/>
    <w:rsid w:val="001B3B69"/>
    <w:rsid w:val="001C4D82"/>
    <w:rsid w:val="001E12F4"/>
    <w:rsid w:val="001E6520"/>
    <w:rsid w:val="001F7D9C"/>
    <w:rsid w:val="0021790C"/>
    <w:rsid w:val="0022203E"/>
    <w:rsid w:val="00235B3D"/>
    <w:rsid w:val="00246E04"/>
    <w:rsid w:val="0025390E"/>
    <w:rsid w:val="00261662"/>
    <w:rsid w:val="00273892"/>
    <w:rsid w:val="00277F88"/>
    <w:rsid w:val="002A31A0"/>
    <w:rsid w:val="002A3863"/>
    <w:rsid w:val="002C6D79"/>
    <w:rsid w:val="002E0AE0"/>
    <w:rsid w:val="00302DFA"/>
    <w:rsid w:val="003227FB"/>
    <w:rsid w:val="0034536F"/>
    <w:rsid w:val="0037186F"/>
    <w:rsid w:val="00382C84"/>
    <w:rsid w:val="00394DEF"/>
    <w:rsid w:val="0039715A"/>
    <w:rsid w:val="00397E42"/>
    <w:rsid w:val="003A07AA"/>
    <w:rsid w:val="003A2D1E"/>
    <w:rsid w:val="003B020B"/>
    <w:rsid w:val="003C5827"/>
    <w:rsid w:val="003F54C3"/>
    <w:rsid w:val="003F749B"/>
    <w:rsid w:val="00400365"/>
    <w:rsid w:val="004100F2"/>
    <w:rsid w:val="004146F9"/>
    <w:rsid w:val="00431ECF"/>
    <w:rsid w:val="00433A41"/>
    <w:rsid w:val="00446DDD"/>
    <w:rsid w:val="004672B5"/>
    <w:rsid w:val="004854F3"/>
    <w:rsid w:val="00487507"/>
    <w:rsid w:val="00493C0C"/>
    <w:rsid w:val="004A3CC5"/>
    <w:rsid w:val="004A6FDB"/>
    <w:rsid w:val="004B32A7"/>
    <w:rsid w:val="004B7044"/>
    <w:rsid w:val="004C45E6"/>
    <w:rsid w:val="004C5CC6"/>
    <w:rsid w:val="004D61EB"/>
    <w:rsid w:val="004E6BE1"/>
    <w:rsid w:val="004E76D4"/>
    <w:rsid w:val="004F24F8"/>
    <w:rsid w:val="004F4100"/>
    <w:rsid w:val="00500EB5"/>
    <w:rsid w:val="0050698F"/>
    <w:rsid w:val="00514E05"/>
    <w:rsid w:val="00521638"/>
    <w:rsid w:val="00545B2C"/>
    <w:rsid w:val="0054723C"/>
    <w:rsid w:val="00550683"/>
    <w:rsid w:val="00554C3F"/>
    <w:rsid w:val="005672A4"/>
    <w:rsid w:val="00572461"/>
    <w:rsid w:val="00576ED8"/>
    <w:rsid w:val="00577C1C"/>
    <w:rsid w:val="005847BE"/>
    <w:rsid w:val="005A15BC"/>
    <w:rsid w:val="005A3FBE"/>
    <w:rsid w:val="005C1922"/>
    <w:rsid w:val="005C79A3"/>
    <w:rsid w:val="005D31C0"/>
    <w:rsid w:val="005E0C7D"/>
    <w:rsid w:val="005E1CA0"/>
    <w:rsid w:val="005F3191"/>
    <w:rsid w:val="006000CA"/>
    <w:rsid w:val="006268F0"/>
    <w:rsid w:val="00635D01"/>
    <w:rsid w:val="00637A17"/>
    <w:rsid w:val="00651FB4"/>
    <w:rsid w:val="00660B2B"/>
    <w:rsid w:val="00662BF1"/>
    <w:rsid w:val="006741D0"/>
    <w:rsid w:val="006808D5"/>
    <w:rsid w:val="006A2C43"/>
    <w:rsid w:val="006A3AB2"/>
    <w:rsid w:val="006A7297"/>
    <w:rsid w:val="006A7325"/>
    <w:rsid w:val="006B1347"/>
    <w:rsid w:val="006C516A"/>
    <w:rsid w:val="006D1A59"/>
    <w:rsid w:val="006D44B4"/>
    <w:rsid w:val="006E6759"/>
    <w:rsid w:val="006F4D88"/>
    <w:rsid w:val="0072123A"/>
    <w:rsid w:val="00722C2B"/>
    <w:rsid w:val="00723A93"/>
    <w:rsid w:val="00747F13"/>
    <w:rsid w:val="007519C4"/>
    <w:rsid w:val="007524A1"/>
    <w:rsid w:val="00753C7E"/>
    <w:rsid w:val="00767924"/>
    <w:rsid w:val="0077792B"/>
    <w:rsid w:val="00786D48"/>
    <w:rsid w:val="00787AE9"/>
    <w:rsid w:val="00790BC9"/>
    <w:rsid w:val="00792F56"/>
    <w:rsid w:val="007953EA"/>
    <w:rsid w:val="007A4DB8"/>
    <w:rsid w:val="007A61F6"/>
    <w:rsid w:val="007C5D8B"/>
    <w:rsid w:val="007D3FCF"/>
    <w:rsid w:val="007E7CB0"/>
    <w:rsid w:val="007F7C06"/>
    <w:rsid w:val="00801D9F"/>
    <w:rsid w:val="00804029"/>
    <w:rsid w:val="00830AD7"/>
    <w:rsid w:val="00833A59"/>
    <w:rsid w:val="00835410"/>
    <w:rsid w:val="0085366E"/>
    <w:rsid w:val="00857C79"/>
    <w:rsid w:val="008622C7"/>
    <w:rsid w:val="008649E4"/>
    <w:rsid w:val="00865C44"/>
    <w:rsid w:val="00866EFB"/>
    <w:rsid w:val="00870085"/>
    <w:rsid w:val="00875CAE"/>
    <w:rsid w:val="008855EF"/>
    <w:rsid w:val="00886F0C"/>
    <w:rsid w:val="00891363"/>
    <w:rsid w:val="00895D37"/>
    <w:rsid w:val="00896F97"/>
    <w:rsid w:val="008A763B"/>
    <w:rsid w:val="008C1039"/>
    <w:rsid w:val="008C1F82"/>
    <w:rsid w:val="008C2C3D"/>
    <w:rsid w:val="008C531B"/>
    <w:rsid w:val="008C6046"/>
    <w:rsid w:val="008E3CCD"/>
    <w:rsid w:val="008F0BF2"/>
    <w:rsid w:val="00925E56"/>
    <w:rsid w:val="009314D2"/>
    <w:rsid w:val="00940D9C"/>
    <w:rsid w:val="00944246"/>
    <w:rsid w:val="00950A7F"/>
    <w:rsid w:val="009549CE"/>
    <w:rsid w:val="00956464"/>
    <w:rsid w:val="00962BC8"/>
    <w:rsid w:val="0096530F"/>
    <w:rsid w:val="00970DD8"/>
    <w:rsid w:val="00972694"/>
    <w:rsid w:val="00980707"/>
    <w:rsid w:val="009847D4"/>
    <w:rsid w:val="00985E28"/>
    <w:rsid w:val="00986789"/>
    <w:rsid w:val="00990CE0"/>
    <w:rsid w:val="00990F47"/>
    <w:rsid w:val="009A7315"/>
    <w:rsid w:val="009B2D7E"/>
    <w:rsid w:val="009B53EB"/>
    <w:rsid w:val="009B5D81"/>
    <w:rsid w:val="009D2CE1"/>
    <w:rsid w:val="009D6A7F"/>
    <w:rsid w:val="009F64E5"/>
    <w:rsid w:val="00A069AE"/>
    <w:rsid w:val="00A13B42"/>
    <w:rsid w:val="00A141E3"/>
    <w:rsid w:val="00A173DC"/>
    <w:rsid w:val="00A35A1A"/>
    <w:rsid w:val="00A60F8B"/>
    <w:rsid w:val="00A6674B"/>
    <w:rsid w:val="00A7385A"/>
    <w:rsid w:val="00A768D6"/>
    <w:rsid w:val="00A844E9"/>
    <w:rsid w:val="00A906FE"/>
    <w:rsid w:val="00A97EC8"/>
    <w:rsid w:val="00AA54A9"/>
    <w:rsid w:val="00AA712A"/>
    <w:rsid w:val="00AA79E7"/>
    <w:rsid w:val="00AB5945"/>
    <w:rsid w:val="00AC3624"/>
    <w:rsid w:val="00AC414E"/>
    <w:rsid w:val="00AC51D2"/>
    <w:rsid w:val="00AD49A7"/>
    <w:rsid w:val="00AD51DD"/>
    <w:rsid w:val="00AF1DA1"/>
    <w:rsid w:val="00B014FC"/>
    <w:rsid w:val="00B02E6B"/>
    <w:rsid w:val="00B05E7A"/>
    <w:rsid w:val="00B12237"/>
    <w:rsid w:val="00B261A8"/>
    <w:rsid w:val="00B2661E"/>
    <w:rsid w:val="00B4030F"/>
    <w:rsid w:val="00B50005"/>
    <w:rsid w:val="00B92CC1"/>
    <w:rsid w:val="00BA2BEC"/>
    <w:rsid w:val="00BB14AB"/>
    <w:rsid w:val="00BB5564"/>
    <w:rsid w:val="00BC232D"/>
    <w:rsid w:val="00BD7514"/>
    <w:rsid w:val="00BE068A"/>
    <w:rsid w:val="00BE215B"/>
    <w:rsid w:val="00BE3978"/>
    <w:rsid w:val="00BE7FF1"/>
    <w:rsid w:val="00BF3BDC"/>
    <w:rsid w:val="00C006DB"/>
    <w:rsid w:val="00C02889"/>
    <w:rsid w:val="00C2767B"/>
    <w:rsid w:val="00C2798A"/>
    <w:rsid w:val="00C517FA"/>
    <w:rsid w:val="00C52E2C"/>
    <w:rsid w:val="00C5369E"/>
    <w:rsid w:val="00C6018B"/>
    <w:rsid w:val="00C946EC"/>
    <w:rsid w:val="00CA6946"/>
    <w:rsid w:val="00CB229C"/>
    <w:rsid w:val="00CB5F32"/>
    <w:rsid w:val="00CB72F9"/>
    <w:rsid w:val="00CC53A5"/>
    <w:rsid w:val="00CC7031"/>
    <w:rsid w:val="00CD140A"/>
    <w:rsid w:val="00CE076C"/>
    <w:rsid w:val="00CE22DF"/>
    <w:rsid w:val="00CF119A"/>
    <w:rsid w:val="00D02C12"/>
    <w:rsid w:val="00D21408"/>
    <w:rsid w:val="00D240D8"/>
    <w:rsid w:val="00D26DD7"/>
    <w:rsid w:val="00D532EE"/>
    <w:rsid w:val="00D55C44"/>
    <w:rsid w:val="00D828DC"/>
    <w:rsid w:val="00D86B85"/>
    <w:rsid w:val="00D90CA3"/>
    <w:rsid w:val="00D934BB"/>
    <w:rsid w:val="00D9664D"/>
    <w:rsid w:val="00DA2BC6"/>
    <w:rsid w:val="00DB4EFD"/>
    <w:rsid w:val="00DB76C6"/>
    <w:rsid w:val="00DC6D56"/>
    <w:rsid w:val="00DD18C2"/>
    <w:rsid w:val="00DD3687"/>
    <w:rsid w:val="00DE06CB"/>
    <w:rsid w:val="00DE3368"/>
    <w:rsid w:val="00E143D0"/>
    <w:rsid w:val="00E232C0"/>
    <w:rsid w:val="00E27B94"/>
    <w:rsid w:val="00E374D2"/>
    <w:rsid w:val="00E46FAB"/>
    <w:rsid w:val="00E57CFB"/>
    <w:rsid w:val="00E608D1"/>
    <w:rsid w:val="00E64D6C"/>
    <w:rsid w:val="00E85E01"/>
    <w:rsid w:val="00E90DB5"/>
    <w:rsid w:val="00E92FB1"/>
    <w:rsid w:val="00EA0BD4"/>
    <w:rsid w:val="00EB1245"/>
    <w:rsid w:val="00ED7F8B"/>
    <w:rsid w:val="00EE7BFC"/>
    <w:rsid w:val="00F0307F"/>
    <w:rsid w:val="00F0345F"/>
    <w:rsid w:val="00F10128"/>
    <w:rsid w:val="00F11F12"/>
    <w:rsid w:val="00F14069"/>
    <w:rsid w:val="00F242DE"/>
    <w:rsid w:val="00F27321"/>
    <w:rsid w:val="00F32E2F"/>
    <w:rsid w:val="00F3477F"/>
    <w:rsid w:val="00F45CF2"/>
    <w:rsid w:val="00F5734D"/>
    <w:rsid w:val="00F750CF"/>
    <w:rsid w:val="00F76377"/>
    <w:rsid w:val="00FA6B78"/>
    <w:rsid w:val="00FA771D"/>
    <w:rsid w:val="00FA7C52"/>
    <w:rsid w:val="00FA7CB1"/>
    <w:rsid w:val="00FB1871"/>
    <w:rsid w:val="00FC3788"/>
    <w:rsid w:val="00FC78FE"/>
    <w:rsid w:val="00FD1393"/>
    <w:rsid w:val="00FD2A2A"/>
    <w:rsid w:val="00FE6AC0"/>
    <w:rsid w:val="00FE7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2A17DD"/>
  <w15:chartTrackingRefBased/>
  <w15:docId w15:val="{AC37328F-C4B4-4EA3-AB7C-8A0B61B7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F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27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6"/>
    <w:pPr>
      <w:ind w:left="720"/>
      <w:contextualSpacing/>
    </w:pPr>
  </w:style>
  <w:style w:type="character" w:styleId="CommentReference">
    <w:name w:val="annotation reference"/>
    <w:basedOn w:val="DefaultParagraphFont"/>
    <w:uiPriority w:val="99"/>
    <w:semiHidden/>
    <w:unhideWhenUsed/>
    <w:rsid w:val="0021790C"/>
    <w:rPr>
      <w:sz w:val="16"/>
      <w:szCs w:val="16"/>
    </w:rPr>
  </w:style>
  <w:style w:type="paragraph" w:styleId="CommentText">
    <w:name w:val="annotation text"/>
    <w:basedOn w:val="Normal"/>
    <w:link w:val="CommentTextChar"/>
    <w:uiPriority w:val="99"/>
    <w:unhideWhenUsed/>
    <w:rsid w:val="0021790C"/>
    <w:pPr>
      <w:spacing w:line="240" w:lineRule="auto"/>
    </w:pPr>
    <w:rPr>
      <w:sz w:val="20"/>
      <w:szCs w:val="20"/>
    </w:rPr>
  </w:style>
  <w:style w:type="character" w:customStyle="1" w:styleId="CommentTextChar">
    <w:name w:val="Comment Text Char"/>
    <w:basedOn w:val="DefaultParagraphFont"/>
    <w:link w:val="CommentText"/>
    <w:uiPriority w:val="99"/>
    <w:rsid w:val="0021790C"/>
    <w:rPr>
      <w:sz w:val="20"/>
      <w:szCs w:val="20"/>
    </w:rPr>
  </w:style>
  <w:style w:type="paragraph" w:styleId="CommentSubject">
    <w:name w:val="annotation subject"/>
    <w:basedOn w:val="CommentText"/>
    <w:next w:val="CommentText"/>
    <w:link w:val="CommentSubjectChar"/>
    <w:uiPriority w:val="99"/>
    <w:semiHidden/>
    <w:unhideWhenUsed/>
    <w:rsid w:val="0021790C"/>
    <w:rPr>
      <w:b/>
      <w:bCs/>
    </w:rPr>
  </w:style>
  <w:style w:type="character" w:customStyle="1" w:styleId="CommentSubjectChar">
    <w:name w:val="Comment Subject Char"/>
    <w:basedOn w:val="CommentTextChar"/>
    <w:link w:val="CommentSubject"/>
    <w:uiPriority w:val="99"/>
    <w:semiHidden/>
    <w:rsid w:val="0021790C"/>
    <w:rPr>
      <w:b/>
      <w:bCs/>
      <w:sz w:val="20"/>
      <w:szCs w:val="20"/>
    </w:rPr>
  </w:style>
  <w:style w:type="paragraph" w:styleId="Revision">
    <w:name w:val="Revision"/>
    <w:hidden/>
    <w:uiPriority w:val="99"/>
    <w:semiHidden/>
    <w:rsid w:val="0021790C"/>
    <w:pPr>
      <w:spacing w:after="0" w:line="240" w:lineRule="auto"/>
    </w:pPr>
  </w:style>
  <w:style w:type="paragraph" w:styleId="BalloonText">
    <w:name w:val="Balloon Text"/>
    <w:basedOn w:val="Normal"/>
    <w:link w:val="BalloonTextChar"/>
    <w:uiPriority w:val="99"/>
    <w:semiHidden/>
    <w:unhideWhenUsed/>
    <w:rsid w:val="0021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0C"/>
    <w:rPr>
      <w:rFonts w:ascii="Segoe UI" w:hAnsi="Segoe UI" w:cs="Segoe UI"/>
      <w:sz w:val="18"/>
      <w:szCs w:val="18"/>
    </w:rPr>
  </w:style>
  <w:style w:type="table" w:styleId="TableGrid">
    <w:name w:val="Table Grid"/>
    <w:basedOn w:val="TableNormal"/>
    <w:uiPriority w:val="39"/>
    <w:rsid w:val="0003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2F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2F5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C3788"/>
    <w:pPr>
      <w:outlineLvl w:val="9"/>
    </w:pPr>
    <w:rPr>
      <w:lang w:val="en-US"/>
    </w:rPr>
  </w:style>
  <w:style w:type="paragraph" w:styleId="TOC1">
    <w:name w:val="toc 1"/>
    <w:basedOn w:val="Normal"/>
    <w:next w:val="Normal"/>
    <w:autoRedefine/>
    <w:uiPriority w:val="39"/>
    <w:unhideWhenUsed/>
    <w:rsid w:val="00FC3788"/>
    <w:pPr>
      <w:spacing w:after="100"/>
    </w:pPr>
  </w:style>
  <w:style w:type="paragraph" w:styleId="TOC2">
    <w:name w:val="toc 2"/>
    <w:basedOn w:val="Normal"/>
    <w:next w:val="Normal"/>
    <w:autoRedefine/>
    <w:uiPriority w:val="39"/>
    <w:unhideWhenUsed/>
    <w:rsid w:val="00FC3788"/>
    <w:pPr>
      <w:spacing w:after="100"/>
      <w:ind w:left="220"/>
    </w:pPr>
  </w:style>
  <w:style w:type="character" w:styleId="Hyperlink">
    <w:name w:val="Hyperlink"/>
    <w:basedOn w:val="DefaultParagraphFont"/>
    <w:uiPriority w:val="99"/>
    <w:unhideWhenUsed/>
    <w:rsid w:val="00FC3788"/>
    <w:rPr>
      <w:color w:val="0563C1" w:themeColor="hyperlink"/>
      <w:u w:val="single"/>
    </w:rPr>
  </w:style>
  <w:style w:type="paragraph" w:styleId="Header">
    <w:name w:val="header"/>
    <w:basedOn w:val="Normal"/>
    <w:link w:val="HeaderChar"/>
    <w:uiPriority w:val="99"/>
    <w:unhideWhenUsed/>
    <w:rsid w:val="00186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523"/>
  </w:style>
  <w:style w:type="paragraph" w:styleId="Footer">
    <w:name w:val="footer"/>
    <w:basedOn w:val="Normal"/>
    <w:link w:val="FooterChar"/>
    <w:uiPriority w:val="99"/>
    <w:unhideWhenUsed/>
    <w:rsid w:val="00186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523"/>
  </w:style>
  <w:style w:type="paragraph" w:styleId="FootnoteText">
    <w:name w:val="footnote text"/>
    <w:basedOn w:val="Normal"/>
    <w:link w:val="FootnoteTextChar"/>
    <w:uiPriority w:val="99"/>
    <w:semiHidden/>
    <w:unhideWhenUsed/>
    <w:rsid w:val="00830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AD7"/>
    <w:rPr>
      <w:sz w:val="20"/>
      <w:szCs w:val="20"/>
    </w:rPr>
  </w:style>
  <w:style w:type="character" w:styleId="FootnoteReference">
    <w:name w:val="footnote reference"/>
    <w:basedOn w:val="DefaultParagraphFont"/>
    <w:uiPriority w:val="99"/>
    <w:semiHidden/>
    <w:unhideWhenUsed/>
    <w:rsid w:val="00830AD7"/>
    <w:rPr>
      <w:vertAlign w:val="superscript"/>
    </w:rPr>
  </w:style>
  <w:style w:type="character" w:customStyle="1" w:styleId="Heading3Char">
    <w:name w:val="Heading 3 Char"/>
    <w:basedOn w:val="DefaultParagraphFont"/>
    <w:link w:val="Heading3"/>
    <w:uiPriority w:val="9"/>
    <w:rsid w:val="000F27B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94DEF"/>
    <w:rPr>
      <w:color w:val="605E5C"/>
      <w:shd w:val="clear" w:color="auto" w:fill="E1DFDD"/>
    </w:rPr>
  </w:style>
  <w:style w:type="paragraph" w:styleId="TOC3">
    <w:name w:val="toc 3"/>
    <w:basedOn w:val="Normal"/>
    <w:next w:val="Normal"/>
    <w:autoRedefine/>
    <w:uiPriority w:val="39"/>
    <w:unhideWhenUsed/>
    <w:rsid w:val="008855EF"/>
    <w:pPr>
      <w:spacing w:after="100"/>
      <w:ind w:left="440"/>
    </w:pPr>
  </w:style>
  <w:style w:type="paragraph" w:customStyle="1" w:styleId="ContentsPageHeading">
    <w:name w:val="Contents Page Heading"/>
    <w:basedOn w:val="Normal"/>
    <w:next w:val="BodyText"/>
    <w:qFormat/>
    <w:rsid w:val="00AF1DA1"/>
    <w:pPr>
      <w:tabs>
        <w:tab w:val="left" w:pos="8468"/>
      </w:tabs>
      <w:suppressAutoHyphens/>
      <w:spacing w:before="240" w:after="240" w:line="240" w:lineRule="auto"/>
    </w:pPr>
    <w:rPr>
      <w:rFonts w:ascii="Gill Sans MT" w:eastAsia="Times New Roman" w:hAnsi="Gill Sans MT" w:cs="Times New Roman"/>
      <w:color w:val="003366"/>
      <w:sz w:val="40"/>
      <w:szCs w:val="36"/>
    </w:rPr>
  </w:style>
  <w:style w:type="paragraph" w:styleId="BodyText">
    <w:name w:val="Body Text"/>
    <w:basedOn w:val="Normal"/>
    <w:link w:val="BodyTextChar"/>
    <w:uiPriority w:val="99"/>
    <w:semiHidden/>
    <w:unhideWhenUsed/>
    <w:rsid w:val="00AF1DA1"/>
    <w:pPr>
      <w:spacing w:after="120"/>
    </w:pPr>
  </w:style>
  <w:style w:type="character" w:customStyle="1" w:styleId="BodyTextChar">
    <w:name w:val="Body Text Char"/>
    <w:basedOn w:val="DefaultParagraphFont"/>
    <w:link w:val="BodyText"/>
    <w:uiPriority w:val="99"/>
    <w:semiHidden/>
    <w:rsid w:val="00AF1DA1"/>
  </w:style>
  <w:style w:type="paragraph" w:customStyle="1" w:styleId="Intro">
    <w:name w:val="Intro"/>
    <w:basedOn w:val="Normal"/>
    <w:rsid w:val="00AF1DA1"/>
    <w:pPr>
      <w:spacing w:after="200" w:line="300" w:lineRule="exact"/>
    </w:pPr>
    <w:rPr>
      <w:rFonts w:ascii="Calibri" w:eastAsia="Calibri" w:hAnsi="Calibri" w:cs="Times New Roman"/>
      <w:color w:val="4F81BD"/>
      <w:sz w:val="25"/>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328">
      <w:bodyDiv w:val="1"/>
      <w:marLeft w:val="0"/>
      <w:marRight w:val="0"/>
      <w:marTop w:val="0"/>
      <w:marBottom w:val="0"/>
      <w:divBdr>
        <w:top w:val="none" w:sz="0" w:space="0" w:color="auto"/>
        <w:left w:val="none" w:sz="0" w:space="0" w:color="auto"/>
        <w:bottom w:val="none" w:sz="0" w:space="0" w:color="auto"/>
        <w:right w:val="none" w:sz="0" w:space="0" w:color="auto"/>
      </w:divBdr>
      <w:divsChild>
        <w:div w:id="999388217">
          <w:marLeft w:val="0"/>
          <w:marRight w:val="0"/>
          <w:marTop w:val="0"/>
          <w:marBottom w:val="0"/>
          <w:divBdr>
            <w:top w:val="none" w:sz="0" w:space="0" w:color="auto"/>
            <w:left w:val="none" w:sz="0" w:space="0" w:color="auto"/>
            <w:bottom w:val="none" w:sz="0" w:space="0" w:color="auto"/>
            <w:right w:val="none" w:sz="0" w:space="0" w:color="auto"/>
          </w:divBdr>
        </w:div>
        <w:div w:id="1720589899">
          <w:marLeft w:val="0"/>
          <w:marRight w:val="0"/>
          <w:marTop w:val="0"/>
          <w:marBottom w:val="0"/>
          <w:divBdr>
            <w:top w:val="none" w:sz="0" w:space="0" w:color="auto"/>
            <w:left w:val="none" w:sz="0" w:space="0" w:color="auto"/>
            <w:bottom w:val="none" w:sz="0" w:space="0" w:color="auto"/>
            <w:right w:val="none" w:sz="0" w:space="0" w:color="auto"/>
          </w:divBdr>
        </w:div>
        <w:div w:id="656618400">
          <w:marLeft w:val="0"/>
          <w:marRight w:val="0"/>
          <w:marTop w:val="0"/>
          <w:marBottom w:val="0"/>
          <w:divBdr>
            <w:top w:val="none" w:sz="0" w:space="0" w:color="auto"/>
            <w:left w:val="none" w:sz="0" w:space="0" w:color="auto"/>
            <w:bottom w:val="none" w:sz="0" w:space="0" w:color="auto"/>
            <w:right w:val="none" w:sz="0" w:space="0" w:color="auto"/>
          </w:divBdr>
        </w:div>
      </w:divsChild>
    </w:div>
    <w:div w:id="216169879">
      <w:bodyDiv w:val="1"/>
      <w:marLeft w:val="0"/>
      <w:marRight w:val="0"/>
      <w:marTop w:val="0"/>
      <w:marBottom w:val="0"/>
      <w:divBdr>
        <w:top w:val="none" w:sz="0" w:space="0" w:color="auto"/>
        <w:left w:val="none" w:sz="0" w:space="0" w:color="auto"/>
        <w:bottom w:val="none" w:sz="0" w:space="0" w:color="auto"/>
        <w:right w:val="none" w:sz="0" w:space="0" w:color="auto"/>
      </w:divBdr>
      <w:divsChild>
        <w:div w:id="40248426">
          <w:marLeft w:val="0"/>
          <w:marRight w:val="0"/>
          <w:marTop w:val="0"/>
          <w:marBottom w:val="0"/>
          <w:divBdr>
            <w:top w:val="none" w:sz="0" w:space="0" w:color="auto"/>
            <w:left w:val="none" w:sz="0" w:space="0" w:color="auto"/>
            <w:bottom w:val="none" w:sz="0" w:space="0" w:color="auto"/>
            <w:right w:val="none" w:sz="0" w:space="0" w:color="auto"/>
          </w:divBdr>
        </w:div>
        <w:div w:id="224142574">
          <w:marLeft w:val="0"/>
          <w:marRight w:val="0"/>
          <w:marTop w:val="0"/>
          <w:marBottom w:val="0"/>
          <w:divBdr>
            <w:top w:val="none" w:sz="0" w:space="0" w:color="auto"/>
            <w:left w:val="none" w:sz="0" w:space="0" w:color="auto"/>
            <w:bottom w:val="none" w:sz="0" w:space="0" w:color="auto"/>
            <w:right w:val="none" w:sz="0" w:space="0" w:color="auto"/>
          </w:divBdr>
        </w:div>
        <w:div w:id="1380861388">
          <w:marLeft w:val="0"/>
          <w:marRight w:val="0"/>
          <w:marTop w:val="0"/>
          <w:marBottom w:val="0"/>
          <w:divBdr>
            <w:top w:val="none" w:sz="0" w:space="0" w:color="auto"/>
            <w:left w:val="none" w:sz="0" w:space="0" w:color="auto"/>
            <w:bottom w:val="none" w:sz="0" w:space="0" w:color="auto"/>
            <w:right w:val="none" w:sz="0" w:space="0" w:color="auto"/>
          </w:divBdr>
        </w:div>
        <w:div w:id="895625302">
          <w:marLeft w:val="0"/>
          <w:marRight w:val="0"/>
          <w:marTop w:val="0"/>
          <w:marBottom w:val="0"/>
          <w:divBdr>
            <w:top w:val="none" w:sz="0" w:space="0" w:color="auto"/>
            <w:left w:val="none" w:sz="0" w:space="0" w:color="auto"/>
            <w:bottom w:val="none" w:sz="0" w:space="0" w:color="auto"/>
            <w:right w:val="none" w:sz="0" w:space="0" w:color="auto"/>
          </w:divBdr>
        </w:div>
        <w:div w:id="272134955">
          <w:marLeft w:val="0"/>
          <w:marRight w:val="0"/>
          <w:marTop w:val="0"/>
          <w:marBottom w:val="0"/>
          <w:divBdr>
            <w:top w:val="none" w:sz="0" w:space="0" w:color="auto"/>
            <w:left w:val="none" w:sz="0" w:space="0" w:color="auto"/>
            <w:bottom w:val="none" w:sz="0" w:space="0" w:color="auto"/>
            <w:right w:val="none" w:sz="0" w:space="0" w:color="auto"/>
          </w:divBdr>
        </w:div>
        <w:div w:id="1805465001">
          <w:marLeft w:val="0"/>
          <w:marRight w:val="0"/>
          <w:marTop w:val="0"/>
          <w:marBottom w:val="0"/>
          <w:divBdr>
            <w:top w:val="none" w:sz="0" w:space="0" w:color="auto"/>
            <w:left w:val="none" w:sz="0" w:space="0" w:color="auto"/>
            <w:bottom w:val="none" w:sz="0" w:space="0" w:color="auto"/>
            <w:right w:val="none" w:sz="0" w:space="0" w:color="auto"/>
          </w:divBdr>
        </w:div>
        <w:div w:id="633680711">
          <w:marLeft w:val="0"/>
          <w:marRight w:val="0"/>
          <w:marTop w:val="0"/>
          <w:marBottom w:val="0"/>
          <w:divBdr>
            <w:top w:val="none" w:sz="0" w:space="0" w:color="auto"/>
            <w:left w:val="none" w:sz="0" w:space="0" w:color="auto"/>
            <w:bottom w:val="none" w:sz="0" w:space="0" w:color="auto"/>
            <w:right w:val="none" w:sz="0" w:space="0" w:color="auto"/>
          </w:divBdr>
        </w:div>
        <w:div w:id="1100221761">
          <w:marLeft w:val="0"/>
          <w:marRight w:val="0"/>
          <w:marTop w:val="0"/>
          <w:marBottom w:val="0"/>
          <w:divBdr>
            <w:top w:val="none" w:sz="0" w:space="0" w:color="auto"/>
            <w:left w:val="none" w:sz="0" w:space="0" w:color="auto"/>
            <w:bottom w:val="none" w:sz="0" w:space="0" w:color="auto"/>
            <w:right w:val="none" w:sz="0" w:space="0" w:color="auto"/>
          </w:divBdr>
        </w:div>
      </w:divsChild>
    </w:div>
    <w:div w:id="263926823">
      <w:bodyDiv w:val="1"/>
      <w:marLeft w:val="0"/>
      <w:marRight w:val="0"/>
      <w:marTop w:val="0"/>
      <w:marBottom w:val="0"/>
      <w:divBdr>
        <w:top w:val="none" w:sz="0" w:space="0" w:color="auto"/>
        <w:left w:val="none" w:sz="0" w:space="0" w:color="auto"/>
        <w:bottom w:val="none" w:sz="0" w:space="0" w:color="auto"/>
        <w:right w:val="none" w:sz="0" w:space="0" w:color="auto"/>
      </w:divBdr>
      <w:divsChild>
        <w:div w:id="278535737">
          <w:marLeft w:val="0"/>
          <w:marRight w:val="0"/>
          <w:marTop w:val="0"/>
          <w:marBottom w:val="0"/>
          <w:divBdr>
            <w:top w:val="none" w:sz="0" w:space="0" w:color="auto"/>
            <w:left w:val="none" w:sz="0" w:space="0" w:color="auto"/>
            <w:bottom w:val="none" w:sz="0" w:space="0" w:color="auto"/>
            <w:right w:val="none" w:sz="0" w:space="0" w:color="auto"/>
          </w:divBdr>
        </w:div>
        <w:div w:id="1924295575">
          <w:marLeft w:val="0"/>
          <w:marRight w:val="0"/>
          <w:marTop w:val="0"/>
          <w:marBottom w:val="0"/>
          <w:divBdr>
            <w:top w:val="none" w:sz="0" w:space="0" w:color="auto"/>
            <w:left w:val="none" w:sz="0" w:space="0" w:color="auto"/>
            <w:bottom w:val="none" w:sz="0" w:space="0" w:color="auto"/>
            <w:right w:val="none" w:sz="0" w:space="0" w:color="auto"/>
          </w:divBdr>
        </w:div>
        <w:div w:id="769930113">
          <w:marLeft w:val="0"/>
          <w:marRight w:val="0"/>
          <w:marTop w:val="0"/>
          <w:marBottom w:val="0"/>
          <w:divBdr>
            <w:top w:val="none" w:sz="0" w:space="0" w:color="auto"/>
            <w:left w:val="none" w:sz="0" w:space="0" w:color="auto"/>
            <w:bottom w:val="none" w:sz="0" w:space="0" w:color="auto"/>
            <w:right w:val="none" w:sz="0" w:space="0" w:color="auto"/>
          </w:divBdr>
        </w:div>
        <w:div w:id="71508801">
          <w:marLeft w:val="0"/>
          <w:marRight w:val="0"/>
          <w:marTop w:val="0"/>
          <w:marBottom w:val="0"/>
          <w:divBdr>
            <w:top w:val="none" w:sz="0" w:space="0" w:color="auto"/>
            <w:left w:val="none" w:sz="0" w:space="0" w:color="auto"/>
            <w:bottom w:val="none" w:sz="0" w:space="0" w:color="auto"/>
            <w:right w:val="none" w:sz="0" w:space="0" w:color="auto"/>
          </w:divBdr>
        </w:div>
        <w:div w:id="2132283178">
          <w:marLeft w:val="0"/>
          <w:marRight w:val="0"/>
          <w:marTop w:val="0"/>
          <w:marBottom w:val="0"/>
          <w:divBdr>
            <w:top w:val="none" w:sz="0" w:space="0" w:color="auto"/>
            <w:left w:val="none" w:sz="0" w:space="0" w:color="auto"/>
            <w:bottom w:val="none" w:sz="0" w:space="0" w:color="auto"/>
            <w:right w:val="none" w:sz="0" w:space="0" w:color="auto"/>
          </w:divBdr>
        </w:div>
        <w:div w:id="1255552981">
          <w:marLeft w:val="0"/>
          <w:marRight w:val="0"/>
          <w:marTop w:val="0"/>
          <w:marBottom w:val="0"/>
          <w:divBdr>
            <w:top w:val="none" w:sz="0" w:space="0" w:color="auto"/>
            <w:left w:val="none" w:sz="0" w:space="0" w:color="auto"/>
            <w:bottom w:val="none" w:sz="0" w:space="0" w:color="auto"/>
            <w:right w:val="none" w:sz="0" w:space="0" w:color="auto"/>
          </w:divBdr>
        </w:div>
        <w:div w:id="74936212">
          <w:marLeft w:val="0"/>
          <w:marRight w:val="0"/>
          <w:marTop w:val="0"/>
          <w:marBottom w:val="0"/>
          <w:divBdr>
            <w:top w:val="none" w:sz="0" w:space="0" w:color="auto"/>
            <w:left w:val="none" w:sz="0" w:space="0" w:color="auto"/>
            <w:bottom w:val="none" w:sz="0" w:space="0" w:color="auto"/>
            <w:right w:val="none" w:sz="0" w:space="0" w:color="auto"/>
          </w:divBdr>
        </w:div>
        <w:div w:id="631592938">
          <w:marLeft w:val="0"/>
          <w:marRight w:val="0"/>
          <w:marTop w:val="0"/>
          <w:marBottom w:val="0"/>
          <w:divBdr>
            <w:top w:val="none" w:sz="0" w:space="0" w:color="auto"/>
            <w:left w:val="none" w:sz="0" w:space="0" w:color="auto"/>
            <w:bottom w:val="none" w:sz="0" w:space="0" w:color="auto"/>
            <w:right w:val="none" w:sz="0" w:space="0" w:color="auto"/>
          </w:divBdr>
        </w:div>
        <w:div w:id="1322539127">
          <w:marLeft w:val="0"/>
          <w:marRight w:val="0"/>
          <w:marTop w:val="0"/>
          <w:marBottom w:val="0"/>
          <w:divBdr>
            <w:top w:val="none" w:sz="0" w:space="0" w:color="auto"/>
            <w:left w:val="none" w:sz="0" w:space="0" w:color="auto"/>
            <w:bottom w:val="none" w:sz="0" w:space="0" w:color="auto"/>
            <w:right w:val="none" w:sz="0" w:space="0" w:color="auto"/>
          </w:divBdr>
        </w:div>
        <w:div w:id="1868908421">
          <w:marLeft w:val="0"/>
          <w:marRight w:val="0"/>
          <w:marTop w:val="0"/>
          <w:marBottom w:val="0"/>
          <w:divBdr>
            <w:top w:val="none" w:sz="0" w:space="0" w:color="auto"/>
            <w:left w:val="none" w:sz="0" w:space="0" w:color="auto"/>
            <w:bottom w:val="none" w:sz="0" w:space="0" w:color="auto"/>
            <w:right w:val="none" w:sz="0" w:space="0" w:color="auto"/>
          </w:divBdr>
        </w:div>
        <w:div w:id="1406338884">
          <w:marLeft w:val="0"/>
          <w:marRight w:val="0"/>
          <w:marTop w:val="0"/>
          <w:marBottom w:val="0"/>
          <w:divBdr>
            <w:top w:val="none" w:sz="0" w:space="0" w:color="auto"/>
            <w:left w:val="none" w:sz="0" w:space="0" w:color="auto"/>
            <w:bottom w:val="none" w:sz="0" w:space="0" w:color="auto"/>
            <w:right w:val="none" w:sz="0" w:space="0" w:color="auto"/>
          </w:divBdr>
        </w:div>
        <w:div w:id="999385242">
          <w:marLeft w:val="0"/>
          <w:marRight w:val="0"/>
          <w:marTop w:val="0"/>
          <w:marBottom w:val="0"/>
          <w:divBdr>
            <w:top w:val="none" w:sz="0" w:space="0" w:color="auto"/>
            <w:left w:val="none" w:sz="0" w:space="0" w:color="auto"/>
            <w:bottom w:val="none" w:sz="0" w:space="0" w:color="auto"/>
            <w:right w:val="none" w:sz="0" w:space="0" w:color="auto"/>
          </w:divBdr>
        </w:div>
        <w:div w:id="2109737171">
          <w:marLeft w:val="0"/>
          <w:marRight w:val="0"/>
          <w:marTop w:val="0"/>
          <w:marBottom w:val="0"/>
          <w:divBdr>
            <w:top w:val="none" w:sz="0" w:space="0" w:color="auto"/>
            <w:left w:val="none" w:sz="0" w:space="0" w:color="auto"/>
            <w:bottom w:val="none" w:sz="0" w:space="0" w:color="auto"/>
            <w:right w:val="none" w:sz="0" w:space="0" w:color="auto"/>
          </w:divBdr>
        </w:div>
      </w:divsChild>
    </w:div>
    <w:div w:id="872153427">
      <w:bodyDiv w:val="1"/>
      <w:marLeft w:val="0"/>
      <w:marRight w:val="0"/>
      <w:marTop w:val="0"/>
      <w:marBottom w:val="0"/>
      <w:divBdr>
        <w:top w:val="none" w:sz="0" w:space="0" w:color="auto"/>
        <w:left w:val="none" w:sz="0" w:space="0" w:color="auto"/>
        <w:bottom w:val="none" w:sz="0" w:space="0" w:color="auto"/>
        <w:right w:val="none" w:sz="0" w:space="0" w:color="auto"/>
      </w:divBdr>
      <w:divsChild>
        <w:div w:id="2135902520">
          <w:marLeft w:val="0"/>
          <w:marRight w:val="0"/>
          <w:marTop w:val="0"/>
          <w:marBottom w:val="0"/>
          <w:divBdr>
            <w:top w:val="none" w:sz="0" w:space="0" w:color="auto"/>
            <w:left w:val="none" w:sz="0" w:space="0" w:color="auto"/>
            <w:bottom w:val="none" w:sz="0" w:space="0" w:color="auto"/>
            <w:right w:val="none" w:sz="0" w:space="0" w:color="auto"/>
          </w:divBdr>
        </w:div>
        <w:div w:id="2120488088">
          <w:marLeft w:val="0"/>
          <w:marRight w:val="0"/>
          <w:marTop w:val="0"/>
          <w:marBottom w:val="0"/>
          <w:divBdr>
            <w:top w:val="none" w:sz="0" w:space="0" w:color="auto"/>
            <w:left w:val="none" w:sz="0" w:space="0" w:color="auto"/>
            <w:bottom w:val="none" w:sz="0" w:space="0" w:color="auto"/>
            <w:right w:val="none" w:sz="0" w:space="0" w:color="auto"/>
          </w:divBdr>
        </w:div>
        <w:div w:id="631440810">
          <w:marLeft w:val="0"/>
          <w:marRight w:val="0"/>
          <w:marTop w:val="0"/>
          <w:marBottom w:val="0"/>
          <w:divBdr>
            <w:top w:val="none" w:sz="0" w:space="0" w:color="auto"/>
            <w:left w:val="none" w:sz="0" w:space="0" w:color="auto"/>
            <w:bottom w:val="none" w:sz="0" w:space="0" w:color="auto"/>
            <w:right w:val="none" w:sz="0" w:space="0" w:color="auto"/>
          </w:divBdr>
        </w:div>
        <w:div w:id="1171526232">
          <w:marLeft w:val="0"/>
          <w:marRight w:val="0"/>
          <w:marTop w:val="0"/>
          <w:marBottom w:val="0"/>
          <w:divBdr>
            <w:top w:val="none" w:sz="0" w:space="0" w:color="auto"/>
            <w:left w:val="none" w:sz="0" w:space="0" w:color="auto"/>
            <w:bottom w:val="none" w:sz="0" w:space="0" w:color="auto"/>
            <w:right w:val="none" w:sz="0" w:space="0" w:color="auto"/>
          </w:divBdr>
        </w:div>
        <w:div w:id="1483816627">
          <w:marLeft w:val="0"/>
          <w:marRight w:val="0"/>
          <w:marTop w:val="0"/>
          <w:marBottom w:val="0"/>
          <w:divBdr>
            <w:top w:val="none" w:sz="0" w:space="0" w:color="auto"/>
            <w:left w:val="none" w:sz="0" w:space="0" w:color="auto"/>
            <w:bottom w:val="none" w:sz="0" w:space="0" w:color="auto"/>
            <w:right w:val="none" w:sz="0" w:space="0" w:color="auto"/>
          </w:divBdr>
        </w:div>
        <w:div w:id="1892493990">
          <w:marLeft w:val="0"/>
          <w:marRight w:val="0"/>
          <w:marTop w:val="0"/>
          <w:marBottom w:val="0"/>
          <w:divBdr>
            <w:top w:val="none" w:sz="0" w:space="0" w:color="auto"/>
            <w:left w:val="none" w:sz="0" w:space="0" w:color="auto"/>
            <w:bottom w:val="none" w:sz="0" w:space="0" w:color="auto"/>
            <w:right w:val="none" w:sz="0" w:space="0" w:color="auto"/>
          </w:divBdr>
        </w:div>
        <w:div w:id="844440837">
          <w:marLeft w:val="0"/>
          <w:marRight w:val="0"/>
          <w:marTop w:val="0"/>
          <w:marBottom w:val="0"/>
          <w:divBdr>
            <w:top w:val="none" w:sz="0" w:space="0" w:color="auto"/>
            <w:left w:val="none" w:sz="0" w:space="0" w:color="auto"/>
            <w:bottom w:val="none" w:sz="0" w:space="0" w:color="auto"/>
            <w:right w:val="none" w:sz="0" w:space="0" w:color="auto"/>
          </w:divBdr>
        </w:div>
        <w:div w:id="817772432">
          <w:marLeft w:val="0"/>
          <w:marRight w:val="0"/>
          <w:marTop w:val="0"/>
          <w:marBottom w:val="0"/>
          <w:divBdr>
            <w:top w:val="none" w:sz="0" w:space="0" w:color="auto"/>
            <w:left w:val="none" w:sz="0" w:space="0" w:color="auto"/>
            <w:bottom w:val="none" w:sz="0" w:space="0" w:color="auto"/>
            <w:right w:val="none" w:sz="0" w:space="0" w:color="auto"/>
          </w:divBdr>
        </w:div>
        <w:div w:id="619260062">
          <w:marLeft w:val="0"/>
          <w:marRight w:val="0"/>
          <w:marTop w:val="0"/>
          <w:marBottom w:val="0"/>
          <w:divBdr>
            <w:top w:val="none" w:sz="0" w:space="0" w:color="auto"/>
            <w:left w:val="none" w:sz="0" w:space="0" w:color="auto"/>
            <w:bottom w:val="none" w:sz="0" w:space="0" w:color="auto"/>
            <w:right w:val="none" w:sz="0" w:space="0" w:color="auto"/>
          </w:divBdr>
        </w:div>
        <w:div w:id="983507973">
          <w:marLeft w:val="0"/>
          <w:marRight w:val="0"/>
          <w:marTop w:val="0"/>
          <w:marBottom w:val="0"/>
          <w:divBdr>
            <w:top w:val="none" w:sz="0" w:space="0" w:color="auto"/>
            <w:left w:val="none" w:sz="0" w:space="0" w:color="auto"/>
            <w:bottom w:val="none" w:sz="0" w:space="0" w:color="auto"/>
            <w:right w:val="none" w:sz="0" w:space="0" w:color="auto"/>
          </w:divBdr>
        </w:div>
        <w:div w:id="1628777518">
          <w:marLeft w:val="0"/>
          <w:marRight w:val="0"/>
          <w:marTop w:val="0"/>
          <w:marBottom w:val="0"/>
          <w:divBdr>
            <w:top w:val="none" w:sz="0" w:space="0" w:color="auto"/>
            <w:left w:val="none" w:sz="0" w:space="0" w:color="auto"/>
            <w:bottom w:val="none" w:sz="0" w:space="0" w:color="auto"/>
            <w:right w:val="none" w:sz="0" w:space="0" w:color="auto"/>
          </w:divBdr>
        </w:div>
        <w:div w:id="2113816989">
          <w:marLeft w:val="0"/>
          <w:marRight w:val="0"/>
          <w:marTop w:val="0"/>
          <w:marBottom w:val="0"/>
          <w:divBdr>
            <w:top w:val="none" w:sz="0" w:space="0" w:color="auto"/>
            <w:left w:val="none" w:sz="0" w:space="0" w:color="auto"/>
            <w:bottom w:val="none" w:sz="0" w:space="0" w:color="auto"/>
            <w:right w:val="none" w:sz="0" w:space="0" w:color="auto"/>
          </w:divBdr>
        </w:div>
        <w:div w:id="605576849">
          <w:marLeft w:val="0"/>
          <w:marRight w:val="0"/>
          <w:marTop w:val="0"/>
          <w:marBottom w:val="0"/>
          <w:divBdr>
            <w:top w:val="none" w:sz="0" w:space="0" w:color="auto"/>
            <w:left w:val="none" w:sz="0" w:space="0" w:color="auto"/>
            <w:bottom w:val="none" w:sz="0" w:space="0" w:color="auto"/>
            <w:right w:val="none" w:sz="0" w:space="0" w:color="auto"/>
          </w:divBdr>
        </w:div>
        <w:div w:id="378483210">
          <w:marLeft w:val="0"/>
          <w:marRight w:val="0"/>
          <w:marTop w:val="0"/>
          <w:marBottom w:val="0"/>
          <w:divBdr>
            <w:top w:val="none" w:sz="0" w:space="0" w:color="auto"/>
            <w:left w:val="none" w:sz="0" w:space="0" w:color="auto"/>
            <w:bottom w:val="none" w:sz="0" w:space="0" w:color="auto"/>
            <w:right w:val="none" w:sz="0" w:space="0" w:color="auto"/>
          </w:divBdr>
        </w:div>
      </w:divsChild>
    </w:div>
    <w:div w:id="1328904637">
      <w:bodyDiv w:val="1"/>
      <w:marLeft w:val="0"/>
      <w:marRight w:val="0"/>
      <w:marTop w:val="0"/>
      <w:marBottom w:val="0"/>
      <w:divBdr>
        <w:top w:val="none" w:sz="0" w:space="0" w:color="auto"/>
        <w:left w:val="none" w:sz="0" w:space="0" w:color="auto"/>
        <w:bottom w:val="none" w:sz="0" w:space="0" w:color="auto"/>
        <w:right w:val="none" w:sz="0" w:space="0" w:color="auto"/>
      </w:divBdr>
    </w:div>
    <w:div w:id="1436752066">
      <w:bodyDiv w:val="1"/>
      <w:marLeft w:val="0"/>
      <w:marRight w:val="0"/>
      <w:marTop w:val="0"/>
      <w:marBottom w:val="0"/>
      <w:divBdr>
        <w:top w:val="none" w:sz="0" w:space="0" w:color="auto"/>
        <w:left w:val="none" w:sz="0" w:space="0" w:color="auto"/>
        <w:bottom w:val="none" w:sz="0" w:space="0" w:color="auto"/>
        <w:right w:val="none" w:sz="0" w:space="0" w:color="auto"/>
      </w:divBdr>
      <w:divsChild>
        <w:div w:id="905073452">
          <w:marLeft w:val="0"/>
          <w:marRight w:val="0"/>
          <w:marTop w:val="0"/>
          <w:marBottom w:val="0"/>
          <w:divBdr>
            <w:top w:val="none" w:sz="0" w:space="0" w:color="auto"/>
            <w:left w:val="none" w:sz="0" w:space="0" w:color="auto"/>
            <w:bottom w:val="none" w:sz="0" w:space="0" w:color="auto"/>
            <w:right w:val="none" w:sz="0" w:space="0" w:color="auto"/>
          </w:divBdr>
        </w:div>
      </w:divsChild>
    </w:div>
    <w:div w:id="1619529132">
      <w:bodyDiv w:val="1"/>
      <w:marLeft w:val="0"/>
      <w:marRight w:val="0"/>
      <w:marTop w:val="0"/>
      <w:marBottom w:val="0"/>
      <w:divBdr>
        <w:top w:val="none" w:sz="0" w:space="0" w:color="auto"/>
        <w:left w:val="none" w:sz="0" w:space="0" w:color="auto"/>
        <w:bottom w:val="none" w:sz="0" w:space="0" w:color="auto"/>
        <w:right w:val="none" w:sz="0" w:space="0" w:color="auto"/>
      </w:divBdr>
    </w:div>
    <w:div w:id="1706130487">
      <w:bodyDiv w:val="1"/>
      <w:marLeft w:val="0"/>
      <w:marRight w:val="0"/>
      <w:marTop w:val="0"/>
      <w:marBottom w:val="0"/>
      <w:divBdr>
        <w:top w:val="none" w:sz="0" w:space="0" w:color="auto"/>
        <w:left w:val="none" w:sz="0" w:space="0" w:color="auto"/>
        <w:bottom w:val="none" w:sz="0" w:space="0" w:color="auto"/>
        <w:right w:val="none" w:sz="0" w:space="0" w:color="auto"/>
      </w:divBdr>
      <w:divsChild>
        <w:div w:id="1218471252">
          <w:marLeft w:val="0"/>
          <w:marRight w:val="0"/>
          <w:marTop w:val="0"/>
          <w:marBottom w:val="0"/>
          <w:divBdr>
            <w:top w:val="none" w:sz="0" w:space="0" w:color="auto"/>
            <w:left w:val="none" w:sz="0" w:space="0" w:color="auto"/>
            <w:bottom w:val="none" w:sz="0" w:space="0" w:color="auto"/>
            <w:right w:val="none" w:sz="0" w:space="0" w:color="auto"/>
          </w:divBdr>
        </w:div>
      </w:divsChild>
    </w:div>
    <w:div w:id="1927424544">
      <w:bodyDiv w:val="1"/>
      <w:marLeft w:val="0"/>
      <w:marRight w:val="0"/>
      <w:marTop w:val="0"/>
      <w:marBottom w:val="0"/>
      <w:divBdr>
        <w:top w:val="none" w:sz="0" w:space="0" w:color="auto"/>
        <w:left w:val="none" w:sz="0" w:space="0" w:color="auto"/>
        <w:bottom w:val="none" w:sz="0" w:space="0" w:color="auto"/>
        <w:right w:val="none" w:sz="0" w:space="0" w:color="auto"/>
      </w:divBdr>
      <w:divsChild>
        <w:div w:id="495539220">
          <w:marLeft w:val="0"/>
          <w:marRight w:val="0"/>
          <w:marTop w:val="0"/>
          <w:marBottom w:val="0"/>
          <w:divBdr>
            <w:top w:val="none" w:sz="0" w:space="0" w:color="auto"/>
            <w:left w:val="none" w:sz="0" w:space="0" w:color="auto"/>
            <w:bottom w:val="none" w:sz="0" w:space="0" w:color="auto"/>
            <w:right w:val="none" w:sz="0" w:space="0" w:color="auto"/>
          </w:divBdr>
        </w:div>
        <w:div w:id="323512585">
          <w:marLeft w:val="0"/>
          <w:marRight w:val="0"/>
          <w:marTop w:val="0"/>
          <w:marBottom w:val="0"/>
          <w:divBdr>
            <w:top w:val="none" w:sz="0" w:space="0" w:color="auto"/>
            <w:left w:val="none" w:sz="0" w:space="0" w:color="auto"/>
            <w:bottom w:val="none" w:sz="0" w:space="0" w:color="auto"/>
            <w:right w:val="none" w:sz="0" w:space="0" w:color="auto"/>
          </w:divBdr>
        </w:div>
        <w:div w:id="828641744">
          <w:marLeft w:val="0"/>
          <w:marRight w:val="0"/>
          <w:marTop w:val="0"/>
          <w:marBottom w:val="0"/>
          <w:divBdr>
            <w:top w:val="none" w:sz="0" w:space="0" w:color="auto"/>
            <w:left w:val="none" w:sz="0" w:space="0" w:color="auto"/>
            <w:bottom w:val="none" w:sz="0" w:space="0" w:color="auto"/>
            <w:right w:val="none" w:sz="0" w:space="0" w:color="auto"/>
          </w:divBdr>
        </w:div>
        <w:div w:id="2010791785">
          <w:marLeft w:val="0"/>
          <w:marRight w:val="0"/>
          <w:marTop w:val="0"/>
          <w:marBottom w:val="0"/>
          <w:divBdr>
            <w:top w:val="none" w:sz="0" w:space="0" w:color="auto"/>
            <w:left w:val="none" w:sz="0" w:space="0" w:color="auto"/>
            <w:bottom w:val="none" w:sz="0" w:space="0" w:color="auto"/>
            <w:right w:val="none" w:sz="0" w:space="0" w:color="auto"/>
          </w:divBdr>
        </w:div>
        <w:div w:id="967397240">
          <w:marLeft w:val="0"/>
          <w:marRight w:val="0"/>
          <w:marTop w:val="0"/>
          <w:marBottom w:val="0"/>
          <w:divBdr>
            <w:top w:val="none" w:sz="0" w:space="0" w:color="auto"/>
            <w:left w:val="none" w:sz="0" w:space="0" w:color="auto"/>
            <w:bottom w:val="none" w:sz="0" w:space="0" w:color="auto"/>
            <w:right w:val="none" w:sz="0" w:space="0" w:color="auto"/>
          </w:divBdr>
        </w:div>
        <w:div w:id="161744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2001-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act.gov.au/a/1994-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C1D1-62E8-4EF3-9579-FE475724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4547</Words>
  <Characters>25185</Characters>
  <Application>Microsoft Office Word</Application>
  <DocSecurity>0</DocSecurity>
  <Lines>498</Lines>
  <Paragraphs>284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2020-09-01T02:43:00Z</dcterms:created>
  <dcterms:modified xsi:type="dcterms:W3CDTF">2020-09-01T02:43:00Z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A26162789</vt:lpwstr>
  </property>
  <property fmtid="{D5CDD505-2E9C-101B-9397-08002B2CF9AE}" pid="4" name="Objective-Title">
    <vt:lpwstr>Attachment B - Waste Management and Resource Recovery (Environment Protection-Used Packaging Materials) Code of Practice 2020</vt:lpwstr>
  </property>
  <property fmtid="{D5CDD505-2E9C-101B-9397-08002B2CF9AE}" pid="5" name="Objective-Comment">
    <vt:lpwstr/>
  </property>
  <property fmtid="{D5CDD505-2E9C-101B-9397-08002B2CF9AE}" pid="6" name="Objective-CreationStamp">
    <vt:filetime>2020-08-02T23:57:31Z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2020-08-14T03:58:55Z</vt:filetime>
  </property>
  <property fmtid="{D5CDD505-2E9C-101B-9397-08002B2CF9AE}" pid="10" name="Objective-ModificationStamp">
    <vt:filetime>2020-08-14T03:58:55Z</vt:filetime>
  </property>
  <property fmtid="{D5CDD505-2E9C-101B-9397-08002B2CF9AE}" pid="11" name="Objective-Owner">
    <vt:lpwstr>Karen Khoo</vt:lpwstr>
  </property>
  <property fmtid="{D5CDD505-2E9C-101B-9397-08002B2CF9AE}" pid="12" name="Objective-Path">
    <vt:lpwstr>Whole of ACT Government:TCCS STRUCTURE - Content Restriction Hierarchy:DIVISION: City Services:BRANCH: Infrastructure Delivery and Waste:SECTION : ACT NoWaste:TEAM: Waste Policy:09. Programs and Projects:2020 - NEPM Used Packaging Materials:3. Documents:1</vt:lpwstr>
  </property>
  <property fmtid="{D5CDD505-2E9C-101B-9397-08002B2CF9AE}" pid="13" name="Objective-Parent">
    <vt:lpwstr>Attachments for min brief</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13</vt:r8>
  </property>
  <property fmtid="{D5CDD505-2E9C-101B-9397-08002B2CF9AE}" pid="17" name="Objective-VersionComment">
    <vt:lpwstr>replacing cover page with a higher resolution image received from TCCS Comms</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