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19CB2" w14:textId="77777777" w:rsidR="004A7244" w:rsidRDefault="004A7244" w:rsidP="004A7244">
      <w:pPr>
        <w:spacing w:before="120"/>
        <w:rPr>
          <w:rFonts w:ascii="Arial" w:hAnsi="Arial" w:cs="Arial"/>
        </w:rPr>
      </w:pPr>
      <w:bookmarkStart w:id="0" w:name="_Toc44738651"/>
      <w:bookmarkStart w:id="1" w:name="_GoBack"/>
      <w:bookmarkEnd w:id="1"/>
      <w:r>
        <w:rPr>
          <w:rFonts w:ascii="Arial" w:hAnsi="Arial" w:cs="Arial"/>
        </w:rPr>
        <w:t>Australian Capital Territory</w:t>
      </w:r>
    </w:p>
    <w:p w14:paraId="21E5465C" w14:textId="77777777" w:rsidR="004A7244" w:rsidRDefault="004A7244" w:rsidP="004A7244">
      <w:pPr>
        <w:pStyle w:val="Billname"/>
        <w:spacing w:before="700"/>
      </w:pPr>
      <w:r>
        <w:t>Litter (Amenity Impact) Code of Practice 2020 (No 1)</w:t>
      </w:r>
    </w:p>
    <w:p w14:paraId="73C90E43" w14:textId="5DB68CF7" w:rsidR="004A7244" w:rsidRDefault="004A7244" w:rsidP="004A7244">
      <w:pPr>
        <w:pStyle w:val="madeunder"/>
        <w:spacing w:before="240" w:after="120"/>
        <w:jc w:val="left"/>
      </w:pPr>
      <w:r>
        <w:t>Disallowable instrument DI2020-</w:t>
      </w:r>
      <w:r w:rsidR="000058C0">
        <w:t>287</w:t>
      </w:r>
    </w:p>
    <w:p w14:paraId="03350E30" w14:textId="77777777" w:rsidR="004A7244" w:rsidRDefault="004A7244" w:rsidP="004A7244">
      <w:pPr>
        <w:pStyle w:val="madeunder"/>
        <w:spacing w:before="240" w:after="120"/>
        <w:jc w:val="left"/>
      </w:pPr>
      <w:r>
        <w:t>made under the</w:t>
      </w:r>
    </w:p>
    <w:p w14:paraId="256E0601" w14:textId="77777777" w:rsidR="004A7244" w:rsidRDefault="004A7244" w:rsidP="004A7244">
      <w:pPr>
        <w:pStyle w:val="CoverActName"/>
        <w:jc w:val="left"/>
        <w:rPr>
          <w:b w:val="0"/>
          <w:bCs w:val="0"/>
          <w:sz w:val="20"/>
          <w:szCs w:val="20"/>
        </w:rPr>
      </w:pPr>
      <w:r>
        <w:rPr>
          <w:sz w:val="20"/>
          <w:szCs w:val="20"/>
        </w:rPr>
        <w:t>Litter Act 2004</w:t>
      </w:r>
      <w:r>
        <w:rPr>
          <w:i/>
          <w:iCs/>
          <w:sz w:val="20"/>
          <w:szCs w:val="20"/>
        </w:rPr>
        <w:t xml:space="preserve">, </w:t>
      </w:r>
      <w:r>
        <w:rPr>
          <w:sz w:val="20"/>
          <w:szCs w:val="20"/>
        </w:rPr>
        <w:t>section 24ZA (Codes of practice)</w:t>
      </w:r>
    </w:p>
    <w:p w14:paraId="72B89F6B" w14:textId="77777777" w:rsidR="004A7244" w:rsidRDefault="004A7244" w:rsidP="004A7244">
      <w:pPr>
        <w:pStyle w:val="N-line3"/>
        <w:pBdr>
          <w:bottom w:val="none" w:sz="0" w:space="0" w:color="auto"/>
        </w:pBdr>
      </w:pPr>
    </w:p>
    <w:p w14:paraId="74B78A59" w14:textId="77777777" w:rsidR="00934428" w:rsidRPr="008822ED" w:rsidRDefault="00934428" w:rsidP="00934428">
      <w:pPr>
        <w:pStyle w:val="N-line3"/>
        <w:pBdr>
          <w:top w:val="single" w:sz="12" w:space="1" w:color="auto"/>
          <w:bottom w:val="none" w:sz="0" w:space="0" w:color="auto"/>
        </w:pBdr>
      </w:pPr>
    </w:p>
    <w:p w14:paraId="404368BA" w14:textId="77777777" w:rsidR="00934428" w:rsidRPr="006E24B1" w:rsidRDefault="00934428" w:rsidP="00934428">
      <w:pPr>
        <w:spacing w:after="0" w:line="240" w:lineRule="auto"/>
        <w:ind w:left="720" w:hanging="720"/>
        <w:rPr>
          <w:rFonts w:ascii="Times New Roman" w:hAnsi="Times New Roman"/>
          <w:b/>
          <w:bCs/>
          <w:sz w:val="24"/>
          <w:szCs w:val="24"/>
        </w:rPr>
      </w:pPr>
      <w:r w:rsidRPr="006E24B1">
        <w:rPr>
          <w:rFonts w:ascii="Times New Roman" w:hAnsi="Times New Roman"/>
          <w:b/>
          <w:bCs/>
          <w:sz w:val="24"/>
          <w:szCs w:val="24"/>
        </w:rPr>
        <w:t>1</w:t>
      </w:r>
      <w:r w:rsidRPr="006E24B1">
        <w:rPr>
          <w:rFonts w:ascii="Times New Roman" w:hAnsi="Times New Roman"/>
          <w:b/>
          <w:bCs/>
          <w:sz w:val="24"/>
          <w:szCs w:val="24"/>
        </w:rPr>
        <w:tab/>
        <w:t>Name of instrument</w:t>
      </w:r>
    </w:p>
    <w:p w14:paraId="75156CBA" w14:textId="74B194CB" w:rsidR="00934428" w:rsidRDefault="00934428" w:rsidP="00934428">
      <w:pPr>
        <w:spacing w:after="0" w:line="240" w:lineRule="auto"/>
        <w:ind w:left="720"/>
        <w:rPr>
          <w:rFonts w:ascii="Times New Roman" w:hAnsi="Times New Roman"/>
          <w:i/>
          <w:sz w:val="24"/>
          <w:szCs w:val="24"/>
        </w:rPr>
      </w:pPr>
      <w:r w:rsidRPr="006E24B1">
        <w:rPr>
          <w:rFonts w:ascii="Times New Roman" w:hAnsi="Times New Roman"/>
          <w:sz w:val="24"/>
          <w:szCs w:val="24"/>
        </w:rPr>
        <w:t xml:space="preserve">This instrument is the </w:t>
      </w:r>
      <w:r w:rsidRPr="00934428">
        <w:rPr>
          <w:rFonts w:ascii="Times New Roman" w:hAnsi="Times New Roman"/>
          <w:i/>
          <w:iCs/>
          <w:sz w:val="24"/>
          <w:szCs w:val="24"/>
        </w:rPr>
        <w:t>Litter (Amenity Impact) Code of Practice 2020 (No 1)</w:t>
      </w:r>
    </w:p>
    <w:p w14:paraId="51F90E82" w14:textId="77777777" w:rsidR="00934428" w:rsidRPr="006E24B1" w:rsidRDefault="00934428" w:rsidP="00934428">
      <w:pPr>
        <w:spacing w:after="0" w:line="240" w:lineRule="auto"/>
        <w:ind w:left="720"/>
        <w:rPr>
          <w:rFonts w:ascii="Times New Roman" w:hAnsi="Times New Roman"/>
          <w:i/>
          <w:sz w:val="24"/>
          <w:szCs w:val="24"/>
        </w:rPr>
      </w:pPr>
    </w:p>
    <w:p w14:paraId="5AAE83A4" w14:textId="77777777" w:rsidR="00934428" w:rsidRPr="006E24B1" w:rsidRDefault="00934428" w:rsidP="00934428">
      <w:pPr>
        <w:spacing w:after="0" w:line="240" w:lineRule="auto"/>
        <w:ind w:left="720" w:hanging="720"/>
        <w:rPr>
          <w:rFonts w:ascii="Times New Roman" w:hAnsi="Times New Roman"/>
          <w:b/>
          <w:bCs/>
          <w:sz w:val="24"/>
          <w:szCs w:val="24"/>
        </w:rPr>
      </w:pPr>
      <w:r w:rsidRPr="006E24B1">
        <w:rPr>
          <w:rFonts w:ascii="Times New Roman" w:hAnsi="Times New Roman"/>
          <w:b/>
          <w:bCs/>
          <w:sz w:val="24"/>
          <w:szCs w:val="24"/>
        </w:rPr>
        <w:t>2</w:t>
      </w:r>
      <w:r w:rsidRPr="006E24B1">
        <w:rPr>
          <w:rFonts w:ascii="Times New Roman" w:hAnsi="Times New Roman"/>
          <w:b/>
          <w:bCs/>
          <w:sz w:val="24"/>
          <w:szCs w:val="24"/>
        </w:rPr>
        <w:tab/>
        <w:t xml:space="preserve">Commencement </w:t>
      </w:r>
    </w:p>
    <w:p w14:paraId="73FD126D" w14:textId="6BC6D0B4" w:rsidR="00934428" w:rsidRDefault="00934428" w:rsidP="00934428">
      <w:pPr>
        <w:spacing w:after="0" w:line="240" w:lineRule="auto"/>
        <w:ind w:left="720"/>
        <w:rPr>
          <w:rFonts w:ascii="Times New Roman" w:hAnsi="Times New Roman"/>
          <w:sz w:val="24"/>
          <w:szCs w:val="24"/>
        </w:rPr>
      </w:pPr>
      <w:r w:rsidRPr="006E24B1">
        <w:rPr>
          <w:rFonts w:ascii="Times New Roman" w:hAnsi="Times New Roman"/>
          <w:sz w:val="24"/>
          <w:szCs w:val="24"/>
        </w:rPr>
        <w:t xml:space="preserve">This instrument commences on </w:t>
      </w:r>
      <w:r>
        <w:rPr>
          <w:rFonts w:ascii="Times New Roman" w:hAnsi="Times New Roman"/>
          <w:sz w:val="24"/>
          <w:szCs w:val="24"/>
        </w:rPr>
        <w:t>the day after it is notified</w:t>
      </w:r>
      <w:r w:rsidRPr="006E24B1">
        <w:rPr>
          <w:rFonts w:ascii="Times New Roman" w:hAnsi="Times New Roman"/>
          <w:sz w:val="24"/>
          <w:szCs w:val="24"/>
        </w:rPr>
        <w:t>.</w:t>
      </w:r>
    </w:p>
    <w:p w14:paraId="4EB8D65C" w14:textId="77777777" w:rsidR="00934428" w:rsidRPr="006E24B1" w:rsidRDefault="00934428" w:rsidP="00934428">
      <w:pPr>
        <w:spacing w:after="0" w:line="240" w:lineRule="auto"/>
        <w:ind w:left="720"/>
        <w:rPr>
          <w:rFonts w:ascii="Times New Roman" w:hAnsi="Times New Roman"/>
          <w:sz w:val="24"/>
          <w:szCs w:val="24"/>
        </w:rPr>
      </w:pPr>
    </w:p>
    <w:p w14:paraId="24045D84" w14:textId="77777777" w:rsidR="00934428" w:rsidRPr="006E24B1" w:rsidRDefault="00934428" w:rsidP="00934428">
      <w:pPr>
        <w:spacing w:after="0" w:line="240" w:lineRule="auto"/>
        <w:ind w:left="720" w:hanging="720"/>
        <w:rPr>
          <w:rFonts w:ascii="Times New Roman" w:hAnsi="Times New Roman"/>
          <w:b/>
          <w:bCs/>
          <w:sz w:val="24"/>
          <w:szCs w:val="24"/>
        </w:rPr>
      </w:pPr>
      <w:r w:rsidRPr="006E24B1">
        <w:rPr>
          <w:rFonts w:ascii="Times New Roman" w:hAnsi="Times New Roman"/>
          <w:b/>
          <w:bCs/>
          <w:sz w:val="24"/>
          <w:szCs w:val="24"/>
        </w:rPr>
        <w:t>3</w:t>
      </w:r>
      <w:r w:rsidRPr="006E24B1">
        <w:rPr>
          <w:rFonts w:ascii="Times New Roman" w:hAnsi="Times New Roman"/>
          <w:b/>
          <w:bCs/>
          <w:sz w:val="24"/>
          <w:szCs w:val="24"/>
        </w:rPr>
        <w:tab/>
        <w:t>Approval</w:t>
      </w:r>
    </w:p>
    <w:p w14:paraId="56845F7A" w14:textId="69606E27" w:rsidR="00934428" w:rsidRDefault="00934428" w:rsidP="00934428">
      <w:pPr>
        <w:spacing w:after="0" w:line="240" w:lineRule="auto"/>
        <w:ind w:left="720"/>
        <w:rPr>
          <w:rFonts w:ascii="Times New Roman" w:hAnsi="Times New Roman"/>
          <w:i/>
          <w:sz w:val="24"/>
          <w:szCs w:val="24"/>
        </w:rPr>
      </w:pPr>
      <w:r w:rsidRPr="006E24B1">
        <w:rPr>
          <w:rFonts w:ascii="Times New Roman" w:hAnsi="Times New Roman"/>
          <w:sz w:val="24"/>
          <w:szCs w:val="24"/>
        </w:rPr>
        <w:t xml:space="preserve">I approve the Code of Practice for </w:t>
      </w:r>
      <w:r>
        <w:rPr>
          <w:rFonts w:ascii="Times New Roman" w:hAnsi="Times New Roman"/>
          <w:sz w:val="24"/>
          <w:szCs w:val="24"/>
        </w:rPr>
        <w:t>Amenity Impact</w:t>
      </w:r>
      <w:r w:rsidRPr="006E24B1">
        <w:rPr>
          <w:rFonts w:ascii="Times New Roman" w:hAnsi="Times New Roman"/>
          <w:sz w:val="24"/>
          <w:szCs w:val="24"/>
        </w:rPr>
        <w:t xml:space="preserve">, attached to this instrument, as a mandatory code of practice under the </w:t>
      </w:r>
      <w:r>
        <w:rPr>
          <w:rFonts w:ascii="Times New Roman" w:hAnsi="Times New Roman"/>
          <w:i/>
          <w:sz w:val="24"/>
          <w:szCs w:val="24"/>
        </w:rPr>
        <w:t>Litter Act 2004</w:t>
      </w:r>
      <w:r w:rsidRPr="006E24B1">
        <w:rPr>
          <w:rFonts w:ascii="Times New Roman" w:hAnsi="Times New Roman"/>
          <w:i/>
          <w:sz w:val="24"/>
          <w:szCs w:val="24"/>
        </w:rPr>
        <w:t>.</w:t>
      </w:r>
    </w:p>
    <w:p w14:paraId="2F4FB2F3" w14:textId="77777777" w:rsidR="00934428" w:rsidRDefault="00934428" w:rsidP="00934428">
      <w:pPr>
        <w:spacing w:after="0" w:line="240" w:lineRule="auto"/>
        <w:ind w:left="720"/>
        <w:rPr>
          <w:rFonts w:ascii="Times New Roman" w:hAnsi="Times New Roman"/>
          <w:i/>
          <w:sz w:val="24"/>
          <w:szCs w:val="24"/>
        </w:rPr>
      </w:pPr>
    </w:p>
    <w:p w14:paraId="1F90CFC6" w14:textId="77777777" w:rsidR="00934428" w:rsidRDefault="00934428" w:rsidP="00934428">
      <w:pPr>
        <w:spacing w:after="0" w:line="240" w:lineRule="auto"/>
        <w:ind w:left="720"/>
        <w:rPr>
          <w:rFonts w:ascii="Times New Roman" w:hAnsi="Times New Roman"/>
          <w:i/>
          <w:sz w:val="24"/>
          <w:szCs w:val="24"/>
        </w:rPr>
      </w:pPr>
    </w:p>
    <w:p w14:paraId="117F9AF3" w14:textId="77777777" w:rsidR="00934428" w:rsidRPr="006E24B1" w:rsidRDefault="00934428" w:rsidP="00934428">
      <w:pPr>
        <w:spacing w:after="0" w:line="240" w:lineRule="auto"/>
        <w:ind w:left="720"/>
        <w:rPr>
          <w:rFonts w:ascii="Times New Roman" w:hAnsi="Times New Roman"/>
          <w:i/>
          <w:sz w:val="24"/>
          <w:szCs w:val="24"/>
        </w:rPr>
      </w:pPr>
    </w:p>
    <w:p w14:paraId="676822B5" w14:textId="77777777" w:rsidR="00934428" w:rsidRPr="006E24B1" w:rsidRDefault="00934428" w:rsidP="00934428">
      <w:pPr>
        <w:spacing w:after="0" w:line="240" w:lineRule="auto"/>
        <w:ind w:left="1440" w:hanging="720"/>
        <w:rPr>
          <w:rFonts w:ascii="Times New Roman" w:hAnsi="Times New Roman"/>
          <w:sz w:val="24"/>
          <w:szCs w:val="24"/>
        </w:rPr>
      </w:pPr>
    </w:p>
    <w:p w14:paraId="21087011" w14:textId="78AFFA0B" w:rsidR="00934428" w:rsidRPr="006E24B1" w:rsidRDefault="00934428" w:rsidP="00934428">
      <w:pPr>
        <w:tabs>
          <w:tab w:val="left" w:pos="4320"/>
        </w:tabs>
        <w:spacing w:after="0" w:line="240" w:lineRule="auto"/>
        <w:rPr>
          <w:rFonts w:ascii="Times New Roman" w:hAnsi="Times New Roman"/>
          <w:sz w:val="24"/>
          <w:szCs w:val="24"/>
        </w:rPr>
      </w:pPr>
      <w:r>
        <w:rPr>
          <w:rFonts w:ascii="Times New Roman" w:hAnsi="Times New Roman"/>
          <w:sz w:val="24"/>
          <w:szCs w:val="24"/>
          <w:lang w:eastAsia="en-AU"/>
        </w:rPr>
        <w:t xml:space="preserve">Chris Steel </w:t>
      </w:r>
      <w:r w:rsidRPr="006E24B1">
        <w:rPr>
          <w:rFonts w:ascii="Times New Roman" w:hAnsi="Times New Roman"/>
          <w:sz w:val="24"/>
          <w:szCs w:val="24"/>
          <w:lang w:eastAsia="en-AU"/>
        </w:rPr>
        <w:t>MLA</w:t>
      </w:r>
    </w:p>
    <w:p w14:paraId="5BC00EBF" w14:textId="7BD4E170" w:rsidR="00934428" w:rsidRPr="006E24B1" w:rsidRDefault="00934428" w:rsidP="00934428">
      <w:pPr>
        <w:tabs>
          <w:tab w:val="left" w:pos="4320"/>
        </w:tabs>
        <w:spacing w:after="0" w:line="240" w:lineRule="auto"/>
        <w:rPr>
          <w:rFonts w:ascii="Times New Roman" w:hAnsi="Times New Roman"/>
          <w:sz w:val="24"/>
          <w:szCs w:val="24"/>
        </w:rPr>
      </w:pPr>
      <w:r w:rsidRPr="006E24B1">
        <w:rPr>
          <w:rFonts w:ascii="Times New Roman" w:hAnsi="Times New Roman"/>
          <w:sz w:val="24"/>
          <w:szCs w:val="24"/>
        </w:rPr>
        <w:t>Minister for City Services</w:t>
      </w:r>
    </w:p>
    <w:p w14:paraId="720295AB" w14:textId="77777777" w:rsidR="00934428" w:rsidRDefault="00934428" w:rsidP="00934428">
      <w:pPr>
        <w:tabs>
          <w:tab w:val="left" w:pos="4320"/>
        </w:tabs>
        <w:spacing w:after="0" w:line="240" w:lineRule="auto"/>
        <w:rPr>
          <w:rFonts w:ascii="Times New Roman" w:hAnsi="Times New Roman"/>
          <w:sz w:val="24"/>
          <w:szCs w:val="24"/>
        </w:rPr>
      </w:pPr>
    </w:p>
    <w:p w14:paraId="6834AA9E" w14:textId="3610FA3E" w:rsidR="00934428" w:rsidRPr="006E24B1" w:rsidRDefault="00C96FB6" w:rsidP="00934428">
      <w:pPr>
        <w:tabs>
          <w:tab w:val="left" w:pos="4320"/>
        </w:tabs>
        <w:spacing w:after="0" w:line="240" w:lineRule="auto"/>
        <w:rPr>
          <w:rFonts w:ascii="Times New Roman" w:hAnsi="Times New Roman"/>
          <w:sz w:val="24"/>
          <w:szCs w:val="24"/>
        </w:rPr>
      </w:pPr>
      <w:r>
        <w:rPr>
          <w:rFonts w:ascii="Times New Roman" w:hAnsi="Times New Roman"/>
          <w:sz w:val="24"/>
          <w:szCs w:val="24"/>
        </w:rPr>
        <w:t>9</w:t>
      </w:r>
      <w:r w:rsidR="00940A92">
        <w:rPr>
          <w:rFonts w:ascii="Times New Roman" w:hAnsi="Times New Roman"/>
          <w:sz w:val="24"/>
          <w:szCs w:val="24"/>
        </w:rPr>
        <w:t xml:space="preserve"> </w:t>
      </w:r>
      <w:r w:rsidR="00F7451F">
        <w:rPr>
          <w:rFonts w:ascii="Times New Roman" w:hAnsi="Times New Roman"/>
          <w:sz w:val="24"/>
          <w:szCs w:val="24"/>
        </w:rPr>
        <w:t>September</w:t>
      </w:r>
      <w:r w:rsidR="00AE6B71">
        <w:rPr>
          <w:rFonts w:ascii="Times New Roman" w:hAnsi="Times New Roman"/>
          <w:sz w:val="24"/>
          <w:szCs w:val="24"/>
        </w:rPr>
        <w:t xml:space="preserve"> </w:t>
      </w:r>
      <w:r w:rsidR="00934428">
        <w:rPr>
          <w:rFonts w:ascii="Times New Roman" w:hAnsi="Times New Roman"/>
          <w:sz w:val="24"/>
          <w:szCs w:val="24"/>
        </w:rPr>
        <w:t>2020</w:t>
      </w:r>
    </w:p>
    <w:p w14:paraId="47826603" w14:textId="31137E55" w:rsidR="00934428" w:rsidRDefault="00934428" w:rsidP="00934428">
      <w:pPr>
        <w:tabs>
          <w:tab w:val="left" w:pos="4320"/>
        </w:tabs>
        <w:rPr>
          <w:rFonts w:ascii="Times New Roman" w:hAnsi="Times New Roman"/>
          <w:sz w:val="24"/>
          <w:szCs w:val="24"/>
        </w:rPr>
      </w:pPr>
    </w:p>
    <w:p w14:paraId="53E23DD9" w14:textId="0EDFB7A8" w:rsidR="00934428" w:rsidRDefault="00934428" w:rsidP="00934428">
      <w:pPr>
        <w:tabs>
          <w:tab w:val="left" w:pos="4320"/>
        </w:tabs>
        <w:rPr>
          <w:rFonts w:ascii="Times New Roman" w:hAnsi="Times New Roman"/>
          <w:sz w:val="24"/>
          <w:szCs w:val="24"/>
        </w:rPr>
      </w:pPr>
    </w:p>
    <w:p w14:paraId="37956CE4" w14:textId="1CE44442" w:rsidR="00934428" w:rsidRDefault="00934428" w:rsidP="00934428">
      <w:pPr>
        <w:tabs>
          <w:tab w:val="left" w:pos="4320"/>
        </w:tabs>
        <w:rPr>
          <w:rFonts w:ascii="Times New Roman" w:hAnsi="Times New Roman"/>
          <w:sz w:val="24"/>
          <w:szCs w:val="24"/>
        </w:rPr>
      </w:pPr>
    </w:p>
    <w:p w14:paraId="7C1B5F61" w14:textId="77777777" w:rsidR="00934428" w:rsidRPr="006E24B1" w:rsidRDefault="00934428" w:rsidP="00934428">
      <w:pPr>
        <w:tabs>
          <w:tab w:val="left" w:pos="4320"/>
        </w:tabs>
        <w:rPr>
          <w:rFonts w:ascii="Times New Roman" w:hAnsi="Times New Roman"/>
          <w:sz w:val="24"/>
          <w:szCs w:val="24"/>
        </w:rPr>
      </w:pPr>
    </w:p>
    <w:bookmarkEnd w:id="0"/>
    <w:p w14:paraId="1F22A358" w14:textId="7B4C16CC" w:rsidR="00953FF9" w:rsidRDefault="00953FF9" w:rsidP="00770C1B">
      <w:pPr>
        <w:pStyle w:val="Title"/>
        <w:jc w:val="center"/>
      </w:pPr>
      <w:r>
        <w:rPr>
          <w:rFonts w:eastAsiaTheme="minorHAnsi"/>
        </w:rPr>
        <w:br w:type="page"/>
      </w:r>
    </w:p>
    <w:sdt>
      <w:sdtPr>
        <w:rPr>
          <w:rFonts w:asciiTheme="minorHAnsi" w:eastAsiaTheme="minorHAnsi" w:hAnsiTheme="minorHAnsi" w:cstheme="minorBidi"/>
          <w:color w:val="auto"/>
          <w:sz w:val="22"/>
          <w:szCs w:val="22"/>
          <w:lang w:val="en-AU"/>
        </w:rPr>
        <w:id w:val="-598713507"/>
        <w:docPartObj>
          <w:docPartGallery w:val="Table of Contents"/>
          <w:docPartUnique/>
        </w:docPartObj>
      </w:sdtPr>
      <w:sdtEndPr>
        <w:rPr>
          <w:b/>
          <w:bCs/>
          <w:noProof/>
        </w:rPr>
      </w:sdtEndPr>
      <w:sdtContent>
        <w:p w14:paraId="28BDE3ED" w14:textId="33E31283" w:rsidR="004F0AA4" w:rsidRDefault="004F0AA4">
          <w:pPr>
            <w:pStyle w:val="TOCHeading"/>
          </w:pPr>
          <w:r>
            <w:t>Contents</w:t>
          </w:r>
        </w:p>
        <w:p w14:paraId="5ED33FD9" w14:textId="5D1CEAB9" w:rsidR="00033A19" w:rsidRDefault="004F0AA4">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5802584" w:history="1">
            <w:r w:rsidR="00033A19" w:rsidRPr="00F662C1">
              <w:rPr>
                <w:rStyle w:val="Hyperlink"/>
                <w:noProof/>
              </w:rPr>
              <w:t>1 Introduction</w:t>
            </w:r>
            <w:r w:rsidR="00033A19">
              <w:rPr>
                <w:noProof/>
                <w:webHidden/>
              </w:rPr>
              <w:tab/>
            </w:r>
            <w:r w:rsidR="00033A19">
              <w:rPr>
                <w:noProof/>
                <w:webHidden/>
              </w:rPr>
              <w:fldChar w:fldCharType="begin"/>
            </w:r>
            <w:r w:rsidR="00033A19">
              <w:rPr>
                <w:noProof/>
                <w:webHidden/>
              </w:rPr>
              <w:instrText xml:space="preserve"> PAGEREF _Toc45802584 \h </w:instrText>
            </w:r>
            <w:r w:rsidR="00033A19">
              <w:rPr>
                <w:noProof/>
                <w:webHidden/>
              </w:rPr>
            </w:r>
            <w:r w:rsidR="00033A19">
              <w:rPr>
                <w:noProof/>
                <w:webHidden/>
              </w:rPr>
              <w:fldChar w:fldCharType="separate"/>
            </w:r>
            <w:r w:rsidR="00033A19">
              <w:rPr>
                <w:noProof/>
                <w:webHidden/>
              </w:rPr>
              <w:t>2</w:t>
            </w:r>
            <w:r w:rsidR="00033A19">
              <w:rPr>
                <w:noProof/>
                <w:webHidden/>
              </w:rPr>
              <w:fldChar w:fldCharType="end"/>
            </w:r>
          </w:hyperlink>
        </w:p>
        <w:p w14:paraId="694542DE" w14:textId="0C7B7105" w:rsidR="00033A19" w:rsidRDefault="00C85CE1">
          <w:pPr>
            <w:pStyle w:val="TOC1"/>
            <w:tabs>
              <w:tab w:val="right" w:leader="dot" w:pos="9016"/>
            </w:tabs>
            <w:rPr>
              <w:rFonts w:eastAsiaTheme="minorEastAsia"/>
              <w:noProof/>
              <w:lang w:eastAsia="en-AU"/>
            </w:rPr>
          </w:pPr>
          <w:hyperlink w:anchor="_Toc45802585" w:history="1">
            <w:r w:rsidR="00033A19" w:rsidRPr="00F662C1">
              <w:rPr>
                <w:rStyle w:val="Hyperlink"/>
                <w:noProof/>
              </w:rPr>
              <w:t>2 Scope</w:t>
            </w:r>
            <w:r w:rsidR="00033A19">
              <w:rPr>
                <w:noProof/>
                <w:webHidden/>
              </w:rPr>
              <w:tab/>
            </w:r>
            <w:r w:rsidR="00033A19">
              <w:rPr>
                <w:noProof/>
                <w:webHidden/>
              </w:rPr>
              <w:fldChar w:fldCharType="begin"/>
            </w:r>
            <w:r w:rsidR="00033A19">
              <w:rPr>
                <w:noProof/>
                <w:webHidden/>
              </w:rPr>
              <w:instrText xml:space="preserve"> PAGEREF _Toc45802585 \h </w:instrText>
            </w:r>
            <w:r w:rsidR="00033A19">
              <w:rPr>
                <w:noProof/>
                <w:webHidden/>
              </w:rPr>
            </w:r>
            <w:r w:rsidR="00033A19">
              <w:rPr>
                <w:noProof/>
                <w:webHidden/>
              </w:rPr>
              <w:fldChar w:fldCharType="separate"/>
            </w:r>
            <w:r w:rsidR="00033A19">
              <w:rPr>
                <w:noProof/>
                <w:webHidden/>
              </w:rPr>
              <w:t>2</w:t>
            </w:r>
            <w:r w:rsidR="00033A19">
              <w:rPr>
                <w:noProof/>
                <w:webHidden/>
              </w:rPr>
              <w:fldChar w:fldCharType="end"/>
            </w:r>
          </w:hyperlink>
        </w:p>
        <w:p w14:paraId="21233317" w14:textId="47F97E78" w:rsidR="00033A19" w:rsidRDefault="00C85CE1">
          <w:pPr>
            <w:pStyle w:val="TOC2"/>
            <w:tabs>
              <w:tab w:val="right" w:leader="dot" w:pos="9016"/>
            </w:tabs>
            <w:rPr>
              <w:rFonts w:eastAsiaTheme="minorEastAsia"/>
              <w:noProof/>
              <w:lang w:eastAsia="en-AU"/>
            </w:rPr>
          </w:pPr>
          <w:hyperlink w:anchor="_Toc45802586" w:history="1">
            <w:r w:rsidR="00033A19" w:rsidRPr="00F662C1">
              <w:rPr>
                <w:rStyle w:val="Hyperlink"/>
                <w:noProof/>
              </w:rPr>
              <w:t>2.1 What is an amenity impact?</w:t>
            </w:r>
            <w:r w:rsidR="00033A19">
              <w:rPr>
                <w:noProof/>
                <w:webHidden/>
              </w:rPr>
              <w:tab/>
            </w:r>
            <w:r w:rsidR="00033A19">
              <w:rPr>
                <w:noProof/>
                <w:webHidden/>
              </w:rPr>
              <w:fldChar w:fldCharType="begin"/>
            </w:r>
            <w:r w:rsidR="00033A19">
              <w:rPr>
                <w:noProof/>
                <w:webHidden/>
              </w:rPr>
              <w:instrText xml:space="preserve"> PAGEREF _Toc45802586 \h </w:instrText>
            </w:r>
            <w:r w:rsidR="00033A19">
              <w:rPr>
                <w:noProof/>
                <w:webHidden/>
              </w:rPr>
            </w:r>
            <w:r w:rsidR="00033A19">
              <w:rPr>
                <w:noProof/>
                <w:webHidden/>
              </w:rPr>
              <w:fldChar w:fldCharType="separate"/>
            </w:r>
            <w:r w:rsidR="00033A19">
              <w:rPr>
                <w:noProof/>
                <w:webHidden/>
              </w:rPr>
              <w:t>3</w:t>
            </w:r>
            <w:r w:rsidR="00033A19">
              <w:rPr>
                <w:noProof/>
                <w:webHidden/>
              </w:rPr>
              <w:fldChar w:fldCharType="end"/>
            </w:r>
          </w:hyperlink>
        </w:p>
        <w:p w14:paraId="5E6BB72B" w14:textId="69D1C165" w:rsidR="00033A19" w:rsidRDefault="00C85CE1">
          <w:pPr>
            <w:pStyle w:val="TOC2"/>
            <w:tabs>
              <w:tab w:val="right" w:leader="dot" w:pos="9016"/>
            </w:tabs>
            <w:rPr>
              <w:rFonts w:eastAsiaTheme="minorEastAsia"/>
              <w:noProof/>
              <w:lang w:eastAsia="en-AU"/>
            </w:rPr>
          </w:pPr>
          <w:hyperlink w:anchor="_Toc45802587" w:history="1">
            <w:r w:rsidR="00033A19" w:rsidRPr="00F662C1">
              <w:rPr>
                <w:rStyle w:val="Hyperlink"/>
                <w:noProof/>
              </w:rPr>
              <w:t>2.2 When does an amenity impact occur?</w:t>
            </w:r>
            <w:r w:rsidR="00033A19">
              <w:rPr>
                <w:noProof/>
                <w:webHidden/>
              </w:rPr>
              <w:tab/>
            </w:r>
            <w:r w:rsidR="00033A19">
              <w:rPr>
                <w:noProof/>
                <w:webHidden/>
              </w:rPr>
              <w:fldChar w:fldCharType="begin"/>
            </w:r>
            <w:r w:rsidR="00033A19">
              <w:rPr>
                <w:noProof/>
                <w:webHidden/>
              </w:rPr>
              <w:instrText xml:space="preserve"> PAGEREF _Toc45802587 \h </w:instrText>
            </w:r>
            <w:r w:rsidR="00033A19">
              <w:rPr>
                <w:noProof/>
                <w:webHidden/>
              </w:rPr>
            </w:r>
            <w:r w:rsidR="00033A19">
              <w:rPr>
                <w:noProof/>
                <w:webHidden/>
              </w:rPr>
              <w:fldChar w:fldCharType="separate"/>
            </w:r>
            <w:r w:rsidR="00033A19">
              <w:rPr>
                <w:noProof/>
                <w:webHidden/>
              </w:rPr>
              <w:t>3</w:t>
            </w:r>
            <w:r w:rsidR="00033A19">
              <w:rPr>
                <w:noProof/>
                <w:webHidden/>
              </w:rPr>
              <w:fldChar w:fldCharType="end"/>
            </w:r>
          </w:hyperlink>
        </w:p>
        <w:p w14:paraId="655EE734" w14:textId="7A0B5D1A" w:rsidR="00033A19" w:rsidRDefault="00C85CE1">
          <w:pPr>
            <w:pStyle w:val="TOC2"/>
            <w:tabs>
              <w:tab w:val="right" w:leader="dot" w:pos="9016"/>
            </w:tabs>
            <w:rPr>
              <w:rFonts w:eastAsiaTheme="minorEastAsia"/>
              <w:noProof/>
              <w:lang w:eastAsia="en-AU"/>
            </w:rPr>
          </w:pPr>
          <w:hyperlink w:anchor="_Toc45802588" w:history="1">
            <w:r w:rsidR="00033A19" w:rsidRPr="00F662C1">
              <w:rPr>
                <w:rStyle w:val="Hyperlink"/>
                <w:noProof/>
              </w:rPr>
              <w:t>2.3 What is hoarding?</w:t>
            </w:r>
            <w:r w:rsidR="00033A19">
              <w:rPr>
                <w:noProof/>
                <w:webHidden/>
              </w:rPr>
              <w:tab/>
            </w:r>
            <w:r w:rsidR="00033A19">
              <w:rPr>
                <w:noProof/>
                <w:webHidden/>
              </w:rPr>
              <w:fldChar w:fldCharType="begin"/>
            </w:r>
            <w:r w:rsidR="00033A19">
              <w:rPr>
                <w:noProof/>
                <w:webHidden/>
              </w:rPr>
              <w:instrText xml:space="preserve"> PAGEREF _Toc45802588 \h </w:instrText>
            </w:r>
            <w:r w:rsidR="00033A19">
              <w:rPr>
                <w:noProof/>
                <w:webHidden/>
              </w:rPr>
            </w:r>
            <w:r w:rsidR="00033A19">
              <w:rPr>
                <w:noProof/>
                <w:webHidden/>
              </w:rPr>
              <w:fldChar w:fldCharType="separate"/>
            </w:r>
            <w:r w:rsidR="00033A19">
              <w:rPr>
                <w:noProof/>
                <w:webHidden/>
              </w:rPr>
              <w:t>3</w:t>
            </w:r>
            <w:r w:rsidR="00033A19">
              <w:rPr>
                <w:noProof/>
                <w:webHidden/>
              </w:rPr>
              <w:fldChar w:fldCharType="end"/>
            </w:r>
          </w:hyperlink>
        </w:p>
        <w:p w14:paraId="04D89607" w14:textId="4504C519" w:rsidR="00033A19" w:rsidRDefault="00C85CE1">
          <w:pPr>
            <w:pStyle w:val="TOC1"/>
            <w:tabs>
              <w:tab w:val="right" w:leader="dot" w:pos="9016"/>
            </w:tabs>
            <w:rPr>
              <w:rFonts w:eastAsiaTheme="minorEastAsia"/>
              <w:noProof/>
              <w:lang w:eastAsia="en-AU"/>
            </w:rPr>
          </w:pPr>
          <w:hyperlink w:anchor="_Toc45802589" w:history="1">
            <w:r w:rsidR="00033A19" w:rsidRPr="00F662C1">
              <w:rPr>
                <w:rStyle w:val="Hyperlink"/>
                <w:noProof/>
              </w:rPr>
              <w:t>3 List of Key Principles</w:t>
            </w:r>
            <w:r w:rsidR="00033A19">
              <w:rPr>
                <w:noProof/>
                <w:webHidden/>
              </w:rPr>
              <w:tab/>
            </w:r>
            <w:r w:rsidR="00033A19">
              <w:rPr>
                <w:noProof/>
                <w:webHidden/>
              </w:rPr>
              <w:fldChar w:fldCharType="begin"/>
            </w:r>
            <w:r w:rsidR="00033A19">
              <w:rPr>
                <w:noProof/>
                <w:webHidden/>
              </w:rPr>
              <w:instrText xml:space="preserve"> PAGEREF _Toc45802589 \h </w:instrText>
            </w:r>
            <w:r w:rsidR="00033A19">
              <w:rPr>
                <w:noProof/>
                <w:webHidden/>
              </w:rPr>
            </w:r>
            <w:r w:rsidR="00033A19">
              <w:rPr>
                <w:noProof/>
                <w:webHidden/>
              </w:rPr>
              <w:fldChar w:fldCharType="separate"/>
            </w:r>
            <w:r w:rsidR="00033A19">
              <w:rPr>
                <w:noProof/>
                <w:webHidden/>
              </w:rPr>
              <w:t>4</w:t>
            </w:r>
            <w:r w:rsidR="00033A19">
              <w:rPr>
                <w:noProof/>
                <w:webHidden/>
              </w:rPr>
              <w:fldChar w:fldCharType="end"/>
            </w:r>
          </w:hyperlink>
        </w:p>
        <w:p w14:paraId="04003FBF" w14:textId="767E9C48" w:rsidR="00033A19" w:rsidRDefault="00C85CE1">
          <w:pPr>
            <w:pStyle w:val="TOC1"/>
            <w:tabs>
              <w:tab w:val="right" w:leader="dot" w:pos="9016"/>
            </w:tabs>
            <w:rPr>
              <w:rFonts w:eastAsiaTheme="minorEastAsia"/>
              <w:noProof/>
              <w:lang w:eastAsia="en-AU"/>
            </w:rPr>
          </w:pPr>
          <w:hyperlink w:anchor="_Toc45802590" w:history="1">
            <w:r w:rsidR="00033A19" w:rsidRPr="00F662C1">
              <w:rPr>
                <w:rStyle w:val="Hyperlink"/>
                <w:noProof/>
              </w:rPr>
              <w:t>4 List of Objectives</w:t>
            </w:r>
            <w:r w:rsidR="00033A19">
              <w:rPr>
                <w:noProof/>
                <w:webHidden/>
              </w:rPr>
              <w:tab/>
            </w:r>
            <w:r w:rsidR="00033A19">
              <w:rPr>
                <w:noProof/>
                <w:webHidden/>
              </w:rPr>
              <w:fldChar w:fldCharType="begin"/>
            </w:r>
            <w:r w:rsidR="00033A19">
              <w:rPr>
                <w:noProof/>
                <w:webHidden/>
              </w:rPr>
              <w:instrText xml:space="preserve"> PAGEREF _Toc45802590 \h </w:instrText>
            </w:r>
            <w:r w:rsidR="00033A19">
              <w:rPr>
                <w:noProof/>
                <w:webHidden/>
              </w:rPr>
            </w:r>
            <w:r w:rsidR="00033A19">
              <w:rPr>
                <w:noProof/>
                <w:webHidden/>
              </w:rPr>
              <w:fldChar w:fldCharType="separate"/>
            </w:r>
            <w:r w:rsidR="00033A19">
              <w:rPr>
                <w:noProof/>
                <w:webHidden/>
              </w:rPr>
              <w:t>4</w:t>
            </w:r>
            <w:r w:rsidR="00033A19">
              <w:rPr>
                <w:noProof/>
                <w:webHidden/>
              </w:rPr>
              <w:fldChar w:fldCharType="end"/>
            </w:r>
          </w:hyperlink>
        </w:p>
        <w:p w14:paraId="189A3484" w14:textId="77108505" w:rsidR="00033A19" w:rsidRDefault="00C85CE1">
          <w:pPr>
            <w:pStyle w:val="TOC1"/>
            <w:tabs>
              <w:tab w:val="right" w:leader="dot" w:pos="9016"/>
            </w:tabs>
            <w:rPr>
              <w:rFonts w:eastAsiaTheme="minorEastAsia"/>
              <w:noProof/>
              <w:lang w:eastAsia="en-AU"/>
            </w:rPr>
          </w:pPr>
          <w:hyperlink w:anchor="_Toc45802591" w:history="1">
            <w:r w:rsidR="00033A19" w:rsidRPr="00F662C1">
              <w:rPr>
                <w:rStyle w:val="Hyperlink"/>
                <w:noProof/>
              </w:rPr>
              <w:t>5 Investigating Amenity Impacts</w:t>
            </w:r>
            <w:r w:rsidR="00033A19">
              <w:rPr>
                <w:noProof/>
                <w:webHidden/>
              </w:rPr>
              <w:tab/>
            </w:r>
            <w:r w:rsidR="00033A19">
              <w:rPr>
                <w:noProof/>
                <w:webHidden/>
              </w:rPr>
              <w:fldChar w:fldCharType="begin"/>
            </w:r>
            <w:r w:rsidR="00033A19">
              <w:rPr>
                <w:noProof/>
                <w:webHidden/>
              </w:rPr>
              <w:instrText xml:space="preserve"> PAGEREF _Toc45802591 \h </w:instrText>
            </w:r>
            <w:r w:rsidR="00033A19">
              <w:rPr>
                <w:noProof/>
                <w:webHidden/>
              </w:rPr>
            </w:r>
            <w:r w:rsidR="00033A19">
              <w:rPr>
                <w:noProof/>
                <w:webHidden/>
              </w:rPr>
              <w:fldChar w:fldCharType="separate"/>
            </w:r>
            <w:r w:rsidR="00033A19">
              <w:rPr>
                <w:noProof/>
                <w:webHidden/>
              </w:rPr>
              <w:t>4</w:t>
            </w:r>
            <w:r w:rsidR="00033A19">
              <w:rPr>
                <w:noProof/>
                <w:webHidden/>
              </w:rPr>
              <w:fldChar w:fldCharType="end"/>
            </w:r>
          </w:hyperlink>
        </w:p>
        <w:p w14:paraId="6EDD7348" w14:textId="1EA26D53" w:rsidR="00033A19" w:rsidRDefault="00C85CE1">
          <w:pPr>
            <w:pStyle w:val="TOC2"/>
            <w:tabs>
              <w:tab w:val="right" w:leader="dot" w:pos="9016"/>
            </w:tabs>
            <w:rPr>
              <w:rFonts w:eastAsiaTheme="minorEastAsia"/>
              <w:noProof/>
              <w:lang w:eastAsia="en-AU"/>
            </w:rPr>
          </w:pPr>
          <w:hyperlink w:anchor="_Toc45802592" w:history="1">
            <w:r w:rsidR="00033A19" w:rsidRPr="00F662C1">
              <w:rPr>
                <w:rStyle w:val="Hyperlink"/>
                <w:noProof/>
              </w:rPr>
              <w:t>5.1 Property visit and assessment</w:t>
            </w:r>
            <w:r w:rsidR="00033A19">
              <w:rPr>
                <w:noProof/>
                <w:webHidden/>
              </w:rPr>
              <w:tab/>
            </w:r>
            <w:r w:rsidR="00033A19">
              <w:rPr>
                <w:noProof/>
                <w:webHidden/>
              </w:rPr>
              <w:fldChar w:fldCharType="begin"/>
            </w:r>
            <w:r w:rsidR="00033A19">
              <w:rPr>
                <w:noProof/>
                <w:webHidden/>
              </w:rPr>
              <w:instrText xml:space="preserve"> PAGEREF _Toc45802592 \h </w:instrText>
            </w:r>
            <w:r w:rsidR="00033A19">
              <w:rPr>
                <w:noProof/>
                <w:webHidden/>
              </w:rPr>
            </w:r>
            <w:r w:rsidR="00033A19">
              <w:rPr>
                <w:noProof/>
                <w:webHidden/>
              </w:rPr>
              <w:fldChar w:fldCharType="separate"/>
            </w:r>
            <w:r w:rsidR="00033A19">
              <w:rPr>
                <w:noProof/>
                <w:webHidden/>
              </w:rPr>
              <w:t>5</w:t>
            </w:r>
            <w:r w:rsidR="00033A19">
              <w:rPr>
                <w:noProof/>
                <w:webHidden/>
              </w:rPr>
              <w:fldChar w:fldCharType="end"/>
            </w:r>
          </w:hyperlink>
        </w:p>
        <w:p w14:paraId="409C8E5D" w14:textId="1BB267BA" w:rsidR="00033A19" w:rsidRDefault="00C85CE1">
          <w:pPr>
            <w:pStyle w:val="TOC2"/>
            <w:tabs>
              <w:tab w:val="right" w:leader="dot" w:pos="9016"/>
            </w:tabs>
            <w:rPr>
              <w:rFonts w:eastAsiaTheme="minorEastAsia"/>
              <w:noProof/>
              <w:lang w:eastAsia="en-AU"/>
            </w:rPr>
          </w:pPr>
          <w:hyperlink w:anchor="_Toc45802593" w:history="1">
            <w:r w:rsidR="00033A19" w:rsidRPr="00F662C1">
              <w:rPr>
                <w:rStyle w:val="Hyperlink"/>
                <w:noProof/>
              </w:rPr>
              <w:t>5.2 Referral to an interagency group</w:t>
            </w:r>
            <w:r w:rsidR="00033A19">
              <w:rPr>
                <w:noProof/>
                <w:webHidden/>
              </w:rPr>
              <w:tab/>
            </w:r>
            <w:r w:rsidR="00033A19">
              <w:rPr>
                <w:noProof/>
                <w:webHidden/>
              </w:rPr>
              <w:fldChar w:fldCharType="begin"/>
            </w:r>
            <w:r w:rsidR="00033A19">
              <w:rPr>
                <w:noProof/>
                <w:webHidden/>
              </w:rPr>
              <w:instrText xml:space="preserve"> PAGEREF _Toc45802593 \h </w:instrText>
            </w:r>
            <w:r w:rsidR="00033A19">
              <w:rPr>
                <w:noProof/>
                <w:webHidden/>
              </w:rPr>
            </w:r>
            <w:r w:rsidR="00033A19">
              <w:rPr>
                <w:noProof/>
                <w:webHidden/>
              </w:rPr>
              <w:fldChar w:fldCharType="separate"/>
            </w:r>
            <w:r w:rsidR="00033A19">
              <w:rPr>
                <w:noProof/>
                <w:webHidden/>
              </w:rPr>
              <w:t>6</w:t>
            </w:r>
            <w:r w:rsidR="00033A19">
              <w:rPr>
                <w:noProof/>
                <w:webHidden/>
              </w:rPr>
              <w:fldChar w:fldCharType="end"/>
            </w:r>
          </w:hyperlink>
        </w:p>
        <w:p w14:paraId="510E4D57" w14:textId="047701E2" w:rsidR="00033A19" w:rsidRDefault="00C85CE1">
          <w:pPr>
            <w:pStyle w:val="TOC2"/>
            <w:tabs>
              <w:tab w:val="right" w:leader="dot" w:pos="9016"/>
            </w:tabs>
            <w:rPr>
              <w:rFonts w:eastAsiaTheme="minorEastAsia"/>
              <w:noProof/>
              <w:lang w:eastAsia="en-AU"/>
            </w:rPr>
          </w:pPr>
          <w:hyperlink w:anchor="_Toc45802594" w:history="1">
            <w:r w:rsidR="00033A19" w:rsidRPr="00F662C1">
              <w:rPr>
                <w:rStyle w:val="Hyperlink"/>
                <w:noProof/>
              </w:rPr>
              <w:t>5.3 Complementary legislation</w:t>
            </w:r>
            <w:r w:rsidR="00033A19">
              <w:rPr>
                <w:noProof/>
                <w:webHidden/>
              </w:rPr>
              <w:tab/>
            </w:r>
            <w:r w:rsidR="00033A19">
              <w:rPr>
                <w:noProof/>
                <w:webHidden/>
              </w:rPr>
              <w:fldChar w:fldCharType="begin"/>
            </w:r>
            <w:r w:rsidR="00033A19">
              <w:rPr>
                <w:noProof/>
                <w:webHidden/>
              </w:rPr>
              <w:instrText xml:space="preserve"> PAGEREF _Toc45802594 \h </w:instrText>
            </w:r>
            <w:r w:rsidR="00033A19">
              <w:rPr>
                <w:noProof/>
                <w:webHidden/>
              </w:rPr>
            </w:r>
            <w:r w:rsidR="00033A19">
              <w:rPr>
                <w:noProof/>
                <w:webHidden/>
              </w:rPr>
              <w:fldChar w:fldCharType="separate"/>
            </w:r>
            <w:r w:rsidR="00033A19">
              <w:rPr>
                <w:noProof/>
                <w:webHidden/>
              </w:rPr>
              <w:t>6</w:t>
            </w:r>
            <w:r w:rsidR="00033A19">
              <w:rPr>
                <w:noProof/>
                <w:webHidden/>
              </w:rPr>
              <w:fldChar w:fldCharType="end"/>
            </w:r>
          </w:hyperlink>
        </w:p>
        <w:p w14:paraId="2CB9EE5B" w14:textId="5AFB3F4F" w:rsidR="00033A19" w:rsidRDefault="00C85CE1">
          <w:pPr>
            <w:pStyle w:val="TOC1"/>
            <w:tabs>
              <w:tab w:val="right" w:leader="dot" w:pos="9016"/>
            </w:tabs>
            <w:rPr>
              <w:rFonts w:eastAsiaTheme="minorEastAsia"/>
              <w:noProof/>
              <w:lang w:eastAsia="en-AU"/>
            </w:rPr>
          </w:pPr>
          <w:hyperlink w:anchor="_Toc45802595" w:history="1">
            <w:r w:rsidR="00033A19" w:rsidRPr="00F662C1">
              <w:rPr>
                <w:rStyle w:val="Hyperlink"/>
                <w:noProof/>
              </w:rPr>
              <w:t>6 Referral to Support Services</w:t>
            </w:r>
            <w:r w:rsidR="00033A19">
              <w:rPr>
                <w:noProof/>
                <w:webHidden/>
              </w:rPr>
              <w:tab/>
            </w:r>
            <w:r w:rsidR="00033A19">
              <w:rPr>
                <w:noProof/>
                <w:webHidden/>
              </w:rPr>
              <w:fldChar w:fldCharType="begin"/>
            </w:r>
            <w:r w:rsidR="00033A19">
              <w:rPr>
                <w:noProof/>
                <w:webHidden/>
              </w:rPr>
              <w:instrText xml:space="preserve"> PAGEREF _Toc45802595 \h </w:instrText>
            </w:r>
            <w:r w:rsidR="00033A19">
              <w:rPr>
                <w:noProof/>
                <w:webHidden/>
              </w:rPr>
            </w:r>
            <w:r w:rsidR="00033A19">
              <w:rPr>
                <w:noProof/>
                <w:webHidden/>
              </w:rPr>
              <w:fldChar w:fldCharType="separate"/>
            </w:r>
            <w:r w:rsidR="00033A19">
              <w:rPr>
                <w:noProof/>
                <w:webHidden/>
              </w:rPr>
              <w:t>6</w:t>
            </w:r>
            <w:r w:rsidR="00033A19">
              <w:rPr>
                <w:noProof/>
                <w:webHidden/>
              </w:rPr>
              <w:fldChar w:fldCharType="end"/>
            </w:r>
          </w:hyperlink>
        </w:p>
        <w:p w14:paraId="73F9D42D" w14:textId="6FE2B746" w:rsidR="00033A19" w:rsidRDefault="00C85CE1">
          <w:pPr>
            <w:pStyle w:val="TOC1"/>
            <w:tabs>
              <w:tab w:val="right" w:leader="dot" w:pos="9016"/>
            </w:tabs>
            <w:rPr>
              <w:rFonts w:eastAsiaTheme="minorEastAsia"/>
              <w:noProof/>
              <w:lang w:eastAsia="en-AU"/>
            </w:rPr>
          </w:pPr>
          <w:hyperlink w:anchor="_Toc45802596" w:history="1">
            <w:r w:rsidR="00033A19" w:rsidRPr="00F662C1">
              <w:rPr>
                <w:rStyle w:val="Hyperlink"/>
                <w:noProof/>
              </w:rPr>
              <w:t>7 The Regulatory Approach</w:t>
            </w:r>
            <w:r w:rsidR="00033A19">
              <w:rPr>
                <w:noProof/>
                <w:webHidden/>
              </w:rPr>
              <w:tab/>
            </w:r>
            <w:r w:rsidR="00033A19">
              <w:rPr>
                <w:noProof/>
                <w:webHidden/>
              </w:rPr>
              <w:fldChar w:fldCharType="begin"/>
            </w:r>
            <w:r w:rsidR="00033A19">
              <w:rPr>
                <w:noProof/>
                <w:webHidden/>
              </w:rPr>
              <w:instrText xml:space="preserve"> PAGEREF _Toc45802596 \h </w:instrText>
            </w:r>
            <w:r w:rsidR="00033A19">
              <w:rPr>
                <w:noProof/>
                <w:webHidden/>
              </w:rPr>
            </w:r>
            <w:r w:rsidR="00033A19">
              <w:rPr>
                <w:noProof/>
                <w:webHidden/>
              </w:rPr>
              <w:fldChar w:fldCharType="separate"/>
            </w:r>
            <w:r w:rsidR="00033A19">
              <w:rPr>
                <w:noProof/>
                <w:webHidden/>
              </w:rPr>
              <w:t>7</w:t>
            </w:r>
            <w:r w:rsidR="00033A19">
              <w:rPr>
                <w:noProof/>
                <w:webHidden/>
              </w:rPr>
              <w:fldChar w:fldCharType="end"/>
            </w:r>
          </w:hyperlink>
        </w:p>
        <w:p w14:paraId="524DA840" w14:textId="5C00B888" w:rsidR="00033A19" w:rsidRDefault="00C85CE1">
          <w:pPr>
            <w:pStyle w:val="TOC2"/>
            <w:tabs>
              <w:tab w:val="right" w:leader="dot" w:pos="9016"/>
            </w:tabs>
            <w:rPr>
              <w:rFonts w:eastAsiaTheme="minorEastAsia"/>
              <w:noProof/>
              <w:lang w:eastAsia="en-AU"/>
            </w:rPr>
          </w:pPr>
          <w:hyperlink w:anchor="_Toc45802597" w:history="1">
            <w:r w:rsidR="00033A19" w:rsidRPr="00F662C1">
              <w:rPr>
                <w:rStyle w:val="Hyperlink"/>
                <w:noProof/>
              </w:rPr>
              <w:t>7.1 The regulatory pathway</w:t>
            </w:r>
            <w:r w:rsidR="00033A19">
              <w:rPr>
                <w:noProof/>
                <w:webHidden/>
              </w:rPr>
              <w:tab/>
            </w:r>
            <w:r w:rsidR="00033A19">
              <w:rPr>
                <w:noProof/>
                <w:webHidden/>
              </w:rPr>
              <w:fldChar w:fldCharType="begin"/>
            </w:r>
            <w:r w:rsidR="00033A19">
              <w:rPr>
                <w:noProof/>
                <w:webHidden/>
              </w:rPr>
              <w:instrText xml:space="preserve"> PAGEREF _Toc45802597 \h </w:instrText>
            </w:r>
            <w:r w:rsidR="00033A19">
              <w:rPr>
                <w:noProof/>
                <w:webHidden/>
              </w:rPr>
            </w:r>
            <w:r w:rsidR="00033A19">
              <w:rPr>
                <w:noProof/>
                <w:webHidden/>
              </w:rPr>
              <w:fldChar w:fldCharType="separate"/>
            </w:r>
            <w:r w:rsidR="00033A19">
              <w:rPr>
                <w:noProof/>
                <w:webHidden/>
              </w:rPr>
              <w:t>7</w:t>
            </w:r>
            <w:r w:rsidR="00033A19">
              <w:rPr>
                <w:noProof/>
                <w:webHidden/>
              </w:rPr>
              <w:fldChar w:fldCharType="end"/>
            </w:r>
          </w:hyperlink>
        </w:p>
        <w:p w14:paraId="083C7A4B" w14:textId="643FA92C" w:rsidR="00033A19" w:rsidRDefault="00C85CE1">
          <w:pPr>
            <w:pStyle w:val="TOC2"/>
            <w:tabs>
              <w:tab w:val="right" w:leader="dot" w:pos="9016"/>
            </w:tabs>
            <w:rPr>
              <w:rFonts w:eastAsiaTheme="minorEastAsia"/>
              <w:noProof/>
              <w:lang w:eastAsia="en-AU"/>
            </w:rPr>
          </w:pPr>
          <w:hyperlink w:anchor="_Toc45802598" w:history="1">
            <w:r w:rsidR="00033A19" w:rsidRPr="00F662C1">
              <w:rPr>
                <w:rStyle w:val="Hyperlink"/>
                <w:noProof/>
              </w:rPr>
              <w:t>7.2 Suggested regulatory pathway</w:t>
            </w:r>
            <w:r w:rsidR="00033A19">
              <w:rPr>
                <w:noProof/>
                <w:webHidden/>
              </w:rPr>
              <w:tab/>
            </w:r>
            <w:r w:rsidR="00033A19">
              <w:rPr>
                <w:noProof/>
                <w:webHidden/>
              </w:rPr>
              <w:fldChar w:fldCharType="begin"/>
            </w:r>
            <w:r w:rsidR="00033A19">
              <w:rPr>
                <w:noProof/>
                <w:webHidden/>
              </w:rPr>
              <w:instrText xml:space="preserve"> PAGEREF _Toc45802598 \h </w:instrText>
            </w:r>
            <w:r w:rsidR="00033A19">
              <w:rPr>
                <w:noProof/>
                <w:webHidden/>
              </w:rPr>
            </w:r>
            <w:r w:rsidR="00033A19">
              <w:rPr>
                <w:noProof/>
                <w:webHidden/>
              </w:rPr>
              <w:fldChar w:fldCharType="separate"/>
            </w:r>
            <w:r w:rsidR="00033A19">
              <w:rPr>
                <w:noProof/>
                <w:webHidden/>
              </w:rPr>
              <w:t>7</w:t>
            </w:r>
            <w:r w:rsidR="00033A19">
              <w:rPr>
                <w:noProof/>
                <w:webHidden/>
              </w:rPr>
              <w:fldChar w:fldCharType="end"/>
            </w:r>
          </w:hyperlink>
        </w:p>
        <w:p w14:paraId="132C36F6" w14:textId="0C6F6332" w:rsidR="00033A19" w:rsidRDefault="00C85CE1">
          <w:pPr>
            <w:pStyle w:val="TOC3"/>
            <w:tabs>
              <w:tab w:val="right" w:leader="dot" w:pos="9016"/>
            </w:tabs>
            <w:rPr>
              <w:rFonts w:eastAsiaTheme="minorEastAsia"/>
              <w:noProof/>
              <w:lang w:eastAsia="en-AU"/>
            </w:rPr>
          </w:pPr>
          <w:hyperlink w:anchor="_Toc45802599" w:history="1">
            <w:r w:rsidR="00033A19" w:rsidRPr="00F662C1">
              <w:rPr>
                <w:rStyle w:val="Hyperlink"/>
                <w:noProof/>
              </w:rPr>
              <w:t>Investigation</w:t>
            </w:r>
            <w:r w:rsidR="00033A19">
              <w:rPr>
                <w:noProof/>
                <w:webHidden/>
              </w:rPr>
              <w:tab/>
            </w:r>
            <w:r w:rsidR="00033A19">
              <w:rPr>
                <w:noProof/>
                <w:webHidden/>
              </w:rPr>
              <w:fldChar w:fldCharType="begin"/>
            </w:r>
            <w:r w:rsidR="00033A19">
              <w:rPr>
                <w:noProof/>
                <w:webHidden/>
              </w:rPr>
              <w:instrText xml:space="preserve"> PAGEREF _Toc45802599 \h </w:instrText>
            </w:r>
            <w:r w:rsidR="00033A19">
              <w:rPr>
                <w:noProof/>
                <w:webHidden/>
              </w:rPr>
            </w:r>
            <w:r w:rsidR="00033A19">
              <w:rPr>
                <w:noProof/>
                <w:webHidden/>
              </w:rPr>
              <w:fldChar w:fldCharType="separate"/>
            </w:r>
            <w:r w:rsidR="00033A19">
              <w:rPr>
                <w:noProof/>
                <w:webHidden/>
              </w:rPr>
              <w:t>7</w:t>
            </w:r>
            <w:r w:rsidR="00033A19">
              <w:rPr>
                <w:noProof/>
                <w:webHidden/>
              </w:rPr>
              <w:fldChar w:fldCharType="end"/>
            </w:r>
          </w:hyperlink>
        </w:p>
        <w:p w14:paraId="2245392F" w14:textId="2284EA42" w:rsidR="00033A19" w:rsidRDefault="00C85CE1">
          <w:pPr>
            <w:pStyle w:val="TOC3"/>
            <w:tabs>
              <w:tab w:val="right" w:leader="dot" w:pos="9016"/>
            </w:tabs>
            <w:rPr>
              <w:rFonts w:eastAsiaTheme="minorEastAsia"/>
              <w:noProof/>
              <w:lang w:eastAsia="en-AU"/>
            </w:rPr>
          </w:pPr>
          <w:hyperlink w:anchor="_Toc45802600" w:history="1">
            <w:r w:rsidR="00033A19" w:rsidRPr="00F662C1">
              <w:rPr>
                <w:rStyle w:val="Hyperlink"/>
                <w:noProof/>
              </w:rPr>
              <w:t>Engagement, education and referral</w:t>
            </w:r>
            <w:r w:rsidR="00033A19">
              <w:rPr>
                <w:noProof/>
                <w:webHidden/>
              </w:rPr>
              <w:tab/>
            </w:r>
            <w:r w:rsidR="00033A19">
              <w:rPr>
                <w:noProof/>
                <w:webHidden/>
              </w:rPr>
              <w:fldChar w:fldCharType="begin"/>
            </w:r>
            <w:r w:rsidR="00033A19">
              <w:rPr>
                <w:noProof/>
                <w:webHidden/>
              </w:rPr>
              <w:instrText xml:space="preserve"> PAGEREF _Toc45802600 \h </w:instrText>
            </w:r>
            <w:r w:rsidR="00033A19">
              <w:rPr>
                <w:noProof/>
                <w:webHidden/>
              </w:rPr>
            </w:r>
            <w:r w:rsidR="00033A19">
              <w:rPr>
                <w:noProof/>
                <w:webHidden/>
              </w:rPr>
              <w:fldChar w:fldCharType="separate"/>
            </w:r>
            <w:r w:rsidR="00033A19">
              <w:rPr>
                <w:noProof/>
                <w:webHidden/>
              </w:rPr>
              <w:t>8</w:t>
            </w:r>
            <w:r w:rsidR="00033A19">
              <w:rPr>
                <w:noProof/>
                <w:webHidden/>
              </w:rPr>
              <w:fldChar w:fldCharType="end"/>
            </w:r>
          </w:hyperlink>
        </w:p>
        <w:p w14:paraId="54AF944B" w14:textId="761E2F71" w:rsidR="00033A19" w:rsidRDefault="00C85CE1">
          <w:pPr>
            <w:pStyle w:val="TOC3"/>
            <w:tabs>
              <w:tab w:val="right" w:leader="dot" w:pos="9016"/>
            </w:tabs>
            <w:rPr>
              <w:rFonts w:eastAsiaTheme="minorEastAsia"/>
              <w:noProof/>
              <w:lang w:eastAsia="en-AU"/>
            </w:rPr>
          </w:pPr>
          <w:hyperlink w:anchor="_Toc45802601" w:history="1">
            <w:r w:rsidR="00033A19" w:rsidRPr="00F662C1">
              <w:rPr>
                <w:rStyle w:val="Hyperlink"/>
                <w:noProof/>
              </w:rPr>
              <w:t>Show cause notice</w:t>
            </w:r>
            <w:r w:rsidR="00033A19">
              <w:rPr>
                <w:noProof/>
                <w:webHidden/>
              </w:rPr>
              <w:tab/>
            </w:r>
            <w:r w:rsidR="00033A19">
              <w:rPr>
                <w:noProof/>
                <w:webHidden/>
              </w:rPr>
              <w:fldChar w:fldCharType="begin"/>
            </w:r>
            <w:r w:rsidR="00033A19">
              <w:rPr>
                <w:noProof/>
                <w:webHidden/>
              </w:rPr>
              <w:instrText xml:space="preserve"> PAGEREF _Toc45802601 \h </w:instrText>
            </w:r>
            <w:r w:rsidR="00033A19">
              <w:rPr>
                <w:noProof/>
                <w:webHidden/>
              </w:rPr>
            </w:r>
            <w:r w:rsidR="00033A19">
              <w:rPr>
                <w:noProof/>
                <w:webHidden/>
              </w:rPr>
              <w:fldChar w:fldCharType="separate"/>
            </w:r>
            <w:r w:rsidR="00033A19">
              <w:rPr>
                <w:noProof/>
                <w:webHidden/>
              </w:rPr>
              <w:t>8</w:t>
            </w:r>
            <w:r w:rsidR="00033A19">
              <w:rPr>
                <w:noProof/>
                <w:webHidden/>
              </w:rPr>
              <w:fldChar w:fldCharType="end"/>
            </w:r>
          </w:hyperlink>
        </w:p>
        <w:p w14:paraId="6ED8E160" w14:textId="0E34E540" w:rsidR="00033A19" w:rsidRDefault="00C85CE1">
          <w:pPr>
            <w:pStyle w:val="TOC3"/>
            <w:tabs>
              <w:tab w:val="right" w:leader="dot" w:pos="9016"/>
            </w:tabs>
            <w:rPr>
              <w:rFonts w:eastAsiaTheme="minorEastAsia"/>
              <w:noProof/>
              <w:lang w:eastAsia="en-AU"/>
            </w:rPr>
          </w:pPr>
          <w:hyperlink w:anchor="_Toc45802602" w:history="1">
            <w:r w:rsidR="00033A19" w:rsidRPr="00F662C1">
              <w:rPr>
                <w:rStyle w:val="Hyperlink"/>
                <w:noProof/>
              </w:rPr>
              <w:t>Abatement notice</w:t>
            </w:r>
            <w:r w:rsidR="00033A19">
              <w:rPr>
                <w:noProof/>
                <w:webHidden/>
              </w:rPr>
              <w:tab/>
            </w:r>
            <w:r w:rsidR="00033A19">
              <w:rPr>
                <w:noProof/>
                <w:webHidden/>
              </w:rPr>
              <w:fldChar w:fldCharType="begin"/>
            </w:r>
            <w:r w:rsidR="00033A19">
              <w:rPr>
                <w:noProof/>
                <w:webHidden/>
              </w:rPr>
              <w:instrText xml:space="preserve"> PAGEREF _Toc45802602 \h </w:instrText>
            </w:r>
            <w:r w:rsidR="00033A19">
              <w:rPr>
                <w:noProof/>
                <w:webHidden/>
              </w:rPr>
            </w:r>
            <w:r w:rsidR="00033A19">
              <w:rPr>
                <w:noProof/>
                <w:webHidden/>
              </w:rPr>
              <w:fldChar w:fldCharType="separate"/>
            </w:r>
            <w:r w:rsidR="00033A19">
              <w:rPr>
                <w:noProof/>
                <w:webHidden/>
              </w:rPr>
              <w:t>8</w:t>
            </w:r>
            <w:r w:rsidR="00033A19">
              <w:rPr>
                <w:noProof/>
                <w:webHidden/>
              </w:rPr>
              <w:fldChar w:fldCharType="end"/>
            </w:r>
          </w:hyperlink>
        </w:p>
        <w:p w14:paraId="114B21CE" w14:textId="44CD9BD5" w:rsidR="00033A19" w:rsidRDefault="00C85CE1">
          <w:pPr>
            <w:pStyle w:val="TOC3"/>
            <w:tabs>
              <w:tab w:val="right" w:leader="dot" w:pos="9016"/>
            </w:tabs>
            <w:rPr>
              <w:rFonts w:eastAsiaTheme="minorEastAsia"/>
              <w:noProof/>
              <w:lang w:eastAsia="en-AU"/>
            </w:rPr>
          </w:pPr>
          <w:hyperlink w:anchor="_Toc45802603" w:history="1">
            <w:r w:rsidR="00033A19" w:rsidRPr="00F662C1">
              <w:rPr>
                <w:rStyle w:val="Hyperlink"/>
                <w:noProof/>
              </w:rPr>
              <w:t>Abatement order</w:t>
            </w:r>
            <w:r w:rsidR="00033A19">
              <w:rPr>
                <w:noProof/>
                <w:webHidden/>
              </w:rPr>
              <w:tab/>
            </w:r>
            <w:r w:rsidR="00033A19">
              <w:rPr>
                <w:noProof/>
                <w:webHidden/>
              </w:rPr>
              <w:fldChar w:fldCharType="begin"/>
            </w:r>
            <w:r w:rsidR="00033A19">
              <w:rPr>
                <w:noProof/>
                <w:webHidden/>
              </w:rPr>
              <w:instrText xml:space="preserve"> PAGEREF _Toc45802603 \h </w:instrText>
            </w:r>
            <w:r w:rsidR="00033A19">
              <w:rPr>
                <w:noProof/>
                <w:webHidden/>
              </w:rPr>
            </w:r>
            <w:r w:rsidR="00033A19">
              <w:rPr>
                <w:noProof/>
                <w:webHidden/>
              </w:rPr>
              <w:fldChar w:fldCharType="separate"/>
            </w:r>
            <w:r w:rsidR="00033A19">
              <w:rPr>
                <w:noProof/>
                <w:webHidden/>
              </w:rPr>
              <w:t>8</w:t>
            </w:r>
            <w:r w:rsidR="00033A19">
              <w:rPr>
                <w:noProof/>
                <w:webHidden/>
              </w:rPr>
              <w:fldChar w:fldCharType="end"/>
            </w:r>
          </w:hyperlink>
        </w:p>
        <w:p w14:paraId="0A5C8E1E" w14:textId="4316552B" w:rsidR="00033A19" w:rsidRDefault="00C85CE1">
          <w:pPr>
            <w:pStyle w:val="TOC2"/>
            <w:tabs>
              <w:tab w:val="right" w:leader="dot" w:pos="9016"/>
            </w:tabs>
            <w:rPr>
              <w:rFonts w:eastAsiaTheme="minorEastAsia"/>
              <w:noProof/>
              <w:lang w:eastAsia="en-AU"/>
            </w:rPr>
          </w:pPr>
          <w:hyperlink w:anchor="_Toc45802604" w:history="1">
            <w:r w:rsidR="00033A19" w:rsidRPr="00F662C1">
              <w:rPr>
                <w:rStyle w:val="Hyperlink"/>
                <w:noProof/>
              </w:rPr>
              <w:t>7.3 Review process</w:t>
            </w:r>
            <w:r w:rsidR="00033A19">
              <w:rPr>
                <w:noProof/>
                <w:webHidden/>
              </w:rPr>
              <w:tab/>
            </w:r>
            <w:r w:rsidR="00033A19">
              <w:rPr>
                <w:noProof/>
                <w:webHidden/>
              </w:rPr>
              <w:fldChar w:fldCharType="begin"/>
            </w:r>
            <w:r w:rsidR="00033A19">
              <w:rPr>
                <w:noProof/>
                <w:webHidden/>
              </w:rPr>
              <w:instrText xml:space="preserve"> PAGEREF _Toc45802604 \h </w:instrText>
            </w:r>
            <w:r w:rsidR="00033A19">
              <w:rPr>
                <w:noProof/>
                <w:webHidden/>
              </w:rPr>
            </w:r>
            <w:r w:rsidR="00033A19">
              <w:rPr>
                <w:noProof/>
                <w:webHidden/>
              </w:rPr>
              <w:fldChar w:fldCharType="separate"/>
            </w:r>
            <w:r w:rsidR="00033A19">
              <w:rPr>
                <w:noProof/>
                <w:webHidden/>
              </w:rPr>
              <w:t>9</w:t>
            </w:r>
            <w:r w:rsidR="00033A19">
              <w:rPr>
                <w:noProof/>
                <w:webHidden/>
              </w:rPr>
              <w:fldChar w:fldCharType="end"/>
            </w:r>
          </w:hyperlink>
        </w:p>
        <w:p w14:paraId="1BC4C3CE" w14:textId="77286E45" w:rsidR="00033A19" w:rsidRDefault="00C85CE1">
          <w:pPr>
            <w:pStyle w:val="TOC3"/>
            <w:tabs>
              <w:tab w:val="right" w:leader="dot" w:pos="9016"/>
            </w:tabs>
            <w:rPr>
              <w:rFonts w:eastAsiaTheme="minorEastAsia"/>
              <w:noProof/>
              <w:lang w:eastAsia="en-AU"/>
            </w:rPr>
          </w:pPr>
          <w:hyperlink w:anchor="_Toc45802605" w:history="1">
            <w:r w:rsidR="00033A19" w:rsidRPr="00F662C1">
              <w:rPr>
                <w:rStyle w:val="Hyperlink"/>
                <w:noProof/>
              </w:rPr>
              <w:t>Issuing of an abatement notice</w:t>
            </w:r>
            <w:r w:rsidR="00033A19">
              <w:rPr>
                <w:noProof/>
                <w:webHidden/>
              </w:rPr>
              <w:tab/>
            </w:r>
            <w:r w:rsidR="00033A19">
              <w:rPr>
                <w:noProof/>
                <w:webHidden/>
              </w:rPr>
              <w:fldChar w:fldCharType="begin"/>
            </w:r>
            <w:r w:rsidR="00033A19">
              <w:rPr>
                <w:noProof/>
                <w:webHidden/>
              </w:rPr>
              <w:instrText xml:space="preserve"> PAGEREF _Toc45802605 \h </w:instrText>
            </w:r>
            <w:r w:rsidR="00033A19">
              <w:rPr>
                <w:noProof/>
                <w:webHidden/>
              </w:rPr>
            </w:r>
            <w:r w:rsidR="00033A19">
              <w:rPr>
                <w:noProof/>
                <w:webHidden/>
              </w:rPr>
              <w:fldChar w:fldCharType="separate"/>
            </w:r>
            <w:r w:rsidR="00033A19">
              <w:rPr>
                <w:noProof/>
                <w:webHidden/>
              </w:rPr>
              <w:t>9</w:t>
            </w:r>
            <w:r w:rsidR="00033A19">
              <w:rPr>
                <w:noProof/>
                <w:webHidden/>
              </w:rPr>
              <w:fldChar w:fldCharType="end"/>
            </w:r>
          </w:hyperlink>
        </w:p>
        <w:p w14:paraId="6698846F" w14:textId="1302C7B0" w:rsidR="00033A19" w:rsidRDefault="00C85CE1">
          <w:pPr>
            <w:pStyle w:val="TOC3"/>
            <w:tabs>
              <w:tab w:val="right" w:leader="dot" w:pos="9016"/>
            </w:tabs>
            <w:rPr>
              <w:rFonts w:eastAsiaTheme="minorEastAsia"/>
              <w:noProof/>
              <w:lang w:eastAsia="en-AU"/>
            </w:rPr>
          </w:pPr>
          <w:hyperlink w:anchor="_Toc45802606" w:history="1">
            <w:r w:rsidR="00033A19" w:rsidRPr="00F662C1">
              <w:rPr>
                <w:rStyle w:val="Hyperlink"/>
                <w:noProof/>
              </w:rPr>
              <w:t>Extension or revocation of an abatement notice</w:t>
            </w:r>
            <w:r w:rsidR="00033A19">
              <w:rPr>
                <w:noProof/>
                <w:webHidden/>
              </w:rPr>
              <w:tab/>
            </w:r>
            <w:r w:rsidR="00033A19">
              <w:rPr>
                <w:noProof/>
                <w:webHidden/>
              </w:rPr>
              <w:fldChar w:fldCharType="begin"/>
            </w:r>
            <w:r w:rsidR="00033A19">
              <w:rPr>
                <w:noProof/>
                <w:webHidden/>
              </w:rPr>
              <w:instrText xml:space="preserve"> PAGEREF _Toc45802606 \h </w:instrText>
            </w:r>
            <w:r w:rsidR="00033A19">
              <w:rPr>
                <w:noProof/>
                <w:webHidden/>
              </w:rPr>
            </w:r>
            <w:r w:rsidR="00033A19">
              <w:rPr>
                <w:noProof/>
                <w:webHidden/>
              </w:rPr>
              <w:fldChar w:fldCharType="separate"/>
            </w:r>
            <w:r w:rsidR="00033A19">
              <w:rPr>
                <w:noProof/>
                <w:webHidden/>
              </w:rPr>
              <w:t>9</w:t>
            </w:r>
            <w:r w:rsidR="00033A19">
              <w:rPr>
                <w:noProof/>
                <w:webHidden/>
              </w:rPr>
              <w:fldChar w:fldCharType="end"/>
            </w:r>
          </w:hyperlink>
        </w:p>
        <w:p w14:paraId="041D84EC" w14:textId="4A04D516" w:rsidR="00033A19" w:rsidRDefault="00C85CE1">
          <w:pPr>
            <w:pStyle w:val="TOC3"/>
            <w:tabs>
              <w:tab w:val="right" w:leader="dot" w:pos="9016"/>
            </w:tabs>
            <w:rPr>
              <w:rFonts w:eastAsiaTheme="minorEastAsia"/>
              <w:noProof/>
              <w:lang w:eastAsia="en-AU"/>
            </w:rPr>
          </w:pPr>
          <w:hyperlink w:anchor="_Toc45802607" w:history="1">
            <w:r w:rsidR="00033A19" w:rsidRPr="00F662C1">
              <w:rPr>
                <w:rStyle w:val="Hyperlink"/>
                <w:noProof/>
              </w:rPr>
              <w:t>Appeal of an abatement order</w:t>
            </w:r>
            <w:r w:rsidR="00033A19">
              <w:rPr>
                <w:noProof/>
                <w:webHidden/>
              </w:rPr>
              <w:tab/>
            </w:r>
            <w:r w:rsidR="00033A19">
              <w:rPr>
                <w:noProof/>
                <w:webHidden/>
              </w:rPr>
              <w:fldChar w:fldCharType="begin"/>
            </w:r>
            <w:r w:rsidR="00033A19">
              <w:rPr>
                <w:noProof/>
                <w:webHidden/>
              </w:rPr>
              <w:instrText xml:space="preserve"> PAGEREF _Toc45802607 \h </w:instrText>
            </w:r>
            <w:r w:rsidR="00033A19">
              <w:rPr>
                <w:noProof/>
                <w:webHidden/>
              </w:rPr>
            </w:r>
            <w:r w:rsidR="00033A19">
              <w:rPr>
                <w:noProof/>
                <w:webHidden/>
              </w:rPr>
              <w:fldChar w:fldCharType="separate"/>
            </w:r>
            <w:r w:rsidR="00033A19">
              <w:rPr>
                <w:noProof/>
                <w:webHidden/>
              </w:rPr>
              <w:t>9</w:t>
            </w:r>
            <w:r w:rsidR="00033A19">
              <w:rPr>
                <w:noProof/>
                <w:webHidden/>
              </w:rPr>
              <w:fldChar w:fldCharType="end"/>
            </w:r>
          </w:hyperlink>
        </w:p>
        <w:p w14:paraId="7B81091A" w14:textId="112DB421" w:rsidR="00033A19" w:rsidRDefault="00C85CE1">
          <w:pPr>
            <w:pStyle w:val="TOC1"/>
            <w:tabs>
              <w:tab w:val="right" w:leader="dot" w:pos="9016"/>
            </w:tabs>
            <w:rPr>
              <w:rFonts w:eastAsiaTheme="minorEastAsia"/>
              <w:noProof/>
              <w:lang w:eastAsia="en-AU"/>
            </w:rPr>
          </w:pPr>
          <w:hyperlink w:anchor="_Toc45802608" w:history="1">
            <w:r w:rsidR="00033A19" w:rsidRPr="00F662C1">
              <w:rPr>
                <w:rStyle w:val="Hyperlink"/>
                <w:noProof/>
              </w:rPr>
              <w:t>8 Code of Practice Review</w:t>
            </w:r>
            <w:r w:rsidR="00033A19">
              <w:rPr>
                <w:noProof/>
                <w:webHidden/>
              </w:rPr>
              <w:tab/>
            </w:r>
            <w:r w:rsidR="00033A19">
              <w:rPr>
                <w:noProof/>
                <w:webHidden/>
              </w:rPr>
              <w:fldChar w:fldCharType="begin"/>
            </w:r>
            <w:r w:rsidR="00033A19">
              <w:rPr>
                <w:noProof/>
                <w:webHidden/>
              </w:rPr>
              <w:instrText xml:space="preserve"> PAGEREF _Toc45802608 \h </w:instrText>
            </w:r>
            <w:r w:rsidR="00033A19">
              <w:rPr>
                <w:noProof/>
                <w:webHidden/>
              </w:rPr>
            </w:r>
            <w:r w:rsidR="00033A19">
              <w:rPr>
                <w:noProof/>
                <w:webHidden/>
              </w:rPr>
              <w:fldChar w:fldCharType="separate"/>
            </w:r>
            <w:r w:rsidR="00033A19">
              <w:rPr>
                <w:noProof/>
                <w:webHidden/>
              </w:rPr>
              <w:t>9</w:t>
            </w:r>
            <w:r w:rsidR="00033A19">
              <w:rPr>
                <w:noProof/>
                <w:webHidden/>
              </w:rPr>
              <w:fldChar w:fldCharType="end"/>
            </w:r>
          </w:hyperlink>
        </w:p>
        <w:p w14:paraId="20473391" w14:textId="6C699DCF" w:rsidR="00033A19" w:rsidRDefault="00C85CE1">
          <w:pPr>
            <w:pStyle w:val="TOC1"/>
            <w:tabs>
              <w:tab w:val="right" w:leader="dot" w:pos="9016"/>
            </w:tabs>
            <w:rPr>
              <w:rFonts w:eastAsiaTheme="minorEastAsia"/>
              <w:noProof/>
              <w:lang w:eastAsia="en-AU"/>
            </w:rPr>
          </w:pPr>
          <w:hyperlink w:anchor="_Toc45802609" w:history="1">
            <w:r w:rsidR="00033A19" w:rsidRPr="00F662C1">
              <w:rPr>
                <w:rStyle w:val="Hyperlink"/>
                <w:noProof/>
              </w:rPr>
              <w:t>Appendix A - ACT Legislation Relating to Hoarding</w:t>
            </w:r>
            <w:r w:rsidR="00033A19">
              <w:rPr>
                <w:noProof/>
                <w:webHidden/>
              </w:rPr>
              <w:tab/>
            </w:r>
            <w:r w:rsidR="00033A19">
              <w:rPr>
                <w:noProof/>
                <w:webHidden/>
              </w:rPr>
              <w:fldChar w:fldCharType="begin"/>
            </w:r>
            <w:r w:rsidR="00033A19">
              <w:rPr>
                <w:noProof/>
                <w:webHidden/>
              </w:rPr>
              <w:instrText xml:space="preserve"> PAGEREF _Toc45802609 \h </w:instrText>
            </w:r>
            <w:r w:rsidR="00033A19">
              <w:rPr>
                <w:noProof/>
                <w:webHidden/>
              </w:rPr>
            </w:r>
            <w:r w:rsidR="00033A19">
              <w:rPr>
                <w:noProof/>
                <w:webHidden/>
              </w:rPr>
              <w:fldChar w:fldCharType="separate"/>
            </w:r>
            <w:r w:rsidR="00033A19">
              <w:rPr>
                <w:noProof/>
                <w:webHidden/>
              </w:rPr>
              <w:t>10</w:t>
            </w:r>
            <w:r w:rsidR="00033A19">
              <w:rPr>
                <w:noProof/>
                <w:webHidden/>
              </w:rPr>
              <w:fldChar w:fldCharType="end"/>
            </w:r>
          </w:hyperlink>
        </w:p>
        <w:p w14:paraId="3137169C" w14:textId="669204BC" w:rsidR="004F0AA4" w:rsidRDefault="004F0AA4">
          <w:pPr>
            <w:rPr>
              <w:b/>
              <w:bCs/>
              <w:noProof/>
            </w:rPr>
          </w:pPr>
          <w:r>
            <w:rPr>
              <w:b/>
              <w:bCs/>
              <w:noProof/>
            </w:rPr>
            <w:fldChar w:fldCharType="end"/>
          </w:r>
        </w:p>
        <w:p w14:paraId="17DDD324" w14:textId="4AD03018" w:rsidR="004F0AA4" w:rsidRPr="004F0AA4" w:rsidRDefault="004F0AA4">
          <w:pPr>
            <w:rPr>
              <w:b/>
              <w:bCs/>
              <w:noProof/>
            </w:rPr>
          </w:pPr>
          <w:r>
            <w:rPr>
              <w:b/>
              <w:bCs/>
              <w:noProof/>
            </w:rPr>
            <w:br w:type="page"/>
          </w:r>
        </w:p>
      </w:sdtContent>
    </w:sdt>
    <w:p w14:paraId="67152230" w14:textId="24BD8D8F" w:rsidR="009B6358" w:rsidRDefault="004F0AA4" w:rsidP="004F0AA4">
      <w:pPr>
        <w:pStyle w:val="Heading1"/>
      </w:pPr>
      <w:bookmarkStart w:id="2" w:name="_Toc45802584"/>
      <w:r>
        <w:lastRenderedPageBreak/>
        <w:t xml:space="preserve">1 </w:t>
      </w:r>
      <w:r w:rsidR="009B6358" w:rsidRPr="00EE5085">
        <w:t>Introduction</w:t>
      </w:r>
      <w:bookmarkEnd w:id="2"/>
      <w:r w:rsidR="009B6358">
        <w:t xml:space="preserve"> </w:t>
      </w:r>
    </w:p>
    <w:p w14:paraId="71A0A355" w14:textId="3043D68C" w:rsidR="00342961" w:rsidRDefault="00A06F56" w:rsidP="00FE4DCD">
      <w:pPr>
        <w:spacing w:after="120"/>
      </w:pPr>
      <w:bookmarkStart w:id="3" w:name="_Hlk29283285"/>
      <w:r>
        <w:t xml:space="preserve">This </w:t>
      </w:r>
      <w:r w:rsidR="00674061">
        <w:t>A</w:t>
      </w:r>
      <w:r w:rsidR="00DA5C02">
        <w:t xml:space="preserve">menity </w:t>
      </w:r>
      <w:r w:rsidR="00674061">
        <w:t>I</w:t>
      </w:r>
      <w:r w:rsidR="00DA5C02">
        <w:t xml:space="preserve">mpact </w:t>
      </w:r>
      <w:r w:rsidR="006C6357">
        <w:t>C</w:t>
      </w:r>
      <w:r w:rsidR="00DA5C02">
        <w:t xml:space="preserve">ode of </w:t>
      </w:r>
      <w:r w:rsidR="006C6357">
        <w:t>P</w:t>
      </w:r>
      <w:r w:rsidR="00DA5C02">
        <w:t>ractice (</w:t>
      </w:r>
      <w:r>
        <w:t xml:space="preserve">this </w:t>
      </w:r>
      <w:r w:rsidR="00DA5C02">
        <w:t xml:space="preserve">Code) </w:t>
      </w:r>
      <w:r>
        <w:t xml:space="preserve">is </w:t>
      </w:r>
      <w:r w:rsidR="00DA5C02">
        <w:t xml:space="preserve">made under the </w:t>
      </w:r>
      <w:r w:rsidR="00DA5C02" w:rsidRPr="000012C0">
        <w:rPr>
          <w:i/>
          <w:iCs/>
        </w:rPr>
        <w:t>Litter Act 2004</w:t>
      </w:r>
      <w:r w:rsidR="00DA5C02">
        <w:t xml:space="preserve"> (the Litter Act)</w:t>
      </w:r>
      <w:r w:rsidR="005A5DE5">
        <w:t xml:space="preserve"> and</w:t>
      </w:r>
      <w:r w:rsidR="00DA5C02">
        <w:t xml:space="preserve"> provides a framework for the </w:t>
      </w:r>
      <w:r w:rsidR="00674061">
        <w:t>ACT G</w:t>
      </w:r>
      <w:r w:rsidR="00DA5C02">
        <w:t xml:space="preserve">overnment to respond to </w:t>
      </w:r>
      <w:r w:rsidR="00BB1A09">
        <w:t xml:space="preserve">instances of </w:t>
      </w:r>
      <w:r>
        <w:t xml:space="preserve">significant </w:t>
      </w:r>
      <w:r w:rsidR="00BB1A09">
        <w:t xml:space="preserve">littering </w:t>
      </w:r>
      <w:r w:rsidR="00AD4DBC">
        <w:t>at an open private place (property)</w:t>
      </w:r>
      <w:r w:rsidR="00BB1A09">
        <w:t xml:space="preserve"> causing an amenity impact.</w:t>
      </w:r>
    </w:p>
    <w:p w14:paraId="085BAE73" w14:textId="544AEC9D" w:rsidR="000012C0" w:rsidRDefault="00BB1A09" w:rsidP="00FE4DCD">
      <w:pPr>
        <w:spacing w:after="120"/>
      </w:pPr>
      <w:r>
        <w:t xml:space="preserve">The </w:t>
      </w:r>
      <w:r w:rsidR="00A06F56">
        <w:t>o</w:t>
      </w:r>
      <w:r>
        <w:t xml:space="preserve">bjects of the Litter </w:t>
      </w:r>
      <w:r w:rsidR="000012C0">
        <w:t>Act</w:t>
      </w:r>
      <w:r>
        <w:t xml:space="preserve"> include to protect and enhance the amenity of the ACT, including the wellbeing of its people. This recognises that the </w:t>
      </w:r>
      <w:r w:rsidR="00A73F77">
        <w:t>build-up</w:t>
      </w:r>
      <w:r>
        <w:t xml:space="preserve"> of litter on a property can have a significant impact on </w:t>
      </w:r>
      <w:r w:rsidR="001669A5">
        <w:t xml:space="preserve">both </w:t>
      </w:r>
      <w:r w:rsidR="00D8105C">
        <w:t>the people residing at the property and those living at adjoining properties.</w:t>
      </w:r>
    </w:p>
    <w:p w14:paraId="14E70836" w14:textId="369A6904" w:rsidR="00BE32C3" w:rsidRDefault="00BE32C3" w:rsidP="00FE4DCD">
      <w:pPr>
        <w:spacing w:after="120"/>
      </w:pPr>
      <w:r>
        <w:t>An amenity impact can occur for a variety of reasons</w:t>
      </w:r>
      <w:r w:rsidR="002C0034">
        <w:t xml:space="preserve"> or through a variety of circumstances. </w:t>
      </w:r>
      <w:r w:rsidR="000141CF">
        <w:t>One reason for this</w:t>
      </w:r>
      <w:r w:rsidR="002C0034">
        <w:t xml:space="preserve"> can be due to a </w:t>
      </w:r>
      <w:r w:rsidR="00EB710D">
        <w:t>mental disorder or mental illness</w:t>
      </w:r>
      <w:r w:rsidR="00EC34A0">
        <w:t xml:space="preserve"> that </w:t>
      </w:r>
      <w:r w:rsidR="002C0034">
        <w:t>caus</w:t>
      </w:r>
      <w:r w:rsidR="00EC34A0">
        <w:t>es</w:t>
      </w:r>
      <w:r w:rsidR="002C0034">
        <w:t xml:space="preserve"> a person </w:t>
      </w:r>
      <w:r w:rsidR="00EC34A0">
        <w:t xml:space="preserve">to exhibit </w:t>
      </w:r>
      <w:r w:rsidR="002C0034">
        <w:t>hoarding like behaviour</w:t>
      </w:r>
      <w:r w:rsidR="00EC34A0">
        <w:t xml:space="preserve"> which leads to the amenity impact</w:t>
      </w:r>
      <w:r w:rsidR="002C0034">
        <w:t>.</w:t>
      </w:r>
      <w:r w:rsidR="00EC34A0">
        <w:t xml:space="preserve"> Where there is evidence that the amenity impact is wholly or in part due to a </w:t>
      </w:r>
      <w:r w:rsidR="00EB710D">
        <w:t>mental disorder or mental illness</w:t>
      </w:r>
      <w:r w:rsidR="00EC34A0">
        <w:t>, the person causing the amenity impact may be unaware of the issue or unable to correct the behaviour without intervention. These case</w:t>
      </w:r>
      <w:r w:rsidR="00D54D07">
        <w:t>s</w:t>
      </w:r>
      <w:r w:rsidR="00EC34A0">
        <w:t xml:space="preserve"> need to be treated with particular care and sensitivity.</w:t>
      </w:r>
    </w:p>
    <w:p w14:paraId="6EB93706" w14:textId="49D39AE6" w:rsidR="00E320D7" w:rsidRDefault="00EC34A0" w:rsidP="00FE4DCD">
      <w:pPr>
        <w:spacing w:after="120"/>
      </w:pPr>
      <w:r>
        <w:t>Th</w:t>
      </w:r>
      <w:r w:rsidR="004524BD">
        <w:t>e</w:t>
      </w:r>
      <w:r>
        <w:t xml:space="preserve"> framework set out in the Litter Act provides a regulatory pathway for the </w:t>
      </w:r>
      <w:r w:rsidR="00EA1826">
        <w:t>g</w:t>
      </w:r>
      <w:r>
        <w:t xml:space="preserve">overnment to take when managing cases of amenity impact. However, </w:t>
      </w:r>
      <w:r w:rsidR="00124A76">
        <w:t>best practice</w:t>
      </w:r>
      <w:r>
        <w:t xml:space="preserve"> says that social solutions that build trust with the person responsible and encourage behavioural change over</w:t>
      </w:r>
      <w:r w:rsidR="005A5DE5">
        <w:t xml:space="preserve"> </w:t>
      </w:r>
      <w:r>
        <w:t xml:space="preserve">time is preferable to regulatory action. </w:t>
      </w:r>
    </w:p>
    <w:p w14:paraId="64F51A45" w14:textId="6CA548D7" w:rsidR="004C1101" w:rsidRDefault="009E0959" w:rsidP="00FE4DCD">
      <w:pPr>
        <w:spacing w:after="120"/>
      </w:pPr>
      <w:r>
        <w:t>Th</w:t>
      </w:r>
      <w:r w:rsidR="00A06F56">
        <w:t>is</w:t>
      </w:r>
      <w:r>
        <w:t xml:space="preserve"> Code</w:t>
      </w:r>
      <w:r w:rsidR="00EC34A0">
        <w:t xml:space="preserve"> provides guidance for </w:t>
      </w:r>
      <w:r w:rsidR="00A06F56">
        <w:t xml:space="preserve">persons </w:t>
      </w:r>
      <w:r>
        <w:t xml:space="preserve">authorised </w:t>
      </w:r>
      <w:r w:rsidR="00EC34A0">
        <w:t xml:space="preserve">under the Litter Act when investigating complaints of amenity impact, particularly where </w:t>
      </w:r>
      <w:r w:rsidR="00E320D7">
        <w:t xml:space="preserve">the amenity impact is likely caused by a </w:t>
      </w:r>
      <w:r w:rsidR="00310848">
        <w:t xml:space="preserve">mental disorder or </w:t>
      </w:r>
      <w:r w:rsidR="00E320D7">
        <w:t>mental illness</w:t>
      </w:r>
      <w:r w:rsidR="00EC34A0">
        <w:t>. Th</w:t>
      </w:r>
      <w:r w:rsidR="00A06F56">
        <w:t>is</w:t>
      </w:r>
      <w:r w:rsidR="00EC34A0">
        <w:t xml:space="preserve"> </w:t>
      </w:r>
      <w:r>
        <w:t>C</w:t>
      </w:r>
      <w:r w:rsidR="00EC34A0">
        <w:t>ode also provides</w:t>
      </w:r>
      <w:r w:rsidR="006D77C4">
        <w:t xml:space="preserve"> the</w:t>
      </w:r>
      <w:r w:rsidR="00EC34A0">
        <w:t xml:space="preserve"> Transport Canberra and City Services</w:t>
      </w:r>
      <w:r w:rsidR="00674061">
        <w:t xml:space="preserve"> Directorate</w:t>
      </w:r>
      <w:r w:rsidR="00EC34A0">
        <w:t xml:space="preserve"> (TCCS) with referral pathways to support services where appropriate</w:t>
      </w:r>
      <w:r w:rsidR="00E320D7">
        <w:t xml:space="preserve">, </w:t>
      </w:r>
      <w:r w:rsidR="00E320D7" w:rsidRPr="00E320D7">
        <w:t>including referral to a multidisciplinary group of government representatives specialising in</w:t>
      </w:r>
      <w:r w:rsidR="001669A5">
        <w:t xml:space="preserve"> the</w:t>
      </w:r>
      <w:r w:rsidR="00E320D7" w:rsidRPr="00E320D7">
        <w:t xml:space="preserve"> management of </w:t>
      </w:r>
      <w:r w:rsidR="004524BD">
        <w:t xml:space="preserve">hoarding and </w:t>
      </w:r>
      <w:r w:rsidR="004C1101" w:rsidRPr="00E320D7">
        <w:t>hoarding</w:t>
      </w:r>
      <w:r w:rsidR="00E320D7" w:rsidRPr="00E320D7">
        <w:t xml:space="preserve"> like behaviour</w:t>
      </w:r>
      <w:r w:rsidR="004C1101">
        <w:t>.</w:t>
      </w:r>
    </w:p>
    <w:p w14:paraId="1EB7D9F9" w14:textId="07448000" w:rsidR="004C1101" w:rsidRDefault="004C1101" w:rsidP="00674061">
      <w:pPr>
        <w:spacing w:after="120"/>
      </w:pPr>
      <w:r>
        <w:t xml:space="preserve">The </w:t>
      </w:r>
      <w:r w:rsidR="00D6643C">
        <w:t>legislative</w:t>
      </w:r>
      <w:r w:rsidR="00A06F56">
        <w:t xml:space="preserve"> </w:t>
      </w:r>
      <w:r>
        <w:t xml:space="preserve">framework set out in the </w:t>
      </w:r>
      <w:r w:rsidR="004524BD">
        <w:t>L</w:t>
      </w:r>
      <w:r>
        <w:t xml:space="preserve">itter Act allows the </w:t>
      </w:r>
      <w:r w:rsidR="00EA1826">
        <w:t>g</w:t>
      </w:r>
      <w:r>
        <w:t xml:space="preserve">overnment to seek a court ordered abatement order to clean the property to remove the amenity impact. It must be stressed that this is only intended as a last resort where all other steps to resolve the problem have </w:t>
      </w:r>
      <w:r w:rsidR="003340EB">
        <w:t>been unsuccessful</w:t>
      </w:r>
      <w:r>
        <w:t>.</w:t>
      </w:r>
    </w:p>
    <w:p w14:paraId="432C4886" w14:textId="1AC447E8" w:rsidR="00BE32C3" w:rsidRDefault="004C1101" w:rsidP="00674061">
      <w:pPr>
        <w:spacing w:after="120"/>
      </w:pPr>
      <w:r>
        <w:t>Th</w:t>
      </w:r>
      <w:r w:rsidR="00A06F56">
        <w:t>is</w:t>
      </w:r>
      <w:r>
        <w:t xml:space="preserve"> Code provides a flexible pathway of social and regulatory </w:t>
      </w:r>
      <w:r w:rsidR="00D217CB">
        <w:t>approaches</w:t>
      </w:r>
      <w:r>
        <w:t xml:space="preserve"> </w:t>
      </w:r>
      <w:r w:rsidR="00EC34A0">
        <w:t>to ensure that cases of amenity impact are managed in the least restrictive way</w:t>
      </w:r>
      <w:r>
        <w:t xml:space="preserve"> </w:t>
      </w:r>
      <w:r w:rsidR="00D217CB">
        <w:t xml:space="preserve">in accordance with the </w:t>
      </w:r>
      <w:r w:rsidR="00D217CB" w:rsidRPr="00A763DC">
        <w:rPr>
          <w:i/>
          <w:iCs/>
        </w:rPr>
        <w:t>Human Rights Act</w:t>
      </w:r>
      <w:r w:rsidR="00A06F56">
        <w:rPr>
          <w:i/>
          <w:iCs/>
        </w:rPr>
        <w:t> </w:t>
      </w:r>
      <w:r w:rsidR="00D217CB" w:rsidRPr="00A763DC">
        <w:rPr>
          <w:i/>
          <w:iCs/>
        </w:rPr>
        <w:t>2004</w:t>
      </w:r>
      <w:r w:rsidR="00EC34A0">
        <w:t>.</w:t>
      </w:r>
      <w:r w:rsidR="00E320D7">
        <w:t xml:space="preserve"> </w:t>
      </w:r>
    </w:p>
    <w:p w14:paraId="1116C975" w14:textId="77074873" w:rsidR="000A6BCE" w:rsidRDefault="00BE32C3" w:rsidP="00674061">
      <w:pPr>
        <w:spacing w:after="120"/>
      </w:pPr>
      <w:r w:rsidRPr="00BE32C3">
        <w:t>Th</w:t>
      </w:r>
      <w:r w:rsidR="00A06F56">
        <w:t>is</w:t>
      </w:r>
      <w:r w:rsidRPr="00BE32C3">
        <w:t xml:space="preserve"> Code of Practice has been developed in consultation with relevant government and non-government bodies, and with regard to best-practice approaches used in other </w:t>
      </w:r>
      <w:r>
        <w:t>Australian jurisdictions</w:t>
      </w:r>
      <w:r w:rsidRPr="00BE32C3">
        <w:t>.</w:t>
      </w:r>
      <w:bookmarkEnd w:id="3"/>
    </w:p>
    <w:p w14:paraId="00382F2D" w14:textId="211B6D2D" w:rsidR="009B6358" w:rsidRDefault="004F0AA4" w:rsidP="004F0AA4">
      <w:pPr>
        <w:pStyle w:val="Heading1"/>
      </w:pPr>
      <w:bookmarkStart w:id="4" w:name="_Toc45802585"/>
      <w:r>
        <w:t xml:space="preserve">2 </w:t>
      </w:r>
      <w:r w:rsidR="009B6358" w:rsidRPr="00EE5085">
        <w:t>Scope</w:t>
      </w:r>
      <w:bookmarkEnd w:id="4"/>
      <w:r w:rsidR="009B6358">
        <w:t xml:space="preserve"> </w:t>
      </w:r>
    </w:p>
    <w:p w14:paraId="46480A26" w14:textId="2ED5CCD2" w:rsidR="00B01C38" w:rsidRDefault="00B01C38" w:rsidP="00674061">
      <w:pPr>
        <w:spacing w:after="120"/>
      </w:pPr>
      <w:r>
        <w:t>Th</w:t>
      </w:r>
      <w:r w:rsidR="00A06F56">
        <w:t>is</w:t>
      </w:r>
      <w:r>
        <w:t xml:space="preserve"> </w:t>
      </w:r>
      <w:r w:rsidR="009E0959">
        <w:t>C</w:t>
      </w:r>
      <w:r>
        <w:t xml:space="preserve">ode </w:t>
      </w:r>
      <w:r w:rsidR="006E148E">
        <w:t xml:space="preserve">is </w:t>
      </w:r>
      <w:r w:rsidR="00014E1E">
        <w:t xml:space="preserve">made </w:t>
      </w:r>
      <w:r w:rsidR="006E148E">
        <w:t xml:space="preserve">under section 24ZA of the </w:t>
      </w:r>
      <w:r w:rsidR="006E148E" w:rsidRPr="006C6357">
        <w:t>Litter Act</w:t>
      </w:r>
      <w:r w:rsidR="006E148E">
        <w:t xml:space="preserve"> and</w:t>
      </w:r>
      <w:r>
        <w:t xml:space="preserve"> provides general guidance to the </w:t>
      </w:r>
      <w:r w:rsidR="00B079F5">
        <w:t>D</w:t>
      </w:r>
      <w:r>
        <w:t>irector</w:t>
      </w:r>
      <w:r w:rsidR="001669A5">
        <w:t>-</w:t>
      </w:r>
      <w:r w:rsidR="00B079F5">
        <w:t>G</w:t>
      </w:r>
      <w:r>
        <w:t>eneral</w:t>
      </w:r>
      <w:r w:rsidR="00B079F5">
        <w:t xml:space="preserve"> </w:t>
      </w:r>
      <w:r w:rsidR="002E454B">
        <w:t xml:space="preserve">of </w:t>
      </w:r>
      <w:r>
        <w:t>TCCS</w:t>
      </w:r>
      <w:r w:rsidR="00310848">
        <w:t xml:space="preserve"> or </w:t>
      </w:r>
      <w:r w:rsidR="0068231B">
        <w:t xml:space="preserve">a </w:t>
      </w:r>
      <w:r w:rsidR="00310848">
        <w:t>delegate</w:t>
      </w:r>
      <w:r w:rsidR="008F5E5B">
        <w:t xml:space="preserve"> (DG or delegate)</w:t>
      </w:r>
      <w:r>
        <w:t xml:space="preserve"> </w:t>
      </w:r>
      <w:r w:rsidR="005A5DE5">
        <w:t xml:space="preserve">in relation to </w:t>
      </w:r>
      <w:r>
        <w:t xml:space="preserve">the management of amenity impact circumstances, caused by hoarding, in a manner that </w:t>
      </w:r>
      <w:r w:rsidR="00873B45">
        <w:t>recognises</w:t>
      </w:r>
      <w:r w:rsidR="005A5DE5">
        <w:t xml:space="preserve"> all parties fundamental</w:t>
      </w:r>
      <w:r>
        <w:t xml:space="preserve"> human rights. </w:t>
      </w:r>
    </w:p>
    <w:p w14:paraId="54BA2F71" w14:textId="13346A3A" w:rsidR="00B01C38" w:rsidRDefault="00B01C38" w:rsidP="00674061">
      <w:pPr>
        <w:spacing w:after="120"/>
      </w:pPr>
      <w:r w:rsidRPr="00BF2FF4">
        <w:t xml:space="preserve">To remove any doubt, </w:t>
      </w:r>
      <w:r w:rsidR="00132FF9">
        <w:t>th</w:t>
      </w:r>
      <w:r w:rsidR="00000E68">
        <w:t>is</w:t>
      </w:r>
      <w:r w:rsidR="00132FF9">
        <w:t xml:space="preserve"> Code</w:t>
      </w:r>
      <w:r w:rsidRPr="00BF2FF4">
        <w:t xml:space="preserve"> does not provide advice to the </w:t>
      </w:r>
      <w:r w:rsidR="00B079F5">
        <w:t>DG</w:t>
      </w:r>
      <w:r w:rsidR="004B509C">
        <w:t xml:space="preserve"> or delegate</w:t>
      </w:r>
      <w:r w:rsidRPr="00BF2FF4">
        <w:t xml:space="preserve"> about the management of ‘hoarding disorder’ as a recognised mental </w:t>
      </w:r>
      <w:r w:rsidR="003C1938">
        <w:t>disorder</w:t>
      </w:r>
      <w:r>
        <w:t>. TCCS is responsible for managing the municipal response to amenity impact circumstances and th</w:t>
      </w:r>
      <w:r w:rsidR="00000E68">
        <w:t>is</w:t>
      </w:r>
      <w:r>
        <w:t xml:space="preserve"> </w:t>
      </w:r>
      <w:r w:rsidR="004524BD">
        <w:t xml:space="preserve">Code </w:t>
      </w:r>
      <w:r>
        <w:t xml:space="preserve">is limited to providing advice on the </w:t>
      </w:r>
      <w:r w:rsidR="00124A76">
        <w:t>best practice</w:t>
      </w:r>
      <w:r>
        <w:t xml:space="preserve"> management of these circumstances</w:t>
      </w:r>
      <w:r w:rsidR="005B2F9A">
        <w:t>, which may include</w:t>
      </w:r>
      <w:r>
        <w:t xml:space="preserve"> referral to necessary services where </w:t>
      </w:r>
      <w:r w:rsidR="004F0AA4">
        <w:t>appropriate</w:t>
      </w:r>
      <w:r w:rsidR="005B2F9A">
        <w:t xml:space="preserve"> or taking regulatory action</w:t>
      </w:r>
      <w:r>
        <w:t>.</w:t>
      </w:r>
    </w:p>
    <w:p w14:paraId="3C9CD574" w14:textId="1A2BCB10" w:rsidR="00B01C38" w:rsidRDefault="00B01C38" w:rsidP="00674061">
      <w:pPr>
        <w:spacing w:after="120"/>
      </w:pPr>
      <w:r>
        <w:lastRenderedPageBreak/>
        <w:t>Th</w:t>
      </w:r>
      <w:r w:rsidR="00000E68">
        <w:t>is</w:t>
      </w:r>
      <w:r w:rsidR="004524BD">
        <w:t xml:space="preserve"> Code</w:t>
      </w:r>
      <w:r>
        <w:t xml:space="preserve"> also support</w:t>
      </w:r>
      <w:r w:rsidR="00000E68">
        <w:t>s</w:t>
      </w:r>
      <w:r>
        <w:t xml:space="preserve"> </w:t>
      </w:r>
      <w:r w:rsidR="00341E3F">
        <w:t xml:space="preserve">communication and collaboration between relevant government agencies to regularly review cases where they have been referred by utilising </w:t>
      </w:r>
      <w:r w:rsidR="009D6554">
        <w:t xml:space="preserve">existing </w:t>
      </w:r>
      <w:r w:rsidR="00195A04">
        <w:t xml:space="preserve">services </w:t>
      </w:r>
      <w:r w:rsidR="009D6554">
        <w:t>or by establishing a</w:t>
      </w:r>
      <w:r w:rsidR="00195A04">
        <w:t xml:space="preserve"> group made up of representatives from government agencies and support services. </w:t>
      </w:r>
    </w:p>
    <w:p w14:paraId="1D19F344" w14:textId="72BE9312" w:rsidR="009B74E7" w:rsidRDefault="009B74E7" w:rsidP="00674061">
      <w:pPr>
        <w:spacing w:after="120"/>
      </w:pPr>
      <w:r>
        <w:t>A reference to ‘a person’ in this Code with respect to an amenity impact may refer to one or several people.</w:t>
      </w:r>
    </w:p>
    <w:p w14:paraId="113760FD" w14:textId="15DC53D6" w:rsidR="001528EC" w:rsidRPr="006E00B6" w:rsidRDefault="00A548C1" w:rsidP="004F0AA4">
      <w:pPr>
        <w:pStyle w:val="Heading2"/>
      </w:pPr>
      <w:bookmarkStart w:id="5" w:name="_Toc45802586"/>
      <w:r>
        <w:t xml:space="preserve">2.1 </w:t>
      </w:r>
      <w:r w:rsidR="001528EC" w:rsidRPr="006E00B6">
        <w:t>What is an amenity impact?</w:t>
      </w:r>
      <w:bookmarkEnd w:id="5"/>
    </w:p>
    <w:p w14:paraId="1D7A08A7" w14:textId="44A8222D" w:rsidR="004524BD" w:rsidRDefault="006E00B6" w:rsidP="00674061">
      <w:pPr>
        <w:spacing w:after="120"/>
      </w:pPr>
      <w:r w:rsidRPr="006E00B6">
        <w:t xml:space="preserve">Under the Litter Act, an amenity impact occurs when litter is deposited </w:t>
      </w:r>
      <w:r w:rsidR="00DC7910">
        <w:t>at an</w:t>
      </w:r>
      <w:r w:rsidR="00DC7910" w:rsidRPr="006E00B6">
        <w:t xml:space="preserve"> </w:t>
      </w:r>
      <w:r w:rsidRPr="006E00B6">
        <w:t xml:space="preserve">open private </w:t>
      </w:r>
      <w:r w:rsidR="00DC7910" w:rsidRPr="006E00B6">
        <w:t>p</w:t>
      </w:r>
      <w:r w:rsidR="00DC7910">
        <w:t>lace</w:t>
      </w:r>
      <w:r w:rsidR="00DC7910" w:rsidRPr="006E00B6">
        <w:t xml:space="preserve"> </w:t>
      </w:r>
      <w:r w:rsidRPr="006E00B6">
        <w:t>and the depositing of the litter has or is likely to have a significant</w:t>
      </w:r>
      <w:r w:rsidR="00DC7910">
        <w:t xml:space="preserve"> adverse</w:t>
      </w:r>
      <w:r w:rsidRPr="006E00B6">
        <w:t xml:space="preserve"> impact on the amenity, use or enjoyment of an entity’s adjoining land.</w:t>
      </w:r>
      <w:r>
        <w:t xml:space="preserve"> </w:t>
      </w:r>
      <w:r w:rsidR="00ED3CC2" w:rsidRPr="00ED3CC2">
        <w:t xml:space="preserve">When determining if an amenity impact is occurring the quantity and nature of the litter must be considered as well as the amount of time </w:t>
      </w:r>
      <w:r w:rsidR="00FA447D">
        <w:t xml:space="preserve">over which </w:t>
      </w:r>
      <w:r w:rsidR="00ED3CC2" w:rsidRPr="00ED3CC2">
        <w:t xml:space="preserve">the impact </w:t>
      </w:r>
      <w:r w:rsidR="00FA447D" w:rsidRPr="00ED3CC2">
        <w:t>is</w:t>
      </w:r>
      <w:r w:rsidR="00FA447D">
        <w:t xml:space="preserve"> or has been</w:t>
      </w:r>
      <w:r w:rsidR="00ED3CC2" w:rsidRPr="00ED3CC2">
        <w:t xml:space="preserve"> occurring</w:t>
      </w:r>
      <w:r w:rsidR="00ED3CC2">
        <w:t>.</w:t>
      </w:r>
      <w:r w:rsidR="004524BD">
        <w:t xml:space="preserve"> </w:t>
      </w:r>
    </w:p>
    <w:p w14:paraId="4ACFF0E4" w14:textId="1BB9E1C9" w:rsidR="00ED3CC2" w:rsidRPr="00ED3CC2" w:rsidRDefault="004524BD" w:rsidP="00674061">
      <w:pPr>
        <w:spacing w:after="120"/>
      </w:pPr>
      <w:r>
        <w:t xml:space="preserve">The Litter Act does not specify a certain time period over which an amenity impact must occur. </w:t>
      </w:r>
      <w:r w:rsidR="00AF2BF4">
        <w:t>Once TCCS has been contacted about a</w:t>
      </w:r>
      <w:r w:rsidR="00000E68">
        <w:t xml:space="preserve"> potential </w:t>
      </w:r>
      <w:r w:rsidR="00AF2BF4">
        <w:t>amenity impact, the underlying cause will likely be quite advanced, however, the earlier the problem is addressed, the more likely that a positive outcome will be achieved.</w:t>
      </w:r>
    </w:p>
    <w:p w14:paraId="6ABFC66E" w14:textId="4588558B" w:rsidR="004E3CA6" w:rsidRPr="004E3CA6" w:rsidRDefault="00A548C1" w:rsidP="004F0AA4">
      <w:pPr>
        <w:pStyle w:val="Heading2"/>
      </w:pPr>
      <w:bookmarkStart w:id="6" w:name="_Toc45802587"/>
      <w:r>
        <w:t xml:space="preserve">2.2 </w:t>
      </w:r>
      <w:r w:rsidR="004E3CA6" w:rsidRPr="004E3CA6">
        <w:t>When does an amenity impact occur?</w:t>
      </w:r>
      <w:bookmarkEnd w:id="6"/>
    </w:p>
    <w:p w14:paraId="25E9C105" w14:textId="45179A96" w:rsidR="00991A9E" w:rsidRDefault="00E91802" w:rsidP="00674061">
      <w:pPr>
        <w:spacing w:after="120"/>
      </w:pPr>
      <w:r>
        <w:t>An amenity impact circumstance would be considered to occur when</w:t>
      </w:r>
      <w:r w:rsidR="003E79AD">
        <w:t xml:space="preserve"> litter, or</w:t>
      </w:r>
      <w:r>
        <w:t xml:space="preserve"> </w:t>
      </w:r>
      <w:r w:rsidR="00F41474">
        <w:t>items that a reasona</w:t>
      </w:r>
      <w:r w:rsidR="008543BA">
        <w:t xml:space="preserve">ble </w:t>
      </w:r>
      <w:r w:rsidR="00F41474">
        <w:t>person would consider to be litter</w:t>
      </w:r>
      <w:r w:rsidR="00000E68">
        <w:t xml:space="preserve">, </w:t>
      </w:r>
      <w:r w:rsidR="00F41474">
        <w:t xml:space="preserve">build up </w:t>
      </w:r>
      <w:r w:rsidR="00DC7910">
        <w:t>at an open private place</w:t>
      </w:r>
      <w:r w:rsidR="00F41474">
        <w:t xml:space="preserve"> to such extent </w:t>
      </w:r>
      <w:r w:rsidR="00A65F01">
        <w:t xml:space="preserve">that it is </w:t>
      </w:r>
      <w:r w:rsidR="00FA447D" w:rsidRPr="00FA447D">
        <w:t xml:space="preserve">it beyond what should be </w:t>
      </w:r>
      <w:r w:rsidR="00FA447D">
        <w:t xml:space="preserve">reasonably </w:t>
      </w:r>
      <w:r w:rsidR="00FA447D" w:rsidRPr="00FA447D">
        <w:t>stored on a residential property</w:t>
      </w:r>
      <w:r w:rsidR="003E79AD">
        <w:t xml:space="preserve"> and is detracting from the desirability, attractiveness or use of the surrounding area</w:t>
      </w:r>
      <w:r w:rsidR="00A763DC">
        <w:t>s or properties</w:t>
      </w:r>
      <w:r w:rsidR="00FA447D" w:rsidRPr="00FA447D">
        <w:t>.</w:t>
      </w:r>
    </w:p>
    <w:p w14:paraId="05ACB28F" w14:textId="359239AB" w:rsidR="00D11182" w:rsidRDefault="00D11182" w:rsidP="00674061">
      <w:pPr>
        <w:spacing w:after="120"/>
      </w:pPr>
      <w:r>
        <w:t xml:space="preserve">The </w:t>
      </w:r>
      <w:r w:rsidR="00A4180F">
        <w:t>L</w:t>
      </w:r>
      <w:r>
        <w:t>itter Act uses the example of numerous vehicles in a deteriorated state in a person’s yard where there is no indication of any ongoing repair work or that the vehicles are valued; they are simply being left to rust. In this situation an amenity impact circumstance exists because the person is treating the yard as a scrap yard which</w:t>
      </w:r>
      <w:r w:rsidR="003E79AD">
        <w:t xml:space="preserve"> is not desirable in a residential setting</w:t>
      </w:r>
      <w:r w:rsidR="00DC7910">
        <w:t xml:space="preserve">. The </w:t>
      </w:r>
      <w:r w:rsidR="00A763DC">
        <w:t>y</w:t>
      </w:r>
      <w:r w:rsidR="00DC7910">
        <w:t>ard is unsightly and significantly effects the neighbour’s enjoyment of their land</w:t>
      </w:r>
      <w:r w:rsidR="00444D90">
        <w:t xml:space="preserve">. </w:t>
      </w:r>
      <w:r w:rsidR="00D2289B">
        <w:t xml:space="preserve">Situations like these may involve </w:t>
      </w:r>
      <w:r w:rsidR="00746F04">
        <w:t xml:space="preserve">a mental disorder or </w:t>
      </w:r>
      <w:r w:rsidR="00D2289B">
        <w:t xml:space="preserve">mental illness </w:t>
      </w:r>
      <w:r w:rsidR="00FA447D">
        <w:t>similar to that seen in hoarding disorder or ‘hoarding like behaviour’.</w:t>
      </w:r>
    </w:p>
    <w:p w14:paraId="2FE5F56B" w14:textId="45BB3268" w:rsidR="0076500B" w:rsidRPr="006E00B6" w:rsidRDefault="0076500B" w:rsidP="00674061">
      <w:pPr>
        <w:spacing w:after="120"/>
      </w:pPr>
      <w:r>
        <w:t xml:space="preserve">Where a complaint about an amenity impact circumstance is investigated, the determination of whether an amenity impact is occurring </w:t>
      </w:r>
      <w:r w:rsidR="004E3CA6">
        <w:t xml:space="preserve">will be taken on a case by case basis considering the unique circumstance of each complaint. </w:t>
      </w:r>
      <w:r>
        <w:t xml:space="preserve">To be clear, these provisions are not intended to regulate everyday activities or limit the </w:t>
      </w:r>
      <w:r w:rsidR="00FA447D">
        <w:t xml:space="preserve">use </w:t>
      </w:r>
      <w:r>
        <w:t xml:space="preserve">of a person’s </w:t>
      </w:r>
      <w:r w:rsidR="003C1938">
        <w:t>property</w:t>
      </w:r>
      <w:r>
        <w:t xml:space="preserve">. </w:t>
      </w:r>
      <w:r w:rsidR="001669A5">
        <w:t>For example, a</w:t>
      </w:r>
      <w:r>
        <w:t xml:space="preserve">n unsightly yard either during or immediately after building or renovations, overgrown lawn or vegetation, garden ornaments or </w:t>
      </w:r>
      <w:r w:rsidR="004E3CA6">
        <w:t xml:space="preserve">excessive </w:t>
      </w:r>
      <w:r>
        <w:t>Christmas lights would not be considered an amenity impact</w:t>
      </w:r>
      <w:r w:rsidR="004E3CA6">
        <w:t xml:space="preserve"> for the purpose of the Litter</w:t>
      </w:r>
      <w:r w:rsidR="00000E68">
        <w:t> </w:t>
      </w:r>
      <w:r w:rsidR="004E3CA6">
        <w:t>Act.</w:t>
      </w:r>
    </w:p>
    <w:p w14:paraId="209F2720" w14:textId="1A45D7DC" w:rsidR="001528EC" w:rsidRPr="0055185F" w:rsidRDefault="00A548C1" w:rsidP="004F0AA4">
      <w:pPr>
        <w:pStyle w:val="Heading2"/>
      </w:pPr>
      <w:bookmarkStart w:id="7" w:name="_Toc45802588"/>
      <w:r>
        <w:t xml:space="preserve">2.3 </w:t>
      </w:r>
      <w:r w:rsidR="001528EC" w:rsidRPr="0055185F">
        <w:t>What is hoarding?</w:t>
      </w:r>
      <w:bookmarkEnd w:id="7"/>
    </w:p>
    <w:p w14:paraId="07D7ECF1" w14:textId="45417A9F" w:rsidR="001669A5" w:rsidRDefault="004E3CA6" w:rsidP="006C0B38">
      <w:pPr>
        <w:shd w:val="clear" w:color="auto" w:fill="FFFFFF"/>
        <w:spacing w:after="120" w:line="240" w:lineRule="auto"/>
      </w:pPr>
      <w:r>
        <w:t>Hoarding is a recognised mental disorder characterised by</w:t>
      </w:r>
      <w:r w:rsidRPr="00003DAA">
        <w:t xml:space="preserve"> </w:t>
      </w:r>
      <w:r w:rsidR="003C1938">
        <w:t>‘</w:t>
      </w:r>
      <w:r w:rsidR="00003DAA">
        <w:t>p</w:t>
      </w:r>
      <w:r w:rsidR="00003DAA" w:rsidRPr="00003DAA">
        <w:t>ersistent difficulty discarding or parting with possessions</w:t>
      </w:r>
      <w:r w:rsidRPr="00003DAA">
        <w:t xml:space="preserve"> regardless of their actual value.</w:t>
      </w:r>
      <w:r w:rsidR="00003DAA">
        <w:t xml:space="preserve"> </w:t>
      </w:r>
      <w:r w:rsidR="00003DAA" w:rsidRPr="00003DAA">
        <w:t>This difficulty is due to a perceived need to save the items and</w:t>
      </w:r>
      <w:r w:rsidR="008543BA">
        <w:t>/or</w:t>
      </w:r>
      <w:r w:rsidR="00003DAA" w:rsidRPr="00003DAA">
        <w:t xml:space="preserve"> t</w:t>
      </w:r>
      <w:r w:rsidR="003E634D">
        <w:t>he</w:t>
      </w:r>
      <w:r w:rsidR="00003DAA" w:rsidRPr="00003DAA">
        <w:t xml:space="preserve"> distress associated with discarding them.</w:t>
      </w:r>
      <w:r w:rsidR="00003DAA">
        <w:t xml:space="preserve"> </w:t>
      </w:r>
      <w:r w:rsidR="00003DAA" w:rsidRPr="00003DAA">
        <w:t>The difficulty discarding possessions results in the accumulation of possessions that congest and clutter active living areas and substantially compromises their intended use</w:t>
      </w:r>
      <w:bookmarkStart w:id="8" w:name="_Ref39740577"/>
      <w:r w:rsidR="004F0A36">
        <w:rPr>
          <w:rStyle w:val="FootnoteReference"/>
        </w:rPr>
        <w:footnoteReference w:id="1"/>
      </w:r>
      <w:bookmarkEnd w:id="8"/>
      <w:r w:rsidR="00003DAA">
        <w:t>.</w:t>
      </w:r>
      <w:r w:rsidR="003C1938">
        <w:t>’</w:t>
      </w:r>
      <w:r w:rsidR="00003DAA">
        <w:t xml:space="preserve"> This includes spaces external to a main residence.</w:t>
      </w:r>
    </w:p>
    <w:p w14:paraId="087C15E2" w14:textId="41806413" w:rsidR="00CC5624" w:rsidRDefault="00CC5624" w:rsidP="006C0B38">
      <w:pPr>
        <w:keepLines/>
        <w:shd w:val="clear" w:color="auto" w:fill="FFFFFF"/>
        <w:spacing w:before="100" w:beforeAutospacing="1" w:after="100" w:afterAutospacing="1" w:line="240" w:lineRule="auto"/>
      </w:pPr>
      <w:r>
        <w:lastRenderedPageBreak/>
        <w:t xml:space="preserve">A diagnosis of hoarding is </w:t>
      </w:r>
      <w:r w:rsidR="00000E68">
        <w:t xml:space="preserve">often </w:t>
      </w:r>
      <w:r>
        <w:t>made where:</w:t>
      </w:r>
    </w:p>
    <w:p w14:paraId="52C95D7D" w14:textId="48AD743B" w:rsidR="00CC5624" w:rsidRPr="00CC5624" w:rsidRDefault="00CC5624" w:rsidP="006C0B38">
      <w:pPr>
        <w:pStyle w:val="ListParagraph"/>
        <w:keepLines/>
        <w:numPr>
          <w:ilvl w:val="0"/>
          <w:numId w:val="11"/>
        </w:numPr>
        <w:shd w:val="clear" w:color="auto" w:fill="FFFFFF"/>
        <w:spacing w:before="100" w:beforeAutospacing="1" w:after="100" w:afterAutospacing="1" w:line="240" w:lineRule="auto"/>
      </w:pPr>
      <w:r>
        <w:t>‘t</w:t>
      </w:r>
      <w:r w:rsidRPr="00CC5624">
        <w:t>he hoarding is not attributable to another medical condition (e.g., brain injury, cerebrovascular disease, Prader-Willi syndrome)</w:t>
      </w:r>
      <w:r>
        <w:t>; or</w:t>
      </w:r>
    </w:p>
    <w:p w14:paraId="12147448" w14:textId="5DCE335F" w:rsidR="00CC5624" w:rsidRPr="00CC5624" w:rsidRDefault="00CC5624" w:rsidP="006C0B38">
      <w:pPr>
        <w:pStyle w:val="ListParagraph"/>
        <w:keepLines/>
        <w:numPr>
          <w:ilvl w:val="0"/>
          <w:numId w:val="11"/>
        </w:numPr>
        <w:shd w:val="clear" w:color="auto" w:fill="FFFFFF"/>
        <w:spacing w:before="100" w:beforeAutospacing="1" w:after="100" w:afterAutospacing="1" w:line="240" w:lineRule="auto"/>
      </w:pPr>
      <w:r>
        <w:t>t</w:t>
      </w:r>
      <w:r w:rsidRPr="00CC5624">
        <w:t>he hoarding is not better explained by the symptoms of another mental disorder (e.g., obsessions in obsessive-compulsive disorder</w:t>
      </w:r>
      <w:r>
        <w:t>, etc</w:t>
      </w:r>
      <w:r w:rsidRPr="00CC5624">
        <w:t>)</w:t>
      </w:r>
      <w:fldSimple w:instr=" NOTEREF _Ref39740577 \f ">
        <w:r w:rsidRPr="00CC5624">
          <w:rPr>
            <w:rStyle w:val="FootnoteReference"/>
          </w:rPr>
          <w:t>1</w:t>
        </w:r>
      </w:fldSimple>
      <w:r>
        <w:t>.’</w:t>
      </w:r>
    </w:p>
    <w:p w14:paraId="539A5D2A" w14:textId="4150D7F8" w:rsidR="00003DAA" w:rsidRDefault="00CC5624" w:rsidP="00674061">
      <w:pPr>
        <w:shd w:val="clear" w:color="auto" w:fill="FFFFFF"/>
        <w:spacing w:after="120" w:line="240" w:lineRule="auto"/>
      </w:pPr>
      <w:r>
        <w:t>By this definition, a person who hoards, does not necessarily ha</w:t>
      </w:r>
      <w:r w:rsidR="001669A5">
        <w:t>ve</w:t>
      </w:r>
      <w:r>
        <w:t xml:space="preserve"> hoarding disorder</w:t>
      </w:r>
      <w:r w:rsidR="00003DAA">
        <w:t>.</w:t>
      </w:r>
    </w:p>
    <w:p w14:paraId="1691BF10" w14:textId="42FF714D" w:rsidR="00003DAA" w:rsidRDefault="003E634D" w:rsidP="00674061">
      <w:pPr>
        <w:shd w:val="clear" w:color="auto" w:fill="FFFFFF"/>
        <w:spacing w:after="120" w:line="240" w:lineRule="auto"/>
      </w:pPr>
      <w:r>
        <w:t xml:space="preserve">The role of an authorised person under the </w:t>
      </w:r>
      <w:r w:rsidR="00CE6715">
        <w:t>L</w:t>
      </w:r>
      <w:r>
        <w:t xml:space="preserve">itter Act is to determine if an amenity impact is occurring, not to diagnose whether a person has a mental illness. </w:t>
      </w:r>
      <w:r w:rsidR="00003DAA">
        <w:t xml:space="preserve">For the purpose of this </w:t>
      </w:r>
      <w:r w:rsidR="0055185F">
        <w:t>C</w:t>
      </w:r>
      <w:r w:rsidR="00003DAA">
        <w:t xml:space="preserve">ode, </w:t>
      </w:r>
      <w:r w:rsidR="0055185F">
        <w:t xml:space="preserve">an authorised person investigating an amenity impact complaint </w:t>
      </w:r>
      <w:r w:rsidR="00132FF9">
        <w:t>must</w:t>
      </w:r>
      <w:r w:rsidR="0055185F">
        <w:t xml:space="preserve"> be aware that where hoarding has led to the circumstance occurring, it may be due to an underl</w:t>
      </w:r>
      <w:r w:rsidR="00CE6715">
        <w:t>y</w:t>
      </w:r>
      <w:r w:rsidR="0055185F">
        <w:t xml:space="preserve">ing mental </w:t>
      </w:r>
      <w:r w:rsidR="002B6485">
        <w:t xml:space="preserve">disorder or mental </w:t>
      </w:r>
      <w:r w:rsidR="0055185F">
        <w:t xml:space="preserve">illness. In these cases, the person involved will likely attach significant </w:t>
      </w:r>
      <w:r>
        <w:t>value</w:t>
      </w:r>
      <w:r w:rsidR="0055185F">
        <w:t xml:space="preserve"> to the items on the property regardless of their perceived value.</w:t>
      </w:r>
    </w:p>
    <w:p w14:paraId="6795845A" w14:textId="5990191F" w:rsidR="009B6358" w:rsidRDefault="004F0AA4" w:rsidP="004F0AA4">
      <w:pPr>
        <w:pStyle w:val="Heading1"/>
      </w:pPr>
      <w:bookmarkStart w:id="9" w:name="_Toc45802589"/>
      <w:r>
        <w:t xml:space="preserve">3 </w:t>
      </w:r>
      <w:r w:rsidR="009B6358" w:rsidRPr="00B17801">
        <w:t xml:space="preserve">List of </w:t>
      </w:r>
      <w:r w:rsidR="0044516D">
        <w:t>K</w:t>
      </w:r>
      <w:r w:rsidR="009B6358" w:rsidRPr="00B17801">
        <w:t xml:space="preserve">ey </w:t>
      </w:r>
      <w:r w:rsidR="0044516D">
        <w:t>P</w:t>
      </w:r>
      <w:r w:rsidR="009B6358" w:rsidRPr="00B17801">
        <w:t>rinciples</w:t>
      </w:r>
      <w:bookmarkEnd w:id="9"/>
    </w:p>
    <w:p w14:paraId="3A956E02" w14:textId="75E2F860" w:rsidR="0001209B" w:rsidRDefault="0001209B" w:rsidP="009B6358">
      <w:pPr>
        <w:spacing w:after="120"/>
      </w:pPr>
      <w:r>
        <w:t xml:space="preserve">When managing cases of amenity impact, the following principles </w:t>
      </w:r>
      <w:r w:rsidR="00073CC6">
        <w:t xml:space="preserve">must </w:t>
      </w:r>
      <w:r>
        <w:t>be taken into account:</w:t>
      </w:r>
    </w:p>
    <w:p w14:paraId="78C7D4D1" w14:textId="19E12FC0" w:rsidR="0001209B" w:rsidRPr="0001209B" w:rsidRDefault="0001209B" w:rsidP="00B27FA4">
      <w:pPr>
        <w:pStyle w:val="ListParagraph"/>
        <w:numPr>
          <w:ilvl w:val="0"/>
          <w:numId w:val="9"/>
        </w:numPr>
        <w:shd w:val="clear" w:color="auto" w:fill="FFFFFF"/>
        <w:spacing w:after="0" w:line="240" w:lineRule="auto"/>
      </w:pPr>
      <w:r w:rsidRPr="0001209B">
        <w:t>a person with a mental disorder or mental illness has the same rights and responsibilities as other members of the community and is to</w:t>
      </w:r>
      <w:r>
        <w:t xml:space="preserve"> </w:t>
      </w:r>
      <w:r w:rsidRPr="0001209B">
        <w:t>be supported to exercise those rights and responsibilities without discrimination</w:t>
      </w:r>
      <w:r w:rsidR="00EA1826">
        <w:t>;</w:t>
      </w:r>
    </w:p>
    <w:p w14:paraId="681E6DEB" w14:textId="2E6D8756" w:rsidR="00B27FA4" w:rsidRDefault="0001209B" w:rsidP="00B27FA4">
      <w:pPr>
        <w:pStyle w:val="ListParagraph"/>
        <w:numPr>
          <w:ilvl w:val="0"/>
          <w:numId w:val="9"/>
        </w:numPr>
        <w:shd w:val="clear" w:color="auto" w:fill="FFFFFF"/>
        <w:spacing w:after="0" w:line="240" w:lineRule="auto"/>
      </w:pPr>
      <w:r w:rsidRPr="0001209B">
        <w:t>a person with a mental disorder or mental illness has the right to be assumed to have decision</w:t>
      </w:r>
      <w:r w:rsidR="00B27FA4">
        <w:t xml:space="preserve"> </w:t>
      </w:r>
      <w:r w:rsidRPr="0001209B">
        <w:t>making capacity, unless it is established</w:t>
      </w:r>
      <w:r w:rsidR="00F55E63">
        <w:t xml:space="preserve"> by a professional</w:t>
      </w:r>
      <w:r w:rsidRPr="0001209B">
        <w:t xml:space="preserve"> that the person does not have decision</w:t>
      </w:r>
      <w:r w:rsidR="00B27FA4">
        <w:t xml:space="preserve"> </w:t>
      </w:r>
      <w:r w:rsidRPr="0001209B">
        <w:t>making capacity</w:t>
      </w:r>
      <w:r w:rsidR="00EA1826">
        <w:t>;</w:t>
      </w:r>
    </w:p>
    <w:p w14:paraId="42AFBF89" w14:textId="45ED841A" w:rsidR="0001209B" w:rsidRDefault="003C1938" w:rsidP="00B27FA4">
      <w:pPr>
        <w:pStyle w:val="ListParagraph"/>
        <w:numPr>
          <w:ilvl w:val="0"/>
          <w:numId w:val="9"/>
        </w:numPr>
        <w:shd w:val="clear" w:color="auto" w:fill="FFFFFF"/>
        <w:spacing w:after="0" w:line="240" w:lineRule="auto"/>
      </w:pPr>
      <w:r>
        <w:t>a</w:t>
      </w:r>
      <w:r w:rsidR="00B27FA4">
        <w:t xml:space="preserve"> person’s will should be considered when determining the best course of action</w:t>
      </w:r>
      <w:r w:rsidR="00EA1826">
        <w:t>;</w:t>
      </w:r>
    </w:p>
    <w:p w14:paraId="6BF9E034" w14:textId="647319D3" w:rsidR="00B27FA4" w:rsidRDefault="00CE6715" w:rsidP="00B27FA4">
      <w:pPr>
        <w:pStyle w:val="ListParagraph"/>
        <w:numPr>
          <w:ilvl w:val="0"/>
          <w:numId w:val="9"/>
        </w:numPr>
        <w:shd w:val="clear" w:color="auto" w:fill="FFFFFF"/>
        <w:spacing w:after="0" w:line="240" w:lineRule="auto"/>
      </w:pPr>
      <w:r>
        <w:t>t</w:t>
      </w:r>
      <w:r w:rsidR="00B27FA4">
        <w:t>he human rights of individuals are respected, and cases of amenity impact are treated in the least restrictive way</w:t>
      </w:r>
      <w:r w:rsidR="00EA1826">
        <w:t>; and</w:t>
      </w:r>
    </w:p>
    <w:p w14:paraId="51DC1B0E" w14:textId="75AF749D" w:rsidR="00003503" w:rsidRDefault="003C1938" w:rsidP="00B27FA4">
      <w:pPr>
        <w:pStyle w:val="ListParagraph"/>
        <w:numPr>
          <w:ilvl w:val="0"/>
          <w:numId w:val="9"/>
        </w:numPr>
        <w:shd w:val="clear" w:color="auto" w:fill="FFFFFF"/>
        <w:spacing w:after="0" w:line="240" w:lineRule="auto"/>
      </w:pPr>
      <w:r>
        <w:t>a</w:t>
      </w:r>
      <w:r w:rsidR="00003503">
        <w:t xml:space="preserve">menity </w:t>
      </w:r>
      <w:r>
        <w:t>i</w:t>
      </w:r>
      <w:r w:rsidR="00003503">
        <w:t xml:space="preserve">mpact caused by the </w:t>
      </w:r>
      <w:r w:rsidR="004B509C">
        <w:t>build-up</w:t>
      </w:r>
      <w:r w:rsidR="00003503">
        <w:t xml:space="preserve"> of significant amounts of litter </w:t>
      </w:r>
      <w:r w:rsidR="00EA1826">
        <w:t>on a property</w:t>
      </w:r>
      <w:r w:rsidR="00003503">
        <w:t xml:space="preserve"> can have an impact on the mental health and wellbeing of neighbours.</w:t>
      </w:r>
    </w:p>
    <w:p w14:paraId="606BA607" w14:textId="59DB0B02" w:rsidR="009B6358" w:rsidRDefault="004F0AA4" w:rsidP="004F0AA4">
      <w:pPr>
        <w:pStyle w:val="Heading1"/>
      </w:pPr>
      <w:bookmarkStart w:id="10" w:name="_Toc45802590"/>
      <w:r>
        <w:t xml:space="preserve">4 </w:t>
      </w:r>
      <w:r w:rsidR="009B6358" w:rsidRPr="00EE5085">
        <w:t xml:space="preserve">List of </w:t>
      </w:r>
      <w:r w:rsidR="0044516D">
        <w:t>O</w:t>
      </w:r>
      <w:r w:rsidR="009B6358" w:rsidRPr="00EE5085">
        <w:t>bjectives</w:t>
      </w:r>
      <w:bookmarkEnd w:id="10"/>
      <w:r w:rsidR="009B6358">
        <w:t xml:space="preserve"> </w:t>
      </w:r>
    </w:p>
    <w:p w14:paraId="1C178CA7" w14:textId="5CAA74B5" w:rsidR="000A6BCE" w:rsidRDefault="00003503" w:rsidP="009B6358">
      <w:pPr>
        <w:spacing w:after="120"/>
      </w:pPr>
      <w:r>
        <w:t>The objectives of th</w:t>
      </w:r>
      <w:r w:rsidR="00000E68">
        <w:t>is c</w:t>
      </w:r>
      <w:r>
        <w:t>ode are</w:t>
      </w:r>
      <w:r w:rsidR="00000E68">
        <w:t xml:space="preserve"> to</w:t>
      </w:r>
      <w:r>
        <w:t>:</w:t>
      </w:r>
    </w:p>
    <w:p w14:paraId="56837ADC" w14:textId="348181F2" w:rsidR="00B2702D" w:rsidRPr="0077084F" w:rsidRDefault="00B2702D" w:rsidP="00BD4C7A">
      <w:pPr>
        <w:pStyle w:val="ListParagraph"/>
        <w:numPr>
          <w:ilvl w:val="0"/>
          <w:numId w:val="10"/>
        </w:numPr>
        <w:spacing w:after="200" w:line="240" w:lineRule="auto"/>
        <w:ind w:left="709" w:hanging="425"/>
      </w:pPr>
      <w:r w:rsidRPr="0077084F">
        <w:t>support the DG</w:t>
      </w:r>
      <w:r w:rsidR="00EA1826">
        <w:t>, delegate</w:t>
      </w:r>
      <w:r w:rsidRPr="0077084F">
        <w:t xml:space="preserve"> and authorised persons to fulfil the objectives of the </w:t>
      </w:r>
      <w:r w:rsidR="0077084F">
        <w:t xml:space="preserve">Litter </w:t>
      </w:r>
      <w:r w:rsidRPr="0077084F">
        <w:t xml:space="preserve">Act, as listed in section 6, including the protection and enhancement of the amenity of the </w:t>
      </w:r>
      <w:r w:rsidR="00393140" w:rsidRPr="0077084F">
        <w:t>A</w:t>
      </w:r>
      <w:r w:rsidR="00393140">
        <w:t>CT</w:t>
      </w:r>
      <w:r w:rsidRPr="0077084F">
        <w:t>, including the wellbeing of its people</w:t>
      </w:r>
      <w:r w:rsidR="00BD4C7A">
        <w:t>;</w:t>
      </w:r>
    </w:p>
    <w:p w14:paraId="0D0D20D8" w14:textId="35EDDE7A" w:rsidR="00B2702D" w:rsidRPr="0077084F" w:rsidRDefault="00B2702D" w:rsidP="00B2702D">
      <w:pPr>
        <w:pStyle w:val="ListParagraph"/>
        <w:numPr>
          <w:ilvl w:val="0"/>
          <w:numId w:val="10"/>
        </w:numPr>
        <w:spacing w:after="200" w:line="240" w:lineRule="auto"/>
        <w:ind w:left="709" w:hanging="425"/>
      </w:pPr>
      <w:r w:rsidRPr="0077084F">
        <w:t>encourage best practice measures for the management of amenity impact;</w:t>
      </w:r>
    </w:p>
    <w:p w14:paraId="4BB1A68E" w14:textId="2164B2F1" w:rsidR="00B2702D" w:rsidRDefault="00B2702D" w:rsidP="00B2702D">
      <w:pPr>
        <w:pStyle w:val="ListParagraph"/>
        <w:numPr>
          <w:ilvl w:val="0"/>
          <w:numId w:val="10"/>
        </w:numPr>
        <w:spacing w:after="200" w:line="240" w:lineRule="auto"/>
        <w:ind w:left="709" w:hanging="425"/>
      </w:pPr>
      <w:r w:rsidRPr="0077084F">
        <w:t>promote a coordinated approach in the management of amenity impact through the establishment of a group comprising</w:t>
      </w:r>
      <w:r w:rsidR="00CE6715">
        <w:t xml:space="preserve"> of</w:t>
      </w:r>
      <w:r w:rsidRPr="0077084F">
        <w:t xml:space="preserve"> representatives from government and non-government agencies and support services to advise the DG in relation to the management of amenity impact;</w:t>
      </w:r>
    </w:p>
    <w:p w14:paraId="794F763E" w14:textId="2EB29044" w:rsidR="00B2702D" w:rsidRPr="0077084F" w:rsidRDefault="00B2702D" w:rsidP="00B2702D">
      <w:pPr>
        <w:pStyle w:val="ListParagraph"/>
        <w:numPr>
          <w:ilvl w:val="0"/>
          <w:numId w:val="10"/>
        </w:numPr>
        <w:spacing w:after="200" w:line="240" w:lineRule="auto"/>
        <w:ind w:left="709" w:hanging="425"/>
      </w:pPr>
      <w:r w:rsidRPr="0077084F">
        <w:t xml:space="preserve">outline the review process for a regulatory decision; </w:t>
      </w:r>
      <w:r w:rsidR="000D3760">
        <w:t>and</w:t>
      </w:r>
    </w:p>
    <w:p w14:paraId="78780E7F" w14:textId="0719FE62" w:rsidR="00B2702D" w:rsidRPr="0077084F" w:rsidRDefault="00B2702D" w:rsidP="00B2702D">
      <w:pPr>
        <w:pStyle w:val="ListParagraph"/>
        <w:numPr>
          <w:ilvl w:val="0"/>
          <w:numId w:val="10"/>
        </w:numPr>
        <w:spacing w:after="200" w:line="240" w:lineRule="auto"/>
        <w:ind w:left="709" w:hanging="425"/>
      </w:pPr>
      <w:r w:rsidRPr="0077084F">
        <w:t>outline the circumstances in which a person causing an amenity impact may be referred to a government or non-government agency or support service</w:t>
      </w:r>
      <w:r w:rsidR="000D3760">
        <w:t>.</w:t>
      </w:r>
    </w:p>
    <w:p w14:paraId="10F8824D" w14:textId="6351E242" w:rsidR="000A48AE" w:rsidRDefault="004F0AA4" w:rsidP="004F0AA4">
      <w:pPr>
        <w:pStyle w:val="Heading1"/>
      </w:pPr>
      <w:bookmarkStart w:id="11" w:name="_Toc45802591"/>
      <w:r>
        <w:t xml:space="preserve">5 </w:t>
      </w:r>
      <w:r w:rsidR="000A48AE">
        <w:t>Investigating Amenity Impacts</w:t>
      </w:r>
      <w:bookmarkEnd w:id="11"/>
    </w:p>
    <w:p w14:paraId="503CFD82" w14:textId="66CA3ABC" w:rsidR="00BB2A08" w:rsidRDefault="00286CA1" w:rsidP="00674061">
      <w:pPr>
        <w:shd w:val="clear" w:color="auto" w:fill="FFFFFF"/>
        <w:spacing w:after="120" w:line="240" w:lineRule="auto"/>
      </w:pPr>
      <w:r>
        <w:t xml:space="preserve">Complaints concerning amenity impact circumstances </w:t>
      </w:r>
      <w:r w:rsidRPr="00286CA1">
        <w:t xml:space="preserve">are often received by </w:t>
      </w:r>
      <w:r w:rsidR="00ED33E3">
        <w:t>TCCS</w:t>
      </w:r>
      <w:r w:rsidRPr="00286CA1">
        <w:t xml:space="preserve"> from neighbours</w:t>
      </w:r>
      <w:r>
        <w:t xml:space="preserve"> who are </w:t>
      </w:r>
      <w:r w:rsidR="00E403E6">
        <w:t xml:space="preserve">concerned or </w:t>
      </w:r>
      <w:r w:rsidR="00CE6715">
        <w:t xml:space="preserve">are </w:t>
      </w:r>
      <w:r w:rsidR="00F57215">
        <w:t xml:space="preserve">being </w:t>
      </w:r>
      <w:r>
        <w:t xml:space="preserve">impacted by the </w:t>
      </w:r>
      <w:r w:rsidR="00E403E6">
        <w:t xml:space="preserve">build-up of litter and </w:t>
      </w:r>
      <w:r w:rsidR="008543BA">
        <w:t xml:space="preserve">the </w:t>
      </w:r>
      <w:r w:rsidR="00E403E6">
        <w:t>related consequences</w:t>
      </w:r>
      <w:r w:rsidRPr="00286CA1">
        <w:t xml:space="preserve">. Other government and non-government agencies may also be notified </w:t>
      </w:r>
      <w:r w:rsidR="00BB2A08" w:rsidRPr="00286CA1">
        <w:t>of</w:t>
      </w:r>
      <w:r w:rsidR="00000E68">
        <w:t xml:space="preserve">, </w:t>
      </w:r>
      <w:r w:rsidR="00BB2A08" w:rsidRPr="00286CA1">
        <w:t>or</w:t>
      </w:r>
      <w:r w:rsidRPr="00286CA1">
        <w:t xml:space="preserve"> discover</w:t>
      </w:r>
      <w:r w:rsidR="00000E68">
        <w:t xml:space="preserve">, </w:t>
      </w:r>
      <w:r w:rsidR="00BB2A08">
        <w:t xml:space="preserve">amenity impacts resulting from </w:t>
      </w:r>
      <w:r w:rsidRPr="00286CA1">
        <w:t>hoarding</w:t>
      </w:r>
      <w:r w:rsidR="00BB2A08">
        <w:t xml:space="preserve"> like behaviour</w:t>
      </w:r>
      <w:r w:rsidRPr="00286CA1">
        <w:t xml:space="preserve"> involving their clients and </w:t>
      </w:r>
      <w:r w:rsidR="00BB2A08">
        <w:t>notify TCCS</w:t>
      </w:r>
      <w:r w:rsidRPr="00286CA1">
        <w:t>.</w:t>
      </w:r>
    </w:p>
    <w:p w14:paraId="28ED792A" w14:textId="479A8F36" w:rsidR="003E634D" w:rsidRDefault="00286CA1" w:rsidP="00674061">
      <w:pPr>
        <w:shd w:val="clear" w:color="auto" w:fill="FFFFFF"/>
        <w:spacing w:after="120" w:line="240" w:lineRule="auto"/>
      </w:pPr>
      <w:r>
        <w:lastRenderedPageBreak/>
        <w:t xml:space="preserve">The Litter Act </w:t>
      </w:r>
      <w:r w:rsidR="0051573D">
        <w:t xml:space="preserve">provides that </w:t>
      </w:r>
      <w:r>
        <w:t xml:space="preserve">complaints </w:t>
      </w:r>
      <w:r w:rsidR="00BB2A08">
        <w:t>of amenity</w:t>
      </w:r>
      <w:r w:rsidR="000141CF">
        <w:t xml:space="preserve"> impact</w:t>
      </w:r>
      <w:r w:rsidR="00BB2A08">
        <w:t xml:space="preserve"> </w:t>
      </w:r>
      <w:r w:rsidR="0051573D">
        <w:t>may be made</w:t>
      </w:r>
      <w:r w:rsidR="00BB2A08">
        <w:t xml:space="preserve"> in writing</w:t>
      </w:r>
      <w:r w:rsidR="00ED33E3">
        <w:t>,</w:t>
      </w:r>
      <w:r w:rsidR="00BB2A08">
        <w:t xml:space="preserve"> however complaints received </w:t>
      </w:r>
      <w:r w:rsidR="00B35E6A">
        <w:t>through</w:t>
      </w:r>
      <w:r w:rsidR="00BB2A08">
        <w:t xml:space="preserve"> other means such as verbally via Access Canberra, </w:t>
      </w:r>
      <w:r w:rsidR="006A5790">
        <w:t>will</w:t>
      </w:r>
      <w:r w:rsidR="00BB2A08">
        <w:t xml:space="preserve"> also be investigated.</w:t>
      </w:r>
      <w:r w:rsidR="006A5790">
        <w:t xml:space="preserve"> </w:t>
      </w:r>
    </w:p>
    <w:p w14:paraId="05623E45" w14:textId="5845BF13" w:rsidR="006A5790" w:rsidRDefault="006A5790" w:rsidP="00674061">
      <w:pPr>
        <w:shd w:val="clear" w:color="auto" w:fill="FFFFFF"/>
        <w:spacing w:after="120" w:line="240" w:lineRule="auto"/>
      </w:pPr>
      <w:r w:rsidRPr="006A5790">
        <w:t xml:space="preserve">An investigation to determine if an </w:t>
      </w:r>
      <w:r>
        <w:t>amenity impact circumstance</w:t>
      </w:r>
      <w:r w:rsidRPr="006A5790">
        <w:t xml:space="preserve"> exists may include</w:t>
      </w:r>
      <w:r w:rsidR="00073CC6">
        <w:t xml:space="preserve"> </w:t>
      </w:r>
      <w:r w:rsidR="00000E68">
        <w:t xml:space="preserve">collaborating with </w:t>
      </w:r>
      <w:r w:rsidR="00073CC6">
        <w:t xml:space="preserve">other agencies to </w:t>
      </w:r>
      <w:r w:rsidR="00000E68">
        <w:t xml:space="preserve">establish </w:t>
      </w:r>
      <w:r w:rsidR="00073CC6">
        <w:t>if they are involved in the matter,</w:t>
      </w:r>
      <w:r w:rsidRPr="006A5790">
        <w:t xml:space="preserve"> seeking further information from the complainant, contacting the person to whom the complaint relates, or visiting the </w:t>
      </w:r>
      <w:r w:rsidR="00EA1826">
        <w:t>property</w:t>
      </w:r>
      <w:r w:rsidR="0051573D" w:rsidRPr="006A5790">
        <w:t xml:space="preserve"> </w:t>
      </w:r>
      <w:r w:rsidRPr="006A5790">
        <w:t xml:space="preserve">to determine if an </w:t>
      </w:r>
      <w:r w:rsidR="00D177D2">
        <w:t>amenity impact</w:t>
      </w:r>
      <w:r w:rsidRPr="006A5790">
        <w:t xml:space="preserve"> exists.</w:t>
      </w:r>
    </w:p>
    <w:p w14:paraId="07F6334C" w14:textId="67328748" w:rsidR="00806FB3" w:rsidRDefault="006A5790" w:rsidP="00674061">
      <w:pPr>
        <w:spacing w:after="120" w:line="240" w:lineRule="auto"/>
      </w:pPr>
      <w:r w:rsidRPr="006A5790">
        <w:t xml:space="preserve">To assist community awareness and certainty with respect to the management of </w:t>
      </w:r>
      <w:r w:rsidR="00B23A00">
        <w:t>amenity impact</w:t>
      </w:r>
      <w:r w:rsidRPr="006A5790">
        <w:t xml:space="preserve">s, the outcome of an alleged </w:t>
      </w:r>
      <w:r w:rsidR="00D177D2">
        <w:t>amenity impact</w:t>
      </w:r>
      <w:r w:rsidRPr="006A5790">
        <w:t xml:space="preserve"> investigation will be advised to the complainant having regard to the privacy rights of the occu</w:t>
      </w:r>
      <w:r w:rsidR="00EA1826">
        <w:t>pier</w:t>
      </w:r>
      <w:r w:rsidRPr="006A5790">
        <w:t xml:space="preserve">. It is acknowledged that there is no express provision in the </w:t>
      </w:r>
      <w:r w:rsidR="00000E68">
        <w:t xml:space="preserve">Litter </w:t>
      </w:r>
      <w:r w:rsidRPr="006A5790">
        <w:t xml:space="preserve">Act to notify a complainant other than when an authorised </w:t>
      </w:r>
      <w:r w:rsidR="00ED33E3">
        <w:t>person</w:t>
      </w:r>
      <w:r w:rsidRPr="006A5790">
        <w:t xml:space="preserve"> decides not to issue an abatement notice. If appropriate, the complainant may also be provided with information about any available methods for settling the matter privately.</w:t>
      </w:r>
      <w:r w:rsidR="004C26CE">
        <w:t xml:space="preserve"> This must be provided if the authorised officer decides not to issue an abatement notice</w:t>
      </w:r>
      <w:r w:rsidR="008A7833">
        <w:t xml:space="preserve"> after the investigation.</w:t>
      </w:r>
      <w:r w:rsidR="00000E68">
        <w:t xml:space="preserve"> </w:t>
      </w:r>
    </w:p>
    <w:p w14:paraId="00A9D2BA" w14:textId="78FFC2B0" w:rsidR="00B23A00" w:rsidRPr="00B23A00" w:rsidRDefault="00A548C1" w:rsidP="004F0AA4">
      <w:pPr>
        <w:pStyle w:val="Heading2"/>
      </w:pPr>
      <w:bookmarkStart w:id="12" w:name="_Toc45802592"/>
      <w:r>
        <w:t xml:space="preserve">5.1 </w:t>
      </w:r>
      <w:r w:rsidR="00B23A00" w:rsidRPr="00B23A00">
        <w:t>Property visit and assessment</w:t>
      </w:r>
      <w:bookmarkEnd w:id="12"/>
    </w:p>
    <w:p w14:paraId="506DE1EB" w14:textId="09217DF8" w:rsidR="005204E2" w:rsidRDefault="005204E2" w:rsidP="00674061">
      <w:pPr>
        <w:pStyle w:val="ListParagraph"/>
        <w:spacing w:after="120" w:line="240" w:lineRule="auto"/>
        <w:ind w:left="0"/>
        <w:contextualSpacing w:val="0"/>
      </w:pPr>
      <w:r w:rsidRPr="00634903">
        <w:t xml:space="preserve">For the purposes of investigating a complaint about an amenity impact circumstance, an authorised </w:t>
      </w:r>
      <w:r w:rsidR="00ED33E3">
        <w:t>person</w:t>
      </w:r>
      <w:r w:rsidRPr="00634903">
        <w:t xml:space="preserve"> may visit the </w:t>
      </w:r>
      <w:r w:rsidR="008A7833">
        <w:t>property</w:t>
      </w:r>
      <w:r w:rsidR="008A7833" w:rsidRPr="00634903">
        <w:t xml:space="preserve"> </w:t>
      </w:r>
      <w:r w:rsidRPr="00634903">
        <w:t xml:space="preserve">to determine if an amenity impact is present and </w:t>
      </w:r>
      <w:r w:rsidR="008C2B38">
        <w:t>assess the circumstance</w:t>
      </w:r>
      <w:r w:rsidRPr="00634903">
        <w:t xml:space="preserve">. </w:t>
      </w:r>
    </w:p>
    <w:p w14:paraId="0B286CC9" w14:textId="488737FE" w:rsidR="00634903" w:rsidRPr="00634903" w:rsidRDefault="00634903" w:rsidP="00674061">
      <w:pPr>
        <w:pStyle w:val="ListParagraph"/>
        <w:spacing w:after="120" w:line="240" w:lineRule="auto"/>
        <w:ind w:left="0"/>
        <w:contextualSpacing w:val="0"/>
      </w:pPr>
      <w:r w:rsidRPr="00634903">
        <w:t>When investigating an amenity impact complaint, the authorised person investigating the complaint should first observe the property from the public domain, before making contact</w:t>
      </w:r>
      <w:r w:rsidR="008A7833">
        <w:t xml:space="preserve"> with the occupier</w:t>
      </w:r>
      <w:r w:rsidRPr="00634903">
        <w:t xml:space="preserve">. If it can be seen that either an amenity impact circumstance is likely to exist or it cannot be determined if an amenity impact exists, it is likely that an inspection of the </w:t>
      </w:r>
      <w:r w:rsidR="008A7833">
        <w:t>property</w:t>
      </w:r>
      <w:r w:rsidR="008A7833" w:rsidRPr="00634903">
        <w:t xml:space="preserve"> </w:t>
      </w:r>
      <w:r w:rsidRPr="00634903">
        <w:t>will be necessary.</w:t>
      </w:r>
      <w:r w:rsidR="001169E3">
        <w:t xml:space="preserve"> If a property inspection is necessary, it may be prudent to use information gathered from the public domain and information provided by the complainant or other agencies to assess the situation before organising the property visit.</w:t>
      </w:r>
    </w:p>
    <w:p w14:paraId="6A1DBD52" w14:textId="61BB3CCB" w:rsidR="00626C24" w:rsidRDefault="00634903" w:rsidP="00674061">
      <w:pPr>
        <w:pStyle w:val="ListParagraph"/>
        <w:spacing w:after="120" w:line="240" w:lineRule="auto"/>
        <w:ind w:left="0"/>
        <w:contextualSpacing w:val="0"/>
      </w:pPr>
      <w:r>
        <w:t xml:space="preserve">Where possible, a property visit </w:t>
      </w:r>
      <w:r w:rsidR="00626C24" w:rsidRPr="00634903">
        <w:t xml:space="preserve">should be done at a reasonable time and with consent of the occupier. It is not always practicable to provide notice of a visit to an </w:t>
      </w:r>
      <w:r w:rsidR="008A7833" w:rsidRPr="00634903">
        <w:t>occup</w:t>
      </w:r>
      <w:r w:rsidR="008A7833">
        <w:t>ier</w:t>
      </w:r>
      <w:r w:rsidR="008A7833" w:rsidRPr="00634903">
        <w:t xml:space="preserve"> </w:t>
      </w:r>
      <w:r w:rsidR="00626C24" w:rsidRPr="00634903">
        <w:t xml:space="preserve">(e.g. an authorised officer receives a complaint but is unable to obtain contact details for the </w:t>
      </w:r>
      <w:r w:rsidR="008A7833" w:rsidRPr="00634903">
        <w:t>occup</w:t>
      </w:r>
      <w:r w:rsidR="008A7833">
        <w:t>ier</w:t>
      </w:r>
      <w:r w:rsidR="008A7833" w:rsidRPr="00634903">
        <w:t xml:space="preserve"> </w:t>
      </w:r>
      <w:r w:rsidR="00626C24" w:rsidRPr="00634903">
        <w:t xml:space="preserve">and thus must attend a property to engage the </w:t>
      </w:r>
      <w:r w:rsidR="008A7833" w:rsidRPr="00634903">
        <w:t>occup</w:t>
      </w:r>
      <w:r w:rsidR="008A7833">
        <w:t>ier</w:t>
      </w:r>
      <w:r w:rsidR="00626C24" w:rsidRPr="00634903">
        <w:t>).</w:t>
      </w:r>
      <w:r w:rsidR="00E65071">
        <w:t xml:space="preserve"> </w:t>
      </w:r>
      <w:r w:rsidR="00E65071" w:rsidRPr="00634903">
        <w:t xml:space="preserve">When conducting a property visit, authorised officers must have regard to sections 18 and 19 of the Litter Act concerning the entry to premises and consent to entry. The </w:t>
      </w:r>
      <w:r w:rsidR="00E65071">
        <w:t>L</w:t>
      </w:r>
      <w:r w:rsidR="00E65071" w:rsidRPr="00634903">
        <w:t>itter Act does not allow entry into parts of the premises used for residential purposes at any time.</w:t>
      </w:r>
    </w:p>
    <w:p w14:paraId="1DB80DAB" w14:textId="16F7C43E" w:rsidR="00634903" w:rsidRPr="00634903" w:rsidRDefault="00634903" w:rsidP="00674061">
      <w:pPr>
        <w:pStyle w:val="ListParagraph"/>
        <w:spacing w:after="120" w:line="240" w:lineRule="auto"/>
        <w:ind w:left="0"/>
        <w:contextualSpacing w:val="0"/>
      </w:pPr>
      <w:r w:rsidRPr="00634903">
        <w:t xml:space="preserve">When undertaking a property visit, it is important to be mindful that the nature of any contact made with the </w:t>
      </w:r>
      <w:r w:rsidR="008A7833" w:rsidRPr="00634903">
        <w:t>occup</w:t>
      </w:r>
      <w:r w:rsidR="008A7833">
        <w:t>ier</w:t>
      </w:r>
      <w:r w:rsidR="008A7833" w:rsidRPr="00634903">
        <w:t xml:space="preserve"> </w:t>
      </w:r>
      <w:r w:rsidRPr="00634903">
        <w:t xml:space="preserve">is extremely important. It can have significant bearing on the person’s acceptance of help. Whilst it is important that authorised </w:t>
      </w:r>
      <w:r w:rsidR="00ED33E3">
        <w:t>persons</w:t>
      </w:r>
      <w:r w:rsidRPr="00634903">
        <w:t xml:space="preserve"> be mindful to approach the </w:t>
      </w:r>
      <w:r w:rsidR="008A7833" w:rsidRPr="00634903">
        <w:t>occup</w:t>
      </w:r>
      <w:r w:rsidR="008A7833">
        <w:t>ier</w:t>
      </w:r>
      <w:r w:rsidR="008A7833" w:rsidRPr="00634903">
        <w:t xml:space="preserve"> </w:t>
      </w:r>
      <w:r w:rsidRPr="00634903">
        <w:t>with sensitivity and respect, as a regulator they are not best placed to provide support services. As such, the occup</w:t>
      </w:r>
      <w:r w:rsidR="008A7833">
        <w:t>ier</w:t>
      </w:r>
      <w:r w:rsidRPr="00634903">
        <w:t xml:space="preserve"> should be provided with the opportunity to involve support or advocacy services where practicable.</w:t>
      </w:r>
    </w:p>
    <w:p w14:paraId="24FFB404" w14:textId="0096E82D" w:rsidR="00B23A00" w:rsidRDefault="00BD1243" w:rsidP="00674061">
      <w:pPr>
        <w:shd w:val="clear" w:color="auto" w:fill="FFFFFF"/>
        <w:spacing w:after="120" w:line="240" w:lineRule="auto"/>
      </w:pPr>
      <w:r>
        <w:t xml:space="preserve">If the </w:t>
      </w:r>
      <w:r w:rsidR="00CD74D9">
        <w:t xml:space="preserve">authorised person determines that an amenity impact exists, </w:t>
      </w:r>
      <w:r w:rsidR="00163E70">
        <w:t xml:space="preserve">depending on the severity and evidence present, </w:t>
      </w:r>
      <w:r w:rsidR="00CD74D9">
        <w:t xml:space="preserve">a decision to take regulatory action </w:t>
      </w:r>
      <w:r w:rsidR="00160873">
        <w:t xml:space="preserve">beyond providing information and education to the person </w:t>
      </w:r>
      <w:r w:rsidR="00163E70">
        <w:t>should not</w:t>
      </w:r>
      <w:r w:rsidR="00B35E6A">
        <w:t xml:space="preserve"> be</w:t>
      </w:r>
      <w:r w:rsidR="00163E70">
        <w:t xml:space="preserve"> </w:t>
      </w:r>
      <w:r w:rsidR="00B35E6A">
        <w:t>made</w:t>
      </w:r>
      <w:r w:rsidR="00163E70">
        <w:t xml:space="preserve"> immediately. Due to the possible involvement of </w:t>
      </w:r>
      <w:r w:rsidR="00EA1826">
        <w:t xml:space="preserve">a </w:t>
      </w:r>
      <w:r w:rsidR="00163E70">
        <w:t>me</w:t>
      </w:r>
      <w:r w:rsidR="001D2BFF">
        <w:t>n</w:t>
      </w:r>
      <w:r w:rsidR="00163E70">
        <w:t xml:space="preserve">tal </w:t>
      </w:r>
      <w:r w:rsidR="001D2BFF">
        <w:t xml:space="preserve">disorder or mental illness </w:t>
      </w:r>
      <w:r w:rsidR="00163E70">
        <w:t xml:space="preserve">and the complex nature of these cases, the best course of action to resolve the situation may not necessarily be regulatory. </w:t>
      </w:r>
      <w:r w:rsidR="006C3665">
        <w:t xml:space="preserve">Cases should be referred </w:t>
      </w:r>
      <w:r w:rsidR="00124A76">
        <w:t>to a</w:t>
      </w:r>
      <w:r w:rsidR="006C3665">
        <w:t xml:space="preserve"> Regulatory Advisory Committee</w:t>
      </w:r>
      <w:r w:rsidR="00C9268F">
        <w:t xml:space="preserve"> (RAC)</w:t>
      </w:r>
      <w:r w:rsidR="006C3665">
        <w:t xml:space="preserve"> or the</w:t>
      </w:r>
      <w:r w:rsidR="00AE6323" w:rsidRPr="00AE6323">
        <w:t xml:space="preserve"> </w:t>
      </w:r>
      <w:r w:rsidR="00AE6323">
        <w:t>Hoarding Case Management Group (</w:t>
      </w:r>
      <w:r w:rsidR="006C3665">
        <w:t>HCMG</w:t>
      </w:r>
      <w:r w:rsidR="00AE6323">
        <w:t xml:space="preserve">) </w:t>
      </w:r>
      <w:r w:rsidR="00124A76">
        <w:t>for consideration</w:t>
      </w:r>
      <w:r w:rsidR="006C3665">
        <w:t xml:space="preserve"> to determine the most appropriate course of action.</w:t>
      </w:r>
      <w:r w:rsidR="00163E70" w:rsidRPr="00163E70">
        <w:t xml:space="preserve"> </w:t>
      </w:r>
      <w:r w:rsidR="00AE6323">
        <w:t>The HCMG is administered by Health Protection Services within the ACT Health Directorate. The HCMG is</w:t>
      </w:r>
      <w:r w:rsidR="00AE6323" w:rsidRPr="0077407A">
        <w:t xml:space="preserve"> a specialist working group </w:t>
      </w:r>
      <w:r w:rsidR="00AE6323">
        <w:t xml:space="preserve">made up of members experienced in managing hoarding cases and has members from relevant areas of Government and community services. </w:t>
      </w:r>
      <w:r w:rsidR="00163E70" w:rsidRPr="00163E70">
        <w:t>Subsequent property visits may be required.</w:t>
      </w:r>
    </w:p>
    <w:p w14:paraId="4A8F549C" w14:textId="22DF6738" w:rsidR="00806FB3" w:rsidRDefault="00780799" w:rsidP="004F0AA4">
      <w:pPr>
        <w:pStyle w:val="Heading2"/>
      </w:pPr>
      <w:bookmarkStart w:id="13" w:name="_Toc45802593"/>
      <w:r>
        <w:lastRenderedPageBreak/>
        <w:t xml:space="preserve">5.2 </w:t>
      </w:r>
      <w:r w:rsidR="0090593B">
        <w:t>Referral to</w:t>
      </w:r>
      <w:r w:rsidR="00163E70" w:rsidRPr="00163E70">
        <w:t xml:space="preserve"> an interagency group</w:t>
      </w:r>
      <w:bookmarkEnd w:id="13"/>
    </w:p>
    <w:p w14:paraId="2F4E0A7D" w14:textId="5992B785" w:rsidR="007B6F70" w:rsidRDefault="00711CD7" w:rsidP="00674061">
      <w:pPr>
        <w:shd w:val="clear" w:color="auto" w:fill="FFFFFF"/>
        <w:spacing w:after="120" w:line="240" w:lineRule="auto"/>
      </w:pPr>
      <w:r>
        <w:t xml:space="preserve">In many cases where an amenity impact is identified, especially where the circumstance </w:t>
      </w:r>
      <w:r w:rsidR="00AE6323">
        <w:t xml:space="preserve">may have </w:t>
      </w:r>
      <w:r>
        <w:t xml:space="preserve">developed due to an underlying </w:t>
      </w:r>
      <w:r w:rsidR="00EB710D">
        <w:t xml:space="preserve">mental disorder or mental </w:t>
      </w:r>
      <w:r w:rsidR="00310848">
        <w:t>illness</w:t>
      </w:r>
      <w:r>
        <w:t>, City Service</w:t>
      </w:r>
      <w:r w:rsidR="00196663">
        <w:t>s</w:t>
      </w:r>
      <w:r>
        <w:t xml:space="preserve"> in isolation may not have the necessary skills to</w:t>
      </w:r>
      <w:r w:rsidR="00196663">
        <w:t xml:space="preserve"> recognise the complexities of a case and respond appropriately.</w:t>
      </w:r>
    </w:p>
    <w:p w14:paraId="0BF1CB17" w14:textId="6F9C4A91" w:rsidR="00664F4F" w:rsidRDefault="00664F4F" w:rsidP="00674061">
      <w:pPr>
        <w:shd w:val="clear" w:color="auto" w:fill="FFFFFF"/>
        <w:spacing w:after="120" w:line="240" w:lineRule="auto"/>
      </w:pPr>
      <w:r>
        <w:t>Best practice management of cases involv</w:t>
      </w:r>
      <w:r w:rsidR="00196663">
        <w:t>ing</w:t>
      </w:r>
      <w:r>
        <w:t xml:space="preserve"> complex competing </w:t>
      </w:r>
      <w:r w:rsidR="00EB710D">
        <w:t>mental disorder</w:t>
      </w:r>
      <w:r w:rsidR="001D2BFF">
        <w:t>s</w:t>
      </w:r>
      <w:r w:rsidR="00EB710D">
        <w:t xml:space="preserve"> or mental </w:t>
      </w:r>
      <w:r w:rsidR="00310848">
        <w:t>illness</w:t>
      </w:r>
      <w:r>
        <w:t xml:space="preserve"> and </w:t>
      </w:r>
      <w:r w:rsidR="002501CC">
        <w:t>social issues requires a coordinated approach between government and non-government services. The use of a multidisciplinary team to guide a cross sector approach to achieve the best outcomes</w:t>
      </w:r>
      <w:r w:rsidR="00ED33E3">
        <w:t xml:space="preserve"> is recommended</w:t>
      </w:r>
      <w:r w:rsidR="002501CC">
        <w:t>.</w:t>
      </w:r>
    </w:p>
    <w:p w14:paraId="3AF05B07" w14:textId="34BD68FB" w:rsidR="0077407A" w:rsidRPr="0077407A" w:rsidRDefault="0077407A" w:rsidP="00674061">
      <w:pPr>
        <w:spacing w:after="120" w:line="240" w:lineRule="auto"/>
      </w:pPr>
      <w:r>
        <w:t xml:space="preserve">The </w:t>
      </w:r>
      <w:r w:rsidRPr="0077407A">
        <w:t xml:space="preserve">ACT Government and non-government organisations have a range of services and resources which can complement each other to manage </w:t>
      </w:r>
      <w:r w:rsidR="00196663">
        <w:t>amenity impact cases</w:t>
      </w:r>
      <w:r w:rsidRPr="0077407A">
        <w:t xml:space="preserve">. A multi-agency approach is therefore considered beneficial to the long-term successful management of hoarding like behaviours that may </w:t>
      </w:r>
      <w:r w:rsidR="00196663">
        <w:t>cause an amenity impact</w:t>
      </w:r>
      <w:r w:rsidRPr="0077407A">
        <w:t>.</w:t>
      </w:r>
    </w:p>
    <w:p w14:paraId="683F15E2" w14:textId="0BA77A44" w:rsidR="0077407A" w:rsidRPr="0077407A" w:rsidRDefault="0077407A" w:rsidP="00674061">
      <w:pPr>
        <w:spacing w:after="120" w:line="240" w:lineRule="auto"/>
      </w:pPr>
      <w:r w:rsidRPr="0077407A">
        <w:t xml:space="preserve">To facilitate finding optimal solutions to complex amenity impact circumstances, </w:t>
      </w:r>
      <w:r w:rsidR="00160873">
        <w:t xml:space="preserve">cases being investigated by TCCS </w:t>
      </w:r>
      <w:r w:rsidR="00BE22D2">
        <w:t>may</w:t>
      </w:r>
      <w:r w:rsidR="00160873">
        <w:t xml:space="preserve"> be referred</w:t>
      </w:r>
      <w:r w:rsidR="001D2BFF">
        <w:t xml:space="preserve"> to </w:t>
      </w:r>
      <w:r w:rsidR="00160873">
        <w:t>the HCMG</w:t>
      </w:r>
      <w:r w:rsidR="0090593B">
        <w:t>. The HCMG may</w:t>
      </w:r>
      <w:r w:rsidR="004B509C">
        <w:t>,</w:t>
      </w:r>
      <w:r w:rsidRPr="0077407A">
        <w:t xml:space="preserve"> by referral or on its own initiative, provide advice to the </w:t>
      </w:r>
      <w:r w:rsidR="004B509C">
        <w:t>DG</w:t>
      </w:r>
      <w:r w:rsidR="00BE22D2">
        <w:t xml:space="preserve"> or </w:t>
      </w:r>
      <w:r w:rsidR="00AE6323">
        <w:t xml:space="preserve">a </w:t>
      </w:r>
      <w:r w:rsidR="00BE22D2">
        <w:t>delegate</w:t>
      </w:r>
      <w:r w:rsidR="000B6982">
        <w:t xml:space="preserve"> </w:t>
      </w:r>
      <w:r w:rsidRPr="0077407A">
        <w:t xml:space="preserve">about matters associated with the </w:t>
      </w:r>
      <w:r w:rsidR="000B6982">
        <w:t xml:space="preserve">circumstances of amenity impact </w:t>
      </w:r>
      <w:r w:rsidRPr="0077407A">
        <w:t xml:space="preserve">such as the need for </w:t>
      </w:r>
      <w:r w:rsidR="000B6982">
        <w:t xml:space="preserve">referral outside of TCCS or a </w:t>
      </w:r>
      <w:r w:rsidRPr="0077407A">
        <w:t xml:space="preserve">regulatory response. </w:t>
      </w:r>
    </w:p>
    <w:p w14:paraId="00172FEC" w14:textId="2A55E157" w:rsidR="00341EC7" w:rsidRPr="007B6F70" w:rsidRDefault="00780799" w:rsidP="004F0AA4">
      <w:pPr>
        <w:pStyle w:val="Heading2"/>
      </w:pPr>
      <w:bookmarkStart w:id="14" w:name="_Toc45802594"/>
      <w:r>
        <w:t xml:space="preserve">5.3 </w:t>
      </w:r>
      <w:r w:rsidR="00341EC7" w:rsidRPr="007B6F70">
        <w:t>Complementary legislation</w:t>
      </w:r>
      <w:bookmarkEnd w:id="14"/>
    </w:p>
    <w:p w14:paraId="4B8A6520" w14:textId="50A2C8F8" w:rsidR="001528EC" w:rsidRDefault="005B71A8" w:rsidP="0090593B">
      <w:pPr>
        <w:spacing w:before="120" w:after="120"/>
      </w:pPr>
      <w:r>
        <w:t xml:space="preserve">The ACT does not have legislation specifically for </w:t>
      </w:r>
      <w:r w:rsidR="003F5F07">
        <w:t>the management of hoarding</w:t>
      </w:r>
      <w:r>
        <w:t xml:space="preserve">, </w:t>
      </w:r>
      <w:r w:rsidR="00DA16F9">
        <w:t xml:space="preserve">however </w:t>
      </w:r>
      <w:r w:rsidR="00362467">
        <w:t xml:space="preserve">there are </w:t>
      </w:r>
      <w:r w:rsidR="00DA16F9">
        <w:t xml:space="preserve">several pieces of legislation </w:t>
      </w:r>
      <w:r w:rsidR="003F5F07">
        <w:t>that relate to hoarding and may apply depending on the circumstances of a case.</w:t>
      </w:r>
      <w:r w:rsidR="00DA16F9">
        <w:t xml:space="preserve"> A</w:t>
      </w:r>
      <w:r w:rsidR="003F5F07">
        <w:t xml:space="preserve"> list</w:t>
      </w:r>
      <w:r w:rsidR="00DA16F9">
        <w:t xml:space="preserve"> of the legislation used in managing and treating hoarding is included at Appendix A.</w:t>
      </w:r>
    </w:p>
    <w:p w14:paraId="4444FF6A" w14:textId="504FD0AC" w:rsidR="009B6358" w:rsidRDefault="004F0AA4" w:rsidP="004F0AA4">
      <w:pPr>
        <w:pStyle w:val="Heading1"/>
      </w:pPr>
      <w:bookmarkStart w:id="15" w:name="_Toc45802595"/>
      <w:r>
        <w:t xml:space="preserve">6 </w:t>
      </w:r>
      <w:r w:rsidR="009B6358" w:rsidRPr="00EE5085">
        <w:t xml:space="preserve">Referral to </w:t>
      </w:r>
      <w:r w:rsidR="0044516D">
        <w:t>S</w:t>
      </w:r>
      <w:r w:rsidR="009B6358" w:rsidRPr="00EE5085">
        <w:t xml:space="preserve">upport </w:t>
      </w:r>
      <w:r w:rsidR="0044516D">
        <w:t>S</w:t>
      </w:r>
      <w:r w:rsidR="009B6358" w:rsidRPr="00EE5085">
        <w:t>ervices</w:t>
      </w:r>
      <w:bookmarkEnd w:id="15"/>
      <w:r w:rsidR="009B6358">
        <w:t xml:space="preserve"> </w:t>
      </w:r>
    </w:p>
    <w:p w14:paraId="6789F480" w14:textId="2C4AED54" w:rsidR="000D0A47" w:rsidRDefault="007776A5" w:rsidP="00674061">
      <w:pPr>
        <w:spacing w:after="120"/>
      </w:pPr>
      <w:r>
        <w:t>When managing a case of amenity impact, referring a person to a support or advocacy service may be preferable to taking regulatory action. In most cases finding social solutions</w:t>
      </w:r>
      <w:r w:rsidR="0061338D">
        <w:t>,</w:t>
      </w:r>
      <w:r>
        <w:t xml:space="preserve"> </w:t>
      </w:r>
      <w:r w:rsidR="0061338D">
        <w:t xml:space="preserve">such as </w:t>
      </w:r>
      <w:r>
        <w:t>engaging support services</w:t>
      </w:r>
      <w:r w:rsidR="0061338D">
        <w:t>,</w:t>
      </w:r>
      <w:r>
        <w:t xml:space="preserve"> in the first instance</w:t>
      </w:r>
      <w:r w:rsidR="00AE6323">
        <w:t xml:space="preserve">, </w:t>
      </w:r>
      <w:r w:rsidR="005A5DE5">
        <w:t xml:space="preserve">is </w:t>
      </w:r>
      <w:r>
        <w:t xml:space="preserve">the best approach. Only where a person responsible for an amenity impact refuses to </w:t>
      </w:r>
      <w:r w:rsidR="00BE22D2">
        <w:t xml:space="preserve">genuinely </w:t>
      </w:r>
      <w:r>
        <w:t xml:space="preserve">cooperate with support services should the regulatory pathway be </w:t>
      </w:r>
      <w:r w:rsidR="007B78FE">
        <w:t>pursued</w:t>
      </w:r>
      <w:r>
        <w:t>.</w:t>
      </w:r>
    </w:p>
    <w:p w14:paraId="31D5CC82" w14:textId="792F5909" w:rsidR="00410C14" w:rsidRDefault="007776A5" w:rsidP="00674061">
      <w:pPr>
        <w:spacing w:after="120"/>
      </w:pPr>
      <w:r>
        <w:t xml:space="preserve">The </w:t>
      </w:r>
      <w:r w:rsidR="008F5E5B">
        <w:t xml:space="preserve">DG or </w:t>
      </w:r>
      <w:r w:rsidR="00AE6323">
        <w:t xml:space="preserve">a </w:t>
      </w:r>
      <w:r w:rsidR="008F5E5B">
        <w:t>delegate</w:t>
      </w:r>
      <w:r w:rsidR="00D90932">
        <w:t xml:space="preserve"> </w:t>
      </w:r>
      <w:r>
        <w:t xml:space="preserve">may refer a case </w:t>
      </w:r>
      <w:r w:rsidR="00FA0CFE">
        <w:t>concerning</w:t>
      </w:r>
      <w:r w:rsidR="00526FE2">
        <w:t xml:space="preserve"> </w:t>
      </w:r>
      <w:r>
        <w:t>a</w:t>
      </w:r>
      <w:r w:rsidR="00A51FFC">
        <w:t xml:space="preserve">n amenity impact circumstance where </w:t>
      </w:r>
      <w:r w:rsidR="00FA0CFE">
        <w:t>hoarding</w:t>
      </w:r>
      <w:r w:rsidR="00A51FFC">
        <w:t xml:space="preserve"> is involved to </w:t>
      </w:r>
      <w:r w:rsidR="00FA0CFE">
        <w:t>other government departments</w:t>
      </w:r>
      <w:r w:rsidR="00E1138D">
        <w:t>,</w:t>
      </w:r>
      <w:r w:rsidR="00FA0CFE">
        <w:t xml:space="preserve"> for example to </w:t>
      </w:r>
      <w:r w:rsidR="00A27279">
        <w:t>ACT M</w:t>
      </w:r>
      <w:r w:rsidR="00FA0CFE">
        <w:t xml:space="preserve">ental </w:t>
      </w:r>
      <w:r w:rsidR="00A27279">
        <w:t>H</w:t>
      </w:r>
      <w:r w:rsidR="00FA0CFE">
        <w:t>ealth or</w:t>
      </w:r>
      <w:r w:rsidR="00A51FFC">
        <w:t xml:space="preserve"> </w:t>
      </w:r>
      <w:r w:rsidR="00FA0CFE">
        <w:t xml:space="preserve">to </w:t>
      </w:r>
      <w:r w:rsidR="00A51FFC">
        <w:t xml:space="preserve">support </w:t>
      </w:r>
      <w:r w:rsidR="00FA0CFE">
        <w:t>or advocacy services where it has been determined that regulatory action is not the best course of action.</w:t>
      </w:r>
      <w:r w:rsidR="00FA0CFE" w:rsidRPr="00FA0CFE">
        <w:rPr>
          <w:sz w:val="24"/>
          <w:szCs w:val="24"/>
        </w:rPr>
        <w:t xml:space="preserve"> </w:t>
      </w:r>
      <w:r w:rsidR="00FA0CFE" w:rsidRPr="00FA0CFE">
        <w:t xml:space="preserve">Referral will be with the prior consent of the person where this is practicable, or otherwise in accordance with the </w:t>
      </w:r>
      <w:r w:rsidR="00FA0CFE" w:rsidRPr="006C0B38">
        <w:rPr>
          <w:i/>
          <w:iCs/>
        </w:rPr>
        <w:t>Information Privacy Act 2014</w:t>
      </w:r>
      <w:r w:rsidR="007623C3">
        <w:t xml:space="preserve"> and the </w:t>
      </w:r>
      <w:r w:rsidR="007623C3" w:rsidRPr="006C0B38">
        <w:rPr>
          <w:i/>
          <w:iCs/>
        </w:rPr>
        <w:t>Health Records (Privacy and Access) Act 1997</w:t>
      </w:r>
      <w:r w:rsidR="007623C3">
        <w:t>.</w:t>
      </w:r>
      <w:r w:rsidR="00FA0CFE">
        <w:t xml:space="preserve"> </w:t>
      </w:r>
      <w:r w:rsidR="008C50B1">
        <w:t xml:space="preserve">The </w:t>
      </w:r>
      <w:r w:rsidR="004B509C">
        <w:t>DG</w:t>
      </w:r>
      <w:r w:rsidR="00D90932">
        <w:t xml:space="preserve"> or </w:t>
      </w:r>
      <w:r w:rsidR="00AE6323">
        <w:t xml:space="preserve">a </w:t>
      </w:r>
      <w:r w:rsidR="00D90932">
        <w:t xml:space="preserve">delegate </w:t>
      </w:r>
      <w:r w:rsidR="008C50B1">
        <w:t xml:space="preserve">should consult with the </w:t>
      </w:r>
      <w:r w:rsidR="005B2F9A">
        <w:t xml:space="preserve">HCMG </w:t>
      </w:r>
      <w:r w:rsidR="00AE6323">
        <w:t>prior to</w:t>
      </w:r>
      <w:r w:rsidR="008C50B1">
        <w:t xml:space="preserve"> referring a case to another department or service. </w:t>
      </w:r>
      <w:r w:rsidR="008C50B1" w:rsidRPr="00D90932">
        <w:t>Depending on the frequency of meeting, referrals can be made outside of the formal meeting process. Consultation</w:t>
      </w:r>
      <w:r w:rsidR="008C50B1">
        <w:t xml:space="preserve"> with the new agency or support service must </w:t>
      </w:r>
      <w:r w:rsidR="00E1138D">
        <w:t>occur and</w:t>
      </w:r>
      <w:r w:rsidR="008C50B1">
        <w:t xml:space="preserve"> </w:t>
      </w:r>
      <w:r w:rsidR="00493B5A">
        <w:t xml:space="preserve">a record of the referral must be </w:t>
      </w:r>
      <w:r w:rsidR="008C50B1">
        <w:t>documented.</w:t>
      </w:r>
    </w:p>
    <w:p w14:paraId="19ABCF7D" w14:textId="79FC4C77" w:rsidR="00493B5A" w:rsidRDefault="00493B5A" w:rsidP="00674061">
      <w:pPr>
        <w:spacing w:after="120"/>
      </w:pPr>
      <w:r>
        <w:t xml:space="preserve">Where there is evidence that the hoarding issues are also present inside the residence and there is a risk to the </w:t>
      </w:r>
      <w:r w:rsidR="008A7833">
        <w:t xml:space="preserve">occupier </w:t>
      </w:r>
      <w:r>
        <w:t xml:space="preserve">or other vulnerable people </w:t>
      </w:r>
      <w:r w:rsidR="001D5152">
        <w:t>appropriate services should be notified</w:t>
      </w:r>
      <w:r>
        <w:t xml:space="preserve">. Where </w:t>
      </w:r>
      <w:r w:rsidR="001D5152">
        <w:t xml:space="preserve">an authorised person believes or suspects that a child or young person living at the property is </w:t>
      </w:r>
      <w:r w:rsidR="00FB2956">
        <w:t xml:space="preserve">at risk of </w:t>
      </w:r>
      <w:r w:rsidR="001D5152">
        <w:t>being neglected or abused</w:t>
      </w:r>
      <w:r w:rsidR="00B27D44">
        <w:t xml:space="preserve"> </w:t>
      </w:r>
      <w:r w:rsidR="00606C36">
        <w:t>it</w:t>
      </w:r>
      <w:r w:rsidR="00FB2956">
        <w:t xml:space="preserve"> </w:t>
      </w:r>
      <w:r w:rsidR="00DE48A8">
        <w:t xml:space="preserve">should </w:t>
      </w:r>
      <w:r w:rsidR="001D5152">
        <w:t xml:space="preserve">be reported to </w:t>
      </w:r>
      <w:r w:rsidR="00FB2956">
        <w:t>Child and Youth Protection Services</w:t>
      </w:r>
      <w:r w:rsidR="001D5152">
        <w:t>.</w:t>
      </w:r>
      <w:r w:rsidR="00DE48A8">
        <w:t xml:space="preserve"> Authorised persons under the Litter Act are not mandatory reporter</w:t>
      </w:r>
      <w:r w:rsidR="00F06BEE">
        <w:t xml:space="preserve">s under the </w:t>
      </w:r>
      <w:r w:rsidR="00F06BEE" w:rsidRPr="00F7451F">
        <w:rPr>
          <w:i/>
          <w:iCs/>
        </w:rPr>
        <w:t>Children and Young People Act 20008</w:t>
      </w:r>
      <w:r w:rsidR="00DE48A8">
        <w:t xml:space="preserve"> and may use their judgement</w:t>
      </w:r>
      <w:r w:rsidR="00F06BEE">
        <w:t xml:space="preserve"> in decide whether to report</w:t>
      </w:r>
      <w:r w:rsidR="00724204">
        <w:t>. In any case where an authorised officer reports, or considers reporting vulnerable people they should notify their</w:t>
      </w:r>
      <w:r w:rsidR="00F06BEE">
        <w:t xml:space="preserve"> senior manager. </w:t>
      </w:r>
    </w:p>
    <w:p w14:paraId="11DCC52C" w14:textId="424AFDF8" w:rsidR="00493B5A" w:rsidRDefault="00B27D44" w:rsidP="009B6358">
      <w:pPr>
        <w:spacing w:after="120"/>
      </w:pPr>
      <w:r>
        <w:t>Where TCCS refers a case to another Directorate, department or organisation, TCCS should</w:t>
      </w:r>
      <w:r w:rsidR="005C0C66">
        <w:t xml:space="preserve"> remain involved</w:t>
      </w:r>
      <w:r>
        <w:t xml:space="preserve"> </w:t>
      </w:r>
      <w:r w:rsidR="005C0C66">
        <w:t xml:space="preserve">and </w:t>
      </w:r>
      <w:r>
        <w:t>regularly review the case.</w:t>
      </w:r>
      <w:r w:rsidR="005C0C66">
        <w:t xml:space="preserve"> TCCS may provide regulatory support if required</w:t>
      </w:r>
      <w:r w:rsidR="00FA1F0C">
        <w:t xml:space="preserve"> or </w:t>
      </w:r>
      <w:r w:rsidR="00FA1F0C">
        <w:lastRenderedPageBreak/>
        <w:t>requested by the referred service</w:t>
      </w:r>
      <w:r w:rsidR="005C0C66">
        <w:t>.</w:t>
      </w:r>
      <w:r>
        <w:t xml:space="preserve"> If the referred service is not proving</w:t>
      </w:r>
      <w:r w:rsidR="00AE6323">
        <w:t xml:space="preserve"> an</w:t>
      </w:r>
      <w:r>
        <w:t xml:space="preserve"> effective </w:t>
      </w:r>
      <w:r w:rsidR="00AE6323">
        <w:t xml:space="preserve">response </w:t>
      </w:r>
      <w:r>
        <w:t xml:space="preserve">within a reasonable timeframe the case should be reviewed </w:t>
      </w:r>
      <w:r w:rsidR="006C08AB">
        <w:t xml:space="preserve">for possible alternative solutions including regulatory action. Where a person </w:t>
      </w:r>
      <w:r w:rsidR="00C1243D">
        <w:t>is not genuinely cooperating</w:t>
      </w:r>
      <w:r w:rsidR="006C08AB">
        <w:t xml:space="preserve"> with the referral service </w:t>
      </w:r>
      <w:r w:rsidR="00C1243D">
        <w:t>to remove the amenity impact,</w:t>
      </w:r>
      <w:r w:rsidR="0079710B">
        <w:t xml:space="preserve"> </w:t>
      </w:r>
      <w:r w:rsidR="006C08AB">
        <w:t>the case should be referred back to TCCS to begin or continue regulatory action.</w:t>
      </w:r>
    </w:p>
    <w:p w14:paraId="016387B8" w14:textId="5F46BBDE" w:rsidR="009B6358" w:rsidRDefault="004F0AA4" w:rsidP="004F0AA4">
      <w:pPr>
        <w:pStyle w:val="Heading1"/>
      </w:pPr>
      <w:bookmarkStart w:id="16" w:name="_Toc45802596"/>
      <w:r>
        <w:t xml:space="preserve">7 </w:t>
      </w:r>
      <w:r w:rsidR="009B6358" w:rsidRPr="00BF0BB8">
        <w:t xml:space="preserve">The </w:t>
      </w:r>
      <w:r w:rsidR="0044516D">
        <w:t>R</w:t>
      </w:r>
      <w:r w:rsidR="009B6358" w:rsidRPr="00BF0BB8">
        <w:t xml:space="preserve">egulatory </w:t>
      </w:r>
      <w:r w:rsidR="0044516D">
        <w:t>A</w:t>
      </w:r>
      <w:r w:rsidR="009B6358" w:rsidRPr="00BF0BB8">
        <w:t>pproach</w:t>
      </w:r>
      <w:bookmarkEnd w:id="16"/>
      <w:r w:rsidR="009B6358">
        <w:t xml:space="preserve"> </w:t>
      </w:r>
    </w:p>
    <w:p w14:paraId="262BBFF0" w14:textId="107B71F5" w:rsidR="00141AE4" w:rsidRPr="00F72A9A" w:rsidRDefault="00141AE4" w:rsidP="00674061">
      <w:pPr>
        <w:pStyle w:val="ListParagraph"/>
        <w:spacing w:after="120" w:line="240" w:lineRule="auto"/>
        <w:ind w:left="0"/>
        <w:contextualSpacing w:val="0"/>
      </w:pPr>
      <w:r w:rsidRPr="00F72A9A">
        <w:t xml:space="preserve">Cases of amenity impact where hoarding is involved can be complex. There is no single regulatory approach that will resolve all circumstances that may arise from hoarding and </w:t>
      </w:r>
      <w:r w:rsidR="00F3470E" w:rsidRPr="00F72A9A">
        <w:t>result in amenity impacts</w:t>
      </w:r>
      <w:r w:rsidRPr="00F72A9A">
        <w:t xml:space="preserve">. In managing an </w:t>
      </w:r>
      <w:r w:rsidR="00F3470E" w:rsidRPr="00F72A9A">
        <w:t>amenity impact</w:t>
      </w:r>
      <w:r w:rsidRPr="00F72A9A">
        <w:t xml:space="preserve">, the </w:t>
      </w:r>
      <w:r w:rsidR="008F5E5B">
        <w:t xml:space="preserve">DG or </w:t>
      </w:r>
      <w:r w:rsidR="00AE6323">
        <w:t xml:space="preserve">a </w:t>
      </w:r>
      <w:r w:rsidR="008F5E5B">
        <w:t>delegate</w:t>
      </w:r>
      <w:r w:rsidRPr="00F72A9A">
        <w:t xml:space="preserve"> will use the least restrictive means reasonably available and </w:t>
      </w:r>
      <w:r w:rsidR="00AE6323">
        <w:t>must</w:t>
      </w:r>
      <w:r w:rsidR="00AE6323" w:rsidRPr="00F72A9A">
        <w:t xml:space="preserve"> </w:t>
      </w:r>
      <w:r w:rsidRPr="00F72A9A">
        <w:t xml:space="preserve">weigh any decision to undertake regulatory action against the rights of the individual, community concerns, public health and the parameters of the law. In the first instance, this should include an educative approach whereby the person is requested to voluntarily address </w:t>
      </w:r>
      <w:r w:rsidR="00F3470E" w:rsidRPr="00F72A9A">
        <w:t>the circumstance occurring at the property</w:t>
      </w:r>
      <w:r w:rsidRPr="00F72A9A">
        <w:t xml:space="preserve">. This approach is favoured and should be employed as soon as practicable such as during initial </w:t>
      </w:r>
      <w:r w:rsidR="00F3470E" w:rsidRPr="00F72A9A">
        <w:t>property visit</w:t>
      </w:r>
      <w:r w:rsidRPr="00F72A9A">
        <w:t xml:space="preserve"> or investigation into an alleged </w:t>
      </w:r>
      <w:r w:rsidR="00F3470E" w:rsidRPr="00F72A9A">
        <w:t>amenity impact.</w:t>
      </w:r>
    </w:p>
    <w:p w14:paraId="776F28DC" w14:textId="42FEA88B" w:rsidR="00141AE4" w:rsidRPr="00F72A9A" w:rsidRDefault="00F3470E" w:rsidP="00674061">
      <w:pPr>
        <w:spacing w:after="120" w:line="240" w:lineRule="auto"/>
      </w:pPr>
      <w:r w:rsidRPr="00F72A9A">
        <w:t>W</w:t>
      </w:r>
      <w:r w:rsidR="00141AE4" w:rsidRPr="00F72A9A">
        <w:t xml:space="preserve">here an educative or positive intervention approach is ineffective or inappropriate, the </w:t>
      </w:r>
      <w:r w:rsidR="008F5E5B">
        <w:t xml:space="preserve">DG or </w:t>
      </w:r>
      <w:r w:rsidR="00AE6323">
        <w:t xml:space="preserve">a </w:t>
      </w:r>
      <w:r w:rsidR="008F5E5B">
        <w:t>delegate</w:t>
      </w:r>
      <w:r w:rsidR="00141AE4" w:rsidRPr="00F72A9A">
        <w:t xml:space="preserve"> may take regulatory action to manage the </w:t>
      </w:r>
      <w:r w:rsidRPr="00F72A9A">
        <w:t>amenity impact</w:t>
      </w:r>
      <w:r w:rsidR="00141AE4" w:rsidRPr="00F72A9A">
        <w:t>. A regulatory response may be warranted when:</w:t>
      </w:r>
    </w:p>
    <w:p w14:paraId="7E7F757B" w14:textId="6ACF808B" w:rsidR="00141AE4" w:rsidRPr="00F72A9A" w:rsidRDefault="00AE6323" w:rsidP="00141AE4">
      <w:pPr>
        <w:numPr>
          <w:ilvl w:val="0"/>
          <w:numId w:val="6"/>
        </w:numPr>
        <w:spacing w:after="0" w:line="240" w:lineRule="auto"/>
      </w:pPr>
      <w:r>
        <w:t>a</w:t>
      </w:r>
      <w:r w:rsidR="00F3470E" w:rsidRPr="00F72A9A">
        <w:t xml:space="preserve">n amenity </w:t>
      </w:r>
      <w:r w:rsidR="002E04E4">
        <w:t>i</w:t>
      </w:r>
      <w:r w:rsidR="00F3470E" w:rsidRPr="00F72A9A">
        <w:t>mpact circumstance is identified</w:t>
      </w:r>
      <w:r w:rsidR="00141AE4" w:rsidRPr="00F72A9A">
        <w:t>; and</w:t>
      </w:r>
    </w:p>
    <w:p w14:paraId="7ACAEFBC" w14:textId="35834BB5" w:rsidR="00141AE4" w:rsidRPr="00F72A9A" w:rsidRDefault="00141AE4" w:rsidP="00141AE4">
      <w:pPr>
        <w:numPr>
          <w:ilvl w:val="0"/>
          <w:numId w:val="6"/>
        </w:numPr>
        <w:spacing w:after="200" w:line="240" w:lineRule="auto"/>
      </w:pPr>
      <w:r w:rsidRPr="00F72A9A">
        <w:t xml:space="preserve">the person is not willing to </w:t>
      </w:r>
      <w:r w:rsidR="00D25628">
        <w:t xml:space="preserve">genuinely </w:t>
      </w:r>
      <w:r w:rsidRPr="00F72A9A">
        <w:t xml:space="preserve">cooperate to rectify the </w:t>
      </w:r>
      <w:r w:rsidR="00F3470E" w:rsidRPr="00F72A9A">
        <w:t>circumstance causing the amenity impact</w:t>
      </w:r>
      <w:r w:rsidRPr="00F72A9A">
        <w:t xml:space="preserve"> (including accepting support and positive intervention where necessary).</w:t>
      </w:r>
    </w:p>
    <w:p w14:paraId="5AD85D63" w14:textId="44C707AA" w:rsidR="00F72A9A" w:rsidRDefault="00F72A9A" w:rsidP="00674061">
      <w:pPr>
        <w:spacing w:after="120" w:line="240" w:lineRule="auto"/>
      </w:pPr>
      <w:r w:rsidRPr="00F72A9A">
        <w:t xml:space="preserve">This section provides details of the recommended regulatory pathway for managing an </w:t>
      </w:r>
      <w:r>
        <w:t>amenity impact circumstance</w:t>
      </w:r>
      <w:r w:rsidRPr="00F72A9A">
        <w:t xml:space="preserve"> </w:t>
      </w:r>
      <w:r>
        <w:t xml:space="preserve">where hoarding is </w:t>
      </w:r>
      <w:r w:rsidR="009C4169">
        <w:t>involved</w:t>
      </w:r>
      <w:r w:rsidRPr="00F72A9A">
        <w:t xml:space="preserve">. The regulatory pathway provides a flexible framework to allow the </w:t>
      </w:r>
      <w:r w:rsidR="008F5E5B">
        <w:t>DG or</w:t>
      </w:r>
      <w:r w:rsidR="00AE6323">
        <w:t xml:space="preserve"> a</w:t>
      </w:r>
      <w:r w:rsidR="008F5E5B">
        <w:t xml:space="preserve"> delegate</w:t>
      </w:r>
      <w:r w:rsidRPr="00F72A9A">
        <w:t xml:space="preserve"> and authorised officers to better respond to </w:t>
      </w:r>
      <w:r w:rsidR="00D014A8">
        <w:t>cases of amenity impact</w:t>
      </w:r>
      <w:r w:rsidRPr="00F72A9A">
        <w:t xml:space="preserve">. The </w:t>
      </w:r>
      <w:r w:rsidR="008F5E5B">
        <w:t xml:space="preserve">DG or </w:t>
      </w:r>
      <w:r w:rsidR="00AE6323">
        <w:t xml:space="preserve">a </w:t>
      </w:r>
      <w:r w:rsidR="008F5E5B">
        <w:t>delegate</w:t>
      </w:r>
      <w:r w:rsidR="00D25628">
        <w:t xml:space="preserve"> </w:t>
      </w:r>
      <w:r w:rsidRPr="00F72A9A">
        <w:t xml:space="preserve">has responsibility and discretion to manage </w:t>
      </w:r>
      <w:r w:rsidR="00D014A8">
        <w:t>amenity impact</w:t>
      </w:r>
      <w:r w:rsidRPr="00F72A9A">
        <w:t xml:space="preserve"> under the </w:t>
      </w:r>
      <w:r>
        <w:t xml:space="preserve">Litter </w:t>
      </w:r>
      <w:r w:rsidRPr="00F72A9A">
        <w:t>Act in accordance with his or her professional judgement</w:t>
      </w:r>
      <w:r w:rsidR="009C4169">
        <w:t xml:space="preserve">, </w:t>
      </w:r>
      <w:r w:rsidRPr="00F72A9A">
        <w:t>the circumstances</w:t>
      </w:r>
      <w:r w:rsidR="000B6A76">
        <w:t xml:space="preserve"> of the case,</w:t>
      </w:r>
      <w:r w:rsidRPr="00F72A9A">
        <w:t xml:space="preserve"> subject to other legal obligations</w:t>
      </w:r>
      <w:r w:rsidR="009C4169">
        <w:t xml:space="preserve"> and any recommendations from </w:t>
      </w:r>
      <w:r w:rsidR="00832605">
        <w:t xml:space="preserve">a RAC or </w:t>
      </w:r>
      <w:r w:rsidR="009C4169">
        <w:t xml:space="preserve">the </w:t>
      </w:r>
      <w:r w:rsidR="005B2F9A">
        <w:t>HCMG</w:t>
      </w:r>
      <w:r w:rsidRPr="00F72A9A">
        <w:t>.</w:t>
      </w:r>
    </w:p>
    <w:p w14:paraId="29C3FD98" w14:textId="7AB03C54" w:rsidR="00AB7B4F" w:rsidRPr="00141AE4" w:rsidRDefault="00780799" w:rsidP="004F0AA4">
      <w:pPr>
        <w:pStyle w:val="Heading2"/>
      </w:pPr>
      <w:bookmarkStart w:id="17" w:name="_Toc45802597"/>
      <w:r>
        <w:t xml:space="preserve">7.1 </w:t>
      </w:r>
      <w:r w:rsidR="00AB7B4F" w:rsidRPr="00141AE4">
        <w:t>The regulatory pathway</w:t>
      </w:r>
      <w:bookmarkEnd w:id="17"/>
    </w:p>
    <w:p w14:paraId="1C9F9D0A" w14:textId="11F38CA8" w:rsidR="009C4169" w:rsidRDefault="009C4169" w:rsidP="00674061">
      <w:pPr>
        <w:pStyle w:val="ListParagraph"/>
        <w:spacing w:after="120" w:line="240" w:lineRule="auto"/>
        <w:ind w:left="0"/>
        <w:contextualSpacing w:val="0"/>
      </w:pPr>
      <w:r w:rsidRPr="00B23301">
        <w:t xml:space="preserve">Where regulatory action is required to address an amenity impact circumstance, the </w:t>
      </w:r>
      <w:r w:rsidR="00AE6323">
        <w:t xml:space="preserve">DG, a </w:t>
      </w:r>
      <w:r w:rsidRPr="00B23301">
        <w:t xml:space="preserve">delegate or authorised </w:t>
      </w:r>
      <w:r w:rsidR="00D014A8">
        <w:t>person</w:t>
      </w:r>
      <w:r w:rsidRPr="00B23301">
        <w:t xml:space="preserve"> should</w:t>
      </w:r>
      <w:r w:rsidR="00D014A8">
        <w:t>,</w:t>
      </w:r>
      <w:r w:rsidRPr="00B23301">
        <w:t xml:space="preserve"> in the first instance seek to follow the regulatory pathway outlined below as detailed by Subdivision 4.3.3 of the Litter Act.</w:t>
      </w:r>
      <w:r w:rsidR="00181348">
        <w:t xml:space="preserve"> </w:t>
      </w:r>
    </w:p>
    <w:p w14:paraId="470AE054" w14:textId="570601F1" w:rsidR="00181348" w:rsidRPr="00B23301" w:rsidRDefault="00181348" w:rsidP="00674061">
      <w:pPr>
        <w:pStyle w:val="ListParagraph"/>
        <w:spacing w:after="120" w:line="240" w:lineRule="auto"/>
        <w:ind w:left="0"/>
        <w:contextualSpacing w:val="0"/>
      </w:pPr>
      <w:r>
        <w:t xml:space="preserve">A regulatory approach should only be taken when a person </w:t>
      </w:r>
      <w:r w:rsidR="00957507">
        <w:t>does not</w:t>
      </w:r>
      <w:r>
        <w:t xml:space="preserve"> </w:t>
      </w:r>
      <w:r w:rsidR="00D25628">
        <w:t xml:space="preserve">genuinely </w:t>
      </w:r>
      <w:r>
        <w:t xml:space="preserve">cooperate </w:t>
      </w:r>
      <w:r w:rsidR="00957507">
        <w:t xml:space="preserve">to </w:t>
      </w:r>
      <w:r>
        <w:t>remov</w:t>
      </w:r>
      <w:r w:rsidR="00957507">
        <w:t>e</w:t>
      </w:r>
      <w:r>
        <w:t xml:space="preserve"> the amenity impact or with support or advocacy services. If at any point along the regulatory path the person </w:t>
      </w:r>
      <w:r w:rsidR="00837A09">
        <w:t>voluntarily</w:t>
      </w:r>
      <w:r>
        <w:t xml:space="preserve"> engage</w:t>
      </w:r>
      <w:r w:rsidR="00837A09">
        <w:t>s</w:t>
      </w:r>
      <w:r>
        <w:t xml:space="preserve"> with support services and actively works to remove the amenity impact, regulatory action should be suspended.</w:t>
      </w:r>
    </w:p>
    <w:p w14:paraId="5ECF3658" w14:textId="14B83691" w:rsidR="00141AE4" w:rsidRPr="00631C02" w:rsidRDefault="00780799" w:rsidP="004F0AA4">
      <w:pPr>
        <w:pStyle w:val="Heading2"/>
        <w:spacing w:after="240"/>
      </w:pPr>
      <w:bookmarkStart w:id="18" w:name="_Toc45802598"/>
      <w:r>
        <w:t xml:space="preserve">7.2 </w:t>
      </w:r>
      <w:r w:rsidR="00631C02" w:rsidRPr="00631C02">
        <w:t xml:space="preserve">Suggested </w:t>
      </w:r>
      <w:r w:rsidR="0044516D">
        <w:t>r</w:t>
      </w:r>
      <w:r w:rsidR="00631C02" w:rsidRPr="00631C02">
        <w:t xml:space="preserve">egulatory </w:t>
      </w:r>
      <w:r w:rsidR="0044516D">
        <w:t>p</w:t>
      </w:r>
      <w:r w:rsidR="00631C02" w:rsidRPr="00631C02">
        <w:t>athway</w:t>
      </w:r>
      <w:bookmarkEnd w:id="18"/>
    </w:p>
    <w:p w14:paraId="05FF67F4" w14:textId="27097E1D" w:rsidR="00141AE4" w:rsidRPr="00C827CA" w:rsidRDefault="00F1512D" w:rsidP="004F0AA4">
      <w:pPr>
        <w:pStyle w:val="Heading3"/>
      </w:pPr>
      <w:bookmarkStart w:id="19" w:name="_Toc45802599"/>
      <w:r w:rsidRPr="00C827CA">
        <w:t>Investigation</w:t>
      </w:r>
      <w:bookmarkEnd w:id="19"/>
    </w:p>
    <w:p w14:paraId="7BC28AFC" w14:textId="14C4668F" w:rsidR="00E03D55" w:rsidRDefault="00612B40" w:rsidP="00674061">
      <w:pPr>
        <w:spacing w:after="120"/>
      </w:pPr>
      <w:r>
        <w:t>A</w:t>
      </w:r>
      <w:r w:rsidR="009226F9">
        <w:t xml:space="preserve"> complaint of an amenity impact</w:t>
      </w:r>
      <w:r>
        <w:t xml:space="preserve"> should be investigated</w:t>
      </w:r>
      <w:r w:rsidR="00B23301" w:rsidRPr="00B23301">
        <w:t xml:space="preserve"> to confirm what, if any</w:t>
      </w:r>
      <w:r w:rsidR="0058553C">
        <w:t>,</w:t>
      </w:r>
      <w:r w:rsidR="00B23301" w:rsidRPr="00B23301">
        <w:t xml:space="preserve"> action is necessary</w:t>
      </w:r>
      <w:r w:rsidR="002E04E4">
        <w:t xml:space="preserve"> and</w:t>
      </w:r>
      <w:r w:rsidR="006C0B38">
        <w:t xml:space="preserve"> </w:t>
      </w:r>
      <w:r w:rsidR="00957507">
        <w:t>the</w:t>
      </w:r>
      <w:r w:rsidR="00E9527E">
        <w:t xml:space="preserve"> extent of the</w:t>
      </w:r>
      <w:r w:rsidR="00957507">
        <w:t xml:space="preserve"> impact</w:t>
      </w:r>
      <w:r w:rsidR="00E9527E">
        <w:t xml:space="preserve"> on neighbouring properties or the public.</w:t>
      </w:r>
      <w:r w:rsidR="00957507">
        <w:t xml:space="preserve"> </w:t>
      </w:r>
      <w:r w:rsidR="00B23301" w:rsidRPr="00B23301">
        <w:t xml:space="preserve">Before taking any </w:t>
      </w:r>
      <w:r w:rsidR="00A66700" w:rsidRPr="00B23301">
        <w:t>action,</w:t>
      </w:r>
      <w:r w:rsidR="00B23301" w:rsidRPr="00B23301">
        <w:t xml:space="preserve"> </w:t>
      </w:r>
      <w:r w:rsidR="009226F9">
        <w:t xml:space="preserve">the </w:t>
      </w:r>
      <w:r w:rsidR="00B23301" w:rsidRPr="00B23301">
        <w:t xml:space="preserve">authorised officers </w:t>
      </w:r>
      <w:r w:rsidR="009226F9">
        <w:t>must</w:t>
      </w:r>
      <w:r w:rsidR="00B23301" w:rsidRPr="00B23301">
        <w:t xml:space="preserve"> consider the least restrictive option available to resolve the situation. </w:t>
      </w:r>
      <w:r w:rsidR="00E03D55">
        <w:t xml:space="preserve">Where a property visit is necessary, consideration should be given to how the person is contacted or approached including whether the person has had previous interaction with government </w:t>
      </w:r>
      <w:r w:rsidR="004C7757">
        <w:t>regulators</w:t>
      </w:r>
      <w:r w:rsidR="00E9527E">
        <w:t xml:space="preserve"> or support services</w:t>
      </w:r>
      <w:r w:rsidR="004C7757">
        <w:t>, if this information is available</w:t>
      </w:r>
      <w:r w:rsidR="00E03D55">
        <w:t xml:space="preserve">. If necessary, the authorised </w:t>
      </w:r>
      <w:r w:rsidR="004C7757">
        <w:t>person</w:t>
      </w:r>
      <w:r w:rsidR="00E03D55">
        <w:t xml:space="preserve"> </w:t>
      </w:r>
      <w:r w:rsidR="004C7757">
        <w:t xml:space="preserve">may </w:t>
      </w:r>
      <w:r w:rsidR="00E03D55">
        <w:t xml:space="preserve">be accompanied on the visit by a support person </w:t>
      </w:r>
      <w:r w:rsidR="004C7757">
        <w:t>if a person with an existing relationship is known.</w:t>
      </w:r>
    </w:p>
    <w:p w14:paraId="5AC4EF9B" w14:textId="3D4365EE" w:rsidR="00B23301" w:rsidRPr="00C827CA" w:rsidRDefault="00F1512D" w:rsidP="004F0AA4">
      <w:pPr>
        <w:pStyle w:val="Heading3"/>
      </w:pPr>
      <w:bookmarkStart w:id="20" w:name="_Toc45802600"/>
      <w:r w:rsidRPr="00C827CA">
        <w:lastRenderedPageBreak/>
        <w:t>Engage</w:t>
      </w:r>
      <w:r w:rsidR="00C827CA">
        <w:t>ment</w:t>
      </w:r>
      <w:r w:rsidR="0044516D">
        <w:t>,</w:t>
      </w:r>
      <w:r w:rsidRPr="00C827CA">
        <w:t xml:space="preserve"> </w:t>
      </w:r>
      <w:r w:rsidR="0044516D">
        <w:t>e</w:t>
      </w:r>
      <w:r w:rsidRPr="00C827CA">
        <w:t>ducat</w:t>
      </w:r>
      <w:r w:rsidR="00C827CA">
        <w:t xml:space="preserve">ion and </w:t>
      </w:r>
      <w:r w:rsidR="0044516D">
        <w:t>r</w:t>
      </w:r>
      <w:r w:rsidR="00C827CA">
        <w:t>eferral</w:t>
      </w:r>
      <w:bookmarkEnd w:id="20"/>
    </w:p>
    <w:p w14:paraId="2460E005" w14:textId="227DE2B8" w:rsidR="001C7C87" w:rsidRDefault="00612B40" w:rsidP="00674061">
      <w:pPr>
        <w:spacing w:after="120" w:line="240" w:lineRule="auto"/>
      </w:pPr>
      <w:r>
        <w:t>A</w:t>
      </w:r>
      <w:r w:rsidR="00B23301" w:rsidRPr="00B23301">
        <w:t>n educative approach</w:t>
      </w:r>
      <w:r>
        <w:t xml:space="preserve"> should be taken </w:t>
      </w:r>
      <w:r w:rsidR="00B23301" w:rsidRPr="00B23301">
        <w:t>to engage the person and</w:t>
      </w:r>
      <w:r w:rsidR="002E04E4">
        <w:t xml:space="preserve"> to</w:t>
      </w:r>
      <w:r w:rsidR="00B23301" w:rsidRPr="00B23301">
        <w:t xml:space="preserve"> request they take reasonable steps to remove a specified </w:t>
      </w:r>
      <w:r w:rsidR="001C7C87">
        <w:t>amenity impact</w:t>
      </w:r>
      <w:r w:rsidR="00B23301" w:rsidRPr="00B23301">
        <w:t xml:space="preserve">. Information regarding support or advocacy agencies will be provided and referrals made to support positive intervention where appropriate. </w:t>
      </w:r>
      <w:r w:rsidR="00AD216E">
        <w:t>I</w:t>
      </w:r>
      <w:r w:rsidR="001C7C87">
        <w:t>f</w:t>
      </w:r>
      <w:r w:rsidR="00B23301" w:rsidRPr="00B23301">
        <w:t xml:space="preserve"> the person </w:t>
      </w:r>
      <w:r w:rsidR="001C7C87">
        <w:t xml:space="preserve">is </w:t>
      </w:r>
      <w:r w:rsidR="00037107">
        <w:t>believed</w:t>
      </w:r>
      <w:r w:rsidR="00037107" w:rsidRPr="00B23301">
        <w:t xml:space="preserve"> </w:t>
      </w:r>
      <w:r w:rsidR="00B23301" w:rsidRPr="00B23301">
        <w:t xml:space="preserve">to be </w:t>
      </w:r>
      <w:r w:rsidR="001C7C87">
        <w:t>at risk due to insanitary conditions caused by hoarding and squalor</w:t>
      </w:r>
      <w:r w:rsidR="00AD216E">
        <w:t>, appropriate services should be notified</w:t>
      </w:r>
      <w:r w:rsidR="001C7C87">
        <w:t xml:space="preserve">. Notification to </w:t>
      </w:r>
      <w:r w:rsidR="00FB2956">
        <w:t>Child and Youth Protection Services</w:t>
      </w:r>
      <w:r w:rsidR="001C7C87">
        <w:t xml:space="preserve"> </w:t>
      </w:r>
      <w:r w:rsidR="00F06BEE">
        <w:t xml:space="preserve">should </w:t>
      </w:r>
      <w:r w:rsidR="001C7C87">
        <w:t xml:space="preserve">be made if </w:t>
      </w:r>
      <w:r w:rsidR="00E2226D">
        <w:t>there are children or young people at the property</w:t>
      </w:r>
      <w:r w:rsidR="00037107">
        <w:t xml:space="preserve"> and the authorised person suspects they are</w:t>
      </w:r>
      <w:r w:rsidR="00E2226D">
        <w:t xml:space="preserve"> at risk of neglect or abuse.</w:t>
      </w:r>
    </w:p>
    <w:p w14:paraId="1E2666D6" w14:textId="2AE82D7C" w:rsidR="00B23301" w:rsidRPr="00C827CA" w:rsidRDefault="00B23301" w:rsidP="004F0AA4">
      <w:pPr>
        <w:pStyle w:val="Heading3"/>
      </w:pPr>
      <w:bookmarkStart w:id="21" w:name="_Toc45802601"/>
      <w:r w:rsidRPr="00C827CA">
        <w:t xml:space="preserve">Show </w:t>
      </w:r>
      <w:r w:rsidR="0044516D">
        <w:t>c</w:t>
      </w:r>
      <w:r w:rsidRPr="00C827CA">
        <w:t xml:space="preserve">ause </w:t>
      </w:r>
      <w:r w:rsidR="0044516D">
        <w:t>n</w:t>
      </w:r>
      <w:r w:rsidRPr="00C827CA">
        <w:t>otice</w:t>
      </w:r>
      <w:bookmarkEnd w:id="21"/>
    </w:p>
    <w:p w14:paraId="2946B1F1" w14:textId="6DEB65C7" w:rsidR="001A0B96" w:rsidRDefault="00465CE8" w:rsidP="00674061">
      <w:pPr>
        <w:spacing w:after="120"/>
      </w:pPr>
      <w:r>
        <w:t xml:space="preserve">A notification (show cause notice) about a proposed abatement </w:t>
      </w:r>
      <w:r w:rsidR="00A66700">
        <w:t>notice</w:t>
      </w:r>
      <w:r>
        <w:t xml:space="preserve"> is the </w:t>
      </w:r>
      <w:r w:rsidR="00FC017E">
        <w:t>next</w:t>
      </w:r>
      <w:r>
        <w:t xml:space="preserve"> stage of regulatory action. It should be used where</w:t>
      </w:r>
      <w:r w:rsidR="001A0B96">
        <w:t xml:space="preserve"> an </w:t>
      </w:r>
      <w:r w:rsidR="00F66ADC">
        <w:t>a</w:t>
      </w:r>
      <w:r>
        <w:t xml:space="preserve">uthorised </w:t>
      </w:r>
      <w:r w:rsidR="00F66ADC">
        <w:t>person</w:t>
      </w:r>
      <w:r>
        <w:t xml:space="preserve"> under the Litter Act </w:t>
      </w:r>
      <w:r w:rsidR="00860B5E">
        <w:t xml:space="preserve">has </w:t>
      </w:r>
      <w:r>
        <w:t>determine</w:t>
      </w:r>
      <w:r w:rsidR="00860B5E">
        <w:t>d</w:t>
      </w:r>
      <w:r>
        <w:t xml:space="preserve"> that an </w:t>
      </w:r>
      <w:r w:rsidR="00E2226D">
        <w:t>a</w:t>
      </w:r>
      <w:r w:rsidR="001A0B96">
        <w:t xml:space="preserve">menity </w:t>
      </w:r>
      <w:r w:rsidR="00E2226D">
        <w:t>i</w:t>
      </w:r>
      <w:r w:rsidR="001A0B96">
        <w:t>mpact exist</w:t>
      </w:r>
      <w:r w:rsidR="00860B5E">
        <w:t>s</w:t>
      </w:r>
      <w:r w:rsidR="001A0B96">
        <w:t xml:space="preserve"> at a property</w:t>
      </w:r>
      <w:r>
        <w:t xml:space="preserve"> and previous attempts to encourage the person to remove the amenity impact or engage with support or advocacy services have failed</w:t>
      </w:r>
      <w:r w:rsidR="00860B5E">
        <w:t>. A show cause notice is an opportunity for the person to state why they should not be issued an abatement notice</w:t>
      </w:r>
      <w:r w:rsidR="00F66ADC">
        <w:t xml:space="preserve"> in relation to the amenity impact a</w:t>
      </w:r>
      <w:r w:rsidR="00860B5E">
        <w:t>n</w:t>
      </w:r>
      <w:r w:rsidR="00F66ADC">
        <w:t>d</w:t>
      </w:r>
      <w:r w:rsidR="00860B5E">
        <w:t xml:space="preserve"> to present evidence about their situation and how the amenity impact came about.</w:t>
      </w:r>
      <w:r w:rsidR="00060993">
        <w:t xml:space="preserve"> This evidence must be considered when determining if an abatement notice will be </w:t>
      </w:r>
      <w:r w:rsidR="00F030B4">
        <w:t>issued</w:t>
      </w:r>
      <w:r w:rsidR="00060993">
        <w:t xml:space="preserve"> or not </w:t>
      </w:r>
      <w:r w:rsidR="00F030B4">
        <w:t>issued</w:t>
      </w:r>
      <w:r w:rsidR="00060993">
        <w:t>.</w:t>
      </w:r>
    </w:p>
    <w:p w14:paraId="4B5C3236" w14:textId="6E7D2A9B" w:rsidR="00860B5E" w:rsidRDefault="00860B5E" w:rsidP="00674061">
      <w:pPr>
        <w:spacing w:after="120"/>
      </w:pPr>
      <w:r>
        <w:t xml:space="preserve">A show cause notice should only be issued after </w:t>
      </w:r>
      <w:r w:rsidR="00FC017E">
        <w:t xml:space="preserve">consideration by a RAC with a final decision made by the DG or </w:t>
      </w:r>
      <w:r w:rsidR="00E95ED4">
        <w:t xml:space="preserve">a </w:t>
      </w:r>
      <w:r w:rsidR="00FC017E">
        <w:t xml:space="preserve">delegate who is independent of the investigation. The RAC may be composed </w:t>
      </w:r>
      <w:r w:rsidR="00B27848">
        <w:t xml:space="preserve">primarily </w:t>
      </w:r>
      <w:r w:rsidR="00FC017E">
        <w:t>of TCCS staff</w:t>
      </w:r>
      <w:r w:rsidR="00F030B4">
        <w:t>,</w:t>
      </w:r>
      <w:r w:rsidR="00FC017E">
        <w:t xml:space="preserve"> however it </w:t>
      </w:r>
      <w:r w:rsidR="0079710B">
        <w:t xml:space="preserve">should contain people with the required expertise </w:t>
      </w:r>
      <w:r w:rsidR="000B6A76">
        <w:t>appropriate to</w:t>
      </w:r>
      <w:r w:rsidR="0079710B">
        <w:t xml:space="preserve"> the circumstance for each matter. The RAC </w:t>
      </w:r>
      <w:r w:rsidR="00FC017E">
        <w:t xml:space="preserve">must have representation </w:t>
      </w:r>
      <w:r w:rsidR="00B27848">
        <w:t>from someone advocating for the person and a person experienced in mental health or hoarding. Decisions of the RAC must be fully</w:t>
      </w:r>
      <w:r w:rsidR="00A37B6B">
        <w:t xml:space="preserve"> documented</w:t>
      </w:r>
      <w:r w:rsidR="00B27848">
        <w:t>.</w:t>
      </w:r>
    </w:p>
    <w:p w14:paraId="7419B604" w14:textId="50407AF1" w:rsidR="000C1E84" w:rsidRDefault="00060993" w:rsidP="009B6358">
      <w:pPr>
        <w:spacing w:after="120"/>
      </w:pPr>
      <w:r>
        <w:t xml:space="preserve">The Litter Act </w:t>
      </w:r>
      <w:r w:rsidR="00BE2670">
        <w:t>allow</w:t>
      </w:r>
      <w:r>
        <w:t xml:space="preserve">s </w:t>
      </w:r>
      <w:r w:rsidR="00F66ADC">
        <w:t xml:space="preserve">a person </w:t>
      </w:r>
      <w:r>
        <w:t>issued</w:t>
      </w:r>
      <w:r w:rsidR="00F66ADC">
        <w:t xml:space="preserve"> with</w:t>
      </w:r>
      <w:r>
        <w:t xml:space="preserve"> a show cause notice to give a written submission to the authorised person who issued the notice. Producing a written statement may be impractical for some people. While a written submission is preferred, where possible, the regulating agency should consider verbal evidence or other forms of submission when considering whether to progress the regulatory process to</w:t>
      </w:r>
      <w:r w:rsidR="00181348">
        <w:t xml:space="preserve"> issuing</w:t>
      </w:r>
      <w:r>
        <w:t xml:space="preserve"> an abatement notice.</w:t>
      </w:r>
      <w:r w:rsidR="000C1E84">
        <w:t xml:space="preserve"> </w:t>
      </w:r>
    </w:p>
    <w:p w14:paraId="1754F0B2" w14:textId="46694B95" w:rsidR="00C827CA" w:rsidRPr="00C827CA" w:rsidRDefault="00C827CA" w:rsidP="004F0AA4">
      <w:pPr>
        <w:pStyle w:val="Heading3"/>
      </w:pPr>
      <w:bookmarkStart w:id="22" w:name="_Toc45802602"/>
      <w:r w:rsidRPr="00C827CA">
        <w:t xml:space="preserve">Abatement </w:t>
      </w:r>
      <w:r w:rsidR="0044516D">
        <w:t>n</w:t>
      </w:r>
      <w:r w:rsidR="00021E71">
        <w:t>otice</w:t>
      </w:r>
      <w:bookmarkEnd w:id="22"/>
    </w:p>
    <w:p w14:paraId="79700203" w14:textId="4C474E58" w:rsidR="00181348" w:rsidRDefault="00BE160B" w:rsidP="009B6358">
      <w:pPr>
        <w:spacing w:after="120"/>
      </w:pPr>
      <w:r>
        <w:t xml:space="preserve">After consideration of any information gather after issuing a show cause notice, it is not necessary for TCCS to reconvene the RAC. TCCS may decide to suspend regulatory action or proceed to issuing an abatement notice. </w:t>
      </w:r>
      <w:r w:rsidR="00181348">
        <w:t>If a person</w:t>
      </w:r>
      <w:r w:rsidR="00837A09">
        <w:t xml:space="preserve"> is</w:t>
      </w:r>
      <w:r w:rsidR="00181348">
        <w:t xml:space="preserve"> issued with a show cause </w:t>
      </w:r>
      <w:r w:rsidR="006C0B38">
        <w:t>notice, and</w:t>
      </w:r>
      <w:r w:rsidR="00181348">
        <w:t xml:space="preserve"> continues </w:t>
      </w:r>
      <w:r w:rsidR="00B27848">
        <w:t>not</w:t>
      </w:r>
      <w:r w:rsidR="00F1512D">
        <w:t xml:space="preserve"> </w:t>
      </w:r>
      <w:r w:rsidR="00837A09">
        <w:t xml:space="preserve">to </w:t>
      </w:r>
      <w:r w:rsidR="004C47CB">
        <w:t xml:space="preserve">genuinely </w:t>
      </w:r>
      <w:r w:rsidR="00F1512D">
        <w:t>engage to remove the amenity impact, after considering any submission from the person in response to the show cause notice and all other available evidence</w:t>
      </w:r>
      <w:r w:rsidR="00B27848">
        <w:t>,</w:t>
      </w:r>
      <w:r w:rsidR="00F1512D">
        <w:t xml:space="preserve"> the authorised person may issue an abatement notice after consultation with the </w:t>
      </w:r>
      <w:r w:rsidR="00B27848">
        <w:t xml:space="preserve">HCMG </w:t>
      </w:r>
      <w:r w:rsidR="00F1512D">
        <w:t>and the DG</w:t>
      </w:r>
      <w:r w:rsidR="00B27848">
        <w:t xml:space="preserve"> or delegate</w:t>
      </w:r>
      <w:r w:rsidR="00F1512D">
        <w:t>.</w:t>
      </w:r>
      <w:r w:rsidR="00C827CA">
        <w:t xml:space="preserve"> </w:t>
      </w:r>
    </w:p>
    <w:p w14:paraId="0BEB2E2B" w14:textId="5622EE19" w:rsidR="00C827CA" w:rsidRDefault="00C827CA" w:rsidP="00674061">
      <w:pPr>
        <w:spacing w:after="120"/>
      </w:pPr>
      <w:r>
        <w:t xml:space="preserve">An abatement </w:t>
      </w:r>
      <w:r w:rsidR="00037107">
        <w:t>notice</w:t>
      </w:r>
      <w:r>
        <w:t xml:space="preserve"> must state the amenity impact which is required to be abated</w:t>
      </w:r>
      <w:r w:rsidR="00021E71">
        <w:t xml:space="preserve"> </w:t>
      </w:r>
      <w:r>
        <w:t xml:space="preserve">and the period within which the amenity impact is to be abated. An abatement </w:t>
      </w:r>
      <w:r w:rsidR="00377600">
        <w:t xml:space="preserve">notice is in force until revoked in accordance with section 24GB of the </w:t>
      </w:r>
      <w:r w:rsidR="00F030B4">
        <w:t>L</w:t>
      </w:r>
      <w:r w:rsidR="00377600">
        <w:t>itter Act</w:t>
      </w:r>
      <w:r w:rsidR="00595BEB">
        <w:t>,</w:t>
      </w:r>
      <w:r>
        <w:t xml:space="preserve"> however</w:t>
      </w:r>
      <w:r w:rsidR="00595BEB">
        <w:t xml:space="preserve"> it can</w:t>
      </w:r>
      <w:r>
        <w:t xml:space="preserve"> be extended or revoked at any time by the </w:t>
      </w:r>
      <w:r w:rsidR="00377600">
        <w:t xml:space="preserve">DG or </w:t>
      </w:r>
      <w:r w:rsidR="00E95ED4">
        <w:t xml:space="preserve">a </w:t>
      </w:r>
      <w:r w:rsidR="00377600">
        <w:t>delegate</w:t>
      </w:r>
      <w:r>
        <w:t xml:space="preserve"> </w:t>
      </w:r>
      <w:r w:rsidR="00377600">
        <w:t xml:space="preserve">or </w:t>
      </w:r>
      <w:r>
        <w:t>by application</w:t>
      </w:r>
      <w:r w:rsidR="00E95ED4">
        <w:t xml:space="preserve"> from the person issued the notice</w:t>
      </w:r>
      <w:r>
        <w:t xml:space="preserve"> </w:t>
      </w:r>
      <w:r w:rsidR="00377600">
        <w:t xml:space="preserve">to </w:t>
      </w:r>
      <w:r>
        <w:t xml:space="preserve">the </w:t>
      </w:r>
      <w:r w:rsidR="00377600">
        <w:t xml:space="preserve">DG or </w:t>
      </w:r>
      <w:r w:rsidR="00E95ED4">
        <w:t>a d</w:t>
      </w:r>
      <w:r w:rsidR="00377600">
        <w:t>elegate</w:t>
      </w:r>
      <w:r>
        <w:t>.</w:t>
      </w:r>
    </w:p>
    <w:p w14:paraId="76028D5E" w14:textId="38D47A1E" w:rsidR="00181348" w:rsidRPr="00021E71" w:rsidRDefault="00021E71" w:rsidP="004F0AA4">
      <w:pPr>
        <w:pStyle w:val="Heading3"/>
      </w:pPr>
      <w:bookmarkStart w:id="23" w:name="_Toc45802603"/>
      <w:r w:rsidRPr="00021E71">
        <w:t xml:space="preserve">Abatement </w:t>
      </w:r>
      <w:r w:rsidR="0044516D">
        <w:t>o</w:t>
      </w:r>
      <w:r w:rsidRPr="00021E71">
        <w:t>rder</w:t>
      </w:r>
      <w:bookmarkEnd w:id="23"/>
      <w:r w:rsidR="00DA19DE">
        <w:t xml:space="preserve"> – Issue </w:t>
      </w:r>
    </w:p>
    <w:p w14:paraId="3BE35BFF" w14:textId="6A40090E" w:rsidR="00021E71" w:rsidRPr="00021E71" w:rsidRDefault="00021E71" w:rsidP="00674061">
      <w:pPr>
        <w:spacing w:after="120" w:line="240" w:lineRule="auto"/>
      </w:pPr>
      <w:r w:rsidRPr="00021E71">
        <w:t xml:space="preserve">If a person fails to comply with an abatement notice, the </w:t>
      </w:r>
      <w:r>
        <w:t>DG</w:t>
      </w:r>
      <w:r w:rsidR="00DB5D65">
        <w:t xml:space="preserve"> or </w:t>
      </w:r>
      <w:r w:rsidR="00E95ED4">
        <w:t xml:space="preserve">a </w:t>
      </w:r>
      <w:r w:rsidR="00DB5D65">
        <w:t>delegate</w:t>
      </w:r>
      <w:r w:rsidRPr="00021E71">
        <w:t xml:space="preserve"> may apply to the Magistrates Court for an abatement order to guarantee compliance with an abatement notice. </w:t>
      </w:r>
    </w:p>
    <w:p w14:paraId="671E124B" w14:textId="3E006701" w:rsidR="00DA19DE" w:rsidRDefault="00021E71" w:rsidP="00674061">
      <w:pPr>
        <w:spacing w:after="120" w:line="240" w:lineRule="auto"/>
      </w:pPr>
      <w:r w:rsidRPr="00021E71">
        <w:t xml:space="preserve">A decision to apply for, or implement, an abatement order should only be considered as a last resort measure and when in the public interest. The </w:t>
      </w:r>
      <w:r w:rsidR="00DB5D65">
        <w:t>HCMG</w:t>
      </w:r>
      <w:r w:rsidR="00DB5D65" w:rsidRPr="00021E71">
        <w:t xml:space="preserve"> </w:t>
      </w:r>
      <w:r w:rsidRPr="00021E71">
        <w:t xml:space="preserve">may advise the </w:t>
      </w:r>
      <w:r>
        <w:t>DG</w:t>
      </w:r>
      <w:r w:rsidR="00DB5D65">
        <w:t xml:space="preserve"> or </w:t>
      </w:r>
      <w:r w:rsidR="00E95ED4">
        <w:t xml:space="preserve">a </w:t>
      </w:r>
      <w:r w:rsidR="00DB5D65">
        <w:t>delegate</w:t>
      </w:r>
      <w:r w:rsidRPr="00021E71">
        <w:t xml:space="preserve"> whether to apply for, or implement, an abatement order. </w:t>
      </w:r>
      <w:r w:rsidR="000517E9">
        <w:t>The</w:t>
      </w:r>
      <w:r w:rsidR="004C47CB">
        <w:t xml:space="preserve"> Litter Act</w:t>
      </w:r>
      <w:r w:rsidR="000517E9">
        <w:t xml:space="preserve"> does not state a specific period for </w:t>
      </w:r>
      <w:r w:rsidR="000517E9">
        <w:lastRenderedPageBreak/>
        <w:t xml:space="preserve">which an abatement order should apply, however, an abatement order should be applied for as long as necessary to ensure the amenity impact does not re-occur, this can include </w:t>
      </w:r>
      <w:r w:rsidR="00595BEB">
        <w:t xml:space="preserve">an </w:t>
      </w:r>
      <w:r w:rsidR="000517E9">
        <w:t>ongoing</w:t>
      </w:r>
      <w:r w:rsidR="00595BEB">
        <w:t xml:space="preserve"> order</w:t>
      </w:r>
      <w:r w:rsidR="000517E9">
        <w:t>.</w:t>
      </w:r>
      <w:r w:rsidR="00DA19DE">
        <w:t xml:space="preserve"> </w:t>
      </w:r>
      <w:r w:rsidR="00E95ED4">
        <w:t>A</w:t>
      </w:r>
      <w:r w:rsidR="00E95ED4" w:rsidRPr="00021E71">
        <w:t xml:space="preserve"> </w:t>
      </w:r>
      <w:r w:rsidRPr="00021E71">
        <w:t>Court is the only authority that may issue an abatement order.</w:t>
      </w:r>
    </w:p>
    <w:p w14:paraId="22E363D5" w14:textId="64BC8F54" w:rsidR="00DA19DE" w:rsidRDefault="00DA19DE" w:rsidP="004B328E">
      <w:pPr>
        <w:pStyle w:val="Heading3"/>
      </w:pPr>
      <w:r>
        <w:t xml:space="preserve">Abatement Order – Implementation </w:t>
      </w:r>
    </w:p>
    <w:p w14:paraId="62B55FBC" w14:textId="7E5A59D0" w:rsidR="00DA19DE" w:rsidRDefault="000B6A76" w:rsidP="00674061">
      <w:pPr>
        <w:spacing w:after="120" w:line="240" w:lineRule="auto"/>
      </w:pPr>
      <w:r>
        <w:t>If a</w:t>
      </w:r>
      <w:r w:rsidR="00AB676F">
        <w:t xml:space="preserve"> person is issued an abatement</w:t>
      </w:r>
      <w:r w:rsidR="00F66ADC">
        <w:t xml:space="preserve"> </w:t>
      </w:r>
      <w:r w:rsidR="00AB676F">
        <w:t xml:space="preserve">order </w:t>
      </w:r>
      <w:r w:rsidR="00837A09">
        <w:t xml:space="preserve">and </w:t>
      </w:r>
      <w:r w:rsidR="00AB676F">
        <w:t>fails to comply with the order,</w:t>
      </w:r>
      <w:r w:rsidR="00236231">
        <w:t xml:space="preserve"> </w:t>
      </w:r>
      <w:r w:rsidR="00DA19DE">
        <w:t xml:space="preserve">an authorised person may, after the expiration of the compliance period, </w:t>
      </w:r>
      <w:r w:rsidR="00F97DA6">
        <w:t>ent</w:t>
      </w:r>
      <w:r w:rsidR="00DA19DE">
        <w:t>er a property to implement the abatement order</w:t>
      </w:r>
      <w:r w:rsidR="00BE6EE4">
        <w:t xml:space="preserve">. The person must be given written notice stating the proposed time and date </w:t>
      </w:r>
      <w:r w:rsidR="00F97DA6">
        <w:t>with</w:t>
      </w:r>
      <w:r w:rsidR="00BE6EE4">
        <w:t xml:space="preserve"> least </w:t>
      </w:r>
      <w:r w:rsidR="00DA19DE">
        <w:t>7 day</w:t>
      </w:r>
      <w:r w:rsidR="00F97DA6">
        <w:t>s in advance.</w:t>
      </w:r>
    </w:p>
    <w:p w14:paraId="256EEF91" w14:textId="0E56981B" w:rsidR="00DA19DE" w:rsidRDefault="004B328E" w:rsidP="00674061">
      <w:pPr>
        <w:spacing w:after="120" w:line="240" w:lineRule="auto"/>
      </w:pPr>
      <w:r>
        <w:t xml:space="preserve">How an abatement order is implemented is very important. </w:t>
      </w:r>
      <w:r w:rsidR="00DA19DE">
        <w:t xml:space="preserve">If </w:t>
      </w:r>
      <w:r w:rsidR="00D62B83">
        <w:t>the DG or delegate</w:t>
      </w:r>
      <w:r w:rsidR="00DA19DE">
        <w:t xml:space="preserve"> decide</w:t>
      </w:r>
      <w:r w:rsidR="00BE6EE4">
        <w:t>s</w:t>
      </w:r>
      <w:r w:rsidR="00DA19DE">
        <w:t xml:space="preserve"> to implement an abatement order</w:t>
      </w:r>
      <w:r w:rsidR="00BE6EE4">
        <w:t>, careful planning must be undertaken before the day to ensure that the process</w:t>
      </w:r>
      <w:r>
        <w:t xml:space="preserve"> is undertaken efficiently </w:t>
      </w:r>
      <w:r w:rsidR="00431409">
        <w:t>and</w:t>
      </w:r>
      <w:r w:rsidR="00BE6EE4">
        <w:t xml:space="preserve"> </w:t>
      </w:r>
      <w:r w:rsidR="00431409">
        <w:t>reducing</w:t>
      </w:r>
      <w:r w:rsidR="00BE6EE4">
        <w:t xml:space="preserve"> </w:t>
      </w:r>
      <w:r>
        <w:t>stress</w:t>
      </w:r>
      <w:r w:rsidR="00BE6EE4">
        <w:t xml:space="preserve"> for the person as</w:t>
      </w:r>
      <w:r w:rsidR="00431409">
        <w:t xml:space="preserve"> much as</w:t>
      </w:r>
      <w:r w:rsidR="00BE6EE4">
        <w:t xml:space="preserve"> possible. It must be clear what action is being taken and who is responsible for it. For example,</w:t>
      </w:r>
      <w:r w:rsidR="00DB023D">
        <w:t xml:space="preserve"> the officer should ask questions like:</w:t>
      </w:r>
      <w:r w:rsidR="00BE6EE4">
        <w:t xml:space="preserve"> who will be removing the amenity impact</w:t>
      </w:r>
      <w:r w:rsidR="00D62B83">
        <w:t xml:space="preserve"> and how</w:t>
      </w:r>
      <w:r w:rsidR="00BE6EE4">
        <w:t>?</w:t>
      </w:r>
      <w:r>
        <w:t xml:space="preserve"> What other cleaning services are necessary?</w:t>
      </w:r>
    </w:p>
    <w:p w14:paraId="190BF0DB" w14:textId="3E898E01" w:rsidR="00BE6EE4" w:rsidRDefault="00BE6EE4" w:rsidP="00674061">
      <w:pPr>
        <w:spacing w:after="120" w:line="240" w:lineRule="auto"/>
      </w:pPr>
      <w:r>
        <w:t>Consideration should also be give</w:t>
      </w:r>
      <w:r w:rsidR="00D62B83">
        <w:t>n</w:t>
      </w:r>
      <w:r>
        <w:t xml:space="preserve"> to what additional services will need to be present</w:t>
      </w:r>
      <w:r w:rsidR="00D62B83">
        <w:t xml:space="preserve"> on the day</w:t>
      </w:r>
      <w:r>
        <w:t xml:space="preserve">. </w:t>
      </w:r>
      <w:r w:rsidR="00D62B83">
        <w:t>The person must have the opportunity to access to a support person while the order is being implemented to provide</w:t>
      </w:r>
      <w:r w:rsidR="004B328E">
        <w:t xml:space="preserve"> support and advocate</w:t>
      </w:r>
      <w:r w:rsidR="00D62B83">
        <w:t xml:space="preserve"> for the person’s rights. This may be a family member, community service or social worker or a representative from the public advocate.</w:t>
      </w:r>
    </w:p>
    <w:p w14:paraId="1B58AD2B" w14:textId="4F073EF7" w:rsidR="00D62B83" w:rsidRDefault="004B328E" w:rsidP="00674061">
      <w:pPr>
        <w:spacing w:after="120" w:line="240" w:lineRule="auto"/>
      </w:pPr>
      <w:r>
        <w:t>Depending on the nature of the case, o</w:t>
      </w:r>
      <w:r w:rsidR="00D62B83">
        <w:t xml:space="preserve">ther </w:t>
      </w:r>
      <w:r>
        <w:t>services may also be required such as mental health, fire and rescue or the police.</w:t>
      </w:r>
    </w:p>
    <w:p w14:paraId="56E06BA5" w14:textId="51D4DDE7" w:rsidR="00D428CE" w:rsidRDefault="00DA19DE" w:rsidP="00674061">
      <w:pPr>
        <w:spacing w:after="120" w:line="240" w:lineRule="auto"/>
      </w:pPr>
      <w:r>
        <w:t>Non-compliance with a Court ordered abatement order may also attract a criminal penalty</w:t>
      </w:r>
      <w:r w:rsidR="004B328E">
        <w:t>.</w:t>
      </w:r>
      <w:r>
        <w:t xml:space="preserve"> </w:t>
      </w:r>
    </w:p>
    <w:p w14:paraId="11BD31B8" w14:textId="17E719C4" w:rsidR="00AB7B4F" w:rsidRPr="00141AE4" w:rsidRDefault="00780799" w:rsidP="004F0AA4">
      <w:pPr>
        <w:pStyle w:val="Heading2"/>
      </w:pPr>
      <w:bookmarkStart w:id="24" w:name="_Toc45802604"/>
      <w:r>
        <w:t xml:space="preserve">7.3 </w:t>
      </w:r>
      <w:r w:rsidR="00AB7B4F" w:rsidRPr="00141AE4">
        <w:t>Review process</w:t>
      </w:r>
      <w:bookmarkEnd w:id="24"/>
    </w:p>
    <w:p w14:paraId="147E7A79" w14:textId="6CF6B30D" w:rsidR="00E92F62" w:rsidRPr="00674061" w:rsidRDefault="00E92F62" w:rsidP="00674061">
      <w:pPr>
        <w:pStyle w:val="ListParagraph"/>
        <w:spacing w:after="120" w:line="240" w:lineRule="auto"/>
        <w:ind w:left="0"/>
        <w:contextualSpacing w:val="0"/>
      </w:pPr>
      <w:r w:rsidRPr="00674061">
        <w:t>The DG</w:t>
      </w:r>
      <w:r w:rsidR="00DB5D65">
        <w:t xml:space="preserve"> or</w:t>
      </w:r>
      <w:r w:rsidR="00E95ED4">
        <w:t xml:space="preserve"> a</w:t>
      </w:r>
      <w:r w:rsidR="00DB5D65">
        <w:t xml:space="preserve"> delegate</w:t>
      </w:r>
      <w:r w:rsidRPr="00674061">
        <w:t xml:space="preserve"> and</w:t>
      </w:r>
      <w:r w:rsidR="00DB5D65">
        <w:t xml:space="preserve"> the HCMG</w:t>
      </w:r>
      <w:r w:rsidR="00DB5D65" w:rsidRPr="00674061">
        <w:t xml:space="preserve"> </w:t>
      </w:r>
      <w:r w:rsidRPr="00674061">
        <w:t xml:space="preserve">will regularly review the circumstances that give rise to the issue of an abatement notice or abatement order to ensure </w:t>
      </w:r>
      <w:r w:rsidR="00124A76">
        <w:t xml:space="preserve">ongoing </w:t>
      </w:r>
      <w:r w:rsidRPr="00674061">
        <w:t>alignment with the rights of the affected person, the interests of the community in maintaining the amenity of the ACT and the safety of the community</w:t>
      </w:r>
      <w:r w:rsidR="00DB5D65">
        <w:t>.</w:t>
      </w:r>
    </w:p>
    <w:p w14:paraId="6F0E9C56" w14:textId="08A84FA8" w:rsidR="00E92F62" w:rsidRPr="00674061" w:rsidRDefault="00E92F62" w:rsidP="00674061">
      <w:pPr>
        <w:pStyle w:val="ListParagraph"/>
        <w:spacing w:after="120" w:line="240" w:lineRule="auto"/>
        <w:ind w:left="0"/>
        <w:contextualSpacing w:val="0"/>
      </w:pPr>
      <w:r w:rsidRPr="00674061">
        <w:t xml:space="preserve">There are also several provisions within the </w:t>
      </w:r>
      <w:r w:rsidR="00E95ED4">
        <w:t xml:space="preserve">Litter </w:t>
      </w:r>
      <w:r w:rsidRPr="00674061">
        <w:t xml:space="preserve">Act that permit a person to request a review regarding a regulatory decision. Such options are available to </w:t>
      </w:r>
      <w:r w:rsidR="003711E2">
        <w:t>a</w:t>
      </w:r>
      <w:r w:rsidRPr="00674061">
        <w:t xml:space="preserve"> person at each stage of the regulatory pathway as described below</w:t>
      </w:r>
      <w:r w:rsidR="00DB5D65">
        <w:t>.</w:t>
      </w:r>
    </w:p>
    <w:p w14:paraId="5B183421" w14:textId="77777777" w:rsidR="00C97490" w:rsidRDefault="00E92F62" w:rsidP="004F0AA4">
      <w:pPr>
        <w:pStyle w:val="Heading3"/>
      </w:pPr>
      <w:bookmarkStart w:id="25" w:name="_Toc45802605"/>
      <w:r w:rsidRPr="00C97490">
        <w:t>Issuing of an abatement notice</w:t>
      </w:r>
      <w:bookmarkEnd w:id="25"/>
    </w:p>
    <w:p w14:paraId="748A548E" w14:textId="40AA6B4A" w:rsidR="00E92F62" w:rsidRPr="00674061" w:rsidRDefault="00E92F62" w:rsidP="00674061">
      <w:pPr>
        <w:spacing w:after="120" w:line="240" w:lineRule="auto"/>
      </w:pPr>
      <w:r w:rsidRPr="00674061">
        <w:t xml:space="preserve">The person to whom the notice was issued under section 24BD of the </w:t>
      </w:r>
      <w:r w:rsidR="00124A76">
        <w:t>L</w:t>
      </w:r>
      <w:r w:rsidRPr="00674061">
        <w:t xml:space="preserve">itter Act may write to the </w:t>
      </w:r>
      <w:r w:rsidR="00DB5D65">
        <w:t xml:space="preserve">DG or </w:t>
      </w:r>
      <w:r w:rsidR="00E95ED4">
        <w:t xml:space="preserve">a </w:t>
      </w:r>
      <w:r w:rsidR="00DB5D65">
        <w:t>delegate</w:t>
      </w:r>
      <w:r w:rsidRPr="00674061">
        <w:t xml:space="preserve"> requesting a review of the decision to issue the abatement notice. The person can also apply to the ACAT to have the decision reviewed.</w:t>
      </w:r>
    </w:p>
    <w:p w14:paraId="03CC2474" w14:textId="77777777" w:rsidR="00C97490" w:rsidRDefault="00E92F62" w:rsidP="004F0AA4">
      <w:pPr>
        <w:pStyle w:val="Heading3"/>
      </w:pPr>
      <w:bookmarkStart w:id="26" w:name="_Toc45802606"/>
      <w:r w:rsidRPr="00C97490">
        <w:t xml:space="preserve">Extension or </w:t>
      </w:r>
      <w:r w:rsidR="00C97490" w:rsidRPr="00C97490">
        <w:t>r</w:t>
      </w:r>
      <w:r w:rsidRPr="00C97490">
        <w:t>evocation of an abatement notice</w:t>
      </w:r>
      <w:bookmarkEnd w:id="26"/>
    </w:p>
    <w:p w14:paraId="7F8D3D0C" w14:textId="76DFAD7C" w:rsidR="007175A9" w:rsidRPr="00674061" w:rsidRDefault="00C97490" w:rsidP="007175A9">
      <w:pPr>
        <w:spacing w:after="120" w:line="240" w:lineRule="auto"/>
      </w:pPr>
      <w:r w:rsidRPr="00674061">
        <w:t xml:space="preserve">The person to whom the notice was issued may </w:t>
      </w:r>
      <w:r w:rsidR="00C90541">
        <w:t>apply</w:t>
      </w:r>
      <w:r w:rsidRPr="00674061">
        <w:t xml:space="preserve"> to the </w:t>
      </w:r>
      <w:r w:rsidR="00DB5D65">
        <w:t>DG or</w:t>
      </w:r>
      <w:r w:rsidR="00E95ED4">
        <w:t xml:space="preserve"> a</w:t>
      </w:r>
      <w:r w:rsidR="00DB5D65">
        <w:t xml:space="preserve"> delegate</w:t>
      </w:r>
      <w:r w:rsidRPr="00674061">
        <w:t xml:space="preserve"> requesting a</w:t>
      </w:r>
      <w:r w:rsidR="00E92F62" w:rsidRPr="00674061">
        <w:t>n extension on the compliance period specified in the abatement notice (section 24B</w:t>
      </w:r>
      <w:r w:rsidRPr="00674061">
        <w:t>F</w:t>
      </w:r>
      <w:r w:rsidR="00E92F62" w:rsidRPr="00674061">
        <w:t xml:space="preserve"> </w:t>
      </w:r>
      <w:r w:rsidR="00124A76">
        <w:t xml:space="preserve">of </w:t>
      </w:r>
      <w:r w:rsidR="00E92F62" w:rsidRPr="00674061">
        <w:t xml:space="preserve">the </w:t>
      </w:r>
      <w:r w:rsidR="006C0B38">
        <w:t xml:space="preserve">Litter </w:t>
      </w:r>
      <w:r w:rsidR="00E92F62" w:rsidRPr="00674061">
        <w:t>Act)</w:t>
      </w:r>
      <w:r w:rsidRPr="00674061">
        <w:t xml:space="preserve"> or a revocation of the abatement notice (Section 24BG of the </w:t>
      </w:r>
      <w:r w:rsidR="006C0B38">
        <w:t xml:space="preserve">Litter </w:t>
      </w:r>
      <w:r w:rsidRPr="00674061">
        <w:t>Act)</w:t>
      </w:r>
      <w:r w:rsidR="00E92F62" w:rsidRPr="00674061">
        <w:t>.</w:t>
      </w:r>
      <w:r w:rsidR="0082479E">
        <w:t xml:space="preserve"> An extension request should be granted in circumstances where the person is genuinely cooperating or has extenuating circumstances that justify the extension.</w:t>
      </w:r>
      <w:r w:rsidR="00E92F62" w:rsidRPr="00674061">
        <w:t xml:space="preserve"> If an extension to the compliance period </w:t>
      </w:r>
      <w:r w:rsidRPr="00674061">
        <w:t xml:space="preserve">or revocation of the notice </w:t>
      </w:r>
      <w:r w:rsidR="00E92F62" w:rsidRPr="00674061">
        <w:t>is not granted</w:t>
      </w:r>
      <w:r w:rsidRPr="00674061">
        <w:t>, the</w:t>
      </w:r>
      <w:r w:rsidR="00E92F62" w:rsidRPr="00674061">
        <w:t xml:space="preserve"> reasons for the decision must be provided in writing to </w:t>
      </w:r>
      <w:r w:rsidRPr="00674061">
        <w:t>the person</w:t>
      </w:r>
      <w:r w:rsidR="00E92F62" w:rsidRPr="00674061">
        <w:t>.</w:t>
      </w:r>
      <w:r w:rsidR="007175A9">
        <w:t xml:space="preserve"> </w:t>
      </w:r>
      <w:r w:rsidR="007175A9" w:rsidRPr="00674061">
        <w:t>The person can also apply to the ACAT to have the decision reviewed.</w:t>
      </w:r>
    </w:p>
    <w:p w14:paraId="7E8CB50C" w14:textId="63DEC5EC" w:rsidR="00C97490" w:rsidRDefault="009E1147" w:rsidP="004F0AA4">
      <w:pPr>
        <w:pStyle w:val="Heading3"/>
      </w:pPr>
      <w:bookmarkStart w:id="27" w:name="_Toc45802607"/>
      <w:r>
        <w:t>Appeal</w:t>
      </w:r>
      <w:r w:rsidRPr="00C97490">
        <w:t xml:space="preserve"> </w:t>
      </w:r>
      <w:r w:rsidR="00E92F62" w:rsidRPr="00C97490">
        <w:t>of an abatement order</w:t>
      </w:r>
      <w:bookmarkEnd w:id="27"/>
    </w:p>
    <w:p w14:paraId="0CAF7588" w14:textId="56BBD529" w:rsidR="0098523C" w:rsidRDefault="00C97490" w:rsidP="00674061">
      <w:pPr>
        <w:spacing w:after="120" w:line="240" w:lineRule="auto"/>
      </w:pPr>
      <w:r w:rsidRPr="00674061">
        <w:t>A</w:t>
      </w:r>
      <w:r w:rsidR="00E92F62" w:rsidRPr="00674061">
        <w:t xml:space="preserve"> person </w:t>
      </w:r>
      <w:r w:rsidRPr="00674061">
        <w:t xml:space="preserve">subject to an abatement order may </w:t>
      </w:r>
      <w:r w:rsidR="0098523C">
        <w:t>apply to the Magistrates Court to revoke an abatement order. The Magistrates Court may revoke the order if satisfied the order has been complied with and there is no reasonable likelihood of the circumstance giving rise to it happening again.</w:t>
      </w:r>
    </w:p>
    <w:p w14:paraId="28E029DF" w14:textId="6695620E" w:rsidR="00021E71" w:rsidRDefault="0098523C" w:rsidP="00674061">
      <w:pPr>
        <w:spacing w:after="120" w:line="240" w:lineRule="auto"/>
      </w:pPr>
      <w:r>
        <w:lastRenderedPageBreak/>
        <w:t xml:space="preserve">Section 24Z of the Litter Act provides that a person may </w:t>
      </w:r>
      <w:r w:rsidR="00C97490" w:rsidRPr="00674061">
        <w:t>appeal to the Supreme Court in relation</w:t>
      </w:r>
      <w:r w:rsidR="007175A9">
        <w:t xml:space="preserve"> to</w:t>
      </w:r>
      <w:r w:rsidR="00C97490" w:rsidRPr="00674061">
        <w:t xml:space="preserve"> ab</w:t>
      </w:r>
      <w:r w:rsidR="004627D7" w:rsidRPr="00674061">
        <w:t>a</w:t>
      </w:r>
      <w:r w:rsidR="00C97490" w:rsidRPr="00674061">
        <w:t>t</w:t>
      </w:r>
      <w:r w:rsidR="004627D7" w:rsidRPr="00674061">
        <w:t>e</w:t>
      </w:r>
      <w:r w:rsidR="00C97490" w:rsidRPr="00674061">
        <w:t>ment orders made by Magistrates Court</w:t>
      </w:r>
      <w:r w:rsidR="004627D7" w:rsidRPr="00674061">
        <w:t xml:space="preserve"> or orders to dismiss an application for the revocation of an abatement order under section 24Z of the Litter Act.</w:t>
      </w:r>
    </w:p>
    <w:p w14:paraId="6AD255CB" w14:textId="6CB06C91" w:rsidR="009B6358" w:rsidRPr="00A3629F" w:rsidRDefault="004F0AA4" w:rsidP="004F0AA4">
      <w:pPr>
        <w:pStyle w:val="Heading1"/>
      </w:pPr>
      <w:bookmarkStart w:id="28" w:name="_Toc45802608"/>
      <w:r>
        <w:t xml:space="preserve">8 </w:t>
      </w:r>
      <w:r w:rsidR="00AB7B4F">
        <w:t xml:space="preserve">Code of </w:t>
      </w:r>
      <w:r w:rsidR="0044516D">
        <w:t>P</w:t>
      </w:r>
      <w:r w:rsidR="00AB7B4F">
        <w:t xml:space="preserve">ractice </w:t>
      </w:r>
      <w:r w:rsidR="0044516D">
        <w:t>R</w:t>
      </w:r>
      <w:r w:rsidR="00AB7B4F">
        <w:t>eview</w:t>
      </w:r>
      <w:bookmarkEnd w:id="28"/>
    </w:p>
    <w:p w14:paraId="05D9E9CE" w14:textId="344D3AFA" w:rsidR="003F5F07" w:rsidRDefault="00B33285" w:rsidP="0054754A">
      <w:pPr>
        <w:pStyle w:val="ListParagraph"/>
        <w:spacing w:after="120" w:line="240" w:lineRule="auto"/>
        <w:ind w:left="0"/>
        <w:contextualSpacing w:val="0"/>
      </w:pPr>
      <w:r w:rsidRPr="00B33285">
        <w:t xml:space="preserve">The operation of the Code will be reviewed by </w:t>
      </w:r>
      <w:r>
        <w:t>TCCS</w:t>
      </w:r>
      <w:r w:rsidRPr="00B33285">
        <w:t xml:space="preserve"> after the end of its third year of operation</w:t>
      </w:r>
      <w:r w:rsidR="007318D3">
        <w:t xml:space="preserve"> and may be reviewed at any other time considered necessary</w:t>
      </w:r>
      <w:r w:rsidRPr="00B33285">
        <w:t xml:space="preserve">. The review will consider whether the Code is operating to fulfil its own objectives and those of the </w:t>
      </w:r>
      <w:r>
        <w:t xml:space="preserve">Litter </w:t>
      </w:r>
      <w:r w:rsidRPr="00B33285">
        <w:t>Act. The Code will be amended as appropriate based on the outcomes of the review.</w:t>
      </w:r>
      <w:r w:rsidR="003F5F07">
        <w:br w:type="page"/>
      </w:r>
    </w:p>
    <w:p w14:paraId="4EF0329F" w14:textId="34F717FF" w:rsidR="00395801" w:rsidRDefault="003F5F07" w:rsidP="0054754A">
      <w:pPr>
        <w:pStyle w:val="Heading1"/>
      </w:pPr>
      <w:bookmarkStart w:id="29" w:name="_Toc45802609"/>
      <w:r>
        <w:lastRenderedPageBreak/>
        <w:t>Appendix A</w:t>
      </w:r>
      <w:r w:rsidR="00AD4DBC">
        <w:t xml:space="preserve"> -</w:t>
      </w:r>
      <w:r>
        <w:t xml:space="preserve"> A</w:t>
      </w:r>
      <w:r w:rsidR="00362467">
        <w:t>CT</w:t>
      </w:r>
      <w:r>
        <w:t xml:space="preserve"> Legislation Relating to Hoarding</w:t>
      </w:r>
      <w:bookmarkEnd w:id="29"/>
    </w:p>
    <w:tbl>
      <w:tblPr>
        <w:tblStyle w:val="TableGrid"/>
        <w:tblW w:w="0" w:type="auto"/>
        <w:jc w:val="center"/>
        <w:tblLook w:val="04A0" w:firstRow="1" w:lastRow="0" w:firstColumn="1" w:lastColumn="0" w:noHBand="0" w:noVBand="1"/>
      </w:tblPr>
      <w:tblGrid>
        <w:gridCol w:w="4508"/>
        <w:gridCol w:w="4508"/>
      </w:tblGrid>
      <w:tr w:rsidR="003F5F07" w:rsidRPr="00362467" w14:paraId="64EB7418" w14:textId="77777777" w:rsidTr="0054754A">
        <w:trPr>
          <w:jc w:val="center"/>
        </w:trPr>
        <w:tc>
          <w:tcPr>
            <w:tcW w:w="4508" w:type="dxa"/>
            <w:vAlign w:val="center"/>
          </w:tcPr>
          <w:p w14:paraId="52F07E53" w14:textId="760ADA4D" w:rsidR="003F5F07" w:rsidRPr="006C0B38" w:rsidRDefault="003F5F07" w:rsidP="0054754A">
            <w:pPr>
              <w:pStyle w:val="ListParagraph"/>
              <w:spacing w:after="120"/>
              <w:ind w:left="0"/>
              <w:contextualSpacing w:val="0"/>
              <w:jc w:val="center"/>
              <w:rPr>
                <w:b/>
                <w:bCs/>
              </w:rPr>
            </w:pPr>
            <w:r w:rsidRPr="006C0B38">
              <w:rPr>
                <w:b/>
                <w:bCs/>
              </w:rPr>
              <w:t>Act</w:t>
            </w:r>
          </w:p>
        </w:tc>
        <w:tc>
          <w:tcPr>
            <w:tcW w:w="4508" w:type="dxa"/>
            <w:vAlign w:val="center"/>
          </w:tcPr>
          <w:p w14:paraId="6F2B2305" w14:textId="11788633" w:rsidR="003F5F07" w:rsidRPr="006C0B38" w:rsidRDefault="003F5F07" w:rsidP="0054754A">
            <w:pPr>
              <w:pStyle w:val="ListParagraph"/>
              <w:spacing w:after="120"/>
              <w:ind w:left="0"/>
              <w:contextualSpacing w:val="0"/>
              <w:jc w:val="center"/>
              <w:rPr>
                <w:b/>
                <w:bCs/>
              </w:rPr>
            </w:pPr>
            <w:r w:rsidRPr="006C0B38">
              <w:rPr>
                <w:b/>
                <w:bCs/>
              </w:rPr>
              <w:t>Administering Directorate/Body</w:t>
            </w:r>
          </w:p>
        </w:tc>
      </w:tr>
      <w:tr w:rsidR="00114096" w14:paraId="27612E6A" w14:textId="77777777" w:rsidTr="0054754A">
        <w:trPr>
          <w:jc w:val="center"/>
        </w:trPr>
        <w:tc>
          <w:tcPr>
            <w:tcW w:w="4508" w:type="dxa"/>
            <w:vAlign w:val="center"/>
          </w:tcPr>
          <w:p w14:paraId="00E858AF" w14:textId="7AC1DD63" w:rsidR="00114096" w:rsidRDefault="00C85CE1" w:rsidP="0054754A">
            <w:pPr>
              <w:pStyle w:val="ListParagraph"/>
              <w:spacing w:after="120"/>
              <w:ind w:left="0"/>
              <w:contextualSpacing w:val="0"/>
              <w:jc w:val="center"/>
            </w:pPr>
            <w:hyperlink r:id="rId8" w:history="1">
              <w:r w:rsidR="00114096" w:rsidRPr="00114096">
                <w:rPr>
                  <w:rStyle w:val="Hyperlink"/>
                  <w:i/>
                  <w:iCs/>
                </w:rPr>
                <w:t>Building Act 2004</w:t>
              </w:r>
              <w:r w:rsidR="00114096" w:rsidRPr="00114096">
                <w:rPr>
                  <w:rStyle w:val="Hyperlink"/>
                </w:rPr>
                <w:t xml:space="preserve"> (ACT)</w:t>
              </w:r>
            </w:hyperlink>
          </w:p>
        </w:tc>
        <w:tc>
          <w:tcPr>
            <w:tcW w:w="4508" w:type="dxa"/>
            <w:vAlign w:val="center"/>
          </w:tcPr>
          <w:p w14:paraId="6C9EE918" w14:textId="2089B4E6" w:rsidR="00114096" w:rsidRDefault="00114096" w:rsidP="0054754A">
            <w:pPr>
              <w:pStyle w:val="ListParagraph"/>
              <w:spacing w:after="120"/>
              <w:ind w:left="0"/>
              <w:contextualSpacing w:val="0"/>
              <w:jc w:val="center"/>
            </w:pPr>
            <w:r>
              <w:t>Environment, Planning and Sustainable Development Directorate</w:t>
            </w:r>
          </w:p>
        </w:tc>
      </w:tr>
      <w:tr w:rsidR="00114096" w14:paraId="589EAA66" w14:textId="77777777" w:rsidTr="0054754A">
        <w:trPr>
          <w:jc w:val="center"/>
        </w:trPr>
        <w:tc>
          <w:tcPr>
            <w:tcW w:w="4508" w:type="dxa"/>
            <w:vAlign w:val="center"/>
          </w:tcPr>
          <w:p w14:paraId="563E5EB7" w14:textId="0ECD7F5C" w:rsidR="00114096" w:rsidRDefault="00C85CE1" w:rsidP="0054754A">
            <w:pPr>
              <w:pStyle w:val="ListParagraph"/>
              <w:spacing w:after="120"/>
              <w:ind w:left="0"/>
              <w:contextualSpacing w:val="0"/>
              <w:jc w:val="center"/>
            </w:pPr>
            <w:hyperlink r:id="rId9" w:history="1">
              <w:r w:rsidR="00114096" w:rsidRPr="0054754A">
                <w:rPr>
                  <w:rStyle w:val="Hyperlink"/>
                </w:rPr>
                <w:t>Children and Young People Act 2008 (ACT</w:t>
              </w:r>
              <w:r w:rsidR="00114096" w:rsidRPr="009D7F03">
                <w:rPr>
                  <w:rStyle w:val="Hyperlink"/>
                  <w:i/>
                  <w:iCs/>
                </w:rPr>
                <w:t>)</w:t>
              </w:r>
            </w:hyperlink>
          </w:p>
        </w:tc>
        <w:tc>
          <w:tcPr>
            <w:tcW w:w="4508" w:type="dxa"/>
            <w:vAlign w:val="center"/>
          </w:tcPr>
          <w:p w14:paraId="31C473E3" w14:textId="0D43662B" w:rsidR="00114096" w:rsidRDefault="00114096" w:rsidP="0054754A">
            <w:pPr>
              <w:pStyle w:val="ListParagraph"/>
              <w:spacing w:after="120"/>
              <w:ind w:left="0"/>
              <w:contextualSpacing w:val="0"/>
              <w:jc w:val="center"/>
            </w:pPr>
            <w:r>
              <w:t>Community Safety Directorate /Education Directorate</w:t>
            </w:r>
          </w:p>
        </w:tc>
      </w:tr>
      <w:tr w:rsidR="00114096" w14:paraId="49FAB3E9" w14:textId="77777777" w:rsidTr="0054754A">
        <w:trPr>
          <w:jc w:val="center"/>
        </w:trPr>
        <w:tc>
          <w:tcPr>
            <w:tcW w:w="4508" w:type="dxa"/>
            <w:vAlign w:val="center"/>
          </w:tcPr>
          <w:p w14:paraId="59FBEA36" w14:textId="4E1583A0" w:rsidR="00114096" w:rsidRDefault="00C85CE1" w:rsidP="0054754A">
            <w:pPr>
              <w:pStyle w:val="ListParagraph"/>
              <w:spacing w:after="120"/>
              <w:ind w:left="0"/>
              <w:contextualSpacing w:val="0"/>
              <w:jc w:val="center"/>
            </w:pPr>
            <w:hyperlink r:id="rId10" w:history="1">
              <w:r w:rsidR="00114096" w:rsidRPr="00114096">
                <w:rPr>
                  <w:rStyle w:val="Hyperlink"/>
                  <w:i/>
                  <w:iCs/>
                </w:rPr>
                <w:t>Emergencies Act 2004</w:t>
              </w:r>
              <w:r w:rsidR="00114096" w:rsidRPr="00114096">
                <w:rPr>
                  <w:rStyle w:val="Hyperlink"/>
                </w:rPr>
                <w:t xml:space="preserve"> (ACT)</w:t>
              </w:r>
            </w:hyperlink>
          </w:p>
        </w:tc>
        <w:tc>
          <w:tcPr>
            <w:tcW w:w="4508" w:type="dxa"/>
            <w:vAlign w:val="center"/>
          </w:tcPr>
          <w:p w14:paraId="30550DAF" w14:textId="2364FFA7" w:rsidR="00114096" w:rsidRDefault="00114096" w:rsidP="0054754A">
            <w:pPr>
              <w:pStyle w:val="ListParagraph"/>
              <w:spacing w:after="120"/>
              <w:ind w:left="0"/>
              <w:contextualSpacing w:val="0"/>
              <w:jc w:val="center"/>
            </w:pPr>
            <w:r w:rsidRPr="0054754A">
              <w:t>Justice and Community Safety Directorate</w:t>
            </w:r>
          </w:p>
        </w:tc>
      </w:tr>
      <w:tr w:rsidR="00114096" w14:paraId="74A9975D" w14:textId="77777777" w:rsidTr="0054754A">
        <w:trPr>
          <w:jc w:val="center"/>
        </w:trPr>
        <w:tc>
          <w:tcPr>
            <w:tcW w:w="4508" w:type="dxa"/>
            <w:vAlign w:val="center"/>
          </w:tcPr>
          <w:p w14:paraId="31D4DA78" w14:textId="1C1FCF27" w:rsidR="00114096" w:rsidRDefault="00C85CE1" w:rsidP="0054754A">
            <w:pPr>
              <w:pStyle w:val="ListParagraph"/>
              <w:spacing w:after="120"/>
              <w:ind w:left="0"/>
              <w:contextualSpacing w:val="0"/>
              <w:jc w:val="center"/>
            </w:pPr>
            <w:hyperlink r:id="rId11" w:history="1">
              <w:r w:rsidR="00114096" w:rsidRPr="00114096">
                <w:rPr>
                  <w:rStyle w:val="Hyperlink"/>
                  <w:i/>
                  <w:iCs/>
                </w:rPr>
                <w:t>Housing Assistance Act 2007</w:t>
              </w:r>
              <w:r w:rsidR="00114096" w:rsidRPr="00114096">
                <w:rPr>
                  <w:rStyle w:val="Hyperlink"/>
                </w:rPr>
                <w:t xml:space="preserve"> (ACT)</w:t>
              </w:r>
            </w:hyperlink>
          </w:p>
        </w:tc>
        <w:tc>
          <w:tcPr>
            <w:tcW w:w="4508" w:type="dxa"/>
            <w:vAlign w:val="center"/>
          </w:tcPr>
          <w:p w14:paraId="4DCE0BDA" w14:textId="421AE821" w:rsidR="00114096" w:rsidRDefault="00420A7C" w:rsidP="0054754A">
            <w:pPr>
              <w:pStyle w:val="ListParagraph"/>
              <w:spacing w:after="120"/>
              <w:ind w:left="0"/>
              <w:contextualSpacing w:val="0"/>
              <w:jc w:val="center"/>
            </w:pPr>
            <w:r>
              <w:t>Community Safety Directorate</w:t>
            </w:r>
          </w:p>
        </w:tc>
      </w:tr>
      <w:tr w:rsidR="00114096" w14:paraId="1EF7AC18" w14:textId="77777777" w:rsidTr="0054754A">
        <w:trPr>
          <w:jc w:val="center"/>
        </w:trPr>
        <w:tc>
          <w:tcPr>
            <w:tcW w:w="4508" w:type="dxa"/>
            <w:vAlign w:val="center"/>
          </w:tcPr>
          <w:p w14:paraId="2920BD94" w14:textId="067180DA" w:rsidR="00114096" w:rsidRDefault="00C85CE1" w:rsidP="0054754A">
            <w:pPr>
              <w:pStyle w:val="ListParagraph"/>
              <w:spacing w:after="120"/>
              <w:ind w:left="0"/>
              <w:contextualSpacing w:val="0"/>
              <w:jc w:val="center"/>
            </w:pPr>
            <w:hyperlink r:id="rId12" w:history="1">
              <w:r w:rsidR="00114096" w:rsidRPr="0054754A">
                <w:rPr>
                  <w:rStyle w:val="Hyperlink"/>
                </w:rPr>
                <w:t>Human Rights Act 2004 (ACT</w:t>
              </w:r>
              <w:r w:rsidR="00114096" w:rsidRPr="009D7F03">
                <w:rPr>
                  <w:rStyle w:val="Hyperlink"/>
                </w:rPr>
                <w:t>)</w:t>
              </w:r>
            </w:hyperlink>
          </w:p>
        </w:tc>
        <w:tc>
          <w:tcPr>
            <w:tcW w:w="4508" w:type="dxa"/>
            <w:vAlign w:val="center"/>
          </w:tcPr>
          <w:p w14:paraId="681594BB" w14:textId="7D3A104F" w:rsidR="00114096" w:rsidRDefault="00420A7C" w:rsidP="0054754A">
            <w:pPr>
              <w:pStyle w:val="ListParagraph"/>
              <w:spacing w:after="120"/>
              <w:ind w:left="0"/>
              <w:contextualSpacing w:val="0"/>
              <w:jc w:val="center"/>
            </w:pPr>
            <w:r w:rsidRPr="00780B33">
              <w:t>Justice and Community Safety Directorate</w:t>
            </w:r>
          </w:p>
        </w:tc>
      </w:tr>
      <w:tr w:rsidR="00114096" w14:paraId="1B3EE4FA" w14:textId="77777777" w:rsidTr="0054754A">
        <w:trPr>
          <w:jc w:val="center"/>
        </w:trPr>
        <w:tc>
          <w:tcPr>
            <w:tcW w:w="4508" w:type="dxa"/>
            <w:vAlign w:val="center"/>
          </w:tcPr>
          <w:p w14:paraId="1E91C640" w14:textId="76BD64AA" w:rsidR="00114096" w:rsidRPr="00114096" w:rsidRDefault="00C85CE1" w:rsidP="0054754A">
            <w:pPr>
              <w:pStyle w:val="ListParagraph"/>
              <w:spacing w:after="120"/>
              <w:ind w:left="0"/>
              <w:contextualSpacing w:val="0"/>
              <w:jc w:val="center"/>
            </w:pPr>
            <w:hyperlink r:id="rId13" w:history="1">
              <w:r w:rsidR="00114096" w:rsidRPr="00420A7C">
                <w:rPr>
                  <w:rStyle w:val="Hyperlink"/>
                  <w:i/>
                  <w:iCs/>
                </w:rPr>
                <w:t>Information Privacy Act 201</w:t>
              </w:r>
              <w:r w:rsidR="00420A7C" w:rsidRPr="00420A7C">
                <w:rPr>
                  <w:rStyle w:val="Hyperlink"/>
                  <w:i/>
                  <w:iCs/>
                </w:rPr>
                <w:t>4</w:t>
              </w:r>
              <w:r w:rsidR="00114096" w:rsidRPr="00420A7C">
                <w:rPr>
                  <w:rStyle w:val="Hyperlink"/>
                  <w:i/>
                  <w:iCs/>
                </w:rPr>
                <w:t xml:space="preserve"> (</w:t>
              </w:r>
              <w:r w:rsidR="00114096" w:rsidRPr="00420A7C">
                <w:rPr>
                  <w:rStyle w:val="Hyperlink"/>
                </w:rPr>
                <w:t>ACT)</w:t>
              </w:r>
            </w:hyperlink>
          </w:p>
        </w:tc>
        <w:tc>
          <w:tcPr>
            <w:tcW w:w="4508" w:type="dxa"/>
            <w:vAlign w:val="center"/>
          </w:tcPr>
          <w:p w14:paraId="596F3B32" w14:textId="3AAF4AC5" w:rsidR="00114096" w:rsidRDefault="00420A7C" w:rsidP="0054754A">
            <w:pPr>
              <w:pStyle w:val="ListParagraph"/>
              <w:spacing w:after="120"/>
              <w:ind w:left="0"/>
              <w:contextualSpacing w:val="0"/>
              <w:jc w:val="center"/>
            </w:pPr>
            <w:r w:rsidRPr="00780B33">
              <w:t>Justice and Community Safety Directorate</w:t>
            </w:r>
          </w:p>
        </w:tc>
      </w:tr>
      <w:tr w:rsidR="00114096" w14:paraId="22F037BA" w14:textId="77777777" w:rsidTr="0054754A">
        <w:trPr>
          <w:jc w:val="center"/>
        </w:trPr>
        <w:tc>
          <w:tcPr>
            <w:tcW w:w="4508" w:type="dxa"/>
            <w:vAlign w:val="center"/>
          </w:tcPr>
          <w:p w14:paraId="56E30F4E" w14:textId="6BDF13D3" w:rsidR="00114096" w:rsidRDefault="00C85CE1">
            <w:pPr>
              <w:pStyle w:val="ListParagraph"/>
              <w:spacing w:after="120"/>
              <w:ind w:left="0"/>
              <w:contextualSpacing w:val="0"/>
              <w:jc w:val="center"/>
            </w:pPr>
            <w:hyperlink r:id="rId14" w:history="1">
              <w:r w:rsidR="00114096" w:rsidRPr="00420A7C">
                <w:rPr>
                  <w:rStyle w:val="Hyperlink"/>
                  <w:i/>
                  <w:iCs/>
                </w:rPr>
                <w:t>Litter Act 2004</w:t>
              </w:r>
              <w:r w:rsidR="00114096" w:rsidRPr="00420A7C">
                <w:rPr>
                  <w:rStyle w:val="Hyperlink"/>
                </w:rPr>
                <w:t xml:space="preserve"> (ACT</w:t>
              </w:r>
            </w:hyperlink>
            <w:r w:rsidR="00114096" w:rsidRPr="00243A4D">
              <w:t>)</w:t>
            </w:r>
          </w:p>
        </w:tc>
        <w:tc>
          <w:tcPr>
            <w:tcW w:w="4508" w:type="dxa"/>
            <w:vAlign w:val="center"/>
          </w:tcPr>
          <w:p w14:paraId="5FCEFDEC" w14:textId="3F5E17BE" w:rsidR="00114096" w:rsidRDefault="00420A7C">
            <w:pPr>
              <w:pStyle w:val="ListParagraph"/>
              <w:spacing w:after="120"/>
              <w:ind w:left="0"/>
              <w:contextualSpacing w:val="0"/>
              <w:jc w:val="center"/>
            </w:pPr>
            <w:r>
              <w:t>Transport Canberra and City Services Directorate</w:t>
            </w:r>
          </w:p>
        </w:tc>
      </w:tr>
      <w:tr w:rsidR="00114096" w14:paraId="56968546" w14:textId="77777777" w:rsidTr="0054754A">
        <w:trPr>
          <w:jc w:val="center"/>
        </w:trPr>
        <w:tc>
          <w:tcPr>
            <w:tcW w:w="4508" w:type="dxa"/>
            <w:vAlign w:val="center"/>
          </w:tcPr>
          <w:p w14:paraId="7496B11C" w14:textId="70053327" w:rsidR="00114096" w:rsidRDefault="00C85CE1">
            <w:pPr>
              <w:pStyle w:val="ListParagraph"/>
              <w:spacing w:after="120"/>
              <w:ind w:left="0"/>
              <w:contextualSpacing w:val="0"/>
              <w:jc w:val="center"/>
            </w:pPr>
            <w:hyperlink r:id="rId15" w:history="1">
              <w:r w:rsidR="00114096" w:rsidRPr="00420A7C">
                <w:rPr>
                  <w:rStyle w:val="Hyperlink"/>
                  <w:i/>
                  <w:iCs/>
                </w:rPr>
                <w:t>Mental Health Act 2015</w:t>
              </w:r>
              <w:r w:rsidR="00114096" w:rsidRPr="00420A7C">
                <w:rPr>
                  <w:rStyle w:val="Hyperlink"/>
                </w:rPr>
                <w:t xml:space="preserve"> (ACT)</w:t>
              </w:r>
            </w:hyperlink>
          </w:p>
        </w:tc>
        <w:tc>
          <w:tcPr>
            <w:tcW w:w="4508" w:type="dxa"/>
            <w:vAlign w:val="center"/>
          </w:tcPr>
          <w:p w14:paraId="54157781" w14:textId="62E8DC39" w:rsidR="00114096" w:rsidRDefault="00420A7C">
            <w:pPr>
              <w:pStyle w:val="ListParagraph"/>
              <w:spacing w:after="120"/>
              <w:ind w:left="0"/>
              <w:contextualSpacing w:val="0"/>
              <w:jc w:val="center"/>
            </w:pPr>
            <w:r w:rsidRPr="0054754A">
              <w:t>ACT Health Directorate / Canberra Health Services / Justice and Community Safety Directorate</w:t>
            </w:r>
          </w:p>
        </w:tc>
      </w:tr>
      <w:tr w:rsidR="00114096" w14:paraId="56C136BC" w14:textId="77777777" w:rsidTr="0054754A">
        <w:trPr>
          <w:jc w:val="center"/>
        </w:trPr>
        <w:tc>
          <w:tcPr>
            <w:tcW w:w="4508" w:type="dxa"/>
            <w:vAlign w:val="center"/>
          </w:tcPr>
          <w:p w14:paraId="6783C078" w14:textId="5571326D" w:rsidR="00114096" w:rsidRDefault="00C85CE1">
            <w:pPr>
              <w:pStyle w:val="ListParagraph"/>
              <w:spacing w:after="120"/>
              <w:ind w:left="0"/>
              <w:contextualSpacing w:val="0"/>
              <w:jc w:val="center"/>
            </w:pPr>
            <w:hyperlink r:id="rId16" w:history="1">
              <w:r w:rsidR="00114096" w:rsidRPr="009D7F03">
                <w:rPr>
                  <w:rStyle w:val="Hyperlink"/>
                  <w:i/>
                  <w:iCs/>
                </w:rPr>
                <w:t>Planning and Development Act 2007</w:t>
              </w:r>
              <w:r w:rsidR="00114096" w:rsidRPr="009D7F03">
                <w:rPr>
                  <w:rStyle w:val="Hyperlink"/>
                </w:rPr>
                <w:t xml:space="preserve"> (ACT)</w:t>
              </w:r>
            </w:hyperlink>
          </w:p>
        </w:tc>
        <w:tc>
          <w:tcPr>
            <w:tcW w:w="4508" w:type="dxa"/>
            <w:vAlign w:val="center"/>
          </w:tcPr>
          <w:p w14:paraId="447BA6F7" w14:textId="5131BA1A" w:rsidR="00114096" w:rsidRDefault="009D7F03">
            <w:pPr>
              <w:pStyle w:val="ListParagraph"/>
              <w:spacing w:after="120"/>
              <w:ind w:left="0"/>
              <w:contextualSpacing w:val="0"/>
              <w:jc w:val="center"/>
            </w:pPr>
            <w:r>
              <w:t>Environment, Planning and Sustainable Development Directorate</w:t>
            </w:r>
          </w:p>
        </w:tc>
      </w:tr>
      <w:tr w:rsidR="00114096" w14:paraId="1EBDD3AB" w14:textId="77777777" w:rsidTr="0054754A">
        <w:trPr>
          <w:jc w:val="center"/>
        </w:trPr>
        <w:tc>
          <w:tcPr>
            <w:tcW w:w="4508" w:type="dxa"/>
            <w:vAlign w:val="center"/>
          </w:tcPr>
          <w:p w14:paraId="4D5D9E71" w14:textId="0D4A5C01" w:rsidR="00114096" w:rsidRDefault="00C85CE1">
            <w:pPr>
              <w:pStyle w:val="ListParagraph"/>
              <w:spacing w:after="120"/>
              <w:ind w:left="0"/>
              <w:contextualSpacing w:val="0"/>
              <w:jc w:val="center"/>
            </w:pPr>
            <w:hyperlink r:id="rId17" w:history="1">
              <w:r w:rsidR="00114096" w:rsidRPr="009D7F03">
                <w:rPr>
                  <w:rStyle w:val="Hyperlink"/>
                  <w:i/>
                  <w:iCs/>
                </w:rPr>
                <w:t>Public Health Act 1997</w:t>
              </w:r>
              <w:r w:rsidR="00114096" w:rsidRPr="009D7F03">
                <w:rPr>
                  <w:rStyle w:val="Hyperlink"/>
                </w:rPr>
                <w:t xml:space="preserve"> (ACT</w:t>
              </w:r>
            </w:hyperlink>
            <w:r w:rsidR="00114096" w:rsidRPr="00243A4D">
              <w:t>)</w:t>
            </w:r>
          </w:p>
        </w:tc>
        <w:tc>
          <w:tcPr>
            <w:tcW w:w="4508" w:type="dxa"/>
            <w:vAlign w:val="center"/>
          </w:tcPr>
          <w:p w14:paraId="1B942E38" w14:textId="00EF67F7" w:rsidR="00114096" w:rsidRDefault="009D7F03">
            <w:pPr>
              <w:pStyle w:val="ListParagraph"/>
              <w:spacing w:after="120"/>
              <w:ind w:left="0"/>
              <w:contextualSpacing w:val="0"/>
              <w:jc w:val="center"/>
            </w:pPr>
            <w:r w:rsidRPr="00780B33">
              <w:t>ACT Health Directorate / Canberra Health Services</w:t>
            </w:r>
          </w:p>
        </w:tc>
      </w:tr>
      <w:tr w:rsidR="00114096" w14:paraId="3604C098" w14:textId="77777777" w:rsidTr="0054754A">
        <w:trPr>
          <w:jc w:val="center"/>
        </w:trPr>
        <w:tc>
          <w:tcPr>
            <w:tcW w:w="4508" w:type="dxa"/>
            <w:vAlign w:val="center"/>
          </w:tcPr>
          <w:p w14:paraId="736DF8DF" w14:textId="60C4554D" w:rsidR="00114096" w:rsidRDefault="00C85CE1">
            <w:pPr>
              <w:pStyle w:val="ListParagraph"/>
              <w:spacing w:after="120"/>
              <w:ind w:left="0"/>
              <w:contextualSpacing w:val="0"/>
              <w:jc w:val="center"/>
            </w:pPr>
            <w:hyperlink r:id="rId18" w:history="1">
              <w:r w:rsidR="00114096" w:rsidRPr="009D7F03">
                <w:rPr>
                  <w:rStyle w:val="Hyperlink"/>
                  <w:i/>
                  <w:iCs/>
                </w:rPr>
                <w:t>Public Trustee and Guardian Act 1985</w:t>
              </w:r>
              <w:r w:rsidR="00114096" w:rsidRPr="009D7F03">
                <w:rPr>
                  <w:rStyle w:val="Hyperlink"/>
                </w:rPr>
                <w:t xml:space="preserve"> (ACT)</w:t>
              </w:r>
            </w:hyperlink>
          </w:p>
        </w:tc>
        <w:tc>
          <w:tcPr>
            <w:tcW w:w="4508" w:type="dxa"/>
            <w:vAlign w:val="center"/>
          </w:tcPr>
          <w:p w14:paraId="5CF1743A" w14:textId="6E281D1D" w:rsidR="00114096" w:rsidRDefault="009D7F03">
            <w:pPr>
              <w:pStyle w:val="ListParagraph"/>
              <w:spacing w:after="120"/>
              <w:ind w:left="0"/>
              <w:contextualSpacing w:val="0"/>
              <w:jc w:val="center"/>
            </w:pPr>
            <w:r w:rsidRPr="00780B33">
              <w:t>Justice and Community Safety Directorate</w:t>
            </w:r>
          </w:p>
        </w:tc>
      </w:tr>
      <w:tr w:rsidR="00114096" w14:paraId="2D4F9E15" w14:textId="77777777" w:rsidTr="0054754A">
        <w:trPr>
          <w:jc w:val="center"/>
        </w:trPr>
        <w:tc>
          <w:tcPr>
            <w:tcW w:w="4508" w:type="dxa"/>
            <w:vAlign w:val="center"/>
          </w:tcPr>
          <w:p w14:paraId="6F5D53CB" w14:textId="33B7E925" w:rsidR="00114096" w:rsidRDefault="00C85CE1">
            <w:pPr>
              <w:pStyle w:val="ListParagraph"/>
              <w:spacing w:after="120"/>
              <w:ind w:left="0"/>
              <w:contextualSpacing w:val="0"/>
              <w:jc w:val="center"/>
            </w:pPr>
            <w:hyperlink r:id="rId19" w:history="1">
              <w:r w:rsidR="00114096" w:rsidRPr="009D7F03">
                <w:rPr>
                  <w:rStyle w:val="Hyperlink"/>
                  <w:i/>
                  <w:iCs/>
                </w:rPr>
                <w:t>Residential Tenancies Act 1997</w:t>
              </w:r>
              <w:r w:rsidR="00114096" w:rsidRPr="009D7F03">
                <w:rPr>
                  <w:rStyle w:val="Hyperlink"/>
                </w:rPr>
                <w:t xml:space="preserve"> (ACT)</w:t>
              </w:r>
            </w:hyperlink>
          </w:p>
        </w:tc>
        <w:tc>
          <w:tcPr>
            <w:tcW w:w="4508" w:type="dxa"/>
            <w:vAlign w:val="center"/>
          </w:tcPr>
          <w:p w14:paraId="6A648502" w14:textId="62E1F857" w:rsidR="00114096" w:rsidRDefault="009D7F03">
            <w:pPr>
              <w:pStyle w:val="ListParagraph"/>
              <w:spacing w:after="120"/>
              <w:ind w:left="0"/>
              <w:contextualSpacing w:val="0"/>
              <w:jc w:val="center"/>
            </w:pPr>
            <w:r w:rsidRPr="00780B33">
              <w:t>Justice and Community Safety Directorate</w:t>
            </w:r>
          </w:p>
        </w:tc>
      </w:tr>
      <w:tr w:rsidR="00114096" w14:paraId="45DFE1A7" w14:textId="77777777" w:rsidTr="0054754A">
        <w:trPr>
          <w:jc w:val="center"/>
        </w:trPr>
        <w:tc>
          <w:tcPr>
            <w:tcW w:w="4508" w:type="dxa"/>
            <w:vAlign w:val="center"/>
          </w:tcPr>
          <w:p w14:paraId="627044DF" w14:textId="2E29576A" w:rsidR="00114096" w:rsidRDefault="00C85CE1">
            <w:pPr>
              <w:pStyle w:val="ListParagraph"/>
              <w:spacing w:after="120"/>
              <w:ind w:left="0"/>
              <w:contextualSpacing w:val="0"/>
              <w:jc w:val="center"/>
            </w:pPr>
            <w:hyperlink r:id="rId20" w:history="1">
              <w:r w:rsidR="00114096" w:rsidRPr="009D7F03">
                <w:rPr>
                  <w:rStyle w:val="Hyperlink"/>
                  <w:i/>
                  <w:iCs/>
                </w:rPr>
                <w:t>Waste Management and Resource Recovery Act 2016</w:t>
              </w:r>
              <w:r w:rsidR="00114096" w:rsidRPr="009D7F03">
                <w:rPr>
                  <w:rStyle w:val="Hyperlink"/>
                </w:rPr>
                <w:t xml:space="preserve"> (ACT)</w:t>
              </w:r>
            </w:hyperlink>
          </w:p>
        </w:tc>
        <w:tc>
          <w:tcPr>
            <w:tcW w:w="4508" w:type="dxa"/>
            <w:vAlign w:val="center"/>
          </w:tcPr>
          <w:p w14:paraId="080F1687" w14:textId="2DAB34D6" w:rsidR="00114096" w:rsidRDefault="009D7F03">
            <w:pPr>
              <w:pStyle w:val="ListParagraph"/>
              <w:spacing w:after="120"/>
              <w:ind w:left="0"/>
              <w:contextualSpacing w:val="0"/>
              <w:jc w:val="center"/>
            </w:pPr>
            <w:r>
              <w:t>Transport Canberra and City Services Directorate</w:t>
            </w:r>
          </w:p>
        </w:tc>
      </w:tr>
      <w:tr w:rsidR="00114096" w14:paraId="73BA54CB" w14:textId="77777777" w:rsidTr="0054754A">
        <w:trPr>
          <w:jc w:val="center"/>
        </w:trPr>
        <w:tc>
          <w:tcPr>
            <w:tcW w:w="4508" w:type="dxa"/>
            <w:vAlign w:val="center"/>
          </w:tcPr>
          <w:p w14:paraId="38E0AEBE" w14:textId="03EC0088" w:rsidR="00114096" w:rsidRDefault="00C85CE1" w:rsidP="0054754A">
            <w:pPr>
              <w:pStyle w:val="ListParagraph"/>
              <w:spacing w:after="120"/>
              <w:ind w:left="0"/>
              <w:contextualSpacing w:val="0"/>
              <w:jc w:val="center"/>
            </w:pPr>
            <w:hyperlink r:id="rId21" w:history="1">
              <w:r w:rsidR="00114096" w:rsidRPr="009D7F03">
                <w:rPr>
                  <w:rStyle w:val="Hyperlink"/>
                  <w:i/>
                  <w:iCs/>
                </w:rPr>
                <w:t>Work Health and Safety Act 2011</w:t>
              </w:r>
              <w:r w:rsidR="00114096" w:rsidRPr="009D7F03">
                <w:rPr>
                  <w:rStyle w:val="Hyperlink"/>
                </w:rPr>
                <w:t xml:space="preserve"> (ACT)</w:t>
              </w:r>
            </w:hyperlink>
          </w:p>
        </w:tc>
        <w:tc>
          <w:tcPr>
            <w:tcW w:w="4508" w:type="dxa"/>
            <w:vAlign w:val="center"/>
          </w:tcPr>
          <w:p w14:paraId="1E9C7828" w14:textId="67C5B3BA" w:rsidR="00114096" w:rsidRDefault="009D7F03" w:rsidP="0054754A">
            <w:pPr>
              <w:pStyle w:val="ListParagraph"/>
              <w:spacing w:after="120"/>
              <w:ind w:left="0"/>
              <w:contextualSpacing w:val="0"/>
              <w:jc w:val="center"/>
            </w:pPr>
            <w:r w:rsidRPr="0054754A">
              <w:t>Chief Minister, Treasury and Economic Development Directorate</w:t>
            </w:r>
          </w:p>
        </w:tc>
      </w:tr>
    </w:tbl>
    <w:p w14:paraId="09EDD614" w14:textId="1147D0C4" w:rsidR="003F5F07" w:rsidRDefault="003F5F07" w:rsidP="00674061">
      <w:pPr>
        <w:pStyle w:val="ListParagraph"/>
        <w:spacing w:after="120" w:line="240" w:lineRule="auto"/>
        <w:ind w:left="0"/>
        <w:contextualSpacing w:val="0"/>
      </w:pPr>
    </w:p>
    <w:p w14:paraId="3B41F7E6" w14:textId="77777777" w:rsidR="00114096" w:rsidRDefault="00114096" w:rsidP="00674061">
      <w:pPr>
        <w:pStyle w:val="ListParagraph"/>
        <w:spacing w:after="120" w:line="240" w:lineRule="auto"/>
        <w:ind w:left="0"/>
        <w:contextualSpacing w:val="0"/>
      </w:pPr>
    </w:p>
    <w:sectPr w:rsidR="00114096" w:rsidSect="00A33F2A">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78EA8" w14:textId="77777777" w:rsidR="007C7FF1" w:rsidRDefault="007C7FF1" w:rsidP="00A33F2A">
      <w:pPr>
        <w:spacing w:after="0" w:line="240" w:lineRule="auto"/>
      </w:pPr>
      <w:r>
        <w:separator/>
      </w:r>
    </w:p>
  </w:endnote>
  <w:endnote w:type="continuationSeparator" w:id="0">
    <w:p w14:paraId="16B0CDAC" w14:textId="77777777" w:rsidR="007C7FF1" w:rsidRDefault="007C7FF1" w:rsidP="00A3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A7A6" w14:textId="77777777" w:rsidR="000F2DDA" w:rsidRDefault="000F2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349271"/>
      <w:docPartObj>
        <w:docPartGallery w:val="Page Numbers (Bottom of Page)"/>
        <w:docPartUnique/>
      </w:docPartObj>
    </w:sdtPr>
    <w:sdtEndPr>
      <w:rPr>
        <w:noProof/>
      </w:rPr>
    </w:sdtEndPr>
    <w:sdtContent>
      <w:p w14:paraId="5F976CE5" w14:textId="627CD27B" w:rsidR="00362467" w:rsidRDefault="0036246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69A3B36B" w14:textId="4826EE95" w:rsidR="009A416F" w:rsidRPr="009A416F" w:rsidRDefault="009A416F" w:rsidP="009A416F">
    <w:pPr>
      <w:pStyle w:val="Footer"/>
      <w:jc w:val="center"/>
      <w:rPr>
        <w:rFonts w:ascii="Arial" w:hAnsi="Arial" w:cs="Arial"/>
        <w:sz w:val="14"/>
      </w:rPr>
    </w:pPr>
    <w:r w:rsidRPr="009A416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DD74" w14:textId="01BA4885" w:rsidR="007318D3" w:rsidRPr="009A416F" w:rsidRDefault="009A416F" w:rsidP="009A416F">
    <w:pPr>
      <w:pStyle w:val="Footer"/>
      <w:jc w:val="center"/>
      <w:rPr>
        <w:rFonts w:ascii="Arial" w:hAnsi="Arial" w:cs="Arial"/>
        <w:sz w:val="14"/>
      </w:rPr>
    </w:pPr>
    <w:r w:rsidRPr="009A416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79B61" w14:textId="77777777" w:rsidR="007C7FF1" w:rsidRDefault="007C7FF1" w:rsidP="00A33F2A">
      <w:pPr>
        <w:spacing w:after="0" w:line="240" w:lineRule="auto"/>
      </w:pPr>
      <w:r>
        <w:separator/>
      </w:r>
    </w:p>
  </w:footnote>
  <w:footnote w:type="continuationSeparator" w:id="0">
    <w:p w14:paraId="105ED408" w14:textId="77777777" w:rsidR="007C7FF1" w:rsidRDefault="007C7FF1" w:rsidP="00A33F2A">
      <w:pPr>
        <w:spacing w:after="0" w:line="240" w:lineRule="auto"/>
      </w:pPr>
      <w:r>
        <w:continuationSeparator/>
      </w:r>
    </w:p>
  </w:footnote>
  <w:footnote w:id="1">
    <w:p w14:paraId="3E3C1FE7" w14:textId="0FABD999" w:rsidR="00362467" w:rsidRDefault="00362467">
      <w:pPr>
        <w:pStyle w:val="FootnoteText"/>
      </w:pPr>
      <w:r>
        <w:rPr>
          <w:rStyle w:val="FootnoteReference"/>
        </w:rPr>
        <w:footnoteRef/>
      </w:r>
      <w:r>
        <w:t xml:space="preserve"> American Psychiatric Association (2013), Diagnostic and Statistical Manual of Mental Disorders (DSM-5)</w:t>
      </w:r>
    </w:p>
    <w:p w14:paraId="50B5E047" w14:textId="77777777" w:rsidR="00362467" w:rsidRDefault="00362467">
      <w:pPr>
        <w:pStyle w:val="FootnoteText"/>
      </w:pPr>
    </w:p>
    <w:p w14:paraId="7E6A0760" w14:textId="77777777" w:rsidR="00362467" w:rsidRDefault="003624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177E" w14:textId="77777777" w:rsidR="000F2DDA" w:rsidRDefault="000F2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4DD" w14:textId="77777777" w:rsidR="000F2DDA" w:rsidRDefault="000F2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3DDF" w14:textId="77777777" w:rsidR="000F2DDA" w:rsidRDefault="000F2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4C39"/>
    <w:multiLevelType w:val="hybridMultilevel"/>
    <w:tmpl w:val="EF2034C6"/>
    <w:lvl w:ilvl="0" w:tplc="77E8A41A">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B5F528C"/>
    <w:multiLevelType w:val="hybridMultilevel"/>
    <w:tmpl w:val="0C86D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93A58"/>
    <w:multiLevelType w:val="hybridMultilevel"/>
    <w:tmpl w:val="E4AEA4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8627E28"/>
    <w:multiLevelType w:val="multilevel"/>
    <w:tmpl w:val="0FDCD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2640DE"/>
    <w:multiLevelType w:val="hybridMultilevel"/>
    <w:tmpl w:val="8FCC1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AC731F"/>
    <w:multiLevelType w:val="hybridMultilevel"/>
    <w:tmpl w:val="8DE4F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7568C3"/>
    <w:multiLevelType w:val="hybridMultilevel"/>
    <w:tmpl w:val="5F56C456"/>
    <w:lvl w:ilvl="0" w:tplc="77E8A41A">
      <w:start w:val="1"/>
      <w:numFmt w:val="lowerRoman"/>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8D5204"/>
    <w:multiLevelType w:val="hybridMultilevel"/>
    <w:tmpl w:val="5C8E0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457BDC"/>
    <w:multiLevelType w:val="hybridMultilevel"/>
    <w:tmpl w:val="FE64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715B8A"/>
    <w:multiLevelType w:val="hybridMultilevel"/>
    <w:tmpl w:val="060439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17036C"/>
    <w:multiLevelType w:val="hybridMultilevel"/>
    <w:tmpl w:val="0CC68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6"/>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58"/>
    <w:rsid w:val="00000E68"/>
    <w:rsid w:val="000012C0"/>
    <w:rsid w:val="00003503"/>
    <w:rsid w:val="00003DAA"/>
    <w:rsid w:val="000058C0"/>
    <w:rsid w:val="0001209B"/>
    <w:rsid w:val="000141CF"/>
    <w:rsid w:val="00014E1E"/>
    <w:rsid w:val="00021E71"/>
    <w:rsid w:val="00033A19"/>
    <w:rsid w:val="00037107"/>
    <w:rsid w:val="000517E9"/>
    <w:rsid w:val="00057EA3"/>
    <w:rsid w:val="00060993"/>
    <w:rsid w:val="00073CC6"/>
    <w:rsid w:val="0008049C"/>
    <w:rsid w:val="00083202"/>
    <w:rsid w:val="000A48AE"/>
    <w:rsid w:val="000A5E7F"/>
    <w:rsid w:val="000A6BCE"/>
    <w:rsid w:val="000B6982"/>
    <w:rsid w:val="000B6A76"/>
    <w:rsid w:val="000B787F"/>
    <w:rsid w:val="000C1E84"/>
    <w:rsid w:val="000D0A47"/>
    <w:rsid w:val="000D3760"/>
    <w:rsid w:val="000D3ADF"/>
    <w:rsid w:val="000E5E9E"/>
    <w:rsid w:val="000E705E"/>
    <w:rsid w:val="000F2DDA"/>
    <w:rsid w:val="00114096"/>
    <w:rsid w:val="001169E3"/>
    <w:rsid w:val="00124A76"/>
    <w:rsid w:val="00132FF9"/>
    <w:rsid w:val="00141AE4"/>
    <w:rsid w:val="001474D4"/>
    <w:rsid w:val="001528EC"/>
    <w:rsid w:val="00160873"/>
    <w:rsid w:val="00163E70"/>
    <w:rsid w:val="001669A5"/>
    <w:rsid w:val="001677F8"/>
    <w:rsid w:val="00167A83"/>
    <w:rsid w:val="00180D94"/>
    <w:rsid w:val="00181348"/>
    <w:rsid w:val="00195A04"/>
    <w:rsid w:val="00196663"/>
    <w:rsid w:val="001A0B96"/>
    <w:rsid w:val="001C7C87"/>
    <w:rsid w:val="001D24A5"/>
    <w:rsid w:val="001D2BFF"/>
    <w:rsid w:val="001D5152"/>
    <w:rsid w:val="00225FDE"/>
    <w:rsid w:val="00235D35"/>
    <w:rsid w:val="00236231"/>
    <w:rsid w:val="002501CC"/>
    <w:rsid w:val="00286CA1"/>
    <w:rsid w:val="002B6485"/>
    <w:rsid w:val="002C0034"/>
    <w:rsid w:val="002C732D"/>
    <w:rsid w:val="002E04E4"/>
    <w:rsid w:val="002E454B"/>
    <w:rsid w:val="00310848"/>
    <w:rsid w:val="00323EEE"/>
    <w:rsid w:val="0033118B"/>
    <w:rsid w:val="003340EB"/>
    <w:rsid w:val="003340FD"/>
    <w:rsid w:val="00341152"/>
    <w:rsid w:val="00341E3F"/>
    <w:rsid w:val="00341EC7"/>
    <w:rsid w:val="00342961"/>
    <w:rsid w:val="00352454"/>
    <w:rsid w:val="00362467"/>
    <w:rsid w:val="003711E2"/>
    <w:rsid w:val="00377600"/>
    <w:rsid w:val="00393140"/>
    <w:rsid w:val="00395801"/>
    <w:rsid w:val="003A3857"/>
    <w:rsid w:val="003C1938"/>
    <w:rsid w:val="003D527E"/>
    <w:rsid w:val="003E634D"/>
    <w:rsid w:val="003E79AD"/>
    <w:rsid w:val="003F5F07"/>
    <w:rsid w:val="00410C14"/>
    <w:rsid w:val="0041376C"/>
    <w:rsid w:val="00420A7C"/>
    <w:rsid w:val="00431409"/>
    <w:rsid w:val="00441391"/>
    <w:rsid w:val="00444D90"/>
    <w:rsid w:val="0044516D"/>
    <w:rsid w:val="004524BD"/>
    <w:rsid w:val="004627D7"/>
    <w:rsid w:val="00465CE8"/>
    <w:rsid w:val="00493B5A"/>
    <w:rsid w:val="004A6C26"/>
    <w:rsid w:val="004A7244"/>
    <w:rsid w:val="004B2CC9"/>
    <w:rsid w:val="004B328E"/>
    <w:rsid w:val="004B509C"/>
    <w:rsid w:val="004C1101"/>
    <w:rsid w:val="004C26CE"/>
    <w:rsid w:val="004C47CB"/>
    <w:rsid w:val="004C5FB9"/>
    <w:rsid w:val="004C7757"/>
    <w:rsid w:val="004D139D"/>
    <w:rsid w:val="004E3CA6"/>
    <w:rsid w:val="004F0A36"/>
    <w:rsid w:val="004F0AA4"/>
    <w:rsid w:val="0051573D"/>
    <w:rsid w:val="005172D0"/>
    <w:rsid w:val="00517D91"/>
    <w:rsid w:val="005204E2"/>
    <w:rsid w:val="00522452"/>
    <w:rsid w:val="00526FE2"/>
    <w:rsid w:val="005405E4"/>
    <w:rsid w:val="0054754A"/>
    <w:rsid w:val="0055185F"/>
    <w:rsid w:val="00577A8C"/>
    <w:rsid w:val="0058553C"/>
    <w:rsid w:val="00592171"/>
    <w:rsid w:val="00592232"/>
    <w:rsid w:val="00595BEB"/>
    <w:rsid w:val="005A5DE5"/>
    <w:rsid w:val="005A725D"/>
    <w:rsid w:val="005B2F9A"/>
    <w:rsid w:val="005B6529"/>
    <w:rsid w:val="005B71A8"/>
    <w:rsid w:val="005C0C66"/>
    <w:rsid w:val="00600085"/>
    <w:rsid w:val="00606C36"/>
    <w:rsid w:val="00612B40"/>
    <w:rsid w:val="0061338D"/>
    <w:rsid w:val="00626C24"/>
    <w:rsid w:val="00627DBA"/>
    <w:rsid w:val="00631C02"/>
    <w:rsid w:val="00634903"/>
    <w:rsid w:val="00664F4F"/>
    <w:rsid w:val="00665991"/>
    <w:rsid w:val="00674061"/>
    <w:rsid w:val="0068231B"/>
    <w:rsid w:val="006A5790"/>
    <w:rsid w:val="006C08AB"/>
    <w:rsid w:val="006C0B38"/>
    <w:rsid w:val="006C0C53"/>
    <w:rsid w:val="006C3665"/>
    <w:rsid w:val="006C6357"/>
    <w:rsid w:val="006D77C4"/>
    <w:rsid w:val="006D789D"/>
    <w:rsid w:val="006E00B6"/>
    <w:rsid w:val="006E148E"/>
    <w:rsid w:val="00711CD7"/>
    <w:rsid w:val="007175A9"/>
    <w:rsid w:val="00724204"/>
    <w:rsid w:val="007318D3"/>
    <w:rsid w:val="00746F04"/>
    <w:rsid w:val="007623C3"/>
    <w:rsid w:val="0076500B"/>
    <w:rsid w:val="0077084F"/>
    <w:rsid w:val="00770C1B"/>
    <w:rsid w:val="00770CA0"/>
    <w:rsid w:val="0077407A"/>
    <w:rsid w:val="007776A5"/>
    <w:rsid w:val="00780799"/>
    <w:rsid w:val="0079710B"/>
    <w:rsid w:val="00797165"/>
    <w:rsid w:val="007B6F70"/>
    <w:rsid w:val="007B78FE"/>
    <w:rsid w:val="007C7FF1"/>
    <w:rsid w:val="007E2EF7"/>
    <w:rsid w:val="00806FB3"/>
    <w:rsid w:val="0082479E"/>
    <w:rsid w:val="00832605"/>
    <w:rsid w:val="00837A09"/>
    <w:rsid w:val="008543BA"/>
    <w:rsid w:val="00860B5E"/>
    <w:rsid w:val="00873B45"/>
    <w:rsid w:val="00883C6D"/>
    <w:rsid w:val="00884D03"/>
    <w:rsid w:val="008852EA"/>
    <w:rsid w:val="00886C8E"/>
    <w:rsid w:val="008A7833"/>
    <w:rsid w:val="008B7D24"/>
    <w:rsid w:val="008C2B38"/>
    <w:rsid w:val="008C50B1"/>
    <w:rsid w:val="008F5E5B"/>
    <w:rsid w:val="008F5F17"/>
    <w:rsid w:val="0090593B"/>
    <w:rsid w:val="009226F9"/>
    <w:rsid w:val="00934428"/>
    <w:rsid w:val="00934DFC"/>
    <w:rsid w:val="00940A92"/>
    <w:rsid w:val="00953FF9"/>
    <w:rsid w:val="00957507"/>
    <w:rsid w:val="0098523C"/>
    <w:rsid w:val="00991A9E"/>
    <w:rsid w:val="00994631"/>
    <w:rsid w:val="009A416F"/>
    <w:rsid w:val="009B6358"/>
    <w:rsid w:val="009B74E7"/>
    <w:rsid w:val="009C4169"/>
    <w:rsid w:val="009D2DC3"/>
    <w:rsid w:val="009D6554"/>
    <w:rsid w:val="009D7F03"/>
    <w:rsid w:val="009E0959"/>
    <w:rsid w:val="009E1147"/>
    <w:rsid w:val="00A06F56"/>
    <w:rsid w:val="00A12159"/>
    <w:rsid w:val="00A16F49"/>
    <w:rsid w:val="00A27279"/>
    <w:rsid w:val="00A3387A"/>
    <w:rsid w:val="00A33F2A"/>
    <w:rsid w:val="00A3567F"/>
    <w:rsid w:val="00A37B6B"/>
    <w:rsid w:val="00A4180F"/>
    <w:rsid w:val="00A51FFC"/>
    <w:rsid w:val="00A53312"/>
    <w:rsid w:val="00A548C1"/>
    <w:rsid w:val="00A65F01"/>
    <w:rsid w:val="00A66700"/>
    <w:rsid w:val="00A71B0A"/>
    <w:rsid w:val="00A73F77"/>
    <w:rsid w:val="00A763DC"/>
    <w:rsid w:val="00A85F0E"/>
    <w:rsid w:val="00AA2343"/>
    <w:rsid w:val="00AB1F3A"/>
    <w:rsid w:val="00AB676F"/>
    <w:rsid w:val="00AB685A"/>
    <w:rsid w:val="00AB7204"/>
    <w:rsid w:val="00AB7B4F"/>
    <w:rsid w:val="00AD216E"/>
    <w:rsid w:val="00AD4DBC"/>
    <w:rsid w:val="00AE6323"/>
    <w:rsid w:val="00AE6B71"/>
    <w:rsid w:val="00AF2BF4"/>
    <w:rsid w:val="00B01C38"/>
    <w:rsid w:val="00B05F8D"/>
    <w:rsid w:val="00B079F5"/>
    <w:rsid w:val="00B13363"/>
    <w:rsid w:val="00B23301"/>
    <w:rsid w:val="00B23A00"/>
    <w:rsid w:val="00B2702D"/>
    <w:rsid w:val="00B27848"/>
    <w:rsid w:val="00B27D44"/>
    <w:rsid w:val="00B27FA4"/>
    <w:rsid w:val="00B30A66"/>
    <w:rsid w:val="00B33285"/>
    <w:rsid w:val="00B35E6A"/>
    <w:rsid w:val="00B50EA9"/>
    <w:rsid w:val="00B81823"/>
    <w:rsid w:val="00BB01EE"/>
    <w:rsid w:val="00BB1A09"/>
    <w:rsid w:val="00BB2A08"/>
    <w:rsid w:val="00BB3EA9"/>
    <w:rsid w:val="00BC76FD"/>
    <w:rsid w:val="00BD1243"/>
    <w:rsid w:val="00BD1DD4"/>
    <w:rsid w:val="00BD4C7A"/>
    <w:rsid w:val="00BE160B"/>
    <w:rsid w:val="00BE22D2"/>
    <w:rsid w:val="00BE2670"/>
    <w:rsid w:val="00BE32C3"/>
    <w:rsid w:val="00BE6EE4"/>
    <w:rsid w:val="00BF2FF4"/>
    <w:rsid w:val="00C1170B"/>
    <w:rsid w:val="00C1243D"/>
    <w:rsid w:val="00C3052D"/>
    <w:rsid w:val="00C35F68"/>
    <w:rsid w:val="00C827CA"/>
    <w:rsid w:val="00C85CE1"/>
    <w:rsid w:val="00C90541"/>
    <w:rsid w:val="00C9268F"/>
    <w:rsid w:val="00C932EB"/>
    <w:rsid w:val="00C96FB6"/>
    <w:rsid w:val="00C97490"/>
    <w:rsid w:val="00CC5624"/>
    <w:rsid w:val="00CD74D9"/>
    <w:rsid w:val="00CE32A9"/>
    <w:rsid w:val="00CE6715"/>
    <w:rsid w:val="00D0070B"/>
    <w:rsid w:val="00D014A8"/>
    <w:rsid w:val="00D11182"/>
    <w:rsid w:val="00D177D2"/>
    <w:rsid w:val="00D217CB"/>
    <w:rsid w:val="00D2289B"/>
    <w:rsid w:val="00D25628"/>
    <w:rsid w:val="00D37B26"/>
    <w:rsid w:val="00D428CE"/>
    <w:rsid w:val="00D54D07"/>
    <w:rsid w:val="00D61DF5"/>
    <w:rsid w:val="00D62B83"/>
    <w:rsid w:val="00D6643C"/>
    <w:rsid w:val="00D75897"/>
    <w:rsid w:val="00D8105C"/>
    <w:rsid w:val="00D90932"/>
    <w:rsid w:val="00DA16F9"/>
    <w:rsid w:val="00DA19DE"/>
    <w:rsid w:val="00DA2E32"/>
    <w:rsid w:val="00DA5C02"/>
    <w:rsid w:val="00DB023D"/>
    <w:rsid w:val="00DB5D65"/>
    <w:rsid w:val="00DC5B9D"/>
    <w:rsid w:val="00DC7910"/>
    <w:rsid w:val="00DE48A8"/>
    <w:rsid w:val="00E03D55"/>
    <w:rsid w:val="00E1138D"/>
    <w:rsid w:val="00E1242D"/>
    <w:rsid w:val="00E16BCE"/>
    <w:rsid w:val="00E20CE2"/>
    <w:rsid w:val="00E2226D"/>
    <w:rsid w:val="00E320D7"/>
    <w:rsid w:val="00E320DF"/>
    <w:rsid w:val="00E403E6"/>
    <w:rsid w:val="00E460A3"/>
    <w:rsid w:val="00E608EB"/>
    <w:rsid w:val="00E65071"/>
    <w:rsid w:val="00E91802"/>
    <w:rsid w:val="00E92F62"/>
    <w:rsid w:val="00E9527E"/>
    <w:rsid w:val="00E95ED4"/>
    <w:rsid w:val="00EA1826"/>
    <w:rsid w:val="00EB710D"/>
    <w:rsid w:val="00EC2C02"/>
    <w:rsid w:val="00EC34A0"/>
    <w:rsid w:val="00ED067A"/>
    <w:rsid w:val="00ED33E3"/>
    <w:rsid w:val="00ED3CC2"/>
    <w:rsid w:val="00EE6924"/>
    <w:rsid w:val="00EF609D"/>
    <w:rsid w:val="00F030B4"/>
    <w:rsid w:val="00F06A24"/>
    <w:rsid w:val="00F06BEE"/>
    <w:rsid w:val="00F1512D"/>
    <w:rsid w:val="00F25612"/>
    <w:rsid w:val="00F3470E"/>
    <w:rsid w:val="00F41474"/>
    <w:rsid w:val="00F55E63"/>
    <w:rsid w:val="00F57215"/>
    <w:rsid w:val="00F66ADC"/>
    <w:rsid w:val="00F72A9A"/>
    <w:rsid w:val="00F7451F"/>
    <w:rsid w:val="00F97DA6"/>
    <w:rsid w:val="00FA0BAC"/>
    <w:rsid w:val="00FA0CFE"/>
    <w:rsid w:val="00FA1F0C"/>
    <w:rsid w:val="00FA447D"/>
    <w:rsid w:val="00FA4676"/>
    <w:rsid w:val="00FB2956"/>
    <w:rsid w:val="00FC017E"/>
    <w:rsid w:val="00FE3BEB"/>
    <w:rsid w:val="00FE4DCD"/>
    <w:rsid w:val="00FF5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C63992"/>
  <w15:chartTrackingRefBased/>
  <w15:docId w15:val="{023EC057-A877-48EA-8FD7-83BDDEA1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58"/>
  </w:style>
  <w:style w:type="paragraph" w:styleId="Heading1">
    <w:name w:val="heading 1"/>
    <w:basedOn w:val="Normal"/>
    <w:next w:val="Normal"/>
    <w:link w:val="Heading1Char"/>
    <w:uiPriority w:val="9"/>
    <w:qFormat/>
    <w:rsid w:val="004F0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0A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0A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358"/>
    <w:pPr>
      <w:ind w:left="720"/>
      <w:contextualSpacing/>
    </w:pPr>
  </w:style>
  <w:style w:type="character" w:styleId="CommentReference">
    <w:name w:val="annotation reference"/>
    <w:basedOn w:val="DefaultParagraphFont"/>
    <w:uiPriority w:val="99"/>
    <w:semiHidden/>
    <w:unhideWhenUsed/>
    <w:rsid w:val="00B05F8D"/>
    <w:rPr>
      <w:sz w:val="16"/>
      <w:szCs w:val="16"/>
    </w:rPr>
  </w:style>
  <w:style w:type="paragraph" w:styleId="CommentText">
    <w:name w:val="annotation text"/>
    <w:basedOn w:val="Normal"/>
    <w:link w:val="CommentTextChar"/>
    <w:uiPriority w:val="99"/>
    <w:unhideWhenUsed/>
    <w:rsid w:val="00B05F8D"/>
    <w:pPr>
      <w:spacing w:line="240" w:lineRule="auto"/>
    </w:pPr>
    <w:rPr>
      <w:sz w:val="20"/>
      <w:szCs w:val="20"/>
    </w:rPr>
  </w:style>
  <w:style w:type="character" w:customStyle="1" w:styleId="CommentTextChar">
    <w:name w:val="Comment Text Char"/>
    <w:basedOn w:val="DefaultParagraphFont"/>
    <w:link w:val="CommentText"/>
    <w:uiPriority w:val="99"/>
    <w:rsid w:val="00B05F8D"/>
    <w:rPr>
      <w:sz w:val="20"/>
      <w:szCs w:val="20"/>
    </w:rPr>
  </w:style>
  <w:style w:type="paragraph" w:styleId="CommentSubject">
    <w:name w:val="annotation subject"/>
    <w:basedOn w:val="CommentText"/>
    <w:next w:val="CommentText"/>
    <w:link w:val="CommentSubjectChar"/>
    <w:uiPriority w:val="99"/>
    <w:semiHidden/>
    <w:unhideWhenUsed/>
    <w:rsid w:val="00B05F8D"/>
    <w:rPr>
      <w:b/>
      <w:bCs/>
    </w:rPr>
  </w:style>
  <w:style w:type="character" w:customStyle="1" w:styleId="CommentSubjectChar">
    <w:name w:val="Comment Subject Char"/>
    <w:basedOn w:val="CommentTextChar"/>
    <w:link w:val="CommentSubject"/>
    <w:uiPriority w:val="99"/>
    <w:semiHidden/>
    <w:rsid w:val="00B05F8D"/>
    <w:rPr>
      <w:b/>
      <w:bCs/>
      <w:sz w:val="20"/>
      <w:szCs w:val="20"/>
    </w:rPr>
  </w:style>
  <w:style w:type="paragraph" w:styleId="BalloonText">
    <w:name w:val="Balloon Text"/>
    <w:basedOn w:val="Normal"/>
    <w:link w:val="BalloonTextChar"/>
    <w:uiPriority w:val="99"/>
    <w:semiHidden/>
    <w:unhideWhenUsed/>
    <w:rsid w:val="00B05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8D"/>
    <w:rPr>
      <w:rFonts w:ascii="Segoe UI" w:hAnsi="Segoe UI" w:cs="Segoe UI"/>
      <w:sz w:val="18"/>
      <w:szCs w:val="18"/>
    </w:rPr>
  </w:style>
  <w:style w:type="character" w:customStyle="1" w:styleId="Heading1Char">
    <w:name w:val="Heading 1 Char"/>
    <w:basedOn w:val="DefaultParagraphFont"/>
    <w:link w:val="Heading1"/>
    <w:uiPriority w:val="9"/>
    <w:rsid w:val="004F0A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0A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0AA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F0AA4"/>
    <w:pPr>
      <w:outlineLvl w:val="9"/>
    </w:pPr>
    <w:rPr>
      <w:lang w:val="en-US"/>
    </w:rPr>
  </w:style>
  <w:style w:type="paragraph" w:styleId="TOC1">
    <w:name w:val="toc 1"/>
    <w:basedOn w:val="Normal"/>
    <w:next w:val="Normal"/>
    <w:autoRedefine/>
    <w:uiPriority w:val="39"/>
    <w:unhideWhenUsed/>
    <w:rsid w:val="004F0AA4"/>
    <w:pPr>
      <w:spacing w:after="100"/>
    </w:pPr>
  </w:style>
  <w:style w:type="paragraph" w:styleId="TOC2">
    <w:name w:val="toc 2"/>
    <w:basedOn w:val="Normal"/>
    <w:next w:val="Normal"/>
    <w:autoRedefine/>
    <w:uiPriority w:val="39"/>
    <w:unhideWhenUsed/>
    <w:rsid w:val="004F0AA4"/>
    <w:pPr>
      <w:spacing w:after="100"/>
      <w:ind w:left="220"/>
    </w:pPr>
  </w:style>
  <w:style w:type="paragraph" w:styleId="TOC3">
    <w:name w:val="toc 3"/>
    <w:basedOn w:val="Normal"/>
    <w:next w:val="Normal"/>
    <w:autoRedefine/>
    <w:uiPriority w:val="39"/>
    <w:unhideWhenUsed/>
    <w:rsid w:val="004F0AA4"/>
    <w:pPr>
      <w:spacing w:after="100"/>
      <w:ind w:left="440"/>
    </w:pPr>
  </w:style>
  <w:style w:type="character" w:styleId="Hyperlink">
    <w:name w:val="Hyperlink"/>
    <w:basedOn w:val="DefaultParagraphFont"/>
    <w:uiPriority w:val="99"/>
    <w:unhideWhenUsed/>
    <w:rsid w:val="004F0AA4"/>
    <w:rPr>
      <w:color w:val="0563C1" w:themeColor="hyperlink"/>
      <w:u w:val="single"/>
    </w:rPr>
  </w:style>
  <w:style w:type="paragraph" w:styleId="Header">
    <w:name w:val="header"/>
    <w:basedOn w:val="Normal"/>
    <w:link w:val="HeaderChar"/>
    <w:uiPriority w:val="99"/>
    <w:unhideWhenUsed/>
    <w:rsid w:val="00A33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F2A"/>
  </w:style>
  <w:style w:type="paragraph" w:styleId="Footer">
    <w:name w:val="footer"/>
    <w:basedOn w:val="Normal"/>
    <w:link w:val="FooterChar"/>
    <w:uiPriority w:val="99"/>
    <w:unhideWhenUsed/>
    <w:rsid w:val="00A33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F2A"/>
  </w:style>
  <w:style w:type="paragraph" w:styleId="FootnoteText">
    <w:name w:val="footnote text"/>
    <w:basedOn w:val="Normal"/>
    <w:link w:val="FootnoteTextChar"/>
    <w:uiPriority w:val="99"/>
    <w:semiHidden/>
    <w:unhideWhenUsed/>
    <w:rsid w:val="004F0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A36"/>
    <w:rPr>
      <w:sz w:val="20"/>
      <w:szCs w:val="20"/>
    </w:rPr>
  </w:style>
  <w:style w:type="character" w:styleId="FootnoteReference">
    <w:name w:val="footnote reference"/>
    <w:basedOn w:val="DefaultParagraphFont"/>
    <w:uiPriority w:val="99"/>
    <w:unhideWhenUsed/>
    <w:rsid w:val="004F0A36"/>
    <w:rPr>
      <w:vertAlign w:val="superscript"/>
    </w:rPr>
  </w:style>
  <w:style w:type="paragraph" w:styleId="Revision">
    <w:name w:val="Revision"/>
    <w:hidden/>
    <w:uiPriority w:val="99"/>
    <w:semiHidden/>
    <w:rsid w:val="00C1243D"/>
    <w:pPr>
      <w:spacing w:after="0" w:line="240" w:lineRule="auto"/>
    </w:pPr>
  </w:style>
  <w:style w:type="table" w:styleId="TableGrid">
    <w:name w:val="Table Grid"/>
    <w:basedOn w:val="TableNormal"/>
    <w:uiPriority w:val="39"/>
    <w:rsid w:val="003F5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4096"/>
    <w:rPr>
      <w:color w:val="605E5C"/>
      <w:shd w:val="clear" w:color="auto" w:fill="E1DFDD"/>
    </w:rPr>
  </w:style>
  <w:style w:type="character" w:styleId="FollowedHyperlink">
    <w:name w:val="FollowedHyperlink"/>
    <w:basedOn w:val="DefaultParagraphFont"/>
    <w:uiPriority w:val="99"/>
    <w:semiHidden/>
    <w:unhideWhenUsed/>
    <w:rsid w:val="009D7F03"/>
    <w:rPr>
      <w:color w:val="954F72" w:themeColor="followedHyperlink"/>
      <w:u w:val="single"/>
    </w:rPr>
  </w:style>
  <w:style w:type="paragraph" w:styleId="Title">
    <w:name w:val="Title"/>
    <w:basedOn w:val="Normal"/>
    <w:next w:val="Normal"/>
    <w:link w:val="TitleChar"/>
    <w:uiPriority w:val="10"/>
    <w:qFormat/>
    <w:rsid w:val="00953F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FF9"/>
    <w:rPr>
      <w:rFonts w:asciiTheme="majorHAnsi" w:eastAsiaTheme="majorEastAsia" w:hAnsiTheme="majorHAnsi" w:cstheme="majorBidi"/>
      <w:spacing w:val="-10"/>
      <w:kern w:val="28"/>
      <w:sz w:val="56"/>
      <w:szCs w:val="56"/>
    </w:rPr>
  </w:style>
  <w:style w:type="paragraph" w:customStyle="1" w:styleId="Billname">
    <w:name w:val="Billname"/>
    <w:basedOn w:val="Normal"/>
    <w:uiPriority w:val="99"/>
    <w:rsid w:val="004A7244"/>
    <w:pPr>
      <w:tabs>
        <w:tab w:val="left" w:pos="2400"/>
        <w:tab w:val="left" w:pos="2880"/>
      </w:tabs>
      <w:spacing w:before="1220" w:after="100" w:line="240" w:lineRule="auto"/>
    </w:pPr>
    <w:rPr>
      <w:rFonts w:ascii="Arial" w:eastAsiaTheme="minorEastAsia" w:hAnsi="Arial" w:cs="Arial"/>
      <w:b/>
      <w:bCs/>
      <w:sz w:val="40"/>
      <w:szCs w:val="40"/>
    </w:rPr>
  </w:style>
  <w:style w:type="paragraph" w:customStyle="1" w:styleId="N-line3">
    <w:name w:val="N-line3"/>
    <w:basedOn w:val="Normal"/>
    <w:next w:val="Normal"/>
    <w:uiPriority w:val="99"/>
    <w:rsid w:val="004A7244"/>
    <w:pPr>
      <w:pBdr>
        <w:bottom w:val="single" w:sz="12" w:space="1" w:color="auto"/>
      </w:pBdr>
      <w:spacing w:after="0" w:line="240" w:lineRule="auto"/>
      <w:jc w:val="both"/>
    </w:pPr>
    <w:rPr>
      <w:rFonts w:ascii="Times New Roman" w:eastAsiaTheme="minorEastAsia" w:hAnsi="Times New Roman" w:cs="Times New Roman"/>
      <w:sz w:val="24"/>
      <w:szCs w:val="24"/>
    </w:rPr>
  </w:style>
  <w:style w:type="paragraph" w:customStyle="1" w:styleId="madeunder">
    <w:name w:val="made under"/>
    <w:basedOn w:val="Normal"/>
    <w:uiPriority w:val="99"/>
    <w:rsid w:val="004A7244"/>
    <w:pPr>
      <w:spacing w:before="180" w:after="60" w:line="240" w:lineRule="auto"/>
      <w:jc w:val="both"/>
    </w:pPr>
    <w:rPr>
      <w:rFonts w:ascii="Times New Roman" w:eastAsiaTheme="minorEastAsia" w:hAnsi="Times New Roman" w:cs="Times New Roman"/>
      <w:sz w:val="24"/>
      <w:szCs w:val="24"/>
    </w:rPr>
  </w:style>
  <w:style w:type="paragraph" w:customStyle="1" w:styleId="CoverActName">
    <w:name w:val="CoverActName"/>
    <w:basedOn w:val="Normal"/>
    <w:uiPriority w:val="99"/>
    <w:rsid w:val="004A7244"/>
    <w:pPr>
      <w:tabs>
        <w:tab w:val="left" w:pos="2600"/>
      </w:tabs>
      <w:spacing w:before="200" w:after="60" w:line="240" w:lineRule="auto"/>
      <w:jc w:val="both"/>
    </w:pPr>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96523">
      <w:bodyDiv w:val="1"/>
      <w:marLeft w:val="0"/>
      <w:marRight w:val="0"/>
      <w:marTop w:val="0"/>
      <w:marBottom w:val="0"/>
      <w:divBdr>
        <w:top w:val="none" w:sz="0" w:space="0" w:color="auto"/>
        <w:left w:val="none" w:sz="0" w:space="0" w:color="auto"/>
        <w:bottom w:val="none" w:sz="0" w:space="0" w:color="auto"/>
        <w:right w:val="none" w:sz="0" w:space="0" w:color="auto"/>
      </w:divBdr>
    </w:div>
    <w:div w:id="796485609">
      <w:bodyDiv w:val="1"/>
      <w:marLeft w:val="0"/>
      <w:marRight w:val="0"/>
      <w:marTop w:val="0"/>
      <w:marBottom w:val="0"/>
      <w:divBdr>
        <w:top w:val="none" w:sz="0" w:space="0" w:color="auto"/>
        <w:left w:val="none" w:sz="0" w:space="0" w:color="auto"/>
        <w:bottom w:val="none" w:sz="0" w:space="0" w:color="auto"/>
        <w:right w:val="none" w:sz="0" w:space="0" w:color="auto"/>
      </w:divBdr>
      <w:divsChild>
        <w:div w:id="2059470307">
          <w:marLeft w:val="0"/>
          <w:marRight w:val="0"/>
          <w:marTop w:val="0"/>
          <w:marBottom w:val="0"/>
          <w:divBdr>
            <w:top w:val="none" w:sz="0" w:space="0" w:color="auto"/>
            <w:left w:val="none" w:sz="0" w:space="0" w:color="auto"/>
            <w:bottom w:val="none" w:sz="0" w:space="0" w:color="auto"/>
            <w:right w:val="none" w:sz="0" w:space="0" w:color="auto"/>
          </w:divBdr>
        </w:div>
        <w:div w:id="1496992742">
          <w:marLeft w:val="0"/>
          <w:marRight w:val="0"/>
          <w:marTop w:val="0"/>
          <w:marBottom w:val="0"/>
          <w:divBdr>
            <w:top w:val="none" w:sz="0" w:space="0" w:color="auto"/>
            <w:left w:val="none" w:sz="0" w:space="0" w:color="auto"/>
            <w:bottom w:val="none" w:sz="0" w:space="0" w:color="auto"/>
            <w:right w:val="none" w:sz="0" w:space="0" w:color="auto"/>
          </w:divBdr>
        </w:div>
        <w:div w:id="1737359976">
          <w:marLeft w:val="0"/>
          <w:marRight w:val="0"/>
          <w:marTop w:val="0"/>
          <w:marBottom w:val="0"/>
          <w:divBdr>
            <w:top w:val="none" w:sz="0" w:space="0" w:color="auto"/>
            <w:left w:val="none" w:sz="0" w:space="0" w:color="auto"/>
            <w:bottom w:val="none" w:sz="0" w:space="0" w:color="auto"/>
            <w:right w:val="none" w:sz="0" w:space="0" w:color="auto"/>
          </w:divBdr>
        </w:div>
        <w:div w:id="1226650479">
          <w:marLeft w:val="0"/>
          <w:marRight w:val="0"/>
          <w:marTop w:val="0"/>
          <w:marBottom w:val="0"/>
          <w:divBdr>
            <w:top w:val="none" w:sz="0" w:space="0" w:color="auto"/>
            <w:left w:val="none" w:sz="0" w:space="0" w:color="auto"/>
            <w:bottom w:val="none" w:sz="0" w:space="0" w:color="auto"/>
            <w:right w:val="none" w:sz="0" w:space="0" w:color="auto"/>
          </w:divBdr>
        </w:div>
        <w:div w:id="990670463">
          <w:marLeft w:val="0"/>
          <w:marRight w:val="0"/>
          <w:marTop w:val="0"/>
          <w:marBottom w:val="0"/>
          <w:divBdr>
            <w:top w:val="none" w:sz="0" w:space="0" w:color="auto"/>
            <w:left w:val="none" w:sz="0" w:space="0" w:color="auto"/>
            <w:bottom w:val="none" w:sz="0" w:space="0" w:color="auto"/>
            <w:right w:val="none" w:sz="0" w:space="0" w:color="auto"/>
          </w:divBdr>
        </w:div>
      </w:divsChild>
    </w:div>
    <w:div w:id="829907019">
      <w:bodyDiv w:val="1"/>
      <w:marLeft w:val="0"/>
      <w:marRight w:val="0"/>
      <w:marTop w:val="0"/>
      <w:marBottom w:val="0"/>
      <w:divBdr>
        <w:top w:val="none" w:sz="0" w:space="0" w:color="auto"/>
        <w:left w:val="none" w:sz="0" w:space="0" w:color="auto"/>
        <w:bottom w:val="none" w:sz="0" w:space="0" w:color="auto"/>
        <w:right w:val="none" w:sz="0" w:space="0" w:color="auto"/>
      </w:divBdr>
    </w:div>
    <w:div w:id="1126236432">
      <w:bodyDiv w:val="1"/>
      <w:marLeft w:val="0"/>
      <w:marRight w:val="0"/>
      <w:marTop w:val="0"/>
      <w:marBottom w:val="0"/>
      <w:divBdr>
        <w:top w:val="none" w:sz="0" w:space="0" w:color="auto"/>
        <w:left w:val="none" w:sz="0" w:space="0" w:color="auto"/>
        <w:bottom w:val="none" w:sz="0" w:space="0" w:color="auto"/>
        <w:right w:val="none" w:sz="0" w:space="0" w:color="auto"/>
      </w:divBdr>
      <w:divsChild>
        <w:div w:id="1814330337">
          <w:marLeft w:val="0"/>
          <w:marRight w:val="0"/>
          <w:marTop w:val="0"/>
          <w:marBottom w:val="0"/>
          <w:divBdr>
            <w:top w:val="none" w:sz="0" w:space="0" w:color="auto"/>
            <w:left w:val="none" w:sz="0" w:space="0" w:color="auto"/>
            <w:bottom w:val="none" w:sz="0" w:space="0" w:color="auto"/>
            <w:right w:val="none" w:sz="0" w:space="0" w:color="auto"/>
          </w:divBdr>
        </w:div>
        <w:div w:id="32973220">
          <w:marLeft w:val="0"/>
          <w:marRight w:val="0"/>
          <w:marTop w:val="0"/>
          <w:marBottom w:val="0"/>
          <w:divBdr>
            <w:top w:val="none" w:sz="0" w:space="0" w:color="auto"/>
            <w:left w:val="none" w:sz="0" w:space="0" w:color="auto"/>
            <w:bottom w:val="none" w:sz="0" w:space="0" w:color="auto"/>
            <w:right w:val="none" w:sz="0" w:space="0" w:color="auto"/>
          </w:divBdr>
        </w:div>
        <w:div w:id="564682881">
          <w:marLeft w:val="0"/>
          <w:marRight w:val="0"/>
          <w:marTop w:val="0"/>
          <w:marBottom w:val="0"/>
          <w:divBdr>
            <w:top w:val="none" w:sz="0" w:space="0" w:color="auto"/>
            <w:left w:val="none" w:sz="0" w:space="0" w:color="auto"/>
            <w:bottom w:val="none" w:sz="0" w:space="0" w:color="auto"/>
            <w:right w:val="none" w:sz="0" w:space="0" w:color="auto"/>
          </w:divBdr>
        </w:div>
        <w:div w:id="1701053245">
          <w:marLeft w:val="0"/>
          <w:marRight w:val="0"/>
          <w:marTop w:val="0"/>
          <w:marBottom w:val="0"/>
          <w:divBdr>
            <w:top w:val="none" w:sz="0" w:space="0" w:color="auto"/>
            <w:left w:val="none" w:sz="0" w:space="0" w:color="auto"/>
            <w:bottom w:val="none" w:sz="0" w:space="0" w:color="auto"/>
            <w:right w:val="none" w:sz="0" w:space="0" w:color="auto"/>
          </w:divBdr>
        </w:div>
        <w:div w:id="1409309214">
          <w:marLeft w:val="0"/>
          <w:marRight w:val="0"/>
          <w:marTop w:val="0"/>
          <w:marBottom w:val="0"/>
          <w:divBdr>
            <w:top w:val="none" w:sz="0" w:space="0" w:color="auto"/>
            <w:left w:val="none" w:sz="0" w:space="0" w:color="auto"/>
            <w:bottom w:val="none" w:sz="0" w:space="0" w:color="auto"/>
            <w:right w:val="none" w:sz="0" w:space="0" w:color="auto"/>
          </w:divBdr>
        </w:div>
        <w:div w:id="1350571735">
          <w:marLeft w:val="0"/>
          <w:marRight w:val="0"/>
          <w:marTop w:val="0"/>
          <w:marBottom w:val="0"/>
          <w:divBdr>
            <w:top w:val="none" w:sz="0" w:space="0" w:color="auto"/>
            <w:left w:val="none" w:sz="0" w:space="0" w:color="auto"/>
            <w:bottom w:val="none" w:sz="0" w:space="0" w:color="auto"/>
            <w:right w:val="none" w:sz="0" w:space="0" w:color="auto"/>
          </w:divBdr>
        </w:div>
        <w:div w:id="1165823651">
          <w:marLeft w:val="0"/>
          <w:marRight w:val="0"/>
          <w:marTop w:val="0"/>
          <w:marBottom w:val="0"/>
          <w:divBdr>
            <w:top w:val="none" w:sz="0" w:space="0" w:color="auto"/>
            <w:left w:val="none" w:sz="0" w:space="0" w:color="auto"/>
            <w:bottom w:val="none" w:sz="0" w:space="0" w:color="auto"/>
            <w:right w:val="none" w:sz="0" w:space="0" w:color="auto"/>
          </w:divBdr>
        </w:div>
        <w:div w:id="361902120">
          <w:marLeft w:val="0"/>
          <w:marRight w:val="0"/>
          <w:marTop w:val="0"/>
          <w:marBottom w:val="0"/>
          <w:divBdr>
            <w:top w:val="none" w:sz="0" w:space="0" w:color="auto"/>
            <w:left w:val="none" w:sz="0" w:space="0" w:color="auto"/>
            <w:bottom w:val="none" w:sz="0" w:space="0" w:color="auto"/>
            <w:right w:val="none" w:sz="0" w:space="0" w:color="auto"/>
          </w:divBdr>
        </w:div>
        <w:div w:id="125779077">
          <w:marLeft w:val="0"/>
          <w:marRight w:val="0"/>
          <w:marTop w:val="0"/>
          <w:marBottom w:val="0"/>
          <w:divBdr>
            <w:top w:val="none" w:sz="0" w:space="0" w:color="auto"/>
            <w:left w:val="none" w:sz="0" w:space="0" w:color="auto"/>
            <w:bottom w:val="none" w:sz="0" w:space="0" w:color="auto"/>
            <w:right w:val="none" w:sz="0" w:space="0" w:color="auto"/>
          </w:divBdr>
        </w:div>
      </w:divsChild>
    </w:div>
    <w:div w:id="12130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04-11/" TargetMode="External"/><Relationship Id="rId13" Type="http://schemas.openxmlformats.org/officeDocument/2006/relationships/hyperlink" Target="https://www.legislation.act.gov.au/a/2014-24/" TargetMode="External"/><Relationship Id="rId18" Type="http://schemas.openxmlformats.org/officeDocument/2006/relationships/hyperlink" Target="https://www.legislation.act.gov.au/a/1985-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legislation.act.gov.au/a/2011-35/" TargetMode="External"/><Relationship Id="rId7" Type="http://schemas.openxmlformats.org/officeDocument/2006/relationships/endnotes" Target="endnotes.xml"/><Relationship Id="rId12" Type="http://schemas.openxmlformats.org/officeDocument/2006/relationships/hyperlink" Target="https://www.legislation.act.gov.au/a/2004-5/" TargetMode="External"/><Relationship Id="rId17" Type="http://schemas.openxmlformats.org/officeDocument/2006/relationships/hyperlink" Target="https://www.legislation.act.gov.au/a/1997-6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gislation.act.gov.au/a/2007-24/" TargetMode="External"/><Relationship Id="rId20" Type="http://schemas.openxmlformats.org/officeDocument/2006/relationships/hyperlink" Target="https://www.legislation.act.gov.au/a/2016-5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act.gov.au/a/2007-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act.gov.au/a/2015-3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legislation.act.gov.au/a/2004-28/" TargetMode="External"/><Relationship Id="rId19" Type="http://schemas.openxmlformats.org/officeDocument/2006/relationships/hyperlink" Target="https://www.legislation.act.gov.au/a/1997-84/" TargetMode="External"/><Relationship Id="rId4" Type="http://schemas.openxmlformats.org/officeDocument/2006/relationships/settings" Target="settings.xml"/><Relationship Id="rId9" Type="http://schemas.openxmlformats.org/officeDocument/2006/relationships/hyperlink" Target="https://www.legislation.act.gov.au/a/2008-19/" TargetMode="External"/><Relationship Id="rId14" Type="http://schemas.openxmlformats.org/officeDocument/2006/relationships/hyperlink" Target="https://www.legislation.act.gov.au/a/2004-47/"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51B2D-7F6F-4A74-9F70-D9F5D4EE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5102</Words>
  <Characters>26700</Characters>
  <Application>Microsoft Office Word</Application>
  <DocSecurity>0</DocSecurity>
  <Lines>459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2019-12-15T23:28:00Z</cp:lastPrinted>
  <dcterms:created xsi:type="dcterms:W3CDTF">2020-09-11T04:11:00Z</dcterms:created>
  <dcterms:modified xsi:type="dcterms:W3CDTF">2020-09-11T04:11:00Z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A26436902</vt:lpwstr>
  </property>
  <property fmtid="{D5CDD505-2E9C-101B-9397-08002B2CF9AE}" pid="4" name="Objective-Title">
    <vt:lpwstr>Attachment A - Amenity Impact Code of Practice - clean</vt:lpwstr>
  </property>
  <property fmtid="{D5CDD505-2E9C-101B-9397-08002B2CF9AE}" pid="5" name="Objective-Comment">
    <vt:lpwstr/>
  </property>
  <property fmtid="{D5CDD505-2E9C-101B-9397-08002B2CF9AE}" pid="6" name="Objective-CreationStamp">
    <vt:filetime>2020-08-27T00:13:43Z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2020-09-04T00:56:06Z</vt:filetime>
  </property>
  <property fmtid="{D5CDD505-2E9C-101B-9397-08002B2CF9AE}" pid="10" name="Objective-ModificationStamp">
    <vt:filetime>2020-09-08T03:27:56Z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(Minister):2020 Information Brief (Minister):TCBS - MIN S2020/5596 - Amenity Impact Code of Practice </vt:lpwstr>
  </property>
  <property fmtid="{D5CDD505-2E9C-101B-9397-08002B2CF9AE}" pid="13" name="Objective-Parent">
    <vt:lpwstr>TCBS - MIN S2020/5596 - Amenity Impact Code of Practice under section 24ZA of the Litter Act 2004 -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1-2020/07193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system]">
    <vt:lpwstr/>
  </property>
  <property fmtid="{D5CDD505-2E9C-101B-9397-08002B2CF9AE}" pid="22" name="Objective-OM Author Organisation [system]">
    <vt:lpwstr/>
  </property>
  <property fmtid="{D5CDD505-2E9C-101B-9397-08002B2CF9AE}" pid="23" name="Objective-OM Author Type [system]">
    <vt:lpwstr/>
  </property>
  <property fmtid="{D5CDD505-2E9C-101B-9397-08002B2CF9AE}" pid="24" name="Objective-OM Date Received [system]">
    <vt:lpwstr/>
  </property>
  <property fmtid="{D5CDD505-2E9C-101B-9397-08002B2CF9AE}" pid="25" name="Objective-OM Date of Document [system]">
    <vt:lpwstr/>
  </property>
  <property fmtid="{D5CDD505-2E9C-101B-9397-08002B2CF9AE}" pid="26" name="Objective-OM External Reference [system]">
    <vt:lpwstr/>
  </property>
  <property fmtid="{D5CDD505-2E9C-101B-9397-08002B2CF9AE}" pid="27" name="Objective-OM Reference [system]">
    <vt:lpwstr/>
  </property>
  <property fmtid="{D5CDD505-2E9C-101B-9397-08002B2CF9AE}" pid="28" name="Objective-OM Topic [system]">
    <vt:lpwstr/>
  </property>
  <property fmtid="{D5CDD505-2E9C-101B-9397-08002B2CF9AE}" pid="29" name="Objective-Suburb [system]">
    <vt:lpwstr/>
  </property>
</Properties>
</file>