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B2C96E" w14:textId="77777777" w:rsidR="00FE0966" w:rsidRPr="00FE0966" w:rsidRDefault="00FE0966" w:rsidP="00FE0966">
      <w:pPr>
        <w:spacing w:before="120" w:after="0" w:line="240" w:lineRule="auto"/>
        <w:rPr>
          <w:rFonts w:ascii="Arial" w:eastAsia="Times New Roman" w:hAnsi="Arial" w:cs="Arial"/>
          <w:sz w:val="24"/>
          <w:szCs w:val="20"/>
        </w:rPr>
      </w:pPr>
      <w:bookmarkStart w:id="0" w:name="_Toc44738651"/>
      <w:bookmarkStart w:id="1" w:name="_GoBack"/>
      <w:bookmarkEnd w:id="1"/>
      <w:r w:rsidRPr="00FE0966">
        <w:rPr>
          <w:rFonts w:ascii="Arial" w:eastAsia="Times New Roman" w:hAnsi="Arial" w:cs="Arial"/>
          <w:sz w:val="24"/>
          <w:szCs w:val="20"/>
        </w:rPr>
        <w:t>Australian Capital Territory</w:t>
      </w:r>
    </w:p>
    <w:p w14:paraId="28E63BEE" w14:textId="77777777" w:rsidR="00FE0966" w:rsidRPr="00FE0966" w:rsidRDefault="00FE0966" w:rsidP="00FE0966">
      <w:pPr>
        <w:tabs>
          <w:tab w:val="left" w:pos="2400"/>
          <w:tab w:val="left" w:pos="2880"/>
        </w:tabs>
        <w:spacing w:before="700" w:after="100" w:line="240" w:lineRule="auto"/>
        <w:rPr>
          <w:rFonts w:ascii="Arial" w:eastAsia="Times New Roman" w:hAnsi="Arial" w:cs="Times New Roman"/>
          <w:b/>
          <w:sz w:val="40"/>
          <w:szCs w:val="20"/>
        </w:rPr>
      </w:pPr>
      <w:r w:rsidRPr="00FE0966">
        <w:rPr>
          <w:rFonts w:ascii="Arial" w:eastAsia="Times New Roman" w:hAnsi="Arial" w:cs="Times New Roman"/>
          <w:b/>
          <w:sz w:val="40"/>
          <w:szCs w:val="20"/>
        </w:rPr>
        <w:t>Motor Accident Injuries (COVID-19) Guidelines 2020</w:t>
      </w:r>
    </w:p>
    <w:p w14:paraId="2395F16E" w14:textId="77777777" w:rsidR="00FE0966" w:rsidRPr="00FE0966" w:rsidRDefault="00FE0966" w:rsidP="00FE0966">
      <w:pPr>
        <w:spacing w:before="340" w:after="0" w:line="240" w:lineRule="auto"/>
        <w:rPr>
          <w:rFonts w:ascii="Arial" w:eastAsia="Times New Roman" w:hAnsi="Arial" w:cs="Arial"/>
          <w:b/>
          <w:bCs/>
          <w:sz w:val="24"/>
          <w:szCs w:val="20"/>
        </w:rPr>
      </w:pPr>
      <w:r w:rsidRPr="00FE0966">
        <w:rPr>
          <w:rFonts w:ascii="Arial" w:eastAsia="Times New Roman" w:hAnsi="Arial" w:cs="Arial"/>
          <w:b/>
          <w:bCs/>
          <w:sz w:val="24"/>
          <w:szCs w:val="20"/>
        </w:rPr>
        <w:t>Disallowable instrument DI</w:t>
      </w:r>
      <w:r w:rsidRPr="00FE0966">
        <w:rPr>
          <w:rFonts w:ascii="Arial" w:eastAsia="Times New Roman" w:hAnsi="Arial" w:cs="Arial"/>
          <w:b/>
          <w:bCs/>
          <w:iCs/>
          <w:sz w:val="24"/>
          <w:szCs w:val="20"/>
        </w:rPr>
        <w:t>2020</w:t>
      </w:r>
      <w:r w:rsidRPr="00FE0966">
        <w:rPr>
          <w:rFonts w:ascii="Arial" w:eastAsia="Times New Roman" w:hAnsi="Arial" w:cs="Arial"/>
          <w:b/>
          <w:bCs/>
          <w:sz w:val="24"/>
          <w:szCs w:val="20"/>
        </w:rPr>
        <w:t>–94</w:t>
      </w:r>
    </w:p>
    <w:p w14:paraId="4A5BC5E1" w14:textId="77777777" w:rsidR="00FE0966" w:rsidRPr="00FE0966" w:rsidRDefault="00FE0966" w:rsidP="00FE0966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FE0966">
        <w:rPr>
          <w:rFonts w:ascii="Times New Roman" w:eastAsia="Times New Roman" w:hAnsi="Times New Roman" w:cs="Times New Roman"/>
          <w:sz w:val="24"/>
          <w:szCs w:val="20"/>
        </w:rPr>
        <w:t xml:space="preserve">made under the  </w:t>
      </w:r>
    </w:p>
    <w:p w14:paraId="3DC31611" w14:textId="77777777" w:rsidR="00FE0966" w:rsidRPr="00FE0966" w:rsidRDefault="00FE0966" w:rsidP="00FE0966">
      <w:pPr>
        <w:tabs>
          <w:tab w:val="left" w:pos="2600"/>
        </w:tabs>
        <w:spacing w:before="320"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FE0966">
        <w:rPr>
          <w:rFonts w:ascii="Arial" w:eastAsia="Times New Roman" w:hAnsi="Arial" w:cs="Arial"/>
          <w:b/>
          <w:sz w:val="20"/>
          <w:szCs w:val="20"/>
        </w:rPr>
        <w:t>Motor Accident Injuries Act 2019, section 487 (MAI guidelines)</w:t>
      </w:r>
    </w:p>
    <w:p w14:paraId="00324F0A" w14:textId="77777777" w:rsidR="00FE0966" w:rsidRPr="00FE0966" w:rsidRDefault="00FE0966" w:rsidP="00FE0966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250EE357" w14:textId="77777777" w:rsidR="00FE0966" w:rsidRPr="00FE0966" w:rsidRDefault="00FE0966" w:rsidP="00FE0966">
      <w:pPr>
        <w:pBdr>
          <w:top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473436A1" w14:textId="77777777" w:rsidR="00FE0966" w:rsidRPr="00FE0966" w:rsidRDefault="00FE0966" w:rsidP="00FE0966">
      <w:pPr>
        <w:spacing w:before="60" w:after="6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FE0966">
        <w:rPr>
          <w:rFonts w:ascii="Arial" w:eastAsia="Times New Roman" w:hAnsi="Arial" w:cs="Arial"/>
          <w:b/>
          <w:bCs/>
          <w:sz w:val="24"/>
          <w:szCs w:val="20"/>
        </w:rPr>
        <w:t>1</w:t>
      </w:r>
      <w:r w:rsidRPr="00FE0966">
        <w:rPr>
          <w:rFonts w:ascii="Arial" w:eastAsia="Times New Roman" w:hAnsi="Arial" w:cs="Arial"/>
          <w:b/>
          <w:bCs/>
          <w:sz w:val="24"/>
          <w:szCs w:val="20"/>
        </w:rPr>
        <w:tab/>
        <w:t>Name of instrument</w:t>
      </w:r>
    </w:p>
    <w:p w14:paraId="3920A54A" w14:textId="77777777" w:rsidR="00FE0966" w:rsidRPr="00FE0966" w:rsidRDefault="00FE0966" w:rsidP="00FE0966">
      <w:pPr>
        <w:spacing w:before="140" w:after="0" w:line="240" w:lineRule="auto"/>
        <w:ind w:left="720"/>
        <w:rPr>
          <w:rFonts w:ascii="Times New Roman" w:eastAsia="Times New Roman" w:hAnsi="Times New Roman" w:cs="Times New Roman"/>
          <w:i/>
          <w:iCs/>
          <w:sz w:val="24"/>
          <w:szCs w:val="20"/>
        </w:rPr>
      </w:pPr>
      <w:r w:rsidRPr="00FE0966">
        <w:rPr>
          <w:rFonts w:ascii="Times New Roman" w:eastAsia="Times New Roman" w:hAnsi="Times New Roman" w:cs="Times New Roman"/>
          <w:sz w:val="24"/>
          <w:szCs w:val="20"/>
        </w:rPr>
        <w:t xml:space="preserve">This instrument is the </w:t>
      </w:r>
      <w:r w:rsidRPr="00FE0966">
        <w:rPr>
          <w:rFonts w:ascii="Times New Roman" w:eastAsia="Times New Roman" w:hAnsi="Times New Roman" w:cs="Times New Roman"/>
          <w:i/>
          <w:iCs/>
          <w:sz w:val="24"/>
          <w:szCs w:val="20"/>
        </w:rPr>
        <w:t>Motor Accident Injuries (COVID-19) Guidelines 2020.</w:t>
      </w:r>
    </w:p>
    <w:p w14:paraId="3471E9D1" w14:textId="77777777" w:rsidR="00FE0966" w:rsidRPr="00FE0966" w:rsidRDefault="00FE0966" w:rsidP="00FE0966">
      <w:pPr>
        <w:spacing w:before="300" w:after="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FE0966">
        <w:rPr>
          <w:rFonts w:ascii="Arial" w:eastAsia="Times New Roman" w:hAnsi="Arial" w:cs="Arial"/>
          <w:b/>
          <w:bCs/>
          <w:sz w:val="24"/>
          <w:szCs w:val="20"/>
        </w:rPr>
        <w:t>2</w:t>
      </w:r>
      <w:r w:rsidRPr="00FE0966">
        <w:rPr>
          <w:rFonts w:ascii="Arial" w:eastAsia="Times New Roman" w:hAnsi="Arial" w:cs="Arial"/>
          <w:b/>
          <w:bCs/>
          <w:sz w:val="24"/>
          <w:szCs w:val="20"/>
        </w:rPr>
        <w:tab/>
        <w:t xml:space="preserve">Commencement </w:t>
      </w:r>
    </w:p>
    <w:p w14:paraId="1123B9EA" w14:textId="77777777" w:rsidR="00FE0966" w:rsidRPr="00FE0966" w:rsidRDefault="00FE0966" w:rsidP="00FE0966">
      <w:pPr>
        <w:spacing w:before="140" w:after="0" w:line="240" w:lineRule="auto"/>
        <w:ind w:left="720"/>
        <w:rPr>
          <w:rFonts w:ascii="Times New Roman" w:eastAsia="Times New Roman" w:hAnsi="Times New Roman" w:cs="Times New Roman"/>
          <w:i/>
          <w:iCs/>
          <w:sz w:val="24"/>
          <w:szCs w:val="20"/>
        </w:rPr>
      </w:pPr>
      <w:r w:rsidRPr="00FE0966">
        <w:rPr>
          <w:rFonts w:ascii="Times New Roman" w:eastAsia="Times New Roman" w:hAnsi="Times New Roman" w:cs="Times New Roman"/>
          <w:sz w:val="24"/>
          <w:szCs w:val="20"/>
        </w:rPr>
        <w:t>This instrument commences on the day after its notification</w:t>
      </w:r>
      <w:r w:rsidRPr="00FE0966">
        <w:rPr>
          <w:rFonts w:ascii="Times New Roman" w:eastAsia="Times New Roman" w:hAnsi="Times New Roman" w:cs="Times New Roman"/>
          <w:i/>
          <w:iCs/>
          <w:sz w:val="24"/>
          <w:szCs w:val="20"/>
        </w:rPr>
        <w:t xml:space="preserve">. </w:t>
      </w:r>
    </w:p>
    <w:p w14:paraId="22A00852" w14:textId="77777777" w:rsidR="00FE0966" w:rsidRPr="00FE0966" w:rsidRDefault="00FE0966" w:rsidP="00FE0966">
      <w:pPr>
        <w:spacing w:before="300" w:after="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FE0966">
        <w:rPr>
          <w:rFonts w:ascii="Arial" w:eastAsia="Times New Roman" w:hAnsi="Arial" w:cs="Arial"/>
          <w:b/>
          <w:bCs/>
          <w:sz w:val="24"/>
          <w:szCs w:val="20"/>
        </w:rPr>
        <w:t>3</w:t>
      </w:r>
      <w:r w:rsidRPr="00FE0966">
        <w:rPr>
          <w:rFonts w:ascii="Arial" w:eastAsia="Times New Roman" w:hAnsi="Arial" w:cs="Arial"/>
          <w:b/>
          <w:bCs/>
          <w:sz w:val="24"/>
          <w:szCs w:val="20"/>
        </w:rPr>
        <w:tab/>
        <w:t>Guidelines</w:t>
      </w:r>
    </w:p>
    <w:p w14:paraId="706C021C" w14:textId="77777777" w:rsidR="00FE0966" w:rsidRPr="00FE0966" w:rsidRDefault="00FE0966" w:rsidP="00FE0966">
      <w:pPr>
        <w:spacing w:before="300" w:after="0" w:line="240" w:lineRule="auto"/>
        <w:ind w:left="720" w:hanging="720"/>
        <w:rPr>
          <w:rFonts w:ascii="Arial" w:eastAsia="Times New Roman" w:hAnsi="Arial" w:cs="Arial"/>
          <w:sz w:val="24"/>
          <w:szCs w:val="20"/>
        </w:rPr>
      </w:pPr>
      <w:r w:rsidRPr="00FE0966">
        <w:rPr>
          <w:rFonts w:ascii="Arial" w:eastAsia="Times New Roman" w:hAnsi="Arial" w:cs="Arial"/>
          <w:b/>
          <w:bCs/>
          <w:sz w:val="24"/>
          <w:szCs w:val="20"/>
        </w:rPr>
        <w:tab/>
      </w:r>
      <w:r w:rsidRPr="00FE0966">
        <w:rPr>
          <w:rFonts w:ascii="Times New Roman" w:eastAsia="Times New Roman" w:hAnsi="Times New Roman" w:cs="Times New Roman"/>
          <w:sz w:val="24"/>
          <w:szCs w:val="20"/>
        </w:rPr>
        <w:t>I make the COVID-19 Guidelines attached to this instrument.</w:t>
      </w:r>
    </w:p>
    <w:p w14:paraId="7A99E195" w14:textId="77777777" w:rsidR="00FE0966" w:rsidRPr="00FE0966" w:rsidRDefault="00FE0966" w:rsidP="00FE0966">
      <w:pPr>
        <w:spacing w:before="140"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</w:p>
    <w:p w14:paraId="7C70033E" w14:textId="77777777" w:rsidR="00FE0966" w:rsidRPr="00FE0966" w:rsidRDefault="00FE0966" w:rsidP="00FE0966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703953F0" w14:textId="77777777" w:rsidR="00FE0966" w:rsidRPr="00FE0966" w:rsidRDefault="00FE0966" w:rsidP="00FE0966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6256061C" w14:textId="77777777" w:rsidR="00FE0966" w:rsidRPr="00FE0966" w:rsidRDefault="00FE0966" w:rsidP="00FE0966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19355DFB" w14:textId="77777777" w:rsidR="00FE0966" w:rsidRPr="00FE0966" w:rsidRDefault="00FE0966" w:rsidP="00FE0966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FE0966">
        <w:rPr>
          <w:rFonts w:ascii="Times New Roman" w:eastAsia="Times New Roman" w:hAnsi="Times New Roman" w:cs="Times New Roman"/>
          <w:sz w:val="24"/>
          <w:szCs w:val="20"/>
        </w:rPr>
        <w:t>Lisa Holmes</w:t>
      </w:r>
    </w:p>
    <w:p w14:paraId="2F6318B0" w14:textId="77777777" w:rsidR="00FE0966" w:rsidRPr="00FE0966" w:rsidRDefault="00FE0966" w:rsidP="00FE0966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FE0966">
        <w:rPr>
          <w:rFonts w:ascii="Times New Roman" w:eastAsia="Times New Roman" w:hAnsi="Times New Roman" w:cs="Times New Roman"/>
          <w:sz w:val="24"/>
          <w:szCs w:val="20"/>
        </w:rPr>
        <w:t>MAI Commissioner</w:t>
      </w:r>
    </w:p>
    <w:bookmarkEnd w:id="0"/>
    <w:p w14:paraId="07B6DBC0" w14:textId="77777777" w:rsidR="00FE0966" w:rsidRPr="00FE0966" w:rsidRDefault="00FE0966" w:rsidP="00FE0966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FE0966">
        <w:rPr>
          <w:rFonts w:ascii="Times New Roman" w:eastAsia="Times New Roman" w:hAnsi="Times New Roman" w:cs="Times New Roman"/>
          <w:sz w:val="24"/>
          <w:szCs w:val="20"/>
        </w:rPr>
        <w:t>MAI Commission</w:t>
      </w:r>
    </w:p>
    <w:p w14:paraId="0D1916FD" w14:textId="77777777" w:rsidR="00FE0966" w:rsidRPr="00FE0966" w:rsidRDefault="00FE0966" w:rsidP="00FE0966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FE0966">
        <w:rPr>
          <w:rFonts w:ascii="Times New Roman" w:eastAsia="Times New Roman" w:hAnsi="Times New Roman" w:cs="Times New Roman"/>
          <w:sz w:val="24"/>
          <w:szCs w:val="20"/>
        </w:rPr>
        <w:t>12 May 2020</w:t>
      </w:r>
    </w:p>
    <w:p w14:paraId="37877D60" w14:textId="77777777" w:rsidR="00FE0966" w:rsidRDefault="00FE0966" w:rsidP="00DC350C">
      <w:pPr>
        <w:pStyle w:val="Header"/>
        <w:rPr>
          <w:rFonts w:cstheme="minorHAnsi"/>
          <w:sz w:val="24"/>
          <w:szCs w:val="24"/>
        </w:rPr>
        <w:sectPr w:rsidR="00FE0966" w:rsidSect="00FE096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797" w:bottom="1440" w:left="1797" w:header="709" w:footer="709" w:gutter="0"/>
          <w:cols w:space="708"/>
          <w:titlePg/>
          <w:docGrid w:linePitch="360"/>
        </w:sectPr>
      </w:pPr>
    </w:p>
    <w:p w14:paraId="3C8F8E45" w14:textId="2114D6F7" w:rsidR="00DC350C" w:rsidRPr="00DC350C" w:rsidRDefault="00DC350C" w:rsidP="00DC350C">
      <w:pPr>
        <w:pStyle w:val="Header"/>
        <w:rPr>
          <w:rFonts w:cstheme="minorHAnsi"/>
          <w:sz w:val="24"/>
          <w:szCs w:val="24"/>
        </w:rPr>
      </w:pPr>
    </w:p>
    <w:p w14:paraId="4B9B5E73" w14:textId="01EB57AF" w:rsidR="002B677D" w:rsidRDefault="002B677D" w:rsidP="008121F5">
      <w:pPr>
        <w:pStyle w:val="Header"/>
        <w:spacing w:before="360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COVID-19 Guidelines</w:t>
      </w:r>
    </w:p>
    <w:p w14:paraId="60E6A2C4" w14:textId="77777777" w:rsidR="00EB3462" w:rsidRPr="00EB3462" w:rsidRDefault="00EB3462" w:rsidP="008121F5">
      <w:pPr>
        <w:pStyle w:val="Header"/>
        <w:spacing w:before="360"/>
        <w:rPr>
          <w:rFonts w:cstheme="minorHAnsi"/>
          <w:sz w:val="24"/>
          <w:szCs w:val="24"/>
        </w:rPr>
      </w:pPr>
    </w:p>
    <w:p w14:paraId="4395A076" w14:textId="5D14ED0C" w:rsidR="00714FFC" w:rsidRPr="00C11670" w:rsidRDefault="00311B33" w:rsidP="00714FFC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spacing w:before="240" w:after="0" w:line="240" w:lineRule="auto"/>
        <w:ind w:left="0" w:firstLine="0"/>
        <w:rPr>
          <w:rFonts w:eastAsia="Arial" w:cstheme="minorHAnsi"/>
          <w:b/>
          <w:bCs/>
          <w:sz w:val="24"/>
          <w:szCs w:val="24"/>
        </w:rPr>
      </w:pPr>
      <w:r w:rsidRPr="00C70587">
        <w:rPr>
          <w:rFonts w:eastAsia="Arial" w:cstheme="minorHAnsi"/>
          <w:b/>
          <w:bCs/>
          <w:sz w:val="24"/>
          <w:szCs w:val="24"/>
        </w:rPr>
        <w:t>INTRODUCTION</w:t>
      </w:r>
    </w:p>
    <w:p w14:paraId="1D5407F0" w14:textId="3B03168A" w:rsidR="00311B33" w:rsidRPr="00423939" w:rsidRDefault="00311B33" w:rsidP="00311B33">
      <w:pPr>
        <w:widowControl w:val="0"/>
        <w:tabs>
          <w:tab w:val="left" w:pos="142"/>
        </w:tabs>
        <w:autoSpaceDE w:val="0"/>
        <w:autoSpaceDN w:val="0"/>
        <w:spacing w:before="120" w:after="0" w:line="240" w:lineRule="auto"/>
        <w:rPr>
          <w:rFonts w:eastAsia="Arial" w:cstheme="minorHAnsi"/>
          <w:i/>
          <w:iCs/>
          <w:sz w:val="24"/>
          <w:szCs w:val="24"/>
        </w:rPr>
      </w:pPr>
      <w:r w:rsidRPr="00C70587">
        <w:rPr>
          <w:rFonts w:eastAsia="Arial" w:cstheme="minorHAnsi"/>
          <w:sz w:val="24"/>
          <w:szCs w:val="24"/>
        </w:rPr>
        <w:t xml:space="preserve">The </w:t>
      </w:r>
      <w:r>
        <w:rPr>
          <w:rFonts w:eastAsia="Arial" w:cstheme="minorHAnsi"/>
          <w:sz w:val="24"/>
          <w:szCs w:val="24"/>
        </w:rPr>
        <w:t>COVID</w:t>
      </w:r>
      <w:r w:rsidR="004F494E">
        <w:rPr>
          <w:rFonts w:eastAsia="Arial" w:cstheme="minorHAnsi"/>
          <w:sz w:val="24"/>
          <w:szCs w:val="24"/>
        </w:rPr>
        <w:t>-</w:t>
      </w:r>
      <w:r>
        <w:rPr>
          <w:rFonts w:eastAsia="Arial" w:cstheme="minorHAnsi"/>
          <w:sz w:val="24"/>
          <w:szCs w:val="24"/>
        </w:rPr>
        <w:t xml:space="preserve">19 </w:t>
      </w:r>
      <w:r w:rsidRPr="00C70587">
        <w:rPr>
          <w:rFonts w:eastAsia="Arial" w:cstheme="minorHAnsi"/>
          <w:sz w:val="24"/>
          <w:szCs w:val="24"/>
        </w:rPr>
        <w:t xml:space="preserve">guidelines (guidelines) are part of the MAI guidelines made under section 487 of the </w:t>
      </w:r>
      <w:r w:rsidRPr="00C70587">
        <w:rPr>
          <w:rFonts w:eastAsia="Arial" w:cstheme="minorHAnsi"/>
          <w:i/>
          <w:sz w:val="24"/>
          <w:szCs w:val="24"/>
        </w:rPr>
        <w:t xml:space="preserve">Motor Accident Injuries Act 2019 </w:t>
      </w:r>
      <w:r w:rsidRPr="00C70587">
        <w:rPr>
          <w:rFonts w:eastAsia="Arial" w:cstheme="minorHAnsi"/>
          <w:sz w:val="24"/>
          <w:szCs w:val="24"/>
        </w:rPr>
        <w:t xml:space="preserve">(MAI Act). </w:t>
      </w:r>
      <w:r w:rsidR="0087376E">
        <w:rPr>
          <w:rFonts w:eastAsia="Arial" w:cstheme="minorHAnsi"/>
          <w:sz w:val="24"/>
          <w:szCs w:val="24"/>
        </w:rPr>
        <w:t xml:space="preserve">A public health emergency has been declared in the ACT under the </w:t>
      </w:r>
      <w:r w:rsidR="0087376E">
        <w:rPr>
          <w:rFonts w:eastAsia="Arial" w:cstheme="minorHAnsi"/>
          <w:i/>
          <w:iCs/>
          <w:sz w:val="24"/>
          <w:szCs w:val="24"/>
        </w:rPr>
        <w:t>Public Health Act 1997</w:t>
      </w:r>
      <w:r w:rsidR="0087376E">
        <w:rPr>
          <w:rFonts w:eastAsia="Arial" w:cstheme="minorHAnsi"/>
          <w:sz w:val="24"/>
          <w:szCs w:val="24"/>
        </w:rPr>
        <w:t xml:space="preserve"> as a result of the COVID-19 pandemic. The </w:t>
      </w:r>
      <w:r w:rsidR="0087376E">
        <w:rPr>
          <w:rFonts w:eastAsia="Arial" w:cstheme="minorHAnsi"/>
          <w:i/>
          <w:iCs/>
          <w:sz w:val="24"/>
          <w:szCs w:val="24"/>
        </w:rPr>
        <w:t xml:space="preserve">Public Health (Emergency) Declaration 2020 (No 1) </w:t>
      </w:r>
      <w:r w:rsidR="0087376E">
        <w:rPr>
          <w:rFonts w:eastAsia="Arial" w:cstheme="minorHAnsi"/>
          <w:sz w:val="24"/>
          <w:szCs w:val="24"/>
        </w:rPr>
        <w:t xml:space="preserve">was made on 16 March 2020 and is effective to 7 July 2020. </w:t>
      </w:r>
      <w:r w:rsidRPr="00C70587">
        <w:rPr>
          <w:rFonts w:eastAsia="Arial" w:cstheme="minorHAnsi"/>
          <w:sz w:val="24"/>
          <w:szCs w:val="24"/>
        </w:rPr>
        <w:t>The</w:t>
      </w:r>
      <w:r w:rsidR="00DF08D0">
        <w:rPr>
          <w:rFonts w:eastAsia="Arial" w:cstheme="minorHAnsi"/>
          <w:sz w:val="24"/>
          <w:szCs w:val="24"/>
        </w:rPr>
        <w:t>se guidelines have been developed to</w:t>
      </w:r>
      <w:r w:rsidRPr="00C70587">
        <w:rPr>
          <w:rFonts w:eastAsia="Arial" w:cstheme="minorHAnsi"/>
          <w:sz w:val="24"/>
          <w:szCs w:val="24"/>
        </w:rPr>
        <w:t xml:space="preserve"> </w:t>
      </w:r>
      <w:r w:rsidR="004B1689">
        <w:rPr>
          <w:rFonts w:eastAsia="Arial" w:cstheme="minorHAnsi"/>
          <w:sz w:val="24"/>
          <w:szCs w:val="24"/>
        </w:rPr>
        <w:t xml:space="preserve">apply </w:t>
      </w:r>
      <w:r>
        <w:rPr>
          <w:rFonts w:eastAsia="Arial" w:cstheme="minorHAnsi"/>
          <w:sz w:val="24"/>
          <w:szCs w:val="24"/>
        </w:rPr>
        <w:t xml:space="preserve">in light of </w:t>
      </w:r>
      <w:r w:rsidR="00B05716">
        <w:rPr>
          <w:rFonts w:eastAsia="Arial" w:cstheme="minorHAnsi"/>
          <w:sz w:val="24"/>
          <w:szCs w:val="24"/>
        </w:rPr>
        <w:t>the</w:t>
      </w:r>
      <w:r w:rsidR="00267906">
        <w:rPr>
          <w:rFonts w:eastAsia="Arial" w:cstheme="minorHAnsi"/>
          <w:sz w:val="24"/>
          <w:szCs w:val="24"/>
        </w:rPr>
        <w:t xml:space="preserve"> potential</w:t>
      </w:r>
      <w:r w:rsidR="00B05716">
        <w:rPr>
          <w:rFonts w:eastAsia="Arial" w:cstheme="minorHAnsi"/>
          <w:sz w:val="24"/>
          <w:szCs w:val="24"/>
        </w:rPr>
        <w:t xml:space="preserve"> impacts of </w:t>
      </w:r>
      <w:r w:rsidR="0087376E">
        <w:rPr>
          <w:rFonts w:eastAsia="Arial" w:cstheme="minorHAnsi"/>
          <w:sz w:val="24"/>
          <w:szCs w:val="24"/>
        </w:rPr>
        <w:t xml:space="preserve">the </w:t>
      </w:r>
      <w:r w:rsidR="00B05716">
        <w:rPr>
          <w:rFonts w:eastAsia="Arial" w:cstheme="minorHAnsi"/>
          <w:sz w:val="24"/>
          <w:szCs w:val="24"/>
        </w:rPr>
        <w:t>COVID-19</w:t>
      </w:r>
      <w:r w:rsidR="0087376E">
        <w:rPr>
          <w:rFonts w:eastAsia="Arial" w:cstheme="minorHAnsi"/>
          <w:sz w:val="24"/>
          <w:szCs w:val="24"/>
        </w:rPr>
        <w:t xml:space="preserve"> pandemic</w:t>
      </w:r>
      <w:r w:rsidR="00B05716">
        <w:rPr>
          <w:rFonts w:eastAsia="Arial" w:cstheme="minorHAnsi"/>
          <w:sz w:val="24"/>
          <w:szCs w:val="24"/>
        </w:rPr>
        <w:t xml:space="preserve"> on</w:t>
      </w:r>
      <w:r w:rsidR="00267906">
        <w:rPr>
          <w:rFonts w:eastAsia="Arial" w:cstheme="minorHAnsi"/>
          <w:sz w:val="24"/>
          <w:szCs w:val="24"/>
        </w:rPr>
        <w:t xml:space="preserve"> </w:t>
      </w:r>
      <w:r w:rsidR="00DF08D0">
        <w:rPr>
          <w:rFonts w:eastAsia="Arial" w:cstheme="minorHAnsi"/>
          <w:sz w:val="24"/>
          <w:szCs w:val="24"/>
        </w:rPr>
        <w:t xml:space="preserve">business continuity and health-related services. </w:t>
      </w:r>
      <w:r w:rsidR="00267906">
        <w:rPr>
          <w:rFonts w:eastAsia="Arial" w:cstheme="minorHAnsi"/>
          <w:sz w:val="24"/>
          <w:szCs w:val="24"/>
        </w:rPr>
        <w:t xml:space="preserve"> </w:t>
      </w:r>
    </w:p>
    <w:p w14:paraId="31B2ED74" w14:textId="597686D7" w:rsidR="00652210" w:rsidRDefault="00FB732B" w:rsidP="00311B33">
      <w:pPr>
        <w:widowControl w:val="0"/>
        <w:tabs>
          <w:tab w:val="left" w:pos="142"/>
        </w:tabs>
        <w:autoSpaceDE w:val="0"/>
        <w:autoSpaceDN w:val="0"/>
        <w:spacing w:before="240" w:after="0" w:line="240" w:lineRule="auto"/>
        <w:rPr>
          <w:rFonts w:eastAsia="Arial"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 xml:space="preserve">The guidelines </w:t>
      </w:r>
      <w:r w:rsidR="002E22B8">
        <w:rPr>
          <w:rFonts w:eastAsia="Arial" w:cstheme="minorHAnsi"/>
          <w:sz w:val="24"/>
          <w:szCs w:val="24"/>
        </w:rPr>
        <w:t>deal with</w:t>
      </w:r>
      <w:r w:rsidR="00FE3D17">
        <w:rPr>
          <w:rFonts w:eastAsia="Arial" w:cstheme="minorHAnsi"/>
          <w:sz w:val="24"/>
          <w:szCs w:val="24"/>
        </w:rPr>
        <w:t xml:space="preserve"> matter</w:t>
      </w:r>
      <w:r w:rsidR="00C359DB">
        <w:rPr>
          <w:rFonts w:eastAsia="Arial" w:cstheme="minorHAnsi"/>
          <w:sz w:val="24"/>
          <w:szCs w:val="24"/>
        </w:rPr>
        <w:t>s</w:t>
      </w:r>
      <w:r w:rsidR="00FE3D17">
        <w:rPr>
          <w:rFonts w:eastAsia="Arial" w:cstheme="minorHAnsi"/>
          <w:sz w:val="24"/>
          <w:szCs w:val="24"/>
        </w:rPr>
        <w:t xml:space="preserve"> not already covered by</w:t>
      </w:r>
      <w:r w:rsidR="002E22B8">
        <w:rPr>
          <w:rFonts w:eastAsia="Arial" w:cstheme="minorHAnsi"/>
          <w:sz w:val="24"/>
          <w:szCs w:val="24"/>
        </w:rPr>
        <w:t xml:space="preserve"> the MAI</w:t>
      </w:r>
      <w:r w:rsidR="00FE3D17">
        <w:rPr>
          <w:rFonts w:eastAsia="Arial" w:cstheme="minorHAnsi"/>
          <w:sz w:val="24"/>
          <w:szCs w:val="24"/>
        </w:rPr>
        <w:t xml:space="preserve"> guidelines</w:t>
      </w:r>
      <w:r w:rsidR="00DF08D0">
        <w:rPr>
          <w:rFonts w:eastAsia="Arial" w:cstheme="minorHAnsi"/>
          <w:sz w:val="24"/>
          <w:szCs w:val="24"/>
        </w:rPr>
        <w:t xml:space="preserve"> and in some instances modify guidelines made for various purposes under the MAI Act</w:t>
      </w:r>
      <w:r w:rsidR="00FE3D17">
        <w:rPr>
          <w:rFonts w:eastAsia="Arial" w:cstheme="minorHAnsi"/>
          <w:sz w:val="24"/>
          <w:szCs w:val="24"/>
        </w:rPr>
        <w:t xml:space="preserve">. </w:t>
      </w:r>
      <w:r w:rsidR="00311B33">
        <w:rPr>
          <w:rFonts w:eastAsia="Arial" w:cstheme="minorHAnsi"/>
          <w:sz w:val="24"/>
          <w:szCs w:val="24"/>
        </w:rPr>
        <w:t>To the extent that the</w:t>
      </w:r>
      <w:r w:rsidR="00127BB5">
        <w:rPr>
          <w:rFonts w:eastAsia="Arial" w:cstheme="minorHAnsi"/>
          <w:sz w:val="24"/>
          <w:szCs w:val="24"/>
        </w:rPr>
        <w:t xml:space="preserve"> COVID-19</w:t>
      </w:r>
      <w:r w:rsidR="00311B33">
        <w:rPr>
          <w:rFonts w:eastAsia="Arial" w:cstheme="minorHAnsi"/>
          <w:sz w:val="24"/>
          <w:szCs w:val="24"/>
        </w:rPr>
        <w:t xml:space="preserve"> guidelines are inconsistent with </w:t>
      </w:r>
      <w:r w:rsidR="00DF08D0">
        <w:rPr>
          <w:rFonts w:eastAsia="Arial" w:cstheme="minorHAnsi"/>
          <w:sz w:val="24"/>
          <w:szCs w:val="24"/>
        </w:rPr>
        <w:t>the relevant</w:t>
      </w:r>
      <w:r w:rsidR="00311B33">
        <w:rPr>
          <w:rFonts w:eastAsia="Arial" w:cstheme="minorHAnsi"/>
          <w:sz w:val="24"/>
          <w:szCs w:val="24"/>
        </w:rPr>
        <w:t xml:space="preserve"> guidelines made under section 487 of the MAI Act, the COVID</w:t>
      </w:r>
      <w:r w:rsidR="004B032D">
        <w:rPr>
          <w:rFonts w:eastAsia="Arial" w:cstheme="minorHAnsi"/>
          <w:sz w:val="24"/>
          <w:szCs w:val="24"/>
        </w:rPr>
        <w:t>-</w:t>
      </w:r>
      <w:r w:rsidR="00267906">
        <w:rPr>
          <w:rFonts w:eastAsia="Arial" w:cstheme="minorHAnsi"/>
          <w:sz w:val="24"/>
          <w:szCs w:val="24"/>
        </w:rPr>
        <w:t>19</w:t>
      </w:r>
      <w:r w:rsidR="00311B33">
        <w:rPr>
          <w:rFonts w:eastAsia="Arial" w:cstheme="minorHAnsi"/>
          <w:sz w:val="24"/>
          <w:szCs w:val="24"/>
        </w:rPr>
        <w:t xml:space="preserve"> guidelines will prevail. </w:t>
      </w:r>
      <w:r w:rsidR="00DF08D0">
        <w:rPr>
          <w:rFonts w:eastAsia="Arial" w:cstheme="minorHAnsi"/>
          <w:sz w:val="24"/>
          <w:szCs w:val="24"/>
        </w:rPr>
        <w:t xml:space="preserve">These guidelines </w:t>
      </w:r>
      <w:r w:rsidR="003E3206">
        <w:rPr>
          <w:rFonts w:eastAsia="Arial" w:cstheme="minorHAnsi"/>
          <w:sz w:val="24"/>
          <w:szCs w:val="24"/>
        </w:rPr>
        <w:t xml:space="preserve">will </w:t>
      </w:r>
      <w:r w:rsidR="00DF08D0">
        <w:rPr>
          <w:rFonts w:eastAsia="Arial" w:cstheme="minorHAnsi"/>
          <w:sz w:val="24"/>
          <w:szCs w:val="24"/>
        </w:rPr>
        <w:t>have effect until repealed.</w:t>
      </w:r>
    </w:p>
    <w:p w14:paraId="109E5407" w14:textId="66B8393D" w:rsidR="00AD6FD5" w:rsidRDefault="006D71D9" w:rsidP="00311B33">
      <w:pPr>
        <w:widowControl w:val="0"/>
        <w:tabs>
          <w:tab w:val="left" w:pos="142"/>
        </w:tabs>
        <w:autoSpaceDE w:val="0"/>
        <w:autoSpaceDN w:val="0"/>
        <w:spacing w:before="240" w:after="0" w:line="240" w:lineRule="auto"/>
        <w:rPr>
          <w:rFonts w:eastAsia="Arial"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>Other than section 2, t</w:t>
      </w:r>
      <w:r w:rsidR="00202261">
        <w:rPr>
          <w:rFonts w:eastAsia="Arial" w:cstheme="minorHAnsi"/>
          <w:sz w:val="24"/>
          <w:szCs w:val="24"/>
        </w:rPr>
        <w:t xml:space="preserve">he </w:t>
      </w:r>
      <w:r w:rsidR="00434232">
        <w:rPr>
          <w:rFonts w:eastAsia="Arial" w:cstheme="minorHAnsi"/>
          <w:sz w:val="24"/>
          <w:szCs w:val="24"/>
        </w:rPr>
        <w:t xml:space="preserve">section </w:t>
      </w:r>
      <w:r w:rsidR="00202261">
        <w:rPr>
          <w:rFonts w:eastAsia="Arial" w:cstheme="minorHAnsi"/>
          <w:sz w:val="24"/>
          <w:szCs w:val="24"/>
        </w:rPr>
        <w:t>he</w:t>
      </w:r>
      <w:r w:rsidR="003E3206">
        <w:rPr>
          <w:rFonts w:eastAsia="Arial" w:cstheme="minorHAnsi"/>
          <w:sz w:val="24"/>
          <w:szCs w:val="24"/>
        </w:rPr>
        <w:t xml:space="preserve">adings in this document refer to </w:t>
      </w:r>
      <w:r w:rsidR="00DC350C">
        <w:rPr>
          <w:rFonts w:eastAsia="Arial" w:cstheme="minorHAnsi"/>
          <w:sz w:val="24"/>
          <w:szCs w:val="24"/>
        </w:rPr>
        <w:t xml:space="preserve">particular </w:t>
      </w:r>
      <w:r w:rsidR="003E3206">
        <w:rPr>
          <w:rFonts w:eastAsia="Arial" w:cstheme="minorHAnsi"/>
          <w:sz w:val="24"/>
          <w:szCs w:val="24"/>
        </w:rPr>
        <w:t>MAI</w:t>
      </w:r>
      <w:r w:rsidR="00DC350C">
        <w:rPr>
          <w:rFonts w:eastAsia="Arial" w:cstheme="minorHAnsi"/>
          <w:sz w:val="24"/>
          <w:szCs w:val="24"/>
        </w:rPr>
        <w:t> </w:t>
      </w:r>
      <w:r w:rsidR="003E3206">
        <w:rPr>
          <w:rFonts w:eastAsia="Arial" w:cstheme="minorHAnsi"/>
          <w:sz w:val="24"/>
          <w:szCs w:val="24"/>
        </w:rPr>
        <w:t xml:space="preserve">guidelines. </w:t>
      </w:r>
    </w:p>
    <w:p w14:paraId="071081BA" w14:textId="5F671016" w:rsidR="00AD6FD5" w:rsidRDefault="00AD6FD5" w:rsidP="006A267E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spacing w:before="240" w:after="0" w:line="240" w:lineRule="auto"/>
        <w:rPr>
          <w:rFonts w:eastAsia="Arial" w:cstheme="minorHAnsi"/>
          <w:b/>
          <w:bCs/>
          <w:sz w:val="24"/>
          <w:szCs w:val="24"/>
        </w:rPr>
      </w:pPr>
      <w:bookmarkStart w:id="2" w:name="_Hlk35518140"/>
      <w:r>
        <w:rPr>
          <w:rFonts w:eastAsia="Arial" w:cstheme="minorHAnsi"/>
          <w:b/>
          <w:bCs/>
          <w:sz w:val="24"/>
          <w:szCs w:val="24"/>
        </w:rPr>
        <w:t>MEDICAL AND OTHER ASSESSMENTS</w:t>
      </w:r>
    </w:p>
    <w:p w14:paraId="1C091F93" w14:textId="56A26A96" w:rsidR="003E5238" w:rsidRDefault="003E5238">
      <w:pPr>
        <w:widowControl w:val="0"/>
        <w:tabs>
          <w:tab w:val="left" w:pos="0"/>
        </w:tabs>
        <w:autoSpaceDE w:val="0"/>
        <w:autoSpaceDN w:val="0"/>
        <w:spacing w:before="240" w:after="0" w:line="240" w:lineRule="auto"/>
        <w:rPr>
          <w:rFonts w:eastAsia="Arial"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 xml:space="preserve">A number of MAI guidelines </w:t>
      </w:r>
      <w:r w:rsidR="00876AFE">
        <w:rPr>
          <w:rFonts w:eastAsia="Arial" w:cstheme="minorHAnsi"/>
          <w:sz w:val="24"/>
          <w:szCs w:val="24"/>
        </w:rPr>
        <w:t xml:space="preserve">provide for the </w:t>
      </w:r>
      <w:r>
        <w:rPr>
          <w:rFonts w:eastAsia="Arial" w:cstheme="minorHAnsi"/>
          <w:sz w:val="24"/>
          <w:szCs w:val="24"/>
        </w:rPr>
        <w:t xml:space="preserve">circumstances and procedures for referring injured people for medical and other assessments. This </w:t>
      </w:r>
      <w:r w:rsidR="00434232">
        <w:rPr>
          <w:rFonts w:eastAsia="Arial" w:cstheme="minorHAnsi"/>
          <w:sz w:val="24"/>
          <w:szCs w:val="24"/>
        </w:rPr>
        <w:t>section</w:t>
      </w:r>
      <w:r>
        <w:rPr>
          <w:rFonts w:eastAsia="Arial" w:cstheme="minorHAnsi"/>
          <w:sz w:val="24"/>
          <w:szCs w:val="24"/>
        </w:rPr>
        <w:t xml:space="preserve"> applies to all referrals under the MAI Act and guidelines for such assessments.</w:t>
      </w:r>
    </w:p>
    <w:p w14:paraId="73015441" w14:textId="2AF1DF1D" w:rsidR="006D71D9" w:rsidRDefault="00AD6FD5">
      <w:pPr>
        <w:widowControl w:val="0"/>
        <w:tabs>
          <w:tab w:val="left" w:pos="0"/>
        </w:tabs>
        <w:autoSpaceDE w:val="0"/>
        <w:autoSpaceDN w:val="0"/>
        <w:spacing w:before="240" w:after="0" w:line="240" w:lineRule="auto"/>
        <w:rPr>
          <w:rFonts w:eastAsia="Arial"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 xml:space="preserve">An insurer should consider whether it is essential to refer an injured person for an assessment of their injuries or their fitness for work during the COVID-19 </w:t>
      </w:r>
      <w:r w:rsidR="00127BB5">
        <w:rPr>
          <w:rFonts w:eastAsia="Arial" w:cstheme="minorHAnsi"/>
          <w:sz w:val="24"/>
          <w:szCs w:val="24"/>
        </w:rPr>
        <w:t>p</w:t>
      </w:r>
      <w:r>
        <w:rPr>
          <w:rFonts w:eastAsia="Arial" w:cstheme="minorHAnsi"/>
          <w:sz w:val="24"/>
          <w:szCs w:val="24"/>
        </w:rPr>
        <w:t>andemic</w:t>
      </w:r>
      <w:r w:rsidR="00A945FB">
        <w:rPr>
          <w:rFonts w:eastAsia="Arial" w:cstheme="minorHAnsi"/>
          <w:sz w:val="24"/>
          <w:szCs w:val="24"/>
        </w:rPr>
        <w:t>,</w:t>
      </w:r>
      <w:r w:rsidR="005F3636">
        <w:rPr>
          <w:rFonts w:eastAsia="Arial" w:cstheme="minorHAnsi"/>
          <w:sz w:val="24"/>
          <w:szCs w:val="24"/>
        </w:rPr>
        <w:t xml:space="preserve"> </w:t>
      </w:r>
      <w:r w:rsidR="008D3D72">
        <w:rPr>
          <w:rFonts w:eastAsia="Arial" w:cstheme="minorHAnsi"/>
          <w:sz w:val="24"/>
          <w:szCs w:val="24"/>
        </w:rPr>
        <w:t>if the assessment requires</w:t>
      </w:r>
      <w:r w:rsidR="005F3636">
        <w:rPr>
          <w:rFonts w:eastAsia="Arial" w:cstheme="minorHAnsi"/>
          <w:sz w:val="24"/>
          <w:szCs w:val="24"/>
        </w:rPr>
        <w:t xml:space="preserve"> physical attendance</w:t>
      </w:r>
      <w:r w:rsidR="006D71D9">
        <w:rPr>
          <w:rFonts w:eastAsia="Arial" w:cstheme="minorHAnsi"/>
          <w:sz w:val="24"/>
          <w:szCs w:val="24"/>
        </w:rPr>
        <w:t xml:space="preserve"> </w:t>
      </w:r>
      <w:r w:rsidR="00A945FB">
        <w:rPr>
          <w:rFonts w:eastAsia="Arial" w:cstheme="minorHAnsi"/>
          <w:sz w:val="24"/>
          <w:szCs w:val="24"/>
        </w:rPr>
        <w:t xml:space="preserve">at </w:t>
      </w:r>
      <w:r w:rsidR="006D71D9">
        <w:rPr>
          <w:rFonts w:eastAsia="Arial" w:cstheme="minorHAnsi"/>
          <w:sz w:val="24"/>
          <w:szCs w:val="24"/>
        </w:rPr>
        <w:t>an appointment with a medical or allied health professional</w:t>
      </w:r>
      <w:r w:rsidR="005F3636">
        <w:rPr>
          <w:rFonts w:eastAsia="Arial" w:cstheme="minorHAnsi"/>
          <w:sz w:val="24"/>
          <w:szCs w:val="24"/>
        </w:rPr>
        <w:t xml:space="preserve"> by the injured person</w:t>
      </w:r>
      <w:r>
        <w:rPr>
          <w:rFonts w:eastAsia="Arial" w:cstheme="minorHAnsi"/>
          <w:sz w:val="24"/>
          <w:szCs w:val="24"/>
        </w:rPr>
        <w:t>.</w:t>
      </w:r>
      <w:r w:rsidR="008D3D72">
        <w:rPr>
          <w:rFonts w:eastAsia="Arial" w:cstheme="minorHAnsi"/>
          <w:sz w:val="24"/>
          <w:szCs w:val="24"/>
        </w:rPr>
        <w:t xml:space="preserve"> </w:t>
      </w:r>
      <w:r w:rsidR="005F3636">
        <w:rPr>
          <w:rFonts w:eastAsia="Arial" w:cstheme="minorHAnsi"/>
          <w:sz w:val="24"/>
          <w:szCs w:val="24"/>
        </w:rPr>
        <w:t>An insurer should explore other alternatives such as a telehealth appoi</w:t>
      </w:r>
      <w:r w:rsidR="004C7D6F">
        <w:rPr>
          <w:rFonts w:eastAsia="Arial" w:cstheme="minorHAnsi"/>
          <w:sz w:val="24"/>
          <w:szCs w:val="24"/>
        </w:rPr>
        <w:t>ntment</w:t>
      </w:r>
      <w:r w:rsidR="005F3636">
        <w:rPr>
          <w:rFonts w:eastAsia="Arial" w:cstheme="minorHAnsi"/>
          <w:sz w:val="24"/>
          <w:szCs w:val="24"/>
        </w:rPr>
        <w:t xml:space="preserve"> or a </w:t>
      </w:r>
      <w:r w:rsidR="004C7D6F">
        <w:rPr>
          <w:rFonts w:eastAsia="Arial" w:cstheme="minorHAnsi"/>
          <w:sz w:val="24"/>
          <w:szCs w:val="24"/>
        </w:rPr>
        <w:t>desk top</w:t>
      </w:r>
      <w:r w:rsidR="005F3636">
        <w:rPr>
          <w:rFonts w:eastAsia="Arial" w:cstheme="minorHAnsi"/>
          <w:sz w:val="24"/>
          <w:szCs w:val="24"/>
        </w:rPr>
        <w:t xml:space="preserve"> review of </w:t>
      </w:r>
      <w:r w:rsidR="004C7D6F">
        <w:rPr>
          <w:rFonts w:eastAsia="Arial" w:cstheme="minorHAnsi"/>
          <w:sz w:val="24"/>
          <w:szCs w:val="24"/>
        </w:rPr>
        <w:t>existing</w:t>
      </w:r>
      <w:r w:rsidR="005F3636">
        <w:rPr>
          <w:rFonts w:eastAsia="Arial" w:cstheme="minorHAnsi"/>
          <w:sz w:val="24"/>
          <w:szCs w:val="24"/>
        </w:rPr>
        <w:t xml:space="preserve"> medical reports</w:t>
      </w:r>
      <w:r w:rsidR="004C7D6F">
        <w:rPr>
          <w:rFonts w:eastAsia="Arial" w:cstheme="minorHAnsi"/>
          <w:sz w:val="24"/>
          <w:szCs w:val="24"/>
        </w:rPr>
        <w:t xml:space="preserve"> or vocational information</w:t>
      </w:r>
      <w:r w:rsidR="005F3636" w:rsidRPr="00C42B5D">
        <w:rPr>
          <w:rFonts w:eastAsia="Arial" w:cstheme="minorHAnsi"/>
          <w:sz w:val="24"/>
          <w:szCs w:val="24"/>
        </w:rPr>
        <w:t xml:space="preserve">. </w:t>
      </w:r>
    </w:p>
    <w:p w14:paraId="38E907E7" w14:textId="7E2281B3" w:rsidR="0005053E" w:rsidRDefault="00AD6FD5" w:rsidP="00423939">
      <w:pPr>
        <w:widowControl w:val="0"/>
        <w:tabs>
          <w:tab w:val="left" w:pos="0"/>
        </w:tabs>
        <w:autoSpaceDE w:val="0"/>
        <w:autoSpaceDN w:val="0"/>
        <w:spacing w:before="240" w:after="0" w:line="240" w:lineRule="auto"/>
        <w:rPr>
          <w:rFonts w:eastAsia="Arial"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>If t</w:t>
      </w:r>
      <w:r w:rsidR="006D71D9">
        <w:rPr>
          <w:rFonts w:eastAsia="Arial" w:cstheme="minorHAnsi"/>
          <w:sz w:val="24"/>
          <w:szCs w:val="24"/>
        </w:rPr>
        <w:t>he insurer</w:t>
      </w:r>
      <w:r>
        <w:rPr>
          <w:rFonts w:eastAsia="Arial" w:cstheme="minorHAnsi"/>
          <w:sz w:val="24"/>
          <w:szCs w:val="24"/>
        </w:rPr>
        <w:t xml:space="preserve"> consider</w:t>
      </w:r>
      <w:r w:rsidR="006D71D9">
        <w:rPr>
          <w:rFonts w:eastAsia="Arial" w:cstheme="minorHAnsi"/>
          <w:sz w:val="24"/>
          <w:szCs w:val="24"/>
        </w:rPr>
        <w:t>s it</w:t>
      </w:r>
      <w:r>
        <w:rPr>
          <w:rFonts w:eastAsia="Arial" w:cstheme="minorHAnsi"/>
          <w:sz w:val="24"/>
          <w:szCs w:val="24"/>
        </w:rPr>
        <w:t xml:space="preserve"> to be essential </w:t>
      </w:r>
      <w:r w:rsidR="004C7D6F">
        <w:rPr>
          <w:rFonts w:eastAsia="Arial" w:cstheme="minorHAnsi"/>
          <w:sz w:val="24"/>
          <w:szCs w:val="24"/>
        </w:rPr>
        <w:t>for the injured person to attend a</w:t>
      </w:r>
      <w:r>
        <w:rPr>
          <w:rFonts w:eastAsia="Arial" w:cstheme="minorHAnsi"/>
          <w:sz w:val="24"/>
          <w:szCs w:val="24"/>
        </w:rPr>
        <w:t xml:space="preserve"> medical</w:t>
      </w:r>
      <w:r w:rsidR="005A2077">
        <w:rPr>
          <w:rFonts w:eastAsia="Arial" w:cstheme="minorHAnsi"/>
          <w:sz w:val="24"/>
          <w:szCs w:val="24"/>
        </w:rPr>
        <w:t xml:space="preserve"> or vocational</w:t>
      </w:r>
      <w:r>
        <w:rPr>
          <w:rFonts w:eastAsia="Arial" w:cstheme="minorHAnsi"/>
          <w:sz w:val="24"/>
          <w:szCs w:val="24"/>
        </w:rPr>
        <w:t xml:space="preserve"> assessment</w:t>
      </w:r>
      <w:r w:rsidR="005A2077">
        <w:rPr>
          <w:rFonts w:eastAsia="Arial" w:cstheme="minorHAnsi"/>
          <w:sz w:val="24"/>
          <w:szCs w:val="24"/>
        </w:rPr>
        <w:t xml:space="preserve"> </w:t>
      </w:r>
      <w:r>
        <w:rPr>
          <w:rFonts w:eastAsia="Arial" w:cstheme="minorHAnsi"/>
          <w:sz w:val="24"/>
          <w:szCs w:val="24"/>
        </w:rPr>
        <w:t>then an insurer should t</w:t>
      </w:r>
      <w:r w:rsidR="00127BB5">
        <w:rPr>
          <w:rFonts w:eastAsia="Arial" w:cstheme="minorHAnsi"/>
          <w:sz w:val="24"/>
          <w:szCs w:val="24"/>
        </w:rPr>
        <w:t>ake</w:t>
      </w:r>
      <w:r>
        <w:rPr>
          <w:rFonts w:eastAsia="Arial" w:cstheme="minorHAnsi"/>
          <w:sz w:val="24"/>
          <w:szCs w:val="24"/>
        </w:rPr>
        <w:t xml:space="preserve"> reasonable steps </w:t>
      </w:r>
      <w:r w:rsidR="005A2077">
        <w:rPr>
          <w:rFonts w:eastAsia="Arial" w:cstheme="minorHAnsi"/>
          <w:sz w:val="24"/>
          <w:szCs w:val="24"/>
        </w:rPr>
        <w:t xml:space="preserve">for the </w:t>
      </w:r>
      <w:r>
        <w:rPr>
          <w:rFonts w:eastAsia="Arial" w:cstheme="minorHAnsi"/>
          <w:sz w:val="24"/>
          <w:szCs w:val="24"/>
        </w:rPr>
        <w:t>assessment</w:t>
      </w:r>
      <w:r w:rsidR="005A2077">
        <w:rPr>
          <w:rFonts w:eastAsia="Arial" w:cstheme="minorHAnsi"/>
          <w:sz w:val="24"/>
          <w:szCs w:val="24"/>
        </w:rPr>
        <w:t xml:space="preserve"> to be</w:t>
      </w:r>
      <w:r>
        <w:rPr>
          <w:rFonts w:eastAsia="Arial" w:cstheme="minorHAnsi"/>
          <w:sz w:val="24"/>
          <w:szCs w:val="24"/>
        </w:rPr>
        <w:t xml:space="preserve"> conducted </w:t>
      </w:r>
      <w:r w:rsidR="004C7D6F">
        <w:rPr>
          <w:rFonts w:eastAsia="Arial" w:cstheme="minorHAnsi"/>
          <w:sz w:val="24"/>
          <w:szCs w:val="24"/>
        </w:rPr>
        <w:t>at business premises within the ACT</w:t>
      </w:r>
      <w:r w:rsidR="009840C2">
        <w:rPr>
          <w:rFonts w:eastAsia="Arial" w:cstheme="minorHAnsi"/>
          <w:sz w:val="24"/>
          <w:szCs w:val="24"/>
        </w:rPr>
        <w:t xml:space="preserve"> (</w:t>
      </w:r>
      <w:r w:rsidR="004C7D6F">
        <w:rPr>
          <w:rFonts w:eastAsia="Arial" w:cstheme="minorHAnsi"/>
          <w:sz w:val="24"/>
          <w:szCs w:val="24"/>
        </w:rPr>
        <w:t>for an</w:t>
      </w:r>
      <w:r w:rsidR="008D3D72">
        <w:rPr>
          <w:rFonts w:eastAsia="Arial" w:cstheme="minorHAnsi"/>
          <w:sz w:val="24"/>
          <w:szCs w:val="24"/>
        </w:rPr>
        <w:t>y</w:t>
      </w:r>
      <w:r w:rsidR="004C7D6F">
        <w:rPr>
          <w:rFonts w:eastAsia="Arial" w:cstheme="minorHAnsi"/>
          <w:sz w:val="24"/>
          <w:szCs w:val="24"/>
        </w:rPr>
        <w:t xml:space="preserve"> injured person that </w:t>
      </w:r>
      <w:r w:rsidR="005A2077">
        <w:rPr>
          <w:rFonts w:eastAsia="Arial" w:cstheme="minorHAnsi"/>
          <w:sz w:val="24"/>
          <w:szCs w:val="24"/>
        </w:rPr>
        <w:t>resides in the ACT or surround</w:t>
      </w:r>
      <w:r w:rsidR="004C7D6F">
        <w:rPr>
          <w:rFonts w:eastAsia="Arial" w:cstheme="minorHAnsi"/>
          <w:sz w:val="24"/>
          <w:szCs w:val="24"/>
        </w:rPr>
        <w:t>s</w:t>
      </w:r>
      <w:r w:rsidR="009840C2">
        <w:rPr>
          <w:rFonts w:eastAsia="Arial" w:cstheme="minorHAnsi"/>
          <w:sz w:val="24"/>
          <w:szCs w:val="24"/>
        </w:rPr>
        <w:t>)</w:t>
      </w:r>
      <w:r w:rsidR="005A2077">
        <w:rPr>
          <w:rFonts w:eastAsia="Arial" w:cstheme="minorHAnsi"/>
          <w:sz w:val="24"/>
          <w:szCs w:val="24"/>
        </w:rPr>
        <w:t xml:space="preserve">. In arranging any appointment an injured </w:t>
      </w:r>
      <w:r w:rsidR="005F3636">
        <w:rPr>
          <w:rFonts w:eastAsia="Arial" w:cstheme="minorHAnsi"/>
          <w:sz w:val="24"/>
          <w:szCs w:val="24"/>
        </w:rPr>
        <w:t>person should also be informed of the COVID-19 procedures</w:t>
      </w:r>
      <w:r w:rsidR="004C7D6F">
        <w:rPr>
          <w:rFonts w:eastAsia="Arial" w:cstheme="minorHAnsi"/>
          <w:sz w:val="24"/>
          <w:szCs w:val="24"/>
        </w:rPr>
        <w:t xml:space="preserve"> and policies</w:t>
      </w:r>
      <w:r w:rsidR="005F3636">
        <w:rPr>
          <w:rFonts w:eastAsia="Arial" w:cstheme="minorHAnsi"/>
          <w:sz w:val="24"/>
          <w:szCs w:val="24"/>
        </w:rPr>
        <w:t xml:space="preserve"> for the health practitioner.</w:t>
      </w:r>
    </w:p>
    <w:p w14:paraId="376AE11F" w14:textId="1A4B350F" w:rsidR="00EB3462" w:rsidRDefault="00EB3462" w:rsidP="00423939">
      <w:pPr>
        <w:widowControl w:val="0"/>
        <w:tabs>
          <w:tab w:val="left" w:pos="0"/>
        </w:tabs>
        <w:autoSpaceDE w:val="0"/>
        <w:autoSpaceDN w:val="0"/>
        <w:spacing w:before="240" w:after="0" w:line="240" w:lineRule="auto"/>
        <w:rPr>
          <w:rFonts w:eastAsia="Arial" w:cstheme="minorHAnsi"/>
          <w:sz w:val="24"/>
          <w:szCs w:val="24"/>
        </w:rPr>
      </w:pPr>
    </w:p>
    <w:p w14:paraId="53451FDE" w14:textId="77777777" w:rsidR="00EB3462" w:rsidRPr="00423939" w:rsidRDefault="00EB3462" w:rsidP="00423939">
      <w:pPr>
        <w:widowControl w:val="0"/>
        <w:tabs>
          <w:tab w:val="left" w:pos="0"/>
        </w:tabs>
        <w:autoSpaceDE w:val="0"/>
        <w:autoSpaceDN w:val="0"/>
        <w:spacing w:before="240" w:after="0" w:line="240" w:lineRule="auto"/>
        <w:rPr>
          <w:rFonts w:eastAsia="Arial" w:cstheme="minorHAnsi"/>
          <w:sz w:val="24"/>
          <w:szCs w:val="24"/>
        </w:rPr>
      </w:pPr>
    </w:p>
    <w:p w14:paraId="3B4B0F7B" w14:textId="6CE78BD9" w:rsidR="008B11CF" w:rsidRPr="008B11CF" w:rsidRDefault="00FE3D17" w:rsidP="008B11CF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spacing w:before="240" w:after="0" w:line="240" w:lineRule="auto"/>
        <w:rPr>
          <w:rFonts w:eastAsia="Arial" w:cstheme="minorHAnsi"/>
          <w:b/>
          <w:bCs/>
          <w:sz w:val="24"/>
          <w:szCs w:val="24"/>
        </w:rPr>
      </w:pPr>
      <w:r>
        <w:rPr>
          <w:rFonts w:eastAsia="Arial" w:cstheme="minorHAnsi"/>
          <w:b/>
          <w:bCs/>
          <w:sz w:val="24"/>
          <w:szCs w:val="24"/>
        </w:rPr>
        <w:lastRenderedPageBreak/>
        <w:t xml:space="preserve">DEFINED BENEFIT APPLICATION </w:t>
      </w:r>
      <w:r w:rsidR="006A267E">
        <w:rPr>
          <w:rFonts w:eastAsia="Arial" w:cstheme="minorHAnsi"/>
          <w:b/>
          <w:bCs/>
          <w:sz w:val="24"/>
          <w:szCs w:val="24"/>
        </w:rPr>
        <w:t>GUIDELINES</w:t>
      </w:r>
    </w:p>
    <w:bookmarkEnd w:id="2"/>
    <w:p w14:paraId="7FF5CEB4" w14:textId="3F1A3BCD" w:rsidR="00FE3D17" w:rsidRDefault="00FE3D17" w:rsidP="003E3206">
      <w:pPr>
        <w:widowControl w:val="0"/>
        <w:numPr>
          <w:ilvl w:val="1"/>
          <w:numId w:val="2"/>
        </w:numPr>
        <w:tabs>
          <w:tab w:val="left" w:pos="0"/>
        </w:tabs>
        <w:autoSpaceDE w:val="0"/>
        <w:autoSpaceDN w:val="0"/>
        <w:spacing w:before="240" w:after="0" w:line="240" w:lineRule="auto"/>
        <w:ind w:hanging="792"/>
        <w:rPr>
          <w:rFonts w:eastAsia="Arial" w:cstheme="minorHAnsi"/>
          <w:b/>
          <w:bCs/>
          <w:sz w:val="24"/>
          <w:szCs w:val="24"/>
        </w:rPr>
      </w:pPr>
      <w:r>
        <w:rPr>
          <w:rFonts w:eastAsia="Arial" w:cstheme="minorHAnsi"/>
          <w:b/>
          <w:bCs/>
          <w:sz w:val="24"/>
          <w:szCs w:val="24"/>
        </w:rPr>
        <w:t>Giving a receipt notice, late receipt notice, or required additional information notice.</w:t>
      </w:r>
    </w:p>
    <w:p w14:paraId="0A1D7A0A" w14:textId="77777777" w:rsidR="0041498C" w:rsidRDefault="001B5932" w:rsidP="003E3206">
      <w:pPr>
        <w:widowControl w:val="0"/>
        <w:tabs>
          <w:tab w:val="left" w:pos="0"/>
        </w:tabs>
        <w:autoSpaceDE w:val="0"/>
        <w:autoSpaceDN w:val="0"/>
        <w:spacing w:before="240" w:after="0" w:line="240" w:lineRule="auto"/>
        <w:ind w:left="792" w:hanging="792"/>
        <w:rPr>
          <w:rFonts w:eastAsia="Arial"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 xml:space="preserve">Paragraph </w:t>
      </w:r>
      <w:r w:rsidR="00FE3D17">
        <w:rPr>
          <w:rFonts w:eastAsia="Arial" w:cstheme="minorHAnsi"/>
          <w:sz w:val="24"/>
          <w:szCs w:val="24"/>
        </w:rPr>
        <w:t>6.1</w:t>
      </w:r>
      <w:r w:rsidR="004B032D">
        <w:rPr>
          <w:rFonts w:eastAsia="Arial" w:cstheme="minorHAnsi"/>
          <w:sz w:val="24"/>
          <w:szCs w:val="24"/>
        </w:rPr>
        <w:t>.1</w:t>
      </w:r>
      <w:r>
        <w:rPr>
          <w:rFonts w:eastAsia="Arial" w:cstheme="minorHAnsi"/>
          <w:sz w:val="24"/>
          <w:szCs w:val="24"/>
        </w:rPr>
        <w:t xml:space="preserve"> of the </w:t>
      </w:r>
      <w:bookmarkStart w:id="3" w:name="_Hlk36805089"/>
      <w:r w:rsidR="004B032D">
        <w:rPr>
          <w:rFonts w:eastAsia="Arial" w:cstheme="minorHAnsi"/>
          <w:sz w:val="24"/>
          <w:szCs w:val="24"/>
        </w:rPr>
        <w:t>Defined Benefit Application</w:t>
      </w:r>
      <w:r>
        <w:rPr>
          <w:rFonts w:eastAsia="Arial" w:cstheme="minorHAnsi"/>
          <w:sz w:val="24"/>
          <w:szCs w:val="24"/>
        </w:rPr>
        <w:t xml:space="preserve"> </w:t>
      </w:r>
      <w:r w:rsidR="004B032D">
        <w:rPr>
          <w:rFonts w:eastAsia="Arial" w:cstheme="minorHAnsi"/>
          <w:sz w:val="24"/>
          <w:szCs w:val="24"/>
        </w:rPr>
        <w:t>G</w:t>
      </w:r>
      <w:r>
        <w:rPr>
          <w:rFonts w:eastAsia="Arial" w:cstheme="minorHAnsi"/>
          <w:sz w:val="24"/>
          <w:szCs w:val="24"/>
        </w:rPr>
        <w:t>uidelines</w:t>
      </w:r>
      <w:r w:rsidR="00FE3D17">
        <w:rPr>
          <w:rFonts w:eastAsia="Arial" w:cstheme="minorHAnsi"/>
          <w:sz w:val="24"/>
          <w:szCs w:val="24"/>
        </w:rPr>
        <w:t xml:space="preserve"> </w:t>
      </w:r>
      <w:bookmarkEnd w:id="3"/>
      <w:r w:rsidR="00FE3D17">
        <w:rPr>
          <w:rFonts w:eastAsia="Arial" w:cstheme="minorHAnsi"/>
          <w:sz w:val="24"/>
          <w:szCs w:val="24"/>
        </w:rPr>
        <w:t>is</w:t>
      </w:r>
      <w:r w:rsidR="0041498C">
        <w:rPr>
          <w:rFonts w:eastAsia="Arial" w:cstheme="minorHAnsi"/>
          <w:sz w:val="24"/>
          <w:szCs w:val="24"/>
        </w:rPr>
        <w:t xml:space="preserve"> replaced as follows:</w:t>
      </w:r>
    </w:p>
    <w:p w14:paraId="1DFC0C17" w14:textId="69B0A80B" w:rsidR="002E22B8" w:rsidRDefault="0041498C" w:rsidP="00FE3D17">
      <w:pPr>
        <w:widowControl w:val="0"/>
        <w:tabs>
          <w:tab w:val="left" w:pos="0"/>
        </w:tabs>
        <w:autoSpaceDE w:val="0"/>
        <w:autoSpaceDN w:val="0"/>
        <w:spacing w:before="240" w:after="0" w:line="240" w:lineRule="auto"/>
        <w:ind w:left="792"/>
        <w:rPr>
          <w:rFonts w:eastAsia="Arial" w:cs="Calibri"/>
          <w:sz w:val="24"/>
          <w:szCs w:val="24"/>
        </w:rPr>
      </w:pPr>
      <w:r>
        <w:rPr>
          <w:rFonts w:eastAsia="Arial" w:cstheme="minorHAnsi"/>
          <w:sz w:val="24"/>
          <w:szCs w:val="24"/>
        </w:rPr>
        <w:t>A</w:t>
      </w:r>
      <w:r w:rsidR="004B1689">
        <w:rPr>
          <w:rFonts w:eastAsia="Arial" w:cstheme="minorHAnsi"/>
          <w:sz w:val="24"/>
          <w:szCs w:val="24"/>
        </w:rPr>
        <w:t xml:space="preserve">n insurer </w:t>
      </w:r>
      <w:r w:rsidR="00A004FD">
        <w:rPr>
          <w:rFonts w:eastAsia="Arial" w:cstheme="minorHAnsi"/>
          <w:sz w:val="24"/>
          <w:szCs w:val="24"/>
        </w:rPr>
        <w:t>should</w:t>
      </w:r>
      <w:r w:rsidR="0007411E">
        <w:rPr>
          <w:rFonts w:eastAsia="Arial" w:cstheme="minorHAnsi"/>
          <w:sz w:val="24"/>
          <w:szCs w:val="24"/>
        </w:rPr>
        <w:t xml:space="preserve"> aim to</w:t>
      </w:r>
      <w:r w:rsidR="004B1689">
        <w:rPr>
          <w:rFonts w:eastAsia="Arial" w:cstheme="minorHAnsi"/>
          <w:sz w:val="24"/>
          <w:szCs w:val="24"/>
        </w:rPr>
        <w:t xml:space="preserve"> provide a</w:t>
      </w:r>
      <w:r w:rsidR="00FE3D17">
        <w:rPr>
          <w:rFonts w:eastAsia="Arial" w:cstheme="minorHAnsi"/>
          <w:sz w:val="24"/>
          <w:szCs w:val="24"/>
        </w:rPr>
        <w:t xml:space="preserve"> receipt notice, late receipt notice or a required additional information notice,</w:t>
      </w:r>
      <w:r w:rsidR="00A004FD">
        <w:rPr>
          <w:rFonts w:eastAsia="Arial" w:cstheme="minorHAnsi"/>
          <w:sz w:val="24"/>
          <w:szCs w:val="24"/>
        </w:rPr>
        <w:t xml:space="preserve"> within 5 business days of an application being received. If a notice is delayed beyond this timeframe </w:t>
      </w:r>
      <w:r w:rsidR="00245BAC">
        <w:rPr>
          <w:rFonts w:eastAsia="Arial" w:cstheme="minorHAnsi"/>
          <w:sz w:val="24"/>
          <w:szCs w:val="24"/>
        </w:rPr>
        <w:t>relating to</w:t>
      </w:r>
      <w:r w:rsidR="00A004FD">
        <w:rPr>
          <w:rFonts w:eastAsia="Arial" w:cstheme="minorHAnsi"/>
          <w:sz w:val="24"/>
          <w:szCs w:val="24"/>
        </w:rPr>
        <w:t xml:space="preserve"> disruptions </w:t>
      </w:r>
      <w:r w:rsidR="00245BAC">
        <w:rPr>
          <w:rFonts w:eastAsia="Arial" w:cstheme="minorHAnsi"/>
          <w:sz w:val="24"/>
          <w:szCs w:val="24"/>
        </w:rPr>
        <w:t>with</w:t>
      </w:r>
      <w:r w:rsidR="00324ED8">
        <w:rPr>
          <w:rFonts w:eastAsia="Arial" w:cstheme="minorHAnsi"/>
          <w:sz w:val="24"/>
          <w:szCs w:val="24"/>
        </w:rPr>
        <w:t xml:space="preserve"> </w:t>
      </w:r>
      <w:r w:rsidR="00A004FD">
        <w:rPr>
          <w:rFonts w:eastAsia="Arial" w:cstheme="minorHAnsi"/>
          <w:sz w:val="24"/>
          <w:szCs w:val="24"/>
        </w:rPr>
        <w:t>the insurer’s business as a result of COVID</w:t>
      </w:r>
      <w:r w:rsidR="00DC350C">
        <w:rPr>
          <w:rFonts w:eastAsia="Arial" w:cstheme="minorHAnsi"/>
          <w:sz w:val="24"/>
          <w:szCs w:val="24"/>
        </w:rPr>
        <w:t>-</w:t>
      </w:r>
      <w:r w:rsidR="00A004FD">
        <w:rPr>
          <w:rFonts w:eastAsia="Arial" w:cstheme="minorHAnsi"/>
          <w:sz w:val="24"/>
          <w:szCs w:val="24"/>
        </w:rPr>
        <w:t>19, it must be</w:t>
      </w:r>
      <w:r w:rsidR="009A5EBC">
        <w:rPr>
          <w:rFonts w:eastAsia="Arial" w:cstheme="minorHAnsi"/>
          <w:sz w:val="24"/>
          <w:szCs w:val="24"/>
        </w:rPr>
        <w:t xml:space="preserve"> given to an applicant</w:t>
      </w:r>
      <w:r w:rsidR="00B552E9">
        <w:rPr>
          <w:rFonts w:eastAsia="Arial" w:cstheme="minorHAnsi"/>
          <w:sz w:val="24"/>
          <w:szCs w:val="24"/>
        </w:rPr>
        <w:t xml:space="preserve"> </w:t>
      </w:r>
      <w:r w:rsidR="009A5EBC">
        <w:rPr>
          <w:rFonts w:eastAsia="Arial" w:cstheme="minorHAnsi"/>
          <w:sz w:val="24"/>
          <w:szCs w:val="24"/>
        </w:rPr>
        <w:t xml:space="preserve">no later than </w:t>
      </w:r>
      <w:r w:rsidR="00080998">
        <w:rPr>
          <w:rFonts w:eastAsia="Arial" w:cstheme="minorHAnsi"/>
          <w:sz w:val="24"/>
          <w:szCs w:val="24"/>
        </w:rPr>
        <w:t xml:space="preserve">7 </w:t>
      </w:r>
      <w:r w:rsidR="00B552E9">
        <w:rPr>
          <w:rFonts w:eastAsia="Arial" w:cstheme="minorHAnsi"/>
          <w:sz w:val="24"/>
          <w:szCs w:val="24"/>
        </w:rPr>
        <w:t xml:space="preserve">business days </w:t>
      </w:r>
      <w:r w:rsidR="009A5EBC">
        <w:rPr>
          <w:rFonts w:eastAsia="Arial" w:cstheme="minorHAnsi"/>
          <w:sz w:val="24"/>
          <w:szCs w:val="24"/>
        </w:rPr>
        <w:t xml:space="preserve">after the day the </w:t>
      </w:r>
      <w:r w:rsidR="00FE3D17">
        <w:rPr>
          <w:rFonts w:eastAsia="Arial" w:cstheme="minorHAnsi"/>
          <w:sz w:val="24"/>
          <w:szCs w:val="24"/>
        </w:rPr>
        <w:t xml:space="preserve">application </w:t>
      </w:r>
      <w:r w:rsidR="009A5EBC">
        <w:rPr>
          <w:rFonts w:eastAsia="Arial" w:cstheme="minorHAnsi"/>
          <w:sz w:val="24"/>
          <w:szCs w:val="24"/>
        </w:rPr>
        <w:t>was</w:t>
      </w:r>
      <w:r w:rsidR="00FE3D17">
        <w:rPr>
          <w:rFonts w:eastAsia="Arial" w:cstheme="minorHAnsi"/>
          <w:sz w:val="24"/>
          <w:szCs w:val="24"/>
        </w:rPr>
        <w:t xml:space="preserve"> received.</w:t>
      </w:r>
      <w:r w:rsidR="00081B48" w:rsidRPr="00081B48">
        <w:rPr>
          <w:rFonts w:eastAsia="Arial" w:cs="Calibri"/>
          <w:sz w:val="24"/>
          <w:szCs w:val="24"/>
        </w:rPr>
        <w:t xml:space="preserve"> </w:t>
      </w:r>
      <w:r w:rsidR="00081B48">
        <w:rPr>
          <w:rFonts w:eastAsia="Arial" w:cs="Calibri"/>
          <w:sz w:val="24"/>
          <w:szCs w:val="24"/>
        </w:rPr>
        <w:t>The notice is to be given in writing</w:t>
      </w:r>
      <w:r w:rsidR="002E22B8">
        <w:rPr>
          <w:rFonts w:eastAsia="Arial" w:cs="Calibri"/>
          <w:sz w:val="24"/>
          <w:szCs w:val="24"/>
        </w:rPr>
        <w:t xml:space="preserve">, with electronic means preferred. </w:t>
      </w:r>
    </w:p>
    <w:p w14:paraId="04826EDB" w14:textId="648ED03E" w:rsidR="00FE3D17" w:rsidRPr="00FE3D17" w:rsidRDefault="002E22B8" w:rsidP="00FE3D17">
      <w:pPr>
        <w:widowControl w:val="0"/>
        <w:tabs>
          <w:tab w:val="left" w:pos="0"/>
        </w:tabs>
        <w:autoSpaceDE w:val="0"/>
        <w:autoSpaceDN w:val="0"/>
        <w:spacing w:before="240" w:after="0" w:line="240" w:lineRule="auto"/>
        <w:ind w:left="792"/>
        <w:rPr>
          <w:rFonts w:eastAsia="Arial" w:cstheme="minorHAnsi"/>
          <w:sz w:val="24"/>
          <w:szCs w:val="24"/>
        </w:rPr>
      </w:pPr>
      <w:r>
        <w:rPr>
          <w:rFonts w:eastAsia="Arial" w:cs="Calibri"/>
          <w:sz w:val="24"/>
          <w:szCs w:val="24"/>
        </w:rPr>
        <w:t xml:space="preserve">Where posting is required, a notice </w:t>
      </w:r>
      <w:r w:rsidR="00081B48">
        <w:rPr>
          <w:rFonts w:eastAsia="Arial" w:cs="Calibri"/>
          <w:sz w:val="24"/>
          <w:szCs w:val="24"/>
        </w:rPr>
        <w:t>given, under section 60</w:t>
      </w:r>
      <w:r w:rsidR="00080998">
        <w:rPr>
          <w:rFonts w:eastAsia="Arial" w:cs="Calibri"/>
          <w:sz w:val="24"/>
          <w:szCs w:val="24"/>
        </w:rPr>
        <w:t xml:space="preserve"> of the MAI Act</w:t>
      </w:r>
      <w:r w:rsidR="00081B48">
        <w:rPr>
          <w:rFonts w:eastAsia="Arial" w:cs="Calibri"/>
          <w:sz w:val="24"/>
          <w:szCs w:val="24"/>
        </w:rPr>
        <w:t>, by post will be taken to be given on the day it is posted</w:t>
      </w:r>
      <w:r>
        <w:rPr>
          <w:rFonts w:eastAsia="Arial" w:cs="Calibri"/>
          <w:sz w:val="24"/>
          <w:szCs w:val="24"/>
        </w:rPr>
        <w:t xml:space="preserve"> by the insurer</w:t>
      </w:r>
      <w:r w:rsidR="00081B48">
        <w:rPr>
          <w:rFonts w:eastAsia="Arial" w:cs="Calibri"/>
          <w:sz w:val="24"/>
          <w:szCs w:val="24"/>
        </w:rPr>
        <w:t>, and not on the day that it would have been delivered to the</w:t>
      </w:r>
      <w:r w:rsidR="00081B48">
        <w:rPr>
          <w:rFonts w:eastAsia="Arial" w:cs="Calibri"/>
          <w:spacing w:val="-1"/>
          <w:sz w:val="24"/>
          <w:szCs w:val="24"/>
        </w:rPr>
        <w:t xml:space="preserve"> </w:t>
      </w:r>
      <w:r w:rsidR="00081B48">
        <w:rPr>
          <w:rFonts w:eastAsia="Arial" w:cs="Calibri"/>
          <w:sz w:val="24"/>
          <w:szCs w:val="24"/>
        </w:rPr>
        <w:t>applicant</w:t>
      </w:r>
      <w:r>
        <w:rPr>
          <w:rFonts w:eastAsia="Arial" w:cs="Calibri"/>
          <w:sz w:val="24"/>
          <w:szCs w:val="24"/>
        </w:rPr>
        <w:t>.</w:t>
      </w:r>
    </w:p>
    <w:p w14:paraId="71C86EE2" w14:textId="1FF2EF8A" w:rsidR="00FE3D17" w:rsidRDefault="00FE3D17" w:rsidP="003E3206">
      <w:pPr>
        <w:pStyle w:val="ListParagraph"/>
        <w:widowControl w:val="0"/>
        <w:numPr>
          <w:ilvl w:val="1"/>
          <w:numId w:val="2"/>
        </w:numPr>
        <w:tabs>
          <w:tab w:val="left" w:pos="0"/>
        </w:tabs>
        <w:autoSpaceDE w:val="0"/>
        <w:autoSpaceDN w:val="0"/>
        <w:spacing w:before="240" w:after="0" w:line="240" w:lineRule="auto"/>
        <w:ind w:hanging="792"/>
        <w:rPr>
          <w:rFonts w:eastAsia="Arial" w:cstheme="minorHAnsi"/>
          <w:b/>
          <w:bCs/>
          <w:sz w:val="24"/>
          <w:szCs w:val="24"/>
        </w:rPr>
      </w:pPr>
      <w:r>
        <w:rPr>
          <w:rFonts w:eastAsia="Arial" w:cstheme="minorHAnsi"/>
          <w:b/>
          <w:bCs/>
          <w:sz w:val="24"/>
          <w:szCs w:val="24"/>
        </w:rPr>
        <w:t>Late application</w:t>
      </w:r>
      <w:r w:rsidR="00B552E9">
        <w:rPr>
          <w:rFonts w:eastAsia="Arial" w:cstheme="minorHAnsi"/>
          <w:b/>
          <w:bCs/>
          <w:sz w:val="24"/>
          <w:szCs w:val="24"/>
        </w:rPr>
        <w:t>s</w:t>
      </w:r>
    </w:p>
    <w:p w14:paraId="699B7138" w14:textId="0EC08935" w:rsidR="00245BAC" w:rsidRPr="00423939" w:rsidRDefault="00245BAC" w:rsidP="00423939">
      <w:pPr>
        <w:widowControl w:val="0"/>
        <w:tabs>
          <w:tab w:val="left" w:pos="0"/>
        </w:tabs>
        <w:autoSpaceDE w:val="0"/>
        <w:autoSpaceDN w:val="0"/>
        <w:spacing w:before="240" w:after="0" w:line="240" w:lineRule="auto"/>
        <w:rPr>
          <w:rFonts w:eastAsia="Arial"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 xml:space="preserve">The period to make an application for defined benefits is 13 weeks beginning on the date of the motor accident. A late application may be made after this period has passed, provided that a full and satisfactory explanation is provided by the applicant. </w:t>
      </w:r>
      <w:r w:rsidR="00E02ADF">
        <w:rPr>
          <w:rFonts w:eastAsia="Arial" w:cstheme="minorHAnsi"/>
          <w:sz w:val="24"/>
          <w:szCs w:val="24"/>
        </w:rPr>
        <w:t xml:space="preserve">In considering a late application </w:t>
      </w:r>
      <w:r w:rsidR="005154F9">
        <w:rPr>
          <w:rFonts w:eastAsia="Arial" w:cstheme="minorHAnsi"/>
          <w:sz w:val="24"/>
          <w:szCs w:val="24"/>
        </w:rPr>
        <w:t>under section 59(2) that is made within 3 months after the 13 week period</w:t>
      </w:r>
      <w:r w:rsidR="00AA7D62">
        <w:rPr>
          <w:rFonts w:eastAsia="Arial" w:cstheme="minorHAnsi"/>
          <w:sz w:val="24"/>
          <w:szCs w:val="24"/>
        </w:rPr>
        <w:t xml:space="preserve"> </w:t>
      </w:r>
      <w:r w:rsidR="00162971">
        <w:rPr>
          <w:rFonts w:eastAsia="Arial" w:cstheme="minorHAnsi"/>
          <w:sz w:val="24"/>
          <w:szCs w:val="24"/>
        </w:rPr>
        <w:t>during</w:t>
      </w:r>
      <w:r w:rsidR="00AA7D62">
        <w:rPr>
          <w:rFonts w:eastAsia="Arial" w:cstheme="minorHAnsi"/>
          <w:sz w:val="24"/>
          <w:szCs w:val="24"/>
        </w:rPr>
        <w:t xml:space="preserve"> 2020</w:t>
      </w:r>
      <w:r w:rsidR="005154F9">
        <w:rPr>
          <w:rFonts w:eastAsia="Arial" w:cstheme="minorHAnsi"/>
          <w:sz w:val="24"/>
          <w:szCs w:val="24"/>
        </w:rPr>
        <w:t xml:space="preserve">, </w:t>
      </w:r>
      <w:r w:rsidR="00E02ADF">
        <w:rPr>
          <w:rFonts w:eastAsia="Arial" w:cstheme="minorHAnsi"/>
          <w:sz w:val="24"/>
          <w:szCs w:val="24"/>
        </w:rPr>
        <w:t xml:space="preserve">an insurer may have regard to the following circumstances: </w:t>
      </w:r>
    </w:p>
    <w:p w14:paraId="6013DDB3" w14:textId="0E20412C" w:rsidR="002E22B8" w:rsidRDefault="002E22B8" w:rsidP="00423939">
      <w:pPr>
        <w:pStyle w:val="ListParagraph"/>
        <w:widowControl w:val="0"/>
        <w:tabs>
          <w:tab w:val="left" w:pos="0"/>
        </w:tabs>
        <w:autoSpaceDE w:val="0"/>
        <w:autoSpaceDN w:val="0"/>
        <w:spacing w:before="240" w:after="0" w:line="240" w:lineRule="auto"/>
        <w:rPr>
          <w:rFonts w:eastAsia="Arial"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 xml:space="preserve">The injured person was self-isolating, </w:t>
      </w:r>
      <w:r w:rsidR="00E02ADF">
        <w:rPr>
          <w:rFonts w:eastAsia="Arial" w:cstheme="minorHAnsi"/>
          <w:sz w:val="24"/>
          <w:szCs w:val="24"/>
        </w:rPr>
        <w:t xml:space="preserve">or </w:t>
      </w:r>
      <w:r>
        <w:rPr>
          <w:rFonts w:eastAsia="Arial" w:cstheme="minorHAnsi"/>
          <w:sz w:val="24"/>
          <w:szCs w:val="24"/>
        </w:rPr>
        <w:t>caring for another family member that was self-isolating, restricting the person</w:t>
      </w:r>
      <w:r w:rsidR="00AA7D62">
        <w:rPr>
          <w:rFonts w:eastAsia="Arial" w:cstheme="minorHAnsi"/>
          <w:sz w:val="24"/>
          <w:szCs w:val="24"/>
        </w:rPr>
        <w:t>’</w:t>
      </w:r>
      <w:r>
        <w:rPr>
          <w:rFonts w:eastAsia="Arial" w:cstheme="minorHAnsi"/>
          <w:sz w:val="24"/>
          <w:szCs w:val="24"/>
        </w:rPr>
        <w:t>s ability to attend a medical practice or obtain the medical report for the application</w:t>
      </w:r>
      <w:r w:rsidR="00E02ADF">
        <w:rPr>
          <w:rFonts w:eastAsia="Arial" w:cstheme="minorHAnsi"/>
          <w:sz w:val="24"/>
          <w:szCs w:val="24"/>
        </w:rPr>
        <w:t xml:space="preserve">, and the individual was able to demonstrate reasonable attempts to access medical services through telehealth and other means </w:t>
      </w:r>
      <w:r w:rsidR="005154F9">
        <w:rPr>
          <w:rFonts w:eastAsia="Arial" w:cstheme="minorHAnsi"/>
          <w:sz w:val="24"/>
          <w:szCs w:val="24"/>
        </w:rPr>
        <w:t xml:space="preserve">made </w:t>
      </w:r>
      <w:r w:rsidR="00E02ADF">
        <w:rPr>
          <w:rFonts w:eastAsia="Arial" w:cstheme="minorHAnsi"/>
          <w:sz w:val="24"/>
          <w:szCs w:val="24"/>
        </w:rPr>
        <w:t>available</w:t>
      </w:r>
      <w:r w:rsidR="005154F9">
        <w:rPr>
          <w:rFonts w:eastAsia="Arial" w:cstheme="minorHAnsi"/>
          <w:sz w:val="24"/>
          <w:szCs w:val="24"/>
        </w:rPr>
        <w:t xml:space="preserve"> in response to COVID-19</w:t>
      </w:r>
      <w:r w:rsidR="00E02ADF">
        <w:rPr>
          <w:rFonts w:eastAsia="Arial" w:cstheme="minorHAnsi"/>
          <w:sz w:val="24"/>
          <w:szCs w:val="24"/>
        </w:rPr>
        <w:t xml:space="preserve">.  </w:t>
      </w:r>
    </w:p>
    <w:p w14:paraId="04F335C6" w14:textId="77777777" w:rsidR="003E3206" w:rsidRDefault="003E3206" w:rsidP="00B552E9">
      <w:pPr>
        <w:pStyle w:val="ListParagraph"/>
        <w:widowControl w:val="0"/>
        <w:tabs>
          <w:tab w:val="left" w:pos="0"/>
        </w:tabs>
        <w:autoSpaceDE w:val="0"/>
        <w:autoSpaceDN w:val="0"/>
        <w:spacing w:before="240" w:after="0" w:line="240" w:lineRule="auto"/>
        <w:ind w:left="792"/>
        <w:rPr>
          <w:rFonts w:eastAsia="Arial" w:cstheme="minorHAnsi"/>
          <w:sz w:val="24"/>
          <w:szCs w:val="24"/>
        </w:rPr>
      </w:pPr>
    </w:p>
    <w:p w14:paraId="529F5E25" w14:textId="373DF6A7" w:rsidR="00270D45" w:rsidRPr="000045ED" w:rsidRDefault="00270D45" w:rsidP="00270D45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spacing w:before="240" w:after="0" w:line="240" w:lineRule="auto"/>
        <w:rPr>
          <w:rFonts w:eastAsia="Arial" w:cstheme="minorHAnsi"/>
          <w:b/>
          <w:bCs/>
          <w:sz w:val="24"/>
          <w:szCs w:val="24"/>
        </w:rPr>
      </w:pPr>
      <w:r w:rsidRPr="000045ED">
        <w:rPr>
          <w:rFonts w:eastAsia="Arial" w:cstheme="minorHAnsi"/>
          <w:b/>
          <w:bCs/>
          <w:sz w:val="24"/>
          <w:szCs w:val="24"/>
        </w:rPr>
        <w:t>TREATMENT AND CARE GUIDELINES</w:t>
      </w:r>
    </w:p>
    <w:p w14:paraId="40A12109" w14:textId="0670FAD2" w:rsidR="006C2227" w:rsidRPr="00423939" w:rsidRDefault="00270D45" w:rsidP="00423939">
      <w:pPr>
        <w:widowControl w:val="0"/>
        <w:numPr>
          <w:ilvl w:val="1"/>
          <w:numId w:val="2"/>
        </w:numPr>
        <w:tabs>
          <w:tab w:val="left" w:pos="0"/>
        </w:tabs>
        <w:autoSpaceDE w:val="0"/>
        <w:autoSpaceDN w:val="0"/>
        <w:spacing w:before="240" w:after="0" w:line="240" w:lineRule="auto"/>
        <w:ind w:hanging="792"/>
        <w:rPr>
          <w:rFonts w:eastAsia="Arial" w:cstheme="minorHAnsi"/>
          <w:b/>
          <w:bCs/>
          <w:sz w:val="24"/>
          <w:szCs w:val="24"/>
        </w:rPr>
      </w:pPr>
      <w:r w:rsidRPr="000045ED">
        <w:rPr>
          <w:rFonts w:eastAsia="Arial" w:cstheme="minorHAnsi"/>
          <w:b/>
          <w:bCs/>
          <w:sz w:val="24"/>
          <w:szCs w:val="24"/>
        </w:rPr>
        <w:t>Timeframe to give a recovery plan to an injured person and their doctor</w:t>
      </w:r>
    </w:p>
    <w:p w14:paraId="28C47D7C" w14:textId="5E76D88B" w:rsidR="00DF08D0" w:rsidRDefault="001B5932" w:rsidP="003461C1">
      <w:pPr>
        <w:widowControl w:val="0"/>
        <w:tabs>
          <w:tab w:val="left" w:pos="0"/>
        </w:tabs>
        <w:autoSpaceDE w:val="0"/>
        <w:autoSpaceDN w:val="0"/>
        <w:spacing w:before="240" w:after="0" w:line="240" w:lineRule="auto"/>
        <w:rPr>
          <w:rFonts w:eastAsia="Arial" w:cstheme="minorHAnsi"/>
          <w:sz w:val="24"/>
          <w:szCs w:val="24"/>
        </w:rPr>
      </w:pPr>
      <w:r w:rsidRPr="0087114F">
        <w:rPr>
          <w:rFonts w:eastAsia="Arial" w:cstheme="minorHAnsi"/>
          <w:sz w:val="24"/>
          <w:szCs w:val="24"/>
        </w:rPr>
        <w:t>Paragraph</w:t>
      </w:r>
      <w:r w:rsidR="00270D45" w:rsidRPr="0087114F">
        <w:rPr>
          <w:rFonts w:eastAsia="Arial" w:cstheme="minorHAnsi"/>
          <w:sz w:val="24"/>
          <w:szCs w:val="24"/>
        </w:rPr>
        <w:t xml:space="preserve"> </w:t>
      </w:r>
      <w:r w:rsidR="00B8465F" w:rsidRPr="0087114F">
        <w:rPr>
          <w:rFonts w:eastAsia="Arial" w:cstheme="minorHAnsi"/>
          <w:sz w:val="24"/>
          <w:szCs w:val="24"/>
        </w:rPr>
        <w:t>4.2</w:t>
      </w:r>
      <w:r w:rsidR="0087114F" w:rsidRPr="0087114F">
        <w:rPr>
          <w:rFonts w:eastAsia="Arial" w:cstheme="minorHAnsi"/>
          <w:sz w:val="24"/>
          <w:szCs w:val="24"/>
        </w:rPr>
        <w:t>.2</w:t>
      </w:r>
      <w:r w:rsidR="003E5238">
        <w:rPr>
          <w:rFonts w:eastAsia="Arial" w:cstheme="minorHAnsi"/>
          <w:sz w:val="24"/>
          <w:szCs w:val="24"/>
        </w:rPr>
        <w:t>(</w:t>
      </w:r>
      <w:r w:rsidR="00434232">
        <w:rPr>
          <w:rFonts w:eastAsia="Arial" w:cstheme="minorHAnsi"/>
          <w:sz w:val="24"/>
          <w:szCs w:val="24"/>
        </w:rPr>
        <w:t>A</w:t>
      </w:r>
      <w:r w:rsidR="003E5238">
        <w:rPr>
          <w:rFonts w:eastAsia="Arial" w:cstheme="minorHAnsi"/>
          <w:sz w:val="24"/>
          <w:szCs w:val="24"/>
        </w:rPr>
        <w:t>) is inserted into</w:t>
      </w:r>
      <w:r w:rsidRPr="0087114F">
        <w:rPr>
          <w:rFonts w:eastAsia="Arial" w:cstheme="minorHAnsi"/>
          <w:sz w:val="24"/>
          <w:szCs w:val="24"/>
        </w:rPr>
        <w:t xml:space="preserve"> the </w:t>
      </w:r>
      <w:r w:rsidR="004B032D" w:rsidRPr="0087114F">
        <w:rPr>
          <w:rFonts w:eastAsia="Arial" w:cstheme="minorHAnsi"/>
          <w:sz w:val="24"/>
          <w:szCs w:val="24"/>
        </w:rPr>
        <w:t>T</w:t>
      </w:r>
      <w:r w:rsidRPr="0087114F">
        <w:rPr>
          <w:rFonts w:eastAsia="Arial" w:cstheme="minorHAnsi"/>
          <w:sz w:val="24"/>
          <w:szCs w:val="24"/>
        </w:rPr>
        <w:t xml:space="preserve">reatment and </w:t>
      </w:r>
      <w:r w:rsidR="004B032D" w:rsidRPr="0087114F">
        <w:rPr>
          <w:rFonts w:eastAsia="Arial" w:cstheme="minorHAnsi"/>
          <w:sz w:val="24"/>
          <w:szCs w:val="24"/>
        </w:rPr>
        <w:t>C</w:t>
      </w:r>
      <w:r w:rsidRPr="0087114F">
        <w:rPr>
          <w:rFonts w:eastAsia="Arial" w:cstheme="minorHAnsi"/>
          <w:sz w:val="24"/>
          <w:szCs w:val="24"/>
        </w:rPr>
        <w:t xml:space="preserve">are </w:t>
      </w:r>
      <w:r w:rsidR="004B032D" w:rsidRPr="0087114F">
        <w:rPr>
          <w:rFonts w:eastAsia="Arial" w:cstheme="minorHAnsi"/>
          <w:sz w:val="24"/>
          <w:szCs w:val="24"/>
        </w:rPr>
        <w:t>G</w:t>
      </w:r>
      <w:r w:rsidRPr="0087114F">
        <w:rPr>
          <w:rFonts w:eastAsia="Arial" w:cstheme="minorHAnsi"/>
          <w:sz w:val="24"/>
          <w:szCs w:val="24"/>
        </w:rPr>
        <w:t>uidelines</w:t>
      </w:r>
      <w:r w:rsidR="00270D45" w:rsidRPr="0087114F">
        <w:rPr>
          <w:rFonts w:eastAsia="Arial" w:cstheme="minorHAnsi"/>
          <w:sz w:val="24"/>
          <w:szCs w:val="24"/>
        </w:rPr>
        <w:t xml:space="preserve"> </w:t>
      </w:r>
      <w:r w:rsidR="003E5238">
        <w:rPr>
          <w:rFonts w:eastAsia="Arial" w:cstheme="minorHAnsi"/>
          <w:sz w:val="24"/>
          <w:szCs w:val="24"/>
        </w:rPr>
        <w:t>after paragraph 4.2.2 as follows.</w:t>
      </w:r>
      <w:r w:rsidR="00DF08D0">
        <w:rPr>
          <w:rFonts w:eastAsia="Arial" w:cstheme="minorHAnsi"/>
          <w:sz w:val="24"/>
          <w:szCs w:val="24"/>
        </w:rPr>
        <w:t>:</w:t>
      </w:r>
    </w:p>
    <w:p w14:paraId="02FA6EC3" w14:textId="331FC471" w:rsidR="00613E6C" w:rsidRDefault="003E5238" w:rsidP="00D241CE">
      <w:pPr>
        <w:widowControl w:val="0"/>
        <w:tabs>
          <w:tab w:val="left" w:pos="0"/>
        </w:tabs>
        <w:autoSpaceDE w:val="0"/>
        <w:autoSpaceDN w:val="0"/>
        <w:spacing w:before="240" w:after="0" w:line="240" w:lineRule="auto"/>
        <w:ind w:left="720"/>
        <w:rPr>
          <w:rFonts w:eastAsia="Arial"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>If an</w:t>
      </w:r>
      <w:r w:rsidR="0087114F" w:rsidRPr="0087114F">
        <w:rPr>
          <w:rFonts w:cstheme="minorHAnsi"/>
          <w:sz w:val="24"/>
          <w:szCs w:val="24"/>
        </w:rPr>
        <w:t xml:space="preserve"> insurer delay</w:t>
      </w:r>
      <w:r>
        <w:rPr>
          <w:rFonts w:cstheme="minorHAnsi"/>
          <w:sz w:val="24"/>
          <w:szCs w:val="24"/>
        </w:rPr>
        <w:t>s</w:t>
      </w:r>
      <w:r w:rsidR="0087114F" w:rsidRPr="0087114F">
        <w:rPr>
          <w:rFonts w:cstheme="minorHAnsi"/>
          <w:sz w:val="24"/>
          <w:szCs w:val="24"/>
        </w:rPr>
        <w:t xml:space="preserve"> giving a recovery plan to the injured person</w:t>
      </w:r>
      <w:r w:rsidR="00D241CE">
        <w:rPr>
          <w:rFonts w:cstheme="minorHAnsi"/>
          <w:sz w:val="24"/>
          <w:szCs w:val="24"/>
        </w:rPr>
        <w:t xml:space="preserve"> </w:t>
      </w:r>
      <w:r w:rsidR="00AC6789">
        <w:rPr>
          <w:rFonts w:cstheme="minorHAnsi"/>
          <w:sz w:val="24"/>
          <w:szCs w:val="24"/>
        </w:rPr>
        <w:t>in light of COV</w:t>
      </w:r>
      <w:r w:rsidR="003832BB">
        <w:rPr>
          <w:rFonts w:cstheme="minorHAnsi"/>
          <w:sz w:val="24"/>
          <w:szCs w:val="24"/>
        </w:rPr>
        <w:t>ID</w:t>
      </w:r>
      <w:r w:rsidR="00876AFE">
        <w:rPr>
          <w:rFonts w:cstheme="minorHAnsi"/>
          <w:sz w:val="24"/>
          <w:szCs w:val="24"/>
        </w:rPr>
        <w:t>-</w:t>
      </w:r>
      <w:r w:rsidR="00AC6789">
        <w:rPr>
          <w:rFonts w:cstheme="minorHAnsi"/>
          <w:sz w:val="24"/>
          <w:szCs w:val="24"/>
        </w:rPr>
        <w:t>19 because they are unable to access all necessary</w:t>
      </w:r>
      <w:r w:rsidR="00434232">
        <w:rPr>
          <w:rFonts w:cstheme="minorHAnsi"/>
          <w:sz w:val="24"/>
          <w:szCs w:val="24"/>
        </w:rPr>
        <w:t xml:space="preserve"> </w:t>
      </w:r>
      <w:r w:rsidR="0087114F" w:rsidRPr="0087114F">
        <w:rPr>
          <w:rFonts w:cstheme="minorHAnsi"/>
          <w:sz w:val="24"/>
          <w:szCs w:val="24"/>
        </w:rPr>
        <w:t>medical reports and assessments</w:t>
      </w:r>
      <w:r>
        <w:rPr>
          <w:rFonts w:cstheme="minorHAnsi"/>
          <w:sz w:val="24"/>
          <w:szCs w:val="24"/>
        </w:rPr>
        <w:t xml:space="preserve"> an insurer should </w:t>
      </w:r>
      <w:r w:rsidR="00AC6789">
        <w:rPr>
          <w:rFonts w:cstheme="minorHAnsi"/>
          <w:sz w:val="24"/>
          <w:szCs w:val="24"/>
        </w:rPr>
        <w:t xml:space="preserve">prepare an interim approval </w:t>
      </w:r>
      <w:r w:rsidR="00434232">
        <w:rPr>
          <w:rFonts w:cstheme="minorHAnsi"/>
          <w:sz w:val="24"/>
          <w:szCs w:val="24"/>
        </w:rPr>
        <w:t xml:space="preserve">plan </w:t>
      </w:r>
      <w:r w:rsidR="00AC6789">
        <w:rPr>
          <w:rFonts w:cstheme="minorHAnsi"/>
          <w:sz w:val="24"/>
          <w:szCs w:val="24"/>
        </w:rPr>
        <w:t xml:space="preserve">for treatment and care.  The interim approval </w:t>
      </w:r>
      <w:r w:rsidR="00434232">
        <w:rPr>
          <w:rFonts w:cstheme="minorHAnsi"/>
          <w:sz w:val="24"/>
          <w:szCs w:val="24"/>
        </w:rPr>
        <w:t xml:space="preserve">plan </w:t>
      </w:r>
      <w:r w:rsidR="00AC6789">
        <w:rPr>
          <w:rFonts w:cstheme="minorHAnsi"/>
          <w:sz w:val="24"/>
          <w:szCs w:val="24"/>
        </w:rPr>
        <w:t>should cover</w:t>
      </w:r>
      <w:r w:rsidR="00162971">
        <w:rPr>
          <w:rFonts w:cstheme="minorHAnsi"/>
          <w:sz w:val="24"/>
          <w:szCs w:val="24"/>
        </w:rPr>
        <w:t xml:space="preserve"> the treatment and care that the insurer considers reasonable </w:t>
      </w:r>
      <w:r w:rsidR="00434232">
        <w:rPr>
          <w:rFonts w:cstheme="minorHAnsi"/>
          <w:sz w:val="24"/>
          <w:szCs w:val="24"/>
        </w:rPr>
        <w:t xml:space="preserve">for the injuries </w:t>
      </w:r>
      <w:r w:rsidR="00162971">
        <w:rPr>
          <w:rFonts w:cstheme="minorHAnsi"/>
          <w:sz w:val="24"/>
          <w:szCs w:val="24"/>
        </w:rPr>
        <w:t xml:space="preserve">and </w:t>
      </w:r>
      <w:r w:rsidR="00434232">
        <w:rPr>
          <w:rFonts w:cstheme="minorHAnsi"/>
          <w:sz w:val="24"/>
          <w:szCs w:val="24"/>
        </w:rPr>
        <w:t xml:space="preserve">the treatment is </w:t>
      </w:r>
      <w:r w:rsidR="00162971">
        <w:rPr>
          <w:rFonts w:cstheme="minorHAnsi"/>
          <w:sz w:val="24"/>
          <w:szCs w:val="24"/>
        </w:rPr>
        <w:t>able to be accessed in light of COVID-19 restrictions</w:t>
      </w:r>
      <w:r w:rsidR="00434232">
        <w:rPr>
          <w:rFonts w:cstheme="minorHAnsi"/>
          <w:sz w:val="24"/>
          <w:szCs w:val="24"/>
        </w:rPr>
        <w:t xml:space="preserve"> and</w:t>
      </w:r>
      <w:r w:rsidR="00AC6789">
        <w:rPr>
          <w:rFonts w:cstheme="minorHAnsi"/>
          <w:sz w:val="24"/>
          <w:szCs w:val="24"/>
        </w:rPr>
        <w:t xml:space="preserve"> having reg</w:t>
      </w:r>
      <w:r w:rsidR="003832BB">
        <w:rPr>
          <w:rFonts w:cstheme="minorHAnsi"/>
          <w:sz w:val="24"/>
          <w:szCs w:val="24"/>
        </w:rPr>
        <w:t>ar</w:t>
      </w:r>
      <w:r w:rsidR="00AC6789">
        <w:rPr>
          <w:rFonts w:cstheme="minorHAnsi"/>
          <w:sz w:val="24"/>
          <w:szCs w:val="24"/>
        </w:rPr>
        <w:t>d to information the insure</w:t>
      </w:r>
      <w:r w:rsidR="003832BB">
        <w:rPr>
          <w:rFonts w:cstheme="minorHAnsi"/>
          <w:sz w:val="24"/>
          <w:szCs w:val="24"/>
        </w:rPr>
        <w:t>r</w:t>
      </w:r>
      <w:r w:rsidR="00AC6789">
        <w:rPr>
          <w:rFonts w:cstheme="minorHAnsi"/>
          <w:sz w:val="24"/>
          <w:szCs w:val="24"/>
        </w:rPr>
        <w:t xml:space="preserve"> has about the person’s injuries</w:t>
      </w:r>
      <w:r w:rsidR="003832BB">
        <w:rPr>
          <w:rFonts w:cstheme="minorHAnsi"/>
          <w:sz w:val="24"/>
          <w:szCs w:val="24"/>
        </w:rPr>
        <w:t xml:space="preserve">. </w:t>
      </w:r>
      <w:r w:rsidR="00434232">
        <w:rPr>
          <w:rFonts w:cstheme="minorHAnsi"/>
          <w:sz w:val="24"/>
          <w:szCs w:val="24"/>
        </w:rPr>
        <w:t>The insurer need not consult with the injure</w:t>
      </w:r>
      <w:r w:rsidR="00BC08BB">
        <w:rPr>
          <w:rFonts w:cstheme="minorHAnsi"/>
          <w:sz w:val="24"/>
          <w:szCs w:val="24"/>
        </w:rPr>
        <w:t>d</w:t>
      </w:r>
      <w:r w:rsidR="00434232">
        <w:rPr>
          <w:rFonts w:cstheme="minorHAnsi"/>
          <w:sz w:val="24"/>
          <w:szCs w:val="24"/>
        </w:rPr>
        <w:t xml:space="preserve"> person and their doctor on the interim approval plan.</w:t>
      </w:r>
      <w:r w:rsidR="00AC6789">
        <w:rPr>
          <w:rFonts w:cstheme="minorHAnsi"/>
          <w:sz w:val="24"/>
          <w:szCs w:val="24"/>
        </w:rPr>
        <w:t xml:space="preserve"> The interim approval </w:t>
      </w:r>
      <w:r w:rsidR="00434232">
        <w:rPr>
          <w:rFonts w:cstheme="minorHAnsi"/>
          <w:sz w:val="24"/>
          <w:szCs w:val="24"/>
        </w:rPr>
        <w:t xml:space="preserve">plan will have effect for one month. </w:t>
      </w:r>
    </w:p>
    <w:p w14:paraId="33BF4B5D" w14:textId="77777777" w:rsidR="00DF08D0" w:rsidRDefault="0087114F" w:rsidP="003E3206">
      <w:pPr>
        <w:widowControl w:val="0"/>
        <w:tabs>
          <w:tab w:val="left" w:pos="0"/>
        </w:tabs>
        <w:autoSpaceDE w:val="0"/>
        <w:autoSpaceDN w:val="0"/>
        <w:spacing w:before="240" w:after="0" w:line="240" w:lineRule="auto"/>
        <w:ind w:left="720" w:hanging="720"/>
        <w:rPr>
          <w:rFonts w:eastAsia="Arial"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lastRenderedPageBreak/>
        <w:t xml:space="preserve">Paragraph 4.2.3 of the Treatment and Care Guidelines is </w:t>
      </w:r>
      <w:r w:rsidR="00DF08D0">
        <w:rPr>
          <w:rFonts w:eastAsia="Arial" w:cstheme="minorHAnsi"/>
          <w:sz w:val="24"/>
          <w:szCs w:val="24"/>
        </w:rPr>
        <w:t>replac</w:t>
      </w:r>
      <w:r>
        <w:rPr>
          <w:rFonts w:eastAsia="Arial" w:cstheme="minorHAnsi"/>
          <w:sz w:val="24"/>
          <w:szCs w:val="24"/>
        </w:rPr>
        <w:t>ed</w:t>
      </w:r>
      <w:r w:rsidR="00DF08D0">
        <w:rPr>
          <w:rFonts w:eastAsia="Arial" w:cstheme="minorHAnsi"/>
          <w:sz w:val="24"/>
          <w:szCs w:val="24"/>
        </w:rPr>
        <w:t xml:space="preserve"> as follows:</w:t>
      </w:r>
    </w:p>
    <w:p w14:paraId="3EC71F55" w14:textId="3CF26D4E" w:rsidR="00444BF6" w:rsidRDefault="00DF08D0" w:rsidP="0087114F">
      <w:pPr>
        <w:widowControl w:val="0"/>
        <w:tabs>
          <w:tab w:val="left" w:pos="0"/>
        </w:tabs>
        <w:autoSpaceDE w:val="0"/>
        <w:autoSpaceDN w:val="0"/>
        <w:spacing w:before="240" w:after="0" w:line="240" w:lineRule="auto"/>
        <w:ind w:left="720"/>
        <w:rPr>
          <w:rFonts w:eastAsia="Arial"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>A</w:t>
      </w:r>
      <w:r w:rsidR="00270D45" w:rsidRPr="0087114F">
        <w:rPr>
          <w:rFonts w:eastAsia="Arial" w:cstheme="minorHAnsi"/>
          <w:sz w:val="24"/>
          <w:szCs w:val="24"/>
        </w:rPr>
        <w:t>n injured person and their doctor will have no longer than 10 business days to consider a draft</w:t>
      </w:r>
      <w:r w:rsidR="002C0D07">
        <w:rPr>
          <w:rFonts w:eastAsia="Arial" w:cstheme="minorHAnsi"/>
          <w:sz w:val="24"/>
          <w:szCs w:val="24"/>
        </w:rPr>
        <w:t xml:space="preserve"> </w:t>
      </w:r>
      <w:r w:rsidR="00AA7D62">
        <w:rPr>
          <w:rFonts w:eastAsia="Arial" w:cstheme="minorHAnsi"/>
          <w:sz w:val="24"/>
          <w:szCs w:val="24"/>
        </w:rPr>
        <w:t xml:space="preserve">recovery </w:t>
      </w:r>
      <w:r w:rsidR="00270D45" w:rsidRPr="0087114F">
        <w:rPr>
          <w:rFonts w:eastAsia="Arial" w:cstheme="minorHAnsi"/>
          <w:sz w:val="24"/>
          <w:szCs w:val="24"/>
        </w:rPr>
        <w:t>plan</w:t>
      </w:r>
      <w:r w:rsidR="0087114F">
        <w:rPr>
          <w:rFonts w:eastAsia="Arial" w:cstheme="minorHAnsi"/>
          <w:sz w:val="24"/>
          <w:szCs w:val="24"/>
        </w:rPr>
        <w:t>.</w:t>
      </w:r>
      <w:r w:rsidR="0087114F" w:rsidRPr="0087114F">
        <w:rPr>
          <w:rFonts w:cstheme="minorHAnsi"/>
        </w:rPr>
        <w:t xml:space="preserve"> </w:t>
      </w:r>
      <w:r w:rsidR="0087114F" w:rsidRPr="0087114F">
        <w:rPr>
          <w:rFonts w:cstheme="minorHAnsi"/>
          <w:sz w:val="24"/>
          <w:szCs w:val="24"/>
        </w:rPr>
        <w:t>If no further information is provided in response to the draft plan, the insurer must provide the final plan at the end of the consideration period.</w:t>
      </w:r>
      <w:r w:rsidR="0087114F">
        <w:rPr>
          <w:rFonts w:eastAsia="Arial" w:cstheme="minorHAnsi"/>
          <w:sz w:val="24"/>
          <w:szCs w:val="24"/>
        </w:rPr>
        <w:t xml:space="preserve"> </w:t>
      </w:r>
      <w:r w:rsidR="0004370A" w:rsidRPr="0087114F">
        <w:rPr>
          <w:rFonts w:eastAsia="Arial" w:cstheme="minorHAnsi"/>
          <w:sz w:val="24"/>
          <w:szCs w:val="24"/>
        </w:rPr>
        <w:t>If further information is provided in response to the draft plan</w:t>
      </w:r>
      <w:r w:rsidR="0087114F">
        <w:rPr>
          <w:rFonts w:eastAsia="Arial" w:cstheme="minorHAnsi"/>
          <w:sz w:val="24"/>
          <w:szCs w:val="24"/>
        </w:rPr>
        <w:t>,</w:t>
      </w:r>
      <w:r w:rsidR="0004370A" w:rsidRPr="0087114F">
        <w:rPr>
          <w:rFonts w:eastAsia="Arial" w:cstheme="minorHAnsi"/>
          <w:sz w:val="24"/>
          <w:szCs w:val="24"/>
        </w:rPr>
        <w:t xml:space="preserve"> then the final plan is to be given to the injured person and their doctor no later than </w:t>
      </w:r>
      <w:r w:rsidR="00324ED8">
        <w:rPr>
          <w:rFonts w:eastAsia="Arial" w:cstheme="minorHAnsi"/>
          <w:sz w:val="24"/>
          <w:szCs w:val="24"/>
        </w:rPr>
        <w:t>5</w:t>
      </w:r>
      <w:r w:rsidR="0004370A" w:rsidRPr="0087114F">
        <w:rPr>
          <w:rFonts w:eastAsia="Arial" w:cstheme="minorHAnsi"/>
          <w:sz w:val="24"/>
          <w:szCs w:val="24"/>
        </w:rPr>
        <w:t xml:space="preserve"> business days after the insurer receives all necessary information to settle the final plan</w:t>
      </w:r>
      <w:r w:rsidR="007802B2">
        <w:rPr>
          <w:rFonts w:eastAsia="Arial" w:cstheme="minorHAnsi"/>
          <w:sz w:val="24"/>
          <w:szCs w:val="24"/>
        </w:rPr>
        <w:t>.</w:t>
      </w:r>
    </w:p>
    <w:p w14:paraId="48E5E5DB" w14:textId="77777777" w:rsidR="00DF08D0" w:rsidRDefault="0087114F" w:rsidP="00EC11B4">
      <w:pPr>
        <w:widowControl w:val="0"/>
        <w:tabs>
          <w:tab w:val="left" w:pos="0"/>
        </w:tabs>
        <w:autoSpaceDE w:val="0"/>
        <w:autoSpaceDN w:val="0"/>
        <w:spacing w:before="240" w:after="0" w:line="240" w:lineRule="auto"/>
        <w:rPr>
          <w:rFonts w:eastAsia="Arial"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 xml:space="preserve">Paragraph 4.2.4 of the Treatment and Care Guidelines is </w:t>
      </w:r>
      <w:r w:rsidR="00DF08D0">
        <w:rPr>
          <w:rFonts w:eastAsia="Arial" w:cstheme="minorHAnsi"/>
          <w:sz w:val="24"/>
          <w:szCs w:val="24"/>
        </w:rPr>
        <w:t>replac</w:t>
      </w:r>
      <w:r>
        <w:rPr>
          <w:rFonts w:eastAsia="Arial" w:cstheme="minorHAnsi"/>
          <w:sz w:val="24"/>
          <w:szCs w:val="24"/>
        </w:rPr>
        <w:t>ed</w:t>
      </w:r>
      <w:r w:rsidR="00DF08D0">
        <w:rPr>
          <w:rFonts w:eastAsia="Arial" w:cstheme="minorHAnsi"/>
          <w:sz w:val="24"/>
          <w:szCs w:val="24"/>
        </w:rPr>
        <w:t xml:space="preserve"> as follows:</w:t>
      </w:r>
    </w:p>
    <w:p w14:paraId="43FCEA08" w14:textId="7C9F880B" w:rsidR="00B8465F" w:rsidRPr="0087114F" w:rsidRDefault="00DF08D0" w:rsidP="00D62D68">
      <w:pPr>
        <w:widowControl w:val="0"/>
        <w:tabs>
          <w:tab w:val="left" w:pos="0"/>
        </w:tabs>
        <w:autoSpaceDE w:val="0"/>
        <w:autoSpaceDN w:val="0"/>
        <w:spacing w:before="240" w:after="0" w:line="240" w:lineRule="auto"/>
        <w:ind w:left="720"/>
        <w:rPr>
          <w:rFonts w:eastAsia="Arial"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>I</w:t>
      </w:r>
      <w:r w:rsidR="00444BF6" w:rsidRPr="0087114F">
        <w:rPr>
          <w:rFonts w:eastAsia="Arial" w:cstheme="minorHAnsi"/>
          <w:sz w:val="24"/>
          <w:szCs w:val="24"/>
        </w:rPr>
        <w:t xml:space="preserve">f </w:t>
      </w:r>
      <w:r w:rsidR="00270D45" w:rsidRPr="0087114F">
        <w:rPr>
          <w:rFonts w:eastAsia="Arial" w:cstheme="minorHAnsi"/>
          <w:sz w:val="24"/>
          <w:szCs w:val="24"/>
        </w:rPr>
        <w:t>an insurer proposes, following a review of a plan, to ame</w:t>
      </w:r>
      <w:r w:rsidR="00444BF6" w:rsidRPr="0087114F">
        <w:rPr>
          <w:rFonts w:eastAsia="Arial" w:cstheme="minorHAnsi"/>
          <w:sz w:val="24"/>
          <w:szCs w:val="24"/>
        </w:rPr>
        <w:t>n</w:t>
      </w:r>
      <w:r w:rsidR="00270D45" w:rsidRPr="0087114F">
        <w:rPr>
          <w:rFonts w:eastAsia="Arial" w:cstheme="minorHAnsi"/>
          <w:sz w:val="24"/>
          <w:szCs w:val="24"/>
        </w:rPr>
        <w:t xml:space="preserve">d a recovery plan they should provide an injured person and their doctor </w:t>
      </w:r>
      <w:r w:rsidR="00444BF6" w:rsidRPr="0087114F">
        <w:rPr>
          <w:rFonts w:eastAsia="Arial" w:cstheme="minorHAnsi"/>
          <w:sz w:val="24"/>
          <w:szCs w:val="24"/>
        </w:rPr>
        <w:t>with no longer than 10 business days to consider draft amendments to the plan</w:t>
      </w:r>
      <w:r w:rsidR="0087114F">
        <w:rPr>
          <w:rFonts w:eastAsia="Arial" w:cstheme="minorHAnsi"/>
          <w:sz w:val="24"/>
          <w:szCs w:val="24"/>
        </w:rPr>
        <w:t>.</w:t>
      </w:r>
      <w:bookmarkStart w:id="4" w:name="_Hlk35587890"/>
      <w:r w:rsidR="00D62D68" w:rsidRPr="00D62D68">
        <w:rPr>
          <w:rFonts w:cstheme="minorHAnsi"/>
        </w:rPr>
        <w:t xml:space="preserve"> </w:t>
      </w:r>
      <w:r w:rsidR="00D62D68" w:rsidRPr="00D62D68">
        <w:rPr>
          <w:rFonts w:eastAsia="Arial" w:cstheme="minorHAnsi"/>
          <w:sz w:val="24"/>
          <w:szCs w:val="24"/>
        </w:rPr>
        <w:t xml:space="preserve">If no further information is provided in response to the proposed amendments, the insurer must provide the amended plan at the end of the consideration period. </w:t>
      </w:r>
      <w:bookmarkEnd w:id="4"/>
      <w:r w:rsidR="0087114F">
        <w:rPr>
          <w:rFonts w:eastAsia="Arial" w:cstheme="minorHAnsi"/>
          <w:sz w:val="24"/>
          <w:szCs w:val="24"/>
        </w:rPr>
        <w:t xml:space="preserve"> I</w:t>
      </w:r>
      <w:r w:rsidR="0004370A" w:rsidRPr="0087114F">
        <w:rPr>
          <w:rFonts w:eastAsia="Arial" w:cstheme="minorHAnsi"/>
          <w:sz w:val="24"/>
          <w:szCs w:val="24"/>
        </w:rPr>
        <w:t xml:space="preserve">f further information is provided in response to </w:t>
      </w:r>
      <w:r w:rsidR="00D62D68">
        <w:rPr>
          <w:rFonts w:eastAsia="Arial" w:cstheme="minorHAnsi"/>
          <w:sz w:val="24"/>
          <w:szCs w:val="24"/>
        </w:rPr>
        <w:t>the</w:t>
      </w:r>
      <w:r w:rsidR="0004370A" w:rsidRPr="0087114F">
        <w:rPr>
          <w:rFonts w:eastAsia="Arial" w:cstheme="minorHAnsi"/>
          <w:sz w:val="24"/>
          <w:szCs w:val="24"/>
        </w:rPr>
        <w:t xml:space="preserve"> amendments, the amended plan should then be given to an injured person and their doctor and settled no later than </w:t>
      </w:r>
      <w:r w:rsidR="00324ED8">
        <w:rPr>
          <w:rFonts w:eastAsia="Arial" w:cstheme="minorHAnsi"/>
          <w:sz w:val="24"/>
          <w:szCs w:val="24"/>
        </w:rPr>
        <w:t>5</w:t>
      </w:r>
      <w:r w:rsidR="0004370A" w:rsidRPr="0087114F">
        <w:rPr>
          <w:rFonts w:eastAsia="Arial" w:cstheme="minorHAnsi"/>
          <w:sz w:val="24"/>
          <w:szCs w:val="24"/>
        </w:rPr>
        <w:t xml:space="preserve"> business days after an insurer receives all necessary information to settle the amended plan.</w:t>
      </w:r>
    </w:p>
    <w:p w14:paraId="084A37EF" w14:textId="77777777" w:rsidR="003E3206" w:rsidRPr="00D95929" w:rsidRDefault="003E3206" w:rsidP="00423939"/>
    <w:p w14:paraId="3D98DCDF" w14:textId="24551320" w:rsidR="00205396" w:rsidRDefault="00205396" w:rsidP="00205396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spacing w:before="240" w:after="0" w:line="240" w:lineRule="auto"/>
        <w:rPr>
          <w:rFonts w:eastAsia="Arial" w:cstheme="minorHAnsi"/>
          <w:b/>
          <w:bCs/>
          <w:sz w:val="24"/>
          <w:szCs w:val="24"/>
        </w:rPr>
      </w:pPr>
      <w:bookmarkStart w:id="5" w:name="_Hlk35525719"/>
      <w:r>
        <w:rPr>
          <w:rFonts w:eastAsia="Arial" w:cstheme="minorHAnsi"/>
          <w:b/>
          <w:bCs/>
          <w:sz w:val="24"/>
          <w:szCs w:val="24"/>
        </w:rPr>
        <w:t xml:space="preserve">INCOME REPLACEMENT </w:t>
      </w:r>
      <w:r w:rsidR="00081B48">
        <w:rPr>
          <w:rFonts w:eastAsia="Arial" w:cstheme="minorHAnsi"/>
          <w:b/>
          <w:bCs/>
          <w:sz w:val="24"/>
          <w:szCs w:val="24"/>
        </w:rPr>
        <w:t xml:space="preserve">BENEFIT </w:t>
      </w:r>
      <w:r>
        <w:rPr>
          <w:rFonts w:eastAsia="Arial" w:cstheme="minorHAnsi"/>
          <w:b/>
          <w:bCs/>
          <w:sz w:val="24"/>
          <w:szCs w:val="24"/>
        </w:rPr>
        <w:t>GUIDELINES</w:t>
      </w:r>
      <w:bookmarkEnd w:id="5"/>
    </w:p>
    <w:p w14:paraId="53CAD1F0" w14:textId="62B8E0CC" w:rsidR="00035EDD" w:rsidRDefault="005E4F7B" w:rsidP="001973D0">
      <w:pPr>
        <w:pStyle w:val="ListParagraph"/>
        <w:widowControl w:val="0"/>
        <w:numPr>
          <w:ilvl w:val="1"/>
          <w:numId w:val="2"/>
        </w:numPr>
        <w:tabs>
          <w:tab w:val="left" w:pos="0"/>
        </w:tabs>
        <w:autoSpaceDE w:val="0"/>
        <w:autoSpaceDN w:val="0"/>
        <w:spacing w:before="240" w:after="0" w:line="240" w:lineRule="auto"/>
        <w:ind w:hanging="792"/>
        <w:rPr>
          <w:rFonts w:eastAsia="Arial" w:cstheme="minorHAnsi"/>
          <w:b/>
          <w:bCs/>
          <w:sz w:val="24"/>
          <w:szCs w:val="24"/>
        </w:rPr>
      </w:pPr>
      <w:r>
        <w:rPr>
          <w:rFonts w:eastAsia="Arial" w:cstheme="minorHAnsi"/>
          <w:b/>
          <w:bCs/>
          <w:sz w:val="24"/>
          <w:szCs w:val="24"/>
        </w:rPr>
        <w:t>Worker stood down</w:t>
      </w:r>
      <w:r w:rsidR="001B5932">
        <w:rPr>
          <w:rFonts w:eastAsia="Arial" w:cstheme="minorHAnsi"/>
          <w:b/>
          <w:bCs/>
          <w:sz w:val="24"/>
          <w:szCs w:val="24"/>
        </w:rPr>
        <w:t xml:space="preserve"> from employment</w:t>
      </w:r>
    </w:p>
    <w:p w14:paraId="5635AE89" w14:textId="2108A90D" w:rsidR="00015698" w:rsidRDefault="004B59A5" w:rsidP="003E3206">
      <w:pPr>
        <w:widowControl w:val="0"/>
        <w:tabs>
          <w:tab w:val="left" w:pos="0"/>
        </w:tabs>
        <w:autoSpaceDE w:val="0"/>
        <w:autoSpaceDN w:val="0"/>
        <w:spacing w:before="240" w:after="0" w:line="240" w:lineRule="auto"/>
        <w:rPr>
          <w:rFonts w:eastAsia="Arial"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>As a result of COVID-19</w:t>
      </w:r>
      <w:r w:rsidR="00365FE6">
        <w:rPr>
          <w:rFonts w:eastAsia="Arial" w:cstheme="minorHAnsi"/>
          <w:sz w:val="24"/>
          <w:szCs w:val="24"/>
        </w:rPr>
        <w:t xml:space="preserve"> there have been</w:t>
      </w:r>
      <w:r>
        <w:rPr>
          <w:rFonts w:eastAsia="Arial" w:cstheme="minorHAnsi"/>
          <w:sz w:val="24"/>
          <w:szCs w:val="24"/>
        </w:rPr>
        <w:t xml:space="preserve"> workers stood down from employment under the terms of </w:t>
      </w:r>
      <w:r w:rsidR="00C04193">
        <w:rPr>
          <w:rFonts w:eastAsia="Arial" w:cstheme="minorHAnsi"/>
          <w:sz w:val="24"/>
          <w:szCs w:val="24"/>
        </w:rPr>
        <w:t>section 524</w:t>
      </w:r>
      <w:r w:rsidR="00BC08BB">
        <w:rPr>
          <w:rFonts w:eastAsia="Arial" w:cstheme="minorHAnsi"/>
          <w:sz w:val="24"/>
          <w:szCs w:val="24"/>
        </w:rPr>
        <w:t xml:space="preserve"> or </w:t>
      </w:r>
      <w:r w:rsidR="009F4910">
        <w:rPr>
          <w:rFonts w:eastAsia="Arial" w:cstheme="minorHAnsi"/>
          <w:sz w:val="24"/>
          <w:szCs w:val="24"/>
        </w:rPr>
        <w:t xml:space="preserve">part 6-4C </w:t>
      </w:r>
      <w:r w:rsidR="00C04193">
        <w:rPr>
          <w:rFonts w:eastAsia="Arial" w:cstheme="minorHAnsi"/>
          <w:sz w:val="24"/>
          <w:szCs w:val="24"/>
        </w:rPr>
        <w:t xml:space="preserve">of </w:t>
      </w:r>
      <w:r>
        <w:rPr>
          <w:rFonts w:eastAsia="Arial" w:cstheme="minorHAnsi"/>
          <w:sz w:val="24"/>
          <w:szCs w:val="24"/>
        </w:rPr>
        <w:t xml:space="preserve">the </w:t>
      </w:r>
      <w:r w:rsidRPr="00D47449">
        <w:rPr>
          <w:rFonts w:eastAsia="Arial" w:cstheme="minorHAnsi"/>
          <w:i/>
          <w:iCs/>
          <w:sz w:val="24"/>
          <w:szCs w:val="24"/>
        </w:rPr>
        <w:t>Fair Work Act 2009</w:t>
      </w:r>
      <w:r>
        <w:rPr>
          <w:rFonts w:eastAsia="Arial" w:cstheme="minorHAnsi"/>
          <w:sz w:val="24"/>
          <w:szCs w:val="24"/>
        </w:rPr>
        <w:t xml:space="preserve"> (Cth)</w:t>
      </w:r>
      <w:r w:rsidR="00BC08BB">
        <w:rPr>
          <w:rFonts w:eastAsia="Arial" w:cstheme="minorHAnsi"/>
          <w:sz w:val="24"/>
          <w:szCs w:val="24"/>
        </w:rPr>
        <w:t>,</w:t>
      </w:r>
      <w:r>
        <w:rPr>
          <w:rFonts w:eastAsia="Arial" w:cstheme="minorHAnsi"/>
          <w:sz w:val="24"/>
          <w:szCs w:val="24"/>
        </w:rPr>
        <w:t xml:space="preserve"> or a relevant enterprise agreement. </w:t>
      </w:r>
      <w:r w:rsidR="003C79F9">
        <w:rPr>
          <w:rFonts w:eastAsia="Arial" w:cstheme="minorHAnsi"/>
          <w:sz w:val="24"/>
          <w:szCs w:val="24"/>
        </w:rPr>
        <w:t>A</w:t>
      </w:r>
      <w:r>
        <w:rPr>
          <w:rFonts w:eastAsia="Arial" w:cstheme="minorHAnsi"/>
          <w:sz w:val="24"/>
          <w:szCs w:val="24"/>
        </w:rPr>
        <w:t xml:space="preserve"> person stood down remains an employee</w:t>
      </w:r>
      <w:r w:rsidR="009F4910">
        <w:rPr>
          <w:rFonts w:eastAsia="Arial" w:cstheme="minorHAnsi"/>
          <w:sz w:val="24"/>
          <w:szCs w:val="24"/>
        </w:rPr>
        <w:t xml:space="preserve"> and</w:t>
      </w:r>
      <w:r w:rsidR="006F7849">
        <w:rPr>
          <w:rFonts w:eastAsia="Arial" w:cstheme="minorHAnsi"/>
          <w:sz w:val="24"/>
          <w:szCs w:val="24"/>
        </w:rPr>
        <w:t>, therefore</w:t>
      </w:r>
      <w:r w:rsidR="00771F5A">
        <w:rPr>
          <w:rFonts w:eastAsia="Arial" w:cstheme="minorHAnsi"/>
          <w:sz w:val="24"/>
          <w:szCs w:val="24"/>
        </w:rPr>
        <w:t>,</w:t>
      </w:r>
      <w:r w:rsidR="006F7849">
        <w:rPr>
          <w:rFonts w:eastAsia="Arial" w:cstheme="minorHAnsi"/>
          <w:sz w:val="24"/>
          <w:szCs w:val="24"/>
        </w:rPr>
        <w:t xml:space="preserve"> in paid work within the meaning of section 78 of the MAI Act</w:t>
      </w:r>
      <w:r w:rsidR="00080998">
        <w:rPr>
          <w:rFonts w:eastAsia="Arial" w:cstheme="minorHAnsi"/>
          <w:sz w:val="24"/>
          <w:szCs w:val="24"/>
        </w:rPr>
        <w:t>.</w:t>
      </w:r>
      <w:r w:rsidR="00C04193">
        <w:rPr>
          <w:rFonts w:eastAsia="Arial" w:cstheme="minorHAnsi"/>
          <w:sz w:val="24"/>
          <w:szCs w:val="24"/>
        </w:rPr>
        <w:t xml:space="preserve"> Further, u</w:t>
      </w:r>
      <w:r w:rsidR="00080998">
        <w:rPr>
          <w:rFonts w:eastAsia="Arial" w:cstheme="minorHAnsi"/>
          <w:sz w:val="24"/>
          <w:szCs w:val="24"/>
        </w:rPr>
        <w:t>nder section 525</w:t>
      </w:r>
      <w:r w:rsidR="00C04193" w:rsidRPr="00C04193">
        <w:rPr>
          <w:rFonts w:eastAsia="Arial" w:cstheme="minorHAnsi"/>
          <w:sz w:val="24"/>
          <w:szCs w:val="24"/>
        </w:rPr>
        <w:t xml:space="preserve"> </w:t>
      </w:r>
      <w:r w:rsidR="00C04193">
        <w:rPr>
          <w:rFonts w:eastAsia="Arial" w:cstheme="minorHAnsi"/>
          <w:sz w:val="24"/>
          <w:szCs w:val="24"/>
        </w:rPr>
        <w:t>of the Fair Work Act</w:t>
      </w:r>
      <w:r w:rsidR="00080998">
        <w:rPr>
          <w:rFonts w:eastAsia="Arial" w:cstheme="minorHAnsi"/>
          <w:sz w:val="24"/>
          <w:szCs w:val="24"/>
        </w:rPr>
        <w:t>, a person who is on</w:t>
      </w:r>
      <w:r>
        <w:rPr>
          <w:rFonts w:eastAsia="Arial" w:cstheme="minorHAnsi"/>
          <w:sz w:val="24"/>
          <w:szCs w:val="24"/>
        </w:rPr>
        <w:t xml:space="preserve"> </w:t>
      </w:r>
      <w:r w:rsidR="00C04193">
        <w:rPr>
          <w:rFonts w:eastAsia="Arial" w:cstheme="minorHAnsi"/>
          <w:sz w:val="24"/>
          <w:szCs w:val="24"/>
        </w:rPr>
        <w:t xml:space="preserve">authorised paid, </w:t>
      </w:r>
      <w:r>
        <w:rPr>
          <w:rFonts w:eastAsia="Arial" w:cstheme="minorHAnsi"/>
          <w:sz w:val="24"/>
          <w:szCs w:val="24"/>
        </w:rPr>
        <w:t xml:space="preserve">unpaid leave </w:t>
      </w:r>
      <w:r w:rsidR="00C04193">
        <w:rPr>
          <w:rFonts w:eastAsia="Arial" w:cstheme="minorHAnsi"/>
          <w:sz w:val="24"/>
          <w:szCs w:val="24"/>
        </w:rPr>
        <w:t xml:space="preserve">or other authorised absence is not taken to be stood down even though a stand down has been directed under section 524(1). </w:t>
      </w:r>
    </w:p>
    <w:p w14:paraId="7DDC1C49" w14:textId="2967037E" w:rsidR="00C04193" w:rsidRDefault="00C04193" w:rsidP="003E3206">
      <w:pPr>
        <w:widowControl w:val="0"/>
        <w:tabs>
          <w:tab w:val="left" w:pos="0"/>
        </w:tabs>
        <w:autoSpaceDE w:val="0"/>
        <w:autoSpaceDN w:val="0"/>
        <w:spacing w:before="240" w:after="0" w:line="240" w:lineRule="auto"/>
        <w:rPr>
          <w:rFonts w:eastAsia="Arial"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 xml:space="preserve">An insurer may need to obtain further information from the injured person to </w:t>
      </w:r>
      <w:r w:rsidR="005247B5">
        <w:rPr>
          <w:rFonts w:eastAsia="Arial" w:cstheme="minorHAnsi"/>
          <w:sz w:val="24"/>
          <w:szCs w:val="24"/>
        </w:rPr>
        <w:t>establish</w:t>
      </w:r>
      <w:r>
        <w:rPr>
          <w:rFonts w:eastAsia="Arial" w:cstheme="minorHAnsi"/>
          <w:sz w:val="24"/>
          <w:szCs w:val="24"/>
        </w:rPr>
        <w:t xml:space="preserve"> the</w:t>
      </w:r>
      <w:r w:rsidR="009F4910">
        <w:rPr>
          <w:rFonts w:eastAsia="Arial" w:cstheme="minorHAnsi"/>
          <w:sz w:val="24"/>
          <w:szCs w:val="24"/>
        </w:rPr>
        <w:t>ir status (</w:t>
      </w:r>
      <w:r w:rsidR="00015698">
        <w:rPr>
          <w:rFonts w:eastAsia="Arial" w:cstheme="minorHAnsi"/>
          <w:sz w:val="24"/>
          <w:szCs w:val="24"/>
        </w:rPr>
        <w:t>eg</w:t>
      </w:r>
      <w:r w:rsidR="009F4910">
        <w:rPr>
          <w:rFonts w:eastAsia="Arial" w:cstheme="minorHAnsi"/>
          <w:sz w:val="24"/>
          <w:szCs w:val="24"/>
        </w:rPr>
        <w:t>.</w:t>
      </w:r>
      <w:r>
        <w:rPr>
          <w:rFonts w:eastAsia="Arial" w:cstheme="minorHAnsi"/>
          <w:sz w:val="24"/>
          <w:szCs w:val="24"/>
        </w:rPr>
        <w:t xml:space="preserve"> have</w:t>
      </w:r>
      <w:r w:rsidR="00015698">
        <w:rPr>
          <w:rFonts w:eastAsia="Arial" w:cstheme="minorHAnsi"/>
          <w:sz w:val="24"/>
          <w:szCs w:val="24"/>
        </w:rPr>
        <w:t xml:space="preserve"> they</w:t>
      </w:r>
      <w:r>
        <w:rPr>
          <w:rFonts w:eastAsia="Arial" w:cstheme="minorHAnsi"/>
          <w:sz w:val="24"/>
          <w:szCs w:val="24"/>
        </w:rPr>
        <w:t xml:space="preserve"> been stood down</w:t>
      </w:r>
      <w:r w:rsidR="00015698">
        <w:rPr>
          <w:rFonts w:eastAsia="Arial" w:cstheme="minorHAnsi"/>
          <w:sz w:val="24"/>
          <w:szCs w:val="24"/>
        </w:rPr>
        <w:t xml:space="preserve">; </w:t>
      </w:r>
      <w:r w:rsidR="00BC08BB">
        <w:rPr>
          <w:rFonts w:eastAsia="Arial" w:cstheme="minorHAnsi"/>
          <w:sz w:val="24"/>
          <w:szCs w:val="24"/>
        </w:rPr>
        <w:t xml:space="preserve">are </w:t>
      </w:r>
      <w:r w:rsidR="00015698">
        <w:rPr>
          <w:rFonts w:eastAsia="Arial" w:cstheme="minorHAnsi"/>
          <w:sz w:val="24"/>
          <w:szCs w:val="24"/>
        </w:rPr>
        <w:t xml:space="preserve">on partial stand-down as part of </w:t>
      </w:r>
      <w:r w:rsidR="009F4910">
        <w:rPr>
          <w:rFonts w:eastAsia="Arial" w:cstheme="minorHAnsi"/>
          <w:sz w:val="24"/>
          <w:szCs w:val="24"/>
        </w:rPr>
        <w:t>JobKeeper</w:t>
      </w:r>
      <w:r w:rsidR="00015698">
        <w:rPr>
          <w:rFonts w:eastAsia="Arial" w:cstheme="minorHAnsi"/>
          <w:sz w:val="24"/>
          <w:szCs w:val="24"/>
        </w:rPr>
        <w:t>, etc</w:t>
      </w:r>
      <w:r w:rsidR="009F4910">
        <w:rPr>
          <w:rFonts w:eastAsia="Arial" w:cstheme="minorHAnsi"/>
          <w:sz w:val="24"/>
          <w:szCs w:val="24"/>
        </w:rPr>
        <w:t>)</w:t>
      </w:r>
      <w:r>
        <w:rPr>
          <w:rFonts w:eastAsia="Arial" w:cstheme="minorHAnsi"/>
          <w:sz w:val="24"/>
          <w:szCs w:val="24"/>
        </w:rPr>
        <w:t xml:space="preserve"> and work</w:t>
      </w:r>
      <w:r w:rsidR="005247B5">
        <w:rPr>
          <w:rFonts w:eastAsia="Arial" w:cstheme="minorHAnsi"/>
          <w:sz w:val="24"/>
          <w:szCs w:val="24"/>
        </w:rPr>
        <w:t xml:space="preserve"> out</w:t>
      </w:r>
      <w:r>
        <w:rPr>
          <w:rFonts w:eastAsia="Arial" w:cstheme="minorHAnsi"/>
          <w:sz w:val="24"/>
          <w:szCs w:val="24"/>
        </w:rPr>
        <w:t xml:space="preserve"> the injured person’s pre-injury weekly income under section 81</w:t>
      </w:r>
      <w:r w:rsidR="00015698">
        <w:rPr>
          <w:rFonts w:eastAsia="Arial" w:cstheme="minorHAnsi"/>
          <w:sz w:val="24"/>
          <w:szCs w:val="24"/>
        </w:rPr>
        <w:t xml:space="preserve"> of the MAI Act</w:t>
      </w:r>
      <w:r w:rsidR="00771F5A">
        <w:rPr>
          <w:rFonts w:eastAsia="Arial" w:cstheme="minorHAnsi"/>
          <w:sz w:val="24"/>
          <w:szCs w:val="24"/>
        </w:rPr>
        <w:t xml:space="preserve"> and the Income Replacement Benefit Guidelines</w:t>
      </w:r>
      <w:r>
        <w:rPr>
          <w:rFonts w:eastAsia="Arial" w:cstheme="minorHAnsi"/>
          <w:sz w:val="24"/>
          <w:szCs w:val="24"/>
        </w:rPr>
        <w:t xml:space="preserve">. Section 101(4) of the MAI Act should not be applied where </w:t>
      </w:r>
      <w:r w:rsidR="005247B5">
        <w:rPr>
          <w:rFonts w:eastAsia="Arial" w:cstheme="minorHAnsi"/>
          <w:sz w:val="24"/>
          <w:szCs w:val="24"/>
        </w:rPr>
        <w:t xml:space="preserve">an employer has </w:t>
      </w:r>
      <w:r>
        <w:rPr>
          <w:rFonts w:eastAsia="Arial" w:cstheme="minorHAnsi"/>
          <w:sz w:val="24"/>
          <w:szCs w:val="24"/>
        </w:rPr>
        <w:t>stand down arrangements in</w:t>
      </w:r>
      <w:r w:rsidR="005247B5">
        <w:rPr>
          <w:rFonts w:eastAsia="Arial" w:cstheme="minorHAnsi"/>
          <w:sz w:val="24"/>
          <w:szCs w:val="24"/>
        </w:rPr>
        <w:t xml:space="preserve"> effect</w:t>
      </w:r>
      <w:r>
        <w:rPr>
          <w:rFonts w:eastAsia="Arial" w:cstheme="minorHAnsi"/>
          <w:sz w:val="24"/>
          <w:szCs w:val="24"/>
        </w:rPr>
        <w:t xml:space="preserve">. </w:t>
      </w:r>
      <w:r w:rsidR="006F7849">
        <w:rPr>
          <w:rFonts w:eastAsia="Arial" w:cstheme="minorHAnsi"/>
          <w:sz w:val="24"/>
          <w:szCs w:val="24"/>
        </w:rPr>
        <w:t>In the event the injured person had started a new work arrangement and was then stood</w:t>
      </w:r>
      <w:r w:rsidR="00771F5A">
        <w:rPr>
          <w:rFonts w:eastAsia="Arial" w:cstheme="minorHAnsi"/>
          <w:sz w:val="24"/>
          <w:szCs w:val="24"/>
        </w:rPr>
        <w:t xml:space="preserve"> </w:t>
      </w:r>
      <w:r w:rsidR="006F7849">
        <w:rPr>
          <w:rFonts w:eastAsia="Arial" w:cstheme="minorHAnsi"/>
          <w:sz w:val="24"/>
          <w:szCs w:val="24"/>
        </w:rPr>
        <w:t xml:space="preserve">down, an insurer should use either the weekly amount agreed to be paid (section 86) or look back at the </w:t>
      </w:r>
      <w:r w:rsidR="00771F5A">
        <w:rPr>
          <w:rFonts w:eastAsia="Arial" w:cstheme="minorHAnsi"/>
          <w:sz w:val="24"/>
          <w:szCs w:val="24"/>
        </w:rPr>
        <w:t xml:space="preserve">injured person’s </w:t>
      </w:r>
      <w:r w:rsidR="006F7849">
        <w:rPr>
          <w:rFonts w:eastAsia="Arial" w:cstheme="minorHAnsi"/>
          <w:sz w:val="24"/>
          <w:szCs w:val="24"/>
        </w:rPr>
        <w:t>pre-injury weekly income under section 81</w:t>
      </w:r>
      <w:r w:rsidR="00D06482">
        <w:rPr>
          <w:rFonts w:eastAsia="Arial" w:cstheme="minorHAnsi"/>
          <w:sz w:val="24"/>
          <w:szCs w:val="24"/>
        </w:rPr>
        <w:t>.</w:t>
      </w:r>
    </w:p>
    <w:p w14:paraId="112A988D" w14:textId="4A69B976" w:rsidR="004322D9" w:rsidRPr="004322D9" w:rsidRDefault="001B5932" w:rsidP="00202261">
      <w:pPr>
        <w:widowControl w:val="0"/>
        <w:numPr>
          <w:ilvl w:val="1"/>
          <w:numId w:val="2"/>
        </w:numPr>
        <w:tabs>
          <w:tab w:val="left" w:pos="0"/>
        </w:tabs>
        <w:autoSpaceDE w:val="0"/>
        <w:autoSpaceDN w:val="0"/>
        <w:spacing w:before="240" w:after="0" w:line="240" w:lineRule="auto"/>
        <w:ind w:hanging="792"/>
        <w:rPr>
          <w:rFonts w:eastAsia="Arial" w:cstheme="minorHAnsi"/>
          <w:b/>
          <w:bCs/>
          <w:sz w:val="24"/>
          <w:szCs w:val="24"/>
        </w:rPr>
      </w:pPr>
      <w:r>
        <w:rPr>
          <w:rFonts w:eastAsia="Arial" w:cstheme="minorHAnsi"/>
          <w:b/>
          <w:bCs/>
          <w:sz w:val="24"/>
          <w:szCs w:val="24"/>
        </w:rPr>
        <w:t>Fitness for work certificates</w:t>
      </w:r>
    </w:p>
    <w:p w14:paraId="6CA922CF" w14:textId="544628AC" w:rsidR="00162971" w:rsidRDefault="00CC162E" w:rsidP="00202261">
      <w:pPr>
        <w:widowControl w:val="0"/>
        <w:tabs>
          <w:tab w:val="left" w:pos="0"/>
        </w:tabs>
        <w:autoSpaceDE w:val="0"/>
        <w:autoSpaceDN w:val="0"/>
        <w:spacing w:before="240" w:after="0" w:line="240" w:lineRule="auto"/>
        <w:rPr>
          <w:rFonts w:eastAsia="Arial"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>U</w:t>
      </w:r>
      <w:r w:rsidR="004322D9">
        <w:rPr>
          <w:rFonts w:eastAsia="Arial" w:cstheme="minorHAnsi"/>
          <w:sz w:val="24"/>
          <w:szCs w:val="24"/>
        </w:rPr>
        <w:t>nder</w:t>
      </w:r>
      <w:r w:rsidR="002D67B8">
        <w:rPr>
          <w:rFonts w:eastAsia="Arial" w:cstheme="minorHAnsi"/>
          <w:sz w:val="24"/>
          <w:szCs w:val="24"/>
        </w:rPr>
        <w:t xml:space="preserve"> paragraph 10.3 of</w:t>
      </w:r>
      <w:r w:rsidR="004322D9">
        <w:rPr>
          <w:rFonts w:eastAsia="Arial" w:cstheme="minorHAnsi"/>
          <w:sz w:val="24"/>
          <w:szCs w:val="24"/>
        </w:rPr>
        <w:t xml:space="preserve"> the Income Replacement Benefit </w:t>
      </w:r>
      <w:r>
        <w:rPr>
          <w:rFonts w:eastAsia="Arial" w:cstheme="minorHAnsi"/>
          <w:sz w:val="24"/>
          <w:szCs w:val="24"/>
        </w:rPr>
        <w:t>Guidelines,</w:t>
      </w:r>
      <w:r w:rsidR="004322D9">
        <w:rPr>
          <w:rFonts w:eastAsia="Arial" w:cstheme="minorHAnsi"/>
          <w:sz w:val="24"/>
          <w:szCs w:val="24"/>
        </w:rPr>
        <w:t xml:space="preserve"> a fitness for work certificate can cover a prospective period of longer than one month if the person giving the certificate states reasons why the certificate should cover a longer period, and the insurer is satisfied the certificate for the longer period should be accepted.  </w:t>
      </w:r>
    </w:p>
    <w:p w14:paraId="22931ECF" w14:textId="77777777" w:rsidR="00EB3462" w:rsidRDefault="00EB3462" w:rsidP="00202261">
      <w:pPr>
        <w:widowControl w:val="0"/>
        <w:tabs>
          <w:tab w:val="left" w:pos="0"/>
        </w:tabs>
        <w:autoSpaceDE w:val="0"/>
        <w:autoSpaceDN w:val="0"/>
        <w:spacing w:before="240" w:after="0" w:line="240" w:lineRule="auto"/>
        <w:rPr>
          <w:rFonts w:eastAsia="Arial" w:cstheme="minorHAnsi"/>
          <w:sz w:val="24"/>
          <w:szCs w:val="24"/>
        </w:rPr>
      </w:pPr>
    </w:p>
    <w:p w14:paraId="71CAEDAC" w14:textId="5B47CDA5" w:rsidR="00175830" w:rsidRPr="004322D9" w:rsidRDefault="00CC162E" w:rsidP="00202261">
      <w:pPr>
        <w:widowControl w:val="0"/>
        <w:tabs>
          <w:tab w:val="left" w:pos="0"/>
        </w:tabs>
        <w:autoSpaceDE w:val="0"/>
        <w:autoSpaceDN w:val="0"/>
        <w:spacing w:before="240" w:after="0" w:line="240" w:lineRule="auto"/>
        <w:rPr>
          <w:rFonts w:eastAsia="Arial"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lastRenderedPageBreak/>
        <w:t>Longer certificates reduce the risks of injured people and GPs potentially being exposed to COVID-19 and insurers should discuss obtaining longer certificates with all parties, where appropriate.</w:t>
      </w:r>
      <w:r w:rsidR="00AD28C9">
        <w:rPr>
          <w:rFonts w:eastAsia="Arial" w:cstheme="minorHAnsi"/>
          <w:sz w:val="24"/>
          <w:szCs w:val="24"/>
        </w:rPr>
        <w:t xml:space="preserve"> A GP may also issue a fitness for work certificate following a telehealth consultation, if the GP considers this to be appropriate.</w:t>
      </w:r>
    </w:p>
    <w:p w14:paraId="552FE55D" w14:textId="77777777" w:rsidR="00132560" w:rsidRDefault="001B5932" w:rsidP="00202261">
      <w:pPr>
        <w:widowControl w:val="0"/>
        <w:tabs>
          <w:tab w:val="left" w:pos="0"/>
        </w:tabs>
        <w:autoSpaceDE w:val="0"/>
        <w:autoSpaceDN w:val="0"/>
        <w:spacing w:before="240" w:after="0" w:line="240" w:lineRule="auto"/>
        <w:rPr>
          <w:rFonts w:eastAsia="Arial"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>Paragraph 10.5</w:t>
      </w:r>
      <w:r w:rsidR="00982F87">
        <w:rPr>
          <w:rFonts w:eastAsia="Arial" w:cstheme="minorHAnsi"/>
          <w:sz w:val="24"/>
          <w:szCs w:val="24"/>
        </w:rPr>
        <w:t>.1</w:t>
      </w:r>
      <w:r>
        <w:rPr>
          <w:rFonts w:eastAsia="Arial" w:cstheme="minorHAnsi"/>
          <w:sz w:val="24"/>
          <w:szCs w:val="24"/>
        </w:rPr>
        <w:t xml:space="preserve"> of the </w:t>
      </w:r>
      <w:bookmarkStart w:id="6" w:name="_Hlk35952433"/>
      <w:r w:rsidR="00982F87">
        <w:rPr>
          <w:rFonts w:eastAsia="Arial" w:cstheme="minorHAnsi"/>
          <w:sz w:val="24"/>
          <w:szCs w:val="24"/>
        </w:rPr>
        <w:t>I</w:t>
      </w:r>
      <w:r w:rsidR="00D95929">
        <w:rPr>
          <w:rFonts w:eastAsia="Arial" w:cstheme="minorHAnsi"/>
          <w:sz w:val="24"/>
          <w:szCs w:val="24"/>
        </w:rPr>
        <w:t xml:space="preserve">ncome </w:t>
      </w:r>
      <w:r w:rsidR="00982F87">
        <w:rPr>
          <w:rFonts w:eastAsia="Arial" w:cstheme="minorHAnsi"/>
          <w:sz w:val="24"/>
          <w:szCs w:val="24"/>
        </w:rPr>
        <w:t>R</w:t>
      </w:r>
      <w:r w:rsidR="00D95929">
        <w:rPr>
          <w:rFonts w:eastAsia="Arial" w:cstheme="minorHAnsi"/>
          <w:sz w:val="24"/>
          <w:szCs w:val="24"/>
        </w:rPr>
        <w:t>eplacement</w:t>
      </w:r>
      <w:r>
        <w:rPr>
          <w:rFonts w:eastAsia="Arial" w:cstheme="minorHAnsi"/>
          <w:sz w:val="24"/>
          <w:szCs w:val="24"/>
        </w:rPr>
        <w:t xml:space="preserve"> </w:t>
      </w:r>
      <w:r w:rsidR="00982F87">
        <w:rPr>
          <w:rFonts w:eastAsia="Arial" w:cstheme="minorHAnsi"/>
          <w:sz w:val="24"/>
          <w:szCs w:val="24"/>
        </w:rPr>
        <w:t>Benefit G</w:t>
      </w:r>
      <w:r>
        <w:rPr>
          <w:rFonts w:eastAsia="Arial" w:cstheme="minorHAnsi"/>
          <w:sz w:val="24"/>
          <w:szCs w:val="24"/>
        </w:rPr>
        <w:t xml:space="preserve">uidelines </w:t>
      </w:r>
      <w:bookmarkEnd w:id="6"/>
      <w:r w:rsidR="00132560">
        <w:rPr>
          <w:rFonts w:eastAsia="Arial" w:cstheme="minorHAnsi"/>
          <w:sz w:val="24"/>
          <w:szCs w:val="24"/>
        </w:rPr>
        <w:t xml:space="preserve">are </w:t>
      </w:r>
      <w:r w:rsidR="00B001C3">
        <w:rPr>
          <w:rFonts w:eastAsia="Arial" w:cstheme="minorHAnsi"/>
          <w:sz w:val="24"/>
          <w:szCs w:val="24"/>
        </w:rPr>
        <w:t xml:space="preserve">modified </w:t>
      </w:r>
      <w:r w:rsidR="00132560">
        <w:rPr>
          <w:rFonts w:eastAsia="Arial" w:cstheme="minorHAnsi"/>
          <w:sz w:val="24"/>
          <w:szCs w:val="24"/>
        </w:rPr>
        <w:t>as follows:</w:t>
      </w:r>
    </w:p>
    <w:p w14:paraId="594C3DD4" w14:textId="477F2486" w:rsidR="006C2227" w:rsidRDefault="003265D0" w:rsidP="0023069B">
      <w:pPr>
        <w:widowControl w:val="0"/>
        <w:tabs>
          <w:tab w:val="left" w:pos="0"/>
        </w:tabs>
        <w:autoSpaceDE w:val="0"/>
        <w:autoSpaceDN w:val="0"/>
        <w:spacing w:before="240" w:after="0" w:line="240" w:lineRule="auto"/>
        <w:ind w:left="360"/>
        <w:rPr>
          <w:rFonts w:eastAsia="Arial"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>A</w:t>
      </w:r>
      <w:r w:rsidR="00982F87">
        <w:rPr>
          <w:rFonts w:eastAsia="Arial" w:cstheme="minorHAnsi"/>
          <w:sz w:val="24"/>
          <w:szCs w:val="24"/>
        </w:rPr>
        <w:t>n</w:t>
      </w:r>
      <w:r w:rsidR="00B001C3">
        <w:rPr>
          <w:rFonts w:eastAsia="Arial" w:cstheme="minorHAnsi"/>
          <w:sz w:val="24"/>
          <w:szCs w:val="24"/>
        </w:rPr>
        <w:t xml:space="preserve"> insurer may suspend income replacement payment</w:t>
      </w:r>
      <w:r w:rsidR="00D95929">
        <w:rPr>
          <w:rFonts w:eastAsia="Arial" w:cstheme="minorHAnsi"/>
          <w:sz w:val="24"/>
          <w:szCs w:val="24"/>
        </w:rPr>
        <w:t>s</w:t>
      </w:r>
      <w:r w:rsidR="00B001C3">
        <w:rPr>
          <w:rFonts w:eastAsia="Arial" w:cstheme="minorHAnsi"/>
          <w:sz w:val="24"/>
          <w:szCs w:val="24"/>
        </w:rPr>
        <w:t xml:space="preserve"> five business days after a person’s fitness for work certificate expires</w:t>
      </w:r>
      <w:r>
        <w:rPr>
          <w:rFonts w:eastAsia="Arial" w:cstheme="minorHAnsi"/>
          <w:sz w:val="24"/>
          <w:szCs w:val="24"/>
        </w:rPr>
        <w:t xml:space="preserve">. </w:t>
      </w:r>
      <w:r w:rsidR="00013D6D">
        <w:rPr>
          <w:rFonts w:eastAsia="Arial" w:cstheme="minorHAnsi"/>
          <w:sz w:val="24"/>
          <w:szCs w:val="24"/>
        </w:rPr>
        <w:t>An insurer should put steps in place to ensure payments are not suspended in circumstance</w:t>
      </w:r>
      <w:r w:rsidR="00AD6AC8">
        <w:rPr>
          <w:rFonts w:eastAsia="Arial" w:cstheme="minorHAnsi"/>
          <w:sz w:val="24"/>
          <w:szCs w:val="24"/>
        </w:rPr>
        <w:t>s</w:t>
      </w:r>
      <w:r w:rsidR="00013D6D">
        <w:rPr>
          <w:rFonts w:eastAsia="Arial" w:cstheme="minorHAnsi"/>
          <w:sz w:val="24"/>
          <w:szCs w:val="24"/>
        </w:rPr>
        <w:t xml:space="preserve"> where there is a delay in obtaining a fitness for work certificate from a </w:t>
      </w:r>
      <w:r w:rsidR="002D3721">
        <w:rPr>
          <w:rFonts w:eastAsia="Arial" w:cstheme="minorHAnsi"/>
          <w:sz w:val="24"/>
          <w:szCs w:val="24"/>
        </w:rPr>
        <w:t>registered medical</w:t>
      </w:r>
      <w:r w:rsidR="00013D6D">
        <w:rPr>
          <w:rFonts w:eastAsia="Arial" w:cstheme="minorHAnsi"/>
          <w:sz w:val="24"/>
          <w:szCs w:val="24"/>
        </w:rPr>
        <w:t xml:space="preserve"> practitioner</w:t>
      </w:r>
      <w:r w:rsidR="006C2227">
        <w:rPr>
          <w:rFonts w:eastAsia="Arial" w:cstheme="minorHAnsi"/>
          <w:sz w:val="24"/>
          <w:szCs w:val="24"/>
        </w:rPr>
        <w:t xml:space="preserve"> and the insurer has agreed to an extension with the injured person for the provision of a certificate</w:t>
      </w:r>
      <w:r w:rsidR="00AD28C9">
        <w:rPr>
          <w:rFonts w:eastAsia="Arial" w:cstheme="minorHAnsi"/>
          <w:sz w:val="24"/>
          <w:szCs w:val="24"/>
        </w:rPr>
        <w:t xml:space="preserve"> prior to the expiry date of a certificate</w:t>
      </w:r>
      <w:r w:rsidR="00B3595E">
        <w:rPr>
          <w:rFonts w:eastAsia="Arial" w:cstheme="minorHAnsi"/>
          <w:sz w:val="24"/>
          <w:szCs w:val="24"/>
        </w:rPr>
        <w:t>.</w:t>
      </w:r>
      <w:r w:rsidR="004567FA">
        <w:rPr>
          <w:rFonts w:eastAsia="Arial" w:cstheme="minorHAnsi"/>
          <w:sz w:val="24"/>
          <w:szCs w:val="24"/>
        </w:rPr>
        <w:t xml:space="preserve"> </w:t>
      </w:r>
      <w:r w:rsidR="00AD28C9">
        <w:rPr>
          <w:rFonts w:eastAsia="Arial" w:cstheme="minorHAnsi"/>
          <w:sz w:val="24"/>
          <w:szCs w:val="24"/>
        </w:rPr>
        <w:t>If a fitness for work certificate is not provided by an agreed extension date then the insure</w:t>
      </w:r>
      <w:r w:rsidR="004567FA">
        <w:rPr>
          <w:rFonts w:eastAsia="Arial" w:cstheme="minorHAnsi"/>
          <w:sz w:val="24"/>
          <w:szCs w:val="24"/>
        </w:rPr>
        <w:t>r</w:t>
      </w:r>
      <w:r w:rsidR="00AD28C9">
        <w:rPr>
          <w:rFonts w:eastAsia="Arial" w:cstheme="minorHAnsi"/>
          <w:sz w:val="24"/>
          <w:szCs w:val="24"/>
        </w:rPr>
        <w:t xml:space="preserve"> may suspend income replacement payments fr</w:t>
      </w:r>
      <w:r w:rsidR="004567FA">
        <w:rPr>
          <w:rFonts w:eastAsia="Arial" w:cstheme="minorHAnsi"/>
          <w:sz w:val="24"/>
          <w:szCs w:val="24"/>
        </w:rPr>
        <w:t>o</w:t>
      </w:r>
      <w:r w:rsidR="00AD28C9">
        <w:rPr>
          <w:rFonts w:eastAsia="Arial" w:cstheme="minorHAnsi"/>
          <w:sz w:val="24"/>
          <w:szCs w:val="24"/>
        </w:rPr>
        <w:t>m the extension date.</w:t>
      </w:r>
    </w:p>
    <w:p w14:paraId="124ADA9E" w14:textId="4DD4E477" w:rsidR="00EC11B4" w:rsidRDefault="00EC11B4" w:rsidP="00423939">
      <w:pPr>
        <w:widowControl w:val="0"/>
        <w:tabs>
          <w:tab w:val="left" w:pos="0"/>
        </w:tabs>
        <w:autoSpaceDE w:val="0"/>
        <w:autoSpaceDN w:val="0"/>
        <w:spacing w:before="240" w:after="0" w:line="240" w:lineRule="auto"/>
        <w:rPr>
          <w:rFonts w:eastAsia="Arial" w:cstheme="minorHAnsi"/>
          <w:sz w:val="24"/>
          <w:szCs w:val="24"/>
        </w:rPr>
      </w:pPr>
    </w:p>
    <w:p w14:paraId="237804A4" w14:textId="6CFE75B0" w:rsidR="003C1B4E" w:rsidRPr="00202261" w:rsidRDefault="003C1B4E" w:rsidP="00202261">
      <w:pPr>
        <w:widowControl w:val="0"/>
        <w:tabs>
          <w:tab w:val="left" w:pos="0"/>
        </w:tabs>
        <w:autoSpaceDE w:val="0"/>
        <w:autoSpaceDN w:val="0"/>
        <w:spacing w:before="240" w:after="0" w:line="240" w:lineRule="auto"/>
        <w:rPr>
          <w:rFonts w:eastAsia="Arial" w:cstheme="minorHAnsi"/>
          <w:sz w:val="24"/>
          <w:szCs w:val="24"/>
        </w:rPr>
      </w:pPr>
    </w:p>
    <w:sectPr w:rsidR="003C1B4E" w:rsidRPr="00202261" w:rsidSect="003E3206"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19AB07" w14:textId="77777777" w:rsidR="003E3206" w:rsidRDefault="003E3206" w:rsidP="003E3206">
      <w:pPr>
        <w:spacing w:after="0" w:line="240" w:lineRule="auto"/>
      </w:pPr>
      <w:r>
        <w:separator/>
      </w:r>
    </w:p>
  </w:endnote>
  <w:endnote w:type="continuationSeparator" w:id="0">
    <w:p w14:paraId="01B22DD1" w14:textId="77777777" w:rsidR="003E3206" w:rsidRDefault="003E3206" w:rsidP="003E3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B5BDF" w14:textId="77777777" w:rsidR="006B5E73" w:rsidRDefault="006B5E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300434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E96E7E" w14:textId="45F0BC78" w:rsidR="00202261" w:rsidRDefault="0020226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3B8DB30" w14:textId="5F55AE04" w:rsidR="00202261" w:rsidRPr="006B5E73" w:rsidRDefault="006B5E73" w:rsidP="006B5E73">
    <w:pPr>
      <w:pStyle w:val="Footer"/>
      <w:jc w:val="center"/>
      <w:rPr>
        <w:rFonts w:ascii="Arial" w:hAnsi="Arial" w:cs="Arial"/>
        <w:sz w:val="14"/>
      </w:rPr>
    </w:pPr>
    <w:r w:rsidRPr="006B5E73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8BAE5" w14:textId="7AB6B8D5" w:rsidR="006B5E73" w:rsidRPr="006B5E73" w:rsidRDefault="006B5E73" w:rsidP="006B5E73">
    <w:pPr>
      <w:pStyle w:val="Footer"/>
      <w:jc w:val="center"/>
      <w:rPr>
        <w:rFonts w:ascii="Arial" w:hAnsi="Arial" w:cs="Arial"/>
        <w:sz w:val="14"/>
      </w:rPr>
    </w:pPr>
    <w:r w:rsidRPr="006B5E73">
      <w:rPr>
        <w:rFonts w:ascii="Arial" w:hAnsi="Arial" w:cs="Arial"/>
        <w:sz w:val="14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336B3" w14:textId="1504C313" w:rsidR="00FE0966" w:rsidRPr="006B5E73" w:rsidRDefault="006B5E73" w:rsidP="006B5E73">
    <w:pPr>
      <w:pStyle w:val="Footer"/>
      <w:jc w:val="center"/>
      <w:rPr>
        <w:rFonts w:ascii="Arial" w:hAnsi="Arial" w:cs="Arial"/>
        <w:sz w:val="14"/>
      </w:rPr>
    </w:pPr>
    <w:r w:rsidRPr="006B5E73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7BFC42" w14:textId="77777777" w:rsidR="003E3206" w:rsidRDefault="003E3206" w:rsidP="003E3206">
      <w:pPr>
        <w:spacing w:after="0" w:line="240" w:lineRule="auto"/>
      </w:pPr>
      <w:r>
        <w:separator/>
      </w:r>
    </w:p>
  </w:footnote>
  <w:footnote w:type="continuationSeparator" w:id="0">
    <w:p w14:paraId="1085A12A" w14:textId="77777777" w:rsidR="003E3206" w:rsidRDefault="003E3206" w:rsidP="003E3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0246B" w14:textId="77777777" w:rsidR="006B5E73" w:rsidRDefault="006B5E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E9384" w14:textId="724C3268" w:rsidR="003E3206" w:rsidRDefault="003E3206">
    <w:pPr>
      <w:pStyle w:val="Header"/>
    </w:pPr>
  </w:p>
  <w:p w14:paraId="6A3FA5F9" w14:textId="77777777" w:rsidR="003E3206" w:rsidRDefault="003E32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483A0" w14:textId="77777777" w:rsidR="006B5E73" w:rsidRDefault="006B5E7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188F3" w14:textId="77777777" w:rsidR="00FE0966" w:rsidRDefault="00FE0966">
    <w:pPr>
      <w:pStyle w:val="Header"/>
    </w:pPr>
    <w:r>
      <w:rPr>
        <w:noProof/>
      </w:rPr>
      <w:drawing>
        <wp:inline distT="0" distB="0" distL="0" distR="0" wp14:anchorId="226FB0B0" wp14:editId="31DA24AF">
          <wp:extent cx="3045600" cy="540000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56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BF010D"/>
    <w:multiLevelType w:val="hybridMultilevel"/>
    <w:tmpl w:val="FBC458B6"/>
    <w:lvl w:ilvl="0" w:tplc="0C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 w15:restartNumberingAfterBreak="0">
    <w:nsid w:val="2BDC403F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6C73721"/>
    <w:multiLevelType w:val="hybridMultilevel"/>
    <w:tmpl w:val="79C887C0"/>
    <w:lvl w:ilvl="0" w:tplc="0C09000F">
      <w:start w:val="1"/>
      <w:numFmt w:val="decimal"/>
      <w:lvlText w:val="%1."/>
      <w:lvlJc w:val="left"/>
      <w:pPr>
        <w:ind w:left="1512" w:hanging="360"/>
      </w:pPr>
    </w:lvl>
    <w:lvl w:ilvl="1" w:tplc="0C090019" w:tentative="1">
      <w:start w:val="1"/>
      <w:numFmt w:val="lowerLetter"/>
      <w:lvlText w:val="%2."/>
      <w:lvlJc w:val="left"/>
      <w:pPr>
        <w:ind w:left="2232" w:hanging="360"/>
      </w:pPr>
    </w:lvl>
    <w:lvl w:ilvl="2" w:tplc="0C09001B" w:tentative="1">
      <w:start w:val="1"/>
      <w:numFmt w:val="lowerRoman"/>
      <w:lvlText w:val="%3."/>
      <w:lvlJc w:val="right"/>
      <w:pPr>
        <w:ind w:left="2952" w:hanging="180"/>
      </w:pPr>
    </w:lvl>
    <w:lvl w:ilvl="3" w:tplc="0C09000F" w:tentative="1">
      <w:start w:val="1"/>
      <w:numFmt w:val="decimal"/>
      <w:lvlText w:val="%4."/>
      <w:lvlJc w:val="left"/>
      <w:pPr>
        <w:ind w:left="3672" w:hanging="360"/>
      </w:pPr>
    </w:lvl>
    <w:lvl w:ilvl="4" w:tplc="0C090019" w:tentative="1">
      <w:start w:val="1"/>
      <w:numFmt w:val="lowerLetter"/>
      <w:lvlText w:val="%5."/>
      <w:lvlJc w:val="left"/>
      <w:pPr>
        <w:ind w:left="4392" w:hanging="360"/>
      </w:pPr>
    </w:lvl>
    <w:lvl w:ilvl="5" w:tplc="0C09001B" w:tentative="1">
      <w:start w:val="1"/>
      <w:numFmt w:val="lowerRoman"/>
      <w:lvlText w:val="%6."/>
      <w:lvlJc w:val="right"/>
      <w:pPr>
        <w:ind w:left="5112" w:hanging="180"/>
      </w:pPr>
    </w:lvl>
    <w:lvl w:ilvl="6" w:tplc="0C09000F" w:tentative="1">
      <w:start w:val="1"/>
      <w:numFmt w:val="decimal"/>
      <w:lvlText w:val="%7."/>
      <w:lvlJc w:val="left"/>
      <w:pPr>
        <w:ind w:left="5832" w:hanging="360"/>
      </w:pPr>
    </w:lvl>
    <w:lvl w:ilvl="7" w:tplc="0C090019" w:tentative="1">
      <w:start w:val="1"/>
      <w:numFmt w:val="lowerLetter"/>
      <w:lvlText w:val="%8."/>
      <w:lvlJc w:val="left"/>
      <w:pPr>
        <w:ind w:left="6552" w:hanging="360"/>
      </w:pPr>
    </w:lvl>
    <w:lvl w:ilvl="8" w:tplc="0C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" w15:restartNumberingAfterBreak="0">
    <w:nsid w:val="503C4CBA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pacing w:val="-1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58AA3413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1635538"/>
    <w:multiLevelType w:val="hybridMultilevel"/>
    <w:tmpl w:val="02C205A2"/>
    <w:lvl w:ilvl="0" w:tplc="0C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" w15:restartNumberingAfterBreak="0">
    <w:nsid w:val="763F3268"/>
    <w:multiLevelType w:val="hybridMultilevel"/>
    <w:tmpl w:val="CFD841A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77D"/>
    <w:rsid w:val="000045ED"/>
    <w:rsid w:val="00013D6D"/>
    <w:rsid w:val="00015698"/>
    <w:rsid w:val="00035EDD"/>
    <w:rsid w:val="0004370A"/>
    <w:rsid w:val="0005053E"/>
    <w:rsid w:val="0007411E"/>
    <w:rsid w:val="00080998"/>
    <w:rsid w:val="00081B48"/>
    <w:rsid w:val="00091A37"/>
    <w:rsid w:val="00121DED"/>
    <w:rsid w:val="00127BB5"/>
    <w:rsid w:val="00132560"/>
    <w:rsid w:val="00144090"/>
    <w:rsid w:val="00160FBF"/>
    <w:rsid w:val="00162971"/>
    <w:rsid w:val="00175830"/>
    <w:rsid w:val="001973D0"/>
    <w:rsid w:val="001B5932"/>
    <w:rsid w:val="001C1A3A"/>
    <w:rsid w:val="001D5DB1"/>
    <w:rsid w:val="00202261"/>
    <w:rsid w:val="00205396"/>
    <w:rsid w:val="002238BA"/>
    <w:rsid w:val="0023069B"/>
    <w:rsid w:val="00245BAC"/>
    <w:rsid w:val="00267906"/>
    <w:rsid w:val="00270D45"/>
    <w:rsid w:val="002A137F"/>
    <w:rsid w:val="002B677D"/>
    <w:rsid w:val="002C0D07"/>
    <w:rsid w:val="002D2B16"/>
    <w:rsid w:val="002D3721"/>
    <w:rsid w:val="002D67B8"/>
    <w:rsid w:val="002E22B8"/>
    <w:rsid w:val="00306C3A"/>
    <w:rsid w:val="00311B33"/>
    <w:rsid w:val="00312B71"/>
    <w:rsid w:val="00324ED8"/>
    <w:rsid w:val="003265D0"/>
    <w:rsid w:val="00326C2A"/>
    <w:rsid w:val="003461C1"/>
    <w:rsid w:val="00365FE6"/>
    <w:rsid w:val="00377A07"/>
    <w:rsid w:val="003832BB"/>
    <w:rsid w:val="003A3947"/>
    <w:rsid w:val="003C1B4E"/>
    <w:rsid w:val="003C79F9"/>
    <w:rsid w:val="003E3206"/>
    <w:rsid w:val="003E5238"/>
    <w:rsid w:val="004127E4"/>
    <w:rsid w:val="0041498C"/>
    <w:rsid w:val="004210A8"/>
    <w:rsid w:val="00423939"/>
    <w:rsid w:val="004322D9"/>
    <w:rsid w:val="00434232"/>
    <w:rsid w:val="00444BF6"/>
    <w:rsid w:val="004567FA"/>
    <w:rsid w:val="004633BE"/>
    <w:rsid w:val="00496028"/>
    <w:rsid w:val="004B032D"/>
    <w:rsid w:val="004B1689"/>
    <w:rsid w:val="004B59A5"/>
    <w:rsid w:val="004B77C7"/>
    <w:rsid w:val="004C7D6F"/>
    <w:rsid w:val="004D2FD6"/>
    <w:rsid w:val="004F494E"/>
    <w:rsid w:val="005154F9"/>
    <w:rsid w:val="0051703C"/>
    <w:rsid w:val="005247B5"/>
    <w:rsid w:val="005A2077"/>
    <w:rsid w:val="005C0FD6"/>
    <w:rsid w:val="005E4F7B"/>
    <w:rsid w:val="005F3636"/>
    <w:rsid w:val="006126C6"/>
    <w:rsid w:val="00613E6C"/>
    <w:rsid w:val="00625DB9"/>
    <w:rsid w:val="00647351"/>
    <w:rsid w:val="00652210"/>
    <w:rsid w:val="00661AA8"/>
    <w:rsid w:val="006A267E"/>
    <w:rsid w:val="006B5E73"/>
    <w:rsid w:val="006C2227"/>
    <w:rsid w:val="006D39ED"/>
    <w:rsid w:val="006D71D9"/>
    <w:rsid w:val="006F7849"/>
    <w:rsid w:val="00714FFC"/>
    <w:rsid w:val="007247EF"/>
    <w:rsid w:val="00771F5A"/>
    <w:rsid w:val="007802B2"/>
    <w:rsid w:val="00780B92"/>
    <w:rsid w:val="007F0BE4"/>
    <w:rsid w:val="007F54F1"/>
    <w:rsid w:val="00811EDD"/>
    <w:rsid w:val="008121F5"/>
    <w:rsid w:val="00821E87"/>
    <w:rsid w:val="00842610"/>
    <w:rsid w:val="00856D8B"/>
    <w:rsid w:val="0087114F"/>
    <w:rsid w:val="0087376E"/>
    <w:rsid w:val="00876AFE"/>
    <w:rsid w:val="00897E16"/>
    <w:rsid w:val="008B11CF"/>
    <w:rsid w:val="008B314C"/>
    <w:rsid w:val="008D3D72"/>
    <w:rsid w:val="008D4027"/>
    <w:rsid w:val="008E3F54"/>
    <w:rsid w:val="008F13A4"/>
    <w:rsid w:val="00931041"/>
    <w:rsid w:val="00950ACA"/>
    <w:rsid w:val="00954DDA"/>
    <w:rsid w:val="00982F87"/>
    <w:rsid w:val="009840C2"/>
    <w:rsid w:val="009A5EBC"/>
    <w:rsid w:val="009B57BF"/>
    <w:rsid w:val="009B7BBC"/>
    <w:rsid w:val="009F4910"/>
    <w:rsid w:val="00A004FD"/>
    <w:rsid w:val="00A00C1D"/>
    <w:rsid w:val="00A24F66"/>
    <w:rsid w:val="00A55DBC"/>
    <w:rsid w:val="00A7439C"/>
    <w:rsid w:val="00A945FB"/>
    <w:rsid w:val="00AA7D62"/>
    <w:rsid w:val="00AB0BA6"/>
    <w:rsid w:val="00AC6789"/>
    <w:rsid w:val="00AD28C9"/>
    <w:rsid w:val="00AD6AC8"/>
    <w:rsid w:val="00AD6FD5"/>
    <w:rsid w:val="00B001C3"/>
    <w:rsid w:val="00B05716"/>
    <w:rsid w:val="00B15955"/>
    <w:rsid w:val="00B3595E"/>
    <w:rsid w:val="00B552E9"/>
    <w:rsid w:val="00B74367"/>
    <w:rsid w:val="00B8465F"/>
    <w:rsid w:val="00B90532"/>
    <w:rsid w:val="00BC08BB"/>
    <w:rsid w:val="00C04193"/>
    <w:rsid w:val="00C0437D"/>
    <w:rsid w:val="00C11670"/>
    <w:rsid w:val="00C359DB"/>
    <w:rsid w:val="00C42B5D"/>
    <w:rsid w:val="00C70201"/>
    <w:rsid w:val="00C708D7"/>
    <w:rsid w:val="00CA73F7"/>
    <w:rsid w:val="00CC162E"/>
    <w:rsid w:val="00D06482"/>
    <w:rsid w:val="00D23D2B"/>
    <w:rsid w:val="00D241CE"/>
    <w:rsid w:val="00D26E2A"/>
    <w:rsid w:val="00D47449"/>
    <w:rsid w:val="00D62D68"/>
    <w:rsid w:val="00D94CC9"/>
    <w:rsid w:val="00D95929"/>
    <w:rsid w:val="00DC350C"/>
    <w:rsid w:val="00DF08D0"/>
    <w:rsid w:val="00E02ADF"/>
    <w:rsid w:val="00E86203"/>
    <w:rsid w:val="00E9737C"/>
    <w:rsid w:val="00EB3462"/>
    <w:rsid w:val="00EC0FA5"/>
    <w:rsid w:val="00EC11B4"/>
    <w:rsid w:val="00ED73E6"/>
    <w:rsid w:val="00F061B9"/>
    <w:rsid w:val="00F10FC2"/>
    <w:rsid w:val="00F16FC7"/>
    <w:rsid w:val="00F635F0"/>
    <w:rsid w:val="00F64309"/>
    <w:rsid w:val="00F72BFD"/>
    <w:rsid w:val="00FB732B"/>
    <w:rsid w:val="00FE0966"/>
    <w:rsid w:val="00FE3D17"/>
    <w:rsid w:val="00FE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."/>
  <w:listSeparator w:val=","/>
  <w14:docId w14:val="4A81BE3D"/>
  <w15:chartTrackingRefBased/>
  <w15:docId w15:val="{83CE2E05-BA4E-43DF-B7D2-9A6D469A4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67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77D"/>
  </w:style>
  <w:style w:type="paragraph" w:styleId="ListParagraph">
    <w:name w:val="List Paragraph"/>
    <w:basedOn w:val="Normal"/>
    <w:uiPriority w:val="34"/>
    <w:qFormat/>
    <w:rsid w:val="008F13A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635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35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35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35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35F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5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5F0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E32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2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1515</Words>
  <Characters>7819</Characters>
  <Application>Microsoft Office Word</Application>
  <DocSecurity>0</DocSecurity>
  <Lines>149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Lejins, Erica</dc:creator>
  <cp:keywords/>
  <dc:description/>
  <cp:lastModifiedBy>Moxon, KarenL</cp:lastModifiedBy>
  <cp:revision>4</cp:revision>
  <dcterms:created xsi:type="dcterms:W3CDTF">2020-05-12T05:31:00Z</dcterms:created>
  <dcterms:modified xsi:type="dcterms:W3CDTF">2020-05-12T05:31:00Z</dcterms:modified>
</cp:coreProperties>
</file>