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F4C3" w14:textId="77777777" w:rsidR="0080008C" w:rsidRPr="0080008C" w:rsidRDefault="0080008C" w:rsidP="0080008C">
      <w:pPr>
        <w:spacing w:before="120"/>
        <w:rPr>
          <w:sz w:val="24"/>
          <w:szCs w:val="24"/>
        </w:rPr>
      </w:pPr>
      <w:bookmarkStart w:id="0" w:name="_Toc44738651"/>
      <w:r w:rsidRPr="0080008C">
        <w:rPr>
          <w:sz w:val="24"/>
          <w:szCs w:val="24"/>
        </w:rPr>
        <w:t>Australian Capital Territory</w:t>
      </w:r>
    </w:p>
    <w:p w14:paraId="4AC5A299" w14:textId="4E4F8E24" w:rsidR="0080008C" w:rsidRDefault="0080008C" w:rsidP="0080008C">
      <w:pPr>
        <w:pStyle w:val="Billname"/>
        <w:spacing w:before="700"/>
      </w:pPr>
      <w:r>
        <w:t xml:space="preserve">Civil Law (Wrongs) </w:t>
      </w:r>
      <w:r w:rsidRPr="0025129D">
        <w:t xml:space="preserve">Law Institute of Victoria Limited </w:t>
      </w:r>
      <w:r w:rsidR="00A037FC">
        <w:rPr>
          <w:rFonts w:cs="Arial"/>
          <w:spacing w:val="-2"/>
          <w:lang w:val="en-GB"/>
        </w:rPr>
        <w:t xml:space="preserve">Professional Standards </w:t>
      </w:r>
      <w:r w:rsidRPr="0025129D">
        <w:t xml:space="preserve">Scheme 2022 </w:t>
      </w:r>
      <w:r>
        <w:t>(</w:t>
      </w:r>
      <w:r w:rsidRPr="00EB6985">
        <w:t>No 1)</w:t>
      </w:r>
      <w:r>
        <w:t xml:space="preserve"> </w:t>
      </w:r>
    </w:p>
    <w:p w14:paraId="1AFBA58B" w14:textId="53B03D20" w:rsidR="0080008C" w:rsidRDefault="0080008C" w:rsidP="0080008C">
      <w:pPr>
        <w:spacing w:before="340"/>
        <w:rPr>
          <w:b/>
          <w:bCs/>
        </w:rPr>
      </w:pPr>
      <w:r>
        <w:rPr>
          <w:b/>
          <w:bCs/>
        </w:rPr>
        <w:t>Disallowable instrument DI</w:t>
      </w:r>
      <w:r>
        <w:rPr>
          <w:b/>
          <w:bCs/>
          <w:iCs/>
        </w:rPr>
        <w:t>2022</w:t>
      </w:r>
      <w:r w:rsidRPr="00E54F19">
        <w:rPr>
          <w:b/>
          <w:bCs/>
        </w:rPr>
        <w:t>–</w:t>
      </w:r>
      <w:r w:rsidR="008F2024">
        <w:rPr>
          <w:b/>
          <w:bCs/>
        </w:rPr>
        <w:t>108</w:t>
      </w:r>
    </w:p>
    <w:p w14:paraId="430A96CB" w14:textId="77777777" w:rsidR="0080008C" w:rsidRDefault="0080008C" w:rsidP="0080008C">
      <w:pPr>
        <w:pStyle w:val="madeunder"/>
        <w:spacing w:before="300" w:after="0"/>
      </w:pPr>
      <w:r>
        <w:t xml:space="preserve">made under the  </w:t>
      </w:r>
    </w:p>
    <w:p w14:paraId="0847C6A9" w14:textId="77777777" w:rsidR="0080008C" w:rsidRDefault="0080008C" w:rsidP="0080008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49CFDDD" w14:textId="77777777" w:rsidR="0080008C" w:rsidRDefault="0080008C" w:rsidP="0080008C">
      <w:pPr>
        <w:pStyle w:val="N-line3"/>
        <w:pBdr>
          <w:bottom w:val="none" w:sz="0" w:space="0" w:color="auto"/>
        </w:pBdr>
        <w:spacing w:before="60"/>
      </w:pPr>
    </w:p>
    <w:p w14:paraId="55C3D12A" w14:textId="77777777" w:rsidR="0080008C" w:rsidRDefault="0080008C" w:rsidP="0080008C">
      <w:pPr>
        <w:pStyle w:val="N-line3"/>
        <w:pBdr>
          <w:top w:val="single" w:sz="12" w:space="1" w:color="auto"/>
          <w:bottom w:val="none" w:sz="0" w:space="0" w:color="auto"/>
        </w:pBdr>
      </w:pPr>
    </w:p>
    <w:p w14:paraId="543C15D8" w14:textId="77777777" w:rsidR="0080008C" w:rsidRPr="0080008C" w:rsidRDefault="0080008C" w:rsidP="0080008C">
      <w:pPr>
        <w:spacing w:before="60" w:after="6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1</w:t>
      </w:r>
      <w:r w:rsidRPr="0080008C">
        <w:rPr>
          <w:b/>
          <w:bCs/>
          <w:sz w:val="24"/>
          <w:szCs w:val="24"/>
        </w:rPr>
        <w:tab/>
        <w:t>Name of instrument</w:t>
      </w:r>
    </w:p>
    <w:p w14:paraId="201ED44A" w14:textId="73F65D4B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401CD8" w:rsidRPr="00401CD8">
        <w:rPr>
          <w:rFonts w:ascii="Times New Roman" w:hAnsi="Times New Roman" w:cs="Times New Roman"/>
          <w:i/>
          <w:iCs/>
          <w:sz w:val="24"/>
          <w:szCs w:val="24"/>
        </w:rPr>
        <w:t>Civil Law (Wrongs) Law Institute of Victoria Limited Professional Standards Scheme 2022 (No 1)</w:t>
      </w:r>
      <w:r w:rsidR="00401CD8">
        <w:rPr>
          <w:rFonts w:ascii="Times New Roman" w:hAnsi="Times New Roman" w:cs="Times New Roman"/>
          <w:sz w:val="24"/>
          <w:szCs w:val="24"/>
        </w:rPr>
        <w:t>*</w:t>
      </w:r>
      <w:r w:rsidRPr="0080008C">
        <w:rPr>
          <w:rFonts w:ascii="Times New Roman" w:hAnsi="Times New Roman" w:cs="Times New Roman"/>
          <w:sz w:val="24"/>
          <w:szCs w:val="24"/>
        </w:rPr>
        <w:t>.</w:t>
      </w:r>
    </w:p>
    <w:p w14:paraId="59C2E609" w14:textId="77777777" w:rsidR="0080008C" w:rsidRPr="0080008C" w:rsidRDefault="0080008C" w:rsidP="0080008C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2</w:t>
      </w:r>
      <w:r w:rsidRPr="0080008C">
        <w:rPr>
          <w:b/>
          <w:bCs/>
          <w:sz w:val="24"/>
          <w:szCs w:val="24"/>
        </w:rPr>
        <w:tab/>
        <w:t xml:space="preserve">Commencement </w:t>
      </w:r>
    </w:p>
    <w:p w14:paraId="24FFC83B" w14:textId="77777777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commences on 1 July 2022. </w:t>
      </w:r>
    </w:p>
    <w:p w14:paraId="03B13490" w14:textId="77777777" w:rsidR="0080008C" w:rsidRPr="0080008C" w:rsidRDefault="0080008C" w:rsidP="0080008C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3</w:t>
      </w:r>
      <w:r w:rsidRPr="0080008C">
        <w:rPr>
          <w:b/>
          <w:bCs/>
          <w:sz w:val="24"/>
          <w:szCs w:val="24"/>
        </w:rPr>
        <w:tab/>
        <w:t>Notice</w:t>
      </w:r>
    </w:p>
    <w:p w14:paraId="403A2379" w14:textId="3B4F7B11" w:rsidR="0080008C" w:rsidRPr="0080008C" w:rsidRDefault="0080008C" w:rsidP="0080008C">
      <w:pPr>
        <w:spacing w:before="1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(1) </w:t>
      </w:r>
      <w:r w:rsidRPr="0080008C">
        <w:rPr>
          <w:rFonts w:ascii="Times New Roman" w:hAnsi="Times New Roman" w:cs="Times New Roman"/>
          <w:sz w:val="24"/>
          <w:szCs w:val="24"/>
        </w:rPr>
        <w:tab/>
        <w:t>I give notice of the P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rofessional Standards Council of Victoria’s approval of the attached ‘Law Institute of Victoria Limited </w:t>
      </w:r>
      <w:r w:rsidR="0059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Professional Standards 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Scheme’.</w:t>
      </w:r>
    </w:p>
    <w:p w14:paraId="116FA46A" w14:textId="77777777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(2)</w:t>
      </w:r>
      <w:r w:rsidRPr="0080008C">
        <w:rPr>
          <w:rFonts w:ascii="Times New Roman" w:hAnsi="Times New Roman" w:cs="Times New Roman"/>
          <w:sz w:val="24"/>
          <w:szCs w:val="24"/>
        </w:rPr>
        <w:tab/>
        <w:t xml:space="preserve">The scheme is in force until 30 June 2027. </w:t>
      </w:r>
    </w:p>
    <w:p w14:paraId="0303269E" w14:textId="77777777" w:rsidR="0080008C" w:rsidRPr="0080008C" w:rsidRDefault="0080008C" w:rsidP="0080008C">
      <w:pPr>
        <w:spacing w:before="140"/>
        <w:rPr>
          <w:sz w:val="24"/>
          <w:szCs w:val="24"/>
        </w:rPr>
      </w:pPr>
    </w:p>
    <w:p w14:paraId="2AED200A" w14:textId="77777777" w:rsidR="0080008C" w:rsidRPr="0080008C" w:rsidRDefault="0080008C" w:rsidP="0080008C">
      <w:pPr>
        <w:spacing w:before="140"/>
        <w:rPr>
          <w:sz w:val="24"/>
          <w:szCs w:val="24"/>
        </w:rPr>
      </w:pPr>
    </w:p>
    <w:p w14:paraId="65F2F2A7" w14:textId="77777777" w:rsidR="0080008C" w:rsidRPr="0080008C" w:rsidRDefault="0080008C" w:rsidP="0080008C">
      <w:pPr>
        <w:tabs>
          <w:tab w:val="left" w:pos="4320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 w:rsidRPr="0080008C"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 w:rsidRPr="0080008C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3453EB67" w14:textId="77777777" w:rsidR="0080008C" w:rsidRPr="0080008C" w:rsidRDefault="0080008C" w:rsidP="0080008C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Attorney-General</w:t>
      </w:r>
    </w:p>
    <w:bookmarkEnd w:id="0"/>
    <w:p w14:paraId="127A9621" w14:textId="74E4875C" w:rsidR="0080008C" w:rsidRPr="0080008C" w:rsidRDefault="008F2024" w:rsidP="0080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June</w:t>
      </w:r>
      <w:r w:rsidR="0080008C" w:rsidRPr="0080008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B6DDB6F" w14:textId="77777777" w:rsidR="0080008C" w:rsidRDefault="0080008C">
      <w:pPr>
        <w:spacing w:before="71"/>
        <w:ind w:left="3047" w:right="3047"/>
        <w:jc w:val="center"/>
        <w:rPr>
          <w:i/>
          <w:sz w:val="23"/>
        </w:rPr>
        <w:sectPr w:rsidR="0080008C" w:rsidSect="00401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704" w:bottom="280" w:left="1843" w:header="720" w:footer="720" w:gutter="0"/>
          <w:cols w:space="720"/>
          <w:titlePg/>
          <w:docGrid w:linePitch="299"/>
        </w:sectPr>
      </w:pPr>
    </w:p>
    <w:p w14:paraId="7FDA758E" w14:textId="60ADED1A" w:rsidR="00206100" w:rsidRDefault="0080008C">
      <w:pPr>
        <w:spacing w:before="71"/>
        <w:ind w:left="3047" w:right="3047"/>
        <w:jc w:val="center"/>
      </w:pPr>
      <w:r>
        <w:rPr>
          <w:i/>
          <w:sz w:val="23"/>
        </w:rPr>
        <w:lastRenderedPageBreak/>
        <w:t>Professional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Standards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Act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2003</w:t>
      </w:r>
      <w:r>
        <w:rPr>
          <w:i/>
          <w:spacing w:val="-2"/>
          <w:sz w:val="23"/>
        </w:rPr>
        <w:t xml:space="preserve"> </w:t>
      </w:r>
      <w:r>
        <w:t>(Vic)</w:t>
      </w:r>
    </w:p>
    <w:p w14:paraId="7ADCBDD8" w14:textId="77777777" w:rsidR="00206100" w:rsidRDefault="00206100">
      <w:pPr>
        <w:pStyle w:val="BodyText"/>
        <w:spacing w:before="3"/>
        <w:rPr>
          <w:sz w:val="22"/>
        </w:rPr>
      </w:pPr>
    </w:p>
    <w:p w14:paraId="016C1204" w14:textId="77777777" w:rsidR="00206100" w:rsidRDefault="0080008C">
      <w:pPr>
        <w:pStyle w:val="Title"/>
        <w:spacing w:line="189" w:lineRule="auto"/>
      </w:pPr>
      <w:r>
        <w:t>LAW INSTITUTE OF VICTORIA LIMITED</w:t>
      </w:r>
      <w:r>
        <w:rPr>
          <w:spacing w:val="1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SCHEME</w:t>
      </w:r>
    </w:p>
    <w:p w14:paraId="29FBD163" w14:textId="77777777" w:rsidR="00206100" w:rsidRDefault="00206100">
      <w:pPr>
        <w:pStyle w:val="BodyText"/>
        <w:rPr>
          <w:b/>
        </w:rPr>
      </w:pPr>
    </w:p>
    <w:p w14:paraId="3C9C83B4" w14:textId="77777777" w:rsidR="00206100" w:rsidRDefault="00206100">
      <w:pPr>
        <w:pStyle w:val="BodyText"/>
        <w:spacing w:before="3"/>
        <w:rPr>
          <w:b/>
          <w:sz w:val="19"/>
        </w:rPr>
      </w:pPr>
    </w:p>
    <w:p w14:paraId="5B757355" w14:textId="77777777" w:rsidR="00206100" w:rsidRDefault="0080008C">
      <w:pPr>
        <w:pStyle w:val="Heading1"/>
        <w:spacing w:before="94"/>
        <w:ind w:firstLine="0"/>
      </w:pPr>
      <w:r>
        <w:t>PREAMBLE</w:t>
      </w:r>
    </w:p>
    <w:p w14:paraId="43D66B6E" w14:textId="77777777" w:rsidR="00206100" w:rsidRDefault="00206100">
      <w:pPr>
        <w:pStyle w:val="BodyText"/>
        <w:spacing w:before="6"/>
        <w:rPr>
          <w:b/>
          <w:sz w:val="23"/>
        </w:rPr>
      </w:pPr>
    </w:p>
    <w:p w14:paraId="13E435DA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68" w:lineRule="auto"/>
        <w:ind w:right="469"/>
        <w:rPr>
          <w:sz w:val="20"/>
        </w:rPr>
      </w:pPr>
      <w:r>
        <w:rPr>
          <w:sz w:val="20"/>
        </w:rPr>
        <w:t>The Law Institute of Victoria Limited (“the LIV”) is an occupational association for legal practitioners</w:t>
      </w:r>
      <w:r>
        <w:rPr>
          <w:spacing w:val="-53"/>
          <w:sz w:val="20"/>
        </w:rPr>
        <w:t xml:space="preserve"> </w:t>
      </w:r>
      <w:r>
        <w:rPr>
          <w:sz w:val="20"/>
        </w:rPr>
        <w:t>(solicitors)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Victoria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2003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(Vic)</w:t>
      </w:r>
      <w:r>
        <w:rPr>
          <w:spacing w:val="-1"/>
          <w:sz w:val="20"/>
        </w:rPr>
        <w:t xml:space="preserve"> </w:t>
      </w:r>
      <w:r>
        <w:rPr>
          <w:sz w:val="20"/>
        </w:rPr>
        <w:t>(“the</w:t>
      </w:r>
      <w:r>
        <w:rPr>
          <w:spacing w:val="-3"/>
          <w:sz w:val="20"/>
        </w:rPr>
        <w:t xml:space="preserve"> </w:t>
      </w:r>
      <w:r>
        <w:rPr>
          <w:sz w:val="20"/>
        </w:rPr>
        <w:t>Act”).</w:t>
      </w:r>
    </w:p>
    <w:p w14:paraId="34F2AC56" w14:textId="77777777" w:rsidR="00206100" w:rsidRDefault="00206100">
      <w:pPr>
        <w:pStyle w:val="BodyText"/>
        <w:spacing w:before="5"/>
        <w:rPr>
          <w:sz w:val="21"/>
        </w:rPr>
      </w:pPr>
    </w:p>
    <w:p w14:paraId="5CCA254C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68" w:lineRule="auto"/>
        <w:ind w:right="44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Scheme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LIV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limiting</w:t>
      </w:r>
      <w:r>
        <w:rPr>
          <w:spacing w:val="-9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extent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Act.</w:t>
      </w:r>
    </w:p>
    <w:p w14:paraId="5205CE71" w14:textId="77777777" w:rsidR="00206100" w:rsidRDefault="00206100">
      <w:pPr>
        <w:pStyle w:val="BodyText"/>
        <w:spacing w:before="8"/>
        <w:rPr>
          <w:sz w:val="21"/>
        </w:rPr>
      </w:pPr>
    </w:p>
    <w:p w14:paraId="43CDAC3A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before="1"/>
        <w:ind w:left="7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3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Scheme.</w:t>
      </w:r>
    </w:p>
    <w:p w14:paraId="44550B7B" w14:textId="77777777" w:rsidR="00206100" w:rsidRDefault="00206100">
      <w:pPr>
        <w:pStyle w:val="BodyText"/>
        <w:spacing w:before="9"/>
        <w:rPr>
          <w:sz w:val="23"/>
        </w:rPr>
      </w:pPr>
    </w:p>
    <w:p w14:paraId="0DA6426E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71" w:lineRule="auto"/>
        <w:ind w:right="227"/>
        <w:rPr>
          <w:sz w:val="20"/>
        </w:rPr>
      </w:pPr>
      <w:r>
        <w:rPr>
          <w:sz w:val="20"/>
        </w:rPr>
        <w:t>The Scheme will have force in Victoria, New South Wales, Queensland, South Australia, Western</w:t>
      </w:r>
      <w:r>
        <w:rPr>
          <w:spacing w:val="1"/>
          <w:sz w:val="20"/>
        </w:rPr>
        <w:t xml:space="preserve"> </w:t>
      </w:r>
      <w:r>
        <w:rPr>
          <w:sz w:val="20"/>
        </w:rPr>
        <w:t>Australia, the Northern Territory, Tasmania, and the Australian Capital Territory. To the extent that the</w:t>
      </w:r>
      <w:r>
        <w:rPr>
          <w:spacing w:val="-53"/>
          <w:sz w:val="20"/>
        </w:rPr>
        <w:t xml:space="preserve"> </w:t>
      </w:r>
      <w:r>
        <w:rPr>
          <w:sz w:val="20"/>
        </w:rPr>
        <w:t>Scheme applies to limit liability in jurisdictions other than Victoria, it is subject to the 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jurisdictions.</w:t>
      </w:r>
    </w:p>
    <w:p w14:paraId="3E4F3A25" w14:textId="77777777" w:rsidR="00206100" w:rsidRDefault="00206100">
      <w:pPr>
        <w:pStyle w:val="BodyText"/>
        <w:spacing w:before="4"/>
        <w:rPr>
          <w:sz w:val="21"/>
        </w:rPr>
      </w:pPr>
    </w:p>
    <w:p w14:paraId="00768286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before="1" w:line="268" w:lineRule="auto"/>
        <w:ind w:right="381"/>
        <w:rPr>
          <w:sz w:val="20"/>
        </w:rPr>
      </w:pPr>
      <w:r>
        <w:rPr>
          <w:sz w:val="20"/>
        </w:rPr>
        <w:t>The LIV has furnished the Council with a detailed list of the risk management strategies to be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in respect of its Participating Members and the means by which those strategies are to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implemented.</w:t>
      </w:r>
    </w:p>
    <w:p w14:paraId="5D7A036E" w14:textId="77777777" w:rsidR="00206100" w:rsidRDefault="00206100">
      <w:pPr>
        <w:pStyle w:val="BodyText"/>
        <w:spacing w:before="11"/>
        <w:rPr>
          <w:sz w:val="21"/>
        </w:rPr>
      </w:pPr>
    </w:p>
    <w:p w14:paraId="2CE26802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68" w:lineRule="auto"/>
        <w:ind w:right="392"/>
        <w:rPr>
          <w:sz w:val="20"/>
        </w:rPr>
      </w:pPr>
      <w:r>
        <w:rPr>
          <w:sz w:val="20"/>
        </w:rPr>
        <w:t>The LIV has furnished the Council with details of its insurance standards and professional indemnity</w:t>
      </w:r>
      <w:r>
        <w:rPr>
          <w:spacing w:val="-54"/>
          <w:sz w:val="20"/>
        </w:rPr>
        <w:t xml:space="preserve"> </w:t>
      </w:r>
      <w:r>
        <w:rPr>
          <w:sz w:val="20"/>
        </w:rPr>
        <w:t>insurance claims monitoring process. The LIV will not amend these insurance standards while the</w:t>
      </w:r>
      <w:r>
        <w:rPr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is in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prior approval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04BCD9E4" w14:textId="77777777" w:rsidR="00206100" w:rsidRDefault="00206100">
      <w:pPr>
        <w:pStyle w:val="BodyText"/>
        <w:spacing w:before="11"/>
        <w:rPr>
          <w:sz w:val="21"/>
        </w:rPr>
      </w:pPr>
    </w:p>
    <w:p w14:paraId="5BFFA60A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71" w:lineRule="auto"/>
        <w:ind w:left="768" w:right="234" w:hanging="649"/>
        <w:rPr>
          <w:sz w:val="20"/>
        </w:rPr>
      </w:pPr>
      <w:r>
        <w:rPr>
          <w:sz w:val="20"/>
        </w:rPr>
        <w:t>The LIV has advised its Participating Members that they must have the benefit of a 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indemnity policy that complies with the LIV’s insurance standards and that they remain liable for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of any difference between the amount payable to a plaintiff under the policy and the monetary</w:t>
      </w:r>
      <w:r>
        <w:rPr>
          <w:spacing w:val="-53"/>
          <w:sz w:val="20"/>
        </w:rPr>
        <w:t xml:space="preserve"> </w:t>
      </w:r>
      <w:r>
        <w:rPr>
          <w:sz w:val="20"/>
        </w:rPr>
        <w:t>ceiling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Scheme</w:t>
      </w:r>
    </w:p>
    <w:p w14:paraId="7991BFE5" w14:textId="77777777" w:rsidR="00206100" w:rsidRDefault="00206100">
      <w:pPr>
        <w:pStyle w:val="BodyText"/>
        <w:spacing w:before="5"/>
        <w:rPr>
          <w:sz w:val="21"/>
        </w:rPr>
      </w:pPr>
    </w:p>
    <w:p w14:paraId="677BB477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ind w:left="7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LIV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furnished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14:paraId="0FC7383D" w14:textId="77777777" w:rsidR="00206100" w:rsidRDefault="00206100">
      <w:pPr>
        <w:pStyle w:val="BodyText"/>
        <w:spacing w:before="10"/>
        <w:rPr>
          <w:sz w:val="23"/>
        </w:rPr>
      </w:pPr>
    </w:p>
    <w:p w14:paraId="68C52B10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66" w:lineRule="auto"/>
        <w:ind w:right="324"/>
        <w:rPr>
          <w:sz w:val="20"/>
        </w:rPr>
      </w:pPr>
      <w:r>
        <w:rPr>
          <w:sz w:val="20"/>
        </w:rPr>
        <w:t>The LIV and its members to whom the Scheme applies have undertaken to comply with all reporting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associated with the Scheme, in furtherance of the statutory objects of improvement of the</w:t>
      </w:r>
      <w:r>
        <w:rPr>
          <w:spacing w:val="-53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consumers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members’</w:t>
      </w:r>
      <w:r>
        <w:rPr>
          <w:spacing w:val="-4"/>
          <w:sz w:val="20"/>
        </w:rPr>
        <w:t xml:space="preserve"> </w:t>
      </w:r>
      <w:r>
        <w:rPr>
          <w:sz w:val="20"/>
        </w:rPr>
        <w:t>services.</w:t>
      </w:r>
    </w:p>
    <w:p w14:paraId="6F11F9C6" w14:textId="77777777" w:rsidR="00206100" w:rsidRDefault="00206100">
      <w:pPr>
        <w:pStyle w:val="BodyText"/>
        <w:spacing w:before="1"/>
        <w:rPr>
          <w:sz w:val="22"/>
        </w:rPr>
      </w:pPr>
    </w:p>
    <w:p w14:paraId="1FA80F87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ind w:left="768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LIV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undertaken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remit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payable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Regulations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2017</w:t>
      </w:r>
    </w:p>
    <w:p w14:paraId="0D68656B" w14:textId="77777777" w:rsidR="00206100" w:rsidRDefault="0080008C">
      <w:pPr>
        <w:pStyle w:val="BodyText"/>
        <w:spacing w:before="25"/>
        <w:ind w:left="767"/>
      </w:pPr>
      <w:r>
        <w:t>(Vic)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due.</w:t>
      </w:r>
    </w:p>
    <w:p w14:paraId="79077643" w14:textId="77777777" w:rsidR="00206100" w:rsidRDefault="00206100">
      <w:pPr>
        <w:pStyle w:val="BodyText"/>
        <w:spacing w:before="10"/>
        <w:rPr>
          <w:sz w:val="25"/>
        </w:rPr>
      </w:pPr>
    </w:p>
    <w:p w14:paraId="2E50D19E" w14:textId="77777777" w:rsidR="00206100" w:rsidRDefault="0080008C">
      <w:pPr>
        <w:pStyle w:val="BodyText"/>
        <w:spacing w:before="1" w:line="271" w:lineRule="auto"/>
        <w:ind w:left="767" w:right="164"/>
      </w:pPr>
      <w:r>
        <w:t>The Scheme is intended to commence on 1 July 2022 and remain in force for a period of five (5) years</w:t>
      </w:r>
      <w:r>
        <w:rPr>
          <w:spacing w:val="-5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commencement,</w:t>
      </w:r>
      <w:r>
        <w:rPr>
          <w:spacing w:val="-2"/>
        </w:rPr>
        <w:t xml:space="preserve"> </w:t>
      </w:r>
      <w:r>
        <w:t>unless,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revoked,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ceases,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extended.</w:t>
      </w:r>
    </w:p>
    <w:p w14:paraId="6D8655D0" w14:textId="77777777" w:rsidR="00206100" w:rsidRDefault="00206100">
      <w:pPr>
        <w:pStyle w:val="BodyText"/>
        <w:spacing w:before="9"/>
        <w:rPr>
          <w:sz w:val="21"/>
        </w:rPr>
      </w:pPr>
    </w:p>
    <w:p w14:paraId="55970E56" w14:textId="77777777" w:rsidR="00206100" w:rsidRDefault="0080008C">
      <w:pPr>
        <w:pStyle w:val="ListParagraph"/>
        <w:numPr>
          <w:ilvl w:val="0"/>
          <w:numId w:val="4"/>
        </w:numPr>
        <w:tabs>
          <w:tab w:val="left" w:pos="767"/>
          <w:tab w:val="left" w:pos="768"/>
        </w:tabs>
        <w:spacing w:line="256" w:lineRule="auto"/>
        <w:ind w:right="123"/>
        <w:rPr>
          <w:sz w:val="20"/>
        </w:rPr>
      </w:pPr>
      <w:r>
        <w:rPr>
          <w:sz w:val="20"/>
        </w:rPr>
        <w:t xml:space="preserve">Sections 12GNA(2) of the </w:t>
      </w:r>
      <w:r>
        <w:rPr>
          <w:i/>
          <w:sz w:val="20"/>
        </w:rPr>
        <w:t xml:space="preserve">Australian Securities and Investments Commission Act 2001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), 137(2) 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 xml:space="preserve">Competition and Consumer Act 2010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 xml:space="preserve">), and 1044B(2) of the </w:t>
      </w:r>
      <w:r>
        <w:rPr>
          <w:i/>
          <w:sz w:val="20"/>
        </w:rPr>
        <w:t xml:space="preserve">Corporations Act 2001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provide for limited liability where a Professional Standards Scheme is prescribed in the relevant</w:t>
      </w:r>
      <w:r>
        <w:rPr>
          <w:spacing w:val="1"/>
          <w:sz w:val="20"/>
        </w:rPr>
        <w:t xml:space="preserve"> </w:t>
      </w:r>
      <w:r>
        <w:rPr>
          <w:sz w:val="20"/>
        </w:rPr>
        <w:t>regulation. The Scheme does not apply to limit any liability under a Commonwealth law unless it 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1"/>
          <w:sz w:val="20"/>
        </w:rPr>
        <w:t xml:space="preserve"> </w:t>
      </w:r>
      <w:r>
        <w:rPr>
          <w:sz w:val="20"/>
        </w:rPr>
        <w:t>under regulations 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Commonwealth.</w:t>
      </w:r>
    </w:p>
    <w:p w14:paraId="1F0DEA29" w14:textId="77777777" w:rsidR="00206100" w:rsidRDefault="00206100">
      <w:pPr>
        <w:spacing w:line="256" w:lineRule="auto"/>
        <w:rPr>
          <w:sz w:val="20"/>
        </w:rPr>
        <w:sectPr w:rsidR="00206100" w:rsidSect="00401CD8">
          <w:footerReference w:type="first" r:id="rId13"/>
          <w:pgSz w:w="11910" w:h="16840"/>
          <w:pgMar w:top="1340" w:right="960" w:bottom="280" w:left="960" w:header="720" w:footer="720" w:gutter="0"/>
          <w:cols w:space="720"/>
          <w:titlePg/>
          <w:docGrid w:linePitch="299"/>
        </w:sectPr>
      </w:pPr>
    </w:p>
    <w:p w14:paraId="73DCF677" w14:textId="77777777" w:rsidR="00206100" w:rsidRDefault="0080008C">
      <w:pPr>
        <w:pStyle w:val="Heading1"/>
        <w:spacing w:before="73"/>
        <w:ind w:firstLine="0"/>
      </w:pPr>
      <w:r>
        <w:lastRenderedPageBreak/>
        <w:t>LAW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SCHEME</w:t>
      </w:r>
    </w:p>
    <w:p w14:paraId="7EE82FAF" w14:textId="77777777" w:rsidR="00206100" w:rsidRDefault="00206100">
      <w:pPr>
        <w:pStyle w:val="BodyText"/>
        <w:spacing w:before="5"/>
        <w:rPr>
          <w:b/>
          <w:sz w:val="25"/>
        </w:rPr>
      </w:pPr>
    </w:p>
    <w:p w14:paraId="2C7A418A" w14:textId="77777777" w:rsidR="00206100" w:rsidRDefault="0080008C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rPr>
          <w:b/>
          <w:sz w:val="20"/>
        </w:rPr>
      </w:pPr>
      <w:r>
        <w:rPr>
          <w:b/>
          <w:sz w:val="20"/>
        </w:rPr>
        <w:t>Occupational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association</w:t>
      </w:r>
    </w:p>
    <w:p w14:paraId="69311370" w14:textId="77777777" w:rsidR="00206100" w:rsidRDefault="00206100">
      <w:pPr>
        <w:pStyle w:val="BodyText"/>
        <w:spacing w:before="5"/>
        <w:rPr>
          <w:b/>
          <w:sz w:val="25"/>
        </w:rPr>
      </w:pPr>
    </w:p>
    <w:p w14:paraId="1AC39465" w14:textId="77777777" w:rsidR="00206100" w:rsidRDefault="0080008C">
      <w:pPr>
        <w:pStyle w:val="ListParagraph"/>
        <w:numPr>
          <w:ilvl w:val="2"/>
          <w:numId w:val="4"/>
        </w:numPr>
        <w:tabs>
          <w:tab w:val="left" w:pos="828"/>
          <w:tab w:val="left" w:pos="830"/>
        </w:tabs>
        <w:ind w:right="554" w:hanging="709"/>
        <w:rPr>
          <w:sz w:val="20"/>
        </w:rPr>
      </w:pPr>
      <w:r>
        <w:rPr>
          <w:sz w:val="20"/>
        </w:rPr>
        <w:t>The Law Institute of Victoria Limited Professional Standards Scheme is a scheme under 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Professional Standards Act 2003 </w:t>
      </w:r>
      <w:r>
        <w:rPr>
          <w:sz w:val="20"/>
        </w:rPr>
        <w:t>(Vic) (“the Act”) prepared by the Law Institute of Victoria Limited</w:t>
      </w:r>
      <w:r>
        <w:rPr>
          <w:spacing w:val="-53"/>
          <w:sz w:val="20"/>
        </w:rPr>
        <w:t xml:space="preserve"> </w:t>
      </w:r>
      <w:r>
        <w:rPr>
          <w:sz w:val="20"/>
        </w:rPr>
        <w:t>(“the</w:t>
      </w:r>
      <w:r>
        <w:rPr>
          <w:spacing w:val="-2"/>
          <w:sz w:val="20"/>
        </w:rPr>
        <w:t xml:space="preserve"> </w:t>
      </w:r>
      <w:r>
        <w:rPr>
          <w:sz w:val="20"/>
        </w:rPr>
        <w:t>LIV”),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13,</w:t>
      </w:r>
      <w:r>
        <w:rPr>
          <w:spacing w:val="-2"/>
          <w:sz w:val="20"/>
        </w:rPr>
        <w:t xml:space="preserve"> </w:t>
      </w:r>
      <w:r>
        <w:rPr>
          <w:sz w:val="20"/>
        </w:rPr>
        <w:t>140</w:t>
      </w:r>
      <w:r>
        <w:rPr>
          <w:spacing w:val="-2"/>
          <w:sz w:val="20"/>
        </w:rPr>
        <w:t xml:space="preserve"> </w:t>
      </w:r>
      <w:r>
        <w:rPr>
          <w:sz w:val="20"/>
        </w:rPr>
        <w:t>William</w:t>
      </w:r>
      <w:r>
        <w:rPr>
          <w:spacing w:val="-2"/>
          <w:sz w:val="20"/>
        </w:rPr>
        <w:t xml:space="preserve"> </w:t>
      </w:r>
      <w:r>
        <w:rPr>
          <w:sz w:val="20"/>
        </w:rPr>
        <w:t>St,</w:t>
      </w:r>
      <w:r>
        <w:rPr>
          <w:spacing w:val="-1"/>
          <w:sz w:val="20"/>
        </w:rPr>
        <w:t xml:space="preserve"> </w:t>
      </w:r>
      <w:r>
        <w:rPr>
          <w:sz w:val="20"/>
        </w:rPr>
        <w:t>Melbourne,</w:t>
      </w:r>
      <w:r>
        <w:rPr>
          <w:spacing w:val="-2"/>
          <w:sz w:val="20"/>
        </w:rPr>
        <w:t xml:space="preserve"> </w:t>
      </w:r>
      <w:r>
        <w:rPr>
          <w:sz w:val="20"/>
        </w:rPr>
        <w:t>Victoria.</w:t>
      </w:r>
    </w:p>
    <w:p w14:paraId="5C209EF6" w14:textId="77777777" w:rsidR="00206100" w:rsidRDefault="00206100">
      <w:pPr>
        <w:pStyle w:val="BodyText"/>
        <w:spacing w:before="7"/>
        <w:rPr>
          <w:sz w:val="19"/>
        </w:rPr>
      </w:pPr>
    </w:p>
    <w:p w14:paraId="6A7F2D04" w14:textId="77777777" w:rsidR="00206100" w:rsidRDefault="0080008C">
      <w:pPr>
        <w:pStyle w:val="Heading1"/>
        <w:numPr>
          <w:ilvl w:val="1"/>
          <w:numId w:val="4"/>
        </w:numPr>
        <w:tabs>
          <w:tab w:val="left" w:pos="695"/>
          <w:tab w:val="left" w:pos="696"/>
        </w:tabs>
        <w:ind w:left="696" w:hanging="576"/>
        <w:rPr>
          <w:sz w:val="21"/>
        </w:rPr>
      </w:pPr>
      <w:r>
        <w:t>Persons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 the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applies</w:t>
      </w:r>
    </w:p>
    <w:p w14:paraId="2BEED0A4" w14:textId="77777777" w:rsidR="00206100" w:rsidRDefault="00206100">
      <w:pPr>
        <w:pStyle w:val="BodyText"/>
        <w:spacing w:before="4"/>
        <w:rPr>
          <w:b/>
          <w:sz w:val="25"/>
        </w:rPr>
      </w:pPr>
    </w:p>
    <w:p w14:paraId="03C6E36C" w14:textId="77777777" w:rsidR="00206100" w:rsidRDefault="0080008C">
      <w:pPr>
        <w:pStyle w:val="ListParagraph"/>
        <w:numPr>
          <w:ilvl w:val="2"/>
          <w:numId w:val="4"/>
        </w:numPr>
        <w:tabs>
          <w:tab w:val="left" w:pos="696"/>
          <w:tab w:val="left" w:pos="697"/>
        </w:tabs>
        <w:ind w:left="696" w:hanging="57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3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000F506C" w14:textId="77777777" w:rsidR="00206100" w:rsidRDefault="00206100">
      <w:pPr>
        <w:pStyle w:val="BodyText"/>
        <w:spacing w:before="5"/>
        <w:rPr>
          <w:sz w:val="30"/>
        </w:rPr>
      </w:pPr>
    </w:p>
    <w:p w14:paraId="668CFCD3" w14:textId="4C11EB92" w:rsidR="00206100" w:rsidRDefault="0080008C">
      <w:pPr>
        <w:pStyle w:val="ListParagraph"/>
        <w:numPr>
          <w:ilvl w:val="3"/>
          <w:numId w:val="4"/>
        </w:numPr>
        <w:tabs>
          <w:tab w:val="left" w:pos="1488"/>
          <w:tab w:val="left" w:pos="1489"/>
        </w:tabs>
        <w:spacing w:before="1" w:line="271" w:lineRule="auto"/>
        <w:ind w:right="562"/>
        <w:rPr>
          <w:sz w:val="20"/>
        </w:rPr>
      </w:pPr>
      <w:r>
        <w:rPr>
          <w:sz w:val="20"/>
        </w:rPr>
        <w:t xml:space="preserve">Full Members who hold a current Australian </w:t>
      </w:r>
      <w:r w:rsidR="00F80EE9">
        <w:rPr>
          <w:sz w:val="20"/>
        </w:rPr>
        <w:t>Practicing</w:t>
      </w:r>
      <w:r>
        <w:rPr>
          <w:sz w:val="20"/>
        </w:rPr>
        <w:t xml:space="preserve"> Certificate who are not excluded or</w:t>
      </w:r>
      <w:r>
        <w:rPr>
          <w:spacing w:val="-54"/>
          <w:sz w:val="20"/>
        </w:rPr>
        <w:t xml:space="preserve"> </w:t>
      </w:r>
      <w:r>
        <w:rPr>
          <w:sz w:val="20"/>
        </w:rPr>
        <w:t>exempted</w:t>
      </w:r>
      <w:r>
        <w:rPr>
          <w:spacing w:val="-2"/>
          <w:sz w:val="20"/>
        </w:rPr>
        <w:t xml:space="preserve"> </w:t>
      </w:r>
      <w:r>
        <w:rPr>
          <w:sz w:val="20"/>
        </w:rPr>
        <w:t>under clauses 2.2</w:t>
      </w:r>
      <w:r>
        <w:rPr>
          <w:spacing w:val="-1"/>
          <w:sz w:val="20"/>
        </w:rPr>
        <w:t xml:space="preserve"> </w:t>
      </w:r>
      <w:r>
        <w:rPr>
          <w:sz w:val="20"/>
        </w:rPr>
        <w:t>or 2.3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Scheme;</w:t>
      </w:r>
    </w:p>
    <w:p w14:paraId="49CC1055" w14:textId="77777777" w:rsidR="00206100" w:rsidRDefault="00206100">
      <w:pPr>
        <w:pStyle w:val="BodyText"/>
        <w:spacing w:before="5"/>
        <w:rPr>
          <w:sz w:val="23"/>
        </w:rPr>
      </w:pPr>
    </w:p>
    <w:p w14:paraId="349B60A6" w14:textId="77777777" w:rsidR="00206100" w:rsidRDefault="0080008C">
      <w:pPr>
        <w:pStyle w:val="ListParagraph"/>
        <w:numPr>
          <w:ilvl w:val="3"/>
          <w:numId w:val="4"/>
        </w:numPr>
        <w:tabs>
          <w:tab w:val="left" w:pos="1485"/>
          <w:tab w:val="left" w:pos="1486"/>
        </w:tabs>
        <w:ind w:left="1485"/>
        <w:rPr>
          <w:sz w:val="20"/>
        </w:rPr>
      </w:pPr>
      <w:r>
        <w:rPr>
          <w:sz w:val="20"/>
        </w:rPr>
        <w:t>Incorporated</w:t>
      </w:r>
      <w:r>
        <w:rPr>
          <w:spacing w:val="23"/>
          <w:sz w:val="20"/>
        </w:rPr>
        <w:t xml:space="preserve"> </w:t>
      </w:r>
      <w:r>
        <w:rPr>
          <w:sz w:val="20"/>
        </w:rPr>
        <w:t>Legal</w:t>
      </w:r>
      <w:r>
        <w:rPr>
          <w:spacing w:val="22"/>
          <w:sz w:val="20"/>
        </w:rPr>
        <w:t xml:space="preserve"> </w:t>
      </w:r>
      <w:r>
        <w:rPr>
          <w:sz w:val="20"/>
        </w:rPr>
        <w:t>Practices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21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z w:val="20"/>
        </w:rPr>
        <w:t>not</w:t>
      </w:r>
      <w:r>
        <w:rPr>
          <w:spacing w:val="21"/>
          <w:sz w:val="20"/>
        </w:rPr>
        <w:t xml:space="preserve"> </w:t>
      </w:r>
      <w:r>
        <w:rPr>
          <w:sz w:val="20"/>
        </w:rPr>
        <w:t>exempted</w:t>
      </w:r>
      <w:r>
        <w:rPr>
          <w:spacing w:val="22"/>
          <w:sz w:val="20"/>
        </w:rPr>
        <w:t xml:space="preserve"> </w:t>
      </w:r>
      <w:r>
        <w:rPr>
          <w:sz w:val="20"/>
        </w:rPr>
        <w:t>under</w:t>
      </w:r>
      <w:r>
        <w:rPr>
          <w:spacing w:val="22"/>
          <w:sz w:val="20"/>
        </w:rPr>
        <w:t xml:space="preserve"> </w:t>
      </w:r>
      <w:r>
        <w:rPr>
          <w:sz w:val="20"/>
        </w:rPr>
        <w:t>clause</w:t>
      </w:r>
      <w:r>
        <w:rPr>
          <w:spacing w:val="21"/>
          <w:sz w:val="20"/>
        </w:rPr>
        <w:t xml:space="preserve"> </w:t>
      </w:r>
      <w:r>
        <w:rPr>
          <w:sz w:val="20"/>
        </w:rPr>
        <w:t>2.3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Scheme;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</w:p>
    <w:p w14:paraId="47D79CFE" w14:textId="77777777" w:rsidR="00206100" w:rsidRDefault="00206100">
      <w:pPr>
        <w:pStyle w:val="BodyText"/>
        <w:rPr>
          <w:sz w:val="25"/>
        </w:rPr>
      </w:pPr>
    </w:p>
    <w:p w14:paraId="35AE8A33" w14:textId="77777777" w:rsidR="00206100" w:rsidRDefault="0080008C">
      <w:pPr>
        <w:pStyle w:val="ListParagraph"/>
        <w:numPr>
          <w:ilvl w:val="3"/>
          <w:numId w:val="4"/>
        </w:numPr>
        <w:tabs>
          <w:tab w:val="left" w:pos="1488"/>
          <w:tab w:val="left" w:pos="1489"/>
        </w:tabs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whom,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virtue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sections 20,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applies.</w:t>
      </w:r>
    </w:p>
    <w:p w14:paraId="03F89CC6" w14:textId="77777777" w:rsidR="00206100" w:rsidRDefault="00206100">
      <w:pPr>
        <w:pStyle w:val="BodyText"/>
        <w:rPr>
          <w:sz w:val="22"/>
        </w:rPr>
      </w:pPr>
    </w:p>
    <w:p w14:paraId="73A30E06" w14:textId="77777777" w:rsidR="00206100" w:rsidRDefault="00206100">
      <w:pPr>
        <w:pStyle w:val="BodyText"/>
        <w:spacing w:before="4"/>
        <w:rPr>
          <w:sz w:val="18"/>
        </w:rPr>
      </w:pPr>
    </w:p>
    <w:p w14:paraId="515E01ED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spacing w:before="1" w:line="276" w:lineRule="auto"/>
        <w:ind w:left="687" w:right="393" w:hanging="568"/>
        <w:rPr>
          <w:sz w:val="20"/>
        </w:rPr>
      </w:pPr>
      <w:r>
        <w:rPr>
          <w:sz w:val="20"/>
        </w:rPr>
        <w:t>Despite clause 2.1, the Scheme does not apply to a Corporate Legal Practitioner or to a Government</w:t>
      </w:r>
      <w:r>
        <w:rPr>
          <w:spacing w:val="-5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Practitioner.</w:t>
      </w:r>
    </w:p>
    <w:p w14:paraId="1E7CC3C8" w14:textId="77777777" w:rsidR="00206100" w:rsidRDefault="00206100">
      <w:pPr>
        <w:pStyle w:val="BodyText"/>
        <w:spacing w:before="5"/>
        <w:rPr>
          <w:sz w:val="22"/>
        </w:rPr>
      </w:pPr>
    </w:p>
    <w:p w14:paraId="336F8B9A" w14:textId="77777777" w:rsidR="00206100" w:rsidRDefault="0080008C">
      <w:pPr>
        <w:pStyle w:val="ListParagraph"/>
        <w:numPr>
          <w:ilvl w:val="2"/>
          <w:numId w:val="4"/>
        </w:numPr>
        <w:tabs>
          <w:tab w:val="left" w:pos="697"/>
        </w:tabs>
        <w:spacing w:line="276" w:lineRule="auto"/>
        <w:ind w:left="696" w:right="116" w:hanging="576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referred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2.1</w:t>
      </w:r>
      <w:r>
        <w:rPr>
          <w:spacing w:val="-3"/>
          <w:sz w:val="20"/>
        </w:rPr>
        <w:t xml:space="preserve"> </w:t>
      </w:r>
      <w:r>
        <w:rPr>
          <w:sz w:val="20"/>
        </w:rPr>
        <w:t>may,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exempted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 LIV, with effect from the date specified by the LIV. This clause does not apply to persons to whom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1"/>
          <w:sz w:val="20"/>
        </w:rPr>
        <w:t xml:space="preserve"> </w:t>
      </w:r>
      <w:r>
        <w:rPr>
          <w:sz w:val="20"/>
        </w:rPr>
        <w:t>applies by virtue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sections 20,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or 22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Act.</w:t>
      </w:r>
    </w:p>
    <w:p w14:paraId="594B5269" w14:textId="77777777" w:rsidR="00206100" w:rsidRDefault="00206100">
      <w:pPr>
        <w:pStyle w:val="BodyText"/>
        <w:rPr>
          <w:sz w:val="23"/>
        </w:rPr>
      </w:pPr>
    </w:p>
    <w:p w14:paraId="39A55A37" w14:textId="77777777" w:rsidR="00206100" w:rsidRDefault="0080008C">
      <w:pPr>
        <w:pStyle w:val="Heading1"/>
        <w:numPr>
          <w:ilvl w:val="1"/>
          <w:numId w:val="4"/>
        </w:numPr>
        <w:tabs>
          <w:tab w:val="left" w:pos="695"/>
          <w:tab w:val="left" w:pos="696"/>
        </w:tabs>
        <w:ind w:left="695" w:hanging="577"/>
      </w:pPr>
      <w:r>
        <w:t>Jurisdiction</w:t>
      </w:r>
    </w:p>
    <w:p w14:paraId="1782C22E" w14:textId="77777777" w:rsidR="00206100" w:rsidRDefault="00206100">
      <w:pPr>
        <w:pStyle w:val="BodyText"/>
        <w:spacing w:before="10"/>
        <w:rPr>
          <w:b/>
          <w:sz w:val="25"/>
        </w:rPr>
      </w:pPr>
    </w:p>
    <w:p w14:paraId="0E601C28" w14:textId="77777777" w:rsidR="00206100" w:rsidRDefault="0080008C">
      <w:pPr>
        <w:pStyle w:val="ListParagraph"/>
        <w:numPr>
          <w:ilvl w:val="2"/>
          <w:numId w:val="4"/>
        </w:numPr>
        <w:tabs>
          <w:tab w:val="left" w:pos="695"/>
          <w:tab w:val="left" w:pos="696"/>
        </w:tabs>
        <w:ind w:left="695" w:hanging="57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4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Victoria.</w:t>
      </w:r>
    </w:p>
    <w:p w14:paraId="1824DBE9" w14:textId="77777777" w:rsidR="00206100" w:rsidRDefault="00206100">
      <w:pPr>
        <w:pStyle w:val="BodyText"/>
        <w:spacing w:before="9"/>
        <w:rPr>
          <w:sz w:val="25"/>
        </w:rPr>
      </w:pPr>
    </w:p>
    <w:p w14:paraId="59154805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spacing w:line="259" w:lineRule="auto"/>
        <w:ind w:left="687" w:right="173" w:hanging="568"/>
        <w:rPr>
          <w:sz w:val="20"/>
        </w:rPr>
      </w:pPr>
      <w:r>
        <w:rPr>
          <w:sz w:val="20"/>
        </w:rPr>
        <w:t>In addition to Victoria, the Scheme is intended to operate in New South Wales, Queensland, South</w:t>
      </w:r>
      <w:r>
        <w:rPr>
          <w:spacing w:val="1"/>
          <w:sz w:val="20"/>
        </w:rPr>
        <w:t xml:space="preserve"> </w:t>
      </w:r>
      <w:r>
        <w:rPr>
          <w:sz w:val="20"/>
        </w:rPr>
        <w:t>Australia, Western Australia, the Northern Territory, Tasmania, and the Australian Capital Territory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the professional standards legislation of those states and territories and subject to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that legislation (“the Corresponding Laws”), so that references to a provision of the Act,</w:t>
      </w:r>
      <w:r>
        <w:rPr>
          <w:spacing w:val="-53"/>
          <w:sz w:val="20"/>
        </w:rPr>
        <w:t xml:space="preserve"> </w:t>
      </w:r>
      <w:r>
        <w:rPr>
          <w:sz w:val="20"/>
        </w:rPr>
        <w:t>the application of the Scheme to a liability, the limit of a liability under the Act, or what constitutes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 Liability, are intended to pick up the relevant provisions of the Corresponding Laws,</w:t>
      </w:r>
      <w:r>
        <w:rPr>
          <w:spacing w:val="1"/>
          <w:sz w:val="20"/>
        </w:rPr>
        <w:t xml:space="preserve"> </w:t>
      </w:r>
      <w:r>
        <w:rPr>
          <w:sz w:val="20"/>
        </w:rPr>
        <w:t>applied mutatis mutandis, to the extent that is necessary for the application of the Scheme in any 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jurisdictions.</w:t>
      </w:r>
    </w:p>
    <w:p w14:paraId="2078C182" w14:textId="77777777" w:rsidR="00206100" w:rsidRDefault="00206100">
      <w:pPr>
        <w:pStyle w:val="BodyText"/>
        <w:spacing w:before="8"/>
        <w:rPr>
          <w:sz w:val="24"/>
        </w:rPr>
      </w:pPr>
    </w:p>
    <w:p w14:paraId="53A45BF6" w14:textId="77777777" w:rsidR="00206100" w:rsidRDefault="0080008C">
      <w:pPr>
        <w:pStyle w:val="Heading1"/>
        <w:numPr>
          <w:ilvl w:val="1"/>
          <w:numId w:val="4"/>
        </w:numPr>
        <w:tabs>
          <w:tab w:val="left" w:pos="695"/>
          <w:tab w:val="left" w:pos="696"/>
        </w:tabs>
        <w:ind w:left="695" w:hanging="577"/>
      </w:pPr>
      <w:r>
        <w:rPr>
          <w:spacing w:val="-1"/>
        </w:rPr>
        <w:t>Limitation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</w:p>
    <w:p w14:paraId="6368CDFF" w14:textId="77777777" w:rsidR="00206100" w:rsidRDefault="00206100">
      <w:pPr>
        <w:pStyle w:val="BodyText"/>
        <w:spacing w:before="9"/>
        <w:rPr>
          <w:b/>
          <w:sz w:val="25"/>
        </w:rPr>
      </w:pPr>
    </w:p>
    <w:p w14:paraId="46B3A37A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6"/>
          <w:tab w:val="left" w:pos="688"/>
        </w:tabs>
        <w:spacing w:before="1" w:line="259" w:lineRule="auto"/>
        <w:ind w:left="687" w:right="249" w:hanging="568"/>
        <w:rPr>
          <w:sz w:val="20"/>
        </w:rPr>
      </w:pPr>
      <w:r>
        <w:rPr>
          <w:sz w:val="20"/>
        </w:rPr>
        <w:t>This Scheme only affects the liability for Damages arising from a single cause of action to the extent to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liability results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Damages exceeding</w:t>
      </w:r>
      <w:r>
        <w:rPr>
          <w:spacing w:val="-1"/>
          <w:sz w:val="20"/>
        </w:rPr>
        <w:t xml:space="preserve"> </w:t>
      </w:r>
      <w:r>
        <w:rPr>
          <w:sz w:val="20"/>
        </w:rPr>
        <w:t>$1.5</w:t>
      </w:r>
      <w:r>
        <w:rPr>
          <w:spacing w:val="-3"/>
          <w:sz w:val="20"/>
        </w:rPr>
        <w:t xml:space="preserve"> </w:t>
      </w:r>
      <w:r>
        <w:rPr>
          <w:sz w:val="20"/>
        </w:rPr>
        <w:t>million.</w:t>
      </w:r>
    </w:p>
    <w:p w14:paraId="7493521D" w14:textId="77777777" w:rsidR="00206100" w:rsidRDefault="00206100">
      <w:pPr>
        <w:pStyle w:val="BodyText"/>
        <w:rPr>
          <w:sz w:val="22"/>
        </w:rPr>
      </w:pPr>
    </w:p>
    <w:p w14:paraId="52C217B9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6"/>
          <w:tab w:val="left" w:pos="687"/>
        </w:tabs>
        <w:spacing w:before="147" w:line="259" w:lineRule="auto"/>
        <w:ind w:left="686" w:right="661" w:hanging="568"/>
        <w:rPr>
          <w:sz w:val="20"/>
        </w:rPr>
      </w:pPr>
      <w:r>
        <w:rPr>
          <w:sz w:val="20"/>
        </w:rPr>
        <w:t>If a person who is, or was, at the time of the act or omission giving rise to Occupational Liability, a</w:t>
      </w:r>
      <w:r>
        <w:rPr>
          <w:spacing w:val="-53"/>
          <w:sz w:val="20"/>
        </w:rPr>
        <w:t xml:space="preserve"> </w:t>
      </w:r>
      <w:r>
        <w:rPr>
          <w:sz w:val="20"/>
        </w:rPr>
        <w:t>person to whom the Scheme applies, or applied, and against whom a proceeding relating to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 Liability is brought, is able to satisfy the Court that such person has the benefit of an</w:t>
      </w:r>
      <w:r>
        <w:rPr>
          <w:spacing w:val="-53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policy:</w:t>
      </w:r>
    </w:p>
    <w:p w14:paraId="7B14F157" w14:textId="77777777" w:rsidR="00206100" w:rsidRDefault="00206100">
      <w:pPr>
        <w:pStyle w:val="BodyText"/>
        <w:rPr>
          <w:sz w:val="22"/>
        </w:rPr>
      </w:pPr>
    </w:p>
    <w:p w14:paraId="6D7B8E57" w14:textId="77777777" w:rsidR="00206100" w:rsidRDefault="0080008C">
      <w:pPr>
        <w:pStyle w:val="ListParagraph"/>
        <w:numPr>
          <w:ilvl w:val="0"/>
          <w:numId w:val="3"/>
        </w:numPr>
        <w:tabs>
          <w:tab w:val="left" w:pos="1253"/>
          <w:tab w:val="left" w:pos="1254"/>
        </w:tabs>
        <w:spacing w:before="148"/>
        <w:ind w:hanging="569"/>
        <w:rPr>
          <w:sz w:val="20"/>
        </w:rPr>
      </w:pP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kind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complies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LIV;</w:t>
      </w:r>
    </w:p>
    <w:p w14:paraId="381083A3" w14:textId="77777777" w:rsidR="00206100" w:rsidRDefault="00206100">
      <w:pPr>
        <w:rPr>
          <w:sz w:val="20"/>
        </w:rPr>
        <w:sectPr w:rsidR="00206100" w:rsidSect="00401CD8">
          <w:pgSz w:w="11910" w:h="16840"/>
          <w:pgMar w:top="1580" w:right="960" w:bottom="280" w:left="960" w:header="720" w:footer="720" w:gutter="0"/>
          <w:cols w:space="720"/>
          <w:titlePg/>
          <w:docGrid w:linePitch="299"/>
        </w:sectPr>
      </w:pPr>
    </w:p>
    <w:p w14:paraId="6C96CA92" w14:textId="77777777" w:rsidR="00206100" w:rsidRDefault="0080008C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73"/>
        <w:ind w:left="1254" w:hanging="569"/>
        <w:rPr>
          <w:sz w:val="20"/>
        </w:rPr>
      </w:pPr>
      <w:r>
        <w:rPr>
          <w:sz w:val="20"/>
        </w:rPr>
        <w:lastRenderedPageBreak/>
        <w:t>insuring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relates;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6FE63261" w14:textId="77777777" w:rsidR="00206100" w:rsidRDefault="00206100">
      <w:pPr>
        <w:pStyle w:val="BodyText"/>
        <w:rPr>
          <w:sz w:val="22"/>
        </w:rPr>
      </w:pPr>
    </w:p>
    <w:p w14:paraId="6D27B071" w14:textId="77777777" w:rsidR="00206100" w:rsidRDefault="0080008C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164" w:line="261" w:lineRule="auto"/>
        <w:ind w:left="1254" w:right="638"/>
        <w:rPr>
          <w:sz w:val="20"/>
        </w:rPr>
      </w:pPr>
      <w:r>
        <w:rPr>
          <w:sz w:val="20"/>
        </w:rPr>
        <w:t>under which the amount payable in respect of that Occupational Liability is not less than the</w:t>
      </w:r>
      <w:r>
        <w:rPr>
          <w:spacing w:val="-5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monetary ceiling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4.3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 Scheme;</w:t>
      </w:r>
    </w:p>
    <w:p w14:paraId="26A8CCF9" w14:textId="77777777" w:rsidR="00206100" w:rsidRDefault="00206100">
      <w:pPr>
        <w:pStyle w:val="BodyText"/>
        <w:rPr>
          <w:sz w:val="22"/>
        </w:rPr>
      </w:pPr>
    </w:p>
    <w:p w14:paraId="34CC31EB" w14:textId="77777777" w:rsidR="00206100" w:rsidRDefault="0080008C">
      <w:pPr>
        <w:pStyle w:val="BodyText"/>
        <w:spacing w:before="142" w:line="259" w:lineRule="auto"/>
        <w:ind w:left="687" w:right="277"/>
      </w:pPr>
      <w:r>
        <w:t>then that person is not liable in Damages in relation to that cause of action above the monetary ceiling</w:t>
      </w:r>
      <w:r>
        <w:rPr>
          <w:spacing w:val="-5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Scheme.</w:t>
      </w:r>
    </w:p>
    <w:p w14:paraId="18A3C676" w14:textId="77777777" w:rsidR="00206100" w:rsidRDefault="00206100">
      <w:pPr>
        <w:pStyle w:val="BodyText"/>
        <w:rPr>
          <w:sz w:val="22"/>
        </w:rPr>
      </w:pPr>
    </w:p>
    <w:p w14:paraId="5E015849" w14:textId="77777777" w:rsidR="00206100" w:rsidRDefault="0080008C">
      <w:pPr>
        <w:pStyle w:val="ListParagraph"/>
        <w:numPr>
          <w:ilvl w:val="2"/>
          <w:numId w:val="4"/>
        </w:numPr>
        <w:tabs>
          <w:tab w:val="left" w:pos="696"/>
          <w:tab w:val="left" w:pos="697"/>
        </w:tabs>
        <w:spacing w:before="140"/>
        <w:ind w:left="696" w:hanging="57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monetary</w:t>
      </w:r>
      <w:r>
        <w:rPr>
          <w:spacing w:val="-2"/>
          <w:sz w:val="20"/>
        </w:rPr>
        <w:t xml:space="preserve"> </w:t>
      </w:r>
      <w:r>
        <w:rPr>
          <w:sz w:val="20"/>
        </w:rPr>
        <w:t>ceiling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below:</w:t>
      </w:r>
    </w:p>
    <w:p w14:paraId="74A4C3EE" w14:textId="77777777" w:rsidR="00206100" w:rsidRDefault="00206100">
      <w:pPr>
        <w:pStyle w:val="BodyText"/>
        <w:spacing w:before="1"/>
        <w:rPr>
          <w:sz w:val="24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5566"/>
        <w:gridCol w:w="1795"/>
      </w:tblGrid>
      <w:tr w:rsidR="00206100" w14:paraId="3804F451" w14:textId="77777777" w:rsidTr="00637A3F">
        <w:trPr>
          <w:trHeight w:val="391"/>
        </w:trPr>
        <w:tc>
          <w:tcPr>
            <w:tcW w:w="964" w:type="dxa"/>
          </w:tcPr>
          <w:p w14:paraId="6FFD7260" w14:textId="77777777" w:rsidR="00206100" w:rsidRPr="00637A3F" w:rsidRDefault="0080008C" w:rsidP="00637A3F">
            <w:pPr>
              <w:pStyle w:val="TableParagraph"/>
              <w:spacing w:line="224" w:lineRule="exact"/>
              <w:ind w:left="31" w:right="201"/>
              <w:rPr>
                <w:b/>
                <w:bCs/>
                <w:sz w:val="20"/>
              </w:rPr>
            </w:pPr>
            <w:r w:rsidRPr="00637A3F">
              <w:rPr>
                <w:b/>
                <w:bCs/>
                <w:sz w:val="20"/>
              </w:rPr>
              <w:t>Class</w:t>
            </w:r>
          </w:p>
        </w:tc>
        <w:tc>
          <w:tcPr>
            <w:tcW w:w="5566" w:type="dxa"/>
          </w:tcPr>
          <w:p w14:paraId="6919C2E3" w14:textId="77777777" w:rsidR="00206100" w:rsidRPr="00637A3F" w:rsidRDefault="0080008C" w:rsidP="00637A3F">
            <w:pPr>
              <w:pStyle w:val="TableParagraph"/>
              <w:spacing w:line="224" w:lineRule="exact"/>
              <w:ind w:left="1273" w:right="1590"/>
              <w:rPr>
                <w:b/>
                <w:bCs/>
                <w:sz w:val="20"/>
              </w:rPr>
            </w:pPr>
            <w:r w:rsidRPr="00637A3F">
              <w:rPr>
                <w:b/>
                <w:bCs/>
                <w:sz w:val="20"/>
              </w:rPr>
              <w:t>Description</w:t>
            </w:r>
          </w:p>
        </w:tc>
        <w:tc>
          <w:tcPr>
            <w:tcW w:w="1795" w:type="dxa"/>
          </w:tcPr>
          <w:p w14:paraId="1C565B9A" w14:textId="77777777" w:rsidR="00206100" w:rsidRPr="00637A3F" w:rsidRDefault="0080008C" w:rsidP="00637A3F">
            <w:pPr>
              <w:pStyle w:val="TableParagraph"/>
              <w:spacing w:line="224" w:lineRule="exact"/>
              <w:ind w:left="99"/>
              <w:rPr>
                <w:b/>
                <w:bCs/>
                <w:sz w:val="20"/>
              </w:rPr>
            </w:pPr>
            <w:r w:rsidRPr="00637A3F">
              <w:rPr>
                <w:b/>
                <w:bCs/>
                <w:sz w:val="20"/>
              </w:rPr>
              <w:t>Monetary</w:t>
            </w:r>
            <w:r w:rsidRPr="00637A3F">
              <w:rPr>
                <w:b/>
                <w:bCs/>
                <w:spacing w:val="-4"/>
                <w:sz w:val="20"/>
              </w:rPr>
              <w:t xml:space="preserve"> </w:t>
            </w:r>
            <w:r w:rsidRPr="00637A3F">
              <w:rPr>
                <w:b/>
                <w:bCs/>
                <w:sz w:val="20"/>
              </w:rPr>
              <w:t>ceiling</w:t>
            </w:r>
          </w:p>
        </w:tc>
      </w:tr>
      <w:tr w:rsidR="00206100" w14:paraId="46BC7D19" w14:textId="77777777" w:rsidTr="00637A3F">
        <w:trPr>
          <w:trHeight w:val="1616"/>
        </w:trPr>
        <w:tc>
          <w:tcPr>
            <w:tcW w:w="964" w:type="dxa"/>
          </w:tcPr>
          <w:p w14:paraId="311DAB4E" w14:textId="77777777" w:rsidR="00206100" w:rsidRDefault="0080008C">
            <w:pPr>
              <w:pStyle w:val="TableParagraph"/>
              <w:spacing w:before="161"/>
              <w:ind w:left="0" w:right="1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6" w:type="dxa"/>
          </w:tcPr>
          <w:p w14:paraId="5A41AE0B" w14:textId="77777777" w:rsidR="00206100" w:rsidRDefault="0080008C">
            <w:pPr>
              <w:pStyle w:val="TableParagraph"/>
              <w:spacing w:before="161" w:line="276" w:lineRule="auto"/>
              <w:ind w:left="222" w:right="267"/>
              <w:jc w:val="left"/>
              <w:rPr>
                <w:sz w:val="20"/>
              </w:rPr>
            </w:pPr>
            <w:r>
              <w:rPr>
                <w:sz w:val="20"/>
              </w:rPr>
              <w:t>Participating Members who were at the Relevant Time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 Practice consisting of up to and including 20 Principals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where the Law Practice generated Total Annual Fee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Income for the Financial Year at the Relevant Time up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million.</w:t>
            </w:r>
          </w:p>
        </w:tc>
        <w:tc>
          <w:tcPr>
            <w:tcW w:w="1795" w:type="dxa"/>
          </w:tcPr>
          <w:p w14:paraId="24BECC9E" w14:textId="77777777" w:rsidR="00206100" w:rsidRDefault="0080008C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$1.5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</w:p>
        </w:tc>
      </w:tr>
      <w:tr w:rsidR="00206100" w14:paraId="5656E7AE" w14:textId="77777777" w:rsidTr="00637A3F">
        <w:trPr>
          <w:trHeight w:val="1611"/>
        </w:trPr>
        <w:tc>
          <w:tcPr>
            <w:tcW w:w="964" w:type="dxa"/>
          </w:tcPr>
          <w:p w14:paraId="48180EA9" w14:textId="77777777" w:rsidR="00206100" w:rsidRDefault="0080008C">
            <w:pPr>
              <w:pStyle w:val="TableParagraph"/>
              <w:spacing w:before="162"/>
              <w:ind w:left="0" w:right="17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66" w:type="dxa"/>
          </w:tcPr>
          <w:p w14:paraId="5DF7366B" w14:textId="77777777" w:rsidR="00206100" w:rsidRDefault="0080008C">
            <w:pPr>
              <w:pStyle w:val="TableParagraph"/>
              <w:spacing w:before="162" w:line="276" w:lineRule="auto"/>
              <w:ind w:left="258" w:right="286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Incorporated Legal Practice consisting of up to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20 Principals and where the Law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million.</w:t>
            </w:r>
          </w:p>
        </w:tc>
        <w:tc>
          <w:tcPr>
            <w:tcW w:w="1795" w:type="dxa"/>
          </w:tcPr>
          <w:p w14:paraId="6FEF9C95" w14:textId="77777777" w:rsidR="00206100" w:rsidRDefault="0080008C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$1.5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</w:p>
        </w:tc>
      </w:tr>
      <w:tr w:rsidR="00206100" w14:paraId="0EB1B3FE" w14:textId="77777777" w:rsidTr="00637A3F">
        <w:trPr>
          <w:trHeight w:val="2317"/>
        </w:trPr>
        <w:tc>
          <w:tcPr>
            <w:tcW w:w="964" w:type="dxa"/>
          </w:tcPr>
          <w:p w14:paraId="5F02D93F" w14:textId="77777777" w:rsidR="00206100" w:rsidRDefault="0080008C">
            <w:pPr>
              <w:pStyle w:val="TableParagraph"/>
              <w:spacing w:before="174"/>
              <w:ind w:left="0" w:right="17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6" w:type="dxa"/>
          </w:tcPr>
          <w:p w14:paraId="0B553A54" w14:textId="70E96476" w:rsidR="00206100" w:rsidRDefault="0080008C" w:rsidP="00637A3F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before="155" w:line="271" w:lineRule="auto"/>
              <w:ind w:right="494" w:hanging="481"/>
              <w:jc w:val="left"/>
              <w:rPr>
                <w:sz w:val="20"/>
              </w:rPr>
            </w:pPr>
            <w:r>
              <w:rPr>
                <w:sz w:val="20"/>
              </w:rPr>
              <w:t>Participating Members who were at the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Practice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3"/>
                <w:sz w:val="20"/>
              </w:rPr>
              <w:t xml:space="preserve"> </w:t>
            </w:r>
            <w:r w:rsidR="00637A3F">
              <w:rPr>
                <w:spacing w:val="-53"/>
                <w:sz w:val="20"/>
              </w:rPr>
              <w:t xml:space="preserve">           </w:t>
            </w:r>
            <w:r>
              <w:rPr>
                <w:sz w:val="20"/>
              </w:rPr>
              <w:t>Principals;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0C16238" w14:textId="26FBD65B" w:rsidR="00206100" w:rsidRDefault="0080008C" w:rsidP="00637A3F">
            <w:pPr>
              <w:pStyle w:val="TableParagraph"/>
              <w:numPr>
                <w:ilvl w:val="0"/>
                <w:numId w:val="2"/>
              </w:numPr>
              <w:spacing w:line="236" w:lineRule="exact"/>
              <w:ind w:right="0" w:hanging="481"/>
              <w:jc w:val="left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 w:rsidR="00637A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Time in a Law Practice where the Law </w:t>
            </w:r>
            <w:r w:rsidR="00637A3F">
              <w:rPr>
                <w:sz w:val="20"/>
              </w:rPr>
              <w:t>P</w:t>
            </w:r>
            <w:r>
              <w:rPr>
                <w:sz w:val="20"/>
              </w:rPr>
              <w:t>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 Total Annual Fee Income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 w:rsidR="00637A3F">
              <w:rPr>
                <w:sz w:val="20"/>
              </w:rPr>
              <w:t xml:space="preserve"> </w:t>
            </w:r>
            <w:r>
              <w:rPr>
                <w:sz w:val="20"/>
              </w:rPr>
              <w:t>$10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million.</w:t>
            </w:r>
          </w:p>
        </w:tc>
        <w:tc>
          <w:tcPr>
            <w:tcW w:w="1795" w:type="dxa"/>
          </w:tcPr>
          <w:p w14:paraId="15E1B38C" w14:textId="77777777" w:rsidR="00206100" w:rsidRDefault="0080008C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$10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</w:p>
        </w:tc>
      </w:tr>
      <w:tr w:rsidR="00206100" w14:paraId="5FA1123D" w14:textId="77777777" w:rsidTr="00637A3F">
        <w:trPr>
          <w:trHeight w:val="1902"/>
        </w:trPr>
        <w:tc>
          <w:tcPr>
            <w:tcW w:w="964" w:type="dxa"/>
          </w:tcPr>
          <w:p w14:paraId="5252C3BE" w14:textId="77777777" w:rsidR="00206100" w:rsidRDefault="0080008C">
            <w:pPr>
              <w:pStyle w:val="TableParagraph"/>
              <w:spacing w:before="96"/>
              <w:ind w:left="0" w:right="17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66" w:type="dxa"/>
          </w:tcPr>
          <w:p w14:paraId="4C2C3583" w14:textId="77777777" w:rsidR="00206100" w:rsidRDefault="0080008C" w:rsidP="00637A3F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</w:tabs>
              <w:spacing w:before="77" w:line="271" w:lineRule="auto"/>
              <w:ind w:left="762" w:right="394" w:hanging="481"/>
              <w:jc w:val="left"/>
              <w:rPr>
                <w:sz w:val="20"/>
              </w:rPr>
            </w:pPr>
            <w:r>
              <w:rPr>
                <w:sz w:val="20"/>
              </w:rPr>
              <w:t>Any Participating Member which was at the Relevant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 an Incorporated Legal Practice consisting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8E3A165" w14:textId="13852B86" w:rsidR="00206100" w:rsidRDefault="0080008C" w:rsidP="00637A3F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</w:tabs>
              <w:spacing w:line="238" w:lineRule="exact"/>
              <w:ind w:left="762" w:right="0" w:hanging="481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 w:rsidR="00637A3F">
              <w:rPr>
                <w:sz w:val="20"/>
              </w:rPr>
              <w:t xml:space="preserve"> </w:t>
            </w:r>
            <w:r>
              <w:rPr>
                <w:sz w:val="20"/>
              </w:rPr>
              <w:t>Time a Law Practice where the Law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="00637A3F">
              <w:rPr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million.</w:t>
            </w:r>
          </w:p>
        </w:tc>
        <w:tc>
          <w:tcPr>
            <w:tcW w:w="1795" w:type="dxa"/>
          </w:tcPr>
          <w:p w14:paraId="3FB3611B" w14:textId="77777777" w:rsidR="00206100" w:rsidRDefault="0080008C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$10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</w:p>
        </w:tc>
      </w:tr>
    </w:tbl>
    <w:p w14:paraId="4145884D" w14:textId="77777777" w:rsidR="00206100" w:rsidRDefault="00206100">
      <w:pPr>
        <w:pStyle w:val="BodyText"/>
        <w:rPr>
          <w:sz w:val="22"/>
        </w:rPr>
      </w:pPr>
    </w:p>
    <w:p w14:paraId="238AB928" w14:textId="77777777" w:rsidR="00206100" w:rsidRDefault="00206100">
      <w:pPr>
        <w:pStyle w:val="BodyText"/>
        <w:spacing w:before="8"/>
        <w:rPr>
          <w:sz w:val="24"/>
        </w:rPr>
      </w:pPr>
    </w:p>
    <w:p w14:paraId="1BEDFC70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spacing w:line="259" w:lineRule="auto"/>
        <w:ind w:left="687" w:right="471" w:hanging="568"/>
        <w:rPr>
          <w:sz w:val="20"/>
        </w:rPr>
      </w:pPr>
      <w:r>
        <w:rPr>
          <w:sz w:val="20"/>
        </w:rPr>
        <w:t>Clause 4.2 does not limit the amount of Damages to which a person to whom the Scheme applies is</w:t>
      </w:r>
      <w:r>
        <w:rPr>
          <w:spacing w:val="-53"/>
          <w:sz w:val="20"/>
        </w:rPr>
        <w:t xml:space="preserve"> </w:t>
      </w:r>
      <w:r>
        <w:rPr>
          <w:sz w:val="20"/>
        </w:rPr>
        <w:t>liable if the amount is less than the amount specified for the purpose in this Scheme in relation to a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Scheme</w:t>
      </w:r>
      <w:r>
        <w:rPr>
          <w:spacing w:val="-1"/>
          <w:sz w:val="20"/>
        </w:rPr>
        <w:t xml:space="preserve"> </w:t>
      </w:r>
      <w:r>
        <w:rPr>
          <w:sz w:val="20"/>
        </w:rPr>
        <w:t>applies.</w:t>
      </w:r>
    </w:p>
    <w:p w14:paraId="13FA246A" w14:textId="77777777" w:rsidR="00206100" w:rsidRDefault="00206100">
      <w:pPr>
        <w:pStyle w:val="BodyText"/>
        <w:rPr>
          <w:sz w:val="22"/>
        </w:rPr>
      </w:pPr>
    </w:p>
    <w:p w14:paraId="7E53B42C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spacing w:before="147" w:line="259" w:lineRule="auto"/>
        <w:ind w:left="687" w:right="738" w:hanging="568"/>
        <w:rPr>
          <w:sz w:val="20"/>
        </w:rPr>
      </w:pPr>
      <w:r>
        <w:rPr>
          <w:sz w:val="20"/>
        </w:rPr>
        <w:t>This Scheme limits the Occupational Liability in respect of a cause of action founded on an act or</w:t>
      </w:r>
      <w:r>
        <w:rPr>
          <w:spacing w:val="-53"/>
          <w:sz w:val="20"/>
        </w:rPr>
        <w:t xml:space="preserve"> </w:t>
      </w:r>
      <w:r>
        <w:rPr>
          <w:sz w:val="20"/>
        </w:rPr>
        <w:t>omission occurring during the period when the Scheme was in force of any person to whom the</w:t>
      </w:r>
      <w:r>
        <w:rPr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or omission</w:t>
      </w:r>
      <w:r>
        <w:rPr>
          <w:spacing w:val="-1"/>
          <w:sz w:val="20"/>
        </w:rPr>
        <w:t xml:space="preserve"> </w:t>
      </w:r>
      <w:r>
        <w:rPr>
          <w:sz w:val="20"/>
        </w:rPr>
        <w:t>occurred.</w:t>
      </w:r>
    </w:p>
    <w:p w14:paraId="6C33E8A1" w14:textId="77777777" w:rsidR="00206100" w:rsidRDefault="00206100">
      <w:pPr>
        <w:spacing w:line="259" w:lineRule="auto"/>
        <w:rPr>
          <w:sz w:val="20"/>
        </w:rPr>
        <w:sectPr w:rsidR="00206100" w:rsidSect="00401CD8">
          <w:pgSz w:w="11910" w:h="16840"/>
          <w:pgMar w:top="1360" w:right="960" w:bottom="280" w:left="960" w:header="720" w:footer="720" w:gutter="0"/>
          <w:cols w:space="720"/>
          <w:titlePg/>
          <w:docGrid w:linePitch="299"/>
        </w:sectPr>
      </w:pPr>
    </w:p>
    <w:p w14:paraId="1E705104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8"/>
        </w:tabs>
        <w:spacing w:before="80" w:line="273" w:lineRule="auto"/>
        <w:ind w:left="687" w:right="259" w:hanging="568"/>
        <w:jc w:val="both"/>
        <w:rPr>
          <w:sz w:val="20"/>
        </w:rPr>
      </w:pPr>
      <w:r>
        <w:rPr>
          <w:sz w:val="20"/>
        </w:rPr>
        <w:lastRenderedPageBreak/>
        <w:t>Notwithstanding</w:t>
      </w:r>
      <w:r>
        <w:rPr>
          <w:spacing w:val="-6"/>
          <w:sz w:val="20"/>
        </w:rPr>
        <w:t xml:space="preserve"> </w:t>
      </w:r>
      <w:r>
        <w:rPr>
          <w:sz w:val="20"/>
        </w:rPr>
        <w:t>anything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contrary</w:t>
      </w:r>
      <w:r>
        <w:rPr>
          <w:spacing w:val="-7"/>
          <w:sz w:val="20"/>
        </w:rPr>
        <w:t xml:space="preserve"> </w:t>
      </w:r>
      <w:r>
        <w:rPr>
          <w:sz w:val="20"/>
        </w:rPr>
        <w:t>contained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Scheme</w:t>
      </w:r>
      <w:r>
        <w:rPr>
          <w:spacing w:val="-6"/>
          <w:sz w:val="20"/>
        </w:rPr>
        <w:t xml:space="preserve"> </w:t>
      </w:r>
      <w:r>
        <w:rPr>
          <w:sz w:val="20"/>
        </w:rPr>
        <w:t>if,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6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6"/>
          <w:sz w:val="20"/>
        </w:rPr>
        <w:t xml:space="preserve"> </w:t>
      </w:r>
      <w:r>
        <w:rPr>
          <w:sz w:val="20"/>
        </w:rPr>
        <w:t>giving</w:t>
      </w:r>
      <w:r>
        <w:rPr>
          <w:spacing w:val="-53"/>
          <w:sz w:val="20"/>
        </w:rPr>
        <w:t xml:space="preserve"> </w:t>
      </w:r>
      <w:r>
        <w:rPr>
          <w:sz w:val="20"/>
        </w:rPr>
        <w:t>rise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8"/>
          <w:sz w:val="20"/>
        </w:rPr>
        <w:t xml:space="preserve"> </w:t>
      </w:r>
      <w:r>
        <w:rPr>
          <w:sz w:val="20"/>
        </w:rPr>
        <w:t>Liability,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liability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subject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Scheme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capped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Scheme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scheme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3"/>
          <w:sz w:val="20"/>
        </w:rPr>
        <w:t xml:space="preserve"> </w:t>
      </w:r>
      <w:r>
        <w:rPr>
          <w:sz w:val="20"/>
        </w:rPr>
        <w:t>standards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13"/>
          <w:sz w:val="20"/>
        </w:rPr>
        <w:t xml:space="preserve"> </w:t>
      </w:r>
      <w:r>
        <w:rPr>
          <w:sz w:val="20"/>
        </w:rPr>
        <w:t>(whether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law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Australian</w:t>
      </w:r>
      <w:r>
        <w:rPr>
          <w:spacing w:val="-12"/>
          <w:sz w:val="20"/>
        </w:rPr>
        <w:t xml:space="preserve"> </w:t>
      </w:r>
      <w:r>
        <w:rPr>
          <w:sz w:val="20"/>
        </w:rPr>
        <w:t>state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territory)</w:t>
      </w:r>
      <w:r>
        <w:rPr>
          <w:spacing w:val="-12"/>
          <w:sz w:val="20"/>
        </w:rPr>
        <w:t xml:space="preserve"> </w:t>
      </w:r>
      <w:r>
        <w:rPr>
          <w:sz w:val="20"/>
        </w:rPr>
        <w:t>and,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amount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caps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differ,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cap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arising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5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cap.</w:t>
      </w:r>
    </w:p>
    <w:p w14:paraId="55E0C8EA" w14:textId="77777777" w:rsidR="00206100" w:rsidRDefault="00206100">
      <w:pPr>
        <w:pStyle w:val="BodyText"/>
        <w:spacing w:before="7"/>
        <w:rPr>
          <w:sz w:val="23"/>
        </w:rPr>
      </w:pPr>
    </w:p>
    <w:p w14:paraId="2B889745" w14:textId="77777777" w:rsidR="00206100" w:rsidRDefault="0080008C">
      <w:pPr>
        <w:pStyle w:val="Heading1"/>
        <w:numPr>
          <w:ilvl w:val="1"/>
          <w:numId w:val="4"/>
        </w:numPr>
        <w:tabs>
          <w:tab w:val="left" w:pos="687"/>
          <w:tab w:val="left" w:pos="688"/>
        </w:tabs>
        <w:ind w:left="687" w:hanging="569"/>
      </w:pPr>
      <w:r>
        <w:rPr>
          <w:spacing w:val="-1"/>
        </w:rPr>
        <w:t>Conferral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discretional</w:t>
      </w:r>
      <w:r>
        <w:rPr>
          <w:spacing w:val="-11"/>
        </w:rPr>
        <w:t xml:space="preserve"> </w:t>
      </w:r>
      <w:r>
        <w:t>authority</w:t>
      </w:r>
    </w:p>
    <w:p w14:paraId="321FF8E0" w14:textId="77777777" w:rsidR="00206100" w:rsidRDefault="00206100">
      <w:pPr>
        <w:pStyle w:val="BodyText"/>
        <w:spacing w:before="2"/>
        <w:rPr>
          <w:b/>
          <w:sz w:val="25"/>
        </w:rPr>
      </w:pPr>
    </w:p>
    <w:p w14:paraId="0F9B75CE" w14:textId="77777777" w:rsidR="00206100" w:rsidRDefault="0080008C">
      <w:pPr>
        <w:pStyle w:val="ListParagraph"/>
        <w:numPr>
          <w:ilvl w:val="2"/>
          <w:numId w:val="4"/>
        </w:numPr>
        <w:tabs>
          <w:tab w:val="left" w:pos="696"/>
        </w:tabs>
        <w:spacing w:before="1" w:line="273" w:lineRule="auto"/>
        <w:ind w:left="695" w:right="263" w:hanging="577"/>
        <w:jc w:val="both"/>
        <w:rPr>
          <w:sz w:val="20"/>
        </w:rPr>
      </w:pP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LIV</w:t>
      </w:r>
      <w:r>
        <w:rPr>
          <w:spacing w:val="18"/>
          <w:sz w:val="20"/>
        </w:rPr>
        <w:t xml:space="preserve"> </w:t>
      </w:r>
      <w:r>
        <w:rPr>
          <w:sz w:val="20"/>
        </w:rPr>
        <w:t>has</w:t>
      </w:r>
      <w:r>
        <w:rPr>
          <w:spacing w:val="22"/>
          <w:sz w:val="20"/>
        </w:rPr>
        <w:t xml:space="preserve"> </w:t>
      </w:r>
      <w:r>
        <w:rPr>
          <w:sz w:val="20"/>
        </w:rPr>
        <w:t>discretionary</w:t>
      </w:r>
      <w:r>
        <w:rPr>
          <w:spacing w:val="21"/>
          <w:sz w:val="20"/>
        </w:rPr>
        <w:t xml:space="preserve"> </w:t>
      </w:r>
      <w:r>
        <w:rPr>
          <w:sz w:val="20"/>
        </w:rPr>
        <w:t>authority,</w:t>
      </w:r>
      <w:r>
        <w:rPr>
          <w:spacing w:val="19"/>
          <w:sz w:val="20"/>
        </w:rPr>
        <w:t xml:space="preserve"> </w:t>
      </w:r>
      <w:r>
        <w:rPr>
          <w:sz w:val="20"/>
        </w:rPr>
        <w:t>on</w:t>
      </w:r>
      <w:r>
        <w:rPr>
          <w:spacing w:val="2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0"/>
          <w:sz w:val="20"/>
        </w:rPr>
        <w:t xml:space="preserve"> </w:t>
      </w:r>
      <w:r>
        <w:rPr>
          <w:sz w:val="20"/>
        </w:rPr>
        <w:t>by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person</w:t>
      </w:r>
      <w:r>
        <w:rPr>
          <w:spacing w:val="20"/>
          <w:sz w:val="20"/>
        </w:rPr>
        <w:t xml:space="preserve"> </w:t>
      </w:r>
      <w:r>
        <w:rPr>
          <w:sz w:val="20"/>
        </w:rPr>
        <w:t>referred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clause</w:t>
      </w:r>
      <w:r>
        <w:rPr>
          <w:spacing w:val="20"/>
          <w:sz w:val="20"/>
        </w:rPr>
        <w:t xml:space="preserve"> </w:t>
      </w:r>
      <w:r>
        <w:rPr>
          <w:sz w:val="20"/>
        </w:rPr>
        <w:t>2.1,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specify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relation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that</w:t>
      </w:r>
      <w:r>
        <w:rPr>
          <w:spacing w:val="29"/>
          <w:sz w:val="20"/>
        </w:rPr>
        <w:t xml:space="preserve"> </w:t>
      </w:r>
      <w:r>
        <w:rPr>
          <w:sz w:val="20"/>
        </w:rPr>
        <w:t>person,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higher</w:t>
      </w:r>
      <w:r>
        <w:rPr>
          <w:spacing w:val="31"/>
          <w:sz w:val="20"/>
        </w:rPr>
        <w:t xml:space="preserve"> </w:t>
      </w:r>
      <w:r>
        <w:rPr>
          <w:sz w:val="20"/>
        </w:rPr>
        <w:t>maximum</w:t>
      </w:r>
      <w:r>
        <w:rPr>
          <w:spacing w:val="28"/>
          <w:sz w:val="20"/>
        </w:rPr>
        <w:t xml:space="preserve"> </w:t>
      </w:r>
      <w:r>
        <w:rPr>
          <w:sz w:val="20"/>
        </w:rPr>
        <w:t>amount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liability</w:t>
      </w:r>
      <w:r>
        <w:rPr>
          <w:spacing w:val="29"/>
          <w:sz w:val="20"/>
        </w:rPr>
        <w:t xml:space="preserve"> </w:t>
      </w:r>
      <w:r>
        <w:rPr>
          <w:sz w:val="20"/>
        </w:rPr>
        <w:t>than</w:t>
      </w:r>
      <w:r>
        <w:rPr>
          <w:spacing w:val="30"/>
          <w:sz w:val="20"/>
        </w:rPr>
        <w:t xml:space="preserve"> </w:t>
      </w:r>
      <w:r>
        <w:rPr>
          <w:sz w:val="20"/>
        </w:rPr>
        <w:t>would</w:t>
      </w:r>
      <w:r>
        <w:rPr>
          <w:spacing w:val="28"/>
          <w:sz w:val="20"/>
        </w:rPr>
        <w:t xml:space="preserve"> </w:t>
      </w:r>
      <w:r>
        <w:rPr>
          <w:sz w:val="20"/>
        </w:rPr>
        <w:t>otherwise</w:t>
      </w:r>
      <w:r>
        <w:rPr>
          <w:spacing w:val="29"/>
          <w:sz w:val="20"/>
        </w:rPr>
        <w:t xml:space="preserve"> </w:t>
      </w:r>
      <w:r>
        <w:rPr>
          <w:sz w:val="20"/>
        </w:rPr>
        <w:t>apply</w:t>
      </w:r>
      <w:r>
        <w:rPr>
          <w:spacing w:val="30"/>
          <w:sz w:val="20"/>
        </w:rPr>
        <w:t xml:space="preserve"> </w:t>
      </w:r>
      <w:r>
        <w:rPr>
          <w:sz w:val="20"/>
        </w:rPr>
        <w:t>under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Scheme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relation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person,</w:t>
      </w:r>
      <w:r>
        <w:rPr>
          <w:spacing w:val="12"/>
          <w:sz w:val="20"/>
        </w:rPr>
        <w:t xml:space="preserve"> </w:t>
      </w:r>
      <w:r>
        <w:rPr>
          <w:sz w:val="20"/>
        </w:rPr>
        <w:t>either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2"/>
          <w:sz w:val="20"/>
        </w:rPr>
        <w:t xml:space="preserve"> </w:t>
      </w:r>
      <w:r>
        <w:rPr>
          <w:sz w:val="20"/>
        </w:rPr>
        <w:t>cases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any</w:t>
      </w:r>
      <w:r>
        <w:rPr>
          <w:spacing w:val="12"/>
          <w:sz w:val="20"/>
        </w:rPr>
        <w:t xml:space="preserve"> </w:t>
      </w:r>
      <w:r>
        <w:rPr>
          <w:sz w:val="20"/>
        </w:rPr>
        <w:t>specified</w:t>
      </w:r>
      <w:r>
        <w:rPr>
          <w:spacing w:val="12"/>
          <w:sz w:val="20"/>
        </w:rPr>
        <w:t xml:space="preserve"> </w:t>
      </w:r>
      <w:r>
        <w:rPr>
          <w:sz w:val="20"/>
        </w:rPr>
        <w:t>case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class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case.</w:t>
      </w:r>
    </w:p>
    <w:p w14:paraId="5A031DCD" w14:textId="77777777" w:rsidR="00206100" w:rsidRDefault="00206100">
      <w:pPr>
        <w:pStyle w:val="BodyText"/>
        <w:spacing w:before="4"/>
        <w:rPr>
          <w:sz w:val="23"/>
        </w:rPr>
      </w:pPr>
    </w:p>
    <w:p w14:paraId="449B23A1" w14:textId="77777777" w:rsidR="00206100" w:rsidRDefault="0080008C">
      <w:pPr>
        <w:pStyle w:val="Heading1"/>
        <w:numPr>
          <w:ilvl w:val="1"/>
          <w:numId w:val="4"/>
        </w:numPr>
        <w:tabs>
          <w:tab w:val="left" w:pos="687"/>
          <w:tab w:val="left" w:pos="688"/>
        </w:tabs>
        <w:spacing w:before="1"/>
        <w:ind w:left="687" w:hanging="569"/>
      </w:pPr>
      <w:r>
        <w:rPr>
          <w:spacing w:val="-10"/>
        </w:rPr>
        <w:t>Commencement</w:t>
      </w:r>
      <w:r>
        <w:rPr>
          <w:spacing w:val="-21"/>
        </w:rPr>
        <w:t xml:space="preserve"> </w:t>
      </w:r>
      <w:r>
        <w:rPr>
          <w:spacing w:val="-9"/>
        </w:rPr>
        <w:t>and</w:t>
      </w:r>
      <w:r>
        <w:rPr>
          <w:spacing w:val="-20"/>
        </w:rPr>
        <w:t xml:space="preserve"> </w:t>
      </w:r>
      <w:r>
        <w:rPr>
          <w:spacing w:val="-9"/>
        </w:rPr>
        <w:t>Duration</w:t>
      </w:r>
    </w:p>
    <w:p w14:paraId="0EB2AF62" w14:textId="77777777" w:rsidR="00206100" w:rsidRDefault="00206100">
      <w:pPr>
        <w:pStyle w:val="BodyText"/>
        <w:spacing w:before="9"/>
        <w:rPr>
          <w:b/>
          <w:sz w:val="25"/>
        </w:rPr>
      </w:pPr>
    </w:p>
    <w:p w14:paraId="77FEF88C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ind w:left="687"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Scheme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commence:</w:t>
      </w:r>
    </w:p>
    <w:p w14:paraId="0B920AAC" w14:textId="77777777" w:rsidR="00206100" w:rsidRDefault="00206100">
      <w:pPr>
        <w:pStyle w:val="BodyText"/>
        <w:spacing w:before="10"/>
        <w:rPr>
          <w:sz w:val="25"/>
        </w:rPr>
      </w:pPr>
    </w:p>
    <w:p w14:paraId="7CB02D0A" w14:textId="77777777" w:rsidR="00206100" w:rsidRDefault="0080008C">
      <w:pPr>
        <w:pStyle w:val="ListParagraph"/>
        <w:numPr>
          <w:ilvl w:val="3"/>
          <w:numId w:val="4"/>
        </w:numPr>
        <w:tabs>
          <w:tab w:val="left" w:pos="1560"/>
        </w:tabs>
        <w:spacing w:before="1" w:line="259" w:lineRule="auto"/>
        <w:ind w:left="1559" w:right="259" w:hanging="862"/>
        <w:jc w:val="both"/>
        <w:rPr>
          <w:sz w:val="20"/>
        </w:rPr>
      </w:pPr>
      <w:r>
        <w:rPr>
          <w:sz w:val="20"/>
        </w:rPr>
        <w:t>in Victoria, New South Wales, the Northern Territory, Western Australia, Tasmania and</w:t>
      </w:r>
      <w:r>
        <w:rPr>
          <w:spacing w:val="1"/>
          <w:sz w:val="20"/>
        </w:rPr>
        <w:t xml:space="preserve"> </w:t>
      </w:r>
      <w:r>
        <w:rPr>
          <w:sz w:val="20"/>
        </w:rPr>
        <w:t>Queensland,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July 2022;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0DBCE08E" w14:textId="77777777" w:rsidR="00206100" w:rsidRDefault="00206100">
      <w:pPr>
        <w:pStyle w:val="BodyText"/>
        <w:spacing w:before="2"/>
        <w:rPr>
          <w:sz w:val="24"/>
        </w:rPr>
      </w:pPr>
    </w:p>
    <w:p w14:paraId="21FF6E3F" w14:textId="77777777" w:rsidR="00206100" w:rsidRDefault="0080008C">
      <w:pPr>
        <w:pStyle w:val="ListParagraph"/>
        <w:numPr>
          <w:ilvl w:val="3"/>
          <w:numId w:val="4"/>
        </w:numPr>
        <w:tabs>
          <w:tab w:val="left" w:pos="1561"/>
        </w:tabs>
        <w:spacing w:line="259" w:lineRule="auto"/>
        <w:ind w:left="1560" w:right="259" w:hanging="862"/>
        <w:jc w:val="both"/>
        <w:rPr>
          <w:sz w:val="20"/>
        </w:rPr>
      </w:pPr>
      <w:r>
        <w:rPr>
          <w:sz w:val="20"/>
        </w:rPr>
        <w:t>in the Australian Capital Territory and in South Australia, on this same date, or such other</w:t>
      </w:r>
      <w:r>
        <w:rPr>
          <w:spacing w:val="1"/>
          <w:sz w:val="20"/>
        </w:rPr>
        <w:t xml:space="preserve"> </w:t>
      </w:r>
      <w:r>
        <w:rPr>
          <w:sz w:val="20"/>
        </w:rPr>
        <w:t>later date, provided the date is specified in the relevant Minister’s notice in relation to the</w:t>
      </w:r>
      <w:r>
        <w:rPr>
          <w:spacing w:val="1"/>
          <w:sz w:val="20"/>
        </w:rPr>
        <w:t xml:space="preserve"> </w:t>
      </w:r>
      <w:r>
        <w:rPr>
          <w:sz w:val="20"/>
        </w:rPr>
        <w:t>Scheme;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5F352560" w14:textId="77777777" w:rsidR="00206100" w:rsidRDefault="00206100">
      <w:pPr>
        <w:pStyle w:val="BodyText"/>
        <w:spacing w:before="4"/>
        <w:rPr>
          <w:sz w:val="24"/>
        </w:rPr>
      </w:pPr>
    </w:p>
    <w:p w14:paraId="14E7C073" w14:textId="77777777" w:rsidR="00206100" w:rsidRDefault="0080008C">
      <w:pPr>
        <w:pStyle w:val="ListParagraph"/>
        <w:numPr>
          <w:ilvl w:val="3"/>
          <w:numId w:val="4"/>
        </w:numPr>
        <w:tabs>
          <w:tab w:val="left" w:pos="1395"/>
          <w:tab w:val="left" w:pos="1396"/>
        </w:tabs>
        <w:ind w:left="1395" w:hanging="709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cases,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statutory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jurisdiction.</w:t>
      </w:r>
    </w:p>
    <w:p w14:paraId="19CEB6D3" w14:textId="77777777" w:rsidR="00206100" w:rsidRDefault="00206100">
      <w:pPr>
        <w:pStyle w:val="BodyText"/>
        <w:spacing w:before="10"/>
        <w:rPr>
          <w:sz w:val="25"/>
        </w:rPr>
      </w:pPr>
    </w:p>
    <w:p w14:paraId="2A48753A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8"/>
        </w:tabs>
        <w:spacing w:before="1" w:line="259" w:lineRule="auto"/>
        <w:ind w:left="687" w:right="263" w:hanging="568"/>
        <w:jc w:val="both"/>
        <w:rPr>
          <w:sz w:val="20"/>
        </w:rPr>
      </w:pPr>
      <w:r>
        <w:rPr>
          <w:sz w:val="20"/>
        </w:rPr>
        <w:t>The Scheme will remain in force in all applicable jurisdictions for a period of five (5) years from its</w:t>
      </w:r>
      <w:r>
        <w:rPr>
          <w:spacing w:val="1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Victoria.</w:t>
      </w:r>
    </w:p>
    <w:p w14:paraId="38C5EADE" w14:textId="77777777" w:rsidR="00206100" w:rsidRDefault="00206100">
      <w:pPr>
        <w:pStyle w:val="BodyText"/>
        <w:spacing w:before="2"/>
        <w:rPr>
          <w:sz w:val="24"/>
        </w:rPr>
      </w:pPr>
    </w:p>
    <w:p w14:paraId="1BD0145A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8"/>
        </w:tabs>
        <w:spacing w:line="259" w:lineRule="auto"/>
        <w:ind w:left="687" w:right="261" w:hanging="568"/>
        <w:jc w:val="both"/>
        <w:rPr>
          <w:sz w:val="20"/>
        </w:rPr>
      </w:pPr>
      <w:r>
        <w:rPr>
          <w:sz w:val="20"/>
        </w:rPr>
        <w:t>Clause 5.2 is subject to the provisions of the Corresponding Law in each jurisdiction in relation to the</w:t>
      </w:r>
      <w:r>
        <w:rPr>
          <w:spacing w:val="1"/>
          <w:sz w:val="20"/>
        </w:rPr>
        <w:t xml:space="preserve"> </w:t>
      </w:r>
      <w:r>
        <w:rPr>
          <w:sz w:val="20"/>
        </w:rPr>
        <w:t>revocation,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-1"/>
          <w:sz w:val="20"/>
        </w:rPr>
        <w:t xml:space="preserve"> </w:t>
      </w:r>
      <w:r>
        <w:rPr>
          <w:sz w:val="20"/>
        </w:rPr>
        <w:t>or cessation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scheme.</w:t>
      </w:r>
    </w:p>
    <w:p w14:paraId="18A98209" w14:textId="77777777" w:rsidR="00206100" w:rsidRDefault="00206100">
      <w:pPr>
        <w:pStyle w:val="BodyText"/>
        <w:spacing w:before="4"/>
        <w:rPr>
          <w:sz w:val="24"/>
        </w:rPr>
      </w:pPr>
    </w:p>
    <w:p w14:paraId="39EE55BB" w14:textId="77777777" w:rsidR="00206100" w:rsidRDefault="0080008C">
      <w:pPr>
        <w:pStyle w:val="Heading1"/>
        <w:numPr>
          <w:ilvl w:val="1"/>
          <w:numId w:val="4"/>
        </w:numPr>
        <w:tabs>
          <w:tab w:val="left" w:pos="839"/>
          <w:tab w:val="left" w:pos="840"/>
        </w:tabs>
        <w:ind w:hanging="721"/>
      </w:pPr>
      <w:r>
        <w:t>Definitions</w:t>
      </w:r>
    </w:p>
    <w:p w14:paraId="075BC532" w14:textId="77777777" w:rsidR="00206100" w:rsidRDefault="00206100">
      <w:pPr>
        <w:pStyle w:val="BodyText"/>
        <w:spacing w:before="9"/>
        <w:rPr>
          <w:b/>
          <w:sz w:val="25"/>
        </w:rPr>
      </w:pPr>
    </w:p>
    <w:p w14:paraId="66A8D5F8" w14:textId="77777777" w:rsidR="00206100" w:rsidRDefault="0080008C">
      <w:pPr>
        <w:pStyle w:val="ListParagraph"/>
        <w:numPr>
          <w:ilvl w:val="2"/>
          <w:numId w:val="4"/>
        </w:numPr>
        <w:tabs>
          <w:tab w:val="left" w:pos="687"/>
          <w:tab w:val="left" w:pos="688"/>
        </w:tabs>
        <w:spacing w:line="549" w:lineRule="auto"/>
        <w:ind w:left="768" w:right="3157" w:hanging="648"/>
        <w:rPr>
          <w:sz w:val="20"/>
        </w:rPr>
      </w:pPr>
      <w:r>
        <w:rPr>
          <w:w w:val="105"/>
          <w:sz w:val="20"/>
        </w:rPr>
        <w:t>Relevant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definitions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Scheme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follows: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“Act”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Professional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Standards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Act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2003</w:t>
      </w:r>
      <w:r>
        <w:rPr>
          <w:i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(Vic);</w:t>
      </w:r>
    </w:p>
    <w:p w14:paraId="76257DE2" w14:textId="76E687B4" w:rsidR="00206100" w:rsidRDefault="0080008C">
      <w:pPr>
        <w:pStyle w:val="BodyText"/>
        <w:spacing w:line="261" w:lineRule="auto"/>
        <w:ind w:left="767" w:right="143"/>
      </w:pPr>
      <w:r>
        <w:t xml:space="preserve">“Australian </w:t>
      </w:r>
      <w:r w:rsidR="00637A3F">
        <w:t>Practicing</w:t>
      </w:r>
      <w:r>
        <w:t xml:space="preserve"> Certificate” has the same meaning as it has in the Legal Profession Uniform Law</w:t>
      </w:r>
      <w:r>
        <w:rPr>
          <w:spacing w:val="-53"/>
        </w:rPr>
        <w:t xml:space="preserve"> </w:t>
      </w:r>
      <w:r>
        <w:t>(Victoria);</w:t>
      </w:r>
      <w:hyperlink w:anchor="_bookmark0" w:history="1">
        <w:r>
          <w:rPr>
            <w:vertAlign w:val="superscript"/>
          </w:rPr>
          <w:t>1</w:t>
        </w:r>
      </w:hyperlink>
    </w:p>
    <w:p w14:paraId="175B2B6F" w14:textId="77777777" w:rsidR="00206100" w:rsidRDefault="00206100">
      <w:pPr>
        <w:pStyle w:val="BodyText"/>
        <w:spacing w:before="11"/>
        <w:rPr>
          <w:sz w:val="23"/>
        </w:rPr>
      </w:pPr>
    </w:p>
    <w:p w14:paraId="1F9DFD32" w14:textId="04F0F250" w:rsidR="00206100" w:rsidRDefault="0080008C">
      <w:pPr>
        <w:pStyle w:val="BodyText"/>
        <w:spacing w:line="259" w:lineRule="auto"/>
        <w:ind w:left="767" w:right="420"/>
      </w:pPr>
      <w:r>
        <w:t>“Corporate Legal Practitioner” has the same meaning as it has in the Legal Profession Uniform Law</w:t>
      </w:r>
      <w:r>
        <w:rPr>
          <w:spacing w:val="-53"/>
        </w:rPr>
        <w:t xml:space="preserve"> </w:t>
      </w:r>
      <w:r>
        <w:t>(Victoria);</w:t>
      </w:r>
      <w:hyperlink w:anchor="_bookmark1" w:history="1">
        <w:r>
          <w:rPr>
            <w:vertAlign w:val="superscript"/>
          </w:rPr>
          <w:t>2</w:t>
        </w:r>
      </w:hyperlink>
    </w:p>
    <w:p w14:paraId="0B071FAA" w14:textId="77777777" w:rsidR="00206100" w:rsidRDefault="00206100">
      <w:pPr>
        <w:pStyle w:val="BodyText"/>
        <w:spacing w:before="3"/>
        <w:rPr>
          <w:sz w:val="24"/>
        </w:rPr>
      </w:pPr>
    </w:p>
    <w:p w14:paraId="2B566E96" w14:textId="77777777" w:rsidR="00206100" w:rsidRDefault="0080008C">
      <w:pPr>
        <w:spacing w:before="1" w:line="259" w:lineRule="auto"/>
        <w:ind w:left="765" w:right="111"/>
        <w:rPr>
          <w:sz w:val="20"/>
        </w:rPr>
      </w:pPr>
      <w:r>
        <w:rPr>
          <w:sz w:val="20"/>
        </w:rPr>
        <w:t xml:space="preserve">“Corresponding Laws” means the </w:t>
      </w:r>
      <w:r>
        <w:rPr>
          <w:i/>
          <w:sz w:val="20"/>
        </w:rPr>
        <w:t xml:space="preserve">Professional Standards Act 1994 </w:t>
      </w:r>
      <w:r>
        <w:rPr>
          <w:sz w:val="20"/>
        </w:rPr>
        <w:t xml:space="preserve">(NSW), the </w:t>
      </w:r>
      <w:r>
        <w:rPr>
          <w:i/>
          <w:sz w:val="20"/>
        </w:rPr>
        <w:t>Professional Standards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Act 2004 </w:t>
      </w:r>
      <w:r>
        <w:rPr>
          <w:sz w:val="20"/>
        </w:rPr>
        <w:t xml:space="preserve">(Qld), the </w:t>
      </w:r>
      <w:r>
        <w:rPr>
          <w:i/>
          <w:sz w:val="20"/>
        </w:rPr>
        <w:t xml:space="preserve">Professional Standards Act 2004 </w:t>
      </w:r>
      <w:r>
        <w:rPr>
          <w:sz w:val="20"/>
        </w:rPr>
        <w:t xml:space="preserve">(SA), the </w:t>
      </w:r>
      <w:r>
        <w:rPr>
          <w:i/>
          <w:sz w:val="20"/>
        </w:rPr>
        <w:t xml:space="preserve">Professional Standards Act 1997 </w:t>
      </w:r>
      <w:r>
        <w:rPr>
          <w:sz w:val="20"/>
        </w:rPr>
        <w:t>(WA),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 xml:space="preserve">Professional Standards Act 2004 </w:t>
      </w:r>
      <w:r>
        <w:rPr>
          <w:sz w:val="20"/>
        </w:rPr>
        <w:t xml:space="preserve">(NT), </w:t>
      </w:r>
      <w:r>
        <w:rPr>
          <w:i/>
          <w:sz w:val="20"/>
        </w:rPr>
        <w:t xml:space="preserve">Professional Standards Act 2005 </w:t>
      </w:r>
      <w:r>
        <w:rPr>
          <w:sz w:val="20"/>
        </w:rPr>
        <w:t xml:space="preserve">(Tas), and the </w:t>
      </w:r>
      <w:r>
        <w:rPr>
          <w:i/>
          <w:sz w:val="20"/>
        </w:rPr>
        <w:t>Civil Law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(Wrongs)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2002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(ACT);</w:t>
      </w:r>
    </w:p>
    <w:p w14:paraId="2DDD4251" w14:textId="77777777" w:rsidR="00206100" w:rsidRDefault="00206100">
      <w:pPr>
        <w:pStyle w:val="BodyText"/>
        <w:spacing w:before="3"/>
        <w:rPr>
          <w:sz w:val="24"/>
        </w:rPr>
      </w:pPr>
    </w:p>
    <w:p w14:paraId="1C45DE64" w14:textId="77777777" w:rsidR="00206100" w:rsidRDefault="0080008C">
      <w:pPr>
        <w:pStyle w:val="BodyText"/>
        <w:spacing w:before="1"/>
        <w:ind w:left="765"/>
      </w:pPr>
      <w:r>
        <w:t>“Court”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Act;</w:t>
      </w:r>
    </w:p>
    <w:p w14:paraId="3F716850" w14:textId="0277D4CA" w:rsidR="00206100" w:rsidRDefault="0080008C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866B0A" wp14:editId="4941F599">
                <wp:simplePos x="0" y="0"/>
                <wp:positionH relativeFrom="page">
                  <wp:posOffset>685800</wp:posOffset>
                </wp:positionH>
                <wp:positionV relativeFrom="paragraph">
                  <wp:posOffset>109220</wp:posOffset>
                </wp:positionV>
                <wp:extent cx="182880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5E1A" id="docshape1" o:spid="_x0000_s1026" style="position:absolute;margin-left:54pt;margin-top:8.6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Zf+AEAANcDAAAOAAAAZHJzL2Uyb0RvYy54bWysU1Fv0zAQfkfiP1h+p2lKN0rUdJo6DSEN&#10;NmnwAxzbSSwcnzm7Tcuv5+x0pcAbwg+Wz3f3+b7vzuubw2DZXmMw4GpezuacaSdBGdfV/OuX+zcr&#10;zkIUTgkLTtf8qAO/2bx+tR59pRfQg1UaGYG4UI2+5n2MviqKIHs9iDADrx05W8BBRDKxKxSKkdAH&#10;Wyzm8+tiBFQeQeoQ6PZucvJNxm9bLeNj2wYdma051Rbzjnlv0l5s1qLqUPjeyFMZ4h+qGIRx9OgZ&#10;6k5EwXZo/oIajEQI0MaZhKGAtjVSZw7Eppz/wea5F15nLiRO8GeZwv+DlZ/3T8iMqvmCMycGapEC&#10;GdLDZRJn9KGimGf/hIle8A8gvwXmYNsL1+lbRBh7LRSVlOOL3xKSESiVNeMnUIQtdhGyTocWhwRI&#10;CrBDbsfx3A59iEzSZblarFZz6pok3/Xbq9ytQlQvuR5D/KBhYOlQc6RmZ2yxfwiRaqfQl5BcO1ij&#10;7o212cCu2Vpke5EGI69El1LCZZh1KdhBSpvc6SaTTLwmfRpQR+KIME0X/QY69IA/OBtpsmoevu8E&#10;as7sR0c6vS+XyzSK2VhevVuQgZee5tIjnCSomkfOpuM2TuO782i6nl4qM2kHt6RtazLxpPtU1alY&#10;mp5M7jTpaTwv7Rz16z9ufgIAAP//AwBQSwMEFAAGAAgAAAAhALw5C6rcAAAACQEAAA8AAABkcnMv&#10;ZG93bnJldi54bWxMT8tOwzAQvCPxD9YicaM2AUoa4lQUiSMSLRzozYmXJGq8DrbbBr6e7QluOw/N&#10;zpTLyQ3igCH2njRczxQIpMbbnloN72/PVzmImAxZM3hCDd8YYVmdn5WmsP5IazxsUis4hGJhNHQp&#10;jYWUsenQmTjzIxJrnz44kxiGVtpgjhzuBpkpNZfO9MQfOjPiU4fNbrN3GlaLfPX1eksvP+t6i9uP&#10;eneXBaX15cX0+AAi4ZT+zHCqz9Wh4k6135ONYmCsct6S+LjPQLDhZjFnomYiz0BWpfy/oPoFAAD/&#10;/wMAUEsBAi0AFAAGAAgAAAAhALaDOJL+AAAA4QEAABMAAAAAAAAAAAAAAAAAAAAAAFtDb250ZW50&#10;X1R5cGVzXS54bWxQSwECLQAUAAYACAAAACEAOP0h/9YAAACUAQAACwAAAAAAAAAAAAAAAAAvAQAA&#10;X3JlbHMvLnJlbHNQSwECLQAUAAYACAAAACEADGqWX/gBAADXAwAADgAAAAAAAAAAAAAAAAAuAgAA&#10;ZHJzL2Uyb0RvYy54bWxQSwECLQAUAAYACAAAACEAvDkLqtwAAAAJAQAADwAAAAAAAAAAAAAAAABS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7CBB9190" w14:textId="77777777" w:rsidR="00206100" w:rsidRDefault="0080008C">
      <w:pPr>
        <w:spacing w:before="103"/>
        <w:ind w:left="120"/>
        <w:rPr>
          <w:sz w:val="18"/>
        </w:rPr>
      </w:pPr>
      <w:bookmarkStart w:id="1" w:name="_bookmark0"/>
      <w:bookmarkEnd w:id="1"/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2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Profession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Uniform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2014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14:paraId="42CC2C9C" w14:textId="77777777" w:rsidR="00206100" w:rsidRDefault="0080008C">
      <w:pPr>
        <w:spacing w:before="23"/>
        <w:ind w:left="120"/>
        <w:rPr>
          <w:sz w:val="18"/>
        </w:rPr>
      </w:pPr>
      <w:bookmarkStart w:id="2" w:name="_bookmark1"/>
      <w:bookmarkEnd w:id="2"/>
      <w:r>
        <w:rPr>
          <w:rFonts w:ascii="Times New Roman"/>
          <w:sz w:val="18"/>
          <w:vertAlign w:val="superscript"/>
        </w:rPr>
        <w:t>2</w:t>
      </w:r>
      <w:r>
        <w:rPr>
          <w:rFonts w:ascii="Times New Roman"/>
          <w:spacing w:val="2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Profession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Uniform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2014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14:paraId="2DD83AB5" w14:textId="77777777" w:rsidR="00206100" w:rsidRDefault="00206100">
      <w:pPr>
        <w:rPr>
          <w:sz w:val="18"/>
        </w:rPr>
        <w:sectPr w:rsidR="00206100" w:rsidSect="00401CD8">
          <w:pgSz w:w="11910" w:h="16840"/>
          <w:pgMar w:top="1580" w:right="960" w:bottom="280" w:left="960" w:header="720" w:footer="720" w:gutter="0"/>
          <w:cols w:space="720"/>
          <w:titlePg/>
          <w:docGrid w:linePitch="299"/>
        </w:sectPr>
      </w:pPr>
    </w:p>
    <w:p w14:paraId="5B510A05" w14:textId="77777777" w:rsidR="00206100" w:rsidRDefault="00206100">
      <w:pPr>
        <w:pStyle w:val="BodyText"/>
        <w:spacing w:before="10"/>
        <w:rPr>
          <w:sz w:val="24"/>
        </w:rPr>
      </w:pPr>
    </w:p>
    <w:p w14:paraId="4EFA3A9B" w14:textId="77777777" w:rsidR="00206100" w:rsidRDefault="0080008C">
      <w:pPr>
        <w:pStyle w:val="BodyText"/>
        <w:spacing w:before="94"/>
        <w:ind w:left="765"/>
      </w:pPr>
      <w:r>
        <w:t>“Damages”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Act;</w:t>
      </w:r>
    </w:p>
    <w:p w14:paraId="70A72F83" w14:textId="77777777" w:rsidR="00206100" w:rsidRDefault="00206100">
      <w:pPr>
        <w:pStyle w:val="BodyText"/>
        <w:spacing w:before="10"/>
        <w:rPr>
          <w:sz w:val="25"/>
        </w:rPr>
      </w:pPr>
    </w:p>
    <w:p w14:paraId="58D6A14F" w14:textId="77777777" w:rsidR="00206100" w:rsidRDefault="0080008C">
      <w:pPr>
        <w:pStyle w:val="BodyText"/>
        <w:ind w:left="768"/>
      </w:pPr>
      <w:r>
        <w:t>“Financial</w:t>
      </w:r>
      <w:r>
        <w:rPr>
          <w:spacing w:val="4"/>
        </w:rPr>
        <w:t xml:space="preserve"> </w:t>
      </w:r>
      <w:r>
        <w:t>Year”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accounting</w:t>
      </w:r>
      <w:r>
        <w:rPr>
          <w:spacing w:val="6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ending</w:t>
      </w:r>
      <w:r>
        <w:rPr>
          <w:spacing w:val="6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June;</w:t>
      </w:r>
    </w:p>
    <w:p w14:paraId="3CF7431E" w14:textId="77777777" w:rsidR="00206100" w:rsidRDefault="00206100">
      <w:pPr>
        <w:pStyle w:val="BodyText"/>
        <w:spacing w:before="10"/>
        <w:rPr>
          <w:sz w:val="25"/>
        </w:rPr>
      </w:pPr>
    </w:p>
    <w:p w14:paraId="74D6B38E" w14:textId="77777777" w:rsidR="00206100" w:rsidRDefault="0080008C">
      <w:pPr>
        <w:pStyle w:val="BodyText"/>
        <w:spacing w:line="259" w:lineRule="auto"/>
        <w:ind w:left="768" w:right="709"/>
      </w:pPr>
      <w:r>
        <w:t>“Full Member” means an Australian legal practitioner who is a full member of the Law Institute of</w:t>
      </w:r>
      <w:r>
        <w:rPr>
          <w:spacing w:val="-53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Limited;</w:t>
      </w:r>
    </w:p>
    <w:p w14:paraId="6BB350BC" w14:textId="77777777" w:rsidR="00206100" w:rsidRDefault="00206100">
      <w:pPr>
        <w:pStyle w:val="BodyText"/>
        <w:spacing w:before="2"/>
        <w:rPr>
          <w:sz w:val="24"/>
        </w:rPr>
      </w:pPr>
    </w:p>
    <w:p w14:paraId="592D29C4" w14:textId="2A8CAC86" w:rsidR="00206100" w:rsidRDefault="0080008C">
      <w:pPr>
        <w:pStyle w:val="BodyText"/>
        <w:spacing w:line="259" w:lineRule="auto"/>
        <w:ind w:left="767" w:right="209"/>
      </w:pPr>
      <w:r>
        <w:t>“Government Legal Practitioner” has the same meaning as it has in the Legal Profession Uniform Law</w:t>
      </w:r>
      <w:r>
        <w:rPr>
          <w:spacing w:val="-53"/>
        </w:rPr>
        <w:t xml:space="preserve"> </w:t>
      </w:r>
      <w:r>
        <w:t>(Victoria);</w:t>
      </w:r>
      <w:hyperlink w:anchor="_bookmark2" w:history="1">
        <w:r>
          <w:rPr>
            <w:vertAlign w:val="superscript"/>
          </w:rPr>
          <w:t>3</w:t>
        </w:r>
      </w:hyperlink>
    </w:p>
    <w:p w14:paraId="34A82C94" w14:textId="77777777" w:rsidR="00206100" w:rsidRDefault="00206100">
      <w:pPr>
        <w:pStyle w:val="BodyText"/>
        <w:spacing w:before="4"/>
        <w:rPr>
          <w:sz w:val="24"/>
        </w:rPr>
      </w:pPr>
    </w:p>
    <w:p w14:paraId="32C30494" w14:textId="71C352C4" w:rsidR="00206100" w:rsidRDefault="0080008C">
      <w:pPr>
        <w:pStyle w:val="BodyText"/>
        <w:spacing w:line="259" w:lineRule="auto"/>
        <w:ind w:left="767" w:right="464"/>
      </w:pPr>
      <w:r>
        <w:t>“Incorporated Legal Practice” means an incorporated legal practice within the meaning of the Legal</w:t>
      </w:r>
      <w:r>
        <w:rPr>
          <w:spacing w:val="-53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(Victoria) 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Victoria;</w:t>
      </w:r>
      <w:hyperlink w:anchor="_bookmark3" w:history="1">
        <w:r>
          <w:rPr>
            <w:vertAlign w:val="superscript"/>
          </w:rPr>
          <w:t>4</w:t>
        </w:r>
      </w:hyperlink>
    </w:p>
    <w:p w14:paraId="7E93814C" w14:textId="77777777" w:rsidR="00206100" w:rsidRDefault="00206100">
      <w:pPr>
        <w:pStyle w:val="BodyText"/>
        <w:spacing w:before="3"/>
        <w:rPr>
          <w:sz w:val="24"/>
        </w:rPr>
      </w:pPr>
    </w:p>
    <w:p w14:paraId="7BD43126" w14:textId="6D4B0AFB" w:rsidR="00206100" w:rsidRDefault="0080008C">
      <w:pPr>
        <w:pStyle w:val="BodyText"/>
        <w:ind w:left="767"/>
      </w:pPr>
      <w:r>
        <w:t>“Law</w:t>
      </w:r>
      <w:r>
        <w:rPr>
          <w:spacing w:val="-2"/>
        </w:rPr>
        <w:t xml:space="preserve"> </w:t>
      </w:r>
      <w:r>
        <w:t>Practice”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(Victoria);</w:t>
      </w:r>
      <w:hyperlink w:anchor="_bookmark4" w:history="1">
        <w:r>
          <w:rPr>
            <w:vertAlign w:val="superscript"/>
          </w:rPr>
          <w:t>5</w:t>
        </w:r>
      </w:hyperlink>
    </w:p>
    <w:p w14:paraId="166E786B" w14:textId="77777777" w:rsidR="00206100" w:rsidRDefault="00206100">
      <w:pPr>
        <w:pStyle w:val="BodyText"/>
        <w:spacing w:before="10"/>
        <w:rPr>
          <w:sz w:val="25"/>
        </w:rPr>
      </w:pPr>
    </w:p>
    <w:p w14:paraId="270E4CDB" w14:textId="77777777" w:rsidR="00206100" w:rsidRDefault="0080008C">
      <w:pPr>
        <w:pStyle w:val="BodyText"/>
        <w:ind w:left="767"/>
      </w:pPr>
      <w:r>
        <w:t>“LIV”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Limited;</w:t>
      </w:r>
    </w:p>
    <w:p w14:paraId="6AA738EF" w14:textId="77777777" w:rsidR="00206100" w:rsidRDefault="00206100">
      <w:pPr>
        <w:pStyle w:val="BodyText"/>
        <w:spacing w:before="9"/>
        <w:rPr>
          <w:sz w:val="25"/>
        </w:rPr>
      </w:pPr>
    </w:p>
    <w:p w14:paraId="2C401EB0" w14:textId="77777777" w:rsidR="00206100" w:rsidRDefault="0080008C">
      <w:pPr>
        <w:pStyle w:val="BodyText"/>
        <w:ind w:left="767"/>
      </w:pPr>
      <w:r>
        <w:t>“Occupational</w:t>
      </w:r>
      <w:r>
        <w:rPr>
          <w:spacing w:val="-3"/>
        </w:rPr>
        <w:t xml:space="preserve"> </w:t>
      </w:r>
      <w:r>
        <w:t>Liability”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Act;</w:t>
      </w:r>
    </w:p>
    <w:p w14:paraId="32E61510" w14:textId="77777777" w:rsidR="00206100" w:rsidRDefault="00206100">
      <w:pPr>
        <w:pStyle w:val="BodyText"/>
        <w:spacing w:before="9"/>
        <w:rPr>
          <w:sz w:val="25"/>
        </w:rPr>
      </w:pPr>
    </w:p>
    <w:p w14:paraId="3FC2D975" w14:textId="77777777" w:rsidR="00206100" w:rsidRDefault="0080008C">
      <w:pPr>
        <w:pStyle w:val="BodyText"/>
        <w:spacing w:before="1" w:line="549" w:lineRule="auto"/>
        <w:ind w:left="767" w:right="1688"/>
      </w:pPr>
      <w:r>
        <w:t>“Participating Members” means those persons specified in clause 2.1 of the Scheme;</w:t>
      </w:r>
      <w:r>
        <w:rPr>
          <w:spacing w:val="-53"/>
        </w:rPr>
        <w:t xml:space="preserve"> </w:t>
      </w:r>
      <w:r>
        <w:t>“Person”</w:t>
      </w:r>
      <w:r>
        <w:rPr>
          <w:spacing w:val="-1"/>
        </w:rPr>
        <w:t xml:space="preserve"> </w:t>
      </w:r>
      <w:r>
        <w:t>means 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body corporate;</w:t>
      </w:r>
    </w:p>
    <w:p w14:paraId="311D44C2" w14:textId="72F14108" w:rsidR="00206100" w:rsidRDefault="0080008C">
      <w:pPr>
        <w:pStyle w:val="BodyText"/>
        <w:spacing w:before="1"/>
        <w:ind w:left="767"/>
      </w:pPr>
      <w:r>
        <w:t>“Principal”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(Victoria);</w:t>
      </w:r>
      <w:hyperlink w:anchor="_bookmark5" w:history="1">
        <w:r>
          <w:rPr>
            <w:vertAlign w:val="superscript"/>
          </w:rPr>
          <w:t>6</w:t>
        </w:r>
      </w:hyperlink>
    </w:p>
    <w:p w14:paraId="4AE3857E" w14:textId="77777777" w:rsidR="00206100" w:rsidRDefault="00206100">
      <w:pPr>
        <w:pStyle w:val="BodyText"/>
        <w:spacing w:before="9"/>
        <w:rPr>
          <w:sz w:val="25"/>
        </w:rPr>
      </w:pPr>
    </w:p>
    <w:p w14:paraId="15850366" w14:textId="77777777" w:rsidR="00206100" w:rsidRDefault="0080008C">
      <w:pPr>
        <w:pStyle w:val="BodyText"/>
        <w:spacing w:line="259" w:lineRule="auto"/>
        <w:ind w:left="767" w:right="187"/>
      </w:pPr>
      <w:r>
        <w:t>“Relevant Time” means, in relation to a cause of action giving rise to Occupational Liability, the time at</w:t>
      </w:r>
      <w:r>
        <w:rPr>
          <w:spacing w:val="-5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founded;</w:t>
      </w:r>
    </w:p>
    <w:p w14:paraId="2AE0249E" w14:textId="77777777" w:rsidR="00206100" w:rsidRDefault="00206100">
      <w:pPr>
        <w:pStyle w:val="BodyText"/>
        <w:spacing w:before="3"/>
        <w:rPr>
          <w:sz w:val="24"/>
        </w:rPr>
      </w:pPr>
    </w:p>
    <w:p w14:paraId="73E97C97" w14:textId="77777777" w:rsidR="00206100" w:rsidRDefault="0080008C">
      <w:pPr>
        <w:pStyle w:val="BodyText"/>
        <w:spacing w:line="261" w:lineRule="auto"/>
        <w:ind w:left="767" w:right="320"/>
      </w:pPr>
      <w:r>
        <w:t>“Scheme” means the Law Institute of Victoria Limited Professional Standards Scheme constituted by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document;</w:t>
      </w:r>
    </w:p>
    <w:p w14:paraId="5F5D99BA" w14:textId="77777777" w:rsidR="00206100" w:rsidRDefault="00206100">
      <w:pPr>
        <w:pStyle w:val="BodyText"/>
        <w:spacing w:before="10"/>
        <w:rPr>
          <w:sz w:val="23"/>
        </w:rPr>
      </w:pPr>
    </w:p>
    <w:p w14:paraId="24DF4B90" w14:textId="77777777" w:rsidR="00206100" w:rsidRDefault="0080008C">
      <w:pPr>
        <w:pStyle w:val="BodyText"/>
        <w:spacing w:before="1" w:line="259" w:lineRule="auto"/>
        <w:ind w:left="767" w:right="331"/>
      </w:pPr>
      <w:r>
        <w:t>“Total Annual Fee Income” means the amount charged during a Financial Year for services provided</w:t>
      </w:r>
      <w:r>
        <w:rPr>
          <w:spacing w:val="-5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Members.</w:t>
      </w:r>
    </w:p>
    <w:p w14:paraId="2562A8BC" w14:textId="77777777" w:rsidR="00206100" w:rsidRDefault="00206100">
      <w:pPr>
        <w:pStyle w:val="BodyText"/>
      </w:pPr>
    </w:p>
    <w:p w14:paraId="54EFEA78" w14:textId="77777777" w:rsidR="00206100" w:rsidRDefault="00206100">
      <w:pPr>
        <w:pStyle w:val="BodyText"/>
      </w:pPr>
    </w:p>
    <w:p w14:paraId="1302E3F3" w14:textId="77777777" w:rsidR="00206100" w:rsidRDefault="00206100">
      <w:pPr>
        <w:pStyle w:val="BodyText"/>
      </w:pPr>
    </w:p>
    <w:p w14:paraId="70EF9965" w14:textId="77777777" w:rsidR="00206100" w:rsidRDefault="00206100">
      <w:pPr>
        <w:pStyle w:val="BodyText"/>
      </w:pPr>
    </w:p>
    <w:p w14:paraId="32DCB9C5" w14:textId="77777777" w:rsidR="00206100" w:rsidRDefault="00206100">
      <w:pPr>
        <w:pStyle w:val="BodyText"/>
      </w:pPr>
    </w:p>
    <w:p w14:paraId="58CF7AA1" w14:textId="77777777" w:rsidR="00206100" w:rsidRDefault="00206100">
      <w:pPr>
        <w:pStyle w:val="BodyText"/>
      </w:pPr>
    </w:p>
    <w:p w14:paraId="2AA057F1" w14:textId="77777777" w:rsidR="00206100" w:rsidRDefault="00206100">
      <w:pPr>
        <w:pStyle w:val="BodyText"/>
      </w:pPr>
    </w:p>
    <w:p w14:paraId="645A9024" w14:textId="77777777" w:rsidR="00206100" w:rsidRDefault="00206100">
      <w:pPr>
        <w:pStyle w:val="BodyText"/>
      </w:pPr>
    </w:p>
    <w:p w14:paraId="01589BE2" w14:textId="77777777" w:rsidR="00206100" w:rsidRDefault="00206100">
      <w:pPr>
        <w:pStyle w:val="BodyText"/>
      </w:pPr>
    </w:p>
    <w:p w14:paraId="3F60E8AB" w14:textId="77777777" w:rsidR="00206100" w:rsidRDefault="00206100">
      <w:pPr>
        <w:pStyle w:val="BodyText"/>
      </w:pPr>
    </w:p>
    <w:p w14:paraId="03CAD17A" w14:textId="77777777" w:rsidR="00206100" w:rsidRDefault="00206100">
      <w:pPr>
        <w:pStyle w:val="BodyText"/>
      </w:pPr>
    </w:p>
    <w:p w14:paraId="16D2DCBC" w14:textId="77777777" w:rsidR="00206100" w:rsidRDefault="00206100">
      <w:pPr>
        <w:pStyle w:val="BodyText"/>
      </w:pPr>
    </w:p>
    <w:p w14:paraId="326AE09B" w14:textId="77777777" w:rsidR="00206100" w:rsidRDefault="00206100">
      <w:pPr>
        <w:pStyle w:val="BodyText"/>
      </w:pPr>
    </w:p>
    <w:p w14:paraId="493758A6" w14:textId="77777777" w:rsidR="00206100" w:rsidRDefault="00206100">
      <w:pPr>
        <w:pStyle w:val="BodyText"/>
      </w:pPr>
    </w:p>
    <w:p w14:paraId="6B50B6F0" w14:textId="77777777" w:rsidR="00206100" w:rsidRDefault="00206100">
      <w:pPr>
        <w:pStyle w:val="BodyText"/>
      </w:pPr>
    </w:p>
    <w:p w14:paraId="1286FED7" w14:textId="735B1AA8" w:rsidR="00206100" w:rsidRDefault="0080008C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C54D4E" wp14:editId="34C136AB">
                <wp:simplePos x="0" y="0"/>
                <wp:positionH relativeFrom="page">
                  <wp:posOffset>685800</wp:posOffset>
                </wp:positionH>
                <wp:positionV relativeFrom="paragraph">
                  <wp:posOffset>229870</wp:posOffset>
                </wp:positionV>
                <wp:extent cx="1828800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053D" id="docshape2" o:spid="_x0000_s1026" style="position:absolute;margin-left:54pt;margin-top:18.1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IH+AEAANcDAAAOAAAAZHJzL2Uyb0RvYy54bWysU8GO0zAQvSPxD5bvNE3pLiVqulp1tQhp&#10;YVda+ADHdhILx2PGbtPy9YydbilwQ+RgeTzj5/feTNY3h8GyvcZgwNW8nM05006CMq6r+dcv929W&#10;nIUonBIWnK75UQd+s3n9aj36Si+gB6s0MgJxoRp9zfsYfVUUQfZ6EGEGXjtKtoCDiBRiVygUI6EP&#10;tljM59fFCKg8gtQh0OndlOSbjN+2WsbHtg06Mltz4hbzinlt0lps1qLqUPjeyBMN8Q8sBmEcPXqG&#10;uhNRsB2av6AGIxECtHEmYSigbY3UWQOpKed/qHnuhddZC5kT/Nmm8P9g5ef9EzKjqHecOTFQixTI&#10;kB5eJHNGHyqqefZPmOQF/wDyW2AOtr1wnb5FhLHXQhGlMtUXv11IQaCrrBk/gSJssYuQfTq0OCRA&#10;coAdcjuO53boQ2SSDsvVYrWaU9ck5a7fXuVuFaJ6uesxxA8aBpY2NUdqdsYW+4cQExdRvZRk7mCN&#10;ujfW5gC7ZmuR7UUajPxl+iTxssy6VOwgXZsQ00kWmXRN/jSgjqQRYZou+hto0wP+4Gykyap5+L4T&#10;qDmzHx359L5cLtMo5mB59W5BAV5mmsuMcJKgah45m7bbOI3vzqPpenqpzKId3JK3rcnCk+8TqxNZ&#10;mp7sx2nS03hexrnq1/+4+QkAAP//AwBQSwMEFAAGAAgAAAAhAHqiwHLfAAAACQEAAA8AAABkcnMv&#10;ZG93bnJldi54bWxMj0FPwzAMhe9I/IfISNxYQgelK00nhsQRiQ0O2y1tvLZa45Qm2wq/HnOCm5/9&#10;9Py9Yjm5XpxwDJ0nDbczBQKp9rajRsPH+8tNBiJEQ9b0nlDDFwZYlpcXhcmtP9MaT5vYCA6hkBsN&#10;bYxDLmWoW3QmzPyAxLe9H52JLMdG2tGcOdz1MlEqlc50xB9aM+Bzi/Vhc3QaVots9fl2R6/f62qH&#10;u211uE9GpfX11fT0CCLiFP/M8IvP6FAyU+WPZIPoWauMu0QN8zQBwYb5IuVFxcNDArIs5P8G5Q8A&#10;AAD//wMAUEsBAi0AFAAGAAgAAAAhALaDOJL+AAAA4QEAABMAAAAAAAAAAAAAAAAAAAAAAFtDb250&#10;ZW50X1R5cGVzXS54bWxQSwECLQAUAAYACAAAACEAOP0h/9YAAACUAQAACwAAAAAAAAAAAAAAAAAv&#10;AQAAX3JlbHMvLnJlbHNQSwECLQAUAAYACAAAACEA9iriB/gBAADXAwAADgAAAAAAAAAAAAAAAAAu&#10;AgAAZHJzL2Uyb0RvYy54bWxQSwECLQAUAAYACAAAACEAeqLAct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FEB3613" w14:textId="77777777" w:rsidR="00206100" w:rsidRDefault="0080008C">
      <w:pPr>
        <w:spacing w:before="103" w:line="266" w:lineRule="auto"/>
        <w:ind w:left="120" w:right="4350"/>
        <w:jc w:val="both"/>
        <w:rPr>
          <w:sz w:val="18"/>
        </w:rPr>
      </w:pPr>
      <w:bookmarkStart w:id="3" w:name="_bookmark2"/>
      <w:bookmarkEnd w:id="3"/>
      <w:r>
        <w:rPr>
          <w:rFonts w:ascii="Times New Roman"/>
          <w:sz w:val="18"/>
          <w:vertAlign w:val="superscript"/>
        </w:rPr>
        <w:t>3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Refer </w:t>
      </w:r>
      <w:r>
        <w:rPr>
          <w:i/>
          <w:sz w:val="18"/>
        </w:rPr>
        <w:t xml:space="preserve">Legal Profession Uniform Law Application Act 2014 </w:t>
      </w:r>
      <w:r>
        <w:rPr>
          <w:sz w:val="18"/>
        </w:rPr>
        <w:t>section 4.</w:t>
      </w:r>
      <w:r>
        <w:rPr>
          <w:spacing w:val="-47"/>
          <w:sz w:val="18"/>
        </w:rPr>
        <w:t xml:space="preserve"> </w:t>
      </w:r>
      <w:bookmarkStart w:id="4" w:name="_bookmark3"/>
      <w:bookmarkEnd w:id="4"/>
      <w:r>
        <w:rPr>
          <w:rFonts w:ascii="Times New Roman"/>
          <w:sz w:val="18"/>
          <w:vertAlign w:val="superscript"/>
        </w:rPr>
        <w:t>4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Refer </w:t>
      </w:r>
      <w:r>
        <w:rPr>
          <w:i/>
          <w:sz w:val="18"/>
        </w:rPr>
        <w:t xml:space="preserve">Legal Profession Uniform Law Application Act 2014 </w:t>
      </w:r>
      <w:r>
        <w:rPr>
          <w:sz w:val="18"/>
        </w:rPr>
        <w:t>section 4.</w:t>
      </w:r>
      <w:r>
        <w:rPr>
          <w:spacing w:val="-47"/>
          <w:sz w:val="18"/>
        </w:rPr>
        <w:t xml:space="preserve"> </w:t>
      </w:r>
      <w:bookmarkStart w:id="5" w:name="_bookmark4"/>
      <w:bookmarkEnd w:id="5"/>
      <w:r>
        <w:rPr>
          <w:rFonts w:ascii="Times New Roman"/>
          <w:sz w:val="18"/>
          <w:vertAlign w:val="superscript"/>
        </w:rPr>
        <w:t>5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Refer </w:t>
      </w:r>
      <w:r>
        <w:rPr>
          <w:i/>
          <w:sz w:val="18"/>
        </w:rPr>
        <w:t xml:space="preserve">Legal Profession Uniform Law Application Act 2014 </w:t>
      </w:r>
      <w:r>
        <w:rPr>
          <w:sz w:val="18"/>
        </w:rPr>
        <w:t>section 4.</w:t>
      </w:r>
      <w:r>
        <w:rPr>
          <w:spacing w:val="-47"/>
          <w:sz w:val="18"/>
        </w:rPr>
        <w:t xml:space="preserve"> </w:t>
      </w:r>
      <w:bookmarkStart w:id="6" w:name="_bookmark5"/>
      <w:bookmarkEnd w:id="6"/>
      <w:r>
        <w:rPr>
          <w:rFonts w:ascii="Times New Roman"/>
          <w:sz w:val="18"/>
          <w:vertAlign w:val="superscript"/>
        </w:rPr>
        <w:t>6</w:t>
      </w:r>
      <w:r>
        <w:rPr>
          <w:rFonts w:ascii="Times New Roman"/>
          <w:spacing w:val="2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Profession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Uniform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2014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4.</w:t>
      </w:r>
    </w:p>
    <w:sectPr w:rsidR="00206100" w:rsidSect="00401CD8">
      <w:pgSz w:w="11910" w:h="16840"/>
      <w:pgMar w:top="1580" w:right="96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2BF4" w14:textId="77777777" w:rsidR="00EF6EFA" w:rsidRDefault="00EF6EFA" w:rsidP="00EF6EFA">
      <w:r>
        <w:separator/>
      </w:r>
    </w:p>
  </w:endnote>
  <w:endnote w:type="continuationSeparator" w:id="0">
    <w:p w14:paraId="6BD4203C" w14:textId="77777777" w:rsidR="00EF6EFA" w:rsidRDefault="00EF6EFA" w:rsidP="00EF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2105" w14:textId="77777777" w:rsidR="00CE2C53" w:rsidRDefault="00CE2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C21" w14:textId="679A4C45" w:rsidR="00CE2C53" w:rsidRPr="00CE2C53" w:rsidRDefault="00CE2C53" w:rsidP="00CE2C53">
    <w:pPr>
      <w:pStyle w:val="Footer"/>
      <w:jc w:val="center"/>
      <w:rPr>
        <w:sz w:val="14"/>
      </w:rPr>
    </w:pPr>
    <w:proofErr w:type="spellStart"/>
    <w:r w:rsidRPr="00CE2C53">
      <w:rPr>
        <w:sz w:val="14"/>
      </w:rPr>
      <w:t>Unauthorised</w:t>
    </w:r>
    <w:proofErr w:type="spellEnd"/>
    <w:r w:rsidRPr="00CE2C53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67" w14:textId="6182FDBF" w:rsidR="00EF6EFA" w:rsidRDefault="00401CD8" w:rsidP="00401CD8">
    <w:pPr>
      <w:pStyle w:val="Footer"/>
      <w:rPr>
        <w:sz w:val="18"/>
      </w:rPr>
    </w:pPr>
    <w:r w:rsidRPr="00401CD8">
      <w:rPr>
        <w:sz w:val="18"/>
      </w:rPr>
      <w:t>*Name amended under Legislation Act, s 60</w:t>
    </w:r>
  </w:p>
  <w:p w14:paraId="794D7614" w14:textId="7865772F" w:rsidR="00401CD8" w:rsidRPr="00CE2C53" w:rsidRDefault="00CE2C53" w:rsidP="00CE2C53">
    <w:pPr>
      <w:pStyle w:val="Footer"/>
      <w:spacing w:before="120"/>
      <w:jc w:val="center"/>
      <w:rPr>
        <w:sz w:val="14"/>
        <w:szCs w:val="18"/>
      </w:rPr>
    </w:pPr>
    <w:proofErr w:type="spellStart"/>
    <w:r w:rsidRPr="00CE2C53">
      <w:rPr>
        <w:sz w:val="14"/>
        <w:szCs w:val="18"/>
      </w:rPr>
      <w:t>Unauthorised</w:t>
    </w:r>
    <w:proofErr w:type="spellEnd"/>
    <w:r w:rsidRPr="00CE2C53">
      <w:rPr>
        <w:sz w:val="14"/>
        <w:szCs w:val="18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A5AD" w14:textId="256CD932" w:rsidR="00401CD8" w:rsidRPr="00CE2C53" w:rsidRDefault="00CE2C53" w:rsidP="00CE2C53">
    <w:pPr>
      <w:pStyle w:val="Footer"/>
      <w:spacing w:before="120"/>
      <w:jc w:val="center"/>
      <w:rPr>
        <w:sz w:val="14"/>
        <w:szCs w:val="14"/>
      </w:rPr>
    </w:pPr>
    <w:proofErr w:type="spellStart"/>
    <w:r w:rsidRPr="00CE2C53">
      <w:rPr>
        <w:sz w:val="14"/>
        <w:szCs w:val="14"/>
      </w:rPr>
      <w:t>Unauthorised</w:t>
    </w:r>
    <w:proofErr w:type="spellEnd"/>
    <w:r w:rsidRPr="00CE2C53">
      <w:rPr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C839" w14:textId="77777777" w:rsidR="00EF6EFA" w:rsidRDefault="00EF6EFA" w:rsidP="00EF6EFA">
      <w:r>
        <w:separator/>
      </w:r>
    </w:p>
  </w:footnote>
  <w:footnote w:type="continuationSeparator" w:id="0">
    <w:p w14:paraId="72481082" w14:textId="77777777" w:rsidR="00EF6EFA" w:rsidRDefault="00EF6EFA" w:rsidP="00EF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D380" w14:textId="77777777" w:rsidR="00CE2C53" w:rsidRDefault="00CE2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0D9" w14:textId="77777777" w:rsidR="00CE2C53" w:rsidRDefault="00CE2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B9B" w14:textId="77777777" w:rsidR="00CE2C53" w:rsidRDefault="00CE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563"/>
    <w:multiLevelType w:val="hybridMultilevel"/>
    <w:tmpl w:val="4F8ADF50"/>
    <w:lvl w:ilvl="0" w:tplc="B3C07FE2">
      <w:start w:val="1"/>
      <w:numFmt w:val="lowerLetter"/>
      <w:lvlText w:val="(%1)"/>
      <w:lvlJc w:val="left"/>
      <w:pPr>
        <w:ind w:left="1253" w:hanging="5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4943708">
      <w:numFmt w:val="bullet"/>
      <w:lvlText w:val="•"/>
      <w:lvlJc w:val="left"/>
      <w:pPr>
        <w:ind w:left="2132" w:hanging="568"/>
      </w:pPr>
      <w:rPr>
        <w:rFonts w:hint="default"/>
      </w:rPr>
    </w:lvl>
    <w:lvl w:ilvl="2" w:tplc="815AB880">
      <w:numFmt w:val="bullet"/>
      <w:lvlText w:val="•"/>
      <w:lvlJc w:val="left"/>
      <w:pPr>
        <w:ind w:left="3005" w:hanging="568"/>
      </w:pPr>
      <w:rPr>
        <w:rFonts w:hint="default"/>
      </w:rPr>
    </w:lvl>
    <w:lvl w:ilvl="3" w:tplc="74E4CAD0">
      <w:numFmt w:val="bullet"/>
      <w:lvlText w:val="•"/>
      <w:lvlJc w:val="left"/>
      <w:pPr>
        <w:ind w:left="3878" w:hanging="568"/>
      </w:pPr>
      <w:rPr>
        <w:rFonts w:hint="default"/>
      </w:rPr>
    </w:lvl>
    <w:lvl w:ilvl="4" w:tplc="065EBA3E">
      <w:numFmt w:val="bullet"/>
      <w:lvlText w:val="•"/>
      <w:lvlJc w:val="left"/>
      <w:pPr>
        <w:ind w:left="4751" w:hanging="568"/>
      </w:pPr>
      <w:rPr>
        <w:rFonts w:hint="default"/>
      </w:rPr>
    </w:lvl>
    <w:lvl w:ilvl="5" w:tplc="5F5CBCC0">
      <w:numFmt w:val="bullet"/>
      <w:lvlText w:val="•"/>
      <w:lvlJc w:val="left"/>
      <w:pPr>
        <w:ind w:left="5624" w:hanging="568"/>
      </w:pPr>
      <w:rPr>
        <w:rFonts w:hint="default"/>
      </w:rPr>
    </w:lvl>
    <w:lvl w:ilvl="6" w:tplc="84985362">
      <w:numFmt w:val="bullet"/>
      <w:lvlText w:val="•"/>
      <w:lvlJc w:val="left"/>
      <w:pPr>
        <w:ind w:left="6497" w:hanging="568"/>
      </w:pPr>
      <w:rPr>
        <w:rFonts w:hint="default"/>
      </w:rPr>
    </w:lvl>
    <w:lvl w:ilvl="7" w:tplc="498E5CE2">
      <w:numFmt w:val="bullet"/>
      <w:lvlText w:val="•"/>
      <w:lvlJc w:val="left"/>
      <w:pPr>
        <w:ind w:left="7370" w:hanging="568"/>
      </w:pPr>
      <w:rPr>
        <w:rFonts w:hint="default"/>
      </w:rPr>
    </w:lvl>
    <w:lvl w:ilvl="8" w:tplc="AAE0F5CA">
      <w:numFmt w:val="bullet"/>
      <w:lvlText w:val="•"/>
      <w:lvlJc w:val="left"/>
      <w:pPr>
        <w:ind w:left="8243" w:hanging="568"/>
      </w:pPr>
      <w:rPr>
        <w:rFonts w:hint="default"/>
      </w:rPr>
    </w:lvl>
  </w:abstractNum>
  <w:abstractNum w:abstractNumId="1" w15:restartNumberingAfterBreak="0">
    <w:nsid w:val="45B62A48"/>
    <w:multiLevelType w:val="hybridMultilevel"/>
    <w:tmpl w:val="357A091A"/>
    <w:lvl w:ilvl="0" w:tplc="6E9E0E02">
      <w:start w:val="1"/>
      <w:numFmt w:val="lowerLetter"/>
      <w:lvlText w:val="(%1)"/>
      <w:lvlJc w:val="left"/>
      <w:pPr>
        <w:ind w:left="690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01254D8">
      <w:numFmt w:val="bullet"/>
      <w:lvlText w:val="•"/>
      <w:lvlJc w:val="left"/>
      <w:pPr>
        <w:ind w:left="1205" w:hanging="432"/>
      </w:pPr>
      <w:rPr>
        <w:rFonts w:hint="default"/>
      </w:rPr>
    </w:lvl>
    <w:lvl w:ilvl="2" w:tplc="5FFA580E">
      <w:numFmt w:val="bullet"/>
      <w:lvlText w:val="•"/>
      <w:lvlJc w:val="left"/>
      <w:pPr>
        <w:ind w:left="1711" w:hanging="432"/>
      </w:pPr>
      <w:rPr>
        <w:rFonts w:hint="default"/>
      </w:rPr>
    </w:lvl>
    <w:lvl w:ilvl="3" w:tplc="9C8E6D28">
      <w:numFmt w:val="bullet"/>
      <w:lvlText w:val="•"/>
      <w:lvlJc w:val="left"/>
      <w:pPr>
        <w:ind w:left="2217" w:hanging="432"/>
      </w:pPr>
      <w:rPr>
        <w:rFonts w:hint="default"/>
      </w:rPr>
    </w:lvl>
    <w:lvl w:ilvl="4" w:tplc="123CF75A">
      <w:numFmt w:val="bullet"/>
      <w:lvlText w:val="•"/>
      <w:lvlJc w:val="left"/>
      <w:pPr>
        <w:ind w:left="2722" w:hanging="432"/>
      </w:pPr>
      <w:rPr>
        <w:rFonts w:hint="default"/>
      </w:rPr>
    </w:lvl>
    <w:lvl w:ilvl="5" w:tplc="FC22529C">
      <w:numFmt w:val="bullet"/>
      <w:lvlText w:val="•"/>
      <w:lvlJc w:val="left"/>
      <w:pPr>
        <w:ind w:left="3228" w:hanging="432"/>
      </w:pPr>
      <w:rPr>
        <w:rFonts w:hint="default"/>
      </w:rPr>
    </w:lvl>
    <w:lvl w:ilvl="6" w:tplc="C0C60D18">
      <w:numFmt w:val="bullet"/>
      <w:lvlText w:val="•"/>
      <w:lvlJc w:val="left"/>
      <w:pPr>
        <w:ind w:left="3734" w:hanging="432"/>
      </w:pPr>
      <w:rPr>
        <w:rFonts w:hint="default"/>
      </w:rPr>
    </w:lvl>
    <w:lvl w:ilvl="7" w:tplc="A858A506">
      <w:numFmt w:val="bullet"/>
      <w:lvlText w:val="•"/>
      <w:lvlJc w:val="left"/>
      <w:pPr>
        <w:ind w:left="4239" w:hanging="432"/>
      </w:pPr>
      <w:rPr>
        <w:rFonts w:hint="default"/>
      </w:rPr>
    </w:lvl>
    <w:lvl w:ilvl="8" w:tplc="5E74F898">
      <w:numFmt w:val="bullet"/>
      <w:lvlText w:val="•"/>
      <w:lvlJc w:val="left"/>
      <w:pPr>
        <w:ind w:left="4745" w:hanging="432"/>
      </w:pPr>
      <w:rPr>
        <w:rFonts w:hint="default"/>
      </w:rPr>
    </w:lvl>
  </w:abstractNum>
  <w:abstractNum w:abstractNumId="2" w15:restartNumberingAfterBreak="0">
    <w:nsid w:val="55CB13DA"/>
    <w:multiLevelType w:val="hybridMultilevel"/>
    <w:tmpl w:val="937A1680"/>
    <w:lvl w:ilvl="0" w:tplc="B600D360">
      <w:start w:val="1"/>
      <w:numFmt w:val="lowerLetter"/>
      <w:lvlText w:val="(%1)"/>
      <w:lvlJc w:val="left"/>
      <w:pPr>
        <w:ind w:left="762" w:hanging="50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</w:rPr>
    </w:lvl>
    <w:lvl w:ilvl="1" w:tplc="95206620">
      <w:numFmt w:val="bullet"/>
      <w:lvlText w:val="•"/>
      <w:lvlJc w:val="left"/>
      <w:pPr>
        <w:ind w:left="1259" w:hanging="504"/>
      </w:pPr>
      <w:rPr>
        <w:rFonts w:hint="default"/>
      </w:rPr>
    </w:lvl>
    <w:lvl w:ilvl="2" w:tplc="75A486CA">
      <w:numFmt w:val="bullet"/>
      <w:lvlText w:val="•"/>
      <w:lvlJc w:val="left"/>
      <w:pPr>
        <w:ind w:left="1759" w:hanging="504"/>
      </w:pPr>
      <w:rPr>
        <w:rFonts w:hint="default"/>
      </w:rPr>
    </w:lvl>
    <w:lvl w:ilvl="3" w:tplc="95042AEE">
      <w:numFmt w:val="bullet"/>
      <w:lvlText w:val="•"/>
      <w:lvlJc w:val="left"/>
      <w:pPr>
        <w:ind w:left="2259" w:hanging="504"/>
      </w:pPr>
      <w:rPr>
        <w:rFonts w:hint="default"/>
      </w:rPr>
    </w:lvl>
    <w:lvl w:ilvl="4" w:tplc="31EA4E10">
      <w:numFmt w:val="bullet"/>
      <w:lvlText w:val="•"/>
      <w:lvlJc w:val="left"/>
      <w:pPr>
        <w:ind w:left="2758" w:hanging="504"/>
      </w:pPr>
      <w:rPr>
        <w:rFonts w:hint="default"/>
      </w:rPr>
    </w:lvl>
    <w:lvl w:ilvl="5" w:tplc="3CF8484A">
      <w:numFmt w:val="bullet"/>
      <w:lvlText w:val="•"/>
      <w:lvlJc w:val="left"/>
      <w:pPr>
        <w:ind w:left="3258" w:hanging="504"/>
      </w:pPr>
      <w:rPr>
        <w:rFonts w:hint="default"/>
      </w:rPr>
    </w:lvl>
    <w:lvl w:ilvl="6" w:tplc="8F5C3C94">
      <w:numFmt w:val="bullet"/>
      <w:lvlText w:val="•"/>
      <w:lvlJc w:val="left"/>
      <w:pPr>
        <w:ind w:left="3758" w:hanging="504"/>
      </w:pPr>
      <w:rPr>
        <w:rFonts w:hint="default"/>
      </w:rPr>
    </w:lvl>
    <w:lvl w:ilvl="7" w:tplc="6862FAF0">
      <w:numFmt w:val="bullet"/>
      <w:lvlText w:val="•"/>
      <w:lvlJc w:val="left"/>
      <w:pPr>
        <w:ind w:left="4257" w:hanging="504"/>
      </w:pPr>
      <w:rPr>
        <w:rFonts w:hint="default"/>
      </w:rPr>
    </w:lvl>
    <w:lvl w:ilvl="8" w:tplc="744C03FC">
      <w:numFmt w:val="bullet"/>
      <w:lvlText w:val="•"/>
      <w:lvlJc w:val="left"/>
      <w:pPr>
        <w:ind w:left="4757" w:hanging="504"/>
      </w:pPr>
      <w:rPr>
        <w:rFonts w:hint="default"/>
      </w:rPr>
    </w:lvl>
  </w:abstractNum>
  <w:abstractNum w:abstractNumId="3" w15:restartNumberingAfterBreak="0">
    <w:nsid w:val="6FB70CE4"/>
    <w:multiLevelType w:val="multilevel"/>
    <w:tmpl w:val="CCDA4596"/>
    <w:lvl w:ilvl="0">
      <w:start w:val="1"/>
      <w:numFmt w:val="upperLetter"/>
      <w:lvlText w:val="%1."/>
      <w:lvlJc w:val="left"/>
      <w:pPr>
        <w:ind w:left="767" w:hanging="64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9" w:hanging="720"/>
      </w:pPr>
      <w:rPr>
        <w:rFonts w:hint="default"/>
        <w:w w:val="100"/>
        <w:sz w:val="20"/>
        <w:szCs w:val="20"/>
      </w:rPr>
    </w:lvl>
    <w:lvl w:ilvl="2">
      <w:start w:val="1"/>
      <w:numFmt w:val="decimal"/>
      <w:lvlText w:val="%2.%3"/>
      <w:lvlJc w:val="left"/>
      <w:pPr>
        <w:ind w:left="828" w:hanging="7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2.%3.%4"/>
      <w:lvlJc w:val="left"/>
      <w:pPr>
        <w:ind w:left="148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840" w:hanging="721"/>
      </w:pPr>
      <w:rPr>
        <w:rFonts w:hint="default"/>
      </w:rPr>
    </w:lvl>
    <w:lvl w:ilvl="5">
      <w:numFmt w:val="bullet"/>
      <w:lvlText w:val="•"/>
      <w:lvlJc w:val="left"/>
      <w:pPr>
        <w:ind w:left="148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667" w:hanging="721"/>
      </w:pPr>
      <w:rPr>
        <w:rFonts w:hint="default"/>
      </w:rPr>
    </w:lvl>
    <w:lvl w:ilvl="8">
      <w:numFmt w:val="bullet"/>
      <w:lvlText w:val="•"/>
      <w:lvlJc w:val="left"/>
      <w:pPr>
        <w:ind w:left="5774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0"/>
    <w:rsid w:val="00206100"/>
    <w:rsid w:val="002B5CFE"/>
    <w:rsid w:val="00401CD8"/>
    <w:rsid w:val="00596FBB"/>
    <w:rsid w:val="005D6E41"/>
    <w:rsid w:val="00637A3F"/>
    <w:rsid w:val="0080008C"/>
    <w:rsid w:val="00893F7F"/>
    <w:rsid w:val="008E3D98"/>
    <w:rsid w:val="008F2024"/>
    <w:rsid w:val="00A037FC"/>
    <w:rsid w:val="00CE2C53"/>
    <w:rsid w:val="00E17DB6"/>
    <w:rsid w:val="00EF6EFA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D367C"/>
  <w15:docId w15:val="{FAEA2A37-2D2B-4C19-9B25-ADFEF28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hanging="5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334" w:right="2334" w:firstLine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7" w:hanging="648"/>
    </w:pPr>
  </w:style>
  <w:style w:type="paragraph" w:customStyle="1" w:styleId="TableParagraph">
    <w:name w:val="Table Paragraph"/>
    <w:basedOn w:val="Normal"/>
    <w:uiPriority w:val="1"/>
    <w:qFormat/>
    <w:pPr>
      <w:ind w:left="269" w:right="32"/>
      <w:jc w:val="center"/>
    </w:pPr>
  </w:style>
  <w:style w:type="paragraph" w:customStyle="1" w:styleId="Billname">
    <w:name w:val="Billname"/>
    <w:basedOn w:val="Normal"/>
    <w:rsid w:val="0080008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80008C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madeunder">
    <w:name w:val="made under"/>
    <w:basedOn w:val="Normal"/>
    <w:rsid w:val="0080008C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80008C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F6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10688</Characters>
  <Application>Microsoft Office Word</Application>
  <DocSecurity>0</DocSecurity>
  <Lines>289</Lines>
  <Paragraphs>103</Paragraphs>
  <ScaleCrop>false</ScaleCrop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Ingham, Alexander</dc:creator>
  <cp:keywords>2</cp:keywords>
  <cp:lastModifiedBy>Moxon, KarenL</cp:lastModifiedBy>
  <cp:revision>4</cp:revision>
  <dcterms:created xsi:type="dcterms:W3CDTF">2022-06-23T13:24:00Z</dcterms:created>
  <dcterms:modified xsi:type="dcterms:W3CDTF">2022-06-23T13:24:00Z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2022-02-18T00:00:00Z</vt:filetime>
  </property>
  <property fmtid="{D5CDD505-2E9C-101B-9397-08002B2CF9AE}" pid="5" name="CHECKEDOUTFROMJMS">
    <vt:lpwstr/>
  </property>
  <property fmtid="{D5CDD505-2E9C-101B-9397-08002B2CF9AE}" pid="6" name="DMSID">
    <vt:lpwstr>9513194</vt:lpwstr>
  </property>
  <property fmtid="{D5CDD505-2E9C-101B-9397-08002B2CF9AE}" pid="7" name="JMSREQUIREDCHECKIN">
    <vt:lpwstr/>
  </property>
</Properties>
</file>