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19FD7"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05BDEC07" w14:textId="385A98E9" w:rsidR="00F10CB2" w:rsidRPr="007C103C" w:rsidRDefault="001C737C">
      <w:pPr>
        <w:pStyle w:val="Billname"/>
        <w:spacing w:before="700"/>
      </w:pPr>
      <w:r>
        <w:t>Public Place Names</w:t>
      </w:r>
      <w:r w:rsidR="00F10CB2">
        <w:t xml:space="preserve"> (</w:t>
      </w:r>
      <w:r w:rsidR="000D5F8C">
        <w:t>Whitlam)</w:t>
      </w:r>
      <w:r w:rsidR="00F10CB2">
        <w:t xml:space="preserve"> </w:t>
      </w:r>
      <w:r>
        <w:t>Determination</w:t>
      </w:r>
      <w:r w:rsidR="00B30B9A">
        <w:t xml:space="preserve"> </w:t>
      </w:r>
      <w:r w:rsidR="000D5F8C">
        <w:t>2022 (No 2)</w:t>
      </w:r>
    </w:p>
    <w:p w14:paraId="621471C0" w14:textId="57D71277" w:rsidR="00F10CB2" w:rsidRDefault="00F10CB2" w:rsidP="00D47F13">
      <w:pPr>
        <w:spacing w:before="340"/>
        <w:rPr>
          <w:rFonts w:ascii="Arial" w:hAnsi="Arial" w:cs="Arial"/>
          <w:b/>
          <w:bCs/>
        </w:rPr>
      </w:pPr>
      <w:r>
        <w:rPr>
          <w:rFonts w:ascii="Arial" w:hAnsi="Arial" w:cs="Arial"/>
          <w:b/>
          <w:bCs/>
        </w:rPr>
        <w:t>Disallowable instrument DI</w:t>
      </w:r>
      <w:r w:rsidR="000D5F8C">
        <w:rPr>
          <w:rFonts w:ascii="Arial" w:hAnsi="Arial" w:cs="Arial"/>
          <w:b/>
          <w:bCs/>
          <w:iCs/>
        </w:rPr>
        <w:t>2022</w:t>
      </w:r>
      <w:r>
        <w:rPr>
          <w:rFonts w:ascii="Arial" w:hAnsi="Arial" w:cs="Arial"/>
          <w:b/>
          <w:bCs/>
        </w:rPr>
        <w:t>–</w:t>
      </w:r>
      <w:r w:rsidR="00077CBE">
        <w:rPr>
          <w:rFonts w:ascii="Arial" w:hAnsi="Arial" w:cs="Arial"/>
          <w:b/>
          <w:bCs/>
        </w:rPr>
        <w:t>220</w:t>
      </w:r>
    </w:p>
    <w:p w14:paraId="455CCF35" w14:textId="77777777" w:rsidR="00F10CB2" w:rsidRDefault="00F10CB2" w:rsidP="00CD4E55">
      <w:pPr>
        <w:pStyle w:val="madeunder"/>
        <w:spacing w:before="300" w:after="0"/>
      </w:pPr>
      <w:r>
        <w:t xml:space="preserve">made under the  </w:t>
      </w:r>
    </w:p>
    <w:p w14:paraId="1485F2C8" w14:textId="77777777" w:rsidR="00F10CB2" w:rsidRDefault="001C737C" w:rsidP="00CD4E55">
      <w:pPr>
        <w:pStyle w:val="CoverActName"/>
        <w:spacing w:before="320" w:after="0"/>
        <w:rPr>
          <w:rFonts w:cs="Arial"/>
          <w:sz w:val="20"/>
        </w:rPr>
      </w:pPr>
      <w:r>
        <w:rPr>
          <w:rFonts w:cs="Arial"/>
          <w:sz w:val="20"/>
        </w:rPr>
        <w:t>Public Place Names Act 1989</w:t>
      </w:r>
      <w:r w:rsidR="00F10CB2">
        <w:rPr>
          <w:rFonts w:cs="Arial"/>
          <w:sz w:val="20"/>
        </w:rPr>
        <w:t xml:space="preserve">, </w:t>
      </w:r>
      <w:r>
        <w:rPr>
          <w:rFonts w:cs="Arial"/>
          <w:sz w:val="20"/>
        </w:rPr>
        <w:t>s 3</w:t>
      </w:r>
      <w:r w:rsidR="00F10CB2">
        <w:rPr>
          <w:rFonts w:cs="Arial"/>
          <w:sz w:val="20"/>
        </w:rPr>
        <w:t xml:space="preserve"> (</w:t>
      </w:r>
      <w:r>
        <w:rPr>
          <w:rFonts w:cs="Arial"/>
          <w:sz w:val="20"/>
        </w:rPr>
        <w:t>Minister to determine names</w:t>
      </w:r>
      <w:r w:rsidR="00F10CB2">
        <w:rPr>
          <w:rFonts w:cs="Arial"/>
          <w:sz w:val="20"/>
        </w:rPr>
        <w:t>)</w:t>
      </w:r>
    </w:p>
    <w:p w14:paraId="71BFA3EB" w14:textId="77777777" w:rsidR="00F10CB2" w:rsidRDefault="00F10CB2" w:rsidP="00CD4E55">
      <w:pPr>
        <w:pStyle w:val="N-line3"/>
        <w:pBdr>
          <w:bottom w:val="none" w:sz="0" w:space="0" w:color="auto"/>
        </w:pBdr>
        <w:spacing w:before="60"/>
      </w:pPr>
    </w:p>
    <w:p w14:paraId="6000503A" w14:textId="77777777" w:rsidR="00F10CB2" w:rsidRDefault="00F10CB2">
      <w:pPr>
        <w:pStyle w:val="N-line3"/>
        <w:pBdr>
          <w:top w:val="single" w:sz="12" w:space="1" w:color="auto"/>
          <w:bottom w:val="none" w:sz="0" w:space="0" w:color="auto"/>
        </w:pBdr>
      </w:pPr>
    </w:p>
    <w:p w14:paraId="0712A39B"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711B1F50" w14:textId="5FFAECC8" w:rsidR="00F10CB2" w:rsidRPr="00355F8C" w:rsidRDefault="00F10CB2" w:rsidP="00D47F13">
      <w:pPr>
        <w:spacing w:before="140"/>
        <w:ind w:left="720"/>
        <w:rPr>
          <w:i/>
          <w:iCs/>
        </w:rPr>
      </w:pPr>
      <w:r>
        <w:t xml:space="preserve">This instrument is the </w:t>
      </w:r>
      <w:bookmarkStart w:id="1" w:name="_Hlk102038856"/>
      <w:r w:rsidR="00355F8C" w:rsidRPr="00355F8C">
        <w:rPr>
          <w:i/>
          <w:iCs/>
        </w:rPr>
        <w:t>Public Place Names (Whitlam) Determination 2022</w:t>
      </w:r>
      <w:r w:rsidR="00714777">
        <w:rPr>
          <w:i/>
          <w:iCs/>
        </w:rPr>
        <w:t xml:space="preserve"> </w:t>
      </w:r>
      <w:r w:rsidR="00355F8C" w:rsidRPr="00355F8C">
        <w:rPr>
          <w:i/>
          <w:iCs/>
        </w:rPr>
        <w:t>(No</w:t>
      </w:r>
      <w:r w:rsidR="00714777">
        <w:rPr>
          <w:i/>
          <w:iCs/>
        </w:rPr>
        <w:t> </w:t>
      </w:r>
      <w:r w:rsidR="00355F8C" w:rsidRPr="00355F8C">
        <w:rPr>
          <w:i/>
          <w:iCs/>
        </w:rPr>
        <w:t>2)</w:t>
      </w:r>
      <w:r w:rsidR="00355F8C" w:rsidRPr="00714777">
        <w:t>.</w:t>
      </w:r>
    </w:p>
    <w:bookmarkEnd w:id="1"/>
    <w:p w14:paraId="388D2E22"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1B2FA1C0" w14:textId="77777777" w:rsidR="00F10CB2" w:rsidRPr="000D5F8C" w:rsidRDefault="00F10CB2" w:rsidP="00D47F13">
      <w:pPr>
        <w:spacing w:before="140"/>
        <w:ind w:left="720"/>
      </w:pPr>
      <w:r>
        <w:t xml:space="preserve">This instrument commences on </w:t>
      </w:r>
      <w:r w:rsidR="00492788">
        <w:t xml:space="preserve">the day </w:t>
      </w:r>
      <w:r w:rsidR="00492788" w:rsidRPr="000D5F8C">
        <w:t xml:space="preserve">after </w:t>
      </w:r>
      <w:r w:rsidR="000C501D" w:rsidRPr="000D5F8C">
        <w:t xml:space="preserve">its </w:t>
      </w:r>
      <w:r w:rsidR="00492788" w:rsidRPr="000D5F8C">
        <w:t>notification</w:t>
      </w:r>
      <w:r w:rsidR="000C501D" w:rsidRPr="000D5F8C">
        <w:t xml:space="preserve"> day</w:t>
      </w:r>
      <w:r w:rsidRPr="000D5F8C">
        <w:t xml:space="preserve">. </w:t>
      </w:r>
    </w:p>
    <w:p w14:paraId="0D5CFC99" w14:textId="77777777"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1C737C">
        <w:rPr>
          <w:rFonts w:ascii="Arial" w:hAnsi="Arial" w:cs="Arial"/>
          <w:b/>
          <w:bCs/>
        </w:rPr>
        <w:t>Determination of Place Names</w:t>
      </w:r>
    </w:p>
    <w:p w14:paraId="435335C0" w14:textId="77777777" w:rsidR="00E358BC" w:rsidRPr="00970517" w:rsidRDefault="00E358BC" w:rsidP="00E358BC">
      <w:pPr>
        <w:spacing w:before="140"/>
        <w:ind w:left="720"/>
      </w:pPr>
      <w:r>
        <w:t xml:space="preserve">I determine the </w:t>
      </w:r>
      <w:r w:rsidR="00A502EA">
        <w:t xml:space="preserve">place </w:t>
      </w:r>
      <w:r>
        <w:t xml:space="preserve">names </w:t>
      </w:r>
      <w:r w:rsidR="00A502EA">
        <w:t xml:space="preserve">as </w:t>
      </w:r>
      <w:r>
        <w:t xml:space="preserve">indicated in the schedule. </w:t>
      </w:r>
    </w:p>
    <w:p w14:paraId="3B4525C8" w14:textId="77777777" w:rsidR="000F1029" w:rsidRDefault="000F1029" w:rsidP="00232478">
      <w:pPr>
        <w:tabs>
          <w:tab w:val="left" w:pos="4320"/>
        </w:tabs>
        <w:spacing w:before="720"/>
      </w:pPr>
    </w:p>
    <w:p w14:paraId="6A41DB1E" w14:textId="66C738C7" w:rsidR="00D47F13" w:rsidRDefault="00F236C5" w:rsidP="00232478">
      <w:pPr>
        <w:tabs>
          <w:tab w:val="left" w:pos="4320"/>
        </w:tabs>
        <w:spacing w:before="720"/>
      </w:pPr>
      <w:r>
        <w:t>Ben Ponton</w:t>
      </w:r>
    </w:p>
    <w:p w14:paraId="7B7FFBF7" w14:textId="36E7438D" w:rsidR="00F10CB2" w:rsidRDefault="001C737C" w:rsidP="00D47F13">
      <w:pPr>
        <w:tabs>
          <w:tab w:val="left" w:pos="4320"/>
        </w:tabs>
      </w:pPr>
      <w:r>
        <w:t>Delegate of the Minister</w:t>
      </w:r>
      <w:r w:rsidR="008F060D">
        <w:t xml:space="preserve"> for Planning and Land Management</w:t>
      </w:r>
    </w:p>
    <w:p w14:paraId="61175A01" w14:textId="45147D7C" w:rsidR="00EC2CB7" w:rsidRPr="00EE301C" w:rsidRDefault="00077CBE" w:rsidP="00D47F13">
      <w:pPr>
        <w:tabs>
          <w:tab w:val="left" w:pos="4320"/>
        </w:tabs>
      </w:pPr>
      <w:r>
        <w:t>12</w:t>
      </w:r>
      <w:r w:rsidR="000F1029">
        <w:t xml:space="preserve"> September</w:t>
      </w:r>
      <w:r w:rsidR="00EC2CB7">
        <w:t xml:space="preserve"> 2022</w:t>
      </w:r>
    </w:p>
    <w:bookmarkEnd w:id="0"/>
    <w:p w14:paraId="209EB7C0" w14:textId="77777777" w:rsidR="001F1298" w:rsidRDefault="001F1298" w:rsidP="00232478">
      <w:pPr>
        <w:tabs>
          <w:tab w:val="left" w:pos="4320"/>
        </w:tabs>
      </w:pPr>
    </w:p>
    <w:p w14:paraId="03FC011E" w14:textId="77777777" w:rsidR="001F1298" w:rsidRDefault="001F1298" w:rsidP="00232478">
      <w:pPr>
        <w:tabs>
          <w:tab w:val="left" w:pos="4320"/>
        </w:tabs>
      </w:pPr>
    </w:p>
    <w:p w14:paraId="75C3907F" w14:textId="77777777" w:rsidR="001F1298" w:rsidRDefault="001F1298" w:rsidP="00232478">
      <w:pPr>
        <w:tabs>
          <w:tab w:val="left" w:pos="4320"/>
        </w:tabs>
      </w:pPr>
    </w:p>
    <w:p w14:paraId="153C6CAF" w14:textId="77777777" w:rsidR="001056A5" w:rsidRDefault="001056A5">
      <w:pPr>
        <w:sectPr w:rsidR="001056A5" w:rsidSect="001056A5">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docGrid w:linePitch="326"/>
        </w:sectPr>
      </w:pPr>
    </w:p>
    <w:p w14:paraId="4A22224E" w14:textId="77777777" w:rsidR="003D7174" w:rsidRPr="00513572" w:rsidRDefault="002A039C" w:rsidP="002A039C">
      <w:pPr>
        <w:rPr>
          <w:b/>
          <w:bCs/>
          <w:szCs w:val="28"/>
        </w:rPr>
      </w:pPr>
      <w:r w:rsidRPr="00513572">
        <w:rPr>
          <w:b/>
          <w:bCs/>
          <w:szCs w:val="28"/>
        </w:rPr>
        <w:lastRenderedPageBreak/>
        <w:t>SCHEDULE</w:t>
      </w:r>
    </w:p>
    <w:p w14:paraId="1A8AF509" w14:textId="2E28F50A" w:rsidR="008A3808" w:rsidRPr="007D25AC" w:rsidRDefault="008A3808" w:rsidP="008A3808">
      <w:pPr>
        <w:pStyle w:val="Heading2"/>
        <w:pBdr>
          <w:bottom w:val="single" w:sz="12" w:space="24" w:color="auto"/>
        </w:pBdr>
        <w:jc w:val="left"/>
        <w:rPr>
          <w:rFonts w:ascii="Times New Roman" w:hAnsi="Times New Roman" w:cs="Times New Roman"/>
          <w:sz w:val="24"/>
          <w:szCs w:val="24"/>
        </w:rPr>
      </w:pPr>
      <w:r>
        <w:rPr>
          <w:rFonts w:ascii="Times New Roman" w:hAnsi="Times New Roman" w:cs="Times New Roman"/>
          <w:i w:val="0"/>
          <w:sz w:val="24"/>
          <w:szCs w:val="24"/>
        </w:rPr>
        <w:t xml:space="preserve">(See </w:t>
      </w:r>
      <w:r w:rsidR="00373830">
        <w:rPr>
          <w:rFonts w:ascii="Times New Roman" w:hAnsi="Times New Roman" w:cs="Times New Roman"/>
          <w:i w:val="0"/>
          <w:sz w:val="24"/>
          <w:szCs w:val="24"/>
        </w:rPr>
        <w:t>s 3</w:t>
      </w:r>
      <w:r>
        <w:rPr>
          <w:rFonts w:ascii="Times New Roman" w:hAnsi="Times New Roman" w:cs="Times New Roman"/>
          <w:i w:val="0"/>
          <w:sz w:val="24"/>
          <w:szCs w:val="24"/>
        </w:rPr>
        <w:t>)</w:t>
      </w:r>
    </w:p>
    <w:p w14:paraId="5FE726EB" w14:textId="616720AC" w:rsidR="002A039C" w:rsidRDefault="002A039C" w:rsidP="002A039C">
      <w:pPr>
        <w:rPr>
          <w:sz w:val="20"/>
        </w:rPr>
      </w:pPr>
    </w:p>
    <w:p w14:paraId="4C5D63EA" w14:textId="77777777" w:rsidR="00542A2B" w:rsidRPr="00542A2B" w:rsidRDefault="00542A2B" w:rsidP="002A039C">
      <w:pPr>
        <w:rPr>
          <w:sz w:val="20"/>
        </w:rPr>
      </w:pPr>
    </w:p>
    <w:p w14:paraId="70505619" w14:textId="33ED7741" w:rsidR="00B63A10" w:rsidRPr="00B63A10" w:rsidRDefault="00AA02C9" w:rsidP="00AA02C9">
      <w:pPr>
        <w:spacing w:before="120" w:after="120"/>
        <w:rPr>
          <w:b/>
          <w:bCs/>
          <w:noProof/>
          <w:szCs w:val="24"/>
        </w:rPr>
      </w:pPr>
      <w:r w:rsidRPr="00AA02C9">
        <w:rPr>
          <w:b/>
          <w:bCs/>
          <w:szCs w:val="24"/>
        </w:rPr>
        <w:t xml:space="preserve">Division of </w:t>
      </w:r>
      <w:r w:rsidR="00355F8C">
        <w:rPr>
          <w:b/>
          <w:bCs/>
          <w:noProof/>
          <w:szCs w:val="24"/>
        </w:rPr>
        <w:t xml:space="preserve">Whitlam </w:t>
      </w:r>
      <w:r w:rsidRPr="00AA02C9">
        <w:rPr>
          <w:b/>
          <w:bCs/>
          <w:noProof/>
          <w:szCs w:val="24"/>
        </w:rPr>
        <w:t xml:space="preserve">– </w:t>
      </w:r>
      <w:r w:rsidR="00355F8C">
        <w:rPr>
          <w:b/>
          <w:bCs/>
          <w:noProof/>
          <w:szCs w:val="24"/>
        </w:rPr>
        <w:t xml:space="preserve">Arts and </w:t>
      </w:r>
      <w:r w:rsidR="00682051">
        <w:rPr>
          <w:b/>
          <w:bCs/>
          <w:noProof/>
          <w:szCs w:val="24"/>
        </w:rPr>
        <w:t>C</w:t>
      </w:r>
      <w:r w:rsidR="00355F8C">
        <w:rPr>
          <w:b/>
          <w:bCs/>
          <w:noProof/>
          <w:szCs w:val="24"/>
        </w:rPr>
        <w:t>ulture</w:t>
      </w:r>
    </w:p>
    <w:p w14:paraId="5503FC76" w14:textId="4B9ACE82" w:rsidR="00B63A10" w:rsidRDefault="00B63A10" w:rsidP="00AA02C9">
      <w:pPr>
        <w:spacing w:before="120" w:after="120"/>
        <w:rPr>
          <w:bCs/>
          <w:noProof/>
        </w:rPr>
      </w:pPr>
      <w:r w:rsidRPr="00B63A10">
        <w:rPr>
          <w:bCs/>
          <w:noProof/>
        </w:rPr>
        <w:t>The location of the public place</w:t>
      </w:r>
      <w:r w:rsidR="007D25AC">
        <w:rPr>
          <w:bCs/>
          <w:noProof/>
        </w:rPr>
        <w:t>s</w:t>
      </w:r>
      <w:r w:rsidRPr="00B63A10">
        <w:rPr>
          <w:bCs/>
          <w:noProof/>
        </w:rPr>
        <w:t xml:space="preserve"> </w:t>
      </w:r>
      <w:r w:rsidR="008B556F">
        <w:rPr>
          <w:bCs/>
          <w:noProof/>
        </w:rPr>
        <w:t>with the following name</w:t>
      </w:r>
      <w:r w:rsidR="007D25AC">
        <w:rPr>
          <w:bCs/>
          <w:noProof/>
        </w:rPr>
        <w:t xml:space="preserve">s </w:t>
      </w:r>
      <w:r w:rsidRPr="00B63A10">
        <w:rPr>
          <w:bCs/>
          <w:noProof/>
        </w:rPr>
        <w:t xml:space="preserve">is indicated on the associated </w:t>
      </w:r>
      <w:r w:rsidR="00B96911">
        <w:rPr>
          <w:bCs/>
          <w:noProof/>
        </w:rPr>
        <w:t>diagram</w:t>
      </w:r>
      <w:r w:rsidRPr="00B63A10">
        <w:rPr>
          <w:bCs/>
          <w:noProof/>
        </w:rPr>
        <w:t>.</w:t>
      </w:r>
      <w:r w:rsidR="00110DFF">
        <w:rPr>
          <w:bCs/>
          <w:noProof/>
        </w:rPr>
        <w:br w:type="textWrapping" w:clear="all"/>
      </w:r>
    </w:p>
    <w:tbl>
      <w:tblPr>
        <w:tblW w:w="8755" w:type="dxa"/>
        <w:tblLayout w:type="fixed"/>
        <w:tblLook w:val="0000" w:firstRow="0" w:lastRow="0" w:firstColumn="0" w:lastColumn="0" w:noHBand="0" w:noVBand="0"/>
      </w:tblPr>
      <w:tblGrid>
        <w:gridCol w:w="1384"/>
        <w:gridCol w:w="2126"/>
        <w:gridCol w:w="5245"/>
      </w:tblGrid>
      <w:tr w:rsidR="00AA02C9" w14:paraId="0035353E" w14:textId="77777777" w:rsidTr="00342518">
        <w:trPr>
          <w:cantSplit/>
        </w:trPr>
        <w:tc>
          <w:tcPr>
            <w:tcW w:w="1384" w:type="dxa"/>
            <w:tcBorders>
              <w:top w:val="nil"/>
              <w:left w:val="nil"/>
              <w:bottom w:val="nil"/>
              <w:right w:val="nil"/>
            </w:tcBorders>
          </w:tcPr>
          <w:p w14:paraId="14F90C9E" w14:textId="77777777" w:rsidR="00AA02C9" w:rsidRPr="00CE3399" w:rsidRDefault="00AA02C9" w:rsidP="007D25AC">
            <w:pPr>
              <w:pStyle w:val="Heading2"/>
              <w:spacing w:before="120" w:after="120"/>
              <w:jc w:val="left"/>
              <w:rPr>
                <w:rFonts w:ascii="Times New Roman" w:hAnsi="Times New Roman" w:cs="Times New Roman"/>
                <w:b/>
                <w:i w:val="0"/>
                <w:sz w:val="24"/>
                <w:szCs w:val="24"/>
              </w:rPr>
            </w:pPr>
            <w:r w:rsidRPr="00CE3399">
              <w:rPr>
                <w:rFonts w:ascii="Times New Roman" w:hAnsi="Times New Roman" w:cs="Times New Roman"/>
                <w:b/>
                <w:i w:val="0"/>
                <w:sz w:val="24"/>
                <w:szCs w:val="24"/>
              </w:rPr>
              <w:t>NAME</w:t>
            </w:r>
          </w:p>
        </w:tc>
        <w:tc>
          <w:tcPr>
            <w:tcW w:w="2126" w:type="dxa"/>
            <w:tcBorders>
              <w:top w:val="nil"/>
              <w:left w:val="nil"/>
              <w:bottom w:val="nil"/>
              <w:right w:val="nil"/>
            </w:tcBorders>
          </w:tcPr>
          <w:p w14:paraId="3165C365" w14:textId="77777777" w:rsidR="00AA02C9" w:rsidRPr="002929A6" w:rsidRDefault="00AA02C9" w:rsidP="002A039C">
            <w:pPr>
              <w:spacing w:before="120" w:after="120"/>
              <w:rPr>
                <w:szCs w:val="24"/>
              </w:rPr>
            </w:pPr>
            <w:r w:rsidRPr="002929A6">
              <w:rPr>
                <w:b/>
                <w:bCs/>
                <w:szCs w:val="24"/>
              </w:rPr>
              <w:t>ORIGIN</w:t>
            </w:r>
          </w:p>
        </w:tc>
        <w:tc>
          <w:tcPr>
            <w:tcW w:w="5245" w:type="dxa"/>
            <w:tcBorders>
              <w:top w:val="nil"/>
              <w:left w:val="nil"/>
              <w:bottom w:val="nil"/>
              <w:right w:val="nil"/>
            </w:tcBorders>
          </w:tcPr>
          <w:p w14:paraId="2805C3CC" w14:textId="77777777" w:rsidR="00AA02C9" w:rsidRPr="002929A6" w:rsidRDefault="00AA02C9" w:rsidP="002A039C">
            <w:pPr>
              <w:pStyle w:val="CoverActName"/>
              <w:tabs>
                <w:tab w:val="clear" w:pos="2600"/>
              </w:tabs>
              <w:spacing w:before="120" w:after="120"/>
              <w:rPr>
                <w:rFonts w:ascii="Times New Roman" w:hAnsi="Times New Roman"/>
                <w:szCs w:val="24"/>
                <w:lang w:val="en-GB"/>
              </w:rPr>
            </w:pPr>
            <w:r w:rsidRPr="002929A6">
              <w:rPr>
                <w:rFonts w:ascii="Times New Roman" w:hAnsi="Times New Roman"/>
                <w:szCs w:val="24"/>
                <w:lang w:val="en-GB"/>
              </w:rPr>
              <w:t>SIGNIFICANCE</w:t>
            </w:r>
          </w:p>
        </w:tc>
      </w:tr>
      <w:tr w:rsidR="00B74CFA" w14:paraId="5D780C84" w14:textId="77777777" w:rsidTr="00342518">
        <w:trPr>
          <w:cantSplit/>
        </w:trPr>
        <w:tc>
          <w:tcPr>
            <w:tcW w:w="1384" w:type="dxa"/>
            <w:tcBorders>
              <w:top w:val="nil"/>
              <w:left w:val="nil"/>
              <w:bottom w:val="nil"/>
              <w:right w:val="nil"/>
            </w:tcBorders>
          </w:tcPr>
          <w:p w14:paraId="2873E27E" w14:textId="3305EEDE" w:rsidR="00B74CFA" w:rsidRPr="00B74CFA" w:rsidRDefault="00B74CFA" w:rsidP="00B74CFA">
            <w:pPr>
              <w:pStyle w:val="Heading2"/>
              <w:spacing w:before="120" w:after="120"/>
              <w:jc w:val="left"/>
            </w:pPr>
            <w:r>
              <w:rPr>
                <w:rFonts w:ascii="Times New Roman" w:hAnsi="Times New Roman" w:cs="Times New Roman"/>
                <w:b/>
                <w:i w:val="0"/>
                <w:sz w:val="24"/>
                <w:szCs w:val="24"/>
              </w:rPr>
              <w:t>Apuatimi Crescent</w:t>
            </w:r>
          </w:p>
        </w:tc>
        <w:tc>
          <w:tcPr>
            <w:tcW w:w="2126" w:type="dxa"/>
            <w:tcBorders>
              <w:top w:val="nil"/>
              <w:left w:val="nil"/>
              <w:bottom w:val="nil"/>
              <w:right w:val="nil"/>
            </w:tcBorders>
          </w:tcPr>
          <w:p w14:paraId="4C433D02" w14:textId="0F750D28" w:rsidR="00B74CFA" w:rsidRPr="003A79E6" w:rsidRDefault="00B74CFA" w:rsidP="00B74CFA">
            <w:pPr>
              <w:spacing w:before="120" w:after="120"/>
              <w:rPr>
                <w:bCs/>
                <w:szCs w:val="24"/>
              </w:rPr>
            </w:pPr>
            <w:r w:rsidRPr="003A79E6">
              <w:rPr>
                <w:bCs/>
                <w:szCs w:val="24"/>
              </w:rPr>
              <w:t>Declan Apuatimi</w:t>
            </w:r>
          </w:p>
          <w:p w14:paraId="76A48A54" w14:textId="1208E9FD" w:rsidR="00542A2B" w:rsidRDefault="00B74CFA" w:rsidP="00542A2B">
            <w:pPr>
              <w:spacing w:before="120" w:after="120"/>
              <w:rPr>
                <w:bCs/>
                <w:szCs w:val="24"/>
              </w:rPr>
            </w:pPr>
            <w:r w:rsidRPr="003A79E6">
              <w:rPr>
                <w:bCs/>
                <w:szCs w:val="24"/>
              </w:rPr>
              <w:t>(</w:t>
            </w:r>
            <w:r w:rsidR="007C4FE9">
              <w:rPr>
                <w:bCs/>
                <w:szCs w:val="24"/>
              </w:rPr>
              <w:t>c.</w:t>
            </w:r>
            <w:r w:rsidRPr="003A79E6">
              <w:rPr>
                <w:bCs/>
                <w:szCs w:val="24"/>
              </w:rPr>
              <w:t>1930–1985)</w:t>
            </w:r>
          </w:p>
          <w:p w14:paraId="00C4B1BA" w14:textId="3748747F" w:rsidR="003F7E09" w:rsidRPr="00542A2B" w:rsidRDefault="003F7E09" w:rsidP="00542A2B">
            <w:pPr>
              <w:spacing w:before="120" w:after="120"/>
              <w:rPr>
                <w:b/>
                <w:bCs/>
                <w:szCs w:val="24"/>
              </w:rPr>
            </w:pPr>
          </w:p>
        </w:tc>
        <w:tc>
          <w:tcPr>
            <w:tcW w:w="5245" w:type="dxa"/>
            <w:tcBorders>
              <w:top w:val="nil"/>
              <w:left w:val="nil"/>
              <w:bottom w:val="nil"/>
              <w:right w:val="nil"/>
            </w:tcBorders>
          </w:tcPr>
          <w:p w14:paraId="747A88C5" w14:textId="50996E7A" w:rsidR="00B74CFA" w:rsidRPr="00B74CFA" w:rsidRDefault="00542A2B" w:rsidP="00B74CFA">
            <w:pPr>
              <w:spacing w:before="120" w:after="120"/>
              <w:rPr>
                <w:bCs/>
                <w:szCs w:val="24"/>
              </w:rPr>
            </w:pPr>
            <w:r>
              <w:t>A</w:t>
            </w:r>
            <w:r w:rsidR="00B74CFA" w:rsidRPr="00B74CFA">
              <w:t>rtist</w:t>
            </w:r>
            <w:r w:rsidR="00EE301C">
              <w:t>;</w:t>
            </w:r>
            <w:r w:rsidR="00B74CFA" w:rsidRPr="00B74CFA">
              <w:t xml:space="preserve"> Tiwi Islands, </w:t>
            </w:r>
            <w:r w:rsidR="00B74CFA" w:rsidRPr="00B74CFA">
              <w:rPr>
                <w:lang w:val="en-GB"/>
              </w:rPr>
              <w:t>Northern Territory</w:t>
            </w:r>
          </w:p>
          <w:p w14:paraId="14E2D7A8" w14:textId="6777A1EC" w:rsidR="00B74CFA" w:rsidRPr="00D57028" w:rsidRDefault="00B74CFA" w:rsidP="00110DFF">
            <w:pPr>
              <w:rPr>
                <w:sz w:val="12"/>
                <w:szCs w:val="12"/>
                <w:lang w:val="en-GB"/>
              </w:rPr>
            </w:pPr>
            <w:r w:rsidRPr="00110DFF">
              <w:rPr>
                <w:lang w:val="en-GB"/>
              </w:rPr>
              <w:t>Declan Apuatimi (Senior) was a respected artist and c</w:t>
            </w:r>
            <w:r w:rsidR="006E0E3C" w:rsidRPr="00110DFF">
              <w:rPr>
                <w:lang w:val="en-GB"/>
              </w:rPr>
              <w:t>eremonial</w:t>
            </w:r>
            <w:r w:rsidRPr="00110DFF">
              <w:rPr>
                <w:lang w:val="en-GB"/>
              </w:rPr>
              <w:t xml:space="preserve"> leader, recognised internationally through his art. His works include distinctive, minimally shaped carvings in ironwood. </w:t>
            </w:r>
            <w:r w:rsidR="00EE301C" w:rsidRPr="00110DFF">
              <w:t>During</w:t>
            </w:r>
            <w:r w:rsidRPr="00110DFF">
              <w:t xml:space="preserve"> 1991–1992, the N</w:t>
            </w:r>
            <w:r w:rsidR="00EE301C" w:rsidRPr="00110DFF">
              <w:t xml:space="preserve">ational Gallery of Australia </w:t>
            </w:r>
            <w:r w:rsidRPr="00110DFF">
              <w:t xml:space="preserve">purchased a collection of 72 works by the noted Tiwi artist. The ‘Declan Apuatimi Collection’ comprises bark paintings, </w:t>
            </w:r>
            <w:r w:rsidR="007C4FE9">
              <w:t>P</w:t>
            </w:r>
            <w:r w:rsidRPr="00110DFF">
              <w:t xml:space="preserve">ukumani poles, figure sculptures, bark baskets, clubs and spears. </w:t>
            </w:r>
            <w:r w:rsidR="009E2BF4">
              <w:t>In 1987, he was honoured by a</w:t>
            </w:r>
            <w:r w:rsidRPr="00110DFF">
              <w:t xml:space="preserve"> solo retrospective touring exhibition</w:t>
            </w:r>
            <w:r w:rsidR="009E2BF4">
              <w:t>,</w:t>
            </w:r>
            <w:r w:rsidRPr="00110DFF">
              <w:t xml:space="preserve"> curated by the Araluen Art Centre</w:t>
            </w:r>
            <w:r w:rsidR="009E2BF4">
              <w:t>,</w:t>
            </w:r>
            <w:r w:rsidRPr="00110DFF">
              <w:t xml:space="preserve"> Alice Springs</w:t>
            </w:r>
            <w:r w:rsidR="009E2BF4">
              <w:t>.</w:t>
            </w:r>
            <w:r w:rsidRPr="00110DFF">
              <w:t xml:space="preserve"> </w:t>
            </w:r>
            <w:r w:rsidR="0029142F">
              <w:t xml:space="preserve">During </w:t>
            </w:r>
            <w:r w:rsidR="00110DFF" w:rsidRPr="00110DFF">
              <w:t>2020</w:t>
            </w:r>
            <w:r w:rsidR="0029142F">
              <w:t>–2021</w:t>
            </w:r>
            <w:r w:rsidR="00110DFF" w:rsidRPr="00110DFF">
              <w:t xml:space="preserve">, the master carver was represented in </w:t>
            </w:r>
            <w:r w:rsidR="009E2BF4">
              <w:t>‘</w:t>
            </w:r>
            <w:r w:rsidR="00110DFF" w:rsidRPr="00110DFF">
              <w:t>TIWI’ at the National Gallery of Victoria, celebrating the</w:t>
            </w:r>
            <w:r w:rsidR="0087755B">
              <w:t xml:space="preserve"> unique </w:t>
            </w:r>
            <w:r w:rsidR="00110DFF" w:rsidRPr="00110DFF">
              <w:t>art and culture of the Tiwi people</w:t>
            </w:r>
            <w:r w:rsidR="009E2BF4">
              <w:t xml:space="preserve"> of Melville </w:t>
            </w:r>
            <w:r w:rsidR="0087755B">
              <w:t xml:space="preserve">and Bathurst </w:t>
            </w:r>
            <w:r w:rsidR="009E2BF4">
              <w:t>Islands.</w:t>
            </w:r>
            <w:r w:rsidR="00D57028">
              <w:br w:type="textWrapping" w:clear="all"/>
            </w:r>
          </w:p>
        </w:tc>
      </w:tr>
      <w:tr w:rsidR="00542A2B" w14:paraId="290AFC58" w14:textId="77777777" w:rsidTr="00342518">
        <w:trPr>
          <w:cantSplit/>
          <w:trHeight w:val="5378"/>
        </w:trPr>
        <w:tc>
          <w:tcPr>
            <w:tcW w:w="1384" w:type="dxa"/>
            <w:tcBorders>
              <w:top w:val="nil"/>
              <w:left w:val="nil"/>
              <w:bottom w:val="nil"/>
              <w:right w:val="nil"/>
            </w:tcBorders>
          </w:tcPr>
          <w:p w14:paraId="62407FD4" w14:textId="77777777" w:rsidR="00542A2B" w:rsidRDefault="00542A2B" w:rsidP="00542A2B">
            <w:pPr>
              <w:pStyle w:val="Heading2"/>
              <w:spacing w:before="120" w:after="120"/>
              <w:jc w:val="left"/>
              <w:rPr>
                <w:rFonts w:ascii="Times New Roman" w:hAnsi="Times New Roman" w:cs="Times New Roman"/>
                <w:b/>
                <w:i w:val="0"/>
                <w:sz w:val="24"/>
                <w:szCs w:val="24"/>
              </w:rPr>
            </w:pPr>
          </w:p>
        </w:tc>
        <w:tc>
          <w:tcPr>
            <w:tcW w:w="2126" w:type="dxa"/>
            <w:tcBorders>
              <w:top w:val="nil"/>
              <w:left w:val="nil"/>
              <w:bottom w:val="nil"/>
              <w:right w:val="nil"/>
            </w:tcBorders>
          </w:tcPr>
          <w:p w14:paraId="5AC3E7D4" w14:textId="77777777" w:rsidR="00542A2B" w:rsidRPr="00342518" w:rsidRDefault="00542A2B" w:rsidP="00542A2B">
            <w:pPr>
              <w:spacing w:before="120" w:after="120"/>
              <w:rPr>
                <w:bCs/>
                <w:szCs w:val="24"/>
              </w:rPr>
            </w:pPr>
            <w:r w:rsidRPr="00342518">
              <w:rPr>
                <w:bCs/>
                <w:szCs w:val="24"/>
              </w:rPr>
              <w:t>Jean Baptiste Apuatimi</w:t>
            </w:r>
          </w:p>
          <w:p w14:paraId="5F74E5D2" w14:textId="44BFA7C3" w:rsidR="00673504" w:rsidRPr="00342518" w:rsidRDefault="00542A2B" w:rsidP="00521F7C">
            <w:pPr>
              <w:spacing w:before="120" w:after="120"/>
              <w:rPr>
                <w:bCs/>
                <w:szCs w:val="24"/>
              </w:rPr>
            </w:pPr>
            <w:r w:rsidRPr="00342518">
              <w:rPr>
                <w:bCs/>
                <w:szCs w:val="24"/>
              </w:rPr>
              <w:t>(1940–2013)</w:t>
            </w:r>
          </w:p>
        </w:tc>
        <w:tc>
          <w:tcPr>
            <w:tcW w:w="5245" w:type="dxa"/>
            <w:tcBorders>
              <w:top w:val="nil"/>
              <w:left w:val="nil"/>
              <w:bottom w:val="nil"/>
              <w:right w:val="nil"/>
            </w:tcBorders>
          </w:tcPr>
          <w:p w14:paraId="3834AD55" w14:textId="7D175FB5" w:rsidR="00542A2B" w:rsidRPr="00342518" w:rsidRDefault="00542A2B" w:rsidP="00542A2B">
            <w:pPr>
              <w:spacing w:before="120" w:after="120"/>
              <w:rPr>
                <w:bCs/>
                <w:szCs w:val="24"/>
              </w:rPr>
            </w:pPr>
            <w:r w:rsidRPr="00342518">
              <w:rPr>
                <w:szCs w:val="24"/>
              </w:rPr>
              <w:t>Senior artist</w:t>
            </w:r>
            <w:r w:rsidR="00673504">
              <w:rPr>
                <w:szCs w:val="24"/>
              </w:rPr>
              <w:t>;</w:t>
            </w:r>
            <w:r w:rsidRPr="00342518">
              <w:rPr>
                <w:szCs w:val="24"/>
              </w:rPr>
              <w:t xml:space="preserve"> Tiwi Islands,</w:t>
            </w:r>
            <w:r w:rsidRPr="00342518">
              <w:rPr>
                <w:szCs w:val="24"/>
                <w:lang w:val="en-GB"/>
              </w:rPr>
              <w:t xml:space="preserve"> Northern Territory</w:t>
            </w:r>
          </w:p>
          <w:p w14:paraId="22A18228" w14:textId="7CE925D3" w:rsidR="00542A2B" w:rsidRPr="00342518" w:rsidRDefault="00542A2B" w:rsidP="00542A2B">
            <w:pPr>
              <w:spacing w:before="120" w:after="120"/>
              <w:rPr>
                <w:shd w:val="clear" w:color="auto" w:fill="FFFFFF"/>
              </w:rPr>
            </w:pPr>
            <w:r w:rsidRPr="00342518">
              <w:rPr>
                <w:szCs w:val="24"/>
                <w:lang w:val="en-GB"/>
              </w:rPr>
              <w:t xml:space="preserve">Jean Baptiste Apuatimi expressed the traditions of </w:t>
            </w:r>
            <w:r w:rsidR="00673504">
              <w:rPr>
                <w:szCs w:val="24"/>
                <w:lang w:val="en-GB"/>
              </w:rPr>
              <w:t>j</w:t>
            </w:r>
            <w:r w:rsidR="00673504" w:rsidRPr="00342518">
              <w:rPr>
                <w:szCs w:val="24"/>
                <w:lang w:val="en-GB"/>
              </w:rPr>
              <w:t>ilamara</w:t>
            </w:r>
            <w:r w:rsidRPr="00342518">
              <w:rPr>
                <w:szCs w:val="24"/>
                <w:lang w:val="en-GB"/>
              </w:rPr>
              <w:t xml:space="preserve"> (design) and family, through drawings and paintings. She e</w:t>
            </w:r>
            <w:r w:rsidRPr="00342518">
              <w:rPr>
                <w:szCs w:val="24"/>
                <w:shd w:val="clear" w:color="auto" w:fill="FFFFFF"/>
              </w:rPr>
              <w:t xml:space="preserve">merged as a prominent artist and important mentor while working at Tiwi Design art centre on Bathurst Island and </w:t>
            </w:r>
            <w:r w:rsidRPr="00342518">
              <w:rPr>
                <w:szCs w:val="24"/>
                <w:lang w:val="en-GB"/>
              </w:rPr>
              <w:t>held her first solo exhibition in 1991.</w:t>
            </w:r>
            <w:r w:rsidRPr="00342518">
              <w:rPr>
                <w:szCs w:val="24"/>
                <w:shd w:val="clear" w:color="auto" w:fill="FFFFFF"/>
              </w:rPr>
              <w:t xml:space="preserve"> </w:t>
            </w:r>
            <w:r w:rsidRPr="00342518">
              <w:rPr>
                <w:szCs w:val="24"/>
                <w:lang w:val="en-GB"/>
              </w:rPr>
              <w:t xml:space="preserve">The artist’s imagery is based around Tiwi culture and ceremony, including body paint designs, </w:t>
            </w:r>
            <w:r w:rsidR="00D00B68">
              <w:rPr>
                <w:szCs w:val="24"/>
                <w:lang w:val="en-GB"/>
              </w:rPr>
              <w:t>P</w:t>
            </w:r>
            <w:r w:rsidRPr="00342518">
              <w:rPr>
                <w:szCs w:val="24"/>
                <w:lang w:val="en-GB"/>
              </w:rPr>
              <w:t>ukumani poles and tunga (bark baskets).</w:t>
            </w:r>
            <w:r w:rsidRPr="00342518">
              <w:rPr>
                <w:szCs w:val="24"/>
              </w:rPr>
              <w:t xml:space="preserve"> </w:t>
            </w:r>
            <w:r w:rsidRPr="00342518">
              <w:rPr>
                <w:szCs w:val="24"/>
                <w:shd w:val="clear" w:color="auto" w:fill="FFFFFF"/>
              </w:rPr>
              <w:t>In 2002, she was represented in ‘</w:t>
            </w:r>
            <w:r w:rsidRPr="00342518">
              <w:rPr>
                <w:rStyle w:val="Emphasis"/>
                <w:bCs/>
                <w:i w:val="0"/>
                <w:iCs w:val="0"/>
                <w:szCs w:val="24"/>
                <w:shd w:val="clear" w:color="auto" w:fill="FFFFFF"/>
              </w:rPr>
              <w:t>Kiripuranji: Contemporary Art from the Tiwi Islands’</w:t>
            </w:r>
            <w:r w:rsidRPr="00342518">
              <w:rPr>
                <w:rStyle w:val="Emphasis"/>
                <w:bCs/>
                <w:szCs w:val="24"/>
                <w:shd w:val="clear" w:color="auto" w:fill="FFFFFF"/>
              </w:rPr>
              <w:t xml:space="preserve"> </w:t>
            </w:r>
            <w:r w:rsidRPr="00342518">
              <w:rPr>
                <w:rStyle w:val="Emphasis"/>
                <w:bCs/>
                <w:i w:val="0"/>
                <w:iCs w:val="0"/>
                <w:szCs w:val="24"/>
                <w:shd w:val="clear" w:color="auto" w:fill="FFFFFF"/>
              </w:rPr>
              <w:t>which toured overseas</w:t>
            </w:r>
            <w:r w:rsidRPr="00342518">
              <w:rPr>
                <w:rStyle w:val="Emphasis"/>
                <w:bCs/>
                <w:szCs w:val="24"/>
                <w:shd w:val="clear" w:color="auto" w:fill="FFFFFF"/>
              </w:rPr>
              <w:t>.</w:t>
            </w:r>
            <w:r w:rsidRPr="00342518">
              <w:rPr>
                <w:szCs w:val="24"/>
                <w:shd w:val="clear" w:color="auto" w:fill="FFFFFF"/>
              </w:rPr>
              <w:t xml:space="preserve"> The </w:t>
            </w:r>
            <w:r w:rsidRPr="00342518">
              <w:rPr>
                <w:szCs w:val="24"/>
                <w:lang w:val="en-GB"/>
              </w:rPr>
              <w:t xml:space="preserve">striking </w:t>
            </w:r>
            <w:r w:rsidRPr="00342518">
              <w:rPr>
                <w:szCs w:val="24"/>
              </w:rPr>
              <w:t>series of large canvases</w:t>
            </w:r>
            <w:r w:rsidRPr="00342518">
              <w:rPr>
                <w:szCs w:val="24"/>
                <w:lang w:val="en-GB"/>
              </w:rPr>
              <w:t>, including ‘Yirrikamini’</w:t>
            </w:r>
            <w:r w:rsidR="00521F7C">
              <w:rPr>
                <w:szCs w:val="24"/>
                <w:lang w:val="en-GB"/>
              </w:rPr>
              <w:t xml:space="preserve"> and </w:t>
            </w:r>
            <w:r w:rsidR="00521F7C" w:rsidRPr="00521F7C">
              <w:rPr>
                <w:szCs w:val="24"/>
                <w:lang w:val="en-GB"/>
              </w:rPr>
              <w:t>‘</w:t>
            </w:r>
            <w:r w:rsidR="00521F7C" w:rsidRPr="00521F7C">
              <w:t>Yirrikapayi</w:t>
            </w:r>
            <w:r w:rsidR="00521F7C">
              <w:rPr>
                <w:szCs w:val="24"/>
                <w:lang w:val="en-GB"/>
              </w:rPr>
              <w:t>’</w:t>
            </w:r>
            <w:r w:rsidRPr="00342518">
              <w:rPr>
                <w:szCs w:val="24"/>
                <w:lang w:val="en-GB"/>
              </w:rPr>
              <w:t xml:space="preserve">, featured in the </w:t>
            </w:r>
            <w:r w:rsidR="00521F7C">
              <w:rPr>
                <w:szCs w:val="24"/>
                <w:lang w:val="en-GB"/>
              </w:rPr>
              <w:t>i</w:t>
            </w:r>
            <w:r w:rsidRPr="00342518">
              <w:rPr>
                <w:szCs w:val="24"/>
                <w:lang w:val="en-GB"/>
              </w:rPr>
              <w:t>naugural National Indigenous Art Triennial</w:t>
            </w:r>
            <w:r w:rsidR="00521F7C">
              <w:rPr>
                <w:szCs w:val="24"/>
                <w:lang w:val="en-GB"/>
              </w:rPr>
              <w:t>, ‘Culture Warriors’</w:t>
            </w:r>
            <w:r w:rsidR="00697A6F">
              <w:rPr>
                <w:szCs w:val="24"/>
                <w:lang w:val="en-GB"/>
              </w:rPr>
              <w:t>,</w:t>
            </w:r>
            <w:r w:rsidRPr="00342518">
              <w:rPr>
                <w:szCs w:val="24"/>
                <w:lang w:val="en-GB"/>
              </w:rPr>
              <w:t xml:space="preserve"> curated by the National Gallery of Australia </w:t>
            </w:r>
            <w:r w:rsidR="00521F7C">
              <w:rPr>
                <w:szCs w:val="24"/>
                <w:lang w:val="en-GB"/>
              </w:rPr>
              <w:t>(</w:t>
            </w:r>
            <w:r w:rsidRPr="00342518">
              <w:rPr>
                <w:szCs w:val="24"/>
                <w:lang w:val="en-GB"/>
              </w:rPr>
              <w:t>2007</w:t>
            </w:r>
            <w:r w:rsidR="00521F7C">
              <w:rPr>
                <w:szCs w:val="24"/>
                <w:lang w:val="en-GB"/>
              </w:rPr>
              <w:t>)</w:t>
            </w:r>
            <w:r w:rsidRPr="00342518">
              <w:rPr>
                <w:szCs w:val="24"/>
                <w:lang w:val="en-GB"/>
              </w:rPr>
              <w:t>.</w:t>
            </w:r>
            <w:r w:rsidRPr="00342518">
              <w:rPr>
                <w:sz w:val="22"/>
                <w:szCs w:val="22"/>
                <w:lang w:val="en-GB"/>
              </w:rPr>
              <w:t xml:space="preserve"> </w:t>
            </w:r>
            <w:r w:rsidR="00673504" w:rsidRPr="00521F7C">
              <w:rPr>
                <w:szCs w:val="24"/>
                <w:lang w:val="en-GB"/>
              </w:rPr>
              <w:t>During 2021–2022, t</w:t>
            </w:r>
            <w:r w:rsidRPr="00521F7C">
              <w:rPr>
                <w:szCs w:val="24"/>
                <w:lang w:val="en-GB"/>
              </w:rPr>
              <w:t xml:space="preserve">he artist was </w:t>
            </w:r>
            <w:r w:rsidRPr="00521F7C">
              <w:rPr>
                <w:szCs w:val="24"/>
                <w:shd w:val="clear" w:color="auto" w:fill="FFFFFF"/>
              </w:rPr>
              <w:t>represented in the gallery’s comprehensive exhibition,</w:t>
            </w:r>
            <w:r w:rsidRPr="00521F7C">
              <w:rPr>
                <w:szCs w:val="24"/>
              </w:rPr>
              <w:t xml:space="preserve"> ‘</w:t>
            </w:r>
            <w:r w:rsidRPr="00521F7C">
              <w:rPr>
                <w:szCs w:val="24"/>
                <w:shd w:val="clear" w:color="auto" w:fill="FFFFFF"/>
              </w:rPr>
              <w:t>Know My Name: Australian Women Artists 1900 to Now’</w:t>
            </w:r>
            <w:r w:rsidR="00673504" w:rsidRPr="00521F7C">
              <w:rPr>
                <w:szCs w:val="24"/>
                <w:shd w:val="clear" w:color="auto" w:fill="FFFFFF"/>
              </w:rPr>
              <w:t>.</w:t>
            </w:r>
          </w:p>
        </w:tc>
      </w:tr>
    </w:tbl>
    <w:p w14:paraId="064F4758" w14:textId="77777777" w:rsidR="004C2280" w:rsidRDefault="004C2280">
      <w:r>
        <w:br w:type="page"/>
      </w:r>
    </w:p>
    <w:tbl>
      <w:tblPr>
        <w:tblW w:w="8897" w:type="dxa"/>
        <w:tblLayout w:type="fixed"/>
        <w:tblLook w:val="0000" w:firstRow="0" w:lastRow="0" w:firstColumn="0" w:lastColumn="0" w:noHBand="0" w:noVBand="0"/>
      </w:tblPr>
      <w:tblGrid>
        <w:gridCol w:w="1668"/>
        <w:gridCol w:w="2126"/>
        <w:gridCol w:w="5103"/>
      </w:tblGrid>
      <w:tr w:rsidR="007C103C" w14:paraId="5CB2E401" w14:textId="77777777" w:rsidTr="00481054">
        <w:trPr>
          <w:cantSplit/>
        </w:trPr>
        <w:tc>
          <w:tcPr>
            <w:tcW w:w="1668" w:type="dxa"/>
            <w:tcBorders>
              <w:top w:val="nil"/>
              <w:left w:val="nil"/>
              <w:bottom w:val="nil"/>
              <w:right w:val="nil"/>
            </w:tcBorders>
          </w:tcPr>
          <w:p w14:paraId="207894B2" w14:textId="6831D4DD" w:rsidR="007C103C" w:rsidRDefault="007C103C" w:rsidP="007C103C">
            <w:pPr>
              <w:pStyle w:val="Heading2"/>
              <w:spacing w:before="120" w:after="120"/>
              <w:jc w:val="left"/>
              <w:rPr>
                <w:rFonts w:ascii="Times New Roman" w:hAnsi="Times New Roman" w:cs="Times New Roman"/>
                <w:b/>
                <w:i w:val="0"/>
                <w:sz w:val="24"/>
                <w:szCs w:val="24"/>
              </w:rPr>
            </w:pPr>
          </w:p>
        </w:tc>
        <w:tc>
          <w:tcPr>
            <w:tcW w:w="2126" w:type="dxa"/>
            <w:tcBorders>
              <w:top w:val="nil"/>
              <w:left w:val="nil"/>
              <w:bottom w:val="nil"/>
              <w:right w:val="nil"/>
            </w:tcBorders>
          </w:tcPr>
          <w:p w14:paraId="136F20EC" w14:textId="77777777" w:rsidR="007C103C" w:rsidRPr="003A79E6" w:rsidRDefault="007C103C" w:rsidP="007C103C">
            <w:pPr>
              <w:spacing w:before="120" w:after="120"/>
              <w:rPr>
                <w:bCs/>
                <w:szCs w:val="24"/>
              </w:rPr>
            </w:pPr>
            <w:r w:rsidRPr="003A79E6">
              <w:rPr>
                <w:bCs/>
                <w:szCs w:val="24"/>
              </w:rPr>
              <w:t>Raphael Apuatimi OAM</w:t>
            </w:r>
          </w:p>
          <w:p w14:paraId="4CED3140" w14:textId="0B9B6672" w:rsidR="00D50231" w:rsidRPr="002929A6" w:rsidRDefault="007C103C" w:rsidP="00FC10BA">
            <w:pPr>
              <w:spacing w:before="120" w:after="120"/>
              <w:rPr>
                <w:b/>
                <w:bCs/>
                <w:szCs w:val="24"/>
              </w:rPr>
            </w:pPr>
            <w:r w:rsidRPr="003A79E6">
              <w:rPr>
                <w:bCs/>
                <w:szCs w:val="24"/>
              </w:rPr>
              <w:t>(c.1920–1988)</w:t>
            </w:r>
          </w:p>
        </w:tc>
        <w:tc>
          <w:tcPr>
            <w:tcW w:w="5103" w:type="dxa"/>
            <w:tcBorders>
              <w:top w:val="nil"/>
              <w:left w:val="nil"/>
              <w:bottom w:val="nil"/>
              <w:right w:val="nil"/>
            </w:tcBorders>
          </w:tcPr>
          <w:p w14:paraId="193B3993" w14:textId="7085F20E" w:rsidR="007C103C" w:rsidRPr="00431DB9" w:rsidRDefault="007A7BA5" w:rsidP="007A7BA5">
            <w:pPr>
              <w:pStyle w:val="CoverActName"/>
              <w:tabs>
                <w:tab w:val="clear" w:pos="2600"/>
              </w:tabs>
              <w:spacing w:before="120" w:after="120"/>
              <w:jc w:val="left"/>
              <w:rPr>
                <w:rFonts w:ascii="Times New Roman" w:hAnsi="Times New Roman"/>
                <w:b w:val="0"/>
                <w:bCs/>
                <w:szCs w:val="24"/>
                <w:lang w:val="en-GB"/>
              </w:rPr>
            </w:pPr>
            <w:r>
              <w:rPr>
                <w:rFonts w:ascii="Times New Roman" w:hAnsi="Times New Roman"/>
                <w:b w:val="0"/>
                <w:bCs/>
                <w:szCs w:val="24"/>
                <w:lang w:val="en-GB"/>
              </w:rPr>
              <w:t xml:space="preserve">Performing arts, literary arts; </w:t>
            </w:r>
            <w:r w:rsidR="00FC10BA">
              <w:rPr>
                <w:rFonts w:ascii="Times New Roman" w:hAnsi="Times New Roman"/>
                <w:b w:val="0"/>
                <w:bCs/>
                <w:szCs w:val="24"/>
                <w:lang w:val="en-GB"/>
              </w:rPr>
              <w:t xml:space="preserve">Tiwi Islands, Northern Territory </w:t>
            </w:r>
          </w:p>
          <w:p w14:paraId="4287541E" w14:textId="5F017019" w:rsidR="00D50231" w:rsidRPr="009D4E62" w:rsidRDefault="007C103C" w:rsidP="00D05E0D">
            <w:pPr>
              <w:rPr>
                <w:bCs/>
                <w:szCs w:val="24"/>
                <w:lang w:val="en-GB"/>
              </w:rPr>
            </w:pPr>
            <w:r w:rsidRPr="00B74CFA">
              <w:rPr>
                <w:lang w:val="en-GB"/>
              </w:rPr>
              <w:t xml:space="preserve">Raphael Apuatimi advocated to </w:t>
            </w:r>
            <w:r w:rsidR="00D05E0D">
              <w:rPr>
                <w:lang w:val="en-GB"/>
              </w:rPr>
              <w:t xml:space="preserve">celebrate and preserve </w:t>
            </w:r>
            <w:r w:rsidRPr="00B74CFA">
              <w:rPr>
                <w:lang w:val="en-GB"/>
              </w:rPr>
              <w:t>the culture and language of the Tiwi Islands</w:t>
            </w:r>
            <w:r w:rsidR="00291F56">
              <w:rPr>
                <w:lang w:val="en-GB"/>
              </w:rPr>
              <w:t xml:space="preserve">. </w:t>
            </w:r>
            <w:r w:rsidR="00697A6F">
              <w:rPr>
                <w:lang w:val="en-GB"/>
              </w:rPr>
              <w:t xml:space="preserve">In </w:t>
            </w:r>
            <w:r w:rsidR="000F048B">
              <w:rPr>
                <w:lang w:val="en-GB"/>
              </w:rPr>
              <w:t>1</w:t>
            </w:r>
            <w:r w:rsidR="00697A6F">
              <w:rPr>
                <w:lang w:val="en-GB"/>
              </w:rPr>
              <w:t xml:space="preserve">973, </w:t>
            </w:r>
            <w:r w:rsidR="00C71D4D">
              <w:rPr>
                <w:lang w:val="en-GB"/>
              </w:rPr>
              <w:t>Prime Minister Whitlam announce</w:t>
            </w:r>
            <w:r w:rsidR="007A7BA5">
              <w:rPr>
                <w:lang w:val="en-GB"/>
              </w:rPr>
              <w:t xml:space="preserve">d </w:t>
            </w:r>
            <w:r w:rsidR="007C4FE9">
              <w:rPr>
                <w:lang w:val="en-GB"/>
              </w:rPr>
              <w:t xml:space="preserve">the </w:t>
            </w:r>
            <w:r w:rsidR="00C71D4D">
              <w:rPr>
                <w:lang w:val="en-GB"/>
              </w:rPr>
              <w:t xml:space="preserve">appointment of Apuatimi as </w:t>
            </w:r>
            <w:r w:rsidRPr="00B74CFA">
              <w:rPr>
                <w:lang w:val="en-GB"/>
              </w:rPr>
              <w:t>a foundation member of the Aboriginal Arts Board</w:t>
            </w:r>
            <w:r w:rsidR="00697A6F">
              <w:rPr>
                <w:lang w:val="en-GB"/>
              </w:rPr>
              <w:t xml:space="preserve">, </w:t>
            </w:r>
            <w:r w:rsidR="00FC10BA" w:rsidRPr="00B74CFA">
              <w:rPr>
                <w:lang w:val="en-GB"/>
              </w:rPr>
              <w:t>Australia</w:t>
            </w:r>
            <w:r w:rsidR="00697A6F">
              <w:rPr>
                <w:lang w:val="en-GB"/>
              </w:rPr>
              <w:t>n</w:t>
            </w:r>
            <w:r w:rsidR="00FC10BA" w:rsidRPr="00B74CFA">
              <w:rPr>
                <w:lang w:val="en-GB"/>
              </w:rPr>
              <w:t xml:space="preserve"> Council</w:t>
            </w:r>
            <w:r w:rsidR="00697A6F">
              <w:rPr>
                <w:lang w:val="en-GB"/>
              </w:rPr>
              <w:t xml:space="preserve"> for the Arts</w:t>
            </w:r>
            <w:r w:rsidR="00291F56">
              <w:rPr>
                <w:lang w:val="en-GB"/>
              </w:rPr>
              <w:t xml:space="preserve">. In 1979, </w:t>
            </w:r>
            <w:r w:rsidR="00C71D4D">
              <w:rPr>
                <w:lang w:val="en-GB"/>
              </w:rPr>
              <w:t xml:space="preserve">Apuatimi </w:t>
            </w:r>
            <w:r w:rsidR="00697A6F">
              <w:rPr>
                <w:lang w:val="en-GB"/>
              </w:rPr>
              <w:t>was</w:t>
            </w:r>
            <w:r w:rsidR="00FC10BA" w:rsidRPr="00B74CFA">
              <w:rPr>
                <w:lang w:val="en-GB"/>
              </w:rPr>
              <w:t xml:space="preserve"> </w:t>
            </w:r>
            <w:r w:rsidR="00C71D4D">
              <w:rPr>
                <w:lang w:val="en-GB"/>
              </w:rPr>
              <w:t xml:space="preserve">appointed </w:t>
            </w:r>
            <w:r w:rsidRPr="00B74CFA">
              <w:rPr>
                <w:lang w:val="en-GB"/>
              </w:rPr>
              <w:t xml:space="preserve">founding chair of the </w:t>
            </w:r>
            <w:r w:rsidRPr="00B74CFA">
              <w:t>Aboriginal Sacred Sites Protection Authority (Northern Territory)</w:t>
            </w:r>
            <w:r w:rsidR="00291F56">
              <w:t>. H</w:t>
            </w:r>
            <w:r w:rsidR="00697A6F">
              <w:t xml:space="preserve">e </w:t>
            </w:r>
            <w:r w:rsidRPr="00B74CFA">
              <w:rPr>
                <w:lang w:val="en-GB"/>
              </w:rPr>
              <w:t xml:space="preserve">was awarded the Medal of the Order of Australia </w:t>
            </w:r>
            <w:r w:rsidR="00291F56">
              <w:rPr>
                <w:lang w:val="en-GB"/>
              </w:rPr>
              <w:t xml:space="preserve">in 1982 </w:t>
            </w:r>
            <w:r w:rsidRPr="00B74CFA">
              <w:rPr>
                <w:lang w:val="en-GB"/>
              </w:rPr>
              <w:t xml:space="preserve">for his service to Aboriginal culture in the field of the performing arts. </w:t>
            </w:r>
            <w:r w:rsidR="00697A6F">
              <w:rPr>
                <w:lang w:val="en-GB"/>
              </w:rPr>
              <w:t xml:space="preserve">Apuatimi </w:t>
            </w:r>
            <w:r w:rsidR="00697A6F">
              <w:rPr>
                <w:rFonts w:eastAsia="Arial Unicode MS"/>
                <w:shd w:val="clear" w:color="auto" w:fill="FFFFFF"/>
              </w:rPr>
              <w:t>co</w:t>
            </w:r>
            <w:r w:rsidR="003D5F06">
              <w:rPr>
                <w:rFonts w:eastAsia="Arial Unicode MS"/>
                <w:shd w:val="clear" w:color="auto" w:fill="FFFFFF"/>
              </w:rPr>
              <w:t xml:space="preserve">mpiled </w:t>
            </w:r>
            <w:r w:rsidR="00697A6F">
              <w:rPr>
                <w:rFonts w:eastAsia="Arial Unicode MS"/>
                <w:shd w:val="clear" w:color="auto" w:fill="FFFFFF"/>
              </w:rPr>
              <w:t xml:space="preserve">cultural </w:t>
            </w:r>
            <w:r w:rsidR="00FC10BA" w:rsidRPr="00B74CFA">
              <w:rPr>
                <w:rFonts w:eastAsia="Arial Unicode MS"/>
                <w:shd w:val="clear" w:color="auto" w:fill="FFFFFF"/>
              </w:rPr>
              <w:t>information for the publication</w:t>
            </w:r>
            <w:r w:rsidR="00697A6F">
              <w:rPr>
                <w:rFonts w:eastAsia="Arial Unicode MS"/>
                <w:shd w:val="clear" w:color="auto" w:fill="FFFFFF"/>
              </w:rPr>
              <w:t>,</w:t>
            </w:r>
            <w:r w:rsidR="00FC10BA" w:rsidRPr="00B74CFA">
              <w:rPr>
                <w:rFonts w:eastAsia="Arial Unicode MS"/>
                <w:shd w:val="clear" w:color="auto" w:fill="FFFFFF"/>
              </w:rPr>
              <w:t xml:space="preserve"> ‘Tiwi Pima Art: Bathurst and Melville Islands’</w:t>
            </w:r>
            <w:r w:rsidR="00697A6F">
              <w:rPr>
                <w:rFonts w:eastAsia="Arial Unicode MS"/>
                <w:shd w:val="clear" w:color="auto" w:fill="FFFFFF"/>
              </w:rPr>
              <w:t>,</w:t>
            </w:r>
            <w:r w:rsidR="00FC10BA" w:rsidRPr="00B74CFA">
              <w:rPr>
                <w:lang w:val="en-GB"/>
              </w:rPr>
              <w:t xml:space="preserve"> (1985)</w:t>
            </w:r>
            <w:r w:rsidR="007A7BA5">
              <w:rPr>
                <w:lang w:val="en-GB"/>
              </w:rPr>
              <w:t xml:space="preserve">; arranged </w:t>
            </w:r>
            <w:r w:rsidR="00D05E0D">
              <w:rPr>
                <w:lang w:val="en-GB"/>
              </w:rPr>
              <w:t>and performed traditional</w:t>
            </w:r>
            <w:r w:rsidR="007A7BA5">
              <w:rPr>
                <w:lang w:val="en-GB"/>
              </w:rPr>
              <w:t xml:space="preserve"> Tiwi music</w:t>
            </w:r>
            <w:r w:rsidR="00D05E0D">
              <w:rPr>
                <w:lang w:val="en-GB"/>
              </w:rPr>
              <w:t>;</w:t>
            </w:r>
            <w:r w:rsidR="007A7BA5">
              <w:rPr>
                <w:lang w:val="en-GB"/>
              </w:rPr>
              <w:t xml:space="preserve"> </w:t>
            </w:r>
            <w:r w:rsidR="00FC10BA" w:rsidRPr="00B74CFA">
              <w:rPr>
                <w:lang w:val="en-GB"/>
              </w:rPr>
              <w:t xml:space="preserve">and </w:t>
            </w:r>
            <w:r w:rsidRPr="00B74CFA">
              <w:rPr>
                <w:lang w:val="en-GB"/>
              </w:rPr>
              <w:t xml:space="preserve">worked with linguists to </w:t>
            </w:r>
            <w:r w:rsidR="000F048B">
              <w:rPr>
                <w:lang w:val="en-GB"/>
              </w:rPr>
              <w:t xml:space="preserve">record </w:t>
            </w:r>
            <w:r w:rsidRPr="00B74CFA">
              <w:rPr>
                <w:lang w:val="en-GB"/>
              </w:rPr>
              <w:t xml:space="preserve">traditional stories in </w:t>
            </w:r>
            <w:r w:rsidR="00FC10BA" w:rsidRPr="00B74CFA">
              <w:rPr>
                <w:lang w:val="en-GB"/>
              </w:rPr>
              <w:t>language</w:t>
            </w:r>
            <w:r w:rsidRPr="00B74CFA">
              <w:rPr>
                <w:lang w:val="en-GB"/>
              </w:rPr>
              <w:t xml:space="preserve">, including </w:t>
            </w:r>
            <w:r w:rsidRPr="00B74CFA">
              <w:rPr>
                <w:rFonts w:eastAsia="Arial Unicode MS"/>
                <w:lang w:eastAsia="en-AU"/>
              </w:rPr>
              <w:t>‘</w:t>
            </w:r>
            <w:r w:rsidRPr="00B74CFA">
              <w:rPr>
                <w:rFonts w:eastAsia="Arial Unicode MS"/>
                <w:shd w:val="clear" w:color="auto" w:fill="FFFFFF"/>
              </w:rPr>
              <w:t>Nginingawila yinkiti’</w:t>
            </w:r>
            <w:r w:rsidR="00291F56">
              <w:rPr>
                <w:rFonts w:eastAsia="Arial Unicode MS"/>
                <w:shd w:val="clear" w:color="auto" w:fill="FFFFFF"/>
              </w:rPr>
              <w:t>,</w:t>
            </w:r>
            <w:r w:rsidRPr="00B74CFA">
              <w:rPr>
                <w:rFonts w:eastAsia="Arial Unicode MS"/>
                <w:shd w:val="clear" w:color="auto" w:fill="FFFFFF"/>
              </w:rPr>
              <w:t xml:space="preserve"> (1986) stories from Bathurst Island about flora and fauna as sources of food</w:t>
            </w:r>
            <w:r w:rsidRPr="00B74CFA">
              <w:rPr>
                <w:lang w:val="en-GB"/>
              </w:rPr>
              <w:t xml:space="preserve">. </w:t>
            </w:r>
          </w:p>
        </w:tc>
      </w:tr>
      <w:tr w:rsidR="00536567" w14:paraId="67919BCD" w14:textId="77777777" w:rsidTr="00481054">
        <w:trPr>
          <w:cantSplit/>
        </w:trPr>
        <w:tc>
          <w:tcPr>
            <w:tcW w:w="1668" w:type="dxa"/>
            <w:tcBorders>
              <w:top w:val="nil"/>
              <w:left w:val="nil"/>
              <w:bottom w:val="nil"/>
              <w:right w:val="nil"/>
            </w:tcBorders>
          </w:tcPr>
          <w:p w14:paraId="62B331A1" w14:textId="34B8B002" w:rsidR="007C103C" w:rsidRPr="004A3892" w:rsidRDefault="007C103C" w:rsidP="007C103C">
            <w:pPr>
              <w:pStyle w:val="Heading2"/>
              <w:spacing w:before="120" w:after="120"/>
              <w:jc w:val="left"/>
              <w:rPr>
                <w:rFonts w:ascii="Times New Roman" w:hAnsi="Times New Roman" w:cs="Times New Roman"/>
                <w:b/>
                <w:bCs/>
                <w:i w:val="0"/>
                <w:iCs w:val="0"/>
                <w:sz w:val="24"/>
                <w:szCs w:val="24"/>
              </w:rPr>
            </w:pPr>
            <w:r w:rsidRPr="004A3892">
              <w:rPr>
                <w:rFonts w:ascii="Times New Roman" w:hAnsi="Times New Roman" w:cs="Times New Roman"/>
                <w:b/>
                <w:bCs/>
                <w:i w:val="0"/>
                <w:iCs w:val="0"/>
                <w:sz w:val="24"/>
                <w:szCs w:val="24"/>
              </w:rPr>
              <w:t xml:space="preserve">Argonaut </w:t>
            </w:r>
            <w:r w:rsidR="004A3892" w:rsidRPr="004A3892">
              <w:rPr>
                <w:rFonts w:ascii="Times New Roman" w:hAnsi="Times New Roman" w:cs="Times New Roman"/>
                <w:b/>
                <w:bCs/>
                <w:i w:val="0"/>
                <w:iCs w:val="0"/>
                <w:sz w:val="24"/>
                <w:szCs w:val="24"/>
              </w:rPr>
              <w:t>Street</w:t>
            </w:r>
          </w:p>
          <w:p w14:paraId="5D5F29F4" w14:textId="66193229" w:rsidR="00536567" w:rsidRDefault="00536567" w:rsidP="004A3892">
            <w:pPr>
              <w:pStyle w:val="Heading2"/>
              <w:spacing w:before="120" w:after="120"/>
              <w:jc w:val="left"/>
              <w:rPr>
                <w:rFonts w:ascii="Times New Roman" w:hAnsi="Times New Roman" w:cs="Times New Roman"/>
                <w:b/>
                <w:i w:val="0"/>
                <w:sz w:val="24"/>
                <w:szCs w:val="24"/>
              </w:rPr>
            </w:pPr>
          </w:p>
        </w:tc>
        <w:tc>
          <w:tcPr>
            <w:tcW w:w="2126" w:type="dxa"/>
            <w:tcBorders>
              <w:top w:val="nil"/>
              <w:left w:val="nil"/>
              <w:bottom w:val="nil"/>
              <w:right w:val="nil"/>
            </w:tcBorders>
          </w:tcPr>
          <w:p w14:paraId="58122AAC" w14:textId="68C1BEE8" w:rsidR="007C103C" w:rsidRPr="00C34B43" w:rsidRDefault="008C04F8" w:rsidP="007C103C">
            <w:pPr>
              <w:spacing w:before="120" w:after="120"/>
              <w:rPr>
                <w:szCs w:val="24"/>
              </w:rPr>
            </w:pPr>
            <w:r>
              <w:rPr>
                <w:szCs w:val="24"/>
              </w:rPr>
              <w:t xml:space="preserve">The </w:t>
            </w:r>
            <w:r w:rsidR="007C103C" w:rsidRPr="00C34B43">
              <w:rPr>
                <w:szCs w:val="24"/>
              </w:rPr>
              <w:t>Argonauts Club</w:t>
            </w:r>
          </w:p>
          <w:p w14:paraId="4BFBE3D2" w14:textId="77777777" w:rsidR="007C103C" w:rsidRDefault="007C103C" w:rsidP="007C103C">
            <w:pPr>
              <w:spacing w:before="120" w:after="120"/>
              <w:rPr>
                <w:szCs w:val="24"/>
              </w:rPr>
            </w:pPr>
            <w:r>
              <w:rPr>
                <w:szCs w:val="24"/>
              </w:rPr>
              <w:t xml:space="preserve">Radio programs, Children’s Hour; </w:t>
            </w:r>
            <w:r>
              <w:rPr>
                <w:szCs w:val="24"/>
              </w:rPr>
              <w:br w:type="textWrapping" w:clear="all"/>
              <w:t>Children’s Session; Young World</w:t>
            </w:r>
          </w:p>
          <w:p w14:paraId="26D967E8" w14:textId="276E06D3" w:rsidR="00536567" w:rsidRPr="003A79E6" w:rsidRDefault="007C103C" w:rsidP="00C63568">
            <w:pPr>
              <w:spacing w:before="120" w:after="120"/>
              <w:rPr>
                <w:bCs/>
                <w:szCs w:val="24"/>
              </w:rPr>
            </w:pPr>
            <w:r>
              <w:rPr>
                <w:szCs w:val="24"/>
              </w:rPr>
              <w:t>(f</w:t>
            </w:r>
            <w:r w:rsidRPr="00C34B43">
              <w:rPr>
                <w:szCs w:val="24"/>
              </w:rPr>
              <w:t>l. 1941–197</w:t>
            </w:r>
            <w:r w:rsidR="00C63568">
              <w:rPr>
                <w:szCs w:val="24"/>
              </w:rPr>
              <w:t>2</w:t>
            </w:r>
            <w:r w:rsidRPr="00C34B43">
              <w:rPr>
                <w:szCs w:val="24"/>
              </w:rPr>
              <w:t>)</w:t>
            </w:r>
          </w:p>
        </w:tc>
        <w:tc>
          <w:tcPr>
            <w:tcW w:w="5103" w:type="dxa"/>
            <w:tcBorders>
              <w:top w:val="nil"/>
              <w:left w:val="nil"/>
              <w:bottom w:val="nil"/>
              <w:right w:val="nil"/>
            </w:tcBorders>
          </w:tcPr>
          <w:p w14:paraId="4C60B873" w14:textId="0B6095D7" w:rsidR="00481054" w:rsidRPr="00203BEF" w:rsidRDefault="005C5CEF" w:rsidP="00481054">
            <w:pPr>
              <w:pStyle w:val="CoverActName"/>
              <w:spacing w:before="120" w:after="120"/>
              <w:rPr>
                <w:rFonts w:ascii="Times New Roman" w:hAnsi="Times New Roman"/>
                <w:b w:val="0"/>
                <w:szCs w:val="24"/>
                <w:lang w:val="en-GB"/>
              </w:rPr>
            </w:pPr>
            <w:r w:rsidRPr="00203BEF">
              <w:rPr>
                <w:rFonts w:ascii="Times New Roman" w:hAnsi="Times New Roman"/>
                <w:b w:val="0"/>
                <w:szCs w:val="24"/>
                <w:shd w:val="clear" w:color="auto" w:fill="FFFFFF"/>
              </w:rPr>
              <w:t>B</w:t>
            </w:r>
            <w:r w:rsidR="00481054" w:rsidRPr="00203BEF">
              <w:rPr>
                <w:rFonts w:ascii="Times New Roman" w:hAnsi="Times New Roman"/>
                <w:b w:val="0"/>
                <w:szCs w:val="24"/>
                <w:shd w:val="clear" w:color="auto" w:fill="FFFFFF"/>
              </w:rPr>
              <w:t>roadcasting</w:t>
            </w:r>
          </w:p>
          <w:p w14:paraId="7D740931" w14:textId="2C706B8D" w:rsidR="008C04F8" w:rsidRPr="00C63568" w:rsidRDefault="00481054" w:rsidP="00C63568">
            <w:pPr>
              <w:rPr>
                <w:b/>
                <w:lang w:val="en-GB"/>
              </w:rPr>
            </w:pPr>
            <w:r w:rsidRPr="00C63568">
              <w:rPr>
                <w:lang w:val="en-GB"/>
              </w:rPr>
              <w:t>The</w:t>
            </w:r>
            <w:r w:rsidRPr="00C63568">
              <w:rPr>
                <w:i/>
                <w:iCs/>
                <w:lang w:val="en-GB"/>
              </w:rPr>
              <w:t xml:space="preserve"> </w:t>
            </w:r>
            <w:r w:rsidRPr="00C63568">
              <w:rPr>
                <w:lang w:val="en-GB"/>
              </w:rPr>
              <w:t>Argonauts Club</w:t>
            </w:r>
            <w:r w:rsidRPr="00C63568">
              <w:rPr>
                <w:i/>
                <w:iCs/>
                <w:lang w:val="en-GB"/>
              </w:rPr>
              <w:t xml:space="preserve"> </w:t>
            </w:r>
            <w:r w:rsidRPr="00C63568">
              <w:rPr>
                <w:lang w:val="en-GB"/>
              </w:rPr>
              <w:t xml:space="preserve">was a popular long-running radio session designed to </w:t>
            </w:r>
            <w:r w:rsidRPr="00C63568">
              <w:rPr>
                <w:shd w:val="clear" w:color="auto" w:fill="FFFFFF"/>
              </w:rPr>
              <w:t xml:space="preserve">interest children aged </w:t>
            </w:r>
            <w:r w:rsidR="0034083A" w:rsidRPr="00C63568">
              <w:rPr>
                <w:shd w:val="clear" w:color="auto" w:fill="FFFFFF"/>
              </w:rPr>
              <w:t>seven</w:t>
            </w:r>
            <w:r w:rsidRPr="00C63568">
              <w:rPr>
                <w:shd w:val="clear" w:color="auto" w:fill="FFFFFF"/>
              </w:rPr>
              <w:t xml:space="preserve"> to 17 years in literature, art, </w:t>
            </w:r>
            <w:r w:rsidR="00C63568">
              <w:rPr>
                <w:shd w:val="clear" w:color="auto" w:fill="FFFFFF"/>
              </w:rPr>
              <w:t xml:space="preserve">music and natural </w:t>
            </w:r>
            <w:r w:rsidR="0034083A" w:rsidRPr="00C63568">
              <w:rPr>
                <w:shd w:val="clear" w:color="auto" w:fill="FFFFFF"/>
              </w:rPr>
              <w:t>science</w:t>
            </w:r>
            <w:r w:rsidR="00F25C87" w:rsidRPr="00C63568">
              <w:rPr>
                <w:shd w:val="clear" w:color="auto" w:fill="FFFFFF"/>
              </w:rPr>
              <w:t>,</w:t>
            </w:r>
            <w:r w:rsidRPr="00C63568">
              <w:rPr>
                <w:shd w:val="clear" w:color="auto" w:fill="FFFFFF"/>
              </w:rPr>
              <w:t xml:space="preserve"> </w:t>
            </w:r>
            <w:r w:rsidRPr="00C63568">
              <w:rPr>
                <w:lang w:val="en-GB"/>
              </w:rPr>
              <w:t xml:space="preserve">and encourage creativity. </w:t>
            </w:r>
            <w:r w:rsidR="00C63568">
              <w:rPr>
                <w:lang w:val="en-GB"/>
              </w:rPr>
              <w:t>The program</w:t>
            </w:r>
            <w:r w:rsidRPr="00C63568">
              <w:rPr>
                <w:lang w:val="en-GB"/>
              </w:rPr>
              <w:t xml:space="preserve"> was broadcast regularly by the Australian Broadcasting Commission (ABC) from January 1941 </w:t>
            </w:r>
            <w:r w:rsidR="008C04F8" w:rsidRPr="00C63568">
              <w:rPr>
                <w:lang w:val="en-GB"/>
              </w:rPr>
              <w:t>dur</w:t>
            </w:r>
            <w:r w:rsidR="00C37767" w:rsidRPr="00C63568">
              <w:rPr>
                <w:lang w:val="en-GB"/>
              </w:rPr>
              <w:t>i</w:t>
            </w:r>
            <w:r w:rsidR="008C04F8" w:rsidRPr="00C63568">
              <w:rPr>
                <w:lang w:val="en-GB"/>
              </w:rPr>
              <w:t xml:space="preserve">ng </w:t>
            </w:r>
            <w:r w:rsidRPr="00C63568">
              <w:rPr>
                <w:lang w:val="en-GB"/>
              </w:rPr>
              <w:t>the national Children’s Session. Elizabeth Osbourne, known as ‘Argo 1’, was the founding compere during the 1940s</w:t>
            </w:r>
            <w:r w:rsidRPr="00C63568">
              <w:rPr>
                <w:i/>
                <w:iCs/>
                <w:lang w:val="en-GB"/>
              </w:rPr>
              <w:t xml:space="preserve">. </w:t>
            </w:r>
            <w:r w:rsidRPr="00C63568">
              <w:rPr>
                <w:lang w:eastAsia="en-AU"/>
              </w:rPr>
              <w:t xml:space="preserve">Children could </w:t>
            </w:r>
            <w:r w:rsidR="008C04F8" w:rsidRPr="00C63568">
              <w:rPr>
                <w:lang w:eastAsia="en-AU"/>
              </w:rPr>
              <w:t>join</w:t>
            </w:r>
            <w:r w:rsidRPr="00C63568">
              <w:rPr>
                <w:lang w:eastAsia="en-AU"/>
              </w:rPr>
              <w:t xml:space="preserve"> the Argonauts ‘band of happy rowers’ and search for the ‘Golden Fleece’ of knowledge by contributing stories, poems and music which were presented on air. Each member was given the Argonauts pledge and badge and assigned a ship name and number, with names drawn from Greek mythology.</w:t>
            </w:r>
            <w:r w:rsidRPr="00C63568">
              <w:rPr>
                <w:lang w:val="en-GB"/>
              </w:rPr>
              <w:t xml:space="preserve"> At one stage,</w:t>
            </w:r>
            <w:r w:rsidRPr="00C63568">
              <w:t xml:space="preserve"> the club had an estimated membership of 50,000. </w:t>
            </w:r>
            <w:r w:rsidRPr="00C63568">
              <w:rPr>
                <w:lang w:val="en-GB"/>
              </w:rPr>
              <w:t>During 1970–1971, the ABC changed the format of its radio programs for young people</w:t>
            </w:r>
            <w:r w:rsidR="008C04F8" w:rsidRPr="00C63568">
              <w:rPr>
                <w:lang w:val="en-GB"/>
              </w:rPr>
              <w:t>.</w:t>
            </w:r>
            <w:r w:rsidRPr="00C63568">
              <w:rPr>
                <w:lang w:val="en-GB"/>
              </w:rPr>
              <w:t xml:space="preserve"> An extended Argonauts Club segment was introduced on Sunday afternoons, including ‘Topic of the Week’, suggested and debated by club members. The broadcasting of the Argonauts Club </w:t>
            </w:r>
            <w:r w:rsidR="008C04F8" w:rsidRPr="00C63568">
              <w:rPr>
                <w:lang w:val="en-GB"/>
              </w:rPr>
              <w:t xml:space="preserve">ended </w:t>
            </w:r>
            <w:r w:rsidRPr="00C63568">
              <w:rPr>
                <w:lang w:val="en-GB"/>
              </w:rPr>
              <w:t>in 1972. In 1982, the ABC published ‘Good Rowing!’ by Ida Elizabeth Jenkins (Elizabeth Osbourne) subtitled, ‘A Reminiscence about the ABC Children’s Session and The Argonauts’</w:t>
            </w:r>
            <w:r w:rsidR="00342518" w:rsidRPr="00C63568">
              <w:rPr>
                <w:lang w:val="en-GB"/>
              </w:rPr>
              <w:t>.</w:t>
            </w:r>
          </w:p>
        </w:tc>
      </w:tr>
      <w:tr w:rsidR="00CA74D5" w14:paraId="2F59B5AB" w14:textId="77777777" w:rsidTr="00481054">
        <w:trPr>
          <w:cantSplit/>
          <w:trHeight w:val="8931"/>
        </w:trPr>
        <w:tc>
          <w:tcPr>
            <w:tcW w:w="1668" w:type="dxa"/>
            <w:tcBorders>
              <w:top w:val="nil"/>
              <w:left w:val="nil"/>
              <w:bottom w:val="nil"/>
              <w:right w:val="nil"/>
            </w:tcBorders>
          </w:tcPr>
          <w:p w14:paraId="60C8B7F4" w14:textId="00D19E72" w:rsidR="00166FDC" w:rsidRPr="007D00BE" w:rsidRDefault="00CA74D5" w:rsidP="00C63568">
            <w:pPr>
              <w:pStyle w:val="Heading2"/>
              <w:spacing w:before="120" w:after="120"/>
              <w:jc w:val="left"/>
              <w:rPr>
                <w:szCs w:val="24"/>
              </w:rPr>
            </w:pPr>
            <w:r w:rsidRPr="00DF09D7">
              <w:rPr>
                <w:rFonts w:ascii="Times New Roman" w:hAnsi="Times New Roman" w:cs="Times New Roman"/>
                <w:b/>
                <w:bCs/>
                <w:i w:val="0"/>
                <w:iCs w:val="0"/>
                <w:sz w:val="24"/>
                <w:szCs w:val="24"/>
              </w:rPr>
              <w:lastRenderedPageBreak/>
              <w:t xml:space="preserve">Axelrad Street </w:t>
            </w:r>
          </w:p>
        </w:tc>
        <w:tc>
          <w:tcPr>
            <w:tcW w:w="2126" w:type="dxa"/>
            <w:tcBorders>
              <w:top w:val="nil"/>
              <w:left w:val="nil"/>
              <w:bottom w:val="nil"/>
              <w:right w:val="nil"/>
            </w:tcBorders>
          </w:tcPr>
          <w:p w14:paraId="75DCA19B" w14:textId="77777777" w:rsidR="00CA74D5" w:rsidRPr="007D00BE" w:rsidRDefault="00CA74D5" w:rsidP="00421102">
            <w:pPr>
              <w:spacing w:before="120" w:after="120"/>
              <w:rPr>
                <w:color w:val="000000"/>
                <w:szCs w:val="24"/>
                <w:shd w:val="clear" w:color="auto" w:fill="FFFFFF"/>
              </w:rPr>
            </w:pPr>
            <w:r w:rsidRPr="007D00BE">
              <w:rPr>
                <w:color w:val="000000"/>
                <w:szCs w:val="24"/>
                <w:shd w:val="clear" w:color="auto" w:fill="FFFFFF"/>
              </w:rPr>
              <w:t>Werner Heinz Harald (Axel) Axelrad</w:t>
            </w:r>
          </w:p>
          <w:p w14:paraId="0F45E555" w14:textId="18477985" w:rsidR="00BF5321" w:rsidRPr="00990664" w:rsidRDefault="00CA74D5" w:rsidP="00342518">
            <w:pPr>
              <w:spacing w:before="120" w:after="120"/>
              <w:rPr>
                <w:szCs w:val="24"/>
              </w:rPr>
            </w:pPr>
            <w:r w:rsidRPr="007D00BE">
              <w:rPr>
                <w:color w:val="000000"/>
                <w:szCs w:val="24"/>
                <w:shd w:val="clear" w:color="auto" w:fill="FFFFFF"/>
              </w:rPr>
              <w:t>(1919–2018)</w:t>
            </w:r>
          </w:p>
        </w:tc>
        <w:tc>
          <w:tcPr>
            <w:tcW w:w="5103" w:type="dxa"/>
            <w:tcBorders>
              <w:top w:val="nil"/>
              <w:left w:val="nil"/>
              <w:right w:val="nil"/>
            </w:tcBorders>
          </w:tcPr>
          <w:p w14:paraId="6F828E2E" w14:textId="77777777" w:rsidR="00CC0D7A" w:rsidRPr="00CC0D7A" w:rsidRDefault="00CC0D7A" w:rsidP="00CC0D7A">
            <w:pPr>
              <w:pStyle w:val="CoverActName"/>
              <w:spacing w:before="120" w:after="120"/>
              <w:rPr>
                <w:rFonts w:ascii="Times New Roman" w:hAnsi="Times New Roman"/>
                <w:b w:val="0"/>
                <w:color w:val="0A1633"/>
                <w:szCs w:val="24"/>
                <w:shd w:val="clear" w:color="auto" w:fill="FFFFFF"/>
              </w:rPr>
            </w:pPr>
            <w:r w:rsidRPr="00CC0D7A">
              <w:rPr>
                <w:rFonts w:ascii="Times New Roman" w:hAnsi="Times New Roman"/>
                <w:b w:val="0"/>
                <w:color w:val="0A1633"/>
                <w:szCs w:val="24"/>
                <w:shd w:val="clear" w:color="auto" w:fill="FFFFFF"/>
              </w:rPr>
              <w:t>Puppet maker and designer, performing arts</w:t>
            </w:r>
          </w:p>
          <w:p w14:paraId="30342F7A" w14:textId="53B8D2C9" w:rsidR="00A378B7" w:rsidRDefault="00CC0D7A" w:rsidP="00CC0D7A">
            <w:pPr>
              <w:pStyle w:val="CoverActName"/>
              <w:spacing w:before="120" w:after="120"/>
              <w:jc w:val="left"/>
              <w:rPr>
                <w:rFonts w:ascii="Times New Roman" w:hAnsi="Times New Roman"/>
                <w:b w:val="0"/>
                <w:color w:val="0A1633"/>
                <w:szCs w:val="24"/>
                <w:shd w:val="clear" w:color="auto" w:fill="FFFFFF"/>
              </w:rPr>
            </w:pPr>
            <w:r w:rsidRPr="00C63568">
              <w:rPr>
                <w:rFonts w:ascii="Times New Roman" w:hAnsi="Times New Roman"/>
                <w:b w:val="0"/>
                <w:bCs/>
              </w:rPr>
              <w:t>Born in Germany, Axel Axelrad was interested in the art of making and designing puppets from a young age. In 1950</w:t>
            </w:r>
            <w:r w:rsidR="004C2280" w:rsidRPr="00C63568">
              <w:rPr>
                <w:rFonts w:ascii="Times New Roman" w:hAnsi="Times New Roman"/>
                <w:b w:val="0"/>
                <w:bCs/>
              </w:rPr>
              <w:t>,</w:t>
            </w:r>
            <w:r w:rsidRPr="00C63568">
              <w:rPr>
                <w:rFonts w:ascii="Times New Roman" w:hAnsi="Times New Roman"/>
                <w:b w:val="0"/>
                <w:bCs/>
              </w:rPr>
              <w:t xml:space="preserve"> he migrated from London to Australia to work as a licensed aircraft engineer</w:t>
            </w:r>
            <w:r w:rsidR="004C2280" w:rsidRPr="00C63568">
              <w:rPr>
                <w:rFonts w:ascii="Times New Roman" w:hAnsi="Times New Roman"/>
                <w:b w:val="0"/>
                <w:bCs/>
              </w:rPr>
              <w:t xml:space="preserve">. He </w:t>
            </w:r>
            <w:r w:rsidRPr="00C63568">
              <w:rPr>
                <w:rFonts w:ascii="Times New Roman" w:hAnsi="Times New Roman"/>
                <w:b w:val="0"/>
                <w:bCs/>
              </w:rPr>
              <w:t>established Lamont Puppets with his wife, Janet Lamont, making puppets in his spare time. Recognised for his ingenuity</w:t>
            </w:r>
            <w:r w:rsidRPr="00E87DCA">
              <w:rPr>
                <w:rFonts w:ascii="Times New Roman" w:hAnsi="Times New Roman"/>
                <w:b w:val="0"/>
                <w:bCs/>
              </w:rPr>
              <w:t xml:space="preserve"> and creativity, Axelrad soon focused on designing and making puppets fulltime</w:t>
            </w:r>
            <w:r w:rsidR="004C2280">
              <w:rPr>
                <w:rFonts w:ascii="Times New Roman" w:hAnsi="Times New Roman"/>
                <w:b w:val="0"/>
                <w:bCs/>
              </w:rPr>
              <w:t>. He</w:t>
            </w:r>
            <w:r w:rsidRPr="00E87DCA">
              <w:rPr>
                <w:rFonts w:ascii="Times New Roman" w:hAnsi="Times New Roman"/>
                <w:b w:val="0"/>
                <w:bCs/>
              </w:rPr>
              <w:t xml:space="preserve"> created rod puppets, hand puppets</w:t>
            </w:r>
            <w:r w:rsidR="004C2280">
              <w:rPr>
                <w:rFonts w:ascii="Times New Roman" w:hAnsi="Times New Roman"/>
                <w:b w:val="0"/>
                <w:bCs/>
              </w:rPr>
              <w:t xml:space="preserve"> and</w:t>
            </w:r>
            <w:r w:rsidRPr="00E87DCA">
              <w:rPr>
                <w:rFonts w:ascii="Times New Roman" w:hAnsi="Times New Roman"/>
                <w:b w:val="0"/>
                <w:bCs/>
              </w:rPr>
              <w:t xml:space="preserve"> marionettes and a range of kits and puppet stages. His puppets appeared in theatre productions and popular Australian television programs</w:t>
            </w:r>
            <w:r w:rsidR="004C2280">
              <w:rPr>
                <w:rFonts w:ascii="Times New Roman" w:hAnsi="Times New Roman"/>
                <w:b w:val="0"/>
                <w:bCs/>
              </w:rPr>
              <w:t xml:space="preserve">, </w:t>
            </w:r>
            <w:r w:rsidRPr="00E87DCA">
              <w:rPr>
                <w:rFonts w:ascii="Times New Roman" w:hAnsi="Times New Roman"/>
                <w:b w:val="0"/>
                <w:bCs/>
              </w:rPr>
              <w:t>including ‘Magic Circle Club’, ‘Adventure Island' and ‘Hey</w:t>
            </w:r>
            <w:r w:rsidR="004B5D82">
              <w:rPr>
                <w:rFonts w:ascii="Times New Roman" w:hAnsi="Times New Roman"/>
                <w:b w:val="0"/>
                <w:bCs/>
              </w:rPr>
              <w:t xml:space="preserve"> </w:t>
            </w:r>
            <w:r w:rsidRPr="00E87DCA">
              <w:rPr>
                <w:rFonts w:ascii="Times New Roman" w:hAnsi="Times New Roman"/>
                <w:b w:val="0"/>
                <w:bCs/>
              </w:rPr>
              <w:t>Hey It's Saturday’, featuring ‘Ossie Ostrich’. One puppet</w:t>
            </w:r>
            <w:r w:rsidR="004C2280">
              <w:rPr>
                <w:rFonts w:ascii="Times New Roman" w:hAnsi="Times New Roman"/>
                <w:b w:val="0"/>
                <w:bCs/>
              </w:rPr>
              <w:t xml:space="preserve"> </w:t>
            </w:r>
            <w:r w:rsidRPr="00E87DCA">
              <w:rPr>
                <w:rFonts w:ascii="Times New Roman" w:hAnsi="Times New Roman"/>
                <w:b w:val="0"/>
                <w:bCs/>
              </w:rPr>
              <w:t>designed for children was awarded a ‘Good Design’ label by the Industrial Design Council of Australia. In 1974</w:t>
            </w:r>
            <w:r w:rsidR="004C2280">
              <w:rPr>
                <w:rFonts w:ascii="Times New Roman" w:hAnsi="Times New Roman"/>
                <w:b w:val="0"/>
                <w:bCs/>
              </w:rPr>
              <w:t>,</w:t>
            </w:r>
            <w:r w:rsidRPr="00E87DCA">
              <w:rPr>
                <w:rFonts w:ascii="Times New Roman" w:hAnsi="Times New Roman"/>
                <w:b w:val="0"/>
                <w:bCs/>
              </w:rPr>
              <w:t xml:space="preserve"> Lamont Puppets exhibited at ‘Good Design for the Child’, hosted by the International Design Centre in Germany. Axelrad advocated for puppetry to be suitably recognised as an art form and was a member of the Australian Puppetry Guild (Victoria) and UNIMA (Union Internationale de la Marionnette). He taught workshops and lectured in schools and universities. </w:t>
            </w:r>
            <w:r w:rsidR="00C63568">
              <w:rPr>
                <w:rFonts w:ascii="Times New Roman" w:hAnsi="Times New Roman"/>
                <w:b w:val="0"/>
                <w:bCs/>
              </w:rPr>
              <w:t>Axelrad</w:t>
            </w:r>
            <w:r w:rsidRPr="00E87DCA">
              <w:rPr>
                <w:rFonts w:ascii="Times New Roman" w:hAnsi="Times New Roman"/>
                <w:b w:val="0"/>
                <w:bCs/>
              </w:rPr>
              <w:t xml:space="preserve"> was president of UNIMA Centre Australia during 1987–1992 and in 2002, received the UNIMA Australia Lifetime Achievement Award. His publications include ‘Making Rod &amp; Hand Puppets’ (1996).</w:t>
            </w:r>
            <w:r w:rsidR="00821453" w:rsidRPr="001A2F1C">
              <w:rPr>
                <w:rFonts w:ascii="Times New Roman" w:hAnsi="Times New Roman"/>
                <w:b w:val="0"/>
                <w:color w:val="0A1633"/>
                <w:szCs w:val="24"/>
                <w:shd w:val="clear" w:color="auto" w:fill="FFFFFF"/>
              </w:rPr>
              <w:t xml:space="preserve"> </w:t>
            </w:r>
          </w:p>
          <w:p w14:paraId="077BB19E" w14:textId="6BAEE92C" w:rsidR="0034083A" w:rsidRPr="001A2F1C" w:rsidRDefault="0034083A" w:rsidP="00CC0D7A">
            <w:pPr>
              <w:pStyle w:val="CoverActName"/>
              <w:spacing w:before="120" w:after="120"/>
              <w:jc w:val="left"/>
              <w:rPr>
                <w:rFonts w:ascii="Times New Roman" w:hAnsi="Times New Roman"/>
                <w:b w:val="0"/>
                <w:szCs w:val="24"/>
                <w:shd w:val="clear" w:color="auto" w:fill="FFFFFF"/>
              </w:rPr>
            </w:pPr>
          </w:p>
        </w:tc>
      </w:tr>
    </w:tbl>
    <w:p w14:paraId="60CD850A" w14:textId="77777777" w:rsidR="00481054" w:rsidRDefault="00481054">
      <w:r>
        <w:rPr>
          <w:i/>
          <w:iCs/>
        </w:rPr>
        <w:br w:type="page"/>
      </w:r>
    </w:p>
    <w:tbl>
      <w:tblPr>
        <w:tblW w:w="8897" w:type="dxa"/>
        <w:tblLayout w:type="fixed"/>
        <w:tblLook w:val="0000" w:firstRow="0" w:lastRow="0" w:firstColumn="0" w:lastColumn="0" w:noHBand="0" w:noVBand="0"/>
      </w:tblPr>
      <w:tblGrid>
        <w:gridCol w:w="1668"/>
        <w:gridCol w:w="2268"/>
        <w:gridCol w:w="4961"/>
      </w:tblGrid>
      <w:tr w:rsidR="00421102" w14:paraId="1ECCF6C8" w14:textId="77777777" w:rsidTr="00342518">
        <w:trPr>
          <w:cantSplit/>
        </w:trPr>
        <w:tc>
          <w:tcPr>
            <w:tcW w:w="1668" w:type="dxa"/>
            <w:tcBorders>
              <w:top w:val="nil"/>
              <w:left w:val="nil"/>
              <w:bottom w:val="nil"/>
              <w:right w:val="nil"/>
            </w:tcBorders>
          </w:tcPr>
          <w:p w14:paraId="14482D9E" w14:textId="7C88751B" w:rsidR="00421102" w:rsidRPr="00355F8C" w:rsidRDefault="00421102" w:rsidP="00737376">
            <w:pPr>
              <w:pStyle w:val="Heading2"/>
              <w:spacing w:before="120" w:after="120"/>
              <w:jc w:val="left"/>
            </w:pPr>
            <w:bookmarkStart w:id="2" w:name="_Hlk109918391"/>
            <w:r>
              <w:rPr>
                <w:rFonts w:ascii="Times New Roman" w:hAnsi="Times New Roman" w:cs="Times New Roman"/>
                <w:b/>
                <w:i w:val="0"/>
                <w:sz w:val="24"/>
                <w:szCs w:val="24"/>
              </w:rPr>
              <w:lastRenderedPageBreak/>
              <w:t xml:space="preserve">Ker Wilson </w:t>
            </w:r>
            <w:r w:rsidR="00C24BFF">
              <w:rPr>
                <w:rFonts w:ascii="Times New Roman" w:hAnsi="Times New Roman" w:cs="Times New Roman"/>
                <w:b/>
                <w:i w:val="0"/>
                <w:sz w:val="24"/>
                <w:szCs w:val="24"/>
              </w:rPr>
              <w:t>Way</w:t>
            </w:r>
          </w:p>
        </w:tc>
        <w:tc>
          <w:tcPr>
            <w:tcW w:w="2268" w:type="dxa"/>
            <w:tcBorders>
              <w:top w:val="nil"/>
              <w:left w:val="nil"/>
              <w:bottom w:val="nil"/>
              <w:right w:val="nil"/>
            </w:tcBorders>
          </w:tcPr>
          <w:p w14:paraId="7F6F9160" w14:textId="77777777" w:rsidR="00421102" w:rsidRDefault="00421102" w:rsidP="00421102">
            <w:pPr>
              <w:spacing w:before="120" w:after="120"/>
              <w:rPr>
                <w:szCs w:val="24"/>
              </w:rPr>
            </w:pPr>
            <w:r>
              <w:rPr>
                <w:szCs w:val="24"/>
              </w:rPr>
              <w:t xml:space="preserve">Barbara Ker </w:t>
            </w:r>
            <w:r w:rsidRPr="0075374E">
              <w:rPr>
                <w:szCs w:val="24"/>
              </w:rPr>
              <w:t>W</w:t>
            </w:r>
            <w:r>
              <w:rPr>
                <w:szCs w:val="24"/>
              </w:rPr>
              <w:t xml:space="preserve">ilson AM </w:t>
            </w:r>
          </w:p>
          <w:p w14:paraId="300AD2AE" w14:textId="6A3651B7" w:rsidR="007F0D12" w:rsidRPr="002929A6" w:rsidRDefault="00421102" w:rsidP="00342518">
            <w:pPr>
              <w:spacing w:before="120" w:after="120"/>
              <w:rPr>
                <w:b/>
                <w:bCs/>
                <w:szCs w:val="24"/>
              </w:rPr>
            </w:pPr>
            <w:r w:rsidRPr="007D25AC">
              <w:rPr>
                <w:szCs w:val="24"/>
              </w:rPr>
              <w:t>(</w:t>
            </w:r>
            <w:r>
              <w:rPr>
                <w:szCs w:val="24"/>
              </w:rPr>
              <w:t>1929</w:t>
            </w:r>
            <w:r w:rsidRPr="007D25AC">
              <w:rPr>
                <w:szCs w:val="24"/>
              </w:rPr>
              <w:t>–</w:t>
            </w:r>
            <w:r>
              <w:rPr>
                <w:szCs w:val="24"/>
              </w:rPr>
              <w:t>2020</w:t>
            </w:r>
            <w:r w:rsidRPr="007D25AC">
              <w:rPr>
                <w:szCs w:val="24"/>
              </w:rPr>
              <w:t>)</w:t>
            </w:r>
          </w:p>
        </w:tc>
        <w:tc>
          <w:tcPr>
            <w:tcW w:w="4961" w:type="dxa"/>
            <w:tcBorders>
              <w:left w:val="nil"/>
              <w:right w:val="nil"/>
            </w:tcBorders>
          </w:tcPr>
          <w:p w14:paraId="0DD025F2" w14:textId="2E59F8E9" w:rsidR="00421102" w:rsidRDefault="00B25A9A" w:rsidP="00421102">
            <w:pPr>
              <w:pStyle w:val="CoverActName"/>
              <w:tabs>
                <w:tab w:val="clear" w:pos="2600"/>
              </w:tabs>
              <w:spacing w:before="120" w:after="120"/>
              <w:rPr>
                <w:rFonts w:ascii="Times New Roman" w:hAnsi="Times New Roman"/>
                <w:b w:val="0"/>
                <w:bCs/>
                <w:szCs w:val="24"/>
                <w:lang w:val="en-GB"/>
              </w:rPr>
            </w:pPr>
            <w:r>
              <w:rPr>
                <w:rFonts w:ascii="Times New Roman" w:hAnsi="Times New Roman"/>
                <w:b w:val="0"/>
                <w:bCs/>
                <w:szCs w:val="24"/>
                <w:lang w:val="en-GB"/>
              </w:rPr>
              <w:t>Writer,</w:t>
            </w:r>
            <w:r w:rsidR="00421102">
              <w:rPr>
                <w:rFonts w:ascii="Times New Roman" w:hAnsi="Times New Roman"/>
                <w:b w:val="0"/>
                <w:bCs/>
                <w:szCs w:val="24"/>
                <w:lang w:val="en-GB"/>
              </w:rPr>
              <w:t xml:space="preserve"> editor and </w:t>
            </w:r>
            <w:r>
              <w:rPr>
                <w:rFonts w:ascii="Times New Roman" w:hAnsi="Times New Roman"/>
                <w:b w:val="0"/>
                <w:bCs/>
                <w:szCs w:val="24"/>
                <w:lang w:val="en-GB"/>
              </w:rPr>
              <w:t xml:space="preserve">publisher </w:t>
            </w:r>
          </w:p>
          <w:p w14:paraId="44CC463A" w14:textId="4993F1F0" w:rsidR="0034083A" w:rsidRDefault="00A6130A" w:rsidP="0034083A">
            <w:pPr>
              <w:pStyle w:val="CoverActName"/>
              <w:tabs>
                <w:tab w:val="clear" w:pos="2600"/>
              </w:tabs>
              <w:spacing w:before="120" w:after="120"/>
              <w:jc w:val="left"/>
              <w:rPr>
                <w:rFonts w:ascii="Times New Roman" w:hAnsi="Times New Roman"/>
                <w:b w:val="0"/>
                <w:bCs/>
              </w:rPr>
            </w:pPr>
            <w:r w:rsidRPr="00EE45C4">
              <w:rPr>
                <w:rFonts w:ascii="Times New Roman" w:hAnsi="Times New Roman"/>
                <w:b w:val="0"/>
                <w:bCs/>
                <w:szCs w:val="24"/>
                <w:lang w:eastAsia="en-AU"/>
              </w:rPr>
              <w:t xml:space="preserve">Born in England, Barbara Ker Wilson </w:t>
            </w:r>
            <w:r w:rsidRPr="00EE45C4">
              <w:rPr>
                <w:rFonts w:ascii="Times New Roman" w:hAnsi="Times New Roman"/>
                <w:b w:val="0"/>
                <w:bCs/>
              </w:rPr>
              <w:t xml:space="preserve">was an </w:t>
            </w:r>
            <w:r w:rsidRPr="007A66D3">
              <w:rPr>
                <w:rFonts w:ascii="Times New Roman" w:hAnsi="Times New Roman"/>
                <w:b w:val="0"/>
                <w:bCs/>
              </w:rPr>
              <w:t xml:space="preserve">influential and respected writer, editor and publisher who advocated for good reading opportunities for young people. After moving to Australia in 1964, Ker Wilson continued her career in </w:t>
            </w:r>
            <w:r w:rsidRPr="00737376">
              <w:rPr>
                <w:rFonts w:ascii="Times New Roman" w:hAnsi="Times New Roman"/>
                <w:b w:val="0"/>
                <w:bCs/>
              </w:rPr>
              <w:t>publishing</w:t>
            </w:r>
            <w:r w:rsidR="00F25C87" w:rsidRPr="00737376">
              <w:rPr>
                <w:rFonts w:ascii="Times New Roman" w:hAnsi="Times New Roman"/>
                <w:b w:val="0"/>
                <w:bCs/>
              </w:rPr>
              <w:t>,</w:t>
            </w:r>
            <w:r w:rsidRPr="00737376">
              <w:rPr>
                <w:rFonts w:ascii="Times New Roman" w:hAnsi="Times New Roman"/>
                <w:b w:val="0"/>
                <w:bCs/>
              </w:rPr>
              <w:t xml:space="preserve"> working</w:t>
            </w:r>
            <w:r w:rsidRPr="007A66D3">
              <w:rPr>
                <w:rFonts w:ascii="Times New Roman" w:hAnsi="Times New Roman"/>
                <w:b w:val="0"/>
                <w:bCs/>
              </w:rPr>
              <w:t xml:space="preserve"> in New South Wales and later, Queensland. </w:t>
            </w:r>
            <w:r w:rsidR="00EE45C4" w:rsidRPr="007A66D3">
              <w:rPr>
                <w:rFonts w:ascii="Times New Roman" w:hAnsi="Times New Roman"/>
                <w:b w:val="0"/>
                <w:bCs/>
              </w:rPr>
              <w:t xml:space="preserve">The prolific writer’s </w:t>
            </w:r>
            <w:r w:rsidRPr="007A66D3">
              <w:rPr>
                <w:rFonts w:ascii="Times New Roman" w:hAnsi="Times New Roman"/>
                <w:b w:val="0"/>
                <w:bCs/>
              </w:rPr>
              <w:t>own works include ‘Last Year’s Broken Toys’</w:t>
            </w:r>
            <w:r w:rsidR="00EE45C4" w:rsidRPr="007A66D3">
              <w:rPr>
                <w:rFonts w:ascii="Times New Roman" w:hAnsi="Times New Roman"/>
                <w:b w:val="0"/>
                <w:bCs/>
              </w:rPr>
              <w:t xml:space="preserve"> (1962), </w:t>
            </w:r>
            <w:bookmarkStart w:id="3" w:name="_Hlk110003494"/>
            <w:r w:rsidR="00091670" w:rsidRPr="007A66D3">
              <w:rPr>
                <w:rFonts w:ascii="Times New Roman" w:hAnsi="Times New Roman"/>
                <w:b w:val="0"/>
                <w:bCs/>
              </w:rPr>
              <w:t xml:space="preserve">named an Honor Book in </w:t>
            </w:r>
            <w:r w:rsidRPr="007A66D3">
              <w:rPr>
                <w:rFonts w:ascii="Times New Roman" w:hAnsi="Times New Roman"/>
                <w:b w:val="0"/>
                <w:bCs/>
              </w:rPr>
              <w:t xml:space="preserve">the New York Herald Tribune’s </w:t>
            </w:r>
            <w:r w:rsidR="00091670" w:rsidRPr="007A66D3">
              <w:rPr>
                <w:rFonts w:ascii="Times New Roman" w:hAnsi="Times New Roman"/>
                <w:b w:val="0"/>
                <w:bCs/>
              </w:rPr>
              <w:t>Children’s Spring Book Festival</w:t>
            </w:r>
            <w:r w:rsidR="004B1690" w:rsidRPr="007A66D3">
              <w:rPr>
                <w:rFonts w:ascii="Times New Roman" w:hAnsi="Times New Roman"/>
                <w:b w:val="0"/>
                <w:bCs/>
              </w:rPr>
              <w:t xml:space="preserve"> (</w:t>
            </w:r>
            <w:r w:rsidR="00091670" w:rsidRPr="007A66D3">
              <w:rPr>
                <w:rFonts w:ascii="Times New Roman" w:hAnsi="Times New Roman"/>
                <w:b w:val="0"/>
                <w:bCs/>
              </w:rPr>
              <w:t>1963</w:t>
            </w:r>
            <w:r w:rsidR="004B1690" w:rsidRPr="007A66D3">
              <w:rPr>
                <w:rFonts w:ascii="Times New Roman" w:hAnsi="Times New Roman"/>
                <w:b w:val="0"/>
                <w:bCs/>
              </w:rPr>
              <w:t>)</w:t>
            </w:r>
            <w:bookmarkEnd w:id="3"/>
            <w:r w:rsidR="004B1690" w:rsidRPr="007A66D3">
              <w:rPr>
                <w:rFonts w:ascii="Times New Roman" w:hAnsi="Times New Roman"/>
                <w:b w:val="0"/>
                <w:bCs/>
              </w:rPr>
              <w:t xml:space="preserve">; </w:t>
            </w:r>
            <w:r w:rsidRPr="007A66D3">
              <w:rPr>
                <w:rFonts w:ascii="Times New Roman" w:hAnsi="Times New Roman"/>
                <w:b w:val="0"/>
                <w:bCs/>
              </w:rPr>
              <w:t>‘Jane Austen in Australia: A Novel’ (1984)</w:t>
            </w:r>
            <w:r w:rsidR="00597566" w:rsidRPr="007A66D3">
              <w:rPr>
                <w:rFonts w:ascii="Times New Roman" w:hAnsi="Times New Roman"/>
                <w:b w:val="0"/>
                <w:bCs/>
              </w:rPr>
              <w:t xml:space="preserve">; </w:t>
            </w:r>
            <w:r w:rsidR="00EE45C4" w:rsidRPr="007A66D3">
              <w:rPr>
                <w:rFonts w:ascii="Times New Roman" w:hAnsi="Times New Roman"/>
                <w:b w:val="0"/>
                <w:bCs/>
              </w:rPr>
              <w:t>‘Acacia Terrace’ (1988)</w:t>
            </w:r>
            <w:r w:rsidR="00597566" w:rsidRPr="007A66D3">
              <w:rPr>
                <w:rFonts w:ascii="Times New Roman" w:hAnsi="Times New Roman"/>
                <w:b w:val="0"/>
                <w:bCs/>
              </w:rPr>
              <w:t xml:space="preserve"> and ‘Wishbones: A Folk Tale from China (1993)</w:t>
            </w:r>
            <w:r w:rsidRPr="007A66D3">
              <w:rPr>
                <w:rFonts w:ascii="Times New Roman" w:hAnsi="Times New Roman"/>
                <w:b w:val="0"/>
                <w:bCs/>
              </w:rPr>
              <w:t>. Ker Wilson was the joint winner of the Australian Bicentennial Authority Anthology Award for ‘The Illustrated Treasury of Australian Stories and Verse for Children’ (1987). In 1995, the anthology, ‘Hands Up!: Who Enjoyed Their Schooldays’ (1994), was selected for an international White Ravens label. Ker Wilson received the Pixie O’Harris Award (1997) and the Dromkeen Medal (1999)</w:t>
            </w:r>
            <w:r w:rsidR="004B1690" w:rsidRPr="007A66D3">
              <w:rPr>
                <w:rFonts w:ascii="Times New Roman" w:hAnsi="Times New Roman"/>
                <w:b w:val="0"/>
                <w:bCs/>
              </w:rPr>
              <w:t xml:space="preserve"> for her notable contribution to children's literature in Australia</w:t>
            </w:r>
            <w:r w:rsidRPr="007A66D3">
              <w:rPr>
                <w:rFonts w:ascii="Times New Roman" w:hAnsi="Times New Roman"/>
                <w:b w:val="0"/>
                <w:bCs/>
              </w:rPr>
              <w:t>. In 2004</w:t>
            </w:r>
            <w:r w:rsidR="00342518">
              <w:rPr>
                <w:rFonts w:ascii="Times New Roman" w:hAnsi="Times New Roman"/>
                <w:b w:val="0"/>
                <w:bCs/>
              </w:rPr>
              <w:t>,</w:t>
            </w:r>
            <w:r w:rsidRPr="007A66D3">
              <w:rPr>
                <w:rFonts w:ascii="Times New Roman" w:hAnsi="Times New Roman"/>
                <w:b w:val="0"/>
                <w:bCs/>
              </w:rPr>
              <w:t xml:space="preserve"> she was appointed a Member of the Order of Australia for services to literature as an editor and author</w:t>
            </w:r>
            <w:r w:rsidR="00737376">
              <w:rPr>
                <w:rFonts w:ascii="Times New Roman" w:hAnsi="Times New Roman"/>
                <w:b w:val="0"/>
                <w:bCs/>
              </w:rPr>
              <w:t xml:space="preserve"> </w:t>
            </w:r>
            <w:r w:rsidRPr="007A66D3">
              <w:rPr>
                <w:rFonts w:ascii="Times New Roman" w:hAnsi="Times New Roman"/>
                <w:b w:val="0"/>
                <w:bCs/>
              </w:rPr>
              <w:t>and as a mentor to emerging writers. Ker Wilson is remembered for the significant influence she provided to the development of children’s books in Australia during the twentieth century.</w:t>
            </w:r>
          </w:p>
          <w:p w14:paraId="2A411B9C" w14:textId="313B2376" w:rsidR="0034083A" w:rsidRPr="00EE45C4" w:rsidRDefault="0034083A" w:rsidP="0034083A">
            <w:pPr>
              <w:pStyle w:val="CoverActName"/>
              <w:tabs>
                <w:tab w:val="clear" w:pos="2600"/>
              </w:tabs>
              <w:spacing w:before="120" w:after="120"/>
              <w:jc w:val="left"/>
              <w:rPr>
                <w:rFonts w:ascii="Times New Roman" w:hAnsi="Times New Roman"/>
                <w:b w:val="0"/>
                <w:bCs/>
                <w:szCs w:val="24"/>
                <w:lang w:val="en-GB"/>
              </w:rPr>
            </w:pPr>
          </w:p>
        </w:tc>
      </w:tr>
    </w:tbl>
    <w:p w14:paraId="51D625A2" w14:textId="77777777" w:rsidR="00342518" w:rsidRDefault="00342518">
      <w:r>
        <w:rPr>
          <w:i/>
          <w:iCs/>
        </w:rPr>
        <w:br w:type="page"/>
      </w:r>
    </w:p>
    <w:tbl>
      <w:tblPr>
        <w:tblW w:w="8897" w:type="dxa"/>
        <w:tblLayout w:type="fixed"/>
        <w:tblLook w:val="0000" w:firstRow="0" w:lastRow="0" w:firstColumn="0" w:lastColumn="0" w:noHBand="0" w:noVBand="0"/>
      </w:tblPr>
      <w:tblGrid>
        <w:gridCol w:w="1668"/>
        <w:gridCol w:w="2268"/>
        <w:gridCol w:w="4961"/>
      </w:tblGrid>
      <w:tr w:rsidR="005947F5" w14:paraId="7978965B" w14:textId="77777777" w:rsidTr="00FA74A1">
        <w:trPr>
          <w:cantSplit/>
        </w:trPr>
        <w:tc>
          <w:tcPr>
            <w:tcW w:w="1668" w:type="dxa"/>
            <w:tcBorders>
              <w:top w:val="nil"/>
              <w:left w:val="nil"/>
              <w:bottom w:val="nil"/>
              <w:right w:val="nil"/>
            </w:tcBorders>
          </w:tcPr>
          <w:p w14:paraId="230F7507" w14:textId="50FA7E07" w:rsidR="004C0C7F" w:rsidRPr="00311C6B" w:rsidRDefault="005947F5" w:rsidP="00311C6B">
            <w:pPr>
              <w:pStyle w:val="Heading2"/>
              <w:spacing w:before="120" w:after="120"/>
              <w:jc w:val="left"/>
              <w:rPr>
                <w:i w:val="0"/>
                <w:iCs w:val="0"/>
                <w:sz w:val="20"/>
              </w:rPr>
            </w:pPr>
            <w:bookmarkStart w:id="4" w:name="_Hlk109898649"/>
            <w:bookmarkEnd w:id="2"/>
            <w:r w:rsidRPr="005947F5">
              <w:rPr>
                <w:rFonts w:ascii="Times New Roman" w:hAnsi="Times New Roman"/>
                <w:b/>
                <w:bCs/>
                <w:i w:val="0"/>
                <w:iCs w:val="0"/>
                <w:sz w:val="24"/>
                <w:szCs w:val="24"/>
              </w:rPr>
              <w:lastRenderedPageBreak/>
              <w:t>Manicaros Terrace</w:t>
            </w:r>
          </w:p>
        </w:tc>
        <w:tc>
          <w:tcPr>
            <w:tcW w:w="2268" w:type="dxa"/>
            <w:tcBorders>
              <w:top w:val="nil"/>
              <w:left w:val="nil"/>
              <w:bottom w:val="nil"/>
              <w:right w:val="nil"/>
            </w:tcBorders>
          </w:tcPr>
          <w:p w14:paraId="006FD1C9" w14:textId="77777777" w:rsidR="005947F5" w:rsidRDefault="005947F5" w:rsidP="005947F5">
            <w:pPr>
              <w:spacing w:before="120" w:after="120" w:line="256" w:lineRule="auto"/>
              <w:rPr>
                <w:szCs w:val="24"/>
              </w:rPr>
            </w:pPr>
            <w:r>
              <w:rPr>
                <w:szCs w:val="24"/>
              </w:rPr>
              <w:t xml:space="preserve">Anthony Manicaros OAM </w:t>
            </w:r>
          </w:p>
          <w:p w14:paraId="230958A0" w14:textId="7BB2962B" w:rsidR="005947F5" w:rsidRPr="00342518" w:rsidRDefault="005947F5" w:rsidP="00342518">
            <w:pPr>
              <w:spacing w:before="120" w:after="120" w:line="256" w:lineRule="auto"/>
              <w:rPr>
                <w:b/>
                <w:bCs/>
                <w:szCs w:val="24"/>
              </w:rPr>
            </w:pPr>
            <w:r>
              <w:rPr>
                <w:szCs w:val="24"/>
              </w:rPr>
              <w:t>(1944–1998)</w:t>
            </w:r>
          </w:p>
        </w:tc>
        <w:tc>
          <w:tcPr>
            <w:tcW w:w="4961" w:type="dxa"/>
            <w:tcBorders>
              <w:top w:val="nil"/>
              <w:left w:val="nil"/>
              <w:bottom w:val="nil"/>
              <w:right w:val="nil"/>
            </w:tcBorders>
          </w:tcPr>
          <w:p w14:paraId="23CA9EE0" w14:textId="77777777" w:rsidR="005947F5" w:rsidRPr="005947F5" w:rsidRDefault="005947F5" w:rsidP="005947F5">
            <w:pPr>
              <w:pStyle w:val="CoverActName"/>
              <w:tabs>
                <w:tab w:val="left" w:pos="720"/>
              </w:tabs>
              <w:spacing w:before="120" w:after="120" w:line="256" w:lineRule="auto"/>
              <w:jc w:val="left"/>
              <w:rPr>
                <w:rFonts w:ascii="Times New Roman" w:hAnsi="Times New Roman"/>
                <w:b w:val="0"/>
                <w:bCs/>
                <w:szCs w:val="24"/>
                <w:lang w:val="en-GB"/>
              </w:rPr>
            </w:pPr>
            <w:bookmarkStart w:id="5" w:name="_Hlk110507562"/>
            <w:r w:rsidRPr="005947F5">
              <w:rPr>
                <w:rFonts w:ascii="Times New Roman" w:eastAsiaTheme="minorHAnsi" w:hAnsi="Times New Roman"/>
                <w:b w:val="0"/>
                <w:bCs/>
                <w:szCs w:val="24"/>
              </w:rPr>
              <w:t>Community broadcasting, cultural diversity</w:t>
            </w:r>
          </w:p>
          <w:p w14:paraId="2F3DB32B" w14:textId="77C5E787" w:rsidR="005947F5" w:rsidRPr="005947F5" w:rsidRDefault="005947F5" w:rsidP="00D0774A">
            <w:pPr>
              <w:spacing w:line="256" w:lineRule="auto"/>
              <w:rPr>
                <w:shd w:val="clear" w:color="auto" w:fill="FFFFFF"/>
              </w:rPr>
            </w:pPr>
            <w:r w:rsidRPr="005947F5">
              <w:rPr>
                <w:rFonts w:eastAsiaTheme="minorHAnsi"/>
              </w:rPr>
              <w:t xml:space="preserve">Tony Manicaros is recognised for his </w:t>
            </w:r>
            <w:r w:rsidRPr="005947F5">
              <w:t>contribution to the</w:t>
            </w:r>
            <w:r w:rsidR="00311C6B">
              <w:t xml:space="preserve"> </w:t>
            </w:r>
            <w:r w:rsidRPr="005947F5">
              <w:t xml:space="preserve">public broadcasting sector and in particular, his advocacy to develop ethnic community broadcasting under one united national organisation. A strong supporter for fostering </w:t>
            </w:r>
            <w:r w:rsidRPr="005947F5">
              <w:rPr>
                <w:rStyle w:val="gmaildefault"/>
                <w:szCs w:val="24"/>
              </w:rPr>
              <w:t>a vibrant,</w:t>
            </w:r>
            <w:r w:rsidR="00311C6B">
              <w:rPr>
                <w:rStyle w:val="gmaildefault"/>
                <w:szCs w:val="24"/>
              </w:rPr>
              <w:t xml:space="preserve"> </w:t>
            </w:r>
            <w:r w:rsidRPr="005947F5">
              <w:t xml:space="preserve">multicultural Australia, he worked to advance ethnic community broadcasting, helping </w:t>
            </w:r>
            <w:r w:rsidRPr="005947F5">
              <w:rPr>
                <w:shd w:val="clear" w:color="auto" w:fill="FFFFFF"/>
              </w:rPr>
              <w:t>people connect to and maintain their language and culture.</w:t>
            </w:r>
            <w:r w:rsidRPr="005947F5">
              <w:t xml:space="preserve"> In 1985, Manicaros was co-founder and president of the National Ethnic and Multicultural Broadcasters’ Council (NEMBC).</w:t>
            </w:r>
            <w:r w:rsidRPr="005947F5">
              <w:rPr>
                <w:rFonts w:eastAsiaTheme="minorHAnsi"/>
              </w:rPr>
              <w:t xml:space="preserve"> </w:t>
            </w:r>
            <w:r w:rsidRPr="005947F5">
              <w:rPr>
                <w:rStyle w:val="gmaildefault"/>
                <w:szCs w:val="24"/>
              </w:rPr>
              <w:t xml:space="preserve">For many years </w:t>
            </w:r>
            <w:r w:rsidRPr="005947F5">
              <w:t xml:space="preserve">he </w:t>
            </w:r>
            <w:r w:rsidRPr="005947F5">
              <w:rPr>
                <w:rStyle w:val="gmaildefault"/>
                <w:szCs w:val="24"/>
              </w:rPr>
              <w:t xml:space="preserve">served in various roles at </w:t>
            </w:r>
            <w:r w:rsidRPr="005947F5">
              <w:t>the</w:t>
            </w:r>
            <w:r w:rsidRPr="005947F5">
              <w:rPr>
                <w:rFonts w:eastAsiaTheme="minorHAnsi"/>
              </w:rPr>
              <w:t xml:space="preserve"> multilingual radio station, </w:t>
            </w:r>
            <w:r w:rsidRPr="005947F5">
              <w:rPr>
                <w:rStyle w:val="gmaildefault"/>
                <w:szCs w:val="24"/>
              </w:rPr>
              <w:t xml:space="preserve">Radio 4EB Brisbane, including </w:t>
            </w:r>
            <w:r w:rsidRPr="005947F5">
              <w:t>t</w:t>
            </w:r>
            <w:r w:rsidRPr="005947F5">
              <w:rPr>
                <w:rStyle w:val="gmaildefault"/>
                <w:szCs w:val="24"/>
              </w:rPr>
              <w:t>reasurer, programming coordinator and</w:t>
            </w:r>
            <w:r w:rsidR="00311C6B">
              <w:rPr>
                <w:rStyle w:val="gmaildefault"/>
                <w:szCs w:val="24"/>
              </w:rPr>
              <w:t xml:space="preserve"> </w:t>
            </w:r>
            <w:r w:rsidRPr="005947F5">
              <w:t>president</w:t>
            </w:r>
            <w:r w:rsidRPr="005947F5">
              <w:rPr>
                <w:rStyle w:val="gmaildefault"/>
                <w:szCs w:val="24"/>
              </w:rPr>
              <w:t xml:space="preserve">. </w:t>
            </w:r>
            <w:r w:rsidRPr="005947F5">
              <w:rPr>
                <w:rFonts w:eastAsiaTheme="minorHAnsi"/>
              </w:rPr>
              <w:t>He further contributed to public broadcasting by lobbying</w:t>
            </w:r>
            <w:r w:rsidRPr="005947F5">
              <w:rPr>
                <w:shd w:val="clear" w:color="auto" w:fill="FFFFFF"/>
              </w:rPr>
              <w:t xml:space="preserve"> for reform </w:t>
            </w:r>
            <w:r w:rsidR="005C04B2">
              <w:rPr>
                <w:shd w:val="clear" w:color="auto" w:fill="FFFFFF"/>
              </w:rPr>
              <w:t xml:space="preserve">in the </w:t>
            </w:r>
            <w:r w:rsidRPr="005947F5">
              <w:rPr>
                <w:shd w:val="clear" w:color="auto" w:fill="FFFFFF"/>
              </w:rPr>
              <w:t xml:space="preserve">federal communications policy and helping </w:t>
            </w:r>
            <w:r w:rsidRPr="005947F5">
              <w:rPr>
                <w:rFonts w:eastAsiaTheme="minorHAnsi"/>
              </w:rPr>
              <w:t>develop</w:t>
            </w:r>
            <w:r w:rsidR="00C10150">
              <w:rPr>
                <w:rFonts w:eastAsiaTheme="minorHAnsi"/>
              </w:rPr>
              <w:t xml:space="preserve"> </w:t>
            </w:r>
            <w:r w:rsidRPr="005947F5">
              <w:rPr>
                <w:rFonts w:eastAsiaTheme="minorHAnsi"/>
              </w:rPr>
              <w:t xml:space="preserve">curriculum for the Australian Ethnic Radio Training Project, to provide </w:t>
            </w:r>
            <w:r w:rsidRPr="005947F5">
              <w:rPr>
                <w:shd w:val="clear" w:color="auto" w:fill="FFFFFF"/>
              </w:rPr>
              <w:t>accredited, competency</w:t>
            </w:r>
            <w:r w:rsidR="00C10150" w:rsidRPr="005D25F0">
              <w:rPr>
                <w:shd w:val="clear" w:color="auto" w:fill="FFFFFF"/>
              </w:rPr>
              <w:t>-</w:t>
            </w:r>
            <w:r w:rsidRPr="005947F5">
              <w:rPr>
                <w:shd w:val="clear" w:color="auto" w:fill="FFFFFF"/>
              </w:rPr>
              <w:t xml:space="preserve">based training for broadcasters. </w:t>
            </w:r>
          </w:p>
          <w:p w14:paraId="10254662" w14:textId="62260416" w:rsidR="005947F5" w:rsidRDefault="005947F5" w:rsidP="00D0774A">
            <w:pPr>
              <w:autoSpaceDE w:val="0"/>
              <w:autoSpaceDN w:val="0"/>
              <w:adjustRightInd w:val="0"/>
            </w:pPr>
            <w:r w:rsidRPr="005947F5">
              <w:rPr>
                <w:rFonts w:eastAsiaTheme="minorHAnsi"/>
              </w:rPr>
              <w:t xml:space="preserve">In 1997, Manicaros was awarded the </w:t>
            </w:r>
            <w:r w:rsidRPr="005947F5">
              <w:rPr>
                <w:rFonts w:eastAsiaTheme="minorHAnsi"/>
              </w:rPr>
              <w:br w:type="textWrapping" w:clear="all"/>
            </w:r>
            <w:r w:rsidRPr="005947F5">
              <w:t>Michael Law Award by the Community Broadcasting Association of Australia (CBAA) for his sustained and outstanding contribution to</w:t>
            </w:r>
            <w:r w:rsidR="00311C6B">
              <w:t xml:space="preserve"> </w:t>
            </w:r>
            <w:r w:rsidRPr="005947F5">
              <w:t xml:space="preserve">community broadcasting. In 1999, CBAA inaugurated an annual award in his honour. </w:t>
            </w:r>
            <w:r w:rsidRPr="005947F5">
              <w:rPr>
                <w:rFonts w:eastAsiaTheme="minorHAnsi"/>
              </w:rPr>
              <w:t xml:space="preserve">Manicaros was posthumously awarded the Medal of the Order of Australia in 1998 for his service to ethnic broadcasting. The Tony Manicaros Grant is administered by NEMBC to </w:t>
            </w:r>
            <w:r w:rsidRPr="005947F5">
              <w:t xml:space="preserve">fund projects to </w:t>
            </w:r>
            <w:r w:rsidRPr="005947F5">
              <w:rPr>
                <w:rFonts w:eastAsiaTheme="minorHAnsi"/>
              </w:rPr>
              <w:t>benefit ethnic community broadcasting</w:t>
            </w:r>
            <w:bookmarkEnd w:id="5"/>
            <w:r w:rsidRPr="005947F5">
              <w:rPr>
                <w:rFonts w:eastAsiaTheme="minorHAnsi"/>
              </w:rPr>
              <w:t>.</w:t>
            </w:r>
            <w:r w:rsidRPr="005947F5">
              <w:t xml:space="preserve"> </w:t>
            </w:r>
          </w:p>
          <w:p w14:paraId="3899A5C0" w14:textId="73940233" w:rsidR="0034083A" w:rsidRPr="005947F5" w:rsidRDefault="0034083A" w:rsidP="00D0774A">
            <w:pPr>
              <w:autoSpaceDE w:val="0"/>
              <w:autoSpaceDN w:val="0"/>
              <w:adjustRightInd w:val="0"/>
              <w:rPr>
                <w:szCs w:val="24"/>
                <w:lang w:val="en-GB"/>
              </w:rPr>
            </w:pPr>
          </w:p>
        </w:tc>
      </w:tr>
      <w:bookmarkEnd w:id="4"/>
    </w:tbl>
    <w:p w14:paraId="6F370C36" w14:textId="77777777" w:rsidR="00342518" w:rsidRDefault="00342518">
      <w:r>
        <w:rPr>
          <w:i/>
          <w:iCs/>
        </w:rPr>
        <w:br w:type="page"/>
      </w:r>
    </w:p>
    <w:tbl>
      <w:tblPr>
        <w:tblW w:w="8897" w:type="dxa"/>
        <w:tblLayout w:type="fixed"/>
        <w:tblLook w:val="0000" w:firstRow="0" w:lastRow="0" w:firstColumn="0" w:lastColumn="0" w:noHBand="0" w:noVBand="0"/>
      </w:tblPr>
      <w:tblGrid>
        <w:gridCol w:w="1668"/>
        <w:gridCol w:w="2268"/>
        <w:gridCol w:w="4961"/>
      </w:tblGrid>
      <w:tr w:rsidR="003A2C21" w14:paraId="2895F3F6" w14:textId="77777777" w:rsidTr="005F009A">
        <w:trPr>
          <w:cantSplit/>
        </w:trPr>
        <w:tc>
          <w:tcPr>
            <w:tcW w:w="1668" w:type="dxa"/>
            <w:tcBorders>
              <w:top w:val="nil"/>
              <w:left w:val="nil"/>
              <w:bottom w:val="nil"/>
              <w:right w:val="nil"/>
            </w:tcBorders>
          </w:tcPr>
          <w:p w14:paraId="65706AC2" w14:textId="6592949F" w:rsidR="00FB6ED2" w:rsidRPr="00D00B68" w:rsidRDefault="003A2C21" w:rsidP="00D00B68">
            <w:pPr>
              <w:spacing w:before="120" w:after="120"/>
              <w:rPr>
                <w:sz w:val="20"/>
                <w:lang w:val="en-GB"/>
              </w:rPr>
            </w:pPr>
            <w:r>
              <w:rPr>
                <w:b/>
                <w:bCs/>
                <w:szCs w:val="24"/>
                <w:lang w:val="en-GB"/>
              </w:rPr>
              <w:lastRenderedPageBreak/>
              <w:t xml:space="preserve">Orsto </w:t>
            </w:r>
            <w:r w:rsidR="00342518">
              <w:rPr>
                <w:b/>
                <w:bCs/>
                <w:szCs w:val="24"/>
                <w:lang w:val="en-GB"/>
              </w:rPr>
              <w:t>View</w:t>
            </w:r>
          </w:p>
        </w:tc>
        <w:tc>
          <w:tcPr>
            <w:tcW w:w="2268" w:type="dxa"/>
            <w:tcBorders>
              <w:top w:val="nil"/>
              <w:left w:val="nil"/>
              <w:bottom w:val="nil"/>
              <w:right w:val="nil"/>
            </w:tcBorders>
          </w:tcPr>
          <w:p w14:paraId="71E664AE" w14:textId="77777777" w:rsidR="003A2C21" w:rsidRPr="003A79E6" w:rsidRDefault="003A2C21" w:rsidP="003A2C21">
            <w:pPr>
              <w:spacing w:before="120" w:after="120"/>
              <w:rPr>
                <w:szCs w:val="24"/>
              </w:rPr>
            </w:pPr>
            <w:r w:rsidRPr="003A79E6">
              <w:rPr>
                <w:szCs w:val="24"/>
              </w:rPr>
              <w:t>Maria Josette Orsto</w:t>
            </w:r>
          </w:p>
          <w:p w14:paraId="2EB1580E" w14:textId="56FC17EA" w:rsidR="003A2C21" w:rsidRDefault="003A2C21" w:rsidP="003A2C21">
            <w:pPr>
              <w:spacing w:before="120" w:after="120"/>
              <w:rPr>
                <w:szCs w:val="24"/>
              </w:rPr>
            </w:pPr>
            <w:r w:rsidRPr="003A79E6">
              <w:rPr>
                <w:szCs w:val="24"/>
              </w:rPr>
              <w:t>(1962–2020)</w:t>
            </w:r>
          </w:p>
          <w:p w14:paraId="24BC74D6" w14:textId="7FE9A9C6" w:rsidR="003A2C21" w:rsidRPr="00D00B68" w:rsidRDefault="003A2C21" w:rsidP="00D00B68">
            <w:pPr>
              <w:spacing w:before="120" w:after="120"/>
              <w:rPr>
                <w:szCs w:val="24"/>
                <w:lang w:val="en-GB"/>
              </w:rPr>
            </w:pPr>
            <w:r>
              <w:rPr>
                <w:szCs w:val="24"/>
              </w:rPr>
              <w:t xml:space="preserve">(Maria Josette </w:t>
            </w:r>
            <w:r w:rsidR="00D00B68">
              <w:rPr>
                <w:szCs w:val="24"/>
              </w:rPr>
              <w:br w:type="textWrapping" w:clear="all"/>
              <w:t xml:space="preserve"> </w:t>
            </w:r>
            <w:r>
              <w:rPr>
                <w:szCs w:val="24"/>
              </w:rPr>
              <w:t>Apuatimi)</w:t>
            </w:r>
          </w:p>
        </w:tc>
        <w:tc>
          <w:tcPr>
            <w:tcW w:w="4961" w:type="dxa"/>
            <w:tcBorders>
              <w:top w:val="nil"/>
              <w:left w:val="nil"/>
              <w:bottom w:val="nil"/>
              <w:right w:val="nil"/>
            </w:tcBorders>
          </w:tcPr>
          <w:p w14:paraId="648BD9D7" w14:textId="171C8F98" w:rsidR="003A2C21" w:rsidRPr="004C0C7F" w:rsidRDefault="003A2C21" w:rsidP="003A2C21">
            <w:pPr>
              <w:spacing w:before="120" w:after="120"/>
              <w:rPr>
                <w:szCs w:val="24"/>
              </w:rPr>
            </w:pPr>
            <w:r w:rsidRPr="004C0C7F">
              <w:rPr>
                <w:lang w:val="en-GB"/>
              </w:rPr>
              <w:t>Artist; Tiwi Islands, Northern Territory</w:t>
            </w:r>
          </w:p>
          <w:p w14:paraId="5C8BA05D" w14:textId="240DBCB1" w:rsidR="003A2C21" w:rsidRDefault="003A2C21" w:rsidP="001E70E3">
            <w:r w:rsidRPr="004C0C7F">
              <w:rPr>
                <w:shd w:val="clear" w:color="auto" w:fill="FFFFFF"/>
              </w:rPr>
              <w:t xml:space="preserve">Maria Josette Orsto </w:t>
            </w:r>
            <w:r w:rsidR="00A556A3" w:rsidRPr="004C0C7F">
              <w:rPr>
                <w:shd w:val="clear" w:color="auto" w:fill="FFFFFF"/>
              </w:rPr>
              <w:t xml:space="preserve">drew on the </w:t>
            </w:r>
            <w:r w:rsidR="00A556A3" w:rsidRPr="004C0C7F">
              <w:rPr>
                <w:lang w:val="en-GB"/>
              </w:rPr>
              <w:t xml:space="preserve">influences of her parents, </w:t>
            </w:r>
            <w:r w:rsidR="005F009A" w:rsidRPr="004C0C7F">
              <w:rPr>
                <w:lang w:val="en-GB"/>
              </w:rPr>
              <w:t>Declan Apuatimi and Jean Baptiste Apuatimi</w:t>
            </w:r>
            <w:r w:rsidR="00A556A3" w:rsidRPr="004C0C7F">
              <w:rPr>
                <w:lang w:val="en-GB"/>
              </w:rPr>
              <w:t>, to develop her own distinctive style of intricate patterning, made up of lines and small dots to form unique design</w:t>
            </w:r>
            <w:r w:rsidR="00342518" w:rsidRPr="004C0C7F">
              <w:rPr>
                <w:lang w:val="en-GB"/>
              </w:rPr>
              <w:t>s</w:t>
            </w:r>
            <w:r w:rsidR="00A556A3" w:rsidRPr="004C0C7F">
              <w:rPr>
                <w:lang w:val="en-GB"/>
              </w:rPr>
              <w:t>. She</w:t>
            </w:r>
            <w:r w:rsidR="005F009A" w:rsidRPr="004C0C7F">
              <w:rPr>
                <w:lang w:val="en-GB"/>
              </w:rPr>
              <w:t xml:space="preserve"> </w:t>
            </w:r>
            <w:r w:rsidRPr="004C0C7F">
              <w:rPr>
                <w:lang w:val="en-GB"/>
              </w:rPr>
              <w:t>produced artwork in a variety of media and techniques</w:t>
            </w:r>
            <w:r w:rsidR="005F009A" w:rsidRPr="004C0C7F">
              <w:rPr>
                <w:lang w:val="en-GB"/>
              </w:rPr>
              <w:t>,</w:t>
            </w:r>
            <w:r w:rsidRPr="004C0C7F">
              <w:rPr>
                <w:lang w:val="en-GB"/>
              </w:rPr>
              <w:t xml:space="preserve"> including ochre and acrylic paintings on canvas and paper, batik printmaking and wood sculpture. </w:t>
            </w:r>
            <w:r w:rsidR="007C103C" w:rsidRPr="004C0C7F">
              <w:rPr>
                <w:lang w:val="en-GB"/>
              </w:rPr>
              <w:t>The artist worked at the Tiwi</w:t>
            </w:r>
            <w:r w:rsidRPr="004C0C7F">
              <w:t xml:space="preserve"> Design</w:t>
            </w:r>
            <w:r w:rsidR="00A556A3" w:rsidRPr="004C0C7F">
              <w:t xml:space="preserve"> art centre </w:t>
            </w:r>
            <w:r w:rsidRPr="004C0C7F">
              <w:t xml:space="preserve">on Bathurst Island and </w:t>
            </w:r>
            <w:r w:rsidR="00A556A3" w:rsidRPr="004C0C7F">
              <w:t xml:space="preserve">the </w:t>
            </w:r>
            <w:r w:rsidRPr="004C0C7F">
              <w:t>Munupi Arts and Crafts Association on Melville Island.</w:t>
            </w:r>
            <w:r w:rsidRPr="004C0C7F">
              <w:rPr>
                <w:lang w:val="en-GB"/>
              </w:rPr>
              <w:t xml:space="preserve"> </w:t>
            </w:r>
            <w:r w:rsidR="00646E18" w:rsidRPr="004C0C7F">
              <w:rPr>
                <w:lang w:val="en-GB"/>
              </w:rPr>
              <w:t>She is represented in public and private collections including the</w:t>
            </w:r>
            <w:r w:rsidR="00646E18" w:rsidRPr="004C0C7F">
              <w:rPr>
                <w:shd w:val="clear" w:color="auto" w:fill="FFFFFF"/>
              </w:rPr>
              <w:t xml:space="preserve"> National Gallery of Australia, the National Gallery of Victoria and the </w:t>
            </w:r>
            <w:r w:rsidR="00646E18" w:rsidRPr="004C0C7F">
              <w:rPr>
                <w:lang w:val="en-GB"/>
              </w:rPr>
              <w:t>Museum of Contemporary Art Australia.</w:t>
            </w:r>
            <w:r w:rsidR="00646E18" w:rsidRPr="004C0C7F">
              <w:t xml:space="preserve"> </w:t>
            </w:r>
            <w:r w:rsidRPr="004C0C7F">
              <w:rPr>
                <w:lang w:val="en-GB"/>
              </w:rPr>
              <w:t xml:space="preserve">In 2009, </w:t>
            </w:r>
            <w:r w:rsidR="00646E18" w:rsidRPr="004C0C7F">
              <w:rPr>
                <w:lang w:val="en-GB"/>
              </w:rPr>
              <w:t xml:space="preserve">Orsto </w:t>
            </w:r>
            <w:r w:rsidRPr="004C0C7F">
              <w:rPr>
                <w:lang w:val="en-GB"/>
              </w:rPr>
              <w:t xml:space="preserve">exhibited in the National Aboriginal and Torres Strait Islander Art Award at the Museum and Art Gallery of the Northern Territory. </w:t>
            </w:r>
            <w:r w:rsidR="00646E18" w:rsidRPr="004C0C7F">
              <w:rPr>
                <w:lang w:val="en-GB"/>
              </w:rPr>
              <w:t xml:space="preserve">She </w:t>
            </w:r>
            <w:r w:rsidRPr="004C0C7F">
              <w:rPr>
                <w:lang w:val="en-GB"/>
              </w:rPr>
              <w:t>featured in the second National Indigenous Art Triennial, ‘unDisclosed’, curated by the National Gallery of Australia</w:t>
            </w:r>
            <w:r w:rsidR="007606F7" w:rsidRPr="004C0C7F">
              <w:rPr>
                <w:lang w:val="en-GB"/>
              </w:rPr>
              <w:t xml:space="preserve"> (2012).</w:t>
            </w:r>
            <w:r w:rsidR="00646E18" w:rsidRPr="004C0C7F">
              <w:rPr>
                <w:lang w:val="en-GB"/>
              </w:rPr>
              <w:t xml:space="preserve"> </w:t>
            </w:r>
            <w:r w:rsidR="004C0C7F">
              <w:rPr>
                <w:lang w:val="en-GB"/>
              </w:rPr>
              <w:t xml:space="preserve">The artist </w:t>
            </w:r>
            <w:r w:rsidR="00646E18" w:rsidRPr="004C0C7F">
              <w:rPr>
                <w:lang w:val="en-GB"/>
              </w:rPr>
              <w:t xml:space="preserve">was represented in </w:t>
            </w:r>
            <w:r w:rsidR="00D00B68">
              <w:rPr>
                <w:lang w:val="en-GB"/>
              </w:rPr>
              <w:t xml:space="preserve">‘unDisclosed’ </w:t>
            </w:r>
            <w:r w:rsidR="00646E18" w:rsidRPr="004C0C7F">
              <w:rPr>
                <w:lang w:val="en-GB"/>
              </w:rPr>
              <w:t xml:space="preserve">by </w:t>
            </w:r>
            <w:r w:rsidR="007606F7" w:rsidRPr="004C0C7F">
              <w:rPr>
                <w:lang w:val="en-GB"/>
              </w:rPr>
              <w:t>three works on canvas, ‘Jikapayinga’ (Female crocodile) (2007); ‘Pakitiringa’ (Rain) and ‘Miyinga’ (2009)</w:t>
            </w:r>
            <w:r w:rsidR="00317443" w:rsidRPr="004C0C7F">
              <w:rPr>
                <w:lang w:val="en-GB"/>
              </w:rPr>
              <w:t xml:space="preserve">. </w:t>
            </w:r>
            <w:r w:rsidR="00D0774A">
              <w:t>Orsto</w:t>
            </w:r>
            <w:r w:rsidR="00D0774A" w:rsidRPr="00110DFF">
              <w:t xml:space="preserve"> was represented in the exhibition, ‘TIWI’ at the National Gallery of Victoria</w:t>
            </w:r>
            <w:r w:rsidR="00D0774A">
              <w:t xml:space="preserve"> (2020–2021), which also featured works by her parents. </w:t>
            </w:r>
          </w:p>
          <w:p w14:paraId="6CDAFFD8" w14:textId="1413F430" w:rsidR="0034083A" w:rsidRPr="004C0C7F" w:rsidRDefault="0034083A" w:rsidP="001E70E3">
            <w:pPr>
              <w:rPr>
                <w:b/>
                <w:bCs/>
                <w:szCs w:val="24"/>
                <w:lang w:val="en-GB"/>
              </w:rPr>
            </w:pPr>
          </w:p>
        </w:tc>
      </w:tr>
    </w:tbl>
    <w:p w14:paraId="3327F4E7" w14:textId="77777777" w:rsidR="00291C15" w:rsidRDefault="00291C15">
      <w:r>
        <w:br w:type="page"/>
      </w:r>
    </w:p>
    <w:tbl>
      <w:tblPr>
        <w:tblW w:w="8897" w:type="dxa"/>
        <w:tblLayout w:type="fixed"/>
        <w:tblLook w:val="0000" w:firstRow="0" w:lastRow="0" w:firstColumn="0" w:lastColumn="0" w:noHBand="0" w:noVBand="0"/>
      </w:tblPr>
      <w:tblGrid>
        <w:gridCol w:w="1668"/>
        <w:gridCol w:w="2268"/>
        <w:gridCol w:w="4961"/>
      </w:tblGrid>
      <w:tr w:rsidR="004505C6" w14:paraId="2F683CEF" w14:textId="77777777" w:rsidTr="005F009A">
        <w:trPr>
          <w:cantSplit/>
        </w:trPr>
        <w:tc>
          <w:tcPr>
            <w:tcW w:w="1668" w:type="dxa"/>
            <w:tcBorders>
              <w:top w:val="nil"/>
              <w:left w:val="nil"/>
              <w:bottom w:val="nil"/>
              <w:right w:val="nil"/>
            </w:tcBorders>
          </w:tcPr>
          <w:p w14:paraId="0EAB7DC2" w14:textId="402CCCFA" w:rsidR="004505C6" w:rsidRDefault="004505C6" w:rsidP="004505C6">
            <w:pPr>
              <w:spacing w:before="120" w:after="120"/>
              <w:rPr>
                <w:b/>
                <w:bCs/>
                <w:szCs w:val="24"/>
                <w:lang w:val="en-GB"/>
              </w:rPr>
            </w:pPr>
            <w:bookmarkStart w:id="6" w:name="_Hlk105662442"/>
            <w:r>
              <w:rPr>
                <w:b/>
                <w:bCs/>
                <w:szCs w:val="24"/>
                <w:lang w:val="en-GB"/>
              </w:rPr>
              <w:lastRenderedPageBreak/>
              <w:t>Rajah Lane</w:t>
            </w:r>
          </w:p>
          <w:p w14:paraId="11071A34" w14:textId="26C3A4B5" w:rsidR="004505C6" w:rsidRDefault="004505C6" w:rsidP="004505C6">
            <w:pPr>
              <w:spacing w:before="120" w:after="120"/>
              <w:rPr>
                <w:b/>
                <w:bCs/>
                <w:szCs w:val="24"/>
                <w:lang w:val="en-GB"/>
              </w:rPr>
            </w:pPr>
          </w:p>
        </w:tc>
        <w:tc>
          <w:tcPr>
            <w:tcW w:w="2268" w:type="dxa"/>
            <w:tcBorders>
              <w:top w:val="nil"/>
              <w:left w:val="nil"/>
              <w:bottom w:val="nil"/>
              <w:right w:val="nil"/>
            </w:tcBorders>
          </w:tcPr>
          <w:p w14:paraId="0704323D" w14:textId="20154029" w:rsidR="004505C6" w:rsidRDefault="004505C6" w:rsidP="004505C6">
            <w:pPr>
              <w:spacing w:before="120" w:after="120"/>
              <w:rPr>
                <w:szCs w:val="24"/>
              </w:rPr>
            </w:pPr>
            <w:r>
              <w:rPr>
                <w:szCs w:val="24"/>
              </w:rPr>
              <w:t>The Rajah quilt</w:t>
            </w:r>
          </w:p>
          <w:p w14:paraId="5884FB28" w14:textId="1DA2663E" w:rsidR="004505C6" w:rsidRPr="003A79E6" w:rsidRDefault="004505C6" w:rsidP="00D00B68">
            <w:pPr>
              <w:spacing w:before="120" w:after="120"/>
              <w:rPr>
                <w:szCs w:val="24"/>
              </w:rPr>
            </w:pPr>
            <w:r>
              <w:rPr>
                <w:szCs w:val="24"/>
              </w:rPr>
              <w:t>(1841)</w:t>
            </w:r>
          </w:p>
        </w:tc>
        <w:tc>
          <w:tcPr>
            <w:tcW w:w="4961" w:type="dxa"/>
            <w:tcBorders>
              <w:top w:val="nil"/>
              <w:left w:val="nil"/>
              <w:bottom w:val="nil"/>
              <w:right w:val="nil"/>
            </w:tcBorders>
          </w:tcPr>
          <w:p w14:paraId="78838F75" w14:textId="507C5765" w:rsidR="004505C6" w:rsidRPr="00231A38" w:rsidRDefault="004505C6" w:rsidP="004505C6">
            <w:pPr>
              <w:spacing w:before="120" w:after="120"/>
              <w:rPr>
                <w:color w:val="0A0A0A"/>
                <w:shd w:val="clear" w:color="auto" w:fill="FEFEFE"/>
              </w:rPr>
            </w:pPr>
            <w:r w:rsidRPr="00231A38">
              <w:rPr>
                <w:color w:val="0A0A0A"/>
                <w:shd w:val="clear" w:color="auto" w:fill="FEFEFE"/>
              </w:rPr>
              <w:t xml:space="preserve">Textiles, </w:t>
            </w:r>
            <w:r w:rsidR="00652541">
              <w:rPr>
                <w:color w:val="0A0A0A"/>
                <w:shd w:val="clear" w:color="auto" w:fill="FEFEFE"/>
              </w:rPr>
              <w:t>visual arts</w:t>
            </w:r>
          </w:p>
          <w:p w14:paraId="1C05582A" w14:textId="256CC6D4" w:rsidR="004505C6" w:rsidRDefault="004505C6" w:rsidP="007A5626">
            <w:bookmarkStart w:id="7" w:name="_Hlk105152106"/>
            <w:r w:rsidRPr="008432DC">
              <w:t>The Rajah quil</w:t>
            </w:r>
            <w:r w:rsidR="007A5626">
              <w:t>t</w:t>
            </w:r>
            <w:r w:rsidRPr="008432DC">
              <w:t xml:space="preserve"> is a </w:t>
            </w:r>
            <w:r>
              <w:t xml:space="preserve">coloured patchwork coverlet made by convict women in 1841 during their transportation from England to Australia. </w:t>
            </w:r>
            <w:r w:rsidR="007A5626">
              <w:t>The textile is of</w:t>
            </w:r>
            <w:r>
              <w:t xml:space="preserve"> </w:t>
            </w:r>
            <w:r w:rsidRPr="008432DC">
              <w:t xml:space="preserve">significant </w:t>
            </w:r>
            <w:r>
              <w:t xml:space="preserve">documentary and historical </w:t>
            </w:r>
            <w:r w:rsidRPr="008432DC">
              <w:t>importance</w:t>
            </w:r>
            <w:r w:rsidR="007A5626">
              <w:t>, providing a physical link to transportation and early European settlement in Australia</w:t>
            </w:r>
            <w:r>
              <w:t xml:space="preserve">. </w:t>
            </w:r>
            <w:r w:rsidR="007A5626">
              <w:t>It</w:t>
            </w:r>
            <w:r>
              <w:t xml:space="preserve"> was</w:t>
            </w:r>
            <w:r w:rsidRPr="008432DC">
              <w:t xml:space="preserve"> </w:t>
            </w:r>
            <w:r>
              <w:t xml:space="preserve">sewn </w:t>
            </w:r>
            <w:r w:rsidRPr="008432DC">
              <w:t xml:space="preserve">by female prisoners </w:t>
            </w:r>
            <w:r>
              <w:t>a</w:t>
            </w:r>
            <w:r w:rsidRPr="008432DC">
              <w:t xml:space="preserve">board the ‘Rajah’ </w:t>
            </w:r>
            <w:r>
              <w:t>which arrived in Hobart in July 1841.</w:t>
            </w:r>
            <w:bookmarkEnd w:id="7"/>
            <w:r w:rsidRPr="008432DC">
              <w:t xml:space="preserve"> The </w:t>
            </w:r>
            <w:r>
              <w:t xml:space="preserve">making </w:t>
            </w:r>
            <w:r w:rsidRPr="008432DC">
              <w:t xml:space="preserve">of the quilt was supported by The British Ladies Society for the Reformation of Female Prisoners, which offered needlecraft </w:t>
            </w:r>
            <w:r>
              <w:t xml:space="preserve">tasks </w:t>
            </w:r>
            <w:r w:rsidRPr="008432DC">
              <w:t xml:space="preserve">to women during their </w:t>
            </w:r>
            <w:r w:rsidR="008266C9">
              <w:t>incarceration</w:t>
            </w:r>
            <w:r w:rsidR="008266C9" w:rsidRPr="008432DC">
              <w:t xml:space="preserve"> </w:t>
            </w:r>
            <w:r w:rsidRPr="008432DC">
              <w:t xml:space="preserve">and </w:t>
            </w:r>
            <w:r>
              <w:t>provided</w:t>
            </w:r>
            <w:r w:rsidRPr="008432DC">
              <w:t xml:space="preserve"> fabrics and sewing supplies. The </w:t>
            </w:r>
            <w:r>
              <w:t xml:space="preserve">Rajah </w:t>
            </w:r>
            <w:r w:rsidRPr="008432DC">
              <w:t>quilt is a patchwork and embroidered appliquéd coverlet made in the medallion style</w:t>
            </w:r>
            <w:r>
              <w:t xml:space="preserve">. </w:t>
            </w:r>
            <w:r w:rsidRPr="008432DC">
              <w:t>The central field is worked in broderie perse. An inscription</w:t>
            </w:r>
            <w:r>
              <w:t xml:space="preserve">, </w:t>
            </w:r>
            <w:r w:rsidRPr="008432DC">
              <w:t xml:space="preserve">finely stitched in silk thread, </w:t>
            </w:r>
            <w:r>
              <w:t>reads:</w:t>
            </w:r>
            <w:r>
              <w:br w:type="textWrapping" w:clear="all"/>
            </w:r>
            <w:r w:rsidRPr="007C47DC">
              <w:rPr>
                <w:i/>
                <w:iCs/>
              </w:rPr>
              <w:t>TO THE LADIES of the Convict ship Committee This quilt worked by the Convicts of the Ship Rajah during their voyage to Van Diemans</w:t>
            </w:r>
            <w:r w:rsidR="005E234F">
              <w:rPr>
                <w:i/>
                <w:iCs/>
              </w:rPr>
              <w:t xml:space="preserve"> </w:t>
            </w:r>
            <w:r w:rsidRPr="007C47DC">
              <w:rPr>
                <w:i/>
                <w:iCs/>
              </w:rPr>
              <w:t>Land is presented as a testimony of the gratitude with which they remember their exertions for their welfare while in England and during their passage and also as a proof that they have not neglected the Ladies kind admonitions of being industrious June 1841</w:t>
            </w:r>
            <w:r w:rsidRPr="008432DC">
              <w:t xml:space="preserve">. </w:t>
            </w:r>
            <w:r>
              <w:br w:type="textWrapping" w:clear="all"/>
            </w:r>
            <w:r w:rsidRPr="008432DC">
              <w:t xml:space="preserve">In c.1987 the quilt was discovered in a private collection in Scotland. </w:t>
            </w:r>
            <w:bookmarkStart w:id="8" w:name="_Hlk105152201"/>
            <w:r w:rsidR="007A5626">
              <w:t>I</w:t>
            </w:r>
            <w:r w:rsidRPr="008432DC">
              <w:t xml:space="preserve">t </w:t>
            </w:r>
            <w:r>
              <w:t>was</w:t>
            </w:r>
            <w:r w:rsidRPr="008432DC">
              <w:t xml:space="preserve"> </w:t>
            </w:r>
            <w:r w:rsidR="007A5626">
              <w:t xml:space="preserve">acquired by the </w:t>
            </w:r>
            <w:r w:rsidRPr="008432DC">
              <w:t>N</w:t>
            </w:r>
            <w:r>
              <w:t>ational Gallery of Australia</w:t>
            </w:r>
            <w:r w:rsidR="007A5626">
              <w:t xml:space="preserve"> in 1989.</w:t>
            </w:r>
            <w:r>
              <w:t xml:space="preserve"> </w:t>
            </w:r>
            <w:bookmarkEnd w:id="8"/>
          </w:p>
          <w:p w14:paraId="00A40534" w14:textId="5C39447D" w:rsidR="0034083A" w:rsidRPr="00231A38" w:rsidRDefault="0034083A" w:rsidP="007A5626">
            <w:pPr>
              <w:rPr>
                <w:lang w:val="en-GB"/>
              </w:rPr>
            </w:pPr>
          </w:p>
        </w:tc>
      </w:tr>
      <w:bookmarkEnd w:id="6"/>
    </w:tbl>
    <w:p w14:paraId="7548B9EE" w14:textId="7580A1CE" w:rsidR="000879D1" w:rsidRDefault="000879D1" w:rsidP="007C103C">
      <w:pPr>
        <w:rPr>
          <w:rFonts w:asciiTheme="minorHAnsi" w:hAnsiTheme="minorHAnsi" w:cstheme="minorBidi"/>
          <w:bCs/>
        </w:rPr>
      </w:pPr>
    </w:p>
    <w:p w14:paraId="62CC4E8D" w14:textId="77777777" w:rsidR="000879D1" w:rsidRDefault="000879D1">
      <w:pPr>
        <w:rPr>
          <w:rFonts w:asciiTheme="minorHAnsi" w:hAnsiTheme="minorHAnsi" w:cstheme="minorBidi"/>
          <w:bCs/>
        </w:rPr>
      </w:pPr>
      <w:r>
        <w:rPr>
          <w:rFonts w:asciiTheme="minorHAnsi" w:hAnsiTheme="minorHAnsi" w:cstheme="minorBidi"/>
          <w:bCs/>
        </w:rPr>
        <w:br w:type="page"/>
      </w:r>
    </w:p>
    <w:p w14:paraId="6CC5A610" w14:textId="6ECAA86B" w:rsidR="00C86854" w:rsidRDefault="00FB6ED2" w:rsidP="007C103C">
      <w:pPr>
        <w:rPr>
          <w:rFonts w:asciiTheme="minorHAnsi" w:hAnsiTheme="minorHAnsi" w:cstheme="minorBidi"/>
          <w:bCs/>
        </w:rPr>
      </w:pPr>
      <w:r>
        <w:rPr>
          <w:rFonts w:asciiTheme="minorHAnsi" w:hAnsiTheme="minorHAnsi" w:cstheme="minorBidi"/>
          <w:bCs/>
          <w:noProof/>
        </w:rPr>
        <w:lastRenderedPageBreak/>
        <w:drawing>
          <wp:inline distT="0" distB="0" distL="0" distR="0" wp14:anchorId="6FAC0994" wp14:editId="0D035E76">
            <wp:extent cx="5278755" cy="7466965"/>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8755" cy="7466965"/>
                    </a:xfrm>
                    <a:prstGeom prst="rect">
                      <a:avLst/>
                    </a:prstGeom>
                  </pic:spPr>
                </pic:pic>
              </a:graphicData>
            </a:graphic>
          </wp:inline>
        </w:drawing>
      </w:r>
    </w:p>
    <w:sectPr w:rsidR="00C86854" w:rsidSect="00542A2B">
      <w:footerReference w:type="default" r:id="rId15"/>
      <w:footerReference w:type="first" r:id="rId16"/>
      <w:pgSz w:w="11907" w:h="16839" w:code="9"/>
      <w:pgMar w:top="1440" w:right="1797" w:bottom="1134" w:left="179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84464" w14:textId="77777777" w:rsidR="00EE0536" w:rsidRDefault="00EE0536" w:rsidP="00F10CB2">
      <w:r>
        <w:separator/>
      </w:r>
    </w:p>
  </w:endnote>
  <w:endnote w:type="continuationSeparator" w:id="0">
    <w:p w14:paraId="598C8B84" w14:textId="77777777" w:rsidR="00EE0536" w:rsidRDefault="00EE0536"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1033" w14:textId="77777777" w:rsidR="001B473C" w:rsidRDefault="001B4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87B6" w14:textId="41E43E54" w:rsidR="002A039C" w:rsidRPr="001B473C" w:rsidRDefault="001B473C" w:rsidP="001B473C">
    <w:pPr>
      <w:pStyle w:val="Footer"/>
      <w:jc w:val="center"/>
      <w:rPr>
        <w:rFonts w:ascii="Arial" w:hAnsi="Arial" w:cs="Arial"/>
        <w:sz w:val="14"/>
      </w:rPr>
    </w:pPr>
    <w:r w:rsidRPr="001B473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054323"/>
      <w:docPartObj>
        <w:docPartGallery w:val="Page Numbers (Bottom of Page)"/>
        <w:docPartUnique/>
      </w:docPartObj>
    </w:sdtPr>
    <w:sdtEndPr/>
    <w:sdtContent>
      <w:sdt>
        <w:sdtPr>
          <w:id w:val="98381352"/>
          <w:docPartObj>
            <w:docPartGallery w:val="Page Numbers (Top of Page)"/>
            <w:docPartUnique/>
          </w:docPartObj>
        </w:sdtPr>
        <w:sdtEndPr/>
        <w:sdtContent>
          <w:p w14:paraId="4C97A2D4" w14:textId="692E0419" w:rsidR="001056A5" w:rsidRPr="00AF1C0D" w:rsidRDefault="001056A5" w:rsidP="001056A5">
            <w:pPr>
              <w:pStyle w:val="Footer"/>
              <w:tabs>
                <w:tab w:val="clear" w:pos="2880"/>
              </w:tabs>
            </w:pPr>
            <w:r w:rsidRPr="008B556F">
              <w:rPr>
                <w:i/>
              </w:rPr>
              <w:t xml:space="preserve"> </w:t>
            </w:r>
          </w:p>
          <w:p w14:paraId="704E709C" w14:textId="77777777" w:rsidR="002A039C" w:rsidRPr="00AA02C9" w:rsidRDefault="001B473C" w:rsidP="00AA02C9">
            <w:pPr>
              <w:pStyle w:val="Foote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9FDB" w14:textId="3880036A" w:rsidR="001056A5" w:rsidRPr="001B473C" w:rsidRDefault="001B473C" w:rsidP="001B473C">
    <w:pPr>
      <w:pStyle w:val="Footer"/>
      <w:jc w:val="center"/>
      <w:rPr>
        <w:rFonts w:ascii="Arial" w:hAnsi="Arial" w:cs="Arial"/>
        <w:sz w:val="14"/>
      </w:rPr>
    </w:pPr>
    <w:r w:rsidRPr="001B473C">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3403" w14:textId="6C37ECB0" w:rsidR="00714777" w:rsidRPr="001B473C" w:rsidRDefault="001B473C" w:rsidP="001B473C">
    <w:pPr>
      <w:pStyle w:val="Footer"/>
      <w:jc w:val="center"/>
      <w:rPr>
        <w:rFonts w:ascii="Arial" w:hAnsi="Arial" w:cs="Arial"/>
        <w:sz w:val="14"/>
      </w:rPr>
    </w:pPr>
    <w:r w:rsidRPr="001B473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CB61C" w14:textId="77777777" w:rsidR="00EE0536" w:rsidRDefault="00EE0536" w:rsidP="00F10CB2">
      <w:r>
        <w:separator/>
      </w:r>
    </w:p>
  </w:footnote>
  <w:footnote w:type="continuationSeparator" w:id="0">
    <w:p w14:paraId="45250630" w14:textId="77777777" w:rsidR="00EE0536" w:rsidRDefault="00EE0536"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0744" w14:textId="77777777" w:rsidR="001B473C" w:rsidRDefault="001B4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C8E0B" w14:textId="77777777" w:rsidR="001B473C" w:rsidRDefault="001B4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41F6" w14:textId="77777777" w:rsidR="001B473C" w:rsidRDefault="001B4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840D6D"/>
    <w:multiLevelType w:val="hybridMultilevel"/>
    <w:tmpl w:val="BBE4BD4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104684C"/>
    <w:multiLevelType w:val="hybridMultilevel"/>
    <w:tmpl w:val="8CDA286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8"/>
  </w:num>
  <w:num w:numId="5">
    <w:abstractNumId w:val="9"/>
  </w:num>
  <w:num w:numId="6">
    <w:abstractNumId w:val="1"/>
  </w:num>
  <w:num w:numId="7">
    <w:abstractNumId w:val="6"/>
  </w:num>
  <w:num w:numId="8">
    <w:abstractNumId w:val="7"/>
  </w:num>
  <w:num w:numId="9">
    <w:abstractNumId w:val="5"/>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85C"/>
    <w:rsid w:val="00022B16"/>
    <w:rsid w:val="00030A01"/>
    <w:rsid w:val="000352CA"/>
    <w:rsid w:val="0004515E"/>
    <w:rsid w:val="00050E1C"/>
    <w:rsid w:val="000624C9"/>
    <w:rsid w:val="00063869"/>
    <w:rsid w:val="00072476"/>
    <w:rsid w:val="00077CBE"/>
    <w:rsid w:val="000879D1"/>
    <w:rsid w:val="00091670"/>
    <w:rsid w:val="000A1A69"/>
    <w:rsid w:val="000B2F32"/>
    <w:rsid w:val="000C501D"/>
    <w:rsid w:val="000D5F8C"/>
    <w:rsid w:val="000F048B"/>
    <w:rsid w:val="000F1029"/>
    <w:rsid w:val="001056A5"/>
    <w:rsid w:val="00110DFF"/>
    <w:rsid w:val="00111262"/>
    <w:rsid w:val="00134786"/>
    <w:rsid w:val="00144958"/>
    <w:rsid w:val="00160496"/>
    <w:rsid w:val="00166FDC"/>
    <w:rsid w:val="001719FB"/>
    <w:rsid w:val="00183723"/>
    <w:rsid w:val="00192482"/>
    <w:rsid w:val="00194AC7"/>
    <w:rsid w:val="00197787"/>
    <w:rsid w:val="001A2F1C"/>
    <w:rsid w:val="001A3A7F"/>
    <w:rsid w:val="001A41F2"/>
    <w:rsid w:val="001B12EF"/>
    <w:rsid w:val="001B473C"/>
    <w:rsid w:val="001C0876"/>
    <w:rsid w:val="001C1F1D"/>
    <w:rsid w:val="001C4FD8"/>
    <w:rsid w:val="001C737C"/>
    <w:rsid w:val="001D09D9"/>
    <w:rsid w:val="001E0BE2"/>
    <w:rsid w:val="001E70E3"/>
    <w:rsid w:val="001F1298"/>
    <w:rsid w:val="001F1F5B"/>
    <w:rsid w:val="001F7C45"/>
    <w:rsid w:val="0020384A"/>
    <w:rsid w:val="00203BEF"/>
    <w:rsid w:val="00204BE8"/>
    <w:rsid w:val="00205E99"/>
    <w:rsid w:val="00206E55"/>
    <w:rsid w:val="00212D70"/>
    <w:rsid w:val="002206F3"/>
    <w:rsid w:val="00222766"/>
    <w:rsid w:val="00231A38"/>
    <w:rsid w:val="00232478"/>
    <w:rsid w:val="00233BC8"/>
    <w:rsid w:val="0024383A"/>
    <w:rsid w:val="00250975"/>
    <w:rsid w:val="002529C7"/>
    <w:rsid w:val="00254518"/>
    <w:rsid w:val="00267FC1"/>
    <w:rsid w:val="00277E7A"/>
    <w:rsid w:val="00281B3A"/>
    <w:rsid w:val="00284932"/>
    <w:rsid w:val="0029142F"/>
    <w:rsid w:val="00291C15"/>
    <w:rsid w:val="00291F56"/>
    <w:rsid w:val="002A039C"/>
    <w:rsid w:val="002A77E6"/>
    <w:rsid w:val="002B126F"/>
    <w:rsid w:val="002C67EC"/>
    <w:rsid w:val="002C68AF"/>
    <w:rsid w:val="002D6430"/>
    <w:rsid w:val="002F7C77"/>
    <w:rsid w:val="00307D0E"/>
    <w:rsid w:val="00310D07"/>
    <w:rsid w:val="00311C6B"/>
    <w:rsid w:val="00316C58"/>
    <w:rsid w:val="00317443"/>
    <w:rsid w:val="00320B45"/>
    <w:rsid w:val="00322BA8"/>
    <w:rsid w:val="00336E5A"/>
    <w:rsid w:val="0034083A"/>
    <w:rsid w:val="00342518"/>
    <w:rsid w:val="003437CE"/>
    <w:rsid w:val="003517CD"/>
    <w:rsid w:val="00355F8C"/>
    <w:rsid w:val="00373830"/>
    <w:rsid w:val="00376415"/>
    <w:rsid w:val="00385F5A"/>
    <w:rsid w:val="003A2C21"/>
    <w:rsid w:val="003A3C6C"/>
    <w:rsid w:val="003B1C43"/>
    <w:rsid w:val="003C2957"/>
    <w:rsid w:val="003C330F"/>
    <w:rsid w:val="003C4045"/>
    <w:rsid w:val="003D44E7"/>
    <w:rsid w:val="003D5F06"/>
    <w:rsid w:val="003D7174"/>
    <w:rsid w:val="003F7BDC"/>
    <w:rsid w:val="003F7E09"/>
    <w:rsid w:val="00402896"/>
    <w:rsid w:val="00421102"/>
    <w:rsid w:val="004309F2"/>
    <w:rsid w:val="00431DB9"/>
    <w:rsid w:val="004427F4"/>
    <w:rsid w:val="00445322"/>
    <w:rsid w:val="004505C6"/>
    <w:rsid w:val="00461274"/>
    <w:rsid w:val="0047127D"/>
    <w:rsid w:val="00480D33"/>
    <w:rsid w:val="00481054"/>
    <w:rsid w:val="00481934"/>
    <w:rsid w:val="00492788"/>
    <w:rsid w:val="004A3892"/>
    <w:rsid w:val="004B1690"/>
    <w:rsid w:val="004B5D82"/>
    <w:rsid w:val="004C0C7F"/>
    <w:rsid w:val="004C1E1F"/>
    <w:rsid w:val="004C2280"/>
    <w:rsid w:val="004E5BD5"/>
    <w:rsid w:val="00503746"/>
    <w:rsid w:val="00506F98"/>
    <w:rsid w:val="00513572"/>
    <w:rsid w:val="00515FE0"/>
    <w:rsid w:val="00521C65"/>
    <w:rsid w:val="00521F7C"/>
    <w:rsid w:val="00522381"/>
    <w:rsid w:val="00531E2D"/>
    <w:rsid w:val="00536567"/>
    <w:rsid w:val="00542A2B"/>
    <w:rsid w:val="00542AEE"/>
    <w:rsid w:val="005611C6"/>
    <w:rsid w:val="005727DA"/>
    <w:rsid w:val="00575A7D"/>
    <w:rsid w:val="00580D29"/>
    <w:rsid w:val="00585501"/>
    <w:rsid w:val="005947F5"/>
    <w:rsid w:val="005961A3"/>
    <w:rsid w:val="00597566"/>
    <w:rsid w:val="005A1897"/>
    <w:rsid w:val="005A1AC7"/>
    <w:rsid w:val="005C04B2"/>
    <w:rsid w:val="005C5CEF"/>
    <w:rsid w:val="005C77B8"/>
    <w:rsid w:val="005D25F0"/>
    <w:rsid w:val="005D55E0"/>
    <w:rsid w:val="005D68B8"/>
    <w:rsid w:val="005E234F"/>
    <w:rsid w:val="005F009A"/>
    <w:rsid w:val="005F4947"/>
    <w:rsid w:val="005F5ADA"/>
    <w:rsid w:val="005F6E73"/>
    <w:rsid w:val="005F75A1"/>
    <w:rsid w:val="006211B4"/>
    <w:rsid w:val="00623919"/>
    <w:rsid w:val="006253BB"/>
    <w:rsid w:val="00627F0C"/>
    <w:rsid w:val="0063161D"/>
    <w:rsid w:val="00646E18"/>
    <w:rsid w:val="00647114"/>
    <w:rsid w:val="00652541"/>
    <w:rsid w:val="006668F6"/>
    <w:rsid w:val="00667281"/>
    <w:rsid w:val="00673504"/>
    <w:rsid w:val="00673974"/>
    <w:rsid w:val="006750D1"/>
    <w:rsid w:val="006766AD"/>
    <w:rsid w:val="00676CF5"/>
    <w:rsid w:val="00682051"/>
    <w:rsid w:val="00685113"/>
    <w:rsid w:val="00686AA6"/>
    <w:rsid w:val="00697A6F"/>
    <w:rsid w:val="006A3A2F"/>
    <w:rsid w:val="006A5E7E"/>
    <w:rsid w:val="006B0B9B"/>
    <w:rsid w:val="006B0E77"/>
    <w:rsid w:val="006D524D"/>
    <w:rsid w:val="006D73F3"/>
    <w:rsid w:val="006E0E3C"/>
    <w:rsid w:val="006E545F"/>
    <w:rsid w:val="006F2447"/>
    <w:rsid w:val="006F7854"/>
    <w:rsid w:val="00702A70"/>
    <w:rsid w:val="007039F3"/>
    <w:rsid w:val="00704DC3"/>
    <w:rsid w:val="0071249A"/>
    <w:rsid w:val="00713BF3"/>
    <w:rsid w:val="00714777"/>
    <w:rsid w:val="0072003E"/>
    <w:rsid w:val="00730801"/>
    <w:rsid w:val="00736F45"/>
    <w:rsid w:val="00737376"/>
    <w:rsid w:val="00745D17"/>
    <w:rsid w:val="007475BB"/>
    <w:rsid w:val="00751676"/>
    <w:rsid w:val="007544EB"/>
    <w:rsid w:val="007606F7"/>
    <w:rsid w:val="00770A03"/>
    <w:rsid w:val="0077162F"/>
    <w:rsid w:val="007769B3"/>
    <w:rsid w:val="007779B2"/>
    <w:rsid w:val="00784B87"/>
    <w:rsid w:val="007A3299"/>
    <w:rsid w:val="007A5626"/>
    <w:rsid w:val="007A66D3"/>
    <w:rsid w:val="007A7BA5"/>
    <w:rsid w:val="007B1802"/>
    <w:rsid w:val="007B2E24"/>
    <w:rsid w:val="007C103C"/>
    <w:rsid w:val="007C3B22"/>
    <w:rsid w:val="007C4FE9"/>
    <w:rsid w:val="007D00BE"/>
    <w:rsid w:val="007D0839"/>
    <w:rsid w:val="007D25AC"/>
    <w:rsid w:val="007E126D"/>
    <w:rsid w:val="007F0D12"/>
    <w:rsid w:val="007F5300"/>
    <w:rsid w:val="008036F7"/>
    <w:rsid w:val="0081120E"/>
    <w:rsid w:val="00821453"/>
    <w:rsid w:val="00824EB1"/>
    <w:rsid w:val="008266C9"/>
    <w:rsid w:val="00836EDA"/>
    <w:rsid w:val="00841DB4"/>
    <w:rsid w:val="0084247F"/>
    <w:rsid w:val="008432DC"/>
    <w:rsid w:val="008500D5"/>
    <w:rsid w:val="008568A2"/>
    <w:rsid w:val="0087755B"/>
    <w:rsid w:val="00886BC3"/>
    <w:rsid w:val="00894148"/>
    <w:rsid w:val="008A1D96"/>
    <w:rsid w:val="008A3808"/>
    <w:rsid w:val="008B556F"/>
    <w:rsid w:val="008B68F0"/>
    <w:rsid w:val="008C04F8"/>
    <w:rsid w:val="008C4794"/>
    <w:rsid w:val="008E01BE"/>
    <w:rsid w:val="008E4A39"/>
    <w:rsid w:val="008F060D"/>
    <w:rsid w:val="008F3373"/>
    <w:rsid w:val="008F563C"/>
    <w:rsid w:val="008F60A5"/>
    <w:rsid w:val="009070F7"/>
    <w:rsid w:val="009156DB"/>
    <w:rsid w:val="00931623"/>
    <w:rsid w:val="00937D34"/>
    <w:rsid w:val="0095119E"/>
    <w:rsid w:val="00952AF4"/>
    <w:rsid w:val="00962789"/>
    <w:rsid w:val="00966708"/>
    <w:rsid w:val="00970517"/>
    <w:rsid w:val="0098504E"/>
    <w:rsid w:val="009876DB"/>
    <w:rsid w:val="00990664"/>
    <w:rsid w:val="00995824"/>
    <w:rsid w:val="009A5D0A"/>
    <w:rsid w:val="009B2C9C"/>
    <w:rsid w:val="009B4BBF"/>
    <w:rsid w:val="009D4E62"/>
    <w:rsid w:val="009E2BF4"/>
    <w:rsid w:val="009F09DD"/>
    <w:rsid w:val="009F73E0"/>
    <w:rsid w:val="00A03ADC"/>
    <w:rsid w:val="00A0585C"/>
    <w:rsid w:val="00A062AC"/>
    <w:rsid w:val="00A07BFA"/>
    <w:rsid w:val="00A15880"/>
    <w:rsid w:val="00A258AC"/>
    <w:rsid w:val="00A319BA"/>
    <w:rsid w:val="00A31A6E"/>
    <w:rsid w:val="00A378B7"/>
    <w:rsid w:val="00A43FE7"/>
    <w:rsid w:val="00A44D3F"/>
    <w:rsid w:val="00A502EA"/>
    <w:rsid w:val="00A510DE"/>
    <w:rsid w:val="00A52341"/>
    <w:rsid w:val="00A556A3"/>
    <w:rsid w:val="00A6130A"/>
    <w:rsid w:val="00A74247"/>
    <w:rsid w:val="00A7525D"/>
    <w:rsid w:val="00A85325"/>
    <w:rsid w:val="00A93CD2"/>
    <w:rsid w:val="00A9655D"/>
    <w:rsid w:val="00AA02C9"/>
    <w:rsid w:val="00AD199A"/>
    <w:rsid w:val="00AD6168"/>
    <w:rsid w:val="00AE2206"/>
    <w:rsid w:val="00AF4ACE"/>
    <w:rsid w:val="00B021A5"/>
    <w:rsid w:val="00B033BA"/>
    <w:rsid w:val="00B13CB6"/>
    <w:rsid w:val="00B1549F"/>
    <w:rsid w:val="00B23106"/>
    <w:rsid w:val="00B25A9A"/>
    <w:rsid w:val="00B30AA4"/>
    <w:rsid w:val="00B30B9A"/>
    <w:rsid w:val="00B51781"/>
    <w:rsid w:val="00B53168"/>
    <w:rsid w:val="00B6122D"/>
    <w:rsid w:val="00B63A10"/>
    <w:rsid w:val="00B6603C"/>
    <w:rsid w:val="00B74CFA"/>
    <w:rsid w:val="00B80EE1"/>
    <w:rsid w:val="00B83FA0"/>
    <w:rsid w:val="00B90F5E"/>
    <w:rsid w:val="00B96911"/>
    <w:rsid w:val="00BA448B"/>
    <w:rsid w:val="00BA52F5"/>
    <w:rsid w:val="00BB241F"/>
    <w:rsid w:val="00BC72A3"/>
    <w:rsid w:val="00BD02C6"/>
    <w:rsid w:val="00BD34D9"/>
    <w:rsid w:val="00BF5321"/>
    <w:rsid w:val="00C01451"/>
    <w:rsid w:val="00C10150"/>
    <w:rsid w:val="00C132FA"/>
    <w:rsid w:val="00C24BFF"/>
    <w:rsid w:val="00C2692B"/>
    <w:rsid w:val="00C32149"/>
    <w:rsid w:val="00C37767"/>
    <w:rsid w:val="00C4000A"/>
    <w:rsid w:val="00C41B1B"/>
    <w:rsid w:val="00C518B4"/>
    <w:rsid w:val="00C63568"/>
    <w:rsid w:val="00C63A11"/>
    <w:rsid w:val="00C65523"/>
    <w:rsid w:val="00C71D4D"/>
    <w:rsid w:val="00C740A6"/>
    <w:rsid w:val="00C86854"/>
    <w:rsid w:val="00C87324"/>
    <w:rsid w:val="00CA166A"/>
    <w:rsid w:val="00CA2C87"/>
    <w:rsid w:val="00CA74D5"/>
    <w:rsid w:val="00CC0D7A"/>
    <w:rsid w:val="00CD042C"/>
    <w:rsid w:val="00CD4AB7"/>
    <w:rsid w:val="00CD4E55"/>
    <w:rsid w:val="00CE088F"/>
    <w:rsid w:val="00CE230D"/>
    <w:rsid w:val="00CE3399"/>
    <w:rsid w:val="00CE505B"/>
    <w:rsid w:val="00CF25D9"/>
    <w:rsid w:val="00CF28EB"/>
    <w:rsid w:val="00CF6EC6"/>
    <w:rsid w:val="00D00B68"/>
    <w:rsid w:val="00D02AE8"/>
    <w:rsid w:val="00D05E0D"/>
    <w:rsid w:val="00D0774A"/>
    <w:rsid w:val="00D33676"/>
    <w:rsid w:val="00D36CFC"/>
    <w:rsid w:val="00D456BA"/>
    <w:rsid w:val="00D47F13"/>
    <w:rsid w:val="00D50231"/>
    <w:rsid w:val="00D57028"/>
    <w:rsid w:val="00D572EC"/>
    <w:rsid w:val="00D65776"/>
    <w:rsid w:val="00D667D4"/>
    <w:rsid w:val="00D726CF"/>
    <w:rsid w:val="00D73502"/>
    <w:rsid w:val="00D9612A"/>
    <w:rsid w:val="00DA6CDC"/>
    <w:rsid w:val="00DB1051"/>
    <w:rsid w:val="00DB1DF3"/>
    <w:rsid w:val="00DC5080"/>
    <w:rsid w:val="00DD3463"/>
    <w:rsid w:val="00DF09D7"/>
    <w:rsid w:val="00DF1D10"/>
    <w:rsid w:val="00DF573F"/>
    <w:rsid w:val="00DF75BF"/>
    <w:rsid w:val="00E24A17"/>
    <w:rsid w:val="00E358BC"/>
    <w:rsid w:val="00E40A12"/>
    <w:rsid w:val="00E418C7"/>
    <w:rsid w:val="00E41E9B"/>
    <w:rsid w:val="00E43AFF"/>
    <w:rsid w:val="00E52AE5"/>
    <w:rsid w:val="00E55D9E"/>
    <w:rsid w:val="00E73B47"/>
    <w:rsid w:val="00E73C6D"/>
    <w:rsid w:val="00E76F4A"/>
    <w:rsid w:val="00E82250"/>
    <w:rsid w:val="00E87DCA"/>
    <w:rsid w:val="00E93E85"/>
    <w:rsid w:val="00EA3BB9"/>
    <w:rsid w:val="00EA78B2"/>
    <w:rsid w:val="00EB12A4"/>
    <w:rsid w:val="00EC2CB7"/>
    <w:rsid w:val="00EC723A"/>
    <w:rsid w:val="00EE0399"/>
    <w:rsid w:val="00EE0536"/>
    <w:rsid w:val="00EE301C"/>
    <w:rsid w:val="00EE3DAD"/>
    <w:rsid w:val="00EE45C4"/>
    <w:rsid w:val="00EE4D86"/>
    <w:rsid w:val="00EF04F8"/>
    <w:rsid w:val="00EF4373"/>
    <w:rsid w:val="00F0488B"/>
    <w:rsid w:val="00F07688"/>
    <w:rsid w:val="00F10CB2"/>
    <w:rsid w:val="00F15AC3"/>
    <w:rsid w:val="00F236C5"/>
    <w:rsid w:val="00F25C87"/>
    <w:rsid w:val="00F323F5"/>
    <w:rsid w:val="00F326A8"/>
    <w:rsid w:val="00F328FB"/>
    <w:rsid w:val="00F368B4"/>
    <w:rsid w:val="00F4257F"/>
    <w:rsid w:val="00F44573"/>
    <w:rsid w:val="00F52DCF"/>
    <w:rsid w:val="00F56792"/>
    <w:rsid w:val="00F56AED"/>
    <w:rsid w:val="00F6573B"/>
    <w:rsid w:val="00F76357"/>
    <w:rsid w:val="00F77B0F"/>
    <w:rsid w:val="00F87E6A"/>
    <w:rsid w:val="00F92496"/>
    <w:rsid w:val="00F93A7C"/>
    <w:rsid w:val="00FA465D"/>
    <w:rsid w:val="00FA74A1"/>
    <w:rsid w:val="00FA7A44"/>
    <w:rsid w:val="00FB4806"/>
    <w:rsid w:val="00FB6ED2"/>
    <w:rsid w:val="00FC10BA"/>
    <w:rsid w:val="00FC6D55"/>
    <w:rsid w:val="00FC7F91"/>
    <w:rsid w:val="00FD00F1"/>
    <w:rsid w:val="00FD2791"/>
    <w:rsid w:val="00FE372E"/>
    <w:rsid w:val="00FE5217"/>
    <w:rsid w:val="00FE5482"/>
    <w:rsid w:val="00FF73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DACF0"/>
  <w15:docId w15:val="{4FB4717D-5267-4DB7-B0CC-7F37108A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02C9"/>
    <w:pPr>
      <w:tabs>
        <w:tab w:val="left" w:pos="1701"/>
        <w:tab w:val="left" w:pos="2880"/>
      </w:tabs>
    </w:pPr>
    <w:rPr>
      <w:snapToGrid w:val="0"/>
      <w:sz w:val="20"/>
      <w:szCs w:val="24"/>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BalloonText">
    <w:name w:val="Balloon Text"/>
    <w:basedOn w:val="Normal"/>
    <w:link w:val="BalloonTextChar"/>
    <w:uiPriority w:val="99"/>
    <w:semiHidden/>
    <w:unhideWhenUsed/>
    <w:rsid w:val="00A74247"/>
    <w:rPr>
      <w:rFonts w:ascii="Tahoma" w:hAnsi="Tahoma" w:cs="Tahoma"/>
      <w:sz w:val="16"/>
      <w:szCs w:val="16"/>
    </w:rPr>
  </w:style>
  <w:style w:type="character" w:customStyle="1" w:styleId="BalloonTextChar">
    <w:name w:val="Balloon Text Char"/>
    <w:basedOn w:val="DefaultParagraphFont"/>
    <w:link w:val="BalloonText"/>
    <w:uiPriority w:val="99"/>
    <w:semiHidden/>
    <w:rsid w:val="00A74247"/>
    <w:rPr>
      <w:rFonts w:ascii="Tahoma" w:hAnsi="Tahoma" w:cs="Tahoma"/>
      <w:sz w:val="16"/>
      <w:szCs w:val="16"/>
      <w:lang w:eastAsia="en-US"/>
    </w:rPr>
  </w:style>
  <w:style w:type="character" w:customStyle="1" w:styleId="FooterChar">
    <w:name w:val="Footer Char"/>
    <w:basedOn w:val="DefaultParagraphFont"/>
    <w:link w:val="Footer"/>
    <w:uiPriority w:val="99"/>
    <w:rsid w:val="00AA02C9"/>
    <w:rPr>
      <w:snapToGrid w:val="0"/>
      <w:szCs w:val="24"/>
      <w:lang w:eastAsia="en-US"/>
    </w:rPr>
  </w:style>
  <w:style w:type="character" w:customStyle="1" w:styleId="Heading2Char">
    <w:name w:val="Heading 2 Char"/>
    <w:basedOn w:val="DefaultParagraphFont"/>
    <w:link w:val="Heading2"/>
    <w:uiPriority w:val="9"/>
    <w:rsid w:val="00355F8C"/>
    <w:rPr>
      <w:rFonts w:ascii="Arial" w:hAnsi="Arial" w:cs="Arial"/>
      <w:i/>
      <w:iCs/>
      <w:sz w:val="16"/>
      <w:szCs w:val="16"/>
      <w:lang w:eastAsia="en-US"/>
    </w:rPr>
  </w:style>
  <w:style w:type="character" w:styleId="Emphasis">
    <w:name w:val="Emphasis"/>
    <w:basedOn w:val="DefaultParagraphFont"/>
    <w:uiPriority w:val="20"/>
    <w:qFormat/>
    <w:rsid w:val="00461274"/>
    <w:rPr>
      <w:i/>
      <w:iCs/>
    </w:rPr>
  </w:style>
  <w:style w:type="character" w:customStyle="1" w:styleId="hit">
    <w:name w:val="hit"/>
    <w:basedOn w:val="DefaultParagraphFont"/>
    <w:rsid w:val="00503746"/>
  </w:style>
  <w:style w:type="character" w:customStyle="1" w:styleId="highlight">
    <w:name w:val="highlight"/>
    <w:basedOn w:val="DefaultParagraphFont"/>
    <w:rsid w:val="003437CE"/>
  </w:style>
  <w:style w:type="paragraph" w:customStyle="1" w:styleId="indent">
    <w:name w:val="indent"/>
    <w:basedOn w:val="Normal"/>
    <w:rsid w:val="007779B2"/>
    <w:pPr>
      <w:spacing w:before="100" w:beforeAutospacing="1" w:after="100" w:afterAutospacing="1"/>
    </w:pPr>
    <w:rPr>
      <w:szCs w:val="24"/>
      <w:lang w:eastAsia="en-AU"/>
    </w:rPr>
  </w:style>
  <w:style w:type="character" w:styleId="Strong">
    <w:name w:val="Strong"/>
    <w:basedOn w:val="DefaultParagraphFont"/>
    <w:uiPriority w:val="22"/>
    <w:qFormat/>
    <w:rsid w:val="00515FE0"/>
    <w:rPr>
      <w:b/>
      <w:bCs/>
    </w:rPr>
  </w:style>
  <w:style w:type="paragraph" w:styleId="PlainText">
    <w:name w:val="Plain Text"/>
    <w:basedOn w:val="Normal"/>
    <w:link w:val="PlainTextChar"/>
    <w:uiPriority w:val="99"/>
    <w:semiHidden/>
    <w:unhideWhenUsed/>
    <w:rsid w:val="007A562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5626"/>
    <w:rPr>
      <w:rFonts w:ascii="Calibri" w:eastAsiaTheme="minorHAnsi" w:hAnsi="Calibri" w:cstheme="minorBidi"/>
      <w:sz w:val="22"/>
      <w:szCs w:val="21"/>
      <w:lang w:eastAsia="en-US"/>
    </w:rPr>
  </w:style>
  <w:style w:type="character" w:customStyle="1" w:styleId="gmaildefault">
    <w:name w:val="gmail_default"/>
    <w:basedOn w:val="DefaultParagraphFont"/>
    <w:rsid w:val="00594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7671">
      <w:bodyDiv w:val="1"/>
      <w:marLeft w:val="0"/>
      <w:marRight w:val="0"/>
      <w:marTop w:val="0"/>
      <w:marBottom w:val="0"/>
      <w:divBdr>
        <w:top w:val="none" w:sz="0" w:space="0" w:color="auto"/>
        <w:left w:val="none" w:sz="0" w:space="0" w:color="auto"/>
        <w:bottom w:val="none" w:sz="0" w:space="0" w:color="auto"/>
        <w:right w:val="none" w:sz="0" w:space="0" w:color="auto"/>
      </w:divBdr>
    </w:div>
    <w:div w:id="696662864">
      <w:bodyDiv w:val="1"/>
      <w:marLeft w:val="0"/>
      <w:marRight w:val="0"/>
      <w:marTop w:val="0"/>
      <w:marBottom w:val="0"/>
      <w:divBdr>
        <w:top w:val="none" w:sz="0" w:space="0" w:color="auto"/>
        <w:left w:val="none" w:sz="0" w:space="0" w:color="auto"/>
        <w:bottom w:val="none" w:sz="0" w:space="0" w:color="auto"/>
        <w:right w:val="none" w:sz="0" w:space="0" w:color="auto"/>
      </w:divBdr>
    </w:div>
    <w:div w:id="764883904">
      <w:bodyDiv w:val="1"/>
      <w:marLeft w:val="0"/>
      <w:marRight w:val="0"/>
      <w:marTop w:val="0"/>
      <w:marBottom w:val="0"/>
      <w:divBdr>
        <w:top w:val="none" w:sz="0" w:space="0" w:color="auto"/>
        <w:left w:val="none" w:sz="0" w:space="0" w:color="auto"/>
        <w:bottom w:val="none" w:sz="0" w:space="0" w:color="auto"/>
        <w:right w:val="none" w:sz="0" w:space="0" w:color="auto"/>
      </w:divBdr>
    </w:div>
    <w:div w:id="843545577">
      <w:bodyDiv w:val="1"/>
      <w:marLeft w:val="0"/>
      <w:marRight w:val="0"/>
      <w:marTop w:val="0"/>
      <w:marBottom w:val="0"/>
      <w:divBdr>
        <w:top w:val="none" w:sz="0" w:space="0" w:color="auto"/>
        <w:left w:val="none" w:sz="0" w:space="0" w:color="auto"/>
        <w:bottom w:val="none" w:sz="0" w:space="0" w:color="auto"/>
        <w:right w:val="none" w:sz="0" w:space="0" w:color="auto"/>
      </w:divBdr>
    </w:div>
    <w:div w:id="972250084">
      <w:bodyDiv w:val="1"/>
      <w:marLeft w:val="0"/>
      <w:marRight w:val="0"/>
      <w:marTop w:val="0"/>
      <w:marBottom w:val="0"/>
      <w:divBdr>
        <w:top w:val="none" w:sz="0" w:space="0" w:color="auto"/>
        <w:left w:val="none" w:sz="0" w:space="0" w:color="auto"/>
        <w:bottom w:val="none" w:sz="0" w:space="0" w:color="auto"/>
        <w:right w:val="none" w:sz="0" w:space="0" w:color="auto"/>
      </w:divBdr>
    </w:div>
    <w:div w:id="1038817640">
      <w:bodyDiv w:val="1"/>
      <w:marLeft w:val="0"/>
      <w:marRight w:val="0"/>
      <w:marTop w:val="0"/>
      <w:marBottom w:val="0"/>
      <w:divBdr>
        <w:top w:val="none" w:sz="0" w:space="0" w:color="auto"/>
        <w:left w:val="none" w:sz="0" w:space="0" w:color="auto"/>
        <w:bottom w:val="none" w:sz="0" w:space="0" w:color="auto"/>
        <w:right w:val="none" w:sz="0" w:space="0" w:color="auto"/>
      </w:divBdr>
    </w:div>
    <w:div w:id="1138230625">
      <w:bodyDiv w:val="1"/>
      <w:marLeft w:val="0"/>
      <w:marRight w:val="0"/>
      <w:marTop w:val="0"/>
      <w:marBottom w:val="0"/>
      <w:divBdr>
        <w:top w:val="none" w:sz="0" w:space="0" w:color="auto"/>
        <w:left w:val="none" w:sz="0" w:space="0" w:color="auto"/>
        <w:bottom w:val="none" w:sz="0" w:space="0" w:color="auto"/>
        <w:right w:val="none" w:sz="0" w:space="0" w:color="auto"/>
      </w:divBdr>
    </w:div>
    <w:div w:id="1257320873">
      <w:bodyDiv w:val="1"/>
      <w:marLeft w:val="0"/>
      <w:marRight w:val="0"/>
      <w:marTop w:val="0"/>
      <w:marBottom w:val="0"/>
      <w:divBdr>
        <w:top w:val="none" w:sz="0" w:space="0" w:color="auto"/>
        <w:left w:val="none" w:sz="0" w:space="0" w:color="auto"/>
        <w:bottom w:val="none" w:sz="0" w:space="0" w:color="auto"/>
        <w:right w:val="none" w:sz="0" w:space="0" w:color="auto"/>
      </w:divBdr>
    </w:div>
    <w:div w:id="1421681692">
      <w:bodyDiv w:val="1"/>
      <w:marLeft w:val="0"/>
      <w:marRight w:val="0"/>
      <w:marTop w:val="0"/>
      <w:marBottom w:val="0"/>
      <w:divBdr>
        <w:top w:val="none" w:sz="0" w:space="0" w:color="auto"/>
        <w:left w:val="none" w:sz="0" w:space="0" w:color="auto"/>
        <w:bottom w:val="none" w:sz="0" w:space="0" w:color="auto"/>
        <w:right w:val="none" w:sz="0" w:space="0" w:color="auto"/>
      </w:divBdr>
    </w:div>
    <w:div w:id="1638149166">
      <w:bodyDiv w:val="1"/>
      <w:marLeft w:val="0"/>
      <w:marRight w:val="0"/>
      <w:marTop w:val="0"/>
      <w:marBottom w:val="0"/>
      <w:divBdr>
        <w:top w:val="none" w:sz="0" w:space="0" w:color="auto"/>
        <w:left w:val="none" w:sz="0" w:space="0" w:color="auto"/>
        <w:bottom w:val="none" w:sz="0" w:space="0" w:color="auto"/>
        <w:right w:val="none" w:sz="0" w:space="0" w:color="auto"/>
      </w:divBdr>
    </w:div>
    <w:div w:id="203754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CAC0C-AD9A-4143-BFD1-DA7355118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1797</Words>
  <Characters>10129</Characters>
  <Application>Microsoft Office Word</Application>
  <DocSecurity>0</DocSecurity>
  <Lines>336</Lines>
  <Paragraphs>67</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Anna Anderberg-Hewitt</dc:creator>
  <cp:lastModifiedBy>PCODCS</cp:lastModifiedBy>
  <cp:revision>4</cp:revision>
  <cp:lastPrinted>2004-04-05T00:37:00Z</cp:lastPrinted>
  <dcterms:created xsi:type="dcterms:W3CDTF">2022-09-13T02:17:00Z</dcterms:created>
  <dcterms:modified xsi:type="dcterms:W3CDTF">2022-09-13T02:17:00Z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A33834561</vt:lpwstr>
  </property>
  <property fmtid="{D5CDD505-2E9C-101B-9397-08002B2CF9AE}" pid="4" name="Objective-Title">
    <vt:lpwstr>Public Place Names (Whitlam) Determination 2022 (No 2)</vt:lpwstr>
  </property>
  <property fmtid="{D5CDD505-2E9C-101B-9397-08002B2CF9AE}" pid="5" name="Objective-Comment">
    <vt:lpwstr/>
  </property>
  <property fmtid="{D5CDD505-2E9C-101B-9397-08002B2CF9AE}" pid="6" name="Objective-CreationStamp">
    <vt:filetime>2022-04-28T01:34:13Z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2022-09-12T06:06:19Z</vt:filetime>
  </property>
  <property fmtid="{D5CDD505-2E9C-101B-9397-08002B2CF9AE}" pid="10" name="Objective-ModificationStamp">
    <vt:filetime>2022-09-12T06:06:19Z</vt:filetime>
  </property>
  <property fmtid="{D5CDD505-2E9C-101B-9397-08002B2CF9AE}" pid="11" name="Objective-Owner">
    <vt:lpwstr>Sharon Priestly</vt:lpwstr>
  </property>
  <property fmtid="{D5CDD505-2E9C-101B-9397-08002B2CF9AE}" pid="12" name="Objective-Path">
    <vt:lpwstr>Whole of ACT Government:EPSDD - Environment Planning and Sustainable Development Directorate:07. Ministerial, Cabinet and Government Relations:07. Executive Briefs &amp; Correspondence:Director-General, Chief Planning Executive and Utilities Technical Regulator:2015 - Director-General Correspondence:Office of the Surveyor-General:Public Place Names Briefs:22/51965 - Public Place Names (Whitlam) Determination 2022 (No 2):</vt:lpwstr>
  </property>
  <property fmtid="{D5CDD505-2E9C-101B-9397-08002B2CF9AE}" pid="13" name="Objective-Parent">
    <vt:lpwstr>22/51965 - Public Place Names (Whitlam) Determination 2022 (No 2)</vt:lpwstr>
  </property>
  <property fmtid="{D5CDD505-2E9C-101B-9397-08002B2CF9AE}" pid="14" name="Objective-State">
    <vt:lpwstr>Published</vt:lpwstr>
  </property>
  <property fmtid="{D5CDD505-2E9C-101B-9397-08002B2CF9AE}" pid="15" name="Objective-Version">
    <vt:lpwstr>42.0</vt:lpwstr>
  </property>
  <property fmtid="{D5CDD505-2E9C-101B-9397-08002B2CF9AE}" pid="16" name="Objective-VersionNumber">
    <vt:r8>47</vt:r8>
  </property>
  <property fmtid="{D5CDD505-2E9C-101B-9397-08002B2CF9AE}" pid="17" name="Objective-VersionComment">
    <vt:lpwstr/>
  </property>
  <property fmtid="{D5CDD505-2E9C-101B-9397-08002B2CF9AE}" pid="18" name="Objective-FileNumber">
    <vt:lpwstr>1-2022/51965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ies>
</file>