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7CCE" w14:textId="77777777" w:rsidR="0040017A" w:rsidRPr="00B15F4C" w:rsidRDefault="0040017A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  <w:r w:rsidRPr="00B15F4C">
        <w:rPr>
          <w:rFonts w:ascii="Arial" w:hAnsi="Arial" w:cs="Arial"/>
        </w:rPr>
        <w:t>Australian Capital Territory</w:t>
      </w:r>
    </w:p>
    <w:p w14:paraId="26C8CC3F" w14:textId="77233DC6" w:rsidR="0040017A" w:rsidRPr="00D74CCF" w:rsidRDefault="0040017A">
      <w:pPr>
        <w:pStyle w:val="Billname"/>
        <w:spacing w:before="700"/>
      </w:pPr>
      <w:r w:rsidRPr="00D74CCF">
        <w:t>Planning and Devel</w:t>
      </w:r>
      <w:r w:rsidR="004326B6" w:rsidRPr="00D74CCF">
        <w:t xml:space="preserve">opment (Fees) Determination </w:t>
      </w:r>
      <w:r w:rsidR="00BA26A4">
        <w:t>2023</w:t>
      </w:r>
    </w:p>
    <w:p w14:paraId="00504576" w14:textId="5519001B" w:rsidR="0040017A" w:rsidRPr="00D74CCF" w:rsidRDefault="0040017A" w:rsidP="001E366B">
      <w:pPr>
        <w:spacing w:before="340"/>
        <w:rPr>
          <w:rFonts w:ascii="Arial" w:hAnsi="Arial" w:cs="Arial"/>
          <w:b/>
          <w:bCs/>
          <w:vertAlign w:val="superscript"/>
        </w:rPr>
      </w:pPr>
      <w:bookmarkStart w:id="0" w:name="Citation"/>
      <w:r w:rsidRPr="00D74CCF">
        <w:rPr>
          <w:rFonts w:ascii="Arial" w:hAnsi="Arial" w:cs="Arial"/>
          <w:b/>
          <w:bCs/>
        </w:rPr>
        <w:t>Di</w:t>
      </w:r>
      <w:r w:rsidR="004326B6" w:rsidRPr="00D74CCF">
        <w:rPr>
          <w:rFonts w:ascii="Arial" w:hAnsi="Arial" w:cs="Arial"/>
          <w:b/>
          <w:bCs/>
        </w:rPr>
        <w:t xml:space="preserve">sallowable </w:t>
      </w:r>
      <w:r w:rsidR="001E366B">
        <w:rPr>
          <w:rFonts w:ascii="Arial" w:hAnsi="Arial" w:cs="Arial"/>
          <w:b/>
          <w:bCs/>
        </w:rPr>
        <w:t>i</w:t>
      </w:r>
      <w:r w:rsidR="004326B6" w:rsidRPr="00D74CCF">
        <w:rPr>
          <w:rFonts w:ascii="Arial" w:hAnsi="Arial" w:cs="Arial"/>
          <w:b/>
          <w:bCs/>
        </w:rPr>
        <w:t xml:space="preserve">nstrument </w:t>
      </w:r>
      <w:r w:rsidR="004326B6" w:rsidRPr="004550ED">
        <w:rPr>
          <w:rFonts w:ascii="Arial" w:hAnsi="Arial" w:cs="Arial"/>
          <w:b/>
          <w:bCs/>
        </w:rPr>
        <w:t>DI</w:t>
      </w:r>
      <w:r w:rsidR="00BA26A4">
        <w:rPr>
          <w:rFonts w:ascii="Arial" w:hAnsi="Arial" w:cs="Arial"/>
          <w:b/>
          <w:bCs/>
        </w:rPr>
        <w:t>2023</w:t>
      </w:r>
      <w:r w:rsidR="0073324B">
        <w:rPr>
          <w:rFonts w:ascii="Arial" w:hAnsi="Arial" w:cs="Arial"/>
          <w:b/>
          <w:bCs/>
        </w:rPr>
        <w:t>–</w:t>
      </w:r>
      <w:r w:rsidR="00951E91">
        <w:rPr>
          <w:rFonts w:ascii="Arial" w:hAnsi="Arial" w:cs="Arial"/>
          <w:b/>
          <w:bCs/>
        </w:rPr>
        <w:t>139</w:t>
      </w:r>
    </w:p>
    <w:p w14:paraId="228578AA" w14:textId="77777777" w:rsidR="0040017A" w:rsidRPr="00DC2DC3" w:rsidRDefault="0040017A" w:rsidP="001E366B">
      <w:pPr>
        <w:pStyle w:val="madeunder"/>
        <w:spacing w:before="300" w:after="0"/>
      </w:pPr>
      <w:r w:rsidRPr="00DC2DC3">
        <w:t>made under the</w:t>
      </w:r>
    </w:p>
    <w:p w14:paraId="7572DF75" w14:textId="77777777" w:rsidR="0040017A" w:rsidRPr="00D74CCF" w:rsidRDefault="0040017A" w:rsidP="001E366B">
      <w:pPr>
        <w:pStyle w:val="CoverActName"/>
        <w:spacing w:before="320" w:after="0"/>
        <w:rPr>
          <w:sz w:val="20"/>
          <w:szCs w:val="20"/>
          <w:vertAlign w:val="superscript"/>
        </w:rPr>
      </w:pPr>
      <w:r w:rsidRPr="00D74CCF">
        <w:rPr>
          <w:sz w:val="20"/>
          <w:szCs w:val="20"/>
        </w:rPr>
        <w:t>Planning and Development Act 2007, s 424 (Determination of fees)</w:t>
      </w:r>
    </w:p>
    <w:bookmarkEnd w:id="0"/>
    <w:p w14:paraId="52F38197" w14:textId="77777777" w:rsidR="0040017A" w:rsidRPr="00DC2DC3" w:rsidRDefault="0040017A" w:rsidP="001E366B">
      <w:pPr>
        <w:pStyle w:val="N-line3"/>
        <w:pBdr>
          <w:bottom w:val="none" w:sz="0" w:space="0" w:color="auto"/>
        </w:pBdr>
        <w:spacing w:before="60"/>
      </w:pPr>
    </w:p>
    <w:p w14:paraId="62BF61E2" w14:textId="77777777" w:rsidR="0040017A" w:rsidRPr="00DC2DC3" w:rsidRDefault="0040017A">
      <w:pPr>
        <w:pStyle w:val="N-line3"/>
        <w:pBdr>
          <w:top w:val="single" w:sz="12" w:space="1" w:color="auto"/>
          <w:bottom w:val="none" w:sz="0" w:space="0" w:color="auto"/>
        </w:pBdr>
      </w:pPr>
    </w:p>
    <w:p w14:paraId="631B07BF" w14:textId="77777777" w:rsidR="0040017A" w:rsidRPr="001E366B" w:rsidRDefault="0040017A" w:rsidP="001E366B">
      <w:pPr>
        <w:numPr>
          <w:ilvl w:val="0"/>
          <w:numId w:val="4"/>
        </w:numPr>
        <w:spacing w:before="60"/>
        <w:ind w:left="0" w:firstLine="0"/>
        <w:rPr>
          <w:rFonts w:ascii="Arial" w:hAnsi="Arial" w:cs="Arial"/>
          <w:b/>
          <w:bCs/>
        </w:rPr>
      </w:pPr>
      <w:r w:rsidRPr="001E366B">
        <w:rPr>
          <w:rFonts w:ascii="Arial" w:hAnsi="Arial" w:cs="Arial"/>
          <w:b/>
          <w:bCs/>
        </w:rPr>
        <w:t>Name of Instrument</w:t>
      </w:r>
    </w:p>
    <w:p w14:paraId="1F0512C4" w14:textId="57C4E25C" w:rsidR="0040017A" w:rsidRPr="00DC2DC3" w:rsidRDefault="0040017A" w:rsidP="001E366B">
      <w:pPr>
        <w:pStyle w:val="BodyTextIndent3"/>
        <w:tabs>
          <w:tab w:val="num" w:pos="851"/>
        </w:tabs>
        <w:spacing w:before="140"/>
        <w:ind w:left="720"/>
        <w:rPr>
          <w:i/>
          <w:iCs/>
        </w:rPr>
      </w:pPr>
      <w:r w:rsidRPr="00DC2DC3">
        <w:t xml:space="preserve">This instrument is the </w:t>
      </w:r>
      <w:r w:rsidRPr="00DC2DC3">
        <w:rPr>
          <w:i/>
          <w:iCs/>
        </w:rPr>
        <w:t>Planning and Devel</w:t>
      </w:r>
      <w:r w:rsidR="004326B6" w:rsidRPr="00DC2DC3">
        <w:rPr>
          <w:i/>
          <w:iCs/>
        </w:rPr>
        <w:t xml:space="preserve">opment (Fees) Determination </w:t>
      </w:r>
      <w:r w:rsidR="00BA26A4">
        <w:rPr>
          <w:i/>
          <w:iCs/>
        </w:rPr>
        <w:t>2023</w:t>
      </w:r>
      <w:r w:rsidRPr="00DC2DC3">
        <w:rPr>
          <w:i/>
          <w:iCs/>
        </w:rPr>
        <w:t>.</w:t>
      </w:r>
    </w:p>
    <w:p w14:paraId="20AD9DA8" w14:textId="77777777" w:rsidR="0040017A" w:rsidRPr="001E366B" w:rsidRDefault="0040017A" w:rsidP="001E366B">
      <w:pPr>
        <w:numPr>
          <w:ilvl w:val="0"/>
          <w:numId w:val="4"/>
        </w:numPr>
        <w:spacing w:before="300"/>
        <w:ind w:left="0" w:firstLine="0"/>
        <w:rPr>
          <w:rFonts w:ascii="Arial" w:hAnsi="Arial" w:cs="Arial"/>
          <w:b/>
          <w:bCs/>
        </w:rPr>
      </w:pPr>
      <w:r w:rsidRPr="001E366B">
        <w:rPr>
          <w:rFonts w:ascii="Arial" w:hAnsi="Arial" w:cs="Arial"/>
          <w:b/>
          <w:bCs/>
        </w:rPr>
        <w:t>Commencement</w:t>
      </w:r>
    </w:p>
    <w:p w14:paraId="3F85EF34" w14:textId="4E4AF823" w:rsidR="0040017A" w:rsidRPr="00DC2DC3" w:rsidRDefault="0040017A" w:rsidP="001E366B">
      <w:pPr>
        <w:pStyle w:val="BodyTextIndent3"/>
        <w:tabs>
          <w:tab w:val="num" w:pos="851"/>
        </w:tabs>
        <w:spacing w:before="140"/>
        <w:ind w:left="720"/>
      </w:pPr>
      <w:r w:rsidRPr="00DC2DC3">
        <w:t>This ins</w:t>
      </w:r>
      <w:r w:rsidR="004326B6" w:rsidRPr="00DC2DC3">
        <w:t xml:space="preserve">trument commences on 1 July </w:t>
      </w:r>
      <w:r w:rsidR="00BA26A4">
        <w:t>2023</w:t>
      </w:r>
      <w:r w:rsidRPr="00DC2DC3">
        <w:t>.</w:t>
      </w:r>
    </w:p>
    <w:p w14:paraId="10366813" w14:textId="77777777" w:rsidR="0040017A" w:rsidRPr="001E366B" w:rsidRDefault="0040017A" w:rsidP="001E366B">
      <w:pPr>
        <w:numPr>
          <w:ilvl w:val="0"/>
          <w:numId w:val="4"/>
        </w:numPr>
        <w:spacing w:before="300"/>
        <w:ind w:left="0" w:firstLine="0"/>
        <w:rPr>
          <w:rFonts w:ascii="Arial" w:hAnsi="Arial" w:cs="Arial"/>
          <w:b/>
          <w:bCs/>
        </w:rPr>
      </w:pPr>
      <w:r w:rsidRPr="001E366B">
        <w:rPr>
          <w:rFonts w:ascii="Arial" w:hAnsi="Arial" w:cs="Arial"/>
          <w:b/>
          <w:bCs/>
        </w:rPr>
        <w:t>Determination of fees</w:t>
      </w:r>
    </w:p>
    <w:p w14:paraId="12434DA3" w14:textId="7A6C4F34" w:rsidR="0040017A" w:rsidRPr="00DC2DC3" w:rsidRDefault="00D74CCF" w:rsidP="001E366B">
      <w:pPr>
        <w:pStyle w:val="BodyTextIndent3"/>
        <w:spacing w:before="140"/>
        <w:ind w:left="720"/>
      </w:pPr>
      <w:r>
        <w:t xml:space="preserve">I determine the fee payable for a matter listed in column </w:t>
      </w:r>
      <w:r w:rsidR="0073324B">
        <w:t xml:space="preserve">3 </w:t>
      </w:r>
      <w:r>
        <w:t xml:space="preserve">of the schedule to be the fee listed in the corresponding entry in column </w:t>
      </w:r>
      <w:r w:rsidR="0073324B">
        <w:t xml:space="preserve">5 </w:t>
      </w:r>
      <w:r>
        <w:t>of the schedule</w:t>
      </w:r>
      <w:r w:rsidR="00BD2D86">
        <w:t xml:space="preserve">. </w:t>
      </w:r>
    </w:p>
    <w:p w14:paraId="3B062A8D" w14:textId="77777777" w:rsidR="0040017A" w:rsidRPr="001E366B" w:rsidRDefault="0040017A" w:rsidP="001E366B">
      <w:pPr>
        <w:numPr>
          <w:ilvl w:val="0"/>
          <w:numId w:val="4"/>
        </w:numPr>
        <w:spacing w:before="300"/>
        <w:ind w:left="0" w:firstLine="0"/>
        <w:rPr>
          <w:rFonts w:ascii="Arial" w:hAnsi="Arial" w:cs="Arial"/>
          <w:b/>
          <w:bCs/>
        </w:rPr>
      </w:pPr>
      <w:r w:rsidRPr="001E366B">
        <w:rPr>
          <w:rFonts w:ascii="Arial" w:hAnsi="Arial" w:cs="Arial"/>
          <w:b/>
          <w:bCs/>
        </w:rPr>
        <w:t>Payment of fees</w:t>
      </w:r>
    </w:p>
    <w:p w14:paraId="769B2FDF" w14:textId="77777777" w:rsidR="0040017A" w:rsidRPr="00DC2DC3" w:rsidRDefault="00D74CCF" w:rsidP="001E366B">
      <w:pPr>
        <w:pStyle w:val="BodyTextIndent3"/>
        <w:tabs>
          <w:tab w:val="num" w:pos="851"/>
        </w:tabs>
        <w:spacing w:before="140"/>
        <w:ind w:left="720"/>
      </w:pPr>
      <w:r>
        <w:t xml:space="preserve">A fee mentioned in the schedule is payable to the </w:t>
      </w:r>
      <w:r w:rsidR="00B9095C">
        <w:t>Territory</w:t>
      </w:r>
      <w:r>
        <w:t xml:space="preserve"> by the person requesting the goods or services described in the schedule.</w:t>
      </w:r>
      <w:r w:rsidDel="00B425B1">
        <w:t xml:space="preserve"> </w:t>
      </w:r>
    </w:p>
    <w:p w14:paraId="3A88773F" w14:textId="77777777" w:rsidR="0040017A" w:rsidRPr="001E366B" w:rsidRDefault="0040017A" w:rsidP="001E366B">
      <w:pPr>
        <w:numPr>
          <w:ilvl w:val="0"/>
          <w:numId w:val="4"/>
        </w:numPr>
        <w:spacing w:before="300"/>
        <w:ind w:left="0" w:firstLine="0"/>
        <w:rPr>
          <w:rFonts w:ascii="Arial" w:hAnsi="Arial" w:cs="Arial"/>
          <w:b/>
          <w:bCs/>
        </w:rPr>
      </w:pPr>
      <w:r w:rsidRPr="001E366B">
        <w:rPr>
          <w:rFonts w:ascii="Arial" w:hAnsi="Arial" w:cs="Arial"/>
          <w:b/>
          <w:bCs/>
        </w:rPr>
        <w:t>Revocation</w:t>
      </w:r>
    </w:p>
    <w:p w14:paraId="205381D5" w14:textId="248ABC86" w:rsidR="0040017A" w:rsidRDefault="00B12778" w:rsidP="001E366B">
      <w:pPr>
        <w:pStyle w:val="BodyTextIndent3"/>
        <w:tabs>
          <w:tab w:val="num" w:pos="851"/>
        </w:tabs>
        <w:spacing w:before="140"/>
        <w:ind w:left="720"/>
      </w:pPr>
      <w:r>
        <w:t>This instrument</w:t>
      </w:r>
      <w:r w:rsidR="00D74CCF">
        <w:t xml:space="preserve"> revoke</w:t>
      </w:r>
      <w:r>
        <w:t>s</w:t>
      </w:r>
      <w:r w:rsidR="00D74CCF">
        <w:t xml:space="preserve"> the </w:t>
      </w:r>
      <w:r w:rsidR="00D74CCF">
        <w:rPr>
          <w:i/>
        </w:rPr>
        <w:t>Planning and Devel</w:t>
      </w:r>
      <w:r w:rsidR="00277418">
        <w:rPr>
          <w:i/>
        </w:rPr>
        <w:t>opment (Fees) Determination 20</w:t>
      </w:r>
      <w:r w:rsidR="007D0181">
        <w:rPr>
          <w:i/>
        </w:rPr>
        <w:t>2</w:t>
      </w:r>
      <w:r w:rsidR="009268B1">
        <w:rPr>
          <w:i/>
        </w:rPr>
        <w:t>2</w:t>
      </w:r>
      <w:r w:rsidR="00277418">
        <w:rPr>
          <w:i/>
        </w:rPr>
        <w:t xml:space="preserve"> </w:t>
      </w:r>
      <w:r w:rsidR="00D74CCF">
        <w:t>(DI</w:t>
      </w:r>
      <w:r w:rsidR="00D74CCF" w:rsidRPr="007D3148">
        <w:t>20</w:t>
      </w:r>
      <w:r w:rsidR="007D0181">
        <w:t>2</w:t>
      </w:r>
      <w:r w:rsidR="009268B1">
        <w:t>2</w:t>
      </w:r>
      <w:r w:rsidR="00D74CCF" w:rsidRPr="007D3148">
        <w:noBreakHyphen/>
        <w:t>1</w:t>
      </w:r>
      <w:r w:rsidR="009268B1">
        <w:t>12</w:t>
      </w:r>
      <w:r w:rsidR="00D74CCF">
        <w:t>).</w:t>
      </w:r>
    </w:p>
    <w:p w14:paraId="44A5E63C" w14:textId="2B7E6D94" w:rsidR="00DA43C7" w:rsidRDefault="00DA43C7" w:rsidP="001E366B">
      <w:pPr>
        <w:pStyle w:val="BodyTextIndent3"/>
        <w:tabs>
          <w:tab w:val="num" w:pos="851"/>
        </w:tabs>
        <w:spacing w:before="140"/>
        <w:ind w:left="720"/>
      </w:pPr>
    </w:p>
    <w:p w14:paraId="2C3EA22E" w14:textId="77777777" w:rsidR="00DA43C7" w:rsidRPr="00DC2DC3" w:rsidRDefault="00DA43C7" w:rsidP="001E366B">
      <w:pPr>
        <w:pStyle w:val="BodyTextIndent3"/>
        <w:tabs>
          <w:tab w:val="num" w:pos="851"/>
        </w:tabs>
        <w:spacing w:before="140"/>
        <w:ind w:left="720"/>
      </w:pPr>
    </w:p>
    <w:p w14:paraId="3EA888F8" w14:textId="77777777" w:rsidR="0040017A" w:rsidRPr="00DC2DC3" w:rsidRDefault="00ED7265" w:rsidP="003B121E">
      <w:pPr>
        <w:tabs>
          <w:tab w:val="left" w:pos="4500"/>
        </w:tabs>
        <w:spacing w:before="720"/>
      </w:pPr>
      <w:r w:rsidRPr="00DC2DC3">
        <w:t>Mick Gentleman</w:t>
      </w:r>
      <w:r w:rsidR="001E366B">
        <w:t xml:space="preserve"> MLA</w:t>
      </w:r>
      <w:r w:rsidR="0040017A" w:rsidRPr="00DC2DC3">
        <w:br/>
        <w:t xml:space="preserve">Minister for </w:t>
      </w:r>
      <w:r w:rsidRPr="00DC2DC3">
        <w:t>Planning</w:t>
      </w:r>
      <w:r w:rsidR="007849DE" w:rsidRPr="00DC2DC3">
        <w:t xml:space="preserve"> </w:t>
      </w:r>
      <w:r w:rsidR="00D74CCF">
        <w:t>and Land Management</w:t>
      </w:r>
    </w:p>
    <w:p w14:paraId="629B5B99" w14:textId="3892403D" w:rsidR="0040017A" w:rsidRPr="00DC2DC3" w:rsidRDefault="00951E91" w:rsidP="00FB6009">
      <w:pPr>
        <w:tabs>
          <w:tab w:val="left" w:pos="4500"/>
        </w:tabs>
      </w:pPr>
      <w:r>
        <w:t>22</w:t>
      </w:r>
      <w:r w:rsidR="00C46087">
        <w:t xml:space="preserve"> </w:t>
      </w:r>
      <w:r w:rsidR="00D316B8">
        <w:t>June</w:t>
      </w:r>
      <w:r w:rsidR="00FB6009">
        <w:t xml:space="preserve"> </w:t>
      </w:r>
      <w:r w:rsidR="00BA26A4">
        <w:t>2023</w:t>
      </w:r>
    </w:p>
    <w:p w14:paraId="7D15DDB0" w14:textId="77777777" w:rsidR="0040017A" w:rsidRPr="00DC2DC3" w:rsidRDefault="0040017A">
      <w:pPr>
        <w:tabs>
          <w:tab w:val="left" w:pos="4500"/>
        </w:tabs>
      </w:pPr>
    </w:p>
    <w:p w14:paraId="4AE6925C" w14:textId="77777777" w:rsidR="0040017A" w:rsidRPr="00DC2DC3" w:rsidRDefault="0040017A">
      <w:pPr>
        <w:tabs>
          <w:tab w:val="left" w:pos="4500"/>
        </w:tabs>
        <w:sectPr w:rsidR="0040017A" w:rsidRPr="00DC2DC3" w:rsidSect="003B12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1797" w:bottom="1440" w:left="1797" w:header="720" w:footer="720" w:gutter="0"/>
          <w:pgNumType w:start="1"/>
          <w:cols w:space="720"/>
          <w:titlePg/>
        </w:sectPr>
      </w:pPr>
    </w:p>
    <w:p w14:paraId="0A89C325" w14:textId="77777777" w:rsidR="00821CB4" w:rsidRPr="00DC2DC3" w:rsidRDefault="001E366B">
      <w:pPr>
        <w:tabs>
          <w:tab w:val="left" w:pos="4500"/>
        </w:tabs>
      </w:pPr>
      <w:r>
        <w:br w:type="page"/>
      </w:r>
    </w:p>
    <w:p w14:paraId="2343440F" w14:textId="77777777" w:rsidR="007D0181" w:rsidRPr="00B15F4C" w:rsidRDefault="007D0181" w:rsidP="007D0181">
      <w:pPr>
        <w:pStyle w:val="Header"/>
        <w:ind w:right="360"/>
        <w:rPr>
          <w:rFonts w:ascii="Arial" w:hAnsi="Arial" w:cs="Arial"/>
          <w:b/>
          <w:iCs/>
          <w:sz w:val="22"/>
          <w:szCs w:val="22"/>
        </w:rPr>
      </w:pPr>
      <w:r w:rsidRPr="00B15F4C">
        <w:rPr>
          <w:rFonts w:ascii="Arial" w:hAnsi="Arial" w:cs="Arial"/>
          <w:b/>
          <w:iCs/>
          <w:sz w:val="22"/>
          <w:szCs w:val="22"/>
        </w:rPr>
        <w:lastRenderedPageBreak/>
        <w:t>Schedule</w:t>
      </w:r>
    </w:p>
    <w:p w14:paraId="6696A87F" w14:textId="77777777" w:rsidR="007D0181" w:rsidRDefault="007D0181" w:rsidP="007D0181">
      <w:pPr>
        <w:pStyle w:val="Header"/>
        <w:ind w:right="360"/>
      </w:pPr>
      <w:r w:rsidRPr="00B15F4C">
        <w:rPr>
          <w:iCs/>
          <w:sz w:val="22"/>
          <w:szCs w:val="22"/>
        </w:rPr>
        <w:t>(see s 3)</w:t>
      </w:r>
    </w:p>
    <w:tbl>
      <w:tblPr>
        <w:tblW w:w="10045" w:type="dxa"/>
        <w:tblInd w:w="-788" w:type="dxa"/>
        <w:tblLook w:val="04A0" w:firstRow="1" w:lastRow="0" w:firstColumn="1" w:lastColumn="0" w:noHBand="0" w:noVBand="1"/>
      </w:tblPr>
      <w:tblGrid>
        <w:gridCol w:w="1247"/>
        <w:gridCol w:w="1259"/>
        <w:gridCol w:w="4250"/>
        <w:gridCol w:w="1579"/>
        <w:gridCol w:w="1710"/>
      </w:tblGrid>
      <w:tr w:rsidR="008E1B0D" w:rsidRPr="008E1B0D" w14:paraId="4B8AD20D" w14:textId="56AD6FE3" w:rsidTr="00866CB9">
        <w:trPr>
          <w:trHeight w:val="300"/>
          <w:tblHeader/>
        </w:trPr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EADF77C" w14:textId="6D66C2CA" w:rsidR="00BA26A4" w:rsidRPr="008E1B0D" w:rsidRDefault="00BA26A4" w:rsidP="00BA26A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AU"/>
              </w:rPr>
              <w:t>Column 1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38DB3" w14:textId="0C684420" w:rsidR="00BA26A4" w:rsidRPr="008E1B0D" w:rsidRDefault="00BA26A4" w:rsidP="00BA26A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AU"/>
              </w:rPr>
              <w:t>Column 2</w:t>
            </w:r>
          </w:p>
        </w:tc>
        <w:tc>
          <w:tcPr>
            <w:tcW w:w="42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FF169" w14:textId="170A4636" w:rsidR="00BA26A4" w:rsidRPr="008E1B0D" w:rsidRDefault="00BA26A4" w:rsidP="00BA26A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AU"/>
              </w:rPr>
              <w:t>Column 3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58136" w14:textId="1672A498" w:rsidR="00BA26A4" w:rsidRPr="008E1B0D" w:rsidRDefault="00BA26A4" w:rsidP="00BA26A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AU"/>
              </w:rPr>
              <w:t>Column 4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6AA3DF7" w14:textId="3A52C11C" w:rsidR="00BA26A4" w:rsidRPr="008E1B0D" w:rsidRDefault="00BA26A4" w:rsidP="00BA26A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AU"/>
              </w:rPr>
              <w:t>Column 5</w:t>
            </w:r>
          </w:p>
        </w:tc>
      </w:tr>
      <w:tr w:rsidR="008E1B0D" w:rsidRPr="008E1B0D" w14:paraId="582D8ED4" w14:textId="5C181926" w:rsidTr="00866CB9">
        <w:trPr>
          <w:trHeight w:val="2100"/>
          <w:tblHeader/>
        </w:trPr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C4805F" w14:textId="10A43A7C" w:rsidR="00BA26A4" w:rsidRPr="008E1B0D" w:rsidRDefault="00BA26A4" w:rsidP="00BA26A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AU"/>
              </w:rPr>
              <w:t>Item number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A929F8" w14:textId="72FC5E8F" w:rsidR="00BA26A4" w:rsidRPr="008E1B0D" w:rsidRDefault="00BA26A4" w:rsidP="00BA26A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AU"/>
              </w:rPr>
              <w:t>Relevant Chapter and Part of the Act for which a fee is payable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BBE27E" w14:textId="77777777" w:rsidR="00BA26A4" w:rsidRPr="008E1B0D" w:rsidRDefault="00BA26A4" w:rsidP="00BA26A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AU"/>
              </w:rPr>
              <w:t>Description of matter for which fee is payable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0050ED" w14:textId="77777777" w:rsidR="00BA26A4" w:rsidRPr="008E1B0D" w:rsidRDefault="00BA26A4" w:rsidP="00BA26A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AU"/>
              </w:rPr>
              <w:t>Fee Payable GST Exempt</w:t>
            </w:r>
            <w:r w:rsidRPr="008E1B0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AU"/>
              </w:rPr>
              <w:br/>
              <w:t>2022-23</w:t>
            </w:r>
            <w:r w:rsidRPr="008E1B0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AU"/>
              </w:rPr>
              <w:br/>
              <w:t>$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89C0A4" w14:textId="2C016FC3" w:rsidR="00BA26A4" w:rsidRPr="008E1B0D" w:rsidRDefault="00BA26A4" w:rsidP="00BA26A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AU"/>
              </w:rPr>
              <w:t>Fee Payable GST Exempt</w:t>
            </w:r>
            <w:r w:rsidRPr="008E1B0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AU"/>
              </w:rPr>
              <w:br/>
              <w:t>2023-24</w:t>
            </w:r>
            <w:r w:rsidRPr="008E1B0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AU"/>
              </w:rPr>
              <w:br/>
              <w:t>$</w:t>
            </w:r>
          </w:p>
        </w:tc>
      </w:tr>
      <w:tr w:rsidR="008E1B0D" w:rsidRPr="008E1B0D" w14:paraId="2CA697FE" w14:textId="76B01463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B0C573B" w14:textId="77777777" w:rsidR="00BA26A4" w:rsidRPr="008E1B0D" w:rsidRDefault="00BA26A4" w:rsidP="00BA26A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D4915" w14:textId="4B7D900E" w:rsidR="00BA26A4" w:rsidRPr="008E1B0D" w:rsidRDefault="00BA26A4" w:rsidP="00BA26A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79A44F" w14:textId="77777777" w:rsidR="00BA26A4" w:rsidRPr="008E1B0D" w:rsidRDefault="00BA26A4" w:rsidP="00BA26A4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7F2B2" w14:textId="77777777" w:rsidR="00BA26A4" w:rsidRPr="008E1B0D" w:rsidRDefault="00BA26A4" w:rsidP="00BA26A4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C0B1EBD" w14:textId="77777777" w:rsidR="00BA26A4" w:rsidRPr="008E1B0D" w:rsidRDefault="00BA26A4" w:rsidP="00BA26A4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8E1B0D" w:rsidRPr="008E1B0D" w14:paraId="3E8442DD" w14:textId="31A70D68" w:rsidTr="00D07602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C3B2A52" w14:textId="666A149F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1.1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1B289" w14:textId="137B4CBA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5, Part 5.3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ADB48" w14:textId="77777777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Initial administrative charges for territory plan variations and planning studies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E0AE2" w14:textId="498A7666" w:rsidR="00BA26A4" w:rsidRPr="008E1B0D" w:rsidRDefault="00BA26A4" w:rsidP="00BA26A4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1,851.10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0BA12F7" w14:textId="3585B965" w:rsidR="00BA26A4" w:rsidRPr="008E1B0D" w:rsidRDefault="000A2CDE" w:rsidP="00BA26A4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1,920.50</w:t>
            </w:r>
          </w:p>
        </w:tc>
      </w:tr>
      <w:tr w:rsidR="008E1B0D" w:rsidRPr="008E1B0D" w14:paraId="15FC1FD4" w14:textId="2D7672CF" w:rsidTr="00D07602">
        <w:trPr>
          <w:trHeight w:val="15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4A84A42" w14:textId="6943538E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1.2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5EC0D" w14:textId="04D3992F" w:rsidR="00BA26A4" w:rsidRPr="008E1B0D" w:rsidRDefault="00BA26A4" w:rsidP="00BA26A4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DB1C6" w14:textId="77777777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Final administrative charges for territory plan variations and planning studies – after the study is concluded, the variation is warranted and before the public notification (s19 of the Act) of the DVP’s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175AC" w14:textId="223403C5" w:rsidR="00BA26A4" w:rsidRPr="008E1B0D" w:rsidRDefault="00BA26A4" w:rsidP="00BA26A4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3,708.50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FC178B0" w14:textId="77777777" w:rsidR="00BA26A4" w:rsidRDefault="000A2CDE" w:rsidP="00BA26A4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3,847.</w:t>
            </w:r>
            <w:r w:rsidR="00790013">
              <w:rPr>
                <w:b/>
                <w:bCs/>
                <w:color w:val="000000" w:themeColor="text1"/>
                <w:sz w:val="22"/>
                <w:szCs w:val="22"/>
              </w:rPr>
              <w:t>55</w:t>
            </w:r>
          </w:p>
          <w:p w14:paraId="341F4A63" w14:textId="01EB023C" w:rsidR="00790013" w:rsidRPr="008E1B0D" w:rsidRDefault="00790013" w:rsidP="00BA26A4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E1B0D" w:rsidRPr="008E1B0D" w14:paraId="71AC88B7" w14:textId="2F7593FA" w:rsidTr="00D07602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0C4F524" w14:textId="390F7551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DC16A" w14:textId="0735A9EF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7, Part 7.2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1B83B" w14:textId="77777777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Application for development lodged under the provisions of the Impact track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31515" w14:textId="77777777" w:rsidR="00BA26A4" w:rsidRPr="008E1B0D" w:rsidRDefault="00BA26A4" w:rsidP="00BA26A4">
            <w:pPr>
              <w:jc w:val="right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CBAB9C2" w14:textId="77777777" w:rsidR="00BA26A4" w:rsidRPr="008E1B0D" w:rsidRDefault="00BA26A4" w:rsidP="00BA26A4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</w:tr>
      <w:tr w:rsidR="008E1B0D" w:rsidRPr="008E1B0D" w14:paraId="49B2373F" w14:textId="32751C72" w:rsidTr="00D07602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195EE0F" w14:textId="0FCD9391" w:rsidR="000A2CDE" w:rsidRPr="008E1B0D" w:rsidRDefault="000A2CDE" w:rsidP="000A2CDE">
            <w:pPr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  <w:t>2.1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5B644" w14:textId="0EFD2C37" w:rsidR="000A2CDE" w:rsidRPr="008E1B0D" w:rsidRDefault="000A2CDE" w:rsidP="000A2CDE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E03D5" w14:textId="77777777" w:rsidR="000A2CDE" w:rsidRPr="008E1B0D" w:rsidRDefault="000A2CDE" w:rsidP="000A2CDE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(a) Matters specified in Schedule 4, Part 4.2 and/or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F6995" w14:textId="76FF7F9B" w:rsidR="000A2CDE" w:rsidRPr="008E1B0D" w:rsidRDefault="000A2CDE" w:rsidP="000A2CDE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39,916.35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1D11A81" w14:textId="79B59723" w:rsidR="000A2CDE" w:rsidRPr="008E1B0D" w:rsidRDefault="000A2CDE" w:rsidP="000A2CDE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41,413.20</w:t>
            </w:r>
          </w:p>
        </w:tc>
      </w:tr>
      <w:tr w:rsidR="008E1B0D" w:rsidRPr="008E1B0D" w14:paraId="45243137" w14:textId="5DF29F94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A59ADDD" w14:textId="77777777" w:rsidR="000A2CDE" w:rsidRPr="008E1B0D" w:rsidRDefault="000A2CDE" w:rsidP="000A2CDE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E359D" w14:textId="0FDA7225" w:rsidR="000A2CDE" w:rsidRPr="008E1B0D" w:rsidRDefault="000A2CDE" w:rsidP="000A2CDE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BBE0C" w14:textId="77777777" w:rsidR="000A2CDE" w:rsidRPr="008E1B0D" w:rsidRDefault="000A2CDE" w:rsidP="000A2CDE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(b) Matters specified in Schedule 4, Part 4.3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48CA4" w14:textId="77777777" w:rsidR="000A2CDE" w:rsidRPr="008E1B0D" w:rsidRDefault="000A2CDE" w:rsidP="000A2CDE">
            <w:pPr>
              <w:jc w:val="right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FE0CD01" w14:textId="20124F9E" w:rsidR="000A2CDE" w:rsidRPr="008E1B0D" w:rsidRDefault="000A2CDE" w:rsidP="000A2CDE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8E1B0D" w:rsidRPr="008E1B0D" w14:paraId="3E921649" w14:textId="2E2569D8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46BF92B" w14:textId="3C2BCD89" w:rsidR="000A2CDE" w:rsidRPr="008E1B0D" w:rsidRDefault="000A2CDE" w:rsidP="000A2CDE">
            <w:pPr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  <w:t>2.2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0E951" w14:textId="6D6FC881" w:rsidR="000A2CDE" w:rsidRPr="008E1B0D" w:rsidRDefault="000A2CDE" w:rsidP="000A2CDE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39634" w14:textId="77777777" w:rsidR="000A2CDE" w:rsidRPr="008E1B0D" w:rsidRDefault="000A2CDE" w:rsidP="000A2CDE">
            <w:pPr>
              <w:ind w:left="720"/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(i) Column 1, Items 1 to 6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E8FDE" w14:textId="2B4626F1" w:rsidR="000A2CDE" w:rsidRPr="008E1B0D" w:rsidRDefault="000A2CDE" w:rsidP="000A2CDE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15,002.10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C5A4C12" w14:textId="79853238" w:rsidR="000A2CDE" w:rsidRPr="008E1B0D" w:rsidRDefault="000A2CDE" w:rsidP="000A2CDE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15,564.70</w:t>
            </w:r>
          </w:p>
        </w:tc>
      </w:tr>
      <w:tr w:rsidR="008E1B0D" w:rsidRPr="008E1B0D" w14:paraId="48F4ABBD" w14:textId="5F254F1D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6D829DA" w14:textId="43E08701" w:rsidR="000A2CDE" w:rsidRPr="008E1B0D" w:rsidRDefault="000A2CDE" w:rsidP="000A2CDE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2.3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DB1CF" w14:textId="6D42CDA5" w:rsidR="000A2CDE" w:rsidRPr="008E1B0D" w:rsidRDefault="000A2CDE" w:rsidP="000A2CDE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B0A05" w14:textId="77777777" w:rsidR="000A2CDE" w:rsidRPr="008E1B0D" w:rsidRDefault="000A2CDE" w:rsidP="000A2CDE">
            <w:pPr>
              <w:ind w:left="720"/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(ii) Column 1, Items 7 to 11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3B85D" w14:textId="1DC8EA2E" w:rsidR="000A2CDE" w:rsidRPr="008E1B0D" w:rsidRDefault="000A2CDE" w:rsidP="000A2CDE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3,002.50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559000D" w14:textId="6B6168BD" w:rsidR="000A2CDE" w:rsidRPr="008E1B0D" w:rsidRDefault="000A2CDE" w:rsidP="000A2CDE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3,115.10</w:t>
            </w:r>
          </w:p>
        </w:tc>
      </w:tr>
      <w:tr w:rsidR="008E1B0D" w:rsidRPr="008E1B0D" w14:paraId="37345E80" w14:textId="3263B782" w:rsidTr="00D07602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AD99B5A" w14:textId="467917CC" w:rsidR="000A2CDE" w:rsidRPr="008E1B0D" w:rsidRDefault="000A2CDE" w:rsidP="000A2CDE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2.4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D5756" w14:textId="1DCA743A" w:rsidR="000A2CDE" w:rsidRPr="008E1B0D" w:rsidRDefault="000A2CDE" w:rsidP="000A2CDE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C6ABE" w14:textId="77777777" w:rsidR="000A2CDE" w:rsidRPr="008E1B0D" w:rsidRDefault="000A2CDE" w:rsidP="000A2CDE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(c) Applications in Impact track with no specific schedule 4 trigger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53524" w14:textId="647001DD" w:rsidR="000A2CDE" w:rsidRPr="008E1B0D" w:rsidRDefault="000A2CDE" w:rsidP="000A2CDE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3,002.50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683C653" w14:textId="6ADC1669" w:rsidR="000A2CDE" w:rsidRPr="008E1B0D" w:rsidRDefault="000A2CDE" w:rsidP="000A2CDE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3,115.10</w:t>
            </w:r>
          </w:p>
        </w:tc>
      </w:tr>
      <w:tr w:rsidR="008E1B0D" w:rsidRPr="008E1B0D" w14:paraId="6FBECF2E" w14:textId="785C3EA8" w:rsidTr="00D07602">
        <w:trPr>
          <w:trHeight w:val="9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FEDF16E" w14:textId="77777777" w:rsidR="000A2CDE" w:rsidRPr="008E1B0D" w:rsidRDefault="000A2CDE" w:rsidP="000A2CDE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A25B8" w14:textId="0929B413" w:rsidR="000A2CDE" w:rsidRPr="008E1B0D" w:rsidRDefault="000A2CDE" w:rsidP="000A2CDE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7, Part 7.2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60026" w14:textId="77777777" w:rsidR="000A2CDE" w:rsidRPr="008E1B0D" w:rsidRDefault="000A2CDE" w:rsidP="000A2CDE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Applications for development approval in relation to use for otherwise prohibited development: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3F3DA" w14:textId="77777777" w:rsidR="000A2CDE" w:rsidRPr="008E1B0D" w:rsidRDefault="000A2CDE" w:rsidP="000A2CDE">
            <w:pPr>
              <w:jc w:val="right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5DCB170" w14:textId="46AB60F7" w:rsidR="000A2CDE" w:rsidRPr="008E1B0D" w:rsidRDefault="000A2CDE" w:rsidP="000A2CDE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8E1B0D" w:rsidRPr="008E1B0D" w14:paraId="46C02F26" w14:textId="7E8FD9A5" w:rsidTr="00D07602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756B081" w14:textId="7D1321C3" w:rsidR="000A2CDE" w:rsidRPr="008E1B0D" w:rsidRDefault="000A2CDE" w:rsidP="000A2CDE">
            <w:pPr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  <w:t>3.1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F0183" w14:textId="0653C91A" w:rsidR="000A2CDE" w:rsidRPr="008E1B0D" w:rsidRDefault="000A2CDE" w:rsidP="000A2CDE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9C458" w14:textId="77777777" w:rsidR="000A2CDE" w:rsidRPr="008E1B0D" w:rsidRDefault="000A2CDE" w:rsidP="000A2CDE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(a) The base amount specified opposite in Column (4)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3D6B2" w14:textId="0F48464D" w:rsidR="000A2CDE" w:rsidRPr="008E1B0D" w:rsidRDefault="000A2CDE" w:rsidP="000A2CDE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3,129.65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F9D857A" w14:textId="00FD0E04" w:rsidR="000A2CDE" w:rsidRPr="008E1B0D" w:rsidRDefault="000A2CDE" w:rsidP="000A2CDE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3,247.00</w:t>
            </w:r>
          </w:p>
        </w:tc>
      </w:tr>
      <w:tr w:rsidR="008E1B0D" w:rsidRPr="008E1B0D" w14:paraId="467FA018" w14:textId="091680F3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EB85C0F" w14:textId="77777777" w:rsidR="000A2CDE" w:rsidRPr="008E1B0D" w:rsidRDefault="000A2CDE" w:rsidP="000A2CDE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D9F64" w14:textId="33BE1856" w:rsidR="000A2CDE" w:rsidRPr="008E1B0D" w:rsidRDefault="000A2CDE" w:rsidP="000A2CDE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8B052" w14:textId="77777777" w:rsidR="000A2CDE" w:rsidRPr="008E1B0D" w:rsidRDefault="000A2CDE" w:rsidP="000A2CDE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Plus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C5EDA" w14:textId="77777777" w:rsidR="000A2CDE" w:rsidRPr="008E1B0D" w:rsidRDefault="000A2CDE" w:rsidP="000A2CDE">
            <w:pPr>
              <w:jc w:val="right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F5DA5D9" w14:textId="077C04B2" w:rsidR="000A2CDE" w:rsidRPr="008E1B0D" w:rsidRDefault="000A2CDE" w:rsidP="000A2CDE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8E1B0D" w:rsidRPr="008E1B0D" w14:paraId="21F3C013" w14:textId="06B038D2" w:rsidTr="00D07602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6E5D3E2" w14:textId="77777777" w:rsidR="000A2CDE" w:rsidRPr="008E1B0D" w:rsidRDefault="000A2CDE" w:rsidP="000A2CDE">
            <w:pPr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D9CD3" w14:textId="21B0637F" w:rsidR="000A2CDE" w:rsidRPr="008E1B0D" w:rsidRDefault="000A2CDE" w:rsidP="000A2CDE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617E7" w14:textId="77777777" w:rsidR="000A2CDE" w:rsidRPr="008E1B0D" w:rsidRDefault="000A2CDE" w:rsidP="000A2CDE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(b) An amount determined in accordance with the cost of works based on the following scale: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4BC2D" w14:textId="77777777" w:rsidR="000A2CDE" w:rsidRPr="008E1B0D" w:rsidRDefault="000A2CDE" w:rsidP="000A2CDE">
            <w:pPr>
              <w:jc w:val="right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180929A" w14:textId="3BCCCF0C" w:rsidR="000A2CDE" w:rsidRPr="008E1B0D" w:rsidRDefault="000A2CDE" w:rsidP="000A2CDE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8E1B0D" w:rsidRPr="008E1B0D" w14:paraId="5453AAC9" w14:textId="2C84EE45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B4E5A98" w14:textId="3A29BA81" w:rsidR="000A2CDE" w:rsidRPr="008E1B0D" w:rsidRDefault="000A2CDE" w:rsidP="000A2CDE">
            <w:pPr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  <w:t>3.2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C5573" w14:textId="39FE4949" w:rsidR="000A2CDE" w:rsidRPr="008E1B0D" w:rsidRDefault="000A2CDE" w:rsidP="000A2CDE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6DE44" w14:textId="77777777" w:rsidR="000A2CDE" w:rsidRPr="008E1B0D" w:rsidRDefault="000A2CDE" w:rsidP="000A2CDE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Cost of work is $0 to $1,500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C6676" w14:textId="462643D6" w:rsidR="000A2CDE" w:rsidRPr="008E1B0D" w:rsidRDefault="000A2CDE" w:rsidP="000A2CDE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127.15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2B59C1F" w14:textId="08C1914D" w:rsidR="000A2CDE" w:rsidRPr="008E1B0D" w:rsidRDefault="000A2CDE" w:rsidP="000A2CDE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131.90</w:t>
            </w:r>
          </w:p>
        </w:tc>
      </w:tr>
      <w:tr w:rsidR="008E1B0D" w:rsidRPr="008E1B0D" w14:paraId="007F7194" w14:textId="0C32F694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5CDD3B6" w14:textId="41B842C4" w:rsidR="000A2CDE" w:rsidRPr="008E1B0D" w:rsidRDefault="000A2CDE" w:rsidP="000A2CDE">
            <w:pPr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  <w:t>3.3</w:t>
            </w:r>
          </w:p>
        </w:tc>
        <w:tc>
          <w:tcPr>
            <w:tcW w:w="12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CBCCC5" w14:textId="37F67AB2" w:rsidR="000A2CDE" w:rsidRPr="008E1B0D" w:rsidRDefault="000A2CDE" w:rsidP="000A2CDE">
            <w:pPr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B5CB0" w14:textId="77777777" w:rsidR="000A2CDE" w:rsidRPr="008E1B0D" w:rsidRDefault="000A2CDE" w:rsidP="000A2CDE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Cost of work is $1,501 to $5,000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6A25C" w14:textId="223D410B" w:rsidR="000A2CDE" w:rsidRPr="008E1B0D" w:rsidRDefault="000A2CDE" w:rsidP="000A2CDE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127.15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A2A50C8" w14:textId="3FE5DBEC" w:rsidR="000A2CDE" w:rsidRPr="008E1B0D" w:rsidRDefault="000A2CDE" w:rsidP="000A2CDE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131.90</w:t>
            </w:r>
          </w:p>
        </w:tc>
      </w:tr>
      <w:tr w:rsidR="008E1B0D" w:rsidRPr="008E1B0D" w14:paraId="1AD068E9" w14:textId="6469B7ED" w:rsidTr="00D07602">
        <w:trPr>
          <w:trHeight w:val="12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8EF4E28" w14:textId="36DDFC57" w:rsidR="000A2CDE" w:rsidRPr="008E1B0D" w:rsidRDefault="000A2CDE" w:rsidP="000A2CDE">
            <w:pPr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34D930" w14:textId="443FA6D0" w:rsidR="000A2CDE" w:rsidRPr="008E1B0D" w:rsidRDefault="000A2CDE" w:rsidP="000A2CDE">
            <w:pPr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CD689" w14:textId="77777777" w:rsidR="000A2CDE" w:rsidRPr="008E1B0D" w:rsidRDefault="000A2CDE" w:rsidP="000A2CDE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585F1" w14:textId="23C64E78" w:rsidR="000A2CDE" w:rsidRPr="008E1B0D" w:rsidRDefault="000A2CDE" w:rsidP="000A2CDE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(plus 0.724% of the amount in excess of 1,500)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6C1E14B" w14:textId="30503284" w:rsidR="000A2CDE" w:rsidRPr="008E1B0D" w:rsidRDefault="000A2CDE" w:rsidP="000A2CDE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(plus 0.751% of the amount in excess of 1,500)</w:t>
            </w:r>
          </w:p>
        </w:tc>
      </w:tr>
      <w:tr w:rsidR="008E1B0D" w:rsidRPr="008E1B0D" w14:paraId="7AADD6FA" w14:textId="16ECC27B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FE81F65" w14:textId="02344357" w:rsidR="000A2CDE" w:rsidRPr="008E1B0D" w:rsidRDefault="000A2CDE" w:rsidP="000A2CDE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3.4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57DDF" w14:textId="6F963124" w:rsidR="000A2CDE" w:rsidRPr="008E1B0D" w:rsidRDefault="000A2CDE" w:rsidP="000A2CDE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ABBF1" w14:textId="77777777" w:rsidR="000A2CDE" w:rsidRPr="008E1B0D" w:rsidRDefault="000A2CDE" w:rsidP="000A2CDE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Cost of work is $5,001 to $20,000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CC27C" w14:textId="5C9D96ED" w:rsidR="000A2CDE" w:rsidRPr="008E1B0D" w:rsidRDefault="000A2CDE" w:rsidP="000A2CDE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154.45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3EDA00F" w14:textId="57A7BEA8" w:rsidR="000A2CDE" w:rsidRPr="008E1B0D" w:rsidRDefault="000A2CDE" w:rsidP="000A2CDE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160.2</w:t>
            </w:r>
            <w:r w:rsidR="008E1B0D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</w:tr>
      <w:tr w:rsidR="008E1B0D" w:rsidRPr="008E1B0D" w14:paraId="6EC7869C" w14:textId="1E221BD8" w:rsidTr="00D07602">
        <w:trPr>
          <w:trHeight w:val="12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EADD2E6" w14:textId="77777777" w:rsidR="000A2CDE" w:rsidRPr="008E1B0D" w:rsidRDefault="000A2CDE" w:rsidP="000A2CDE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2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1D1D0B" w14:textId="3709667E" w:rsidR="000A2CDE" w:rsidRPr="008E1B0D" w:rsidRDefault="000A2CDE" w:rsidP="000A2CDE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0224F" w14:textId="77777777" w:rsidR="000A2CDE" w:rsidRPr="008E1B0D" w:rsidRDefault="000A2CDE" w:rsidP="000A2CDE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2FD98" w14:textId="1C3C02F2" w:rsidR="000A2CDE" w:rsidRPr="008E1B0D" w:rsidRDefault="000A2CDE" w:rsidP="000A2CDE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(plus 0.724% of the amount in excess of 5,000)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D92F062" w14:textId="3E7D6346" w:rsidR="000A2CDE" w:rsidRPr="008E1B0D" w:rsidRDefault="000A2CDE" w:rsidP="000A2CDE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(plus 0.751% of the amount in excess of 5,000)</w:t>
            </w:r>
          </w:p>
        </w:tc>
      </w:tr>
      <w:tr w:rsidR="008E1B0D" w:rsidRPr="008E1B0D" w14:paraId="06922D17" w14:textId="291C9AF2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15F0CBD" w14:textId="647E65F1" w:rsidR="000A2CDE" w:rsidRPr="008E1B0D" w:rsidRDefault="000A2CDE" w:rsidP="000A2CDE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3.5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3F911" w14:textId="6D80CDAB" w:rsidR="000A2CDE" w:rsidRPr="008E1B0D" w:rsidRDefault="000A2CDE" w:rsidP="000A2CDE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6FEAF" w14:textId="77777777" w:rsidR="000A2CDE" w:rsidRPr="008E1B0D" w:rsidRDefault="000A2CDE" w:rsidP="000A2CDE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Cost of work is $20,001 to $100,000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43AD7" w14:textId="0966DAB8" w:rsidR="000A2CDE" w:rsidRPr="008E1B0D" w:rsidRDefault="000A2CDE" w:rsidP="000A2CDE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265.80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9710A5C" w14:textId="3937D63D" w:rsidR="000A2CDE" w:rsidRPr="008E1B0D" w:rsidRDefault="000A2CDE" w:rsidP="000A2CDE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275.7</w:t>
            </w:r>
            <w:r w:rsidR="00866CB9" w:rsidRPr="008E1B0D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</w:tr>
      <w:tr w:rsidR="008E1B0D" w:rsidRPr="008E1B0D" w14:paraId="264A965F" w14:textId="10A73A1A" w:rsidTr="00D07602">
        <w:trPr>
          <w:trHeight w:val="12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4EC1848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2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D87CCF" w14:textId="36786CA0" w:rsidR="00866CB9" w:rsidRPr="008E1B0D" w:rsidRDefault="00866CB9" w:rsidP="00866CB9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8E68A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0A870" w14:textId="2E648DA2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(plus 0.526% of the amount in excess of 20,000)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A6CA047" w14:textId="1C1534ED" w:rsidR="00866CB9" w:rsidRPr="008E1B0D" w:rsidRDefault="00866CB9" w:rsidP="00866CB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(plus 0.545% of the amount in excess of   20,000)</w:t>
            </w:r>
          </w:p>
        </w:tc>
      </w:tr>
      <w:tr w:rsidR="008E1B0D" w:rsidRPr="008E1B0D" w14:paraId="4104AA27" w14:textId="344DC3C6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97F26E2" w14:textId="496C06A3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3.6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79182" w14:textId="306C6583" w:rsidR="00866CB9" w:rsidRPr="008E1B0D" w:rsidRDefault="00866CB9" w:rsidP="00866CB9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5D749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Cost of work is $100,001 to $150,000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389A7" w14:textId="347A1F83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697.60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65C3FB3" w14:textId="283BB5A4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723.75</w:t>
            </w:r>
          </w:p>
        </w:tc>
      </w:tr>
      <w:tr w:rsidR="008E1B0D" w:rsidRPr="008E1B0D" w14:paraId="6F9B4472" w14:textId="3C04756B" w:rsidTr="00D07602">
        <w:trPr>
          <w:trHeight w:val="12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A330955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2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0075E1" w14:textId="2E039334" w:rsidR="00866CB9" w:rsidRPr="008E1B0D" w:rsidRDefault="00866CB9" w:rsidP="00866CB9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B71F2B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DC494" w14:textId="6BFE2A1A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(plus 0.526% of the amount in excess of 100,000)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21956FA" w14:textId="4897451F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(plus 0.545% of the amount in excess of 100,000)</w:t>
            </w:r>
          </w:p>
        </w:tc>
      </w:tr>
      <w:tr w:rsidR="008E1B0D" w:rsidRPr="008E1B0D" w14:paraId="6D54CE75" w14:textId="712A64C6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6499532" w14:textId="7D9E0F50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3.7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DABB9" w14:textId="72F9DABE" w:rsidR="00866CB9" w:rsidRPr="008E1B0D" w:rsidRDefault="00866CB9" w:rsidP="00866CB9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197AB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Cost of work is $150,001 to $250,000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E9AC9" w14:textId="18FC9D57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969.65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268E35D" w14:textId="41E347BE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1,006.0</w:t>
            </w:r>
            <w:r w:rsidR="00790013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</w:tr>
      <w:tr w:rsidR="008E1B0D" w:rsidRPr="008E1B0D" w14:paraId="42E23557" w14:textId="0CE71BC3" w:rsidTr="00D07602">
        <w:trPr>
          <w:trHeight w:val="12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6811381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2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815C9B" w14:textId="7FED87D6" w:rsidR="00866CB9" w:rsidRPr="008E1B0D" w:rsidRDefault="00866CB9" w:rsidP="00866CB9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CA9B20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E215A" w14:textId="2A371BA9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(plus 0.526% of the amount in excess of 150,000)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920CB6E" w14:textId="32B0F376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(plus 0.545% of the amount in excess of 150,000)</w:t>
            </w:r>
          </w:p>
        </w:tc>
      </w:tr>
      <w:tr w:rsidR="008E1B0D" w:rsidRPr="008E1B0D" w14:paraId="71EB6752" w14:textId="1A28FF4A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F7BB288" w14:textId="774032B6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3.8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5148E" w14:textId="30D611F5" w:rsidR="00866CB9" w:rsidRPr="008E1B0D" w:rsidRDefault="00866CB9" w:rsidP="00866CB9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29680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Cost of work is $250,001 to $500,000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95694" w14:textId="0802766F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1,510.70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1D6774A" w14:textId="52D55D9B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1,567.35</w:t>
            </w:r>
          </w:p>
        </w:tc>
      </w:tr>
      <w:tr w:rsidR="008E1B0D" w:rsidRPr="008E1B0D" w14:paraId="77AB3F49" w14:textId="0BAB12F6" w:rsidTr="00D07602">
        <w:trPr>
          <w:trHeight w:val="12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9C49DFA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2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E7A2C8" w14:textId="677CCCAB" w:rsidR="00866CB9" w:rsidRPr="008E1B0D" w:rsidRDefault="00866CB9" w:rsidP="00866CB9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CC55F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6F328" w14:textId="7E34F479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(plus 0.393% of the amount in excess of 250,000)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D03249F" w14:textId="38D6BAAC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(plus 0.408% of the amount in excess of 250,000)</w:t>
            </w:r>
          </w:p>
        </w:tc>
      </w:tr>
      <w:tr w:rsidR="008E1B0D" w:rsidRPr="008E1B0D" w14:paraId="35C2AB90" w14:textId="3CA0C144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BDD2B53" w14:textId="31810B89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3.9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7DA2A" w14:textId="46ED6233" w:rsidR="00866CB9" w:rsidRPr="008E1B0D" w:rsidRDefault="00866CB9" w:rsidP="00866CB9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966D4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Cost of work is $500,001 to $1,000,000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4216A" w14:textId="72648953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2,526.60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E23133C" w14:textId="45A23D7A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2,621.35</w:t>
            </w:r>
          </w:p>
        </w:tc>
      </w:tr>
      <w:tr w:rsidR="008E1B0D" w:rsidRPr="008E1B0D" w14:paraId="2CBCD19E" w14:textId="22A5D438" w:rsidTr="00D07602">
        <w:trPr>
          <w:trHeight w:val="12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122BB03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2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3C74CE" w14:textId="0ED3DF1B" w:rsidR="00866CB9" w:rsidRPr="008E1B0D" w:rsidRDefault="00866CB9" w:rsidP="00866CB9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59ACE0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5A376" w14:textId="08817919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(plus 0.393% of the amount in excess of 500,000)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ECB1FB7" w14:textId="1EB7CF43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(plus 0.408% of the amount in excess of 500,000)</w:t>
            </w:r>
          </w:p>
        </w:tc>
      </w:tr>
      <w:tr w:rsidR="008E1B0D" w:rsidRPr="008E1B0D" w14:paraId="3E60D236" w14:textId="618C923C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C57DDDE" w14:textId="349C3F2C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3.10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25584" w14:textId="5C6D68BC" w:rsidR="00866CB9" w:rsidRPr="008E1B0D" w:rsidRDefault="00866CB9" w:rsidP="00866CB9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78EDB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Cost of work is $1,000,001 to $10,000,000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7B5A9" w14:textId="7E6481CC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5,332.70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8D2F112" w14:textId="082194DE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5,532.65</w:t>
            </w:r>
          </w:p>
        </w:tc>
      </w:tr>
      <w:tr w:rsidR="008E1B0D" w:rsidRPr="008E1B0D" w14:paraId="2F6ED38B" w14:textId="7F77213E" w:rsidTr="00D07602">
        <w:trPr>
          <w:trHeight w:val="12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AD51A65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2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6D35D7" w14:textId="01E78B3B" w:rsidR="00866CB9" w:rsidRPr="008E1B0D" w:rsidRDefault="00866CB9" w:rsidP="00866CB9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B732E0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64DAD" w14:textId="62BB603B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(plus 0.260% of the amount in excess of 1,000,000)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8434255" w14:textId="180E37AA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(plus 0.270% of the amount in excess of 1,000,000)</w:t>
            </w:r>
          </w:p>
        </w:tc>
      </w:tr>
      <w:tr w:rsidR="008E1B0D" w:rsidRPr="008E1B0D" w14:paraId="0726CD19" w14:textId="675485A0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5C470C3" w14:textId="533D55D1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3.11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65256" w14:textId="4C6264DE" w:rsidR="00866CB9" w:rsidRPr="008E1B0D" w:rsidRDefault="00866CB9" w:rsidP="00866CB9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19B16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Cost of work is more than $10,000,001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D8E3F" w14:textId="1FFBAA9B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29,574.55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09747A8" w14:textId="661EEA54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30,683.60</w:t>
            </w:r>
          </w:p>
        </w:tc>
      </w:tr>
      <w:tr w:rsidR="008E1B0D" w:rsidRPr="008E1B0D" w14:paraId="576C899A" w14:textId="36A4CD86" w:rsidTr="00D07602">
        <w:trPr>
          <w:trHeight w:val="12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988369C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2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96F31F" w14:textId="0C26DA0F" w:rsidR="00866CB9" w:rsidRPr="008E1B0D" w:rsidRDefault="00866CB9" w:rsidP="00866CB9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9F190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311BE" w14:textId="773AADBE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(plus 0.154% of the amount in excess of 10,000,000)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B6D712F" w14:textId="11E9E37C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(plus 0.160% of the amount in excess of 10,000,000)</w:t>
            </w:r>
          </w:p>
        </w:tc>
      </w:tr>
      <w:tr w:rsidR="008E1B0D" w:rsidRPr="008E1B0D" w14:paraId="321F0455" w14:textId="609BFA4E" w:rsidTr="00D07602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BB92226" w14:textId="4BE5B1ED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4.1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7C224" w14:textId="09A3CB41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7, Part 7.3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FE02E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Degazettal of roads associated with a development application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ADAF7" w14:textId="7765E402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1,632.60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ADE6145" w14:textId="02581319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1,693.80</w:t>
            </w:r>
          </w:p>
        </w:tc>
      </w:tr>
      <w:tr w:rsidR="008E1B0D" w:rsidRPr="008E1B0D" w14:paraId="3D26ACF7" w14:textId="2046733A" w:rsidTr="00D07602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7BC5A45" w14:textId="6DBB2C4F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5.1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5F91C" w14:textId="38600C15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7, Part 7.3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284E7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Estate development plan approval - involving the gazettal of new roads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8717E" w14:textId="7D16F6D4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1,229.15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9BF45C5" w14:textId="250852AA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1,275.25</w:t>
            </w:r>
          </w:p>
        </w:tc>
      </w:tr>
      <w:tr w:rsidR="008E1B0D" w:rsidRPr="008E1B0D" w14:paraId="51E689E0" w14:textId="49E47E44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A6157D7" w14:textId="37AA943B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5.2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6506E" w14:textId="6FDFDE55" w:rsidR="00866CB9" w:rsidRPr="008E1B0D" w:rsidRDefault="00866CB9" w:rsidP="00866CB9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8577D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Plus per block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ED2B7" w14:textId="51D7A8B6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  69.35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DCCDF87" w14:textId="2ABA875A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71.95</w:t>
            </w:r>
          </w:p>
        </w:tc>
      </w:tr>
      <w:tr w:rsidR="008E1B0D" w:rsidRPr="008E1B0D" w14:paraId="192D4EF8" w14:textId="17A81C4E" w:rsidTr="00D07602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ADDADB6" w14:textId="32E4AB92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lastRenderedPageBreak/>
              <w:t>6.1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43696" w14:textId="0373C1C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7, Part 7.3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ED4AA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Estate development plan approval - not involving the gazettal of new roads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8C5E8" w14:textId="4012A428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701.75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752A325" w14:textId="68106B2E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728.10</w:t>
            </w:r>
          </w:p>
        </w:tc>
      </w:tr>
      <w:tr w:rsidR="008E1B0D" w:rsidRPr="008E1B0D" w14:paraId="4F2F3FB9" w14:textId="28498EDF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D282E97" w14:textId="61DE165E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6.2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B32F8" w14:textId="755DDE5B" w:rsidR="00866CB9" w:rsidRPr="008E1B0D" w:rsidRDefault="00866CB9" w:rsidP="00866CB9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F3ABF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Plus per block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88B92" w14:textId="517D74FF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  55.70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8FABEFB" w14:textId="6F19CB81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57.80</w:t>
            </w:r>
          </w:p>
        </w:tc>
      </w:tr>
      <w:tr w:rsidR="008E1B0D" w:rsidRPr="008E1B0D" w14:paraId="61AC2902" w14:textId="367D5EFA" w:rsidTr="00D07602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6A12847" w14:textId="7D05E92A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7.1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C7452" w14:textId="79900F20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7, Part 7.3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75F02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Amendments to approved estate development plans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DB52D" w14:textId="384111B5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1,229.15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2B174B7" w14:textId="78C5F8F5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1,275.25</w:t>
            </w:r>
          </w:p>
        </w:tc>
      </w:tr>
      <w:tr w:rsidR="008E1B0D" w:rsidRPr="008E1B0D" w14:paraId="512FB99A" w14:textId="6CD7466D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138A3FB" w14:textId="1916EE68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7.2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E0B45" w14:textId="0F92E3C5" w:rsidR="00866CB9" w:rsidRPr="008E1B0D" w:rsidRDefault="00866CB9" w:rsidP="00866CB9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30BDD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Plus per block affected by the amendment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E7C9F" w14:textId="4A03553F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  69.35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9B5BB6A" w14:textId="60DE95B0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71.95</w:t>
            </w:r>
          </w:p>
        </w:tc>
      </w:tr>
      <w:tr w:rsidR="008E1B0D" w:rsidRPr="008E1B0D" w14:paraId="5383E093" w14:textId="6BE386A1" w:rsidTr="00D07602">
        <w:trPr>
          <w:trHeight w:val="9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A3B4C1D" w14:textId="2AD9347E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8.1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01A9E" w14:textId="44F79C7D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7, Part 7.3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9F8CA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Application for development – in addition to building costs calculated, where the works to be approved include an encroachment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7CB6E" w14:textId="1938D812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3,123.35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2B0C660" w14:textId="6B3D2C87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3,240.50</w:t>
            </w:r>
          </w:p>
        </w:tc>
      </w:tr>
      <w:tr w:rsidR="008E1B0D" w:rsidRPr="008E1B0D" w14:paraId="3FD39927" w14:textId="22B71C54" w:rsidTr="00D07602">
        <w:trPr>
          <w:trHeight w:val="9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2290245" w14:textId="1EC8EC01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9.1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B484A" w14:textId="7FE3D32A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7, Part 7.3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0ED0A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Where the cost of work is calculated in accordance with the building Cost Guide (calculating the cost of work)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D64E0" w14:textId="3E1AF610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127.15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5C698FB" w14:textId="3AA7FE5C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131.90</w:t>
            </w:r>
          </w:p>
        </w:tc>
      </w:tr>
      <w:tr w:rsidR="008E1B0D" w:rsidRPr="008E1B0D" w14:paraId="38459A74" w14:textId="0EE7C68E" w:rsidTr="00D07602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B151032" w14:textId="7FD90878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9.2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7345A" w14:textId="5A48EF66" w:rsidR="00866CB9" w:rsidRPr="008E1B0D" w:rsidRDefault="00866CB9" w:rsidP="00866CB9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0299A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Application for development where the cost of the work is $0 –$1,500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72C26" w14:textId="4946E898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Nil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CB8E23E" w14:textId="4E5532A5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Nil</w:t>
            </w:r>
          </w:p>
        </w:tc>
      </w:tr>
      <w:tr w:rsidR="008E1B0D" w:rsidRPr="008E1B0D" w14:paraId="2602FD04" w14:textId="0BCC4842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439DE4C" w14:textId="01DE21BE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9.3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3164D" w14:textId="321B1679" w:rsidR="00866CB9" w:rsidRPr="008E1B0D" w:rsidRDefault="00866CB9" w:rsidP="00866CB9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  <w:bookmarkStart w:id="1" w:name="RANGE!A45"/>
            <w:bookmarkEnd w:id="1"/>
          </w:p>
        </w:tc>
        <w:tc>
          <w:tcPr>
            <w:tcW w:w="42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B70B8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Application for development where the cost of the work is $1,501 to $5,000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7396D" w14:textId="66D02CFA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127.15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6FCB676" w14:textId="25E04B55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131.90</w:t>
            </w:r>
          </w:p>
        </w:tc>
      </w:tr>
      <w:tr w:rsidR="008E1B0D" w:rsidRPr="008E1B0D" w14:paraId="24F16A02" w14:textId="17F0A656" w:rsidTr="00D07602">
        <w:trPr>
          <w:trHeight w:val="12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9077C2D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2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143F0" w14:textId="4B11E83E" w:rsidR="00866CB9" w:rsidRPr="008E1B0D" w:rsidRDefault="00866CB9" w:rsidP="00866CB9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8844F3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DCF2B" w14:textId="598EBB28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(plus 0.724% of the amount in excess of 1,500)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629E014" w14:textId="41E442A5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(plus 0.751% of the amount in excess of 1,500)</w:t>
            </w:r>
          </w:p>
        </w:tc>
      </w:tr>
      <w:tr w:rsidR="008E1B0D" w:rsidRPr="008E1B0D" w14:paraId="1EF356F1" w14:textId="0F860089" w:rsidTr="00D07602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61591D2" w14:textId="6403E311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9.4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C89D8" w14:textId="7F33822A" w:rsidR="00866CB9" w:rsidRPr="008E1B0D" w:rsidRDefault="00866CB9" w:rsidP="00866CB9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1095F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Application for development where the cost of the work is $5,001 to $20,000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85B4B" w14:textId="3601959D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154.45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2CF5420" w14:textId="067D04B0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160.25</w:t>
            </w:r>
          </w:p>
        </w:tc>
      </w:tr>
      <w:tr w:rsidR="008E1B0D" w:rsidRPr="008E1B0D" w14:paraId="55027185" w14:textId="06DB06A0" w:rsidTr="00D07602">
        <w:trPr>
          <w:trHeight w:val="12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4AEB48E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2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5B176A" w14:textId="34881C34" w:rsidR="00866CB9" w:rsidRPr="008E1B0D" w:rsidRDefault="00866CB9" w:rsidP="00866CB9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E42BB" w14:textId="77777777" w:rsidR="00866CB9" w:rsidRPr="008E1B0D" w:rsidRDefault="00866CB9" w:rsidP="00866CB9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FD52F" w14:textId="1821C51B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(plus 0.724% of the amount in excess of 5,000)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B99E80B" w14:textId="0B559AAB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(plus 0.751% of the amount in excess of 5,000)</w:t>
            </w:r>
          </w:p>
        </w:tc>
      </w:tr>
      <w:tr w:rsidR="008E1B0D" w:rsidRPr="008E1B0D" w14:paraId="49F7798E" w14:textId="7A679F25" w:rsidTr="00D07602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E49F7CF" w14:textId="4F42B24A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9.5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9E87C" w14:textId="1D51983C" w:rsidR="00866CB9" w:rsidRPr="008E1B0D" w:rsidRDefault="00866CB9" w:rsidP="00866CB9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8CFD7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Application for development where the cost of the work is $20,001 to $100,000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679B2" w14:textId="7E9F8FA6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265.80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45154A3" w14:textId="2487A754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275.75</w:t>
            </w:r>
          </w:p>
        </w:tc>
      </w:tr>
      <w:tr w:rsidR="008E1B0D" w:rsidRPr="008E1B0D" w14:paraId="6E773BDC" w14:textId="6F28D757" w:rsidTr="00D07602">
        <w:trPr>
          <w:trHeight w:val="12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9ABA19F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2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FF18E6" w14:textId="56B49B03" w:rsidR="00866CB9" w:rsidRPr="008E1B0D" w:rsidRDefault="00866CB9" w:rsidP="00866CB9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B0101" w14:textId="77777777" w:rsidR="00866CB9" w:rsidRPr="008E1B0D" w:rsidRDefault="00866CB9" w:rsidP="00866CB9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B2A6C" w14:textId="41B991CD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(plus 0.526% of the amount in excess of 20,000)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CDA14A0" w14:textId="26191DF7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(plus 0.545% of the amount in excess of 20,000)</w:t>
            </w:r>
          </w:p>
        </w:tc>
      </w:tr>
      <w:tr w:rsidR="008E1B0D" w:rsidRPr="008E1B0D" w14:paraId="1F5415AF" w14:textId="255606E2" w:rsidTr="00D07602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92A206F" w14:textId="199FE4EA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9.6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063D3" w14:textId="7864414D" w:rsidR="00866CB9" w:rsidRPr="008E1B0D" w:rsidRDefault="00866CB9" w:rsidP="00866CB9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28E11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Application for development where the cost of the work is $100,001 to $150,000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BC011" w14:textId="2019542D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697.60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052CDE3" w14:textId="265DF3E6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723.75</w:t>
            </w:r>
          </w:p>
        </w:tc>
      </w:tr>
      <w:tr w:rsidR="008E1B0D" w:rsidRPr="008E1B0D" w14:paraId="4C1786FE" w14:textId="33B169BD" w:rsidTr="00D07602">
        <w:trPr>
          <w:trHeight w:val="12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DAE2DEB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2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D09551" w14:textId="202B06BC" w:rsidR="00866CB9" w:rsidRPr="008E1B0D" w:rsidRDefault="00866CB9" w:rsidP="00866CB9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D2DDA" w14:textId="77777777" w:rsidR="00866CB9" w:rsidRPr="008E1B0D" w:rsidRDefault="00866CB9" w:rsidP="00866CB9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E6D66" w14:textId="377428C1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(plus 0.526% of the amount in excess of 100,000)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8323D45" w14:textId="7696EA18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(plus 0.545% of the amount in excess of 100,000)</w:t>
            </w:r>
          </w:p>
        </w:tc>
      </w:tr>
      <w:tr w:rsidR="008E1B0D" w:rsidRPr="008E1B0D" w14:paraId="6DF2900F" w14:textId="7A655016" w:rsidTr="00D07602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461FE6E" w14:textId="0564B951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9.7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2AD2B" w14:textId="0E245F20" w:rsidR="00866CB9" w:rsidRPr="008E1B0D" w:rsidRDefault="00866CB9" w:rsidP="00866CB9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A1DDE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Application for development where the cost of the work is $150,001 to $250,000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BE524" w14:textId="68D226D7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969.65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BBE5BE6" w14:textId="18439B1A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1,006.0</w:t>
            </w:r>
            <w:r w:rsidR="00790013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</w:tr>
      <w:tr w:rsidR="008E1B0D" w:rsidRPr="008E1B0D" w14:paraId="446294A1" w14:textId="70D83C6D" w:rsidTr="00D07602">
        <w:trPr>
          <w:trHeight w:val="12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A4120A5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2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8D8491" w14:textId="5E6A9774" w:rsidR="00866CB9" w:rsidRPr="008E1B0D" w:rsidRDefault="00866CB9" w:rsidP="00866CB9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35E8F" w14:textId="77777777" w:rsidR="00866CB9" w:rsidRPr="008E1B0D" w:rsidRDefault="00866CB9" w:rsidP="00866CB9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88DBE" w14:textId="3C4B3FFD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(plus 0.526% of the amount in excess of 150,000)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2931271" w14:textId="005E0BA5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(plus 0.545% of the amount in excess of 150,000)</w:t>
            </w:r>
          </w:p>
        </w:tc>
      </w:tr>
      <w:tr w:rsidR="008E1B0D" w:rsidRPr="008E1B0D" w14:paraId="4F4050A8" w14:textId="4F3741CE" w:rsidTr="00D07602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EA742D8" w14:textId="6B291844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9.8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CBFD4" w14:textId="6F8E3C2B" w:rsidR="00866CB9" w:rsidRPr="008E1B0D" w:rsidRDefault="00866CB9" w:rsidP="00866CB9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7EB9A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Application for development where the cost of the work is $250,001 to $500,000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0D74C" w14:textId="78C3A171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1,510.70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5E463FD" w14:textId="0BBD2D20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1,567.35</w:t>
            </w:r>
          </w:p>
        </w:tc>
      </w:tr>
      <w:tr w:rsidR="008E1B0D" w:rsidRPr="008E1B0D" w14:paraId="52C79297" w14:textId="75DCA6D1" w:rsidTr="00D07602">
        <w:trPr>
          <w:trHeight w:val="12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BA954F6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2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312E5" w14:textId="31BC30CF" w:rsidR="00866CB9" w:rsidRPr="008E1B0D" w:rsidRDefault="00866CB9" w:rsidP="00866CB9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8E18B" w14:textId="77777777" w:rsidR="00866CB9" w:rsidRPr="008E1B0D" w:rsidRDefault="00866CB9" w:rsidP="00866CB9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E2B15" w14:textId="619C7F15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(plus 0.393% of the amount in excess of  250,000)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CF88BD3" w14:textId="73EFE9FF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(plus 0.408% of the amount in excess of  250,000)</w:t>
            </w:r>
          </w:p>
        </w:tc>
      </w:tr>
      <w:tr w:rsidR="008E1B0D" w:rsidRPr="008E1B0D" w14:paraId="312340CB" w14:textId="5618E6B5" w:rsidTr="00D07602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F4EAB17" w14:textId="340960F0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9.9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F97C3" w14:textId="4A2D1A16" w:rsidR="00866CB9" w:rsidRPr="008E1B0D" w:rsidRDefault="00866CB9" w:rsidP="00866CB9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E0164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Application for development where the cost of the work is $500,001 to $1,000,000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669BC" w14:textId="4593439A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2,526.60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4578B6B" w14:textId="1D1AE74E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2,621.</w:t>
            </w:r>
            <w:r w:rsidR="00790013">
              <w:rPr>
                <w:b/>
                <w:bCs/>
                <w:color w:val="000000" w:themeColor="text1"/>
                <w:sz w:val="22"/>
                <w:szCs w:val="22"/>
              </w:rPr>
              <w:t>35</w:t>
            </w:r>
          </w:p>
        </w:tc>
      </w:tr>
      <w:tr w:rsidR="008E1B0D" w:rsidRPr="008E1B0D" w14:paraId="1ED4205F" w14:textId="7D8C3D4B" w:rsidTr="00D07602">
        <w:trPr>
          <w:trHeight w:val="12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63D5203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2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796A03" w14:textId="480656D0" w:rsidR="00866CB9" w:rsidRPr="008E1B0D" w:rsidRDefault="00866CB9" w:rsidP="00866CB9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4CCC2" w14:textId="77777777" w:rsidR="00866CB9" w:rsidRPr="008E1B0D" w:rsidRDefault="00866CB9" w:rsidP="00866CB9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8BCEA" w14:textId="61C813C2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(plus 0.393% of the amount in excess of 500,000)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81853A5" w14:textId="13DB3CAE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(plus 0.408% of the amount in excess of 500,000)</w:t>
            </w:r>
          </w:p>
        </w:tc>
      </w:tr>
      <w:tr w:rsidR="008E1B0D" w:rsidRPr="008E1B0D" w14:paraId="48C1AFF7" w14:textId="284D9BE9" w:rsidTr="00D07602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32D2C6C" w14:textId="09134BBF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9.10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A9B4D" w14:textId="69801EDE" w:rsidR="00866CB9" w:rsidRPr="008E1B0D" w:rsidRDefault="00866CB9" w:rsidP="00866CB9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4BB0E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Application for development where the cost of the work is $1,000,001 to $10,000,000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A022A" w14:textId="65FEA11B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5,332.70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463119C" w14:textId="7EC7F6F6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5,532.65</w:t>
            </w:r>
          </w:p>
        </w:tc>
      </w:tr>
      <w:tr w:rsidR="008E1B0D" w:rsidRPr="008E1B0D" w14:paraId="31697700" w14:textId="27A770F4" w:rsidTr="00D07602">
        <w:trPr>
          <w:trHeight w:val="12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35AD3D1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2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888519" w14:textId="270E1C27" w:rsidR="00866CB9" w:rsidRPr="008E1B0D" w:rsidRDefault="00866CB9" w:rsidP="00866CB9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6FF47" w14:textId="77777777" w:rsidR="00866CB9" w:rsidRPr="008E1B0D" w:rsidRDefault="00866CB9" w:rsidP="00866CB9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D5603" w14:textId="0ABA4D92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(plus 0.260% of the amount in excess of 1,000,000)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DA50DF7" w14:textId="72BE3CB3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(plus 0.270% of the amount in excess of 1,000,000)</w:t>
            </w:r>
          </w:p>
        </w:tc>
      </w:tr>
      <w:tr w:rsidR="008E1B0D" w:rsidRPr="008E1B0D" w14:paraId="3F9AD64D" w14:textId="2015A7F5" w:rsidTr="00D07602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62A1551" w14:textId="2A2ED32D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9.11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70089" w14:textId="2E7CD5FD" w:rsidR="00866CB9" w:rsidRPr="008E1B0D" w:rsidRDefault="00866CB9" w:rsidP="00866CB9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C50D3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Application for development where the cost of the work is more than $10,000,000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4B4DA" w14:textId="24E7B6C5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29,574.55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9D912B4" w14:textId="16E5F639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30,683.60</w:t>
            </w:r>
          </w:p>
        </w:tc>
      </w:tr>
      <w:tr w:rsidR="008E1B0D" w:rsidRPr="008E1B0D" w14:paraId="7C2EB777" w14:textId="17AF8625" w:rsidTr="00D07602">
        <w:trPr>
          <w:trHeight w:val="12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8A3F226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2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C3046" w14:textId="17808611" w:rsidR="00866CB9" w:rsidRPr="008E1B0D" w:rsidRDefault="00866CB9" w:rsidP="00866CB9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4C145" w14:textId="77777777" w:rsidR="00866CB9" w:rsidRPr="008E1B0D" w:rsidRDefault="00866CB9" w:rsidP="00866CB9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CDBF2" w14:textId="09FDAB4B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(plus 0.154% of the amount in excess of 10,000,000)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3B9EB92" w14:textId="2B977980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(plus 0.160% of the amount in excess of 10,000,000)</w:t>
            </w:r>
          </w:p>
        </w:tc>
      </w:tr>
      <w:tr w:rsidR="008E1B0D" w:rsidRPr="008E1B0D" w14:paraId="7C094F81" w14:textId="4E8F075F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018416F" w14:textId="77777777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1474B" w14:textId="048D6996" w:rsidR="00BA26A4" w:rsidRPr="008E1B0D" w:rsidRDefault="00BA26A4" w:rsidP="00BA26A4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8D3DA" w14:textId="77777777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 xml:space="preserve">Application for Refund 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FB6EB" w14:textId="77777777" w:rsidR="00BA26A4" w:rsidRPr="008E1B0D" w:rsidRDefault="00BA26A4" w:rsidP="00BA26A4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01A9E5A" w14:textId="77777777" w:rsidR="00BA26A4" w:rsidRPr="008E1B0D" w:rsidRDefault="00BA26A4" w:rsidP="00BA26A4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</w:tr>
      <w:tr w:rsidR="008E1B0D" w:rsidRPr="008E1B0D" w14:paraId="217A9572" w14:textId="7839D089" w:rsidTr="00D07602">
        <w:trPr>
          <w:trHeight w:val="9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0D9FF2E" w14:textId="77777777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2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BF018" w14:textId="7D932406" w:rsidR="00BA26A4" w:rsidRPr="008E1B0D" w:rsidRDefault="00BA26A4" w:rsidP="00BA26A4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66F4E" w14:textId="77777777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 xml:space="preserve">Where the development application is withdrawn prior to assessment or public notification </w:t>
            </w:r>
          </w:p>
        </w:tc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BD517" w14:textId="77777777" w:rsidR="00BA26A4" w:rsidRPr="008E1B0D" w:rsidRDefault="00BA26A4" w:rsidP="00BA26A4">
            <w:pPr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D0222E9" w14:textId="77777777" w:rsidR="00BA26A4" w:rsidRPr="008E1B0D" w:rsidRDefault="00BA26A4" w:rsidP="00BA26A4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</w:tr>
      <w:tr w:rsidR="008E1B0D" w:rsidRPr="008E1B0D" w14:paraId="367A2AF4" w14:textId="36022A53" w:rsidTr="00D07602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98FD6B1" w14:textId="77777777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2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3F1D4" w14:textId="161F4B13" w:rsidR="00BA26A4" w:rsidRPr="008E1B0D" w:rsidRDefault="00BA26A4" w:rsidP="00BA26A4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153CA" w14:textId="77777777" w:rsidR="00BA26A4" w:rsidRPr="008E1B0D" w:rsidRDefault="00BA26A4" w:rsidP="00BA26A4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AU"/>
              </w:rPr>
              <w:t>-</w:t>
            </w: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         a full refund is payable less an administrative fee to cover processing</w:t>
            </w:r>
          </w:p>
        </w:tc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0228D" w14:textId="77777777" w:rsidR="00BA26A4" w:rsidRPr="008E1B0D" w:rsidRDefault="00BA26A4" w:rsidP="00BA26A4">
            <w:pPr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C1E784A" w14:textId="77777777" w:rsidR="00BA26A4" w:rsidRPr="008E1B0D" w:rsidRDefault="00BA26A4" w:rsidP="00BA26A4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</w:tr>
      <w:tr w:rsidR="008E1B0D" w:rsidRPr="008E1B0D" w14:paraId="13759367" w14:textId="07F962F6" w:rsidTr="00D07602">
        <w:trPr>
          <w:trHeight w:val="9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EC94E86" w14:textId="77777777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2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CEA12B" w14:textId="2E2C2662" w:rsidR="00BA26A4" w:rsidRPr="008E1B0D" w:rsidRDefault="00BA26A4" w:rsidP="00BA26A4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9AFE3" w14:textId="77777777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If the development application is withdrawn after assessment or public notification has begun</w:t>
            </w:r>
          </w:p>
        </w:tc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46362" w14:textId="77777777" w:rsidR="00BA26A4" w:rsidRPr="008E1B0D" w:rsidRDefault="00BA26A4" w:rsidP="00BA26A4">
            <w:pPr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5563410" w14:textId="77777777" w:rsidR="00BA26A4" w:rsidRPr="008E1B0D" w:rsidRDefault="00BA26A4" w:rsidP="00BA26A4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</w:tr>
      <w:tr w:rsidR="008E1B0D" w:rsidRPr="008E1B0D" w14:paraId="3654F8F3" w14:textId="5718023C" w:rsidTr="00D07602">
        <w:trPr>
          <w:trHeight w:val="9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70C68AF" w14:textId="77777777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2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A48001" w14:textId="3BD64B1D" w:rsidR="00BA26A4" w:rsidRPr="008E1B0D" w:rsidRDefault="00BA26A4" w:rsidP="00BA26A4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F78EF" w14:textId="77777777" w:rsidR="00BA26A4" w:rsidRPr="008E1B0D" w:rsidRDefault="00BA26A4" w:rsidP="00BA26A4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AU"/>
              </w:rPr>
              <w:t>-</w:t>
            </w: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 xml:space="preserve">         the refund will be 50% of the fees paid for the components which are being processed AND </w:t>
            </w:r>
          </w:p>
        </w:tc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47A4F" w14:textId="77777777" w:rsidR="00BA26A4" w:rsidRPr="008E1B0D" w:rsidRDefault="00BA26A4" w:rsidP="00BA26A4">
            <w:pPr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F1A8905" w14:textId="77777777" w:rsidR="00BA26A4" w:rsidRPr="008E1B0D" w:rsidRDefault="00BA26A4" w:rsidP="00BA26A4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</w:tr>
      <w:tr w:rsidR="008E1B0D" w:rsidRPr="008E1B0D" w14:paraId="16DD9CA2" w14:textId="48075AC2" w:rsidTr="00D07602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D0575EF" w14:textId="77777777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2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DF4A5B" w14:textId="2218D08D" w:rsidR="00BA26A4" w:rsidRPr="008E1B0D" w:rsidRDefault="00BA26A4" w:rsidP="00BA26A4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47B39" w14:textId="77777777" w:rsidR="00BA26A4" w:rsidRPr="008E1B0D" w:rsidRDefault="00BA26A4" w:rsidP="00BA26A4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AU"/>
              </w:rPr>
              <w:t>-</w:t>
            </w: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         full refund of fees for the components for which assessment has not commenced</w:t>
            </w:r>
          </w:p>
        </w:tc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81800" w14:textId="77777777" w:rsidR="00BA26A4" w:rsidRPr="008E1B0D" w:rsidRDefault="00BA26A4" w:rsidP="00BA26A4">
            <w:pPr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D31AB6D" w14:textId="77777777" w:rsidR="00BA26A4" w:rsidRPr="008E1B0D" w:rsidRDefault="00BA26A4" w:rsidP="00BA26A4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</w:tr>
      <w:tr w:rsidR="008E1B0D" w:rsidRPr="008E1B0D" w14:paraId="303D7F94" w14:textId="558A6477" w:rsidTr="00D07602">
        <w:trPr>
          <w:trHeight w:val="18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E38E745" w14:textId="58F90B12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10.1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EA427" w14:textId="458A1AF4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7, Part 7.3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C59F0" w14:textId="77777777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Application for development within a local centre application for development within a local centre as defined by the Territory Plan, if there is in respect to that development, a declaration under the Planning and Development Regulation.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F055B" w14:textId="4B31DE97" w:rsidR="00BA26A4" w:rsidRPr="008E1B0D" w:rsidRDefault="00BA26A4" w:rsidP="00BA26A4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>Nil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0AE727C" w14:textId="77777777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Nil</w:t>
            </w:r>
          </w:p>
          <w:p w14:paraId="393D0A57" w14:textId="77777777" w:rsidR="00BA26A4" w:rsidRPr="008E1B0D" w:rsidRDefault="00BA26A4" w:rsidP="00BA26A4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E1B0D" w:rsidRPr="008E1B0D" w14:paraId="71BEF0A4" w14:textId="75C26EAA" w:rsidTr="00D07602">
        <w:trPr>
          <w:trHeight w:val="9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9A108B4" w14:textId="4F91ACC9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11.1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40CA2" w14:textId="480D19BB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7, Part 7.3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581B6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 xml:space="preserve">Use of land for a home business within the meaning of the Territory Plan for approval to carry out a home business for 1 year 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ED786" w14:textId="154EF9D7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1,145.10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F1C5F67" w14:textId="54B04414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1,188.</w:t>
            </w:r>
            <w:r w:rsidR="00790013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</w:tr>
      <w:tr w:rsidR="008E1B0D" w:rsidRPr="008E1B0D" w14:paraId="55954C9A" w14:textId="3E84BEC5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CCEF13F" w14:textId="4D4256E2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11.2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2AFED" w14:textId="71D7BF33" w:rsidR="00866CB9" w:rsidRPr="008E1B0D" w:rsidRDefault="00866CB9" w:rsidP="00866CB9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3E3BF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Plus for each additional year up to 4 years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51C8F" w14:textId="4F03CC4D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  69.35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59768EE" w14:textId="70866605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71.95</w:t>
            </w:r>
          </w:p>
        </w:tc>
      </w:tr>
      <w:tr w:rsidR="008E1B0D" w:rsidRPr="008E1B0D" w14:paraId="6E21CEF1" w14:textId="1CA13261" w:rsidTr="00D07602">
        <w:trPr>
          <w:trHeight w:val="9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E1A7671" w14:textId="56590D1B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12.1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881B1" w14:textId="2A0A097B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7, Part 7.3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443A8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 xml:space="preserve">Variation of a Unit Title Lease to vary a lease by a single application which affects more than one unit in the same Units Plan, for one unit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61EA0" w14:textId="1BD5B14F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2,362.75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F166464" w14:textId="25CDCE16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2,451.35</w:t>
            </w:r>
          </w:p>
        </w:tc>
      </w:tr>
      <w:tr w:rsidR="008E1B0D" w:rsidRPr="008E1B0D" w14:paraId="6A7A50E1" w14:textId="49163029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B6C32C2" w14:textId="2AECC9F3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12.2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CE631" w14:textId="383EC72F" w:rsidR="00866CB9" w:rsidRPr="008E1B0D" w:rsidRDefault="00866CB9" w:rsidP="00866CB9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7BC57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Plus for each additional unit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7E574" w14:textId="45E5DFE6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480.10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3427B05" w14:textId="480FFEFB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498.10</w:t>
            </w:r>
          </w:p>
        </w:tc>
      </w:tr>
      <w:tr w:rsidR="008E1B0D" w:rsidRPr="008E1B0D" w14:paraId="7518DF1C" w14:textId="58765EC2" w:rsidTr="00D07602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D2FA572" w14:textId="362EF599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13.1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DBB5A" w14:textId="60E430C3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7, Part 7.3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94FF2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Application for development – Lease Variation, consolidation, subdivision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A890F" w14:textId="780188EA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2,362.75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01E20B3" w14:textId="5D49F60F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2,451.35</w:t>
            </w:r>
          </w:p>
        </w:tc>
      </w:tr>
      <w:tr w:rsidR="008E1B0D" w:rsidRPr="008E1B0D" w14:paraId="089D47B1" w14:textId="2ED96645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90E8AC3" w14:textId="73FCE632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13.2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42D22" w14:textId="17EAE2E1" w:rsidR="00866CB9" w:rsidRPr="008E1B0D" w:rsidRDefault="00866CB9" w:rsidP="00866CB9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443D9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Plus for each additional component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13A10" w14:textId="6F2BAFB1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313.05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535267A" w14:textId="1FCA11DA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324.80</w:t>
            </w:r>
          </w:p>
        </w:tc>
      </w:tr>
      <w:tr w:rsidR="008E1B0D" w:rsidRPr="008E1B0D" w14:paraId="28586E0E" w14:textId="4312061D" w:rsidTr="00D07602">
        <w:trPr>
          <w:trHeight w:val="12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1F85BF8" w14:textId="2C09BDDA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14.1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3F68B" w14:textId="2DEE1715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7, Part 7.3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5F08A" w14:textId="77777777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Application for development – vary area in a lease – to reduce the area of the land comprised in the lease, in accordance with lease conditions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E44F6" w14:textId="601A8391" w:rsidR="00BA26A4" w:rsidRPr="008E1B0D" w:rsidRDefault="00BA26A4" w:rsidP="00BA26A4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Nil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C27E74F" w14:textId="77777777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Nil</w:t>
            </w:r>
          </w:p>
          <w:p w14:paraId="258160AD" w14:textId="77777777" w:rsidR="00BA26A4" w:rsidRPr="008E1B0D" w:rsidRDefault="00BA26A4" w:rsidP="00BA26A4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E1B0D" w:rsidRPr="008E1B0D" w14:paraId="38260F84" w14:textId="6F669407" w:rsidTr="00D07602">
        <w:trPr>
          <w:trHeight w:val="12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1A672E8" w14:textId="5006E748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15.1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2DD02" w14:textId="4FECFCAE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7, Part 7.3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59255" w14:textId="77777777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Subdivision/ consolidation, for a grant of a new rural lease associated with an application for the purpose of effecting a consolidation of Territory Land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61FFE" w14:textId="61A56548" w:rsidR="00BA26A4" w:rsidRPr="008E1B0D" w:rsidRDefault="00BA26A4" w:rsidP="00BA26A4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Nil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E8BFADC" w14:textId="77777777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Nil</w:t>
            </w:r>
          </w:p>
          <w:p w14:paraId="4D49BFD0" w14:textId="77777777" w:rsidR="00BA26A4" w:rsidRPr="008E1B0D" w:rsidRDefault="00BA26A4" w:rsidP="00BA26A4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E1B0D" w:rsidRPr="008E1B0D" w14:paraId="32C1C8CF" w14:textId="21505E5D" w:rsidTr="00D07602">
        <w:trPr>
          <w:trHeight w:val="12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80D460D" w14:textId="1CBA9AA8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16.1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E164B" w14:textId="799303FF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7, Part 7.3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9FED5" w14:textId="77777777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 xml:space="preserve">Subdivision/consolidation, for other leases, for the grant of a new lease for the purpose of effecting a subdivision or consolidation of Territory Land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97FA0" w14:textId="1862758D" w:rsidR="00BA26A4" w:rsidRPr="008E1B0D" w:rsidRDefault="00BA26A4" w:rsidP="00BA26A4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Nil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5D8CE11" w14:textId="77777777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Nil</w:t>
            </w:r>
          </w:p>
          <w:p w14:paraId="2340DA6C" w14:textId="77777777" w:rsidR="00BA26A4" w:rsidRPr="008E1B0D" w:rsidRDefault="00BA26A4" w:rsidP="00BA26A4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E1B0D" w:rsidRPr="008E1B0D" w14:paraId="291BFD4F" w14:textId="0A082366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48F40EE" w14:textId="262D9426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16.2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18311" w14:textId="5045104D" w:rsidR="00BA26A4" w:rsidRPr="008E1B0D" w:rsidRDefault="00BA26A4" w:rsidP="00BA26A4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E0329" w14:textId="77777777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Plus for each additional component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6140D" w14:textId="1D114045" w:rsidR="00BA26A4" w:rsidRPr="008E1B0D" w:rsidRDefault="00BA26A4" w:rsidP="00BA26A4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Nil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233D1F7" w14:textId="77777777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Nil</w:t>
            </w:r>
          </w:p>
          <w:p w14:paraId="7542C270" w14:textId="77777777" w:rsidR="00BA26A4" w:rsidRPr="008E1B0D" w:rsidRDefault="00BA26A4" w:rsidP="00BA26A4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E1B0D" w:rsidRPr="008E1B0D" w14:paraId="2BB7DF5D" w14:textId="1D2A4058" w:rsidTr="00D07602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DD72E0E" w14:textId="402A36A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17.1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17739" w14:textId="06BA8D9B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7, Part 7.3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79009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Mining activities to carry out mining activities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F8E6E" w14:textId="6E611851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7,002.05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8F33AF8" w14:textId="14753B77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7,264.60</w:t>
            </w:r>
          </w:p>
        </w:tc>
      </w:tr>
      <w:tr w:rsidR="008E1B0D" w:rsidRPr="008E1B0D" w14:paraId="47D26B52" w14:textId="262A357B" w:rsidTr="00D07602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1098515" w14:textId="1CB3505F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lastRenderedPageBreak/>
              <w:t>18.1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0BE9D" w14:textId="030E922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7, Part 7.3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D5FFB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Application for reconsideration of an original decision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FA4CF" w14:textId="7F66DE0F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357.20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C526D0D" w14:textId="29288141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370.60</w:t>
            </w:r>
          </w:p>
        </w:tc>
      </w:tr>
      <w:tr w:rsidR="008E1B0D" w:rsidRPr="008E1B0D" w14:paraId="5DDFB5AE" w14:textId="412E5C7F" w:rsidTr="00D07602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6278997" w14:textId="77777777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C059F" w14:textId="45436932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7, Part 7.3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0A6FD" w14:textId="77777777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Provision of pre-application advice on development proposals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C5899" w14:textId="77777777" w:rsidR="00BA26A4" w:rsidRPr="008E1B0D" w:rsidRDefault="00BA26A4" w:rsidP="00BA26A4">
            <w:pPr>
              <w:jc w:val="right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A9F46A2" w14:textId="77777777" w:rsidR="00BA26A4" w:rsidRPr="008E1B0D" w:rsidRDefault="00BA26A4" w:rsidP="00BA26A4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</w:tr>
      <w:tr w:rsidR="008E1B0D" w:rsidRPr="008E1B0D" w14:paraId="598D8227" w14:textId="3B658E2B" w:rsidTr="00D07602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913ED4B" w14:textId="691C7851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  <w:t>19.1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9B4B7" w14:textId="75D64B4E" w:rsidR="00866CB9" w:rsidRPr="008E1B0D" w:rsidRDefault="00866CB9" w:rsidP="00866CB9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6CEE3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A pre-lodgement meeting at which pre-application advice is provided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6ABE7" w14:textId="77777777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  <w:t xml:space="preserve"> Nil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20BCEE1" w14:textId="72F6DCF7" w:rsidR="00866CB9" w:rsidRPr="008E1B0D" w:rsidRDefault="00866CB9" w:rsidP="00866CB9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Nil</w:t>
            </w:r>
          </w:p>
        </w:tc>
      </w:tr>
      <w:tr w:rsidR="008E1B0D" w:rsidRPr="008E1B0D" w14:paraId="342BFF36" w14:textId="5A0C5D9C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C0CF960" w14:textId="3EC647FA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19.2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6E5B7" w14:textId="4C8316C2" w:rsidR="00866CB9" w:rsidRPr="008E1B0D" w:rsidRDefault="00866CB9" w:rsidP="00866CB9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76542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In all other cases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D16AE" w14:textId="7743ADBE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  <w:t xml:space="preserve">         1,351.05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7701BA4" w14:textId="0387D99C" w:rsidR="00866CB9" w:rsidRPr="008E1B0D" w:rsidRDefault="00866CB9" w:rsidP="00866CB9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1,401.70</w:t>
            </w:r>
          </w:p>
        </w:tc>
      </w:tr>
      <w:tr w:rsidR="008E1B0D" w:rsidRPr="008E1B0D" w14:paraId="076F8787" w14:textId="12E1209F" w:rsidTr="00D07602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1AE777F" w14:textId="197ACC4C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A77B0" w14:textId="78C7BD1A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7, Part 7.3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E4FD6" w14:textId="77777777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Further information in relation to a development application is required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43C05" w14:textId="77777777" w:rsidR="00BA26A4" w:rsidRPr="008E1B0D" w:rsidRDefault="00BA26A4" w:rsidP="00BA26A4">
            <w:pPr>
              <w:jc w:val="right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1AD3685" w14:textId="77777777" w:rsidR="00BA26A4" w:rsidRPr="008E1B0D" w:rsidRDefault="00BA26A4" w:rsidP="00BA26A4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</w:tr>
      <w:tr w:rsidR="008E1B0D" w:rsidRPr="008E1B0D" w14:paraId="29836A9E" w14:textId="4D118673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8150ABD" w14:textId="77777777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EF552" w14:textId="3D2B1017" w:rsidR="00BA26A4" w:rsidRPr="008E1B0D" w:rsidRDefault="00BA26A4" w:rsidP="00BA26A4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63C3B" w14:textId="77777777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Supplementary information required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577D9" w14:textId="77777777" w:rsidR="00BA26A4" w:rsidRPr="008E1B0D" w:rsidRDefault="00BA26A4" w:rsidP="00BA26A4">
            <w:pPr>
              <w:jc w:val="right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45FC677" w14:textId="77777777" w:rsidR="00BA26A4" w:rsidRPr="008E1B0D" w:rsidRDefault="00BA26A4" w:rsidP="00BA26A4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</w:tr>
      <w:tr w:rsidR="008E1B0D" w:rsidRPr="008E1B0D" w14:paraId="751767FE" w14:textId="594D9128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970399C" w14:textId="43B23D53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  <w:t>20.1</w:t>
            </w:r>
          </w:p>
        </w:tc>
        <w:tc>
          <w:tcPr>
            <w:tcW w:w="12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9DFE60" w14:textId="1A49B9F9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2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346D96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8A464" w14:textId="77777777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FC681C7" w14:textId="3D631452" w:rsidR="00866CB9" w:rsidRPr="008E1B0D" w:rsidRDefault="00866CB9" w:rsidP="00866CB9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Nil</w:t>
            </w:r>
          </w:p>
        </w:tc>
      </w:tr>
      <w:tr w:rsidR="008E1B0D" w:rsidRPr="008E1B0D" w14:paraId="59F18EBA" w14:textId="4D6D6564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EC46C8B" w14:textId="037D5E62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20.2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D690C" w14:textId="015ED956" w:rsidR="00866CB9" w:rsidRPr="008E1B0D" w:rsidRDefault="00866CB9" w:rsidP="00866CB9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3A8E2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Major deficiency in application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74CFE" w14:textId="77777777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8D78CB5" w14:textId="1D0F563F" w:rsidR="00866CB9" w:rsidRPr="008E1B0D" w:rsidRDefault="00866CB9" w:rsidP="00866CB9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Nil</w:t>
            </w:r>
          </w:p>
        </w:tc>
      </w:tr>
      <w:tr w:rsidR="008E1B0D" w:rsidRPr="008E1B0D" w14:paraId="0B1B57F8" w14:textId="003E04BA" w:rsidTr="00D07602">
        <w:trPr>
          <w:trHeight w:val="9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4E290A4" w14:textId="77777777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D6956" w14:textId="4084E218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7, Part 7.3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ED411" w14:textId="77777777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 xml:space="preserve">Amending development applications (does not include estate development plans): the applicable public notification fee 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936E2" w14:textId="77777777" w:rsidR="00BA26A4" w:rsidRPr="008E1B0D" w:rsidRDefault="00BA26A4" w:rsidP="00BA26A4">
            <w:pPr>
              <w:jc w:val="right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648088B" w14:textId="77777777" w:rsidR="00BA26A4" w:rsidRPr="008E1B0D" w:rsidRDefault="00BA26A4" w:rsidP="00BA26A4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</w:tr>
      <w:tr w:rsidR="008E1B0D" w:rsidRPr="008E1B0D" w14:paraId="765E8F97" w14:textId="747CA671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1279742" w14:textId="77777777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2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A6CBB" w14:textId="42D3C489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A1F25" w14:textId="77777777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plus the following fee:</w:t>
            </w:r>
          </w:p>
        </w:tc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0266A" w14:textId="77777777" w:rsidR="00BA26A4" w:rsidRPr="008E1B0D" w:rsidRDefault="00BA26A4" w:rsidP="00BA26A4">
            <w:pPr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D0A457E" w14:textId="77777777" w:rsidR="00BA26A4" w:rsidRPr="008E1B0D" w:rsidRDefault="00BA26A4" w:rsidP="00BA26A4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</w:tr>
      <w:tr w:rsidR="008E1B0D" w:rsidRPr="008E1B0D" w14:paraId="4DEFB0D9" w14:textId="3E18EA22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CCE49F3" w14:textId="77777777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780F4" w14:textId="76E2907F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AD61A" w14:textId="77777777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Application lodged in Code Track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7F42F" w14:textId="77777777" w:rsidR="00BA26A4" w:rsidRPr="008E1B0D" w:rsidRDefault="00BA26A4" w:rsidP="00BA26A4">
            <w:pPr>
              <w:jc w:val="right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CDB01D3" w14:textId="77777777" w:rsidR="00BA26A4" w:rsidRPr="008E1B0D" w:rsidRDefault="00BA26A4" w:rsidP="00BA26A4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</w:tr>
      <w:tr w:rsidR="008E1B0D" w:rsidRPr="008E1B0D" w14:paraId="7F2BAE8C" w14:textId="58E1F5EF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22C9920" w14:textId="77777777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065BF" w14:textId="40F7EC2F" w:rsidR="00BA26A4" w:rsidRPr="008E1B0D" w:rsidRDefault="00BA26A4" w:rsidP="00BA26A4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C4653" w14:textId="77777777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Application lodged under the Merit Track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F6326" w14:textId="77777777" w:rsidR="00BA26A4" w:rsidRPr="008E1B0D" w:rsidRDefault="00BA26A4" w:rsidP="00BA26A4">
            <w:pPr>
              <w:jc w:val="right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FA4BC72" w14:textId="77777777" w:rsidR="00BA26A4" w:rsidRPr="008E1B0D" w:rsidRDefault="00BA26A4" w:rsidP="00BA26A4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</w:tr>
      <w:tr w:rsidR="008E1B0D" w:rsidRPr="008E1B0D" w14:paraId="01BD6282" w14:textId="1DDE4D77" w:rsidTr="00D07602">
        <w:trPr>
          <w:trHeight w:val="9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1A6A1F9" w14:textId="038C79C8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  <w:t>21.1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439E7" w14:textId="03FB1022" w:rsidR="00BA26A4" w:rsidRPr="008E1B0D" w:rsidRDefault="00BA26A4" w:rsidP="00BA26A4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E354C" w14:textId="77777777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Single residential and development proposals on individual residential units within a unit complex (for first amendment)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A12BB" w14:textId="4CE81E1B" w:rsidR="00BA26A4" w:rsidRPr="008E1B0D" w:rsidRDefault="00BA26A4" w:rsidP="00BA26A4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330.95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C5E92B1" w14:textId="77777777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343.35</w:t>
            </w:r>
          </w:p>
          <w:p w14:paraId="744E7F02" w14:textId="77777777" w:rsidR="00BA26A4" w:rsidRPr="008E1B0D" w:rsidRDefault="00BA26A4" w:rsidP="00BA26A4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E1B0D" w:rsidRPr="008E1B0D" w14:paraId="0DA9EBD2" w14:textId="026B5316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FDC71A6" w14:textId="1128D91E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8CF25" w14:textId="00A0B215" w:rsidR="00BA26A4" w:rsidRPr="008E1B0D" w:rsidRDefault="00BA26A4" w:rsidP="00BA26A4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FA7F2" w14:textId="77777777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All other amendments in Merit Track: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730D9" w14:textId="77777777" w:rsidR="00BA26A4" w:rsidRPr="008E1B0D" w:rsidRDefault="00BA26A4" w:rsidP="00BA26A4">
            <w:pPr>
              <w:jc w:val="right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A5F2112" w14:textId="77777777" w:rsidR="00BA26A4" w:rsidRPr="008E1B0D" w:rsidRDefault="00BA26A4" w:rsidP="00BA26A4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</w:tr>
      <w:tr w:rsidR="008E1B0D" w:rsidRPr="008E1B0D" w14:paraId="5FA244D8" w14:textId="5E84A494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0D1170D" w14:textId="158B395F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  <w:t>21.2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89BD9" w14:textId="3700B29E" w:rsidR="00866CB9" w:rsidRPr="008E1B0D" w:rsidRDefault="00866CB9" w:rsidP="00866CB9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FB564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First five amendments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47FA8" w14:textId="16BA7950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825.75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1AAA7F8" w14:textId="595D9C54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856.70</w:t>
            </w:r>
          </w:p>
        </w:tc>
      </w:tr>
      <w:tr w:rsidR="008E1B0D" w:rsidRPr="008E1B0D" w14:paraId="44CA3E13" w14:textId="2AFAA5A5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BCE3E0B" w14:textId="0A25A498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21.3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7F333" w14:textId="606E1FFE" w:rsidR="00866CB9" w:rsidRPr="008E1B0D" w:rsidRDefault="00866CB9" w:rsidP="00866CB9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9D879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PLUS for each additional amendment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2238A" w14:textId="69E01AD1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104.00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CB16888" w14:textId="650B1C13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107.90</w:t>
            </w:r>
          </w:p>
        </w:tc>
      </w:tr>
      <w:tr w:rsidR="008E1B0D" w:rsidRPr="008E1B0D" w14:paraId="3449FAA6" w14:textId="6D040F15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5D0DCEF" w14:textId="2F16A52F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C29AF" w14:textId="322F25FB" w:rsidR="00BA26A4" w:rsidRPr="008E1B0D" w:rsidRDefault="00BA26A4" w:rsidP="00BA26A4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7DCB0" w14:textId="77777777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Application lodged under the Impact Track: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DCE8F" w14:textId="77777777" w:rsidR="00BA26A4" w:rsidRPr="008E1B0D" w:rsidRDefault="00BA26A4" w:rsidP="00BA26A4">
            <w:pPr>
              <w:jc w:val="right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FC38533" w14:textId="77777777" w:rsidR="00BA26A4" w:rsidRPr="008E1B0D" w:rsidRDefault="00BA26A4" w:rsidP="00BA26A4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</w:tr>
      <w:tr w:rsidR="008E1B0D" w:rsidRPr="008E1B0D" w14:paraId="19CD4DE5" w14:textId="1AD9D703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BEBEFC4" w14:textId="5FEE8CCB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  <w:t>21.4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17CB6" w14:textId="48B892FE" w:rsidR="00866CB9" w:rsidRPr="008E1B0D" w:rsidRDefault="00866CB9" w:rsidP="00866CB9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A13C1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First five amendments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8568E" w14:textId="06EB89C5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3,000.45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21A4DA1" w14:textId="080CF5A7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3,112.95</w:t>
            </w:r>
          </w:p>
        </w:tc>
      </w:tr>
      <w:tr w:rsidR="008E1B0D" w:rsidRPr="008E1B0D" w14:paraId="5C749AB2" w14:textId="3620F487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BFFA2FB" w14:textId="0E5F3CD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21.5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20887" w14:textId="555A15B5" w:rsidR="00866CB9" w:rsidRPr="008E1B0D" w:rsidRDefault="00866CB9" w:rsidP="00866CB9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E280B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Plus for each additional amendment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21537" w14:textId="4816FBDB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104.00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951AD1F" w14:textId="3265E86B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107.90</w:t>
            </w:r>
          </w:p>
        </w:tc>
      </w:tr>
      <w:tr w:rsidR="008E1B0D" w:rsidRPr="008E1B0D" w14:paraId="6F741E32" w14:textId="3D6B3C14" w:rsidTr="00D07602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4DD7A1E" w14:textId="63433991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22.1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F95F4" w14:textId="191C7C69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7, Part 7.3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86BB5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Referral of a development application  to a prescribed entity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98C31" w14:textId="2E86E5B4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Nil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5EC9F7C" w14:textId="424A6B44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Nil</w:t>
            </w:r>
          </w:p>
        </w:tc>
      </w:tr>
      <w:tr w:rsidR="008E1B0D" w:rsidRPr="008E1B0D" w14:paraId="32DD186F" w14:textId="71AF382D" w:rsidTr="00D07602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51FBA0D" w14:textId="53918A49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23.1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761AB" w14:textId="6FA2D704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7, Part 7.3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AC08E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Provide minor public notification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0C407" w14:textId="5515E9D8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321.50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A0B1845" w14:textId="2529D208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333.55</w:t>
            </w:r>
          </w:p>
        </w:tc>
      </w:tr>
      <w:tr w:rsidR="008E1B0D" w:rsidRPr="008E1B0D" w14:paraId="49A68E2A" w14:textId="46AF0E12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94214C8" w14:textId="420AB073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F36A2" w14:textId="3D315978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7, Part 7.3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FDCA9" w14:textId="77777777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Provide major public notification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E671D" w14:textId="77777777" w:rsidR="00BA26A4" w:rsidRPr="008E1B0D" w:rsidRDefault="00BA26A4" w:rsidP="00BA26A4">
            <w:pPr>
              <w:jc w:val="right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4BB9DCF" w14:textId="77777777" w:rsidR="00BA26A4" w:rsidRPr="008E1B0D" w:rsidRDefault="00BA26A4" w:rsidP="00BA26A4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</w:tr>
      <w:tr w:rsidR="008E1B0D" w:rsidRPr="008E1B0D" w14:paraId="565718DF" w14:textId="6CA1DCCC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A6F469F" w14:textId="729C3243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24.1</w:t>
            </w:r>
          </w:p>
        </w:tc>
        <w:tc>
          <w:tcPr>
            <w:tcW w:w="12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A8B7CE" w14:textId="6723FB5F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00573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For one sign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1A22A" w14:textId="4AE7FA85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1,298.50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8A06CB5" w14:textId="07629D20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1,347.20</w:t>
            </w:r>
          </w:p>
        </w:tc>
      </w:tr>
      <w:tr w:rsidR="008E1B0D" w:rsidRPr="008E1B0D" w14:paraId="34A462F7" w14:textId="5D771320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0387AAD" w14:textId="427C90CE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24.2</w:t>
            </w:r>
          </w:p>
        </w:tc>
        <w:tc>
          <w:tcPr>
            <w:tcW w:w="12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620744" w14:textId="49F53D2B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D96E4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For each additional small size sign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F080B" w14:textId="03BE497C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209.05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C259562" w14:textId="3E4B0D52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216.90</w:t>
            </w:r>
          </w:p>
        </w:tc>
      </w:tr>
      <w:tr w:rsidR="008E1B0D" w:rsidRPr="008E1B0D" w14:paraId="5D4E4134" w14:textId="08E09384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3017074" w14:textId="4CBF5193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24.3</w:t>
            </w:r>
          </w:p>
        </w:tc>
        <w:tc>
          <w:tcPr>
            <w:tcW w:w="12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576D3" w14:textId="71C739CD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C2F01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For each additional large size sign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D7F6E" w14:textId="7FFB6282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326.75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A87EA4C" w14:textId="25DBA61F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339.00</w:t>
            </w:r>
          </w:p>
        </w:tc>
      </w:tr>
      <w:tr w:rsidR="008E1B0D" w:rsidRPr="008E1B0D" w14:paraId="2FA86A36" w14:textId="3B343A0E" w:rsidTr="00D07602">
        <w:trPr>
          <w:trHeight w:val="9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52CB0A9" w14:textId="77777777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8421B" w14:textId="6943B2BB" w:rsidR="00BA26A4" w:rsidRPr="008E1B0D" w:rsidRDefault="00BA26A4" w:rsidP="00BA26A4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CD3F6" w14:textId="77777777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Notice of ‘Confirmation of Development Approval Exemption’ to existing construction. Retrieval of file and filing of notice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F2D44" w14:textId="77777777" w:rsidR="00BA26A4" w:rsidRPr="008E1B0D" w:rsidRDefault="00BA26A4" w:rsidP="00BA26A4">
            <w:pPr>
              <w:jc w:val="right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DA3F9C2" w14:textId="77777777" w:rsidR="00BA26A4" w:rsidRPr="008E1B0D" w:rsidRDefault="00BA26A4" w:rsidP="00BA26A4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</w:tr>
      <w:tr w:rsidR="008E1B0D" w:rsidRPr="008E1B0D" w14:paraId="20EE4725" w14:textId="76B17D09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4710CE2" w14:textId="36A82DC3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  <w:t>24.4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F71A8" w14:textId="7E82367B" w:rsidR="00866CB9" w:rsidRPr="008E1B0D" w:rsidRDefault="00866CB9" w:rsidP="00866CB9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82447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Per individual notice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B1FC2" w14:textId="7A16CC6E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  24.15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216C240" w14:textId="07672B78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25.</w:t>
            </w:r>
            <w:r w:rsidR="0040409D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</w:tr>
      <w:tr w:rsidR="008E1B0D" w:rsidRPr="008E1B0D" w14:paraId="5BF8C548" w14:textId="0E26CE05" w:rsidTr="00D07602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57B21FA" w14:textId="4CE3EA10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lastRenderedPageBreak/>
              <w:t>25.1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C1EF8" w14:textId="60083236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7, Part 7.3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D09B3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Application for Environmental Significance Opinion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0EE0A" w14:textId="3AA1EA59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674.45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1BA5536" w14:textId="4F1E4E48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699.75</w:t>
            </w:r>
          </w:p>
        </w:tc>
      </w:tr>
      <w:tr w:rsidR="008E1B0D" w:rsidRPr="008E1B0D" w14:paraId="7041C2A3" w14:textId="64639F5A" w:rsidTr="00D07602">
        <w:trPr>
          <w:trHeight w:val="9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5FB7939" w14:textId="18AA0CB6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26.1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53837" w14:textId="4FD33DEC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7, Part 7.3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A86BF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Applications in the merit track where an Environmental Significance Opinion (ESO) is provided to support lodgement in that track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FD52B" w14:textId="21C8EBCF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  <w:t>1,353.15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CE53C60" w14:textId="0DC17607" w:rsidR="00866CB9" w:rsidRPr="008E1B0D" w:rsidRDefault="00866CB9" w:rsidP="00866CB9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1,403.90</w:t>
            </w:r>
          </w:p>
        </w:tc>
      </w:tr>
      <w:tr w:rsidR="008E1B0D" w:rsidRPr="008E1B0D" w14:paraId="6FDF02B3" w14:textId="614A294E" w:rsidTr="00D07602">
        <w:trPr>
          <w:trHeight w:val="15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3AAFD65" w14:textId="0ACB1F9D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4D643" w14:textId="4B666E87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7, Part 7.3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C834E" w14:textId="77777777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Refunds – Development Applications – If the application is withdrawn prior to assessment or public notification of the DA a full refund is payable less an administrative fee to cover processing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B6E31" w14:textId="77777777" w:rsidR="00BA26A4" w:rsidRPr="008E1B0D" w:rsidRDefault="00BA26A4" w:rsidP="00BA26A4">
            <w:pPr>
              <w:jc w:val="right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51F8DE5" w14:textId="77777777" w:rsidR="00BA26A4" w:rsidRPr="008E1B0D" w:rsidRDefault="00BA26A4" w:rsidP="00BA26A4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</w:tr>
      <w:tr w:rsidR="008E1B0D" w:rsidRPr="008E1B0D" w14:paraId="7BE58F28" w14:textId="56936DFF" w:rsidTr="00D07602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D447E00" w14:textId="6FAD75C8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  <w:t>27.1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77002" w14:textId="41C7E90D" w:rsidR="00866CB9" w:rsidRPr="008E1B0D" w:rsidRDefault="00866CB9" w:rsidP="00866CB9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0D49E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(a) Residential and Commercial – all fees in excess of: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E5091" w14:textId="7C5AD907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  <w:t>100.85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0EFA760" w14:textId="1D4AFC05" w:rsidR="00866CB9" w:rsidRPr="008E1B0D" w:rsidRDefault="00866CB9" w:rsidP="00866CB9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104.65</w:t>
            </w:r>
          </w:p>
        </w:tc>
      </w:tr>
      <w:tr w:rsidR="008E1B0D" w:rsidRPr="008E1B0D" w14:paraId="74F20712" w14:textId="34F5029D" w:rsidTr="00D07602">
        <w:trPr>
          <w:trHeight w:val="24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481B0C9" w14:textId="5A368C14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28.1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1F27C" w14:textId="37A29D84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7, Part 7.3</w:t>
            </w:r>
          </w:p>
        </w:tc>
        <w:tc>
          <w:tcPr>
            <w:tcW w:w="42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049C0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Refunds -  Development Applications – If the application is withdrawn after assessment or public notification has begun the refund will be :-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76030" w14:textId="7DCBA483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(b) 50% of the fees paid for the components which are being processed and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6721AE0" w14:textId="60B308F5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 xml:space="preserve">(b) 50% of the fees paid for the components which are being processed and  </w:t>
            </w:r>
          </w:p>
        </w:tc>
      </w:tr>
      <w:tr w:rsidR="008E1B0D" w:rsidRPr="008E1B0D" w14:paraId="38239EB6" w14:textId="527DD50C" w:rsidTr="00D07602">
        <w:trPr>
          <w:trHeight w:val="21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5319CA9" w14:textId="7DDDC7C8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28.2</w:t>
            </w:r>
          </w:p>
        </w:tc>
        <w:tc>
          <w:tcPr>
            <w:tcW w:w="12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0644A4" w14:textId="2E67F513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83E7DE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61D02" w14:textId="4625C707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(c) full refund of fees for the components for which assessment has not commenced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06306C0" w14:textId="4F6B813C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(c) full refund of fees for the components for which assessment has not commenced</w:t>
            </w:r>
          </w:p>
        </w:tc>
      </w:tr>
      <w:tr w:rsidR="008E1B0D" w:rsidRPr="008E1B0D" w14:paraId="01E37294" w14:textId="3206C1FA" w:rsidTr="00D07602">
        <w:trPr>
          <w:trHeight w:val="9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F988CBB" w14:textId="0B3DA7A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29.1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C7373" w14:textId="3B53F98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7, Part 7.3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5D99F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Refunds other than development applications and conveyancing enquiries – administrative charge.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0DF4D" w14:textId="29F3E9DF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100.85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84C5F93" w14:textId="6A49B9A7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104.65</w:t>
            </w:r>
          </w:p>
        </w:tc>
      </w:tr>
      <w:tr w:rsidR="008E1B0D" w:rsidRPr="008E1B0D" w14:paraId="72EAE84F" w14:textId="34FB5661" w:rsidTr="00D07602">
        <w:trPr>
          <w:trHeight w:val="15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A766129" w14:textId="1B3E2C13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30.1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F56EF" w14:textId="3A5BAFDC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7, Part 7.3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6C706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Refund of amount paid for a Direct Grant of a lease where the applicant does not meet the eligibility requirements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F7BBC" w14:textId="338CC284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Full refund less administrative fee of 102.20**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92DA81F" w14:textId="29643A39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 xml:space="preserve">Full refund less administrative fee of 106.05** </w:t>
            </w:r>
          </w:p>
        </w:tc>
      </w:tr>
      <w:tr w:rsidR="008E1B0D" w:rsidRPr="008E1B0D" w14:paraId="57D7DA72" w14:textId="579781C8" w:rsidTr="00D07602">
        <w:trPr>
          <w:trHeight w:val="9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476C63B" w14:textId="5C9E63F1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31.1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F1935" w14:textId="5A7A64B8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7, Part 7.3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6DF7E" w14:textId="77777777" w:rsidR="00BA26A4" w:rsidRPr="008E1B0D" w:rsidRDefault="00BA26A4" w:rsidP="00BA26A4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Refund of application for a direct grant of a lease where the Agency responsible cannot find a suitable site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0E899" w14:textId="7F143B11" w:rsidR="00BA26A4" w:rsidRPr="008E1B0D" w:rsidRDefault="00BA26A4" w:rsidP="00BA26A4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50% refund of application fee paid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00A6095" w14:textId="77777777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50% refund of application fee paid</w:t>
            </w:r>
          </w:p>
          <w:p w14:paraId="6A5AAB4C" w14:textId="77777777" w:rsidR="00BA26A4" w:rsidRPr="008E1B0D" w:rsidRDefault="00BA26A4" w:rsidP="00BA26A4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E1B0D" w:rsidRPr="008E1B0D" w14:paraId="4536F362" w14:textId="336A740D" w:rsidTr="00D07602">
        <w:trPr>
          <w:trHeight w:val="15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13EA530" w14:textId="5620D6E0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lastRenderedPageBreak/>
              <w:t>32.1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42F58" w14:textId="7B9F81AC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7, Part 7.3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90AF9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Application for the amendment of plans - Where an amendment has been requested by the Planning and Land Authority or the Administrative Appeals Tribunal (AAT) – Residential / Commercial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B8C6C" w14:textId="77777777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  <w:t xml:space="preserve"> Nil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5F2F0B7" w14:textId="4ED6CE1C" w:rsidR="00866CB9" w:rsidRPr="008E1B0D" w:rsidRDefault="00866CB9" w:rsidP="00866CB9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Nil</w:t>
            </w:r>
          </w:p>
        </w:tc>
      </w:tr>
      <w:tr w:rsidR="008E1B0D" w:rsidRPr="008E1B0D" w14:paraId="58DF9576" w14:textId="240955BA" w:rsidTr="00D07602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CAF27BE" w14:textId="00C4DBCE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33.1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3E305" w14:textId="4B53E619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8, Part 8.2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930A6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Scoping Document preparation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94818" w14:textId="6DEF8BD7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1,408.80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52A91B8" w14:textId="7B8BCC43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1,461.6</w:t>
            </w:r>
            <w:r w:rsidR="00030D15" w:rsidRPr="008E1B0D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</w:tr>
      <w:tr w:rsidR="008E1B0D" w:rsidRPr="008E1B0D" w14:paraId="7AE749D3" w14:textId="1D250ED2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E30E50B" w14:textId="46D6ACD9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33.2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5BA6B" w14:textId="16949BFD" w:rsidR="00866CB9" w:rsidRPr="008E1B0D" w:rsidRDefault="00866CB9" w:rsidP="00866CB9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D5997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S211 EIS Exemption Application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7D15A" w14:textId="11103D72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1,408.80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1B65300" w14:textId="4578B58E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1,461.6</w:t>
            </w:r>
            <w:r w:rsidR="00030D15" w:rsidRPr="008E1B0D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</w:tr>
      <w:tr w:rsidR="008E1B0D" w:rsidRPr="008E1B0D" w14:paraId="7352AB61" w14:textId="3A9AF021" w:rsidTr="00D07602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EABB451" w14:textId="7B43B6E3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33.3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82595" w14:textId="14CFB050" w:rsidR="00866CB9" w:rsidRPr="008E1B0D" w:rsidRDefault="00866CB9" w:rsidP="00866CB9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67768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Public notification of draft EIS or Section 211 EIS Exemption application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20F53" w14:textId="7EBC880B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1,298.50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4FB069D" w14:textId="01E04C07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1,347.20</w:t>
            </w:r>
          </w:p>
        </w:tc>
      </w:tr>
      <w:tr w:rsidR="008E1B0D" w:rsidRPr="008E1B0D" w14:paraId="63D05957" w14:textId="0D39B311" w:rsidTr="00D07602">
        <w:trPr>
          <w:trHeight w:val="171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1AEAE83" w14:textId="034AAA46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34.1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5AC56" w14:textId="1C317DAA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8, Part 8.3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14213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Recovery of inquiry panel costs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B823E" w14:textId="4351D0B1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Actual direct and indirect costs incurred in the  conduct of an inquiry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9975A94" w14:textId="578E8977" w:rsidR="00866CB9" w:rsidRPr="008E1B0D" w:rsidRDefault="00866CB9" w:rsidP="00866CB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Actual direct and indirect costs incurred in the  conduct of an inquiry </w:t>
            </w:r>
          </w:p>
        </w:tc>
      </w:tr>
      <w:tr w:rsidR="008E1B0D" w:rsidRPr="008E1B0D" w14:paraId="18021A60" w14:textId="3E7AE3F1" w:rsidTr="00D07602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0B4D290" w14:textId="686F2590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35.1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0501F" w14:textId="1569A392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9, Part 9.2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E9638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Application for a direct grant of a lease for rural land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065E6" w14:textId="48371574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3,166.40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B8757EA" w14:textId="29FB6C62" w:rsidR="00030D15" w:rsidRPr="008E1B0D" w:rsidRDefault="00030D15" w:rsidP="00030D15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3,285.15</w:t>
            </w:r>
          </w:p>
        </w:tc>
      </w:tr>
      <w:tr w:rsidR="008E1B0D" w:rsidRPr="008E1B0D" w14:paraId="5673FA92" w14:textId="62446ACC" w:rsidTr="00D07602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75FAD3C" w14:textId="7E78833C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36.1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A84FB" w14:textId="03FE8C79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9, Part 9.2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C5C30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Application for a direct grant of a lease for sites other than community or rural land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C1C3C" w14:textId="7CA1A47B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12,663.55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5C1F630" w14:textId="2D79BAF4" w:rsidR="00030D15" w:rsidRPr="008E1B0D" w:rsidRDefault="00030D15" w:rsidP="00030D15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13,138.45</w:t>
            </w:r>
          </w:p>
        </w:tc>
      </w:tr>
      <w:tr w:rsidR="008E1B0D" w:rsidRPr="008E1B0D" w14:paraId="3CE3673A" w14:textId="2D0E86BA" w:rsidTr="00D07602">
        <w:trPr>
          <w:trHeight w:val="9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35FA627" w14:textId="10849ACC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37.1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08589" w14:textId="0C85C83E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9, Part 9.2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FB216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Application for a direct grant of a lease for community groups for example, religious groups or clubs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C101F" w14:textId="297ED7BC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3,166.40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15347A4" w14:textId="3205E3D4" w:rsidR="00030D15" w:rsidRPr="008E1B0D" w:rsidRDefault="00030D15" w:rsidP="00030D15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3,285.15</w:t>
            </w:r>
          </w:p>
        </w:tc>
      </w:tr>
      <w:tr w:rsidR="008E1B0D" w:rsidRPr="008E1B0D" w14:paraId="0675D9D8" w14:textId="12F02FA7" w:rsidTr="00D07602">
        <w:trPr>
          <w:trHeight w:val="9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008B6A8" w14:textId="670B0796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38.1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C0079" w14:textId="0775DF6B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9, Part 9.2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B0B15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Application for a direct grant of a lease for rural land associated with an application under Section 254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D1D9E" w14:textId="4146E595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Nil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360E1AD" w14:textId="270216E8" w:rsidR="00030D15" w:rsidRPr="008E1B0D" w:rsidRDefault="00030D15" w:rsidP="00030D15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Nil</w:t>
            </w:r>
          </w:p>
        </w:tc>
      </w:tr>
      <w:tr w:rsidR="008E1B0D" w:rsidRPr="008E1B0D" w14:paraId="23D3C87F" w14:textId="56BE72AD" w:rsidTr="00D07602">
        <w:trPr>
          <w:trHeight w:val="9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A768370" w14:textId="38F1C449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39.1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2E3B9" w14:textId="79541A01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9,</w:t>
            </w: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br/>
              <w:t>Part 9.2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714A5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 xml:space="preserve">Application for a direct grant of lease for Territory, Territory Entity and Commonwealth Entity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5330A" w14:textId="6704FA64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3,166.40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34245F7" w14:textId="1635826C" w:rsidR="00030D15" w:rsidRPr="008E1B0D" w:rsidRDefault="00030D15" w:rsidP="00030D15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3,285.15</w:t>
            </w:r>
          </w:p>
        </w:tc>
      </w:tr>
      <w:tr w:rsidR="008E1B0D" w:rsidRPr="008E1B0D" w14:paraId="6CC5FEF6" w14:textId="0082FCE3" w:rsidTr="00D07602">
        <w:trPr>
          <w:trHeight w:val="9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B369E6C" w14:textId="315999B6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40.1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F7D04" w14:textId="1F9D28E5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9, Part 9.2 and part 9.9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BC3DD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Authority’s consent when the applicant is an agency of the ACT Government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20A67" w14:textId="36F16C5D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Nil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C2C3003" w14:textId="1DD92F4B" w:rsidR="00030D15" w:rsidRPr="008E1B0D" w:rsidRDefault="00030D15" w:rsidP="00030D15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Nil</w:t>
            </w:r>
          </w:p>
        </w:tc>
      </w:tr>
      <w:tr w:rsidR="008E1B0D" w:rsidRPr="008E1B0D" w14:paraId="07494C9D" w14:textId="063AA8A1" w:rsidTr="00D07602">
        <w:trPr>
          <w:trHeight w:val="12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B48464D" w14:textId="60338406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40.2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312CA" w14:textId="29688F25" w:rsidR="00030D15" w:rsidRPr="008E1B0D" w:rsidRDefault="00030D15" w:rsidP="00030D15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486C0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Refund - Application for the direct grant of a lease:</w:t>
            </w: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br/>
              <w:t>When the applicant does not meet the eligibility requirements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D5101" w14:textId="5EEEE01A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full refund less administrative fee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363D6A6" w14:textId="2FF823B8" w:rsidR="00030D15" w:rsidRPr="008E1B0D" w:rsidRDefault="00030D15" w:rsidP="00030D15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full refund less administrative fee</w:t>
            </w:r>
          </w:p>
        </w:tc>
      </w:tr>
      <w:tr w:rsidR="008E1B0D" w:rsidRPr="008E1B0D" w14:paraId="701C8DD7" w14:textId="782E4D95" w:rsidTr="00D07602">
        <w:trPr>
          <w:trHeight w:val="9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E83BFA6" w14:textId="3A4BF559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40.3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CCDD2" w14:textId="0EBDB2DF" w:rsidR="00030D15" w:rsidRPr="008E1B0D" w:rsidRDefault="00030D15" w:rsidP="00030D15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0C043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When the agency responsible cannot find a suitable site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86CA2" w14:textId="7343D05E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50% refund of application fee paid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3633E93" w14:textId="4D36025E" w:rsidR="00030D15" w:rsidRPr="008E1B0D" w:rsidRDefault="00030D15" w:rsidP="00030D15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50% refund of application fee paid</w:t>
            </w:r>
          </w:p>
        </w:tc>
      </w:tr>
      <w:tr w:rsidR="008E1B0D" w:rsidRPr="008E1B0D" w14:paraId="7CFC1ACE" w14:textId="3164412E" w:rsidTr="00D07602">
        <w:trPr>
          <w:trHeight w:val="9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81F70EC" w14:textId="51521A88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lastRenderedPageBreak/>
              <w:t>41.1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A6F37" w14:textId="3F5C0458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9, Part 9.3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93910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Application for the grant of a further lease for a term not exceeding the term of the existing lease for residential purposes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1CE83" w14:textId="55F4FC88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464.36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E2548E4" w14:textId="56A1546D" w:rsidR="00030D15" w:rsidRPr="008E1B0D" w:rsidRDefault="00030D15" w:rsidP="00030D15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481.</w:t>
            </w:r>
            <w:r w:rsidR="00A27E51">
              <w:rPr>
                <w:b/>
                <w:bCs/>
                <w:color w:val="000000" w:themeColor="text1"/>
                <w:sz w:val="22"/>
                <w:szCs w:val="22"/>
              </w:rPr>
              <w:t>75</w:t>
            </w:r>
          </w:p>
        </w:tc>
      </w:tr>
      <w:tr w:rsidR="008E1B0D" w:rsidRPr="008E1B0D" w14:paraId="6BE25323" w14:textId="276A4219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7920236" w14:textId="0C6EF402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41.2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D38E9" w14:textId="793BD61D" w:rsidR="00030D15" w:rsidRPr="008E1B0D" w:rsidRDefault="00030D15" w:rsidP="00030D15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D2806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Plus for every unit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A0943" w14:textId="47026E85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182.80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27688E2" w14:textId="40DEF918" w:rsidR="00030D15" w:rsidRPr="008E1B0D" w:rsidRDefault="00030D15" w:rsidP="00030D15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189.65</w:t>
            </w:r>
          </w:p>
        </w:tc>
      </w:tr>
      <w:tr w:rsidR="008E1B0D" w:rsidRPr="008E1B0D" w14:paraId="68DD5FC4" w14:textId="086E0ABD" w:rsidTr="00D07602">
        <w:trPr>
          <w:trHeight w:val="9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2FA7A19" w14:textId="093E6BE9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42.1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C5309" w14:textId="076B85D9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9, Part 9.3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A5AB5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Application for the grant of a further lease for a term exceeding the term of the existing lease for residential purposes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347FC" w14:textId="25BBD39A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4,134.00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09EB6D3" w14:textId="660D22E1" w:rsidR="00030D15" w:rsidRPr="008E1B0D" w:rsidRDefault="00030D15" w:rsidP="00030D15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4,289.00</w:t>
            </w:r>
          </w:p>
        </w:tc>
      </w:tr>
      <w:tr w:rsidR="008E1B0D" w:rsidRPr="008E1B0D" w14:paraId="1B583E6B" w14:textId="63D87F09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F04B718" w14:textId="63448D79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42.2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FDE83" w14:textId="1E2AE7A0" w:rsidR="00030D15" w:rsidRPr="008E1B0D" w:rsidRDefault="00030D15" w:rsidP="00030D15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8082D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Plus for every unit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59D16" w14:textId="63FF67F3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182.80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38E79EE" w14:textId="326767B8" w:rsidR="00030D15" w:rsidRPr="008E1B0D" w:rsidRDefault="00030D15" w:rsidP="00030D15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189.65</w:t>
            </w:r>
          </w:p>
        </w:tc>
      </w:tr>
      <w:tr w:rsidR="008E1B0D" w:rsidRPr="008E1B0D" w14:paraId="2D4018BD" w14:textId="0BE84F7E" w:rsidTr="00D07602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3F2695E" w14:textId="6073CC0A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43.1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F5827" w14:textId="22F108FC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9, Part 9.3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59C5F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Application for the grant of a further lease for rural purposes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93A59" w14:textId="7F78904F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464.35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A3E58CE" w14:textId="42847832" w:rsidR="00030D15" w:rsidRPr="008E1B0D" w:rsidRDefault="00030D15" w:rsidP="00030D15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481.</w:t>
            </w:r>
            <w:r w:rsidR="00A27E51">
              <w:rPr>
                <w:b/>
                <w:bCs/>
                <w:color w:val="000000" w:themeColor="text1"/>
                <w:sz w:val="22"/>
                <w:szCs w:val="22"/>
              </w:rPr>
              <w:t>75</w:t>
            </w:r>
          </w:p>
        </w:tc>
      </w:tr>
      <w:tr w:rsidR="008E1B0D" w:rsidRPr="008E1B0D" w14:paraId="3373007A" w14:textId="74E1D457" w:rsidTr="00D07602">
        <w:trPr>
          <w:trHeight w:val="9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4B7AB7F" w14:textId="2F0586AC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44.1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1CB2D" w14:textId="55C0E901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9, Part 9.3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C3FE2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Application for the grant of a further lease for a term not exceeding the term of the existing lease other than residential or rural purposes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8CD91" w14:textId="2820BE0D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1,602.10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69BF0F7" w14:textId="4696E378" w:rsidR="00030D15" w:rsidRPr="008E1B0D" w:rsidRDefault="00030D15" w:rsidP="00030D15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1,662.20</w:t>
            </w:r>
          </w:p>
        </w:tc>
      </w:tr>
      <w:tr w:rsidR="008E1B0D" w:rsidRPr="008E1B0D" w14:paraId="7B02EE7C" w14:textId="7777E1CF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3E36584" w14:textId="218B9366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44.2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62920" w14:textId="753B02B2" w:rsidR="00030D15" w:rsidRPr="008E1B0D" w:rsidRDefault="00030D15" w:rsidP="00030D15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4A48A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Plus for every unit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01142" w14:textId="163058C2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182.80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D1EB73D" w14:textId="1024996C" w:rsidR="00030D15" w:rsidRPr="008E1B0D" w:rsidRDefault="00030D15" w:rsidP="00030D15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189.65</w:t>
            </w:r>
          </w:p>
        </w:tc>
      </w:tr>
      <w:tr w:rsidR="008E1B0D" w:rsidRPr="008E1B0D" w14:paraId="6D73B2ED" w14:textId="2E686E83" w:rsidTr="00D07602">
        <w:trPr>
          <w:trHeight w:val="9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B03A519" w14:textId="64B18AF0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45.1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3FF43" w14:textId="75BA66B8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9, Part 9.3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47CB0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Application for the grant of a further lease for a term exceeding the term of the existing lease other than residential or rural purposes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FBD73" w14:textId="35DA1E09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4,134.00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76458C6" w14:textId="3668C23B" w:rsidR="00030D15" w:rsidRPr="008E1B0D" w:rsidRDefault="00030D15" w:rsidP="00030D15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4,289.00</w:t>
            </w:r>
          </w:p>
        </w:tc>
      </w:tr>
      <w:tr w:rsidR="008E1B0D" w:rsidRPr="008E1B0D" w14:paraId="472B5047" w14:textId="5FAEA52E" w:rsidTr="00D07602">
        <w:trPr>
          <w:trHeight w:val="12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0651143" w14:textId="0FACC860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46.1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41940" w14:textId="25E15420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bookmarkStart w:id="2" w:name="RANGE!A138"/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9,</w:t>
            </w: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br/>
              <w:t>Part 9.3</w:t>
            </w:r>
            <w:bookmarkEnd w:id="2"/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95622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Application for the grant of a further lease for a term of 99 years where the current lease resulted from the subdivision or consolidation of a 99 year lease/s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E15E8" w14:textId="3D94D472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464.35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A03BC4A" w14:textId="58A0C78F" w:rsidR="00030D15" w:rsidRPr="008E1B0D" w:rsidRDefault="00030D15" w:rsidP="00030D15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481.</w:t>
            </w:r>
            <w:r w:rsidR="00A27E51">
              <w:rPr>
                <w:b/>
                <w:bCs/>
                <w:color w:val="000000" w:themeColor="text1"/>
                <w:sz w:val="22"/>
                <w:szCs w:val="22"/>
              </w:rPr>
              <w:t>75</w:t>
            </w:r>
          </w:p>
        </w:tc>
      </w:tr>
      <w:tr w:rsidR="008E1B0D" w:rsidRPr="008E1B0D" w14:paraId="0C4EE23A" w14:textId="0C5B2FEA" w:rsidTr="00D07602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4D05BA0" w14:textId="1FE08762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47.1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39C51" w14:textId="505415AD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9, Part 9.4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0B82C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Deciding whether a lease is concessional or not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8F794" w14:textId="26BF2FE9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1,552.00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149CCFF" w14:textId="5AAF5170" w:rsidR="00030D15" w:rsidRPr="008E1B0D" w:rsidRDefault="00030D15" w:rsidP="00030D15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1,610.20</w:t>
            </w:r>
          </w:p>
        </w:tc>
      </w:tr>
      <w:tr w:rsidR="008E1B0D" w:rsidRPr="008E1B0D" w14:paraId="121C3D06" w14:textId="274A13D3" w:rsidTr="00D07602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C0A4DAB" w14:textId="6C6C0C25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48.1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98F68" w14:textId="0857D16F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9, Part 9.4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F556F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Varying concessional lease to remove concessional status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091F4" w14:textId="5E53A6BE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3,002.50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FE7608A" w14:textId="4F322F72" w:rsidR="00030D15" w:rsidRPr="008E1B0D" w:rsidRDefault="00030D15" w:rsidP="00030D15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3,115.10</w:t>
            </w:r>
          </w:p>
        </w:tc>
      </w:tr>
      <w:tr w:rsidR="008E1B0D" w:rsidRPr="008E1B0D" w14:paraId="2356F601" w14:textId="4A6F74A2" w:rsidTr="00D07602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B0952FA" w14:textId="0B87C643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49.1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DBA90" w14:textId="22525165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9, Part 9.6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B06AD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Application for reconsideration of a Lease Variation Charge determination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B72FB" w14:textId="3B74B99C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>3,799.90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0DA5746" w14:textId="6D309688" w:rsidR="00030D15" w:rsidRPr="008E1B0D" w:rsidRDefault="00030D15" w:rsidP="00030D15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3,942.40</w:t>
            </w:r>
          </w:p>
        </w:tc>
      </w:tr>
      <w:tr w:rsidR="008E1B0D" w:rsidRPr="008E1B0D" w14:paraId="09F7DD5E" w14:textId="4352EBE6" w:rsidTr="00D07602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ECF4F90" w14:textId="270B4B5D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50.1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850A4" w14:textId="3FC11F01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9, Part 9.6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A79F8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Land Rent payout for residential applications seeking  to use the current UVC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6FDEA" w14:textId="5AF273D5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1,756.55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F30BDBB" w14:textId="353F0A1E" w:rsidR="00030D15" w:rsidRPr="008E1B0D" w:rsidRDefault="00030D15" w:rsidP="00030D15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1,822.40</w:t>
            </w:r>
          </w:p>
        </w:tc>
      </w:tr>
      <w:tr w:rsidR="008E1B0D" w:rsidRPr="008E1B0D" w14:paraId="1897A205" w14:textId="6BEB8D57" w:rsidTr="00D07602">
        <w:trPr>
          <w:trHeight w:val="9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65BF4BD" w14:textId="5C0331B2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51.1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40D15" w14:textId="222C3E3A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9, Part 9.6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69F5E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Land Rent payout for residential applications seeking to use the current UVC  and a solicitor as the applicant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F69B9" w14:textId="4B71D816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1,104.15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69A3DB6" w14:textId="6AE23FA2" w:rsidR="00030D15" w:rsidRPr="008E1B0D" w:rsidRDefault="00030D15" w:rsidP="00030D15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1,145.55</w:t>
            </w:r>
          </w:p>
        </w:tc>
      </w:tr>
      <w:tr w:rsidR="008E1B0D" w:rsidRPr="008E1B0D" w14:paraId="00357FE0" w14:textId="263E59BE" w:rsidTr="00D07602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00551EE" w14:textId="68C14282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52.1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F5C0F" w14:textId="60C8BCF1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9, Part 9.6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B6572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Land Rent Payout – Other/ providing an independent valuation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80A73" w14:textId="49BB5F83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2,362.75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10593B5" w14:textId="52F98FBC" w:rsidR="00030D15" w:rsidRPr="008E1B0D" w:rsidRDefault="00030D15" w:rsidP="00030D15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2,451.35</w:t>
            </w:r>
          </w:p>
        </w:tc>
      </w:tr>
      <w:tr w:rsidR="008E1B0D" w:rsidRPr="008E1B0D" w14:paraId="38EFF2F8" w14:textId="0E005DC0" w:rsidTr="00D07602">
        <w:trPr>
          <w:trHeight w:val="12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9AF892E" w14:textId="716C53C9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53.1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75A4B" w14:textId="3724CBE9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9, Part 9.9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F9F47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Issue of Certificate of Compliance – single residential (including dual occupancy and individual units within a staged unit development)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5C554" w14:textId="4F1B908D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  68.30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F193DCE" w14:textId="284FC3A2" w:rsidR="00030D15" w:rsidRPr="008E1B0D" w:rsidRDefault="00030D15" w:rsidP="00030D15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70.85</w:t>
            </w:r>
          </w:p>
        </w:tc>
      </w:tr>
      <w:tr w:rsidR="008E1B0D" w:rsidRPr="008E1B0D" w14:paraId="0EB3DC38" w14:textId="4664E45F" w:rsidTr="00D07602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720C4EC" w14:textId="7DA44DB8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lastRenderedPageBreak/>
              <w:t>54.1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8EA8F" w14:textId="7E2E73E3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9, Part 9.9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B6151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Issue of Certificate of Compliance other than single residential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F8026" w14:textId="0E88260B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242.70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799F6DE" w14:textId="4A1208FF" w:rsidR="00030D15" w:rsidRPr="008E1B0D" w:rsidRDefault="00030D15" w:rsidP="00030D15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251.80</w:t>
            </w:r>
          </w:p>
        </w:tc>
      </w:tr>
      <w:tr w:rsidR="008E1B0D" w:rsidRPr="008E1B0D" w14:paraId="7CE27921" w14:textId="58A05AC5" w:rsidTr="00D07602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BC85AD8" w14:textId="7FC85806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55.1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3FC7A" w14:textId="1F2F7C82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9, Part 9.9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9ADA3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Consent to transfer or assign a lease or an interest in a lease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CAAD4" w14:textId="563D2D1D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470.65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AC71348" w14:textId="295EFBE3" w:rsidR="00030D15" w:rsidRPr="008E1B0D" w:rsidRDefault="00030D15" w:rsidP="00030D15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488.30</w:t>
            </w:r>
          </w:p>
        </w:tc>
      </w:tr>
      <w:tr w:rsidR="008E1B0D" w:rsidRPr="008E1B0D" w14:paraId="55444902" w14:textId="623B7138" w:rsidTr="00D07602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5ACFB5E" w14:textId="4F3FF349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56.1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DD968" w14:textId="50520595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9, Part 9.9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A2C59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Consent to sublease all or part of the land contained in a lease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0CC24" w14:textId="71247240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470.65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D7356CD" w14:textId="3BF1F0D5" w:rsidR="00030D15" w:rsidRPr="008E1B0D" w:rsidRDefault="00030D15" w:rsidP="00030D15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488.30</w:t>
            </w:r>
          </w:p>
        </w:tc>
      </w:tr>
      <w:tr w:rsidR="008E1B0D" w:rsidRPr="008E1B0D" w14:paraId="5FAA3DEC" w14:textId="6CD5A7B3" w:rsidTr="00D07602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8B9FAFD" w14:textId="35EE2F14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57.1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1B9F4" w14:textId="083447FA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9, Part 9.9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79285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Consent first transfer from the developer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E045C" w14:textId="4B68C0E9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Nil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B8F64D4" w14:textId="4BB0EC27" w:rsidR="00030D15" w:rsidRPr="008E1B0D" w:rsidRDefault="00030D15" w:rsidP="00030D15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Nil</w:t>
            </w:r>
          </w:p>
        </w:tc>
      </w:tr>
      <w:tr w:rsidR="008E1B0D" w:rsidRPr="008E1B0D" w14:paraId="17918DC2" w14:textId="271BFAF3" w:rsidTr="00D07602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68AB13D" w14:textId="39E20C94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58.1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67448" w14:textId="71DEAC73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9, Part 9.9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7B70F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Consent first transfer when applicant is an agency of the ACT Government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F5BCC" w14:textId="5BCA2F27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Nil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776FF43" w14:textId="5D6066AA" w:rsidR="00030D15" w:rsidRPr="008E1B0D" w:rsidRDefault="00030D15" w:rsidP="00030D15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Nil</w:t>
            </w:r>
          </w:p>
        </w:tc>
      </w:tr>
      <w:tr w:rsidR="008E1B0D" w:rsidRPr="008E1B0D" w14:paraId="45C2D57C" w14:textId="2B2B9604" w:rsidTr="00D07602">
        <w:trPr>
          <w:trHeight w:val="9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919F5A9" w14:textId="5BAE6838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59.1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80D7D" w14:textId="11BE3593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9, Part 9.9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A4F39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Extension of time for meeting lease covenants for each 3 months or part thereof (for periods prior to 31 March 2008)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B2054" w14:textId="3C9D01A2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161.80 </w:t>
            </w:r>
          </w:p>
          <w:p w14:paraId="06249DB5" w14:textId="1D966FC8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226E7DA" w14:textId="7F703DC4" w:rsidR="00030D15" w:rsidRPr="008E1B0D" w:rsidRDefault="00030D15" w:rsidP="00030D15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167.85</w:t>
            </w:r>
          </w:p>
        </w:tc>
      </w:tr>
      <w:tr w:rsidR="008E1B0D" w:rsidRPr="008E1B0D" w14:paraId="43A3A60C" w14:textId="69996C36" w:rsidTr="00D07602">
        <w:trPr>
          <w:trHeight w:val="12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B3B189B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2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84E0BE" w14:textId="03F22326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ECC0A" w14:textId="77777777" w:rsidR="00866CB9" w:rsidRPr="008E1B0D" w:rsidRDefault="00866CB9" w:rsidP="00866CB9">
            <w:pPr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  <w:t xml:space="preserve">Note: </w:t>
            </w: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For the period of extension post 31 March 2008, the calculation of this fee is based on the formula in the Planning and Development Act 2007</w:t>
            </w:r>
          </w:p>
        </w:tc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35A20A8" w14:textId="77777777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DD9418A" w14:textId="77777777" w:rsidR="00866CB9" w:rsidRPr="008E1B0D" w:rsidRDefault="00866CB9" w:rsidP="00866CB9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</w:tr>
      <w:tr w:rsidR="008E1B0D" w:rsidRPr="008E1B0D" w14:paraId="75232943" w14:textId="52B41084" w:rsidTr="00D07602">
        <w:trPr>
          <w:trHeight w:val="12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15CA4D7" w14:textId="088AE313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60.1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5EC1A" w14:textId="252BEE2B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9, Part 9.9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FA82A" w14:textId="178440EC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 xml:space="preserve">Extension of time to Crown Lease Building and Development provision fee for the period of extension prior to 31 </w:t>
            </w:r>
            <w:r w:rsidR="00240FC1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M</w:t>
            </w: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arch 2008 for each three month period or part thereof per provision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9F7ED" w14:textId="6593D4E1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161.80 </w:t>
            </w:r>
          </w:p>
          <w:p w14:paraId="1B8FC271" w14:textId="700B9116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0EA796F" w14:textId="6097D6F7" w:rsidR="00866CB9" w:rsidRPr="008E1B0D" w:rsidRDefault="00030D15" w:rsidP="00030D15">
            <w:pPr>
              <w:jc w:val="right"/>
              <w:rPr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167.85</w:t>
            </w:r>
          </w:p>
        </w:tc>
      </w:tr>
      <w:tr w:rsidR="008E1B0D" w:rsidRPr="008E1B0D" w14:paraId="567AF014" w14:textId="1E417D3B" w:rsidTr="00D07602">
        <w:trPr>
          <w:trHeight w:val="12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A748E4B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2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F2E2BA" w14:textId="7A2C8EF0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0EF48" w14:textId="77777777" w:rsidR="00866CB9" w:rsidRPr="008E1B0D" w:rsidRDefault="00866CB9" w:rsidP="00866CB9">
            <w:pPr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  <w:t xml:space="preserve">Note: </w:t>
            </w: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For the period of extension post 31 March 2008, the calculation of this fee is based on the formula in the Planning and Development Act 2007</w:t>
            </w:r>
          </w:p>
        </w:tc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5A7EEA4" w14:textId="77777777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16DF51C" w14:textId="77777777" w:rsidR="00866CB9" w:rsidRPr="008E1B0D" w:rsidRDefault="00866CB9" w:rsidP="00866CB9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</w:tr>
      <w:tr w:rsidR="008E1B0D" w:rsidRPr="008E1B0D" w14:paraId="3736336A" w14:textId="02610140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4A63AF3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5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91BB0" w14:textId="04838587" w:rsidR="00866CB9" w:rsidRPr="008E1B0D" w:rsidRDefault="00866CB9" w:rsidP="00866CB9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  <w:t>Extension of Time Application Processing Fee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136F6" w14:textId="77777777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E79B210" w14:textId="77777777" w:rsidR="00866CB9" w:rsidRPr="008E1B0D" w:rsidRDefault="00866CB9" w:rsidP="00866CB9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</w:tr>
      <w:tr w:rsidR="008E1B0D" w:rsidRPr="008E1B0D" w14:paraId="3419E444" w14:textId="7DB10A65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FB561F8" w14:textId="64FE6F75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  <w:t>61.1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F3E41" w14:textId="38304AE1" w:rsidR="00030D15" w:rsidRPr="008E1B0D" w:rsidRDefault="00030D15" w:rsidP="00030D15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407CD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Single residential crown leases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CC68E" w14:textId="78061F75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308.85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BE8BBD5" w14:textId="3C048D41" w:rsidR="00030D15" w:rsidRPr="008E1B0D" w:rsidRDefault="00030D15" w:rsidP="00030D15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320.45</w:t>
            </w:r>
          </w:p>
        </w:tc>
      </w:tr>
      <w:tr w:rsidR="008E1B0D" w:rsidRPr="008E1B0D" w14:paraId="7FCFCA4E" w14:textId="7A7A86A9" w:rsidTr="00D07602">
        <w:trPr>
          <w:trHeight w:val="12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6695BC6" w14:textId="6F87F115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61.2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6E4C2" w14:textId="5C7C44D4" w:rsidR="00030D15" w:rsidRPr="008E1B0D" w:rsidRDefault="00030D15" w:rsidP="00030D15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2E170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Other crown leases</w:t>
            </w: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br/>
              <w:t>If the fee determined for the period of extension is greater than application fee, the application fee will be deducted from the EOT fee determination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B2D26" w14:textId="5DD08B24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555.75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98CE8A5" w14:textId="60716FE3" w:rsidR="00030D15" w:rsidRPr="008E1B0D" w:rsidRDefault="00030D15" w:rsidP="00030D15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576.60</w:t>
            </w:r>
          </w:p>
        </w:tc>
      </w:tr>
      <w:tr w:rsidR="008E1B0D" w:rsidRPr="008E1B0D" w14:paraId="08BE450B" w14:textId="3DC5E778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BD282D1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5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0FD12" w14:textId="32F27DD7" w:rsidR="00866CB9" w:rsidRPr="008E1B0D" w:rsidRDefault="00866CB9" w:rsidP="00866CB9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  <w:t>Extension of time application processing fee</w:t>
            </w: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 xml:space="preserve"> (claims hardship under Reg 204,205,206,207 of the Planning and Development ACT 2007)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8CB5C" w14:textId="77777777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C4DC527" w14:textId="77777777" w:rsidR="00866CB9" w:rsidRPr="008E1B0D" w:rsidRDefault="00866CB9" w:rsidP="00866CB9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</w:tr>
      <w:tr w:rsidR="008E1B0D" w:rsidRPr="008E1B0D" w14:paraId="46863385" w14:textId="7E914BD8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24B2D67" w14:textId="25F1CC08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  <w:t>62.1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B6874" w14:textId="75F13A01" w:rsidR="00030D15" w:rsidRPr="008E1B0D" w:rsidRDefault="00030D15" w:rsidP="00030D15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2D91E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Single residential crown leases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3627C" w14:textId="52B072A8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371.90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717A637" w14:textId="720CA291" w:rsidR="00030D15" w:rsidRPr="008E1B0D" w:rsidRDefault="00030D15" w:rsidP="00030D15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385.85</w:t>
            </w:r>
          </w:p>
        </w:tc>
      </w:tr>
      <w:tr w:rsidR="008E1B0D" w:rsidRPr="008E1B0D" w14:paraId="2E8D98EC" w14:textId="5150527D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5E021C1" w14:textId="12376E0E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62.2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3548D" w14:textId="591997C4" w:rsidR="00030D15" w:rsidRPr="008E1B0D" w:rsidRDefault="00030D15" w:rsidP="00030D15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F79E4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Other crown leases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395FB" w14:textId="5CB55FC0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617.75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1795C55" w14:textId="59274D5A" w:rsidR="00030D15" w:rsidRPr="008E1B0D" w:rsidRDefault="00030D15" w:rsidP="00030D15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640.90</w:t>
            </w:r>
          </w:p>
        </w:tc>
      </w:tr>
      <w:tr w:rsidR="008E1B0D" w:rsidRPr="008E1B0D" w14:paraId="30F53D70" w14:textId="77D7D0F6" w:rsidTr="00D07602">
        <w:trPr>
          <w:trHeight w:val="9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11B1A81" w14:textId="72CEA568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63.1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06E4E" w14:textId="427BC400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9, Part 9.11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44E46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Licence to occupy or use Territory Land - short term commercial use for restricted clientele (i) application fee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1EE05" w14:textId="7E694EA7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53.60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D787464" w14:textId="59DF776A" w:rsidR="00030D15" w:rsidRPr="008E1B0D" w:rsidRDefault="00030D15" w:rsidP="00030D15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55.60</w:t>
            </w:r>
          </w:p>
        </w:tc>
      </w:tr>
      <w:tr w:rsidR="008E1B0D" w:rsidRPr="008E1B0D" w14:paraId="4D3E321C" w14:textId="0115E019" w:rsidTr="00D07602">
        <w:trPr>
          <w:trHeight w:val="9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02F0D35" w14:textId="58D344FF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lastRenderedPageBreak/>
              <w:t>64.1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2C2D6" w14:textId="27D48CEC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9, Part 9.11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95AB7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Licence to occupy or use Territory Land - short term commercial use for restricted clientele (ii) part day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D55B8" w14:textId="510909EA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  92.45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F42C24C" w14:textId="2EEFFA9C" w:rsidR="00030D15" w:rsidRPr="008E1B0D" w:rsidRDefault="00030D15" w:rsidP="00030D15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95.90</w:t>
            </w:r>
          </w:p>
        </w:tc>
      </w:tr>
      <w:tr w:rsidR="008E1B0D" w:rsidRPr="008E1B0D" w14:paraId="4A083673" w14:textId="7F24C5AF" w:rsidTr="00D07602">
        <w:trPr>
          <w:trHeight w:val="9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88A4996" w14:textId="218320B8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65.1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533D6" w14:textId="481A6B11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9, Part 9.11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28683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Licence to occupy or use Territory Land - short term commercial use for restricted clientele (iii) whole day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D8BC8" w14:textId="65F6803C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133.40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0C0BB57" w14:textId="64AC0635" w:rsidR="00030D15" w:rsidRPr="008E1B0D" w:rsidRDefault="00030D15" w:rsidP="00030D15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138.45</w:t>
            </w:r>
          </w:p>
        </w:tc>
      </w:tr>
      <w:tr w:rsidR="008E1B0D" w:rsidRPr="008E1B0D" w14:paraId="00E898B7" w14:textId="3CDFE0AE" w:rsidTr="00D07602">
        <w:trPr>
          <w:trHeight w:val="9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81BEC59" w14:textId="6D77CF6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66.1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DAC80" w14:textId="2C35D43D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9, Part 9.11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F725B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Licence to occupy or use a nature strip – (a) works associated with development of nature strip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D6A6C" w14:textId="49B770E0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Nil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3BB5883" w14:textId="674225ED" w:rsidR="00030D15" w:rsidRPr="008E1B0D" w:rsidRDefault="00030D15" w:rsidP="00030D15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Nil</w:t>
            </w:r>
          </w:p>
        </w:tc>
      </w:tr>
      <w:tr w:rsidR="008E1B0D" w:rsidRPr="008E1B0D" w14:paraId="1206579F" w14:textId="753F899B" w:rsidTr="00D07602">
        <w:trPr>
          <w:trHeight w:val="9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1CE947A" w14:textId="3F65CD2F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67.1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75209" w14:textId="5246D10C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9, Part 9.11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30DE5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Licence to occupy or use a nature strip - (b) storage of building materials (established residential only)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92752" w14:textId="3E65604A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  53.58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18EEE6E" w14:textId="5F6E09BB" w:rsidR="00030D15" w:rsidRPr="008E1B0D" w:rsidRDefault="00030D15" w:rsidP="00030D15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55.60</w:t>
            </w:r>
          </w:p>
        </w:tc>
      </w:tr>
      <w:tr w:rsidR="008E1B0D" w:rsidRPr="008E1B0D" w14:paraId="714E58D3" w14:textId="035DB3D4" w:rsidTr="00D07602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86CCF0F" w14:textId="1B9A94F2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67.2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C38A5" w14:textId="6D22BB00" w:rsidR="00030D15" w:rsidRPr="008E1B0D" w:rsidRDefault="00030D15" w:rsidP="00030D15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5C92A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Plus for every week or part thereof for the duration of the use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23B6B" w14:textId="3B50B6A7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  48.30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CC87287" w14:textId="6E9CE9C4" w:rsidR="00030D15" w:rsidRPr="008E1B0D" w:rsidRDefault="00030D15" w:rsidP="00030D15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50.15</w:t>
            </w:r>
          </w:p>
        </w:tc>
      </w:tr>
      <w:tr w:rsidR="008E1B0D" w:rsidRPr="008E1B0D" w14:paraId="67D266CF" w14:textId="70DE8CD1" w:rsidTr="00D07602">
        <w:trPr>
          <w:trHeight w:val="9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337A5C6" w14:textId="23CDC5DA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68.1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29880" w14:textId="31505E1F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9, Part 9.11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15E77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 xml:space="preserve">Licence to occupy or use a nature strip for business promotion (for example, private enterprise land development advertisement)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B943B" w14:textId="25B57800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  53.60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4CD1DB9" w14:textId="547A5162" w:rsidR="00030D15" w:rsidRPr="008E1B0D" w:rsidRDefault="00030D15" w:rsidP="00030D15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55.60</w:t>
            </w:r>
          </w:p>
        </w:tc>
      </w:tr>
      <w:tr w:rsidR="008E1B0D" w:rsidRPr="008E1B0D" w14:paraId="6FD05DBC" w14:textId="6BF9F5FB" w:rsidTr="00D07602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2491960" w14:textId="160FA492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68.2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F0911" w14:textId="38DF86F4" w:rsidR="00030D15" w:rsidRPr="008E1B0D" w:rsidRDefault="00030D15" w:rsidP="00030D15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B79EF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Plus for every week or part thereof for the duration of the use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2D8B4" w14:textId="6F97CB06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  48.30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F5E8BBA" w14:textId="1CA12F56" w:rsidR="00030D15" w:rsidRPr="008E1B0D" w:rsidRDefault="00030D15" w:rsidP="00030D15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50.15</w:t>
            </w:r>
          </w:p>
        </w:tc>
      </w:tr>
      <w:tr w:rsidR="008E1B0D" w:rsidRPr="008E1B0D" w14:paraId="60C37B75" w14:textId="19234DFE" w:rsidTr="00D07602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E5D8B49" w14:textId="31773173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69.1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8E850" w14:textId="795F76CD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9, Part 9.11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51803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 xml:space="preserve">Licence to occupy or use a nature strip plus surcharge for period of use per week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54D4E" w14:textId="7726BF05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  53.60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A73C0A4" w14:textId="2C2E81B0" w:rsidR="00030D15" w:rsidRPr="008E1B0D" w:rsidRDefault="00030D15" w:rsidP="00030D15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55.60</w:t>
            </w:r>
          </w:p>
        </w:tc>
      </w:tr>
      <w:tr w:rsidR="008E1B0D" w:rsidRPr="008E1B0D" w14:paraId="7B22864C" w14:textId="45B25CB2" w:rsidTr="00D07602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7D49432" w14:textId="6C495903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69.2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41457" w14:textId="45B55040" w:rsidR="00030D15" w:rsidRPr="008E1B0D" w:rsidRDefault="00030D15" w:rsidP="00030D15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D2979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Plus for every week or part thereof for the duration of the use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2DA6E" w14:textId="203DE81F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  48.30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69B0216" w14:textId="0F16A82D" w:rsidR="00030D15" w:rsidRPr="008E1B0D" w:rsidRDefault="00030D15" w:rsidP="00030D15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50.15</w:t>
            </w:r>
          </w:p>
        </w:tc>
      </w:tr>
      <w:tr w:rsidR="008E1B0D" w:rsidRPr="008E1B0D" w14:paraId="5F460A1B" w14:textId="63ABF5A2" w:rsidTr="00D07602">
        <w:trPr>
          <w:trHeight w:val="9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A485D0D" w14:textId="7F009C22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70.1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717BA" w14:textId="1146200D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9, Part 9.11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6402B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Grant of a licence to occupy or use unleased Territory Land for community groups for example, religious groups or clubs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78854" w14:textId="2299CB1E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1,686.15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6FB3A6A" w14:textId="268AA3BA" w:rsidR="00030D15" w:rsidRPr="008E1B0D" w:rsidRDefault="00030D15" w:rsidP="00030D15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1,749.40</w:t>
            </w:r>
          </w:p>
        </w:tc>
      </w:tr>
      <w:tr w:rsidR="008E1B0D" w:rsidRPr="008E1B0D" w14:paraId="54A3565E" w14:textId="7EFCEA4B" w:rsidTr="00D07602">
        <w:trPr>
          <w:trHeight w:val="9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5587A92" w14:textId="418187D6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71.1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E96EF" w14:textId="55269CC1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9, Part 9.11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12297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Grant of a licence to occupy or use unleased Territory Land for other purposes (except for grazing and community gardens)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17B47" w14:textId="178488D3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3,500.50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7B52DC4" w14:textId="6DB05265" w:rsidR="00030D15" w:rsidRPr="008E1B0D" w:rsidRDefault="00030D15" w:rsidP="00030D15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3,631.</w:t>
            </w:r>
            <w:r w:rsidR="00A27E51">
              <w:rPr>
                <w:b/>
                <w:bCs/>
                <w:color w:val="000000" w:themeColor="text1"/>
                <w:sz w:val="22"/>
                <w:szCs w:val="22"/>
              </w:rPr>
              <w:t>75</w:t>
            </w:r>
          </w:p>
        </w:tc>
      </w:tr>
      <w:tr w:rsidR="008E1B0D" w:rsidRPr="008E1B0D" w14:paraId="0BCED1DF" w14:textId="0CA98F0C" w:rsidTr="00D07602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714BAE0" w14:textId="042662A9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72.1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52C7E" w14:textId="6E630070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9, Part 9.11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8972C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Licence fee for the use of unleased land when the land is used for grazing stock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5857C" w14:textId="77777777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  <w:t xml:space="preserve"> Nil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FE186D7" w14:textId="24EC079D" w:rsidR="00030D15" w:rsidRPr="008E1B0D" w:rsidRDefault="00030D15" w:rsidP="00030D15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Nil</w:t>
            </w:r>
          </w:p>
        </w:tc>
      </w:tr>
      <w:tr w:rsidR="008E1B0D" w:rsidRPr="008E1B0D" w14:paraId="0FD707C8" w14:textId="69FECAE2" w:rsidTr="00D07602">
        <w:trPr>
          <w:trHeight w:val="9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6234255" w14:textId="730DFE0A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73.1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61A1A" w14:textId="21521CB0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9, Part 9.11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412DD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Grant of a licence to use a room in the Legislative Assembly Building (i) charity or community groups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D3494" w14:textId="77777777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  <w:t xml:space="preserve"> Nil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EBA25B4" w14:textId="0DECC78A" w:rsidR="00030D15" w:rsidRPr="008E1B0D" w:rsidRDefault="00030D15" w:rsidP="00030D15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Nil</w:t>
            </w:r>
          </w:p>
        </w:tc>
      </w:tr>
      <w:tr w:rsidR="008E1B0D" w:rsidRPr="008E1B0D" w14:paraId="30E62C53" w14:textId="76454FEA" w:rsidTr="00D07602">
        <w:trPr>
          <w:trHeight w:val="9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C22BAD6" w14:textId="524390EF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74.1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23A5B" w14:textId="71B4B222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9, Part 9.11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57F77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Grant of a licence to use a room in the Legislative Assembly Building (ii) commercial or other groups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257FD" w14:textId="77777777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  <w:t xml:space="preserve"> Nil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C17C901" w14:textId="4FAFA0C5" w:rsidR="00030D15" w:rsidRPr="008E1B0D" w:rsidRDefault="00030D15" w:rsidP="00030D15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Nil</w:t>
            </w:r>
          </w:p>
        </w:tc>
      </w:tr>
      <w:tr w:rsidR="008E1B0D" w:rsidRPr="008E1B0D" w14:paraId="21E0C8B9" w14:textId="17871517" w:rsidTr="00D07602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65F89A1" w14:textId="6FCDBC8D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75.1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F3476" w14:textId="1B668095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9, Part 9.11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C5135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 xml:space="preserve">Grant of a licence to use Territory land to locate secure storage waste enclosures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0BA1E" w14:textId="77777777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  <w:t xml:space="preserve"> Nil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440D225" w14:textId="1FB782C8" w:rsidR="00030D15" w:rsidRPr="008E1B0D" w:rsidRDefault="00030D15" w:rsidP="00030D15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Nil</w:t>
            </w:r>
          </w:p>
        </w:tc>
      </w:tr>
      <w:tr w:rsidR="008E1B0D" w:rsidRPr="008E1B0D" w14:paraId="0B136A75" w14:textId="35CAB786" w:rsidTr="00D07602">
        <w:trPr>
          <w:trHeight w:val="9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3059F9E" w14:textId="07B5F5B5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lastRenderedPageBreak/>
              <w:t>76.1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1210C" w14:textId="5A2FB37D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9, Part 9.11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D99E8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Licence fee for the use of unleased Territory land when the land is used for community gardens as defined in the regulations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80C79" w14:textId="77777777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  <w:t xml:space="preserve"> Nil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CEF609A" w14:textId="5D6CE50B" w:rsidR="00030D15" w:rsidRPr="008E1B0D" w:rsidRDefault="00030D15" w:rsidP="00030D15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Nil</w:t>
            </w:r>
          </w:p>
        </w:tc>
      </w:tr>
      <w:tr w:rsidR="008E1B0D" w:rsidRPr="008E1B0D" w14:paraId="3A4F98DE" w14:textId="4659D461" w:rsidTr="00D07602">
        <w:trPr>
          <w:trHeight w:val="9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FB81846" w14:textId="2D970619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77.1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7BE95" w14:textId="39C96F1A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9, Part 9.11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716D3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Application to vary an existing licence to occupy or use unleased Territory land – for groups other than grazing and community organisations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3A220" w14:textId="77BAB879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  <w:t>1,756.55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F355E4F" w14:textId="75BBEAF4" w:rsidR="00030D15" w:rsidRPr="008E1B0D" w:rsidRDefault="00030D15" w:rsidP="00030D15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1,822.40</w:t>
            </w:r>
          </w:p>
        </w:tc>
      </w:tr>
      <w:tr w:rsidR="008E1B0D" w:rsidRPr="008E1B0D" w14:paraId="73DCF374" w14:textId="3D6FEB12" w:rsidTr="00D07602">
        <w:trPr>
          <w:trHeight w:val="6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A52E499" w14:textId="498D249C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83E10" w14:textId="548841D8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Chapter 11, Part 11.3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1B53E" w14:textId="77777777" w:rsidR="00866CB9" w:rsidRPr="008E1B0D" w:rsidRDefault="00866CB9" w:rsidP="00866CB9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 xml:space="preserve">Application for controlled activity order.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171F0" w14:textId="77777777" w:rsidR="00866CB9" w:rsidRPr="008E1B0D" w:rsidRDefault="00866CB9" w:rsidP="00866CB9">
            <w:pPr>
              <w:jc w:val="right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999DA73" w14:textId="77777777" w:rsidR="00866CB9" w:rsidRPr="008E1B0D" w:rsidRDefault="00866CB9" w:rsidP="00866CB9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</w:tr>
      <w:tr w:rsidR="008E1B0D" w:rsidRPr="008E1B0D" w14:paraId="5429CE9E" w14:textId="6E5E1723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966BC99" w14:textId="2F1B67D2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  <w:t>78.1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49F39" w14:textId="29186EFE" w:rsidR="00030D15" w:rsidRPr="008E1B0D" w:rsidRDefault="00030D15" w:rsidP="00030D15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D5819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Residential Zone 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DDED0" w14:textId="28A235D6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190.15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AAA7DBF" w14:textId="33A40CAB" w:rsidR="00030D15" w:rsidRPr="008E1B0D" w:rsidRDefault="00030D15" w:rsidP="00030D15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197.30</w:t>
            </w:r>
          </w:p>
        </w:tc>
      </w:tr>
      <w:tr w:rsidR="008E1B0D" w:rsidRPr="008E1B0D" w14:paraId="74901D62" w14:textId="69A6CEBE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352DC78" w14:textId="16AF263E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78.2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8634E" w14:textId="655E0781" w:rsidR="00030D15" w:rsidRPr="008E1B0D" w:rsidRDefault="00030D15" w:rsidP="00030D15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6945C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Residential Zone 2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B1638" w14:textId="15871343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253.20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F563E5E" w14:textId="2F69FA96" w:rsidR="00030D15" w:rsidRPr="008E1B0D" w:rsidRDefault="00030D15" w:rsidP="00030D15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262.70</w:t>
            </w:r>
          </w:p>
        </w:tc>
      </w:tr>
      <w:tr w:rsidR="008E1B0D" w:rsidRPr="008E1B0D" w14:paraId="5127162C" w14:textId="6AA372D7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5CE2C78" w14:textId="1EBC4C6F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78.3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43DE6" w14:textId="7CE0C40D" w:rsidR="00030D15" w:rsidRPr="008E1B0D" w:rsidRDefault="00030D15" w:rsidP="00030D15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77FCA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Residential Zone 3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8FF4E" w14:textId="1E4CE637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379.25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B798204" w14:textId="53B7F846" w:rsidR="00030D15" w:rsidRPr="008E1B0D" w:rsidRDefault="00030D15" w:rsidP="00030D15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393.50</w:t>
            </w:r>
          </w:p>
        </w:tc>
      </w:tr>
      <w:tr w:rsidR="008E1B0D" w:rsidRPr="008E1B0D" w14:paraId="12C19764" w14:textId="1F7D9A1D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39E91BC" w14:textId="15A94981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78.4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A70B8" w14:textId="618CDA46" w:rsidR="00030D15" w:rsidRPr="008E1B0D" w:rsidRDefault="00030D15" w:rsidP="00030D15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341C6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Residential Zone 4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B0528" w14:textId="386C34A4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507.40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08E0907" w14:textId="25BA45EB" w:rsidR="00030D15" w:rsidRPr="008E1B0D" w:rsidRDefault="00030D15" w:rsidP="00030D15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526.45</w:t>
            </w:r>
          </w:p>
        </w:tc>
      </w:tr>
      <w:tr w:rsidR="008E1B0D" w:rsidRPr="008E1B0D" w14:paraId="50BACC7B" w14:textId="53FD17C0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93602C6" w14:textId="1AC60D71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78.5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99239" w14:textId="2549BF20" w:rsidR="00030D15" w:rsidRPr="008E1B0D" w:rsidRDefault="00030D15" w:rsidP="00030D15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B65B4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Residential Zone 5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AE5B2" w14:textId="1A43F693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633.50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F850228" w14:textId="76190DC0" w:rsidR="00030D15" w:rsidRPr="008E1B0D" w:rsidRDefault="00030D15" w:rsidP="00030D15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657.25</w:t>
            </w:r>
          </w:p>
        </w:tc>
      </w:tr>
      <w:tr w:rsidR="008E1B0D" w:rsidRPr="008E1B0D" w14:paraId="6381C13B" w14:textId="1CB09778" w:rsidTr="00D07602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C629D9D" w14:textId="14B50461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78.6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37D53" w14:textId="481518BB" w:rsidR="00030D15" w:rsidRPr="008E1B0D" w:rsidRDefault="00030D15" w:rsidP="00030D15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BAF8C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All Other Zones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49556" w14:textId="2E247501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443.35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DAF8F64" w14:textId="3CE97811" w:rsidR="00A27E51" w:rsidRPr="008E1B0D" w:rsidRDefault="00030D15" w:rsidP="00A27E51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A27E51">
              <w:rPr>
                <w:b/>
                <w:bCs/>
                <w:color w:val="000000" w:themeColor="text1"/>
                <w:sz w:val="22"/>
                <w:szCs w:val="22"/>
              </w:rPr>
              <w:t>59.95</w:t>
            </w:r>
          </w:p>
        </w:tc>
      </w:tr>
      <w:tr w:rsidR="008E1B0D" w:rsidRPr="008E1B0D" w14:paraId="41295B77" w14:textId="131CBD08" w:rsidTr="00D07602">
        <w:trPr>
          <w:trHeight w:val="12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D7928CE" w14:textId="47932AC5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79.1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EEF18" w14:textId="1E458E84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Regulation, Schedule 1</w:t>
            </w: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br/>
              <w:t>Section 1.100A (4)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72C76" w14:textId="77777777" w:rsidR="00030D15" w:rsidRPr="008E1B0D" w:rsidRDefault="00030D15" w:rsidP="00030D15">
            <w:pPr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rFonts w:eastAsia="Times New Roman"/>
                <w:color w:val="000000" w:themeColor="text1"/>
                <w:sz w:val="22"/>
                <w:szCs w:val="22"/>
                <w:lang w:eastAsia="en-AU"/>
              </w:rPr>
              <w:t>Application for exemption declaration – Otherwise non compliant single dwellings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12BC7" w14:textId="7579205D" w:rsidR="00030D15" w:rsidRPr="008E1B0D" w:rsidRDefault="00030D15" w:rsidP="00030D15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en-AU"/>
              </w:rPr>
            </w:pPr>
            <w:r w:rsidRPr="008E1B0D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630.35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08C9D3E" w14:textId="79AC8663" w:rsidR="00030D15" w:rsidRPr="008E1B0D" w:rsidRDefault="00030D15" w:rsidP="00030D15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1B0D">
              <w:rPr>
                <w:b/>
                <w:bCs/>
                <w:color w:val="000000" w:themeColor="text1"/>
                <w:sz w:val="22"/>
                <w:szCs w:val="22"/>
              </w:rPr>
              <w:t>654.00</w:t>
            </w:r>
          </w:p>
        </w:tc>
      </w:tr>
    </w:tbl>
    <w:p w14:paraId="23E926F5" w14:textId="278B9A13" w:rsidR="0040017A" w:rsidRPr="00D407FD" w:rsidRDefault="00D07602">
      <w:pPr>
        <w:rPr>
          <w:i/>
          <w:iCs/>
        </w:rPr>
      </w:pPr>
      <w:r>
        <w:rPr>
          <w:i/>
          <w:iCs/>
        </w:rPr>
        <w:t xml:space="preserve">                           </w:t>
      </w:r>
      <w:r w:rsidRPr="00D563A7">
        <w:rPr>
          <w:i/>
          <w:iCs/>
          <w:sz w:val="22"/>
          <w:szCs w:val="22"/>
          <w:lang w:eastAsia="en-AU"/>
        </w:rPr>
        <w:t>Note: The figures in column 4 are for comparison purposes only</w:t>
      </w:r>
    </w:p>
    <w:sectPr w:rsidR="0040017A" w:rsidRPr="00D407FD">
      <w:headerReference w:type="first" r:id="rId15"/>
      <w:type w:val="continuous"/>
      <w:pgSz w:w="11907" w:h="16840" w:code="9"/>
      <w:pgMar w:top="1440" w:right="1582" w:bottom="1009" w:left="1582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B7068" w14:textId="77777777" w:rsidR="00A70F91" w:rsidRDefault="00A70F91">
      <w:r>
        <w:separator/>
      </w:r>
    </w:p>
  </w:endnote>
  <w:endnote w:type="continuationSeparator" w:id="0">
    <w:p w14:paraId="056A30EB" w14:textId="77777777" w:rsidR="00A70F91" w:rsidRDefault="00A7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5046" w14:textId="77777777" w:rsidR="006A5B5B" w:rsidRDefault="006A5B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3920B" w14:textId="431D2F44" w:rsidR="00E70E2B" w:rsidRPr="006A5B5B" w:rsidRDefault="006A5B5B" w:rsidP="006A5B5B">
    <w:pPr>
      <w:pStyle w:val="Footer"/>
      <w:jc w:val="center"/>
      <w:rPr>
        <w:rFonts w:ascii="Arial" w:hAnsi="Arial" w:cs="Arial"/>
        <w:sz w:val="14"/>
      </w:rPr>
    </w:pPr>
    <w:r w:rsidRPr="006A5B5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79CF" w14:textId="316D247A" w:rsidR="00E70E2B" w:rsidRPr="006A5B5B" w:rsidRDefault="006A5B5B" w:rsidP="006A5B5B">
    <w:pPr>
      <w:pStyle w:val="Footer"/>
      <w:jc w:val="center"/>
      <w:rPr>
        <w:rFonts w:ascii="Arial" w:hAnsi="Arial" w:cs="Arial"/>
        <w:sz w:val="14"/>
      </w:rPr>
    </w:pPr>
    <w:r w:rsidRPr="006A5B5B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9A293" w14:textId="77777777" w:rsidR="00A70F91" w:rsidRDefault="00A70F91">
      <w:r>
        <w:separator/>
      </w:r>
    </w:p>
  </w:footnote>
  <w:footnote w:type="continuationSeparator" w:id="0">
    <w:p w14:paraId="6E0DBA70" w14:textId="77777777" w:rsidR="00A70F91" w:rsidRDefault="00A70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A0D4" w14:textId="77777777" w:rsidR="006A5B5B" w:rsidRDefault="006A5B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A4FA" w14:textId="77777777" w:rsidR="006A5B5B" w:rsidRDefault="006A5B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224DD" w14:textId="77777777" w:rsidR="006A5B5B" w:rsidRDefault="006A5B5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882C" w14:textId="77777777" w:rsidR="00E70E2B" w:rsidRDefault="00E70E2B" w:rsidP="00D5629B">
    <w:pPr>
      <w:pStyle w:val="Header"/>
      <w:ind w:right="360"/>
      <w:rPr>
        <w:b/>
        <w:iCs/>
        <w:sz w:val="22"/>
        <w:szCs w:val="22"/>
      </w:rPr>
    </w:pPr>
    <w:r>
      <w:rPr>
        <w:b/>
        <w:iCs/>
        <w:sz w:val="22"/>
        <w:szCs w:val="22"/>
      </w:rPr>
      <w:t>Schedule</w:t>
    </w:r>
  </w:p>
  <w:p w14:paraId="18DCC692" w14:textId="77777777" w:rsidR="00E70E2B" w:rsidRDefault="00E70E2B" w:rsidP="00D5629B">
    <w:pPr>
      <w:pStyle w:val="Header"/>
      <w:pBdr>
        <w:bottom w:val="single" w:sz="4" w:space="1" w:color="auto"/>
      </w:pBdr>
      <w:ind w:right="360"/>
      <w:rPr>
        <w:b/>
        <w:iCs/>
        <w:sz w:val="22"/>
        <w:szCs w:val="22"/>
      </w:rPr>
    </w:pPr>
    <w:r>
      <w:rPr>
        <w:b/>
        <w:iCs/>
        <w:sz w:val="22"/>
        <w:szCs w:val="22"/>
      </w:rPr>
      <w:t>(see section 3)</w:t>
    </w:r>
  </w:p>
  <w:p w14:paraId="68BA868F" w14:textId="77777777" w:rsidR="00E70E2B" w:rsidRDefault="00E70E2B">
    <w:pPr>
      <w:pStyle w:val="Header"/>
      <w:tabs>
        <w:tab w:val="clear" w:pos="4153"/>
        <w:tab w:val="clear" w:pos="8306"/>
        <w:tab w:val="left" w:pos="2115"/>
      </w:tabs>
    </w:pPr>
    <w:r>
      <w:tab/>
    </w:r>
  </w:p>
  <w:p w14:paraId="56C90CA4" w14:textId="77777777" w:rsidR="00E70E2B" w:rsidRDefault="00E70E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1C3F0F"/>
    <w:multiLevelType w:val="hybridMultilevel"/>
    <w:tmpl w:val="E1E6BE32"/>
    <w:lvl w:ilvl="0" w:tplc="A1642580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072B33F6"/>
    <w:multiLevelType w:val="hybridMultilevel"/>
    <w:tmpl w:val="225C6F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A2A29C8"/>
    <w:multiLevelType w:val="singleLevel"/>
    <w:tmpl w:val="324CD4EC"/>
    <w:lvl w:ilvl="0">
      <w:start w:val="1"/>
      <w:numFmt w:val="lowerLetter"/>
      <w:lvlText w:val="(%1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4" w15:restartNumberingAfterBreak="0">
    <w:nsid w:val="1202131C"/>
    <w:multiLevelType w:val="hybridMultilevel"/>
    <w:tmpl w:val="88BADB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3832D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9516ECB"/>
    <w:multiLevelType w:val="hybridMultilevel"/>
    <w:tmpl w:val="44501AB2"/>
    <w:lvl w:ilvl="0" w:tplc="A1642580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2FAA5250"/>
    <w:multiLevelType w:val="singleLevel"/>
    <w:tmpl w:val="264A3E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</w:abstractNum>
  <w:abstractNum w:abstractNumId="8" w15:restartNumberingAfterBreak="0">
    <w:nsid w:val="3FB96FA4"/>
    <w:multiLevelType w:val="hybridMultilevel"/>
    <w:tmpl w:val="9D62409C"/>
    <w:lvl w:ilvl="0" w:tplc="1D7464F0">
      <w:start w:val="89"/>
      <w:numFmt w:val="bullet"/>
      <w:lvlText w:val="-"/>
      <w:lvlJc w:val="left"/>
      <w:pPr>
        <w:ind w:left="400" w:hanging="360"/>
      </w:pPr>
      <w:rPr>
        <w:rFonts w:ascii="Helvetica" w:eastAsia="Times New Roman" w:hAnsi="Helvetica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9" w15:restartNumberingAfterBreak="0">
    <w:nsid w:val="4C551FC5"/>
    <w:multiLevelType w:val="hybridMultilevel"/>
    <w:tmpl w:val="F8B4C2B0"/>
    <w:lvl w:ilvl="0" w:tplc="A164258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554E6406"/>
    <w:multiLevelType w:val="hybridMultilevel"/>
    <w:tmpl w:val="2D22C9BE"/>
    <w:lvl w:ilvl="0" w:tplc="0C09000F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1" w15:restartNumberingAfterBreak="0">
    <w:nsid w:val="5BBF7623"/>
    <w:multiLevelType w:val="hybridMultilevel"/>
    <w:tmpl w:val="590A4D14"/>
    <w:lvl w:ilvl="0" w:tplc="57FE02C4">
      <w:start w:val="3"/>
      <w:numFmt w:val="lowerLetter"/>
      <w:lvlText w:val="(%1)"/>
      <w:lvlJc w:val="left"/>
      <w:pPr>
        <w:tabs>
          <w:tab w:val="num" w:pos="1421"/>
        </w:tabs>
        <w:ind w:left="1421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2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62215174"/>
    <w:multiLevelType w:val="hybridMultilevel"/>
    <w:tmpl w:val="9D2E8E24"/>
    <w:lvl w:ilvl="0" w:tplc="26E457C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66953DD1"/>
    <w:multiLevelType w:val="hybridMultilevel"/>
    <w:tmpl w:val="59709A60"/>
    <w:lvl w:ilvl="0" w:tplc="F6362364">
      <w:start w:val="1"/>
      <w:numFmt w:val="bullet"/>
      <w:lvlText w:val=""/>
      <w:lvlJc w:val="left"/>
      <w:pPr>
        <w:tabs>
          <w:tab w:val="num" w:pos="2877"/>
        </w:tabs>
        <w:ind w:left="2801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77C34344"/>
    <w:multiLevelType w:val="hybridMultilevel"/>
    <w:tmpl w:val="A4A83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5375235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01" w:hanging="283"/>
        </w:pPr>
        <w:rPr>
          <w:rFonts w:ascii="Symbol" w:hAnsi="Symbol" w:hint="default"/>
        </w:rPr>
      </w:lvl>
    </w:lvlOverride>
  </w:num>
  <w:num w:numId="2" w16cid:durableId="1367410538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1610" w:hanging="567"/>
        </w:pPr>
        <w:rPr>
          <w:rFonts w:ascii="Symbol" w:hAnsi="Symbol" w:hint="default"/>
        </w:rPr>
      </w:lvl>
    </w:lvlOverride>
  </w:num>
  <w:num w:numId="3" w16cid:durableId="1349528035">
    <w:abstractNumId w:val="0"/>
    <w:lvlOverride w:ilvl="0">
      <w:lvl w:ilvl="0">
        <w:start w:val="1"/>
        <w:numFmt w:val="bullet"/>
        <w:lvlText w:val="?"/>
        <w:legacy w:legacy="1" w:legacySpace="0" w:legacyIndent="283"/>
        <w:lvlJc w:val="left"/>
        <w:pPr>
          <w:ind w:left="901" w:hanging="283"/>
        </w:pPr>
        <w:rPr>
          <w:rFonts w:ascii="Arial" w:hAnsi="Arial" w:hint="default"/>
        </w:rPr>
      </w:lvl>
    </w:lvlOverride>
  </w:num>
  <w:num w:numId="4" w16cid:durableId="1539585755">
    <w:abstractNumId w:val="7"/>
  </w:num>
  <w:num w:numId="5" w16cid:durableId="462847578">
    <w:abstractNumId w:val="12"/>
  </w:num>
  <w:num w:numId="6" w16cid:durableId="1104151353">
    <w:abstractNumId w:val="5"/>
  </w:num>
  <w:num w:numId="7" w16cid:durableId="1482386474">
    <w:abstractNumId w:val="3"/>
  </w:num>
  <w:num w:numId="8" w16cid:durableId="1184634477">
    <w:abstractNumId w:val="2"/>
  </w:num>
  <w:num w:numId="9" w16cid:durableId="1571109408">
    <w:abstractNumId w:val="11"/>
  </w:num>
  <w:num w:numId="10" w16cid:durableId="1212813585">
    <w:abstractNumId w:val="13"/>
  </w:num>
  <w:num w:numId="11" w16cid:durableId="890074260">
    <w:abstractNumId w:val="9"/>
  </w:num>
  <w:num w:numId="12" w16cid:durableId="1727797216">
    <w:abstractNumId w:val="1"/>
  </w:num>
  <w:num w:numId="13" w16cid:durableId="1689715570">
    <w:abstractNumId w:val="6"/>
  </w:num>
  <w:num w:numId="14" w16cid:durableId="1469781943">
    <w:abstractNumId w:val="4"/>
  </w:num>
  <w:num w:numId="15" w16cid:durableId="166987487">
    <w:abstractNumId w:val="15"/>
  </w:num>
  <w:num w:numId="16" w16cid:durableId="813453881">
    <w:abstractNumId w:val="14"/>
  </w:num>
  <w:num w:numId="17" w16cid:durableId="90512739">
    <w:abstractNumId w:val="8"/>
  </w:num>
  <w:num w:numId="18" w16cid:durableId="20297943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7A"/>
    <w:rsid w:val="00002238"/>
    <w:rsid w:val="00003E6E"/>
    <w:rsid w:val="0000467A"/>
    <w:rsid w:val="00006659"/>
    <w:rsid w:val="000121CA"/>
    <w:rsid w:val="00014A63"/>
    <w:rsid w:val="00020285"/>
    <w:rsid w:val="0002102B"/>
    <w:rsid w:val="00021E3E"/>
    <w:rsid w:val="00030D15"/>
    <w:rsid w:val="000333AA"/>
    <w:rsid w:val="0003590D"/>
    <w:rsid w:val="0003593E"/>
    <w:rsid w:val="00043EC4"/>
    <w:rsid w:val="000451C5"/>
    <w:rsid w:val="00046B71"/>
    <w:rsid w:val="00050943"/>
    <w:rsid w:val="00054066"/>
    <w:rsid w:val="00082306"/>
    <w:rsid w:val="00084225"/>
    <w:rsid w:val="0009120D"/>
    <w:rsid w:val="0009460C"/>
    <w:rsid w:val="0009499A"/>
    <w:rsid w:val="000952E9"/>
    <w:rsid w:val="000A09AD"/>
    <w:rsid w:val="000A2CDE"/>
    <w:rsid w:val="000A695E"/>
    <w:rsid w:val="000A7E39"/>
    <w:rsid w:val="000B3875"/>
    <w:rsid w:val="000C0B61"/>
    <w:rsid w:val="000C350E"/>
    <w:rsid w:val="000E2CEE"/>
    <w:rsid w:val="000E745D"/>
    <w:rsid w:val="000F38E8"/>
    <w:rsid w:val="000F5831"/>
    <w:rsid w:val="000F6087"/>
    <w:rsid w:val="000F63FF"/>
    <w:rsid w:val="001033A8"/>
    <w:rsid w:val="00123288"/>
    <w:rsid w:val="00130B73"/>
    <w:rsid w:val="00135563"/>
    <w:rsid w:val="00144056"/>
    <w:rsid w:val="001444DA"/>
    <w:rsid w:val="00152CB9"/>
    <w:rsid w:val="0015797A"/>
    <w:rsid w:val="001608E6"/>
    <w:rsid w:val="00163302"/>
    <w:rsid w:val="00172A9D"/>
    <w:rsid w:val="0018040B"/>
    <w:rsid w:val="00180C6B"/>
    <w:rsid w:val="001840D2"/>
    <w:rsid w:val="00195015"/>
    <w:rsid w:val="00197D62"/>
    <w:rsid w:val="001B4E41"/>
    <w:rsid w:val="001D4E30"/>
    <w:rsid w:val="001D5873"/>
    <w:rsid w:val="001D6FAE"/>
    <w:rsid w:val="001E2E30"/>
    <w:rsid w:val="001E366B"/>
    <w:rsid w:val="001F026D"/>
    <w:rsid w:val="001F5AC7"/>
    <w:rsid w:val="00201209"/>
    <w:rsid w:val="00207270"/>
    <w:rsid w:val="00222BF2"/>
    <w:rsid w:val="00235C66"/>
    <w:rsid w:val="00240FC1"/>
    <w:rsid w:val="002427DB"/>
    <w:rsid w:val="00252B10"/>
    <w:rsid w:val="00262245"/>
    <w:rsid w:val="002646AD"/>
    <w:rsid w:val="00277418"/>
    <w:rsid w:val="00285947"/>
    <w:rsid w:val="00297C03"/>
    <w:rsid w:val="002A3D2C"/>
    <w:rsid w:val="002A6E02"/>
    <w:rsid w:val="002B0047"/>
    <w:rsid w:val="002B1266"/>
    <w:rsid w:val="002B1807"/>
    <w:rsid w:val="002B2564"/>
    <w:rsid w:val="002B7A78"/>
    <w:rsid w:val="002D1A6D"/>
    <w:rsid w:val="002D4741"/>
    <w:rsid w:val="002E640F"/>
    <w:rsid w:val="002F09A2"/>
    <w:rsid w:val="003010B7"/>
    <w:rsid w:val="00301EE7"/>
    <w:rsid w:val="0030400D"/>
    <w:rsid w:val="0030701E"/>
    <w:rsid w:val="00312816"/>
    <w:rsid w:val="003244AD"/>
    <w:rsid w:val="00324CCE"/>
    <w:rsid w:val="003346D7"/>
    <w:rsid w:val="003364DA"/>
    <w:rsid w:val="00337E69"/>
    <w:rsid w:val="0034590A"/>
    <w:rsid w:val="003462D0"/>
    <w:rsid w:val="00347171"/>
    <w:rsid w:val="00356C7D"/>
    <w:rsid w:val="00375309"/>
    <w:rsid w:val="00380553"/>
    <w:rsid w:val="00387145"/>
    <w:rsid w:val="003A3700"/>
    <w:rsid w:val="003A3CE1"/>
    <w:rsid w:val="003B121E"/>
    <w:rsid w:val="003B5060"/>
    <w:rsid w:val="003D0452"/>
    <w:rsid w:val="003E389A"/>
    <w:rsid w:val="003E7637"/>
    <w:rsid w:val="003F3994"/>
    <w:rsid w:val="0040017A"/>
    <w:rsid w:val="0040409D"/>
    <w:rsid w:val="00405ED1"/>
    <w:rsid w:val="004133B8"/>
    <w:rsid w:val="00424727"/>
    <w:rsid w:val="00424F66"/>
    <w:rsid w:val="004250CE"/>
    <w:rsid w:val="00425F74"/>
    <w:rsid w:val="004326B6"/>
    <w:rsid w:val="00432D12"/>
    <w:rsid w:val="004370EA"/>
    <w:rsid w:val="00442C49"/>
    <w:rsid w:val="00444E8B"/>
    <w:rsid w:val="00452325"/>
    <w:rsid w:val="004550ED"/>
    <w:rsid w:val="00455178"/>
    <w:rsid w:val="0045646B"/>
    <w:rsid w:val="004679BB"/>
    <w:rsid w:val="00471A06"/>
    <w:rsid w:val="004876B3"/>
    <w:rsid w:val="004A23A5"/>
    <w:rsid w:val="004B00AE"/>
    <w:rsid w:val="004B0D7B"/>
    <w:rsid w:val="004B5C6A"/>
    <w:rsid w:val="004B73B4"/>
    <w:rsid w:val="004B7449"/>
    <w:rsid w:val="004C0E44"/>
    <w:rsid w:val="004C55FB"/>
    <w:rsid w:val="004C7504"/>
    <w:rsid w:val="004D0C8E"/>
    <w:rsid w:val="004D1259"/>
    <w:rsid w:val="004D6754"/>
    <w:rsid w:val="004E5448"/>
    <w:rsid w:val="00502231"/>
    <w:rsid w:val="00504CD4"/>
    <w:rsid w:val="00521109"/>
    <w:rsid w:val="00522A46"/>
    <w:rsid w:val="00526578"/>
    <w:rsid w:val="00531DBB"/>
    <w:rsid w:val="0053230C"/>
    <w:rsid w:val="00541D6A"/>
    <w:rsid w:val="0054682D"/>
    <w:rsid w:val="005479A7"/>
    <w:rsid w:val="0056134C"/>
    <w:rsid w:val="00561DD8"/>
    <w:rsid w:val="00565F8E"/>
    <w:rsid w:val="00566FE5"/>
    <w:rsid w:val="00570295"/>
    <w:rsid w:val="00570702"/>
    <w:rsid w:val="0057209D"/>
    <w:rsid w:val="00572213"/>
    <w:rsid w:val="005746E4"/>
    <w:rsid w:val="00576F36"/>
    <w:rsid w:val="005805CB"/>
    <w:rsid w:val="0058389C"/>
    <w:rsid w:val="005860A0"/>
    <w:rsid w:val="00590E80"/>
    <w:rsid w:val="0059400F"/>
    <w:rsid w:val="005957CE"/>
    <w:rsid w:val="00597AB0"/>
    <w:rsid w:val="005B1E73"/>
    <w:rsid w:val="005B2CEC"/>
    <w:rsid w:val="005B4EF6"/>
    <w:rsid w:val="005B5EF0"/>
    <w:rsid w:val="005C1FCD"/>
    <w:rsid w:val="005C3E34"/>
    <w:rsid w:val="005D306F"/>
    <w:rsid w:val="005D49BA"/>
    <w:rsid w:val="005E1242"/>
    <w:rsid w:val="005E39EB"/>
    <w:rsid w:val="005E734D"/>
    <w:rsid w:val="005E77C9"/>
    <w:rsid w:val="005F04D5"/>
    <w:rsid w:val="00610187"/>
    <w:rsid w:val="00613EF5"/>
    <w:rsid w:val="00614A6C"/>
    <w:rsid w:val="00617ED9"/>
    <w:rsid w:val="00620FAA"/>
    <w:rsid w:val="00630879"/>
    <w:rsid w:val="0063594B"/>
    <w:rsid w:val="00641520"/>
    <w:rsid w:val="00647A6B"/>
    <w:rsid w:val="006561B3"/>
    <w:rsid w:val="00657C83"/>
    <w:rsid w:val="0066229D"/>
    <w:rsid w:val="00666260"/>
    <w:rsid w:val="006751C3"/>
    <w:rsid w:val="00675E0C"/>
    <w:rsid w:val="0069101C"/>
    <w:rsid w:val="00695D80"/>
    <w:rsid w:val="00696E32"/>
    <w:rsid w:val="00697693"/>
    <w:rsid w:val="006A5B5B"/>
    <w:rsid w:val="006A612B"/>
    <w:rsid w:val="006B5A98"/>
    <w:rsid w:val="006C2CB1"/>
    <w:rsid w:val="006C354A"/>
    <w:rsid w:val="006C39F0"/>
    <w:rsid w:val="006C3A1F"/>
    <w:rsid w:val="006C5180"/>
    <w:rsid w:val="006D2AE0"/>
    <w:rsid w:val="006D4816"/>
    <w:rsid w:val="006D4CC2"/>
    <w:rsid w:val="006E6B73"/>
    <w:rsid w:val="006F0ABE"/>
    <w:rsid w:val="006F0C52"/>
    <w:rsid w:val="006F1D8C"/>
    <w:rsid w:val="006F2C49"/>
    <w:rsid w:val="006F67CB"/>
    <w:rsid w:val="00700920"/>
    <w:rsid w:val="0070269A"/>
    <w:rsid w:val="007062F6"/>
    <w:rsid w:val="0071460A"/>
    <w:rsid w:val="00714A5B"/>
    <w:rsid w:val="00722F58"/>
    <w:rsid w:val="00723B9C"/>
    <w:rsid w:val="00730CF1"/>
    <w:rsid w:val="0073324B"/>
    <w:rsid w:val="00747734"/>
    <w:rsid w:val="00750C21"/>
    <w:rsid w:val="007522D7"/>
    <w:rsid w:val="007612AE"/>
    <w:rsid w:val="00763B73"/>
    <w:rsid w:val="00763E4C"/>
    <w:rsid w:val="00777987"/>
    <w:rsid w:val="007835E7"/>
    <w:rsid w:val="007849DE"/>
    <w:rsid w:val="00790013"/>
    <w:rsid w:val="00796986"/>
    <w:rsid w:val="007D0181"/>
    <w:rsid w:val="007D27DE"/>
    <w:rsid w:val="007D3148"/>
    <w:rsid w:val="007D6C99"/>
    <w:rsid w:val="007E07BF"/>
    <w:rsid w:val="007E64AC"/>
    <w:rsid w:val="007F0647"/>
    <w:rsid w:val="007F1609"/>
    <w:rsid w:val="007F2771"/>
    <w:rsid w:val="007F2A25"/>
    <w:rsid w:val="00801C8F"/>
    <w:rsid w:val="00805662"/>
    <w:rsid w:val="0081124D"/>
    <w:rsid w:val="00811F5D"/>
    <w:rsid w:val="0081365D"/>
    <w:rsid w:val="00815292"/>
    <w:rsid w:val="00821CB4"/>
    <w:rsid w:val="00835CEF"/>
    <w:rsid w:val="00840740"/>
    <w:rsid w:val="00846730"/>
    <w:rsid w:val="00855093"/>
    <w:rsid w:val="00856CD9"/>
    <w:rsid w:val="00866CB9"/>
    <w:rsid w:val="0086752B"/>
    <w:rsid w:val="00871B2D"/>
    <w:rsid w:val="00877B58"/>
    <w:rsid w:val="00891B1E"/>
    <w:rsid w:val="00893F23"/>
    <w:rsid w:val="00897612"/>
    <w:rsid w:val="008A11CF"/>
    <w:rsid w:val="008A5D73"/>
    <w:rsid w:val="008B5F62"/>
    <w:rsid w:val="008C7325"/>
    <w:rsid w:val="008D4F40"/>
    <w:rsid w:val="008D59D2"/>
    <w:rsid w:val="008D751C"/>
    <w:rsid w:val="008D769F"/>
    <w:rsid w:val="008E1B0D"/>
    <w:rsid w:val="009076B5"/>
    <w:rsid w:val="00910075"/>
    <w:rsid w:val="00917E4A"/>
    <w:rsid w:val="009268B1"/>
    <w:rsid w:val="00927441"/>
    <w:rsid w:val="00927E3C"/>
    <w:rsid w:val="009374E8"/>
    <w:rsid w:val="00937B1B"/>
    <w:rsid w:val="00951E91"/>
    <w:rsid w:val="0095600A"/>
    <w:rsid w:val="00957F1E"/>
    <w:rsid w:val="0096099E"/>
    <w:rsid w:val="0098435B"/>
    <w:rsid w:val="00986B1B"/>
    <w:rsid w:val="00992492"/>
    <w:rsid w:val="0099347F"/>
    <w:rsid w:val="009A5615"/>
    <w:rsid w:val="009A7367"/>
    <w:rsid w:val="009B3AB7"/>
    <w:rsid w:val="009B652A"/>
    <w:rsid w:val="009C5EB4"/>
    <w:rsid w:val="009D36B4"/>
    <w:rsid w:val="009D462C"/>
    <w:rsid w:val="009D6DFD"/>
    <w:rsid w:val="009E33EC"/>
    <w:rsid w:val="009F12DD"/>
    <w:rsid w:val="009F639F"/>
    <w:rsid w:val="00A07685"/>
    <w:rsid w:val="00A20774"/>
    <w:rsid w:val="00A23A89"/>
    <w:rsid w:val="00A24C3A"/>
    <w:rsid w:val="00A27E51"/>
    <w:rsid w:val="00A33D17"/>
    <w:rsid w:val="00A348CE"/>
    <w:rsid w:val="00A3776B"/>
    <w:rsid w:val="00A445DB"/>
    <w:rsid w:val="00A70F91"/>
    <w:rsid w:val="00A82661"/>
    <w:rsid w:val="00A83A9E"/>
    <w:rsid w:val="00A871F9"/>
    <w:rsid w:val="00A9176C"/>
    <w:rsid w:val="00AA0988"/>
    <w:rsid w:val="00AA4D88"/>
    <w:rsid w:val="00AA549D"/>
    <w:rsid w:val="00AC2215"/>
    <w:rsid w:val="00AF29A4"/>
    <w:rsid w:val="00B12778"/>
    <w:rsid w:val="00B14A2A"/>
    <w:rsid w:val="00B15F4C"/>
    <w:rsid w:val="00B17B95"/>
    <w:rsid w:val="00B23604"/>
    <w:rsid w:val="00B26496"/>
    <w:rsid w:val="00B334E1"/>
    <w:rsid w:val="00B40176"/>
    <w:rsid w:val="00B425B1"/>
    <w:rsid w:val="00B43FED"/>
    <w:rsid w:val="00B4645B"/>
    <w:rsid w:val="00B5603B"/>
    <w:rsid w:val="00B56780"/>
    <w:rsid w:val="00B60FAD"/>
    <w:rsid w:val="00B67814"/>
    <w:rsid w:val="00B7087F"/>
    <w:rsid w:val="00B803E7"/>
    <w:rsid w:val="00B80E40"/>
    <w:rsid w:val="00B8223F"/>
    <w:rsid w:val="00B84C61"/>
    <w:rsid w:val="00B9095C"/>
    <w:rsid w:val="00B94019"/>
    <w:rsid w:val="00BA26A4"/>
    <w:rsid w:val="00BA3959"/>
    <w:rsid w:val="00BA3B31"/>
    <w:rsid w:val="00BA5EAF"/>
    <w:rsid w:val="00BB0628"/>
    <w:rsid w:val="00BB1128"/>
    <w:rsid w:val="00BC48B4"/>
    <w:rsid w:val="00BD1522"/>
    <w:rsid w:val="00BD2D86"/>
    <w:rsid w:val="00BD7E0B"/>
    <w:rsid w:val="00BE210F"/>
    <w:rsid w:val="00BF18D0"/>
    <w:rsid w:val="00BF307A"/>
    <w:rsid w:val="00C04987"/>
    <w:rsid w:val="00C053C1"/>
    <w:rsid w:val="00C07322"/>
    <w:rsid w:val="00C1059B"/>
    <w:rsid w:val="00C14BC9"/>
    <w:rsid w:val="00C14CF4"/>
    <w:rsid w:val="00C156C3"/>
    <w:rsid w:val="00C20134"/>
    <w:rsid w:val="00C211C3"/>
    <w:rsid w:val="00C30067"/>
    <w:rsid w:val="00C340AE"/>
    <w:rsid w:val="00C36124"/>
    <w:rsid w:val="00C43733"/>
    <w:rsid w:val="00C46087"/>
    <w:rsid w:val="00C575EB"/>
    <w:rsid w:val="00C65817"/>
    <w:rsid w:val="00C86D28"/>
    <w:rsid w:val="00C92D17"/>
    <w:rsid w:val="00CB6E54"/>
    <w:rsid w:val="00CC23FE"/>
    <w:rsid w:val="00CC393C"/>
    <w:rsid w:val="00CC6987"/>
    <w:rsid w:val="00CE2128"/>
    <w:rsid w:val="00CE219D"/>
    <w:rsid w:val="00CF02AB"/>
    <w:rsid w:val="00D005E9"/>
    <w:rsid w:val="00D07602"/>
    <w:rsid w:val="00D316B8"/>
    <w:rsid w:val="00D34CFA"/>
    <w:rsid w:val="00D407FD"/>
    <w:rsid w:val="00D50141"/>
    <w:rsid w:val="00D50961"/>
    <w:rsid w:val="00D54477"/>
    <w:rsid w:val="00D5629B"/>
    <w:rsid w:val="00D623C1"/>
    <w:rsid w:val="00D62CC4"/>
    <w:rsid w:val="00D71808"/>
    <w:rsid w:val="00D72857"/>
    <w:rsid w:val="00D7304A"/>
    <w:rsid w:val="00D74CCF"/>
    <w:rsid w:val="00D7539D"/>
    <w:rsid w:val="00D812A5"/>
    <w:rsid w:val="00D84D0F"/>
    <w:rsid w:val="00D86FC2"/>
    <w:rsid w:val="00D876BC"/>
    <w:rsid w:val="00D93BD1"/>
    <w:rsid w:val="00D97EBE"/>
    <w:rsid w:val="00DA29B0"/>
    <w:rsid w:val="00DA43C7"/>
    <w:rsid w:val="00DC2DC3"/>
    <w:rsid w:val="00DC6B21"/>
    <w:rsid w:val="00DD07EF"/>
    <w:rsid w:val="00DE5912"/>
    <w:rsid w:val="00DE7497"/>
    <w:rsid w:val="00DF1033"/>
    <w:rsid w:val="00DF20DE"/>
    <w:rsid w:val="00DF5D95"/>
    <w:rsid w:val="00DF7373"/>
    <w:rsid w:val="00E0622C"/>
    <w:rsid w:val="00E0701B"/>
    <w:rsid w:val="00E266CB"/>
    <w:rsid w:val="00E32E2E"/>
    <w:rsid w:val="00E5769A"/>
    <w:rsid w:val="00E604EE"/>
    <w:rsid w:val="00E627E2"/>
    <w:rsid w:val="00E70E2B"/>
    <w:rsid w:val="00E75C98"/>
    <w:rsid w:val="00E76582"/>
    <w:rsid w:val="00E9525C"/>
    <w:rsid w:val="00E975F8"/>
    <w:rsid w:val="00EA343F"/>
    <w:rsid w:val="00EB3344"/>
    <w:rsid w:val="00EB543F"/>
    <w:rsid w:val="00EC1D8B"/>
    <w:rsid w:val="00EC2B19"/>
    <w:rsid w:val="00EC4748"/>
    <w:rsid w:val="00EC5905"/>
    <w:rsid w:val="00EC6719"/>
    <w:rsid w:val="00EC7813"/>
    <w:rsid w:val="00ED3609"/>
    <w:rsid w:val="00ED61AF"/>
    <w:rsid w:val="00ED7265"/>
    <w:rsid w:val="00EE21CB"/>
    <w:rsid w:val="00EF4AC7"/>
    <w:rsid w:val="00F0641D"/>
    <w:rsid w:val="00F1777F"/>
    <w:rsid w:val="00F226EC"/>
    <w:rsid w:val="00F25AFB"/>
    <w:rsid w:val="00F27B48"/>
    <w:rsid w:val="00F35EDB"/>
    <w:rsid w:val="00F4222A"/>
    <w:rsid w:val="00F63AC8"/>
    <w:rsid w:val="00F70557"/>
    <w:rsid w:val="00F71DDB"/>
    <w:rsid w:val="00F807AE"/>
    <w:rsid w:val="00F85283"/>
    <w:rsid w:val="00F91E65"/>
    <w:rsid w:val="00F940CB"/>
    <w:rsid w:val="00FA1F61"/>
    <w:rsid w:val="00FA3E1E"/>
    <w:rsid w:val="00FB38B0"/>
    <w:rsid w:val="00FB6009"/>
    <w:rsid w:val="00FC4EFF"/>
    <w:rsid w:val="00FE04E5"/>
    <w:rsid w:val="00FE051C"/>
    <w:rsid w:val="00FE1F90"/>
    <w:rsid w:val="00FF08AF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2F95E6"/>
  <w14:defaultImageDpi w14:val="0"/>
  <w15:docId w15:val="{8414EFD7-8DB7-4916-99D6-80E9CCFA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i/>
      <w:iCs/>
      <w:color w:val="0000FF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120"/>
      <w:jc w:val="right"/>
      <w:outlineLvl w:val="2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tandard">
    <w:name w:val="Standard"/>
    <w:basedOn w:val="Normal"/>
    <w:uiPriority w:val="99"/>
    <w:pPr>
      <w:spacing w:before="60" w:after="60"/>
    </w:pPr>
    <w:rPr>
      <w:color w:val="000000"/>
    </w:rPr>
  </w:style>
  <w:style w:type="paragraph" w:customStyle="1" w:styleId="Topindent">
    <w:name w:val="Top?indent"/>
    <w:basedOn w:val="Standard"/>
    <w:uiPriority w:val="99"/>
    <w:pPr>
      <w:ind w:left="618" w:hanging="567"/>
    </w:pPr>
  </w:style>
  <w:style w:type="paragraph" w:customStyle="1" w:styleId="iIndent">
    <w:name w:val="iIndent"/>
    <w:basedOn w:val="Topindent"/>
    <w:uiPriority w:val="99"/>
    <w:pPr>
      <w:ind w:left="1043" w:hanging="425"/>
    </w:pPr>
  </w:style>
  <w:style w:type="paragraph" w:customStyle="1" w:styleId="StandardBold">
    <w:name w:val="StandardBold"/>
    <w:basedOn w:val="Standard"/>
    <w:uiPriority w:val="99"/>
    <w:pPr>
      <w:spacing w:before="120" w:after="120"/>
    </w:pPr>
    <w:rPr>
      <w:b/>
      <w:bCs/>
    </w:rPr>
  </w:style>
  <w:style w:type="paragraph" w:customStyle="1" w:styleId="dotIndent">
    <w:name w:val="dotIndent"/>
    <w:basedOn w:val="Topindent"/>
    <w:uiPriority w:val="99"/>
    <w:pPr>
      <w:ind w:left="902" w:hanging="284"/>
    </w:pPr>
  </w:style>
  <w:style w:type="paragraph" w:customStyle="1" w:styleId="money">
    <w:name w:val="money"/>
    <w:basedOn w:val="Standard"/>
    <w:uiPriority w:val="99"/>
    <w:pPr>
      <w:jc w:val="center"/>
    </w:pPr>
  </w:style>
  <w:style w:type="paragraph" w:customStyle="1" w:styleId="3dotIndent">
    <w:name w:val="3dotIndent"/>
    <w:basedOn w:val="3iIndent"/>
    <w:uiPriority w:val="99"/>
  </w:style>
  <w:style w:type="paragraph" w:customStyle="1" w:styleId="3iIndent">
    <w:name w:val="3iIndent"/>
    <w:basedOn w:val="iIndent"/>
    <w:uiPriority w:val="99"/>
    <w:pPr>
      <w:ind w:left="1610" w:hanging="567"/>
    </w:pPr>
  </w:style>
  <w:style w:type="paragraph" w:customStyle="1" w:styleId="Body">
    <w:name w:val="Body"/>
    <w:basedOn w:val="Normal"/>
    <w:uiPriority w:val="99"/>
    <w:pPr>
      <w:tabs>
        <w:tab w:val="right" w:pos="8647"/>
      </w:tabs>
    </w:pPr>
  </w:style>
  <w:style w:type="paragraph" w:customStyle="1" w:styleId="goggles">
    <w:name w:val="goggles"/>
    <w:basedOn w:val="Normal"/>
    <w:uiPriority w:val="99"/>
    <w:pPr>
      <w:ind w:left="851" w:hanging="567"/>
    </w:pPr>
    <w:rPr>
      <w:rFonts w:ascii="Arial" w:hAnsi="Arial" w:cs="Arial"/>
      <w:lang w:val="en-US"/>
    </w:r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Times" w:hAnsi="Times" w:cs="Times"/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jc w:val="center"/>
    </w:pPr>
    <w:rPr>
      <w:b/>
      <w:bCs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customStyle="1" w:styleId="font5">
    <w:name w:val="font5"/>
    <w:basedOn w:val="Normal"/>
    <w:pPr>
      <w:spacing w:before="100" w:beforeAutospacing="1" w:after="100" w:afterAutospacing="1"/>
    </w:pPr>
  </w:style>
  <w:style w:type="paragraph" w:customStyle="1" w:styleId="xl24">
    <w:name w:val="xl24"/>
    <w:basedOn w:val="Normal"/>
    <w:uiPriority w:val="99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">
    <w:name w:val="xl25"/>
    <w:basedOn w:val="Normal"/>
    <w:uiPriority w:val="99"/>
    <w:pPr>
      <w:spacing w:before="100" w:beforeAutospacing="1" w:after="100" w:afterAutospacing="1"/>
      <w:textAlignment w:val="top"/>
    </w:pPr>
  </w:style>
  <w:style w:type="paragraph" w:customStyle="1" w:styleId="xl26">
    <w:name w:val="xl26"/>
    <w:basedOn w:val="Normal"/>
    <w:uiPriority w:val="99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7">
    <w:name w:val="xl27"/>
    <w:basedOn w:val="Normal"/>
    <w:uiPriority w:val="99"/>
    <w:pPr>
      <w:spacing w:before="100" w:beforeAutospacing="1" w:after="100" w:afterAutospacing="1"/>
      <w:jc w:val="right"/>
      <w:textAlignment w:val="top"/>
    </w:p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bCs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284" w:firstLine="76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74CC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C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74CCF"/>
    <w:rPr>
      <w:rFonts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74CCF"/>
    <w:rPr>
      <w:rFonts w:cs="Times New Roman"/>
      <w:b/>
      <w:bCs/>
      <w:sz w:val="20"/>
      <w:szCs w:val="20"/>
      <w:lang w:val="x-none" w:eastAsia="en-US"/>
    </w:rPr>
  </w:style>
  <w:style w:type="paragraph" w:styleId="NoSpacing">
    <w:name w:val="No Spacing"/>
    <w:uiPriority w:val="1"/>
    <w:qFormat/>
    <w:rsid w:val="00BC48B4"/>
    <w:pPr>
      <w:spacing w:after="0" w:line="240" w:lineRule="auto"/>
    </w:pPr>
    <w:rPr>
      <w:sz w:val="24"/>
      <w:szCs w:val="24"/>
      <w:lang w:eastAsia="en-US"/>
    </w:rPr>
  </w:style>
  <w:style w:type="paragraph" w:customStyle="1" w:styleId="note">
    <w:name w:val="note"/>
    <w:basedOn w:val="Normal"/>
    <w:next w:val="Normal"/>
    <w:uiPriority w:val="99"/>
    <w:rsid w:val="00B9095C"/>
    <w:pPr>
      <w:spacing w:before="80" w:after="60"/>
      <w:ind w:left="709"/>
    </w:pPr>
    <w:rPr>
      <w:color w:val="000000"/>
      <w:sz w:val="20"/>
      <w:szCs w:val="20"/>
    </w:rPr>
  </w:style>
  <w:style w:type="paragraph" w:customStyle="1" w:styleId="msonormal0">
    <w:name w:val="msonormal"/>
    <w:basedOn w:val="Normal"/>
    <w:rsid w:val="00D407FD"/>
    <w:pPr>
      <w:spacing w:before="100" w:beforeAutospacing="1" w:after="100" w:afterAutospacing="1"/>
    </w:pPr>
    <w:rPr>
      <w:rFonts w:eastAsia="Times New Roman"/>
      <w:lang w:eastAsia="en-AU"/>
    </w:rPr>
  </w:style>
  <w:style w:type="paragraph" w:customStyle="1" w:styleId="font6">
    <w:name w:val="font6"/>
    <w:basedOn w:val="Normal"/>
    <w:rsid w:val="00D407FD"/>
    <w:pPr>
      <w:spacing w:before="100" w:beforeAutospacing="1" w:after="100" w:afterAutospacing="1"/>
    </w:pPr>
    <w:rPr>
      <w:rFonts w:eastAsia="Times New Roman"/>
      <w:color w:val="000000"/>
      <w:sz w:val="22"/>
      <w:szCs w:val="22"/>
      <w:lang w:eastAsia="en-AU"/>
    </w:rPr>
  </w:style>
  <w:style w:type="paragraph" w:customStyle="1" w:styleId="font7">
    <w:name w:val="font7"/>
    <w:basedOn w:val="Normal"/>
    <w:rsid w:val="00D407FD"/>
    <w:pPr>
      <w:spacing w:before="100" w:beforeAutospacing="1" w:after="100" w:afterAutospacing="1"/>
    </w:pPr>
    <w:rPr>
      <w:rFonts w:eastAsia="Times New Roman"/>
      <w:i/>
      <w:iCs/>
      <w:color w:val="000000"/>
      <w:sz w:val="22"/>
      <w:szCs w:val="22"/>
      <w:lang w:eastAsia="en-AU"/>
    </w:rPr>
  </w:style>
  <w:style w:type="paragraph" w:customStyle="1" w:styleId="font8">
    <w:name w:val="font8"/>
    <w:basedOn w:val="Normal"/>
    <w:rsid w:val="00D407FD"/>
    <w:pPr>
      <w:spacing w:before="100" w:beforeAutospacing="1" w:after="100" w:afterAutospacing="1"/>
    </w:pPr>
    <w:rPr>
      <w:rFonts w:ascii="SimSun" w:hAnsi="SimSun"/>
      <w:i/>
      <w:iCs/>
      <w:color w:val="000000"/>
      <w:sz w:val="22"/>
      <w:szCs w:val="22"/>
      <w:lang w:eastAsia="en-AU"/>
    </w:rPr>
  </w:style>
  <w:style w:type="paragraph" w:customStyle="1" w:styleId="xl65">
    <w:name w:val="xl65"/>
    <w:basedOn w:val="Normal"/>
    <w:rsid w:val="00D407FD"/>
    <w:pPr>
      <w:spacing w:before="100" w:beforeAutospacing="1" w:after="100" w:afterAutospacing="1"/>
      <w:textAlignment w:val="top"/>
    </w:pPr>
    <w:rPr>
      <w:rFonts w:eastAsia="Times New Roman"/>
      <w:color w:val="000000"/>
      <w:lang w:eastAsia="en-AU"/>
    </w:rPr>
  </w:style>
  <w:style w:type="paragraph" w:customStyle="1" w:styleId="xl66">
    <w:name w:val="xl66"/>
    <w:basedOn w:val="Normal"/>
    <w:rsid w:val="00D407F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eastAsia="en-AU"/>
    </w:rPr>
  </w:style>
  <w:style w:type="paragraph" w:customStyle="1" w:styleId="xl67">
    <w:name w:val="xl67"/>
    <w:basedOn w:val="Normal"/>
    <w:rsid w:val="00D407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eastAsia="en-AU"/>
    </w:rPr>
  </w:style>
  <w:style w:type="paragraph" w:customStyle="1" w:styleId="xl68">
    <w:name w:val="xl68"/>
    <w:basedOn w:val="Normal"/>
    <w:rsid w:val="00D407FD"/>
    <w:pPr>
      <w:spacing w:before="100" w:beforeAutospacing="1" w:after="100" w:afterAutospacing="1"/>
      <w:textAlignment w:val="top"/>
    </w:pPr>
    <w:rPr>
      <w:rFonts w:eastAsia="Times New Roman"/>
      <w:lang w:eastAsia="en-AU"/>
    </w:rPr>
  </w:style>
  <w:style w:type="paragraph" w:customStyle="1" w:styleId="xl69">
    <w:name w:val="xl69"/>
    <w:basedOn w:val="Normal"/>
    <w:rsid w:val="00D407FD"/>
    <w:pPr>
      <w:spacing w:before="100" w:beforeAutospacing="1" w:after="100" w:afterAutospacing="1"/>
      <w:jc w:val="right"/>
      <w:textAlignment w:val="top"/>
    </w:pPr>
    <w:rPr>
      <w:rFonts w:eastAsia="Times New Roman"/>
      <w:i/>
      <w:iCs/>
      <w:lang w:eastAsia="en-AU"/>
    </w:rPr>
  </w:style>
  <w:style w:type="paragraph" w:customStyle="1" w:styleId="xl70">
    <w:name w:val="xl70"/>
    <w:basedOn w:val="Normal"/>
    <w:rsid w:val="00D407FD"/>
    <w:pPr>
      <w:spacing w:before="100" w:beforeAutospacing="1" w:after="100" w:afterAutospacing="1"/>
      <w:jc w:val="right"/>
      <w:textAlignment w:val="top"/>
    </w:pPr>
    <w:rPr>
      <w:rFonts w:eastAsia="Times New Roman"/>
      <w:i/>
      <w:iCs/>
      <w:lang w:eastAsia="en-AU"/>
    </w:rPr>
  </w:style>
  <w:style w:type="paragraph" w:customStyle="1" w:styleId="xl71">
    <w:name w:val="xl71"/>
    <w:basedOn w:val="Normal"/>
    <w:rsid w:val="00D407FD"/>
    <w:pPr>
      <w:spacing w:before="100" w:beforeAutospacing="1" w:after="100" w:afterAutospacing="1"/>
      <w:textAlignment w:val="top"/>
    </w:pPr>
    <w:rPr>
      <w:rFonts w:eastAsia="Times New Roman"/>
      <w:i/>
      <w:iCs/>
      <w:lang w:eastAsia="en-AU"/>
    </w:rPr>
  </w:style>
  <w:style w:type="paragraph" w:customStyle="1" w:styleId="xl72">
    <w:name w:val="xl72"/>
    <w:basedOn w:val="Normal"/>
    <w:rsid w:val="00D407FD"/>
    <w:pPr>
      <w:spacing w:before="100" w:beforeAutospacing="1" w:after="100" w:afterAutospacing="1"/>
      <w:textAlignment w:val="top"/>
    </w:pPr>
    <w:rPr>
      <w:rFonts w:eastAsia="Times New Roman"/>
      <w:lang w:eastAsia="en-AU"/>
    </w:rPr>
  </w:style>
  <w:style w:type="paragraph" w:customStyle="1" w:styleId="xl73">
    <w:name w:val="xl73"/>
    <w:basedOn w:val="Normal"/>
    <w:rsid w:val="00D407FD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eastAsia="en-AU"/>
    </w:rPr>
  </w:style>
  <w:style w:type="paragraph" w:customStyle="1" w:styleId="xl74">
    <w:name w:val="xl74"/>
    <w:basedOn w:val="Normal"/>
    <w:rsid w:val="00D407FD"/>
    <w:pPr>
      <w:spacing w:before="100" w:beforeAutospacing="1" w:after="100" w:afterAutospacing="1"/>
      <w:textAlignment w:val="top"/>
    </w:pPr>
    <w:rPr>
      <w:rFonts w:eastAsia="Times New Roman"/>
      <w:color w:val="000000"/>
      <w:lang w:eastAsia="en-AU"/>
    </w:rPr>
  </w:style>
  <w:style w:type="paragraph" w:customStyle="1" w:styleId="xl75">
    <w:name w:val="xl75"/>
    <w:basedOn w:val="Normal"/>
    <w:rsid w:val="00D407FD"/>
    <w:pPr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000000"/>
      <w:lang w:eastAsia="en-AU"/>
    </w:rPr>
  </w:style>
  <w:style w:type="paragraph" w:customStyle="1" w:styleId="xl76">
    <w:name w:val="xl76"/>
    <w:basedOn w:val="Normal"/>
    <w:rsid w:val="00D407FD"/>
    <w:pPr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000000"/>
      <w:lang w:eastAsia="en-AU"/>
    </w:rPr>
  </w:style>
  <w:style w:type="paragraph" w:customStyle="1" w:styleId="xl77">
    <w:name w:val="xl77"/>
    <w:basedOn w:val="Normal"/>
    <w:rsid w:val="00D407FD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lang w:eastAsia="en-AU"/>
    </w:rPr>
  </w:style>
  <w:style w:type="paragraph" w:customStyle="1" w:styleId="xl78">
    <w:name w:val="xl78"/>
    <w:basedOn w:val="Normal"/>
    <w:rsid w:val="00D407FD"/>
    <w:pPr>
      <w:spacing w:before="100" w:beforeAutospacing="1" w:after="100" w:afterAutospacing="1"/>
      <w:textAlignment w:val="top"/>
    </w:pPr>
    <w:rPr>
      <w:rFonts w:eastAsia="Times New Roman"/>
      <w:i/>
      <w:iCs/>
      <w:lang w:eastAsia="en-AU"/>
    </w:rPr>
  </w:style>
  <w:style w:type="paragraph" w:customStyle="1" w:styleId="xl79">
    <w:name w:val="xl79"/>
    <w:basedOn w:val="Normal"/>
    <w:rsid w:val="00D407FD"/>
    <w:pPr>
      <w:spacing w:before="100" w:beforeAutospacing="1" w:after="100" w:afterAutospacing="1"/>
      <w:textAlignment w:val="top"/>
    </w:pPr>
    <w:rPr>
      <w:rFonts w:eastAsia="Times New Roman"/>
      <w:lang w:eastAsia="en-AU"/>
    </w:rPr>
  </w:style>
  <w:style w:type="paragraph" w:customStyle="1" w:styleId="xl80">
    <w:name w:val="xl80"/>
    <w:basedOn w:val="Normal"/>
    <w:rsid w:val="00D407FD"/>
    <w:pP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lang w:eastAsia="en-AU"/>
    </w:rPr>
  </w:style>
  <w:style w:type="paragraph" w:customStyle="1" w:styleId="xl81">
    <w:name w:val="xl81"/>
    <w:basedOn w:val="Normal"/>
    <w:rsid w:val="00D407FD"/>
    <w:pP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lang w:eastAsia="en-AU"/>
    </w:rPr>
  </w:style>
  <w:style w:type="paragraph" w:customStyle="1" w:styleId="xl82">
    <w:name w:val="xl82"/>
    <w:basedOn w:val="Normal"/>
    <w:rsid w:val="00D407FD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lang w:eastAsia="en-AU"/>
    </w:rPr>
  </w:style>
  <w:style w:type="paragraph" w:customStyle="1" w:styleId="xl83">
    <w:name w:val="xl83"/>
    <w:basedOn w:val="Normal"/>
    <w:rsid w:val="00D407FD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lang w:eastAsia="en-AU"/>
    </w:rPr>
  </w:style>
  <w:style w:type="paragraph" w:customStyle="1" w:styleId="xl84">
    <w:name w:val="xl84"/>
    <w:basedOn w:val="Normal"/>
    <w:rsid w:val="00D407FD"/>
    <w:pP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lang w:eastAsia="en-AU"/>
    </w:rPr>
  </w:style>
  <w:style w:type="paragraph" w:customStyle="1" w:styleId="xl85">
    <w:name w:val="xl85"/>
    <w:basedOn w:val="Normal"/>
    <w:rsid w:val="00D407FD"/>
    <w:pPr>
      <w:spacing w:before="100" w:beforeAutospacing="1" w:after="100" w:afterAutospacing="1"/>
      <w:jc w:val="right"/>
    </w:pPr>
    <w:rPr>
      <w:rFonts w:eastAsia="Times New Roman"/>
      <w:lang w:eastAsia="en-AU"/>
    </w:rPr>
  </w:style>
  <w:style w:type="paragraph" w:customStyle="1" w:styleId="xl86">
    <w:name w:val="xl86"/>
    <w:basedOn w:val="Normal"/>
    <w:rsid w:val="00D407FD"/>
    <w:pPr>
      <w:spacing w:before="100" w:beforeAutospacing="1" w:after="100" w:afterAutospacing="1"/>
      <w:textAlignment w:val="top"/>
    </w:pPr>
    <w:rPr>
      <w:rFonts w:eastAsia="Times New Roman"/>
      <w:b/>
      <w:bCs/>
      <w:lang w:eastAsia="en-AU"/>
    </w:rPr>
  </w:style>
  <w:style w:type="paragraph" w:customStyle="1" w:styleId="xl87">
    <w:name w:val="xl87"/>
    <w:basedOn w:val="Normal"/>
    <w:rsid w:val="00D407FD"/>
    <w:pP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eastAsia="en-AU"/>
    </w:rPr>
  </w:style>
  <w:style w:type="paragraph" w:customStyle="1" w:styleId="xl88">
    <w:name w:val="xl88"/>
    <w:basedOn w:val="Normal"/>
    <w:rsid w:val="00D407FD"/>
    <w:pPr>
      <w:spacing w:before="100" w:beforeAutospacing="1" w:after="100" w:afterAutospacing="1"/>
      <w:jc w:val="center"/>
      <w:textAlignment w:val="top"/>
    </w:pPr>
    <w:rPr>
      <w:rFonts w:eastAsia="Times New Roman"/>
      <w:i/>
      <w:iCs/>
      <w:lang w:eastAsia="en-AU"/>
    </w:rPr>
  </w:style>
  <w:style w:type="paragraph" w:customStyle="1" w:styleId="xl89">
    <w:name w:val="xl89"/>
    <w:basedOn w:val="Normal"/>
    <w:rsid w:val="00D407FD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en-AU"/>
    </w:rPr>
  </w:style>
  <w:style w:type="paragraph" w:customStyle="1" w:styleId="xl90">
    <w:name w:val="xl90"/>
    <w:basedOn w:val="Normal"/>
    <w:rsid w:val="00D407FD"/>
    <w:pPr>
      <w:shd w:val="clear" w:color="000000" w:fill="FFFF00"/>
      <w:spacing w:before="100" w:beforeAutospacing="1" w:after="100" w:afterAutospacing="1"/>
      <w:jc w:val="right"/>
      <w:textAlignment w:val="top"/>
    </w:pPr>
    <w:rPr>
      <w:rFonts w:eastAsia="Times New Roman"/>
      <w:i/>
      <w:iCs/>
      <w:lang w:eastAsia="en-AU"/>
    </w:rPr>
  </w:style>
  <w:style w:type="paragraph" w:customStyle="1" w:styleId="xl91">
    <w:name w:val="xl91"/>
    <w:basedOn w:val="Normal"/>
    <w:rsid w:val="00D407FD"/>
    <w:pPr>
      <w:shd w:val="clear" w:color="000000" w:fill="FFFF00"/>
      <w:spacing w:before="100" w:beforeAutospacing="1" w:after="100" w:afterAutospacing="1"/>
      <w:jc w:val="right"/>
      <w:textAlignment w:val="top"/>
    </w:pPr>
    <w:rPr>
      <w:rFonts w:eastAsia="Times New Roman"/>
      <w:lang w:eastAsia="en-AU"/>
    </w:rPr>
  </w:style>
  <w:style w:type="paragraph" w:styleId="Revision">
    <w:name w:val="Revision"/>
    <w:hidden/>
    <w:uiPriority w:val="99"/>
    <w:semiHidden/>
    <w:rsid w:val="0073324B"/>
    <w:pPr>
      <w:spacing w:after="0" w:line="240" w:lineRule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28444657-6972-4423-90E1-AAAB7F6901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E561A4-A96C-4511-B2AA-DAA18FAF2D9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3301</Words>
  <Characters>16629</Characters>
  <Application>Microsoft Office Word</Application>
  <DocSecurity>0</DocSecurity>
  <Lines>1398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InTACT</Company>
  <LinksUpToDate>false</LinksUpToDate>
  <CharactersWithSpaces>20449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ACT Government</dc:creator>
  <cp:keywords/>
  <dc:description/>
  <cp:lastModifiedBy>PCODCS</cp:lastModifiedBy>
  <cp:revision>4</cp:revision>
  <cp:lastPrinted>2015-05-05T04:56:00Z</cp:lastPrinted>
  <dcterms:created xsi:type="dcterms:W3CDTF">2023-06-22T01:14:00Z</dcterms:created>
  <dcterms:modified xsi:type="dcterms:W3CDTF">2023-06-22T01:14:00Z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A41903646</vt:lpwstr>
  </property>
  <property fmtid="{D5CDD505-2E9C-101B-9397-08002B2CF9AE}" pid="3" name="Objective-Comment">
    <vt:lpwstr/>
  </property>
  <property fmtid="{D5CDD505-2E9C-101B-9397-08002B2CF9AE}" pid="4" name="Objective-CreationStamp">
    <vt:filetime>2023-05-08T06:01:48Z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2023-06-21T23:51:06Z</vt:filetime>
  </property>
  <property fmtid="{D5CDD505-2E9C-101B-9397-08002B2CF9AE}" pid="9" name="Objective-Owner">
    <vt:lpwstr>Alex Xue</vt:lpwstr>
  </property>
  <property fmtid="{D5CDD505-2E9C-101B-9397-08002B2CF9AE}" pid="10" name="Objective-Path">
    <vt:lpwstr>Whole of ACT Government:EPSDD - Environment Planning and Sustainable Development Directorate:07. Ministerial, Cabinet and Government Relations:06. Ministerials:2023 - Ministerial and Chief Ministerial Briefs / Correspondence:Corporate Services and Operations  (Chief Operating Officer):23/50084 Ministerial Information Brief - Gentleman - EPSDD 2023-24 Fees and Charges:Att A01-A07 - Disallowable Instruments:</vt:lpwstr>
  </property>
  <property fmtid="{D5CDD505-2E9C-101B-9397-08002B2CF9AE}" pid="11" name="Objective-Parent">
    <vt:lpwstr>Att A01-A07 - Disallowable Instruments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A02 - DI2023-xxx - PD (Fees) Determination</vt:lpwstr>
  </property>
  <property fmtid="{D5CDD505-2E9C-101B-9397-08002B2CF9AE}" pid="14" name="Objective-Version">
    <vt:lpwstr>4.1</vt:lpwstr>
  </property>
  <property fmtid="{D5CDD505-2E9C-101B-9397-08002B2CF9AE}" pid="15" name="Objective-VersionComment">
    <vt:lpwstr/>
  </property>
  <property fmtid="{D5CDD505-2E9C-101B-9397-08002B2CF9AE}" pid="16" name="Objective-VersionNumber">
    <vt:r8>7</vt:r8>
  </property>
  <property fmtid="{D5CDD505-2E9C-101B-9397-08002B2CF9AE}" pid="17" name="Objective-FileNumber">
    <vt:lpwstr>1-2023/50084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51d4dd1e-4c69-47ce-89bd-cd630d2c390d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