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9F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BDEC07" w14:textId="3D5B3714" w:rsidR="00F10CB2" w:rsidRPr="00C34184" w:rsidRDefault="001C737C">
      <w:pPr>
        <w:pStyle w:val="Billname"/>
        <w:spacing w:before="700"/>
      </w:pPr>
      <w:r>
        <w:t>Public Place Names</w:t>
      </w:r>
      <w:r w:rsidR="00F10CB2">
        <w:t xml:space="preserve"> (</w:t>
      </w:r>
      <w:r w:rsidR="00B77233">
        <w:t>Denman Prospect</w:t>
      </w:r>
      <w:r w:rsidR="00F10CB2">
        <w:t xml:space="preserve">) </w:t>
      </w:r>
      <w:r>
        <w:t>Determination</w:t>
      </w:r>
      <w:r w:rsidR="00B30B9A">
        <w:t xml:space="preserve"> </w:t>
      </w:r>
      <w:r w:rsidR="00B77233">
        <w:t>202</w:t>
      </w:r>
      <w:r w:rsidR="00C34184">
        <w:t>4</w:t>
      </w:r>
      <w:r w:rsidR="00A97836">
        <w:t xml:space="preserve"> (No </w:t>
      </w:r>
      <w:r w:rsidR="00C34184">
        <w:t>1</w:t>
      </w:r>
      <w:r w:rsidR="00A97836">
        <w:t>)</w:t>
      </w:r>
    </w:p>
    <w:p w14:paraId="621471C0" w14:textId="6EA0332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77233">
        <w:rPr>
          <w:rFonts w:ascii="Arial" w:hAnsi="Arial" w:cs="Arial"/>
          <w:b/>
          <w:bCs/>
        </w:rPr>
        <w:t>202</w:t>
      </w:r>
      <w:r w:rsidR="00C3418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D8017A">
        <w:rPr>
          <w:rFonts w:ascii="Arial" w:hAnsi="Arial" w:cs="Arial"/>
          <w:b/>
          <w:bCs/>
        </w:rPr>
        <w:t>14</w:t>
      </w:r>
    </w:p>
    <w:p w14:paraId="455CCF3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485F2C8" w14:textId="77777777" w:rsidR="00F10CB2" w:rsidRDefault="001C737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Minister to determine names</w:t>
      </w:r>
      <w:r w:rsidR="00F10CB2">
        <w:rPr>
          <w:rFonts w:cs="Arial"/>
          <w:sz w:val="20"/>
        </w:rPr>
        <w:t>)</w:t>
      </w:r>
    </w:p>
    <w:p w14:paraId="71BFA3E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000503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12A39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1B1F50" w14:textId="3ED96301" w:rsidR="00F10CB2" w:rsidRDefault="00F10CB2" w:rsidP="00D47F13">
      <w:pPr>
        <w:spacing w:before="140"/>
        <w:ind w:left="720"/>
      </w:pPr>
      <w:r>
        <w:t xml:space="preserve">This instrument is the </w:t>
      </w:r>
      <w:r w:rsidR="00E445CD">
        <w:rPr>
          <w:i/>
        </w:rPr>
        <w:t>Public Place Names (</w:t>
      </w:r>
      <w:r w:rsidR="00B77233">
        <w:rPr>
          <w:i/>
        </w:rPr>
        <w:t>Denman Prospect</w:t>
      </w:r>
      <w:r w:rsidR="00E445CD">
        <w:rPr>
          <w:i/>
        </w:rPr>
        <w:t>) Determination 20</w:t>
      </w:r>
      <w:r w:rsidR="00B77233">
        <w:rPr>
          <w:i/>
        </w:rPr>
        <w:t>2</w:t>
      </w:r>
      <w:r w:rsidR="00C34184">
        <w:rPr>
          <w:i/>
        </w:rPr>
        <w:t>4</w:t>
      </w:r>
      <w:r w:rsidR="00A97836">
        <w:rPr>
          <w:i/>
        </w:rPr>
        <w:t xml:space="preserve"> (No </w:t>
      </w:r>
      <w:r w:rsidR="00C34184">
        <w:rPr>
          <w:i/>
        </w:rPr>
        <w:t>1</w:t>
      </w:r>
      <w:r w:rsidR="00A97836">
        <w:rPr>
          <w:i/>
        </w:rPr>
        <w:t>)</w:t>
      </w:r>
      <w:r w:rsidRPr="00627F0C">
        <w:rPr>
          <w:bCs/>
          <w:iCs/>
        </w:rPr>
        <w:t>.</w:t>
      </w:r>
    </w:p>
    <w:p w14:paraId="388D2E22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FA1C0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492788">
        <w:t xml:space="preserve">the day after </w:t>
      </w:r>
      <w:r w:rsidR="000C501D" w:rsidRPr="00B77233">
        <w:t xml:space="preserve">its </w:t>
      </w:r>
      <w:r w:rsidR="00492788" w:rsidRPr="00B77233">
        <w:t>notification</w:t>
      </w:r>
      <w:r w:rsidR="000C501D" w:rsidRPr="00B77233">
        <w:t xml:space="preserve"> day</w:t>
      </w:r>
      <w:r w:rsidRPr="00B77233">
        <w:t>.</w:t>
      </w:r>
      <w:r>
        <w:t xml:space="preserve"> </w:t>
      </w:r>
    </w:p>
    <w:p w14:paraId="0D5CFC9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737C">
        <w:rPr>
          <w:rFonts w:ascii="Arial" w:hAnsi="Arial" w:cs="Arial"/>
          <w:b/>
          <w:bCs/>
        </w:rPr>
        <w:t>Determination of Place Names</w:t>
      </w:r>
    </w:p>
    <w:p w14:paraId="435335C0" w14:textId="77777777" w:rsidR="00E358BC" w:rsidRPr="00970517" w:rsidRDefault="00E358BC" w:rsidP="00E358BC">
      <w:pPr>
        <w:spacing w:before="140"/>
        <w:ind w:left="720"/>
      </w:pPr>
      <w:r>
        <w:t xml:space="preserve">I determine the </w:t>
      </w:r>
      <w:r w:rsidR="00A502EA">
        <w:t xml:space="preserve">place </w:t>
      </w:r>
      <w:r>
        <w:t xml:space="preserve">names </w:t>
      </w:r>
      <w:r w:rsidR="00A502EA">
        <w:t xml:space="preserve">as </w:t>
      </w:r>
      <w:r>
        <w:t xml:space="preserve">indicated in the schedule. </w:t>
      </w:r>
    </w:p>
    <w:p w14:paraId="6A41DB1E" w14:textId="7F970D45" w:rsidR="00D47F13" w:rsidRDefault="00CE41A8" w:rsidP="00232478">
      <w:pPr>
        <w:tabs>
          <w:tab w:val="left" w:pos="4320"/>
        </w:tabs>
        <w:spacing w:before="720"/>
      </w:pPr>
      <w:r>
        <w:t>Erin Brady</w:t>
      </w:r>
    </w:p>
    <w:p w14:paraId="7B7FFBF7" w14:textId="580A5133" w:rsidR="00F10CB2" w:rsidRPr="000C72CD" w:rsidRDefault="001C737C" w:rsidP="00D47F13">
      <w:pPr>
        <w:tabs>
          <w:tab w:val="left" w:pos="4320"/>
        </w:tabs>
      </w:pPr>
      <w:r>
        <w:t>Delegate of the Minister</w:t>
      </w:r>
      <w:r w:rsidR="008F060D">
        <w:t xml:space="preserve"> for Planning</w:t>
      </w:r>
    </w:p>
    <w:bookmarkEnd w:id="0"/>
    <w:p w14:paraId="77F22C69" w14:textId="0F6EB307" w:rsidR="00F10CB2" w:rsidRDefault="00A608D2" w:rsidP="00232478">
      <w:pPr>
        <w:tabs>
          <w:tab w:val="left" w:pos="4320"/>
        </w:tabs>
      </w:pPr>
      <w:r>
        <w:t>23 January 2024</w:t>
      </w:r>
    </w:p>
    <w:p w14:paraId="209EB7C0" w14:textId="77777777" w:rsidR="001F1298" w:rsidRDefault="001F1298" w:rsidP="00232478">
      <w:pPr>
        <w:tabs>
          <w:tab w:val="left" w:pos="4320"/>
        </w:tabs>
      </w:pPr>
    </w:p>
    <w:p w14:paraId="03FC011E" w14:textId="77777777" w:rsidR="001F1298" w:rsidRDefault="001F1298" w:rsidP="00232478">
      <w:pPr>
        <w:tabs>
          <w:tab w:val="left" w:pos="4320"/>
        </w:tabs>
      </w:pPr>
    </w:p>
    <w:p w14:paraId="75C3907F" w14:textId="77777777" w:rsidR="001F1298" w:rsidRDefault="001F1298" w:rsidP="00232478">
      <w:pPr>
        <w:tabs>
          <w:tab w:val="left" w:pos="4320"/>
        </w:tabs>
      </w:pPr>
    </w:p>
    <w:p w14:paraId="615F047F" w14:textId="77777777" w:rsidR="00AA02C9" w:rsidRDefault="00AA02C9" w:rsidP="00232478">
      <w:pPr>
        <w:tabs>
          <w:tab w:val="left" w:pos="4320"/>
        </w:tabs>
      </w:pPr>
    </w:p>
    <w:p w14:paraId="153C6CAF" w14:textId="77777777" w:rsidR="001056A5" w:rsidRDefault="001056A5">
      <w:pPr>
        <w:sectPr w:rsidR="001056A5" w:rsidSect="001056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</w:p>
    <w:p w14:paraId="4A22224E" w14:textId="77777777" w:rsidR="003D7174" w:rsidRPr="00513572" w:rsidRDefault="002A039C" w:rsidP="002A039C">
      <w:pPr>
        <w:rPr>
          <w:b/>
          <w:bCs/>
          <w:szCs w:val="28"/>
        </w:rPr>
      </w:pPr>
      <w:r w:rsidRPr="00513572">
        <w:rPr>
          <w:b/>
          <w:bCs/>
          <w:szCs w:val="28"/>
        </w:rPr>
        <w:lastRenderedPageBreak/>
        <w:t>SCHEDULE</w:t>
      </w:r>
    </w:p>
    <w:p w14:paraId="1A8AF509" w14:textId="2E28F50A" w:rsidR="008A3808" w:rsidRPr="007D25AC" w:rsidRDefault="008A3808" w:rsidP="008A3808">
      <w:pPr>
        <w:pStyle w:val="Heading2"/>
        <w:pBdr>
          <w:bottom w:val="single" w:sz="12" w:space="2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(See </w:t>
      </w:r>
      <w:r w:rsidR="00373830">
        <w:rPr>
          <w:rFonts w:ascii="Times New Roman" w:hAnsi="Times New Roman" w:cs="Times New Roman"/>
          <w:i w:val="0"/>
          <w:sz w:val="24"/>
          <w:szCs w:val="24"/>
        </w:rPr>
        <w:t>s 3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</w:p>
    <w:p w14:paraId="5FE726EB" w14:textId="77777777" w:rsidR="002A039C" w:rsidRDefault="002A039C" w:rsidP="002A039C"/>
    <w:p w14:paraId="41CCFE9B" w14:textId="77777777" w:rsidR="003D7174" w:rsidRPr="00277E64" w:rsidRDefault="003D7174" w:rsidP="002A039C">
      <w:pPr>
        <w:rPr>
          <w:szCs w:val="24"/>
        </w:rPr>
      </w:pPr>
    </w:p>
    <w:p w14:paraId="70505619" w14:textId="5CF380EE" w:rsidR="00B63A10" w:rsidRPr="00277E64" w:rsidRDefault="00AA02C9" w:rsidP="00AA02C9">
      <w:pPr>
        <w:spacing w:before="120" w:after="120"/>
        <w:rPr>
          <w:b/>
          <w:bCs/>
          <w:noProof/>
          <w:szCs w:val="24"/>
        </w:rPr>
      </w:pPr>
      <w:r w:rsidRPr="00277E64">
        <w:rPr>
          <w:b/>
          <w:bCs/>
          <w:szCs w:val="24"/>
        </w:rPr>
        <w:t xml:space="preserve">Division of </w:t>
      </w:r>
      <w:r w:rsidR="00B77233" w:rsidRPr="00277E64">
        <w:rPr>
          <w:b/>
          <w:bCs/>
          <w:noProof/>
          <w:szCs w:val="24"/>
        </w:rPr>
        <w:t>Denman Prospect</w:t>
      </w:r>
      <w:r w:rsidRPr="00277E64">
        <w:rPr>
          <w:b/>
          <w:bCs/>
          <w:noProof/>
          <w:szCs w:val="24"/>
        </w:rPr>
        <w:t xml:space="preserve"> – </w:t>
      </w:r>
      <w:r w:rsidR="00B77233" w:rsidRPr="00277E64">
        <w:rPr>
          <w:b/>
          <w:bCs/>
          <w:noProof/>
          <w:szCs w:val="24"/>
        </w:rPr>
        <w:t>Activism and Reform</w:t>
      </w:r>
    </w:p>
    <w:p w14:paraId="5503FC76" w14:textId="4B24E0B7" w:rsidR="00B63A10" w:rsidRPr="00277E64" w:rsidRDefault="00B63A10" w:rsidP="00AA02C9">
      <w:pPr>
        <w:spacing w:before="120" w:after="120"/>
        <w:rPr>
          <w:bCs/>
          <w:noProof/>
          <w:szCs w:val="24"/>
        </w:rPr>
      </w:pPr>
      <w:r w:rsidRPr="00277E64">
        <w:rPr>
          <w:bCs/>
          <w:noProof/>
          <w:szCs w:val="24"/>
        </w:rPr>
        <w:t>The location of the public place</w:t>
      </w:r>
      <w:r w:rsidR="007D25AC" w:rsidRPr="00277E64">
        <w:rPr>
          <w:bCs/>
          <w:noProof/>
          <w:szCs w:val="24"/>
        </w:rPr>
        <w:t>s</w:t>
      </w:r>
      <w:r w:rsidRPr="00277E64">
        <w:rPr>
          <w:bCs/>
          <w:noProof/>
          <w:szCs w:val="24"/>
        </w:rPr>
        <w:t xml:space="preserve"> </w:t>
      </w:r>
      <w:r w:rsidR="008B556F" w:rsidRPr="00277E64">
        <w:rPr>
          <w:bCs/>
          <w:noProof/>
          <w:szCs w:val="24"/>
        </w:rPr>
        <w:t>with the following name</w:t>
      </w:r>
      <w:r w:rsidR="007D25AC" w:rsidRPr="00277E64">
        <w:rPr>
          <w:bCs/>
          <w:noProof/>
          <w:szCs w:val="24"/>
        </w:rPr>
        <w:t xml:space="preserve">s </w:t>
      </w:r>
      <w:r w:rsidRPr="00277E64">
        <w:rPr>
          <w:bCs/>
          <w:noProof/>
          <w:szCs w:val="24"/>
        </w:rPr>
        <w:t xml:space="preserve">is indicated on the associated </w:t>
      </w:r>
      <w:r w:rsidR="00B96911" w:rsidRPr="00277E64">
        <w:rPr>
          <w:bCs/>
          <w:noProof/>
          <w:szCs w:val="24"/>
        </w:rPr>
        <w:t>diagram</w:t>
      </w:r>
      <w:r w:rsidRPr="00277E64">
        <w:rPr>
          <w:bCs/>
          <w:noProof/>
          <w:szCs w:val="24"/>
        </w:rPr>
        <w:t>.</w:t>
      </w:r>
      <w:r w:rsidR="00B31667" w:rsidRPr="00277E64">
        <w:rPr>
          <w:bCs/>
          <w:noProof/>
          <w:szCs w:val="24"/>
        </w:rPr>
        <w:br w:type="textWrapping" w:clear="all"/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5387"/>
      </w:tblGrid>
      <w:tr w:rsidR="00AA02C9" w:rsidRPr="00277E64" w14:paraId="0035353E" w14:textId="77777777" w:rsidTr="00C37034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4F90C9E" w14:textId="77777777" w:rsidR="00AA02C9" w:rsidRPr="00277E64" w:rsidRDefault="00AA02C9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bookmarkStart w:id="1" w:name="_Hlk151452589"/>
            <w:r w:rsidRPr="00277E6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65C365" w14:textId="77777777" w:rsidR="00AA02C9" w:rsidRPr="00277E64" w:rsidRDefault="00AA02C9" w:rsidP="005B4795">
            <w:pPr>
              <w:spacing w:before="120" w:after="120"/>
              <w:rPr>
                <w:szCs w:val="24"/>
              </w:rPr>
            </w:pPr>
            <w:r w:rsidRPr="00277E64">
              <w:rPr>
                <w:b/>
                <w:bCs/>
                <w:szCs w:val="24"/>
              </w:rPr>
              <w:t>ORIGIN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805C3CC" w14:textId="77777777" w:rsidR="00AA02C9" w:rsidRPr="00277E64" w:rsidRDefault="00AA02C9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  <w:r w:rsidRPr="00277E64">
              <w:rPr>
                <w:rFonts w:ascii="Times New Roman" w:hAnsi="Times New Roman"/>
                <w:szCs w:val="24"/>
                <w:lang w:val="en-GB"/>
              </w:rPr>
              <w:t>SIGNIFICANCE</w:t>
            </w:r>
          </w:p>
        </w:tc>
      </w:tr>
      <w:tr w:rsidR="00B77233" w:rsidRPr="00277E64" w14:paraId="4E349212" w14:textId="77777777" w:rsidTr="005A5E3D">
        <w:trPr>
          <w:cantSplit/>
          <w:trHeight w:val="858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C0C2874" w14:textId="01B4989A" w:rsidR="00A97836" w:rsidRPr="00277E64" w:rsidRDefault="00B77233" w:rsidP="00F3153B">
            <w:pPr>
              <w:spacing w:before="120" w:after="120"/>
              <w:rPr>
                <w:szCs w:val="24"/>
              </w:rPr>
            </w:pPr>
            <w:r w:rsidRPr="00277E64">
              <w:rPr>
                <w:b/>
                <w:bCs/>
                <w:szCs w:val="24"/>
                <w:lang w:val="en-GB"/>
              </w:rPr>
              <w:t>James Wallner View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0A769F" w14:textId="77777777" w:rsidR="00B77233" w:rsidRPr="00277E64" w:rsidRDefault="00B77233" w:rsidP="00B77233">
            <w:pPr>
              <w:spacing w:before="120" w:after="120"/>
              <w:rPr>
                <w:szCs w:val="24"/>
                <w:lang w:val="en-GB"/>
              </w:rPr>
            </w:pPr>
            <w:r w:rsidRPr="00277E64">
              <w:rPr>
                <w:szCs w:val="24"/>
                <w:lang w:val="en-GB"/>
              </w:rPr>
              <w:t>James David Wallner</w:t>
            </w:r>
          </w:p>
          <w:p w14:paraId="6978BFC8" w14:textId="22C53C80" w:rsidR="00B77233" w:rsidRPr="00277E64" w:rsidRDefault="00B77233" w:rsidP="00A97836">
            <w:pPr>
              <w:spacing w:before="120" w:after="120"/>
              <w:rPr>
                <w:b/>
                <w:bCs/>
                <w:szCs w:val="24"/>
              </w:rPr>
            </w:pPr>
            <w:r w:rsidRPr="00277E64">
              <w:rPr>
                <w:szCs w:val="24"/>
                <w:lang w:val="en-GB"/>
              </w:rPr>
              <w:t>(1966–2021)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5E0119" w14:textId="77777777" w:rsidR="00B77233" w:rsidRPr="00277E64" w:rsidRDefault="00B77233" w:rsidP="00B77233">
            <w:pPr>
              <w:spacing w:before="120" w:after="120"/>
              <w:rPr>
                <w:szCs w:val="24"/>
                <w:lang w:eastAsia="en-AU"/>
              </w:rPr>
            </w:pPr>
            <w:r w:rsidRPr="00277E64">
              <w:rPr>
                <w:szCs w:val="24"/>
              </w:rPr>
              <w:t>Activist, veterinary scientist, Canberra resident</w:t>
            </w:r>
          </w:p>
          <w:p w14:paraId="76DD7C3C" w14:textId="77777777" w:rsidR="00B77233" w:rsidRDefault="00B77233" w:rsidP="00B77233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</w:pP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In 2020, James Wallner was diagnosed with malignant pleural mesothelioma,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>caused by exposure to asbestos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.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 xml:space="preserve">His exposure occurred as a child growing up in a 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house containing loose-fill asbestos insulation (a ‘Mr Fluffy’ house). </w:t>
            </w:r>
            <w:r w:rsidRPr="00277E64">
              <w:rPr>
                <w:rStyle w:val="s1"/>
                <w:rFonts w:ascii="Times New Roman" w:hAnsi="Times New Roman"/>
                <w:b w:val="0"/>
                <w:bCs/>
                <w:szCs w:val="24"/>
              </w:rPr>
              <w:t xml:space="preserve">Immediately following his terminal diagnosis, Wallner identified a serious gap that left people who developed an asbestos disease from living in a ‘Mr Fluffy’ home without recourse to any form of medical or financial assistance. 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He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 xml:space="preserve">dedicated himself to being the public face of a campaign to establish a financial support scheme for victims, and their families, </w:t>
            </w:r>
            <w:r w:rsidRPr="00277E64">
              <w:rPr>
                <w:rStyle w:val="s1"/>
                <w:rFonts w:ascii="Times New Roman" w:hAnsi="Times New Roman"/>
                <w:b w:val="0"/>
                <w:bCs/>
                <w:szCs w:val="24"/>
              </w:rPr>
              <w:t>and devoted most of his final year of life to this cause.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 xml:space="preserve"> On 5 May 2021, 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the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>Australian Capital Territory (ACT)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 and Commonwealth governments announced an agreement to establish an asbestos diseases support scheme, to be administered by the ACT Government. 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br w:type="textWrapping" w:clear="all"/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 xml:space="preserve">On 12 May 2021, the Chief Minister of the ACT paid tribute to the late James Wallner in a statement in the ACT Legislative Assembly relating to the new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14:ligatures w14:val="standardContextual"/>
              </w:rPr>
              <w:t xml:space="preserve">scheme. 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In 2022,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 xml:space="preserve">victims of asbestos-related disease, caused by living in a former loose-fill asbestos </w:t>
            </w:r>
            <w:r w:rsidR="00C45A54"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br w:type="textWrapping" w:clear="all"/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>‘Mr Fluffy’ house in the ACT, became eligible for financial support through the ‘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Loose-Fill Asbestos Disease Support Scheme’ jointly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>funded by the ACT and Commonwealth governments.</w:t>
            </w:r>
            <w:r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 The scheme has no fixed end date, recognising that asbestos-related diseases have a long latency period of about 25 to 30 years from exposure.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shd w:val="clear" w:color="auto" w:fill="FFFFFF"/>
              </w:rPr>
              <w:t xml:space="preserve"> </w:t>
            </w:r>
          </w:p>
          <w:p w14:paraId="58624D19" w14:textId="2893AE90" w:rsidR="00CE41A8" w:rsidRPr="00277E64" w:rsidRDefault="00CE41A8" w:rsidP="00B77233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</w:p>
        </w:tc>
      </w:tr>
    </w:tbl>
    <w:p w14:paraId="35056A2E" w14:textId="77777777" w:rsidR="000811F0" w:rsidRPr="00277E64" w:rsidRDefault="000811F0">
      <w:pPr>
        <w:rPr>
          <w:szCs w:val="24"/>
        </w:rPr>
      </w:pPr>
      <w:r w:rsidRPr="00277E64">
        <w:rPr>
          <w:szCs w:val="24"/>
        </w:rPr>
        <w:br w:type="page"/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5387"/>
      </w:tblGrid>
      <w:tr w:rsidR="00A03251" w:rsidRPr="00277E64" w14:paraId="58070FB8" w14:textId="77777777" w:rsidTr="00C37034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74835DE4" w14:textId="084EFF32" w:rsidR="000958D7" w:rsidRPr="00277E64" w:rsidRDefault="00A03251" w:rsidP="00F3153B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E6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John Budby Rise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E0F2B5" w14:textId="77777777" w:rsidR="00A03251" w:rsidRPr="00277E64" w:rsidRDefault="00A03251" w:rsidP="00A03251">
            <w:pPr>
              <w:spacing w:before="120" w:after="120"/>
              <w:rPr>
                <w:szCs w:val="24"/>
              </w:rPr>
            </w:pPr>
            <w:r w:rsidRPr="00277E64">
              <w:rPr>
                <w:szCs w:val="24"/>
              </w:rPr>
              <w:t>John Raymond Budby</w:t>
            </w:r>
          </w:p>
          <w:p w14:paraId="6EB5E8A4" w14:textId="0FD1FB6D" w:rsidR="00B062CC" w:rsidRPr="00277E64" w:rsidRDefault="00A03251" w:rsidP="00FE5EDA">
            <w:pPr>
              <w:spacing w:before="120" w:after="120"/>
              <w:rPr>
                <w:szCs w:val="24"/>
                <w:lang w:val="en-GB"/>
              </w:rPr>
            </w:pPr>
            <w:r w:rsidRPr="00277E64">
              <w:rPr>
                <w:szCs w:val="24"/>
              </w:rPr>
              <w:t>(c.1947–2007)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227521B" w14:textId="0A14F7A3" w:rsidR="00A03251" w:rsidRPr="00CE41A8" w:rsidRDefault="00A03251" w:rsidP="00A03251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  <w:r w:rsidRPr="00CE41A8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Educator, advocate for Aboriginal and Torres Strait Islander peoples.</w:t>
            </w:r>
          </w:p>
          <w:p w14:paraId="53AABC4F" w14:textId="1268E05F" w:rsidR="00A03251" w:rsidRPr="00277E64" w:rsidRDefault="00A03251" w:rsidP="00A03251">
            <w:pPr>
              <w:spacing w:before="120" w:after="120"/>
              <w:rPr>
                <w:szCs w:val="24"/>
              </w:rPr>
            </w:pPr>
            <w:r w:rsidRPr="00CE41A8">
              <w:rPr>
                <w:bCs/>
                <w:szCs w:val="24"/>
              </w:rPr>
              <w:t>John Budby played a v</w:t>
            </w:r>
            <w:r w:rsidRPr="00CE41A8">
              <w:rPr>
                <w:bCs/>
                <w:szCs w:val="24"/>
                <w:shd w:val="clear" w:color="auto" w:fill="FFFFFF"/>
              </w:rPr>
              <w:t xml:space="preserve">ital role in raising awareness of educational issues for Aboriginal and Torres Strait Islander peoples and </w:t>
            </w:r>
            <w:r w:rsidRPr="00CE41A8">
              <w:rPr>
                <w:bCs/>
                <w:szCs w:val="24"/>
              </w:rPr>
              <w:t>contributing to reforms in national education policy.</w:t>
            </w:r>
            <w:r w:rsidRPr="00CE41A8">
              <w:rPr>
                <w:bCs/>
                <w:szCs w:val="24"/>
                <w:shd w:val="clear" w:color="auto" w:fill="FFFFFF"/>
              </w:rPr>
              <w:t> </w:t>
            </w:r>
            <w:r w:rsidRPr="00CE41A8">
              <w:rPr>
                <w:bCs/>
                <w:szCs w:val="24"/>
              </w:rPr>
              <w:t>In 1977, he was appointed a foundation member of the National Aboriginal Education Committee</w:t>
            </w:r>
            <w:r w:rsidR="003F5E8A" w:rsidRPr="00CE41A8">
              <w:rPr>
                <w:bCs/>
                <w:szCs w:val="24"/>
              </w:rPr>
              <w:t xml:space="preserve"> (NAEC)</w:t>
            </w:r>
            <w:r w:rsidRPr="00CE41A8">
              <w:rPr>
                <w:bCs/>
                <w:szCs w:val="24"/>
              </w:rPr>
              <w:t xml:space="preserve">, serving as chair from </w:t>
            </w:r>
            <w:r w:rsidR="00C45A54" w:rsidRPr="00CE41A8">
              <w:rPr>
                <w:bCs/>
                <w:szCs w:val="24"/>
              </w:rPr>
              <w:br w:type="textWrapping" w:clear="all"/>
            </w:r>
            <w:r w:rsidRPr="00CE41A8">
              <w:rPr>
                <w:bCs/>
                <w:szCs w:val="24"/>
              </w:rPr>
              <w:t>1980–1983. He introduced a strong</w:t>
            </w:r>
            <w:r w:rsidRPr="00277E64">
              <w:rPr>
                <w:bCs/>
                <w:szCs w:val="24"/>
              </w:rPr>
              <w:t xml:space="preserve"> emphasis on curriculum development and Aboriginal studies at all levels of school curriculum and teacher training, which he defined as </w:t>
            </w:r>
            <w:r w:rsidRPr="00277E64">
              <w:rPr>
                <w:bCs/>
                <w:color w:val="000000"/>
                <w:szCs w:val="24"/>
                <w:shd w:val="clear" w:color="auto" w:fill="FFFFFF"/>
              </w:rPr>
              <w:t>the education of, and about</w:t>
            </w:r>
            <w:r w:rsidR="00094729" w:rsidRPr="00277E64">
              <w:rPr>
                <w:bCs/>
                <w:szCs w:val="24"/>
                <w:shd w:val="clear" w:color="auto" w:fill="FFFFFF"/>
              </w:rPr>
              <w:t>,</w:t>
            </w:r>
            <w:r w:rsidRPr="00277E64">
              <w:rPr>
                <w:bCs/>
                <w:color w:val="000000"/>
                <w:szCs w:val="24"/>
                <w:shd w:val="clear" w:color="auto" w:fill="FFFFFF"/>
              </w:rPr>
              <w:t xml:space="preserve"> Aboriginal people. </w:t>
            </w:r>
            <w:r w:rsidRPr="00277E64">
              <w:rPr>
                <w:bCs/>
                <w:szCs w:val="24"/>
              </w:rPr>
              <w:t>He consolidated policy to provide direction across Aboriginal education, for both Aboriginal and non-Aboriginal educators. John Budby identified parent and community involvement in schools as particularly important to improve education outcomes for Aboriginal and Torres Strait Islander children.</w:t>
            </w:r>
            <w:r w:rsidR="00094729" w:rsidRPr="00277E64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3F5E8A" w:rsidRPr="00277E64">
              <w:rPr>
                <w:bCs/>
                <w:color w:val="000000"/>
                <w:szCs w:val="24"/>
                <w:shd w:val="clear" w:color="auto" w:fill="FFFFFF"/>
              </w:rPr>
              <w:t>In 1982, h</w:t>
            </w:r>
            <w:r w:rsidRPr="00277E64">
              <w:rPr>
                <w:bCs/>
                <w:szCs w:val="24"/>
              </w:rPr>
              <w:t xml:space="preserve">e was appointed to the ACT Multicultural Education Advisory Committee </w:t>
            </w:r>
            <w:r w:rsidR="003F5E8A" w:rsidRPr="00277E64">
              <w:rPr>
                <w:bCs/>
                <w:szCs w:val="24"/>
              </w:rPr>
              <w:t xml:space="preserve">and in 1983, </w:t>
            </w:r>
            <w:r w:rsidRPr="00277E64">
              <w:rPr>
                <w:bCs/>
                <w:szCs w:val="24"/>
              </w:rPr>
              <w:t xml:space="preserve">to the </w:t>
            </w:r>
            <w:r w:rsidR="00952C2E" w:rsidRPr="00277E64">
              <w:rPr>
                <w:bCs/>
                <w:szCs w:val="24"/>
              </w:rPr>
              <w:t xml:space="preserve">joint Commonwealth Schools Commission/NAEC </w:t>
            </w:r>
            <w:r w:rsidR="003F5E8A" w:rsidRPr="00277E64">
              <w:rPr>
                <w:bCs/>
                <w:szCs w:val="24"/>
              </w:rPr>
              <w:t xml:space="preserve">Working Party on </w:t>
            </w:r>
            <w:r w:rsidRPr="00277E64">
              <w:rPr>
                <w:bCs/>
                <w:szCs w:val="24"/>
              </w:rPr>
              <w:t xml:space="preserve">Aboriginal </w:t>
            </w:r>
            <w:r w:rsidR="003F5E8A" w:rsidRPr="00277E64">
              <w:rPr>
                <w:bCs/>
                <w:szCs w:val="24"/>
              </w:rPr>
              <w:t>and Torres Strait Islander Education</w:t>
            </w:r>
            <w:r w:rsidR="00952C2E" w:rsidRPr="00277E64">
              <w:rPr>
                <w:bCs/>
                <w:szCs w:val="24"/>
              </w:rPr>
              <w:t>.</w:t>
            </w:r>
            <w:r w:rsidRPr="00277E64">
              <w:rPr>
                <w:bCs/>
                <w:szCs w:val="24"/>
              </w:rPr>
              <w:t xml:space="preserve"> </w:t>
            </w:r>
            <w:r w:rsidRPr="00277E64">
              <w:rPr>
                <w:bCs/>
                <w:szCs w:val="24"/>
                <w:shd w:val="clear" w:color="auto" w:fill="FFFFFF"/>
              </w:rPr>
              <w:t xml:space="preserve">In 1996, </w:t>
            </w:r>
            <w:r w:rsidR="003F5E8A" w:rsidRPr="00277E64">
              <w:rPr>
                <w:bCs/>
                <w:szCs w:val="24"/>
                <w:shd w:val="clear" w:color="auto" w:fill="FFFFFF"/>
              </w:rPr>
              <w:t>Budby</w:t>
            </w:r>
            <w:r w:rsidRPr="00277E64">
              <w:rPr>
                <w:bCs/>
                <w:szCs w:val="24"/>
                <w:shd w:val="clear" w:color="auto" w:fill="FFFFFF"/>
              </w:rPr>
              <w:t xml:space="preserve"> led a review in Queensland of policies</w:t>
            </w:r>
            <w:r w:rsidRPr="00277E64">
              <w:rPr>
                <w:bCs/>
                <w:color w:val="000000"/>
                <w:szCs w:val="24"/>
                <w:shd w:val="clear" w:color="auto" w:fill="FFFFFF"/>
              </w:rPr>
              <w:t>, programs, and professional development, with a view to increasing the number of Aboriginal and Torres Strait Islander people in the school system.</w:t>
            </w:r>
            <w:r w:rsidRPr="00277E64">
              <w:rPr>
                <w:bCs/>
                <w:szCs w:val="24"/>
              </w:rPr>
              <w:t xml:space="preserve"> In 2007, the </w:t>
            </w:r>
            <w:r w:rsidRPr="00277E64">
              <w:rPr>
                <w:bCs/>
                <w:color w:val="000000"/>
                <w:szCs w:val="24"/>
                <w:shd w:val="clear" w:color="auto" w:fill="FFFFFF"/>
              </w:rPr>
              <w:t>Indigenous Higher Education Advisory Council recognised John Budby for his significant contribution to Indigenous higher education in Australia</w:t>
            </w:r>
            <w:r w:rsidRPr="00277E64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C37034" w:rsidRPr="00277E64" w14:paraId="363A8378" w14:textId="77777777" w:rsidTr="00C37034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510A896" w14:textId="77777777" w:rsidR="00C37034" w:rsidRPr="00277E64" w:rsidRDefault="00C37034" w:rsidP="00A03251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204061" w14:textId="77777777" w:rsidR="00C37034" w:rsidRPr="00277E64" w:rsidRDefault="00C37034" w:rsidP="00A03251">
            <w:pPr>
              <w:spacing w:before="120" w:after="120"/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52CACA" w14:textId="77777777" w:rsidR="00C37034" w:rsidRPr="00277E64" w:rsidRDefault="00C37034" w:rsidP="00A03251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</w:p>
        </w:tc>
      </w:tr>
    </w:tbl>
    <w:p w14:paraId="74C29FC1" w14:textId="77777777" w:rsidR="001651F8" w:rsidRPr="00277E64" w:rsidRDefault="001651F8">
      <w:pPr>
        <w:rPr>
          <w:szCs w:val="24"/>
        </w:rPr>
      </w:pPr>
      <w:r w:rsidRPr="00277E64">
        <w:rPr>
          <w:i/>
          <w:iCs/>
          <w:szCs w:val="24"/>
        </w:rPr>
        <w:br w:type="page"/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5387"/>
      </w:tblGrid>
      <w:tr w:rsidR="00A03251" w:rsidRPr="00277E64" w14:paraId="7978965B" w14:textId="77777777" w:rsidTr="00C37034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FFDE736" w14:textId="4897A34A" w:rsidR="00A03251" w:rsidRPr="00277E64" w:rsidRDefault="00A03251" w:rsidP="00A03251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77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77E6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Polkinghorne Crescent</w:t>
            </w:r>
          </w:p>
          <w:p w14:paraId="230F7507" w14:textId="333B66AE" w:rsidR="00A40836" w:rsidRPr="00277E64" w:rsidRDefault="00A40836" w:rsidP="00A0325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9BBF15" w14:textId="77777777" w:rsidR="00A03251" w:rsidRPr="00277E64" w:rsidRDefault="00A03251" w:rsidP="00A03251">
            <w:pPr>
              <w:spacing w:before="120" w:after="120"/>
              <w:rPr>
                <w:szCs w:val="24"/>
                <w:lang w:val="en-US"/>
              </w:rPr>
            </w:pPr>
            <w:r w:rsidRPr="00277E64">
              <w:rPr>
                <w:szCs w:val="24"/>
                <w:lang w:val="en-US"/>
              </w:rPr>
              <w:t>Barbara Evelyn Polkinghorne</w:t>
            </w:r>
          </w:p>
          <w:p w14:paraId="230958A0" w14:textId="6E32404F" w:rsidR="00A02166" w:rsidRPr="00277E64" w:rsidRDefault="00A03251" w:rsidP="00D17D1D">
            <w:pPr>
              <w:spacing w:before="120" w:after="120"/>
              <w:rPr>
                <w:b/>
                <w:bCs/>
                <w:color w:val="FF0000"/>
                <w:szCs w:val="24"/>
              </w:rPr>
            </w:pPr>
            <w:r w:rsidRPr="00277E64">
              <w:rPr>
                <w:szCs w:val="24"/>
                <w:lang w:val="en-US"/>
              </w:rPr>
              <w:t>(1914–1988)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3F30AE" w14:textId="63FD0D61" w:rsidR="00A03251" w:rsidRPr="00277E64" w:rsidRDefault="00A03251" w:rsidP="00A03251">
            <w:pPr>
              <w:spacing w:before="120" w:after="120"/>
              <w:rPr>
                <w:szCs w:val="24"/>
                <w:lang w:val="en-GB"/>
              </w:rPr>
            </w:pPr>
            <w:r w:rsidRPr="00277E64">
              <w:rPr>
                <w:szCs w:val="24"/>
                <w:lang w:val="en-GB"/>
              </w:rPr>
              <w:t xml:space="preserve">Feminist, </w:t>
            </w:r>
            <w:r w:rsidR="00A65DF1" w:rsidRPr="00277E64">
              <w:rPr>
                <w:szCs w:val="24"/>
                <w:lang w:val="en-GB"/>
              </w:rPr>
              <w:t xml:space="preserve">writer, </w:t>
            </w:r>
            <w:r w:rsidRPr="00277E64">
              <w:rPr>
                <w:szCs w:val="24"/>
                <w:lang w:val="en-GB"/>
              </w:rPr>
              <w:t>journalist and commentator.</w:t>
            </w:r>
          </w:p>
          <w:p w14:paraId="3899A5C0" w14:textId="48EC7CDF" w:rsidR="00A03251" w:rsidRPr="00277E64" w:rsidRDefault="00A03251" w:rsidP="00A03251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Barbara Polkinghorne spent her life advocating </w:t>
            </w:r>
            <w:r w:rsidR="00575936"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to promote women’s rights and advance the status of women. 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She </w:t>
            </w:r>
            <w:r w:rsidR="00575936" w:rsidRPr="00277E64">
              <w:rPr>
                <w:rFonts w:ascii="Times New Roman" w:hAnsi="Times New Roman"/>
                <w:b w:val="0"/>
                <w:bCs/>
                <w:szCs w:val="24"/>
              </w:rPr>
              <w:t>was a regular commentator through articles and letters</w:t>
            </w:r>
            <w:r w:rsidR="00C37034"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 published in South Australian newspapers.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For many years 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she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wrote </w:t>
            </w:r>
            <w:r w:rsidR="00A211A7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‘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Cassandra’s Column</w:t>
            </w:r>
            <w:r w:rsidR="00A211A7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’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, published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in the South Australian 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W</w:t>
            </w:r>
            <w:r w:rsidR="00C37034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omen’s Electoral Lobby (WEL)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Newsletter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.</w:t>
            </w:r>
            <w:r w:rsidR="00C37034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Polkinghorne 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c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o-edited </w:t>
            </w:r>
            <w:r w:rsidR="001651F8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‘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Angry Women: An Anthology of Australian Women's Writing</w:t>
            </w:r>
            <w:r w:rsidR="001651F8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’</w:t>
            </w:r>
            <w:r w:rsidR="00C63563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(c.1989)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,</w:t>
            </w:r>
            <w:r w:rsidR="00C34184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</w:t>
            </w:r>
            <w:r w:rsidR="00C63563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including 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a collection of 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essays,</w:t>
            </w:r>
            <w:r w:rsidR="00A65DF1" w:rsidRPr="00277E64">
              <w:rPr>
                <w:rFonts w:ascii="Times New Roman" w:hAnsi="Times New Roman"/>
                <w:b w:val="0"/>
                <w:bCs/>
                <w:color w:val="000000"/>
                <w:szCs w:val="24"/>
                <w:shd w:val="clear" w:color="auto" w:fill="FFFFFF"/>
              </w:rPr>
              <w:t xml:space="preserve"> poetry, scripts, songs and short fiction by female writers</w:t>
            </w:r>
            <w:r w:rsidRPr="00277E64">
              <w:rPr>
                <w:rFonts w:ascii="Times New Roman" w:hAnsi="Times New Roman"/>
                <w:b w:val="0"/>
                <w:bCs/>
                <w:i/>
                <w:iCs/>
                <w:szCs w:val="24"/>
                <w:lang w:val="en-GB"/>
              </w:rPr>
              <w:t xml:space="preserve">. </w:t>
            </w:r>
            <w:r w:rsidR="00A65DF1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Polkinghorne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was a member of ‘The Tuesday Afternoon 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G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roup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of Women’s Liberation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’, formed in 1972 for women interested in feminist issues. The group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’s activities included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lobbying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for 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housing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for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older women</w:t>
            </w:r>
            <w:r w:rsidR="004A3800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.</w:t>
            </w:r>
            <w:r w:rsidR="00C34184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T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he ‘Barbara Polkinghorne Memorial 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Trust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Award’</w:t>
            </w:r>
            <w:r w:rsidR="00C37034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</w:t>
            </w:r>
            <w:r w:rsidR="00C34184" w:rsidRPr="00277E64">
              <w:rPr>
                <w:rFonts w:ascii="Times New Roman" w:hAnsi="Times New Roman"/>
                <w:b w:val="0"/>
                <w:bCs/>
                <w:szCs w:val="24"/>
              </w:rPr>
              <w:t xml:space="preserve">is administered by </w:t>
            </w:r>
            <w:r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the 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International Women’s Day Association</w:t>
            </w:r>
            <w:r w:rsidR="00C37034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(SA)</w:t>
            </w:r>
            <w:r w:rsidR="00305BCF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Inc</w:t>
            </w:r>
            <w:r w:rsidR="00BA0F1A" w:rsidRPr="00277E64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.</w:t>
            </w:r>
          </w:p>
        </w:tc>
      </w:tr>
      <w:tr w:rsidR="00305BCF" w:rsidRPr="00277E64" w14:paraId="688AAFF5" w14:textId="77777777" w:rsidTr="00C37034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D222AE8" w14:textId="77777777" w:rsidR="00305BCF" w:rsidRPr="00277E64" w:rsidRDefault="00305BCF" w:rsidP="00305BCF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68C586" w14:textId="77777777" w:rsidR="00C37034" w:rsidRPr="00277E64" w:rsidRDefault="00C37034" w:rsidP="00C37034">
            <w:pPr>
              <w:spacing w:before="120" w:after="120"/>
              <w:rPr>
                <w:szCs w:val="24"/>
                <w:lang w:val="en-US"/>
              </w:rPr>
            </w:pPr>
            <w:r w:rsidRPr="00277E64">
              <w:rPr>
                <w:szCs w:val="24"/>
                <w:lang w:val="en-US"/>
              </w:rPr>
              <w:t>Leonora Ethel Polkinghorne</w:t>
            </w:r>
          </w:p>
          <w:p w14:paraId="196E7EFF" w14:textId="165FB74D" w:rsidR="00C37034" w:rsidRPr="00277E64" w:rsidRDefault="00C37034" w:rsidP="00C37034">
            <w:pPr>
              <w:spacing w:before="120" w:after="120"/>
              <w:rPr>
                <w:szCs w:val="24"/>
                <w:lang w:val="en-US"/>
              </w:rPr>
            </w:pPr>
            <w:r w:rsidRPr="00277E64">
              <w:rPr>
                <w:szCs w:val="24"/>
                <w:lang w:val="en-US"/>
              </w:rPr>
              <w:t>(1873–1953)</w:t>
            </w:r>
          </w:p>
          <w:p w14:paraId="22D50A9B" w14:textId="272104A9" w:rsidR="003B0B32" w:rsidRPr="00277E64" w:rsidRDefault="00C37034" w:rsidP="00F628E6">
            <w:pPr>
              <w:spacing w:before="120" w:after="120"/>
              <w:rPr>
                <w:szCs w:val="24"/>
                <w:lang w:val="en-US"/>
              </w:rPr>
            </w:pPr>
            <w:r w:rsidRPr="00277E64">
              <w:rPr>
                <w:szCs w:val="24"/>
                <w:lang w:val="en-US"/>
              </w:rPr>
              <w:t>(</w:t>
            </w:r>
            <w:r w:rsidRPr="00277E64">
              <w:rPr>
                <w:szCs w:val="24"/>
                <w:shd w:val="clear" w:color="auto" w:fill="FFFFFF"/>
              </w:rPr>
              <w:t>née</w:t>
            </w:r>
            <w:r w:rsidRPr="00277E64">
              <w:rPr>
                <w:szCs w:val="24"/>
                <w:lang w:val="en-US"/>
              </w:rPr>
              <w:t xml:space="preserve"> Twiss)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1BFF63" w14:textId="0C0A888B" w:rsidR="00305BCF" w:rsidRPr="00277E64" w:rsidRDefault="000E512C" w:rsidP="00305BCF">
            <w:pPr>
              <w:spacing w:before="120" w:after="120"/>
              <w:rPr>
                <w:szCs w:val="24"/>
                <w:shd w:val="clear" w:color="auto" w:fill="FFFFFF"/>
              </w:rPr>
            </w:pPr>
            <w:r w:rsidRPr="00277E64">
              <w:rPr>
                <w:szCs w:val="24"/>
                <w:shd w:val="clear" w:color="auto" w:fill="FFFFFF"/>
              </w:rPr>
              <w:t>F</w:t>
            </w:r>
            <w:r w:rsidR="00305BCF" w:rsidRPr="00277E64">
              <w:rPr>
                <w:szCs w:val="24"/>
                <w:shd w:val="clear" w:color="auto" w:fill="FFFFFF"/>
              </w:rPr>
              <w:t xml:space="preserve">eminist, </w:t>
            </w:r>
            <w:r w:rsidRPr="00277E64">
              <w:rPr>
                <w:szCs w:val="24"/>
                <w:shd w:val="clear" w:color="auto" w:fill="FFFFFF"/>
              </w:rPr>
              <w:t>activist</w:t>
            </w:r>
            <w:r w:rsidR="00997C67" w:rsidRPr="00277E64">
              <w:rPr>
                <w:szCs w:val="24"/>
                <w:shd w:val="clear" w:color="auto" w:fill="FFFFFF"/>
              </w:rPr>
              <w:t>, pacifist</w:t>
            </w:r>
            <w:r w:rsidR="00305BCF" w:rsidRPr="00277E64">
              <w:rPr>
                <w:szCs w:val="24"/>
                <w:shd w:val="clear" w:color="auto" w:fill="FFFFFF"/>
              </w:rPr>
              <w:t xml:space="preserve"> and </w:t>
            </w:r>
            <w:r w:rsidR="007B558D" w:rsidRPr="00277E64">
              <w:rPr>
                <w:szCs w:val="24"/>
                <w:shd w:val="clear" w:color="auto" w:fill="FFFFFF"/>
              </w:rPr>
              <w:t>author</w:t>
            </w:r>
          </w:p>
          <w:p w14:paraId="6204ADC1" w14:textId="01CDBA9E" w:rsidR="00305BCF" w:rsidRPr="00277E64" w:rsidRDefault="00305BCF" w:rsidP="007C088F">
            <w:pPr>
              <w:spacing w:before="120" w:after="120"/>
              <w:rPr>
                <w:szCs w:val="24"/>
                <w:lang w:val="en-GB"/>
              </w:rPr>
            </w:pPr>
            <w:r w:rsidRPr="00277E64">
              <w:rPr>
                <w:bCs/>
                <w:szCs w:val="24"/>
                <w:lang w:val="en-GB"/>
              </w:rPr>
              <w:t>Leonora Polkinghorne</w:t>
            </w:r>
            <w:r w:rsidR="00DD7A55" w:rsidRPr="00277E64">
              <w:rPr>
                <w:bCs/>
                <w:szCs w:val="24"/>
                <w:lang w:val="en-GB"/>
              </w:rPr>
              <w:t xml:space="preserve"> </w:t>
            </w:r>
            <w:r w:rsidRPr="00277E64">
              <w:rPr>
                <w:bCs/>
                <w:szCs w:val="24"/>
                <w:lang w:val="en-GB"/>
              </w:rPr>
              <w:t xml:space="preserve">was </w:t>
            </w:r>
            <w:r w:rsidR="00DD7A55" w:rsidRPr="00277E64">
              <w:rPr>
                <w:bCs/>
                <w:szCs w:val="24"/>
                <w:lang w:val="en-GB"/>
              </w:rPr>
              <w:t>a dedicated advocate for</w:t>
            </w:r>
            <w:r w:rsidR="007C088F" w:rsidRPr="00277E64">
              <w:rPr>
                <w:bCs/>
                <w:szCs w:val="24"/>
                <w:lang w:val="en-GB"/>
              </w:rPr>
              <w:t xml:space="preserve"> </w:t>
            </w:r>
            <w:r w:rsidR="005A5E3D" w:rsidRPr="00277E64">
              <w:rPr>
                <w:bCs/>
                <w:szCs w:val="24"/>
                <w:lang w:val="en-GB"/>
              </w:rPr>
              <w:t xml:space="preserve">the rights of </w:t>
            </w:r>
            <w:r w:rsidR="007C088F" w:rsidRPr="00277E64">
              <w:rPr>
                <w:bCs/>
                <w:szCs w:val="24"/>
                <w:lang w:val="en-GB"/>
              </w:rPr>
              <w:t>women and children</w:t>
            </w:r>
            <w:r w:rsidR="005A5E3D" w:rsidRPr="00277E64">
              <w:rPr>
                <w:bCs/>
                <w:szCs w:val="24"/>
                <w:lang w:val="en-GB"/>
              </w:rPr>
              <w:t>. During</w:t>
            </w:r>
            <w:r w:rsidR="00DD7A55" w:rsidRPr="00277E64">
              <w:rPr>
                <w:bCs/>
                <w:szCs w:val="24"/>
                <w:lang w:val="en-GB"/>
              </w:rPr>
              <w:t xml:space="preserve"> the early 1900s s</w:t>
            </w:r>
            <w:r w:rsidR="001651F8" w:rsidRPr="00277E64">
              <w:rPr>
                <w:bCs/>
                <w:szCs w:val="24"/>
                <w:lang w:val="en-GB"/>
              </w:rPr>
              <w:t xml:space="preserve">he </w:t>
            </w:r>
            <w:r w:rsidR="000A669F" w:rsidRPr="00277E64">
              <w:rPr>
                <w:bCs/>
                <w:szCs w:val="24"/>
                <w:lang w:val="en-GB"/>
              </w:rPr>
              <w:t xml:space="preserve">studied </w:t>
            </w:r>
            <w:r w:rsidR="000C72CD" w:rsidRPr="00277E64">
              <w:rPr>
                <w:bCs/>
                <w:szCs w:val="24"/>
                <w:lang w:val="en-GB"/>
              </w:rPr>
              <w:t xml:space="preserve">courses </w:t>
            </w:r>
            <w:r w:rsidR="000A669F" w:rsidRPr="00277E64">
              <w:rPr>
                <w:bCs/>
                <w:szCs w:val="24"/>
                <w:lang w:val="en-GB"/>
              </w:rPr>
              <w:t>at</w:t>
            </w:r>
            <w:r w:rsidR="001651F8" w:rsidRPr="00277E64">
              <w:rPr>
                <w:bCs/>
                <w:szCs w:val="24"/>
                <w:lang w:val="en-GB"/>
              </w:rPr>
              <w:t xml:space="preserve"> the University of Adelaide </w:t>
            </w:r>
            <w:r w:rsidR="000D1E76">
              <w:rPr>
                <w:bCs/>
                <w:szCs w:val="24"/>
                <w:lang w:val="en-GB"/>
              </w:rPr>
              <w:t>in</w:t>
            </w:r>
            <w:r w:rsidR="006A014E" w:rsidRPr="00277E64">
              <w:rPr>
                <w:bCs/>
                <w:szCs w:val="24"/>
                <w:lang w:val="en-GB"/>
              </w:rPr>
              <w:t xml:space="preserve"> the </w:t>
            </w:r>
            <w:r w:rsidR="00DD7A55" w:rsidRPr="00277E64">
              <w:rPr>
                <w:bCs/>
                <w:szCs w:val="24"/>
                <w:lang w:val="en-GB"/>
              </w:rPr>
              <w:t xml:space="preserve">Pass Degree of </w:t>
            </w:r>
            <w:r w:rsidRPr="00277E64">
              <w:rPr>
                <w:bCs/>
                <w:szCs w:val="24"/>
                <w:lang w:val="en-GB"/>
              </w:rPr>
              <w:t>Bachelor of Arts</w:t>
            </w:r>
            <w:r w:rsidR="000C72CD" w:rsidRPr="00277E64">
              <w:rPr>
                <w:bCs/>
                <w:szCs w:val="24"/>
                <w:lang w:val="en-GB"/>
              </w:rPr>
              <w:t>.</w:t>
            </w:r>
            <w:r w:rsidRPr="00277E64">
              <w:rPr>
                <w:bCs/>
                <w:szCs w:val="24"/>
                <w:lang w:val="en-GB"/>
              </w:rPr>
              <w:t xml:space="preserve"> </w:t>
            </w:r>
            <w:r w:rsidR="001651F8" w:rsidRPr="00277E64">
              <w:rPr>
                <w:bCs/>
                <w:szCs w:val="24"/>
                <w:lang w:val="en-GB"/>
              </w:rPr>
              <w:t xml:space="preserve">She </w:t>
            </w:r>
            <w:r w:rsidR="00311D5D" w:rsidRPr="00277E64">
              <w:rPr>
                <w:bCs/>
                <w:szCs w:val="24"/>
                <w:lang w:val="en-GB"/>
              </w:rPr>
              <w:t xml:space="preserve">wrote </w:t>
            </w:r>
            <w:r w:rsidR="00CB56C2" w:rsidRPr="00277E64">
              <w:rPr>
                <w:bCs/>
                <w:szCs w:val="24"/>
                <w:lang w:val="en-GB"/>
              </w:rPr>
              <w:t xml:space="preserve">stories and verses </w:t>
            </w:r>
            <w:r w:rsidR="00311D5D" w:rsidRPr="00277E64">
              <w:rPr>
                <w:bCs/>
                <w:szCs w:val="24"/>
                <w:lang w:val="en-GB"/>
              </w:rPr>
              <w:t xml:space="preserve">as Leonora Twiss and </w:t>
            </w:r>
            <w:r w:rsidR="001651F8" w:rsidRPr="00277E64">
              <w:rPr>
                <w:bCs/>
                <w:szCs w:val="24"/>
                <w:lang w:val="en-GB"/>
              </w:rPr>
              <w:t>under the pseudonym</w:t>
            </w:r>
            <w:r w:rsidR="00311D5D" w:rsidRPr="00277E64">
              <w:rPr>
                <w:bCs/>
                <w:szCs w:val="24"/>
                <w:lang w:val="en-GB"/>
              </w:rPr>
              <w:t>,</w:t>
            </w:r>
            <w:r w:rsidR="001651F8" w:rsidRPr="00277E64">
              <w:rPr>
                <w:bCs/>
                <w:szCs w:val="24"/>
                <w:lang w:val="en-GB"/>
              </w:rPr>
              <w:t xml:space="preserve"> ‘Cecil Warren’</w:t>
            </w:r>
            <w:r w:rsidR="000D1E76">
              <w:rPr>
                <w:bCs/>
                <w:szCs w:val="24"/>
                <w:lang w:val="en-GB"/>
              </w:rPr>
              <w:t xml:space="preserve">. Her works included </w:t>
            </w:r>
            <w:r w:rsidR="00CB56C2" w:rsidRPr="00277E64">
              <w:rPr>
                <w:bCs/>
                <w:szCs w:val="24"/>
                <w:lang w:val="en-GB"/>
              </w:rPr>
              <w:t xml:space="preserve">‘The Education of Clothilde’, </w:t>
            </w:r>
            <w:r w:rsidR="00311D5D" w:rsidRPr="00277E64">
              <w:rPr>
                <w:bCs/>
                <w:szCs w:val="24"/>
                <w:lang w:val="en-GB"/>
              </w:rPr>
              <w:t xml:space="preserve">(with Sydney Partrige), </w:t>
            </w:r>
            <w:r w:rsidR="00CB56C2" w:rsidRPr="00277E64">
              <w:rPr>
                <w:bCs/>
                <w:szCs w:val="24"/>
                <w:lang w:val="en-GB"/>
              </w:rPr>
              <w:t xml:space="preserve">serialised by the ‘Leader’ and </w:t>
            </w:r>
            <w:r w:rsidR="005A5E3D" w:rsidRPr="00277E64">
              <w:rPr>
                <w:bCs/>
                <w:szCs w:val="24"/>
                <w:lang w:val="en-GB"/>
              </w:rPr>
              <w:t>‘</w:t>
            </w:r>
            <w:r w:rsidR="00CB56C2" w:rsidRPr="00277E64">
              <w:rPr>
                <w:bCs/>
                <w:szCs w:val="24"/>
                <w:lang w:val="en-GB"/>
              </w:rPr>
              <w:t>Western Mail’ during 1906–1907.</w:t>
            </w:r>
            <w:r w:rsidR="000E512C" w:rsidRPr="00277E64">
              <w:rPr>
                <w:bCs/>
                <w:szCs w:val="24"/>
                <w:lang w:val="en-GB"/>
              </w:rPr>
              <w:t xml:space="preserve"> </w:t>
            </w:r>
            <w:r w:rsidR="005A5E3D" w:rsidRPr="00277E64">
              <w:rPr>
                <w:bCs/>
                <w:szCs w:val="24"/>
                <w:lang w:val="en-GB"/>
              </w:rPr>
              <w:t>S</w:t>
            </w:r>
            <w:r w:rsidR="00311D5D" w:rsidRPr="00277E64">
              <w:rPr>
                <w:bCs/>
                <w:szCs w:val="24"/>
                <w:lang w:val="en-GB"/>
              </w:rPr>
              <w:t xml:space="preserve">he </w:t>
            </w:r>
            <w:r w:rsidR="005A5E3D" w:rsidRPr="00277E64">
              <w:rPr>
                <w:bCs/>
                <w:szCs w:val="24"/>
                <w:lang w:val="en-GB"/>
              </w:rPr>
              <w:t xml:space="preserve">was active in </w:t>
            </w:r>
            <w:r w:rsidR="00700B73" w:rsidRPr="00277E64">
              <w:rPr>
                <w:bCs/>
                <w:szCs w:val="24"/>
                <w:lang w:val="en-GB"/>
              </w:rPr>
              <w:t xml:space="preserve">women’s </w:t>
            </w:r>
            <w:r w:rsidR="006914BD" w:rsidRPr="00277E64">
              <w:rPr>
                <w:bCs/>
                <w:szCs w:val="24"/>
                <w:lang w:val="en-GB"/>
              </w:rPr>
              <w:t xml:space="preserve">groups </w:t>
            </w:r>
            <w:r w:rsidR="005A5E3D" w:rsidRPr="00277E64">
              <w:rPr>
                <w:bCs/>
                <w:szCs w:val="24"/>
                <w:lang w:val="en-GB"/>
              </w:rPr>
              <w:t xml:space="preserve">in South Australia (SA) </w:t>
            </w:r>
            <w:r w:rsidR="000D1E76">
              <w:rPr>
                <w:bCs/>
                <w:szCs w:val="24"/>
                <w:lang w:val="en-GB"/>
              </w:rPr>
              <w:t>including</w:t>
            </w:r>
            <w:r w:rsidR="006914BD" w:rsidRPr="00277E64">
              <w:rPr>
                <w:bCs/>
                <w:szCs w:val="24"/>
                <w:lang w:val="en-GB"/>
              </w:rPr>
              <w:t xml:space="preserve"> </w:t>
            </w:r>
            <w:r w:rsidRPr="00277E64">
              <w:rPr>
                <w:bCs/>
                <w:szCs w:val="24"/>
                <w:lang w:val="en-GB"/>
              </w:rPr>
              <w:t>the Governesses' Association</w:t>
            </w:r>
            <w:r w:rsidR="005A5E3D" w:rsidRPr="00277E64">
              <w:rPr>
                <w:bCs/>
                <w:szCs w:val="24"/>
                <w:lang w:val="en-GB"/>
              </w:rPr>
              <w:t xml:space="preserve">, </w:t>
            </w:r>
            <w:r w:rsidRPr="00277E64">
              <w:rPr>
                <w:bCs/>
                <w:szCs w:val="24"/>
                <w:lang w:val="en-GB"/>
              </w:rPr>
              <w:t xml:space="preserve">the League of Women Voters </w:t>
            </w:r>
            <w:r w:rsidR="005A5E3D" w:rsidRPr="00277E64">
              <w:rPr>
                <w:bCs/>
                <w:szCs w:val="24"/>
                <w:lang w:val="en-GB"/>
              </w:rPr>
              <w:t xml:space="preserve">and </w:t>
            </w:r>
            <w:r w:rsidR="005A5E3D" w:rsidRPr="00277E64">
              <w:rPr>
                <w:bCs/>
                <w:szCs w:val="24"/>
                <w:shd w:val="clear" w:color="auto" w:fill="FFFFFF"/>
              </w:rPr>
              <w:t>the Women’s Non-Party Association (WNPA)</w:t>
            </w:r>
            <w:r w:rsidR="000D1E76">
              <w:rPr>
                <w:bCs/>
                <w:szCs w:val="24"/>
                <w:shd w:val="clear" w:color="auto" w:fill="FFFFFF"/>
              </w:rPr>
              <w:t>,</w:t>
            </w:r>
            <w:r w:rsidR="005A5E3D" w:rsidRPr="00277E64">
              <w:rPr>
                <w:bCs/>
                <w:szCs w:val="24"/>
                <w:lang w:val="en-GB"/>
              </w:rPr>
              <w:t xml:space="preserve"> </w:t>
            </w:r>
            <w:r w:rsidRPr="00277E64">
              <w:rPr>
                <w:bCs/>
                <w:szCs w:val="24"/>
                <w:lang w:val="en-GB"/>
              </w:rPr>
              <w:t xml:space="preserve">and </w:t>
            </w:r>
            <w:r w:rsidR="00090866" w:rsidRPr="00277E64">
              <w:rPr>
                <w:bCs/>
                <w:szCs w:val="24"/>
                <w:lang w:val="en-GB"/>
              </w:rPr>
              <w:t>organisations concerned with world peace</w:t>
            </w:r>
            <w:r w:rsidR="00B976AF" w:rsidRPr="00277E64">
              <w:rPr>
                <w:bCs/>
                <w:szCs w:val="24"/>
                <w:lang w:val="en-GB"/>
              </w:rPr>
              <w:t xml:space="preserve">. </w:t>
            </w:r>
            <w:r w:rsidR="00700B73" w:rsidRPr="00277E64">
              <w:rPr>
                <w:bCs/>
                <w:szCs w:val="24"/>
                <w:lang w:val="en-GB"/>
              </w:rPr>
              <w:t xml:space="preserve">As </w:t>
            </w:r>
            <w:r w:rsidRPr="00277E64">
              <w:rPr>
                <w:bCs/>
                <w:szCs w:val="24"/>
                <w:lang w:val="en-GB"/>
              </w:rPr>
              <w:t>President of the Housewives' Association</w:t>
            </w:r>
            <w:r w:rsidR="00700B73" w:rsidRPr="00277E64">
              <w:rPr>
                <w:bCs/>
                <w:szCs w:val="24"/>
                <w:lang w:val="en-GB"/>
              </w:rPr>
              <w:t xml:space="preserve"> </w:t>
            </w:r>
            <w:r w:rsidR="005A5E3D" w:rsidRPr="00277E64">
              <w:rPr>
                <w:bCs/>
                <w:szCs w:val="24"/>
                <w:lang w:val="en-GB"/>
              </w:rPr>
              <w:t xml:space="preserve">(SA) </w:t>
            </w:r>
            <w:r w:rsidR="00700B73" w:rsidRPr="00277E64">
              <w:rPr>
                <w:bCs/>
                <w:szCs w:val="24"/>
                <w:lang w:val="en-GB"/>
              </w:rPr>
              <w:t>during 1928–1929</w:t>
            </w:r>
            <w:r w:rsidR="00311D5D" w:rsidRPr="00277E64">
              <w:rPr>
                <w:bCs/>
                <w:szCs w:val="24"/>
                <w:lang w:val="en-GB"/>
              </w:rPr>
              <w:t>,</w:t>
            </w:r>
            <w:r w:rsidRPr="00277E64">
              <w:rPr>
                <w:bCs/>
                <w:szCs w:val="24"/>
                <w:lang w:val="en-GB"/>
              </w:rPr>
              <w:t xml:space="preserve"> </w:t>
            </w:r>
            <w:r w:rsidR="00700B73" w:rsidRPr="00277E64">
              <w:rPr>
                <w:bCs/>
                <w:szCs w:val="24"/>
                <w:lang w:val="en-GB"/>
              </w:rPr>
              <w:t xml:space="preserve">she </w:t>
            </w:r>
            <w:r w:rsidR="005A5E3D" w:rsidRPr="00277E64">
              <w:rPr>
                <w:bCs/>
                <w:szCs w:val="24"/>
                <w:lang w:val="en-GB"/>
              </w:rPr>
              <w:t>questioned</w:t>
            </w:r>
            <w:r w:rsidRPr="00277E64">
              <w:rPr>
                <w:bCs/>
                <w:szCs w:val="24"/>
                <w:shd w:val="clear" w:color="auto" w:fill="FFFFFF"/>
              </w:rPr>
              <w:t xml:space="preserve"> increases to the price</w:t>
            </w:r>
            <w:r w:rsidR="001A5015" w:rsidRPr="00277E64">
              <w:rPr>
                <w:bCs/>
                <w:szCs w:val="24"/>
                <w:shd w:val="clear" w:color="auto" w:fill="FFFFFF"/>
              </w:rPr>
              <w:t xml:space="preserve">s of </w:t>
            </w:r>
            <w:r w:rsidR="00700B73" w:rsidRPr="00277E64">
              <w:rPr>
                <w:bCs/>
                <w:szCs w:val="24"/>
                <w:shd w:val="clear" w:color="auto" w:fill="FFFFFF"/>
              </w:rPr>
              <w:t xml:space="preserve">commodities, including </w:t>
            </w:r>
            <w:r w:rsidR="000D7372" w:rsidRPr="00277E64">
              <w:rPr>
                <w:bCs/>
                <w:szCs w:val="24"/>
                <w:shd w:val="clear" w:color="auto" w:fill="FFFFFF"/>
              </w:rPr>
              <w:t xml:space="preserve">bread, butter and </w:t>
            </w:r>
            <w:r w:rsidRPr="00277E64">
              <w:rPr>
                <w:bCs/>
                <w:szCs w:val="24"/>
                <w:shd w:val="clear" w:color="auto" w:fill="FFFFFF"/>
              </w:rPr>
              <w:t>gas</w:t>
            </w:r>
            <w:r w:rsidR="000D7372" w:rsidRPr="00277E64">
              <w:rPr>
                <w:bCs/>
                <w:szCs w:val="24"/>
                <w:shd w:val="clear" w:color="auto" w:fill="FFFFFF"/>
              </w:rPr>
              <w:t>,</w:t>
            </w:r>
            <w:r w:rsidRPr="00277E64">
              <w:rPr>
                <w:rStyle w:val="apple-converted-space"/>
                <w:bCs/>
                <w:szCs w:val="24"/>
                <w:shd w:val="clear" w:color="auto" w:fill="FFFFFF"/>
              </w:rPr>
              <w:t> </w:t>
            </w:r>
            <w:r w:rsidRPr="00277E64">
              <w:rPr>
                <w:bCs/>
                <w:szCs w:val="24"/>
                <w:lang w:val="en-GB"/>
              </w:rPr>
              <w:t xml:space="preserve">and lobbied </w:t>
            </w:r>
            <w:r w:rsidRPr="00277E64">
              <w:rPr>
                <w:bCs/>
                <w:szCs w:val="24"/>
                <w:shd w:val="clear" w:color="auto" w:fill="FFFFFF"/>
              </w:rPr>
              <w:t>the government to support, protect and raise the status and interests of the home, women and children</w:t>
            </w:r>
            <w:r w:rsidR="00311D5D" w:rsidRPr="00277E64">
              <w:rPr>
                <w:bCs/>
                <w:szCs w:val="24"/>
                <w:shd w:val="clear" w:color="auto" w:fill="FFFFFF"/>
              </w:rPr>
              <w:t xml:space="preserve">. </w:t>
            </w:r>
            <w:r w:rsidR="00311D5D" w:rsidRPr="00277E64">
              <w:rPr>
                <w:bCs/>
                <w:szCs w:val="24"/>
                <w:lang w:val="en-GB"/>
              </w:rPr>
              <w:t xml:space="preserve">In 1930, she </w:t>
            </w:r>
            <w:r w:rsidR="009113B9" w:rsidRPr="00277E64">
              <w:rPr>
                <w:bCs/>
                <w:szCs w:val="24"/>
                <w:shd w:val="clear" w:color="auto" w:fill="FFFFFF"/>
              </w:rPr>
              <w:t xml:space="preserve">stood as an Independent for Sturt </w:t>
            </w:r>
            <w:r w:rsidR="00BA0F1A" w:rsidRPr="00277E64">
              <w:rPr>
                <w:bCs/>
                <w:szCs w:val="24"/>
                <w:shd w:val="clear" w:color="auto" w:fill="FFFFFF"/>
              </w:rPr>
              <w:t xml:space="preserve">in the South Australian </w:t>
            </w:r>
            <w:r w:rsidR="007C088F" w:rsidRPr="00277E64">
              <w:rPr>
                <w:bCs/>
                <w:szCs w:val="24"/>
                <w:shd w:val="clear" w:color="auto" w:fill="FFFFFF"/>
              </w:rPr>
              <w:t>state</w:t>
            </w:r>
            <w:r w:rsidR="00BA0F1A" w:rsidRPr="00277E64">
              <w:rPr>
                <w:bCs/>
                <w:szCs w:val="24"/>
                <w:shd w:val="clear" w:color="auto" w:fill="FFFFFF"/>
              </w:rPr>
              <w:t xml:space="preserve"> </w:t>
            </w:r>
            <w:r w:rsidR="009113B9" w:rsidRPr="00277E64">
              <w:rPr>
                <w:bCs/>
                <w:szCs w:val="24"/>
                <w:shd w:val="clear" w:color="auto" w:fill="FFFFFF"/>
              </w:rPr>
              <w:t>election</w:t>
            </w:r>
            <w:r w:rsidR="00311D5D" w:rsidRPr="00277E64">
              <w:rPr>
                <w:bCs/>
                <w:szCs w:val="24"/>
                <w:shd w:val="clear" w:color="auto" w:fill="FFFFFF"/>
              </w:rPr>
              <w:t>,</w:t>
            </w:r>
            <w:r w:rsidR="009113B9" w:rsidRPr="00277E64">
              <w:rPr>
                <w:bCs/>
                <w:szCs w:val="24"/>
                <w:shd w:val="clear" w:color="auto" w:fill="FFFFFF"/>
              </w:rPr>
              <w:t xml:space="preserve"> </w:t>
            </w:r>
            <w:r w:rsidR="007C088F" w:rsidRPr="00277E64">
              <w:rPr>
                <w:bCs/>
                <w:szCs w:val="24"/>
                <w:shd w:val="clear" w:color="auto" w:fill="FFFFFF"/>
              </w:rPr>
              <w:t xml:space="preserve">supported by the </w:t>
            </w:r>
            <w:r w:rsidR="005A5E3D" w:rsidRPr="00277E64">
              <w:rPr>
                <w:bCs/>
                <w:szCs w:val="24"/>
                <w:shd w:val="clear" w:color="auto" w:fill="FFFFFF"/>
              </w:rPr>
              <w:t>WNPA</w:t>
            </w:r>
            <w:r w:rsidR="007C088F" w:rsidRPr="00277E64">
              <w:rPr>
                <w:bCs/>
                <w:szCs w:val="24"/>
                <w:shd w:val="clear" w:color="auto" w:fill="FFFFFF"/>
              </w:rPr>
              <w:t>, on a platform including proportional representation</w:t>
            </w:r>
            <w:r w:rsidR="003249C3" w:rsidRPr="00277E64">
              <w:rPr>
                <w:bCs/>
                <w:szCs w:val="24"/>
                <w:shd w:val="clear" w:color="auto" w:fill="FFFFFF"/>
              </w:rPr>
              <w:t>.</w:t>
            </w:r>
            <w:r w:rsidR="00B500B6" w:rsidRPr="00277E64">
              <w:rPr>
                <w:bCs/>
                <w:szCs w:val="24"/>
                <w:shd w:val="clear" w:color="auto" w:fill="FFFFFF"/>
              </w:rPr>
              <w:t xml:space="preserve"> </w:t>
            </w:r>
            <w:r w:rsidR="00B976AF" w:rsidRPr="00277E64">
              <w:rPr>
                <w:bCs/>
                <w:szCs w:val="24"/>
                <w:lang w:val="en-GB"/>
              </w:rPr>
              <w:t>A vocal advocate for ‘no-conscription’, s</w:t>
            </w:r>
            <w:r w:rsidR="00C45A54" w:rsidRPr="00277E64">
              <w:rPr>
                <w:bCs/>
                <w:szCs w:val="24"/>
                <w:lang w:val="en-GB"/>
              </w:rPr>
              <w:t>he founded the Women's Peace Crusade</w:t>
            </w:r>
            <w:r w:rsidR="00B500B6" w:rsidRPr="00277E64">
              <w:rPr>
                <w:bCs/>
                <w:szCs w:val="24"/>
                <w:lang w:val="en-GB"/>
              </w:rPr>
              <w:t xml:space="preserve"> </w:t>
            </w:r>
            <w:r w:rsidR="005A5E3D" w:rsidRPr="00277E64">
              <w:rPr>
                <w:bCs/>
                <w:szCs w:val="24"/>
                <w:lang w:val="en-GB"/>
              </w:rPr>
              <w:t>(</w:t>
            </w:r>
            <w:r w:rsidR="00B500B6" w:rsidRPr="00277E64">
              <w:rPr>
                <w:bCs/>
                <w:szCs w:val="24"/>
                <w:lang w:val="en-GB"/>
              </w:rPr>
              <w:t>Adelaide</w:t>
            </w:r>
            <w:r w:rsidR="005A5E3D" w:rsidRPr="00277E64">
              <w:rPr>
                <w:bCs/>
                <w:szCs w:val="24"/>
                <w:lang w:val="en-GB"/>
              </w:rPr>
              <w:t>)</w:t>
            </w:r>
            <w:r w:rsidR="00700B73" w:rsidRPr="00277E64">
              <w:rPr>
                <w:bCs/>
                <w:szCs w:val="24"/>
                <w:lang w:val="en-GB"/>
              </w:rPr>
              <w:t xml:space="preserve"> and advocated for the Charter of Australian Women</w:t>
            </w:r>
            <w:r w:rsidR="00C45A54" w:rsidRPr="00277E64">
              <w:rPr>
                <w:bCs/>
                <w:szCs w:val="24"/>
                <w:lang w:val="en-GB"/>
              </w:rPr>
              <w:t xml:space="preserve">. </w:t>
            </w:r>
            <w:r w:rsidR="00C63563" w:rsidRPr="00277E64">
              <w:rPr>
                <w:bCs/>
                <w:szCs w:val="24"/>
              </w:rPr>
              <w:t xml:space="preserve">Leonora Polkinghorne died </w:t>
            </w:r>
            <w:r w:rsidR="005A5E3D" w:rsidRPr="00277E64">
              <w:rPr>
                <w:bCs/>
                <w:szCs w:val="24"/>
              </w:rPr>
              <w:t xml:space="preserve">enroute </w:t>
            </w:r>
            <w:r w:rsidR="00C63563" w:rsidRPr="00277E64">
              <w:rPr>
                <w:bCs/>
                <w:szCs w:val="24"/>
              </w:rPr>
              <w:t xml:space="preserve">to </w:t>
            </w:r>
            <w:r w:rsidR="00997C67" w:rsidRPr="00277E64">
              <w:rPr>
                <w:bCs/>
                <w:szCs w:val="24"/>
              </w:rPr>
              <w:t xml:space="preserve">represent the Union of Australian Women (SA) at </w:t>
            </w:r>
            <w:r w:rsidR="003249C3" w:rsidRPr="00277E64">
              <w:rPr>
                <w:bCs/>
                <w:szCs w:val="24"/>
              </w:rPr>
              <w:t xml:space="preserve">the World Congress of Women </w:t>
            </w:r>
            <w:r w:rsidR="00C63563" w:rsidRPr="00277E64">
              <w:rPr>
                <w:bCs/>
                <w:szCs w:val="24"/>
              </w:rPr>
              <w:t>in Denmark.</w:t>
            </w:r>
            <w:r w:rsidR="009113B9" w:rsidRPr="00277E64">
              <w:rPr>
                <w:bCs/>
                <w:szCs w:val="24"/>
              </w:rPr>
              <w:t xml:space="preserve"> </w:t>
            </w:r>
          </w:p>
        </w:tc>
      </w:tr>
    </w:tbl>
    <w:p w14:paraId="0050D897" w14:textId="75B9723C" w:rsidR="007D25AC" w:rsidRDefault="00B77233">
      <w:r>
        <w:rPr>
          <w:noProof/>
        </w:rPr>
        <w:lastRenderedPageBreak/>
        <w:drawing>
          <wp:inline distT="0" distB="0" distL="0" distR="0" wp14:anchorId="0182D461" wp14:editId="1172F75A">
            <wp:extent cx="5274945" cy="7459980"/>
            <wp:effectExtent l="0" t="0" r="0" b="0"/>
            <wp:docPr id="1" name="Picture 1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neighborhoo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5AC" w:rsidSect="00B57BF3">
      <w:footerReference w:type="default" r:id="rId15"/>
      <w:pgSz w:w="11907" w:h="16839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ABA0" w14:textId="77777777" w:rsidR="0076294C" w:rsidRDefault="0076294C" w:rsidP="00F10CB2">
      <w:r>
        <w:separator/>
      </w:r>
    </w:p>
  </w:endnote>
  <w:endnote w:type="continuationSeparator" w:id="0">
    <w:p w14:paraId="7233C8E6" w14:textId="77777777" w:rsidR="0076294C" w:rsidRDefault="0076294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B27E" w14:textId="77777777" w:rsidR="00F14F2D" w:rsidRDefault="00F14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87B6" w14:textId="56A47722" w:rsidR="002A039C" w:rsidRPr="00F14F2D" w:rsidRDefault="00F14F2D" w:rsidP="00F14F2D">
    <w:pPr>
      <w:pStyle w:val="Footer"/>
      <w:tabs>
        <w:tab w:val="clear" w:pos="2880"/>
      </w:tabs>
      <w:jc w:val="center"/>
      <w:rPr>
        <w:rFonts w:ascii="Arial" w:hAnsi="Arial" w:cs="Arial"/>
        <w:sz w:val="14"/>
      </w:rPr>
    </w:pPr>
    <w:sdt>
      <w:sdtPr>
        <w:rPr>
          <w:rFonts w:ascii="Arial" w:hAnsi="Arial" w:cs="Arial"/>
          <w:sz w:val="14"/>
        </w:rPr>
        <w:id w:val="325054357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="Arial" w:hAnsi="Arial" w:cs="Arial"/>
              <w:sz w:val="14"/>
            </w:rPr>
            <w:id w:val="325054361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  <w:r w:rsidRPr="00F14F2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709C" w14:textId="3EDD1C83" w:rsidR="002A039C" w:rsidRPr="00AA02C9" w:rsidRDefault="002A039C" w:rsidP="006871E8">
    <w:pPr>
      <w:pStyle w:val="Footer"/>
      <w:tabs>
        <w:tab w:val="clear" w:pos="288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9FDB" w14:textId="02769B37" w:rsidR="001056A5" w:rsidRPr="00F14F2D" w:rsidRDefault="00F14F2D" w:rsidP="00F14F2D">
    <w:pPr>
      <w:pStyle w:val="Footer"/>
      <w:tabs>
        <w:tab w:val="clear" w:pos="2880"/>
      </w:tabs>
      <w:jc w:val="center"/>
      <w:rPr>
        <w:rFonts w:ascii="Arial" w:hAnsi="Arial" w:cs="Arial"/>
        <w:sz w:val="14"/>
      </w:rPr>
    </w:pPr>
    <w:r w:rsidRPr="00F14F2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C5C9" w14:textId="77777777" w:rsidR="0076294C" w:rsidRDefault="0076294C" w:rsidP="00F10CB2">
      <w:r>
        <w:separator/>
      </w:r>
    </w:p>
  </w:footnote>
  <w:footnote w:type="continuationSeparator" w:id="0">
    <w:p w14:paraId="4152603E" w14:textId="77777777" w:rsidR="0076294C" w:rsidRDefault="0076294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4D10" w14:textId="77777777" w:rsidR="00F14F2D" w:rsidRDefault="00F14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D83A" w14:textId="77777777" w:rsidR="00F14F2D" w:rsidRDefault="00F14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1A52" w14:textId="77777777" w:rsidR="00F14F2D" w:rsidRDefault="00F14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840D6D"/>
    <w:multiLevelType w:val="hybridMultilevel"/>
    <w:tmpl w:val="BBE4BD4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04684C"/>
    <w:multiLevelType w:val="hybridMultilevel"/>
    <w:tmpl w:val="8CDA286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051">
    <w:abstractNumId w:val="2"/>
  </w:num>
  <w:num w:numId="2" w16cid:durableId="1720744379">
    <w:abstractNumId w:val="0"/>
  </w:num>
  <w:num w:numId="3" w16cid:durableId="413430471">
    <w:abstractNumId w:val="3"/>
  </w:num>
  <w:num w:numId="4" w16cid:durableId="641811821">
    <w:abstractNumId w:val="8"/>
  </w:num>
  <w:num w:numId="5" w16cid:durableId="1056245218">
    <w:abstractNumId w:val="9"/>
  </w:num>
  <w:num w:numId="6" w16cid:durableId="1209807099">
    <w:abstractNumId w:val="1"/>
  </w:num>
  <w:num w:numId="7" w16cid:durableId="1718046515">
    <w:abstractNumId w:val="6"/>
  </w:num>
  <w:num w:numId="8" w16cid:durableId="950815990">
    <w:abstractNumId w:val="7"/>
  </w:num>
  <w:num w:numId="9" w16cid:durableId="1456630774">
    <w:abstractNumId w:val="5"/>
  </w:num>
  <w:num w:numId="10" w16cid:durableId="1653604519">
    <w:abstractNumId w:val="10"/>
  </w:num>
  <w:num w:numId="11" w16cid:durableId="106761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86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4515E"/>
    <w:rsid w:val="000811F0"/>
    <w:rsid w:val="00090866"/>
    <w:rsid w:val="00094729"/>
    <w:rsid w:val="000958D7"/>
    <w:rsid w:val="00097E71"/>
    <w:rsid w:val="000A1A69"/>
    <w:rsid w:val="000A669F"/>
    <w:rsid w:val="000C501D"/>
    <w:rsid w:val="000C72CD"/>
    <w:rsid w:val="000D1E76"/>
    <w:rsid w:val="000D7372"/>
    <w:rsid w:val="000E512C"/>
    <w:rsid w:val="001056A5"/>
    <w:rsid w:val="00111262"/>
    <w:rsid w:val="00134786"/>
    <w:rsid w:val="0016242B"/>
    <w:rsid w:val="001651F8"/>
    <w:rsid w:val="00194AC7"/>
    <w:rsid w:val="001A3A7F"/>
    <w:rsid w:val="001A5015"/>
    <w:rsid w:val="001C737C"/>
    <w:rsid w:val="001D1208"/>
    <w:rsid w:val="001F1298"/>
    <w:rsid w:val="001F7C45"/>
    <w:rsid w:val="00205E99"/>
    <w:rsid w:val="00206B66"/>
    <w:rsid w:val="00232478"/>
    <w:rsid w:val="002355F9"/>
    <w:rsid w:val="002461C4"/>
    <w:rsid w:val="00267FC1"/>
    <w:rsid w:val="00277E64"/>
    <w:rsid w:val="00281B3A"/>
    <w:rsid w:val="002A039C"/>
    <w:rsid w:val="002A484B"/>
    <w:rsid w:val="002B3CB1"/>
    <w:rsid w:val="00305BCF"/>
    <w:rsid w:val="00311D5D"/>
    <w:rsid w:val="003249C3"/>
    <w:rsid w:val="00373830"/>
    <w:rsid w:val="003A0627"/>
    <w:rsid w:val="003B0B32"/>
    <w:rsid w:val="003C330F"/>
    <w:rsid w:val="003C6473"/>
    <w:rsid w:val="003D7174"/>
    <w:rsid w:val="003F5E8A"/>
    <w:rsid w:val="00401BA0"/>
    <w:rsid w:val="00404CA9"/>
    <w:rsid w:val="00445322"/>
    <w:rsid w:val="00481934"/>
    <w:rsid w:val="00492788"/>
    <w:rsid w:val="004A3800"/>
    <w:rsid w:val="00513572"/>
    <w:rsid w:val="00522381"/>
    <w:rsid w:val="0053655B"/>
    <w:rsid w:val="00540876"/>
    <w:rsid w:val="005520B6"/>
    <w:rsid w:val="00575936"/>
    <w:rsid w:val="00580D29"/>
    <w:rsid w:val="005961A3"/>
    <w:rsid w:val="005A5E3D"/>
    <w:rsid w:val="005B4795"/>
    <w:rsid w:val="005C456F"/>
    <w:rsid w:val="005D55E0"/>
    <w:rsid w:val="005D68B8"/>
    <w:rsid w:val="005E773C"/>
    <w:rsid w:val="005F75A1"/>
    <w:rsid w:val="00601FAB"/>
    <w:rsid w:val="006137F0"/>
    <w:rsid w:val="00625DAC"/>
    <w:rsid w:val="00627F0C"/>
    <w:rsid w:val="00636C14"/>
    <w:rsid w:val="006668F6"/>
    <w:rsid w:val="00667281"/>
    <w:rsid w:val="00677E02"/>
    <w:rsid w:val="00685113"/>
    <w:rsid w:val="00685EBB"/>
    <w:rsid w:val="006871E8"/>
    <w:rsid w:val="006914BD"/>
    <w:rsid w:val="006A014E"/>
    <w:rsid w:val="006A3A2F"/>
    <w:rsid w:val="00700B73"/>
    <w:rsid w:val="00704DC3"/>
    <w:rsid w:val="0072003E"/>
    <w:rsid w:val="0076294C"/>
    <w:rsid w:val="0077162F"/>
    <w:rsid w:val="00784B87"/>
    <w:rsid w:val="007A3299"/>
    <w:rsid w:val="007B2E24"/>
    <w:rsid w:val="007B558D"/>
    <w:rsid w:val="007C088F"/>
    <w:rsid w:val="007C3B22"/>
    <w:rsid w:val="007D25AC"/>
    <w:rsid w:val="008036F7"/>
    <w:rsid w:val="00824EB1"/>
    <w:rsid w:val="00851AFD"/>
    <w:rsid w:val="00894148"/>
    <w:rsid w:val="008A1D96"/>
    <w:rsid w:val="008A3808"/>
    <w:rsid w:val="008B1E65"/>
    <w:rsid w:val="008B556F"/>
    <w:rsid w:val="008C1150"/>
    <w:rsid w:val="008C172D"/>
    <w:rsid w:val="008E4A39"/>
    <w:rsid w:val="008F002E"/>
    <w:rsid w:val="008F060D"/>
    <w:rsid w:val="008F60A5"/>
    <w:rsid w:val="009070F7"/>
    <w:rsid w:val="009113B9"/>
    <w:rsid w:val="00923594"/>
    <w:rsid w:val="00952C2E"/>
    <w:rsid w:val="00970517"/>
    <w:rsid w:val="009876DB"/>
    <w:rsid w:val="00997C67"/>
    <w:rsid w:val="009A5D0A"/>
    <w:rsid w:val="00A02166"/>
    <w:rsid w:val="00A03251"/>
    <w:rsid w:val="00A0585C"/>
    <w:rsid w:val="00A079AB"/>
    <w:rsid w:val="00A07BFA"/>
    <w:rsid w:val="00A211A7"/>
    <w:rsid w:val="00A40836"/>
    <w:rsid w:val="00A43FE7"/>
    <w:rsid w:val="00A502EA"/>
    <w:rsid w:val="00A608D2"/>
    <w:rsid w:val="00A65DF1"/>
    <w:rsid w:val="00A74247"/>
    <w:rsid w:val="00A9655D"/>
    <w:rsid w:val="00A97836"/>
    <w:rsid w:val="00AA02C9"/>
    <w:rsid w:val="00AF496F"/>
    <w:rsid w:val="00B021A5"/>
    <w:rsid w:val="00B062CC"/>
    <w:rsid w:val="00B1549F"/>
    <w:rsid w:val="00B30B9A"/>
    <w:rsid w:val="00B31667"/>
    <w:rsid w:val="00B46941"/>
    <w:rsid w:val="00B500B6"/>
    <w:rsid w:val="00B57BF3"/>
    <w:rsid w:val="00B63A10"/>
    <w:rsid w:val="00B6603C"/>
    <w:rsid w:val="00B77233"/>
    <w:rsid w:val="00B96911"/>
    <w:rsid w:val="00B976AF"/>
    <w:rsid w:val="00BA0F1A"/>
    <w:rsid w:val="00BA512D"/>
    <w:rsid w:val="00BA52F5"/>
    <w:rsid w:val="00BB241F"/>
    <w:rsid w:val="00BC72A3"/>
    <w:rsid w:val="00BD02C6"/>
    <w:rsid w:val="00BE1F78"/>
    <w:rsid w:val="00C27C1B"/>
    <w:rsid w:val="00C34184"/>
    <w:rsid w:val="00C37034"/>
    <w:rsid w:val="00C41B1B"/>
    <w:rsid w:val="00C45A54"/>
    <w:rsid w:val="00C63563"/>
    <w:rsid w:val="00C65523"/>
    <w:rsid w:val="00CB56C2"/>
    <w:rsid w:val="00CC0D5D"/>
    <w:rsid w:val="00CD4AB7"/>
    <w:rsid w:val="00CD4E55"/>
    <w:rsid w:val="00CE3399"/>
    <w:rsid w:val="00CE41A8"/>
    <w:rsid w:val="00CF28EB"/>
    <w:rsid w:val="00D17D1D"/>
    <w:rsid w:val="00D36CFC"/>
    <w:rsid w:val="00D47F13"/>
    <w:rsid w:val="00D57849"/>
    <w:rsid w:val="00D8017A"/>
    <w:rsid w:val="00D953A5"/>
    <w:rsid w:val="00D9612A"/>
    <w:rsid w:val="00DB1051"/>
    <w:rsid w:val="00DC6787"/>
    <w:rsid w:val="00DD7A55"/>
    <w:rsid w:val="00DF1D10"/>
    <w:rsid w:val="00E358BC"/>
    <w:rsid w:val="00E445CD"/>
    <w:rsid w:val="00E73B47"/>
    <w:rsid w:val="00E73C6D"/>
    <w:rsid w:val="00ED2C4F"/>
    <w:rsid w:val="00EE3ACA"/>
    <w:rsid w:val="00F0488B"/>
    <w:rsid w:val="00F10CB2"/>
    <w:rsid w:val="00F14F2D"/>
    <w:rsid w:val="00F15AC3"/>
    <w:rsid w:val="00F236C5"/>
    <w:rsid w:val="00F3153B"/>
    <w:rsid w:val="00F56AED"/>
    <w:rsid w:val="00F628E6"/>
    <w:rsid w:val="00FA2170"/>
    <w:rsid w:val="00FB4806"/>
    <w:rsid w:val="00FE3CBB"/>
    <w:rsid w:val="00FE5EDA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DACF0"/>
  <w15:docId w15:val="{4FB4717D-5267-4DB7-B0CC-7F37108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02C9"/>
    <w:pPr>
      <w:tabs>
        <w:tab w:val="left" w:pos="1701"/>
        <w:tab w:val="left" w:pos="2880"/>
      </w:tabs>
    </w:pPr>
    <w:rPr>
      <w:snapToGrid w:val="0"/>
      <w:sz w:val="20"/>
      <w:szCs w:val="24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7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4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02C9"/>
    <w:rPr>
      <w:snapToGrid w:val="0"/>
      <w:szCs w:val="24"/>
      <w:lang w:eastAsia="en-US"/>
    </w:rPr>
  </w:style>
  <w:style w:type="paragraph" w:customStyle="1" w:styleId="p1">
    <w:name w:val="p1"/>
    <w:basedOn w:val="Normal"/>
    <w:rsid w:val="00D5784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p2">
    <w:name w:val="p2"/>
    <w:basedOn w:val="Normal"/>
    <w:rsid w:val="00D5784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s1">
    <w:name w:val="s1"/>
    <w:basedOn w:val="DefaultParagraphFont"/>
    <w:rsid w:val="00D57849"/>
  </w:style>
  <w:style w:type="character" w:customStyle="1" w:styleId="Heading2Char">
    <w:name w:val="Heading 2 Char"/>
    <w:basedOn w:val="DefaultParagraphFont"/>
    <w:link w:val="Heading2"/>
    <w:rsid w:val="00A03251"/>
    <w:rPr>
      <w:rFonts w:ascii="Arial" w:hAnsi="Arial" w:cs="Arial"/>
      <w:i/>
      <w:iCs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A0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A44565607</value>
    </field>
    <field name="Objective-Title">
      <value order="0">20240110 - Public Place Names (Denman Prospect) Determination 2024 (No 1 )</value>
    </field>
    <field name="Objective-Description">
      <value order="0"/>
    </field>
    <field name="Objective-CreationStamp">
      <value order="0">2023-11-20T22:34:34Z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2024-01-25T05:32:31Z</value>
    </field>
    <field name="Objective-Owner">
      <value order="0">Sharon Priestly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Briefs:23/120394 Public Place Names (Denman Prospect) Determination 2024 (No 1) - 3 roads - notify early January 2024?</value>
    </field>
    <field name="Objective-Parent">
      <value order="0">23/120394 Public Place Names (Denman Prospect) Determination 2024 (No 1) - 3 roads - notify early January 2024?</value>
    </field>
    <field name="Objective-State">
      <value order="0">Being Edited</value>
    </field>
    <field name="Objective-VersionId">
      <value order="0">vA56744797</value>
    </field>
    <field name="Objective-Version">
      <value order="0">20.1</value>
    </field>
    <field name="Objective-VersionNumber">
      <value order="0">22</value>
    </field>
    <field name="Objective-VersionComment">
      <value order="0"/>
    </field>
    <field name="Objective-FileNumber">
      <value order="0">1-2023/120394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5234</Characters>
  <Application>Microsoft Office Word</Application>
  <DocSecurity>0</DocSecurity>
  <Lines>170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Stonham, Joshua</cp:lastModifiedBy>
  <cp:revision>4</cp:revision>
  <cp:lastPrinted>2004-04-05T00:37:00Z</cp:lastPrinted>
  <dcterms:created xsi:type="dcterms:W3CDTF">2024-01-28T21:44:00Z</dcterms:created>
  <dcterms:modified xsi:type="dcterms:W3CDTF">2024-01-28T21:44:00Z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A44565607</vt:lpwstr>
  </property>
  <property fmtid="{D5CDD505-2E9C-101B-9397-08002B2CF9AE}" pid="4" name="Objective-Title">
    <vt:lpwstr>20240110 - Public Place Names (Denman Prospect) Determination 2024 (No 1 )</vt:lpwstr>
  </property>
  <property fmtid="{D5CDD505-2E9C-101B-9397-08002B2CF9AE}" pid="5" name="Objective-Comment">
    <vt:lpwstr/>
  </property>
  <property fmtid="{D5CDD505-2E9C-101B-9397-08002B2CF9AE}" pid="6" name="Objective-CreationStamp">
    <vt:filetime>2023-11-20T22:34:34Z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2024-01-25T05:32:31Z</vt:filetime>
  </property>
  <property fmtid="{D5CDD505-2E9C-101B-9397-08002B2CF9AE}" pid="11" name="Objective-Owner">
    <vt:lpwstr>Sharon Priestly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Briefs:23/120394 Public Place Names (Denman Prospect) Determination 2024 (No 1) - 3 roads - notify early January 2024?:</vt:lpwstr>
  </property>
  <property fmtid="{D5CDD505-2E9C-101B-9397-08002B2CF9AE}" pid="13" name="Objective-Parent">
    <vt:lpwstr>23/120394 Public Place Names (Denman Prospect) Determination 2024 (No 1) - 3 roads - notify early January 2024?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20.1</vt:lpwstr>
  </property>
  <property fmtid="{D5CDD505-2E9C-101B-9397-08002B2CF9AE}" pid="16" name="Objective-VersionNumber">
    <vt:r8>22</vt:r8>
  </property>
  <property fmtid="{D5CDD505-2E9C-101B-9397-08002B2CF9AE}" pid="17" name="Objective-VersionComment">
    <vt:lpwstr/>
  </property>
  <property fmtid="{D5CDD505-2E9C-101B-9397-08002B2CF9AE}" pid="18" name="Objective-FileNumber">
    <vt:lpwstr>1-2023/120394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vA56744797</vt:lpwstr>
  </property>
  <property fmtid="{D5CDD505-2E9C-101B-9397-08002B2CF9AE}" pid="45" name="DMSID">
    <vt:lpwstr>11554339</vt:lpwstr>
  </property>
  <property fmtid="{D5CDD505-2E9C-101B-9397-08002B2CF9AE}" pid="46" name="CHECKEDOUTFROMJMS">
    <vt:lpwstr/>
  </property>
  <property fmtid="{D5CDD505-2E9C-101B-9397-08002B2CF9AE}" pid="47" name="JMSREQUIREDCHECKIN">
    <vt:lpwstr/>
  </property>
</Properties>
</file>