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0897A"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17C6E42A" w14:textId="58703C7C" w:rsidR="00F10CB2" w:rsidRDefault="00C23AC2">
      <w:pPr>
        <w:pStyle w:val="Billname"/>
        <w:spacing w:before="700"/>
      </w:pPr>
      <w:bookmarkStart w:id="1" w:name="_Hlk155708972"/>
      <w:bookmarkStart w:id="2" w:name="_Hlk155707643"/>
      <w:r>
        <w:t>Magistrates Court</w:t>
      </w:r>
      <w:r w:rsidR="00F10CB2">
        <w:t xml:space="preserve"> (</w:t>
      </w:r>
      <w:r>
        <w:t>Withdrawal of Infringement Notices</w:t>
      </w:r>
      <w:r w:rsidR="00F10CB2">
        <w:t xml:space="preserve">) </w:t>
      </w:r>
      <w:r>
        <w:t>Guidelines</w:t>
      </w:r>
      <w:r w:rsidR="00B30B9A">
        <w:t xml:space="preserve"> </w:t>
      </w:r>
      <w:r>
        <w:t>2024</w:t>
      </w:r>
      <w:r w:rsidR="00F10CB2">
        <w:t xml:space="preserve"> (No</w:t>
      </w:r>
      <w:r w:rsidR="000F263D">
        <w:t> </w:t>
      </w:r>
      <w:r>
        <w:t>1</w:t>
      </w:r>
      <w:r w:rsidR="00F10CB2">
        <w:t>)</w:t>
      </w:r>
    </w:p>
    <w:p w14:paraId="442BE6BD" w14:textId="71F9081C" w:rsidR="00F10CB2" w:rsidRDefault="00F10CB2" w:rsidP="00D47F13">
      <w:pPr>
        <w:spacing w:before="340"/>
        <w:rPr>
          <w:rFonts w:ascii="Arial" w:hAnsi="Arial" w:cs="Arial"/>
          <w:b/>
          <w:bCs/>
        </w:rPr>
      </w:pPr>
      <w:r>
        <w:rPr>
          <w:rFonts w:ascii="Arial" w:hAnsi="Arial" w:cs="Arial"/>
          <w:b/>
          <w:bCs/>
        </w:rPr>
        <w:t>Disallowable instrument DI</w:t>
      </w:r>
      <w:r w:rsidR="00C23AC2">
        <w:rPr>
          <w:rFonts w:ascii="Arial" w:hAnsi="Arial" w:cs="Arial"/>
          <w:b/>
          <w:bCs/>
          <w:iCs/>
        </w:rPr>
        <w:t>2024</w:t>
      </w:r>
      <w:r>
        <w:rPr>
          <w:rFonts w:ascii="Arial" w:hAnsi="Arial" w:cs="Arial"/>
          <w:b/>
          <w:bCs/>
        </w:rPr>
        <w:t>–</w:t>
      </w:r>
      <w:r w:rsidR="005C5398">
        <w:rPr>
          <w:rFonts w:ascii="Arial" w:hAnsi="Arial" w:cs="Arial"/>
          <w:b/>
          <w:bCs/>
        </w:rPr>
        <w:t>153</w:t>
      </w:r>
    </w:p>
    <w:p w14:paraId="633FC570" w14:textId="77777777" w:rsidR="00F10CB2" w:rsidRDefault="00F10CB2" w:rsidP="00CD4E55">
      <w:pPr>
        <w:pStyle w:val="madeunder"/>
        <w:spacing w:before="300" w:after="0"/>
      </w:pPr>
      <w:r>
        <w:t xml:space="preserve">made under the  </w:t>
      </w:r>
    </w:p>
    <w:p w14:paraId="20863F4B" w14:textId="6C932884" w:rsidR="00F10CB2" w:rsidRDefault="00C23AC2" w:rsidP="00CD4E55">
      <w:pPr>
        <w:pStyle w:val="CoverActName"/>
        <w:spacing w:before="320" w:after="0"/>
        <w:rPr>
          <w:rFonts w:cs="Arial"/>
          <w:sz w:val="20"/>
        </w:rPr>
      </w:pPr>
      <w:r>
        <w:rPr>
          <w:rFonts w:cs="Arial"/>
          <w:i/>
          <w:iCs/>
          <w:sz w:val="20"/>
        </w:rPr>
        <w:t>Magistrates Court Act 1930</w:t>
      </w:r>
      <w:r w:rsidR="00F10CB2">
        <w:rPr>
          <w:rFonts w:cs="Arial"/>
          <w:sz w:val="20"/>
        </w:rPr>
        <w:t xml:space="preserve">, </w:t>
      </w:r>
      <w:r>
        <w:rPr>
          <w:rFonts w:cs="Arial"/>
          <w:sz w:val="20"/>
        </w:rPr>
        <w:t>section 128</w:t>
      </w:r>
      <w:r w:rsidR="00F10CB2">
        <w:rPr>
          <w:rFonts w:cs="Arial"/>
          <w:sz w:val="20"/>
        </w:rPr>
        <w:t xml:space="preserve"> (</w:t>
      </w:r>
      <w:r>
        <w:rPr>
          <w:rFonts w:cs="Arial"/>
          <w:sz w:val="20"/>
        </w:rPr>
        <w:t>Guidelines about withdrawal of infringement notices</w:t>
      </w:r>
      <w:r w:rsidR="00F10CB2">
        <w:rPr>
          <w:rFonts w:cs="Arial"/>
          <w:sz w:val="20"/>
        </w:rPr>
        <w:t>)</w:t>
      </w:r>
    </w:p>
    <w:bookmarkEnd w:id="1"/>
    <w:p w14:paraId="5936DF69" w14:textId="77777777" w:rsidR="00F10CB2" w:rsidRDefault="00F10CB2" w:rsidP="00CD4E55">
      <w:pPr>
        <w:pStyle w:val="N-line3"/>
        <w:pBdr>
          <w:bottom w:val="none" w:sz="0" w:space="0" w:color="auto"/>
        </w:pBdr>
        <w:spacing w:before="60"/>
      </w:pPr>
    </w:p>
    <w:bookmarkEnd w:id="2"/>
    <w:p w14:paraId="29259DB5" w14:textId="77777777" w:rsidR="00F10CB2" w:rsidRDefault="00F10CB2">
      <w:pPr>
        <w:pStyle w:val="N-line3"/>
        <w:pBdr>
          <w:top w:val="single" w:sz="12" w:space="1" w:color="auto"/>
          <w:bottom w:val="none" w:sz="0" w:space="0" w:color="auto"/>
        </w:pBdr>
      </w:pPr>
    </w:p>
    <w:p w14:paraId="231FE513"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9A3C5D9" w14:textId="309B2E69" w:rsidR="00F10CB2" w:rsidRDefault="00F10CB2" w:rsidP="00D47F13">
      <w:pPr>
        <w:spacing w:before="140"/>
        <w:ind w:left="720"/>
      </w:pPr>
      <w:r>
        <w:t xml:space="preserve">This instrument is the </w:t>
      </w:r>
      <w:r w:rsidR="00C23AC2" w:rsidRPr="00C23AC2">
        <w:t>Magistrates Court (Withdrawal of Infringement Notices) Guidelines 2024 (No 1)</w:t>
      </w:r>
      <w:r w:rsidRPr="00627F0C">
        <w:rPr>
          <w:bCs/>
          <w:iCs/>
        </w:rPr>
        <w:t>.</w:t>
      </w:r>
    </w:p>
    <w:p w14:paraId="3AE9D54C"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7A898AE" w14:textId="45C3A7C2" w:rsidR="00F10CB2" w:rsidRDefault="00F10CB2" w:rsidP="00D47F13">
      <w:pPr>
        <w:spacing w:before="140"/>
        <w:ind w:left="720"/>
      </w:pPr>
      <w:r>
        <w:t xml:space="preserve">This instrument commences on </w:t>
      </w:r>
      <w:r w:rsidR="00D90C89">
        <w:t>the day after notification</w:t>
      </w:r>
      <w:r>
        <w:t xml:space="preserve">. </w:t>
      </w:r>
    </w:p>
    <w:p w14:paraId="59F61D68" w14:textId="00E39D2A"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C23AC2">
        <w:rPr>
          <w:rFonts w:ascii="Arial" w:hAnsi="Arial" w:cs="Arial"/>
          <w:b/>
          <w:bCs/>
        </w:rPr>
        <w:t>Guidelines</w:t>
      </w:r>
    </w:p>
    <w:p w14:paraId="51D30296" w14:textId="58271362" w:rsidR="00F10CB2" w:rsidRDefault="00C23AC2" w:rsidP="00D47F13">
      <w:pPr>
        <w:spacing w:before="140"/>
        <w:ind w:left="720"/>
      </w:pPr>
      <w:r>
        <w:t>I issue the guidelines for the withdrawal of infringement notices contained at schedule 1 to this instrument.</w:t>
      </w:r>
    </w:p>
    <w:p w14:paraId="27170C3C" w14:textId="39B53659" w:rsidR="00F10CB2" w:rsidRDefault="00F07A37"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Pr>
          <w:rFonts w:ascii="Arial" w:hAnsi="Arial" w:cs="Arial"/>
          <w:b/>
          <w:bCs/>
        </w:rPr>
        <w:t>Definitions</w:t>
      </w:r>
    </w:p>
    <w:p w14:paraId="0F19870C" w14:textId="18A2860C" w:rsidR="00814B80" w:rsidRPr="00814B80" w:rsidRDefault="00814B80" w:rsidP="00F07A37">
      <w:pPr>
        <w:spacing w:before="140"/>
        <w:ind w:left="720"/>
        <w:rPr>
          <w:bCs/>
          <w:iCs/>
        </w:rPr>
      </w:pPr>
      <w:bookmarkStart w:id="3" w:name="_Hlk155707817"/>
      <w:r>
        <w:rPr>
          <w:bCs/>
          <w:iCs/>
        </w:rPr>
        <w:t>In these guidelines:</w:t>
      </w:r>
    </w:p>
    <w:p w14:paraId="43B7C091" w14:textId="77777777" w:rsidR="00814B80" w:rsidRDefault="00814B80" w:rsidP="00814B80">
      <w:pPr>
        <w:pStyle w:val="aDef"/>
      </w:pPr>
      <w:r>
        <w:rPr>
          <w:rStyle w:val="charBoldItals"/>
        </w:rPr>
        <w:t>administering authority</w:t>
      </w:r>
      <w:r>
        <w:t>, for an infringement notice offence, means the entity that, under the regulations, is the administering authority for the offence.</w:t>
      </w:r>
    </w:p>
    <w:bookmarkEnd w:id="3"/>
    <w:p w14:paraId="7B634F31" w14:textId="77777777" w:rsidR="00814B80" w:rsidRDefault="00814B80" w:rsidP="00814B80">
      <w:pPr>
        <w:pStyle w:val="aDef"/>
      </w:pPr>
      <w:r>
        <w:rPr>
          <w:rStyle w:val="charBoldItals"/>
        </w:rPr>
        <w:t>another jurisdiction</w:t>
      </w:r>
      <w:r>
        <w:t xml:space="preserve"> means a jurisdiction other than the ACT.</w:t>
      </w:r>
    </w:p>
    <w:p w14:paraId="786E1F27" w14:textId="565EAEBB" w:rsidR="001F096B" w:rsidRDefault="001F096B" w:rsidP="00814B80">
      <w:pPr>
        <w:pStyle w:val="aDef"/>
        <w:rPr>
          <w:rStyle w:val="charBoldItals"/>
        </w:rPr>
      </w:pPr>
      <w:r>
        <w:rPr>
          <w:rStyle w:val="charbolditals0"/>
          <w:b/>
          <w:bCs/>
          <w:i/>
          <w:iCs/>
          <w:color w:val="000000"/>
          <w:shd w:val="clear" w:color="auto" w:fill="FFFFFF"/>
        </w:rPr>
        <w:t>approved community work or social development program</w:t>
      </w:r>
      <w:r>
        <w:rPr>
          <w:color w:val="000000"/>
          <w:shd w:val="clear" w:color="auto" w:fill="FFFFFF"/>
        </w:rPr>
        <w:t> means a community work or social development program approved under section 131AD.</w:t>
      </w:r>
    </w:p>
    <w:p w14:paraId="2BE206CF" w14:textId="76C18091" w:rsidR="00814B80" w:rsidRDefault="00814B80" w:rsidP="00814B80">
      <w:pPr>
        <w:pStyle w:val="aDef"/>
      </w:pPr>
      <w:r>
        <w:rPr>
          <w:rStyle w:val="charBoldItals"/>
        </w:rPr>
        <w:t>authorised person</w:t>
      </w:r>
      <w:r w:rsidRPr="00E02F2C">
        <w:t>—see section 134A (3).</w:t>
      </w:r>
    </w:p>
    <w:p w14:paraId="192BFE5B" w14:textId="77777777" w:rsidR="00814B80" w:rsidRDefault="00814B80" w:rsidP="00814B80">
      <w:pPr>
        <w:pStyle w:val="aDef"/>
      </w:pPr>
      <w:r>
        <w:rPr>
          <w:rStyle w:val="charBoldItals"/>
        </w:rPr>
        <w:t>date of service</w:t>
      </w:r>
      <w:r>
        <w:t>, of an infringement notice or reminder notice that has been, or is to be, served on a person, means the date the notice is served on the person.</w:t>
      </w:r>
    </w:p>
    <w:p w14:paraId="1D981928" w14:textId="77777777" w:rsidR="00814B80" w:rsidRDefault="00814B80" w:rsidP="00814B80">
      <w:pPr>
        <w:pStyle w:val="aDef"/>
      </w:pPr>
      <w:r>
        <w:rPr>
          <w:rStyle w:val="charBoldItals"/>
        </w:rPr>
        <w:t>illegal user declaration</w:t>
      </w:r>
      <w:r w:rsidRPr="00E02F2C">
        <w:t xml:space="preserve">—see </w:t>
      </w:r>
      <w:r>
        <w:t>section 131D.</w:t>
      </w:r>
    </w:p>
    <w:p w14:paraId="6F09E50D" w14:textId="77777777" w:rsidR="00814B80" w:rsidRDefault="00814B80" w:rsidP="00814B80">
      <w:pPr>
        <w:pStyle w:val="aDef"/>
      </w:pPr>
      <w:bookmarkStart w:id="4" w:name="_Hlk155707832"/>
      <w:r>
        <w:rPr>
          <w:rStyle w:val="charBoldItals"/>
        </w:rPr>
        <w:lastRenderedPageBreak/>
        <w:t>infringement notice</w:t>
      </w:r>
      <w:r>
        <w:t xml:space="preserve"> means a notice under section 120 (Service of infringement notices).</w:t>
      </w:r>
    </w:p>
    <w:p w14:paraId="123DA65D" w14:textId="6F6399D5" w:rsidR="001F096B" w:rsidRDefault="001F096B" w:rsidP="00814B80">
      <w:pPr>
        <w:pStyle w:val="aDef"/>
        <w:rPr>
          <w:rStyle w:val="charBoldItals"/>
        </w:rPr>
      </w:pPr>
      <w:r w:rsidRPr="001F096B">
        <w:rPr>
          <w:b/>
          <w:bCs/>
          <w:i/>
          <w:iCs/>
          <w:color w:val="000000"/>
          <w:shd w:val="clear" w:color="auto" w:fill="FFFFFF"/>
        </w:rPr>
        <w:t>infringement notice management plan</w:t>
      </w:r>
      <w:r>
        <w:rPr>
          <w:color w:val="000000"/>
          <w:shd w:val="clear" w:color="auto" w:fill="FFFFFF"/>
        </w:rPr>
        <w:t>—see section 131AA.</w:t>
      </w:r>
    </w:p>
    <w:p w14:paraId="69A51589" w14:textId="09621148" w:rsidR="00814B80" w:rsidRDefault="00814B80" w:rsidP="00814B80">
      <w:pPr>
        <w:pStyle w:val="aDef"/>
      </w:pPr>
      <w:r>
        <w:rPr>
          <w:rStyle w:val="charBoldItals"/>
        </w:rPr>
        <w:t>infringement notice offence</w:t>
      </w:r>
      <w:r>
        <w:t xml:space="preserve"> means an offence declared under the regulations to be an offence to which this part applies.</w:t>
      </w:r>
    </w:p>
    <w:p w14:paraId="7D3825AC" w14:textId="77777777" w:rsidR="00814B80" w:rsidRDefault="00814B80" w:rsidP="00814B80">
      <w:pPr>
        <w:pStyle w:val="aDef"/>
        <w:keepNext/>
      </w:pPr>
      <w:r>
        <w:rPr>
          <w:rStyle w:val="charBoldItals"/>
        </w:rPr>
        <w:t>infringement notice penalty</w:t>
      </w:r>
      <w:r>
        <w:t>, for a person for an infringement notice offence, means—</w:t>
      </w:r>
    </w:p>
    <w:p w14:paraId="6E0A2FD1" w14:textId="77777777" w:rsidR="00814B80" w:rsidRDefault="00814B80" w:rsidP="00814B80">
      <w:pPr>
        <w:pStyle w:val="aDefpara"/>
        <w:keepNext/>
      </w:pPr>
      <w:r>
        <w:tab/>
        <w:t>(a)</w:t>
      </w:r>
      <w:r>
        <w:tab/>
        <w:t>the amount prescribed by regulation as the penalty payable by the person for the offence under an infringement notice for the offence; or</w:t>
      </w:r>
    </w:p>
    <w:p w14:paraId="17D95A57" w14:textId="77777777" w:rsidR="00814B80" w:rsidRDefault="00814B80" w:rsidP="00814B80">
      <w:pPr>
        <w:pStyle w:val="aDefpara"/>
        <w:keepLines/>
      </w:pPr>
      <w:r>
        <w:tab/>
        <w:t>(b)</w:t>
      </w:r>
      <w:r>
        <w:tab/>
        <w:t>if a reminder notice has also been served on the person for the offence—the total of the amount mentioned in paragraph (a) and the amount prescribed by regulation as the amount payable by the person for the cost of serving the reminder notice.</w:t>
      </w:r>
    </w:p>
    <w:bookmarkEnd w:id="4"/>
    <w:p w14:paraId="40E17EA0" w14:textId="77777777" w:rsidR="001F096B" w:rsidRPr="001F096B" w:rsidRDefault="001F096B" w:rsidP="001F096B">
      <w:pPr>
        <w:pStyle w:val="aDef"/>
        <w:rPr>
          <w:bCs/>
          <w:iCs/>
        </w:rPr>
      </w:pPr>
      <w:r w:rsidRPr="001F096B">
        <w:rPr>
          <w:b/>
          <w:bCs/>
          <w:i/>
          <w:iCs/>
        </w:rPr>
        <w:t>relevant circumstances</w:t>
      </w:r>
      <w:r w:rsidRPr="001F096B">
        <w:rPr>
          <w:b/>
          <w:i/>
        </w:rPr>
        <w:t xml:space="preserve">, </w:t>
      </w:r>
      <w:r w:rsidRPr="001F096B">
        <w:rPr>
          <w:bCs/>
          <w:iCs/>
        </w:rPr>
        <w:t>of a person, means any of the following circumstances that relate to the person and contributes to the person’s ability to pay an infringement notice penalty:</w:t>
      </w:r>
    </w:p>
    <w:p w14:paraId="25C39A1E" w14:textId="0B20575E" w:rsidR="001F096B" w:rsidRPr="001F096B" w:rsidRDefault="001F096B" w:rsidP="001F096B">
      <w:pPr>
        <w:pStyle w:val="aDef"/>
        <w:numPr>
          <w:ilvl w:val="0"/>
          <w:numId w:val="13"/>
        </w:numPr>
        <w:ind w:hanging="686"/>
        <w:rPr>
          <w:bCs/>
          <w:iCs/>
        </w:rPr>
      </w:pPr>
      <w:r w:rsidRPr="001F096B">
        <w:rPr>
          <w:bCs/>
          <w:iCs/>
        </w:rPr>
        <w:t xml:space="preserve">mental illness or mental </w:t>
      </w:r>
      <w:proofErr w:type="gramStart"/>
      <w:r w:rsidRPr="001F096B">
        <w:rPr>
          <w:bCs/>
          <w:iCs/>
        </w:rPr>
        <w:t>disorder;</w:t>
      </w:r>
      <w:proofErr w:type="gramEnd"/>
    </w:p>
    <w:p w14:paraId="5BFC2A24" w14:textId="0BD95088" w:rsidR="001F096B" w:rsidRPr="001F096B" w:rsidRDefault="001F096B" w:rsidP="001F096B">
      <w:pPr>
        <w:pStyle w:val="aDef"/>
        <w:numPr>
          <w:ilvl w:val="0"/>
          <w:numId w:val="13"/>
        </w:numPr>
        <w:ind w:hanging="686"/>
        <w:rPr>
          <w:bCs/>
          <w:iCs/>
        </w:rPr>
      </w:pPr>
      <w:r w:rsidRPr="001F096B">
        <w:rPr>
          <w:bCs/>
          <w:iCs/>
        </w:rPr>
        <w:t xml:space="preserve">disability, disease or </w:t>
      </w:r>
      <w:proofErr w:type="gramStart"/>
      <w:r w:rsidRPr="001F096B">
        <w:rPr>
          <w:bCs/>
          <w:iCs/>
        </w:rPr>
        <w:t>illness;</w:t>
      </w:r>
      <w:proofErr w:type="gramEnd"/>
    </w:p>
    <w:p w14:paraId="73E99E96" w14:textId="4AE97A25" w:rsidR="001F096B" w:rsidRPr="001F096B" w:rsidRDefault="001F096B" w:rsidP="001F096B">
      <w:pPr>
        <w:pStyle w:val="aDef"/>
        <w:numPr>
          <w:ilvl w:val="0"/>
          <w:numId w:val="13"/>
        </w:numPr>
        <w:ind w:hanging="686"/>
        <w:rPr>
          <w:bCs/>
          <w:iCs/>
        </w:rPr>
      </w:pPr>
      <w:r w:rsidRPr="001F096B">
        <w:rPr>
          <w:bCs/>
          <w:iCs/>
        </w:rPr>
        <w:t xml:space="preserve">addiction to drugs, alcohol or another </w:t>
      </w:r>
      <w:proofErr w:type="gramStart"/>
      <w:r w:rsidRPr="001F096B">
        <w:rPr>
          <w:bCs/>
          <w:iCs/>
        </w:rPr>
        <w:t>substance;</w:t>
      </w:r>
      <w:proofErr w:type="gramEnd"/>
    </w:p>
    <w:p w14:paraId="6475D5D4" w14:textId="657150EF" w:rsidR="001F096B" w:rsidRPr="001F096B" w:rsidRDefault="001F096B" w:rsidP="001F096B">
      <w:pPr>
        <w:pStyle w:val="aDef"/>
        <w:numPr>
          <w:ilvl w:val="0"/>
          <w:numId w:val="13"/>
        </w:numPr>
        <w:ind w:hanging="686"/>
        <w:rPr>
          <w:bCs/>
          <w:iCs/>
        </w:rPr>
      </w:pPr>
      <w:r w:rsidRPr="001F096B">
        <w:rPr>
          <w:bCs/>
          <w:iCs/>
        </w:rPr>
        <w:t xml:space="preserve">family </w:t>
      </w:r>
      <w:proofErr w:type="gramStart"/>
      <w:r w:rsidRPr="001F096B">
        <w:rPr>
          <w:bCs/>
          <w:iCs/>
        </w:rPr>
        <w:t>violence;</w:t>
      </w:r>
      <w:proofErr w:type="gramEnd"/>
    </w:p>
    <w:p w14:paraId="1799113E" w14:textId="360EBB4A" w:rsidR="001F096B" w:rsidRPr="001F096B" w:rsidRDefault="001F096B" w:rsidP="001F096B">
      <w:pPr>
        <w:pStyle w:val="aDef"/>
        <w:numPr>
          <w:ilvl w:val="0"/>
          <w:numId w:val="13"/>
        </w:numPr>
        <w:ind w:hanging="686"/>
        <w:rPr>
          <w:bCs/>
          <w:iCs/>
        </w:rPr>
      </w:pPr>
      <w:r w:rsidRPr="001F096B">
        <w:rPr>
          <w:bCs/>
          <w:iCs/>
        </w:rPr>
        <w:t xml:space="preserve">homelessness, or living in crisis, transitional or supported </w:t>
      </w:r>
      <w:proofErr w:type="gramStart"/>
      <w:r w:rsidRPr="001F096B">
        <w:rPr>
          <w:bCs/>
          <w:iCs/>
        </w:rPr>
        <w:t>accommodation;</w:t>
      </w:r>
      <w:proofErr w:type="gramEnd"/>
    </w:p>
    <w:p w14:paraId="6637283A" w14:textId="54F86673" w:rsidR="001F096B" w:rsidRPr="001F096B" w:rsidRDefault="001F096B" w:rsidP="001F096B">
      <w:pPr>
        <w:pStyle w:val="aDef"/>
        <w:numPr>
          <w:ilvl w:val="0"/>
          <w:numId w:val="13"/>
        </w:numPr>
        <w:ind w:hanging="686"/>
        <w:rPr>
          <w:bCs/>
          <w:iCs/>
        </w:rPr>
      </w:pPr>
      <w:r w:rsidRPr="001F096B">
        <w:rPr>
          <w:bCs/>
          <w:iCs/>
        </w:rPr>
        <w:t>anything else prescribed by regulation.</w:t>
      </w:r>
    </w:p>
    <w:p w14:paraId="1DFA49F0" w14:textId="5B11738B" w:rsidR="00814B80" w:rsidRDefault="00814B80" w:rsidP="00814B80">
      <w:pPr>
        <w:pStyle w:val="aDef"/>
      </w:pPr>
      <w:bookmarkStart w:id="5" w:name="_Hlk155707849"/>
      <w:r>
        <w:rPr>
          <w:rStyle w:val="charBoldItals"/>
        </w:rPr>
        <w:t>reminder notice</w:t>
      </w:r>
      <w:r>
        <w:t xml:space="preserve"> means a notice under section 129 (Reminder notices).</w:t>
      </w:r>
    </w:p>
    <w:bookmarkEnd w:id="5"/>
    <w:p w14:paraId="6D1BE743" w14:textId="45FD6EC7" w:rsidR="001F096B" w:rsidRDefault="001F096B" w:rsidP="00814B80">
      <w:pPr>
        <w:pStyle w:val="aDef"/>
        <w:rPr>
          <w:rStyle w:val="charBoldItals"/>
        </w:rPr>
      </w:pPr>
      <w:r>
        <w:rPr>
          <w:rStyle w:val="charbolditals0"/>
          <w:b/>
          <w:bCs/>
          <w:i/>
          <w:iCs/>
          <w:color w:val="000000"/>
          <w:shd w:val="clear" w:color="auto" w:fill="FFFFFF"/>
        </w:rPr>
        <w:t>responsible director-general</w:t>
      </w:r>
      <w:r>
        <w:rPr>
          <w:color w:val="000000"/>
          <w:shd w:val="clear" w:color="auto" w:fill="FFFFFF"/>
        </w:rPr>
        <w:t> means the director-general for the </w:t>
      </w:r>
      <w:hyperlink r:id="rId8" w:tooltip="A2005-59" w:history="1">
        <w:r>
          <w:rPr>
            <w:rStyle w:val="charcithyperlinkital0"/>
            <w:i/>
            <w:iCs/>
            <w:color w:val="0000FF"/>
            <w:shd w:val="clear" w:color="auto" w:fill="FFFFFF"/>
          </w:rPr>
          <w:t>Crimes (Sentence Administration) Act 2005</w:t>
        </w:r>
      </w:hyperlink>
      <w:r>
        <w:rPr>
          <w:color w:val="000000"/>
          <w:shd w:val="clear" w:color="auto" w:fill="FFFFFF"/>
        </w:rPr>
        <w:t>, part 6.2 (Good behaviour—community service work).</w:t>
      </w:r>
    </w:p>
    <w:p w14:paraId="21B6C453" w14:textId="0A1593AB" w:rsidR="00F07A37" w:rsidRDefault="00F07A37" w:rsidP="00F07A37">
      <w:pPr>
        <w:spacing w:before="140"/>
        <w:ind w:left="720"/>
      </w:pPr>
    </w:p>
    <w:p w14:paraId="0473A6C4" w14:textId="3818AC59" w:rsidR="00D47F13" w:rsidRDefault="007274AE" w:rsidP="00232478">
      <w:pPr>
        <w:tabs>
          <w:tab w:val="left" w:pos="4320"/>
        </w:tabs>
        <w:spacing w:before="720"/>
      </w:pPr>
      <w:r>
        <w:t>Shane Rattenbury MLA</w:t>
      </w:r>
    </w:p>
    <w:p w14:paraId="63D15450" w14:textId="276CE8CE" w:rsidR="00F10CB2" w:rsidRDefault="007274AE" w:rsidP="00D47F13">
      <w:pPr>
        <w:tabs>
          <w:tab w:val="left" w:pos="4320"/>
        </w:tabs>
      </w:pPr>
      <w:r>
        <w:t>Attorney General</w:t>
      </w:r>
    </w:p>
    <w:bookmarkEnd w:id="0"/>
    <w:p w14:paraId="63B95D19" w14:textId="6F744424" w:rsidR="007274AE" w:rsidRDefault="005C5398" w:rsidP="00232478">
      <w:pPr>
        <w:tabs>
          <w:tab w:val="left" w:pos="4320"/>
        </w:tabs>
      </w:pPr>
      <w:r>
        <w:t>19 June</w:t>
      </w:r>
      <w:r w:rsidR="007274AE">
        <w:t xml:space="preserve"> 2024</w:t>
      </w:r>
    </w:p>
    <w:p w14:paraId="243869FD" w14:textId="77777777" w:rsidR="007274AE" w:rsidRDefault="007274AE" w:rsidP="00232478">
      <w:pPr>
        <w:tabs>
          <w:tab w:val="left" w:pos="4320"/>
        </w:tabs>
      </w:pPr>
    </w:p>
    <w:p w14:paraId="6F98BF3C" w14:textId="51ED4A85" w:rsidR="007274AE" w:rsidRDefault="007274AE">
      <w:r>
        <w:br w:type="page"/>
      </w:r>
    </w:p>
    <w:p w14:paraId="0567E306" w14:textId="77777777" w:rsidR="00B64C61" w:rsidRDefault="00B64C61" w:rsidP="007274AE">
      <w:pPr>
        <w:tabs>
          <w:tab w:val="left" w:pos="4320"/>
        </w:tabs>
        <w:jc w:val="center"/>
        <w:rPr>
          <w:b/>
          <w:sz w:val="28"/>
          <w:szCs w:val="28"/>
        </w:rPr>
        <w:sectPr w:rsidR="00B64C61" w:rsidSect="00F15AC3">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pPr>
    </w:p>
    <w:p w14:paraId="0E517E8D" w14:textId="77777777" w:rsidR="007274AE" w:rsidRPr="00892197" w:rsidRDefault="007274AE" w:rsidP="007274AE">
      <w:pPr>
        <w:tabs>
          <w:tab w:val="left" w:pos="4320"/>
        </w:tabs>
        <w:jc w:val="center"/>
        <w:rPr>
          <w:b/>
          <w:sz w:val="28"/>
          <w:szCs w:val="28"/>
        </w:rPr>
      </w:pPr>
      <w:r w:rsidRPr="00892197">
        <w:rPr>
          <w:b/>
          <w:sz w:val="28"/>
          <w:szCs w:val="28"/>
        </w:rPr>
        <w:lastRenderedPageBreak/>
        <w:t>SCHEDULE 1</w:t>
      </w:r>
    </w:p>
    <w:p w14:paraId="67708DA9" w14:textId="77777777" w:rsidR="007274AE" w:rsidRDefault="007274AE" w:rsidP="007274AE">
      <w:pPr>
        <w:tabs>
          <w:tab w:val="left" w:pos="4320"/>
        </w:tabs>
        <w:jc w:val="center"/>
        <w:rPr>
          <w:b/>
          <w:sz w:val="28"/>
          <w:szCs w:val="28"/>
        </w:rPr>
      </w:pPr>
    </w:p>
    <w:sdt>
      <w:sdtPr>
        <w:rPr>
          <w:rFonts w:ascii="Times New Roman" w:eastAsia="Times New Roman" w:hAnsi="Times New Roman" w:cs="Times New Roman"/>
          <w:color w:val="auto"/>
          <w:sz w:val="24"/>
          <w:szCs w:val="20"/>
        </w:rPr>
        <w:id w:val="574865840"/>
        <w:docPartObj>
          <w:docPartGallery w:val="Table of Contents"/>
          <w:docPartUnique/>
        </w:docPartObj>
      </w:sdtPr>
      <w:sdtEndPr>
        <w:rPr>
          <w:b/>
          <w:bCs/>
          <w:noProof/>
        </w:rPr>
      </w:sdtEndPr>
      <w:sdtContent>
        <w:p w14:paraId="7BB86669" w14:textId="624BCDC6" w:rsidR="00B64C61" w:rsidRPr="00B64C61" w:rsidRDefault="00B64C61">
          <w:pPr>
            <w:pStyle w:val="TOCHeading"/>
            <w:rPr>
              <w:rFonts w:ascii="Times New Roman" w:hAnsi="Times New Roman" w:cs="Times New Roman"/>
              <w:b/>
              <w:bCs/>
              <w:color w:val="auto"/>
            </w:rPr>
          </w:pPr>
          <w:r w:rsidRPr="00B64C61">
            <w:rPr>
              <w:rFonts w:ascii="Times New Roman" w:hAnsi="Times New Roman" w:cs="Times New Roman"/>
              <w:b/>
              <w:bCs/>
              <w:color w:val="auto"/>
            </w:rPr>
            <w:t>Contents</w:t>
          </w:r>
        </w:p>
        <w:p w14:paraId="68D1FF28" w14:textId="74BD72E6" w:rsidR="00B64C61" w:rsidRPr="00B64C61" w:rsidRDefault="00B64C61" w:rsidP="00B64C61">
          <w:pPr>
            <w:pStyle w:val="TOC1"/>
            <w:rPr>
              <w:rFonts w:eastAsiaTheme="minorEastAsia"/>
              <w:noProof/>
              <w:kern w:val="2"/>
              <w:sz w:val="22"/>
              <w:szCs w:val="22"/>
              <w:lang w:eastAsia="en-AU"/>
            </w:rPr>
          </w:pPr>
          <w:r w:rsidRPr="00B64C61">
            <w:fldChar w:fldCharType="begin"/>
          </w:r>
          <w:r w:rsidRPr="00B64C61">
            <w:instrText xml:space="preserve"> TOC \o "1-3" \h \z \u </w:instrText>
          </w:r>
          <w:r w:rsidRPr="00B64C61">
            <w:fldChar w:fldCharType="separate"/>
          </w:r>
          <w:hyperlink w:anchor="_Toc158801063" w:history="1">
            <w:r w:rsidRPr="00B64C61">
              <w:rPr>
                <w:rStyle w:val="Hyperlink"/>
                <w:noProof/>
                <w:color w:val="auto"/>
              </w:rPr>
              <w:t>OVERVIEW OF INFRINGEMENT NOTICE SCHEME</w:t>
            </w:r>
            <w:r w:rsidRPr="00B64C61">
              <w:rPr>
                <w:noProof/>
                <w:webHidden/>
              </w:rPr>
              <w:tab/>
            </w:r>
            <w:r w:rsidRPr="00B64C61">
              <w:rPr>
                <w:noProof/>
                <w:webHidden/>
              </w:rPr>
              <w:fldChar w:fldCharType="begin"/>
            </w:r>
            <w:r w:rsidRPr="00B64C61">
              <w:rPr>
                <w:noProof/>
                <w:webHidden/>
              </w:rPr>
              <w:instrText xml:space="preserve"> PAGEREF _Toc158801063 \h </w:instrText>
            </w:r>
            <w:r w:rsidRPr="00B64C61">
              <w:rPr>
                <w:noProof/>
                <w:webHidden/>
              </w:rPr>
            </w:r>
            <w:r w:rsidRPr="00B64C61">
              <w:rPr>
                <w:noProof/>
                <w:webHidden/>
              </w:rPr>
              <w:fldChar w:fldCharType="separate"/>
            </w:r>
            <w:r>
              <w:rPr>
                <w:noProof/>
                <w:webHidden/>
              </w:rPr>
              <w:t>1</w:t>
            </w:r>
            <w:r w:rsidRPr="00B64C61">
              <w:rPr>
                <w:noProof/>
                <w:webHidden/>
              </w:rPr>
              <w:fldChar w:fldCharType="end"/>
            </w:r>
          </w:hyperlink>
        </w:p>
        <w:p w14:paraId="5B369DD6" w14:textId="1A3CE9C3" w:rsidR="00B64C61" w:rsidRPr="00B64C61" w:rsidRDefault="000F263D" w:rsidP="00B64C61">
          <w:pPr>
            <w:pStyle w:val="TOC1"/>
            <w:rPr>
              <w:rFonts w:eastAsiaTheme="minorEastAsia"/>
              <w:noProof/>
              <w:kern w:val="2"/>
              <w:sz w:val="22"/>
              <w:szCs w:val="22"/>
              <w:lang w:eastAsia="en-AU"/>
            </w:rPr>
          </w:pPr>
          <w:hyperlink w:anchor="_Toc158801064" w:history="1">
            <w:r w:rsidR="00B64C61" w:rsidRPr="00B64C61">
              <w:rPr>
                <w:rStyle w:val="Hyperlink"/>
                <w:noProof/>
                <w:color w:val="auto"/>
              </w:rPr>
              <w:t>METHODS OF WITHDRAWAL FOR INFRINGEMENT NOTICES</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_Toc158801064 \h </w:instrText>
            </w:r>
            <w:r w:rsidR="00B64C61" w:rsidRPr="00B64C61">
              <w:rPr>
                <w:noProof/>
                <w:webHidden/>
              </w:rPr>
            </w:r>
            <w:r w:rsidR="00B64C61" w:rsidRPr="00B64C61">
              <w:rPr>
                <w:noProof/>
                <w:webHidden/>
              </w:rPr>
              <w:fldChar w:fldCharType="separate"/>
            </w:r>
            <w:r w:rsidR="00B64C61">
              <w:rPr>
                <w:noProof/>
                <w:webHidden/>
              </w:rPr>
              <w:t>2</w:t>
            </w:r>
            <w:r w:rsidR="00B64C61" w:rsidRPr="00B64C61">
              <w:rPr>
                <w:noProof/>
                <w:webHidden/>
              </w:rPr>
              <w:fldChar w:fldCharType="end"/>
            </w:r>
          </w:hyperlink>
        </w:p>
        <w:p w14:paraId="595201B1" w14:textId="1CB1F0E6" w:rsidR="00B64C61" w:rsidRPr="00B64C61" w:rsidRDefault="000F263D" w:rsidP="00B64C61">
          <w:pPr>
            <w:pStyle w:val="TOC1"/>
            <w:rPr>
              <w:rFonts w:eastAsiaTheme="minorEastAsia"/>
              <w:noProof/>
              <w:kern w:val="2"/>
              <w:sz w:val="22"/>
              <w:szCs w:val="22"/>
              <w:lang w:eastAsia="en-AU"/>
            </w:rPr>
          </w:pPr>
          <w:hyperlink w:anchor="_Toc158801065" w:history="1">
            <w:r w:rsidR="00B64C61" w:rsidRPr="00B64C61">
              <w:rPr>
                <w:rStyle w:val="Hyperlink"/>
                <w:noProof/>
                <w:color w:val="auto"/>
              </w:rPr>
              <w:t>GROUNDS FOR WITHDRAWAL OF INFRINGEMENT NOTICES</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_Toc158801065 \h </w:instrText>
            </w:r>
            <w:r w:rsidR="00B64C61" w:rsidRPr="00B64C61">
              <w:rPr>
                <w:noProof/>
                <w:webHidden/>
              </w:rPr>
            </w:r>
            <w:r w:rsidR="00B64C61" w:rsidRPr="00B64C61">
              <w:rPr>
                <w:noProof/>
                <w:webHidden/>
              </w:rPr>
              <w:fldChar w:fldCharType="separate"/>
            </w:r>
            <w:r w:rsidR="00B64C61">
              <w:rPr>
                <w:noProof/>
                <w:webHidden/>
              </w:rPr>
              <w:t>2</w:t>
            </w:r>
            <w:r w:rsidR="00B64C61" w:rsidRPr="00B64C61">
              <w:rPr>
                <w:noProof/>
                <w:webHidden/>
              </w:rPr>
              <w:fldChar w:fldCharType="end"/>
            </w:r>
          </w:hyperlink>
        </w:p>
        <w:p w14:paraId="3A17D32B" w14:textId="75800526" w:rsidR="00B64C61" w:rsidRPr="00B64C61" w:rsidRDefault="000F263D" w:rsidP="00B64C61">
          <w:pPr>
            <w:pStyle w:val="TOC2"/>
            <w:rPr>
              <w:rFonts w:eastAsiaTheme="minorEastAsia"/>
              <w:noProof/>
              <w:kern w:val="2"/>
              <w:sz w:val="22"/>
              <w:szCs w:val="22"/>
              <w:lang w:eastAsia="en-AU"/>
            </w:rPr>
          </w:pPr>
          <w:hyperlink w:anchor="_Toc158801066" w:history="1">
            <w:r w:rsidR="00B64C61" w:rsidRPr="00B64C61">
              <w:rPr>
                <w:rStyle w:val="Hyperlink"/>
                <w:noProof/>
                <w:color w:val="auto"/>
              </w:rPr>
              <w:t>Administrative or technical reasons</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_Toc158801066 \h </w:instrText>
            </w:r>
            <w:r w:rsidR="00B64C61" w:rsidRPr="00B64C61">
              <w:rPr>
                <w:noProof/>
                <w:webHidden/>
              </w:rPr>
            </w:r>
            <w:r w:rsidR="00B64C61" w:rsidRPr="00B64C61">
              <w:rPr>
                <w:noProof/>
                <w:webHidden/>
              </w:rPr>
              <w:fldChar w:fldCharType="separate"/>
            </w:r>
            <w:r w:rsidR="00B64C61">
              <w:rPr>
                <w:noProof/>
                <w:webHidden/>
              </w:rPr>
              <w:t>2</w:t>
            </w:r>
            <w:r w:rsidR="00B64C61" w:rsidRPr="00B64C61">
              <w:rPr>
                <w:noProof/>
                <w:webHidden/>
              </w:rPr>
              <w:fldChar w:fldCharType="end"/>
            </w:r>
          </w:hyperlink>
        </w:p>
        <w:p w14:paraId="3F0CF9BB" w14:textId="342B9B7F" w:rsidR="00B64C61" w:rsidRPr="00B64C61" w:rsidRDefault="000F263D" w:rsidP="00B64C61">
          <w:pPr>
            <w:pStyle w:val="TOC2"/>
            <w:rPr>
              <w:rFonts w:eastAsiaTheme="minorEastAsia"/>
              <w:noProof/>
              <w:kern w:val="2"/>
              <w:sz w:val="22"/>
              <w:szCs w:val="22"/>
              <w:lang w:eastAsia="en-AU"/>
            </w:rPr>
          </w:pPr>
          <w:hyperlink w:anchor="_Toc158801067" w:history="1">
            <w:r w:rsidR="00B64C61" w:rsidRPr="00B64C61">
              <w:rPr>
                <w:rStyle w:val="Hyperlink"/>
                <w:noProof/>
                <w:color w:val="auto"/>
              </w:rPr>
              <w:t>Insufficient evidence</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_Toc158801067 \h </w:instrText>
            </w:r>
            <w:r w:rsidR="00B64C61" w:rsidRPr="00B64C61">
              <w:rPr>
                <w:noProof/>
                <w:webHidden/>
              </w:rPr>
            </w:r>
            <w:r w:rsidR="00B64C61" w:rsidRPr="00B64C61">
              <w:rPr>
                <w:noProof/>
                <w:webHidden/>
              </w:rPr>
              <w:fldChar w:fldCharType="separate"/>
            </w:r>
            <w:r w:rsidR="00B64C61">
              <w:rPr>
                <w:noProof/>
                <w:webHidden/>
              </w:rPr>
              <w:t>3</w:t>
            </w:r>
            <w:r w:rsidR="00B64C61" w:rsidRPr="00B64C61">
              <w:rPr>
                <w:noProof/>
                <w:webHidden/>
              </w:rPr>
              <w:fldChar w:fldCharType="end"/>
            </w:r>
          </w:hyperlink>
        </w:p>
        <w:p w14:paraId="6FD53DFE" w14:textId="7C6BA8EA" w:rsidR="00B64C61" w:rsidRPr="00B64C61" w:rsidRDefault="000F263D" w:rsidP="00B64C61">
          <w:pPr>
            <w:pStyle w:val="TOC2"/>
            <w:rPr>
              <w:rFonts w:eastAsiaTheme="minorEastAsia"/>
              <w:noProof/>
              <w:kern w:val="2"/>
              <w:sz w:val="22"/>
              <w:szCs w:val="22"/>
              <w:lang w:eastAsia="en-AU"/>
            </w:rPr>
          </w:pPr>
          <w:hyperlink w:anchor="_Toc158801068" w:history="1">
            <w:r w:rsidR="00B64C61" w:rsidRPr="00B64C61">
              <w:rPr>
                <w:rStyle w:val="Hyperlink"/>
                <w:noProof/>
                <w:color w:val="auto"/>
              </w:rPr>
              <w:t>Defence or exemption applies</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_Toc158801068 \h </w:instrText>
            </w:r>
            <w:r w:rsidR="00B64C61" w:rsidRPr="00B64C61">
              <w:rPr>
                <w:noProof/>
                <w:webHidden/>
              </w:rPr>
            </w:r>
            <w:r w:rsidR="00B64C61" w:rsidRPr="00B64C61">
              <w:rPr>
                <w:noProof/>
                <w:webHidden/>
              </w:rPr>
              <w:fldChar w:fldCharType="separate"/>
            </w:r>
            <w:r w:rsidR="00B64C61">
              <w:rPr>
                <w:noProof/>
                <w:webHidden/>
              </w:rPr>
              <w:t>3</w:t>
            </w:r>
            <w:r w:rsidR="00B64C61" w:rsidRPr="00B64C61">
              <w:rPr>
                <w:noProof/>
                <w:webHidden/>
              </w:rPr>
              <w:fldChar w:fldCharType="end"/>
            </w:r>
          </w:hyperlink>
        </w:p>
        <w:p w14:paraId="62B828EA" w14:textId="1F80B6E2" w:rsidR="00B64C61" w:rsidRPr="00B64C61" w:rsidRDefault="000F263D" w:rsidP="00B64C61">
          <w:pPr>
            <w:pStyle w:val="TOC2"/>
            <w:rPr>
              <w:rFonts w:eastAsiaTheme="minorEastAsia"/>
              <w:noProof/>
              <w:kern w:val="2"/>
              <w:sz w:val="22"/>
              <w:szCs w:val="22"/>
              <w:lang w:eastAsia="en-AU"/>
            </w:rPr>
          </w:pPr>
          <w:hyperlink w:anchor="_Toc158801069" w:history="1">
            <w:r w:rsidR="00B64C61" w:rsidRPr="00B64C61">
              <w:rPr>
                <w:rStyle w:val="Hyperlink"/>
                <w:noProof/>
                <w:color w:val="auto"/>
              </w:rPr>
              <w:t>Exceptional circumstances</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_Toc158801069 \h </w:instrText>
            </w:r>
            <w:r w:rsidR="00B64C61" w:rsidRPr="00B64C61">
              <w:rPr>
                <w:noProof/>
                <w:webHidden/>
              </w:rPr>
            </w:r>
            <w:r w:rsidR="00B64C61" w:rsidRPr="00B64C61">
              <w:rPr>
                <w:noProof/>
                <w:webHidden/>
              </w:rPr>
              <w:fldChar w:fldCharType="separate"/>
            </w:r>
            <w:r w:rsidR="00B64C61">
              <w:rPr>
                <w:noProof/>
                <w:webHidden/>
              </w:rPr>
              <w:t>3</w:t>
            </w:r>
            <w:r w:rsidR="00B64C61" w:rsidRPr="00B64C61">
              <w:rPr>
                <w:noProof/>
                <w:webHidden/>
              </w:rPr>
              <w:fldChar w:fldCharType="end"/>
            </w:r>
          </w:hyperlink>
        </w:p>
        <w:p w14:paraId="4E068BB9" w14:textId="74C3871C" w:rsidR="00B64C61" w:rsidRPr="00B64C61" w:rsidRDefault="000F263D" w:rsidP="00B64C61">
          <w:pPr>
            <w:pStyle w:val="TOC2"/>
            <w:rPr>
              <w:rFonts w:eastAsiaTheme="minorEastAsia"/>
              <w:noProof/>
              <w:kern w:val="2"/>
              <w:sz w:val="22"/>
              <w:szCs w:val="22"/>
              <w:lang w:eastAsia="en-AU"/>
            </w:rPr>
          </w:pPr>
          <w:hyperlink w:anchor="_Toc158801070" w:history="1">
            <w:r w:rsidR="00B64C61" w:rsidRPr="00B64C61">
              <w:rPr>
                <w:rStyle w:val="Hyperlink"/>
                <w:noProof/>
                <w:color w:val="auto"/>
              </w:rPr>
              <w:t>Child</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_Toc158801070 \h </w:instrText>
            </w:r>
            <w:r w:rsidR="00B64C61" w:rsidRPr="00B64C61">
              <w:rPr>
                <w:noProof/>
                <w:webHidden/>
              </w:rPr>
            </w:r>
            <w:r w:rsidR="00B64C61" w:rsidRPr="00B64C61">
              <w:rPr>
                <w:noProof/>
                <w:webHidden/>
              </w:rPr>
              <w:fldChar w:fldCharType="separate"/>
            </w:r>
            <w:r w:rsidR="00B64C61">
              <w:rPr>
                <w:noProof/>
                <w:webHidden/>
              </w:rPr>
              <w:t>3</w:t>
            </w:r>
            <w:r w:rsidR="00B64C61" w:rsidRPr="00B64C61">
              <w:rPr>
                <w:noProof/>
                <w:webHidden/>
              </w:rPr>
              <w:fldChar w:fldCharType="end"/>
            </w:r>
          </w:hyperlink>
        </w:p>
        <w:p w14:paraId="6C2B1591" w14:textId="3EF93D6B" w:rsidR="00B64C61" w:rsidRPr="00B64C61" w:rsidRDefault="000F263D" w:rsidP="00B64C61">
          <w:pPr>
            <w:pStyle w:val="TOC2"/>
            <w:rPr>
              <w:rFonts w:eastAsiaTheme="minorEastAsia"/>
              <w:noProof/>
              <w:kern w:val="2"/>
              <w:sz w:val="22"/>
              <w:szCs w:val="22"/>
              <w:lang w:eastAsia="en-AU"/>
            </w:rPr>
          </w:pPr>
          <w:hyperlink w:anchor="_Toc158801071" w:history="1">
            <w:r w:rsidR="00B64C61" w:rsidRPr="00B64C61">
              <w:rPr>
                <w:rStyle w:val="Hyperlink"/>
                <w:noProof/>
                <w:color w:val="auto"/>
              </w:rPr>
              <w:t>Deceased or moved overseas permanently</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_Toc158801071 \h </w:instrText>
            </w:r>
            <w:r w:rsidR="00B64C61" w:rsidRPr="00B64C61">
              <w:rPr>
                <w:noProof/>
                <w:webHidden/>
              </w:rPr>
            </w:r>
            <w:r w:rsidR="00B64C61" w:rsidRPr="00B64C61">
              <w:rPr>
                <w:noProof/>
                <w:webHidden/>
              </w:rPr>
              <w:fldChar w:fldCharType="separate"/>
            </w:r>
            <w:r w:rsidR="00B64C61">
              <w:rPr>
                <w:noProof/>
                <w:webHidden/>
              </w:rPr>
              <w:t>4</w:t>
            </w:r>
            <w:r w:rsidR="00B64C61" w:rsidRPr="00B64C61">
              <w:rPr>
                <w:noProof/>
                <w:webHidden/>
              </w:rPr>
              <w:fldChar w:fldCharType="end"/>
            </w:r>
          </w:hyperlink>
        </w:p>
        <w:p w14:paraId="4BE741F4" w14:textId="343CBEAE" w:rsidR="00B64C61" w:rsidRPr="00B64C61" w:rsidRDefault="000F263D" w:rsidP="00B64C61">
          <w:pPr>
            <w:pStyle w:val="TOC2"/>
            <w:rPr>
              <w:rFonts w:eastAsiaTheme="minorEastAsia"/>
              <w:noProof/>
              <w:kern w:val="2"/>
              <w:sz w:val="22"/>
              <w:szCs w:val="22"/>
              <w:lang w:eastAsia="en-AU"/>
            </w:rPr>
          </w:pPr>
          <w:hyperlink w:anchor="_Toc158801072" w:history="1">
            <w:r w:rsidR="00B64C61" w:rsidRPr="00B64C61">
              <w:rPr>
                <w:rStyle w:val="Hyperlink"/>
                <w:noProof/>
                <w:color w:val="auto"/>
              </w:rPr>
              <w:t>Prior good behaviour</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_Toc158801072 \h </w:instrText>
            </w:r>
            <w:r w:rsidR="00B64C61" w:rsidRPr="00B64C61">
              <w:rPr>
                <w:noProof/>
                <w:webHidden/>
              </w:rPr>
            </w:r>
            <w:r w:rsidR="00B64C61" w:rsidRPr="00B64C61">
              <w:rPr>
                <w:noProof/>
                <w:webHidden/>
              </w:rPr>
              <w:fldChar w:fldCharType="separate"/>
            </w:r>
            <w:r w:rsidR="00B64C61">
              <w:rPr>
                <w:noProof/>
                <w:webHidden/>
              </w:rPr>
              <w:t>4</w:t>
            </w:r>
            <w:r w:rsidR="00B64C61" w:rsidRPr="00B64C61">
              <w:rPr>
                <w:noProof/>
                <w:webHidden/>
              </w:rPr>
              <w:fldChar w:fldCharType="end"/>
            </w:r>
          </w:hyperlink>
        </w:p>
        <w:p w14:paraId="01DA053C" w14:textId="5AB769A8" w:rsidR="00B64C61" w:rsidRPr="00B64C61" w:rsidRDefault="000F263D" w:rsidP="00B64C61">
          <w:pPr>
            <w:pStyle w:val="TOC1"/>
            <w:rPr>
              <w:rFonts w:eastAsiaTheme="minorEastAsia"/>
              <w:noProof/>
              <w:kern w:val="2"/>
              <w:sz w:val="22"/>
              <w:szCs w:val="22"/>
              <w:lang w:eastAsia="en-AU"/>
            </w:rPr>
          </w:pPr>
          <w:hyperlink w:anchor="_Toc158801073" w:history="1">
            <w:r w:rsidR="00B64C61" w:rsidRPr="00B64C61">
              <w:rPr>
                <w:rStyle w:val="Hyperlink"/>
                <w:noProof/>
                <w:color w:val="auto"/>
              </w:rPr>
              <w:t>NOTIFICATION OF DECISION</w:t>
            </w:r>
            <w:r w:rsidR="00B64C61" w:rsidRPr="00B64C61">
              <w:rPr>
                <w:noProof/>
                <w:webHidden/>
              </w:rPr>
              <w:tab/>
            </w:r>
            <w:r w:rsidR="00B64C61" w:rsidRPr="00B64C61">
              <w:rPr>
                <w:noProof/>
                <w:webHidden/>
              </w:rPr>
              <w:fldChar w:fldCharType="begin"/>
            </w:r>
            <w:r w:rsidR="00B64C61" w:rsidRPr="00B64C61">
              <w:rPr>
                <w:noProof/>
                <w:webHidden/>
              </w:rPr>
              <w:instrText xml:space="preserve"> PAGEREF _Toc158801073 \h </w:instrText>
            </w:r>
            <w:r w:rsidR="00B64C61" w:rsidRPr="00B64C61">
              <w:rPr>
                <w:noProof/>
                <w:webHidden/>
              </w:rPr>
            </w:r>
            <w:r w:rsidR="00B64C61" w:rsidRPr="00B64C61">
              <w:rPr>
                <w:noProof/>
                <w:webHidden/>
              </w:rPr>
              <w:fldChar w:fldCharType="separate"/>
            </w:r>
            <w:r w:rsidR="00B64C61">
              <w:rPr>
                <w:noProof/>
                <w:webHidden/>
              </w:rPr>
              <w:t>4</w:t>
            </w:r>
            <w:r w:rsidR="00B64C61" w:rsidRPr="00B64C61">
              <w:rPr>
                <w:noProof/>
                <w:webHidden/>
              </w:rPr>
              <w:fldChar w:fldCharType="end"/>
            </w:r>
          </w:hyperlink>
        </w:p>
        <w:p w14:paraId="6C3DBC08" w14:textId="70C21FD3" w:rsidR="00B64C61" w:rsidRPr="00B64C61" w:rsidRDefault="00B64C61">
          <w:r w:rsidRPr="00B64C61">
            <w:rPr>
              <w:b/>
              <w:bCs/>
              <w:noProof/>
            </w:rPr>
            <w:fldChar w:fldCharType="end"/>
          </w:r>
        </w:p>
      </w:sdtContent>
    </w:sdt>
    <w:p w14:paraId="4BF2B19E" w14:textId="77777777" w:rsidR="00B64C61" w:rsidRDefault="00B64C61" w:rsidP="007274AE">
      <w:pPr>
        <w:tabs>
          <w:tab w:val="left" w:pos="4320"/>
        </w:tabs>
        <w:jc w:val="center"/>
        <w:rPr>
          <w:b/>
          <w:sz w:val="28"/>
          <w:szCs w:val="28"/>
        </w:rPr>
      </w:pPr>
    </w:p>
    <w:p w14:paraId="63F76D33" w14:textId="77777777" w:rsidR="007274AE" w:rsidRPr="00892197" w:rsidRDefault="007274AE" w:rsidP="007274AE">
      <w:pPr>
        <w:tabs>
          <w:tab w:val="left" w:pos="4320"/>
        </w:tabs>
        <w:jc w:val="center"/>
        <w:rPr>
          <w:b/>
          <w:sz w:val="28"/>
          <w:szCs w:val="28"/>
        </w:rPr>
      </w:pPr>
      <w:r w:rsidRPr="00892197">
        <w:rPr>
          <w:b/>
          <w:sz w:val="28"/>
          <w:szCs w:val="28"/>
        </w:rPr>
        <w:t>WITHDRAWAL OF INFRINGEMENT NOTICE GUIDELINES</w:t>
      </w:r>
    </w:p>
    <w:p w14:paraId="26253171" w14:textId="77777777" w:rsidR="007274AE" w:rsidRDefault="007274AE" w:rsidP="007274AE">
      <w:pPr>
        <w:tabs>
          <w:tab w:val="left" w:pos="4320"/>
        </w:tabs>
        <w:rPr>
          <w:b/>
        </w:rPr>
      </w:pPr>
    </w:p>
    <w:p w14:paraId="7BE695D0" w14:textId="77777777" w:rsidR="007274AE" w:rsidRPr="00B64C61" w:rsidRDefault="007274AE" w:rsidP="00B64C61">
      <w:pPr>
        <w:pStyle w:val="Heading1"/>
      </w:pPr>
      <w:bookmarkStart w:id="6" w:name="_Toc158801063"/>
      <w:r w:rsidRPr="00B64C61">
        <w:t>OVERVIEW OF INFRINGEMENT NOTICE SCHEME</w:t>
      </w:r>
      <w:bookmarkEnd w:id="6"/>
    </w:p>
    <w:p w14:paraId="580E3DA1" w14:textId="77777777" w:rsidR="007274AE" w:rsidRPr="00C75A78" w:rsidRDefault="007274AE" w:rsidP="007274AE">
      <w:pPr>
        <w:tabs>
          <w:tab w:val="left" w:pos="4320"/>
        </w:tabs>
      </w:pPr>
    </w:p>
    <w:p w14:paraId="355F2713" w14:textId="36B88A69" w:rsidR="007274AE" w:rsidRDefault="007274AE" w:rsidP="007274AE">
      <w:pPr>
        <w:tabs>
          <w:tab w:val="left" w:pos="4320"/>
        </w:tabs>
      </w:pPr>
      <w:bookmarkStart w:id="7" w:name="_Hlk155709340"/>
      <w:bookmarkStart w:id="8" w:name="_Hlk155704344"/>
      <w:r>
        <w:t xml:space="preserve">An infringement notice scheme for the ACT is established by Part 3.8 of the </w:t>
      </w:r>
      <w:r>
        <w:rPr>
          <w:i/>
        </w:rPr>
        <w:t xml:space="preserve">Magistrates Court Act 1930 </w:t>
      </w:r>
      <w:r>
        <w:rPr>
          <w:iCs/>
        </w:rPr>
        <w:t>and its regulations</w:t>
      </w:r>
      <w:r>
        <w:t>.</w:t>
      </w:r>
    </w:p>
    <w:p w14:paraId="1E6AD8B9" w14:textId="77777777" w:rsidR="007274AE" w:rsidRDefault="007274AE" w:rsidP="007274AE">
      <w:pPr>
        <w:tabs>
          <w:tab w:val="left" w:pos="4320"/>
        </w:tabs>
      </w:pPr>
    </w:p>
    <w:p w14:paraId="0408FC5D" w14:textId="77777777" w:rsidR="007274AE" w:rsidRDefault="007274AE" w:rsidP="007274AE">
      <w:pPr>
        <w:tabs>
          <w:tab w:val="left" w:pos="4320"/>
        </w:tabs>
      </w:pPr>
      <w:r>
        <w:t>The pathways open to a person who receives an infringement notice in the ACT are:</w:t>
      </w:r>
    </w:p>
    <w:p w14:paraId="67C63661" w14:textId="27A1694A" w:rsidR="007274AE" w:rsidRDefault="007274AE" w:rsidP="007274AE">
      <w:pPr>
        <w:pStyle w:val="ListParagraph"/>
        <w:numPr>
          <w:ilvl w:val="0"/>
          <w:numId w:val="19"/>
        </w:numPr>
        <w:tabs>
          <w:tab w:val="left" w:pos="4320"/>
        </w:tabs>
        <w:spacing w:before="120"/>
        <w:ind w:left="714" w:hanging="357"/>
        <w:contextualSpacing w:val="0"/>
      </w:pPr>
      <w:r>
        <w:t>Pay the infringement notice directly</w:t>
      </w:r>
      <w:r w:rsidR="00F21121">
        <w:t xml:space="preserve"> (or seek an extension of time to pay the infringement directly)</w:t>
      </w:r>
      <w:r>
        <w:t>.</w:t>
      </w:r>
    </w:p>
    <w:p w14:paraId="3A2102BA" w14:textId="77777777" w:rsidR="007274AE" w:rsidRDefault="007274AE" w:rsidP="007274AE">
      <w:pPr>
        <w:pStyle w:val="ListParagraph"/>
        <w:numPr>
          <w:ilvl w:val="0"/>
          <w:numId w:val="19"/>
        </w:numPr>
        <w:tabs>
          <w:tab w:val="left" w:pos="4320"/>
        </w:tabs>
        <w:spacing w:before="120"/>
        <w:ind w:left="714" w:hanging="357"/>
        <w:contextualSpacing w:val="0"/>
      </w:pPr>
      <w:r>
        <w:t xml:space="preserve">Seek to </w:t>
      </w:r>
      <w:proofErr w:type="gramStart"/>
      <w:r>
        <w:t>enter into</w:t>
      </w:r>
      <w:proofErr w:type="gramEnd"/>
      <w:r>
        <w:t xml:space="preserve"> an infringement notice management plan (payment by instalment or participation in an approved community work or social development program) or seek to add the infringement notice to an existing infringement notice management plan.</w:t>
      </w:r>
    </w:p>
    <w:p w14:paraId="1F726B18" w14:textId="77777777" w:rsidR="007274AE" w:rsidRDefault="007274AE" w:rsidP="007274AE">
      <w:pPr>
        <w:pStyle w:val="ListParagraph"/>
        <w:numPr>
          <w:ilvl w:val="0"/>
          <w:numId w:val="19"/>
        </w:numPr>
        <w:tabs>
          <w:tab w:val="left" w:pos="4320"/>
        </w:tabs>
        <w:spacing w:before="120"/>
        <w:ind w:left="714" w:hanging="357"/>
        <w:contextualSpacing w:val="0"/>
      </w:pPr>
      <w:r>
        <w:t>Seek withdrawal or waiver. Internal review can then be sought of a decision by the administering authority not to withdraw or waive an infringement notice. Following internal review an application can be made to the ACT Civil and Administrative Tribunal (ACAT).</w:t>
      </w:r>
    </w:p>
    <w:p w14:paraId="0383432D" w14:textId="77777777" w:rsidR="007274AE" w:rsidRDefault="007274AE" w:rsidP="007274AE">
      <w:pPr>
        <w:pStyle w:val="ListParagraph"/>
        <w:numPr>
          <w:ilvl w:val="0"/>
          <w:numId w:val="19"/>
        </w:numPr>
        <w:tabs>
          <w:tab w:val="left" w:pos="4320"/>
        </w:tabs>
        <w:spacing w:before="120"/>
        <w:ind w:left="714" w:hanging="357"/>
        <w:contextualSpacing w:val="0"/>
      </w:pPr>
      <w:r>
        <w:t>Dispute liability. The matter will then be determined in the Magistrates Court.</w:t>
      </w:r>
    </w:p>
    <w:p w14:paraId="5DB4C573" w14:textId="77777777" w:rsidR="007274AE" w:rsidRDefault="007274AE" w:rsidP="007274AE">
      <w:pPr>
        <w:tabs>
          <w:tab w:val="left" w:pos="4320"/>
        </w:tabs>
      </w:pPr>
    </w:p>
    <w:p w14:paraId="7B07BE24" w14:textId="45CD8B4E" w:rsidR="007274AE" w:rsidRDefault="007274AE" w:rsidP="007274AE">
      <w:pPr>
        <w:tabs>
          <w:tab w:val="left" w:pos="4320"/>
        </w:tabs>
      </w:pPr>
      <w:bookmarkStart w:id="9" w:name="_Hlk14780587"/>
      <w:proofErr w:type="gramStart"/>
      <w:r>
        <w:t>Entering into</w:t>
      </w:r>
      <w:proofErr w:type="gramEnd"/>
      <w:r>
        <w:t xml:space="preserve"> an infringement notice management plan, adding a penalty to a plan or obtaining withdrawal or waiver of a penalty has the same effect as if the person had paid the penalty outright. The effect is that the person is no longer liable for the offence, must not be prosecuted for the offence</w:t>
      </w:r>
      <w:r w:rsidR="003E65D1">
        <w:t>,</w:t>
      </w:r>
      <w:r>
        <w:t xml:space="preserve"> and is not taken to have been convicted of the offence. </w:t>
      </w:r>
    </w:p>
    <w:p w14:paraId="6ABEBED2" w14:textId="77777777" w:rsidR="00B64C61" w:rsidRDefault="00B64C61" w:rsidP="00B64C61">
      <w:pPr>
        <w:pStyle w:val="Heading1"/>
      </w:pPr>
      <w:bookmarkStart w:id="10" w:name="_Toc158801064"/>
      <w:bookmarkEnd w:id="7"/>
      <w:bookmarkEnd w:id="8"/>
      <w:bookmarkEnd w:id="9"/>
    </w:p>
    <w:p w14:paraId="0098074D" w14:textId="77777777" w:rsidR="00B64C61" w:rsidRDefault="00B64C61">
      <w:pPr>
        <w:rPr>
          <w:b/>
        </w:rPr>
      </w:pPr>
      <w:r>
        <w:br w:type="page"/>
      </w:r>
    </w:p>
    <w:p w14:paraId="7FAFB480" w14:textId="224D0A7C" w:rsidR="007274AE" w:rsidRDefault="007274AE" w:rsidP="00B64C61">
      <w:pPr>
        <w:pStyle w:val="Heading1"/>
      </w:pPr>
      <w:r>
        <w:lastRenderedPageBreak/>
        <w:t>METHODS OF WITHDRAWAL FOR INFRINGEMENT NOTICES</w:t>
      </w:r>
      <w:bookmarkEnd w:id="10"/>
    </w:p>
    <w:p w14:paraId="12AC8957" w14:textId="77777777" w:rsidR="007274AE" w:rsidRPr="00C75A78" w:rsidRDefault="007274AE" w:rsidP="007274AE">
      <w:pPr>
        <w:tabs>
          <w:tab w:val="left" w:pos="4320"/>
        </w:tabs>
      </w:pPr>
    </w:p>
    <w:p w14:paraId="001D90C5" w14:textId="77777777" w:rsidR="007274AE" w:rsidRDefault="007274AE" w:rsidP="007274AE">
      <w:pPr>
        <w:tabs>
          <w:tab w:val="left" w:pos="4320"/>
        </w:tabs>
      </w:pPr>
      <w:r>
        <w:t>There are two methods by which an infringement notice can be withdrawn:</w:t>
      </w:r>
    </w:p>
    <w:p w14:paraId="094797F5" w14:textId="77777777" w:rsidR="007274AE" w:rsidRDefault="007274AE" w:rsidP="007274AE">
      <w:pPr>
        <w:pStyle w:val="ListParagraph"/>
        <w:numPr>
          <w:ilvl w:val="0"/>
          <w:numId w:val="22"/>
        </w:numPr>
        <w:tabs>
          <w:tab w:val="left" w:pos="4320"/>
        </w:tabs>
        <w:spacing w:before="120"/>
        <w:ind w:left="714" w:hanging="357"/>
        <w:contextualSpacing w:val="0"/>
      </w:pPr>
      <w:r>
        <w:t>A</w:t>
      </w:r>
      <w:r w:rsidRPr="00C75A78">
        <w:t xml:space="preserve">n application for withdrawal </w:t>
      </w:r>
      <w:r>
        <w:t>is received by the administering authority.</w:t>
      </w:r>
    </w:p>
    <w:p w14:paraId="1A9D42F0" w14:textId="77777777" w:rsidR="007274AE" w:rsidRPr="00C75A78" w:rsidRDefault="007274AE" w:rsidP="007274AE">
      <w:pPr>
        <w:pStyle w:val="ListParagraph"/>
        <w:numPr>
          <w:ilvl w:val="0"/>
          <w:numId w:val="22"/>
        </w:numPr>
        <w:tabs>
          <w:tab w:val="left" w:pos="4320"/>
        </w:tabs>
        <w:spacing w:before="120"/>
        <w:ind w:left="714" w:hanging="357"/>
        <w:contextualSpacing w:val="0"/>
      </w:pPr>
      <w:r>
        <w:t>T</w:t>
      </w:r>
      <w:r w:rsidRPr="00C75A78">
        <w:t>he administering authority</w:t>
      </w:r>
      <w:r>
        <w:t xml:space="preserve"> decides to withdraw the infringement notice</w:t>
      </w:r>
      <w:r w:rsidRPr="00C75A78">
        <w:t>.</w:t>
      </w:r>
    </w:p>
    <w:p w14:paraId="1E1DA422" w14:textId="77777777" w:rsidR="007274AE" w:rsidRPr="00C75A78" w:rsidRDefault="007274AE" w:rsidP="007274AE">
      <w:pPr>
        <w:tabs>
          <w:tab w:val="left" w:pos="4320"/>
        </w:tabs>
      </w:pPr>
    </w:p>
    <w:p w14:paraId="1720D369" w14:textId="77777777" w:rsidR="00B64C61" w:rsidRDefault="007274AE" w:rsidP="007274AE">
      <w:pPr>
        <w:tabs>
          <w:tab w:val="left" w:pos="4320"/>
        </w:tabs>
      </w:pPr>
      <w:r>
        <w:t xml:space="preserve">An application for withdrawal of an infringement notice must be made in accordance with section </w:t>
      </w:r>
      <w:r w:rsidR="00D745B7">
        <w:t>126</w:t>
      </w:r>
      <w:r>
        <w:t xml:space="preserve"> of the </w:t>
      </w:r>
      <w:r w:rsidR="00D745B7">
        <w:rPr>
          <w:i/>
        </w:rPr>
        <w:t>Magistrates Court Act 1930</w:t>
      </w:r>
      <w:r>
        <w:t xml:space="preserve">. </w:t>
      </w:r>
    </w:p>
    <w:p w14:paraId="7F265BEE" w14:textId="77777777" w:rsidR="00B64C61" w:rsidRDefault="00B64C61" w:rsidP="007274AE">
      <w:pPr>
        <w:tabs>
          <w:tab w:val="left" w:pos="4320"/>
        </w:tabs>
      </w:pPr>
    </w:p>
    <w:p w14:paraId="3EF8108B" w14:textId="77777777" w:rsidR="00B64C61" w:rsidRDefault="007274AE" w:rsidP="007274AE">
      <w:pPr>
        <w:tabs>
          <w:tab w:val="left" w:pos="4320"/>
        </w:tabs>
      </w:pPr>
      <w:r>
        <w:t xml:space="preserve">Applications must be in writing and state the grounds relied on for the infringement notice to be withdrawn. </w:t>
      </w:r>
    </w:p>
    <w:p w14:paraId="77D31C89" w14:textId="77777777" w:rsidR="00B64C61" w:rsidRDefault="00B64C61" w:rsidP="007274AE">
      <w:pPr>
        <w:tabs>
          <w:tab w:val="left" w:pos="4320"/>
        </w:tabs>
      </w:pPr>
    </w:p>
    <w:p w14:paraId="722E645C" w14:textId="7E0788C7" w:rsidR="007274AE" w:rsidRDefault="007274AE" w:rsidP="007274AE">
      <w:pPr>
        <w:tabs>
          <w:tab w:val="left" w:pos="4320"/>
        </w:tabs>
      </w:pPr>
      <w:r>
        <w:t>An</w:t>
      </w:r>
      <w:r w:rsidR="00D745B7">
        <w:t> </w:t>
      </w:r>
      <w:r>
        <w:t xml:space="preserve">application </w:t>
      </w:r>
      <w:r w:rsidR="00B64C61">
        <w:t xml:space="preserve">may </w:t>
      </w:r>
      <w:r>
        <w:t>be made online.</w:t>
      </w:r>
    </w:p>
    <w:p w14:paraId="78CD01DC" w14:textId="77777777" w:rsidR="007274AE" w:rsidRDefault="007274AE" w:rsidP="007274AE">
      <w:pPr>
        <w:tabs>
          <w:tab w:val="left" w:pos="4320"/>
        </w:tabs>
      </w:pPr>
    </w:p>
    <w:p w14:paraId="6BCD54D2" w14:textId="02172931" w:rsidR="007274AE" w:rsidRDefault="007274AE" w:rsidP="007274AE">
      <w:pPr>
        <w:tabs>
          <w:tab w:val="left" w:pos="4320"/>
        </w:tabs>
      </w:pPr>
      <w:r>
        <w:t xml:space="preserve">Applications </w:t>
      </w:r>
      <w:r w:rsidR="00B64C61">
        <w:t xml:space="preserve">may </w:t>
      </w:r>
      <w:r>
        <w:t>be made by either:</w:t>
      </w:r>
    </w:p>
    <w:p w14:paraId="3F3BFEE4" w14:textId="77777777" w:rsidR="007274AE" w:rsidRDefault="007274AE" w:rsidP="007274AE">
      <w:pPr>
        <w:pStyle w:val="ListParagraph"/>
        <w:numPr>
          <w:ilvl w:val="0"/>
          <w:numId w:val="14"/>
        </w:numPr>
        <w:tabs>
          <w:tab w:val="left" w:pos="4320"/>
        </w:tabs>
        <w:spacing w:before="120"/>
        <w:ind w:left="714" w:hanging="357"/>
        <w:contextualSpacing w:val="0"/>
      </w:pPr>
      <w:r>
        <w:t>The person served with the infringement notice.</w:t>
      </w:r>
    </w:p>
    <w:p w14:paraId="7BAE3B61" w14:textId="77777777" w:rsidR="007274AE" w:rsidRDefault="007274AE" w:rsidP="007274AE">
      <w:pPr>
        <w:pStyle w:val="ListParagraph"/>
        <w:numPr>
          <w:ilvl w:val="0"/>
          <w:numId w:val="14"/>
        </w:numPr>
        <w:tabs>
          <w:tab w:val="left" w:pos="4320"/>
        </w:tabs>
        <w:spacing w:before="120"/>
        <w:ind w:left="714" w:hanging="357"/>
        <w:contextualSpacing w:val="0"/>
      </w:pPr>
      <w:r>
        <w:t>A representative of the person served with the infringement notice.</w:t>
      </w:r>
    </w:p>
    <w:p w14:paraId="6628EE2C" w14:textId="77777777" w:rsidR="007274AE" w:rsidRDefault="007274AE" w:rsidP="007274AE">
      <w:pPr>
        <w:pStyle w:val="ListParagraph"/>
        <w:numPr>
          <w:ilvl w:val="0"/>
          <w:numId w:val="14"/>
        </w:numPr>
        <w:tabs>
          <w:tab w:val="left" w:pos="4320"/>
        </w:tabs>
        <w:spacing w:before="120"/>
        <w:ind w:left="714" w:hanging="357"/>
        <w:contextualSpacing w:val="0"/>
      </w:pPr>
      <w:r>
        <w:t>A guardian (parent, kinship parent or carer of the person served with the infringement notice).</w:t>
      </w:r>
    </w:p>
    <w:p w14:paraId="4B460A97" w14:textId="77777777" w:rsidR="007274AE" w:rsidRDefault="007274AE" w:rsidP="007274AE">
      <w:pPr>
        <w:tabs>
          <w:tab w:val="left" w:pos="4320"/>
        </w:tabs>
      </w:pPr>
    </w:p>
    <w:p w14:paraId="59111F51" w14:textId="4D93E9AF" w:rsidR="007274AE" w:rsidRDefault="007274AE" w:rsidP="007274AE">
      <w:pPr>
        <w:tabs>
          <w:tab w:val="left" w:pos="4320"/>
        </w:tabs>
      </w:pPr>
      <w:r>
        <w:t xml:space="preserve">An administering authority </w:t>
      </w:r>
      <w:r w:rsidR="00B64C61">
        <w:t xml:space="preserve">may </w:t>
      </w:r>
      <w:r>
        <w:t xml:space="preserve">withdraw an infringement notice under section </w:t>
      </w:r>
      <w:r w:rsidR="00D745B7">
        <w:t>127</w:t>
      </w:r>
      <w:r>
        <w:t xml:space="preserve"> of the </w:t>
      </w:r>
      <w:r w:rsidR="00D745B7">
        <w:rPr>
          <w:i/>
        </w:rPr>
        <w:t>Magistrates Court Act 1930</w:t>
      </w:r>
      <w:r>
        <w:t xml:space="preserve"> </w:t>
      </w:r>
      <w:proofErr w:type="gramStart"/>
      <w:r>
        <w:t>whether or not</w:t>
      </w:r>
      <w:proofErr w:type="gramEnd"/>
      <w:r>
        <w:t>:</w:t>
      </w:r>
    </w:p>
    <w:p w14:paraId="00EB45D0" w14:textId="1D5C0468" w:rsidR="007274AE" w:rsidRPr="00716455" w:rsidRDefault="007274AE" w:rsidP="007274AE">
      <w:pPr>
        <w:pStyle w:val="ListParagraph"/>
        <w:numPr>
          <w:ilvl w:val="0"/>
          <w:numId w:val="23"/>
        </w:numPr>
        <w:tabs>
          <w:tab w:val="left" w:pos="4320"/>
        </w:tabs>
        <w:spacing w:before="120"/>
        <w:contextualSpacing w:val="0"/>
        <w:rPr>
          <w:i/>
        </w:rPr>
      </w:pPr>
      <w:r>
        <w:t xml:space="preserve">the person has applied for </w:t>
      </w:r>
      <w:proofErr w:type="gramStart"/>
      <w:r>
        <w:t>withdrawal</w:t>
      </w:r>
      <w:r>
        <w:rPr>
          <w:i/>
        </w:rPr>
        <w:t>;</w:t>
      </w:r>
      <w:proofErr w:type="gramEnd"/>
      <w:r>
        <w:rPr>
          <w:i/>
        </w:rPr>
        <w:t xml:space="preserve"> </w:t>
      </w:r>
    </w:p>
    <w:p w14:paraId="5CE1F8CE" w14:textId="77777777" w:rsidR="007274AE" w:rsidRDefault="007274AE" w:rsidP="007274AE">
      <w:pPr>
        <w:pStyle w:val="ListParagraph"/>
        <w:numPr>
          <w:ilvl w:val="0"/>
          <w:numId w:val="23"/>
        </w:numPr>
        <w:tabs>
          <w:tab w:val="left" w:pos="4320"/>
        </w:tabs>
        <w:spacing w:before="120"/>
        <w:ind w:left="714" w:hanging="357"/>
        <w:contextualSpacing w:val="0"/>
      </w:pPr>
      <w:r>
        <w:t>the infringement notice has been paid in full or in part; or</w:t>
      </w:r>
    </w:p>
    <w:p w14:paraId="6412D22C" w14:textId="77777777" w:rsidR="007274AE" w:rsidRDefault="007274AE" w:rsidP="007274AE">
      <w:pPr>
        <w:pStyle w:val="ListParagraph"/>
        <w:numPr>
          <w:ilvl w:val="0"/>
          <w:numId w:val="23"/>
        </w:numPr>
        <w:tabs>
          <w:tab w:val="left" w:pos="4320"/>
        </w:tabs>
        <w:spacing w:before="120"/>
        <w:ind w:left="714" w:hanging="357"/>
        <w:contextualSpacing w:val="0"/>
      </w:pPr>
      <w:r>
        <w:t>the person is disputing liability for the offence.</w:t>
      </w:r>
    </w:p>
    <w:p w14:paraId="4115D766" w14:textId="77777777" w:rsidR="007274AE" w:rsidRDefault="007274AE" w:rsidP="007274AE">
      <w:pPr>
        <w:tabs>
          <w:tab w:val="left" w:pos="4320"/>
        </w:tabs>
      </w:pPr>
    </w:p>
    <w:p w14:paraId="7DF52FBB" w14:textId="77777777" w:rsidR="007274AE" w:rsidRPr="00CC52AA" w:rsidRDefault="007274AE" w:rsidP="00B64C61">
      <w:pPr>
        <w:pStyle w:val="Heading1"/>
      </w:pPr>
      <w:bookmarkStart w:id="11" w:name="_Toc158801065"/>
      <w:r w:rsidRPr="00CC52AA">
        <w:t>GROUNDS FOR WITHDRAWAL</w:t>
      </w:r>
      <w:r>
        <w:t xml:space="preserve"> OF INFRINGEMENT NOTICES</w:t>
      </w:r>
      <w:bookmarkEnd w:id="11"/>
    </w:p>
    <w:p w14:paraId="4235044E" w14:textId="77777777" w:rsidR="007274AE" w:rsidRDefault="007274AE" w:rsidP="007274AE">
      <w:pPr>
        <w:tabs>
          <w:tab w:val="left" w:pos="4320"/>
        </w:tabs>
      </w:pPr>
    </w:p>
    <w:p w14:paraId="521A62CE" w14:textId="77777777" w:rsidR="007274AE" w:rsidRPr="00D532B5" w:rsidRDefault="007274AE" w:rsidP="007274AE">
      <w:pPr>
        <w:tabs>
          <w:tab w:val="left" w:pos="4320"/>
        </w:tabs>
      </w:pPr>
      <w:r w:rsidRPr="00D532B5">
        <w:t xml:space="preserve">In determining whether to withdraw an infringement notice, the administering authority </w:t>
      </w:r>
      <w:r>
        <w:t xml:space="preserve">may </w:t>
      </w:r>
      <w:proofErr w:type="gramStart"/>
      <w:r w:rsidRPr="00D532B5">
        <w:t>take into account</w:t>
      </w:r>
      <w:proofErr w:type="gramEnd"/>
      <w:r w:rsidRPr="00D532B5">
        <w:t>:</w:t>
      </w:r>
    </w:p>
    <w:p w14:paraId="594D58E5" w14:textId="77777777" w:rsidR="007274AE" w:rsidRPr="00D532B5" w:rsidRDefault="007274AE" w:rsidP="007274AE">
      <w:pPr>
        <w:pStyle w:val="ListParagraph"/>
        <w:numPr>
          <w:ilvl w:val="0"/>
          <w:numId w:val="17"/>
        </w:numPr>
        <w:tabs>
          <w:tab w:val="left" w:pos="4320"/>
        </w:tabs>
        <w:spacing w:before="120"/>
        <w:ind w:left="714" w:hanging="357"/>
        <w:contextualSpacing w:val="0"/>
      </w:pPr>
      <w:r w:rsidRPr="00D532B5">
        <w:t>the circumstances in which the infringement notice was issued, including the level of risk posed by the applicant’s behaviour to other road users</w:t>
      </w:r>
      <w:r>
        <w:t xml:space="preserve"> or public </w:t>
      </w:r>
      <w:proofErr w:type="gramStart"/>
      <w:r>
        <w:t>passengers</w:t>
      </w:r>
      <w:r w:rsidRPr="00D532B5">
        <w:t>;</w:t>
      </w:r>
      <w:proofErr w:type="gramEnd"/>
    </w:p>
    <w:p w14:paraId="07581DCA" w14:textId="77777777" w:rsidR="007274AE" w:rsidRPr="00D532B5" w:rsidRDefault="007274AE" w:rsidP="007274AE">
      <w:pPr>
        <w:pStyle w:val="ListParagraph"/>
        <w:numPr>
          <w:ilvl w:val="0"/>
          <w:numId w:val="17"/>
        </w:numPr>
        <w:tabs>
          <w:tab w:val="left" w:pos="4320"/>
        </w:tabs>
        <w:spacing w:before="120"/>
        <w:ind w:left="714" w:hanging="357"/>
        <w:contextualSpacing w:val="0"/>
      </w:pPr>
      <w:r w:rsidRPr="00D532B5">
        <w:t>the seriousness of the offence; and</w:t>
      </w:r>
    </w:p>
    <w:p w14:paraId="5A7B84A1" w14:textId="77777777" w:rsidR="007274AE" w:rsidRPr="00D532B5" w:rsidRDefault="007274AE" w:rsidP="007274AE">
      <w:pPr>
        <w:pStyle w:val="ListParagraph"/>
        <w:numPr>
          <w:ilvl w:val="0"/>
          <w:numId w:val="17"/>
        </w:numPr>
        <w:tabs>
          <w:tab w:val="left" w:pos="4320"/>
        </w:tabs>
        <w:spacing w:before="120"/>
        <w:ind w:left="714" w:hanging="357"/>
        <w:contextualSpacing w:val="0"/>
      </w:pPr>
      <w:r w:rsidRPr="00D532B5">
        <w:t>the extent to which the applicant was aware, or ought reasonably to have been aware, that the conduct constituting the offence was contrary to law.</w:t>
      </w:r>
    </w:p>
    <w:p w14:paraId="2EFE3C90" w14:textId="77777777" w:rsidR="007274AE" w:rsidRPr="00D532B5" w:rsidRDefault="007274AE" w:rsidP="007274AE">
      <w:pPr>
        <w:tabs>
          <w:tab w:val="left" w:pos="4320"/>
        </w:tabs>
      </w:pPr>
    </w:p>
    <w:p w14:paraId="6A663C66" w14:textId="1F3860B8" w:rsidR="007274AE" w:rsidRDefault="007274AE" w:rsidP="007274AE">
      <w:pPr>
        <w:tabs>
          <w:tab w:val="left" w:pos="4320"/>
        </w:tabs>
      </w:pPr>
      <w:r w:rsidRPr="00D532B5">
        <w:t>Disagreeing with a law, or finding it inconvenient to adhere to it</w:t>
      </w:r>
      <w:r w:rsidR="00D745B7">
        <w:t>,</w:t>
      </w:r>
      <w:r w:rsidRPr="00D532B5">
        <w:t xml:space="preserve"> are not grounds for having an infringement notice withdrawn.</w:t>
      </w:r>
    </w:p>
    <w:p w14:paraId="6F27F7F5" w14:textId="77777777" w:rsidR="007274AE" w:rsidRDefault="007274AE" w:rsidP="007274AE">
      <w:pPr>
        <w:tabs>
          <w:tab w:val="left" w:pos="4320"/>
        </w:tabs>
      </w:pPr>
    </w:p>
    <w:p w14:paraId="6B606936" w14:textId="77777777" w:rsidR="007274AE" w:rsidRPr="00B64C61" w:rsidRDefault="007274AE" w:rsidP="00B64C61">
      <w:pPr>
        <w:pStyle w:val="Heading2"/>
        <w:keepNext/>
      </w:pPr>
      <w:bookmarkStart w:id="12" w:name="_Toc158801066"/>
      <w:r w:rsidRPr="00B64C61">
        <w:lastRenderedPageBreak/>
        <w:t>Administrative or technical reasons</w:t>
      </w:r>
      <w:bookmarkEnd w:id="12"/>
    </w:p>
    <w:p w14:paraId="6CB13C84" w14:textId="77777777" w:rsidR="007274AE" w:rsidRDefault="007274AE" w:rsidP="00B64C61">
      <w:pPr>
        <w:keepNext/>
        <w:tabs>
          <w:tab w:val="left" w:pos="4320"/>
        </w:tabs>
      </w:pPr>
    </w:p>
    <w:p w14:paraId="666B968D" w14:textId="77777777" w:rsidR="007274AE" w:rsidRDefault="007274AE" w:rsidP="00B64C61">
      <w:pPr>
        <w:keepLines/>
        <w:tabs>
          <w:tab w:val="left" w:pos="4320"/>
        </w:tabs>
      </w:pPr>
      <w:r>
        <w:t>An infringement notice may be withdrawn for administrative or technical reasons where those reasons are outside the control of the applicant and contributed either wholly or materially to the circumstance in which the applicant was issued with an infringement notice.</w:t>
      </w:r>
    </w:p>
    <w:p w14:paraId="25FCA998" w14:textId="77777777" w:rsidR="007274AE" w:rsidRDefault="007274AE" w:rsidP="007274AE">
      <w:pPr>
        <w:tabs>
          <w:tab w:val="left" w:pos="4320"/>
        </w:tabs>
      </w:pPr>
    </w:p>
    <w:p w14:paraId="6902F0DA" w14:textId="3E78B0D9" w:rsidR="007274AE" w:rsidRDefault="007274AE" w:rsidP="007274AE">
      <w:pPr>
        <w:tabs>
          <w:tab w:val="left" w:pos="4320"/>
        </w:tabs>
      </w:pPr>
      <w:r>
        <w:t xml:space="preserve">When an infringement notice is found to contain an administrative error and is withdrawn, the administering authority </w:t>
      </w:r>
      <w:r w:rsidR="00B64C61">
        <w:t xml:space="preserve">should </w:t>
      </w:r>
      <w:r>
        <w:t xml:space="preserve">consider whether further enforcement action for the </w:t>
      </w:r>
      <w:proofErr w:type="gramStart"/>
      <w:r>
        <w:t>particular offence</w:t>
      </w:r>
      <w:proofErr w:type="gramEnd"/>
      <w:r>
        <w:t xml:space="preserve"> is appropriate, for example, re-issue the infringement notice with amended details where the time in which to issue an infringement notice has not elapsed.</w:t>
      </w:r>
    </w:p>
    <w:p w14:paraId="6D075297" w14:textId="77777777" w:rsidR="007274AE" w:rsidRDefault="007274AE" w:rsidP="007274AE">
      <w:pPr>
        <w:tabs>
          <w:tab w:val="left" w:pos="4320"/>
        </w:tabs>
      </w:pPr>
    </w:p>
    <w:p w14:paraId="4CF86882" w14:textId="77777777" w:rsidR="007274AE" w:rsidRPr="00CC52AA" w:rsidRDefault="007274AE" w:rsidP="00B64C61">
      <w:pPr>
        <w:pStyle w:val="Heading2"/>
      </w:pPr>
      <w:bookmarkStart w:id="13" w:name="_Toc158801067"/>
      <w:r w:rsidRPr="00CC52AA">
        <w:t>Insufficient evidence</w:t>
      </w:r>
      <w:bookmarkEnd w:id="13"/>
    </w:p>
    <w:p w14:paraId="70CE3497" w14:textId="77777777" w:rsidR="007274AE" w:rsidRDefault="007274AE" w:rsidP="007274AE">
      <w:pPr>
        <w:tabs>
          <w:tab w:val="left" w:pos="4320"/>
        </w:tabs>
      </w:pPr>
    </w:p>
    <w:p w14:paraId="31C47E3E" w14:textId="77777777" w:rsidR="007274AE" w:rsidRDefault="007274AE" w:rsidP="007274AE">
      <w:pPr>
        <w:tabs>
          <w:tab w:val="left" w:pos="4320"/>
        </w:tabs>
      </w:pPr>
      <w:r>
        <w:t>Where the administering authority considers that there is insufficient evidence to establish the commission of the offence and/or the involvement of the applicant in the offence, the administering authority should withdraw the infringement notice.</w:t>
      </w:r>
    </w:p>
    <w:p w14:paraId="5A2BCDE3" w14:textId="77777777" w:rsidR="007274AE" w:rsidRDefault="007274AE" w:rsidP="007274AE">
      <w:pPr>
        <w:tabs>
          <w:tab w:val="left" w:pos="4320"/>
        </w:tabs>
      </w:pPr>
    </w:p>
    <w:p w14:paraId="09816A5E" w14:textId="77777777" w:rsidR="007274AE" w:rsidRPr="00CC52AA" w:rsidRDefault="007274AE" w:rsidP="00B64C61">
      <w:pPr>
        <w:pStyle w:val="Heading2"/>
      </w:pPr>
      <w:bookmarkStart w:id="14" w:name="_Toc158801068"/>
      <w:r w:rsidRPr="00CC52AA">
        <w:t xml:space="preserve">Defence or exemption </w:t>
      </w:r>
      <w:proofErr w:type="gramStart"/>
      <w:r w:rsidRPr="00CC52AA">
        <w:t>applies</w:t>
      </w:r>
      <w:bookmarkEnd w:id="14"/>
      <w:proofErr w:type="gramEnd"/>
    </w:p>
    <w:p w14:paraId="44DA5F68" w14:textId="77777777" w:rsidR="007274AE" w:rsidRDefault="007274AE" w:rsidP="007274AE">
      <w:pPr>
        <w:tabs>
          <w:tab w:val="left" w:pos="4320"/>
        </w:tabs>
      </w:pPr>
    </w:p>
    <w:p w14:paraId="088AE8A9" w14:textId="77777777" w:rsidR="007274AE" w:rsidRDefault="007274AE" w:rsidP="007274AE">
      <w:pPr>
        <w:tabs>
          <w:tab w:val="left" w:pos="4320"/>
        </w:tabs>
      </w:pPr>
      <w:r>
        <w:t>Where the administering authority forms the view that evidence is available that meets or would meet the applicable evidentiary standard to establish that another defence or exemption applies, the infringement notice should be withdrawn.</w:t>
      </w:r>
    </w:p>
    <w:p w14:paraId="239F7F1F" w14:textId="77777777" w:rsidR="007274AE" w:rsidRDefault="007274AE" w:rsidP="007274AE">
      <w:pPr>
        <w:tabs>
          <w:tab w:val="left" w:pos="4320"/>
        </w:tabs>
        <w:rPr>
          <w:i/>
          <w:highlight w:val="yellow"/>
        </w:rPr>
      </w:pPr>
    </w:p>
    <w:p w14:paraId="38DC9EF4" w14:textId="77777777" w:rsidR="007274AE" w:rsidRPr="00CC52AA" w:rsidRDefault="007274AE" w:rsidP="00B64C61">
      <w:pPr>
        <w:pStyle w:val="Heading2"/>
      </w:pPr>
      <w:bookmarkStart w:id="15" w:name="_Toc158801069"/>
      <w:r w:rsidRPr="00CC52AA">
        <w:t>Exceptional circumstances</w:t>
      </w:r>
      <w:bookmarkEnd w:id="15"/>
    </w:p>
    <w:p w14:paraId="02CAD68E" w14:textId="77777777" w:rsidR="007274AE" w:rsidRDefault="007274AE" w:rsidP="007274AE">
      <w:pPr>
        <w:tabs>
          <w:tab w:val="left" w:pos="4320"/>
        </w:tabs>
      </w:pPr>
    </w:p>
    <w:p w14:paraId="0603299C" w14:textId="77777777" w:rsidR="0081433A" w:rsidRDefault="007274AE" w:rsidP="007274AE">
      <w:pPr>
        <w:tabs>
          <w:tab w:val="left" w:pos="4320"/>
        </w:tabs>
      </w:pPr>
      <w:r>
        <w:t xml:space="preserve">An applicant can seek withdrawal on the grounds of exceptional circumstances. </w:t>
      </w:r>
    </w:p>
    <w:p w14:paraId="74D51045" w14:textId="77777777" w:rsidR="0081433A" w:rsidRDefault="0081433A" w:rsidP="007274AE">
      <w:pPr>
        <w:tabs>
          <w:tab w:val="left" w:pos="4320"/>
        </w:tabs>
      </w:pPr>
    </w:p>
    <w:p w14:paraId="3A95A5E1" w14:textId="425FEB5C" w:rsidR="007274AE" w:rsidRDefault="007274AE" w:rsidP="007274AE">
      <w:pPr>
        <w:tabs>
          <w:tab w:val="left" w:pos="4320"/>
        </w:tabs>
      </w:pPr>
      <w:r>
        <w:t>Where an applicant seeks withdrawal on this basis, the application must be accompanied by a statement detailing the exceptional circumstances and attach supporting evidence of the event.</w:t>
      </w:r>
    </w:p>
    <w:p w14:paraId="1A098D99" w14:textId="77777777" w:rsidR="007274AE" w:rsidRDefault="007274AE" w:rsidP="007274AE">
      <w:pPr>
        <w:tabs>
          <w:tab w:val="left" w:pos="4320"/>
        </w:tabs>
      </w:pPr>
    </w:p>
    <w:p w14:paraId="7B89DD6D" w14:textId="2EA46348" w:rsidR="007274AE" w:rsidRDefault="007274AE" w:rsidP="007274AE">
      <w:pPr>
        <w:tabs>
          <w:tab w:val="left" w:pos="4320"/>
        </w:tabs>
      </w:pPr>
      <w:r>
        <w:t xml:space="preserve">When deciding whether to withdraw an infringement notice on these grounds, the administering authority must consider the specific circumstances and alternative options available to the applicant, the risks posed to other </w:t>
      </w:r>
      <w:r w:rsidR="0081433A">
        <w:t>persons</w:t>
      </w:r>
      <w:r>
        <w:t xml:space="preserve"> and any other relevant circumstances.</w:t>
      </w:r>
    </w:p>
    <w:p w14:paraId="73009D4C" w14:textId="77777777" w:rsidR="007274AE" w:rsidRDefault="007274AE" w:rsidP="007274AE">
      <w:pPr>
        <w:tabs>
          <w:tab w:val="left" w:pos="4320"/>
        </w:tabs>
      </w:pPr>
    </w:p>
    <w:p w14:paraId="799F72CE" w14:textId="2E2938E8" w:rsidR="007274AE" w:rsidRDefault="007274AE" w:rsidP="007274AE">
      <w:pPr>
        <w:tabs>
          <w:tab w:val="left" w:pos="4320"/>
        </w:tabs>
      </w:pPr>
      <w:r>
        <w:t xml:space="preserve">Examples of exceptional circumstances </w:t>
      </w:r>
      <w:r w:rsidR="0081433A">
        <w:t>include</w:t>
      </w:r>
      <w:r>
        <w:t>:</w:t>
      </w:r>
    </w:p>
    <w:p w14:paraId="75042EF6" w14:textId="77777777" w:rsidR="007274AE" w:rsidRPr="00FD743D" w:rsidRDefault="007274AE" w:rsidP="007274AE">
      <w:pPr>
        <w:pStyle w:val="ListParagraph"/>
        <w:numPr>
          <w:ilvl w:val="0"/>
          <w:numId w:val="24"/>
        </w:numPr>
        <w:tabs>
          <w:tab w:val="left" w:pos="4320"/>
        </w:tabs>
        <w:spacing w:before="120"/>
        <w:ind w:left="714" w:hanging="357"/>
        <w:contextualSpacing w:val="0"/>
      </w:pPr>
      <w:proofErr w:type="gramStart"/>
      <w:r w:rsidRPr="00FD743D">
        <w:t>Emergency situation</w:t>
      </w:r>
      <w:proofErr w:type="gramEnd"/>
      <w:r w:rsidRPr="00FD743D">
        <w:t xml:space="preserve"> or similar event as opposed to a diagnosed condition or late for an appointment</w:t>
      </w:r>
      <w:r>
        <w:t>.</w:t>
      </w:r>
    </w:p>
    <w:p w14:paraId="3C8A8363" w14:textId="62F337C7" w:rsidR="007274AE" w:rsidRPr="00FD743D" w:rsidRDefault="007274AE" w:rsidP="007274AE">
      <w:pPr>
        <w:pStyle w:val="ListParagraph"/>
        <w:numPr>
          <w:ilvl w:val="0"/>
          <w:numId w:val="24"/>
        </w:numPr>
        <w:tabs>
          <w:tab w:val="left" w:pos="4320"/>
        </w:tabs>
        <w:spacing w:before="120"/>
        <w:ind w:left="714" w:hanging="357"/>
        <w:contextualSpacing w:val="0"/>
      </w:pPr>
      <w:r w:rsidRPr="00FD743D">
        <w:t>Unexpected trauma</w:t>
      </w:r>
      <w:r>
        <w:t>.</w:t>
      </w:r>
    </w:p>
    <w:p w14:paraId="28DF35B9" w14:textId="77777777" w:rsidR="007274AE" w:rsidRPr="00FD743D" w:rsidRDefault="007274AE" w:rsidP="007274AE">
      <w:pPr>
        <w:pStyle w:val="ListParagraph"/>
        <w:numPr>
          <w:ilvl w:val="0"/>
          <w:numId w:val="24"/>
        </w:numPr>
        <w:tabs>
          <w:tab w:val="left" w:pos="4320"/>
        </w:tabs>
        <w:spacing w:before="120"/>
        <w:ind w:left="714" w:hanging="357"/>
        <w:contextualSpacing w:val="0"/>
      </w:pPr>
      <w:r w:rsidRPr="00FD743D">
        <w:t>Unforeseen or unpreventable circumstance for example a medical emergency</w:t>
      </w:r>
      <w:r>
        <w:t>.</w:t>
      </w:r>
    </w:p>
    <w:p w14:paraId="6764EB8B" w14:textId="77777777" w:rsidR="007274AE" w:rsidRDefault="007274AE" w:rsidP="007274AE">
      <w:pPr>
        <w:tabs>
          <w:tab w:val="left" w:pos="4320"/>
        </w:tabs>
      </w:pPr>
    </w:p>
    <w:p w14:paraId="25AD1F65" w14:textId="27AFB119" w:rsidR="007274AE" w:rsidRDefault="007274AE" w:rsidP="007274AE">
      <w:pPr>
        <w:tabs>
          <w:tab w:val="left" w:pos="4320"/>
        </w:tabs>
      </w:pPr>
      <w:r>
        <w:t>Where the grounds for withdrawal relate to an emergency medical situation or event, supporting evidence required includes a statement from a registered health practitioner, hospital records, police report</w:t>
      </w:r>
      <w:r w:rsidR="006B3699">
        <w:t>,</w:t>
      </w:r>
      <w:r>
        <w:t xml:space="preserve"> or similar report.</w:t>
      </w:r>
    </w:p>
    <w:p w14:paraId="7D9A2EBE" w14:textId="77777777" w:rsidR="007274AE" w:rsidRPr="001B3864" w:rsidRDefault="007274AE" w:rsidP="007274AE">
      <w:pPr>
        <w:tabs>
          <w:tab w:val="left" w:pos="4320"/>
        </w:tabs>
      </w:pPr>
    </w:p>
    <w:p w14:paraId="1F00330D" w14:textId="77777777" w:rsidR="007274AE" w:rsidRPr="009F34AD" w:rsidRDefault="007274AE" w:rsidP="00B64C61">
      <w:pPr>
        <w:pStyle w:val="Heading2"/>
      </w:pPr>
      <w:bookmarkStart w:id="16" w:name="_Toc158801070"/>
      <w:r w:rsidRPr="009F34AD">
        <w:lastRenderedPageBreak/>
        <w:t>Child</w:t>
      </w:r>
      <w:bookmarkEnd w:id="16"/>
    </w:p>
    <w:p w14:paraId="65B32F4B" w14:textId="77777777" w:rsidR="007274AE" w:rsidRPr="009F34AD" w:rsidRDefault="007274AE" w:rsidP="007274AE">
      <w:pPr>
        <w:tabs>
          <w:tab w:val="left" w:pos="4320"/>
        </w:tabs>
      </w:pPr>
    </w:p>
    <w:p w14:paraId="4F5EBB46" w14:textId="019A7A64" w:rsidR="007274AE" w:rsidRPr="009F34AD" w:rsidRDefault="007274AE" w:rsidP="007274AE">
      <w:pPr>
        <w:tabs>
          <w:tab w:val="left" w:pos="4320"/>
        </w:tabs>
      </w:pPr>
      <w:bookmarkStart w:id="17" w:name="_Hlk158887532"/>
      <w:r w:rsidRPr="009F34AD">
        <w:t>While</w:t>
      </w:r>
      <w:r w:rsidR="00CB6C90">
        <w:t xml:space="preserve"> some</w:t>
      </w:r>
      <w:r w:rsidRPr="009F34AD">
        <w:t xml:space="preserve"> infringement notices can be issued to persons </w:t>
      </w:r>
      <w:r w:rsidR="00CB6C90">
        <w:t>under</w:t>
      </w:r>
      <w:r w:rsidR="00CB6C90" w:rsidRPr="009F34AD">
        <w:t xml:space="preserve"> </w:t>
      </w:r>
      <w:r w:rsidRPr="009F34AD">
        <w:t xml:space="preserve">the age of </w:t>
      </w:r>
      <w:r w:rsidR="00CB6C90" w:rsidRPr="009F34AD">
        <w:t>1</w:t>
      </w:r>
      <w:r w:rsidR="00CB6C90">
        <w:t>8</w:t>
      </w:r>
      <w:r w:rsidR="00CB6C90" w:rsidRPr="009F34AD">
        <w:t xml:space="preserve"> </w:t>
      </w:r>
      <w:r w:rsidRPr="009F34AD">
        <w:t xml:space="preserve">years old, the first option </w:t>
      </w:r>
      <w:r w:rsidR="00CB6C90">
        <w:t>should</w:t>
      </w:r>
      <w:r w:rsidR="00CB6C90" w:rsidRPr="009F34AD">
        <w:t xml:space="preserve"> </w:t>
      </w:r>
      <w:r w:rsidR="00CB6C90">
        <w:t>be</w:t>
      </w:r>
      <w:r w:rsidR="00CB6C90" w:rsidRPr="009F34AD">
        <w:t xml:space="preserve"> </w:t>
      </w:r>
      <w:r w:rsidRPr="009F34AD">
        <w:t>to educate children about appropriate behaviour, through informal interaction or by issuing a caution.</w:t>
      </w:r>
    </w:p>
    <w:bookmarkEnd w:id="17"/>
    <w:p w14:paraId="004348AC" w14:textId="77777777" w:rsidR="007274AE" w:rsidRPr="009F34AD" w:rsidRDefault="007274AE" w:rsidP="007274AE">
      <w:pPr>
        <w:tabs>
          <w:tab w:val="left" w:pos="4320"/>
        </w:tabs>
      </w:pPr>
    </w:p>
    <w:p w14:paraId="3047929A" w14:textId="5C06DE38" w:rsidR="007274AE" w:rsidRPr="009F34AD" w:rsidRDefault="007274AE" w:rsidP="00B64C61">
      <w:pPr>
        <w:keepNext/>
        <w:tabs>
          <w:tab w:val="left" w:pos="4320"/>
        </w:tabs>
      </w:pPr>
      <w:r w:rsidRPr="009F34AD">
        <w:t xml:space="preserve">In determining an application for withdrawal of an infringement notice issued to a child, the administering authority must </w:t>
      </w:r>
      <w:proofErr w:type="gramStart"/>
      <w:r w:rsidRPr="009F34AD">
        <w:t>give consideration to</w:t>
      </w:r>
      <w:proofErr w:type="gramEnd"/>
      <w:r w:rsidRPr="009F34AD">
        <w:t>:</w:t>
      </w:r>
    </w:p>
    <w:p w14:paraId="44CFE68D" w14:textId="77777777" w:rsidR="007274AE" w:rsidRPr="009F34AD" w:rsidRDefault="007274AE" w:rsidP="007274AE">
      <w:pPr>
        <w:pStyle w:val="ListParagraph"/>
        <w:numPr>
          <w:ilvl w:val="0"/>
          <w:numId w:val="24"/>
        </w:numPr>
        <w:tabs>
          <w:tab w:val="left" w:pos="4320"/>
        </w:tabs>
        <w:spacing w:before="120"/>
        <w:ind w:left="714" w:hanging="357"/>
        <w:contextualSpacing w:val="0"/>
      </w:pPr>
      <w:r w:rsidRPr="009F34AD">
        <w:t>The family circumstances and whether any other grounds for withdrawal would apply.</w:t>
      </w:r>
    </w:p>
    <w:p w14:paraId="76CC97D2" w14:textId="77777777" w:rsidR="007274AE" w:rsidRPr="009F34AD" w:rsidRDefault="007274AE" w:rsidP="007274AE">
      <w:pPr>
        <w:pStyle w:val="ListParagraph"/>
        <w:numPr>
          <w:ilvl w:val="0"/>
          <w:numId w:val="24"/>
        </w:numPr>
        <w:tabs>
          <w:tab w:val="left" w:pos="4320"/>
        </w:tabs>
        <w:spacing w:before="120"/>
        <w:ind w:left="714" w:hanging="357"/>
        <w:contextualSpacing w:val="0"/>
      </w:pPr>
      <w:r w:rsidRPr="009F34AD">
        <w:t xml:space="preserve">Action taken to address the behaviour by the child’s parent, </w:t>
      </w:r>
      <w:proofErr w:type="gramStart"/>
      <w:r w:rsidRPr="009F34AD">
        <w:t>guardian</w:t>
      </w:r>
      <w:proofErr w:type="gramEnd"/>
      <w:r w:rsidRPr="009F34AD">
        <w:t xml:space="preserve"> or carer.</w:t>
      </w:r>
    </w:p>
    <w:p w14:paraId="21E94302" w14:textId="77777777" w:rsidR="007274AE" w:rsidRDefault="007274AE" w:rsidP="007274AE">
      <w:pPr>
        <w:tabs>
          <w:tab w:val="left" w:pos="4320"/>
        </w:tabs>
      </w:pPr>
    </w:p>
    <w:p w14:paraId="0CBC76FA" w14:textId="77777777" w:rsidR="007274AE" w:rsidRPr="00CC52AA" w:rsidRDefault="007274AE" w:rsidP="00B64C61">
      <w:pPr>
        <w:pStyle w:val="Heading2"/>
      </w:pPr>
      <w:bookmarkStart w:id="18" w:name="_Toc158801071"/>
      <w:r w:rsidRPr="00CC52AA">
        <w:t xml:space="preserve">Deceased or moved overseas </w:t>
      </w:r>
      <w:proofErr w:type="gramStart"/>
      <w:r w:rsidRPr="00CC52AA">
        <w:t>permanently</w:t>
      </w:r>
      <w:bookmarkEnd w:id="18"/>
      <w:proofErr w:type="gramEnd"/>
    </w:p>
    <w:p w14:paraId="352D00BB" w14:textId="77777777" w:rsidR="007274AE" w:rsidRDefault="007274AE" w:rsidP="007274AE">
      <w:pPr>
        <w:tabs>
          <w:tab w:val="left" w:pos="4320"/>
        </w:tabs>
      </w:pPr>
    </w:p>
    <w:p w14:paraId="1A81CA59" w14:textId="246B67EA" w:rsidR="007274AE" w:rsidRDefault="007274AE" w:rsidP="007274AE">
      <w:pPr>
        <w:tabs>
          <w:tab w:val="left" w:pos="4320"/>
        </w:tabs>
      </w:pPr>
      <w:r>
        <w:t>Where the person served with the infringement notice offence is now deceased or has moved overseas permanently, the administering authority must withdraw the infringement notice on receipt of:</w:t>
      </w:r>
    </w:p>
    <w:p w14:paraId="003C6598" w14:textId="77777777" w:rsidR="007274AE" w:rsidRDefault="007274AE" w:rsidP="007274AE">
      <w:pPr>
        <w:pStyle w:val="ListParagraph"/>
        <w:numPr>
          <w:ilvl w:val="0"/>
          <w:numId w:val="15"/>
        </w:numPr>
        <w:tabs>
          <w:tab w:val="left" w:pos="4320"/>
        </w:tabs>
        <w:spacing w:before="120"/>
        <w:ind w:left="714" w:hanging="357"/>
        <w:contextualSpacing w:val="0"/>
      </w:pPr>
      <w:r>
        <w:t>a death certificate, fact of death notification or funeral notice; or</w:t>
      </w:r>
    </w:p>
    <w:p w14:paraId="2812209B" w14:textId="77777777" w:rsidR="007274AE" w:rsidRDefault="007274AE" w:rsidP="007274AE">
      <w:pPr>
        <w:pStyle w:val="ListParagraph"/>
        <w:numPr>
          <w:ilvl w:val="0"/>
          <w:numId w:val="15"/>
        </w:numPr>
        <w:tabs>
          <w:tab w:val="left" w:pos="4320"/>
        </w:tabs>
        <w:spacing w:before="120"/>
        <w:ind w:left="714" w:hanging="357"/>
        <w:contextualSpacing w:val="0"/>
      </w:pPr>
      <w:r w:rsidRPr="00892197">
        <w:t>a statement stating details of permanent move overseas with su</w:t>
      </w:r>
      <w:r>
        <w:t>pporting evidence, for example, confirmation of address overseas, evidence of employment or study overseas.</w:t>
      </w:r>
    </w:p>
    <w:p w14:paraId="5A79B07A" w14:textId="77777777" w:rsidR="007274AE" w:rsidRPr="009F34AD" w:rsidRDefault="007274AE" w:rsidP="007274AE">
      <w:pPr>
        <w:tabs>
          <w:tab w:val="left" w:pos="4320"/>
        </w:tabs>
      </w:pPr>
    </w:p>
    <w:p w14:paraId="04DE3E7D" w14:textId="77777777" w:rsidR="007274AE" w:rsidRPr="00CC52AA" w:rsidRDefault="007274AE" w:rsidP="00B64C61">
      <w:pPr>
        <w:pStyle w:val="Heading2"/>
      </w:pPr>
      <w:bookmarkStart w:id="19" w:name="_Toc158801072"/>
      <w:r w:rsidRPr="00CC52AA">
        <w:t>Prior good behaviour</w:t>
      </w:r>
      <w:bookmarkEnd w:id="19"/>
    </w:p>
    <w:p w14:paraId="5D0FF2A3" w14:textId="77777777" w:rsidR="007274AE" w:rsidRDefault="007274AE" w:rsidP="007274AE">
      <w:pPr>
        <w:tabs>
          <w:tab w:val="left" w:pos="4320"/>
        </w:tabs>
      </w:pPr>
    </w:p>
    <w:p w14:paraId="47DC3E04" w14:textId="65CA25BD" w:rsidR="007274AE" w:rsidRDefault="007274AE" w:rsidP="007274AE">
      <w:pPr>
        <w:tabs>
          <w:tab w:val="left" w:pos="4320"/>
        </w:tabs>
      </w:pPr>
      <w:r>
        <w:t xml:space="preserve">In considering whether to withdraw an infringement notice based on an applicant’s prior good behaviour, the administering authority must </w:t>
      </w:r>
      <w:proofErr w:type="gramStart"/>
      <w:r>
        <w:t>take into account</w:t>
      </w:r>
      <w:proofErr w:type="gramEnd"/>
      <w:r>
        <w:t>:</w:t>
      </w:r>
    </w:p>
    <w:p w14:paraId="67440162" w14:textId="1A29E3D3" w:rsidR="007274AE" w:rsidRDefault="007274AE" w:rsidP="007274AE">
      <w:pPr>
        <w:pStyle w:val="ListParagraph"/>
        <w:numPr>
          <w:ilvl w:val="0"/>
          <w:numId w:val="17"/>
        </w:numPr>
        <w:tabs>
          <w:tab w:val="left" w:pos="4320"/>
        </w:tabs>
        <w:spacing w:before="120"/>
        <w:ind w:left="714" w:hanging="357"/>
        <w:contextualSpacing w:val="0"/>
      </w:pPr>
      <w:r>
        <w:t xml:space="preserve">the circumstances in which the infringement notice was issued, including the level of risk posed by the applicant’s behaviour to </w:t>
      </w:r>
      <w:proofErr w:type="gramStart"/>
      <w:r>
        <w:t>others;</w:t>
      </w:r>
      <w:proofErr w:type="gramEnd"/>
    </w:p>
    <w:p w14:paraId="36F5F5F4" w14:textId="77777777" w:rsidR="007274AE" w:rsidRDefault="007274AE" w:rsidP="007274AE">
      <w:pPr>
        <w:pStyle w:val="ListParagraph"/>
        <w:numPr>
          <w:ilvl w:val="0"/>
          <w:numId w:val="17"/>
        </w:numPr>
        <w:tabs>
          <w:tab w:val="left" w:pos="4320"/>
        </w:tabs>
        <w:spacing w:before="120"/>
        <w:ind w:left="714" w:hanging="357"/>
        <w:contextualSpacing w:val="0"/>
      </w:pPr>
      <w:r>
        <w:t>the seriousness of the offence; and</w:t>
      </w:r>
    </w:p>
    <w:p w14:paraId="14E953F5" w14:textId="77777777" w:rsidR="007274AE" w:rsidRDefault="007274AE" w:rsidP="007274AE">
      <w:pPr>
        <w:pStyle w:val="ListParagraph"/>
        <w:numPr>
          <w:ilvl w:val="0"/>
          <w:numId w:val="17"/>
        </w:numPr>
        <w:tabs>
          <w:tab w:val="left" w:pos="4320"/>
        </w:tabs>
        <w:spacing w:before="120"/>
        <w:ind w:left="714" w:hanging="357"/>
        <w:contextualSpacing w:val="0"/>
      </w:pPr>
      <w:r>
        <w:t>the extent to which the applicant was aware, or ought reasonably to have been aware, that the conduct constituting the offence was contrary to law.</w:t>
      </w:r>
    </w:p>
    <w:p w14:paraId="564687F6" w14:textId="77777777" w:rsidR="007274AE" w:rsidRDefault="007274AE" w:rsidP="007274AE">
      <w:pPr>
        <w:tabs>
          <w:tab w:val="left" w:pos="4320"/>
        </w:tabs>
      </w:pPr>
    </w:p>
    <w:p w14:paraId="30BB6167" w14:textId="30ED87D2" w:rsidR="007274AE" w:rsidRPr="009F34AD" w:rsidRDefault="007274AE" w:rsidP="007274AE">
      <w:pPr>
        <w:tabs>
          <w:tab w:val="left" w:pos="4320"/>
        </w:tabs>
      </w:pPr>
      <w:r>
        <w:t xml:space="preserve">A </w:t>
      </w:r>
      <w:r w:rsidRPr="0040000F">
        <w:rPr>
          <w:b/>
          <w:i/>
        </w:rPr>
        <w:t>prior good behaviour</w:t>
      </w:r>
      <w:r>
        <w:t xml:space="preserve"> record is the applicant has</w:t>
      </w:r>
      <w:r w:rsidR="006B3699">
        <w:t>,</w:t>
      </w:r>
      <w:r>
        <w:t xml:space="preserve"> in the previous </w:t>
      </w:r>
      <w:proofErr w:type="gramStart"/>
      <w:r>
        <w:t>5 year</w:t>
      </w:r>
      <w:proofErr w:type="gramEnd"/>
      <w:r>
        <w:t xml:space="preserve"> period</w:t>
      </w:r>
      <w:r w:rsidR="006B3699">
        <w:t>,</w:t>
      </w:r>
      <w:r>
        <w:t xml:space="preserve"> been generally of good behaviour</w:t>
      </w:r>
      <w:r w:rsidRPr="00D36027">
        <w:t>, for example, no infringement notices issued under the road transport legislation</w:t>
      </w:r>
      <w:r w:rsidR="007B0222">
        <w:t xml:space="preserve"> or issued under a regulation of the </w:t>
      </w:r>
      <w:r w:rsidR="007B0222">
        <w:rPr>
          <w:i/>
          <w:iCs/>
        </w:rPr>
        <w:t>Magistrates Court Act 1930</w:t>
      </w:r>
      <w:r w:rsidRPr="00D36027">
        <w:t>,</w:t>
      </w:r>
      <w:r w:rsidR="007B0222">
        <w:t xml:space="preserve"> and</w:t>
      </w:r>
      <w:r w:rsidRPr="00D36027">
        <w:t xml:space="preserve"> no warnings issued in relation to offences under the road transport legislation</w:t>
      </w:r>
      <w:r w:rsidR="007B0222">
        <w:t xml:space="preserve"> or in relation to a regulation of the </w:t>
      </w:r>
      <w:r w:rsidR="007B0222">
        <w:rPr>
          <w:i/>
          <w:iCs/>
        </w:rPr>
        <w:t>Magistrates Court Act 1930</w:t>
      </w:r>
      <w:r>
        <w:t>.</w:t>
      </w:r>
    </w:p>
    <w:p w14:paraId="1F9478FF" w14:textId="77777777" w:rsidR="007274AE" w:rsidRDefault="007274AE" w:rsidP="007274AE">
      <w:pPr>
        <w:tabs>
          <w:tab w:val="left" w:pos="4320"/>
        </w:tabs>
      </w:pPr>
    </w:p>
    <w:p w14:paraId="2457E3A1" w14:textId="77777777" w:rsidR="007274AE" w:rsidRPr="00A43459" w:rsidRDefault="007274AE" w:rsidP="00B64C61">
      <w:pPr>
        <w:pStyle w:val="Heading1"/>
      </w:pPr>
      <w:bookmarkStart w:id="20" w:name="_Toc158801073"/>
      <w:r w:rsidRPr="00A43459">
        <w:t>NOTIFICATION OF DECISION</w:t>
      </w:r>
      <w:bookmarkEnd w:id="20"/>
    </w:p>
    <w:p w14:paraId="5AC46929" w14:textId="77777777" w:rsidR="007274AE" w:rsidRDefault="007274AE" w:rsidP="007274AE">
      <w:pPr>
        <w:tabs>
          <w:tab w:val="left" w:pos="4320"/>
        </w:tabs>
      </w:pPr>
    </w:p>
    <w:p w14:paraId="3C032349" w14:textId="4C4EE727" w:rsidR="007274AE" w:rsidRDefault="007274AE" w:rsidP="007274AE">
      <w:pPr>
        <w:tabs>
          <w:tab w:val="left" w:pos="4320"/>
        </w:tabs>
      </w:pPr>
      <w:r>
        <w:t xml:space="preserve">The administering authority must give written notice to an applicant of their decision in respect to their application in accordance with section </w:t>
      </w:r>
      <w:r w:rsidR="00BD4CBE">
        <w:t>127</w:t>
      </w:r>
      <w:r>
        <w:t xml:space="preserve"> of the </w:t>
      </w:r>
      <w:r w:rsidR="00BD4CBE">
        <w:rPr>
          <w:i/>
        </w:rPr>
        <w:t>Magistrates Court Act 1930</w:t>
      </w:r>
      <w:r>
        <w:t>.</w:t>
      </w:r>
    </w:p>
    <w:p w14:paraId="5F6D75BE" w14:textId="77777777" w:rsidR="007274AE" w:rsidRDefault="007274AE" w:rsidP="007274AE">
      <w:pPr>
        <w:tabs>
          <w:tab w:val="left" w:pos="4320"/>
        </w:tabs>
      </w:pPr>
    </w:p>
    <w:p w14:paraId="054AEC25" w14:textId="77777777" w:rsidR="007274AE" w:rsidRDefault="007274AE" w:rsidP="00CB6C90">
      <w:pPr>
        <w:keepNext/>
        <w:tabs>
          <w:tab w:val="left" w:pos="4320"/>
        </w:tabs>
      </w:pPr>
      <w:r>
        <w:lastRenderedPageBreak/>
        <w:t>A decision to withdraw (a withdrawal notice) must:</w:t>
      </w:r>
    </w:p>
    <w:p w14:paraId="2651ED0F" w14:textId="77777777" w:rsidR="007274AE" w:rsidRDefault="007274AE" w:rsidP="007274AE">
      <w:pPr>
        <w:pStyle w:val="ListParagraph"/>
        <w:numPr>
          <w:ilvl w:val="0"/>
          <w:numId w:val="21"/>
        </w:numPr>
        <w:tabs>
          <w:tab w:val="left" w:pos="4320"/>
        </w:tabs>
        <w:spacing w:before="120"/>
        <w:ind w:left="714" w:hanging="357"/>
        <w:contextualSpacing w:val="0"/>
      </w:pPr>
      <w:r>
        <w:t>include the infringement notice number and the date of the offence and if known, the date the infringement notice was served; and</w:t>
      </w:r>
    </w:p>
    <w:p w14:paraId="300012F8" w14:textId="77777777" w:rsidR="007274AE" w:rsidRDefault="007274AE" w:rsidP="007274AE">
      <w:pPr>
        <w:pStyle w:val="ListParagraph"/>
        <w:numPr>
          <w:ilvl w:val="0"/>
          <w:numId w:val="21"/>
        </w:numPr>
        <w:tabs>
          <w:tab w:val="left" w:pos="4320"/>
        </w:tabs>
        <w:spacing w:before="120"/>
        <w:ind w:left="714" w:hanging="357"/>
        <w:contextualSpacing w:val="0"/>
      </w:pPr>
      <w:r>
        <w:t>tell the person that the infringement notice is withdrawn and, in general terms, about the effect of the withdrawal notice.</w:t>
      </w:r>
    </w:p>
    <w:p w14:paraId="0DE4889E" w14:textId="77777777" w:rsidR="007274AE" w:rsidRPr="00BE59EE" w:rsidRDefault="007274AE" w:rsidP="007274AE">
      <w:pPr>
        <w:tabs>
          <w:tab w:val="left" w:pos="4320"/>
        </w:tabs>
        <w:spacing w:before="120"/>
      </w:pPr>
      <w:r w:rsidRPr="00CC52AA">
        <w:t>A decision not to withdraw must provide the applicant with reasons why the</w:t>
      </w:r>
      <w:r>
        <w:t>ir</w:t>
      </w:r>
      <w:r w:rsidRPr="00CC52AA">
        <w:t xml:space="preserve"> application has been refused.</w:t>
      </w:r>
    </w:p>
    <w:p w14:paraId="1359C4AE" w14:textId="77777777" w:rsidR="007274AE" w:rsidRDefault="007274AE" w:rsidP="007274AE">
      <w:pPr>
        <w:tabs>
          <w:tab w:val="left" w:pos="4320"/>
        </w:tabs>
      </w:pPr>
    </w:p>
    <w:p w14:paraId="75DB1249" w14:textId="4DD8E987" w:rsidR="007274AE" w:rsidRDefault="007274AE" w:rsidP="007274AE">
      <w:pPr>
        <w:tabs>
          <w:tab w:val="left" w:pos="4320"/>
        </w:tabs>
      </w:pPr>
      <w:r w:rsidRPr="007B0222">
        <w:t xml:space="preserve">When notifying an applicant of the decision to refuse an application for withdrawal of an infringement notice, the administering authority must inform the applicant of the ability to apply for waiver </w:t>
      </w:r>
      <w:r w:rsidR="0074049B">
        <w:t xml:space="preserve">(section 131AE) </w:t>
      </w:r>
      <w:r w:rsidRPr="007B0222">
        <w:t xml:space="preserve">or </w:t>
      </w:r>
      <w:proofErr w:type="gramStart"/>
      <w:r w:rsidRPr="007B0222">
        <w:t>enter into</w:t>
      </w:r>
      <w:proofErr w:type="gramEnd"/>
      <w:r w:rsidRPr="007B0222">
        <w:t xml:space="preserve"> an infringement notice management plan</w:t>
      </w:r>
      <w:r w:rsidR="0074049B">
        <w:t xml:space="preserve"> (section 131AA)</w:t>
      </w:r>
      <w:r w:rsidRPr="007B0222">
        <w:t>.</w:t>
      </w:r>
    </w:p>
    <w:p w14:paraId="70597ADE" w14:textId="77777777" w:rsidR="007274AE" w:rsidRDefault="007274AE" w:rsidP="007274AE">
      <w:pPr>
        <w:tabs>
          <w:tab w:val="left" w:pos="4320"/>
        </w:tabs>
      </w:pPr>
    </w:p>
    <w:p w14:paraId="1750B58C" w14:textId="5FD912B6" w:rsidR="007274AE" w:rsidRDefault="007274AE" w:rsidP="00BD4CBE">
      <w:pPr>
        <w:tabs>
          <w:tab w:val="left" w:pos="4320"/>
        </w:tabs>
      </w:pPr>
      <w:r>
        <w:t>Waiver can only be considered at the same time as an application for withdrawal if sufficient evidence has been provided to the administering authority to enable it to determine whether the application satisfies the grounds for waiver (see the Guidelines issued for waiver of infringement notice penalties).</w:t>
      </w:r>
      <w:r w:rsidRPr="00243366">
        <w:t xml:space="preserve"> </w:t>
      </w:r>
      <w:r>
        <w:t>A waiver can only be granted for the financial component and any other penalties associated with the offence will still apply.</w:t>
      </w:r>
    </w:p>
    <w:sectPr w:rsidR="007274AE" w:rsidSect="00B64C61">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87A47D" w14:textId="77777777" w:rsidR="009267BA" w:rsidRDefault="009267BA" w:rsidP="00F10CB2">
      <w:r>
        <w:separator/>
      </w:r>
    </w:p>
  </w:endnote>
  <w:endnote w:type="continuationSeparator" w:id="0">
    <w:p w14:paraId="42A3B791" w14:textId="77777777" w:rsidR="009267BA" w:rsidRDefault="009267BA"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B2F46" w14:textId="77777777" w:rsidR="00910EBF" w:rsidRDefault="00910E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5283787"/>
      <w:docPartObj>
        <w:docPartGallery w:val="Page Numbers (Bottom of Page)"/>
        <w:docPartUnique/>
      </w:docPartObj>
    </w:sdtPr>
    <w:sdtEndPr>
      <w:rPr>
        <w:rFonts w:ascii="Times New Roman" w:hAnsi="Times New Roman"/>
        <w:noProof/>
        <w:sz w:val="24"/>
        <w:szCs w:val="24"/>
      </w:rPr>
    </w:sdtEndPr>
    <w:sdtContent>
      <w:p w14:paraId="7E7B4F28" w14:textId="21504CF0" w:rsidR="00B64C61" w:rsidRPr="00B64C61" w:rsidRDefault="00B64C61">
        <w:pPr>
          <w:pStyle w:val="Footer"/>
          <w:jc w:val="center"/>
          <w:rPr>
            <w:rFonts w:ascii="Times New Roman" w:hAnsi="Times New Roman"/>
            <w:sz w:val="24"/>
            <w:szCs w:val="24"/>
          </w:rPr>
        </w:pPr>
        <w:r w:rsidRPr="00B64C61">
          <w:rPr>
            <w:rFonts w:ascii="Times New Roman" w:hAnsi="Times New Roman"/>
            <w:sz w:val="24"/>
            <w:szCs w:val="24"/>
          </w:rPr>
          <w:fldChar w:fldCharType="begin"/>
        </w:r>
        <w:r w:rsidRPr="00B64C61">
          <w:rPr>
            <w:rFonts w:ascii="Times New Roman" w:hAnsi="Times New Roman"/>
            <w:sz w:val="24"/>
            <w:szCs w:val="24"/>
          </w:rPr>
          <w:instrText xml:space="preserve"> PAGE   \* MERGEFORMAT </w:instrText>
        </w:r>
        <w:r w:rsidRPr="00B64C61">
          <w:rPr>
            <w:rFonts w:ascii="Times New Roman" w:hAnsi="Times New Roman"/>
            <w:sz w:val="24"/>
            <w:szCs w:val="24"/>
          </w:rPr>
          <w:fldChar w:fldCharType="separate"/>
        </w:r>
        <w:r w:rsidRPr="00B64C61">
          <w:rPr>
            <w:rFonts w:ascii="Times New Roman" w:hAnsi="Times New Roman"/>
            <w:noProof/>
            <w:sz w:val="24"/>
            <w:szCs w:val="24"/>
          </w:rPr>
          <w:t>2</w:t>
        </w:r>
        <w:r w:rsidRPr="00B64C61">
          <w:rPr>
            <w:rFonts w:ascii="Times New Roman" w:hAnsi="Times New Roman"/>
            <w:noProof/>
            <w:sz w:val="24"/>
            <w:szCs w:val="24"/>
          </w:rPr>
          <w:fldChar w:fldCharType="end"/>
        </w:r>
      </w:p>
    </w:sdtContent>
  </w:sdt>
  <w:p w14:paraId="2C91C710" w14:textId="3A29FAEF" w:rsidR="00704DC3" w:rsidRPr="00910EBF" w:rsidRDefault="00910EBF" w:rsidP="00910EBF">
    <w:pPr>
      <w:pStyle w:val="Footer"/>
      <w:jc w:val="center"/>
      <w:rPr>
        <w:rFonts w:cs="Arial"/>
        <w:sz w:val="14"/>
      </w:rPr>
    </w:pPr>
    <w:r w:rsidRPr="00910EB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6BD54" w14:textId="77777777" w:rsidR="00910EBF" w:rsidRDefault="00910E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90F271" w14:textId="77777777" w:rsidR="009267BA" w:rsidRDefault="009267BA" w:rsidP="00F10CB2">
      <w:r>
        <w:separator/>
      </w:r>
    </w:p>
  </w:footnote>
  <w:footnote w:type="continuationSeparator" w:id="0">
    <w:p w14:paraId="266B9D14" w14:textId="77777777" w:rsidR="009267BA" w:rsidRDefault="009267BA"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654E1" w14:textId="77777777" w:rsidR="00910EBF" w:rsidRDefault="00910E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932A9" w14:textId="77777777" w:rsidR="00910EBF" w:rsidRDefault="00910E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023E7" w14:textId="77777777" w:rsidR="00910EBF" w:rsidRDefault="00910E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872776B"/>
    <w:multiLevelType w:val="hybridMultilevel"/>
    <w:tmpl w:val="11985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883A4E"/>
    <w:multiLevelType w:val="hybridMultilevel"/>
    <w:tmpl w:val="E3803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3B77960"/>
    <w:multiLevelType w:val="hybridMultilevel"/>
    <w:tmpl w:val="44C6CAC8"/>
    <w:lvl w:ilvl="0" w:tplc="0C09000F">
      <w:start w:val="1"/>
      <w:numFmt w:val="decimal"/>
      <w:lvlText w:val="%1."/>
      <w:lvlJc w:val="left"/>
      <w:pPr>
        <w:ind w:left="1820" w:hanging="360"/>
      </w:pPr>
    </w:lvl>
    <w:lvl w:ilvl="1" w:tplc="0C090019" w:tentative="1">
      <w:start w:val="1"/>
      <w:numFmt w:val="lowerLetter"/>
      <w:lvlText w:val="%2."/>
      <w:lvlJc w:val="left"/>
      <w:pPr>
        <w:ind w:left="2540" w:hanging="360"/>
      </w:pPr>
    </w:lvl>
    <w:lvl w:ilvl="2" w:tplc="0C09001B" w:tentative="1">
      <w:start w:val="1"/>
      <w:numFmt w:val="lowerRoman"/>
      <w:lvlText w:val="%3."/>
      <w:lvlJc w:val="right"/>
      <w:pPr>
        <w:ind w:left="3260" w:hanging="180"/>
      </w:pPr>
    </w:lvl>
    <w:lvl w:ilvl="3" w:tplc="0C09000F" w:tentative="1">
      <w:start w:val="1"/>
      <w:numFmt w:val="decimal"/>
      <w:lvlText w:val="%4."/>
      <w:lvlJc w:val="left"/>
      <w:pPr>
        <w:ind w:left="3980" w:hanging="360"/>
      </w:pPr>
    </w:lvl>
    <w:lvl w:ilvl="4" w:tplc="0C090019" w:tentative="1">
      <w:start w:val="1"/>
      <w:numFmt w:val="lowerLetter"/>
      <w:lvlText w:val="%5."/>
      <w:lvlJc w:val="left"/>
      <w:pPr>
        <w:ind w:left="4700" w:hanging="360"/>
      </w:pPr>
    </w:lvl>
    <w:lvl w:ilvl="5" w:tplc="0C09001B" w:tentative="1">
      <w:start w:val="1"/>
      <w:numFmt w:val="lowerRoman"/>
      <w:lvlText w:val="%6."/>
      <w:lvlJc w:val="right"/>
      <w:pPr>
        <w:ind w:left="5420" w:hanging="180"/>
      </w:pPr>
    </w:lvl>
    <w:lvl w:ilvl="6" w:tplc="0C09000F" w:tentative="1">
      <w:start w:val="1"/>
      <w:numFmt w:val="decimal"/>
      <w:lvlText w:val="%7."/>
      <w:lvlJc w:val="left"/>
      <w:pPr>
        <w:ind w:left="6140" w:hanging="360"/>
      </w:pPr>
    </w:lvl>
    <w:lvl w:ilvl="7" w:tplc="0C090019" w:tentative="1">
      <w:start w:val="1"/>
      <w:numFmt w:val="lowerLetter"/>
      <w:lvlText w:val="%8."/>
      <w:lvlJc w:val="left"/>
      <w:pPr>
        <w:ind w:left="6860" w:hanging="360"/>
      </w:pPr>
    </w:lvl>
    <w:lvl w:ilvl="8" w:tplc="0C09001B" w:tentative="1">
      <w:start w:val="1"/>
      <w:numFmt w:val="lowerRoman"/>
      <w:lvlText w:val="%9."/>
      <w:lvlJc w:val="right"/>
      <w:pPr>
        <w:ind w:left="7580" w:hanging="180"/>
      </w:pPr>
    </w:lvl>
  </w:abstractNum>
  <w:abstractNum w:abstractNumId="12" w15:restartNumberingAfterBreak="0">
    <w:nsid w:val="453E2352"/>
    <w:multiLevelType w:val="hybridMultilevel"/>
    <w:tmpl w:val="2FE4CB26"/>
    <w:lvl w:ilvl="0" w:tplc="8244ECC0">
      <w:start w:val="1"/>
      <w:numFmt w:val="lowerLetter"/>
      <w:lvlText w:val="(%1)"/>
      <w:lvlJc w:val="left"/>
      <w:pPr>
        <w:ind w:left="1520" w:hanging="360"/>
      </w:pPr>
      <w:rPr>
        <w:rFonts w:hint="default"/>
      </w:rPr>
    </w:lvl>
    <w:lvl w:ilvl="1" w:tplc="0C090019" w:tentative="1">
      <w:start w:val="1"/>
      <w:numFmt w:val="lowerLetter"/>
      <w:lvlText w:val="%2."/>
      <w:lvlJc w:val="left"/>
      <w:pPr>
        <w:ind w:left="2240" w:hanging="360"/>
      </w:pPr>
    </w:lvl>
    <w:lvl w:ilvl="2" w:tplc="0C09001B" w:tentative="1">
      <w:start w:val="1"/>
      <w:numFmt w:val="lowerRoman"/>
      <w:lvlText w:val="%3."/>
      <w:lvlJc w:val="right"/>
      <w:pPr>
        <w:ind w:left="2960" w:hanging="180"/>
      </w:pPr>
    </w:lvl>
    <w:lvl w:ilvl="3" w:tplc="0C09000F" w:tentative="1">
      <w:start w:val="1"/>
      <w:numFmt w:val="decimal"/>
      <w:lvlText w:val="%4."/>
      <w:lvlJc w:val="left"/>
      <w:pPr>
        <w:ind w:left="3680" w:hanging="360"/>
      </w:pPr>
    </w:lvl>
    <w:lvl w:ilvl="4" w:tplc="0C090019" w:tentative="1">
      <w:start w:val="1"/>
      <w:numFmt w:val="lowerLetter"/>
      <w:lvlText w:val="%5."/>
      <w:lvlJc w:val="left"/>
      <w:pPr>
        <w:ind w:left="4400" w:hanging="360"/>
      </w:pPr>
    </w:lvl>
    <w:lvl w:ilvl="5" w:tplc="0C09001B" w:tentative="1">
      <w:start w:val="1"/>
      <w:numFmt w:val="lowerRoman"/>
      <w:lvlText w:val="%6."/>
      <w:lvlJc w:val="right"/>
      <w:pPr>
        <w:ind w:left="5120" w:hanging="180"/>
      </w:pPr>
    </w:lvl>
    <w:lvl w:ilvl="6" w:tplc="0C09000F" w:tentative="1">
      <w:start w:val="1"/>
      <w:numFmt w:val="decimal"/>
      <w:lvlText w:val="%7."/>
      <w:lvlJc w:val="left"/>
      <w:pPr>
        <w:ind w:left="5840" w:hanging="360"/>
      </w:pPr>
    </w:lvl>
    <w:lvl w:ilvl="7" w:tplc="0C090019" w:tentative="1">
      <w:start w:val="1"/>
      <w:numFmt w:val="lowerLetter"/>
      <w:lvlText w:val="%8."/>
      <w:lvlJc w:val="left"/>
      <w:pPr>
        <w:ind w:left="6560" w:hanging="360"/>
      </w:pPr>
    </w:lvl>
    <w:lvl w:ilvl="8" w:tplc="0C09001B" w:tentative="1">
      <w:start w:val="1"/>
      <w:numFmt w:val="lowerRoman"/>
      <w:lvlText w:val="%9."/>
      <w:lvlJc w:val="right"/>
      <w:pPr>
        <w:ind w:left="7280" w:hanging="180"/>
      </w:pPr>
    </w:lvl>
  </w:abstractNum>
  <w:abstractNum w:abstractNumId="13" w15:restartNumberingAfterBreak="0">
    <w:nsid w:val="482C0AD9"/>
    <w:multiLevelType w:val="hybridMultilevel"/>
    <w:tmpl w:val="B01E094C"/>
    <w:lvl w:ilvl="0" w:tplc="2250AB04">
      <w:start w:val="1"/>
      <w:numFmt w:val="decimal"/>
      <w:lvlText w:val="%1."/>
      <w:lvlJc w:val="left"/>
      <w:pPr>
        <w:ind w:left="720" w:hanging="360"/>
      </w:pPr>
      <w:rPr>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9186280"/>
    <w:multiLevelType w:val="hybridMultilevel"/>
    <w:tmpl w:val="0C9039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C6465E2"/>
    <w:multiLevelType w:val="hybridMultilevel"/>
    <w:tmpl w:val="96363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D852A57"/>
    <w:multiLevelType w:val="hybridMultilevel"/>
    <w:tmpl w:val="132269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24F560E"/>
    <w:multiLevelType w:val="hybridMultilevel"/>
    <w:tmpl w:val="EE8897E8"/>
    <w:lvl w:ilvl="0" w:tplc="8244ECC0">
      <w:start w:val="1"/>
      <w:numFmt w:val="lowerLetter"/>
      <w:lvlText w:val="(%1)"/>
      <w:lvlJc w:val="left"/>
      <w:pPr>
        <w:ind w:left="1820" w:hanging="360"/>
      </w:pPr>
      <w:rPr>
        <w:rFonts w:hint="default"/>
      </w:rPr>
    </w:lvl>
    <w:lvl w:ilvl="1" w:tplc="FFFFFFFF" w:tentative="1">
      <w:start w:val="1"/>
      <w:numFmt w:val="lowerLetter"/>
      <w:lvlText w:val="%2."/>
      <w:lvlJc w:val="left"/>
      <w:pPr>
        <w:ind w:left="2540" w:hanging="360"/>
      </w:pPr>
    </w:lvl>
    <w:lvl w:ilvl="2" w:tplc="FFFFFFFF" w:tentative="1">
      <w:start w:val="1"/>
      <w:numFmt w:val="lowerRoman"/>
      <w:lvlText w:val="%3."/>
      <w:lvlJc w:val="right"/>
      <w:pPr>
        <w:ind w:left="3260" w:hanging="180"/>
      </w:pPr>
    </w:lvl>
    <w:lvl w:ilvl="3" w:tplc="FFFFFFFF" w:tentative="1">
      <w:start w:val="1"/>
      <w:numFmt w:val="decimal"/>
      <w:lvlText w:val="%4."/>
      <w:lvlJc w:val="left"/>
      <w:pPr>
        <w:ind w:left="3980" w:hanging="360"/>
      </w:pPr>
    </w:lvl>
    <w:lvl w:ilvl="4" w:tplc="FFFFFFFF" w:tentative="1">
      <w:start w:val="1"/>
      <w:numFmt w:val="lowerLetter"/>
      <w:lvlText w:val="%5."/>
      <w:lvlJc w:val="left"/>
      <w:pPr>
        <w:ind w:left="4700" w:hanging="360"/>
      </w:pPr>
    </w:lvl>
    <w:lvl w:ilvl="5" w:tplc="FFFFFFFF" w:tentative="1">
      <w:start w:val="1"/>
      <w:numFmt w:val="lowerRoman"/>
      <w:lvlText w:val="%6."/>
      <w:lvlJc w:val="right"/>
      <w:pPr>
        <w:ind w:left="5420" w:hanging="180"/>
      </w:pPr>
    </w:lvl>
    <w:lvl w:ilvl="6" w:tplc="FFFFFFFF" w:tentative="1">
      <w:start w:val="1"/>
      <w:numFmt w:val="decimal"/>
      <w:lvlText w:val="%7."/>
      <w:lvlJc w:val="left"/>
      <w:pPr>
        <w:ind w:left="6140" w:hanging="360"/>
      </w:pPr>
    </w:lvl>
    <w:lvl w:ilvl="7" w:tplc="FFFFFFFF" w:tentative="1">
      <w:start w:val="1"/>
      <w:numFmt w:val="lowerLetter"/>
      <w:lvlText w:val="%8."/>
      <w:lvlJc w:val="left"/>
      <w:pPr>
        <w:ind w:left="6860" w:hanging="360"/>
      </w:pPr>
    </w:lvl>
    <w:lvl w:ilvl="8" w:tplc="FFFFFFFF" w:tentative="1">
      <w:start w:val="1"/>
      <w:numFmt w:val="lowerRoman"/>
      <w:lvlText w:val="%9."/>
      <w:lvlJc w:val="right"/>
      <w:pPr>
        <w:ind w:left="7580" w:hanging="180"/>
      </w:pPr>
    </w:lvl>
  </w:abstractNum>
  <w:abstractNum w:abstractNumId="18" w15:restartNumberingAfterBreak="0">
    <w:nsid w:val="56124108"/>
    <w:multiLevelType w:val="hybridMultilevel"/>
    <w:tmpl w:val="2FDC54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E4C15E1"/>
    <w:multiLevelType w:val="hybridMultilevel"/>
    <w:tmpl w:val="3DA2ED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1" w15:restartNumberingAfterBreak="0">
    <w:nsid w:val="6FCB0FE0"/>
    <w:multiLevelType w:val="hybridMultilevel"/>
    <w:tmpl w:val="7196FA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842450B"/>
    <w:multiLevelType w:val="hybridMultilevel"/>
    <w:tmpl w:val="DA8835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B6D5488"/>
    <w:multiLevelType w:val="hybridMultilevel"/>
    <w:tmpl w:val="5CCEC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F6475CC"/>
    <w:multiLevelType w:val="hybridMultilevel"/>
    <w:tmpl w:val="2DC41A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24686216">
    <w:abstractNumId w:val="3"/>
  </w:num>
  <w:num w:numId="2" w16cid:durableId="1346983017">
    <w:abstractNumId w:val="0"/>
  </w:num>
  <w:num w:numId="3" w16cid:durableId="564687495">
    <w:abstractNumId w:val="4"/>
  </w:num>
  <w:num w:numId="4" w16cid:durableId="807631892">
    <w:abstractNumId w:val="10"/>
  </w:num>
  <w:num w:numId="5" w16cid:durableId="193731491">
    <w:abstractNumId w:val="20"/>
  </w:num>
  <w:num w:numId="6" w16cid:durableId="1879783215">
    <w:abstractNumId w:val="2"/>
  </w:num>
  <w:num w:numId="7" w16cid:durableId="638460777">
    <w:abstractNumId w:val="8"/>
  </w:num>
  <w:num w:numId="8" w16cid:durableId="1420372736">
    <w:abstractNumId w:val="9"/>
  </w:num>
  <w:num w:numId="9" w16cid:durableId="476382432">
    <w:abstractNumId w:val="7"/>
  </w:num>
  <w:num w:numId="10" w16cid:durableId="572740913">
    <w:abstractNumId w:val="1"/>
  </w:num>
  <w:num w:numId="11" w16cid:durableId="734546763">
    <w:abstractNumId w:val="11"/>
  </w:num>
  <w:num w:numId="12" w16cid:durableId="214704441">
    <w:abstractNumId w:val="12"/>
  </w:num>
  <w:num w:numId="13" w16cid:durableId="566653855">
    <w:abstractNumId w:val="17"/>
  </w:num>
  <w:num w:numId="14" w16cid:durableId="1665548420">
    <w:abstractNumId w:val="15"/>
  </w:num>
  <w:num w:numId="15" w16cid:durableId="975180373">
    <w:abstractNumId w:val="24"/>
  </w:num>
  <w:num w:numId="16" w16cid:durableId="5400093">
    <w:abstractNumId w:val="19"/>
  </w:num>
  <w:num w:numId="17" w16cid:durableId="1031763729">
    <w:abstractNumId w:val="23"/>
  </w:num>
  <w:num w:numId="18" w16cid:durableId="240338863">
    <w:abstractNumId w:val="16"/>
  </w:num>
  <w:num w:numId="19" w16cid:durableId="1090925693">
    <w:abstractNumId w:val="21"/>
  </w:num>
  <w:num w:numId="20" w16cid:durableId="1770009252">
    <w:abstractNumId w:val="5"/>
  </w:num>
  <w:num w:numId="21" w16cid:durableId="1962373951">
    <w:abstractNumId w:val="22"/>
  </w:num>
  <w:num w:numId="22" w16cid:durableId="168982424">
    <w:abstractNumId w:val="14"/>
  </w:num>
  <w:num w:numId="23" w16cid:durableId="1491823511">
    <w:abstractNumId w:val="13"/>
  </w:num>
  <w:num w:numId="24" w16cid:durableId="1286499992">
    <w:abstractNumId w:val="6"/>
  </w:num>
  <w:num w:numId="25" w16cid:durableId="21060019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22B16"/>
    <w:rsid w:val="000A1A69"/>
    <w:rsid w:val="000F263D"/>
    <w:rsid w:val="00194AC7"/>
    <w:rsid w:val="001F096B"/>
    <w:rsid w:val="00232478"/>
    <w:rsid w:val="002470CD"/>
    <w:rsid w:val="00263FE0"/>
    <w:rsid w:val="003526E9"/>
    <w:rsid w:val="0039338B"/>
    <w:rsid w:val="003E65D1"/>
    <w:rsid w:val="005315BA"/>
    <w:rsid w:val="0053188C"/>
    <w:rsid w:val="005C5398"/>
    <w:rsid w:val="005D136D"/>
    <w:rsid w:val="00627F0C"/>
    <w:rsid w:val="00667281"/>
    <w:rsid w:val="006B3699"/>
    <w:rsid w:val="00704DC3"/>
    <w:rsid w:val="0072003E"/>
    <w:rsid w:val="007274AE"/>
    <w:rsid w:val="0074049B"/>
    <w:rsid w:val="007B0222"/>
    <w:rsid w:val="0081433A"/>
    <w:rsid w:val="00814B80"/>
    <w:rsid w:val="00910EBF"/>
    <w:rsid w:val="009267BA"/>
    <w:rsid w:val="009F0F41"/>
    <w:rsid w:val="009F34BB"/>
    <w:rsid w:val="00A0585C"/>
    <w:rsid w:val="00AC0177"/>
    <w:rsid w:val="00B30B9A"/>
    <w:rsid w:val="00B64C61"/>
    <w:rsid w:val="00B756E3"/>
    <w:rsid w:val="00BA52F5"/>
    <w:rsid w:val="00BB241F"/>
    <w:rsid w:val="00BB7C51"/>
    <w:rsid w:val="00BD4CBE"/>
    <w:rsid w:val="00BE7668"/>
    <w:rsid w:val="00C23AC2"/>
    <w:rsid w:val="00C41B1B"/>
    <w:rsid w:val="00C77798"/>
    <w:rsid w:val="00CB6C90"/>
    <w:rsid w:val="00CD4E55"/>
    <w:rsid w:val="00D47F13"/>
    <w:rsid w:val="00D745B7"/>
    <w:rsid w:val="00D90C89"/>
    <w:rsid w:val="00DA6E13"/>
    <w:rsid w:val="00E556F2"/>
    <w:rsid w:val="00E979F5"/>
    <w:rsid w:val="00F04DAD"/>
    <w:rsid w:val="00F07A37"/>
    <w:rsid w:val="00F10CB2"/>
    <w:rsid w:val="00F15AC3"/>
    <w:rsid w:val="00F21121"/>
    <w:rsid w:val="00F30C1E"/>
    <w:rsid w:val="00FD0B98"/>
    <w:rsid w:val="00FF2D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00BD92"/>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B64C61"/>
    <w:pPr>
      <w:tabs>
        <w:tab w:val="left" w:pos="4320"/>
      </w:tabs>
      <w:outlineLvl w:val="0"/>
    </w:pPr>
    <w:rPr>
      <w:b/>
    </w:rPr>
  </w:style>
  <w:style w:type="paragraph" w:styleId="Heading2">
    <w:name w:val="heading 2"/>
    <w:basedOn w:val="Normal"/>
    <w:next w:val="Normal"/>
    <w:qFormat/>
    <w:rsid w:val="00B64C61"/>
    <w:pPr>
      <w:tabs>
        <w:tab w:val="left" w:pos="4320"/>
      </w:tabs>
      <w:outlineLvl w:val="1"/>
    </w:pPr>
    <w:rPr>
      <w:b/>
      <w:i/>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rsid w:val="00B64C61"/>
    <w:pPr>
      <w:tabs>
        <w:tab w:val="right" w:leader="dot" w:pos="8297"/>
      </w:tabs>
    </w:pPr>
  </w:style>
  <w:style w:type="paragraph" w:styleId="TOC2">
    <w:name w:val="toc 2"/>
    <w:basedOn w:val="Normal"/>
    <w:next w:val="Normal"/>
    <w:autoRedefine/>
    <w:uiPriority w:val="39"/>
    <w:rsid w:val="00B64C61"/>
    <w:pPr>
      <w:tabs>
        <w:tab w:val="right" w:leader="dot" w:pos="8297"/>
      </w:tabs>
      <w:ind w:left="240"/>
    </w:pPr>
  </w:style>
  <w:style w:type="paragraph" w:styleId="TOC3">
    <w:name w:val="toc 3"/>
    <w:basedOn w:val="Normal"/>
    <w:next w:val="Normal"/>
    <w:autoRedefine/>
    <w:uiPriority w:val="39"/>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uiPriority w:val="99"/>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character" w:styleId="UnresolvedMention">
    <w:name w:val="Unresolved Mention"/>
    <w:basedOn w:val="DefaultParagraphFont"/>
    <w:uiPriority w:val="99"/>
    <w:semiHidden/>
    <w:unhideWhenUsed/>
    <w:rsid w:val="00F07A37"/>
    <w:rPr>
      <w:color w:val="605E5C"/>
      <w:shd w:val="clear" w:color="auto" w:fill="E1DFDD"/>
    </w:rPr>
  </w:style>
  <w:style w:type="paragraph" w:customStyle="1" w:styleId="aDef">
    <w:name w:val="aDef"/>
    <w:basedOn w:val="Normal"/>
    <w:link w:val="aDefChar"/>
    <w:rsid w:val="00814B80"/>
    <w:pPr>
      <w:spacing w:before="140"/>
      <w:ind w:left="1100"/>
      <w:jc w:val="both"/>
    </w:pPr>
  </w:style>
  <w:style w:type="paragraph" w:styleId="ListNumber4">
    <w:name w:val="List Number 4"/>
    <w:basedOn w:val="Normal"/>
    <w:rsid w:val="00814B80"/>
    <w:pPr>
      <w:numPr>
        <w:numId w:val="10"/>
      </w:numPr>
      <w:tabs>
        <w:tab w:val="clear" w:pos="360"/>
        <w:tab w:val="left" w:pos="0"/>
        <w:tab w:val="num" w:pos="1209"/>
      </w:tabs>
      <w:spacing w:before="80" w:after="60"/>
      <w:ind w:left="1209"/>
      <w:jc w:val="both"/>
    </w:pPr>
  </w:style>
  <w:style w:type="paragraph" w:customStyle="1" w:styleId="aDefpara">
    <w:name w:val="aDef para"/>
    <w:basedOn w:val="Apara"/>
    <w:rsid w:val="00814B80"/>
    <w:pPr>
      <w:numPr>
        <w:ilvl w:val="0"/>
        <w:numId w:val="0"/>
      </w:numPr>
      <w:tabs>
        <w:tab w:val="right" w:pos="1400"/>
        <w:tab w:val="left" w:pos="1600"/>
      </w:tabs>
      <w:spacing w:before="140" w:after="0"/>
      <w:ind w:left="1600" w:hanging="1600"/>
    </w:pPr>
  </w:style>
  <w:style w:type="character" w:customStyle="1" w:styleId="charBoldItals">
    <w:name w:val="charBoldItals"/>
    <w:basedOn w:val="DefaultParagraphFont"/>
    <w:rsid w:val="00814B80"/>
    <w:rPr>
      <w:b/>
      <w:i/>
    </w:rPr>
  </w:style>
  <w:style w:type="character" w:customStyle="1" w:styleId="charCitHyperlinkItal">
    <w:name w:val="charCitHyperlinkItal"/>
    <w:basedOn w:val="Hyperlink"/>
    <w:uiPriority w:val="1"/>
    <w:rsid w:val="00814B80"/>
    <w:rPr>
      <w:i/>
      <w:color w:val="0000FF" w:themeColor="hyperlink"/>
      <w:u w:val="none"/>
    </w:rPr>
  </w:style>
  <w:style w:type="character" w:customStyle="1" w:styleId="aDefChar">
    <w:name w:val="aDef Char"/>
    <w:basedOn w:val="DefaultParagraphFont"/>
    <w:link w:val="aDef"/>
    <w:locked/>
    <w:rsid w:val="00814B80"/>
    <w:rPr>
      <w:sz w:val="24"/>
      <w:lang w:eastAsia="en-US"/>
    </w:rPr>
  </w:style>
  <w:style w:type="character" w:customStyle="1" w:styleId="charbolditals0">
    <w:name w:val="charbolditals"/>
    <w:basedOn w:val="DefaultParagraphFont"/>
    <w:rsid w:val="001F096B"/>
  </w:style>
  <w:style w:type="character" w:customStyle="1" w:styleId="charcithyperlinkital0">
    <w:name w:val="charcithyperlinkital"/>
    <w:basedOn w:val="DefaultParagraphFont"/>
    <w:rsid w:val="001F096B"/>
  </w:style>
  <w:style w:type="paragraph" w:styleId="TOCHeading">
    <w:name w:val="TOC Heading"/>
    <w:basedOn w:val="Heading1"/>
    <w:next w:val="Normal"/>
    <w:uiPriority w:val="39"/>
    <w:unhideWhenUsed/>
    <w:qFormat/>
    <w:rsid w:val="007274AE"/>
    <w:pPr>
      <w:keepLines/>
      <w:spacing w:before="240"/>
      <w:outlineLvl w:val="9"/>
    </w:pPr>
    <w:rPr>
      <w:rFonts w:asciiTheme="majorHAnsi" w:eastAsiaTheme="majorEastAsia" w:hAnsiTheme="majorHAnsi" w:cstheme="majorBidi"/>
      <w:b w:val="0"/>
      <w:color w:val="365F91" w:themeColor="accent1" w:themeShade="BF"/>
      <w:sz w:val="32"/>
      <w:szCs w:val="32"/>
    </w:rPr>
  </w:style>
  <w:style w:type="paragraph" w:styleId="ListParagraph">
    <w:name w:val="List Paragraph"/>
    <w:basedOn w:val="Normal"/>
    <w:uiPriority w:val="34"/>
    <w:qFormat/>
    <w:rsid w:val="007274AE"/>
    <w:pPr>
      <w:ind w:left="720"/>
      <w:contextualSpacing/>
    </w:pPr>
  </w:style>
  <w:style w:type="character" w:customStyle="1" w:styleId="FooterChar">
    <w:name w:val="Footer Char"/>
    <w:basedOn w:val="DefaultParagraphFont"/>
    <w:link w:val="Footer"/>
    <w:uiPriority w:val="99"/>
    <w:rsid w:val="007274AE"/>
    <w:rPr>
      <w:rFonts w:ascii="Arial" w:hAnsi="Arial"/>
      <w:sz w:val="18"/>
      <w:lang w:eastAsia="en-US"/>
    </w:rPr>
  </w:style>
  <w:style w:type="character" w:styleId="CommentReference">
    <w:name w:val="annotation reference"/>
    <w:basedOn w:val="DefaultParagraphFont"/>
    <w:uiPriority w:val="99"/>
    <w:semiHidden/>
    <w:unhideWhenUsed/>
    <w:rsid w:val="005D136D"/>
    <w:rPr>
      <w:sz w:val="16"/>
      <w:szCs w:val="16"/>
    </w:rPr>
  </w:style>
  <w:style w:type="paragraph" w:styleId="CommentText">
    <w:name w:val="annotation text"/>
    <w:basedOn w:val="Normal"/>
    <w:link w:val="CommentTextChar"/>
    <w:uiPriority w:val="99"/>
    <w:unhideWhenUsed/>
    <w:rsid w:val="005D136D"/>
    <w:rPr>
      <w:sz w:val="20"/>
    </w:rPr>
  </w:style>
  <w:style w:type="character" w:customStyle="1" w:styleId="CommentTextChar">
    <w:name w:val="Comment Text Char"/>
    <w:basedOn w:val="DefaultParagraphFont"/>
    <w:link w:val="CommentText"/>
    <w:uiPriority w:val="99"/>
    <w:rsid w:val="005D136D"/>
    <w:rPr>
      <w:lang w:eastAsia="en-US"/>
    </w:rPr>
  </w:style>
  <w:style w:type="paragraph" w:styleId="CommentSubject">
    <w:name w:val="annotation subject"/>
    <w:basedOn w:val="CommentText"/>
    <w:next w:val="CommentText"/>
    <w:link w:val="CommentSubjectChar"/>
    <w:uiPriority w:val="99"/>
    <w:semiHidden/>
    <w:unhideWhenUsed/>
    <w:rsid w:val="005D136D"/>
    <w:rPr>
      <w:b/>
      <w:bCs/>
    </w:rPr>
  </w:style>
  <w:style w:type="character" w:customStyle="1" w:styleId="CommentSubjectChar">
    <w:name w:val="Comment Subject Char"/>
    <w:basedOn w:val="CommentTextChar"/>
    <w:link w:val="CommentSubject"/>
    <w:uiPriority w:val="99"/>
    <w:semiHidden/>
    <w:rsid w:val="005D136D"/>
    <w:rPr>
      <w:b/>
      <w:bCs/>
      <w:lang w:eastAsia="en-US"/>
    </w:rPr>
  </w:style>
  <w:style w:type="paragraph" w:styleId="Revision">
    <w:name w:val="Revision"/>
    <w:hidden/>
    <w:uiPriority w:val="99"/>
    <w:semiHidden/>
    <w:rsid w:val="002470C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165403">
      <w:bodyDiv w:val="1"/>
      <w:marLeft w:val="0"/>
      <w:marRight w:val="0"/>
      <w:marTop w:val="0"/>
      <w:marBottom w:val="0"/>
      <w:divBdr>
        <w:top w:val="none" w:sz="0" w:space="0" w:color="auto"/>
        <w:left w:val="none" w:sz="0" w:space="0" w:color="auto"/>
        <w:bottom w:val="none" w:sz="0" w:space="0" w:color="auto"/>
        <w:right w:val="none" w:sz="0" w:space="0" w:color="auto"/>
      </w:divBdr>
    </w:div>
    <w:div w:id="831214867">
      <w:bodyDiv w:val="1"/>
      <w:marLeft w:val="0"/>
      <w:marRight w:val="0"/>
      <w:marTop w:val="0"/>
      <w:marBottom w:val="0"/>
      <w:divBdr>
        <w:top w:val="none" w:sz="0" w:space="0" w:color="auto"/>
        <w:left w:val="none" w:sz="0" w:space="0" w:color="auto"/>
        <w:bottom w:val="none" w:sz="0" w:space="0" w:color="auto"/>
        <w:right w:val="none" w:sz="0" w:space="0" w:color="auto"/>
      </w:divBdr>
    </w:div>
    <w:div w:id="1534268003">
      <w:bodyDiv w:val="1"/>
      <w:marLeft w:val="0"/>
      <w:marRight w:val="0"/>
      <w:marTop w:val="0"/>
      <w:marBottom w:val="0"/>
      <w:divBdr>
        <w:top w:val="none" w:sz="0" w:space="0" w:color="auto"/>
        <w:left w:val="none" w:sz="0" w:space="0" w:color="auto"/>
        <w:bottom w:val="none" w:sz="0" w:space="0" w:color="auto"/>
        <w:right w:val="none" w:sz="0" w:space="0" w:color="auto"/>
      </w:divBdr>
    </w:div>
    <w:div w:id="1718775079">
      <w:bodyDiv w:val="1"/>
      <w:marLeft w:val="0"/>
      <w:marRight w:val="0"/>
      <w:marTop w:val="0"/>
      <w:marBottom w:val="0"/>
      <w:divBdr>
        <w:top w:val="none" w:sz="0" w:space="0" w:color="auto"/>
        <w:left w:val="none" w:sz="0" w:space="0" w:color="auto"/>
        <w:bottom w:val="none" w:sz="0" w:space="0" w:color="auto"/>
        <w:right w:val="none" w:sz="0" w:space="0" w:color="auto"/>
      </w:divBdr>
    </w:div>
    <w:div w:id="2032560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5-59"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74A961-4191-4B8B-B266-FDA44A3E7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1816</Words>
  <Characters>10591</Characters>
  <Application>Microsoft Office Word</Application>
  <DocSecurity>0</DocSecurity>
  <Lines>320</Lines>
  <Paragraphs>140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2004-04-05T00:37:00Z</cp:lastPrinted>
  <dcterms:created xsi:type="dcterms:W3CDTF">2024-06-21T03:59:00Z</dcterms:created>
  <dcterms:modified xsi:type="dcterms:W3CDTF">2024-06-24T00:57:00Z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2024-06-21T03:58:25Z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085f0c2e-bae1-4986-a5e6-18c038227c12</vt:lpwstr>
  </property>
  <property fmtid="{D5CDD505-2E9C-101B-9397-08002B2CF9AE}" pid="8" name="MSIP_Label_69af8531-eb46-4968-8cb3-105d2f5ea87e_ContentBits">
    <vt:lpwstr>0</vt:lpwstr>
  </property>
</Properties>
</file>