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902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D345BE" w14:textId="77E22A67" w:rsidR="006A6971" w:rsidRDefault="006A6971" w:rsidP="00D47F13">
      <w:pPr>
        <w:spacing w:before="340"/>
        <w:rPr>
          <w:rFonts w:ascii="Arial" w:hAnsi="Arial"/>
          <w:b/>
          <w:sz w:val="40"/>
        </w:rPr>
      </w:pPr>
      <w:r w:rsidRPr="006A6971">
        <w:rPr>
          <w:rFonts w:ascii="Arial" w:hAnsi="Arial"/>
          <w:b/>
          <w:sz w:val="40"/>
        </w:rPr>
        <w:t>Taxation Administration (</w:t>
      </w:r>
      <w:r w:rsidR="00625103" w:rsidRPr="006A6971">
        <w:rPr>
          <w:rFonts w:ascii="Arial" w:hAnsi="Arial"/>
          <w:b/>
          <w:sz w:val="40"/>
        </w:rPr>
        <w:t>Amounts</w:t>
      </w:r>
      <w:r w:rsidR="00625103">
        <w:rPr>
          <w:rFonts w:ascii="Arial" w:hAnsi="Arial"/>
          <w:b/>
          <w:sz w:val="40"/>
        </w:rPr>
        <w:t xml:space="preserve"> </w:t>
      </w:r>
      <w:r w:rsidRPr="006A6971">
        <w:rPr>
          <w:rFonts w:ascii="Arial" w:hAnsi="Arial"/>
          <w:b/>
          <w:sz w:val="40"/>
        </w:rPr>
        <w:t>Payable—</w:t>
      </w:r>
      <w:r w:rsidR="00625103" w:rsidRPr="006A6971">
        <w:rPr>
          <w:rFonts w:ascii="Arial" w:hAnsi="Arial"/>
          <w:b/>
          <w:sz w:val="40"/>
        </w:rPr>
        <w:t>Land</w:t>
      </w:r>
      <w:r w:rsidR="00625103">
        <w:rPr>
          <w:rFonts w:ascii="Arial" w:hAnsi="Arial"/>
          <w:b/>
          <w:sz w:val="40"/>
        </w:rPr>
        <w:t> </w:t>
      </w:r>
      <w:r w:rsidRPr="006A6971">
        <w:rPr>
          <w:rFonts w:ascii="Arial" w:hAnsi="Arial"/>
          <w:b/>
          <w:sz w:val="40"/>
        </w:rPr>
        <w:t xml:space="preserve">Tax) Determination </w:t>
      </w:r>
      <w:r w:rsidR="00D5553C">
        <w:rPr>
          <w:rFonts w:ascii="Arial" w:hAnsi="Arial"/>
          <w:b/>
          <w:sz w:val="40"/>
        </w:rPr>
        <w:t>202</w:t>
      </w:r>
      <w:r w:rsidR="00884B44">
        <w:rPr>
          <w:rFonts w:ascii="Arial" w:hAnsi="Arial"/>
          <w:b/>
          <w:sz w:val="40"/>
        </w:rPr>
        <w:t>4</w:t>
      </w:r>
    </w:p>
    <w:p w14:paraId="6D27637C" w14:textId="3D83CB62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161CB2">
        <w:rPr>
          <w:rFonts w:ascii="Arial" w:hAnsi="Arial" w:cs="Arial"/>
          <w:b/>
          <w:bCs/>
        </w:rPr>
        <w:t>DI202</w:t>
      </w:r>
      <w:r w:rsidR="00884B44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A216F3">
        <w:rPr>
          <w:rFonts w:ascii="Arial" w:hAnsi="Arial" w:cs="Arial"/>
          <w:b/>
          <w:bCs/>
        </w:rPr>
        <w:t>181</w:t>
      </w:r>
    </w:p>
    <w:p w14:paraId="1B20879B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9FF0D04" w14:textId="77777777" w:rsidR="00F10CB2" w:rsidRDefault="006A6971" w:rsidP="00CD4E55">
      <w:pPr>
        <w:pStyle w:val="CoverActName"/>
        <w:spacing w:before="320" w:after="0"/>
        <w:rPr>
          <w:rFonts w:cs="Arial"/>
          <w:sz w:val="20"/>
        </w:rPr>
      </w:pPr>
      <w:r w:rsidRPr="006A6971">
        <w:rPr>
          <w:rFonts w:cs="Arial"/>
          <w:i/>
          <w:sz w:val="20"/>
        </w:rPr>
        <w:t>Taxation Administration Act 1999</w:t>
      </w:r>
      <w:r w:rsidRPr="006A6971">
        <w:rPr>
          <w:rFonts w:cs="Arial"/>
          <w:sz w:val="20"/>
        </w:rPr>
        <w:t xml:space="preserve">, s 139 </w:t>
      </w:r>
      <w:r>
        <w:rPr>
          <w:rFonts w:cs="Arial"/>
          <w:sz w:val="20"/>
        </w:rPr>
        <w:t>(</w:t>
      </w:r>
      <w:r w:rsidRPr="006A6971">
        <w:rPr>
          <w:rFonts w:cs="Arial"/>
          <w:sz w:val="20"/>
        </w:rPr>
        <w:t>Determination of amounts payable under tax laws</w:t>
      </w:r>
      <w:r>
        <w:rPr>
          <w:rFonts w:cs="Arial"/>
          <w:sz w:val="20"/>
        </w:rPr>
        <w:t>)</w:t>
      </w:r>
    </w:p>
    <w:p w14:paraId="58A325C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5ECF62C" w14:textId="39831480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EACB645" w14:textId="1592BDAB" w:rsidR="003C1190" w:rsidRPr="00142754" w:rsidRDefault="003C1190" w:rsidP="002D171F">
      <w:pPr>
        <w:pStyle w:val="AH2Part"/>
        <w:tabs>
          <w:tab w:val="clear" w:pos="2600"/>
          <w:tab w:val="left" w:pos="1418"/>
        </w:tabs>
        <w:spacing w:before="240"/>
        <w:ind w:left="1418" w:hanging="1418"/>
      </w:pPr>
      <w:bookmarkStart w:id="1" w:name="_Toc507149386"/>
      <w:r w:rsidRPr="00142754">
        <w:rPr>
          <w:rStyle w:val="CharPartNo"/>
        </w:rPr>
        <w:t>Part 1</w:t>
      </w:r>
      <w:r>
        <w:tab/>
      </w:r>
      <w:r w:rsidRPr="00142754">
        <w:rPr>
          <w:rStyle w:val="CharPartText"/>
        </w:rPr>
        <w:t>Preliminary</w:t>
      </w:r>
      <w:bookmarkEnd w:id="1"/>
    </w:p>
    <w:p w14:paraId="72D96F6C" w14:textId="77777777" w:rsidR="003C1190" w:rsidRDefault="003C1190">
      <w:pPr>
        <w:spacing w:before="60" w:after="60"/>
        <w:ind w:left="720" w:hanging="720"/>
        <w:rPr>
          <w:rFonts w:ascii="Arial" w:hAnsi="Arial" w:cs="Arial"/>
          <w:b/>
          <w:bCs/>
        </w:rPr>
      </w:pPr>
    </w:p>
    <w:p w14:paraId="1A9473E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C2F2D86" w14:textId="106683E8" w:rsidR="00F10CB2" w:rsidRDefault="00F10CB2" w:rsidP="00D47F13">
      <w:pPr>
        <w:spacing w:before="140"/>
        <w:ind w:left="720"/>
      </w:pPr>
      <w:r>
        <w:t xml:space="preserve">This instrument is the </w:t>
      </w:r>
      <w:r w:rsidR="006A6971" w:rsidRPr="006A6971">
        <w:rPr>
          <w:i/>
        </w:rPr>
        <w:t xml:space="preserve">Taxation Administration (Amounts Payable—Land Tax) Determination </w:t>
      </w:r>
      <w:r w:rsidR="008F6F6A">
        <w:rPr>
          <w:i/>
        </w:rPr>
        <w:t>202</w:t>
      </w:r>
      <w:r w:rsidR="00884B44">
        <w:rPr>
          <w:i/>
        </w:rPr>
        <w:t>4</w:t>
      </w:r>
      <w:r w:rsidRPr="00627F0C">
        <w:rPr>
          <w:bCs/>
          <w:iCs/>
        </w:rPr>
        <w:t>.</w:t>
      </w:r>
    </w:p>
    <w:p w14:paraId="48F247E5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1BCEA58" w14:textId="0C386A48" w:rsidR="00F10CB2" w:rsidRDefault="00F10CB2" w:rsidP="00D47F13">
      <w:pPr>
        <w:spacing w:before="140"/>
        <w:ind w:left="720"/>
      </w:pPr>
      <w:r>
        <w:t xml:space="preserve">This instrument commences on </w:t>
      </w:r>
      <w:r w:rsidR="006A6971">
        <w:t xml:space="preserve">1 </w:t>
      </w:r>
      <w:r w:rsidR="004A3B59">
        <w:t>July 202</w:t>
      </w:r>
      <w:r w:rsidR="00884B44">
        <w:t>4</w:t>
      </w:r>
      <w:r>
        <w:t xml:space="preserve">. </w:t>
      </w:r>
    </w:p>
    <w:p w14:paraId="1776F6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64BEC">
        <w:rPr>
          <w:rFonts w:ascii="Arial" w:hAnsi="Arial" w:cs="Arial"/>
          <w:b/>
          <w:bCs/>
        </w:rPr>
        <w:t>Definitions</w:t>
      </w:r>
    </w:p>
    <w:p w14:paraId="49E51A36" w14:textId="77777777" w:rsidR="003321D6" w:rsidRDefault="003321D6" w:rsidP="003321D6">
      <w:pPr>
        <w:spacing w:before="140"/>
        <w:ind w:left="720"/>
      </w:pPr>
      <w:r>
        <w:t>In this instrument:</w:t>
      </w:r>
    </w:p>
    <w:p w14:paraId="752B6A1F" w14:textId="77777777" w:rsidR="00F10CB2" w:rsidRDefault="00A64BEC" w:rsidP="00D47F13">
      <w:pPr>
        <w:spacing w:before="140"/>
        <w:ind w:left="720"/>
      </w:pPr>
      <w:r>
        <w:rPr>
          <w:b/>
          <w:i/>
        </w:rPr>
        <w:t>Act</w:t>
      </w:r>
      <w:r>
        <w:t xml:space="preserve"> means the </w:t>
      </w:r>
      <w:r>
        <w:rPr>
          <w:i/>
        </w:rPr>
        <w:t>Land Tax Act 2004</w:t>
      </w:r>
      <w:r w:rsidRPr="00A64BEC">
        <w:t>.</w:t>
      </w:r>
    </w:p>
    <w:p w14:paraId="1D9325AB" w14:textId="77777777" w:rsidR="00173AA9" w:rsidRDefault="00173AA9" w:rsidP="00173AA9">
      <w:pPr>
        <w:spacing w:before="140"/>
        <w:ind w:left="720"/>
      </w:pPr>
      <w:r w:rsidRPr="00A64BEC">
        <w:rPr>
          <w:b/>
          <w:i/>
        </w:rPr>
        <w:t>AUV</w:t>
      </w:r>
      <w:r>
        <w:rPr>
          <w:b/>
          <w:i/>
        </w:rPr>
        <w:t>—</w:t>
      </w:r>
      <w:r>
        <w:t>see the Act, section 9 (4).</w:t>
      </w:r>
    </w:p>
    <w:p w14:paraId="3118D515" w14:textId="77777777" w:rsidR="0022782A" w:rsidRDefault="00173AA9" w:rsidP="00173AA9">
      <w:pPr>
        <w:spacing w:before="140"/>
        <w:ind w:left="720"/>
        <w:rPr>
          <w:b/>
          <w:i/>
        </w:rPr>
      </w:pPr>
      <w:r w:rsidRPr="00A64BEC">
        <w:rPr>
          <w:b/>
          <w:i/>
        </w:rPr>
        <w:t>AUV</w:t>
      </w:r>
      <w:r>
        <w:rPr>
          <w:b/>
          <w:i/>
        </w:rPr>
        <w:t>RU—</w:t>
      </w:r>
    </w:p>
    <w:p w14:paraId="20B356CE" w14:textId="77777777" w:rsidR="00173AA9" w:rsidRDefault="0022782A" w:rsidP="00173AA9">
      <w:pPr>
        <w:spacing w:before="140"/>
        <w:ind w:left="720"/>
      </w:pPr>
      <w:r w:rsidRPr="001748FD">
        <w:t>(a)</w:t>
      </w:r>
      <w:r w:rsidRPr="001748FD">
        <w:tab/>
        <w:t>for land tax—</w:t>
      </w:r>
      <w:r>
        <w:t>see the Act, section 27 (7); and</w:t>
      </w:r>
    </w:p>
    <w:p w14:paraId="1B15DDF4" w14:textId="77777777" w:rsidR="0022782A" w:rsidRPr="006D7F36" w:rsidRDefault="0022782A" w:rsidP="00173AA9">
      <w:pPr>
        <w:spacing w:before="140"/>
        <w:ind w:left="720"/>
      </w:pPr>
      <w:r>
        <w:t>(b)</w:t>
      </w:r>
      <w:r>
        <w:tab/>
        <w:t>for the foreign ownership surcharge—see the Act, section 17E (4).</w:t>
      </w:r>
    </w:p>
    <w:p w14:paraId="30F08733" w14:textId="77777777" w:rsidR="00173AA9" w:rsidRDefault="00173AA9" w:rsidP="00173AA9">
      <w:pPr>
        <w:spacing w:before="140"/>
        <w:ind w:left="720"/>
      </w:pPr>
      <w:r>
        <w:rPr>
          <w:b/>
          <w:i/>
        </w:rPr>
        <w:t>base value</w:t>
      </w:r>
      <w:r w:rsidRPr="00FF51DE">
        <w:t>, of a parcel of land,</w:t>
      </w:r>
      <w:r>
        <w:rPr>
          <w:b/>
          <w:i/>
        </w:rPr>
        <w:t xml:space="preserve"> </w:t>
      </w:r>
      <w:r>
        <w:t>means—</w:t>
      </w:r>
    </w:p>
    <w:p w14:paraId="167F73CA" w14:textId="77777777" w:rsidR="00173AA9" w:rsidRDefault="00173AA9" w:rsidP="00173AA9">
      <w:pPr>
        <w:spacing w:before="140"/>
        <w:ind w:left="720"/>
      </w:pPr>
      <w:r>
        <w:t>(a)</w:t>
      </w:r>
      <w:r>
        <w:tab/>
        <w:t>the AUV of the parcel; or</w:t>
      </w:r>
    </w:p>
    <w:p w14:paraId="3289D211" w14:textId="77777777" w:rsidR="00173AA9" w:rsidRDefault="00173AA9" w:rsidP="00173AA9">
      <w:pPr>
        <w:spacing w:before="140"/>
        <w:ind w:left="1440" w:hanging="720"/>
      </w:pPr>
      <w:r>
        <w:t>(b)</w:t>
      </w:r>
      <w:r>
        <w:tab/>
        <w:t>for a unit—the AUVRU worked out for the unit.</w:t>
      </w:r>
    </w:p>
    <w:p w14:paraId="6C4CAD2A" w14:textId="77777777" w:rsidR="00173AA9" w:rsidRPr="005E007C" w:rsidRDefault="00173AA9" w:rsidP="00173AA9">
      <w:pPr>
        <w:spacing w:before="140"/>
        <w:ind w:left="1440" w:hanging="720"/>
        <w:rPr>
          <w:sz w:val="20"/>
        </w:rPr>
      </w:pPr>
      <w:r w:rsidRPr="005E007C">
        <w:rPr>
          <w:bCs/>
          <w:i/>
          <w:sz w:val="20"/>
        </w:rPr>
        <w:t>Note</w:t>
      </w:r>
      <w:r w:rsidRPr="005E007C">
        <w:rPr>
          <w:bCs/>
          <w:sz w:val="20"/>
        </w:rPr>
        <w:tab/>
        <w:t xml:space="preserve">Section </w:t>
      </w:r>
      <w:r>
        <w:rPr>
          <w:bCs/>
          <w:sz w:val="20"/>
        </w:rPr>
        <w:t>26</w:t>
      </w:r>
      <w:r w:rsidRPr="005E007C">
        <w:rPr>
          <w:bCs/>
          <w:sz w:val="20"/>
        </w:rPr>
        <w:t xml:space="preserve"> (2)</w:t>
      </w:r>
      <w:r>
        <w:rPr>
          <w:bCs/>
          <w:sz w:val="20"/>
        </w:rPr>
        <w:t xml:space="preserve"> of the Act provides that when applying the Act to a unit subdivision, a reference to a parcel of land</w:t>
      </w:r>
      <w:r w:rsidRPr="00B704B1">
        <w:rPr>
          <w:bCs/>
          <w:sz w:val="20"/>
        </w:rPr>
        <w:t xml:space="preserve"> </w:t>
      </w:r>
      <w:r>
        <w:rPr>
          <w:bCs/>
          <w:sz w:val="20"/>
        </w:rPr>
        <w:t>in relation to the assessment or payment of land tax is a reference to a unit.</w:t>
      </w:r>
    </w:p>
    <w:p w14:paraId="549C200A" w14:textId="77777777" w:rsidR="00173AA9" w:rsidRDefault="00173AA9" w:rsidP="00173AA9">
      <w:pPr>
        <w:spacing w:before="140"/>
        <w:ind w:left="720"/>
      </w:pPr>
      <w:r>
        <w:rPr>
          <w:b/>
          <w:i/>
        </w:rPr>
        <w:t>parcel</w:t>
      </w:r>
      <w:r w:rsidRPr="00FB5A92">
        <w:rPr>
          <w:i/>
        </w:rPr>
        <w:t>—</w:t>
      </w:r>
      <w:r>
        <w:t>see the Act, dictionary.</w:t>
      </w:r>
    </w:p>
    <w:p w14:paraId="0485FC2C" w14:textId="77777777" w:rsidR="00173AA9" w:rsidRDefault="00173AA9" w:rsidP="00173AA9">
      <w:pPr>
        <w:spacing w:before="140"/>
        <w:ind w:left="720"/>
      </w:pPr>
      <w:r>
        <w:rPr>
          <w:b/>
          <w:i/>
        </w:rPr>
        <w:t>unit</w:t>
      </w:r>
      <w:r w:rsidRPr="00FB5A92">
        <w:rPr>
          <w:i/>
        </w:rPr>
        <w:t>—</w:t>
      </w:r>
      <w:r>
        <w:t>see the Act, dictionary.</w:t>
      </w:r>
    </w:p>
    <w:p w14:paraId="6E3FD0EB" w14:textId="77777777" w:rsidR="001C644B" w:rsidRDefault="001C644B">
      <w:pPr>
        <w:rPr>
          <w:b/>
          <w:i/>
        </w:rPr>
      </w:pPr>
      <w:r>
        <w:rPr>
          <w:b/>
          <w:i/>
        </w:rPr>
        <w:br w:type="page"/>
      </w:r>
    </w:p>
    <w:p w14:paraId="2327E3FA" w14:textId="528FB5D7" w:rsidR="00173AA9" w:rsidRDefault="00173AA9" w:rsidP="00173AA9">
      <w:pPr>
        <w:spacing w:before="140"/>
        <w:ind w:left="720"/>
      </w:pPr>
      <w:r>
        <w:rPr>
          <w:b/>
          <w:i/>
        </w:rPr>
        <w:lastRenderedPageBreak/>
        <w:t>unit subdivision</w:t>
      </w:r>
      <w:r w:rsidRPr="00FB5A92">
        <w:rPr>
          <w:i/>
        </w:rPr>
        <w:t>—</w:t>
      </w:r>
      <w:r>
        <w:t>see the Act, dictionary.</w:t>
      </w:r>
    </w:p>
    <w:p w14:paraId="4C61A5F1" w14:textId="77777777" w:rsidR="00D21D97" w:rsidRPr="00D21D97" w:rsidRDefault="00D21D97" w:rsidP="00173AA9">
      <w:pPr>
        <w:spacing w:before="140"/>
        <w:ind w:left="720"/>
      </w:pPr>
      <w:r>
        <w:rPr>
          <w:b/>
          <w:i/>
        </w:rPr>
        <w:t>year</w:t>
      </w:r>
      <w:r>
        <w:rPr>
          <w:i/>
        </w:rPr>
        <w:t xml:space="preserve"> </w:t>
      </w:r>
      <w:r>
        <w:t>means a financial year.</w:t>
      </w:r>
    </w:p>
    <w:p w14:paraId="5927EA43" w14:textId="33205D5A" w:rsidR="009132AA" w:rsidRDefault="009132AA" w:rsidP="001748FD">
      <w:pPr>
        <w:keepNext/>
        <w:spacing w:before="300"/>
        <w:ind w:left="720" w:hanging="720"/>
        <w:rPr>
          <w:rFonts w:cs="Arial"/>
          <w:bCs/>
        </w:rPr>
      </w:pPr>
      <w:r w:rsidRPr="00264804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Working out </w:t>
      </w:r>
      <w:r w:rsidR="006D600F">
        <w:rPr>
          <w:rFonts w:ascii="Arial" w:hAnsi="Arial" w:cs="Arial"/>
          <w:b/>
          <w:bCs/>
        </w:rPr>
        <w:t>amount</w:t>
      </w:r>
      <w:r>
        <w:rPr>
          <w:rFonts w:ascii="Arial" w:hAnsi="Arial" w:cs="Arial"/>
          <w:b/>
          <w:bCs/>
        </w:rPr>
        <w:t xml:space="preserve"> payable for quarter</w:t>
      </w:r>
    </w:p>
    <w:p w14:paraId="6B52F2C4" w14:textId="77777777" w:rsidR="009132AA" w:rsidRDefault="009132AA" w:rsidP="005103B3">
      <w:pPr>
        <w:spacing w:before="140"/>
        <w:ind w:left="720" w:hanging="720"/>
      </w:pPr>
      <w:r w:rsidRPr="001748FD">
        <w:t>(1)</w:t>
      </w:r>
      <w:r w:rsidRPr="001748FD">
        <w:tab/>
      </w:r>
      <w:r>
        <w:t xml:space="preserve">I determine that </w:t>
      </w:r>
      <w:r w:rsidR="006D600F">
        <w:t>a determined</w:t>
      </w:r>
      <w:r>
        <w:t xml:space="preserve"> </w:t>
      </w:r>
      <w:r w:rsidR="00D21D97">
        <w:t>amount payable for a quarter is</w:t>
      </w:r>
      <w:r w:rsidR="00625103">
        <w:t xml:space="preserve"> </w:t>
      </w:r>
      <w:r w:rsidR="00D21D97">
        <w:t xml:space="preserve">worked out </w:t>
      </w:r>
      <w:r>
        <w:t>as follows:</w:t>
      </w:r>
    </w:p>
    <w:p w14:paraId="68382EA7" w14:textId="77777777" w:rsidR="009132AA" w:rsidRDefault="00D21D97" w:rsidP="009132AA">
      <w:pPr>
        <w:spacing w:before="140"/>
        <w:ind w:left="720" w:hanging="436"/>
        <w:jc w:val="center"/>
      </w:pPr>
      <m:oMathPara>
        <m:oMath>
          <m:r>
            <w:rPr>
              <w:rFonts w:ascii="Cambria Math" w:hAnsi="Cambria Math"/>
            </w:rPr>
            <m:t xml:space="preserve">determined amount×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days in quarter</m:t>
              </m:r>
            </m:num>
            <m:den>
              <m:r>
                <w:rPr>
                  <w:rFonts w:ascii="Cambria Math" w:hAnsi="Cambria Math"/>
                </w:rPr>
                <m:t>days in year</m:t>
              </m:r>
            </m:den>
          </m:f>
        </m:oMath>
      </m:oMathPara>
    </w:p>
    <w:p w14:paraId="4E62BAC6" w14:textId="77777777" w:rsidR="000D2BBC" w:rsidRPr="001D61B9" w:rsidRDefault="000D2BBC" w:rsidP="000D2BBC">
      <w:pPr>
        <w:pStyle w:val="aExamHdgss"/>
        <w:ind w:left="720"/>
      </w:pPr>
      <w:r>
        <w:t>Example</w:t>
      </w:r>
      <w:r w:rsidRPr="001D61B9">
        <w:t>—</w:t>
      </w:r>
      <w:r>
        <w:t>working out amount payable for quarter</w:t>
      </w:r>
    </w:p>
    <w:p w14:paraId="3CA40C4E" w14:textId="253E8F79" w:rsidR="000D2BBC" w:rsidRDefault="00033916" w:rsidP="0034665C">
      <w:pPr>
        <w:pStyle w:val="aExamINumss"/>
        <w:tabs>
          <w:tab w:val="clear" w:pos="1100"/>
          <w:tab w:val="left" w:pos="709"/>
        </w:tabs>
        <w:ind w:left="709" w:firstLine="0"/>
        <w:jc w:val="left"/>
      </w:pPr>
      <w:r>
        <w:t xml:space="preserve">This instrument </w:t>
      </w:r>
      <w:r w:rsidRPr="00173BEE">
        <w:t xml:space="preserve">determines </w:t>
      </w:r>
      <w:r w:rsidR="000D2BBC" w:rsidRPr="00FC199D">
        <w:t xml:space="preserve">FC of $1 </w:t>
      </w:r>
      <w:r w:rsidR="00712FBC" w:rsidRPr="00FC199D">
        <w:t xml:space="preserve">612 </w:t>
      </w:r>
      <w:r w:rsidR="000D2BBC" w:rsidRPr="00FC199D">
        <w:t xml:space="preserve">for the purposes of section 9 (4) of the Act. The quarter beginning 1 </w:t>
      </w:r>
      <w:r w:rsidR="00D5553C" w:rsidRPr="00FC199D">
        <w:t xml:space="preserve">October </w:t>
      </w:r>
      <w:r w:rsidR="00884B44" w:rsidRPr="00FC199D">
        <w:t xml:space="preserve">2024 </w:t>
      </w:r>
      <w:r w:rsidR="000D2BBC" w:rsidRPr="00FC199D">
        <w:t xml:space="preserve">has 92 days. The relevant financial year has 365 days. The </w:t>
      </w:r>
      <w:r w:rsidR="00173AA9" w:rsidRPr="00FC199D">
        <w:t>determined </w:t>
      </w:r>
      <w:r w:rsidR="000D2BBC" w:rsidRPr="00FC199D">
        <w:t xml:space="preserve">FC for the quarter is $1 </w:t>
      </w:r>
      <w:r w:rsidR="00712FBC" w:rsidRPr="00FC199D">
        <w:t xml:space="preserve">612 </w:t>
      </w:r>
      <w:r w:rsidR="000D2BBC" w:rsidRPr="00FC199D">
        <w:t xml:space="preserve">×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92</m:t>
            </m:r>
          </m:num>
          <m:den>
            <m:r>
              <w:rPr>
                <w:rFonts w:ascii="Cambria Math" w:hAnsi="Cambria Math"/>
              </w:rPr>
              <m:t>365</m:t>
            </m:r>
          </m:den>
        </m:f>
      </m:oMath>
      <w:r w:rsidR="000D2BBC" w:rsidRPr="00FC199D">
        <w:t xml:space="preserve"> = $</w:t>
      </w:r>
      <w:r w:rsidR="00495360">
        <w:t>406.31</w:t>
      </w:r>
      <w:r w:rsidR="000D2BBC" w:rsidRPr="00FC199D">
        <w:t>.</w:t>
      </w:r>
    </w:p>
    <w:p w14:paraId="7C78E606" w14:textId="77777777" w:rsidR="000D2BBC" w:rsidRDefault="000D2BBC" w:rsidP="0034665C">
      <w:pPr>
        <w:pStyle w:val="aExamINumss"/>
        <w:tabs>
          <w:tab w:val="clear" w:pos="1100"/>
          <w:tab w:val="left" w:pos="709"/>
        </w:tabs>
        <w:ind w:left="1440" w:hanging="1440"/>
        <w:jc w:val="left"/>
      </w:pPr>
      <w:r w:rsidRPr="001748FD">
        <w:rPr>
          <w:i/>
        </w:rPr>
        <w:tab/>
        <w:t>Note</w:t>
      </w:r>
      <w:r w:rsidRPr="000D2BBC">
        <w:tab/>
        <w:t>An example is part of the instrument, is not exhaustive and may extend, but does not limit, the meaning of the provision in which it appears (see Legislation Act, s 126 and s 132).</w:t>
      </w:r>
    </w:p>
    <w:p w14:paraId="451D5E47" w14:textId="77777777" w:rsidR="000D2BBC" w:rsidRDefault="000D2BBC" w:rsidP="005103B3">
      <w:pPr>
        <w:spacing w:before="140"/>
        <w:rPr>
          <w:rStyle w:val="CharPartNo"/>
        </w:rPr>
      </w:pPr>
      <w:r w:rsidRPr="001748FD">
        <w:t>(2)</w:t>
      </w:r>
      <w:r>
        <w:tab/>
        <w:t>In this section:</w:t>
      </w:r>
    </w:p>
    <w:p w14:paraId="12B6AB6D" w14:textId="77777777" w:rsidR="000D2BBC" w:rsidRDefault="000D2BBC" w:rsidP="001748FD">
      <w:pPr>
        <w:spacing w:before="140"/>
        <w:ind w:left="720"/>
        <w:rPr>
          <w:rStyle w:val="CharPartNo"/>
        </w:rPr>
      </w:pPr>
      <w:r>
        <w:rPr>
          <w:rStyle w:val="CharPartNo"/>
          <w:b/>
          <w:i/>
        </w:rPr>
        <w:t>days in quarter</w:t>
      </w:r>
      <w:r>
        <w:rPr>
          <w:rStyle w:val="CharPartNo"/>
        </w:rPr>
        <w:t xml:space="preserve"> means the number of days in the quarter.</w:t>
      </w:r>
    </w:p>
    <w:p w14:paraId="04DB4214" w14:textId="77777777" w:rsidR="000D2BBC" w:rsidRDefault="000D2BBC" w:rsidP="000D2BBC">
      <w:pPr>
        <w:spacing w:before="140"/>
        <w:ind w:left="720" w:hanging="436"/>
        <w:rPr>
          <w:rStyle w:val="CharPartNo"/>
        </w:rPr>
      </w:pPr>
      <w:r>
        <w:rPr>
          <w:rStyle w:val="CharPartNo"/>
          <w:b/>
          <w:i/>
        </w:rPr>
        <w:tab/>
        <w:t xml:space="preserve">days in year </w:t>
      </w:r>
      <w:r>
        <w:rPr>
          <w:rStyle w:val="CharPartNo"/>
        </w:rPr>
        <w:t>means the number of days in the year</w:t>
      </w:r>
      <w:r w:rsidR="00D21D97">
        <w:rPr>
          <w:rStyle w:val="CharPartNo"/>
        </w:rPr>
        <w:t xml:space="preserve"> in which the quarter falls</w:t>
      </w:r>
      <w:r>
        <w:rPr>
          <w:rStyle w:val="CharPartNo"/>
        </w:rPr>
        <w:t>.</w:t>
      </w:r>
    </w:p>
    <w:p w14:paraId="6A82A5B2" w14:textId="77777777" w:rsidR="00267304" w:rsidRDefault="00D21D97" w:rsidP="001748FD">
      <w:pPr>
        <w:spacing w:before="140"/>
        <w:ind w:left="720"/>
        <w:rPr>
          <w:rStyle w:val="CharPartNo"/>
        </w:rPr>
      </w:pPr>
      <w:r>
        <w:rPr>
          <w:rStyle w:val="CharPartNo"/>
          <w:b/>
          <w:i/>
        </w:rPr>
        <w:t>determined amount</w:t>
      </w:r>
      <w:r>
        <w:rPr>
          <w:rStyle w:val="CharPartNo"/>
        </w:rPr>
        <w:t xml:space="preserve"> </w:t>
      </w:r>
      <w:r w:rsidR="00267304">
        <w:rPr>
          <w:rStyle w:val="CharPartNo"/>
        </w:rPr>
        <w:t>includes—</w:t>
      </w:r>
    </w:p>
    <w:p w14:paraId="311B92DA" w14:textId="157D012E" w:rsidR="00267304" w:rsidRDefault="00267304" w:rsidP="001748FD">
      <w:pPr>
        <w:spacing w:before="140"/>
        <w:ind w:left="1440" w:hanging="720"/>
        <w:rPr>
          <w:rStyle w:val="CharPartNo"/>
        </w:rPr>
      </w:pPr>
      <w:r w:rsidRPr="001748FD">
        <w:rPr>
          <w:rStyle w:val="CharPartNo"/>
        </w:rPr>
        <w:t>(a)</w:t>
      </w:r>
      <w:r>
        <w:rPr>
          <w:rStyle w:val="CharPartNo"/>
        </w:rPr>
        <w:tab/>
        <w:t xml:space="preserve">FC (or fixed charge) </w:t>
      </w:r>
      <w:r w:rsidR="00EC5FBC">
        <w:rPr>
          <w:rStyle w:val="CharPartNo"/>
        </w:rPr>
        <w:t>and P (or percentage rate) determined under section 6</w:t>
      </w:r>
      <w:r w:rsidR="00C710B4">
        <w:rPr>
          <w:rStyle w:val="CharPartNo"/>
        </w:rPr>
        <w:t xml:space="preserve"> of this instrument</w:t>
      </w:r>
      <w:r w:rsidR="00EC5FBC">
        <w:rPr>
          <w:rStyle w:val="CharPartNo"/>
        </w:rPr>
        <w:t xml:space="preserve"> for the purposes of</w:t>
      </w:r>
      <w:r>
        <w:rPr>
          <w:rStyle w:val="CharPartNo"/>
        </w:rPr>
        <w:t xml:space="preserve"> section 9 (4) of the Act; and</w:t>
      </w:r>
    </w:p>
    <w:p w14:paraId="09DD9256" w14:textId="2094B460" w:rsidR="00EC5FBC" w:rsidRDefault="00EC5FBC" w:rsidP="00EC5FBC">
      <w:pPr>
        <w:spacing w:before="140"/>
        <w:ind w:left="1440" w:hanging="720"/>
        <w:rPr>
          <w:rStyle w:val="CharPartNo"/>
        </w:rPr>
      </w:pPr>
      <w:r w:rsidRPr="004D5AA4">
        <w:rPr>
          <w:rStyle w:val="CharPartNo"/>
        </w:rPr>
        <w:t>(</w:t>
      </w:r>
      <w:r>
        <w:rPr>
          <w:rStyle w:val="CharPartNo"/>
        </w:rPr>
        <w:t>b</w:t>
      </w:r>
      <w:r w:rsidRPr="004D5AA4">
        <w:rPr>
          <w:rStyle w:val="CharPartNo"/>
        </w:rPr>
        <w:t>)</w:t>
      </w:r>
      <w:r>
        <w:rPr>
          <w:rStyle w:val="CharPartNo"/>
        </w:rPr>
        <w:tab/>
        <w:t xml:space="preserve">P (or percentage rate) determined under section 7 </w:t>
      </w:r>
      <w:r w:rsidR="00C710B4">
        <w:rPr>
          <w:rStyle w:val="CharPartNo"/>
        </w:rPr>
        <w:t xml:space="preserve">of this instrument </w:t>
      </w:r>
      <w:r>
        <w:rPr>
          <w:rStyle w:val="CharPartNo"/>
        </w:rPr>
        <w:t>for the purposes of section 17E</w:t>
      </w:r>
      <w:r w:rsidR="008A7F01">
        <w:rPr>
          <w:rStyle w:val="CharPartNo"/>
        </w:rPr>
        <w:t xml:space="preserve"> (4) of the Act</w:t>
      </w:r>
      <w:r w:rsidR="00454241">
        <w:rPr>
          <w:rStyle w:val="CharPartNo"/>
        </w:rPr>
        <w:t>.</w:t>
      </w:r>
    </w:p>
    <w:p w14:paraId="14439841" w14:textId="77777777" w:rsidR="009132AA" w:rsidRDefault="00173AA9" w:rsidP="00C237F1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9132AA">
        <w:rPr>
          <w:rFonts w:ascii="Arial" w:hAnsi="Arial" w:cs="Arial"/>
          <w:b/>
          <w:bCs/>
        </w:rPr>
        <w:tab/>
        <w:t>Working out base value with fractions for instrument</w:t>
      </w:r>
    </w:p>
    <w:p w14:paraId="0034B322" w14:textId="77777777" w:rsidR="009132AA" w:rsidRDefault="009132AA" w:rsidP="009132AA">
      <w:pPr>
        <w:keepNext/>
        <w:spacing w:before="140"/>
        <w:ind w:left="720"/>
        <w:rPr>
          <w:bCs/>
        </w:rPr>
      </w:pPr>
      <w:r>
        <w:rPr>
          <w:bCs/>
        </w:rPr>
        <w:t>In working out the base value, any fraction of a dollar in the amount worked out must be disregarded.</w:t>
      </w:r>
    </w:p>
    <w:p w14:paraId="25178A37" w14:textId="3A50B085" w:rsidR="000F6ED3" w:rsidRDefault="009132AA" w:rsidP="001C644B">
      <w:pPr>
        <w:spacing w:before="140"/>
        <w:ind w:left="1440" w:hanging="720"/>
        <w:rPr>
          <w:sz w:val="20"/>
        </w:rPr>
      </w:pPr>
      <w:r w:rsidRPr="005E007C">
        <w:rPr>
          <w:bCs/>
          <w:i/>
          <w:sz w:val="20"/>
        </w:rPr>
        <w:t>Note</w:t>
      </w:r>
      <w:r w:rsidRPr="005E007C">
        <w:rPr>
          <w:bCs/>
          <w:sz w:val="20"/>
        </w:rPr>
        <w:tab/>
        <w:t>Section 40 (2)</w:t>
      </w:r>
      <w:r>
        <w:rPr>
          <w:bCs/>
          <w:sz w:val="20"/>
        </w:rPr>
        <w:t xml:space="preserve"> of the Act provides that in working out an AUV, any fraction of a dollar in the amount worked out must be disregarded. This section applies the same rule to an AUVRU.</w:t>
      </w:r>
    </w:p>
    <w:p w14:paraId="3407B849" w14:textId="77777777" w:rsidR="003C1190" w:rsidRPr="00142754" w:rsidRDefault="003C1190" w:rsidP="003C1190">
      <w:pPr>
        <w:pStyle w:val="AH2Part"/>
        <w:tabs>
          <w:tab w:val="clear" w:pos="2600"/>
          <w:tab w:val="left" w:pos="1418"/>
        </w:tabs>
        <w:ind w:left="1418" w:hanging="1418"/>
      </w:pPr>
      <w:r w:rsidRPr="00142754">
        <w:rPr>
          <w:rStyle w:val="CharPartNo"/>
        </w:rPr>
        <w:t xml:space="preserve">Part </w:t>
      </w:r>
      <w:r>
        <w:rPr>
          <w:rStyle w:val="CharPartNo"/>
        </w:rPr>
        <w:t>2</w:t>
      </w:r>
      <w:r>
        <w:tab/>
      </w:r>
      <w:r>
        <w:rPr>
          <w:rStyle w:val="CharPartText"/>
        </w:rPr>
        <w:t>Land tax—Act, s 9 (4)</w:t>
      </w:r>
    </w:p>
    <w:p w14:paraId="27358A98" w14:textId="77777777" w:rsidR="003C1190" w:rsidRDefault="00D21D97" w:rsidP="003C1190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3C1190">
        <w:rPr>
          <w:rFonts w:ascii="Arial" w:hAnsi="Arial" w:cs="Arial"/>
          <w:b/>
          <w:bCs/>
        </w:rPr>
        <w:tab/>
        <w:t>Determination—land tax</w:t>
      </w:r>
    </w:p>
    <w:p w14:paraId="4C12BF9C" w14:textId="34BA0648" w:rsidR="0045290A" w:rsidRDefault="003C1190" w:rsidP="00356EED">
      <w:pPr>
        <w:spacing w:before="140"/>
      </w:pPr>
      <w:r>
        <w:tab/>
        <w:t>For the purposes of section 9 (4) of the Act, I determine that</w:t>
      </w:r>
      <w:r w:rsidR="0045290A">
        <w:t>—</w:t>
      </w:r>
    </w:p>
    <w:p w14:paraId="064DAE13" w14:textId="69F02D26" w:rsidR="00403FF9" w:rsidRDefault="0045290A" w:rsidP="001748FD">
      <w:pPr>
        <w:spacing w:before="140"/>
        <w:ind w:left="720"/>
      </w:pPr>
      <w:r>
        <w:t>(a)</w:t>
      </w:r>
      <w:r>
        <w:tab/>
      </w:r>
      <w:r w:rsidR="003C1190">
        <w:t xml:space="preserve">FC </w:t>
      </w:r>
      <w:r w:rsidR="00D21D97">
        <w:t>(</w:t>
      </w:r>
      <w:r w:rsidR="003C1190">
        <w:t>or fixed charge</w:t>
      </w:r>
      <w:r w:rsidR="00D21D97">
        <w:t>)</w:t>
      </w:r>
      <w:r w:rsidR="003C1190">
        <w:t xml:space="preserve"> </w:t>
      </w:r>
      <w:r w:rsidR="00173AA9" w:rsidRPr="002D171F">
        <w:t>is $</w:t>
      </w:r>
      <w:r w:rsidR="00712FBC">
        <w:t>1 612</w:t>
      </w:r>
      <w:r w:rsidRPr="002D171F">
        <w:t>; and</w:t>
      </w:r>
    </w:p>
    <w:p w14:paraId="6D1BBFAE" w14:textId="6B193EAF" w:rsidR="003C1190" w:rsidRDefault="003C1190" w:rsidP="001748FD">
      <w:pPr>
        <w:spacing w:before="140"/>
        <w:ind w:left="1440" w:hanging="731"/>
      </w:pPr>
      <w:r w:rsidRPr="00301F20">
        <w:t>(</w:t>
      </w:r>
      <w:r>
        <w:t>b)</w:t>
      </w:r>
      <w:r>
        <w:tab/>
        <w:t xml:space="preserve">P </w:t>
      </w:r>
      <w:r w:rsidR="00D21D97">
        <w:t>(</w:t>
      </w:r>
      <w:r>
        <w:t>or percentage rate</w:t>
      </w:r>
      <w:r w:rsidR="00D21D97">
        <w:t>)</w:t>
      </w:r>
      <w:r>
        <w:t xml:space="preserve"> is the amount listed in column 2 of </w:t>
      </w:r>
      <w:r w:rsidR="00E44E8E">
        <w:t xml:space="preserve">Table </w:t>
      </w:r>
      <w:r>
        <w:t>1 opposite the base value listed in column 1.</w:t>
      </w:r>
    </w:p>
    <w:p w14:paraId="5C955990" w14:textId="77777777" w:rsidR="00CC19F9" w:rsidRDefault="00CC19F9">
      <w:pPr>
        <w:rPr>
          <w:rFonts w:ascii="Arial" w:hAnsi="Arial"/>
          <w:b/>
          <w:sz w:val="20"/>
        </w:rPr>
      </w:pPr>
      <w:r>
        <w:br w:type="page"/>
      </w:r>
    </w:p>
    <w:p w14:paraId="6899E41E" w14:textId="77777777" w:rsidR="003C1190" w:rsidRDefault="003C1190" w:rsidP="003C1190">
      <w:pPr>
        <w:pStyle w:val="TableHd"/>
        <w:ind w:left="1909"/>
      </w:pPr>
      <w:r w:rsidRPr="002F6229">
        <w:lastRenderedPageBreak/>
        <w:t xml:space="preserve">Table </w:t>
      </w:r>
      <w:r>
        <w:t>1</w:t>
      </w:r>
      <w:r w:rsidRPr="002F6229">
        <w:tab/>
      </w:r>
      <w:r>
        <w:t>Percentage rates—land tax</w:t>
      </w:r>
    </w:p>
    <w:tbl>
      <w:tblPr>
        <w:tblW w:w="0" w:type="auto"/>
        <w:tblInd w:w="7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740"/>
        <w:gridCol w:w="3740"/>
      </w:tblGrid>
      <w:tr w:rsidR="003C1190" w:rsidRPr="00A02708" w14:paraId="0891ACD7" w14:textId="77777777" w:rsidTr="00C237F1">
        <w:trPr>
          <w:cantSplit/>
          <w:tblHeader/>
        </w:trPr>
        <w:tc>
          <w:tcPr>
            <w:tcW w:w="3740" w:type="dxa"/>
            <w:tcBorders>
              <w:bottom w:val="single" w:sz="4" w:space="0" w:color="auto"/>
            </w:tcBorders>
          </w:tcPr>
          <w:p w14:paraId="72D147EF" w14:textId="77777777" w:rsidR="003C1190" w:rsidRPr="00A02708" w:rsidRDefault="003C1190" w:rsidP="00050BBA">
            <w:pPr>
              <w:pStyle w:val="TableColHd"/>
            </w:pPr>
            <w:r w:rsidRPr="00A02708">
              <w:t xml:space="preserve">column </w:t>
            </w:r>
            <w:r>
              <w:t>1</w:t>
            </w:r>
          </w:p>
          <w:p w14:paraId="61C19163" w14:textId="77777777" w:rsidR="003C1190" w:rsidRPr="00A02708" w:rsidRDefault="003C1190" w:rsidP="00050BBA">
            <w:pPr>
              <w:pStyle w:val="TableColHd"/>
              <w:rPr>
                <w:rFonts w:cs="Arial"/>
              </w:rPr>
            </w:pPr>
            <w:r>
              <w:rPr>
                <w:rFonts w:cs="Arial"/>
              </w:rPr>
              <w:t>base value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9F35CA7" w14:textId="77777777" w:rsidR="003C1190" w:rsidRPr="00A02708" w:rsidRDefault="003C1190" w:rsidP="00050BBA">
            <w:pPr>
              <w:pStyle w:val="TableColHd"/>
            </w:pPr>
            <w:r w:rsidRPr="00A02708">
              <w:t xml:space="preserve">column </w:t>
            </w:r>
            <w:r>
              <w:t>2</w:t>
            </w:r>
          </w:p>
          <w:p w14:paraId="68365CC4" w14:textId="77777777" w:rsidR="003C1190" w:rsidRPr="00A02708" w:rsidRDefault="003C1190" w:rsidP="00D21D97">
            <w:pPr>
              <w:pStyle w:val="TableColHd"/>
              <w:rPr>
                <w:rFonts w:cs="Arial"/>
              </w:rPr>
            </w:pPr>
            <w:r>
              <w:rPr>
                <w:rFonts w:cs="Arial"/>
              </w:rPr>
              <w:t>P or percentage rate</w:t>
            </w:r>
          </w:p>
        </w:tc>
      </w:tr>
      <w:tr w:rsidR="003C1190" w:rsidRPr="00FC199D" w14:paraId="2D07A1E7" w14:textId="77777777" w:rsidTr="00C237F1">
        <w:trPr>
          <w:cantSplit/>
        </w:trPr>
        <w:tc>
          <w:tcPr>
            <w:tcW w:w="3740" w:type="dxa"/>
            <w:tcBorders>
              <w:top w:val="single" w:sz="4" w:space="0" w:color="auto"/>
            </w:tcBorders>
          </w:tcPr>
          <w:p w14:paraId="57A05B38" w14:textId="77777777" w:rsidR="003C1190" w:rsidRPr="00FC199D" w:rsidRDefault="003C1190" w:rsidP="00050BBA">
            <w:pPr>
              <w:pStyle w:val="TableText10"/>
            </w:pPr>
            <w:r w:rsidRPr="00FC199D">
              <w:t>less than or equal to $150 000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3DD84624" w14:textId="13C84ADA" w:rsidR="003C1190" w:rsidRPr="00FC199D" w:rsidRDefault="003C1190" w:rsidP="00050BBA">
            <w:pPr>
              <w:pStyle w:val="TableText10"/>
            </w:pPr>
            <w:r w:rsidRPr="00FC199D">
              <w:t>0.</w:t>
            </w:r>
            <w:r w:rsidR="000E3E7F" w:rsidRPr="00FC199D">
              <w:t>54</w:t>
            </w:r>
            <w:r w:rsidRPr="00FC199D">
              <w:t>% of the base value</w:t>
            </w:r>
          </w:p>
        </w:tc>
      </w:tr>
      <w:tr w:rsidR="003C1190" w:rsidRPr="00FC199D" w14:paraId="5B4A2662" w14:textId="77777777" w:rsidTr="00C237F1">
        <w:trPr>
          <w:cantSplit/>
          <w:trHeight w:val="350"/>
        </w:trPr>
        <w:tc>
          <w:tcPr>
            <w:tcW w:w="3740" w:type="dxa"/>
          </w:tcPr>
          <w:p w14:paraId="18DAF80E" w14:textId="77777777" w:rsidR="003C1190" w:rsidRPr="00FC199D" w:rsidRDefault="003C1190" w:rsidP="00691C63">
            <w:pPr>
              <w:pStyle w:val="TableText10"/>
            </w:pPr>
            <w:r w:rsidRPr="00FC199D">
              <w:t>more than $150 000 but not more than $275</w:t>
            </w:r>
            <w:r w:rsidR="007932CB" w:rsidRPr="00FC199D">
              <w:t> </w:t>
            </w:r>
            <w:r w:rsidRPr="00FC199D">
              <w:t>000</w:t>
            </w:r>
          </w:p>
        </w:tc>
        <w:tc>
          <w:tcPr>
            <w:tcW w:w="3740" w:type="dxa"/>
          </w:tcPr>
          <w:p w14:paraId="236B0276" w14:textId="55234504" w:rsidR="003C1190" w:rsidRPr="00FC199D" w:rsidRDefault="003C1190" w:rsidP="00050BBA">
            <w:pPr>
              <w:pStyle w:val="TableText10"/>
            </w:pPr>
            <w:r w:rsidRPr="00FC199D">
              <w:t>$</w:t>
            </w:r>
            <w:r w:rsidR="000E3E7F" w:rsidRPr="00FC199D">
              <w:t xml:space="preserve">810 </w:t>
            </w:r>
            <w:r w:rsidRPr="00FC199D">
              <w:t>plus 0.</w:t>
            </w:r>
            <w:r w:rsidR="000E3E7F" w:rsidRPr="00FC199D">
              <w:t>64</w:t>
            </w:r>
            <w:r w:rsidRPr="00FC199D">
              <w:t>% of the part of the base value that is more than $150 000</w:t>
            </w:r>
          </w:p>
        </w:tc>
      </w:tr>
      <w:tr w:rsidR="003C1190" w:rsidRPr="00FC199D" w14:paraId="3B3E847D" w14:textId="77777777" w:rsidTr="00C237F1">
        <w:trPr>
          <w:cantSplit/>
        </w:trPr>
        <w:tc>
          <w:tcPr>
            <w:tcW w:w="3740" w:type="dxa"/>
          </w:tcPr>
          <w:p w14:paraId="46AF5C50" w14:textId="17D64513" w:rsidR="003C1190" w:rsidRPr="00FC199D" w:rsidRDefault="003C1190" w:rsidP="00050BBA">
            <w:pPr>
              <w:pStyle w:val="TableText10"/>
            </w:pPr>
            <w:r w:rsidRPr="00FC199D">
              <w:t>more than $275 000 but not more than $</w:t>
            </w:r>
            <w:r w:rsidR="00CF1A0C">
              <w:t>1</w:t>
            </w:r>
            <w:r w:rsidR="00CF1A0C" w:rsidRPr="00FC199D">
              <w:t> </w:t>
            </w:r>
            <w:r w:rsidRPr="00FC199D">
              <w:t>000 000</w:t>
            </w:r>
          </w:p>
        </w:tc>
        <w:tc>
          <w:tcPr>
            <w:tcW w:w="3740" w:type="dxa"/>
          </w:tcPr>
          <w:p w14:paraId="50753351" w14:textId="1224BA01" w:rsidR="003C1190" w:rsidRPr="00FC199D" w:rsidRDefault="003C1190" w:rsidP="00050BBA">
            <w:pPr>
              <w:pStyle w:val="TableText10"/>
            </w:pPr>
            <w:r w:rsidRPr="00FC199D">
              <w:t>$</w:t>
            </w:r>
            <w:r w:rsidR="000F6ED3" w:rsidRPr="00FC199D">
              <w:t xml:space="preserve">1 </w:t>
            </w:r>
            <w:r w:rsidR="000E3E7F" w:rsidRPr="00FC199D">
              <w:t xml:space="preserve">610 </w:t>
            </w:r>
            <w:r w:rsidRPr="00FC199D">
              <w:t>plus 1.</w:t>
            </w:r>
            <w:r w:rsidR="00012A5B">
              <w:t>24</w:t>
            </w:r>
            <w:r w:rsidRPr="00FC199D">
              <w:t>% of the part of the base value that is more than $275 000</w:t>
            </w:r>
          </w:p>
        </w:tc>
      </w:tr>
      <w:tr w:rsidR="00CF1A0C" w:rsidRPr="00FC199D" w14:paraId="222DECB1" w14:textId="77777777" w:rsidTr="00C237F1">
        <w:trPr>
          <w:cantSplit/>
        </w:trPr>
        <w:tc>
          <w:tcPr>
            <w:tcW w:w="3740" w:type="dxa"/>
          </w:tcPr>
          <w:p w14:paraId="6C5CB5E8" w14:textId="30BC2F62" w:rsidR="00CF1A0C" w:rsidRPr="00FC199D" w:rsidRDefault="00CF1A0C" w:rsidP="00050BBA">
            <w:pPr>
              <w:pStyle w:val="TableText10"/>
            </w:pPr>
            <w:r w:rsidRPr="00FC199D">
              <w:t>more than $</w:t>
            </w:r>
            <w:r>
              <w:t>1 000</w:t>
            </w:r>
            <w:r w:rsidRPr="00FC199D">
              <w:t xml:space="preserve"> 000 but not more than $</w:t>
            </w:r>
            <w:r>
              <w:t>2</w:t>
            </w:r>
            <w:r w:rsidRPr="00FC199D">
              <w:t> 000 000</w:t>
            </w:r>
          </w:p>
        </w:tc>
        <w:tc>
          <w:tcPr>
            <w:tcW w:w="3740" w:type="dxa"/>
          </w:tcPr>
          <w:p w14:paraId="3BBB796C" w14:textId="4F7A0A72" w:rsidR="00CF1A0C" w:rsidRPr="00FC199D" w:rsidRDefault="00CF1A0C" w:rsidP="00050BBA">
            <w:pPr>
              <w:pStyle w:val="TableText10"/>
            </w:pPr>
            <w:r w:rsidRPr="00FC199D">
              <w:t>$</w:t>
            </w:r>
            <w:r w:rsidR="00012A5B">
              <w:t>10 600</w:t>
            </w:r>
            <w:r w:rsidRPr="00FC199D">
              <w:t xml:space="preserve"> plus 1.</w:t>
            </w:r>
            <w:r w:rsidR="00012A5B">
              <w:t>25</w:t>
            </w:r>
            <w:r w:rsidRPr="00FC199D">
              <w:t>% of the part of the base value that is more than $</w:t>
            </w:r>
            <w:r>
              <w:t>1 000</w:t>
            </w:r>
            <w:r w:rsidRPr="00FC199D">
              <w:t> 000</w:t>
            </w:r>
          </w:p>
        </w:tc>
      </w:tr>
      <w:tr w:rsidR="003C1190" w:rsidRPr="00FC199D" w14:paraId="13ABE18A" w14:textId="77777777" w:rsidTr="00C237F1">
        <w:trPr>
          <w:cantSplit/>
          <w:trHeight w:val="428"/>
        </w:trPr>
        <w:tc>
          <w:tcPr>
            <w:tcW w:w="3740" w:type="dxa"/>
          </w:tcPr>
          <w:p w14:paraId="686D95FC" w14:textId="77777777" w:rsidR="003C1190" w:rsidRPr="00FC199D" w:rsidRDefault="003C1190" w:rsidP="00050BBA">
            <w:pPr>
              <w:pStyle w:val="TableText10"/>
            </w:pPr>
            <w:r w:rsidRPr="00FC199D">
              <w:t>more than $2 000 000</w:t>
            </w:r>
          </w:p>
        </w:tc>
        <w:tc>
          <w:tcPr>
            <w:tcW w:w="3740" w:type="dxa"/>
          </w:tcPr>
          <w:p w14:paraId="4F1FD7F0" w14:textId="042C3100" w:rsidR="003C1190" w:rsidRPr="00FC199D" w:rsidRDefault="003C1190" w:rsidP="00050BBA">
            <w:pPr>
              <w:pStyle w:val="TableText10"/>
            </w:pPr>
            <w:r w:rsidRPr="00FC199D">
              <w:t>$</w:t>
            </w:r>
            <w:r w:rsidR="00012A5B">
              <w:t xml:space="preserve">23 100 </w:t>
            </w:r>
            <w:r w:rsidRPr="00FC199D">
              <w:t>plus 1.</w:t>
            </w:r>
            <w:r w:rsidR="00012A5B">
              <w:t>26</w:t>
            </w:r>
            <w:r w:rsidRPr="00FC199D">
              <w:t>% of the part of the base value that is more than $2 000 000</w:t>
            </w:r>
          </w:p>
        </w:tc>
      </w:tr>
    </w:tbl>
    <w:p w14:paraId="43F82C52" w14:textId="2B766D81" w:rsidR="003C1190" w:rsidRPr="00FC199D" w:rsidRDefault="003C1190" w:rsidP="001C644B">
      <w:pPr>
        <w:pStyle w:val="AH2Part"/>
        <w:tabs>
          <w:tab w:val="clear" w:pos="2600"/>
          <w:tab w:val="left" w:pos="1418"/>
        </w:tabs>
        <w:spacing w:before="480"/>
        <w:ind w:left="1418" w:hanging="1418"/>
        <w:rPr>
          <w:rStyle w:val="CharPartNo"/>
        </w:rPr>
      </w:pPr>
      <w:r w:rsidRPr="00FC199D">
        <w:rPr>
          <w:rStyle w:val="CharPartNo"/>
        </w:rPr>
        <w:t xml:space="preserve">Part </w:t>
      </w:r>
      <w:r w:rsidR="00173BEE" w:rsidRPr="00FC199D">
        <w:rPr>
          <w:rStyle w:val="CharPartNo"/>
        </w:rPr>
        <w:t>3</w:t>
      </w:r>
      <w:r w:rsidRPr="00FC199D">
        <w:rPr>
          <w:rStyle w:val="CharPartNo"/>
        </w:rPr>
        <w:tab/>
      </w:r>
      <w:r w:rsidR="00D21D97" w:rsidRPr="00FC199D">
        <w:rPr>
          <w:rStyle w:val="CharPartNo"/>
        </w:rPr>
        <w:t>Foreign ownership surcharge—Act, s 17E (4)</w:t>
      </w:r>
    </w:p>
    <w:p w14:paraId="22C920AE" w14:textId="77777777" w:rsidR="00D21D97" w:rsidRPr="00FC199D" w:rsidRDefault="00026DA2" w:rsidP="00D21D97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FC199D">
        <w:rPr>
          <w:rFonts w:ascii="Arial" w:hAnsi="Arial" w:cs="Arial"/>
          <w:b/>
          <w:bCs/>
        </w:rPr>
        <w:t>7</w:t>
      </w:r>
      <w:r w:rsidR="00D21D97" w:rsidRPr="00FC199D">
        <w:rPr>
          <w:rFonts w:ascii="Arial" w:hAnsi="Arial" w:cs="Arial"/>
          <w:b/>
          <w:bCs/>
        </w:rPr>
        <w:tab/>
        <w:t>Determination—foreign ownership surcharge</w:t>
      </w:r>
    </w:p>
    <w:p w14:paraId="18F7735A" w14:textId="77777777" w:rsidR="00D21D97" w:rsidRDefault="00D21D97" w:rsidP="00D21D97">
      <w:pPr>
        <w:spacing w:before="140"/>
        <w:ind w:left="720" w:hanging="436"/>
      </w:pPr>
      <w:r w:rsidRPr="00FC199D">
        <w:tab/>
        <w:t>For the purposes of section 17E (4) of the Act, I determine that</w:t>
      </w:r>
      <w:r w:rsidR="0022782A" w:rsidRPr="00FC199D">
        <w:t xml:space="preserve"> P </w:t>
      </w:r>
      <w:r w:rsidR="00026DA2" w:rsidRPr="00FC199D">
        <w:t>(or </w:t>
      </w:r>
      <w:r w:rsidRPr="00FC199D">
        <w:t>percentage rate) is 0.75% of</w:t>
      </w:r>
      <w:r>
        <w:t xml:space="preserve"> the base value.</w:t>
      </w:r>
    </w:p>
    <w:p w14:paraId="681109C0" w14:textId="1DD099B0" w:rsidR="003C1190" w:rsidRPr="00142754" w:rsidRDefault="003C1190" w:rsidP="001C644B">
      <w:pPr>
        <w:pStyle w:val="AH2Part"/>
        <w:tabs>
          <w:tab w:val="clear" w:pos="2600"/>
          <w:tab w:val="left" w:pos="1418"/>
        </w:tabs>
        <w:spacing w:before="480"/>
        <w:ind w:left="1418" w:hanging="1418"/>
      </w:pPr>
      <w:r w:rsidRPr="00142754">
        <w:rPr>
          <w:rStyle w:val="CharPartNo"/>
        </w:rPr>
        <w:t xml:space="preserve">Part </w:t>
      </w:r>
      <w:r w:rsidR="00173BEE">
        <w:rPr>
          <w:rStyle w:val="CharPartNo"/>
        </w:rPr>
        <w:t>4</w:t>
      </w:r>
      <w:r>
        <w:tab/>
      </w:r>
      <w:r>
        <w:rPr>
          <w:rStyle w:val="CharPartText"/>
        </w:rPr>
        <w:t>Miscellaneous</w:t>
      </w:r>
    </w:p>
    <w:p w14:paraId="70B00495" w14:textId="77777777" w:rsidR="00F10CB2" w:rsidRDefault="00026DA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2BACAF4F" w14:textId="1602D45B" w:rsidR="00F10CB2" w:rsidRDefault="0072003E" w:rsidP="00D47F13">
      <w:pPr>
        <w:spacing w:before="140"/>
        <w:ind w:left="720"/>
      </w:pPr>
      <w:r>
        <w:t xml:space="preserve">This instrument revokes </w:t>
      </w:r>
      <w:r w:rsidR="006A6971" w:rsidRPr="005A3FE5">
        <w:rPr>
          <w:i/>
          <w:szCs w:val="24"/>
        </w:rPr>
        <w:t>Taxation Administration (</w:t>
      </w:r>
      <w:r w:rsidR="003C1190">
        <w:rPr>
          <w:i/>
          <w:szCs w:val="24"/>
        </w:rPr>
        <w:t>Amounts Payable—</w:t>
      </w:r>
      <w:r w:rsidR="006A6971" w:rsidRPr="005A3FE5">
        <w:rPr>
          <w:i/>
          <w:szCs w:val="24"/>
        </w:rPr>
        <w:t>Land</w:t>
      </w:r>
      <w:r w:rsidR="003C1190">
        <w:rPr>
          <w:i/>
          <w:szCs w:val="24"/>
        </w:rPr>
        <w:t> </w:t>
      </w:r>
      <w:r w:rsidR="006A6971" w:rsidRPr="005A3FE5">
        <w:rPr>
          <w:i/>
          <w:szCs w:val="24"/>
        </w:rPr>
        <w:t xml:space="preserve">Tax) Determination </w:t>
      </w:r>
      <w:r w:rsidR="008F6F6A" w:rsidRPr="005A3FE5">
        <w:rPr>
          <w:i/>
          <w:szCs w:val="24"/>
        </w:rPr>
        <w:t>20</w:t>
      </w:r>
      <w:r w:rsidR="008F6F6A">
        <w:rPr>
          <w:i/>
          <w:szCs w:val="24"/>
        </w:rPr>
        <w:t>2</w:t>
      </w:r>
      <w:r w:rsidR="00884B44">
        <w:rPr>
          <w:i/>
          <w:szCs w:val="24"/>
        </w:rPr>
        <w:t>3</w:t>
      </w:r>
      <w:r w:rsidR="002D171F">
        <w:rPr>
          <w:iCs/>
          <w:szCs w:val="24"/>
        </w:rPr>
        <w:t>,</w:t>
      </w:r>
      <w:r w:rsidR="006A6971" w:rsidRPr="005A3FE5">
        <w:rPr>
          <w:i/>
          <w:szCs w:val="24"/>
        </w:rPr>
        <w:t xml:space="preserve"> </w:t>
      </w:r>
      <w:r w:rsidR="00161CB2">
        <w:t>DI20</w:t>
      </w:r>
      <w:r w:rsidR="008F6F6A">
        <w:t>2</w:t>
      </w:r>
      <w:r w:rsidR="0034665C">
        <w:t>3</w:t>
      </w:r>
      <w:r w:rsidR="008F6F6A">
        <w:t>-</w:t>
      </w:r>
      <w:r w:rsidR="00884B44">
        <w:t>168</w:t>
      </w:r>
      <w:r>
        <w:t>.</w:t>
      </w:r>
    </w:p>
    <w:p w14:paraId="292C5E40" w14:textId="77777777" w:rsidR="00712FBC" w:rsidRDefault="00712FBC" w:rsidP="006A6971">
      <w:pPr>
        <w:spacing w:before="300"/>
        <w:ind w:left="720" w:hanging="720"/>
        <w:rPr>
          <w:rFonts w:ascii="Arial" w:hAnsi="Arial" w:cs="Arial"/>
          <w:b/>
          <w:bCs/>
        </w:rPr>
      </w:pPr>
    </w:p>
    <w:p w14:paraId="67D4536D" w14:textId="77777777" w:rsidR="00D47F13" w:rsidRDefault="00A64BEC" w:rsidP="00232478">
      <w:pPr>
        <w:tabs>
          <w:tab w:val="left" w:pos="4320"/>
        </w:tabs>
        <w:spacing w:before="720"/>
      </w:pPr>
      <w:r>
        <w:t>Andrew Barr MLA</w:t>
      </w:r>
    </w:p>
    <w:p w14:paraId="57916220" w14:textId="77777777" w:rsidR="00F10CB2" w:rsidRDefault="00A64BEC" w:rsidP="00232478">
      <w:pPr>
        <w:tabs>
          <w:tab w:val="left" w:pos="4320"/>
        </w:tabs>
      </w:pPr>
      <w:r>
        <w:t>Treasurer</w:t>
      </w:r>
      <w:bookmarkEnd w:id="0"/>
    </w:p>
    <w:p w14:paraId="68AF9E38" w14:textId="77777777" w:rsidR="008862BA" w:rsidRDefault="008862BA" w:rsidP="00232478">
      <w:pPr>
        <w:tabs>
          <w:tab w:val="left" w:pos="4320"/>
        </w:tabs>
      </w:pPr>
    </w:p>
    <w:p w14:paraId="443AA1C1" w14:textId="3913AFEE" w:rsidR="00FB3F7D" w:rsidRDefault="003C3BF7" w:rsidP="00232478">
      <w:pPr>
        <w:tabs>
          <w:tab w:val="left" w:pos="4320"/>
        </w:tabs>
      </w:pPr>
      <w:r>
        <w:t xml:space="preserve">21 </w:t>
      </w:r>
      <w:r w:rsidR="004A3B59">
        <w:t>June 202</w:t>
      </w:r>
      <w:r w:rsidR="00884B44">
        <w:t>4</w:t>
      </w:r>
    </w:p>
    <w:sectPr w:rsidR="00FB3F7D" w:rsidSect="002D17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276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2EC4E" w14:textId="77777777" w:rsidR="005D45AE" w:rsidRDefault="005D45AE" w:rsidP="00F10CB2">
      <w:r>
        <w:separator/>
      </w:r>
    </w:p>
  </w:endnote>
  <w:endnote w:type="continuationSeparator" w:id="0">
    <w:p w14:paraId="3B6C628C" w14:textId="77777777" w:rsidR="005D45AE" w:rsidRDefault="005D45AE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373A" w14:textId="77777777" w:rsidR="00833CB0" w:rsidRDefault="00833C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3BE2" w14:textId="2B1BE014" w:rsidR="00D56125" w:rsidRPr="00833CB0" w:rsidRDefault="00833CB0" w:rsidP="00833CB0">
    <w:pPr>
      <w:pStyle w:val="Footer"/>
      <w:jc w:val="center"/>
      <w:rPr>
        <w:rFonts w:cs="Arial"/>
        <w:sz w:val="14"/>
      </w:rPr>
    </w:pPr>
    <w:r w:rsidRPr="00833CB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EC51" w14:textId="77777777" w:rsidR="00833CB0" w:rsidRDefault="00833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90D92" w14:textId="77777777" w:rsidR="005D45AE" w:rsidRDefault="005D45AE" w:rsidP="00F10CB2">
      <w:r>
        <w:separator/>
      </w:r>
    </w:p>
  </w:footnote>
  <w:footnote w:type="continuationSeparator" w:id="0">
    <w:p w14:paraId="7B60E17A" w14:textId="77777777" w:rsidR="005D45AE" w:rsidRDefault="005D45AE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A89F" w14:textId="77777777" w:rsidR="00833CB0" w:rsidRDefault="00833C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FCAA" w14:textId="77777777" w:rsidR="00833CB0" w:rsidRDefault="00833C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2C3E" w14:textId="77777777" w:rsidR="00833CB0" w:rsidRDefault="00833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5E9223F"/>
    <w:multiLevelType w:val="hybridMultilevel"/>
    <w:tmpl w:val="B030B2DC"/>
    <w:lvl w:ilvl="0" w:tplc="0C090001">
      <w:start w:val="1"/>
      <w:numFmt w:val="bullet"/>
      <w:lvlText w:val=""/>
      <w:lvlJc w:val="left"/>
      <w:pPr>
        <w:ind w:left="1836" w:hanging="396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92285605">
    <w:abstractNumId w:val="2"/>
  </w:num>
  <w:num w:numId="2" w16cid:durableId="1972055881">
    <w:abstractNumId w:val="0"/>
  </w:num>
  <w:num w:numId="3" w16cid:durableId="996500206">
    <w:abstractNumId w:val="3"/>
  </w:num>
  <w:num w:numId="4" w16cid:durableId="470942766">
    <w:abstractNumId w:val="7"/>
  </w:num>
  <w:num w:numId="5" w16cid:durableId="68692276">
    <w:abstractNumId w:val="9"/>
  </w:num>
  <w:num w:numId="6" w16cid:durableId="436482512">
    <w:abstractNumId w:val="1"/>
  </w:num>
  <w:num w:numId="7" w16cid:durableId="1773280358">
    <w:abstractNumId w:val="5"/>
  </w:num>
  <w:num w:numId="8" w16cid:durableId="1927962105">
    <w:abstractNumId w:val="6"/>
  </w:num>
  <w:num w:numId="9" w16cid:durableId="1043486094">
    <w:abstractNumId w:val="4"/>
  </w:num>
  <w:num w:numId="10" w16cid:durableId="1631548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2A5B"/>
    <w:rsid w:val="00022B16"/>
    <w:rsid w:val="00026DA2"/>
    <w:rsid w:val="00033916"/>
    <w:rsid w:val="00050BBA"/>
    <w:rsid w:val="00062CB0"/>
    <w:rsid w:val="00064E8D"/>
    <w:rsid w:val="000A1A69"/>
    <w:rsid w:val="000A4413"/>
    <w:rsid w:val="000D2BBC"/>
    <w:rsid w:val="000E3E7F"/>
    <w:rsid w:val="000F6ED3"/>
    <w:rsid w:val="00125787"/>
    <w:rsid w:val="001369EB"/>
    <w:rsid w:val="00142754"/>
    <w:rsid w:val="00157420"/>
    <w:rsid w:val="00161CB2"/>
    <w:rsid w:val="00173AA9"/>
    <w:rsid w:val="00173BEE"/>
    <w:rsid w:val="001748FD"/>
    <w:rsid w:val="00194AC7"/>
    <w:rsid w:val="001B60C5"/>
    <w:rsid w:val="001C644B"/>
    <w:rsid w:val="001D61B9"/>
    <w:rsid w:val="00201CF3"/>
    <w:rsid w:val="0022782A"/>
    <w:rsid w:val="00232478"/>
    <w:rsid w:val="00232DED"/>
    <w:rsid w:val="00264804"/>
    <w:rsid w:val="00267304"/>
    <w:rsid w:val="0027677D"/>
    <w:rsid w:val="00291A8A"/>
    <w:rsid w:val="002A29E5"/>
    <w:rsid w:val="002A5C71"/>
    <w:rsid w:val="002C65A5"/>
    <w:rsid w:val="002C6C13"/>
    <w:rsid w:val="002D171F"/>
    <w:rsid w:val="002E746C"/>
    <w:rsid w:val="002F0931"/>
    <w:rsid w:val="002F6229"/>
    <w:rsid w:val="00300F58"/>
    <w:rsid w:val="00301F20"/>
    <w:rsid w:val="003321D6"/>
    <w:rsid w:val="003338B8"/>
    <w:rsid w:val="0034665C"/>
    <w:rsid w:val="00356C4D"/>
    <w:rsid w:val="00356EED"/>
    <w:rsid w:val="0036415B"/>
    <w:rsid w:val="00391957"/>
    <w:rsid w:val="003A75E4"/>
    <w:rsid w:val="003C1190"/>
    <w:rsid w:val="003C3BF7"/>
    <w:rsid w:val="00403FF9"/>
    <w:rsid w:val="00406189"/>
    <w:rsid w:val="004201E7"/>
    <w:rsid w:val="00436A95"/>
    <w:rsid w:val="00442D11"/>
    <w:rsid w:val="0045290A"/>
    <w:rsid w:val="00454241"/>
    <w:rsid w:val="00455700"/>
    <w:rsid w:val="00464C16"/>
    <w:rsid w:val="004669DD"/>
    <w:rsid w:val="00486ED4"/>
    <w:rsid w:val="00495360"/>
    <w:rsid w:val="004A3B59"/>
    <w:rsid w:val="004B7899"/>
    <w:rsid w:val="004C7FCB"/>
    <w:rsid w:val="004D5AA4"/>
    <w:rsid w:val="004F000B"/>
    <w:rsid w:val="004F6572"/>
    <w:rsid w:val="00502106"/>
    <w:rsid w:val="0050686E"/>
    <w:rsid w:val="005103B3"/>
    <w:rsid w:val="00520241"/>
    <w:rsid w:val="005228F5"/>
    <w:rsid w:val="00531696"/>
    <w:rsid w:val="0055539B"/>
    <w:rsid w:val="005A0D13"/>
    <w:rsid w:val="005A1749"/>
    <w:rsid w:val="005A3FE5"/>
    <w:rsid w:val="005A7EED"/>
    <w:rsid w:val="005D29AA"/>
    <w:rsid w:val="005D45AE"/>
    <w:rsid w:val="005E007C"/>
    <w:rsid w:val="005F3055"/>
    <w:rsid w:val="0061687C"/>
    <w:rsid w:val="00617AFA"/>
    <w:rsid w:val="00625103"/>
    <w:rsid w:val="00627F0C"/>
    <w:rsid w:val="006620AF"/>
    <w:rsid w:val="00667281"/>
    <w:rsid w:val="00670577"/>
    <w:rsid w:val="00691C63"/>
    <w:rsid w:val="00693A7E"/>
    <w:rsid w:val="00694A0D"/>
    <w:rsid w:val="0069552C"/>
    <w:rsid w:val="006A1812"/>
    <w:rsid w:val="006A6971"/>
    <w:rsid w:val="006B131F"/>
    <w:rsid w:val="006B3CE6"/>
    <w:rsid w:val="006D1386"/>
    <w:rsid w:val="006D3B10"/>
    <w:rsid w:val="006D5686"/>
    <w:rsid w:val="006D600F"/>
    <w:rsid w:val="006D7F36"/>
    <w:rsid w:val="006E5CB1"/>
    <w:rsid w:val="00704DC3"/>
    <w:rsid w:val="00712FBC"/>
    <w:rsid w:val="0072003E"/>
    <w:rsid w:val="007210E9"/>
    <w:rsid w:val="00730D47"/>
    <w:rsid w:val="007766A2"/>
    <w:rsid w:val="00785EDD"/>
    <w:rsid w:val="007932CB"/>
    <w:rsid w:val="007A58D8"/>
    <w:rsid w:val="007D47CB"/>
    <w:rsid w:val="007D709B"/>
    <w:rsid w:val="00815808"/>
    <w:rsid w:val="00824867"/>
    <w:rsid w:val="00833CB0"/>
    <w:rsid w:val="008547F2"/>
    <w:rsid w:val="00884B44"/>
    <w:rsid w:val="008862BA"/>
    <w:rsid w:val="008A168E"/>
    <w:rsid w:val="008A4F18"/>
    <w:rsid w:val="008A7F01"/>
    <w:rsid w:val="008C641C"/>
    <w:rsid w:val="008F6F6A"/>
    <w:rsid w:val="009130AE"/>
    <w:rsid w:val="0091324B"/>
    <w:rsid w:val="009132AA"/>
    <w:rsid w:val="00943239"/>
    <w:rsid w:val="00966192"/>
    <w:rsid w:val="0096786F"/>
    <w:rsid w:val="00991C2F"/>
    <w:rsid w:val="009D165B"/>
    <w:rsid w:val="009E2493"/>
    <w:rsid w:val="009E6EDD"/>
    <w:rsid w:val="009F2328"/>
    <w:rsid w:val="009F72C9"/>
    <w:rsid w:val="00A02708"/>
    <w:rsid w:val="00A0585C"/>
    <w:rsid w:val="00A216F3"/>
    <w:rsid w:val="00A242ED"/>
    <w:rsid w:val="00A279B9"/>
    <w:rsid w:val="00A27CD6"/>
    <w:rsid w:val="00A5092F"/>
    <w:rsid w:val="00A64BEC"/>
    <w:rsid w:val="00A658F2"/>
    <w:rsid w:val="00A82BFC"/>
    <w:rsid w:val="00A850CE"/>
    <w:rsid w:val="00AB7BDA"/>
    <w:rsid w:val="00AD0549"/>
    <w:rsid w:val="00AE5F3E"/>
    <w:rsid w:val="00AE7E49"/>
    <w:rsid w:val="00B1649C"/>
    <w:rsid w:val="00B16732"/>
    <w:rsid w:val="00B30B9A"/>
    <w:rsid w:val="00B37516"/>
    <w:rsid w:val="00B665C4"/>
    <w:rsid w:val="00B704B1"/>
    <w:rsid w:val="00B70888"/>
    <w:rsid w:val="00BA52F5"/>
    <w:rsid w:val="00BA74D3"/>
    <w:rsid w:val="00BB241F"/>
    <w:rsid w:val="00C01DCA"/>
    <w:rsid w:val="00C237F1"/>
    <w:rsid w:val="00C41B1B"/>
    <w:rsid w:val="00C52875"/>
    <w:rsid w:val="00C64E63"/>
    <w:rsid w:val="00C6588B"/>
    <w:rsid w:val="00C710B4"/>
    <w:rsid w:val="00C74B52"/>
    <w:rsid w:val="00C759CD"/>
    <w:rsid w:val="00C83092"/>
    <w:rsid w:val="00C90114"/>
    <w:rsid w:val="00CB78E1"/>
    <w:rsid w:val="00CC1266"/>
    <w:rsid w:val="00CC19F9"/>
    <w:rsid w:val="00CC32F4"/>
    <w:rsid w:val="00CC7579"/>
    <w:rsid w:val="00CD1A0A"/>
    <w:rsid w:val="00CD4E55"/>
    <w:rsid w:val="00CF1A0C"/>
    <w:rsid w:val="00D20E51"/>
    <w:rsid w:val="00D21D97"/>
    <w:rsid w:val="00D32438"/>
    <w:rsid w:val="00D47F13"/>
    <w:rsid w:val="00D5553C"/>
    <w:rsid w:val="00D56125"/>
    <w:rsid w:val="00DA22E8"/>
    <w:rsid w:val="00DA3502"/>
    <w:rsid w:val="00DC2401"/>
    <w:rsid w:val="00E001B5"/>
    <w:rsid w:val="00E23301"/>
    <w:rsid w:val="00E4462D"/>
    <w:rsid w:val="00E44E8E"/>
    <w:rsid w:val="00E57B6E"/>
    <w:rsid w:val="00E60002"/>
    <w:rsid w:val="00E65BB5"/>
    <w:rsid w:val="00E65DAA"/>
    <w:rsid w:val="00E66CB8"/>
    <w:rsid w:val="00E80D17"/>
    <w:rsid w:val="00EC4D34"/>
    <w:rsid w:val="00EC5FBC"/>
    <w:rsid w:val="00EE37D7"/>
    <w:rsid w:val="00F00761"/>
    <w:rsid w:val="00F06E50"/>
    <w:rsid w:val="00F10CB2"/>
    <w:rsid w:val="00F15AC3"/>
    <w:rsid w:val="00F20185"/>
    <w:rsid w:val="00F23EFD"/>
    <w:rsid w:val="00F352AB"/>
    <w:rsid w:val="00F5454A"/>
    <w:rsid w:val="00F7462A"/>
    <w:rsid w:val="00F96A56"/>
    <w:rsid w:val="00FA0D8B"/>
    <w:rsid w:val="00FB2C7B"/>
    <w:rsid w:val="00FB3F7D"/>
    <w:rsid w:val="00FB5A92"/>
    <w:rsid w:val="00FC199D"/>
    <w:rsid w:val="00FC1F00"/>
    <w:rsid w:val="00FD7DE9"/>
    <w:rsid w:val="00FE49F3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E8644E"/>
  <w14:defaultImageDpi w14:val="0"/>
  <w15:docId w15:val="{D6330968-A04B-47F5-9CF4-6D205B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B131F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B131F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B131F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B131F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6B131F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131F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131F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B131F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B131F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ListParagraph">
    <w:name w:val="List Paragraph"/>
    <w:basedOn w:val="Normal"/>
    <w:uiPriority w:val="34"/>
    <w:qFormat/>
    <w:rsid w:val="00E001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E57B6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57B6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57B6E"/>
    <w:rPr>
      <w:rFonts w:cs="Times New Roman"/>
      <w:lang w:val="x-none" w:eastAsia="en-US"/>
    </w:rPr>
  </w:style>
  <w:style w:type="paragraph" w:customStyle="1" w:styleId="TableHd">
    <w:name w:val="TableHd"/>
    <w:basedOn w:val="Normal"/>
    <w:rsid w:val="00E57B6E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E57B6E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E57B6E"/>
    <w:pPr>
      <w:tabs>
        <w:tab w:val="left" w:pos="0"/>
      </w:tabs>
      <w:spacing w:before="60" w:after="6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7B6E"/>
    <w:rPr>
      <w:rFonts w:ascii="Tahoma" w:hAnsi="Tahoma" w:cs="Tahoma"/>
      <w:sz w:val="16"/>
      <w:szCs w:val="16"/>
      <w:lang w:val="x-none" w:eastAsia="en-US"/>
    </w:rPr>
  </w:style>
  <w:style w:type="paragraph" w:customStyle="1" w:styleId="AH2Part">
    <w:name w:val="A H2 Part"/>
    <w:basedOn w:val="Normal"/>
    <w:next w:val="Normal"/>
    <w:rsid w:val="003C1190"/>
    <w:pPr>
      <w:keepNext/>
      <w:tabs>
        <w:tab w:val="left" w:pos="2600"/>
      </w:tabs>
      <w:spacing w:before="380"/>
      <w:ind w:left="2600" w:hanging="2600"/>
      <w:outlineLvl w:val="1"/>
    </w:pPr>
    <w:rPr>
      <w:rFonts w:ascii="Arial" w:hAnsi="Arial"/>
      <w:b/>
      <w:sz w:val="32"/>
    </w:rPr>
  </w:style>
  <w:style w:type="character" w:customStyle="1" w:styleId="CharPartNo">
    <w:name w:val="CharPartNo"/>
    <w:basedOn w:val="DefaultParagraphFont"/>
    <w:rsid w:val="003C1190"/>
    <w:rPr>
      <w:rFonts w:cs="Times New Roman"/>
    </w:rPr>
  </w:style>
  <w:style w:type="character" w:customStyle="1" w:styleId="CharPartText">
    <w:name w:val="CharPartText"/>
    <w:basedOn w:val="DefaultParagraphFont"/>
    <w:rsid w:val="003C1190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403FF9"/>
    <w:rPr>
      <w:rFonts w:cs="Times New Roman"/>
      <w:color w:val="808080"/>
    </w:rPr>
  </w:style>
  <w:style w:type="paragraph" w:customStyle="1" w:styleId="aExamHdgss">
    <w:name w:val="aExamHdgss"/>
    <w:basedOn w:val="Normal"/>
    <w:next w:val="Normal"/>
    <w:rsid w:val="000D2BBC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INumss">
    <w:name w:val="aExamINumss"/>
    <w:basedOn w:val="Normal"/>
    <w:rsid w:val="000D2BBC"/>
    <w:pPr>
      <w:tabs>
        <w:tab w:val="left" w:pos="1100"/>
        <w:tab w:val="left" w:pos="1500"/>
        <w:tab w:val="left" w:pos="2381"/>
      </w:tabs>
      <w:spacing w:before="60"/>
      <w:ind w:left="1500" w:hanging="400"/>
      <w:jc w:val="both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90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90114"/>
    <w:rPr>
      <w:rFonts w:cs="Times New Roman"/>
      <w:b/>
      <w:bCs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1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3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9371-6CB8-4132-BF0D-B1998435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3138</Characters>
  <Application>Microsoft Office Word</Application>
  <DocSecurity>0</DocSecurity>
  <Lines>102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2019-06-14T05:52:00Z</cp:lastPrinted>
  <dcterms:created xsi:type="dcterms:W3CDTF">2024-06-24T05:18:00Z</dcterms:created>
  <dcterms:modified xsi:type="dcterms:W3CDTF">2024-06-24T05:18:00Z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2024-05-30T05:16:12Z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7783d2cb-f4f0-4633-bdda-61e33ec4e4d9</vt:lpwstr>
  </property>
  <property fmtid="{D5CDD505-2E9C-101B-9397-08002B2CF9AE}" pid="8" name="MSIP_Label_69af8531-eb46-4968-8cb3-105d2f5ea87e_ContentBits">
    <vt:lpwstr>0</vt:lpwstr>
  </property>
</Properties>
</file>