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AF06" w14:textId="77777777" w:rsidR="00CA225C" w:rsidRDefault="00CA225C" w:rsidP="00CA225C">
      <w:pPr>
        <w:spacing w:before="120"/>
      </w:pPr>
      <w:bookmarkStart w:id="0" w:name="_Toc44738651"/>
      <w:bookmarkStart w:id="1" w:name="_Hlk92187184"/>
      <w:r>
        <w:t>Australian Capital Territory</w:t>
      </w:r>
    </w:p>
    <w:p w14:paraId="13967DCE" w14:textId="7FFEFA20" w:rsidR="00CA225C" w:rsidRPr="009974E4" w:rsidRDefault="00921A2D" w:rsidP="00CA225C">
      <w:pPr>
        <w:pStyle w:val="Billname"/>
        <w:spacing w:before="700"/>
        <w:rPr>
          <w:sz w:val="36"/>
          <w:szCs w:val="36"/>
        </w:rPr>
      </w:pPr>
      <w:r w:rsidRPr="00921A2D">
        <w:rPr>
          <w:bCs/>
          <w:sz w:val="36"/>
          <w:szCs w:val="36"/>
        </w:rPr>
        <w:t>Lifetime Care and Support (Catastrophic Injuries) Education Support Services Guidelines 2025</w:t>
      </w:r>
      <w:r>
        <w:rPr>
          <w:bCs/>
          <w:sz w:val="36"/>
          <w:szCs w:val="36"/>
        </w:rPr>
        <w:t>*</w:t>
      </w:r>
    </w:p>
    <w:p w14:paraId="0F650ECC" w14:textId="59167C09" w:rsidR="00CA225C" w:rsidRDefault="00CA225C" w:rsidP="00CA225C">
      <w:pPr>
        <w:spacing w:before="340"/>
        <w:rPr>
          <w:b/>
          <w:bCs/>
        </w:rPr>
      </w:pPr>
      <w:r>
        <w:rPr>
          <w:b/>
          <w:bCs/>
        </w:rPr>
        <w:t xml:space="preserve">Disallowable </w:t>
      </w:r>
      <w:r w:rsidRPr="00AA46D6">
        <w:rPr>
          <w:b/>
          <w:bCs/>
        </w:rPr>
        <w:t>instrument DI</w:t>
      </w:r>
      <w:r w:rsidRPr="00AA46D6">
        <w:rPr>
          <w:b/>
          <w:bCs/>
          <w:iCs/>
        </w:rPr>
        <w:t>202</w:t>
      </w:r>
      <w:r>
        <w:rPr>
          <w:b/>
          <w:bCs/>
          <w:iCs/>
        </w:rPr>
        <w:t>5</w:t>
      </w:r>
      <w:r w:rsidR="003C301D">
        <w:rPr>
          <w:b/>
          <w:bCs/>
          <w:iCs/>
        </w:rPr>
        <w:t>-276</w:t>
      </w:r>
    </w:p>
    <w:p w14:paraId="32F55C1C" w14:textId="77777777" w:rsidR="00CA225C" w:rsidRDefault="00CA225C" w:rsidP="00CA225C">
      <w:pPr>
        <w:pStyle w:val="madeunder"/>
        <w:spacing w:before="300" w:after="0"/>
      </w:pPr>
      <w:r>
        <w:t xml:space="preserve">made under the  </w:t>
      </w:r>
    </w:p>
    <w:p w14:paraId="09DB7A43" w14:textId="77777777" w:rsidR="00CA225C" w:rsidRDefault="00CA225C" w:rsidP="00CA225C">
      <w:pPr>
        <w:pStyle w:val="CoverActName"/>
        <w:spacing w:before="320" w:after="0"/>
        <w:rPr>
          <w:rFonts w:cs="Arial"/>
          <w:sz w:val="20"/>
        </w:rPr>
      </w:pPr>
      <w:r>
        <w:rPr>
          <w:rFonts w:cs="Arial"/>
          <w:sz w:val="20"/>
        </w:rPr>
        <w:t>Lifetime Care and Support (Catastrophic Injuries) Act 2014, section 93 (LTCS guidelines)</w:t>
      </w:r>
    </w:p>
    <w:p w14:paraId="43EE18E2" w14:textId="77777777" w:rsidR="00CA225C" w:rsidRDefault="00CA225C" w:rsidP="00CA225C">
      <w:pPr>
        <w:pStyle w:val="N-line3"/>
        <w:pBdr>
          <w:bottom w:val="none" w:sz="0" w:space="0" w:color="auto"/>
        </w:pBdr>
        <w:spacing w:before="60"/>
      </w:pPr>
    </w:p>
    <w:p w14:paraId="203D66F4" w14:textId="77777777" w:rsidR="00CA225C" w:rsidRDefault="00CA225C" w:rsidP="00CA225C">
      <w:pPr>
        <w:pStyle w:val="N-line3"/>
        <w:pBdr>
          <w:top w:val="single" w:sz="12" w:space="1" w:color="auto"/>
          <w:bottom w:val="none" w:sz="0" w:space="0" w:color="auto"/>
        </w:pBdr>
      </w:pPr>
    </w:p>
    <w:p w14:paraId="6EA351BD" w14:textId="77777777" w:rsidR="00CA225C" w:rsidRDefault="00CA225C" w:rsidP="00CA225C">
      <w:pPr>
        <w:spacing w:before="60" w:after="60"/>
        <w:ind w:left="720" w:hanging="720"/>
        <w:rPr>
          <w:b/>
          <w:bCs/>
        </w:rPr>
      </w:pPr>
      <w:r>
        <w:rPr>
          <w:b/>
          <w:bCs/>
        </w:rPr>
        <w:t>1</w:t>
      </w:r>
      <w:r>
        <w:rPr>
          <w:b/>
          <w:bCs/>
        </w:rPr>
        <w:tab/>
        <w:t>Name of instrument</w:t>
      </w:r>
    </w:p>
    <w:p w14:paraId="0A83BB38" w14:textId="7B1F6F55" w:rsidR="00CA225C" w:rsidRPr="00643A83" w:rsidRDefault="00CA225C" w:rsidP="00CA225C">
      <w:pPr>
        <w:spacing w:before="140"/>
        <w:ind w:left="720"/>
        <w:rPr>
          <w:i/>
          <w:iCs/>
        </w:rPr>
      </w:pPr>
      <w:r>
        <w:t xml:space="preserve">This instrument is the </w:t>
      </w:r>
      <w:r w:rsidR="00921A2D" w:rsidRPr="00921A2D">
        <w:rPr>
          <w:i/>
          <w:iCs/>
        </w:rPr>
        <w:t>Lifetime Care and Support (Catastrophic Injuries) Education Support Services Guidelines 2025</w:t>
      </w:r>
      <w:r>
        <w:rPr>
          <w:i/>
          <w:iCs/>
        </w:rPr>
        <w:t>.</w:t>
      </w:r>
    </w:p>
    <w:p w14:paraId="7AB21B0C" w14:textId="77777777" w:rsidR="00CA225C" w:rsidRDefault="00CA225C" w:rsidP="00CA225C">
      <w:pPr>
        <w:spacing w:before="300"/>
        <w:ind w:left="720" w:hanging="720"/>
        <w:rPr>
          <w:b/>
          <w:bCs/>
        </w:rPr>
      </w:pPr>
      <w:r>
        <w:rPr>
          <w:b/>
          <w:bCs/>
        </w:rPr>
        <w:t>2</w:t>
      </w:r>
      <w:r>
        <w:rPr>
          <w:b/>
          <w:bCs/>
        </w:rPr>
        <w:tab/>
        <w:t xml:space="preserve">Commencement </w:t>
      </w:r>
    </w:p>
    <w:p w14:paraId="1DC4950C" w14:textId="4A9CA40A" w:rsidR="00CA225C" w:rsidRPr="00643A83" w:rsidRDefault="00CA225C" w:rsidP="00CA225C">
      <w:pPr>
        <w:spacing w:before="140"/>
        <w:ind w:left="720"/>
        <w:rPr>
          <w:i/>
          <w:iCs/>
        </w:rPr>
      </w:pPr>
      <w:r>
        <w:t xml:space="preserve">This instrument commences on </w:t>
      </w:r>
      <w:r w:rsidRPr="000B3D15">
        <w:t xml:space="preserve">the </w:t>
      </w:r>
      <w:r>
        <w:t>day after its notification</w:t>
      </w:r>
      <w:r w:rsidRPr="00643A83">
        <w:rPr>
          <w:i/>
          <w:iCs/>
        </w:rPr>
        <w:t xml:space="preserve">. </w:t>
      </w:r>
    </w:p>
    <w:p w14:paraId="1996A03D" w14:textId="77777777" w:rsidR="00CA225C" w:rsidRDefault="00CA225C" w:rsidP="00CA225C">
      <w:pPr>
        <w:spacing w:before="300"/>
        <w:ind w:left="720" w:hanging="720"/>
        <w:rPr>
          <w:b/>
          <w:bCs/>
        </w:rPr>
      </w:pPr>
      <w:r>
        <w:rPr>
          <w:b/>
          <w:bCs/>
        </w:rPr>
        <w:t>3</w:t>
      </w:r>
      <w:r>
        <w:rPr>
          <w:b/>
          <w:bCs/>
        </w:rPr>
        <w:tab/>
        <w:t>Guidelines</w:t>
      </w:r>
    </w:p>
    <w:p w14:paraId="428E0473" w14:textId="30981878" w:rsidR="00CA225C" w:rsidRPr="00E81D85" w:rsidRDefault="00CA225C" w:rsidP="00CA225C">
      <w:pPr>
        <w:spacing w:before="300" w:after="240"/>
        <w:ind w:left="720" w:hanging="720"/>
      </w:pPr>
      <w:r>
        <w:rPr>
          <w:b/>
          <w:bCs/>
        </w:rPr>
        <w:tab/>
      </w:r>
      <w:r>
        <w:t>I make the guidelines attached to this instrument. The guidelines are Part 9</w:t>
      </w:r>
      <w:r w:rsidR="007344B8">
        <w:t>, Education Support Services,</w:t>
      </w:r>
      <w:r>
        <w:t xml:space="preserve"> of the LTCS Guidelines made under the </w:t>
      </w:r>
      <w:r w:rsidRPr="009974E4">
        <w:rPr>
          <w:i/>
          <w:iCs/>
        </w:rPr>
        <w:t>Lifetime Care and Support (Catastrophic Injuries)</w:t>
      </w:r>
      <w:r>
        <w:rPr>
          <w:i/>
          <w:iCs/>
        </w:rPr>
        <w:t xml:space="preserve"> Act 2014.</w:t>
      </w:r>
    </w:p>
    <w:p w14:paraId="5D4D83C5" w14:textId="27BA6720" w:rsidR="00CA225C" w:rsidRPr="00C6474C" w:rsidRDefault="00CA225C" w:rsidP="00CA225C">
      <w:pPr>
        <w:spacing w:before="140"/>
        <w:rPr>
          <w:b/>
          <w:bCs/>
        </w:rPr>
      </w:pPr>
      <w:r w:rsidRPr="00C6474C">
        <w:rPr>
          <w:b/>
          <w:bCs/>
        </w:rPr>
        <w:t xml:space="preserve">4 </w:t>
      </w:r>
      <w:r w:rsidRPr="00C6474C">
        <w:rPr>
          <w:b/>
          <w:bCs/>
        </w:rPr>
        <w:tab/>
        <w:t>Revocation</w:t>
      </w:r>
    </w:p>
    <w:p w14:paraId="7FBCFC74" w14:textId="77777777" w:rsidR="00CA225C" w:rsidRDefault="00CA225C" w:rsidP="00CA225C">
      <w:pPr>
        <w:tabs>
          <w:tab w:val="left" w:pos="4320"/>
        </w:tabs>
        <w:ind w:left="720"/>
      </w:pPr>
      <w:r>
        <w:t xml:space="preserve">The </w:t>
      </w:r>
      <w:r w:rsidRPr="00A93DDD">
        <w:rPr>
          <w:i/>
          <w:iCs/>
        </w:rPr>
        <w:t xml:space="preserve">Lifetime Care and Support (Catastrophic Injuries) Guidelines 2014 (No </w:t>
      </w:r>
      <w:r>
        <w:rPr>
          <w:i/>
          <w:iCs/>
        </w:rPr>
        <w:t xml:space="preserve">9) </w:t>
      </w:r>
      <w:r>
        <w:t xml:space="preserve">(DI2014-210) is revoked. </w:t>
      </w:r>
    </w:p>
    <w:p w14:paraId="4CBEB2FC" w14:textId="77777777" w:rsidR="00CA225C" w:rsidRDefault="00CA225C" w:rsidP="00CA225C">
      <w:pPr>
        <w:tabs>
          <w:tab w:val="left" w:pos="4320"/>
        </w:tabs>
      </w:pPr>
    </w:p>
    <w:p w14:paraId="4AE559BE" w14:textId="77777777" w:rsidR="00CA225C" w:rsidRDefault="00CA225C" w:rsidP="00CA225C">
      <w:pPr>
        <w:tabs>
          <w:tab w:val="left" w:pos="4320"/>
        </w:tabs>
      </w:pPr>
    </w:p>
    <w:p w14:paraId="5BB0B2F3" w14:textId="77777777" w:rsidR="00CA225C" w:rsidRDefault="00CA225C" w:rsidP="00CA225C">
      <w:pPr>
        <w:tabs>
          <w:tab w:val="left" w:pos="4320"/>
        </w:tabs>
        <w:spacing w:after="0"/>
        <w:ind w:left="567" w:hanging="567"/>
      </w:pPr>
    </w:p>
    <w:p w14:paraId="24CE07D2" w14:textId="77777777" w:rsidR="00CA225C" w:rsidRDefault="00CA225C" w:rsidP="00CA225C">
      <w:pPr>
        <w:tabs>
          <w:tab w:val="left" w:pos="4320"/>
        </w:tabs>
        <w:spacing w:after="0"/>
      </w:pPr>
      <w:r>
        <w:t>Nicola Clark</w:t>
      </w:r>
    </w:p>
    <w:p w14:paraId="0F0EBA37" w14:textId="77777777" w:rsidR="00CA225C" w:rsidRDefault="00CA225C" w:rsidP="00CA225C">
      <w:pPr>
        <w:tabs>
          <w:tab w:val="left" w:pos="4320"/>
        </w:tabs>
        <w:spacing w:after="0"/>
      </w:pPr>
      <w:r>
        <w:t>Lifetime Care and Support Commissioner of the ACT</w:t>
      </w:r>
    </w:p>
    <w:bookmarkEnd w:id="0"/>
    <w:p w14:paraId="0633C7BD" w14:textId="41601A95" w:rsidR="00CA225C" w:rsidRDefault="00F72ED8" w:rsidP="00CA225C">
      <w:pPr>
        <w:tabs>
          <w:tab w:val="left" w:pos="4320"/>
        </w:tabs>
        <w:spacing w:before="240"/>
      </w:pPr>
      <w:r>
        <w:t>14</w:t>
      </w:r>
      <w:r w:rsidR="00CA225C">
        <w:t xml:space="preserve"> October 2025</w:t>
      </w:r>
    </w:p>
    <w:bookmarkEnd w:id="1"/>
    <w:p w14:paraId="0B8256C2" w14:textId="77777777" w:rsidR="00CA225C" w:rsidRDefault="00CA225C" w:rsidP="00CA225C"/>
    <w:p w14:paraId="5E40A5BA" w14:textId="77777777" w:rsidR="00CA225C" w:rsidRDefault="00CA225C">
      <w:pPr>
        <w:rPr>
          <w:color w:val="000000" w:themeColor="text1"/>
        </w:rPr>
        <w:sectPr w:rsidR="00CA225C" w:rsidSect="00921A2D">
          <w:headerReference w:type="even" r:id="rId8"/>
          <w:headerReference w:type="default" r:id="rId9"/>
          <w:footerReference w:type="even" r:id="rId10"/>
          <w:footerReference w:type="default" r:id="rId11"/>
          <w:headerReference w:type="first" r:id="rId12"/>
          <w:footerReference w:type="first" r:id="rId13"/>
          <w:pgSz w:w="11906" w:h="16838" w:code="9"/>
          <w:pgMar w:top="1060" w:right="1558" w:bottom="658" w:left="1560" w:header="720" w:footer="567" w:gutter="0"/>
          <w:cols w:space="720"/>
          <w:noEndnote/>
          <w:titlePg/>
          <w:docGrid w:linePitch="299"/>
        </w:sectPr>
      </w:pPr>
    </w:p>
    <w:p w14:paraId="362DE7BC" w14:textId="1919E768" w:rsidR="00283CEA" w:rsidRPr="00C4094A" w:rsidRDefault="00283CEA" w:rsidP="00354CAB">
      <w:pPr>
        <w:pStyle w:val="Heading1"/>
        <w:ind w:left="616"/>
        <w:rPr>
          <w:color w:val="000000" w:themeColor="text1"/>
        </w:rPr>
      </w:pPr>
      <w:r w:rsidRPr="00C4094A">
        <w:rPr>
          <w:color w:val="000000" w:themeColor="text1"/>
        </w:rPr>
        <w:lastRenderedPageBreak/>
        <w:t xml:space="preserve">Part 9: Education support services </w:t>
      </w:r>
    </w:p>
    <w:p w14:paraId="379A7117" w14:textId="77777777" w:rsidR="00E46FA7" w:rsidRPr="00C4094A" w:rsidRDefault="00E46FA7" w:rsidP="00354CAB">
      <w:pPr>
        <w:widowControl w:val="0"/>
        <w:autoSpaceDE w:val="0"/>
        <w:autoSpaceDN w:val="0"/>
        <w:spacing w:after="0" w:line="360" w:lineRule="auto"/>
        <w:ind w:left="616" w:right="493"/>
        <w:rPr>
          <w:rFonts w:ascii="Arial" w:eastAsia="Arial" w:hAnsi="Arial" w:cs="Arial"/>
          <w:color w:val="000000" w:themeColor="text1"/>
          <w:lang w:val="en-US" w:eastAsia="en-US"/>
        </w:rPr>
      </w:pPr>
    </w:p>
    <w:p w14:paraId="1A1FD8B6" w14:textId="754A1F29" w:rsidR="00283CEA" w:rsidRPr="00C4094A" w:rsidRDefault="00283CEA" w:rsidP="00354CAB">
      <w:pPr>
        <w:widowControl w:val="0"/>
        <w:autoSpaceDE w:val="0"/>
        <w:autoSpaceDN w:val="0"/>
        <w:spacing w:after="0" w:line="360" w:lineRule="auto"/>
        <w:ind w:left="616" w:right="493"/>
        <w:rPr>
          <w:rFonts w:ascii="Arial" w:eastAsia="Arial" w:hAnsi="Arial" w:cs="Arial"/>
          <w:color w:val="000000" w:themeColor="text1"/>
          <w:lang w:val="en-US" w:eastAsia="en-US"/>
        </w:rPr>
      </w:pPr>
      <w:r w:rsidRPr="00C4094A">
        <w:rPr>
          <w:rFonts w:ascii="Arial" w:eastAsia="Arial" w:hAnsi="Arial" w:cs="Arial"/>
          <w:color w:val="000000" w:themeColor="text1"/>
          <w:lang w:val="en-US" w:eastAsia="en-US"/>
        </w:rPr>
        <w:t xml:space="preserve">This Part of the Lifetime Care and Support Guidelines is made under </w:t>
      </w:r>
      <w:r w:rsidR="001B1FF8" w:rsidRPr="00C4094A">
        <w:rPr>
          <w:rFonts w:ascii="Arial" w:eastAsia="Arial" w:hAnsi="Arial" w:cs="Arial"/>
          <w:color w:val="000000" w:themeColor="text1"/>
          <w:lang w:val="en-US" w:eastAsia="en-US"/>
        </w:rPr>
        <w:t xml:space="preserve">section 93 of </w:t>
      </w:r>
      <w:r w:rsidRPr="00C4094A">
        <w:rPr>
          <w:rFonts w:ascii="Arial" w:eastAsia="Arial" w:hAnsi="Arial" w:cs="Arial"/>
          <w:color w:val="000000" w:themeColor="text1"/>
          <w:lang w:val="en-US" w:eastAsia="en-US"/>
        </w:rPr>
        <w:t>the</w:t>
      </w:r>
      <w:r w:rsidR="00322B6C" w:rsidRPr="00C4094A">
        <w:rPr>
          <w:rFonts w:ascii="Arial" w:eastAsia="Arial" w:hAnsi="Arial" w:cs="Arial"/>
          <w:color w:val="000000" w:themeColor="text1"/>
          <w:lang w:val="en-US" w:eastAsia="en-US"/>
        </w:rPr>
        <w:t xml:space="preserve"> </w:t>
      </w:r>
      <w:r w:rsidR="00322B6C" w:rsidRPr="00C4094A">
        <w:rPr>
          <w:rFonts w:ascii="Arial" w:eastAsia="Arial" w:hAnsi="Arial" w:cs="Arial"/>
          <w:i/>
          <w:iCs/>
          <w:color w:val="000000" w:themeColor="text1"/>
          <w:lang w:val="en-US" w:eastAsia="en-US"/>
        </w:rPr>
        <w:t>Lifetime Care and Support (Catastrophic Injuries) Act 2014</w:t>
      </w:r>
      <w:r w:rsidR="00322B6C" w:rsidRPr="00C4094A">
        <w:rPr>
          <w:rFonts w:ascii="Arial" w:eastAsia="Arial" w:hAnsi="Arial" w:cs="Arial"/>
          <w:color w:val="000000" w:themeColor="text1"/>
          <w:lang w:val="en-US" w:eastAsia="en-US"/>
        </w:rPr>
        <w:t xml:space="preserve"> (the LTCS Act)</w:t>
      </w:r>
      <w:r w:rsidRPr="00C4094A">
        <w:rPr>
          <w:rFonts w:ascii="Arial" w:eastAsia="Arial" w:hAnsi="Arial" w:cs="Arial"/>
          <w:color w:val="000000" w:themeColor="text1"/>
          <w:lang w:val="en-US" w:eastAsia="en-US"/>
        </w:rPr>
        <w:t xml:space="preserve">. </w:t>
      </w:r>
    </w:p>
    <w:p w14:paraId="651114D8" w14:textId="77777777" w:rsidR="00354CAB" w:rsidRPr="00C4094A" w:rsidRDefault="00354CAB" w:rsidP="00354CAB">
      <w:pPr>
        <w:widowControl w:val="0"/>
        <w:autoSpaceDE w:val="0"/>
        <w:autoSpaceDN w:val="0"/>
        <w:spacing w:after="0" w:line="360" w:lineRule="auto"/>
        <w:ind w:left="616" w:right="493"/>
        <w:rPr>
          <w:rFonts w:ascii="Arial" w:eastAsia="Arial" w:hAnsi="Arial" w:cs="Arial"/>
          <w:color w:val="000000" w:themeColor="text1"/>
          <w:lang w:val="en-US" w:eastAsia="en-US"/>
        </w:rPr>
      </w:pPr>
    </w:p>
    <w:p w14:paraId="52C9878C" w14:textId="5B599D46" w:rsidR="00283CEA" w:rsidRPr="00C4094A" w:rsidRDefault="00283CEA" w:rsidP="00354CAB">
      <w:pPr>
        <w:widowControl w:val="0"/>
        <w:autoSpaceDE w:val="0"/>
        <w:autoSpaceDN w:val="0"/>
        <w:spacing w:after="0" w:line="360" w:lineRule="auto"/>
        <w:ind w:left="618" w:right="493"/>
        <w:rPr>
          <w:rFonts w:ascii="Arial" w:eastAsia="Arial" w:hAnsi="Arial" w:cs="Arial"/>
          <w:color w:val="000000" w:themeColor="text1"/>
          <w:lang w:val="en-US" w:eastAsia="en-US"/>
        </w:rPr>
      </w:pPr>
      <w:r w:rsidRPr="00C4094A">
        <w:rPr>
          <w:rFonts w:ascii="Arial" w:eastAsia="Arial" w:hAnsi="Arial" w:cs="Arial"/>
          <w:color w:val="000000" w:themeColor="text1"/>
          <w:lang w:val="en-US" w:eastAsia="en-US"/>
        </w:rPr>
        <w:t>Part 9 of the Lifetime Care and Support Guidelines (the</w:t>
      </w:r>
      <w:r w:rsidR="00322B6C" w:rsidRPr="00C4094A">
        <w:rPr>
          <w:rFonts w:ascii="Arial" w:eastAsia="Arial" w:hAnsi="Arial" w:cs="Arial"/>
          <w:color w:val="000000" w:themeColor="text1"/>
          <w:lang w:val="en-US" w:eastAsia="en-US"/>
        </w:rPr>
        <w:t xml:space="preserve"> LTCS</w:t>
      </w:r>
      <w:r w:rsidRPr="00C4094A">
        <w:rPr>
          <w:rFonts w:ascii="Arial" w:eastAsia="Arial" w:hAnsi="Arial" w:cs="Arial"/>
          <w:color w:val="000000" w:themeColor="text1"/>
          <w:lang w:val="en-US" w:eastAsia="en-US"/>
        </w:rPr>
        <w:t xml:space="preserve"> Guidelines) applies to any assessment of treatment and care needs relating to education support services made on and from th</w:t>
      </w:r>
      <w:r w:rsidR="00B608E0" w:rsidRPr="00C4094A">
        <w:rPr>
          <w:rFonts w:ascii="Arial" w:eastAsia="Arial" w:hAnsi="Arial" w:cs="Arial"/>
          <w:color w:val="000000" w:themeColor="text1"/>
          <w:lang w:val="en-US" w:eastAsia="en-US"/>
        </w:rPr>
        <w:t>e</w:t>
      </w:r>
      <w:r w:rsidR="00354CAB" w:rsidRPr="00C4094A">
        <w:rPr>
          <w:rFonts w:ascii="Arial" w:eastAsia="Arial" w:hAnsi="Arial" w:cs="Arial"/>
          <w:color w:val="000000" w:themeColor="text1"/>
          <w:lang w:val="en-US" w:eastAsia="en-US"/>
        </w:rPr>
        <w:t xml:space="preserve"> </w:t>
      </w:r>
      <w:r w:rsidRPr="00C4094A">
        <w:rPr>
          <w:rFonts w:ascii="Arial" w:eastAsia="Arial" w:hAnsi="Arial" w:cs="Arial"/>
          <w:color w:val="000000" w:themeColor="text1"/>
          <w:lang w:val="en-US" w:eastAsia="en-US"/>
        </w:rPr>
        <w:t>date</w:t>
      </w:r>
      <w:r w:rsidR="00B608E0" w:rsidRPr="00C4094A">
        <w:rPr>
          <w:rFonts w:ascii="Arial" w:eastAsia="Arial" w:hAnsi="Arial" w:cs="Arial"/>
          <w:color w:val="000000" w:themeColor="text1"/>
          <w:lang w:val="en-US" w:eastAsia="en-US"/>
        </w:rPr>
        <w:t xml:space="preserve"> of commencement of the part</w:t>
      </w:r>
      <w:r w:rsidRPr="00C4094A">
        <w:rPr>
          <w:rFonts w:ascii="Arial" w:eastAsia="Arial" w:hAnsi="Arial" w:cs="Arial"/>
          <w:color w:val="000000" w:themeColor="text1"/>
          <w:lang w:val="en-US" w:eastAsia="en-US"/>
        </w:rPr>
        <w:t xml:space="preserve"> in respect of any participant in the </w:t>
      </w:r>
      <w:r w:rsidR="00322B6C" w:rsidRPr="00C4094A">
        <w:rPr>
          <w:rFonts w:ascii="Arial" w:eastAsia="Arial" w:hAnsi="Arial" w:cs="Arial"/>
          <w:color w:val="000000" w:themeColor="text1"/>
          <w:lang w:val="en-US" w:eastAsia="en-US"/>
        </w:rPr>
        <w:t xml:space="preserve">Lifetime Care and Support </w:t>
      </w:r>
      <w:r w:rsidRPr="00C4094A">
        <w:rPr>
          <w:rFonts w:ascii="Arial" w:eastAsia="Arial" w:hAnsi="Arial" w:cs="Arial"/>
          <w:color w:val="000000" w:themeColor="text1"/>
          <w:lang w:val="en-US" w:eastAsia="en-US"/>
        </w:rPr>
        <w:t>Scheme</w:t>
      </w:r>
      <w:r w:rsidR="00322B6C" w:rsidRPr="00C4094A">
        <w:rPr>
          <w:rFonts w:ascii="Arial" w:eastAsia="Arial" w:hAnsi="Arial" w:cs="Arial"/>
          <w:color w:val="000000" w:themeColor="text1"/>
          <w:lang w:val="en-US" w:eastAsia="en-US"/>
        </w:rPr>
        <w:t xml:space="preserve"> (the LTCS Scheme)</w:t>
      </w:r>
      <w:r w:rsidRPr="00C4094A">
        <w:rPr>
          <w:rFonts w:ascii="Arial" w:eastAsia="Arial" w:hAnsi="Arial" w:cs="Arial"/>
          <w:color w:val="000000" w:themeColor="text1"/>
          <w:lang w:val="en-US" w:eastAsia="en-US"/>
        </w:rPr>
        <w:t xml:space="preserve">, whether interim or lifetime, and whether accepted into the </w:t>
      </w:r>
      <w:r w:rsidR="00322B6C" w:rsidRPr="00C4094A">
        <w:rPr>
          <w:rFonts w:ascii="Arial" w:eastAsia="Arial" w:hAnsi="Arial" w:cs="Arial"/>
          <w:color w:val="000000" w:themeColor="text1"/>
          <w:lang w:val="en-US" w:eastAsia="en-US"/>
        </w:rPr>
        <w:t xml:space="preserve">LTCS </w:t>
      </w:r>
      <w:r w:rsidRPr="00C4094A">
        <w:rPr>
          <w:rFonts w:ascii="Arial" w:eastAsia="Arial" w:hAnsi="Arial" w:cs="Arial"/>
          <w:color w:val="000000" w:themeColor="text1"/>
          <w:lang w:val="en-US" w:eastAsia="en-US"/>
        </w:rPr>
        <w:t>Scheme before or after th</w:t>
      </w:r>
      <w:r w:rsidR="00322B6C" w:rsidRPr="00C4094A">
        <w:rPr>
          <w:rFonts w:ascii="Arial" w:eastAsia="Arial" w:hAnsi="Arial" w:cs="Arial"/>
          <w:color w:val="000000" w:themeColor="text1"/>
          <w:lang w:val="en-US" w:eastAsia="en-US"/>
        </w:rPr>
        <w:t>at</w:t>
      </w:r>
      <w:r w:rsidRPr="00C4094A">
        <w:rPr>
          <w:rFonts w:ascii="Arial" w:eastAsia="Arial" w:hAnsi="Arial" w:cs="Arial"/>
          <w:color w:val="000000" w:themeColor="text1"/>
          <w:lang w:val="en-US" w:eastAsia="en-US"/>
        </w:rPr>
        <w:t xml:space="preserve"> date. </w:t>
      </w:r>
    </w:p>
    <w:p w14:paraId="17F37B78" w14:textId="77777777" w:rsidR="00354CAB" w:rsidRPr="00C4094A" w:rsidRDefault="00354CAB" w:rsidP="00354CAB">
      <w:pPr>
        <w:widowControl w:val="0"/>
        <w:autoSpaceDE w:val="0"/>
        <w:autoSpaceDN w:val="0"/>
        <w:spacing w:after="0" w:line="360" w:lineRule="auto"/>
        <w:ind w:left="618" w:right="493"/>
        <w:rPr>
          <w:rFonts w:ascii="Arial" w:eastAsia="Arial" w:hAnsi="Arial" w:cs="Arial"/>
          <w:color w:val="000000" w:themeColor="text1"/>
          <w:lang w:val="en-US" w:eastAsia="en-US"/>
        </w:rPr>
      </w:pPr>
    </w:p>
    <w:p w14:paraId="1861E000" w14:textId="0BA87526" w:rsidR="00283CEA" w:rsidRPr="00C4094A" w:rsidRDefault="00283CEA" w:rsidP="00354CAB">
      <w:pPr>
        <w:widowControl w:val="0"/>
        <w:autoSpaceDE w:val="0"/>
        <w:autoSpaceDN w:val="0"/>
        <w:spacing w:after="0" w:line="360" w:lineRule="auto"/>
        <w:ind w:left="618" w:right="493"/>
        <w:rPr>
          <w:rFonts w:ascii="Arial" w:eastAsia="Arial" w:hAnsi="Arial" w:cs="Arial"/>
          <w:color w:val="000000" w:themeColor="text1"/>
          <w:lang w:val="en-US" w:eastAsia="en-US"/>
        </w:rPr>
      </w:pPr>
      <w:r w:rsidRPr="00C4094A">
        <w:rPr>
          <w:rFonts w:ascii="Arial" w:eastAsia="Arial" w:hAnsi="Arial" w:cs="Arial"/>
          <w:color w:val="000000" w:themeColor="text1"/>
          <w:lang w:val="en-US" w:eastAsia="en-US"/>
        </w:rPr>
        <w:t xml:space="preserve">The Lifetime Care and Support </w:t>
      </w:r>
      <w:r w:rsidR="00322B6C" w:rsidRPr="00C4094A">
        <w:rPr>
          <w:rFonts w:ascii="Arial" w:eastAsia="Arial" w:hAnsi="Arial" w:cs="Arial"/>
          <w:color w:val="000000" w:themeColor="text1"/>
          <w:lang w:val="en-US" w:eastAsia="en-US"/>
        </w:rPr>
        <w:t xml:space="preserve">Commissioner </w:t>
      </w:r>
      <w:r w:rsidRPr="00C4094A">
        <w:rPr>
          <w:rFonts w:ascii="Arial" w:eastAsia="Arial" w:hAnsi="Arial" w:cs="Arial"/>
          <w:color w:val="000000" w:themeColor="text1"/>
          <w:lang w:val="en-US" w:eastAsia="en-US"/>
        </w:rPr>
        <w:t>(</w:t>
      </w:r>
      <w:r w:rsidR="00322B6C" w:rsidRPr="00C4094A">
        <w:rPr>
          <w:rFonts w:ascii="Arial" w:eastAsia="Arial" w:hAnsi="Arial" w:cs="Arial"/>
          <w:color w:val="000000" w:themeColor="text1"/>
          <w:lang w:val="en-US" w:eastAsia="en-US"/>
        </w:rPr>
        <w:t>the LTCS Commissioner</w:t>
      </w:r>
      <w:r w:rsidRPr="00C4094A">
        <w:rPr>
          <w:rFonts w:ascii="Arial" w:eastAsia="Arial" w:hAnsi="Arial" w:cs="Arial"/>
          <w:color w:val="000000" w:themeColor="text1"/>
          <w:lang w:val="en-US" w:eastAsia="en-US"/>
        </w:rPr>
        <w:t xml:space="preserve">) may waive observance of any </w:t>
      </w:r>
      <w:r w:rsidR="00107C73" w:rsidRPr="00C4094A">
        <w:rPr>
          <w:rFonts w:ascii="Arial" w:eastAsia="Arial" w:hAnsi="Arial" w:cs="Arial"/>
          <w:color w:val="000000" w:themeColor="text1"/>
          <w:lang w:val="en-US" w:eastAsia="en-US"/>
        </w:rPr>
        <w:t xml:space="preserve">part </w:t>
      </w:r>
      <w:r w:rsidRPr="00C4094A">
        <w:rPr>
          <w:rFonts w:ascii="Arial" w:eastAsia="Arial" w:hAnsi="Arial" w:cs="Arial"/>
          <w:color w:val="000000" w:themeColor="text1"/>
          <w:lang w:val="en-US" w:eastAsia="en-US"/>
        </w:rPr>
        <w:t xml:space="preserve">or parts of this Guideline. Waiving observance of all or part of this Guideline in any particular circumstances is not an indication that </w:t>
      </w:r>
      <w:r w:rsidR="00322B6C" w:rsidRPr="00C4094A">
        <w:rPr>
          <w:rFonts w:ascii="Arial" w:eastAsia="Arial" w:hAnsi="Arial" w:cs="Arial"/>
          <w:color w:val="000000" w:themeColor="text1"/>
          <w:lang w:val="en-US" w:eastAsia="en-US"/>
        </w:rPr>
        <w:t xml:space="preserve">the LTCS Commissioner </w:t>
      </w:r>
      <w:r w:rsidRPr="00C4094A">
        <w:rPr>
          <w:rFonts w:ascii="Arial" w:eastAsia="Arial" w:hAnsi="Arial" w:cs="Arial"/>
          <w:color w:val="000000" w:themeColor="text1"/>
          <w:lang w:val="en-US" w:eastAsia="en-US"/>
        </w:rPr>
        <w:t xml:space="preserve">will waive observance of this </w:t>
      </w:r>
      <w:r w:rsidR="00107C73" w:rsidRPr="00C4094A">
        <w:rPr>
          <w:rFonts w:ascii="Arial" w:eastAsia="Arial" w:hAnsi="Arial" w:cs="Arial"/>
          <w:color w:val="000000" w:themeColor="text1"/>
          <w:lang w:val="en-US" w:eastAsia="en-US"/>
        </w:rPr>
        <w:t xml:space="preserve">part </w:t>
      </w:r>
      <w:r w:rsidRPr="00C4094A">
        <w:rPr>
          <w:rFonts w:ascii="Arial" w:eastAsia="Arial" w:hAnsi="Arial" w:cs="Arial"/>
          <w:color w:val="000000" w:themeColor="text1"/>
          <w:lang w:val="en-US" w:eastAsia="en-US"/>
        </w:rPr>
        <w:t xml:space="preserve">or any </w:t>
      </w:r>
      <w:r w:rsidR="00107C73" w:rsidRPr="00C4094A">
        <w:rPr>
          <w:rFonts w:ascii="Arial" w:eastAsia="Arial" w:hAnsi="Arial" w:cs="Arial"/>
          <w:color w:val="000000" w:themeColor="text1"/>
          <w:lang w:val="en-US" w:eastAsia="en-US"/>
        </w:rPr>
        <w:t xml:space="preserve">parts of the </w:t>
      </w:r>
      <w:r w:rsidRPr="00C4094A">
        <w:rPr>
          <w:rFonts w:ascii="Arial" w:eastAsia="Arial" w:hAnsi="Arial" w:cs="Arial"/>
          <w:color w:val="000000" w:themeColor="text1"/>
          <w:lang w:val="en-US" w:eastAsia="en-US"/>
        </w:rPr>
        <w:t>Guideline</w:t>
      </w:r>
      <w:r w:rsidR="00107C73" w:rsidRPr="00C4094A">
        <w:rPr>
          <w:rFonts w:ascii="Arial" w:eastAsia="Arial" w:hAnsi="Arial" w:cs="Arial"/>
          <w:color w:val="000000" w:themeColor="text1"/>
          <w:lang w:val="en-US" w:eastAsia="en-US"/>
        </w:rPr>
        <w:t>s</w:t>
      </w:r>
      <w:r w:rsidRPr="00C4094A">
        <w:rPr>
          <w:rFonts w:ascii="Arial" w:eastAsia="Arial" w:hAnsi="Arial" w:cs="Arial"/>
          <w:color w:val="000000" w:themeColor="text1"/>
          <w:lang w:val="en-US" w:eastAsia="en-US"/>
        </w:rPr>
        <w:t xml:space="preserve"> in other circumstances. </w:t>
      </w:r>
    </w:p>
    <w:p w14:paraId="78E8C8E4" w14:textId="77777777" w:rsidR="00354CAB" w:rsidRPr="00C4094A" w:rsidRDefault="00354CAB" w:rsidP="00354CAB">
      <w:pPr>
        <w:pStyle w:val="Heading2"/>
        <w:tabs>
          <w:tab w:val="left" w:pos="1182"/>
          <w:tab w:val="left" w:pos="1183"/>
        </w:tabs>
        <w:ind w:left="1182"/>
        <w:rPr>
          <w:color w:val="000000" w:themeColor="text1"/>
        </w:rPr>
      </w:pPr>
    </w:p>
    <w:p w14:paraId="7DDB272E" w14:textId="7B554DBC" w:rsidR="00283CEA" w:rsidRPr="00C4094A" w:rsidRDefault="00283CEA" w:rsidP="00E16B55">
      <w:pPr>
        <w:pStyle w:val="Heading2"/>
        <w:tabs>
          <w:tab w:val="left" w:pos="1182"/>
          <w:tab w:val="left" w:pos="1183"/>
        </w:tabs>
        <w:spacing w:before="72" w:line="362" w:lineRule="auto"/>
        <w:ind w:left="1185" w:right="930"/>
        <w:rPr>
          <w:color w:val="000000" w:themeColor="text1"/>
        </w:rPr>
      </w:pPr>
      <w:r w:rsidRPr="00C4094A">
        <w:rPr>
          <w:color w:val="000000" w:themeColor="text1"/>
        </w:rPr>
        <w:t xml:space="preserve">1 </w:t>
      </w:r>
      <w:r w:rsidR="00E46FA7" w:rsidRPr="00C4094A">
        <w:rPr>
          <w:color w:val="000000" w:themeColor="text1"/>
        </w:rPr>
        <w:tab/>
      </w:r>
      <w:r w:rsidRPr="00C4094A">
        <w:rPr>
          <w:color w:val="000000" w:themeColor="text1"/>
        </w:rPr>
        <w:t xml:space="preserve">Reasonable and necessary education support services </w:t>
      </w:r>
    </w:p>
    <w:p w14:paraId="5B7AFEFA" w14:textId="1AD9298C" w:rsidR="00283CEA" w:rsidRPr="00C4094A" w:rsidRDefault="00283CEA" w:rsidP="00E46FA7">
      <w:pPr>
        <w:pStyle w:val="ListParagraph"/>
        <w:tabs>
          <w:tab w:val="left" w:pos="1183"/>
          <w:tab w:val="left" w:pos="1184"/>
        </w:tabs>
        <w:spacing w:line="360" w:lineRule="auto"/>
        <w:ind w:left="1183" w:right="553" w:hanging="567"/>
        <w:rPr>
          <w:color w:val="000000" w:themeColor="text1"/>
        </w:rPr>
      </w:pPr>
      <w:r w:rsidRPr="00C4094A">
        <w:rPr>
          <w:color w:val="000000" w:themeColor="text1"/>
        </w:rPr>
        <w:t xml:space="preserve">1.1 </w:t>
      </w:r>
      <w:r w:rsidR="00E46FA7" w:rsidRPr="00C4094A">
        <w:rPr>
          <w:color w:val="000000" w:themeColor="text1"/>
        </w:rPr>
        <w:t xml:space="preserve">   </w:t>
      </w:r>
      <w:r w:rsidR="009005EE" w:rsidRPr="00C4094A">
        <w:rPr>
          <w:color w:val="000000" w:themeColor="text1"/>
        </w:rPr>
        <w:t>The LTCS Commissioner considers e</w:t>
      </w:r>
      <w:r w:rsidRPr="00C4094A">
        <w:rPr>
          <w:color w:val="000000" w:themeColor="text1"/>
        </w:rPr>
        <w:t>ducation support services</w:t>
      </w:r>
      <w:r w:rsidR="009005EE" w:rsidRPr="00C4094A">
        <w:rPr>
          <w:color w:val="000000" w:themeColor="text1"/>
        </w:rPr>
        <w:t xml:space="preserve"> that are</w:t>
      </w:r>
      <w:r w:rsidRPr="00C4094A">
        <w:rPr>
          <w:color w:val="000000" w:themeColor="text1"/>
        </w:rPr>
        <w:t xml:space="preserve"> required as a consequence of the motor accident</w:t>
      </w:r>
      <w:r w:rsidR="00D32A33" w:rsidRPr="00C4094A">
        <w:rPr>
          <w:color w:val="000000" w:themeColor="text1"/>
        </w:rPr>
        <w:t xml:space="preserve"> </w:t>
      </w:r>
      <w:r w:rsidR="00E96D3E" w:rsidRPr="00C4094A">
        <w:rPr>
          <w:color w:val="000000" w:themeColor="text1"/>
        </w:rPr>
        <w:t xml:space="preserve">injury </w:t>
      </w:r>
      <w:r w:rsidR="00D32A33" w:rsidRPr="00C4094A">
        <w:rPr>
          <w:color w:val="000000" w:themeColor="text1"/>
        </w:rPr>
        <w:t>or work injury</w:t>
      </w:r>
      <w:r w:rsidRPr="00C4094A">
        <w:rPr>
          <w:color w:val="000000" w:themeColor="text1"/>
        </w:rPr>
        <w:t xml:space="preserve"> are additional supports provided to participants who are students to promote independence in their learning. Education support services are additional to services a student is entitled to under the applicable state or </w:t>
      </w:r>
      <w:r w:rsidR="00CA225C">
        <w:rPr>
          <w:color w:val="000000" w:themeColor="text1"/>
        </w:rPr>
        <w:t>commonwealth</w:t>
      </w:r>
      <w:r w:rsidRPr="00C4094A">
        <w:rPr>
          <w:color w:val="000000" w:themeColor="text1"/>
        </w:rPr>
        <w:t xml:space="preserve"> legislation. </w:t>
      </w:r>
    </w:p>
    <w:p w14:paraId="1894B2FC" w14:textId="3A07309E" w:rsidR="00283CEA" w:rsidRPr="00C4094A" w:rsidRDefault="00283CEA" w:rsidP="00354CAB">
      <w:pPr>
        <w:pStyle w:val="ListParagraph"/>
        <w:tabs>
          <w:tab w:val="left" w:pos="1182"/>
          <w:tab w:val="left" w:pos="1183"/>
        </w:tabs>
        <w:spacing w:line="360" w:lineRule="auto"/>
        <w:ind w:left="1182" w:right="492" w:hanging="567"/>
        <w:rPr>
          <w:color w:val="000000" w:themeColor="text1"/>
        </w:rPr>
      </w:pPr>
      <w:r w:rsidRPr="00C4094A">
        <w:rPr>
          <w:color w:val="000000" w:themeColor="text1"/>
        </w:rPr>
        <w:t xml:space="preserve">1.2 </w:t>
      </w:r>
      <w:r w:rsidR="00E46FA7" w:rsidRPr="00C4094A">
        <w:rPr>
          <w:color w:val="000000" w:themeColor="text1"/>
        </w:rPr>
        <w:tab/>
      </w:r>
      <w:r w:rsidR="00704946" w:rsidRPr="00C4094A">
        <w:rPr>
          <w:color w:val="000000" w:themeColor="text1"/>
        </w:rPr>
        <w:t xml:space="preserve">The LTCS Commissioner </w:t>
      </w:r>
      <w:r w:rsidRPr="00C4094A">
        <w:rPr>
          <w:color w:val="000000" w:themeColor="text1"/>
        </w:rPr>
        <w:t xml:space="preserve">considers the education provider to be responsible for the provision of </w:t>
      </w:r>
      <w:r w:rsidR="00EC6E74" w:rsidRPr="00C4094A">
        <w:rPr>
          <w:color w:val="000000" w:themeColor="text1"/>
        </w:rPr>
        <w:t xml:space="preserve">appropriate </w:t>
      </w:r>
      <w:r w:rsidRPr="00C4094A">
        <w:rPr>
          <w:color w:val="000000" w:themeColor="text1"/>
        </w:rPr>
        <w:t xml:space="preserve">educational support services to the </w:t>
      </w:r>
      <w:r w:rsidR="009005EE" w:rsidRPr="00C4094A">
        <w:rPr>
          <w:color w:val="000000" w:themeColor="text1"/>
        </w:rPr>
        <w:t xml:space="preserve">participant. </w:t>
      </w:r>
      <w:r w:rsidRPr="00C4094A">
        <w:rPr>
          <w:color w:val="000000" w:themeColor="text1"/>
        </w:rPr>
        <w:t xml:space="preserve"> </w:t>
      </w:r>
    </w:p>
    <w:p w14:paraId="1BA3322F" w14:textId="61007BE5" w:rsidR="00283CEA" w:rsidRPr="00C4094A" w:rsidRDefault="00283CEA" w:rsidP="003A7123">
      <w:pPr>
        <w:pStyle w:val="ListParagraph"/>
        <w:tabs>
          <w:tab w:val="left" w:pos="1183"/>
          <w:tab w:val="left" w:pos="1184"/>
        </w:tabs>
        <w:spacing w:line="360" w:lineRule="auto"/>
        <w:ind w:left="1185" w:right="544" w:hanging="567"/>
        <w:rPr>
          <w:color w:val="000000" w:themeColor="text1"/>
        </w:rPr>
      </w:pPr>
      <w:r w:rsidRPr="00C4094A">
        <w:rPr>
          <w:color w:val="000000" w:themeColor="text1"/>
        </w:rPr>
        <w:t xml:space="preserve">1.3 </w:t>
      </w:r>
      <w:r w:rsidR="00E46FA7" w:rsidRPr="00C4094A">
        <w:rPr>
          <w:color w:val="000000" w:themeColor="text1"/>
        </w:rPr>
        <w:tab/>
      </w:r>
      <w:r w:rsidR="009005EE" w:rsidRPr="00C4094A">
        <w:rPr>
          <w:color w:val="000000" w:themeColor="text1"/>
        </w:rPr>
        <w:t>The LTCS Commissioner considers e</w:t>
      </w:r>
      <w:r w:rsidRPr="00C4094A">
        <w:rPr>
          <w:color w:val="000000" w:themeColor="text1"/>
        </w:rPr>
        <w:t xml:space="preserve">ducation support services include assistance with commencement at or return to appropriate educational settings within: </w:t>
      </w:r>
    </w:p>
    <w:p w14:paraId="5EC8F73C" w14:textId="77777777" w:rsidR="00283CEA" w:rsidRPr="00C4094A" w:rsidRDefault="00283CEA" w:rsidP="00CA225C">
      <w:pPr>
        <w:pStyle w:val="ListParagraph"/>
        <w:tabs>
          <w:tab w:val="left" w:pos="1469"/>
        </w:tabs>
        <w:spacing w:line="360" w:lineRule="auto"/>
        <w:ind w:left="2444" w:right="391" w:hanging="743"/>
        <w:rPr>
          <w:color w:val="000000" w:themeColor="text1"/>
        </w:rPr>
      </w:pPr>
      <w:r w:rsidRPr="00C4094A">
        <w:t xml:space="preserve">a) </w:t>
      </w:r>
      <w:r w:rsidRPr="00C4094A">
        <w:rPr>
          <w:color w:val="000000" w:themeColor="text1"/>
        </w:rPr>
        <w:t xml:space="preserve">preschool; </w:t>
      </w:r>
    </w:p>
    <w:p w14:paraId="5EC1A18C" w14:textId="77777777" w:rsidR="00283CEA" w:rsidRPr="00C4094A" w:rsidRDefault="00283CEA" w:rsidP="00CA225C">
      <w:pPr>
        <w:pStyle w:val="ListParagraph"/>
        <w:tabs>
          <w:tab w:val="left" w:pos="1469"/>
        </w:tabs>
        <w:spacing w:line="360" w:lineRule="auto"/>
        <w:ind w:left="2444" w:right="391" w:hanging="743"/>
        <w:rPr>
          <w:color w:val="000000" w:themeColor="text1"/>
        </w:rPr>
      </w:pPr>
      <w:r w:rsidRPr="00C4094A">
        <w:rPr>
          <w:color w:val="000000" w:themeColor="text1"/>
        </w:rPr>
        <w:t xml:space="preserve">b) childcare, including before and after school care; </w:t>
      </w:r>
    </w:p>
    <w:p w14:paraId="455F4F27" w14:textId="77777777" w:rsidR="00283CEA" w:rsidRPr="00C4094A" w:rsidRDefault="00283CEA" w:rsidP="00CA225C">
      <w:pPr>
        <w:pStyle w:val="ListParagraph"/>
        <w:tabs>
          <w:tab w:val="left" w:pos="1469"/>
        </w:tabs>
        <w:spacing w:line="360" w:lineRule="auto"/>
        <w:ind w:left="2444" w:right="391" w:hanging="743"/>
        <w:rPr>
          <w:color w:val="000000" w:themeColor="text1"/>
        </w:rPr>
      </w:pPr>
      <w:r w:rsidRPr="00C4094A">
        <w:rPr>
          <w:color w:val="000000" w:themeColor="text1"/>
        </w:rPr>
        <w:t xml:space="preserve">c) primary and secondary schools; or </w:t>
      </w:r>
    </w:p>
    <w:p w14:paraId="746C5618" w14:textId="1861FEBA" w:rsidR="00283CEA" w:rsidRPr="00C4094A" w:rsidRDefault="00283CEA" w:rsidP="00CA225C">
      <w:pPr>
        <w:pStyle w:val="ListParagraph"/>
        <w:tabs>
          <w:tab w:val="left" w:pos="1469"/>
        </w:tabs>
        <w:spacing w:line="360" w:lineRule="auto"/>
        <w:ind w:left="2444" w:right="391" w:hanging="743"/>
        <w:rPr>
          <w:color w:val="000000" w:themeColor="text1"/>
        </w:rPr>
      </w:pPr>
      <w:r w:rsidRPr="00C4094A">
        <w:rPr>
          <w:color w:val="000000" w:themeColor="text1"/>
        </w:rPr>
        <w:t xml:space="preserve">d) other educational settings such as </w:t>
      </w:r>
      <w:r w:rsidR="00B608E0" w:rsidRPr="00C4094A">
        <w:rPr>
          <w:color w:val="000000" w:themeColor="text1"/>
        </w:rPr>
        <w:t>tertiary or vocational</w:t>
      </w:r>
      <w:r w:rsidR="00B608E0" w:rsidRPr="00C4094A" w:rsidDel="00B608E0">
        <w:rPr>
          <w:color w:val="000000" w:themeColor="text1"/>
        </w:rPr>
        <w:t xml:space="preserve"> </w:t>
      </w:r>
      <w:r w:rsidRPr="00C4094A">
        <w:rPr>
          <w:color w:val="000000" w:themeColor="text1"/>
        </w:rPr>
        <w:t xml:space="preserve">education. </w:t>
      </w:r>
    </w:p>
    <w:p w14:paraId="7B2FC922" w14:textId="7E3E6B15" w:rsidR="00283CEA" w:rsidRPr="00C4094A" w:rsidRDefault="00283CEA" w:rsidP="00E46FA7">
      <w:pPr>
        <w:pStyle w:val="ListParagraph"/>
        <w:tabs>
          <w:tab w:val="left" w:pos="1183"/>
          <w:tab w:val="left" w:pos="1184"/>
        </w:tabs>
        <w:spacing w:line="360" w:lineRule="auto"/>
        <w:ind w:left="1183" w:right="545" w:hanging="567"/>
        <w:rPr>
          <w:color w:val="000000" w:themeColor="text1"/>
        </w:rPr>
      </w:pPr>
      <w:r w:rsidRPr="00C4094A">
        <w:rPr>
          <w:color w:val="000000" w:themeColor="text1"/>
        </w:rPr>
        <w:t xml:space="preserve">1.4 </w:t>
      </w:r>
      <w:r w:rsidR="00E46FA7" w:rsidRPr="00C4094A">
        <w:rPr>
          <w:color w:val="000000" w:themeColor="text1"/>
        </w:rPr>
        <w:tab/>
      </w:r>
      <w:r w:rsidR="001B1FF8" w:rsidRPr="00C4094A">
        <w:rPr>
          <w:color w:val="000000" w:themeColor="text1"/>
        </w:rPr>
        <w:t xml:space="preserve">The LTCS Commissioner </w:t>
      </w:r>
      <w:r w:rsidRPr="00C4094A">
        <w:rPr>
          <w:color w:val="000000" w:themeColor="text1"/>
        </w:rPr>
        <w:t xml:space="preserve">considers treatment and care needs for education support to be reasonable and necessary when the services: </w:t>
      </w:r>
    </w:p>
    <w:p w14:paraId="73440546" w14:textId="7F94547F" w:rsidR="00283CEA" w:rsidRPr="00C4094A" w:rsidRDefault="00283CEA" w:rsidP="00CA225C">
      <w:pPr>
        <w:pStyle w:val="ListParagraph"/>
        <w:tabs>
          <w:tab w:val="left" w:pos="1469"/>
        </w:tabs>
        <w:spacing w:line="360" w:lineRule="auto"/>
        <w:ind w:left="1843" w:right="391" w:hanging="142"/>
      </w:pPr>
      <w:r w:rsidRPr="00C4094A">
        <w:t xml:space="preserve">a) assist to maximise independence and </w:t>
      </w:r>
      <w:r w:rsidR="00EC6E74" w:rsidRPr="00C4094A">
        <w:rPr>
          <w:lang w:val="en-AU"/>
        </w:rPr>
        <w:t>participation</w:t>
      </w:r>
      <w:r w:rsidRPr="00C4094A">
        <w:t xml:space="preserve"> in an education program; </w:t>
      </w:r>
    </w:p>
    <w:p w14:paraId="138B4C3D" w14:textId="2E175BF1" w:rsidR="00283CEA" w:rsidRPr="00C4094A" w:rsidRDefault="00283CEA" w:rsidP="00CA225C">
      <w:pPr>
        <w:pStyle w:val="ListParagraph"/>
        <w:tabs>
          <w:tab w:val="left" w:pos="1469"/>
        </w:tabs>
        <w:spacing w:line="360" w:lineRule="auto"/>
        <w:ind w:left="1843" w:right="391" w:hanging="142"/>
      </w:pPr>
      <w:r w:rsidRPr="00C4094A">
        <w:t>b) are required as a result of the motor accident</w:t>
      </w:r>
      <w:r w:rsidR="00E96D3E" w:rsidRPr="00C4094A">
        <w:t xml:space="preserve"> </w:t>
      </w:r>
      <w:r w:rsidR="00E96D3E" w:rsidRPr="00C4094A">
        <w:rPr>
          <w:color w:val="000000" w:themeColor="text1"/>
        </w:rPr>
        <w:t>injury</w:t>
      </w:r>
      <w:r w:rsidRPr="00C4094A">
        <w:t xml:space="preserve"> </w:t>
      </w:r>
      <w:r w:rsidR="00542D70" w:rsidRPr="00C4094A">
        <w:t xml:space="preserve">or work </w:t>
      </w:r>
      <w:r w:rsidRPr="00C4094A">
        <w:t>injury;</w:t>
      </w:r>
    </w:p>
    <w:p w14:paraId="7996B82A" w14:textId="6A9DFA3F" w:rsidR="00283CEA" w:rsidRPr="00C4094A" w:rsidRDefault="00283CEA" w:rsidP="00CA225C">
      <w:pPr>
        <w:pStyle w:val="ListParagraph"/>
        <w:tabs>
          <w:tab w:val="left" w:pos="1469"/>
        </w:tabs>
        <w:spacing w:line="360" w:lineRule="auto"/>
        <w:ind w:left="1843" w:right="391" w:hanging="142"/>
      </w:pPr>
      <w:r w:rsidRPr="00C4094A">
        <w:t xml:space="preserve">c) are appropriate for the participant’s age, development and circumstances; and </w:t>
      </w:r>
    </w:p>
    <w:p w14:paraId="2624135A" w14:textId="77777777" w:rsidR="00283CEA" w:rsidRDefault="00283CEA" w:rsidP="00CA225C">
      <w:pPr>
        <w:pStyle w:val="ListParagraph"/>
        <w:tabs>
          <w:tab w:val="left" w:pos="1469"/>
        </w:tabs>
        <w:spacing w:line="360" w:lineRule="auto"/>
        <w:ind w:left="1843" w:right="391" w:hanging="142"/>
      </w:pPr>
      <w:r w:rsidRPr="00C4094A">
        <w:t xml:space="preserve">d) are based on measurable learning and development outcomes. </w:t>
      </w:r>
    </w:p>
    <w:p w14:paraId="51073358" w14:textId="5C5F74F2" w:rsidR="00283CEA" w:rsidRPr="00C4094A" w:rsidRDefault="00283CEA" w:rsidP="00E46FA7">
      <w:pPr>
        <w:pStyle w:val="ListParagraph"/>
        <w:tabs>
          <w:tab w:val="left" w:pos="1183"/>
          <w:tab w:val="left" w:pos="1184"/>
        </w:tabs>
        <w:spacing w:line="360" w:lineRule="auto"/>
        <w:ind w:left="1183" w:right="545" w:hanging="567"/>
        <w:rPr>
          <w:color w:val="000000" w:themeColor="text1"/>
        </w:rPr>
      </w:pPr>
      <w:r w:rsidRPr="00C4094A">
        <w:rPr>
          <w:color w:val="000000" w:themeColor="text1"/>
        </w:rPr>
        <w:lastRenderedPageBreak/>
        <w:t xml:space="preserve">1.5 </w:t>
      </w:r>
      <w:r w:rsidR="00E46FA7" w:rsidRPr="00C4094A">
        <w:rPr>
          <w:color w:val="000000" w:themeColor="text1"/>
        </w:rPr>
        <w:tab/>
      </w:r>
      <w:r w:rsidR="00271282" w:rsidRPr="00C4094A">
        <w:rPr>
          <w:color w:val="000000" w:themeColor="text1"/>
        </w:rPr>
        <w:t>The LTCS Commissioner considers e</w:t>
      </w:r>
      <w:r w:rsidRPr="00C4094A">
        <w:rPr>
          <w:color w:val="000000" w:themeColor="text1"/>
        </w:rPr>
        <w:t>ducation support services</w:t>
      </w:r>
      <w:r w:rsidR="00271282" w:rsidRPr="00C4094A">
        <w:rPr>
          <w:color w:val="000000" w:themeColor="text1"/>
        </w:rPr>
        <w:t xml:space="preserve"> </w:t>
      </w:r>
      <w:r w:rsidRPr="00C4094A">
        <w:rPr>
          <w:color w:val="000000" w:themeColor="text1"/>
        </w:rPr>
        <w:t xml:space="preserve">may include one or more of the following: </w:t>
      </w:r>
    </w:p>
    <w:p w14:paraId="1C499408" w14:textId="77777777" w:rsidR="00283CEA" w:rsidRPr="00C4094A" w:rsidRDefault="00283CEA" w:rsidP="00CA225C">
      <w:pPr>
        <w:pStyle w:val="ListParagraph"/>
        <w:spacing w:line="360" w:lineRule="auto"/>
        <w:ind w:left="1843" w:right="391" w:hanging="283"/>
      </w:pPr>
      <w:r w:rsidRPr="00C4094A">
        <w:rPr>
          <w:color w:val="000000" w:themeColor="text1"/>
        </w:rPr>
        <w:t xml:space="preserve">a) </w:t>
      </w:r>
      <w:r w:rsidRPr="00C4094A">
        <w:t xml:space="preserve">assistance with short-term needs, such as education support to assist a participant to catch up on missed curriculum as a result of a prolonged hospital admission, or the need to consolidate a participant’s learning where an injury-related learning need has been identified; </w:t>
      </w:r>
    </w:p>
    <w:p w14:paraId="4DC0C14F" w14:textId="77777777" w:rsidR="00283CEA" w:rsidRPr="00C4094A" w:rsidRDefault="00283CEA" w:rsidP="00CA225C">
      <w:pPr>
        <w:pStyle w:val="ListParagraph"/>
        <w:spacing w:line="360" w:lineRule="auto"/>
        <w:ind w:left="1843" w:right="391" w:hanging="283"/>
      </w:pPr>
      <w:r w:rsidRPr="00C4094A">
        <w:t xml:space="preserve">b) teacher release time to adapt and modify programs to accommodate the participant’s individual learning needs; </w:t>
      </w:r>
    </w:p>
    <w:p w14:paraId="76C4DBB2" w14:textId="77777777" w:rsidR="00283CEA" w:rsidRPr="00C4094A" w:rsidRDefault="00283CEA" w:rsidP="00CA225C">
      <w:pPr>
        <w:pStyle w:val="ListParagraph"/>
        <w:spacing w:line="360" w:lineRule="auto"/>
        <w:ind w:left="1843" w:right="391" w:hanging="283"/>
      </w:pPr>
      <w:r w:rsidRPr="00C4094A">
        <w:t xml:space="preserve">c) professional support for the teacher and/or school learning support officer such as training to implement a rehabilitation program with the participant; </w:t>
      </w:r>
    </w:p>
    <w:p w14:paraId="241BDE0C" w14:textId="395414F2" w:rsidR="00CC35E4" w:rsidRPr="00C4094A" w:rsidRDefault="00283CEA" w:rsidP="00CA225C">
      <w:pPr>
        <w:pStyle w:val="ListParagraph"/>
        <w:spacing w:line="360" w:lineRule="auto"/>
        <w:ind w:left="1843" w:right="391" w:hanging="283"/>
      </w:pPr>
      <w:r w:rsidRPr="00C4094A">
        <w:t xml:space="preserve">d) </w:t>
      </w:r>
      <w:r w:rsidR="00CC35E4" w:rsidRPr="00C4094A">
        <w:t xml:space="preserve">individual support to engage with the curriculum or specific subjects, such as school learning and support officer support; </w:t>
      </w:r>
    </w:p>
    <w:p w14:paraId="792D405C" w14:textId="551647E5" w:rsidR="00283CEA" w:rsidRPr="00C4094A" w:rsidRDefault="00CC35E4" w:rsidP="00CA225C">
      <w:pPr>
        <w:pStyle w:val="ListParagraph"/>
        <w:spacing w:line="360" w:lineRule="auto"/>
        <w:ind w:left="1843" w:right="391" w:hanging="283"/>
      </w:pPr>
      <w:r w:rsidRPr="00C4094A">
        <w:t>e) support</w:t>
      </w:r>
      <w:r w:rsidR="00283CEA" w:rsidRPr="00C4094A">
        <w:t xml:space="preserve"> required as part of the participant’s individual learning plan; </w:t>
      </w:r>
    </w:p>
    <w:p w14:paraId="38B12591" w14:textId="5E2FFF02" w:rsidR="00283CEA" w:rsidRPr="00C4094A" w:rsidRDefault="00CC35E4" w:rsidP="00CA225C">
      <w:pPr>
        <w:pStyle w:val="ListParagraph"/>
        <w:spacing w:line="360" w:lineRule="auto"/>
        <w:ind w:left="1843" w:right="391" w:hanging="283"/>
      </w:pPr>
      <w:r w:rsidRPr="00C4094A">
        <w:t xml:space="preserve">f) </w:t>
      </w:r>
      <w:r w:rsidR="00473EC2" w:rsidRPr="00C4094A">
        <w:t xml:space="preserve"> </w:t>
      </w:r>
      <w:r w:rsidR="00283CEA" w:rsidRPr="00C4094A">
        <w:t xml:space="preserve">support to facilitate transitions between educational facilities, such as between schools or from primary school to high school; </w:t>
      </w:r>
    </w:p>
    <w:p w14:paraId="7EFAECDC" w14:textId="77777777" w:rsidR="00283CEA" w:rsidRPr="00C4094A" w:rsidRDefault="00283CEA" w:rsidP="00CA225C">
      <w:pPr>
        <w:pStyle w:val="ListParagraph"/>
        <w:spacing w:line="360" w:lineRule="auto"/>
        <w:ind w:left="1843" w:right="391" w:hanging="283"/>
      </w:pPr>
      <w:r w:rsidRPr="00C4094A">
        <w:t xml:space="preserve">g) school learning support officer or attendant care worker time for overnight excursions/camps; or </w:t>
      </w:r>
    </w:p>
    <w:p w14:paraId="7B5DB52B" w14:textId="079384F0" w:rsidR="00283CEA" w:rsidRPr="00C4094A" w:rsidRDefault="00283CEA" w:rsidP="00CA225C">
      <w:pPr>
        <w:pStyle w:val="ListParagraph"/>
        <w:spacing w:line="360" w:lineRule="auto"/>
        <w:ind w:left="1843" w:right="391" w:hanging="283"/>
      </w:pPr>
      <w:r w:rsidRPr="00C4094A">
        <w:t xml:space="preserve">h) specialist support </w:t>
      </w:r>
      <w:r w:rsidR="00271282" w:rsidRPr="00C4094A">
        <w:t>provided by</w:t>
      </w:r>
      <w:r w:rsidRPr="00C4094A">
        <w:t xml:space="preserve"> therapists, special education teachers or other professionals. </w:t>
      </w:r>
    </w:p>
    <w:p w14:paraId="54FC3F8F" w14:textId="0A7F46A5" w:rsidR="00283CEA" w:rsidRPr="00C4094A" w:rsidRDefault="00283CEA" w:rsidP="00B442DF">
      <w:pPr>
        <w:pStyle w:val="ListParagraph"/>
        <w:tabs>
          <w:tab w:val="left" w:pos="1183"/>
          <w:tab w:val="left" w:pos="1184"/>
        </w:tabs>
        <w:spacing w:line="360" w:lineRule="auto"/>
        <w:ind w:left="1185" w:right="431" w:hanging="567"/>
        <w:rPr>
          <w:color w:val="000000" w:themeColor="text1"/>
        </w:rPr>
      </w:pPr>
      <w:r w:rsidRPr="00C4094A">
        <w:rPr>
          <w:color w:val="000000" w:themeColor="text1"/>
        </w:rPr>
        <w:t xml:space="preserve">1.6 </w:t>
      </w:r>
      <w:r w:rsidR="0036772C" w:rsidRPr="00C4094A">
        <w:rPr>
          <w:color w:val="000000" w:themeColor="text1"/>
        </w:rPr>
        <w:tab/>
      </w:r>
      <w:r w:rsidRPr="00C4094A">
        <w:rPr>
          <w:color w:val="000000" w:themeColor="text1"/>
        </w:rPr>
        <w:t xml:space="preserve">The </w:t>
      </w:r>
      <w:r w:rsidR="008F23E9" w:rsidRPr="00C4094A">
        <w:rPr>
          <w:color w:val="000000" w:themeColor="text1"/>
        </w:rPr>
        <w:t xml:space="preserve">LTCS Commissioner considers reasonable and necessary </w:t>
      </w:r>
      <w:r w:rsidRPr="00C4094A">
        <w:rPr>
          <w:color w:val="000000" w:themeColor="text1"/>
        </w:rPr>
        <w:t xml:space="preserve">education support services </w:t>
      </w:r>
      <w:r w:rsidR="008F23E9" w:rsidRPr="00C4094A">
        <w:rPr>
          <w:color w:val="000000" w:themeColor="text1"/>
        </w:rPr>
        <w:t>do not include</w:t>
      </w:r>
      <w:r w:rsidRPr="00C4094A">
        <w:rPr>
          <w:color w:val="000000" w:themeColor="text1"/>
        </w:rPr>
        <w:t xml:space="preserve">: </w:t>
      </w:r>
    </w:p>
    <w:p w14:paraId="6C1F4469" w14:textId="49915859" w:rsidR="00283CEA" w:rsidRPr="00C4094A" w:rsidRDefault="00283CEA" w:rsidP="002632BD">
      <w:pPr>
        <w:pStyle w:val="ListParagraph"/>
        <w:spacing w:line="360" w:lineRule="auto"/>
        <w:ind w:left="1843" w:right="391" w:hanging="283"/>
      </w:pPr>
      <w:r w:rsidRPr="00C4094A">
        <w:t>a) services for a condition that existed before a motor accident</w:t>
      </w:r>
      <w:r w:rsidR="00D32A33" w:rsidRPr="00C4094A">
        <w:t xml:space="preserve"> </w:t>
      </w:r>
      <w:r w:rsidR="00E96D3E" w:rsidRPr="00C4094A">
        <w:rPr>
          <w:color w:val="000000" w:themeColor="text1"/>
        </w:rPr>
        <w:t xml:space="preserve">injury </w:t>
      </w:r>
      <w:r w:rsidR="00D32A33" w:rsidRPr="00C4094A">
        <w:t>or work injury</w:t>
      </w:r>
      <w:r w:rsidRPr="00C4094A">
        <w:t xml:space="preserve"> or that is not a result of a motor accident</w:t>
      </w:r>
      <w:r w:rsidR="00542D70" w:rsidRPr="00C4094A">
        <w:t xml:space="preserve"> </w:t>
      </w:r>
      <w:r w:rsidR="00E96D3E" w:rsidRPr="00C4094A">
        <w:rPr>
          <w:color w:val="000000" w:themeColor="text1"/>
        </w:rPr>
        <w:t xml:space="preserve">injury </w:t>
      </w:r>
      <w:r w:rsidR="00542D70" w:rsidRPr="00C4094A">
        <w:t>or work injury</w:t>
      </w:r>
      <w:r w:rsidRPr="00C4094A">
        <w:t xml:space="preserve">; </w:t>
      </w:r>
    </w:p>
    <w:p w14:paraId="06906CD4" w14:textId="27E9AC2D" w:rsidR="00283CEA" w:rsidRPr="00C4094A" w:rsidRDefault="00283CEA" w:rsidP="002632BD">
      <w:pPr>
        <w:pStyle w:val="ListParagraph"/>
        <w:spacing w:line="360" w:lineRule="auto"/>
        <w:ind w:left="1843" w:right="391" w:hanging="283"/>
      </w:pPr>
      <w:r w:rsidRPr="00C4094A">
        <w:t>b) services that the participant accessed, was assessed as needing or was on the waiting list for prior to the motor accident</w:t>
      </w:r>
      <w:r w:rsidR="00542D70" w:rsidRPr="00C4094A">
        <w:t xml:space="preserve"> </w:t>
      </w:r>
      <w:r w:rsidR="00E96D3E" w:rsidRPr="00C4094A">
        <w:rPr>
          <w:color w:val="000000" w:themeColor="text1"/>
        </w:rPr>
        <w:t xml:space="preserve">injury </w:t>
      </w:r>
      <w:r w:rsidR="00542D70" w:rsidRPr="00C4094A">
        <w:t>or work injury</w:t>
      </w:r>
      <w:r w:rsidRPr="00C4094A">
        <w:t xml:space="preserve">; or </w:t>
      </w:r>
    </w:p>
    <w:p w14:paraId="6DABBE14" w14:textId="4FC5CC48" w:rsidR="00283CEA" w:rsidRPr="00C4094A" w:rsidRDefault="00283CEA" w:rsidP="002632BD">
      <w:pPr>
        <w:pStyle w:val="ListParagraph"/>
        <w:spacing w:line="360" w:lineRule="auto"/>
        <w:ind w:left="1843" w:right="391" w:hanging="283"/>
      </w:pPr>
      <w:r w:rsidRPr="00C4094A">
        <w:t>c) assistance with tasks that are the responsibility of a parent or guardian such as supervising homework and helping to access project materials</w:t>
      </w:r>
      <w:r w:rsidR="008F23E9" w:rsidRPr="00C4094A">
        <w:t xml:space="preserve"> or other resources</w:t>
      </w:r>
      <w:r w:rsidRPr="00C4094A">
        <w:t xml:space="preserve">. </w:t>
      </w:r>
    </w:p>
    <w:p w14:paraId="70A806E4" w14:textId="723AC3AA" w:rsidR="00283CEA" w:rsidRPr="00C4094A" w:rsidRDefault="00283CEA" w:rsidP="0036772C">
      <w:pPr>
        <w:pStyle w:val="ListParagraph"/>
        <w:tabs>
          <w:tab w:val="left" w:pos="1183"/>
          <w:tab w:val="left" w:pos="1184"/>
        </w:tabs>
        <w:spacing w:line="360" w:lineRule="auto"/>
        <w:ind w:left="1183" w:right="545" w:hanging="567"/>
        <w:rPr>
          <w:color w:val="000000" w:themeColor="text1"/>
        </w:rPr>
      </w:pPr>
      <w:r w:rsidRPr="00C4094A">
        <w:rPr>
          <w:color w:val="000000" w:themeColor="text1"/>
        </w:rPr>
        <w:t xml:space="preserve">1.7 </w:t>
      </w:r>
      <w:r w:rsidR="0036772C" w:rsidRPr="00C4094A">
        <w:rPr>
          <w:color w:val="000000" w:themeColor="text1"/>
        </w:rPr>
        <w:tab/>
      </w:r>
      <w:r w:rsidRPr="00C4094A">
        <w:rPr>
          <w:color w:val="000000" w:themeColor="text1"/>
        </w:rPr>
        <w:t>The</w:t>
      </w:r>
      <w:r w:rsidR="008F23E9" w:rsidRPr="00C4094A">
        <w:rPr>
          <w:color w:val="000000" w:themeColor="text1"/>
        </w:rPr>
        <w:t xml:space="preserve"> LTCS Commissioner</w:t>
      </w:r>
      <w:r w:rsidRPr="00C4094A">
        <w:rPr>
          <w:color w:val="000000" w:themeColor="text1"/>
        </w:rPr>
        <w:t xml:space="preserve"> </w:t>
      </w:r>
      <w:r w:rsidR="004A250F" w:rsidRPr="00C4094A">
        <w:rPr>
          <w:color w:val="000000" w:themeColor="text1"/>
        </w:rPr>
        <w:t xml:space="preserve">considers the </w:t>
      </w:r>
      <w:r w:rsidRPr="00C4094A">
        <w:rPr>
          <w:color w:val="000000" w:themeColor="text1"/>
        </w:rPr>
        <w:t xml:space="preserve">reasonable expenses in relation to the participant’s assessed treatment and care needs in relation to education support services will not include: </w:t>
      </w:r>
    </w:p>
    <w:p w14:paraId="454FD307" w14:textId="5FF016B2" w:rsidR="00E00B9A" w:rsidRPr="00C4094A" w:rsidRDefault="00283CEA" w:rsidP="002632BD">
      <w:pPr>
        <w:pStyle w:val="ListParagraph"/>
        <w:tabs>
          <w:tab w:val="left" w:pos="1182"/>
          <w:tab w:val="left" w:pos="1183"/>
        </w:tabs>
        <w:spacing w:line="360" w:lineRule="auto"/>
        <w:ind w:left="1843" w:right="391" w:hanging="283"/>
      </w:pPr>
      <w:r w:rsidRPr="00C4094A">
        <w:t xml:space="preserve">a) </w:t>
      </w:r>
      <w:r w:rsidR="00E00B9A" w:rsidRPr="00C4094A">
        <w:rPr>
          <w:color w:val="000000" w:themeColor="text1"/>
        </w:rPr>
        <w:t xml:space="preserve">education support services if the participant is already entitled to those services under applicable state or federal legislation, administered by the ACT Education Directorate, Association of Independent Schools of the ACT, the Catholic Education Commission Archdiocese of Canberra and Goulburn, Canberra Institute of Technology (CIT) student services, individual vocational and higher education institutions, and equivalent for participants outside of ACT. </w:t>
      </w:r>
    </w:p>
    <w:p w14:paraId="791D3BF5" w14:textId="54221309" w:rsidR="00283CEA" w:rsidRPr="002632BD" w:rsidRDefault="00E00B9A" w:rsidP="002632BD">
      <w:pPr>
        <w:pStyle w:val="ListParagraph"/>
        <w:tabs>
          <w:tab w:val="left" w:pos="1469"/>
        </w:tabs>
        <w:spacing w:line="360" w:lineRule="auto"/>
        <w:ind w:left="1843" w:right="391" w:hanging="283"/>
      </w:pPr>
      <w:r w:rsidRPr="00C4094A">
        <w:lastRenderedPageBreak/>
        <w:t xml:space="preserve">b) </w:t>
      </w:r>
      <w:r w:rsidR="00283CEA" w:rsidRPr="00C4094A">
        <w:t xml:space="preserve">education expenses levied by the educational institution including school fees, fees for excursions or school camps, stationery and uniforms that are the responsibility of the parent or guardian; </w:t>
      </w:r>
    </w:p>
    <w:p w14:paraId="1AEB6507" w14:textId="62E72A32" w:rsidR="00283CEA" w:rsidRPr="002632BD" w:rsidRDefault="00E00B9A" w:rsidP="002632BD">
      <w:pPr>
        <w:pStyle w:val="ListParagraph"/>
        <w:tabs>
          <w:tab w:val="left" w:pos="1469"/>
        </w:tabs>
        <w:spacing w:line="360" w:lineRule="auto"/>
        <w:ind w:left="1843" w:right="391" w:hanging="283"/>
      </w:pPr>
      <w:r w:rsidRPr="002632BD">
        <w:t>c</w:t>
      </w:r>
      <w:r w:rsidR="00283CEA" w:rsidRPr="002632BD">
        <w:t>) travel that is not related to a treatment or care need</w:t>
      </w:r>
      <w:r w:rsidR="004A250F" w:rsidRPr="002632BD">
        <w:t>, f</w:t>
      </w:r>
      <w:r w:rsidR="00283CEA" w:rsidRPr="002632BD">
        <w:t xml:space="preserve">or example, travel to and from school. Other state and </w:t>
      </w:r>
      <w:r w:rsidR="0084787F" w:rsidRPr="002632BD">
        <w:rPr>
          <w:lang w:val="en-AU"/>
        </w:rPr>
        <w:t xml:space="preserve">commonwealth </w:t>
      </w:r>
      <w:r w:rsidR="00283CEA" w:rsidRPr="002632BD">
        <w:t>resources would be expected to provide travel assistance to attend school and school excursions</w:t>
      </w:r>
      <w:r w:rsidR="004A250F" w:rsidRPr="002632BD">
        <w:t xml:space="preserve"> etc</w:t>
      </w:r>
      <w:r w:rsidR="00283CEA" w:rsidRPr="002632BD">
        <w:t>. There may be individual circumstances where travel support is provided</w:t>
      </w:r>
      <w:r w:rsidR="00F95514" w:rsidRPr="002632BD">
        <w:t>, f</w:t>
      </w:r>
      <w:r w:rsidR="00283CEA" w:rsidRPr="002632BD">
        <w:t xml:space="preserve">or example, if the child is transitioning to school for the first time, or to a new school; </w:t>
      </w:r>
    </w:p>
    <w:p w14:paraId="538F6B2C" w14:textId="6647AD91" w:rsidR="00283CEA" w:rsidRPr="002632BD" w:rsidRDefault="00E00B9A" w:rsidP="002632BD">
      <w:pPr>
        <w:pStyle w:val="ListParagraph"/>
        <w:tabs>
          <w:tab w:val="left" w:pos="1469"/>
        </w:tabs>
        <w:spacing w:line="360" w:lineRule="auto"/>
        <w:ind w:left="1843" w:right="391" w:hanging="283"/>
      </w:pPr>
      <w:r w:rsidRPr="002632BD">
        <w:t>d</w:t>
      </w:r>
      <w:r w:rsidR="00283CEA" w:rsidRPr="002632BD">
        <w:t xml:space="preserve">) </w:t>
      </w:r>
      <w:r w:rsidR="00283CEA" w:rsidRPr="002632BD">
        <w:rPr>
          <w:color w:val="000000" w:themeColor="text1"/>
        </w:rPr>
        <w:t>support or services available to all students, such as whole class programs that are part of the school curriculum;</w:t>
      </w:r>
      <w:r w:rsidR="00283CEA" w:rsidRPr="002632BD">
        <w:t xml:space="preserve"> </w:t>
      </w:r>
    </w:p>
    <w:p w14:paraId="400F6893" w14:textId="66DA815E" w:rsidR="00283CEA" w:rsidRPr="002632BD" w:rsidRDefault="00E00B9A" w:rsidP="002632BD">
      <w:pPr>
        <w:pStyle w:val="ListParagraph"/>
        <w:tabs>
          <w:tab w:val="left" w:pos="1469"/>
        </w:tabs>
        <w:spacing w:line="360" w:lineRule="auto"/>
        <w:ind w:left="1843" w:right="391" w:hanging="283"/>
      </w:pPr>
      <w:r w:rsidRPr="002632BD">
        <w:t>e</w:t>
      </w:r>
      <w:r w:rsidR="00283CEA" w:rsidRPr="002632BD">
        <w:t xml:space="preserve">) costs that would reasonably be expected to be funded by the employer/ education provider, such as continuing professional development for teachers and other staff. For example, workshops and seminars that are not specifically aimed at an individual participant are generally not considered reasonable and necessary; </w:t>
      </w:r>
    </w:p>
    <w:p w14:paraId="2A2BB754" w14:textId="67A1F05A" w:rsidR="00283CEA" w:rsidRPr="00C4094A" w:rsidRDefault="00E00B9A" w:rsidP="002632BD">
      <w:pPr>
        <w:pStyle w:val="ListParagraph"/>
        <w:tabs>
          <w:tab w:val="left" w:pos="1469"/>
        </w:tabs>
        <w:spacing w:line="360" w:lineRule="auto"/>
        <w:ind w:left="1843" w:right="391" w:hanging="283"/>
      </w:pPr>
      <w:r w:rsidRPr="00C4094A">
        <w:t>f</w:t>
      </w:r>
      <w:r w:rsidR="00283CEA" w:rsidRPr="00C4094A">
        <w:t xml:space="preserve">) education materials or resources that are not specifically required by the participant; and </w:t>
      </w:r>
    </w:p>
    <w:p w14:paraId="6A24E8E1" w14:textId="4A8E9A8A" w:rsidR="00283CEA" w:rsidRPr="00C4094A" w:rsidRDefault="00E00B9A" w:rsidP="002632BD">
      <w:pPr>
        <w:pStyle w:val="ListParagraph"/>
        <w:tabs>
          <w:tab w:val="left" w:pos="1469"/>
        </w:tabs>
        <w:spacing w:line="360" w:lineRule="auto"/>
        <w:ind w:left="1843" w:right="391" w:hanging="283"/>
        <w:rPr>
          <w:color w:val="000000" w:themeColor="text1"/>
        </w:rPr>
      </w:pPr>
      <w:r w:rsidRPr="00C4094A">
        <w:t>g</w:t>
      </w:r>
      <w:r w:rsidR="00283CEA" w:rsidRPr="00C4094A">
        <w:t xml:space="preserve">) </w:t>
      </w:r>
      <w:r w:rsidR="00283CEA" w:rsidRPr="00C4094A">
        <w:rPr>
          <w:color w:val="000000" w:themeColor="text1"/>
        </w:rPr>
        <w:t xml:space="preserve">tutoring or enhancement programs for participants who do not have identified learning support needs, the request for tutoring is not supported by the school or is for tasks that are the responsibility of a parent or guardian to oversee, such as supervising homework or preparing school projects. </w:t>
      </w:r>
    </w:p>
    <w:p w14:paraId="5714256B" w14:textId="77777777" w:rsidR="000A3572" w:rsidRPr="00C4094A" w:rsidRDefault="000A3572" w:rsidP="003A7123">
      <w:pPr>
        <w:pStyle w:val="ListParagraph"/>
        <w:tabs>
          <w:tab w:val="left" w:pos="1469"/>
        </w:tabs>
        <w:spacing w:line="360" w:lineRule="auto"/>
        <w:ind w:left="1463" w:right="391" w:hanging="284"/>
      </w:pPr>
    </w:p>
    <w:p w14:paraId="1764DFEF" w14:textId="2FB391A8" w:rsidR="00283CEA" w:rsidRPr="00C4094A" w:rsidRDefault="00283CEA" w:rsidP="00E16B55">
      <w:pPr>
        <w:pStyle w:val="Heading2"/>
        <w:tabs>
          <w:tab w:val="left" w:pos="1183"/>
          <w:tab w:val="left" w:pos="1184"/>
        </w:tabs>
        <w:spacing w:before="72" w:line="362" w:lineRule="auto"/>
        <w:ind w:left="1185" w:right="930"/>
        <w:rPr>
          <w:color w:val="000000" w:themeColor="text1"/>
        </w:rPr>
      </w:pPr>
      <w:r w:rsidRPr="00C4094A">
        <w:rPr>
          <w:color w:val="000000" w:themeColor="text1"/>
        </w:rPr>
        <w:t xml:space="preserve">2 </w:t>
      </w:r>
      <w:r w:rsidR="0036772C" w:rsidRPr="00C4094A">
        <w:rPr>
          <w:color w:val="000000" w:themeColor="text1"/>
        </w:rPr>
        <w:tab/>
      </w:r>
      <w:r w:rsidRPr="00C4094A">
        <w:rPr>
          <w:color w:val="000000" w:themeColor="text1"/>
        </w:rPr>
        <w:t xml:space="preserve">Method of assessment and criteria used to determine reasonable and necessary treatment and care needs for </w:t>
      </w:r>
      <w:r w:rsidR="00527E78" w:rsidRPr="00C4094A">
        <w:rPr>
          <w:color w:val="000000" w:themeColor="text1"/>
        </w:rPr>
        <w:t xml:space="preserve">or in connection with </w:t>
      </w:r>
      <w:r w:rsidRPr="00C4094A">
        <w:rPr>
          <w:color w:val="000000" w:themeColor="text1"/>
        </w:rPr>
        <w:t xml:space="preserve">education support services </w:t>
      </w:r>
    </w:p>
    <w:p w14:paraId="13EF95B0" w14:textId="5BCB84E9" w:rsidR="00283CEA" w:rsidRPr="00C4094A" w:rsidRDefault="00283CEA" w:rsidP="0036772C">
      <w:pPr>
        <w:pStyle w:val="ListParagraph"/>
        <w:tabs>
          <w:tab w:val="left" w:pos="1183"/>
          <w:tab w:val="left" w:pos="1184"/>
        </w:tabs>
        <w:spacing w:line="360" w:lineRule="auto"/>
        <w:ind w:left="1183" w:right="545" w:hanging="567"/>
        <w:rPr>
          <w:color w:val="000000" w:themeColor="text1"/>
        </w:rPr>
      </w:pPr>
      <w:r w:rsidRPr="00C4094A">
        <w:rPr>
          <w:color w:val="000000" w:themeColor="text1"/>
        </w:rPr>
        <w:t xml:space="preserve">2.1 </w:t>
      </w:r>
      <w:r w:rsidR="0036772C" w:rsidRPr="00C4094A">
        <w:rPr>
          <w:color w:val="000000" w:themeColor="text1"/>
        </w:rPr>
        <w:tab/>
      </w:r>
      <w:r w:rsidRPr="00C4094A">
        <w:rPr>
          <w:color w:val="000000" w:themeColor="text1"/>
        </w:rPr>
        <w:t xml:space="preserve">The </w:t>
      </w:r>
      <w:r w:rsidR="00527E78" w:rsidRPr="00C4094A">
        <w:rPr>
          <w:color w:val="000000" w:themeColor="text1"/>
        </w:rPr>
        <w:t xml:space="preserve">LTCS Commissioner’s assessment </w:t>
      </w:r>
      <w:r w:rsidRPr="00C4094A">
        <w:rPr>
          <w:color w:val="000000" w:themeColor="text1"/>
        </w:rPr>
        <w:t xml:space="preserve">of </w:t>
      </w:r>
      <w:r w:rsidR="00527E78" w:rsidRPr="00C4094A">
        <w:rPr>
          <w:color w:val="000000" w:themeColor="text1"/>
        </w:rPr>
        <w:t xml:space="preserve">a participant’s </w:t>
      </w:r>
      <w:r w:rsidRPr="00C4094A">
        <w:rPr>
          <w:color w:val="000000" w:themeColor="text1"/>
        </w:rPr>
        <w:t>treatment and care needs</w:t>
      </w:r>
      <w:r w:rsidR="00527E78" w:rsidRPr="00C4094A">
        <w:rPr>
          <w:color w:val="000000" w:themeColor="text1"/>
        </w:rPr>
        <w:t xml:space="preserve"> for or</w:t>
      </w:r>
      <w:r w:rsidRPr="00C4094A">
        <w:rPr>
          <w:color w:val="000000" w:themeColor="text1"/>
        </w:rPr>
        <w:t xml:space="preserve"> in connection with education support services must: </w:t>
      </w:r>
    </w:p>
    <w:p w14:paraId="694E4DD0" w14:textId="77777777"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a) take into account the participant’s individual needs in the context of other treatment and services provided, including rehabilitation, attendant care services and aids and appliances; </w:t>
      </w:r>
    </w:p>
    <w:p w14:paraId="7C0C0C56" w14:textId="2287D526"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b) be made in collaboration with the participant</w:t>
      </w:r>
      <w:r w:rsidR="00CC31E3" w:rsidRPr="00C4094A">
        <w:rPr>
          <w:color w:val="000000" w:themeColor="text1"/>
        </w:rPr>
        <w:t xml:space="preserve"> and their family</w:t>
      </w:r>
      <w:r w:rsidRPr="00C4094A">
        <w:rPr>
          <w:color w:val="000000" w:themeColor="text1"/>
        </w:rPr>
        <w:t xml:space="preserve">; </w:t>
      </w:r>
    </w:p>
    <w:p w14:paraId="75422F08" w14:textId="77777777"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c) consider the environment or environments in which education support services will be delivered; and </w:t>
      </w:r>
    </w:p>
    <w:p w14:paraId="07134669" w14:textId="77777777" w:rsidR="00283CE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d) take into account the participant’s injury-related needs and their ability to perform or be assisted with tasks. </w:t>
      </w:r>
    </w:p>
    <w:p w14:paraId="585E1366" w14:textId="77777777" w:rsidR="002632BD" w:rsidRDefault="002632BD" w:rsidP="002632BD">
      <w:pPr>
        <w:pStyle w:val="ListParagraph"/>
        <w:tabs>
          <w:tab w:val="left" w:pos="1843"/>
        </w:tabs>
        <w:spacing w:line="360" w:lineRule="auto"/>
        <w:ind w:left="1843" w:right="391" w:hanging="283"/>
        <w:rPr>
          <w:color w:val="000000" w:themeColor="text1"/>
        </w:rPr>
      </w:pPr>
    </w:p>
    <w:p w14:paraId="0980F168" w14:textId="29B6C440" w:rsidR="00283CEA" w:rsidRPr="00C4094A" w:rsidRDefault="00283CEA" w:rsidP="00D02C04">
      <w:pPr>
        <w:pStyle w:val="ListParagraph"/>
        <w:keepNext/>
        <w:keepLines/>
        <w:tabs>
          <w:tab w:val="left" w:pos="1183"/>
          <w:tab w:val="left" w:pos="1184"/>
        </w:tabs>
        <w:spacing w:line="360" w:lineRule="auto"/>
        <w:ind w:left="1183" w:right="545" w:hanging="567"/>
        <w:rPr>
          <w:color w:val="000000" w:themeColor="text1"/>
        </w:rPr>
      </w:pPr>
      <w:r w:rsidRPr="00C4094A">
        <w:rPr>
          <w:color w:val="000000" w:themeColor="text1"/>
        </w:rPr>
        <w:lastRenderedPageBreak/>
        <w:t xml:space="preserve">2.2 </w:t>
      </w:r>
      <w:r w:rsidR="0036772C" w:rsidRPr="00C4094A">
        <w:rPr>
          <w:color w:val="000000" w:themeColor="text1"/>
        </w:rPr>
        <w:tab/>
      </w:r>
      <w:r w:rsidRPr="00C4094A">
        <w:rPr>
          <w:color w:val="000000" w:themeColor="text1"/>
        </w:rPr>
        <w:t xml:space="preserve">Information required by </w:t>
      </w:r>
      <w:r w:rsidR="00BE7E48" w:rsidRPr="00C4094A">
        <w:rPr>
          <w:color w:val="000000" w:themeColor="text1"/>
        </w:rPr>
        <w:t xml:space="preserve">the LTCS Commissioner </w:t>
      </w:r>
      <w:r w:rsidRPr="00C4094A">
        <w:rPr>
          <w:color w:val="000000" w:themeColor="text1"/>
        </w:rPr>
        <w:t xml:space="preserve">to </w:t>
      </w:r>
      <w:r w:rsidR="00CC31E3" w:rsidRPr="00C4094A">
        <w:rPr>
          <w:color w:val="000000" w:themeColor="text1"/>
        </w:rPr>
        <w:t>make an assessment</w:t>
      </w:r>
      <w:r w:rsidRPr="00C4094A">
        <w:rPr>
          <w:color w:val="000000" w:themeColor="text1"/>
        </w:rPr>
        <w:t xml:space="preserve"> may include one or more of the following types of information: </w:t>
      </w:r>
    </w:p>
    <w:p w14:paraId="32B9CC4B" w14:textId="71F59FD6" w:rsidR="00283CEA" w:rsidRPr="00C4094A" w:rsidRDefault="00283CEA" w:rsidP="002632BD">
      <w:pPr>
        <w:pStyle w:val="ListParagraph"/>
        <w:tabs>
          <w:tab w:val="left" w:pos="1701"/>
        </w:tabs>
        <w:spacing w:line="360" w:lineRule="auto"/>
        <w:ind w:left="1843" w:right="391" w:hanging="283"/>
        <w:rPr>
          <w:color w:val="000000" w:themeColor="text1"/>
        </w:rPr>
      </w:pPr>
      <w:r w:rsidRPr="00C4094A">
        <w:rPr>
          <w:color w:val="000000" w:themeColor="text1"/>
        </w:rPr>
        <w:t>a) relationship to the motor accident</w:t>
      </w:r>
      <w:r w:rsidR="00660F9F" w:rsidRPr="00C4094A">
        <w:rPr>
          <w:color w:val="000000" w:themeColor="text1"/>
        </w:rPr>
        <w:t xml:space="preserve"> </w:t>
      </w:r>
      <w:r w:rsidR="00E96D3E" w:rsidRPr="00C4094A">
        <w:rPr>
          <w:color w:val="000000" w:themeColor="text1"/>
        </w:rPr>
        <w:t xml:space="preserve">injury </w:t>
      </w:r>
      <w:r w:rsidR="00660F9F" w:rsidRPr="00C4094A">
        <w:rPr>
          <w:color w:val="000000" w:themeColor="text1"/>
        </w:rPr>
        <w:t>or work</w:t>
      </w:r>
      <w:r w:rsidRPr="00C4094A">
        <w:rPr>
          <w:color w:val="000000" w:themeColor="text1"/>
        </w:rPr>
        <w:t xml:space="preserve"> injury, including nature and severity of injury; </w:t>
      </w:r>
    </w:p>
    <w:p w14:paraId="1CDF24DA" w14:textId="77777777" w:rsidR="00283CEA" w:rsidRPr="00C4094A" w:rsidRDefault="00283CEA" w:rsidP="002632BD">
      <w:pPr>
        <w:pStyle w:val="ListParagraph"/>
        <w:tabs>
          <w:tab w:val="left" w:pos="1701"/>
        </w:tabs>
        <w:spacing w:line="360" w:lineRule="auto"/>
        <w:ind w:left="1843" w:right="391" w:hanging="283"/>
        <w:rPr>
          <w:color w:val="000000" w:themeColor="text1"/>
        </w:rPr>
      </w:pPr>
      <w:r w:rsidRPr="00C4094A">
        <w:rPr>
          <w:color w:val="000000" w:themeColor="text1"/>
        </w:rPr>
        <w:t xml:space="preserve">b) the participant's pre-accident development and learning history; </w:t>
      </w:r>
    </w:p>
    <w:p w14:paraId="37957D3D" w14:textId="3B4A6471" w:rsidR="00283CEA" w:rsidRPr="00C4094A" w:rsidRDefault="00283CEA" w:rsidP="002632BD">
      <w:pPr>
        <w:pStyle w:val="ListParagraph"/>
        <w:tabs>
          <w:tab w:val="left" w:pos="1701"/>
        </w:tabs>
        <w:spacing w:line="360" w:lineRule="auto"/>
        <w:ind w:left="1843" w:right="391" w:hanging="283"/>
        <w:rPr>
          <w:color w:val="000000" w:themeColor="text1"/>
        </w:rPr>
      </w:pPr>
      <w:r w:rsidRPr="00C4094A">
        <w:rPr>
          <w:color w:val="000000" w:themeColor="text1"/>
        </w:rPr>
        <w:t>c) services which the participant accessed, was on the waiting list for, or was assessed as requiring prior to the motor accident</w:t>
      </w:r>
      <w:r w:rsidR="00D32A33" w:rsidRPr="00C4094A">
        <w:rPr>
          <w:color w:val="000000" w:themeColor="text1"/>
        </w:rPr>
        <w:t xml:space="preserve"> </w:t>
      </w:r>
      <w:r w:rsidR="00E96D3E" w:rsidRPr="00C4094A">
        <w:rPr>
          <w:color w:val="000000" w:themeColor="text1"/>
        </w:rPr>
        <w:t xml:space="preserve">injury </w:t>
      </w:r>
      <w:r w:rsidR="00D32A33" w:rsidRPr="00C4094A">
        <w:rPr>
          <w:color w:val="000000" w:themeColor="text1"/>
        </w:rPr>
        <w:t>or work injury</w:t>
      </w:r>
      <w:r w:rsidRPr="00C4094A">
        <w:rPr>
          <w:color w:val="000000" w:themeColor="text1"/>
        </w:rPr>
        <w:t xml:space="preserve">; </w:t>
      </w:r>
    </w:p>
    <w:p w14:paraId="7CF24FEB" w14:textId="394B6317" w:rsidR="00283CEA" w:rsidRPr="00C4094A" w:rsidRDefault="00283CEA" w:rsidP="002632BD">
      <w:pPr>
        <w:pStyle w:val="ListParagraph"/>
        <w:tabs>
          <w:tab w:val="left" w:pos="1701"/>
        </w:tabs>
        <w:spacing w:line="360" w:lineRule="auto"/>
        <w:ind w:left="1843" w:right="391" w:hanging="283"/>
        <w:rPr>
          <w:color w:val="000000" w:themeColor="text1"/>
        </w:rPr>
      </w:pPr>
      <w:r w:rsidRPr="00C4094A">
        <w:rPr>
          <w:color w:val="000000" w:themeColor="text1"/>
        </w:rPr>
        <w:t>d) pre-</w:t>
      </w:r>
      <w:r w:rsidR="00CC31E3" w:rsidRPr="00C4094A">
        <w:rPr>
          <w:color w:val="000000" w:themeColor="text1"/>
        </w:rPr>
        <w:t>existing</w:t>
      </w:r>
      <w:r w:rsidRPr="00C4094A">
        <w:rPr>
          <w:color w:val="000000" w:themeColor="text1"/>
        </w:rPr>
        <w:t xml:space="preserve"> or co-existing conditions that may also give rise to a need for education support services, to ensure a holistic approach to care provision; </w:t>
      </w:r>
    </w:p>
    <w:p w14:paraId="76F0E480" w14:textId="63938A6A" w:rsidR="00283CEA" w:rsidRPr="00C4094A" w:rsidRDefault="00283CEA" w:rsidP="002632BD">
      <w:pPr>
        <w:pStyle w:val="ListParagraph"/>
        <w:tabs>
          <w:tab w:val="left" w:pos="1701"/>
        </w:tabs>
        <w:spacing w:line="360" w:lineRule="auto"/>
        <w:ind w:left="1843" w:right="391" w:hanging="283"/>
        <w:rPr>
          <w:color w:val="000000" w:themeColor="text1"/>
        </w:rPr>
      </w:pPr>
      <w:r w:rsidRPr="00C4094A">
        <w:rPr>
          <w:color w:val="000000" w:themeColor="text1"/>
        </w:rPr>
        <w:t xml:space="preserve">e) </w:t>
      </w:r>
      <w:r w:rsidR="00CC31E3" w:rsidRPr="00C4094A">
        <w:rPr>
          <w:color w:val="000000" w:themeColor="text1"/>
        </w:rPr>
        <w:t>evidence that demonstrates</w:t>
      </w:r>
      <w:r w:rsidRPr="00C4094A">
        <w:rPr>
          <w:color w:val="000000" w:themeColor="text1"/>
        </w:rPr>
        <w:t xml:space="preserve"> the participant's ability to engage in education and training </w:t>
      </w:r>
      <w:r w:rsidR="00A90D76" w:rsidRPr="00C4094A">
        <w:rPr>
          <w:color w:val="000000" w:themeColor="text1"/>
        </w:rPr>
        <w:t xml:space="preserve">has changed </w:t>
      </w:r>
      <w:r w:rsidRPr="00C4094A">
        <w:rPr>
          <w:color w:val="000000" w:themeColor="text1"/>
        </w:rPr>
        <w:t xml:space="preserve">as a result of their motor accident </w:t>
      </w:r>
      <w:r w:rsidR="00E96D3E" w:rsidRPr="00C4094A">
        <w:rPr>
          <w:color w:val="000000" w:themeColor="text1"/>
        </w:rPr>
        <w:t xml:space="preserve">injury </w:t>
      </w:r>
      <w:r w:rsidR="00660F9F" w:rsidRPr="00C4094A">
        <w:rPr>
          <w:color w:val="000000" w:themeColor="text1"/>
        </w:rPr>
        <w:t xml:space="preserve">or work </w:t>
      </w:r>
      <w:r w:rsidRPr="00C4094A">
        <w:rPr>
          <w:color w:val="000000" w:themeColor="text1"/>
        </w:rPr>
        <w:t xml:space="preserve">injury; </w:t>
      </w:r>
    </w:p>
    <w:p w14:paraId="127B05B4" w14:textId="70E72674" w:rsidR="00283CEA" w:rsidRPr="00C4094A" w:rsidRDefault="00283CEA" w:rsidP="002632BD">
      <w:pPr>
        <w:pStyle w:val="ListParagraph"/>
        <w:tabs>
          <w:tab w:val="left" w:pos="1701"/>
        </w:tabs>
        <w:spacing w:line="360" w:lineRule="auto"/>
        <w:ind w:left="1843" w:right="391" w:hanging="283"/>
        <w:rPr>
          <w:color w:val="000000" w:themeColor="text1"/>
        </w:rPr>
      </w:pPr>
      <w:r w:rsidRPr="00C4094A">
        <w:rPr>
          <w:color w:val="000000" w:themeColor="text1"/>
        </w:rPr>
        <w:t xml:space="preserve">f) relation to other treatment and care needs under </w:t>
      </w:r>
      <w:r w:rsidR="00BE7E48" w:rsidRPr="00C4094A">
        <w:rPr>
          <w:color w:val="000000" w:themeColor="text1"/>
        </w:rPr>
        <w:t>Part 5</w:t>
      </w:r>
      <w:r w:rsidRPr="00C4094A">
        <w:rPr>
          <w:color w:val="000000" w:themeColor="text1"/>
        </w:rPr>
        <w:t xml:space="preserve"> of the Act, such as rehabilitation and attendant care services;</w:t>
      </w:r>
    </w:p>
    <w:p w14:paraId="693FDB1D" w14:textId="18F281B6" w:rsidR="00283CEA" w:rsidRPr="00C4094A" w:rsidRDefault="00283CEA" w:rsidP="002632BD">
      <w:pPr>
        <w:pStyle w:val="ListParagraph"/>
        <w:tabs>
          <w:tab w:val="left" w:pos="1701"/>
        </w:tabs>
        <w:spacing w:line="360" w:lineRule="auto"/>
        <w:ind w:left="1843" w:right="391" w:hanging="283"/>
        <w:rPr>
          <w:color w:val="000000" w:themeColor="text1"/>
        </w:rPr>
      </w:pPr>
      <w:r w:rsidRPr="00C4094A">
        <w:rPr>
          <w:color w:val="000000" w:themeColor="text1"/>
        </w:rPr>
        <w:t xml:space="preserve">g) the status or outcome of any application for assistance through the applicable state or </w:t>
      </w:r>
      <w:r w:rsidR="0084787F" w:rsidRPr="00C4094A">
        <w:rPr>
          <w:color w:val="000000" w:themeColor="text1"/>
          <w:lang w:val="en-AU"/>
        </w:rPr>
        <w:t>commonwealth</w:t>
      </w:r>
      <w:r w:rsidRPr="00C4094A">
        <w:rPr>
          <w:color w:val="000000" w:themeColor="text1"/>
        </w:rPr>
        <w:t xml:space="preserve"> legislation administered through the </w:t>
      </w:r>
      <w:r w:rsidR="00BE7E48" w:rsidRPr="00C4094A">
        <w:rPr>
          <w:color w:val="000000" w:themeColor="text1"/>
        </w:rPr>
        <w:t>ACT</w:t>
      </w:r>
      <w:r w:rsidRPr="00C4094A">
        <w:rPr>
          <w:color w:val="000000" w:themeColor="text1"/>
        </w:rPr>
        <w:t xml:space="preserve"> Education</w:t>
      </w:r>
      <w:r w:rsidR="00BE7E48" w:rsidRPr="00C4094A">
        <w:rPr>
          <w:color w:val="000000" w:themeColor="text1"/>
        </w:rPr>
        <w:t xml:space="preserve"> Directorate</w:t>
      </w:r>
      <w:r w:rsidRPr="00C4094A">
        <w:rPr>
          <w:color w:val="000000" w:themeColor="text1"/>
        </w:rPr>
        <w:t xml:space="preserve">, Association of Independent Schools of </w:t>
      </w:r>
      <w:r w:rsidR="00BE7E48" w:rsidRPr="00C4094A">
        <w:rPr>
          <w:color w:val="000000" w:themeColor="text1"/>
        </w:rPr>
        <w:t>the ACT</w:t>
      </w:r>
      <w:r w:rsidRPr="00C4094A">
        <w:rPr>
          <w:color w:val="000000" w:themeColor="text1"/>
        </w:rPr>
        <w:t xml:space="preserve"> or Catholic Education </w:t>
      </w:r>
      <w:r w:rsidR="00B608E0" w:rsidRPr="00C4094A">
        <w:rPr>
          <w:color w:val="000000" w:themeColor="text1"/>
        </w:rPr>
        <w:t xml:space="preserve">Office for the </w:t>
      </w:r>
      <w:r w:rsidR="00BE7E48" w:rsidRPr="00C4094A">
        <w:rPr>
          <w:color w:val="000000" w:themeColor="text1"/>
        </w:rPr>
        <w:t>Archdiocese of Canberra and Goulburn</w:t>
      </w:r>
      <w:r w:rsidRPr="00C4094A">
        <w:rPr>
          <w:color w:val="000000" w:themeColor="text1"/>
        </w:rPr>
        <w:t xml:space="preserve">; </w:t>
      </w:r>
      <w:r w:rsidR="00920CCF" w:rsidRPr="00C4094A">
        <w:rPr>
          <w:color w:val="000000" w:themeColor="text1"/>
        </w:rPr>
        <w:t xml:space="preserve">or equivalent for participants outside of ACT; </w:t>
      </w:r>
      <w:r w:rsidRPr="00C4094A">
        <w:rPr>
          <w:color w:val="000000" w:themeColor="text1"/>
        </w:rPr>
        <w:t xml:space="preserve">and </w:t>
      </w:r>
    </w:p>
    <w:p w14:paraId="51C5E6B0" w14:textId="77777777" w:rsidR="00283CEA" w:rsidRPr="00C4094A" w:rsidRDefault="00283CEA" w:rsidP="002632BD">
      <w:pPr>
        <w:pStyle w:val="ListParagraph"/>
        <w:tabs>
          <w:tab w:val="left" w:pos="1701"/>
        </w:tabs>
        <w:spacing w:line="360" w:lineRule="auto"/>
        <w:ind w:left="1843" w:right="391" w:hanging="283"/>
        <w:rPr>
          <w:color w:val="000000" w:themeColor="text1"/>
        </w:rPr>
      </w:pPr>
      <w:r w:rsidRPr="00C4094A">
        <w:rPr>
          <w:color w:val="000000" w:themeColor="text1"/>
        </w:rPr>
        <w:t xml:space="preserve">h) the justification for the type and level of education support requested and for the provider of the service, where applicable. </w:t>
      </w:r>
    </w:p>
    <w:p w14:paraId="302FD125" w14:textId="6DB81868" w:rsidR="00283CEA" w:rsidRPr="00C4094A" w:rsidRDefault="0036772C" w:rsidP="0036772C">
      <w:pPr>
        <w:pStyle w:val="ListParagraph"/>
        <w:tabs>
          <w:tab w:val="left" w:pos="1183"/>
          <w:tab w:val="left" w:pos="1184"/>
        </w:tabs>
        <w:spacing w:line="360" w:lineRule="auto"/>
        <w:ind w:left="1183" w:right="545" w:hanging="567"/>
        <w:rPr>
          <w:color w:val="000000" w:themeColor="text1"/>
        </w:rPr>
      </w:pPr>
      <w:r w:rsidRPr="00C4094A">
        <w:rPr>
          <w:color w:val="000000" w:themeColor="text1"/>
        </w:rPr>
        <w:t xml:space="preserve">2.3 </w:t>
      </w:r>
      <w:r w:rsidRPr="00C4094A">
        <w:rPr>
          <w:color w:val="000000" w:themeColor="text1"/>
        </w:rPr>
        <w:tab/>
      </w:r>
      <w:r w:rsidR="00A90D76" w:rsidRPr="00C4094A">
        <w:rPr>
          <w:color w:val="000000" w:themeColor="text1"/>
        </w:rPr>
        <w:t>The LTCS Commissioner follows the below</w:t>
      </w:r>
      <w:r w:rsidR="00283CEA" w:rsidRPr="00C4094A">
        <w:rPr>
          <w:color w:val="000000" w:themeColor="text1"/>
        </w:rPr>
        <w:t xml:space="preserve"> procedures when </w:t>
      </w:r>
      <w:r w:rsidR="00A90D76" w:rsidRPr="00C4094A">
        <w:rPr>
          <w:color w:val="000000" w:themeColor="text1"/>
        </w:rPr>
        <w:t>making an assessment:</w:t>
      </w:r>
      <w:r w:rsidR="00283CEA" w:rsidRPr="00C4094A">
        <w:rPr>
          <w:color w:val="000000" w:themeColor="text1"/>
        </w:rPr>
        <w:t xml:space="preserve"> </w:t>
      </w:r>
    </w:p>
    <w:p w14:paraId="35773ECD" w14:textId="77777777"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a) a review of education support needs is to be, where possible, undertaken in the environment or environments in which the education support service will be delivered; and </w:t>
      </w:r>
    </w:p>
    <w:p w14:paraId="3AB10774" w14:textId="2868E024" w:rsidR="00283CEA" w:rsidRPr="002632BD"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b) the duration of any request for education support will be considered in the context of the participant’s injury related needs and stage of rehabilitation</w:t>
      </w:r>
      <w:r w:rsidR="00A90D76" w:rsidRPr="00C4094A">
        <w:rPr>
          <w:i/>
          <w:iCs/>
          <w:color w:val="000000" w:themeColor="text1"/>
        </w:rPr>
        <w:t xml:space="preserve">, </w:t>
      </w:r>
      <w:r w:rsidR="00A90D76" w:rsidRPr="002632BD">
        <w:rPr>
          <w:color w:val="000000" w:themeColor="text1"/>
        </w:rPr>
        <w:t>f</w:t>
      </w:r>
      <w:r w:rsidRPr="002632BD">
        <w:rPr>
          <w:color w:val="000000" w:themeColor="text1"/>
        </w:rPr>
        <w:t xml:space="preserve">or example, requests may be more frequent as a participant returns to school. </w:t>
      </w:r>
    </w:p>
    <w:p w14:paraId="40FBDE81" w14:textId="3F6163A7" w:rsidR="000A3572" w:rsidRPr="00C4094A" w:rsidRDefault="00283CEA" w:rsidP="0084787F">
      <w:pPr>
        <w:pStyle w:val="ListParagraph"/>
        <w:tabs>
          <w:tab w:val="left" w:pos="1182"/>
          <w:tab w:val="left" w:pos="1183"/>
        </w:tabs>
        <w:spacing w:line="362" w:lineRule="auto"/>
        <w:ind w:left="1182" w:right="650" w:hanging="567"/>
      </w:pPr>
      <w:r w:rsidRPr="00C4094A">
        <w:rPr>
          <w:color w:val="000000" w:themeColor="text1"/>
        </w:rPr>
        <w:t xml:space="preserve"> </w:t>
      </w:r>
    </w:p>
    <w:p w14:paraId="537D308C" w14:textId="1993CFC2" w:rsidR="00283CEA" w:rsidRPr="00C4094A" w:rsidRDefault="00283CEA" w:rsidP="000A3572">
      <w:pPr>
        <w:pStyle w:val="Heading2"/>
        <w:tabs>
          <w:tab w:val="left" w:pos="1182"/>
          <w:tab w:val="left" w:pos="1183"/>
        </w:tabs>
        <w:ind w:left="1182"/>
        <w:rPr>
          <w:color w:val="000000" w:themeColor="text1"/>
        </w:rPr>
      </w:pPr>
      <w:r w:rsidRPr="00C4094A">
        <w:rPr>
          <w:color w:val="000000" w:themeColor="text1"/>
        </w:rPr>
        <w:t xml:space="preserve">3 </w:t>
      </w:r>
      <w:r w:rsidR="000A3572" w:rsidRPr="00C4094A">
        <w:rPr>
          <w:color w:val="000000" w:themeColor="text1"/>
        </w:rPr>
        <w:tab/>
      </w:r>
      <w:r w:rsidRPr="00C4094A">
        <w:rPr>
          <w:color w:val="000000" w:themeColor="text1"/>
        </w:rPr>
        <w:t xml:space="preserve">Tutoring </w:t>
      </w:r>
    </w:p>
    <w:p w14:paraId="04BC4D8B" w14:textId="1EF2AD79" w:rsidR="00283CEA" w:rsidRDefault="00283CEA" w:rsidP="0036772C">
      <w:pPr>
        <w:pStyle w:val="ListParagraph"/>
        <w:tabs>
          <w:tab w:val="left" w:pos="1182"/>
          <w:tab w:val="left" w:pos="1183"/>
        </w:tabs>
        <w:spacing w:before="126" w:line="360" w:lineRule="auto"/>
        <w:ind w:left="1182" w:right="479" w:hanging="567"/>
        <w:rPr>
          <w:color w:val="000000" w:themeColor="text1"/>
        </w:rPr>
      </w:pPr>
      <w:r w:rsidRPr="00C4094A">
        <w:rPr>
          <w:color w:val="000000" w:themeColor="text1"/>
        </w:rPr>
        <w:t xml:space="preserve">3.1 </w:t>
      </w:r>
      <w:r w:rsidR="0036772C" w:rsidRPr="00C4094A">
        <w:rPr>
          <w:color w:val="000000" w:themeColor="text1"/>
        </w:rPr>
        <w:tab/>
      </w:r>
      <w:r w:rsidRPr="00C4094A">
        <w:rPr>
          <w:color w:val="000000" w:themeColor="text1"/>
        </w:rPr>
        <w:t xml:space="preserve">Tutoring is a service provided in addition to a school education program, and in conjunction with that program, that provides individual support with a specific subject or specific study skills. Tutoring aims to enable a participant to resume pre-accident level of academic achievement or level consistent with their motor accident </w:t>
      </w:r>
      <w:r w:rsidR="00E96D3E" w:rsidRPr="00C4094A">
        <w:rPr>
          <w:color w:val="000000" w:themeColor="text1"/>
        </w:rPr>
        <w:t xml:space="preserve">injury </w:t>
      </w:r>
      <w:r w:rsidR="00660F9F" w:rsidRPr="00C4094A">
        <w:rPr>
          <w:color w:val="000000" w:themeColor="text1"/>
        </w:rPr>
        <w:t xml:space="preserve">or work </w:t>
      </w:r>
      <w:r w:rsidRPr="00C4094A">
        <w:rPr>
          <w:color w:val="000000" w:themeColor="text1"/>
        </w:rPr>
        <w:t xml:space="preserve">injury. </w:t>
      </w:r>
    </w:p>
    <w:p w14:paraId="022646FA" w14:textId="77777777" w:rsidR="002632BD" w:rsidRPr="00C4094A" w:rsidRDefault="002632BD" w:rsidP="0036772C">
      <w:pPr>
        <w:pStyle w:val="ListParagraph"/>
        <w:tabs>
          <w:tab w:val="left" w:pos="1182"/>
          <w:tab w:val="left" w:pos="1183"/>
        </w:tabs>
        <w:spacing w:before="126" w:line="360" w:lineRule="auto"/>
        <w:ind w:left="1182" w:right="479" w:hanging="567"/>
        <w:rPr>
          <w:color w:val="000000" w:themeColor="text1"/>
        </w:rPr>
      </w:pPr>
    </w:p>
    <w:p w14:paraId="46F78970" w14:textId="77270FA0" w:rsidR="00283CEA" w:rsidRPr="00C4094A" w:rsidRDefault="00283CEA" w:rsidP="00D02C04">
      <w:pPr>
        <w:pStyle w:val="ListParagraph"/>
        <w:keepLines/>
        <w:tabs>
          <w:tab w:val="left" w:pos="1182"/>
          <w:tab w:val="left" w:pos="1183"/>
        </w:tabs>
        <w:spacing w:line="360" w:lineRule="auto"/>
        <w:ind w:left="1179" w:right="476" w:hanging="567"/>
        <w:rPr>
          <w:color w:val="000000" w:themeColor="text1"/>
        </w:rPr>
      </w:pPr>
      <w:r w:rsidRPr="00C4094A">
        <w:rPr>
          <w:color w:val="000000" w:themeColor="text1"/>
        </w:rPr>
        <w:lastRenderedPageBreak/>
        <w:t xml:space="preserve">3.2 </w:t>
      </w:r>
      <w:r w:rsidR="0036772C" w:rsidRPr="00C4094A">
        <w:rPr>
          <w:color w:val="000000" w:themeColor="text1"/>
        </w:rPr>
        <w:tab/>
      </w:r>
      <w:r w:rsidRPr="00C4094A">
        <w:rPr>
          <w:color w:val="000000" w:themeColor="text1"/>
        </w:rPr>
        <w:t xml:space="preserve">Tutoring, as an education support service, will be considered reasonable and necessary when: </w:t>
      </w:r>
    </w:p>
    <w:p w14:paraId="21607384" w14:textId="694CFF7A" w:rsidR="00283CEA" w:rsidRPr="00C4094A" w:rsidRDefault="00283CEA" w:rsidP="002632BD">
      <w:pPr>
        <w:pStyle w:val="ListParagraph"/>
        <w:spacing w:line="360" w:lineRule="auto"/>
        <w:ind w:left="1843" w:right="391" w:hanging="283"/>
        <w:rPr>
          <w:color w:val="000000" w:themeColor="text1"/>
        </w:rPr>
      </w:pPr>
      <w:r w:rsidRPr="00C4094A">
        <w:rPr>
          <w:color w:val="000000" w:themeColor="text1"/>
        </w:rPr>
        <w:t>a) it relates to a specific need for education support as a direct result of the motor accident</w:t>
      </w:r>
      <w:r w:rsidR="00660F9F" w:rsidRPr="00C4094A">
        <w:rPr>
          <w:color w:val="000000" w:themeColor="text1"/>
        </w:rPr>
        <w:t xml:space="preserve"> </w:t>
      </w:r>
      <w:r w:rsidR="00E96D3E" w:rsidRPr="00C4094A">
        <w:rPr>
          <w:color w:val="000000" w:themeColor="text1"/>
        </w:rPr>
        <w:t xml:space="preserve">injury </w:t>
      </w:r>
      <w:r w:rsidR="00660F9F" w:rsidRPr="00C4094A">
        <w:rPr>
          <w:color w:val="000000" w:themeColor="text1"/>
        </w:rPr>
        <w:t>or work</w:t>
      </w:r>
      <w:r w:rsidRPr="00C4094A">
        <w:rPr>
          <w:color w:val="000000" w:themeColor="text1"/>
        </w:rPr>
        <w:t xml:space="preserve"> injury; </w:t>
      </w:r>
    </w:p>
    <w:p w14:paraId="0C3C6307" w14:textId="77777777" w:rsidR="00283CEA" w:rsidRPr="00C4094A" w:rsidRDefault="00283CEA" w:rsidP="002632BD">
      <w:pPr>
        <w:pStyle w:val="ListParagraph"/>
        <w:spacing w:line="360" w:lineRule="auto"/>
        <w:ind w:left="1843" w:right="391" w:hanging="283"/>
        <w:rPr>
          <w:color w:val="000000" w:themeColor="text1"/>
        </w:rPr>
      </w:pPr>
      <w:r w:rsidRPr="00C4094A">
        <w:rPr>
          <w:color w:val="000000" w:themeColor="text1"/>
        </w:rPr>
        <w:t xml:space="preserve">b) it is expected to promote a participant’s independence in the education setting; </w:t>
      </w:r>
    </w:p>
    <w:p w14:paraId="03AFAF61" w14:textId="77777777" w:rsidR="00283CEA" w:rsidRPr="00C4094A" w:rsidRDefault="00283CEA" w:rsidP="002632BD">
      <w:pPr>
        <w:pStyle w:val="ListParagraph"/>
        <w:spacing w:line="360" w:lineRule="auto"/>
        <w:ind w:left="1843" w:right="391" w:hanging="283"/>
        <w:rPr>
          <w:color w:val="000000" w:themeColor="text1"/>
        </w:rPr>
      </w:pPr>
      <w:r w:rsidRPr="00C4094A">
        <w:rPr>
          <w:color w:val="000000" w:themeColor="text1"/>
        </w:rPr>
        <w:t xml:space="preserve">c) is identified as the most effective approach after adjustments and strategies implemented by the education facility have been considered; </w:t>
      </w:r>
    </w:p>
    <w:p w14:paraId="05E7D9AF" w14:textId="77777777" w:rsidR="00283CEA" w:rsidRPr="00C4094A" w:rsidRDefault="00283CEA" w:rsidP="002632BD">
      <w:pPr>
        <w:pStyle w:val="ListParagraph"/>
        <w:spacing w:line="360" w:lineRule="auto"/>
        <w:ind w:left="1843" w:right="391" w:hanging="283"/>
        <w:rPr>
          <w:color w:val="000000" w:themeColor="text1"/>
        </w:rPr>
      </w:pPr>
      <w:r w:rsidRPr="00C4094A">
        <w:rPr>
          <w:color w:val="000000" w:themeColor="text1"/>
        </w:rPr>
        <w:t xml:space="preserve">d) the service will enable the achievement of measurable learning outcomes and educational goals; and </w:t>
      </w:r>
    </w:p>
    <w:p w14:paraId="2A96BFF4" w14:textId="77777777" w:rsidR="00283CEA" w:rsidRPr="00C4094A" w:rsidRDefault="00283CEA" w:rsidP="002632BD">
      <w:pPr>
        <w:pStyle w:val="ListParagraph"/>
        <w:spacing w:line="360" w:lineRule="auto"/>
        <w:ind w:left="1843" w:right="391" w:hanging="283"/>
        <w:rPr>
          <w:color w:val="000000" w:themeColor="text1"/>
        </w:rPr>
      </w:pPr>
      <w:r w:rsidRPr="00C4094A">
        <w:rPr>
          <w:color w:val="000000" w:themeColor="text1"/>
        </w:rPr>
        <w:t xml:space="preserve">e) the service complements other education support services provided and other specialist services such as neuropsychology, psychology, speech pathology and occupational therapy. </w:t>
      </w:r>
    </w:p>
    <w:p w14:paraId="744EC203" w14:textId="0F6CA3F6" w:rsidR="00283CEA" w:rsidRPr="00C4094A" w:rsidRDefault="00283CEA" w:rsidP="003A7123">
      <w:pPr>
        <w:pStyle w:val="ListParagraph"/>
        <w:tabs>
          <w:tab w:val="left" w:pos="1182"/>
          <w:tab w:val="left" w:pos="1183"/>
        </w:tabs>
        <w:spacing w:line="360" w:lineRule="auto"/>
        <w:ind w:left="1179" w:right="476" w:hanging="567"/>
        <w:rPr>
          <w:color w:val="000000" w:themeColor="text1"/>
        </w:rPr>
      </w:pPr>
      <w:r w:rsidRPr="00C4094A">
        <w:rPr>
          <w:color w:val="000000" w:themeColor="text1"/>
        </w:rPr>
        <w:t xml:space="preserve">3.3 </w:t>
      </w:r>
      <w:r w:rsidR="0036772C" w:rsidRPr="00C4094A">
        <w:rPr>
          <w:color w:val="000000" w:themeColor="text1"/>
        </w:rPr>
        <w:tab/>
      </w:r>
      <w:r w:rsidR="00CC35E4" w:rsidRPr="00C4094A">
        <w:rPr>
          <w:color w:val="000000" w:themeColor="text1"/>
        </w:rPr>
        <w:t xml:space="preserve">The LTCS Commissioner considers tutoring </w:t>
      </w:r>
      <w:r w:rsidRPr="00C4094A">
        <w:rPr>
          <w:color w:val="000000" w:themeColor="text1"/>
        </w:rPr>
        <w:t xml:space="preserve">does not include tasks that are the responsibility of a parent or guardian such as supervising homework, helping access </w:t>
      </w:r>
      <w:r w:rsidR="00CC35E4" w:rsidRPr="00C4094A">
        <w:rPr>
          <w:color w:val="000000" w:themeColor="text1"/>
        </w:rPr>
        <w:t xml:space="preserve">project materials or </w:t>
      </w:r>
      <w:r w:rsidRPr="00C4094A">
        <w:rPr>
          <w:color w:val="000000" w:themeColor="text1"/>
        </w:rPr>
        <w:t>other resources</w:t>
      </w:r>
      <w:r w:rsidR="00CC35E4" w:rsidRPr="00C4094A">
        <w:rPr>
          <w:color w:val="000000" w:themeColor="text1"/>
        </w:rPr>
        <w:t>.</w:t>
      </w:r>
      <w:r w:rsidRPr="00C4094A">
        <w:rPr>
          <w:color w:val="000000" w:themeColor="text1"/>
        </w:rPr>
        <w:t xml:space="preserve"> </w:t>
      </w:r>
    </w:p>
    <w:p w14:paraId="0C75ED25" w14:textId="2C027C9C" w:rsidR="00283CEA" w:rsidRPr="00C4094A" w:rsidRDefault="00283CEA" w:rsidP="003A7123">
      <w:pPr>
        <w:pStyle w:val="ListParagraph"/>
        <w:tabs>
          <w:tab w:val="left" w:pos="1182"/>
          <w:tab w:val="left" w:pos="1183"/>
        </w:tabs>
        <w:spacing w:line="360" w:lineRule="auto"/>
        <w:ind w:left="1179" w:right="476" w:hanging="567"/>
        <w:rPr>
          <w:color w:val="000000" w:themeColor="text1"/>
        </w:rPr>
      </w:pPr>
      <w:r w:rsidRPr="00C4094A">
        <w:rPr>
          <w:color w:val="000000" w:themeColor="text1"/>
        </w:rPr>
        <w:t xml:space="preserve">3.4 </w:t>
      </w:r>
      <w:r w:rsidR="0036772C" w:rsidRPr="00C4094A">
        <w:rPr>
          <w:color w:val="000000" w:themeColor="text1"/>
        </w:rPr>
        <w:tab/>
      </w:r>
      <w:r w:rsidRPr="00C4094A">
        <w:rPr>
          <w:color w:val="000000" w:themeColor="text1"/>
        </w:rPr>
        <w:t>To determine whether a participant’s need for tutoring is reasonable and necessary in the circumstances, the</w:t>
      </w:r>
      <w:r w:rsidR="00CC35E4" w:rsidRPr="00C4094A">
        <w:rPr>
          <w:color w:val="000000" w:themeColor="text1"/>
        </w:rPr>
        <w:t xml:space="preserve"> LTCS Commissioner considers</w:t>
      </w:r>
      <w:r w:rsidRPr="00C4094A">
        <w:rPr>
          <w:color w:val="000000" w:themeColor="text1"/>
        </w:rPr>
        <w:t xml:space="preserve"> </w:t>
      </w:r>
      <w:r w:rsidR="00CC35E4" w:rsidRPr="00C4094A">
        <w:rPr>
          <w:color w:val="000000" w:themeColor="text1"/>
        </w:rPr>
        <w:t xml:space="preserve">the </w:t>
      </w:r>
      <w:r w:rsidRPr="00C4094A">
        <w:rPr>
          <w:color w:val="000000" w:themeColor="text1"/>
        </w:rPr>
        <w:t>following factors are relevant:</w:t>
      </w:r>
    </w:p>
    <w:p w14:paraId="365C3F8D" w14:textId="77777777"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a) evidence that additional fatigue and/or anxiety for the participant has been considered; </w:t>
      </w:r>
    </w:p>
    <w:p w14:paraId="0BFED766" w14:textId="77777777"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b) whether the service is subject specific and linked to the curriculum; </w:t>
      </w:r>
    </w:p>
    <w:p w14:paraId="4A9A08FE" w14:textId="77777777"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c) whether the service supports the goals and outcomes of the participant’s individual learning plan; </w:t>
      </w:r>
    </w:p>
    <w:p w14:paraId="1257E72C" w14:textId="77777777"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d) whether the content is personalised for the participant and delivered one to one or in small groups; </w:t>
      </w:r>
    </w:p>
    <w:p w14:paraId="514C2FDE" w14:textId="77777777"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e) whether sessions are scheduled outside regular class hours; </w:t>
      </w:r>
    </w:p>
    <w:p w14:paraId="72D529EB" w14:textId="77777777"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f) whether the provider of the service has knowledge of the curriculum, subject content and current teaching practice; </w:t>
      </w:r>
    </w:p>
    <w:p w14:paraId="76B60724" w14:textId="77777777"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g) whether the provider is able to provide outcome measurements and/or progress reports as required; and </w:t>
      </w:r>
    </w:p>
    <w:p w14:paraId="403CEA23" w14:textId="123AAD94" w:rsidR="00283CEA" w:rsidRPr="00C4094A" w:rsidRDefault="00283CEA" w:rsidP="002632BD">
      <w:pPr>
        <w:pStyle w:val="ListParagraph"/>
        <w:tabs>
          <w:tab w:val="left" w:pos="1843"/>
        </w:tabs>
        <w:spacing w:line="360" w:lineRule="auto"/>
        <w:ind w:left="1843" w:right="391" w:hanging="283"/>
        <w:rPr>
          <w:color w:val="000000" w:themeColor="text1"/>
        </w:rPr>
      </w:pPr>
      <w:r w:rsidRPr="00C4094A">
        <w:rPr>
          <w:color w:val="000000" w:themeColor="text1"/>
        </w:rPr>
        <w:t xml:space="preserve">h) whether the service is time limited. </w:t>
      </w:r>
    </w:p>
    <w:p w14:paraId="7021CA0C" w14:textId="5B5132E8" w:rsidR="00480452" w:rsidRPr="00C4094A" w:rsidRDefault="00480452" w:rsidP="00695890">
      <w:pPr>
        <w:pStyle w:val="ListParagraph"/>
        <w:tabs>
          <w:tab w:val="left" w:pos="1468"/>
        </w:tabs>
        <w:spacing w:line="360" w:lineRule="auto"/>
        <w:ind w:left="1463" w:right="391" w:hanging="284"/>
        <w:rPr>
          <w:color w:val="000000" w:themeColor="text1"/>
        </w:rPr>
      </w:pPr>
    </w:p>
    <w:tbl>
      <w:tblPr>
        <w:tblStyle w:val="TableGrid"/>
        <w:tblW w:w="0" w:type="auto"/>
        <w:tblInd w:w="1129" w:type="dxa"/>
        <w:tblLook w:val="04A0" w:firstRow="1" w:lastRow="0" w:firstColumn="1" w:lastColumn="0" w:noHBand="0" w:noVBand="1"/>
      </w:tblPr>
      <w:tblGrid>
        <w:gridCol w:w="4045"/>
        <w:gridCol w:w="4597"/>
      </w:tblGrid>
      <w:tr w:rsidR="00480452" w:rsidRPr="00C4094A" w14:paraId="60A3E0F6" w14:textId="77777777" w:rsidTr="00920CCF">
        <w:tc>
          <w:tcPr>
            <w:tcW w:w="87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CCECC3" w14:textId="77777777" w:rsidR="00480452" w:rsidRPr="00C4094A" w:rsidRDefault="00480452">
            <w:pPr>
              <w:rPr>
                <w:b/>
                <w:bCs/>
              </w:rPr>
            </w:pPr>
            <w:r w:rsidRPr="00C4094A">
              <w:rPr>
                <w:b/>
                <w:bCs/>
              </w:rPr>
              <w:t>Applicable provisions of the LTCS Act</w:t>
            </w:r>
          </w:p>
        </w:tc>
      </w:tr>
      <w:tr w:rsidR="00480452" w:rsidRPr="00C4094A" w14:paraId="58FEA679" w14:textId="77777777" w:rsidTr="00920CCF">
        <w:tc>
          <w:tcPr>
            <w:tcW w:w="4111"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9FA1B55" w14:textId="35223BC4" w:rsidR="00480452" w:rsidRPr="00C4094A" w:rsidRDefault="00480452">
            <w:r w:rsidRPr="00C4094A">
              <w:t>Part 9 - LTCS Guidelines</w:t>
            </w:r>
          </w:p>
        </w:tc>
        <w:tc>
          <w:tcPr>
            <w:tcW w:w="467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AF736D0" w14:textId="77777777" w:rsidR="00480452" w:rsidRPr="00C4094A" w:rsidRDefault="00480452">
            <w:r w:rsidRPr="00C4094A">
              <w:t>LTCS Act reference</w:t>
            </w:r>
          </w:p>
        </w:tc>
      </w:tr>
      <w:tr w:rsidR="00480452" w14:paraId="0BECBCEE" w14:textId="77777777" w:rsidTr="00920CCF">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4552CA" w14:textId="44C6F414" w:rsidR="00480452" w:rsidRPr="00C4094A" w:rsidRDefault="00480452">
            <w:r w:rsidRPr="00C4094A">
              <w:t>Education support services</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85D943" w14:textId="77777777" w:rsidR="00480452" w:rsidRDefault="00480452">
            <w:r w:rsidRPr="00C4094A">
              <w:t>Sections 9, 23</w:t>
            </w:r>
            <w:r>
              <w:t xml:space="preserve">  </w:t>
            </w:r>
          </w:p>
        </w:tc>
      </w:tr>
    </w:tbl>
    <w:p w14:paraId="551AD48F" w14:textId="77777777" w:rsidR="00480452" w:rsidRPr="0036772C" w:rsidRDefault="00480452" w:rsidP="00695890">
      <w:pPr>
        <w:pStyle w:val="ListParagraph"/>
        <w:tabs>
          <w:tab w:val="left" w:pos="1468"/>
        </w:tabs>
        <w:spacing w:line="360" w:lineRule="auto"/>
        <w:ind w:left="1463" w:right="391" w:hanging="284"/>
        <w:rPr>
          <w:color w:val="000000" w:themeColor="text1"/>
        </w:rPr>
      </w:pPr>
    </w:p>
    <w:sectPr w:rsidR="00480452" w:rsidRPr="0036772C" w:rsidSect="008E5187">
      <w:footerReference w:type="first" r:id="rId14"/>
      <w:pgSz w:w="11906" w:h="16838" w:code="9"/>
      <w:pgMar w:top="1276" w:right="1558" w:bottom="851" w:left="567" w:header="720" w:footer="5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67EC" w14:textId="77777777" w:rsidR="001C5007" w:rsidRDefault="001C5007" w:rsidP="00281BE0">
      <w:pPr>
        <w:spacing w:after="0" w:line="240" w:lineRule="auto"/>
      </w:pPr>
      <w:r>
        <w:separator/>
      </w:r>
    </w:p>
  </w:endnote>
  <w:endnote w:type="continuationSeparator" w:id="0">
    <w:p w14:paraId="0CBBD00C" w14:textId="77777777" w:rsidR="001C5007" w:rsidRDefault="001C5007" w:rsidP="0028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EB60" w14:textId="3E36B95A" w:rsidR="00B07023" w:rsidRDefault="00B07023">
    <w:pPr>
      <w:pStyle w:val="Footer"/>
    </w:pPr>
    <w:r>
      <w:rPr>
        <w:noProof/>
      </w:rPr>
      <mc:AlternateContent>
        <mc:Choice Requires="wps">
          <w:drawing>
            <wp:anchor distT="0" distB="0" distL="0" distR="0" simplePos="0" relativeHeight="251658243" behindDoc="0" locked="0" layoutInCell="1" allowOverlap="1" wp14:anchorId="54718F48" wp14:editId="3707F356">
              <wp:simplePos x="635" y="635"/>
              <wp:positionH relativeFrom="page">
                <wp:align>center</wp:align>
              </wp:positionH>
              <wp:positionV relativeFrom="page">
                <wp:align>bottom</wp:align>
              </wp:positionV>
              <wp:extent cx="643255" cy="424815"/>
              <wp:effectExtent l="0" t="0" r="4445" b="0"/>
              <wp:wrapNone/>
              <wp:docPr id="14610798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43AA76A" w14:textId="193568FF" w:rsidR="00B07023" w:rsidRPr="00B07023" w:rsidRDefault="00B07023" w:rsidP="00B07023">
                          <w:pPr>
                            <w:spacing w:after="0"/>
                            <w:rPr>
                              <w:rFonts w:ascii="Calibri" w:eastAsia="Calibri" w:hAnsi="Calibri" w:cs="Calibri"/>
                              <w:noProof/>
                              <w:color w:val="FF0000"/>
                              <w:sz w:val="28"/>
                              <w:szCs w:val="28"/>
                            </w:rPr>
                          </w:pPr>
                          <w:r w:rsidRPr="00B07023">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18F48" id="_x0000_t202" coordsize="21600,21600" o:spt="202" path="m,l,21600r21600,l21600,xe">
              <v:stroke joinstyle="miter"/>
              <v:path gradientshapeok="t" o:connecttype="rect"/>
            </v:shapetype>
            <v:shape id="Text Box 5" o:spid="_x0000_s1027"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" filled="f" stroked="f">
              <v:textbox style="mso-fit-shape-to-text:t" inset="0,0,0,15pt">
                <w:txbxContent>
                  <w:p w14:paraId="443AA76A" w14:textId="193568FF" w:rsidR="00B07023" w:rsidRPr="00B07023" w:rsidRDefault="00B07023" w:rsidP="00B07023">
                    <w:pPr>
                      <w:spacing w:after="0"/>
                      <w:rPr>
                        <w:rFonts w:ascii="Calibri" w:eastAsia="Calibri" w:hAnsi="Calibri" w:cs="Calibri"/>
                        <w:noProof/>
                        <w:color w:val="FF0000"/>
                        <w:sz w:val="28"/>
                        <w:szCs w:val="28"/>
                      </w:rPr>
                    </w:pPr>
                    <w:r w:rsidRPr="00B07023">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38949"/>
      <w:docPartObj>
        <w:docPartGallery w:val="Page Numbers (Bottom of Page)"/>
        <w:docPartUnique/>
      </w:docPartObj>
    </w:sdtPr>
    <w:sdtEndPr>
      <w:rPr>
        <w:noProof/>
      </w:rPr>
    </w:sdtEndPr>
    <w:sdtContent>
      <w:p w14:paraId="0D963083" w14:textId="212393B1" w:rsidR="008E5187" w:rsidRDefault="008E51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2232AE" w14:textId="038E609D" w:rsidR="00921A2D" w:rsidRPr="00985727" w:rsidRDefault="00985727" w:rsidP="00985727">
    <w:pPr>
      <w:pStyle w:val="Footer"/>
      <w:spacing w:before="120"/>
      <w:jc w:val="center"/>
      <w:rPr>
        <w:rFonts w:ascii="Arial" w:hAnsi="Arial" w:cs="Arial"/>
        <w:sz w:val="14"/>
        <w:szCs w:val="14"/>
      </w:rPr>
    </w:pPr>
    <w:r w:rsidRPr="00985727">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40A1" w14:textId="56113C37" w:rsidR="00CA225C" w:rsidRPr="00921A2D" w:rsidRDefault="00921A2D" w:rsidP="00921A2D">
    <w:pPr>
      <w:pStyle w:val="Footer"/>
      <w:rPr>
        <w:rFonts w:ascii="Arial" w:hAnsi="Arial" w:cs="Arial"/>
        <w:sz w:val="18"/>
      </w:rPr>
    </w:pPr>
    <w:r w:rsidRPr="00921A2D">
      <w:rPr>
        <w:rFonts w:ascii="Arial" w:hAnsi="Arial" w:cs="Arial"/>
        <w:sz w:val="18"/>
      </w:rPr>
      <w:t>*Name amended under Legislation Act, s 60</w:t>
    </w:r>
  </w:p>
  <w:p w14:paraId="787009A7" w14:textId="0842BE62" w:rsidR="00CA225C" w:rsidRPr="00985727" w:rsidRDefault="00985727" w:rsidP="00985727">
    <w:pPr>
      <w:pStyle w:val="Footer"/>
      <w:tabs>
        <w:tab w:val="clear" w:pos="4513"/>
        <w:tab w:val="clear" w:pos="9026"/>
      </w:tabs>
      <w:spacing w:before="120"/>
      <w:jc w:val="center"/>
      <w:rPr>
        <w:rFonts w:ascii="Arial" w:hAnsi="Arial" w:cs="Arial"/>
        <w:sz w:val="14"/>
        <w:szCs w:val="18"/>
      </w:rPr>
    </w:pPr>
    <w:r w:rsidRPr="00985727">
      <w:rPr>
        <w:rFonts w:ascii="Arial" w:hAnsi="Arial" w:cs="Arial"/>
        <w:sz w:val="14"/>
        <w:szCs w:val="18"/>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223728"/>
      <w:docPartObj>
        <w:docPartGallery w:val="Page Numbers (Bottom of Page)"/>
        <w:docPartUnique/>
      </w:docPartObj>
    </w:sdtPr>
    <w:sdtEndPr>
      <w:rPr>
        <w:noProof/>
      </w:rPr>
    </w:sdtEndPr>
    <w:sdtContent>
      <w:p w14:paraId="1E2EEFD2" w14:textId="32FE6137" w:rsidR="008E5187" w:rsidRDefault="008E51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81085" w14:textId="588CB11F" w:rsidR="00CA225C" w:rsidRPr="00D02C04" w:rsidRDefault="00CA225C" w:rsidP="008E5187">
    <w:pPr>
      <w:pStyle w:val="Footer"/>
      <w:spacing w:before="12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1C39" w14:textId="77777777" w:rsidR="001C5007" w:rsidRDefault="001C5007" w:rsidP="00281BE0">
      <w:pPr>
        <w:spacing w:after="0" w:line="240" w:lineRule="auto"/>
      </w:pPr>
      <w:r>
        <w:separator/>
      </w:r>
    </w:p>
  </w:footnote>
  <w:footnote w:type="continuationSeparator" w:id="0">
    <w:p w14:paraId="49AF77CD" w14:textId="77777777" w:rsidR="001C5007" w:rsidRDefault="001C5007" w:rsidP="00281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0234" w14:textId="4F48AE64" w:rsidR="00B07023" w:rsidRDefault="00B07023">
    <w:pPr>
      <w:pStyle w:val="Header"/>
    </w:pPr>
    <w:r>
      <w:rPr>
        <w:noProof/>
      </w:rPr>
      <mc:AlternateContent>
        <mc:Choice Requires="wps">
          <w:drawing>
            <wp:anchor distT="0" distB="0" distL="0" distR="0" simplePos="0" relativeHeight="251658241" behindDoc="0" locked="0" layoutInCell="1" allowOverlap="1" wp14:anchorId="32571B01" wp14:editId="280D61D9">
              <wp:simplePos x="635" y="635"/>
              <wp:positionH relativeFrom="page">
                <wp:align>center</wp:align>
              </wp:positionH>
              <wp:positionV relativeFrom="page">
                <wp:align>top</wp:align>
              </wp:positionV>
              <wp:extent cx="643255" cy="424815"/>
              <wp:effectExtent l="0" t="0" r="4445" b="13335"/>
              <wp:wrapNone/>
              <wp:docPr id="697052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BD91896" w14:textId="02911DDE" w:rsidR="00B07023" w:rsidRPr="00B07023" w:rsidRDefault="00B07023" w:rsidP="00B07023">
                          <w:pPr>
                            <w:spacing w:after="0"/>
                            <w:rPr>
                              <w:rFonts w:ascii="Calibri" w:eastAsia="Calibri" w:hAnsi="Calibri" w:cs="Calibri"/>
                              <w:noProof/>
                              <w:color w:val="FF0000"/>
                              <w:sz w:val="28"/>
                              <w:szCs w:val="28"/>
                            </w:rPr>
                          </w:pPr>
                          <w:r w:rsidRPr="00B0702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71B01"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6BD91896" w14:textId="02911DDE" w:rsidR="00B07023" w:rsidRPr="00B07023" w:rsidRDefault="00B07023" w:rsidP="00B07023">
                    <w:pPr>
                      <w:spacing w:after="0"/>
                      <w:rPr>
                        <w:rFonts w:ascii="Calibri" w:eastAsia="Calibri" w:hAnsi="Calibri" w:cs="Calibri"/>
                        <w:noProof/>
                        <w:color w:val="FF0000"/>
                        <w:sz w:val="28"/>
                        <w:szCs w:val="28"/>
                      </w:rPr>
                    </w:pPr>
                    <w:r w:rsidRPr="00B0702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B7AF" w14:textId="77777777" w:rsidR="00985727" w:rsidRDefault="00985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1657" w14:textId="77777777" w:rsidR="00985727" w:rsidRDefault="009857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EA"/>
    <w:rsid w:val="00015D80"/>
    <w:rsid w:val="00033A8E"/>
    <w:rsid w:val="0004186B"/>
    <w:rsid w:val="000748B9"/>
    <w:rsid w:val="000969FF"/>
    <w:rsid w:val="000A00C8"/>
    <w:rsid w:val="000A3572"/>
    <w:rsid w:val="000B2F81"/>
    <w:rsid w:val="00107C73"/>
    <w:rsid w:val="00134FF5"/>
    <w:rsid w:val="00183749"/>
    <w:rsid w:val="0018406A"/>
    <w:rsid w:val="001B1FF8"/>
    <w:rsid w:val="001C5007"/>
    <w:rsid w:val="002011C1"/>
    <w:rsid w:val="002032D6"/>
    <w:rsid w:val="00233656"/>
    <w:rsid w:val="00236FAF"/>
    <w:rsid w:val="002370A0"/>
    <w:rsid w:val="002632BD"/>
    <w:rsid w:val="00271282"/>
    <w:rsid w:val="00281BE0"/>
    <w:rsid w:val="00283438"/>
    <w:rsid w:val="00283CEA"/>
    <w:rsid w:val="002A2959"/>
    <w:rsid w:val="002E2B33"/>
    <w:rsid w:val="002F1C8E"/>
    <w:rsid w:val="00302D87"/>
    <w:rsid w:val="00313BCA"/>
    <w:rsid w:val="00322B6C"/>
    <w:rsid w:val="00344306"/>
    <w:rsid w:val="00347C18"/>
    <w:rsid w:val="00354CAB"/>
    <w:rsid w:val="0036772C"/>
    <w:rsid w:val="003A7123"/>
    <w:rsid w:val="003C301D"/>
    <w:rsid w:val="004144E5"/>
    <w:rsid w:val="00473EC2"/>
    <w:rsid w:val="00480452"/>
    <w:rsid w:val="004A250F"/>
    <w:rsid w:val="004A72C8"/>
    <w:rsid w:val="004F3783"/>
    <w:rsid w:val="00527E78"/>
    <w:rsid w:val="00542D70"/>
    <w:rsid w:val="00550502"/>
    <w:rsid w:val="00564899"/>
    <w:rsid w:val="00581200"/>
    <w:rsid w:val="00581B84"/>
    <w:rsid w:val="005837E4"/>
    <w:rsid w:val="00590768"/>
    <w:rsid w:val="005935B1"/>
    <w:rsid w:val="005D0D2A"/>
    <w:rsid w:val="005F295B"/>
    <w:rsid w:val="006360A2"/>
    <w:rsid w:val="0064784D"/>
    <w:rsid w:val="00660F9F"/>
    <w:rsid w:val="00695890"/>
    <w:rsid w:val="006A303F"/>
    <w:rsid w:val="00704946"/>
    <w:rsid w:val="007344B8"/>
    <w:rsid w:val="00780436"/>
    <w:rsid w:val="0078715D"/>
    <w:rsid w:val="00787ED7"/>
    <w:rsid w:val="007C5DFF"/>
    <w:rsid w:val="007E543A"/>
    <w:rsid w:val="00801630"/>
    <w:rsid w:val="00805801"/>
    <w:rsid w:val="00806376"/>
    <w:rsid w:val="00807CF0"/>
    <w:rsid w:val="00831B00"/>
    <w:rsid w:val="0084787F"/>
    <w:rsid w:val="008910E2"/>
    <w:rsid w:val="008C59C3"/>
    <w:rsid w:val="008C67DE"/>
    <w:rsid w:val="008E5187"/>
    <w:rsid w:val="008F23E9"/>
    <w:rsid w:val="009005EE"/>
    <w:rsid w:val="0090190A"/>
    <w:rsid w:val="00920CCF"/>
    <w:rsid w:val="00921A2D"/>
    <w:rsid w:val="00985727"/>
    <w:rsid w:val="009B055B"/>
    <w:rsid w:val="00A27577"/>
    <w:rsid w:val="00A42EAE"/>
    <w:rsid w:val="00A90D76"/>
    <w:rsid w:val="00AB3F44"/>
    <w:rsid w:val="00AE3EF2"/>
    <w:rsid w:val="00B07023"/>
    <w:rsid w:val="00B11B9A"/>
    <w:rsid w:val="00B361A6"/>
    <w:rsid w:val="00B442DF"/>
    <w:rsid w:val="00B47350"/>
    <w:rsid w:val="00B53DE1"/>
    <w:rsid w:val="00B608E0"/>
    <w:rsid w:val="00BE3029"/>
    <w:rsid w:val="00BE7E48"/>
    <w:rsid w:val="00C4094A"/>
    <w:rsid w:val="00C55C2B"/>
    <w:rsid w:val="00C60794"/>
    <w:rsid w:val="00C633DC"/>
    <w:rsid w:val="00CA225C"/>
    <w:rsid w:val="00CC31E3"/>
    <w:rsid w:val="00CC35E4"/>
    <w:rsid w:val="00CD0ED5"/>
    <w:rsid w:val="00D02C04"/>
    <w:rsid w:val="00D32A33"/>
    <w:rsid w:val="00D336A7"/>
    <w:rsid w:val="00D86360"/>
    <w:rsid w:val="00DA1918"/>
    <w:rsid w:val="00DA7AE1"/>
    <w:rsid w:val="00E00B9A"/>
    <w:rsid w:val="00E16B55"/>
    <w:rsid w:val="00E46FA7"/>
    <w:rsid w:val="00E50BBB"/>
    <w:rsid w:val="00E96D3E"/>
    <w:rsid w:val="00EA1B7C"/>
    <w:rsid w:val="00EC27C2"/>
    <w:rsid w:val="00EC6E74"/>
    <w:rsid w:val="00F72ED8"/>
    <w:rsid w:val="00F9551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A1ABB"/>
  <w15:chartTrackingRefBased/>
  <w15:docId w15:val="{91E5F534-96FF-4EB1-87FA-0F52B6AA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4CAB"/>
    <w:pPr>
      <w:widowControl w:val="0"/>
      <w:autoSpaceDE w:val="0"/>
      <w:autoSpaceDN w:val="0"/>
      <w:spacing w:before="71" w:after="0" w:line="240" w:lineRule="auto"/>
      <w:ind w:left="472"/>
      <w:outlineLvl w:val="0"/>
    </w:pPr>
    <w:rPr>
      <w:rFonts w:ascii="Arial" w:eastAsia="Arial" w:hAnsi="Arial" w:cs="Arial"/>
      <w:b/>
      <w:bCs/>
      <w:sz w:val="28"/>
      <w:szCs w:val="28"/>
      <w:lang w:val="en-US" w:eastAsia="en-US"/>
    </w:rPr>
  </w:style>
  <w:style w:type="paragraph" w:styleId="Heading2">
    <w:name w:val="heading 2"/>
    <w:basedOn w:val="Normal"/>
    <w:link w:val="Heading2Char"/>
    <w:uiPriority w:val="9"/>
    <w:unhideWhenUsed/>
    <w:qFormat/>
    <w:rsid w:val="00354CAB"/>
    <w:pPr>
      <w:widowControl w:val="0"/>
      <w:autoSpaceDE w:val="0"/>
      <w:autoSpaceDN w:val="0"/>
      <w:spacing w:after="0" w:line="240" w:lineRule="auto"/>
      <w:ind w:left="1038" w:hanging="567"/>
      <w:outlineLvl w:val="1"/>
    </w:pPr>
    <w:rPr>
      <w:rFonts w:ascii="Arial" w:eastAsia="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72C8"/>
    <w:rPr>
      <w:sz w:val="16"/>
      <w:szCs w:val="16"/>
    </w:rPr>
  </w:style>
  <w:style w:type="paragraph" w:styleId="CommentText">
    <w:name w:val="annotation text"/>
    <w:basedOn w:val="Normal"/>
    <w:link w:val="CommentTextChar"/>
    <w:uiPriority w:val="99"/>
    <w:unhideWhenUsed/>
    <w:rsid w:val="004A72C8"/>
    <w:pPr>
      <w:spacing w:line="240" w:lineRule="auto"/>
    </w:pPr>
    <w:rPr>
      <w:sz w:val="20"/>
      <w:szCs w:val="20"/>
    </w:rPr>
  </w:style>
  <w:style w:type="character" w:customStyle="1" w:styleId="CommentTextChar">
    <w:name w:val="Comment Text Char"/>
    <w:basedOn w:val="DefaultParagraphFont"/>
    <w:link w:val="CommentText"/>
    <w:uiPriority w:val="99"/>
    <w:rsid w:val="004A72C8"/>
    <w:rPr>
      <w:sz w:val="20"/>
      <w:szCs w:val="20"/>
    </w:rPr>
  </w:style>
  <w:style w:type="paragraph" w:styleId="CommentSubject">
    <w:name w:val="annotation subject"/>
    <w:basedOn w:val="CommentText"/>
    <w:next w:val="CommentText"/>
    <w:link w:val="CommentSubjectChar"/>
    <w:uiPriority w:val="99"/>
    <w:semiHidden/>
    <w:unhideWhenUsed/>
    <w:rsid w:val="004A72C8"/>
    <w:rPr>
      <w:b/>
      <w:bCs/>
    </w:rPr>
  </w:style>
  <w:style w:type="character" w:customStyle="1" w:styleId="CommentSubjectChar">
    <w:name w:val="Comment Subject Char"/>
    <w:basedOn w:val="CommentTextChar"/>
    <w:link w:val="CommentSubject"/>
    <w:uiPriority w:val="99"/>
    <w:semiHidden/>
    <w:rsid w:val="004A72C8"/>
    <w:rPr>
      <w:b/>
      <w:bCs/>
      <w:sz w:val="20"/>
      <w:szCs w:val="20"/>
    </w:rPr>
  </w:style>
  <w:style w:type="paragraph" w:styleId="Revision">
    <w:name w:val="Revision"/>
    <w:hidden/>
    <w:uiPriority w:val="99"/>
    <w:semiHidden/>
    <w:rsid w:val="00BE3029"/>
    <w:pPr>
      <w:spacing w:after="0" w:line="240" w:lineRule="auto"/>
    </w:pPr>
  </w:style>
  <w:style w:type="character" w:customStyle="1" w:styleId="Heading1Char">
    <w:name w:val="Heading 1 Char"/>
    <w:basedOn w:val="DefaultParagraphFont"/>
    <w:link w:val="Heading1"/>
    <w:uiPriority w:val="9"/>
    <w:rsid w:val="00354CAB"/>
    <w:rPr>
      <w:rFonts w:ascii="Arial" w:eastAsia="Arial" w:hAnsi="Arial" w:cs="Arial"/>
      <w:b/>
      <w:bCs/>
      <w:sz w:val="28"/>
      <w:szCs w:val="28"/>
      <w:lang w:val="en-US" w:eastAsia="en-US"/>
    </w:rPr>
  </w:style>
  <w:style w:type="character" w:customStyle="1" w:styleId="Heading2Char">
    <w:name w:val="Heading 2 Char"/>
    <w:basedOn w:val="DefaultParagraphFont"/>
    <w:link w:val="Heading2"/>
    <w:uiPriority w:val="9"/>
    <w:rsid w:val="00354CAB"/>
    <w:rPr>
      <w:rFonts w:ascii="Arial" w:eastAsia="Arial" w:hAnsi="Arial" w:cs="Arial"/>
      <w:b/>
      <w:bCs/>
      <w:lang w:val="en-US" w:eastAsia="en-US"/>
    </w:rPr>
  </w:style>
  <w:style w:type="paragraph" w:styleId="ListParagraph">
    <w:name w:val="List Paragraph"/>
    <w:basedOn w:val="Normal"/>
    <w:uiPriority w:val="1"/>
    <w:qFormat/>
    <w:rsid w:val="00354CAB"/>
    <w:pPr>
      <w:widowControl w:val="0"/>
      <w:autoSpaceDE w:val="0"/>
      <w:autoSpaceDN w:val="0"/>
      <w:spacing w:after="0" w:line="240" w:lineRule="auto"/>
      <w:ind w:left="1324" w:hanging="286"/>
    </w:pPr>
    <w:rPr>
      <w:rFonts w:ascii="Arial" w:eastAsia="Arial" w:hAnsi="Arial" w:cs="Arial"/>
      <w:lang w:val="en-US" w:eastAsia="en-US"/>
    </w:rPr>
  </w:style>
  <w:style w:type="paragraph" w:styleId="Header">
    <w:name w:val="header"/>
    <w:basedOn w:val="Normal"/>
    <w:link w:val="HeaderChar"/>
    <w:uiPriority w:val="99"/>
    <w:unhideWhenUsed/>
    <w:rsid w:val="00281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BE0"/>
  </w:style>
  <w:style w:type="paragraph" w:styleId="Footer">
    <w:name w:val="footer"/>
    <w:basedOn w:val="Normal"/>
    <w:link w:val="FooterChar"/>
    <w:uiPriority w:val="99"/>
    <w:unhideWhenUsed/>
    <w:rsid w:val="00281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BE0"/>
  </w:style>
  <w:style w:type="table" w:styleId="TableGrid">
    <w:name w:val="Table Grid"/>
    <w:basedOn w:val="TableNormal"/>
    <w:uiPriority w:val="39"/>
    <w:rsid w:val="00480452"/>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BBB"/>
    <w:rPr>
      <w:rFonts w:ascii="Segoe UI" w:hAnsi="Segoe UI" w:cs="Segoe UI"/>
      <w:sz w:val="18"/>
      <w:szCs w:val="18"/>
    </w:rPr>
  </w:style>
  <w:style w:type="paragraph" w:customStyle="1" w:styleId="Billname">
    <w:name w:val="Billname"/>
    <w:basedOn w:val="Normal"/>
    <w:rsid w:val="00CA225C"/>
    <w:pPr>
      <w:tabs>
        <w:tab w:val="left" w:pos="2400"/>
        <w:tab w:val="left" w:pos="2880"/>
      </w:tabs>
      <w:spacing w:before="1220" w:after="100" w:line="240" w:lineRule="auto"/>
    </w:pPr>
    <w:rPr>
      <w:rFonts w:ascii="Arial" w:eastAsia="Times New Roman" w:hAnsi="Arial" w:cs="Times New Roman"/>
      <w:b/>
      <w:sz w:val="40"/>
      <w:szCs w:val="20"/>
      <w:lang w:eastAsia="en-US"/>
    </w:rPr>
  </w:style>
  <w:style w:type="paragraph" w:customStyle="1" w:styleId="N-line3">
    <w:name w:val="N-line3"/>
    <w:basedOn w:val="Normal"/>
    <w:next w:val="Normal"/>
    <w:rsid w:val="00CA225C"/>
    <w:pPr>
      <w:pBdr>
        <w:bottom w:val="single" w:sz="12" w:space="1" w:color="auto"/>
      </w:pBdr>
      <w:spacing w:after="0" w:line="240" w:lineRule="auto"/>
      <w:jc w:val="both"/>
    </w:pPr>
    <w:rPr>
      <w:rFonts w:ascii="Times New Roman" w:eastAsia="Times New Roman" w:hAnsi="Times New Roman" w:cs="Times New Roman"/>
      <w:sz w:val="24"/>
      <w:szCs w:val="20"/>
      <w:lang w:eastAsia="en-US"/>
    </w:rPr>
  </w:style>
  <w:style w:type="paragraph" w:customStyle="1" w:styleId="madeunder">
    <w:name w:val="made under"/>
    <w:basedOn w:val="Normal"/>
    <w:rsid w:val="00CA225C"/>
    <w:pPr>
      <w:spacing w:before="180" w:after="60" w:line="240" w:lineRule="auto"/>
      <w:jc w:val="both"/>
    </w:pPr>
    <w:rPr>
      <w:rFonts w:ascii="Times New Roman" w:eastAsia="Times New Roman" w:hAnsi="Times New Roman" w:cs="Times New Roman"/>
      <w:sz w:val="24"/>
      <w:szCs w:val="20"/>
      <w:lang w:eastAsia="en-US"/>
    </w:rPr>
  </w:style>
  <w:style w:type="paragraph" w:customStyle="1" w:styleId="CoverActName">
    <w:name w:val="CoverActName"/>
    <w:basedOn w:val="Normal"/>
    <w:rsid w:val="00CA225C"/>
    <w:pPr>
      <w:tabs>
        <w:tab w:val="left" w:pos="2600"/>
      </w:tabs>
      <w:spacing w:before="200" w:after="60" w:line="240" w:lineRule="auto"/>
      <w:jc w:val="both"/>
    </w:pPr>
    <w:rPr>
      <w:rFonts w:ascii="Arial" w:eastAsia="Times New Roman" w:hAnsi="Arial" w:cs="Times New Roman"/>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28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D6F44DE13D43874559B11D483039" ma:contentTypeVersion="19" ma:contentTypeDescription="Create a new document." ma:contentTypeScope="" ma:versionID="2bb23ffd28bab362185285139b4bb7ca">
  <xsd:schema xmlns:xsd="http://www.w3.org/2001/XMLSchema" xmlns:xs="http://www.w3.org/2001/XMLSchema" xmlns:p="http://schemas.microsoft.com/office/2006/metadata/properties" xmlns:ns2="5278da6d-2d8f-43d6-9406-9737b433a9b1" xmlns:ns3="d7a9ddf5-0873-4750-8447-e8362dc90ac1" targetNamespace="http://schemas.microsoft.com/office/2006/metadata/properties" ma:root="true" ma:fieldsID="9edc3194ef14d19d9f63e9e989eddb17" ns2:_="" ns3:_="">
    <xsd:import namespace="5278da6d-2d8f-43d6-9406-9737b433a9b1"/>
    <xsd:import namespace="d7a9ddf5-0873-4750-8447-e8362dc90a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8da6d-2d8f-43d6-9406-9737b433a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ddf5-0873-4750-8447-e8362dc90a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fb7ea7-e277-4fff-aaf6-5cbf9cff6069}" ma:internalName="TaxCatchAll" ma:showField="CatchAllData" ma:web="d7a9ddf5-0873-4750-8447-e8362dc90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A4F50-C9DB-4AB2-B19F-CD035E341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8da6d-2d8f-43d6-9406-9737b433a9b1"/>
    <ds:schemaRef ds:uri="d7a9ddf5-0873-4750-8447-e8362dc9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0BAD6-351E-4B1F-9522-05D3F2ABD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1808</Words>
  <Characters>10155</Characters>
  <Application>Microsoft Office Word</Application>
  <DocSecurity>0</DocSecurity>
  <Lines>216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2025-10-22T01:10:00Z</dcterms:created>
  <dcterms:modified xsi:type="dcterms:W3CDTF">2025-10-22T01:10:00Z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2025-09-09T05:36:14Z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1328b54d-584a-4741-9970-b1620ed5176b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ontentTypeId">
    <vt:lpwstr>0x010100B8A0D6F44DE13D43874559B11D483039</vt:lpwstr>
  </property>
  <property fmtid="{D5CDD505-2E9C-101B-9397-08002B2CF9AE}" pid="11" name="MediaServiceImageTags">
    <vt:lpwstr/>
  </property>
  <property fmtid="{D5CDD505-2E9C-101B-9397-08002B2CF9AE}" pid="12" name="ClassificationContentMarkingHeaderShapeIds">
    <vt:lpwstr>680fad71,4279e2f,365105b4</vt:lpwstr>
  </property>
  <property fmtid="{D5CDD505-2E9C-101B-9397-08002B2CF9AE}" pid="13" name="ClassificationContentMarkingHeaderFontProps">
    <vt:lpwstr>#ff0000,14,Calibri</vt:lpwstr>
  </property>
  <property fmtid="{D5CDD505-2E9C-101B-9397-08002B2CF9AE}" pid="14" name="ClassificationContentMarkingHeaderText">
    <vt:lpwstr>OFFICIAL</vt:lpwstr>
  </property>
  <property fmtid="{D5CDD505-2E9C-101B-9397-08002B2CF9AE}" pid="15" name="ClassificationContentMarkingFooterShapeIds">
    <vt:lpwstr>2d376479,57164f4c,946b073</vt:lpwstr>
  </property>
  <property fmtid="{D5CDD505-2E9C-101B-9397-08002B2CF9AE}" pid="16" name="ClassificationContentMarkingFooterFontProps">
    <vt:lpwstr>#ff0000,14,Calibri</vt:lpwstr>
  </property>
  <property fmtid="{D5CDD505-2E9C-101B-9397-08002B2CF9AE}" pid="17" name="ClassificationContentMarkingFooterText">
    <vt:lpwstr>OFFICIAL</vt:lpwstr>
  </property>
  <property fmtid="{D5CDD505-2E9C-101B-9397-08002B2CF9AE}" pid="18" name="MSIP_Label_bb9b66d2-3d65-440a-b8f5-ec17a745f5ea_Enabled">
    <vt:lpwstr>true</vt:lpwstr>
  </property>
  <property fmtid="{D5CDD505-2E9C-101B-9397-08002B2CF9AE}" pid="19" name="MSIP_Label_bb9b66d2-3d65-440a-b8f5-ec17a745f5ea_SetDate">
    <vt:lpwstr>2025-09-24T06:10:53Z</vt:lpwstr>
  </property>
  <property fmtid="{D5CDD505-2E9C-101B-9397-08002B2CF9AE}" pid="20" name="MSIP_Label_bb9b66d2-3d65-440a-b8f5-ec17a745f5ea_Method">
    <vt:lpwstr>Standard</vt:lpwstr>
  </property>
  <property fmtid="{D5CDD505-2E9C-101B-9397-08002B2CF9AE}" pid="21" name="MSIP_Label_bb9b66d2-3d65-440a-b8f5-ec17a745f5ea_Name">
    <vt:lpwstr>OFFICIAL</vt:lpwstr>
  </property>
  <property fmtid="{D5CDD505-2E9C-101B-9397-08002B2CF9AE}" pid="22" name="MSIP_Label_bb9b66d2-3d65-440a-b8f5-ec17a745f5ea_SiteId">
    <vt:lpwstr>34ae0514-4eb5-4608-8b64-b002d2054238</vt:lpwstr>
  </property>
  <property fmtid="{D5CDD505-2E9C-101B-9397-08002B2CF9AE}" pid="23" name="MSIP_Label_bb9b66d2-3d65-440a-b8f5-ec17a745f5ea_ActionId">
    <vt:lpwstr>585f714e-b7fa-40f4-939a-bd644606743f</vt:lpwstr>
  </property>
  <property fmtid="{D5CDD505-2E9C-101B-9397-08002B2CF9AE}" pid="24" name="MSIP_Label_bb9b66d2-3d65-440a-b8f5-ec17a745f5ea_ContentBits">
    <vt:lpwstr>3</vt:lpwstr>
  </property>
  <property fmtid="{D5CDD505-2E9C-101B-9397-08002B2CF9AE}" pid="25" name="MSIP_Label_bb9b66d2-3d65-440a-b8f5-ec17a745f5ea_Tag">
    <vt:lpwstr>10, 3, 0, 1</vt:lpwstr>
  </property>
  <property fmtid="{D5CDD505-2E9C-101B-9397-08002B2CF9AE}" pid="26" name="CHECKEDOUTFROMJMS">
    <vt:lpwstr/>
  </property>
  <property fmtid="{D5CDD505-2E9C-101B-9397-08002B2CF9AE}" pid="27" name="DMSID">
    <vt:lpwstr>14899217</vt:lpwstr>
  </property>
  <property fmtid="{D5CDD505-2E9C-101B-9397-08002B2CF9AE}" pid="28" name="JMSREQUIREDCHECKIN">
    <vt:lpwstr/>
  </property>
</Properties>
</file>