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F64BE" w14:textId="77777777" w:rsidR="00FB34A6" w:rsidRPr="00FB34A6" w:rsidRDefault="00FB34A6" w:rsidP="00FB34A6">
      <w:pPr>
        <w:spacing w:before="120"/>
        <w:rPr>
          <w:sz w:val="24"/>
          <w:szCs w:val="24"/>
        </w:rPr>
      </w:pPr>
      <w:bookmarkStart w:id="0" w:name="_Toc44738651"/>
      <w:bookmarkStart w:id="1" w:name="_Hlk92187184"/>
      <w:r w:rsidRPr="00FB34A6">
        <w:rPr>
          <w:sz w:val="24"/>
          <w:szCs w:val="24"/>
        </w:rPr>
        <w:t>Australian Capital Territory</w:t>
      </w:r>
    </w:p>
    <w:p w14:paraId="3EB879AE" w14:textId="397089B6" w:rsidR="00FB34A6" w:rsidRPr="009974E4" w:rsidRDefault="00C40F26" w:rsidP="00FB34A6">
      <w:pPr>
        <w:pStyle w:val="Billname"/>
        <w:spacing w:before="700"/>
        <w:rPr>
          <w:sz w:val="36"/>
          <w:szCs w:val="36"/>
        </w:rPr>
      </w:pPr>
      <w:r w:rsidRPr="00C40F26">
        <w:rPr>
          <w:bCs/>
          <w:sz w:val="36"/>
          <w:szCs w:val="36"/>
        </w:rPr>
        <w:t>Lifetime Care and Support (Catastrophic Injuries) Pro</w:t>
      </w:r>
      <w:r w:rsidR="005247A8">
        <w:rPr>
          <w:bCs/>
          <w:sz w:val="36"/>
          <w:szCs w:val="36"/>
        </w:rPr>
        <w:t>s</w:t>
      </w:r>
      <w:r w:rsidRPr="00C40F26">
        <w:rPr>
          <w:bCs/>
          <w:sz w:val="36"/>
          <w:szCs w:val="36"/>
        </w:rPr>
        <w:t>theses Guidelines 2025</w:t>
      </w:r>
      <w:r>
        <w:rPr>
          <w:bCs/>
          <w:sz w:val="36"/>
          <w:szCs w:val="36"/>
        </w:rPr>
        <w:t>*</w:t>
      </w:r>
    </w:p>
    <w:p w14:paraId="4620EBF1" w14:textId="3BCB2493" w:rsidR="00FB34A6" w:rsidRDefault="00FB34A6" w:rsidP="00FB34A6">
      <w:pPr>
        <w:spacing w:before="340"/>
        <w:rPr>
          <w:b/>
          <w:bCs/>
        </w:rPr>
      </w:pPr>
      <w:r>
        <w:rPr>
          <w:b/>
          <w:bCs/>
        </w:rPr>
        <w:t xml:space="preserve">Disallowable instrument </w:t>
      </w:r>
      <w:r w:rsidRPr="00584503">
        <w:rPr>
          <w:b/>
          <w:bCs/>
          <w:color w:val="000000" w:themeColor="text1"/>
        </w:rPr>
        <w:t>DI</w:t>
      </w:r>
      <w:r w:rsidRPr="00584503">
        <w:rPr>
          <w:b/>
          <w:bCs/>
          <w:iCs/>
          <w:color w:val="000000" w:themeColor="text1"/>
        </w:rPr>
        <w:t>2025</w:t>
      </w:r>
      <w:r>
        <w:rPr>
          <w:b/>
          <w:bCs/>
          <w:iCs/>
          <w:color w:val="FF0000"/>
        </w:rPr>
        <w:t xml:space="preserve"> </w:t>
      </w:r>
      <w:r>
        <w:rPr>
          <w:b/>
          <w:bCs/>
        </w:rPr>
        <w:t>–</w:t>
      </w:r>
      <w:r w:rsidR="00BE42CC">
        <w:rPr>
          <w:b/>
          <w:bCs/>
        </w:rPr>
        <w:t xml:space="preserve"> 278</w:t>
      </w:r>
    </w:p>
    <w:p w14:paraId="78084D52" w14:textId="77777777" w:rsidR="00FB34A6" w:rsidRDefault="00FB34A6" w:rsidP="00FB34A6">
      <w:pPr>
        <w:pStyle w:val="madeunder"/>
        <w:spacing w:before="300" w:after="0"/>
      </w:pPr>
      <w:r>
        <w:t xml:space="preserve">made under the  </w:t>
      </w:r>
    </w:p>
    <w:p w14:paraId="718B3BA5" w14:textId="77777777" w:rsidR="00FB34A6" w:rsidRDefault="00FB34A6" w:rsidP="00FB34A6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Lifetime Care and Support (Catastrophic Injuries) Act 2014, section 93 (LTCS guidelines)</w:t>
      </w:r>
    </w:p>
    <w:p w14:paraId="057C28B3" w14:textId="77777777" w:rsidR="00FB34A6" w:rsidRDefault="00FB34A6" w:rsidP="00FB34A6">
      <w:pPr>
        <w:pStyle w:val="N-line3"/>
        <w:pBdr>
          <w:bottom w:val="none" w:sz="0" w:space="0" w:color="auto"/>
        </w:pBdr>
        <w:spacing w:before="60"/>
      </w:pPr>
    </w:p>
    <w:p w14:paraId="073202F8" w14:textId="77777777" w:rsidR="00FB34A6" w:rsidRDefault="00FB34A6" w:rsidP="00FB34A6">
      <w:pPr>
        <w:pStyle w:val="N-line3"/>
        <w:pBdr>
          <w:top w:val="single" w:sz="12" w:space="1" w:color="auto"/>
          <w:bottom w:val="none" w:sz="0" w:space="0" w:color="auto"/>
        </w:pBdr>
      </w:pPr>
    </w:p>
    <w:p w14:paraId="24A89074" w14:textId="77777777" w:rsidR="00FB34A6" w:rsidRPr="00FB34A6" w:rsidRDefault="00FB34A6" w:rsidP="00FB34A6">
      <w:pPr>
        <w:spacing w:before="60" w:after="60"/>
        <w:ind w:left="720" w:hanging="720"/>
        <w:rPr>
          <w:b/>
          <w:bCs/>
          <w:sz w:val="24"/>
          <w:szCs w:val="24"/>
        </w:rPr>
      </w:pPr>
      <w:r w:rsidRPr="00FB34A6">
        <w:rPr>
          <w:b/>
          <w:bCs/>
          <w:sz w:val="24"/>
          <w:szCs w:val="24"/>
        </w:rPr>
        <w:t>1</w:t>
      </w:r>
      <w:r w:rsidRPr="00FB34A6">
        <w:rPr>
          <w:b/>
          <w:bCs/>
          <w:sz w:val="24"/>
          <w:szCs w:val="24"/>
        </w:rPr>
        <w:tab/>
        <w:t>Name of instrument</w:t>
      </w:r>
    </w:p>
    <w:p w14:paraId="71BA79FF" w14:textId="2D5FE2EF" w:rsidR="00FB34A6" w:rsidRPr="00FB34A6" w:rsidRDefault="00FB34A6" w:rsidP="00FB34A6">
      <w:pPr>
        <w:spacing w:before="140"/>
        <w:ind w:left="720"/>
        <w:rPr>
          <w:i/>
          <w:iCs/>
          <w:sz w:val="24"/>
          <w:szCs w:val="24"/>
        </w:rPr>
      </w:pPr>
      <w:r w:rsidRPr="00FB34A6">
        <w:rPr>
          <w:sz w:val="24"/>
          <w:szCs w:val="24"/>
        </w:rPr>
        <w:t xml:space="preserve">This instrument is the </w:t>
      </w:r>
      <w:r w:rsidR="00C40F26" w:rsidRPr="00C40F26">
        <w:rPr>
          <w:i/>
          <w:iCs/>
          <w:sz w:val="24"/>
          <w:szCs w:val="24"/>
        </w:rPr>
        <w:t>Lifetime Care and Support (Catastrophic Injuries) Pro</w:t>
      </w:r>
      <w:r w:rsidR="005247A8">
        <w:rPr>
          <w:i/>
          <w:iCs/>
          <w:sz w:val="24"/>
          <w:szCs w:val="24"/>
        </w:rPr>
        <w:t>s</w:t>
      </w:r>
      <w:r w:rsidR="00C40F26" w:rsidRPr="00C40F26">
        <w:rPr>
          <w:i/>
          <w:iCs/>
          <w:sz w:val="24"/>
          <w:szCs w:val="24"/>
        </w:rPr>
        <w:t>theses Guidelines 2025</w:t>
      </w:r>
      <w:r w:rsidRPr="00FB34A6">
        <w:rPr>
          <w:i/>
          <w:iCs/>
          <w:sz w:val="24"/>
          <w:szCs w:val="24"/>
        </w:rPr>
        <w:t>.</w:t>
      </w:r>
    </w:p>
    <w:p w14:paraId="19E70CE5" w14:textId="77777777" w:rsidR="00FB34A6" w:rsidRPr="00FB34A6" w:rsidRDefault="00FB34A6" w:rsidP="00FB34A6">
      <w:pPr>
        <w:spacing w:before="300"/>
        <w:ind w:left="720" w:hanging="720"/>
        <w:rPr>
          <w:b/>
          <w:bCs/>
          <w:sz w:val="24"/>
          <w:szCs w:val="24"/>
        </w:rPr>
      </w:pPr>
      <w:r w:rsidRPr="00FB34A6">
        <w:rPr>
          <w:b/>
          <w:bCs/>
          <w:sz w:val="24"/>
          <w:szCs w:val="24"/>
        </w:rPr>
        <w:t>2</w:t>
      </w:r>
      <w:r w:rsidRPr="00FB34A6">
        <w:rPr>
          <w:b/>
          <w:bCs/>
          <w:sz w:val="24"/>
          <w:szCs w:val="24"/>
        </w:rPr>
        <w:tab/>
        <w:t xml:space="preserve">Commencement </w:t>
      </w:r>
    </w:p>
    <w:p w14:paraId="4FE67E57" w14:textId="4AE97C11" w:rsidR="00FB34A6" w:rsidRPr="00FB34A6" w:rsidRDefault="00FB34A6" w:rsidP="00FB34A6">
      <w:pPr>
        <w:spacing w:before="140"/>
        <w:ind w:left="720"/>
        <w:rPr>
          <w:i/>
          <w:iCs/>
          <w:sz w:val="24"/>
          <w:szCs w:val="24"/>
        </w:rPr>
      </w:pPr>
      <w:r w:rsidRPr="00FB34A6">
        <w:rPr>
          <w:sz w:val="24"/>
          <w:szCs w:val="24"/>
        </w:rPr>
        <w:t>This instrument commences on the day after its notification</w:t>
      </w:r>
      <w:r w:rsidRPr="00FB34A6">
        <w:rPr>
          <w:i/>
          <w:iCs/>
          <w:sz w:val="24"/>
          <w:szCs w:val="24"/>
        </w:rPr>
        <w:t xml:space="preserve">. </w:t>
      </w:r>
    </w:p>
    <w:p w14:paraId="58899E94" w14:textId="77777777" w:rsidR="00FB34A6" w:rsidRPr="00FB34A6" w:rsidRDefault="00FB34A6" w:rsidP="00FB34A6">
      <w:pPr>
        <w:spacing w:before="300"/>
        <w:ind w:left="720" w:hanging="720"/>
        <w:rPr>
          <w:b/>
          <w:bCs/>
          <w:sz w:val="24"/>
          <w:szCs w:val="24"/>
        </w:rPr>
      </w:pPr>
      <w:r w:rsidRPr="00FB34A6">
        <w:rPr>
          <w:b/>
          <w:bCs/>
          <w:sz w:val="24"/>
          <w:szCs w:val="24"/>
        </w:rPr>
        <w:t>3</w:t>
      </w:r>
      <w:r w:rsidRPr="00FB34A6">
        <w:rPr>
          <w:b/>
          <w:bCs/>
          <w:sz w:val="24"/>
          <w:szCs w:val="24"/>
        </w:rPr>
        <w:tab/>
        <w:t>Guidelines</w:t>
      </w:r>
    </w:p>
    <w:p w14:paraId="32957ED7" w14:textId="104BF39C" w:rsidR="00FB34A6" w:rsidRPr="00FB34A6" w:rsidRDefault="00FB34A6" w:rsidP="00FB34A6">
      <w:pPr>
        <w:spacing w:before="300" w:after="240"/>
        <w:ind w:left="720" w:hanging="720"/>
        <w:rPr>
          <w:sz w:val="24"/>
          <w:szCs w:val="24"/>
        </w:rPr>
      </w:pPr>
      <w:r w:rsidRPr="00FB34A6">
        <w:rPr>
          <w:b/>
          <w:bCs/>
          <w:sz w:val="24"/>
          <w:szCs w:val="24"/>
        </w:rPr>
        <w:tab/>
      </w:r>
      <w:r w:rsidRPr="00FB34A6">
        <w:rPr>
          <w:sz w:val="24"/>
          <w:szCs w:val="24"/>
        </w:rPr>
        <w:t>I make the guidelines attached to this instrument. The guidelines are Part 15</w:t>
      </w:r>
      <w:r>
        <w:rPr>
          <w:sz w:val="24"/>
          <w:szCs w:val="24"/>
        </w:rPr>
        <w:t>, Prostheses,</w:t>
      </w:r>
      <w:r w:rsidRPr="00FB34A6">
        <w:rPr>
          <w:sz w:val="24"/>
          <w:szCs w:val="24"/>
        </w:rPr>
        <w:t xml:space="preserve"> of the LTCS Guidelines made under the </w:t>
      </w:r>
      <w:r w:rsidRPr="00FB34A6">
        <w:rPr>
          <w:i/>
          <w:iCs/>
          <w:sz w:val="24"/>
          <w:szCs w:val="24"/>
        </w:rPr>
        <w:t>Lifetime Care and Support (Catastrophic Injuries) Act 2014.</w:t>
      </w:r>
    </w:p>
    <w:p w14:paraId="2C2FC73D" w14:textId="4CCD60FE" w:rsidR="00FB34A6" w:rsidRPr="00FB34A6" w:rsidRDefault="00FB34A6" w:rsidP="00FB34A6">
      <w:pPr>
        <w:spacing w:before="140"/>
        <w:rPr>
          <w:b/>
          <w:bCs/>
          <w:sz w:val="24"/>
          <w:szCs w:val="24"/>
        </w:rPr>
      </w:pPr>
      <w:r w:rsidRPr="00FB34A6">
        <w:rPr>
          <w:b/>
          <w:bCs/>
          <w:sz w:val="24"/>
          <w:szCs w:val="24"/>
        </w:rPr>
        <w:t xml:space="preserve">4 </w:t>
      </w:r>
      <w:r w:rsidRPr="00FB34A6">
        <w:rPr>
          <w:b/>
          <w:bCs/>
          <w:sz w:val="24"/>
          <w:szCs w:val="24"/>
        </w:rPr>
        <w:tab/>
        <w:t>Revocation</w:t>
      </w:r>
    </w:p>
    <w:p w14:paraId="220A8644" w14:textId="77777777" w:rsidR="00FB34A6" w:rsidRPr="00FB34A6" w:rsidRDefault="00FB34A6" w:rsidP="00FB34A6">
      <w:pPr>
        <w:tabs>
          <w:tab w:val="left" w:pos="4320"/>
        </w:tabs>
        <w:ind w:left="720"/>
        <w:rPr>
          <w:sz w:val="24"/>
          <w:szCs w:val="24"/>
        </w:rPr>
      </w:pPr>
      <w:r w:rsidRPr="00FB34A6">
        <w:rPr>
          <w:sz w:val="24"/>
          <w:szCs w:val="24"/>
        </w:rPr>
        <w:t xml:space="preserve">The </w:t>
      </w:r>
      <w:r w:rsidRPr="00FB34A6">
        <w:rPr>
          <w:i/>
          <w:iCs/>
          <w:sz w:val="24"/>
          <w:szCs w:val="24"/>
        </w:rPr>
        <w:t xml:space="preserve">Lifetime Care and Support (Catastrophic Injuries) Guidelines 2014 (No 15) </w:t>
      </w:r>
      <w:r w:rsidRPr="00FB34A6">
        <w:rPr>
          <w:sz w:val="24"/>
          <w:szCs w:val="24"/>
        </w:rPr>
        <w:t xml:space="preserve">(DI2014-216) is revoked. </w:t>
      </w:r>
    </w:p>
    <w:p w14:paraId="546A5DFB" w14:textId="77777777" w:rsidR="00FB34A6" w:rsidRDefault="00FB34A6" w:rsidP="00FB34A6">
      <w:pPr>
        <w:tabs>
          <w:tab w:val="left" w:pos="4320"/>
        </w:tabs>
      </w:pPr>
    </w:p>
    <w:p w14:paraId="2D9A5C70" w14:textId="77777777" w:rsidR="00FB34A6" w:rsidRDefault="00FB34A6" w:rsidP="00FB34A6">
      <w:pPr>
        <w:tabs>
          <w:tab w:val="left" w:pos="4320"/>
        </w:tabs>
      </w:pPr>
    </w:p>
    <w:p w14:paraId="15D8F069" w14:textId="77777777" w:rsidR="00FB34A6" w:rsidRPr="00FB34A6" w:rsidRDefault="00FB34A6" w:rsidP="00FB34A6">
      <w:pPr>
        <w:tabs>
          <w:tab w:val="left" w:pos="4320"/>
        </w:tabs>
        <w:spacing w:after="0"/>
        <w:rPr>
          <w:sz w:val="24"/>
          <w:szCs w:val="24"/>
        </w:rPr>
      </w:pPr>
      <w:r w:rsidRPr="00FB34A6">
        <w:rPr>
          <w:sz w:val="24"/>
          <w:szCs w:val="24"/>
        </w:rPr>
        <w:t>Nicola Clark</w:t>
      </w:r>
    </w:p>
    <w:p w14:paraId="3E8B96B4" w14:textId="77777777" w:rsidR="00FB34A6" w:rsidRPr="00FB34A6" w:rsidRDefault="00FB34A6" w:rsidP="00FB34A6">
      <w:pPr>
        <w:tabs>
          <w:tab w:val="left" w:pos="4320"/>
        </w:tabs>
        <w:spacing w:after="0"/>
        <w:rPr>
          <w:sz w:val="24"/>
          <w:szCs w:val="24"/>
        </w:rPr>
      </w:pPr>
      <w:r w:rsidRPr="00FB34A6">
        <w:rPr>
          <w:sz w:val="24"/>
          <w:szCs w:val="24"/>
        </w:rPr>
        <w:t>Lifetime Care and Support Commissioner of the ACT</w:t>
      </w:r>
    </w:p>
    <w:bookmarkEnd w:id="0"/>
    <w:p w14:paraId="76330AB9" w14:textId="1D444CFD" w:rsidR="00FB34A6" w:rsidRPr="00FB34A6" w:rsidRDefault="00FB34A6" w:rsidP="00017323">
      <w:pPr>
        <w:tabs>
          <w:tab w:val="left" w:pos="4320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>14</w:t>
      </w:r>
      <w:r w:rsidRPr="00FB34A6">
        <w:rPr>
          <w:sz w:val="24"/>
          <w:szCs w:val="24"/>
        </w:rPr>
        <w:t xml:space="preserve"> October 2025</w:t>
      </w:r>
    </w:p>
    <w:bookmarkEnd w:id="1"/>
    <w:p w14:paraId="1F2F4994" w14:textId="77777777" w:rsidR="00FB34A6" w:rsidRDefault="00FB34A6" w:rsidP="00FB34A6"/>
    <w:p w14:paraId="72B81B7B" w14:textId="77777777" w:rsidR="00FB34A6" w:rsidRDefault="00FB34A6" w:rsidP="006C294A">
      <w:pPr>
        <w:pStyle w:val="Heading1"/>
        <w:ind w:left="616"/>
        <w:sectPr w:rsidR="00FB34A6" w:rsidSect="00104618">
          <w:footerReference w:type="default" r:id="rId8"/>
          <w:footerReference w:type="first" r:id="rId9"/>
          <w:pgSz w:w="11906" w:h="16838" w:code="9"/>
          <w:pgMar w:top="1440" w:right="1440" w:bottom="1440" w:left="1440" w:header="720" w:footer="680" w:gutter="0"/>
          <w:cols w:space="720"/>
          <w:noEndnote/>
          <w:titlePg/>
          <w:docGrid w:linePitch="299"/>
        </w:sectPr>
      </w:pPr>
    </w:p>
    <w:p w14:paraId="4EE16C9D" w14:textId="77777777" w:rsidR="00653F66" w:rsidRPr="00F63000" w:rsidRDefault="00653F66" w:rsidP="006C294A">
      <w:pPr>
        <w:pStyle w:val="Heading1"/>
        <w:ind w:left="616"/>
      </w:pPr>
      <w:r w:rsidRPr="00F63000">
        <w:lastRenderedPageBreak/>
        <w:t xml:space="preserve">Part 15: Prostheses </w:t>
      </w:r>
    </w:p>
    <w:p w14:paraId="3A14A910" w14:textId="77777777" w:rsidR="00440407" w:rsidRPr="00F63000" w:rsidRDefault="00440407" w:rsidP="004C55C0">
      <w:pPr>
        <w:widowControl w:val="0"/>
        <w:autoSpaceDE w:val="0"/>
        <w:autoSpaceDN w:val="0"/>
        <w:spacing w:after="0" w:line="360" w:lineRule="auto"/>
        <w:ind w:left="612" w:right="493"/>
        <w:rPr>
          <w:rFonts w:ascii="Arial" w:eastAsia="Arial" w:hAnsi="Arial" w:cs="Arial"/>
          <w:lang w:val="en-US" w:eastAsia="en-US"/>
        </w:rPr>
      </w:pPr>
    </w:p>
    <w:p w14:paraId="391093BC" w14:textId="2CBBC22B" w:rsidR="00653F66" w:rsidRPr="00F63000" w:rsidRDefault="00653F66" w:rsidP="004C55C0">
      <w:pPr>
        <w:widowControl w:val="0"/>
        <w:autoSpaceDE w:val="0"/>
        <w:autoSpaceDN w:val="0"/>
        <w:spacing w:after="0" w:line="360" w:lineRule="auto"/>
        <w:ind w:left="612" w:right="493"/>
        <w:rPr>
          <w:rFonts w:ascii="Arial" w:eastAsia="Arial" w:hAnsi="Arial" w:cs="Arial"/>
          <w:lang w:val="en-US" w:eastAsia="en-US"/>
        </w:rPr>
      </w:pPr>
      <w:r w:rsidRPr="00F63000">
        <w:rPr>
          <w:rFonts w:ascii="Arial" w:eastAsia="Arial" w:hAnsi="Arial" w:cs="Arial"/>
          <w:lang w:val="en-US" w:eastAsia="en-US"/>
        </w:rPr>
        <w:t>This Part of the Lifetime Care and Support Guidelines is made under</w:t>
      </w:r>
      <w:r w:rsidR="00137DE9" w:rsidRPr="00F63000">
        <w:rPr>
          <w:rFonts w:ascii="Arial" w:eastAsia="Arial" w:hAnsi="Arial" w:cs="Arial"/>
          <w:lang w:val="en-US" w:eastAsia="en-US"/>
        </w:rPr>
        <w:t xml:space="preserve"> section 9</w:t>
      </w:r>
      <w:r w:rsidR="00554A86" w:rsidRPr="00F63000">
        <w:rPr>
          <w:rFonts w:ascii="Arial" w:eastAsia="Arial" w:hAnsi="Arial" w:cs="Arial"/>
          <w:lang w:val="en-US" w:eastAsia="en-US"/>
        </w:rPr>
        <w:t>3</w:t>
      </w:r>
      <w:r w:rsidR="00137DE9" w:rsidRPr="00F63000">
        <w:rPr>
          <w:rFonts w:ascii="Arial" w:eastAsia="Arial" w:hAnsi="Arial" w:cs="Arial"/>
          <w:lang w:val="en-US" w:eastAsia="en-US"/>
        </w:rPr>
        <w:t xml:space="preserve"> of</w:t>
      </w:r>
      <w:r w:rsidRPr="00F63000">
        <w:rPr>
          <w:rFonts w:ascii="Arial" w:eastAsia="Arial" w:hAnsi="Arial" w:cs="Arial"/>
          <w:lang w:val="en-US" w:eastAsia="en-US"/>
        </w:rPr>
        <w:t xml:space="preserve"> the</w:t>
      </w:r>
      <w:r w:rsidR="00137DE9" w:rsidRPr="00F63000">
        <w:rPr>
          <w:rFonts w:ascii="Arial" w:eastAsia="Arial" w:hAnsi="Arial" w:cs="Arial"/>
          <w:lang w:val="en-US" w:eastAsia="en-US"/>
        </w:rPr>
        <w:t xml:space="preserve"> </w:t>
      </w:r>
      <w:r w:rsidR="00137DE9" w:rsidRPr="00F63000">
        <w:rPr>
          <w:rFonts w:ascii="Arial" w:eastAsia="Arial" w:hAnsi="Arial" w:cs="Arial"/>
          <w:i/>
          <w:iCs/>
          <w:lang w:val="en-US" w:eastAsia="en-US"/>
        </w:rPr>
        <w:t>Lifetime Care and Support (Catastrophic Injuries) Act 2014</w:t>
      </w:r>
      <w:r w:rsidR="00137DE9" w:rsidRPr="00F63000">
        <w:rPr>
          <w:rFonts w:ascii="Arial" w:eastAsia="Arial" w:hAnsi="Arial" w:cs="Arial"/>
          <w:lang w:val="en-US" w:eastAsia="en-US"/>
        </w:rPr>
        <w:t xml:space="preserve"> (the LTCS Act)</w:t>
      </w:r>
      <w:r w:rsidRPr="00F63000">
        <w:rPr>
          <w:rFonts w:ascii="Arial" w:eastAsia="Arial" w:hAnsi="Arial" w:cs="Arial"/>
          <w:lang w:val="en-US" w:eastAsia="en-US"/>
        </w:rPr>
        <w:t xml:space="preserve">. </w:t>
      </w:r>
    </w:p>
    <w:p w14:paraId="24CAF55A" w14:textId="77777777" w:rsidR="004C55C0" w:rsidRPr="00F63000" w:rsidRDefault="004C55C0" w:rsidP="004C55C0">
      <w:pPr>
        <w:widowControl w:val="0"/>
        <w:autoSpaceDE w:val="0"/>
        <w:autoSpaceDN w:val="0"/>
        <w:spacing w:after="0" w:line="360" w:lineRule="auto"/>
        <w:ind w:left="612" w:right="493"/>
        <w:rPr>
          <w:rFonts w:ascii="Arial" w:eastAsia="Arial" w:hAnsi="Arial" w:cs="Arial"/>
          <w:lang w:val="en-US" w:eastAsia="en-US"/>
        </w:rPr>
      </w:pPr>
    </w:p>
    <w:p w14:paraId="4C005ED3" w14:textId="0E27E7F3" w:rsidR="00653F66" w:rsidRPr="00F63000" w:rsidRDefault="00653F66" w:rsidP="004C55C0">
      <w:pPr>
        <w:widowControl w:val="0"/>
        <w:autoSpaceDE w:val="0"/>
        <w:autoSpaceDN w:val="0"/>
        <w:spacing w:after="0" w:line="360" w:lineRule="auto"/>
        <w:ind w:left="612" w:right="493"/>
        <w:rPr>
          <w:rFonts w:ascii="Arial" w:eastAsia="Arial" w:hAnsi="Arial" w:cs="Arial"/>
          <w:lang w:val="en-US" w:eastAsia="en-US"/>
        </w:rPr>
      </w:pPr>
      <w:r w:rsidRPr="00F63000">
        <w:rPr>
          <w:rFonts w:ascii="Arial" w:eastAsia="Arial" w:hAnsi="Arial" w:cs="Arial"/>
          <w:lang w:val="en-US" w:eastAsia="en-US"/>
        </w:rPr>
        <w:t xml:space="preserve">Part 15 of the Lifetime Care and Support Guidelines (the </w:t>
      </w:r>
      <w:r w:rsidR="00137DE9" w:rsidRPr="00F63000">
        <w:rPr>
          <w:rFonts w:ascii="Arial" w:eastAsia="Arial" w:hAnsi="Arial" w:cs="Arial"/>
          <w:lang w:val="en-US" w:eastAsia="en-US"/>
        </w:rPr>
        <w:t xml:space="preserve">LTCS </w:t>
      </w:r>
      <w:r w:rsidRPr="00F63000">
        <w:rPr>
          <w:rFonts w:ascii="Arial" w:eastAsia="Arial" w:hAnsi="Arial" w:cs="Arial"/>
          <w:lang w:val="en-US" w:eastAsia="en-US"/>
        </w:rPr>
        <w:t>Guidelines) applies to any assessment of treatment and care needs relating to prostheses made on and from th</w:t>
      </w:r>
      <w:r w:rsidR="00577508" w:rsidRPr="00F63000">
        <w:rPr>
          <w:rFonts w:ascii="Arial" w:eastAsia="Arial" w:hAnsi="Arial" w:cs="Arial"/>
          <w:lang w:val="en-US" w:eastAsia="en-US"/>
        </w:rPr>
        <w:t>e</w:t>
      </w:r>
      <w:r w:rsidRPr="00F63000">
        <w:rPr>
          <w:rFonts w:ascii="Arial" w:eastAsia="Arial" w:hAnsi="Arial" w:cs="Arial"/>
          <w:lang w:val="en-US" w:eastAsia="en-US"/>
        </w:rPr>
        <w:t xml:space="preserve"> date</w:t>
      </w:r>
      <w:r w:rsidR="00577508" w:rsidRPr="00F63000">
        <w:rPr>
          <w:rFonts w:ascii="Arial" w:eastAsia="Arial" w:hAnsi="Arial" w:cs="Arial"/>
          <w:lang w:val="en-US" w:eastAsia="en-US"/>
        </w:rPr>
        <w:t xml:space="preserve"> </w:t>
      </w:r>
      <w:r w:rsidR="00577508" w:rsidRPr="00F63000">
        <w:rPr>
          <w:rFonts w:ascii="Arial" w:hAnsi="Arial" w:cs="Arial"/>
        </w:rPr>
        <w:t>of commencement of the part</w:t>
      </w:r>
      <w:r w:rsidRPr="00F63000">
        <w:rPr>
          <w:rFonts w:ascii="Arial" w:eastAsia="Arial" w:hAnsi="Arial" w:cs="Arial"/>
          <w:lang w:val="en-US" w:eastAsia="en-US"/>
        </w:rPr>
        <w:t xml:space="preserve"> in respect of any participant in the </w:t>
      </w:r>
      <w:r w:rsidR="00137DE9" w:rsidRPr="00F63000">
        <w:rPr>
          <w:rFonts w:ascii="Arial" w:eastAsia="Arial" w:hAnsi="Arial" w:cs="Arial"/>
          <w:lang w:val="en-US" w:eastAsia="en-US"/>
        </w:rPr>
        <w:t xml:space="preserve">Lifetime Care and Support </w:t>
      </w:r>
      <w:r w:rsidRPr="00F63000">
        <w:rPr>
          <w:rFonts w:ascii="Arial" w:eastAsia="Arial" w:hAnsi="Arial" w:cs="Arial"/>
          <w:lang w:val="en-US" w:eastAsia="en-US"/>
        </w:rPr>
        <w:t>Scheme</w:t>
      </w:r>
      <w:r w:rsidR="00137DE9" w:rsidRPr="00F63000">
        <w:rPr>
          <w:rFonts w:ascii="Arial" w:eastAsia="Arial" w:hAnsi="Arial" w:cs="Arial"/>
          <w:lang w:val="en-US" w:eastAsia="en-US"/>
        </w:rPr>
        <w:t xml:space="preserve"> (the LTCS Scheme)</w:t>
      </w:r>
      <w:r w:rsidRPr="00F63000">
        <w:rPr>
          <w:rFonts w:ascii="Arial" w:eastAsia="Arial" w:hAnsi="Arial" w:cs="Arial"/>
          <w:lang w:val="en-US" w:eastAsia="en-US"/>
        </w:rPr>
        <w:t xml:space="preserve">, whether interim or lifetime, and whether accepted into the </w:t>
      </w:r>
      <w:r w:rsidR="00137DE9" w:rsidRPr="00F63000">
        <w:rPr>
          <w:rFonts w:ascii="Arial" w:eastAsia="Arial" w:hAnsi="Arial" w:cs="Arial"/>
          <w:lang w:val="en-US" w:eastAsia="en-US"/>
        </w:rPr>
        <w:t xml:space="preserve">LTCS </w:t>
      </w:r>
      <w:r w:rsidRPr="00F63000">
        <w:rPr>
          <w:rFonts w:ascii="Arial" w:eastAsia="Arial" w:hAnsi="Arial" w:cs="Arial"/>
          <w:lang w:val="en-US" w:eastAsia="en-US"/>
        </w:rPr>
        <w:t>Scheme before or after th</w:t>
      </w:r>
      <w:r w:rsidR="00137DE9" w:rsidRPr="00F63000">
        <w:rPr>
          <w:rFonts w:ascii="Arial" w:eastAsia="Arial" w:hAnsi="Arial" w:cs="Arial"/>
          <w:lang w:val="en-US" w:eastAsia="en-US"/>
        </w:rPr>
        <w:t>at</w:t>
      </w:r>
      <w:r w:rsidRPr="00F63000">
        <w:rPr>
          <w:rFonts w:ascii="Arial" w:eastAsia="Arial" w:hAnsi="Arial" w:cs="Arial"/>
          <w:lang w:val="en-US" w:eastAsia="en-US"/>
        </w:rPr>
        <w:t xml:space="preserve"> date. </w:t>
      </w:r>
    </w:p>
    <w:p w14:paraId="609B20FC" w14:textId="77777777" w:rsidR="004C55C0" w:rsidRPr="00F63000" w:rsidRDefault="004C55C0" w:rsidP="004C55C0">
      <w:pPr>
        <w:widowControl w:val="0"/>
        <w:autoSpaceDE w:val="0"/>
        <w:autoSpaceDN w:val="0"/>
        <w:spacing w:after="0" w:line="360" w:lineRule="auto"/>
        <w:ind w:left="612" w:right="493"/>
        <w:rPr>
          <w:rFonts w:ascii="Arial" w:eastAsia="Arial" w:hAnsi="Arial" w:cs="Arial"/>
          <w:lang w:val="en-US" w:eastAsia="en-US"/>
        </w:rPr>
      </w:pPr>
    </w:p>
    <w:p w14:paraId="4542A217" w14:textId="620C1CB6" w:rsidR="00653F66" w:rsidRPr="00F63000" w:rsidRDefault="00653F66" w:rsidP="004C55C0">
      <w:pPr>
        <w:widowControl w:val="0"/>
        <w:autoSpaceDE w:val="0"/>
        <w:autoSpaceDN w:val="0"/>
        <w:spacing w:after="0" w:line="360" w:lineRule="auto"/>
        <w:ind w:left="612" w:right="493"/>
        <w:rPr>
          <w:rFonts w:ascii="Arial" w:eastAsia="Arial" w:hAnsi="Arial" w:cs="Arial"/>
          <w:lang w:val="en-US" w:eastAsia="en-US"/>
        </w:rPr>
      </w:pPr>
      <w:r w:rsidRPr="00F63000">
        <w:rPr>
          <w:rFonts w:ascii="Arial" w:eastAsia="Arial" w:hAnsi="Arial" w:cs="Arial"/>
          <w:lang w:val="en-US" w:eastAsia="en-US"/>
        </w:rPr>
        <w:t xml:space="preserve">The Lifetime Care and Support </w:t>
      </w:r>
      <w:r w:rsidR="00137DE9" w:rsidRPr="00F63000">
        <w:rPr>
          <w:rFonts w:ascii="Arial" w:eastAsia="Arial" w:hAnsi="Arial" w:cs="Arial"/>
          <w:lang w:val="en-US" w:eastAsia="en-US"/>
        </w:rPr>
        <w:t xml:space="preserve">Commissioner </w:t>
      </w:r>
      <w:r w:rsidRPr="00F63000">
        <w:rPr>
          <w:rFonts w:ascii="Arial" w:eastAsia="Arial" w:hAnsi="Arial" w:cs="Arial"/>
          <w:lang w:val="en-US" w:eastAsia="en-US"/>
        </w:rPr>
        <w:t>(</w:t>
      </w:r>
      <w:r w:rsidR="00137DE9" w:rsidRPr="00F63000">
        <w:rPr>
          <w:rFonts w:ascii="Arial" w:eastAsia="Arial" w:hAnsi="Arial" w:cs="Arial"/>
          <w:lang w:val="en-US" w:eastAsia="en-US"/>
        </w:rPr>
        <w:t>the LTCS Commissioner</w:t>
      </w:r>
      <w:r w:rsidRPr="00F63000">
        <w:rPr>
          <w:rFonts w:ascii="Arial" w:eastAsia="Arial" w:hAnsi="Arial" w:cs="Arial"/>
          <w:lang w:val="en-US" w:eastAsia="en-US"/>
        </w:rPr>
        <w:t xml:space="preserve">) may waive observance of any </w:t>
      </w:r>
      <w:r w:rsidR="006F08C4" w:rsidRPr="00F63000">
        <w:rPr>
          <w:rFonts w:ascii="Arial" w:eastAsia="Arial" w:hAnsi="Arial" w:cs="Arial"/>
          <w:lang w:val="en-US" w:eastAsia="en-US"/>
        </w:rPr>
        <w:t xml:space="preserve">part </w:t>
      </w:r>
      <w:r w:rsidRPr="00F63000">
        <w:rPr>
          <w:rFonts w:ascii="Arial" w:eastAsia="Arial" w:hAnsi="Arial" w:cs="Arial"/>
          <w:lang w:val="en-US" w:eastAsia="en-US"/>
        </w:rPr>
        <w:t xml:space="preserve">or parts of this Guideline. Waiving observance of all or part of this Guideline in any </w:t>
      </w:r>
      <w:proofErr w:type="gramStart"/>
      <w:r w:rsidRPr="00F63000">
        <w:rPr>
          <w:rFonts w:ascii="Arial" w:eastAsia="Arial" w:hAnsi="Arial" w:cs="Arial"/>
          <w:lang w:val="en-US" w:eastAsia="en-US"/>
        </w:rPr>
        <w:t>particular circumstances</w:t>
      </w:r>
      <w:proofErr w:type="gramEnd"/>
      <w:r w:rsidRPr="00F63000">
        <w:rPr>
          <w:rFonts w:ascii="Arial" w:eastAsia="Arial" w:hAnsi="Arial" w:cs="Arial"/>
          <w:lang w:val="en-US" w:eastAsia="en-US"/>
        </w:rPr>
        <w:t xml:space="preserve"> is not an indication that </w:t>
      </w:r>
      <w:r w:rsidR="008B71AF" w:rsidRPr="00F63000">
        <w:rPr>
          <w:rFonts w:ascii="Arial" w:eastAsia="Arial" w:hAnsi="Arial" w:cs="Arial"/>
          <w:lang w:val="en-US" w:eastAsia="en-US"/>
        </w:rPr>
        <w:t xml:space="preserve">the LTCS Commissioner </w:t>
      </w:r>
      <w:r w:rsidRPr="00F63000">
        <w:rPr>
          <w:rFonts w:ascii="Arial" w:eastAsia="Arial" w:hAnsi="Arial" w:cs="Arial"/>
          <w:lang w:val="en-US" w:eastAsia="en-US"/>
        </w:rPr>
        <w:t xml:space="preserve">will waive observance of this </w:t>
      </w:r>
      <w:r w:rsidR="006F08C4" w:rsidRPr="00F63000">
        <w:rPr>
          <w:rFonts w:ascii="Arial" w:eastAsia="Arial" w:hAnsi="Arial" w:cs="Arial"/>
          <w:lang w:val="en-US" w:eastAsia="en-US"/>
        </w:rPr>
        <w:t xml:space="preserve">part </w:t>
      </w:r>
      <w:r w:rsidRPr="00F63000">
        <w:rPr>
          <w:rFonts w:ascii="Arial" w:eastAsia="Arial" w:hAnsi="Arial" w:cs="Arial"/>
          <w:lang w:val="en-US" w:eastAsia="en-US"/>
        </w:rPr>
        <w:t xml:space="preserve">or any other </w:t>
      </w:r>
      <w:r w:rsidR="006F08C4" w:rsidRPr="00F63000">
        <w:rPr>
          <w:rFonts w:ascii="Arial" w:eastAsia="Arial" w:hAnsi="Arial" w:cs="Arial"/>
          <w:lang w:val="en-US" w:eastAsia="en-US"/>
        </w:rPr>
        <w:t xml:space="preserve">parts of the </w:t>
      </w:r>
      <w:r w:rsidRPr="00F63000">
        <w:rPr>
          <w:rFonts w:ascii="Arial" w:eastAsia="Arial" w:hAnsi="Arial" w:cs="Arial"/>
          <w:lang w:val="en-US" w:eastAsia="en-US"/>
        </w:rPr>
        <w:t>Guideline</w:t>
      </w:r>
      <w:r w:rsidR="006F08C4" w:rsidRPr="00F63000">
        <w:rPr>
          <w:rFonts w:ascii="Arial" w:eastAsia="Arial" w:hAnsi="Arial" w:cs="Arial"/>
          <w:lang w:val="en-US" w:eastAsia="en-US"/>
        </w:rPr>
        <w:t>s</w:t>
      </w:r>
      <w:r w:rsidRPr="00F63000">
        <w:rPr>
          <w:rFonts w:ascii="Arial" w:eastAsia="Arial" w:hAnsi="Arial" w:cs="Arial"/>
          <w:lang w:val="en-US" w:eastAsia="en-US"/>
        </w:rPr>
        <w:t xml:space="preserve"> in other circumstances. </w:t>
      </w:r>
    </w:p>
    <w:p w14:paraId="07B91D1B" w14:textId="77777777" w:rsidR="004C55C0" w:rsidRPr="00F63000" w:rsidRDefault="004C55C0" w:rsidP="004C55C0">
      <w:pPr>
        <w:widowControl w:val="0"/>
        <w:autoSpaceDE w:val="0"/>
        <w:autoSpaceDN w:val="0"/>
        <w:spacing w:after="0" w:line="360" w:lineRule="auto"/>
        <w:ind w:left="612" w:right="493"/>
        <w:rPr>
          <w:rFonts w:ascii="Arial" w:eastAsia="Arial" w:hAnsi="Arial" w:cs="Arial"/>
          <w:lang w:val="en-US" w:eastAsia="en-US"/>
        </w:rPr>
      </w:pPr>
    </w:p>
    <w:p w14:paraId="2851133D" w14:textId="66392C60" w:rsidR="00653F66" w:rsidRPr="00F63000" w:rsidRDefault="00653F66" w:rsidP="004C55C0">
      <w:pPr>
        <w:pStyle w:val="Heading2"/>
        <w:tabs>
          <w:tab w:val="left" w:pos="1183"/>
          <w:tab w:val="left" w:pos="1184"/>
        </w:tabs>
        <w:spacing w:before="72" w:line="362" w:lineRule="auto"/>
        <w:ind w:left="1185" w:right="930"/>
      </w:pPr>
      <w:r w:rsidRPr="00F63000">
        <w:t xml:space="preserve">1 </w:t>
      </w:r>
      <w:r w:rsidR="00EE70C2" w:rsidRPr="00F63000">
        <w:tab/>
      </w:r>
      <w:r w:rsidRPr="00F63000">
        <w:t xml:space="preserve">Definitions </w:t>
      </w:r>
    </w:p>
    <w:p w14:paraId="47AA3D3E" w14:textId="556794D2" w:rsidR="00FB34A6" w:rsidRPr="00FB34A6" w:rsidRDefault="00653F66" w:rsidP="00FB34A6">
      <w:pPr>
        <w:pStyle w:val="ListParagraph"/>
        <w:numPr>
          <w:ilvl w:val="1"/>
          <w:numId w:val="1"/>
        </w:numPr>
        <w:tabs>
          <w:tab w:val="left" w:pos="1183"/>
          <w:tab w:val="left" w:pos="1184"/>
        </w:tabs>
        <w:spacing w:after="240" w:line="360" w:lineRule="auto"/>
        <w:ind w:right="493"/>
        <w:rPr>
          <w:rFonts w:asciiTheme="minorHAnsi" w:hAnsiTheme="minorHAnsi" w:cstheme="minorHAnsi"/>
        </w:rPr>
      </w:pPr>
      <w:r w:rsidRPr="00F63000">
        <w:t>In this Part of the Guidelines, these words and phrases have the following meanings:</w:t>
      </w:r>
      <w:r w:rsidRPr="00F63000">
        <w:rPr>
          <w:rFonts w:asciiTheme="minorHAnsi" w:hAnsiTheme="minorHAnsi" w:cstheme="minorHAnsi"/>
        </w:rPr>
        <w:t xml:space="preserve"> </w:t>
      </w:r>
    </w:p>
    <w:p w14:paraId="1664C748" w14:textId="5665B667" w:rsidR="00653F66" w:rsidRPr="00F63000" w:rsidRDefault="00653F66" w:rsidP="00FB34A6">
      <w:pPr>
        <w:widowControl w:val="0"/>
        <w:autoSpaceDE w:val="0"/>
        <w:autoSpaceDN w:val="0"/>
        <w:spacing w:line="360" w:lineRule="auto"/>
        <w:ind w:left="1179" w:right="493"/>
        <w:rPr>
          <w:rFonts w:ascii="Arial" w:eastAsia="Arial" w:hAnsi="Arial" w:cs="Arial"/>
          <w:lang w:val="en-US" w:eastAsia="en-US"/>
        </w:rPr>
      </w:pPr>
      <w:r w:rsidRPr="00F63000">
        <w:rPr>
          <w:rFonts w:ascii="Arial" w:eastAsia="Arial" w:hAnsi="Arial" w:cs="Arial"/>
          <w:b/>
          <w:bCs/>
          <w:lang w:val="en-US" w:eastAsia="en-US"/>
        </w:rPr>
        <w:t>Prosthesis</w:t>
      </w:r>
      <w:r w:rsidRPr="00F63000">
        <w:rPr>
          <w:rFonts w:ascii="Arial" w:eastAsia="Arial" w:hAnsi="Arial" w:cs="Arial"/>
          <w:lang w:val="en-US" w:eastAsia="en-US"/>
        </w:rPr>
        <w:t xml:space="preserve"> is an artificial substitute for a missing </w:t>
      </w:r>
      <w:r w:rsidR="009119A2" w:rsidRPr="00F63000">
        <w:rPr>
          <w:rFonts w:ascii="Arial" w:eastAsia="Arial" w:hAnsi="Arial" w:cs="Arial"/>
          <w:lang w:val="en-US" w:eastAsia="en-US"/>
        </w:rPr>
        <w:t>part of the body</w:t>
      </w:r>
      <w:r w:rsidRPr="00F63000">
        <w:rPr>
          <w:rFonts w:ascii="Arial" w:eastAsia="Arial" w:hAnsi="Arial" w:cs="Arial"/>
          <w:lang w:val="en-US" w:eastAsia="en-US"/>
        </w:rPr>
        <w:t xml:space="preserve"> used for functional or cosmetic reasons, or both. Any reference to a prosthesis in this </w:t>
      </w:r>
      <w:r w:rsidR="009119A2" w:rsidRPr="00F63000">
        <w:rPr>
          <w:rFonts w:ascii="Arial" w:eastAsia="Arial" w:hAnsi="Arial" w:cs="Arial"/>
          <w:lang w:val="en-US" w:eastAsia="en-US"/>
        </w:rPr>
        <w:t>G</w:t>
      </w:r>
      <w:r w:rsidRPr="00F63000">
        <w:rPr>
          <w:rFonts w:ascii="Arial" w:eastAsia="Arial" w:hAnsi="Arial" w:cs="Arial"/>
          <w:lang w:val="en-US" w:eastAsia="en-US"/>
        </w:rPr>
        <w:t xml:space="preserve">uideline includes any associated componentry. Any reference to a prosthesis in this Guideline relates to an external prosthesis or orthosis and does not include a surgically implanted prosthesis. </w:t>
      </w:r>
    </w:p>
    <w:p w14:paraId="333DC32A" w14:textId="6FB7C5D1" w:rsidR="00653F66" w:rsidRPr="00F63000" w:rsidRDefault="00653F66" w:rsidP="004C55C0">
      <w:pPr>
        <w:widowControl w:val="0"/>
        <w:autoSpaceDE w:val="0"/>
        <w:autoSpaceDN w:val="0"/>
        <w:spacing w:after="0" w:line="360" w:lineRule="auto"/>
        <w:ind w:left="1179" w:right="493"/>
        <w:rPr>
          <w:rFonts w:ascii="Arial" w:eastAsia="Arial" w:hAnsi="Arial" w:cs="Arial"/>
          <w:lang w:val="en-US" w:eastAsia="en-US"/>
        </w:rPr>
      </w:pPr>
      <w:r w:rsidRPr="00F63000">
        <w:rPr>
          <w:rFonts w:ascii="Arial" w:eastAsia="Arial" w:hAnsi="Arial" w:cs="Arial"/>
          <w:b/>
          <w:bCs/>
          <w:lang w:val="en-US" w:eastAsia="en-US"/>
        </w:rPr>
        <w:t xml:space="preserve">Provider </w:t>
      </w:r>
      <w:r w:rsidRPr="00F63000">
        <w:rPr>
          <w:rFonts w:ascii="Arial" w:eastAsia="Arial" w:hAnsi="Arial" w:cs="Arial"/>
          <w:lang w:val="en-US" w:eastAsia="en-US"/>
        </w:rPr>
        <w:t xml:space="preserve">refers to an accredited medical prescriber, an amputee clinic or a limb manufacturer, as relevant or applicable. </w:t>
      </w:r>
    </w:p>
    <w:p w14:paraId="782CE227" w14:textId="77777777" w:rsidR="004C55C0" w:rsidRPr="00F63000" w:rsidRDefault="004C55C0" w:rsidP="004C55C0">
      <w:pPr>
        <w:widowControl w:val="0"/>
        <w:autoSpaceDE w:val="0"/>
        <w:autoSpaceDN w:val="0"/>
        <w:spacing w:after="0" w:line="360" w:lineRule="auto"/>
        <w:ind w:left="1179" w:right="493"/>
        <w:rPr>
          <w:rFonts w:ascii="Arial" w:eastAsia="Arial" w:hAnsi="Arial" w:cs="Arial"/>
          <w:lang w:val="en-US" w:eastAsia="en-US"/>
        </w:rPr>
      </w:pPr>
    </w:p>
    <w:p w14:paraId="6374E9F6" w14:textId="3A684886" w:rsidR="00653F66" w:rsidRPr="00F63000" w:rsidRDefault="00653F66" w:rsidP="004C55C0">
      <w:pPr>
        <w:pStyle w:val="Heading2"/>
        <w:tabs>
          <w:tab w:val="left" w:pos="1183"/>
          <w:tab w:val="left" w:pos="1184"/>
        </w:tabs>
        <w:spacing w:before="72" w:line="362" w:lineRule="auto"/>
        <w:ind w:left="1185" w:right="930"/>
      </w:pPr>
      <w:r w:rsidRPr="00F63000">
        <w:t xml:space="preserve">2 </w:t>
      </w:r>
      <w:r w:rsidR="00EE70C2" w:rsidRPr="00F63000">
        <w:tab/>
      </w:r>
      <w:r w:rsidRPr="00F63000">
        <w:t xml:space="preserve">Prostheses </w:t>
      </w:r>
    </w:p>
    <w:p w14:paraId="17407C0E" w14:textId="17137891" w:rsidR="00653F66" w:rsidRPr="00F63000" w:rsidRDefault="00653F66" w:rsidP="004C55C0">
      <w:pPr>
        <w:pStyle w:val="ListParagraph"/>
        <w:tabs>
          <w:tab w:val="left" w:pos="1183"/>
          <w:tab w:val="left" w:pos="1184"/>
        </w:tabs>
        <w:spacing w:line="360" w:lineRule="auto"/>
        <w:ind w:left="1179" w:right="493" w:hanging="567"/>
      </w:pPr>
      <w:r w:rsidRPr="00F63000">
        <w:t xml:space="preserve">2.1 </w:t>
      </w:r>
      <w:r w:rsidR="00282972" w:rsidRPr="00F63000">
        <w:tab/>
      </w:r>
      <w:r w:rsidR="00D05660" w:rsidRPr="00F63000">
        <w:t xml:space="preserve">The LTCS Commissioner </w:t>
      </w:r>
      <w:r w:rsidRPr="00F63000">
        <w:t>considers a prosthesis to be</w:t>
      </w:r>
      <w:r w:rsidR="00282972" w:rsidRPr="00F63000">
        <w:t xml:space="preserve"> </w:t>
      </w:r>
      <w:r w:rsidRPr="00F63000">
        <w:t xml:space="preserve">reasonable and necessary where: </w:t>
      </w:r>
    </w:p>
    <w:p w14:paraId="1FE3D7F7" w14:textId="1D13E671" w:rsidR="00653F66" w:rsidRPr="00F63000" w:rsidRDefault="00653F66" w:rsidP="004C55C0">
      <w:pPr>
        <w:pStyle w:val="ListParagraph"/>
        <w:tabs>
          <w:tab w:val="left" w:pos="1469"/>
        </w:tabs>
        <w:spacing w:line="360" w:lineRule="auto"/>
        <w:ind w:left="1463" w:right="391" w:hanging="284"/>
      </w:pPr>
      <w:r w:rsidRPr="00F63000">
        <w:t>a) the need has arisen because of the motor accident injury</w:t>
      </w:r>
      <w:r w:rsidR="0089637E" w:rsidRPr="00F63000">
        <w:t xml:space="preserve"> or work </w:t>
      </w:r>
      <w:proofErr w:type="gramStart"/>
      <w:r w:rsidR="0089637E" w:rsidRPr="00F63000">
        <w:t>injury</w:t>
      </w:r>
      <w:r w:rsidRPr="00F63000">
        <w:t>;</w:t>
      </w:r>
      <w:proofErr w:type="gramEnd"/>
      <w:r w:rsidRPr="00F63000">
        <w:t xml:space="preserve"> </w:t>
      </w:r>
    </w:p>
    <w:p w14:paraId="02E0DF06" w14:textId="77777777" w:rsidR="00653F66" w:rsidRPr="00F63000" w:rsidRDefault="00653F66" w:rsidP="004C55C0">
      <w:pPr>
        <w:pStyle w:val="ListParagraph"/>
        <w:tabs>
          <w:tab w:val="left" w:pos="1469"/>
        </w:tabs>
        <w:spacing w:line="360" w:lineRule="auto"/>
        <w:ind w:left="1463" w:right="391" w:hanging="284"/>
      </w:pPr>
      <w:r w:rsidRPr="00F63000">
        <w:t xml:space="preserve">b) the prosthesis promotes functional independence, self-management or cosmetic improvement; and </w:t>
      </w:r>
    </w:p>
    <w:p w14:paraId="07D896D1" w14:textId="26817BD4" w:rsidR="00653F66" w:rsidRDefault="00653F66" w:rsidP="004C55C0">
      <w:pPr>
        <w:pStyle w:val="ListParagraph"/>
        <w:tabs>
          <w:tab w:val="left" w:pos="1469"/>
        </w:tabs>
        <w:spacing w:line="360" w:lineRule="auto"/>
        <w:ind w:left="1463" w:right="391" w:hanging="284"/>
        <w:rPr>
          <w:lang w:val="en-AU"/>
        </w:rPr>
      </w:pPr>
      <w:r w:rsidRPr="00F63000">
        <w:t xml:space="preserve">c) any provider is, and the prescription, clinic services and manufacturing services are provided by, a person or persons </w:t>
      </w:r>
      <w:r w:rsidR="006F08C4" w:rsidRPr="00F63000">
        <w:rPr>
          <w:lang w:val="en-AU"/>
        </w:rPr>
        <w:t>that are suitably qualified and experienced and, where relevant, meet the criteria in the Guidelines for Prescribers – Assistive Technology. Th</w:t>
      </w:r>
      <w:r w:rsidR="007259D3">
        <w:rPr>
          <w:lang w:val="en-AU"/>
        </w:rPr>
        <w:t xml:space="preserve">e Guidelines for Prescribers as in force from time to time are adopted by this instrument and </w:t>
      </w:r>
      <w:r w:rsidR="006F08C4" w:rsidRPr="00F63000">
        <w:rPr>
          <w:lang w:val="en-AU"/>
        </w:rPr>
        <w:t xml:space="preserve">can be accessed on Lifetime Care’s website at </w:t>
      </w:r>
      <w:hyperlink r:id="rId10" w:history="1">
        <w:r w:rsidR="00017323" w:rsidRPr="00627D1C">
          <w:rPr>
            <w:rStyle w:val="Hyperlink"/>
            <w:lang w:val="en-AU"/>
          </w:rPr>
          <w:t>www.icare.nsw.gov.au</w:t>
        </w:r>
      </w:hyperlink>
      <w:r w:rsidR="006F08C4" w:rsidRPr="00F63000">
        <w:rPr>
          <w:lang w:val="en-AU"/>
        </w:rPr>
        <w:t>.</w:t>
      </w:r>
    </w:p>
    <w:p w14:paraId="1B1E74CC" w14:textId="7318C356" w:rsidR="00653F66" w:rsidRPr="00F63000" w:rsidRDefault="00653F66" w:rsidP="00104618">
      <w:pPr>
        <w:pStyle w:val="ListParagraph"/>
        <w:keepNext/>
        <w:keepLines/>
        <w:tabs>
          <w:tab w:val="left" w:pos="1183"/>
          <w:tab w:val="left" w:pos="1184"/>
        </w:tabs>
        <w:spacing w:line="360" w:lineRule="auto"/>
        <w:ind w:left="1183" w:right="430" w:hanging="567"/>
      </w:pPr>
      <w:r w:rsidRPr="00F63000">
        <w:lastRenderedPageBreak/>
        <w:t xml:space="preserve">2.2 </w:t>
      </w:r>
      <w:r w:rsidR="00282972" w:rsidRPr="00F63000">
        <w:tab/>
      </w:r>
      <w:r w:rsidR="00D05660" w:rsidRPr="00F63000">
        <w:t xml:space="preserve">The LTCS Commissioner </w:t>
      </w:r>
      <w:r w:rsidRPr="00F63000">
        <w:t xml:space="preserve">considers maintenance and repairs to prostheses to be reasonable and necessary where the need arises due to: </w:t>
      </w:r>
    </w:p>
    <w:p w14:paraId="7A73684C" w14:textId="62CB2DAD" w:rsidR="00653F66" w:rsidRPr="00F63000" w:rsidRDefault="00653F66" w:rsidP="00017323">
      <w:pPr>
        <w:pStyle w:val="ListParagraph"/>
        <w:tabs>
          <w:tab w:val="left" w:pos="1469"/>
          <w:tab w:val="center" w:pos="5646"/>
        </w:tabs>
        <w:spacing w:line="360" w:lineRule="auto"/>
        <w:ind w:left="1463" w:right="391" w:hanging="284"/>
      </w:pPr>
      <w:r w:rsidRPr="00F63000">
        <w:t xml:space="preserve">a) normal wear and </w:t>
      </w:r>
      <w:proofErr w:type="gramStart"/>
      <w:r w:rsidRPr="00F63000">
        <w:t>tear</w:t>
      </w:r>
      <w:proofErr w:type="gramEnd"/>
      <w:r w:rsidRPr="00F63000">
        <w:t xml:space="preserve">; </w:t>
      </w:r>
      <w:r w:rsidR="00064355" w:rsidRPr="00F63000">
        <w:t>and</w:t>
      </w:r>
      <w:r w:rsidR="00017323">
        <w:tab/>
      </w:r>
    </w:p>
    <w:p w14:paraId="38753764" w14:textId="180AABFC" w:rsidR="00653F66" w:rsidRPr="00F63000" w:rsidRDefault="00653F66" w:rsidP="004C55C0">
      <w:pPr>
        <w:pStyle w:val="ListParagraph"/>
        <w:tabs>
          <w:tab w:val="left" w:pos="1469"/>
        </w:tabs>
        <w:spacing w:line="360" w:lineRule="auto"/>
        <w:ind w:left="1463" w:right="391" w:hanging="284"/>
      </w:pPr>
      <w:r w:rsidRPr="00F63000">
        <w:t>b) routine maintenance as recommended by the manufacturer</w:t>
      </w:r>
      <w:r w:rsidR="00064355" w:rsidRPr="00F63000">
        <w:t>, to meet warranty conditions</w:t>
      </w:r>
      <w:r w:rsidRPr="00F63000">
        <w:t xml:space="preserve"> or to meet industry standards</w:t>
      </w:r>
      <w:r w:rsidR="00064355" w:rsidRPr="00F63000">
        <w:t>.</w:t>
      </w:r>
    </w:p>
    <w:p w14:paraId="0055E633" w14:textId="24CB19A9" w:rsidR="00653F66" w:rsidRPr="00F63000" w:rsidRDefault="00653F66" w:rsidP="00440407">
      <w:pPr>
        <w:pStyle w:val="ListParagraph"/>
        <w:tabs>
          <w:tab w:val="left" w:pos="1183"/>
          <w:tab w:val="left" w:pos="1184"/>
        </w:tabs>
        <w:spacing w:line="360" w:lineRule="auto"/>
        <w:ind w:left="1179" w:right="391" w:hanging="567"/>
      </w:pPr>
      <w:r w:rsidRPr="00F63000">
        <w:t xml:space="preserve">2.3 </w:t>
      </w:r>
      <w:r w:rsidR="00282972" w:rsidRPr="00F63000">
        <w:tab/>
      </w:r>
      <w:r w:rsidR="00064355" w:rsidRPr="00F63000">
        <w:rPr>
          <w:lang w:val="en-AU"/>
        </w:rPr>
        <w:t>The LTCS Commissioner considers the repair or replacement of a prosthesis is not reasonable and necessary if its repair or replacement is required due to neglect or misuse.</w:t>
      </w:r>
    </w:p>
    <w:p w14:paraId="7A6CF12A" w14:textId="750E322E" w:rsidR="00653F66" w:rsidRPr="00F63000" w:rsidRDefault="00653F66" w:rsidP="00440407">
      <w:pPr>
        <w:pStyle w:val="ListParagraph"/>
        <w:tabs>
          <w:tab w:val="left" w:pos="1183"/>
          <w:tab w:val="left" w:pos="1184"/>
        </w:tabs>
        <w:spacing w:line="360" w:lineRule="auto"/>
        <w:ind w:left="1179" w:right="391" w:hanging="567"/>
        <w:rPr>
          <w:i/>
          <w:iCs/>
        </w:rPr>
      </w:pPr>
      <w:r w:rsidRPr="00F63000">
        <w:t xml:space="preserve">2.4 </w:t>
      </w:r>
      <w:r w:rsidR="00282972" w:rsidRPr="00F63000">
        <w:tab/>
      </w:r>
      <w:r w:rsidR="00D05660" w:rsidRPr="00F63000">
        <w:t xml:space="preserve">The LTCS Commissioner </w:t>
      </w:r>
      <w:r w:rsidRPr="00F63000">
        <w:t xml:space="preserve">may regard a prosthesis for a recreational activity to be reasonable and necessary, in addition to a primary prosthesis, where the participant is likely to engage in the activity on a regular and ongoing basis. </w:t>
      </w:r>
    </w:p>
    <w:p w14:paraId="406CD2C4" w14:textId="7CFDAE36" w:rsidR="00653F66" w:rsidRPr="00F63000" w:rsidRDefault="00653F66" w:rsidP="00440407">
      <w:pPr>
        <w:pStyle w:val="ListParagraph"/>
        <w:tabs>
          <w:tab w:val="left" w:pos="1183"/>
          <w:tab w:val="left" w:pos="1184"/>
        </w:tabs>
        <w:spacing w:line="360" w:lineRule="auto"/>
        <w:ind w:left="1179" w:right="391" w:hanging="567"/>
      </w:pPr>
      <w:r w:rsidRPr="00F63000">
        <w:t xml:space="preserve">2.5 </w:t>
      </w:r>
      <w:r w:rsidR="00282972" w:rsidRPr="00F63000">
        <w:tab/>
      </w:r>
      <w:r w:rsidR="00D05660" w:rsidRPr="00F63000">
        <w:t xml:space="preserve">The LTCS Commissioner </w:t>
      </w:r>
      <w:r w:rsidRPr="00F63000">
        <w:t>will not consider an expense connected with a prosthesis to be a reasonable expense if the prosthesis does not comply with Australian Standards (if</w:t>
      </w:r>
      <w:r w:rsidR="00EE70C2" w:rsidRPr="00F63000">
        <w:t xml:space="preserve"> </w:t>
      </w:r>
      <w:r w:rsidRPr="00F63000">
        <w:t>applicable), or if it is not registered with the Therapeutic Goods Administration (if</w:t>
      </w:r>
      <w:r w:rsidR="00EE70C2" w:rsidRPr="00F63000">
        <w:t xml:space="preserve"> </w:t>
      </w:r>
      <w:r w:rsidRPr="00F63000">
        <w:t>applicable).</w:t>
      </w:r>
    </w:p>
    <w:p w14:paraId="5BC0BAB6" w14:textId="31EDAE6C" w:rsidR="003F13DB" w:rsidRPr="00F63000" w:rsidRDefault="003F13DB" w:rsidP="00316E90">
      <w:pPr>
        <w:rPr>
          <w:rFonts w:cstheme="minorHAnsi"/>
        </w:rPr>
      </w:pPr>
    </w:p>
    <w:tbl>
      <w:tblPr>
        <w:tblStyle w:val="TableGrid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3686"/>
      </w:tblGrid>
      <w:tr w:rsidR="00090201" w:rsidRPr="00F63000" w14:paraId="31F2226D" w14:textId="77777777" w:rsidTr="00017323"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26F783" w14:textId="77777777" w:rsidR="00090201" w:rsidRPr="00F63000" w:rsidRDefault="00090201" w:rsidP="00017323">
            <w:pPr>
              <w:jc w:val="center"/>
              <w:rPr>
                <w:b/>
                <w:bCs/>
                <w:color w:val="000000" w:themeColor="text1"/>
              </w:rPr>
            </w:pPr>
            <w:r w:rsidRPr="00F63000">
              <w:rPr>
                <w:b/>
                <w:bCs/>
                <w:color w:val="000000" w:themeColor="text1"/>
              </w:rPr>
              <w:t>Provisions of the LTCS Act applicable to this Guideline</w:t>
            </w:r>
          </w:p>
        </w:tc>
      </w:tr>
      <w:tr w:rsidR="00090201" w:rsidRPr="00F63000" w14:paraId="1E80959D" w14:textId="77777777" w:rsidTr="0001732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311F6E2A" w14:textId="04CAAC20" w:rsidR="00090201" w:rsidRPr="00F63000" w:rsidRDefault="00090201">
            <w:pPr>
              <w:rPr>
                <w:color w:val="000000" w:themeColor="text1"/>
              </w:rPr>
            </w:pPr>
            <w:r w:rsidRPr="00F63000">
              <w:rPr>
                <w:color w:val="000000" w:themeColor="text1"/>
              </w:rPr>
              <w:t>Part 15 - LTCS Guidelines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1DD20E70" w14:textId="77777777" w:rsidR="00090201" w:rsidRPr="00F63000" w:rsidRDefault="00090201">
            <w:pPr>
              <w:rPr>
                <w:color w:val="000000" w:themeColor="text1"/>
              </w:rPr>
            </w:pPr>
            <w:r w:rsidRPr="00F63000">
              <w:rPr>
                <w:color w:val="000000" w:themeColor="text1"/>
              </w:rPr>
              <w:t>LTCS Act reference</w:t>
            </w:r>
          </w:p>
        </w:tc>
      </w:tr>
      <w:tr w:rsidR="00090201" w14:paraId="69354FBF" w14:textId="77777777" w:rsidTr="0001732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F860FB" w14:textId="28D7C62F" w:rsidR="00090201" w:rsidRPr="00F63000" w:rsidRDefault="00090201">
            <w:pPr>
              <w:rPr>
                <w:color w:val="000000" w:themeColor="text1"/>
              </w:rPr>
            </w:pPr>
            <w:r w:rsidRPr="00F63000">
              <w:rPr>
                <w:color w:val="000000" w:themeColor="text1"/>
              </w:rPr>
              <w:t>Prostheses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4AD58D2" w14:textId="77777777" w:rsidR="00090201" w:rsidRDefault="00090201">
            <w:pPr>
              <w:rPr>
                <w:color w:val="000000" w:themeColor="text1"/>
              </w:rPr>
            </w:pPr>
            <w:r w:rsidRPr="00F63000">
              <w:rPr>
                <w:color w:val="000000" w:themeColor="text1"/>
              </w:rPr>
              <w:t>Sections 9, 23</w:t>
            </w:r>
            <w:r>
              <w:rPr>
                <w:color w:val="000000" w:themeColor="text1"/>
              </w:rPr>
              <w:t xml:space="preserve">  </w:t>
            </w:r>
          </w:p>
        </w:tc>
      </w:tr>
    </w:tbl>
    <w:p w14:paraId="0649296C" w14:textId="77777777" w:rsidR="00090201" w:rsidRPr="00131365" w:rsidRDefault="00090201" w:rsidP="00316E90">
      <w:pPr>
        <w:rPr>
          <w:rFonts w:cstheme="minorHAnsi"/>
        </w:rPr>
      </w:pPr>
    </w:p>
    <w:sectPr w:rsidR="00090201" w:rsidRPr="00131365" w:rsidSect="00104618">
      <w:footerReference w:type="default" r:id="rId11"/>
      <w:footerReference w:type="first" r:id="rId12"/>
      <w:pgSz w:w="11906" w:h="17340"/>
      <w:pgMar w:top="1276" w:right="743" w:bottom="658" w:left="658" w:header="720" w:footer="68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0E8E5" w14:textId="77777777" w:rsidR="00DE4A52" w:rsidRDefault="00DE4A52" w:rsidP="00EF1F75">
      <w:pPr>
        <w:spacing w:after="0" w:line="240" w:lineRule="auto"/>
      </w:pPr>
      <w:r>
        <w:separator/>
      </w:r>
    </w:p>
  </w:endnote>
  <w:endnote w:type="continuationSeparator" w:id="0">
    <w:p w14:paraId="5DE76F45" w14:textId="77777777" w:rsidR="00DE4A52" w:rsidRDefault="00DE4A52" w:rsidP="00EF1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97358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818CB6" w14:textId="2B90A837" w:rsidR="00EF1F75" w:rsidRDefault="00EF1F75">
        <w:pPr>
          <w:pStyle w:val="Footer"/>
          <w:jc w:val="center"/>
        </w:pPr>
        <w:r w:rsidRPr="00EF1F75">
          <w:rPr>
            <w:rFonts w:ascii="Arial" w:hAnsi="Arial" w:cs="Arial"/>
          </w:rPr>
          <w:fldChar w:fldCharType="begin"/>
        </w:r>
        <w:r w:rsidRPr="0087596C">
          <w:rPr>
            <w:rFonts w:ascii="Arial" w:hAnsi="Arial" w:cs="Arial"/>
          </w:rPr>
          <w:instrText xml:space="preserve"> PAGE   \* MERGEFORMAT </w:instrText>
        </w:r>
        <w:r w:rsidRPr="00EF1F75">
          <w:rPr>
            <w:rFonts w:ascii="Arial" w:hAnsi="Arial" w:cs="Arial"/>
          </w:rPr>
          <w:fldChar w:fldCharType="separate"/>
        </w:r>
        <w:r w:rsidRPr="0087596C">
          <w:rPr>
            <w:rFonts w:ascii="Arial" w:hAnsi="Arial" w:cs="Arial"/>
            <w:noProof/>
          </w:rPr>
          <w:t>2</w:t>
        </w:r>
        <w:r w:rsidRPr="00EF1F75">
          <w:rPr>
            <w:rFonts w:ascii="Arial" w:hAnsi="Arial" w:cs="Arial"/>
            <w:noProof/>
          </w:rPr>
          <w:fldChar w:fldCharType="end"/>
        </w:r>
      </w:p>
    </w:sdtContent>
  </w:sdt>
  <w:p w14:paraId="4B28ADE5" w14:textId="6D7F3C16" w:rsidR="00EF1F75" w:rsidRPr="008A3CBD" w:rsidRDefault="008A3CBD" w:rsidP="008A3CBD">
    <w:pPr>
      <w:pStyle w:val="Footer"/>
      <w:jc w:val="center"/>
      <w:rPr>
        <w:rFonts w:ascii="Arial" w:hAnsi="Arial" w:cs="Arial"/>
        <w:sz w:val="14"/>
      </w:rPr>
    </w:pPr>
    <w:r w:rsidRPr="008A3CBD">
      <w:rPr>
        <w:rFonts w:ascii="Arial" w:hAnsi="Arial" w:cs="Arial"/>
        <w:sz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70827" w14:textId="23D93DEE" w:rsidR="00C40F26" w:rsidRDefault="00104618" w:rsidP="00104618">
    <w:pPr>
      <w:pStyle w:val="Footer"/>
      <w:rPr>
        <w:rFonts w:ascii="Arial" w:hAnsi="Arial" w:cs="Arial"/>
        <w:sz w:val="18"/>
        <w:szCs w:val="14"/>
      </w:rPr>
    </w:pPr>
    <w:r w:rsidRPr="00104618">
      <w:rPr>
        <w:rFonts w:ascii="Arial" w:hAnsi="Arial" w:cs="Arial"/>
        <w:sz w:val="18"/>
        <w:szCs w:val="14"/>
      </w:rPr>
      <w:t>*Name amended under Legislation Act, s 60</w:t>
    </w:r>
  </w:p>
  <w:p w14:paraId="305A0826" w14:textId="52FA759F" w:rsidR="00104618" w:rsidRPr="008A3CBD" w:rsidRDefault="008A3CBD" w:rsidP="008A3CBD">
    <w:pPr>
      <w:spacing w:before="160" w:after="0" w:line="240" w:lineRule="auto"/>
      <w:jc w:val="center"/>
      <w:rPr>
        <w:rFonts w:ascii="Arial" w:hAnsi="Arial" w:cs="Arial"/>
        <w:noProof/>
        <w:sz w:val="14"/>
        <w:szCs w:val="14"/>
      </w:rPr>
    </w:pPr>
    <w:r w:rsidRPr="008A3CBD">
      <w:rPr>
        <w:rFonts w:ascii="Arial" w:hAnsi="Arial" w:cs="Arial"/>
        <w:noProof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211532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4"/>
        <w:szCs w:val="14"/>
      </w:rPr>
    </w:sdtEndPr>
    <w:sdtContent>
      <w:p w14:paraId="07D2F7EF" w14:textId="6A6E3023" w:rsidR="008A3CBD" w:rsidRPr="009429D4" w:rsidRDefault="00FB34A6" w:rsidP="009429D4">
        <w:pPr>
          <w:pStyle w:val="Footer"/>
          <w:spacing w:before="240"/>
          <w:jc w:val="center"/>
          <w:rPr>
            <w:rFonts w:ascii="Arial" w:hAnsi="Arial" w:cs="Arial"/>
            <w:noProof/>
          </w:rPr>
        </w:pPr>
        <w:r w:rsidRPr="00EF1F75">
          <w:rPr>
            <w:rFonts w:ascii="Arial" w:hAnsi="Arial" w:cs="Arial"/>
          </w:rPr>
          <w:fldChar w:fldCharType="begin"/>
        </w:r>
        <w:r w:rsidRPr="0087596C">
          <w:rPr>
            <w:rFonts w:ascii="Arial" w:hAnsi="Arial" w:cs="Arial"/>
          </w:rPr>
          <w:instrText xml:space="preserve"> PAGE   \* MERGEFORMAT </w:instrText>
        </w:r>
        <w:r w:rsidRPr="00EF1F75">
          <w:rPr>
            <w:rFonts w:ascii="Arial" w:hAnsi="Arial" w:cs="Arial"/>
          </w:rPr>
          <w:fldChar w:fldCharType="separate"/>
        </w:r>
        <w:r w:rsidRPr="0087596C">
          <w:rPr>
            <w:rFonts w:ascii="Arial" w:hAnsi="Arial" w:cs="Arial"/>
            <w:noProof/>
          </w:rPr>
          <w:t>2</w:t>
        </w:r>
        <w:r w:rsidRPr="00EF1F75">
          <w:rPr>
            <w:rFonts w:ascii="Arial" w:hAnsi="Arial" w:cs="Arial"/>
            <w:noProof/>
          </w:rPr>
          <w:fldChar w:fldCharType="end"/>
        </w:r>
      </w:p>
    </w:sdtContent>
  </w:sdt>
  <w:p w14:paraId="546A1882" w14:textId="437E3E40" w:rsidR="00FB34A6" w:rsidRPr="008A3CBD" w:rsidRDefault="008A3CBD" w:rsidP="008A3CBD">
    <w:pPr>
      <w:spacing w:before="160" w:after="0" w:line="240" w:lineRule="auto"/>
      <w:jc w:val="center"/>
      <w:rPr>
        <w:rFonts w:ascii="Arial" w:hAnsi="Arial" w:cs="Arial"/>
        <w:sz w:val="14"/>
        <w:szCs w:val="14"/>
      </w:rPr>
    </w:pPr>
    <w:r w:rsidRPr="008A3CBD">
      <w:rPr>
        <w:rFonts w:ascii="Arial" w:hAnsi="Arial" w:cs="Arial"/>
        <w:noProof/>
        <w:sz w:val="14"/>
        <w:szCs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093574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4"/>
        <w:szCs w:val="14"/>
      </w:rPr>
    </w:sdtEndPr>
    <w:sdtContent>
      <w:p w14:paraId="7BC74EFA" w14:textId="62CF94D7" w:rsidR="008A3CBD" w:rsidRPr="009429D4" w:rsidRDefault="00104618" w:rsidP="009429D4">
        <w:pPr>
          <w:pStyle w:val="Footer"/>
          <w:spacing w:before="240"/>
          <w:jc w:val="center"/>
          <w:rPr>
            <w:rFonts w:ascii="Arial" w:hAnsi="Arial" w:cs="Arial"/>
            <w:noProof/>
          </w:rPr>
        </w:pPr>
        <w:r w:rsidRPr="00EF1F75">
          <w:rPr>
            <w:rFonts w:ascii="Arial" w:hAnsi="Arial" w:cs="Arial"/>
          </w:rPr>
          <w:fldChar w:fldCharType="begin"/>
        </w:r>
        <w:r w:rsidRPr="0087596C">
          <w:rPr>
            <w:rFonts w:ascii="Arial" w:hAnsi="Arial" w:cs="Arial"/>
          </w:rPr>
          <w:instrText xml:space="preserve"> PAGE   \* MERGEFORMAT </w:instrText>
        </w:r>
        <w:r w:rsidRPr="00EF1F75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 w:rsidRPr="00EF1F75">
          <w:rPr>
            <w:rFonts w:ascii="Arial" w:hAnsi="Arial" w:cs="Arial"/>
            <w:noProof/>
          </w:rPr>
          <w:fldChar w:fldCharType="end"/>
        </w:r>
      </w:p>
    </w:sdtContent>
  </w:sdt>
  <w:p w14:paraId="1DD133AE" w14:textId="282DCF7F" w:rsidR="00104618" w:rsidRPr="008A3CBD" w:rsidRDefault="008A3CBD" w:rsidP="008A3CBD">
    <w:pPr>
      <w:spacing w:before="160" w:after="0" w:line="240" w:lineRule="auto"/>
      <w:jc w:val="center"/>
      <w:rPr>
        <w:rFonts w:ascii="Arial" w:hAnsi="Arial" w:cs="Arial"/>
        <w:noProof/>
        <w:sz w:val="14"/>
        <w:szCs w:val="14"/>
      </w:rPr>
    </w:pPr>
    <w:r w:rsidRPr="008A3CBD">
      <w:rPr>
        <w:rFonts w:ascii="Arial" w:hAnsi="Arial" w:cs="Arial"/>
        <w:noProof/>
        <w:sz w:val="14"/>
        <w:szCs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7B12D" w14:textId="77777777" w:rsidR="00DE4A52" w:rsidRDefault="00DE4A52" w:rsidP="00EF1F75">
      <w:pPr>
        <w:spacing w:after="0" w:line="240" w:lineRule="auto"/>
      </w:pPr>
      <w:r>
        <w:separator/>
      </w:r>
    </w:p>
  </w:footnote>
  <w:footnote w:type="continuationSeparator" w:id="0">
    <w:p w14:paraId="5EB03D7A" w14:textId="77777777" w:rsidR="00DE4A52" w:rsidRDefault="00DE4A52" w:rsidP="00EF1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20AD2"/>
    <w:multiLevelType w:val="multilevel"/>
    <w:tmpl w:val="8888622C"/>
    <w:lvl w:ilvl="0">
      <w:start w:val="1"/>
      <w:numFmt w:val="decimal"/>
      <w:lvlText w:val="%1"/>
      <w:lvlJc w:val="left"/>
      <w:pPr>
        <w:ind w:left="564" w:hanging="564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1176" w:hanging="564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6336" w:hanging="1440"/>
      </w:pPr>
      <w:rPr>
        <w:rFonts w:ascii="Arial" w:hAnsi="Arial" w:cs="Arial" w:hint="default"/>
      </w:rPr>
    </w:lvl>
  </w:abstractNum>
  <w:num w:numId="1" w16cid:durableId="1349483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F66"/>
    <w:rsid w:val="00017323"/>
    <w:rsid w:val="00064355"/>
    <w:rsid w:val="00090201"/>
    <w:rsid w:val="000A00C8"/>
    <w:rsid w:val="000D6A38"/>
    <w:rsid w:val="00104618"/>
    <w:rsid w:val="00131365"/>
    <w:rsid w:val="00137DE9"/>
    <w:rsid w:val="0018406A"/>
    <w:rsid w:val="001F6D58"/>
    <w:rsid w:val="0020105D"/>
    <w:rsid w:val="00221E26"/>
    <w:rsid w:val="00282972"/>
    <w:rsid w:val="00315520"/>
    <w:rsid w:val="00316E90"/>
    <w:rsid w:val="00323D39"/>
    <w:rsid w:val="00357167"/>
    <w:rsid w:val="003F13DB"/>
    <w:rsid w:val="00440407"/>
    <w:rsid w:val="00472848"/>
    <w:rsid w:val="004C55C0"/>
    <w:rsid w:val="005247A8"/>
    <w:rsid w:val="00554A86"/>
    <w:rsid w:val="00577508"/>
    <w:rsid w:val="006316B1"/>
    <w:rsid w:val="00653F66"/>
    <w:rsid w:val="006810E4"/>
    <w:rsid w:val="006C294A"/>
    <w:rsid w:val="006F08C4"/>
    <w:rsid w:val="007259D3"/>
    <w:rsid w:val="00733019"/>
    <w:rsid w:val="00774CF3"/>
    <w:rsid w:val="00805801"/>
    <w:rsid w:val="0087337F"/>
    <w:rsid w:val="0087596C"/>
    <w:rsid w:val="00880A42"/>
    <w:rsid w:val="008910E2"/>
    <w:rsid w:val="0089637E"/>
    <w:rsid w:val="008A3CBD"/>
    <w:rsid w:val="008B71AF"/>
    <w:rsid w:val="008B7681"/>
    <w:rsid w:val="009119A2"/>
    <w:rsid w:val="009429D4"/>
    <w:rsid w:val="00953476"/>
    <w:rsid w:val="00A17D86"/>
    <w:rsid w:val="00AA7D03"/>
    <w:rsid w:val="00AC284B"/>
    <w:rsid w:val="00BE42CC"/>
    <w:rsid w:val="00C40F26"/>
    <w:rsid w:val="00C60794"/>
    <w:rsid w:val="00C62710"/>
    <w:rsid w:val="00CB294B"/>
    <w:rsid w:val="00D05660"/>
    <w:rsid w:val="00D10748"/>
    <w:rsid w:val="00D4499C"/>
    <w:rsid w:val="00D73588"/>
    <w:rsid w:val="00DE4A52"/>
    <w:rsid w:val="00E46534"/>
    <w:rsid w:val="00EA2E31"/>
    <w:rsid w:val="00EE70C2"/>
    <w:rsid w:val="00EF1F75"/>
    <w:rsid w:val="00F02950"/>
    <w:rsid w:val="00F63000"/>
    <w:rsid w:val="00FB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EBAB34"/>
  <w15:chartTrackingRefBased/>
  <w15:docId w15:val="{0C4D7F9E-8432-4F8D-86F7-2197E8C9D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C294A"/>
    <w:pPr>
      <w:widowControl w:val="0"/>
      <w:autoSpaceDE w:val="0"/>
      <w:autoSpaceDN w:val="0"/>
      <w:spacing w:before="71" w:after="0" w:line="240" w:lineRule="auto"/>
      <w:ind w:left="472"/>
      <w:outlineLvl w:val="0"/>
    </w:pPr>
    <w:rPr>
      <w:rFonts w:ascii="Arial" w:eastAsia="Arial" w:hAnsi="Arial" w:cs="Arial"/>
      <w:b/>
      <w:bCs/>
      <w:sz w:val="28"/>
      <w:szCs w:val="28"/>
      <w:lang w:val="en-US" w:eastAsia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282972"/>
    <w:pPr>
      <w:widowControl w:val="0"/>
      <w:autoSpaceDE w:val="0"/>
      <w:autoSpaceDN w:val="0"/>
      <w:spacing w:after="0" w:line="240" w:lineRule="auto"/>
      <w:ind w:left="1038" w:hanging="567"/>
      <w:outlineLvl w:val="1"/>
    </w:pPr>
    <w:rPr>
      <w:rFonts w:ascii="Arial" w:eastAsia="Arial" w:hAnsi="Arial" w:cs="Arial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53F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8963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96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63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63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6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637E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C294A"/>
    <w:rPr>
      <w:rFonts w:ascii="Arial" w:eastAsia="Arial" w:hAnsi="Arial" w:cs="Arial"/>
      <w:b/>
      <w:bCs/>
      <w:sz w:val="28"/>
      <w:szCs w:val="28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282972"/>
    <w:pPr>
      <w:widowControl w:val="0"/>
      <w:autoSpaceDE w:val="0"/>
      <w:autoSpaceDN w:val="0"/>
      <w:spacing w:after="0" w:line="240" w:lineRule="auto"/>
      <w:ind w:left="1324" w:hanging="286"/>
    </w:pPr>
    <w:rPr>
      <w:rFonts w:ascii="Arial" w:eastAsia="Arial" w:hAnsi="Arial" w:cs="Arial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282972"/>
    <w:rPr>
      <w:rFonts w:ascii="Arial" w:eastAsia="Arial" w:hAnsi="Arial" w:cs="Arial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82972"/>
    <w:rPr>
      <w:rFonts w:ascii="Arial" w:eastAsia="Arial" w:hAnsi="Arial" w:cs="Arial"/>
      <w:b/>
      <w:bCs/>
      <w:lang w:val="en-US" w:eastAsia="en-US"/>
    </w:rPr>
  </w:style>
  <w:style w:type="paragraph" w:styleId="ListParagraph">
    <w:name w:val="List Paragraph"/>
    <w:basedOn w:val="Normal"/>
    <w:uiPriority w:val="1"/>
    <w:qFormat/>
    <w:rsid w:val="00282972"/>
    <w:pPr>
      <w:widowControl w:val="0"/>
      <w:autoSpaceDE w:val="0"/>
      <w:autoSpaceDN w:val="0"/>
      <w:spacing w:after="0" w:line="240" w:lineRule="auto"/>
      <w:ind w:left="1324" w:hanging="286"/>
    </w:pPr>
    <w:rPr>
      <w:rFonts w:ascii="Arial" w:eastAsia="Arial" w:hAnsi="Arial" w:cs="Arial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F1F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F75"/>
  </w:style>
  <w:style w:type="paragraph" w:styleId="Footer">
    <w:name w:val="footer"/>
    <w:basedOn w:val="Normal"/>
    <w:link w:val="FooterChar"/>
    <w:uiPriority w:val="99"/>
    <w:unhideWhenUsed/>
    <w:rsid w:val="00EF1F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F75"/>
  </w:style>
  <w:style w:type="table" w:styleId="TableGrid">
    <w:name w:val="Table Grid"/>
    <w:basedOn w:val="TableNormal"/>
    <w:uiPriority w:val="39"/>
    <w:rsid w:val="00090201"/>
    <w:pPr>
      <w:spacing w:after="0" w:line="240" w:lineRule="auto"/>
    </w:pPr>
    <w:rPr>
      <w:rFonts w:eastAsiaTheme="minorHAns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4C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4CF3"/>
    <w:rPr>
      <w:color w:val="605E5C"/>
      <w:shd w:val="clear" w:color="auto" w:fill="E1DFDD"/>
    </w:rPr>
  </w:style>
  <w:style w:type="paragraph" w:customStyle="1" w:styleId="Billname">
    <w:name w:val="Billname"/>
    <w:basedOn w:val="Normal"/>
    <w:rsid w:val="00FB34A6"/>
    <w:pPr>
      <w:tabs>
        <w:tab w:val="left" w:pos="2400"/>
        <w:tab w:val="left" w:pos="2880"/>
      </w:tabs>
      <w:spacing w:before="1220" w:after="100" w:line="240" w:lineRule="auto"/>
    </w:pPr>
    <w:rPr>
      <w:rFonts w:ascii="Arial" w:eastAsia="Times New Roman" w:hAnsi="Arial" w:cs="Times New Roman"/>
      <w:b/>
      <w:sz w:val="40"/>
      <w:szCs w:val="20"/>
      <w:lang w:eastAsia="en-US"/>
    </w:rPr>
  </w:style>
  <w:style w:type="paragraph" w:customStyle="1" w:styleId="N-line3">
    <w:name w:val="N-line3"/>
    <w:basedOn w:val="Normal"/>
    <w:next w:val="Normal"/>
    <w:rsid w:val="00FB34A6"/>
    <w:pPr>
      <w:pBdr>
        <w:bottom w:val="single" w:sz="12" w:space="1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madeunder">
    <w:name w:val="made under"/>
    <w:basedOn w:val="Normal"/>
    <w:rsid w:val="00FB34A6"/>
    <w:pPr>
      <w:spacing w:before="18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overActName">
    <w:name w:val="CoverActName"/>
    <w:basedOn w:val="Normal"/>
    <w:rsid w:val="00FB34A6"/>
    <w:pPr>
      <w:tabs>
        <w:tab w:val="left" w:pos="2600"/>
      </w:tabs>
      <w:spacing w:before="200" w:after="6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4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yperlink" Target="http://www.icare.nsw.gov.a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DA7A1-0F0C-4AF1-B9F4-85D9DDB85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656</Words>
  <Characters>3578</Characters>
  <Application>Microsoft Office Word</Application>
  <DocSecurity>0</DocSecurity>
  <Lines>89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Zhu, Lisa</dc:creator>
  <cp:keywords>2</cp:keywords>
  <dc:description/>
  <cp:lastModifiedBy>Moxon, KarenL</cp:lastModifiedBy>
  <cp:revision>5</cp:revision>
  <dcterms:created xsi:type="dcterms:W3CDTF">2025-10-23T01:07:00Z</dcterms:created>
  <dcterms:modified xsi:type="dcterms:W3CDTF">2025-10-23T01:16:00Z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2024-10-18T04:50:31Z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fe84f72b-0bac-4f8f-ad5b-38fc39ac8916</vt:lpwstr>
  </property>
  <property fmtid="{D5CDD505-2E9C-101B-9397-08002B2CF9AE}" pid="8" name="MSIP_Label_69af8531-eb46-4968-8cb3-105d2f5ea87e_ContentBits">
    <vt:lpwstr>0</vt:lpwstr>
  </property>
  <property fmtid="{D5CDD505-2E9C-101B-9397-08002B2CF9AE}" pid="9" name="CHECKEDOUTFROMJMS">
    <vt:lpwstr/>
  </property>
  <property fmtid="{D5CDD505-2E9C-101B-9397-08002B2CF9AE}" pid="10" name="DMSID">
    <vt:lpwstr>14898533</vt:lpwstr>
  </property>
  <property fmtid="{D5CDD505-2E9C-101B-9397-08002B2CF9AE}" pid="11" name="JMSREQUIREDCHECKIN">
    <vt:lpwstr/>
  </property>
</Properties>
</file>