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10CC" w14:textId="50E71F90" w:rsidR="007529B2" w:rsidRPr="007529B2" w:rsidRDefault="007529B2" w:rsidP="007529B2">
      <w:pPr>
        <w:spacing w:before="120"/>
        <w:rPr>
          <w:sz w:val="24"/>
          <w:szCs w:val="24"/>
        </w:rPr>
      </w:pPr>
      <w:bookmarkStart w:id="0" w:name="_Toc44738651"/>
      <w:bookmarkStart w:id="1" w:name="_Hlk92187184"/>
      <w:r w:rsidRPr="007529B2">
        <w:rPr>
          <w:sz w:val="24"/>
          <w:szCs w:val="24"/>
        </w:rPr>
        <w:t>Australian Capital Territory</w:t>
      </w:r>
    </w:p>
    <w:p w14:paraId="509C3953" w14:textId="0D5D0A8A" w:rsidR="007529B2" w:rsidRPr="009974E4" w:rsidRDefault="00044B38" w:rsidP="007529B2">
      <w:pPr>
        <w:pStyle w:val="Billname"/>
        <w:spacing w:before="700"/>
        <w:rPr>
          <w:sz w:val="36"/>
          <w:szCs w:val="36"/>
        </w:rPr>
      </w:pPr>
      <w:r w:rsidRPr="00044B38">
        <w:rPr>
          <w:bCs/>
          <w:sz w:val="36"/>
          <w:szCs w:val="36"/>
        </w:rPr>
        <w:t>Lifetime Care and Support (Catastrophic Injuries) Dental Treatment Guidelines 2025</w:t>
      </w:r>
      <w:r>
        <w:rPr>
          <w:bCs/>
          <w:sz w:val="36"/>
          <w:szCs w:val="36"/>
        </w:rPr>
        <w:t>*</w:t>
      </w:r>
    </w:p>
    <w:p w14:paraId="14500F7B" w14:textId="08E23E0D" w:rsidR="007529B2" w:rsidRPr="007529B2" w:rsidRDefault="007529B2" w:rsidP="007529B2">
      <w:pPr>
        <w:spacing w:before="340"/>
        <w:rPr>
          <w:b/>
          <w:bCs/>
          <w:sz w:val="24"/>
          <w:szCs w:val="24"/>
        </w:rPr>
      </w:pPr>
      <w:r w:rsidRPr="007529B2">
        <w:rPr>
          <w:b/>
          <w:bCs/>
          <w:sz w:val="24"/>
          <w:szCs w:val="24"/>
        </w:rPr>
        <w:t>Disallowable instrument DI</w:t>
      </w:r>
      <w:r w:rsidRPr="007529B2">
        <w:rPr>
          <w:b/>
          <w:bCs/>
          <w:iCs/>
          <w:sz w:val="24"/>
          <w:szCs w:val="24"/>
        </w:rPr>
        <w:t>2025</w:t>
      </w:r>
      <w:r w:rsidRPr="007529B2">
        <w:rPr>
          <w:b/>
          <w:bCs/>
          <w:sz w:val="24"/>
          <w:szCs w:val="24"/>
        </w:rPr>
        <w:t>–</w:t>
      </w:r>
      <w:r w:rsidR="001B61B1">
        <w:rPr>
          <w:b/>
          <w:bCs/>
          <w:sz w:val="24"/>
          <w:szCs w:val="24"/>
        </w:rPr>
        <w:t>279</w:t>
      </w:r>
    </w:p>
    <w:p w14:paraId="5E6E8B7E" w14:textId="77777777" w:rsidR="007529B2" w:rsidRDefault="007529B2" w:rsidP="007529B2">
      <w:pPr>
        <w:pStyle w:val="madeunder"/>
        <w:spacing w:before="300" w:after="0"/>
      </w:pPr>
      <w:r>
        <w:t xml:space="preserve">made under the  </w:t>
      </w:r>
    </w:p>
    <w:p w14:paraId="51EA4840" w14:textId="77777777" w:rsidR="007529B2" w:rsidRDefault="007529B2" w:rsidP="007529B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Lifetime Care and Support (Catastrophic Injuries) Act 2014, section 93 (LTCS guidelines)</w:t>
      </w:r>
    </w:p>
    <w:p w14:paraId="23E2932C" w14:textId="77777777" w:rsidR="007529B2" w:rsidRDefault="007529B2" w:rsidP="007529B2">
      <w:pPr>
        <w:pStyle w:val="N-line3"/>
        <w:pBdr>
          <w:bottom w:val="none" w:sz="0" w:space="0" w:color="auto"/>
        </w:pBdr>
        <w:spacing w:before="60"/>
      </w:pPr>
    </w:p>
    <w:p w14:paraId="4634C33E" w14:textId="77777777" w:rsidR="007529B2" w:rsidRDefault="007529B2" w:rsidP="007529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1330D91" w14:textId="77777777" w:rsidR="007529B2" w:rsidRPr="007529B2" w:rsidRDefault="007529B2" w:rsidP="007529B2">
      <w:pPr>
        <w:spacing w:before="60" w:after="60"/>
        <w:ind w:left="720" w:hanging="720"/>
        <w:rPr>
          <w:b/>
          <w:bCs/>
          <w:sz w:val="24"/>
          <w:szCs w:val="24"/>
        </w:rPr>
      </w:pPr>
      <w:r w:rsidRPr="007529B2">
        <w:rPr>
          <w:b/>
          <w:bCs/>
          <w:sz w:val="24"/>
          <w:szCs w:val="24"/>
        </w:rPr>
        <w:t>1</w:t>
      </w:r>
      <w:r w:rsidRPr="007529B2">
        <w:rPr>
          <w:b/>
          <w:bCs/>
          <w:sz w:val="24"/>
          <w:szCs w:val="24"/>
        </w:rPr>
        <w:tab/>
        <w:t>Name of instrument</w:t>
      </w:r>
    </w:p>
    <w:p w14:paraId="4E9C7108" w14:textId="7B71610C" w:rsidR="007529B2" w:rsidRPr="007529B2" w:rsidRDefault="007529B2" w:rsidP="007529B2">
      <w:pPr>
        <w:spacing w:before="140"/>
        <w:ind w:left="720"/>
        <w:rPr>
          <w:i/>
          <w:iCs/>
          <w:sz w:val="24"/>
          <w:szCs w:val="24"/>
        </w:rPr>
      </w:pPr>
      <w:r w:rsidRPr="007529B2">
        <w:rPr>
          <w:sz w:val="24"/>
          <w:szCs w:val="24"/>
        </w:rPr>
        <w:t xml:space="preserve">This instrument is the </w:t>
      </w:r>
      <w:r w:rsidR="00044B38" w:rsidRPr="00044B38">
        <w:rPr>
          <w:i/>
          <w:iCs/>
          <w:sz w:val="24"/>
          <w:szCs w:val="24"/>
        </w:rPr>
        <w:t>Lifetime Care and Support (Catastrophic Injuries) Dental Treatment Guidelines 2025</w:t>
      </w:r>
      <w:r w:rsidRPr="007529B2">
        <w:rPr>
          <w:i/>
          <w:iCs/>
          <w:sz w:val="24"/>
          <w:szCs w:val="24"/>
        </w:rPr>
        <w:t>.</w:t>
      </w:r>
      <w:r w:rsidRPr="007529B2">
        <w:rPr>
          <w:sz w:val="24"/>
          <w:szCs w:val="24"/>
        </w:rPr>
        <w:t xml:space="preserve"> </w:t>
      </w:r>
    </w:p>
    <w:p w14:paraId="62A91566" w14:textId="77777777" w:rsidR="007529B2" w:rsidRPr="007529B2" w:rsidRDefault="007529B2" w:rsidP="007529B2">
      <w:pPr>
        <w:spacing w:before="300"/>
        <w:ind w:left="720" w:hanging="720"/>
        <w:rPr>
          <w:b/>
          <w:bCs/>
          <w:sz w:val="24"/>
          <w:szCs w:val="24"/>
        </w:rPr>
      </w:pPr>
      <w:r w:rsidRPr="007529B2">
        <w:rPr>
          <w:b/>
          <w:bCs/>
          <w:sz w:val="24"/>
          <w:szCs w:val="24"/>
        </w:rPr>
        <w:t>2</w:t>
      </w:r>
      <w:r w:rsidRPr="007529B2">
        <w:rPr>
          <w:b/>
          <w:bCs/>
          <w:sz w:val="24"/>
          <w:szCs w:val="24"/>
        </w:rPr>
        <w:tab/>
        <w:t xml:space="preserve">Commencement </w:t>
      </w:r>
    </w:p>
    <w:p w14:paraId="0BA6CD90" w14:textId="0DC260A5" w:rsidR="007529B2" w:rsidRPr="007529B2" w:rsidRDefault="007529B2" w:rsidP="007529B2">
      <w:pPr>
        <w:spacing w:before="140"/>
        <w:ind w:left="720"/>
        <w:rPr>
          <w:i/>
          <w:iCs/>
          <w:sz w:val="24"/>
          <w:szCs w:val="24"/>
        </w:rPr>
      </w:pPr>
      <w:r w:rsidRPr="007529B2">
        <w:rPr>
          <w:sz w:val="24"/>
          <w:szCs w:val="24"/>
        </w:rPr>
        <w:t>This instrument commences on the day after its notification</w:t>
      </w:r>
      <w:r w:rsidRPr="007529B2">
        <w:rPr>
          <w:i/>
          <w:iCs/>
          <w:sz w:val="24"/>
          <w:szCs w:val="24"/>
        </w:rPr>
        <w:t xml:space="preserve">. </w:t>
      </w:r>
    </w:p>
    <w:p w14:paraId="1928C92F" w14:textId="77777777" w:rsidR="007529B2" w:rsidRPr="007529B2" w:rsidRDefault="007529B2" w:rsidP="007529B2">
      <w:pPr>
        <w:spacing w:before="300"/>
        <w:ind w:left="720" w:hanging="720"/>
        <w:rPr>
          <w:b/>
          <w:bCs/>
          <w:sz w:val="24"/>
          <w:szCs w:val="24"/>
        </w:rPr>
      </w:pPr>
      <w:r w:rsidRPr="007529B2">
        <w:rPr>
          <w:b/>
          <w:bCs/>
          <w:sz w:val="24"/>
          <w:szCs w:val="24"/>
        </w:rPr>
        <w:t>3</w:t>
      </w:r>
      <w:r w:rsidRPr="007529B2">
        <w:rPr>
          <w:b/>
          <w:bCs/>
          <w:sz w:val="24"/>
          <w:szCs w:val="24"/>
        </w:rPr>
        <w:tab/>
        <w:t>Guidelines</w:t>
      </w:r>
    </w:p>
    <w:p w14:paraId="4CBAC892" w14:textId="246AD96C" w:rsidR="007529B2" w:rsidRPr="007529B2" w:rsidRDefault="007529B2" w:rsidP="007529B2">
      <w:pPr>
        <w:spacing w:before="300" w:after="240"/>
        <w:ind w:left="720" w:hanging="720"/>
        <w:rPr>
          <w:sz w:val="24"/>
          <w:szCs w:val="24"/>
        </w:rPr>
      </w:pPr>
      <w:r w:rsidRPr="007529B2">
        <w:rPr>
          <w:b/>
          <w:bCs/>
          <w:sz w:val="24"/>
          <w:szCs w:val="24"/>
        </w:rPr>
        <w:tab/>
      </w:r>
      <w:r w:rsidRPr="007529B2">
        <w:rPr>
          <w:sz w:val="24"/>
          <w:szCs w:val="24"/>
        </w:rPr>
        <w:t>I make the guidelines attached to this instrument. The guidelines are Part 21</w:t>
      </w:r>
      <w:r>
        <w:rPr>
          <w:sz w:val="24"/>
          <w:szCs w:val="24"/>
        </w:rPr>
        <w:t>, Dental Treatment,</w:t>
      </w:r>
      <w:r w:rsidRPr="007529B2">
        <w:rPr>
          <w:sz w:val="24"/>
          <w:szCs w:val="24"/>
        </w:rPr>
        <w:t xml:space="preserve"> of the LTCS Guidelines made under the </w:t>
      </w:r>
      <w:r w:rsidRPr="007529B2">
        <w:rPr>
          <w:i/>
          <w:iCs/>
          <w:sz w:val="24"/>
          <w:szCs w:val="24"/>
        </w:rPr>
        <w:t>Lifetime Care and Support (Catastrophic Injuries) Act 2014.</w:t>
      </w:r>
    </w:p>
    <w:p w14:paraId="34AD613B" w14:textId="77777777" w:rsidR="007529B2" w:rsidRPr="007529B2" w:rsidRDefault="007529B2" w:rsidP="007529B2">
      <w:pPr>
        <w:tabs>
          <w:tab w:val="left" w:pos="4320"/>
        </w:tabs>
        <w:rPr>
          <w:sz w:val="24"/>
          <w:szCs w:val="24"/>
        </w:rPr>
      </w:pPr>
    </w:p>
    <w:p w14:paraId="7A77E641" w14:textId="77777777" w:rsidR="007529B2" w:rsidRPr="007529B2" w:rsidRDefault="007529B2" w:rsidP="007529B2">
      <w:pPr>
        <w:tabs>
          <w:tab w:val="left" w:pos="4320"/>
        </w:tabs>
        <w:rPr>
          <w:sz w:val="24"/>
          <w:szCs w:val="24"/>
        </w:rPr>
      </w:pPr>
    </w:p>
    <w:p w14:paraId="7AF053F9" w14:textId="77777777" w:rsidR="007529B2" w:rsidRDefault="007529B2" w:rsidP="007529B2">
      <w:pPr>
        <w:tabs>
          <w:tab w:val="left" w:pos="4320"/>
        </w:tabs>
        <w:spacing w:after="0"/>
        <w:rPr>
          <w:sz w:val="24"/>
          <w:szCs w:val="24"/>
        </w:rPr>
      </w:pPr>
      <w:r w:rsidRPr="007529B2">
        <w:rPr>
          <w:sz w:val="24"/>
          <w:szCs w:val="24"/>
        </w:rPr>
        <w:t>Nicola Clark</w:t>
      </w:r>
    </w:p>
    <w:p w14:paraId="15B40D9D" w14:textId="25A30B2C" w:rsidR="007529B2" w:rsidRPr="007529B2" w:rsidRDefault="007529B2" w:rsidP="007529B2">
      <w:pPr>
        <w:tabs>
          <w:tab w:val="left" w:pos="4320"/>
        </w:tabs>
        <w:spacing w:after="0"/>
        <w:rPr>
          <w:sz w:val="24"/>
          <w:szCs w:val="24"/>
        </w:rPr>
      </w:pPr>
      <w:r w:rsidRPr="007529B2">
        <w:rPr>
          <w:sz w:val="24"/>
          <w:szCs w:val="24"/>
        </w:rPr>
        <w:t>Lifetime Care and Support Commissioner of the ACT</w:t>
      </w:r>
    </w:p>
    <w:bookmarkEnd w:id="0"/>
    <w:p w14:paraId="01E86542" w14:textId="3A50B492" w:rsidR="007529B2" w:rsidRPr="007529B2" w:rsidRDefault="007529B2" w:rsidP="007529B2">
      <w:pPr>
        <w:tabs>
          <w:tab w:val="left" w:pos="4320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14</w:t>
      </w:r>
      <w:r w:rsidRPr="007529B2">
        <w:rPr>
          <w:sz w:val="24"/>
          <w:szCs w:val="24"/>
        </w:rPr>
        <w:t xml:space="preserve"> October 2025</w:t>
      </w:r>
    </w:p>
    <w:bookmarkEnd w:id="1"/>
    <w:p w14:paraId="4B814D06" w14:textId="77777777" w:rsidR="007529B2" w:rsidRDefault="007529B2" w:rsidP="007529B2"/>
    <w:p w14:paraId="5DFD8E2B" w14:textId="77777777" w:rsidR="007529B2" w:rsidRDefault="007529B2" w:rsidP="00AC03B1">
      <w:pPr>
        <w:pStyle w:val="Heading1"/>
        <w:ind w:left="616"/>
        <w:sectPr w:rsidR="007529B2" w:rsidSect="00044B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50"/>
          <w:pgMar w:top="1060" w:right="1704" w:bottom="658" w:left="1843" w:header="720" w:footer="567" w:gutter="0"/>
          <w:cols w:space="720"/>
          <w:noEndnote/>
          <w:docGrid w:linePitch="299"/>
        </w:sectPr>
      </w:pPr>
    </w:p>
    <w:p w14:paraId="631FE49F" w14:textId="73BAF812" w:rsidR="00F668F3" w:rsidRPr="00AC03B1" w:rsidRDefault="00F668F3" w:rsidP="00CC6D81">
      <w:pPr>
        <w:pStyle w:val="Heading1"/>
        <w:ind w:left="0"/>
      </w:pPr>
      <w:r w:rsidRPr="00F668F3">
        <w:lastRenderedPageBreak/>
        <w:t>Part 21: Dental treatment</w:t>
      </w:r>
    </w:p>
    <w:p w14:paraId="4A380339" w14:textId="77777777" w:rsidR="00AC03B1" w:rsidRDefault="00AC03B1" w:rsidP="00CC6D81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lang w:val="en-US" w:eastAsia="en-US"/>
        </w:rPr>
      </w:pPr>
    </w:p>
    <w:p w14:paraId="59929588" w14:textId="3BA4AC06" w:rsidR="00F668F3" w:rsidRPr="00AC03B1" w:rsidRDefault="00F668F3" w:rsidP="00CC6D81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lang w:val="en-US" w:eastAsia="en-US"/>
        </w:rPr>
      </w:pPr>
      <w:r w:rsidRPr="00161853">
        <w:rPr>
          <w:rFonts w:ascii="Arial" w:eastAsia="Arial" w:hAnsi="Arial" w:cs="Arial"/>
          <w:lang w:val="en-US" w:eastAsia="en-US"/>
        </w:rPr>
        <w:t>This Part of the Lifetime Care and Support Guidelines is made under</w:t>
      </w:r>
      <w:r w:rsidR="006421ED" w:rsidRPr="00161853">
        <w:rPr>
          <w:rFonts w:ascii="Arial" w:eastAsia="Arial" w:hAnsi="Arial" w:cs="Arial"/>
          <w:lang w:val="en-US" w:eastAsia="en-US"/>
        </w:rPr>
        <w:t xml:space="preserve"> </w:t>
      </w:r>
      <w:r w:rsidR="001A0F4A" w:rsidRPr="00161853">
        <w:rPr>
          <w:rFonts w:ascii="Arial" w:eastAsia="Arial" w:hAnsi="Arial" w:cs="Arial"/>
          <w:lang w:val="en-US" w:eastAsia="en-US"/>
        </w:rPr>
        <w:t xml:space="preserve">section </w:t>
      </w:r>
      <w:r w:rsidR="001A0F4A" w:rsidRPr="00B75C38">
        <w:rPr>
          <w:rFonts w:ascii="Arial" w:eastAsia="Arial" w:hAnsi="Arial" w:cs="Arial"/>
          <w:lang w:val="en-US" w:eastAsia="en-US"/>
        </w:rPr>
        <w:t xml:space="preserve">93 of </w:t>
      </w:r>
      <w:r w:rsidRPr="00B75C38">
        <w:rPr>
          <w:rFonts w:ascii="Arial" w:eastAsia="Arial" w:hAnsi="Arial" w:cs="Arial"/>
          <w:lang w:val="en-US" w:eastAsia="en-US"/>
        </w:rPr>
        <w:t>the</w:t>
      </w:r>
      <w:r w:rsidR="00344F6E" w:rsidRPr="00161853">
        <w:rPr>
          <w:rFonts w:ascii="Arial" w:eastAsia="Arial" w:hAnsi="Arial" w:cs="Arial"/>
          <w:lang w:val="en-US" w:eastAsia="en-US"/>
        </w:rPr>
        <w:t xml:space="preserve"> </w:t>
      </w:r>
      <w:r w:rsidR="00344F6E" w:rsidRPr="00B75C38">
        <w:rPr>
          <w:rFonts w:ascii="Arial" w:eastAsia="Arial" w:hAnsi="Arial" w:cs="Arial"/>
          <w:i/>
          <w:iCs/>
          <w:lang w:val="en-US" w:eastAsia="en-US"/>
        </w:rPr>
        <w:t>Lifetime Care and Support (Catastrophic Injuries) Act 2014</w:t>
      </w:r>
      <w:r w:rsidR="00344F6E" w:rsidRPr="00B75C38">
        <w:rPr>
          <w:rFonts w:ascii="Arial" w:eastAsia="Arial" w:hAnsi="Arial" w:cs="Arial"/>
          <w:lang w:val="en-US" w:eastAsia="en-US"/>
        </w:rPr>
        <w:t xml:space="preserve"> </w:t>
      </w:r>
      <w:r w:rsidRPr="00B75C38">
        <w:rPr>
          <w:rFonts w:ascii="Arial" w:eastAsia="Arial" w:hAnsi="Arial" w:cs="Arial"/>
          <w:lang w:val="en-US" w:eastAsia="en-US"/>
        </w:rPr>
        <w:t xml:space="preserve">(the </w:t>
      </w:r>
      <w:r w:rsidR="00344F6E" w:rsidRPr="00B75C38">
        <w:rPr>
          <w:rFonts w:ascii="Arial" w:eastAsia="Arial" w:hAnsi="Arial" w:cs="Arial"/>
          <w:lang w:val="en-US" w:eastAsia="en-US"/>
        </w:rPr>
        <w:t xml:space="preserve">LTCS </w:t>
      </w:r>
      <w:r w:rsidRPr="00B75C38">
        <w:rPr>
          <w:rFonts w:ascii="Arial" w:eastAsia="Arial" w:hAnsi="Arial" w:cs="Arial"/>
          <w:lang w:val="en-US" w:eastAsia="en-US"/>
        </w:rPr>
        <w:t>Act).</w:t>
      </w:r>
    </w:p>
    <w:p w14:paraId="677F6037" w14:textId="77777777" w:rsidR="00F668F3" w:rsidRPr="00F668F3" w:rsidRDefault="00F668F3" w:rsidP="00AC03B1">
      <w:pPr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C9B07B5" w14:textId="4CF07288" w:rsidR="00F668F3" w:rsidRPr="00AC03B1" w:rsidRDefault="00F668F3" w:rsidP="00CC6D81">
      <w:pPr>
        <w:widowControl w:val="0"/>
        <w:autoSpaceDE w:val="0"/>
        <w:autoSpaceDN w:val="0"/>
        <w:spacing w:after="0" w:line="360" w:lineRule="auto"/>
        <w:ind w:right="-24"/>
        <w:rPr>
          <w:rFonts w:ascii="Arial" w:eastAsia="Arial" w:hAnsi="Arial" w:cs="Arial"/>
          <w:lang w:val="en-US" w:eastAsia="en-US"/>
        </w:rPr>
      </w:pPr>
      <w:r w:rsidRPr="00AC03B1">
        <w:rPr>
          <w:rFonts w:ascii="Arial" w:eastAsia="Arial" w:hAnsi="Arial" w:cs="Arial"/>
          <w:lang w:val="en-US" w:eastAsia="en-US"/>
        </w:rPr>
        <w:t xml:space="preserve">Part 21 of the </w:t>
      </w:r>
      <w:r w:rsidRPr="00B75C38">
        <w:rPr>
          <w:rFonts w:ascii="Arial" w:eastAsia="Arial" w:hAnsi="Arial" w:cs="Arial"/>
          <w:lang w:val="en-US" w:eastAsia="en-US"/>
        </w:rPr>
        <w:t xml:space="preserve">Lifetime Care and Support Guidelines (the </w:t>
      </w:r>
      <w:r w:rsidR="00344F6E" w:rsidRPr="00B75C38">
        <w:rPr>
          <w:rFonts w:ascii="Arial" w:eastAsia="Arial" w:hAnsi="Arial" w:cs="Arial"/>
          <w:lang w:val="en-US" w:eastAsia="en-US"/>
        </w:rPr>
        <w:t xml:space="preserve">LTCS </w:t>
      </w:r>
      <w:r w:rsidRPr="00B75C38">
        <w:rPr>
          <w:rFonts w:ascii="Arial" w:eastAsia="Arial" w:hAnsi="Arial" w:cs="Arial"/>
          <w:lang w:val="en-US" w:eastAsia="en-US"/>
        </w:rPr>
        <w:t>Guidelines)</w:t>
      </w:r>
      <w:r w:rsidRPr="00161853">
        <w:rPr>
          <w:rFonts w:ascii="Arial" w:eastAsia="Arial" w:hAnsi="Arial" w:cs="Arial"/>
          <w:lang w:val="en-US" w:eastAsia="en-US"/>
        </w:rPr>
        <w:t xml:space="preserve"> applies to any assessment of treatment and care needs relating to dental treatment made on and from th</w:t>
      </w:r>
      <w:r w:rsidR="007E0B7E" w:rsidRPr="00161853">
        <w:rPr>
          <w:rFonts w:ascii="Arial" w:eastAsia="Arial" w:hAnsi="Arial" w:cs="Arial"/>
          <w:lang w:val="en-US" w:eastAsia="en-US"/>
        </w:rPr>
        <w:t>e</w:t>
      </w:r>
      <w:r w:rsidRPr="00161853">
        <w:rPr>
          <w:rFonts w:ascii="Arial" w:eastAsia="Arial" w:hAnsi="Arial" w:cs="Arial"/>
          <w:lang w:val="en-US" w:eastAsia="en-US"/>
        </w:rPr>
        <w:t xml:space="preserve"> date </w:t>
      </w:r>
      <w:r w:rsidR="007E0B7E" w:rsidRPr="00161853">
        <w:rPr>
          <w:rFonts w:ascii="Arial" w:hAnsi="Arial" w:cs="Arial"/>
        </w:rPr>
        <w:t>of commencement of the part</w:t>
      </w:r>
      <w:r w:rsidR="007E0B7E" w:rsidRPr="00161853">
        <w:t xml:space="preserve"> </w:t>
      </w:r>
      <w:r w:rsidRPr="00161853">
        <w:rPr>
          <w:rFonts w:ascii="Arial" w:eastAsia="Arial" w:hAnsi="Arial" w:cs="Arial"/>
          <w:lang w:val="en-US" w:eastAsia="en-US"/>
        </w:rPr>
        <w:t xml:space="preserve">in respect of any participant in the </w:t>
      </w:r>
      <w:r w:rsidR="00344F6E" w:rsidRPr="00B75C38">
        <w:rPr>
          <w:rFonts w:ascii="Arial" w:eastAsia="Arial" w:hAnsi="Arial" w:cs="Arial"/>
          <w:lang w:val="en-US" w:eastAsia="en-US"/>
        </w:rPr>
        <w:t>Lifetime Care and Support</w:t>
      </w:r>
      <w:r w:rsidR="00344F6E" w:rsidRPr="00161853">
        <w:rPr>
          <w:rFonts w:ascii="Arial" w:eastAsia="Arial" w:hAnsi="Arial" w:cs="Arial"/>
          <w:lang w:val="en-US" w:eastAsia="en-US"/>
        </w:rPr>
        <w:t xml:space="preserve"> </w:t>
      </w:r>
      <w:r w:rsidRPr="00B75C38">
        <w:rPr>
          <w:rFonts w:ascii="Arial" w:eastAsia="Arial" w:hAnsi="Arial" w:cs="Arial"/>
          <w:lang w:val="en-US" w:eastAsia="en-US"/>
        </w:rPr>
        <w:t>Scheme</w:t>
      </w:r>
      <w:r w:rsidR="00344F6E" w:rsidRPr="00B75C38">
        <w:rPr>
          <w:rFonts w:ascii="Arial" w:eastAsia="Arial" w:hAnsi="Arial" w:cs="Arial"/>
          <w:lang w:val="en-US" w:eastAsia="en-US"/>
        </w:rPr>
        <w:t xml:space="preserve"> (the LTCS Scheme)</w:t>
      </w:r>
      <w:r w:rsidRPr="00161853">
        <w:rPr>
          <w:rFonts w:ascii="Arial" w:eastAsia="Arial" w:hAnsi="Arial" w:cs="Arial"/>
          <w:lang w:val="en-US" w:eastAsia="en-US"/>
        </w:rPr>
        <w:t xml:space="preserve">, whether interim or lifetime, and whether accepted into the </w:t>
      </w:r>
      <w:r w:rsidR="00344F6E" w:rsidRPr="00B75C38">
        <w:rPr>
          <w:rFonts w:ascii="Arial" w:eastAsia="Arial" w:hAnsi="Arial" w:cs="Arial"/>
          <w:lang w:val="en-US" w:eastAsia="en-US"/>
        </w:rPr>
        <w:t xml:space="preserve">LTCS </w:t>
      </w:r>
      <w:r w:rsidRPr="00B75C38">
        <w:rPr>
          <w:rFonts w:ascii="Arial" w:eastAsia="Arial" w:hAnsi="Arial" w:cs="Arial"/>
          <w:lang w:val="en-US" w:eastAsia="en-US"/>
        </w:rPr>
        <w:t>Scheme</w:t>
      </w:r>
      <w:r w:rsidRPr="00161853">
        <w:rPr>
          <w:rFonts w:ascii="Arial" w:eastAsia="Arial" w:hAnsi="Arial" w:cs="Arial"/>
          <w:lang w:val="en-US" w:eastAsia="en-US"/>
        </w:rPr>
        <w:t xml:space="preserve"> before or after th</w:t>
      </w:r>
      <w:r w:rsidR="00344F6E" w:rsidRPr="00161853">
        <w:rPr>
          <w:rFonts w:ascii="Arial" w:eastAsia="Arial" w:hAnsi="Arial" w:cs="Arial"/>
          <w:lang w:val="en-US" w:eastAsia="en-US"/>
        </w:rPr>
        <w:t>at</w:t>
      </w:r>
      <w:r w:rsidRPr="00161853">
        <w:rPr>
          <w:rFonts w:ascii="Arial" w:eastAsia="Arial" w:hAnsi="Arial" w:cs="Arial"/>
          <w:lang w:val="en-US" w:eastAsia="en-US"/>
        </w:rPr>
        <w:t xml:space="preserve"> date.</w:t>
      </w:r>
    </w:p>
    <w:p w14:paraId="0283698C" w14:textId="77777777" w:rsidR="00F668F3" w:rsidRPr="00AC03B1" w:rsidRDefault="00F668F3" w:rsidP="00CC6D81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lang w:val="en-US" w:eastAsia="en-US"/>
        </w:rPr>
      </w:pPr>
    </w:p>
    <w:p w14:paraId="0674DB95" w14:textId="3F66BAD3" w:rsidR="00F668F3" w:rsidRPr="00AC03B1" w:rsidRDefault="00F668F3" w:rsidP="00CC6D81">
      <w:pPr>
        <w:widowControl w:val="0"/>
        <w:autoSpaceDE w:val="0"/>
        <w:autoSpaceDN w:val="0"/>
        <w:spacing w:after="0" w:line="360" w:lineRule="auto"/>
        <w:ind w:right="-24"/>
        <w:rPr>
          <w:rFonts w:ascii="Arial" w:eastAsia="Arial" w:hAnsi="Arial" w:cs="Arial"/>
          <w:lang w:val="en-US" w:eastAsia="en-US"/>
        </w:rPr>
      </w:pPr>
      <w:r w:rsidRPr="00AC03B1">
        <w:rPr>
          <w:rFonts w:ascii="Arial" w:eastAsia="Arial" w:hAnsi="Arial" w:cs="Arial"/>
          <w:lang w:val="en-US" w:eastAsia="en-US"/>
        </w:rPr>
        <w:t xml:space="preserve">The </w:t>
      </w:r>
      <w:r w:rsidRPr="00B75C38">
        <w:rPr>
          <w:rFonts w:ascii="Arial" w:eastAsia="Arial" w:hAnsi="Arial" w:cs="Arial"/>
          <w:lang w:val="en-US" w:eastAsia="en-US"/>
        </w:rPr>
        <w:t xml:space="preserve">Lifetime Care and Support </w:t>
      </w:r>
      <w:r w:rsidR="00344F6E" w:rsidRPr="00B75C38">
        <w:rPr>
          <w:rFonts w:ascii="Arial" w:eastAsia="Arial" w:hAnsi="Arial" w:cs="Arial"/>
          <w:lang w:val="en-US" w:eastAsia="en-US"/>
        </w:rPr>
        <w:t>Commiss</w:t>
      </w:r>
      <w:r w:rsidR="00892313" w:rsidRPr="00B75C38">
        <w:rPr>
          <w:rFonts w:ascii="Arial" w:eastAsia="Arial" w:hAnsi="Arial" w:cs="Arial"/>
          <w:lang w:val="en-US" w:eastAsia="en-US"/>
        </w:rPr>
        <w:t>i</w:t>
      </w:r>
      <w:r w:rsidR="000D760C" w:rsidRPr="00B75C38">
        <w:rPr>
          <w:rFonts w:ascii="Arial" w:eastAsia="Arial" w:hAnsi="Arial" w:cs="Arial"/>
          <w:lang w:val="en-US" w:eastAsia="en-US"/>
        </w:rPr>
        <w:t>o</w:t>
      </w:r>
      <w:r w:rsidR="00344F6E" w:rsidRPr="00B75C38">
        <w:rPr>
          <w:rFonts w:ascii="Arial" w:eastAsia="Arial" w:hAnsi="Arial" w:cs="Arial"/>
          <w:lang w:val="en-US" w:eastAsia="en-US"/>
        </w:rPr>
        <w:t xml:space="preserve">ner </w:t>
      </w:r>
      <w:r w:rsidRPr="00B75C38">
        <w:rPr>
          <w:rFonts w:ascii="Arial" w:eastAsia="Arial" w:hAnsi="Arial" w:cs="Arial"/>
          <w:lang w:val="en-US" w:eastAsia="en-US"/>
        </w:rPr>
        <w:t>(</w:t>
      </w:r>
      <w:r w:rsidR="00344F6E" w:rsidRPr="00B75C38">
        <w:rPr>
          <w:rFonts w:ascii="Arial" w:eastAsia="Arial" w:hAnsi="Arial" w:cs="Arial"/>
          <w:lang w:val="en-US" w:eastAsia="en-US"/>
        </w:rPr>
        <w:t>the LTCS Commissioner</w:t>
      </w:r>
      <w:r w:rsidRPr="00B75C38">
        <w:rPr>
          <w:rFonts w:ascii="Arial" w:eastAsia="Arial" w:hAnsi="Arial" w:cs="Arial"/>
          <w:lang w:val="en-US" w:eastAsia="en-US"/>
        </w:rPr>
        <w:t>)</w:t>
      </w:r>
      <w:r w:rsidRPr="00161853">
        <w:rPr>
          <w:rFonts w:ascii="Arial" w:eastAsia="Arial" w:hAnsi="Arial" w:cs="Arial"/>
          <w:lang w:val="en-US" w:eastAsia="en-US"/>
        </w:rPr>
        <w:t xml:space="preserve"> may waive observance of any</w:t>
      </w:r>
      <w:r w:rsidR="00107EA8">
        <w:rPr>
          <w:rFonts w:ascii="Arial" w:eastAsia="Arial" w:hAnsi="Arial" w:cs="Arial"/>
          <w:lang w:val="en-US" w:eastAsia="en-US"/>
        </w:rPr>
        <w:t xml:space="preserve"> part</w:t>
      </w:r>
      <w:r w:rsidRPr="00161853">
        <w:rPr>
          <w:rFonts w:ascii="Arial" w:eastAsia="Arial" w:hAnsi="Arial" w:cs="Arial"/>
          <w:lang w:val="en-US" w:eastAsia="en-US"/>
        </w:rPr>
        <w:t xml:space="preserve"> or parts of this Guideline. Waiving observance of all or part of this Guideline in any particular circumstances is not an indication that </w:t>
      </w:r>
      <w:r w:rsidR="00344F6E" w:rsidRPr="00161853">
        <w:rPr>
          <w:rFonts w:ascii="Arial" w:eastAsia="Arial" w:hAnsi="Arial" w:cs="Arial"/>
          <w:lang w:val="en-US" w:eastAsia="en-US"/>
        </w:rPr>
        <w:t xml:space="preserve">the </w:t>
      </w:r>
      <w:r w:rsidR="00344F6E" w:rsidRPr="00B75C38">
        <w:rPr>
          <w:rFonts w:ascii="Arial" w:eastAsia="Arial" w:hAnsi="Arial" w:cs="Arial"/>
          <w:lang w:val="en-US" w:eastAsia="en-US"/>
        </w:rPr>
        <w:t>LTCS Commissioner</w:t>
      </w:r>
      <w:r w:rsidR="00344F6E" w:rsidRPr="00161853">
        <w:rPr>
          <w:rFonts w:ascii="Arial" w:eastAsia="Arial" w:hAnsi="Arial" w:cs="Arial"/>
          <w:lang w:val="en-US" w:eastAsia="en-US"/>
        </w:rPr>
        <w:t xml:space="preserve"> </w:t>
      </w:r>
      <w:r w:rsidRPr="00161853">
        <w:rPr>
          <w:rFonts w:ascii="Arial" w:eastAsia="Arial" w:hAnsi="Arial" w:cs="Arial"/>
          <w:lang w:val="en-US" w:eastAsia="en-US"/>
        </w:rPr>
        <w:t xml:space="preserve">will waive observance of this </w:t>
      </w:r>
      <w:r w:rsidR="00107EA8">
        <w:rPr>
          <w:rFonts w:ascii="Arial" w:eastAsia="Arial" w:hAnsi="Arial" w:cs="Arial"/>
          <w:lang w:val="en-US" w:eastAsia="en-US"/>
        </w:rPr>
        <w:t xml:space="preserve">part </w:t>
      </w:r>
      <w:r w:rsidRPr="00161853">
        <w:rPr>
          <w:rFonts w:ascii="Arial" w:eastAsia="Arial" w:hAnsi="Arial" w:cs="Arial"/>
          <w:lang w:val="en-US" w:eastAsia="en-US"/>
        </w:rPr>
        <w:t xml:space="preserve">or any other </w:t>
      </w:r>
      <w:r w:rsidR="00107EA8">
        <w:rPr>
          <w:rFonts w:ascii="Arial" w:eastAsia="Arial" w:hAnsi="Arial" w:cs="Arial"/>
          <w:lang w:val="en-US" w:eastAsia="en-US"/>
        </w:rPr>
        <w:t xml:space="preserve">parts of the </w:t>
      </w:r>
      <w:r w:rsidRPr="00161853">
        <w:rPr>
          <w:rFonts w:ascii="Arial" w:eastAsia="Arial" w:hAnsi="Arial" w:cs="Arial"/>
          <w:lang w:val="en-US" w:eastAsia="en-US"/>
        </w:rPr>
        <w:t>Guideline</w:t>
      </w:r>
      <w:r w:rsidR="00107EA8">
        <w:rPr>
          <w:rFonts w:ascii="Arial" w:eastAsia="Arial" w:hAnsi="Arial" w:cs="Arial"/>
          <w:lang w:val="en-US" w:eastAsia="en-US"/>
        </w:rPr>
        <w:t>s</w:t>
      </w:r>
      <w:r w:rsidRPr="00161853">
        <w:rPr>
          <w:rFonts w:ascii="Arial" w:eastAsia="Arial" w:hAnsi="Arial" w:cs="Arial"/>
          <w:lang w:val="en-US" w:eastAsia="en-US"/>
        </w:rPr>
        <w:t xml:space="preserve"> in other circumstances.</w:t>
      </w:r>
    </w:p>
    <w:p w14:paraId="4C188DB1" w14:textId="77777777" w:rsidR="00F668F3" w:rsidRPr="00C03E0B" w:rsidRDefault="00F668F3" w:rsidP="00F668F3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</w:rPr>
      </w:pPr>
    </w:p>
    <w:p w14:paraId="6500905D" w14:textId="77777777" w:rsidR="00F668F3" w:rsidRPr="00AC03B1" w:rsidRDefault="00F668F3" w:rsidP="00CC6D81">
      <w:pPr>
        <w:pStyle w:val="Heading2"/>
        <w:numPr>
          <w:ilvl w:val="0"/>
          <w:numId w:val="6"/>
        </w:numPr>
        <w:tabs>
          <w:tab w:val="left" w:pos="1183"/>
          <w:tab w:val="left" w:pos="1184"/>
        </w:tabs>
        <w:spacing w:before="72" w:line="362" w:lineRule="auto"/>
        <w:ind w:left="567" w:hanging="567"/>
      </w:pPr>
      <w:bookmarkStart w:id="2" w:name="1_Reasonable_and_necessary_dental_treatm"/>
      <w:bookmarkEnd w:id="2"/>
      <w:r w:rsidRPr="00F668F3">
        <w:t>Reasonable and necessary dental treatment</w:t>
      </w:r>
    </w:p>
    <w:p w14:paraId="61AF1EDE" w14:textId="631A0E50" w:rsidR="00F668F3" w:rsidRPr="00161853" w:rsidRDefault="00344F6E" w:rsidP="00CC6D81">
      <w:pPr>
        <w:pStyle w:val="ListParagraph"/>
        <w:numPr>
          <w:ilvl w:val="1"/>
          <w:numId w:val="6"/>
        </w:numPr>
        <w:tabs>
          <w:tab w:val="left" w:pos="1183"/>
          <w:tab w:val="left" w:pos="1184"/>
        </w:tabs>
        <w:spacing w:before="126" w:line="360" w:lineRule="auto"/>
        <w:ind w:left="567"/>
      </w:pPr>
      <w:r w:rsidRPr="006C5BAE">
        <w:t xml:space="preserve">The </w:t>
      </w:r>
      <w:r w:rsidRPr="00B75C38">
        <w:t>LTCS Commissioner</w:t>
      </w:r>
      <w:r w:rsidRPr="00161853">
        <w:t xml:space="preserve"> </w:t>
      </w:r>
      <w:r w:rsidR="00F668F3" w:rsidRPr="00161853">
        <w:t xml:space="preserve">considers </w:t>
      </w:r>
      <w:r w:rsidR="00107EA8">
        <w:t xml:space="preserve">dental </w:t>
      </w:r>
      <w:r w:rsidR="00F668F3" w:rsidRPr="00161853">
        <w:t>treatment to be reasonable and necessary when treatment is:</w:t>
      </w:r>
    </w:p>
    <w:p w14:paraId="164017BF" w14:textId="6AA243C7" w:rsidR="00F668F3" w:rsidRPr="0016185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161853">
        <w:t>required as a direct result of the motor accident</w:t>
      </w:r>
      <w:r w:rsidR="00F77567" w:rsidRPr="00161853">
        <w:t xml:space="preserve"> </w:t>
      </w:r>
      <w:r w:rsidR="002F4DD5">
        <w:t xml:space="preserve">injury </w:t>
      </w:r>
      <w:r w:rsidR="00F77567" w:rsidRPr="005712B4">
        <w:t xml:space="preserve">or work </w:t>
      </w:r>
      <w:r w:rsidR="00F77567" w:rsidRPr="00B75C38">
        <w:t>injury</w:t>
      </w:r>
      <w:r w:rsidRPr="00161853">
        <w:t>;</w:t>
      </w:r>
    </w:p>
    <w:p w14:paraId="33DBBFD9" w14:textId="3180A76C" w:rsidR="00F668F3" w:rsidRPr="0016185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right="-80" w:hanging="284"/>
      </w:pPr>
      <w:r w:rsidRPr="00161853">
        <w:t>related to, or caused by, side effects of medications for the motor accident</w:t>
      </w:r>
      <w:r w:rsidR="00F77567" w:rsidRPr="00161853">
        <w:t xml:space="preserve"> </w:t>
      </w:r>
      <w:r w:rsidR="002F4DD5">
        <w:t xml:space="preserve">injury </w:t>
      </w:r>
      <w:r w:rsidR="00F77567" w:rsidRPr="00161853">
        <w:t xml:space="preserve">or </w:t>
      </w:r>
      <w:r w:rsidR="00F77567" w:rsidRPr="00B75C38">
        <w:t>work injury</w:t>
      </w:r>
      <w:r w:rsidRPr="00161853">
        <w:t>, and this is evidenced by supporting information from a medical or dental practitioner;</w:t>
      </w:r>
    </w:p>
    <w:p w14:paraId="105BA9EC" w14:textId="5E153871" w:rsidR="00F668F3" w:rsidRPr="00F668F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F668F3">
        <w:t>required because of failure to maintain dental health due to treatment required as a result of the motor accident</w:t>
      </w:r>
      <w:r w:rsidR="00F77567">
        <w:t xml:space="preserve"> </w:t>
      </w:r>
      <w:r w:rsidR="002F4DD5">
        <w:t xml:space="preserve">injury </w:t>
      </w:r>
      <w:r w:rsidR="00F77567" w:rsidRPr="005712B4">
        <w:t xml:space="preserve">or work </w:t>
      </w:r>
      <w:r w:rsidR="00F77567">
        <w:t>injury</w:t>
      </w:r>
      <w:r w:rsidRPr="00F668F3">
        <w:t xml:space="preserve"> (such as an extended stay in an intensive care unit);</w:t>
      </w:r>
    </w:p>
    <w:p w14:paraId="27927E28" w14:textId="77777777" w:rsidR="00F668F3" w:rsidRPr="00F668F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F668F3">
        <w:t>in accordance with accepted dental practice;</w:t>
      </w:r>
    </w:p>
    <w:p w14:paraId="39FE7995" w14:textId="77777777" w:rsidR="00F668F3" w:rsidRPr="00F668F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right="-38" w:hanging="284"/>
      </w:pPr>
      <w:r w:rsidRPr="00F668F3">
        <w:t>provided by</w:t>
      </w:r>
      <w:r w:rsidRPr="00AC03B1">
        <w:t xml:space="preserve"> </w:t>
      </w:r>
      <w:r w:rsidRPr="00F668F3">
        <w:t>a dental practitioner or other specialist (such</w:t>
      </w:r>
      <w:r w:rsidRPr="00AC03B1">
        <w:t xml:space="preserve"> </w:t>
      </w:r>
      <w:r w:rsidRPr="00F668F3">
        <w:t>as an</w:t>
      </w:r>
      <w:r w:rsidRPr="00AC03B1">
        <w:t xml:space="preserve"> </w:t>
      </w:r>
      <w:r w:rsidRPr="00F668F3">
        <w:t>oral</w:t>
      </w:r>
      <w:r w:rsidRPr="00AC03B1">
        <w:t xml:space="preserve"> </w:t>
      </w:r>
      <w:r w:rsidRPr="00F668F3">
        <w:t>and</w:t>
      </w:r>
      <w:r w:rsidRPr="00AC03B1">
        <w:t xml:space="preserve"> </w:t>
      </w:r>
      <w:r w:rsidRPr="00F668F3">
        <w:t>maxillofacial surgeon) registered</w:t>
      </w:r>
      <w:r w:rsidRPr="00AC03B1">
        <w:t xml:space="preserve"> </w:t>
      </w:r>
      <w:r w:rsidRPr="00F668F3">
        <w:t>with the Australian Health</w:t>
      </w:r>
      <w:r w:rsidRPr="00AC03B1">
        <w:t xml:space="preserve"> </w:t>
      </w:r>
      <w:r w:rsidRPr="00F668F3">
        <w:t>Practitioner Regulation Agency</w:t>
      </w:r>
      <w:r w:rsidRPr="00AC03B1">
        <w:t xml:space="preserve"> </w:t>
      </w:r>
      <w:r w:rsidRPr="00F668F3">
        <w:t>(AHPRA) or other appropriate professional body</w:t>
      </w:r>
      <w:r w:rsidRPr="00AC03B1">
        <w:t xml:space="preserve"> </w:t>
      </w:r>
      <w:r w:rsidRPr="00F668F3">
        <w:t>if the</w:t>
      </w:r>
      <w:r w:rsidRPr="00AC03B1">
        <w:t xml:space="preserve"> </w:t>
      </w:r>
      <w:r w:rsidRPr="00F668F3">
        <w:t>participant resides outside Australia; and</w:t>
      </w:r>
    </w:p>
    <w:p w14:paraId="728B13AE" w14:textId="77777777" w:rsidR="00F668F3" w:rsidRPr="00F668F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F668F3">
        <w:t>intended to restore a participant’s dentition to a level that is consistent with their pre-injury standard of dental care.</w:t>
      </w:r>
    </w:p>
    <w:p w14:paraId="5C7EF026" w14:textId="79A3EED9" w:rsidR="00F668F3" w:rsidRPr="00161853" w:rsidRDefault="00344F6E" w:rsidP="00CC6D81">
      <w:pPr>
        <w:pStyle w:val="ListParagraph"/>
        <w:numPr>
          <w:ilvl w:val="1"/>
          <w:numId w:val="6"/>
        </w:numPr>
        <w:tabs>
          <w:tab w:val="left" w:pos="1183"/>
          <w:tab w:val="left" w:pos="1184"/>
        </w:tabs>
        <w:spacing w:line="360" w:lineRule="auto"/>
        <w:ind w:left="567"/>
      </w:pPr>
      <w:r w:rsidRPr="006C5BAE">
        <w:t xml:space="preserve">The </w:t>
      </w:r>
      <w:r w:rsidRPr="00B75C38">
        <w:t>LTCS Commissioner</w:t>
      </w:r>
      <w:r w:rsidRPr="00161853">
        <w:t xml:space="preserve"> </w:t>
      </w:r>
      <w:r w:rsidR="00F668F3" w:rsidRPr="00161853">
        <w:t>considers routine dental treatment to be reasonable and necessary only when treatment is:</w:t>
      </w:r>
    </w:p>
    <w:p w14:paraId="0CCFB80D" w14:textId="6CEF4229" w:rsidR="00F668F3" w:rsidRPr="00F668F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right="-24" w:hanging="284"/>
      </w:pPr>
      <w:r w:rsidRPr="00161853">
        <w:t>a direct result of the motor accident</w:t>
      </w:r>
      <w:r w:rsidR="00F77567" w:rsidRPr="00161853">
        <w:t xml:space="preserve"> </w:t>
      </w:r>
      <w:r w:rsidR="002F4DD5">
        <w:t xml:space="preserve">injury </w:t>
      </w:r>
      <w:r w:rsidR="00F77567" w:rsidRPr="005712B4">
        <w:t>or work</w:t>
      </w:r>
      <w:r w:rsidR="00F77567" w:rsidRPr="00B75C38">
        <w:t xml:space="preserve"> </w:t>
      </w:r>
      <w:r w:rsidRPr="00B75C38">
        <w:t>injury</w:t>
      </w:r>
      <w:r w:rsidRPr="00161853">
        <w:t xml:space="preserve"> (such as</w:t>
      </w:r>
      <w:r w:rsidRPr="00F668F3">
        <w:t xml:space="preserve"> severe traumatic brain injury affecting the participant’s ability to brush their teeth);</w:t>
      </w:r>
    </w:p>
    <w:p w14:paraId="17D480D3" w14:textId="77777777" w:rsidR="00F668F3" w:rsidRPr="00F668F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F668F3">
        <w:t>required in addition to the level of pre-injury</w:t>
      </w:r>
      <w:r w:rsidRPr="0030303D">
        <w:t xml:space="preserve"> </w:t>
      </w:r>
      <w:r w:rsidRPr="00F668F3">
        <w:t>routine dental treatment (such as oral spasticity requiring more</w:t>
      </w:r>
      <w:r w:rsidRPr="0030303D">
        <w:t xml:space="preserve"> </w:t>
      </w:r>
      <w:r w:rsidRPr="00F668F3">
        <w:t>frequent dental treatment by a dental practitioner); and</w:t>
      </w:r>
    </w:p>
    <w:p w14:paraId="2784C418" w14:textId="29B0D011" w:rsidR="00F668F3" w:rsidRPr="0030303D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F668F3">
        <w:lastRenderedPageBreak/>
        <w:t>required to ensure that other forms of dental treatment can be provided (such as a participant with traumatic brain injury requiring a general anaesthetic to treat dental</w:t>
      </w:r>
      <w:r w:rsidR="00CC6D81">
        <w:t xml:space="preserve"> </w:t>
      </w:r>
      <w:r w:rsidRPr="0030303D">
        <w:t>caries).</w:t>
      </w:r>
    </w:p>
    <w:p w14:paraId="196763F3" w14:textId="210EE83B" w:rsidR="00F668F3" w:rsidRPr="00F668F3" w:rsidRDefault="005E4603" w:rsidP="00CC6D81">
      <w:pPr>
        <w:pStyle w:val="ListParagraph"/>
        <w:numPr>
          <w:ilvl w:val="1"/>
          <w:numId w:val="6"/>
        </w:numPr>
        <w:tabs>
          <w:tab w:val="left" w:pos="1183"/>
          <w:tab w:val="left" w:pos="1184"/>
        </w:tabs>
        <w:spacing w:line="360" w:lineRule="auto"/>
        <w:ind w:left="567"/>
      </w:pPr>
      <w:r w:rsidRPr="006C5BAE">
        <w:t xml:space="preserve">The </w:t>
      </w:r>
      <w:r w:rsidRPr="008F3544">
        <w:t>LTCS Commissioner</w:t>
      </w:r>
      <w:r>
        <w:t xml:space="preserve"> does not consider the following dental treatments to be reasonable and necessary</w:t>
      </w:r>
      <w:r w:rsidR="00F668F3" w:rsidRPr="00F668F3">
        <w:t>:</w:t>
      </w:r>
    </w:p>
    <w:p w14:paraId="2E7210A2" w14:textId="77777777" w:rsidR="00F668F3" w:rsidRPr="00F668F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F668F3">
        <w:t>a treatment or service solely for aesthetic purposes, such as teeth whitening;</w:t>
      </w:r>
    </w:p>
    <w:p w14:paraId="68F4E8E5" w14:textId="77777777" w:rsidR="00F668F3" w:rsidRPr="00F668F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F668F3">
        <w:t>a treatment or service that is of no clear benefit to a participant; and</w:t>
      </w:r>
    </w:p>
    <w:p w14:paraId="1697956D" w14:textId="25928E59" w:rsidR="00F668F3" w:rsidRPr="007529B2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right="-150" w:hanging="284"/>
      </w:pPr>
      <w:r w:rsidRPr="00F668F3">
        <w:t>repeat treatment required due</w:t>
      </w:r>
      <w:r w:rsidRPr="005D2194">
        <w:t xml:space="preserve"> </w:t>
      </w:r>
      <w:r w:rsidRPr="00F668F3">
        <w:t>to a</w:t>
      </w:r>
      <w:r w:rsidRPr="005D2194">
        <w:t xml:space="preserve"> </w:t>
      </w:r>
      <w:r w:rsidRPr="00F668F3">
        <w:t>participant’s lack of dental hygiene, unless the</w:t>
      </w:r>
      <w:r w:rsidRPr="005D2194">
        <w:t xml:space="preserve"> </w:t>
      </w:r>
      <w:r w:rsidRPr="00F668F3">
        <w:t>reason for treatment is assessed as</w:t>
      </w:r>
      <w:r w:rsidRPr="005D2194">
        <w:t xml:space="preserve"> </w:t>
      </w:r>
      <w:r w:rsidRPr="00F668F3">
        <w:t>related</w:t>
      </w:r>
      <w:r w:rsidRPr="005D2194">
        <w:t xml:space="preserve"> </w:t>
      </w:r>
      <w:r w:rsidRPr="00F668F3">
        <w:t>to</w:t>
      </w:r>
      <w:r w:rsidRPr="005D2194">
        <w:t xml:space="preserve"> </w:t>
      </w:r>
      <w:r w:rsidRPr="00F668F3">
        <w:t>the</w:t>
      </w:r>
      <w:r w:rsidRPr="005D2194">
        <w:t xml:space="preserve"> </w:t>
      </w:r>
      <w:r w:rsidRPr="00F668F3">
        <w:t>motor</w:t>
      </w:r>
      <w:r w:rsidRPr="005D2194">
        <w:t xml:space="preserve"> </w:t>
      </w:r>
      <w:r w:rsidRPr="00F668F3">
        <w:t>accident</w:t>
      </w:r>
      <w:r w:rsidR="000D0DA0">
        <w:t xml:space="preserve"> injury</w:t>
      </w:r>
      <w:r w:rsidR="00F77567">
        <w:t xml:space="preserve"> </w:t>
      </w:r>
      <w:r w:rsidR="00F77567" w:rsidRPr="005712B4">
        <w:t>or work</w:t>
      </w:r>
      <w:r w:rsidR="00F77567">
        <w:t xml:space="preserve"> injury</w:t>
      </w:r>
      <w:r w:rsidRPr="00F668F3">
        <w:t xml:space="preserve">. </w:t>
      </w:r>
      <w:r w:rsidRPr="007529B2">
        <w:t>For example, cognitive and behavioural issues associated with traumatic brain injury.</w:t>
      </w:r>
    </w:p>
    <w:p w14:paraId="504C3038" w14:textId="339A7963" w:rsidR="00F668F3" w:rsidRPr="00161853" w:rsidRDefault="005E4603" w:rsidP="00CC6D81">
      <w:pPr>
        <w:pStyle w:val="ListParagraph"/>
        <w:numPr>
          <w:ilvl w:val="1"/>
          <w:numId w:val="6"/>
        </w:numPr>
        <w:tabs>
          <w:tab w:val="left" w:pos="1183"/>
          <w:tab w:val="left" w:pos="1184"/>
        </w:tabs>
        <w:spacing w:line="360" w:lineRule="auto"/>
        <w:ind w:left="567"/>
      </w:pPr>
      <w:r w:rsidRPr="006C5BAE">
        <w:t xml:space="preserve">The </w:t>
      </w:r>
      <w:r w:rsidRPr="008F3544">
        <w:t>LTCS Commissioner</w:t>
      </w:r>
      <w:r>
        <w:t xml:space="preserve"> considers</w:t>
      </w:r>
      <w:r w:rsidR="00F668F3" w:rsidRPr="00161853">
        <w:t xml:space="preserve"> reasonable expenses in relation to the participant’s assessed treatment and care needs in relation to dental treatment will not include:</w:t>
      </w:r>
    </w:p>
    <w:p w14:paraId="15E2A1F9" w14:textId="1E1EE5F8" w:rsidR="00F668F3" w:rsidRPr="00B75C38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right="-136" w:hanging="284"/>
      </w:pPr>
      <w:r w:rsidRPr="00161853">
        <w:t>a treatment or service inconsistent with the participant’s pre-injury standard of dental care unless the reason for treatment is assessed as being exacerbated or aggravated by the motor accident</w:t>
      </w:r>
      <w:r w:rsidR="00F77567" w:rsidRPr="00161853">
        <w:t xml:space="preserve"> </w:t>
      </w:r>
      <w:r w:rsidR="002F4DD5">
        <w:t xml:space="preserve">injury </w:t>
      </w:r>
      <w:r w:rsidR="00F77567" w:rsidRPr="00161853">
        <w:t xml:space="preserve">or </w:t>
      </w:r>
      <w:r w:rsidR="00F77567" w:rsidRPr="00B75C38">
        <w:t>work injury</w:t>
      </w:r>
      <w:r w:rsidRPr="00B75C38">
        <w:t>;</w:t>
      </w:r>
    </w:p>
    <w:p w14:paraId="326C87D4" w14:textId="3F645E3D" w:rsidR="00F668F3" w:rsidRPr="00F668F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right="-108" w:hanging="284"/>
      </w:pPr>
      <w:r w:rsidRPr="00F668F3">
        <w:t>a treatment or service where there is no published</w:t>
      </w:r>
      <w:r w:rsidR="005B4077">
        <w:t xml:space="preserve"> peer-reviewed</w:t>
      </w:r>
      <w:r w:rsidRPr="00F668F3">
        <w:t xml:space="preserve"> evidence relating to its safety or effectiveness;</w:t>
      </w:r>
    </w:p>
    <w:p w14:paraId="08A3969A" w14:textId="77777777" w:rsidR="00F668F3" w:rsidRPr="00F668F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F668F3">
        <w:t>fees associated with non-attendance (unless the reason for non-attendance is beyond the participant’s control); and</w:t>
      </w:r>
    </w:p>
    <w:p w14:paraId="3F704AEC" w14:textId="091959A0" w:rsidR="00F668F3" w:rsidRPr="007F3A65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7F3A65">
        <w:t>standard household expenses associated with dental care such as toothbrushes,</w:t>
      </w:r>
      <w:r w:rsidR="00892313">
        <w:t xml:space="preserve"> </w:t>
      </w:r>
      <w:r w:rsidRPr="007F3A65">
        <w:t>toothpaste, dental floss and mouthwash.</w:t>
      </w:r>
    </w:p>
    <w:p w14:paraId="51F720C4" w14:textId="77777777" w:rsidR="00F668F3" w:rsidRPr="00C03E0B" w:rsidRDefault="00F668F3" w:rsidP="00F668F3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</w:rPr>
      </w:pPr>
    </w:p>
    <w:p w14:paraId="10B0E1AA" w14:textId="77777777" w:rsidR="00F668F3" w:rsidRPr="005D2194" w:rsidRDefault="00F668F3" w:rsidP="00CC6D81">
      <w:pPr>
        <w:pStyle w:val="Heading2"/>
        <w:numPr>
          <w:ilvl w:val="0"/>
          <w:numId w:val="6"/>
        </w:numPr>
        <w:tabs>
          <w:tab w:val="left" w:pos="1183"/>
          <w:tab w:val="left" w:pos="1184"/>
        </w:tabs>
        <w:spacing w:before="72" w:line="362" w:lineRule="auto"/>
        <w:ind w:left="567" w:hanging="567"/>
      </w:pPr>
      <w:bookmarkStart w:id="3" w:name="2_Method_of_assessment_and_criteria_used"/>
      <w:bookmarkEnd w:id="3"/>
      <w:r w:rsidRPr="00F668F3">
        <w:t>Method of assessment and criteria used to determine reasonable and necessary treatment and care needs for or in connection with dental treatment</w:t>
      </w:r>
    </w:p>
    <w:p w14:paraId="6CCDDDCB" w14:textId="482F87E2" w:rsidR="00F668F3" w:rsidRPr="00F668F3" w:rsidRDefault="00823105" w:rsidP="00CC6D81">
      <w:pPr>
        <w:pStyle w:val="ListParagraph"/>
        <w:numPr>
          <w:ilvl w:val="1"/>
          <w:numId w:val="6"/>
        </w:numPr>
        <w:tabs>
          <w:tab w:val="left" w:pos="1183"/>
          <w:tab w:val="left" w:pos="1184"/>
        </w:tabs>
        <w:spacing w:line="360" w:lineRule="auto"/>
        <w:ind w:left="567"/>
      </w:pPr>
      <w:r w:rsidRPr="006C5BAE">
        <w:t xml:space="preserve">The </w:t>
      </w:r>
      <w:r w:rsidRPr="008F3544">
        <w:t>LTCS Commissioner</w:t>
      </w:r>
      <w:r>
        <w:t>’s</w:t>
      </w:r>
      <w:r w:rsidR="00F668F3" w:rsidRPr="00F668F3">
        <w:t xml:space="preserve"> assessment of </w:t>
      </w:r>
      <w:r w:rsidR="005B4077">
        <w:t xml:space="preserve">a participant’s </w:t>
      </w:r>
      <w:r w:rsidR="00F668F3" w:rsidRPr="00F668F3">
        <w:t>treatment and care needs</w:t>
      </w:r>
      <w:r w:rsidR="005B4077">
        <w:t xml:space="preserve"> for or</w:t>
      </w:r>
      <w:r w:rsidR="00F668F3" w:rsidRPr="00F668F3">
        <w:t xml:space="preserve"> in connection with dental treatment must:</w:t>
      </w:r>
    </w:p>
    <w:p w14:paraId="30C2A6F0" w14:textId="77777777" w:rsidR="00F668F3" w:rsidRPr="00F668F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F668F3">
        <w:t>be made in collaboration with the participant and dental practitioner; and</w:t>
      </w:r>
    </w:p>
    <w:p w14:paraId="368B1822" w14:textId="77777777" w:rsidR="00F668F3" w:rsidRPr="00F668F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F668F3">
        <w:t>take into account the participant’s injury-related needs and their impact on the participant’s ability to perform or be assisted with dental hygiene tasks.</w:t>
      </w:r>
    </w:p>
    <w:p w14:paraId="1129AD1E" w14:textId="627CB66D" w:rsidR="00F668F3" w:rsidRPr="00F668F3" w:rsidRDefault="00F668F3" w:rsidP="00CC6D81">
      <w:pPr>
        <w:pStyle w:val="ListParagraph"/>
        <w:numPr>
          <w:ilvl w:val="1"/>
          <w:numId w:val="6"/>
        </w:numPr>
        <w:tabs>
          <w:tab w:val="left" w:pos="1183"/>
          <w:tab w:val="left" w:pos="1184"/>
        </w:tabs>
        <w:spacing w:line="360" w:lineRule="auto"/>
        <w:ind w:left="567"/>
      </w:pPr>
      <w:r w:rsidRPr="00F668F3">
        <w:t xml:space="preserve">Information required by </w:t>
      </w:r>
      <w:r w:rsidR="00344F6E" w:rsidRPr="006C5BAE">
        <w:t xml:space="preserve">the </w:t>
      </w:r>
      <w:r w:rsidR="00344F6E" w:rsidRPr="00B75C38">
        <w:t>LTCS Commissioner</w:t>
      </w:r>
      <w:r w:rsidR="00344F6E" w:rsidRPr="00161853">
        <w:t xml:space="preserve"> </w:t>
      </w:r>
      <w:r w:rsidRPr="00161853">
        <w:t>to</w:t>
      </w:r>
      <w:r w:rsidRPr="00F668F3">
        <w:t xml:space="preserve"> </w:t>
      </w:r>
      <w:r w:rsidR="005E4603">
        <w:t>make an assessment</w:t>
      </w:r>
      <w:r w:rsidRPr="00F668F3">
        <w:t xml:space="preserve"> includes:</w:t>
      </w:r>
    </w:p>
    <w:p w14:paraId="06E3066F" w14:textId="22417202" w:rsidR="00F668F3" w:rsidRPr="00F668F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F668F3">
        <w:t>information relating to the motor accident</w:t>
      </w:r>
      <w:r w:rsidR="00CD5EF0">
        <w:t xml:space="preserve"> </w:t>
      </w:r>
      <w:r w:rsidR="002F4DD5">
        <w:t xml:space="preserve">injury </w:t>
      </w:r>
      <w:r w:rsidR="00CD5EF0">
        <w:t>or work injury</w:t>
      </w:r>
      <w:r w:rsidRPr="00F668F3">
        <w:t>, to establish whether dental injuries may have occurred through direct trauma to the mouth or facial injuries;</w:t>
      </w:r>
    </w:p>
    <w:p w14:paraId="4E7A7C15" w14:textId="7C95755A" w:rsidR="00F668F3" w:rsidRPr="00F668F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F668F3">
        <w:t>information from a medical practitioner as to</w:t>
      </w:r>
      <w:r w:rsidRPr="005D2194">
        <w:t xml:space="preserve"> </w:t>
      </w:r>
      <w:r w:rsidRPr="00F668F3">
        <w:t>the likely cause of the presenting dental needs, if the participant</w:t>
      </w:r>
      <w:r w:rsidRPr="005D2194">
        <w:t xml:space="preserve"> </w:t>
      </w:r>
      <w:r w:rsidRPr="00F668F3">
        <w:t>has pre-</w:t>
      </w:r>
      <w:r w:rsidR="00162019">
        <w:t>existing</w:t>
      </w:r>
      <w:r w:rsidRPr="00F668F3">
        <w:t xml:space="preserve"> or co-existing medical conditions that may impact on their need</w:t>
      </w:r>
      <w:r w:rsidRPr="005D2194">
        <w:t xml:space="preserve"> </w:t>
      </w:r>
      <w:r w:rsidRPr="00F668F3">
        <w:t>for dental</w:t>
      </w:r>
      <w:r w:rsidRPr="005D2194">
        <w:t xml:space="preserve"> </w:t>
      </w:r>
      <w:r w:rsidRPr="00F668F3">
        <w:t>treatment;</w:t>
      </w:r>
    </w:p>
    <w:p w14:paraId="4BF70E77" w14:textId="77777777" w:rsidR="00F668F3" w:rsidRPr="00F668F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right="-80" w:hanging="284"/>
      </w:pPr>
      <w:r w:rsidRPr="00F668F3">
        <w:t>information from any or all dentists where the participant received treatment prior to their injury;</w:t>
      </w:r>
    </w:p>
    <w:p w14:paraId="5FF2C717" w14:textId="77777777" w:rsidR="00F668F3" w:rsidRPr="00F668F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F668F3">
        <w:t>a fully itemised account or quotation from a registered practitioner;</w:t>
      </w:r>
    </w:p>
    <w:p w14:paraId="7FCCB1B7" w14:textId="77777777" w:rsidR="00F668F3" w:rsidRPr="00F668F3" w:rsidRDefault="00F668F3" w:rsidP="00F35C70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F668F3">
        <w:lastRenderedPageBreak/>
        <w:t>an outline of the goals of the proposed treatment; and</w:t>
      </w:r>
    </w:p>
    <w:p w14:paraId="6ACABD0D" w14:textId="77777777" w:rsidR="00F668F3" w:rsidRPr="00F668F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F668F3">
        <w:t>information about the participant’s injury-related needs and the ability to perform, or be assisted with, any recommended dental hygiene that the treatment may require.</w:t>
      </w:r>
    </w:p>
    <w:p w14:paraId="6AE4DCE6" w14:textId="0CC40073" w:rsidR="00F668F3" w:rsidRPr="00161853" w:rsidRDefault="00F668F3" w:rsidP="00CC6D81">
      <w:pPr>
        <w:pStyle w:val="ListParagraph"/>
        <w:numPr>
          <w:ilvl w:val="1"/>
          <w:numId w:val="6"/>
        </w:numPr>
        <w:tabs>
          <w:tab w:val="left" w:pos="1183"/>
          <w:tab w:val="left" w:pos="1184"/>
        </w:tabs>
        <w:spacing w:line="360" w:lineRule="auto"/>
        <w:ind w:left="567"/>
      </w:pPr>
      <w:r w:rsidRPr="00F668F3">
        <w:t xml:space="preserve">Information required by </w:t>
      </w:r>
      <w:r w:rsidR="00344F6E" w:rsidRPr="006C5BAE">
        <w:t xml:space="preserve">the </w:t>
      </w:r>
      <w:r w:rsidR="00344F6E" w:rsidRPr="00B75C38">
        <w:t>LTCS Commissioner</w:t>
      </w:r>
      <w:r w:rsidR="00344F6E" w:rsidRPr="00161853">
        <w:t xml:space="preserve"> </w:t>
      </w:r>
      <w:r w:rsidRPr="00161853">
        <w:t xml:space="preserve">to </w:t>
      </w:r>
      <w:r w:rsidR="005E4603">
        <w:t>make an assessment</w:t>
      </w:r>
      <w:r w:rsidRPr="00161853">
        <w:t xml:space="preserve"> may include a second opinion or quote in circumstances where:</w:t>
      </w:r>
    </w:p>
    <w:p w14:paraId="68FB48EE" w14:textId="00F096A5" w:rsidR="00F668F3" w:rsidRPr="0016185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161853">
        <w:t>the relationship to the motor accident</w:t>
      </w:r>
      <w:r w:rsidR="00CD5EF0" w:rsidRPr="00161853">
        <w:t xml:space="preserve"> </w:t>
      </w:r>
      <w:r w:rsidR="002F4DD5">
        <w:t xml:space="preserve">injury </w:t>
      </w:r>
      <w:r w:rsidR="00CD5EF0" w:rsidRPr="00161853">
        <w:t>or work injury</w:t>
      </w:r>
      <w:r w:rsidRPr="00161853">
        <w:t xml:space="preserve"> is unclear; or</w:t>
      </w:r>
    </w:p>
    <w:p w14:paraId="0B29C987" w14:textId="379BE818" w:rsidR="00F668F3" w:rsidRPr="00F668F3" w:rsidRDefault="00344F6E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161853">
        <w:t xml:space="preserve">the </w:t>
      </w:r>
      <w:r w:rsidRPr="00B75C38">
        <w:t>LTCS Commissioner</w:t>
      </w:r>
      <w:r w:rsidRPr="00161853">
        <w:t xml:space="preserve"> </w:t>
      </w:r>
      <w:r w:rsidR="00F668F3" w:rsidRPr="00161853">
        <w:t>regards the</w:t>
      </w:r>
      <w:r w:rsidR="00F668F3" w:rsidRPr="00F668F3">
        <w:t xml:space="preserve"> dental treatment as complex or extensive.</w:t>
      </w:r>
    </w:p>
    <w:p w14:paraId="5D24E535" w14:textId="5651EDE7" w:rsidR="00F668F3" w:rsidRPr="00F668F3" w:rsidRDefault="00F668F3" w:rsidP="00CC6D81">
      <w:pPr>
        <w:pStyle w:val="ListParagraph"/>
        <w:numPr>
          <w:ilvl w:val="1"/>
          <w:numId w:val="6"/>
        </w:numPr>
        <w:tabs>
          <w:tab w:val="left" w:pos="1183"/>
          <w:tab w:val="left" w:pos="1184"/>
        </w:tabs>
        <w:spacing w:line="360" w:lineRule="auto"/>
        <w:ind w:left="567"/>
      </w:pPr>
      <w:r w:rsidRPr="00F668F3">
        <w:t>The dental treatment must be requested prior to commencement of the treatment unless the treatment is emergency treatment or is otherwise urgent.</w:t>
      </w:r>
    </w:p>
    <w:p w14:paraId="6B79FFB0" w14:textId="77777777" w:rsidR="00F668F3" w:rsidRPr="00C03E0B" w:rsidRDefault="00F668F3" w:rsidP="00F668F3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</w:rPr>
      </w:pPr>
    </w:p>
    <w:p w14:paraId="4252F02F" w14:textId="0D7AF34E" w:rsidR="00F668F3" w:rsidRPr="005D2194" w:rsidRDefault="00F668F3" w:rsidP="00CC6D81">
      <w:pPr>
        <w:pStyle w:val="Heading2"/>
        <w:numPr>
          <w:ilvl w:val="0"/>
          <w:numId w:val="6"/>
        </w:numPr>
        <w:tabs>
          <w:tab w:val="left" w:pos="1183"/>
          <w:tab w:val="left" w:pos="1184"/>
        </w:tabs>
        <w:spacing w:before="72" w:line="362" w:lineRule="auto"/>
        <w:ind w:left="567" w:hanging="567"/>
      </w:pPr>
      <w:bookmarkStart w:id="4" w:name="3_Dentures"/>
      <w:bookmarkEnd w:id="4"/>
      <w:r w:rsidRPr="005D2194">
        <w:t>Dentures</w:t>
      </w:r>
      <w:r w:rsidR="005E4603">
        <w:t xml:space="preserve"> and other removable appliances</w:t>
      </w:r>
    </w:p>
    <w:p w14:paraId="02D50EA0" w14:textId="16FAD115" w:rsidR="00F668F3" w:rsidRPr="00F668F3" w:rsidRDefault="00F668F3" w:rsidP="00CC6D81">
      <w:pPr>
        <w:pStyle w:val="ListParagraph"/>
        <w:numPr>
          <w:ilvl w:val="1"/>
          <w:numId w:val="6"/>
        </w:numPr>
        <w:tabs>
          <w:tab w:val="left" w:pos="1183"/>
          <w:tab w:val="left" w:pos="1184"/>
        </w:tabs>
        <w:spacing w:line="360" w:lineRule="auto"/>
        <w:ind w:left="567"/>
      </w:pPr>
      <w:r w:rsidRPr="00F668F3">
        <w:t xml:space="preserve">Where the participant required </w:t>
      </w:r>
      <w:r w:rsidR="005E4603">
        <w:t>a removable appliance</w:t>
      </w:r>
      <w:r w:rsidR="005E4603" w:rsidRPr="00F668F3">
        <w:t xml:space="preserve"> </w:t>
      </w:r>
      <w:r w:rsidRPr="00F668F3">
        <w:t>prior to the motor accident</w:t>
      </w:r>
      <w:r w:rsidR="00CD5EF0">
        <w:t xml:space="preserve"> </w:t>
      </w:r>
      <w:r w:rsidR="002F4DD5">
        <w:t xml:space="preserve">injury </w:t>
      </w:r>
      <w:r w:rsidR="00CD5EF0">
        <w:t>or work injury</w:t>
      </w:r>
      <w:r w:rsidRPr="00F668F3">
        <w:t xml:space="preserve">, </w:t>
      </w:r>
      <w:r w:rsidR="00344F6E" w:rsidRPr="006C5BAE">
        <w:t xml:space="preserve">the </w:t>
      </w:r>
      <w:r w:rsidR="00344F6E" w:rsidRPr="00B75C38">
        <w:t>LTCS Commissioner</w:t>
      </w:r>
      <w:r w:rsidR="00344F6E" w:rsidRPr="00161853">
        <w:t xml:space="preserve"> </w:t>
      </w:r>
      <w:r w:rsidRPr="00161853">
        <w:t>will</w:t>
      </w:r>
      <w:r w:rsidRPr="00F668F3">
        <w:t xml:space="preserve"> not replace </w:t>
      </w:r>
      <w:r w:rsidR="005E4603">
        <w:t>the removable appliance if</w:t>
      </w:r>
      <w:r w:rsidR="005E4603" w:rsidRPr="00F668F3">
        <w:t xml:space="preserve"> </w:t>
      </w:r>
      <w:r w:rsidRPr="00F668F3">
        <w:t>lost or</w:t>
      </w:r>
      <w:r w:rsidRPr="005D2194">
        <w:t xml:space="preserve"> </w:t>
      </w:r>
      <w:r w:rsidRPr="00F668F3">
        <w:t>damaged in the motor accident</w:t>
      </w:r>
      <w:r w:rsidR="00CD5EF0">
        <w:t xml:space="preserve"> </w:t>
      </w:r>
      <w:r w:rsidR="002F4DD5">
        <w:t xml:space="preserve">injury </w:t>
      </w:r>
      <w:r w:rsidR="00CD5EF0">
        <w:t xml:space="preserve">or work </w:t>
      </w:r>
      <w:r w:rsidR="000C33D2">
        <w:t>injury</w:t>
      </w:r>
      <w:r w:rsidRPr="00F668F3">
        <w:t>, in hospital or inpatient rehabilitation unless:</w:t>
      </w:r>
    </w:p>
    <w:p w14:paraId="429EB18B" w14:textId="39CCA51F" w:rsidR="00F668F3" w:rsidRPr="00F668F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F668F3">
        <w:t xml:space="preserve">there is a direct impact on other accident-related dental treatment if the </w:t>
      </w:r>
      <w:r w:rsidR="00162019">
        <w:t xml:space="preserve">removable appliance was </w:t>
      </w:r>
      <w:r w:rsidRPr="00F668F3">
        <w:t>not replaced at the same time; and</w:t>
      </w:r>
    </w:p>
    <w:p w14:paraId="5D0DFBC9" w14:textId="77777777" w:rsidR="00F668F3" w:rsidRPr="00F668F3" w:rsidRDefault="00F668F3" w:rsidP="00CC6D81">
      <w:pPr>
        <w:pStyle w:val="ListParagraph"/>
        <w:numPr>
          <w:ilvl w:val="2"/>
          <w:numId w:val="6"/>
        </w:numPr>
        <w:tabs>
          <w:tab w:val="left" w:pos="1469"/>
        </w:tabs>
        <w:spacing w:line="360" w:lineRule="auto"/>
        <w:ind w:left="851" w:hanging="284"/>
      </w:pPr>
      <w:r w:rsidRPr="00F668F3">
        <w:t>there is evidence of direct trauma to the mouth from the accident.</w:t>
      </w:r>
    </w:p>
    <w:p w14:paraId="7C813A23" w14:textId="77777777" w:rsidR="00F668F3" w:rsidRPr="00F668F3" w:rsidRDefault="00F668F3" w:rsidP="00F668F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004857" w14:textId="06265E1D" w:rsidR="00983B21" w:rsidRDefault="00983B21">
      <w:bookmarkStart w:id="5" w:name="Part_22:_Medical_treatment_including_pha"/>
      <w:bookmarkStart w:id="6" w:name="1_Reasonable_and_necessary_medical_treat"/>
      <w:bookmarkStart w:id="7" w:name="_bookmark1"/>
      <w:bookmarkEnd w:id="5"/>
      <w:bookmarkEnd w:id="6"/>
      <w:bookmarkEnd w:id="7"/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3969"/>
        <w:gridCol w:w="3686"/>
      </w:tblGrid>
      <w:tr w:rsidR="00983B21" w14:paraId="501E8BF0" w14:textId="77777777" w:rsidTr="00CC6D81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E422F9" w14:textId="77777777" w:rsidR="00983B21" w:rsidRDefault="00983B21">
            <w:pPr>
              <w:rPr>
                <w:b/>
                <w:bCs/>
              </w:rPr>
            </w:pPr>
            <w:r>
              <w:rPr>
                <w:b/>
                <w:bCs/>
              </w:rPr>
              <w:t>Applicable provisions of the LTCS Act</w:t>
            </w:r>
          </w:p>
        </w:tc>
      </w:tr>
      <w:tr w:rsidR="00983B21" w14:paraId="292D25C5" w14:textId="77777777" w:rsidTr="00CC6D8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EEB5C17" w14:textId="079272B8" w:rsidR="00983B21" w:rsidRDefault="00983B21">
            <w:r>
              <w:t xml:space="preserve">Part </w:t>
            </w:r>
            <w:r w:rsidR="00A462D2">
              <w:t>21</w:t>
            </w:r>
            <w:r>
              <w:t xml:space="preserve"> - LTCS Guidelines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6638B964" w14:textId="77777777" w:rsidR="00983B21" w:rsidRDefault="00983B21">
            <w:r>
              <w:t>LTCS Act reference</w:t>
            </w:r>
          </w:p>
        </w:tc>
      </w:tr>
      <w:tr w:rsidR="00983B21" w14:paraId="200C436D" w14:textId="77777777" w:rsidTr="00CC6D8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0EB462" w14:textId="637D7157" w:rsidR="00983B21" w:rsidRDefault="00983B21">
            <w:r>
              <w:t xml:space="preserve">Dental treatment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32AE7D3" w14:textId="77777777" w:rsidR="00983B21" w:rsidRDefault="00983B21">
            <w:r>
              <w:t xml:space="preserve">Sections 9, 23  </w:t>
            </w:r>
          </w:p>
        </w:tc>
      </w:tr>
    </w:tbl>
    <w:p w14:paraId="008CE8BE" w14:textId="002A5B61" w:rsidR="00983B21" w:rsidRDefault="00983B21"/>
    <w:sectPr w:rsidR="00983B21" w:rsidSect="00F35C70">
      <w:footerReference w:type="default" r:id="rId13"/>
      <w:pgSz w:w="11907" w:h="16840" w:code="9"/>
      <w:pgMar w:top="1060" w:right="1276" w:bottom="658" w:left="1276" w:header="720" w:footer="62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C040" w14:textId="77777777" w:rsidR="000A6C9C" w:rsidRDefault="000A6C9C" w:rsidP="008A5DA2">
      <w:pPr>
        <w:spacing w:after="0" w:line="240" w:lineRule="auto"/>
      </w:pPr>
      <w:r>
        <w:separator/>
      </w:r>
    </w:p>
  </w:endnote>
  <w:endnote w:type="continuationSeparator" w:id="0">
    <w:p w14:paraId="01F6331E" w14:textId="77777777" w:rsidR="000A6C9C" w:rsidRDefault="000A6C9C" w:rsidP="008A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3C8A" w14:textId="77777777" w:rsidR="005F74D2" w:rsidRDefault="005F74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A8EF" w14:textId="77777777" w:rsidR="00044B38" w:rsidRDefault="00044B38" w:rsidP="00044B3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*Name amended under Legislation Act, s 60</w:t>
    </w:r>
  </w:p>
  <w:p w14:paraId="49CFEA0D" w14:textId="700160BD" w:rsidR="00044B38" w:rsidRPr="005F74D2" w:rsidRDefault="005F74D2" w:rsidP="005F74D2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5F74D2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59A8" w14:textId="77777777" w:rsidR="005F74D2" w:rsidRDefault="005F74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25226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4"/>
        <w:szCs w:val="14"/>
      </w:rPr>
    </w:sdtEndPr>
    <w:sdtContent>
      <w:p w14:paraId="0AA435B1" w14:textId="2E599022" w:rsidR="009E4EAF" w:rsidRPr="00CC6D81" w:rsidRDefault="007529B2" w:rsidP="00CC6D81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AFB73" w14:textId="7FE92346" w:rsidR="007529B2" w:rsidRPr="005F74D2" w:rsidRDefault="005F74D2" w:rsidP="005F74D2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5F74D2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1B68" w14:textId="77777777" w:rsidR="000A6C9C" w:rsidRDefault="000A6C9C" w:rsidP="008A5DA2">
      <w:pPr>
        <w:spacing w:after="0" w:line="240" w:lineRule="auto"/>
      </w:pPr>
      <w:r>
        <w:separator/>
      </w:r>
    </w:p>
  </w:footnote>
  <w:footnote w:type="continuationSeparator" w:id="0">
    <w:p w14:paraId="6B951F04" w14:textId="77777777" w:rsidR="000A6C9C" w:rsidRDefault="000A6C9C" w:rsidP="008A5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DB3E" w14:textId="77777777" w:rsidR="005F74D2" w:rsidRDefault="005F74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2B0C" w14:textId="77777777" w:rsidR="005F74D2" w:rsidRDefault="005F74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BC24" w14:textId="77777777" w:rsidR="005F74D2" w:rsidRDefault="005F7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832" w:hanging="721"/>
      </w:pPr>
      <w:rPr>
        <w:rFonts w:ascii="Arial" w:hAnsi="Arial" w:cs="Arial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79" w:hanging="567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420" w:hanging="286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073" w:hanging="286"/>
      </w:pPr>
    </w:lvl>
    <w:lvl w:ilvl="4">
      <w:numFmt w:val="bullet"/>
      <w:lvlText w:val="•"/>
      <w:lvlJc w:val="left"/>
      <w:pPr>
        <w:ind w:left="3186" w:hanging="286"/>
      </w:pPr>
    </w:lvl>
    <w:lvl w:ilvl="5">
      <w:numFmt w:val="bullet"/>
      <w:lvlText w:val="•"/>
      <w:lvlJc w:val="left"/>
      <w:pPr>
        <w:ind w:left="4299" w:hanging="286"/>
      </w:pPr>
    </w:lvl>
    <w:lvl w:ilvl="6">
      <w:numFmt w:val="bullet"/>
      <w:lvlText w:val="•"/>
      <w:lvlJc w:val="left"/>
      <w:pPr>
        <w:ind w:left="5413" w:hanging="286"/>
      </w:pPr>
    </w:lvl>
    <w:lvl w:ilvl="7">
      <w:numFmt w:val="bullet"/>
      <w:lvlText w:val="•"/>
      <w:lvlJc w:val="left"/>
      <w:pPr>
        <w:ind w:left="6526" w:hanging="286"/>
      </w:pPr>
    </w:lvl>
    <w:lvl w:ilvl="8">
      <w:numFmt w:val="bullet"/>
      <w:lvlText w:val="•"/>
      <w:lvlJc w:val="left"/>
      <w:pPr>
        <w:ind w:left="7639" w:hanging="28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679" w:hanging="567"/>
      </w:pPr>
    </w:lvl>
    <w:lvl w:ilvl="1">
      <w:start w:val="3"/>
      <w:numFmt w:val="decimal"/>
      <w:lvlText w:val="%1.%2"/>
      <w:lvlJc w:val="left"/>
      <w:pPr>
        <w:ind w:left="679" w:hanging="567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964" w:hanging="286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939" w:hanging="286"/>
      </w:pPr>
    </w:lvl>
    <w:lvl w:ilvl="4">
      <w:numFmt w:val="bullet"/>
      <w:lvlText w:val="•"/>
      <w:lvlJc w:val="left"/>
      <w:pPr>
        <w:ind w:left="3928" w:hanging="286"/>
      </w:pPr>
    </w:lvl>
    <w:lvl w:ilvl="5">
      <w:numFmt w:val="bullet"/>
      <w:lvlText w:val="•"/>
      <w:lvlJc w:val="left"/>
      <w:pPr>
        <w:ind w:left="4918" w:hanging="286"/>
      </w:pPr>
    </w:lvl>
    <w:lvl w:ilvl="6">
      <w:numFmt w:val="bullet"/>
      <w:lvlText w:val="•"/>
      <w:lvlJc w:val="left"/>
      <w:pPr>
        <w:ind w:left="5908" w:hanging="286"/>
      </w:pPr>
    </w:lvl>
    <w:lvl w:ilvl="7">
      <w:numFmt w:val="bullet"/>
      <w:lvlText w:val="•"/>
      <w:lvlJc w:val="left"/>
      <w:pPr>
        <w:ind w:left="6897" w:hanging="286"/>
      </w:pPr>
    </w:lvl>
    <w:lvl w:ilvl="8">
      <w:numFmt w:val="bullet"/>
      <w:lvlText w:val="•"/>
      <w:lvlJc w:val="left"/>
      <w:pPr>
        <w:ind w:left="7887" w:hanging="286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678" w:hanging="567"/>
      </w:pPr>
      <w:rPr>
        <w:rFonts w:ascii="Arial" w:hAnsi="Arial" w:cs="Arial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78" w:hanging="567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963" w:hanging="286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939" w:hanging="286"/>
      </w:pPr>
    </w:lvl>
    <w:lvl w:ilvl="4">
      <w:numFmt w:val="bullet"/>
      <w:lvlText w:val="•"/>
      <w:lvlJc w:val="left"/>
      <w:pPr>
        <w:ind w:left="3928" w:hanging="286"/>
      </w:pPr>
    </w:lvl>
    <w:lvl w:ilvl="5">
      <w:numFmt w:val="bullet"/>
      <w:lvlText w:val="•"/>
      <w:lvlJc w:val="left"/>
      <w:pPr>
        <w:ind w:left="4918" w:hanging="286"/>
      </w:pPr>
    </w:lvl>
    <w:lvl w:ilvl="6">
      <w:numFmt w:val="bullet"/>
      <w:lvlText w:val="•"/>
      <w:lvlJc w:val="left"/>
      <w:pPr>
        <w:ind w:left="5908" w:hanging="286"/>
      </w:pPr>
    </w:lvl>
    <w:lvl w:ilvl="7">
      <w:numFmt w:val="bullet"/>
      <w:lvlText w:val="•"/>
      <w:lvlJc w:val="left"/>
      <w:pPr>
        <w:ind w:left="6897" w:hanging="286"/>
      </w:pPr>
    </w:lvl>
    <w:lvl w:ilvl="8">
      <w:numFmt w:val="bullet"/>
      <w:lvlText w:val="•"/>
      <w:lvlJc w:val="left"/>
      <w:pPr>
        <w:ind w:left="7887" w:hanging="286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679" w:hanging="567"/>
      </w:pPr>
    </w:lvl>
    <w:lvl w:ilvl="1">
      <w:start w:val="3"/>
      <w:numFmt w:val="decimal"/>
      <w:lvlText w:val="%1.%2"/>
      <w:lvlJc w:val="left"/>
      <w:pPr>
        <w:ind w:left="679" w:hanging="567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964" w:hanging="286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939" w:hanging="286"/>
      </w:pPr>
    </w:lvl>
    <w:lvl w:ilvl="4">
      <w:numFmt w:val="bullet"/>
      <w:lvlText w:val="•"/>
      <w:lvlJc w:val="left"/>
      <w:pPr>
        <w:ind w:left="3928" w:hanging="286"/>
      </w:pPr>
    </w:lvl>
    <w:lvl w:ilvl="5">
      <w:numFmt w:val="bullet"/>
      <w:lvlText w:val="•"/>
      <w:lvlJc w:val="left"/>
      <w:pPr>
        <w:ind w:left="4918" w:hanging="286"/>
      </w:pPr>
    </w:lvl>
    <w:lvl w:ilvl="6">
      <w:numFmt w:val="bullet"/>
      <w:lvlText w:val="•"/>
      <w:lvlJc w:val="left"/>
      <w:pPr>
        <w:ind w:left="5908" w:hanging="286"/>
      </w:pPr>
    </w:lvl>
    <w:lvl w:ilvl="7">
      <w:numFmt w:val="bullet"/>
      <w:lvlText w:val="•"/>
      <w:lvlJc w:val="left"/>
      <w:pPr>
        <w:ind w:left="6897" w:hanging="286"/>
      </w:pPr>
    </w:lvl>
    <w:lvl w:ilvl="8">
      <w:numFmt w:val="bullet"/>
      <w:lvlText w:val="•"/>
      <w:lvlJc w:val="left"/>
      <w:pPr>
        <w:ind w:left="7887" w:hanging="286"/>
      </w:pPr>
    </w:lvl>
  </w:abstractNum>
  <w:abstractNum w:abstractNumId="4" w15:restartNumberingAfterBreak="0">
    <w:nsid w:val="00000406"/>
    <w:multiLevelType w:val="multilevel"/>
    <w:tmpl w:val="00000889"/>
    <w:lvl w:ilvl="0">
      <w:start w:val="3"/>
      <w:numFmt w:val="decimal"/>
      <w:lvlText w:val="%1"/>
      <w:lvlJc w:val="left"/>
      <w:pPr>
        <w:ind w:left="678" w:hanging="567"/>
      </w:pPr>
      <w:rPr>
        <w:rFonts w:ascii="Arial" w:hAnsi="Arial" w:cs="Arial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78" w:hanging="567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964" w:hanging="286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939" w:hanging="286"/>
      </w:pPr>
    </w:lvl>
    <w:lvl w:ilvl="4">
      <w:numFmt w:val="bullet"/>
      <w:lvlText w:val="•"/>
      <w:lvlJc w:val="left"/>
      <w:pPr>
        <w:ind w:left="3928" w:hanging="286"/>
      </w:pPr>
    </w:lvl>
    <w:lvl w:ilvl="5">
      <w:numFmt w:val="bullet"/>
      <w:lvlText w:val="•"/>
      <w:lvlJc w:val="left"/>
      <w:pPr>
        <w:ind w:left="4918" w:hanging="286"/>
      </w:pPr>
    </w:lvl>
    <w:lvl w:ilvl="6">
      <w:numFmt w:val="bullet"/>
      <w:lvlText w:val="•"/>
      <w:lvlJc w:val="left"/>
      <w:pPr>
        <w:ind w:left="5908" w:hanging="286"/>
      </w:pPr>
    </w:lvl>
    <w:lvl w:ilvl="7">
      <w:numFmt w:val="bullet"/>
      <w:lvlText w:val="•"/>
      <w:lvlJc w:val="left"/>
      <w:pPr>
        <w:ind w:left="6897" w:hanging="286"/>
      </w:pPr>
    </w:lvl>
    <w:lvl w:ilvl="8">
      <w:numFmt w:val="bullet"/>
      <w:lvlText w:val="•"/>
      <w:lvlJc w:val="left"/>
      <w:pPr>
        <w:ind w:left="7887" w:hanging="286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"/>
      <w:lvlJc w:val="left"/>
      <w:pPr>
        <w:ind w:left="832" w:hanging="721"/>
      </w:pPr>
      <w:rPr>
        <w:rFonts w:ascii="Arial" w:hAnsi="Arial" w:cs="Arial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78" w:hanging="567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964" w:hanging="286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073" w:hanging="286"/>
      </w:pPr>
    </w:lvl>
    <w:lvl w:ilvl="4">
      <w:numFmt w:val="bullet"/>
      <w:lvlText w:val="•"/>
      <w:lvlJc w:val="left"/>
      <w:pPr>
        <w:ind w:left="3186" w:hanging="286"/>
      </w:pPr>
    </w:lvl>
    <w:lvl w:ilvl="5">
      <w:numFmt w:val="bullet"/>
      <w:lvlText w:val="•"/>
      <w:lvlJc w:val="left"/>
      <w:pPr>
        <w:ind w:left="4299" w:hanging="286"/>
      </w:pPr>
    </w:lvl>
    <w:lvl w:ilvl="6">
      <w:numFmt w:val="bullet"/>
      <w:lvlText w:val="•"/>
      <w:lvlJc w:val="left"/>
      <w:pPr>
        <w:ind w:left="5413" w:hanging="286"/>
      </w:pPr>
    </w:lvl>
    <w:lvl w:ilvl="7">
      <w:numFmt w:val="bullet"/>
      <w:lvlText w:val="•"/>
      <w:lvlJc w:val="left"/>
      <w:pPr>
        <w:ind w:left="6526" w:hanging="286"/>
      </w:pPr>
    </w:lvl>
    <w:lvl w:ilvl="8">
      <w:numFmt w:val="bullet"/>
      <w:lvlText w:val="•"/>
      <w:lvlJc w:val="left"/>
      <w:pPr>
        <w:ind w:left="7639" w:hanging="286"/>
      </w:pPr>
    </w:lvl>
  </w:abstractNum>
  <w:num w:numId="1" w16cid:durableId="1916355287">
    <w:abstractNumId w:val="5"/>
  </w:num>
  <w:num w:numId="2" w16cid:durableId="1510682197">
    <w:abstractNumId w:val="4"/>
  </w:num>
  <w:num w:numId="3" w16cid:durableId="381057418">
    <w:abstractNumId w:val="3"/>
  </w:num>
  <w:num w:numId="4" w16cid:durableId="762533154">
    <w:abstractNumId w:val="2"/>
  </w:num>
  <w:num w:numId="5" w16cid:durableId="655039770">
    <w:abstractNumId w:val="1"/>
  </w:num>
  <w:num w:numId="6" w16cid:durableId="205593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F3"/>
    <w:rsid w:val="00044B38"/>
    <w:rsid w:val="000567D9"/>
    <w:rsid w:val="000A00C8"/>
    <w:rsid w:val="000A6C9C"/>
    <w:rsid w:val="000C33D2"/>
    <w:rsid w:val="000D0DA0"/>
    <w:rsid w:val="000D760C"/>
    <w:rsid w:val="00107EA8"/>
    <w:rsid w:val="00161853"/>
    <w:rsid w:val="00162019"/>
    <w:rsid w:val="0018406A"/>
    <w:rsid w:val="001A0F4A"/>
    <w:rsid w:val="001B61B1"/>
    <w:rsid w:val="001C1912"/>
    <w:rsid w:val="001E4EF9"/>
    <w:rsid w:val="00232DC5"/>
    <w:rsid w:val="00273FC1"/>
    <w:rsid w:val="002D458C"/>
    <w:rsid w:val="002F4DD5"/>
    <w:rsid w:val="0030303D"/>
    <w:rsid w:val="0030558D"/>
    <w:rsid w:val="003126A9"/>
    <w:rsid w:val="003424AB"/>
    <w:rsid w:val="00344F6E"/>
    <w:rsid w:val="003D7A36"/>
    <w:rsid w:val="00407448"/>
    <w:rsid w:val="0050786B"/>
    <w:rsid w:val="00545CBF"/>
    <w:rsid w:val="005712B4"/>
    <w:rsid w:val="0058799C"/>
    <w:rsid w:val="005B4077"/>
    <w:rsid w:val="005D2194"/>
    <w:rsid w:val="005E4603"/>
    <w:rsid w:val="005F74D2"/>
    <w:rsid w:val="006421ED"/>
    <w:rsid w:val="006C5BAE"/>
    <w:rsid w:val="006F25C6"/>
    <w:rsid w:val="007529B2"/>
    <w:rsid w:val="007E0B7E"/>
    <w:rsid w:val="007F3A65"/>
    <w:rsid w:val="00805801"/>
    <w:rsid w:val="00823105"/>
    <w:rsid w:val="008414C5"/>
    <w:rsid w:val="008910E2"/>
    <w:rsid w:val="00892313"/>
    <w:rsid w:val="00896E46"/>
    <w:rsid w:val="008A5DA2"/>
    <w:rsid w:val="008D1989"/>
    <w:rsid w:val="0093001B"/>
    <w:rsid w:val="0095646A"/>
    <w:rsid w:val="00983B21"/>
    <w:rsid w:val="009E3CB2"/>
    <w:rsid w:val="009E4EAF"/>
    <w:rsid w:val="00A462D2"/>
    <w:rsid w:val="00AC03B1"/>
    <w:rsid w:val="00AC284B"/>
    <w:rsid w:val="00AF56A7"/>
    <w:rsid w:val="00B04DAF"/>
    <w:rsid w:val="00B42870"/>
    <w:rsid w:val="00B75C38"/>
    <w:rsid w:val="00BA577C"/>
    <w:rsid w:val="00C03E0B"/>
    <w:rsid w:val="00C53E28"/>
    <w:rsid w:val="00C75789"/>
    <w:rsid w:val="00CC6D81"/>
    <w:rsid w:val="00CD5EF0"/>
    <w:rsid w:val="00D92715"/>
    <w:rsid w:val="00DA36D2"/>
    <w:rsid w:val="00E00694"/>
    <w:rsid w:val="00E15AF7"/>
    <w:rsid w:val="00E320D8"/>
    <w:rsid w:val="00E7321A"/>
    <w:rsid w:val="00E873EF"/>
    <w:rsid w:val="00F35C70"/>
    <w:rsid w:val="00F668F3"/>
    <w:rsid w:val="00F77567"/>
    <w:rsid w:val="00FB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38133"/>
  <w15:chartTrackingRefBased/>
  <w15:docId w15:val="{A6348CBB-9B6E-4BC0-9F84-EE909549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03B1"/>
    <w:pPr>
      <w:widowControl w:val="0"/>
      <w:autoSpaceDE w:val="0"/>
      <w:autoSpaceDN w:val="0"/>
      <w:spacing w:before="71" w:after="0" w:line="240" w:lineRule="auto"/>
      <w:ind w:left="472"/>
      <w:outlineLvl w:val="0"/>
    </w:pPr>
    <w:rPr>
      <w:rFonts w:ascii="Arial" w:eastAsia="Arial" w:hAnsi="Arial" w:cs="Arial"/>
      <w:b/>
      <w:bCs/>
      <w:sz w:val="28"/>
      <w:szCs w:val="28"/>
      <w:lang w:val="en-US"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AC03B1"/>
    <w:pPr>
      <w:widowControl w:val="0"/>
      <w:autoSpaceDE w:val="0"/>
      <w:autoSpaceDN w:val="0"/>
      <w:spacing w:after="0" w:line="240" w:lineRule="auto"/>
      <w:ind w:left="1038" w:hanging="567"/>
      <w:outlineLvl w:val="1"/>
    </w:pPr>
    <w:rPr>
      <w:rFonts w:ascii="Arial" w:eastAsia="Arial" w:hAnsi="Arial" w:cs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D760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7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5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75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56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C03B1"/>
    <w:rPr>
      <w:rFonts w:ascii="Arial" w:eastAsia="Arial" w:hAnsi="Arial" w:cs="Arial"/>
      <w:b/>
      <w:bCs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03B1"/>
    <w:rPr>
      <w:rFonts w:ascii="Arial" w:eastAsia="Arial" w:hAnsi="Arial" w:cs="Arial"/>
      <w:b/>
      <w:bCs/>
      <w:lang w:val="en-US" w:eastAsia="en-US"/>
    </w:rPr>
  </w:style>
  <w:style w:type="paragraph" w:styleId="ListParagraph">
    <w:name w:val="List Paragraph"/>
    <w:basedOn w:val="Normal"/>
    <w:uiPriority w:val="1"/>
    <w:qFormat/>
    <w:rsid w:val="00AC03B1"/>
    <w:pPr>
      <w:widowControl w:val="0"/>
      <w:autoSpaceDE w:val="0"/>
      <w:autoSpaceDN w:val="0"/>
      <w:spacing w:after="0" w:line="240" w:lineRule="auto"/>
      <w:ind w:left="1324" w:hanging="286"/>
    </w:pPr>
    <w:rPr>
      <w:rFonts w:ascii="Arial" w:eastAsia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A5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DA2"/>
  </w:style>
  <w:style w:type="paragraph" w:styleId="Footer">
    <w:name w:val="footer"/>
    <w:basedOn w:val="Normal"/>
    <w:link w:val="FooterChar"/>
    <w:uiPriority w:val="99"/>
    <w:unhideWhenUsed/>
    <w:rsid w:val="008A5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DA2"/>
  </w:style>
  <w:style w:type="table" w:styleId="TableGrid">
    <w:name w:val="Table Grid"/>
    <w:basedOn w:val="TableNormal"/>
    <w:uiPriority w:val="39"/>
    <w:rsid w:val="00983B21"/>
    <w:pPr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ED"/>
    <w:rPr>
      <w:rFonts w:ascii="Segoe UI" w:hAnsi="Segoe UI" w:cs="Segoe UI"/>
      <w:sz w:val="18"/>
      <w:szCs w:val="18"/>
    </w:rPr>
  </w:style>
  <w:style w:type="paragraph" w:customStyle="1" w:styleId="Billname">
    <w:name w:val="Billname"/>
    <w:basedOn w:val="Normal"/>
    <w:rsid w:val="007529B2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  <w:lang w:eastAsia="en-US"/>
    </w:rPr>
  </w:style>
  <w:style w:type="paragraph" w:customStyle="1" w:styleId="N-line3">
    <w:name w:val="N-line3"/>
    <w:basedOn w:val="Normal"/>
    <w:next w:val="Normal"/>
    <w:rsid w:val="007529B2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madeunder">
    <w:name w:val="made under"/>
    <w:basedOn w:val="Normal"/>
    <w:rsid w:val="007529B2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overActName">
    <w:name w:val="CoverActName"/>
    <w:basedOn w:val="Normal"/>
    <w:rsid w:val="007529B2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6031</Characters>
  <Application>Microsoft Office Word</Application>
  <DocSecurity>0</DocSecurity>
  <Lines>125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Lisa</dc:creator>
  <cp:keywords>2</cp:keywords>
  <dc:description/>
  <cp:lastModifiedBy>PCODCS</cp:lastModifiedBy>
  <cp:revision>4</cp:revision>
  <dcterms:created xsi:type="dcterms:W3CDTF">2025-10-23T01:54:00Z</dcterms:created>
  <dcterms:modified xsi:type="dcterms:W3CDTF">2025-10-23T01:54:00Z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2025-09-03T23:41:40Z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aed24dd2-a31c-4851-9a39-4a50098d57d5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14900091</vt:lpwstr>
  </property>
  <property fmtid="{D5CDD505-2E9C-101B-9397-08002B2CF9AE}" pid="12" name="JMSREQUIREDCHECKIN">
    <vt:lpwstr/>
  </property>
</Properties>
</file>