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0CD6" w14:textId="37EC7AEE" w:rsidR="00F136A2" w:rsidRDefault="00F136A2" w:rsidP="00A77D00">
      <w:pPr>
        <w:pStyle w:val="Header"/>
        <w:tabs>
          <w:tab w:val="clear" w:pos="4153"/>
          <w:tab w:val="clear" w:pos="8306"/>
        </w:tabs>
        <w:spacing w:before="120"/>
        <w:rPr>
          <w:rFonts w:ascii="Arial" w:hAnsi="Arial" w:cs="Arial"/>
        </w:rPr>
      </w:pPr>
      <w:r>
        <w:rPr>
          <w:rFonts w:ascii="Arial" w:hAnsi="Arial" w:cs="Arial"/>
        </w:rPr>
        <w:t>Australian Capital Territory</w:t>
      </w:r>
    </w:p>
    <w:p w14:paraId="48E464A7" w14:textId="3B4C81E5" w:rsidR="00F136A2" w:rsidRDefault="00F136A2" w:rsidP="00A77D00">
      <w:pPr>
        <w:pStyle w:val="Billname"/>
        <w:spacing w:before="700"/>
      </w:pPr>
      <w:r>
        <w:t>Bu</w:t>
      </w:r>
      <w:r w:rsidR="00A657F5">
        <w:t>ilding (Fees) Determination 20</w:t>
      </w:r>
      <w:r w:rsidR="00C36995">
        <w:t>2</w:t>
      </w:r>
      <w:r w:rsidR="00842CBD">
        <w:t>6</w:t>
      </w:r>
    </w:p>
    <w:p w14:paraId="7CF63E9E" w14:textId="6D52EC3F" w:rsidR="009154AE" w:rsidRDefault="002A521C" w:rsidP="00A77D00">
      <w:pPr>
        <w:pStyle w:val="Heading7"/>
        <w:spacing w:before="340" w:after="0"/>
        <w:rPr>
          <w:color w:val="000000"/>
        </w:rPr>
      </w:pPr>
      <w:bookmarkStart w:id="0" w:name="Citation"/>
      <w:r>
        <w:t xml:space="preserve">Disallowable </w:t>
      </w:r>
      <w:r w:rsidR="00A77D00">
        <w:t>i</w:t>
      </w:r>
      <w:r>
        <w:t xml:space="preserve">nstrument </w:t>
      </w:r>
      <w:r w:rsidR="00526070">
        <w:rPr>
          <w:color w:val="000000"/>
        </w:rPr>
        <w:t>DI202</w:t>
      </w:r>
      <w:r w:rsidR="00842CBD">
        <w:rPr>
          <w:color w:val="000000"/>
        </w:rPr>
        <w:t>6-</w:t>
      </w:r>
      <w:r w:rsidR="00016FD3">
        <w:rPr>
          <w:color w:val="000000"/>
        </w:rPr>
        <w:t>163</w:t>
      </w:r>
    </w:p>
    <w:p w14:paraId="0DCD3F71" w14:textId="77777777" w:rsidR="00F136A2" w:rsidRPr="00A77D00" w:rsidRDefault="00F136A2" w:rsidP="00A77D00">
      <w:pPr>
        <w:pStyle w:val="Heading7"/>
        <w:spacing w:before="300" w:after="0"/>
        <w:rPr>
          <w:rFonts w:ascii="Times New Roman" w:hAnsi="Times New Roman" w:cs="Times New Roman"/>
          <w:b w:val="0"/>
        </w:rPr>
      </w:pPr>
      <w:r w:rsidRPr="00A77D00">
        <w:rPr>
          <w:rFonts w:ascii="Times New Roman" w:hAnsi="Times New Roman" w:cs="Times New Roman"/>
          <w:b w:val="0"/>
        </w:rPr>
        <w:t>made under the</w:t>
      </w:r>
    </w:p>
    <w:p w14:paraId="16079843" w14:textId="77777777" w:rsidR="00F136A2" w:rsidRDefault="00F136A2" w:rsidP="00A77D00">
      <w:pPr>
        <w:pStyle w:val="CoverActName"/>
        <w:spacing w:before="320" w:after="0"/>
        <w:rPr>
          <w:sz w:val="20"/>
          <w:szCs w:val="20"/>
          <w:vertAlign w:val="superscript"/>
        </w:rPr>
      </w:pPr>
      <w:r w:rsidRPr="00AA7924">
        <w:rPr>
          <w:sz w:val="20"/>
          <w:szCs w:val="20"/>
        </w:rPr>
        <w:t>Building Act 2004</w:t>
      </w:r>
      <w:r>
        <w:rPr>
          <w:sz w:val="20"/>
          <w:szCs w:val="20"/>
        </w:rPr>
        <w:t>, s 150 (Determination of fees)</w:t>
      </w:r>
    </w:p>
    <w:bookmarkEnd w:id="0"/>
    <w:p w14:paraId="3C68FD62" w14:textId="77777777" w:rsidR="00F136A2" w:rsidRDefault="00F136A2" w:rsidP="00A77D00">
      <w:pPr>
        <w:pStyle w:val="N-line3"/>
        <w:pBdr>
          <w:bottom w:val="none" w:sz="0" w:space="0" w:color="auto"/>
        </w:pBdr>
        <w:spacing w:before="60"/>
      </w:pPr>
    </w:p>
    <w:p w14:paraId="22CD778A" w14:textId="77777777" w:rsidR="00F136A2" w:rsidRDefault="00F136A2">
      <w:pPr>
        <w:pStyle w:val="N-line3"/>
        <w:pBdr>
          <w:top w:val="single" w:sz="12" w:space="1" w:color="auto"/>
          <w:bottom w:val="none" w:sz="0" w:space="0" w:color="auto"/>
        </w:pBdr>
      </w:pPr>
    </w:p>
    <w:p w14:paraId="3F6FA1EE" w14:textId="77777777" w:rsidR="00F136A2" w:rsidRDefault="00F136A2" w:rsidP="00A77D00">
      <w:pPr>
        <w:numPr>
          <w:ilvl w:val="0"/>
          <w:numId w:val="25"/>
        </w:numPr>
        <w:spacing w:before="60"/>
        <w:ind w:hanging="720"/>
        <w:rPr>
          <w:rFonts w:ascii="Arial" w:hAnsi="Arial" w:cs="Arial"/>
          <w:b/>
          <w:bCs/>
        </w:rPr>
      </w:pPr>
      <w:r>
        <w:rPr>
          <w:rFonts w:ascii="Arial" w:hAnsi="Arial" w:cs="Arial"/>
          <w:b/>
          <w:bCs/>
        </w:rPr>
        <w:t xml:space="preserve">Name of </w:t>
      </w:r>
      <w:r w:rsidR="00A77D00">
        <w:rPr>
          <w:rFonts w:ascii="Arial" w:hAnsi="Arial" w:cs="Arial"/>
          <w:b/>
          <w:bCs/>
        </w:rPr>
        <w:t>i</w:t>
      </w:r>
      <w:r>
        <w:rPr>
          <w:rFonts w:ascii="Arial" w:hAnsi="Arial" w:cs="Arial"/>
          <w:b/>
          <w:bCs/>
        </w:rPr>
        <w:t>nstrument</w:t>
      </w:r>
    </w:p>
    <w:p w14:paraId="38A3F52A" w14:textId="71C97824" w:rsidR="00F136A2" w:rsidRDefault="00F136A2" w:rsidP="00A77D00">
      <w:pPr>
        <w:pStyle w:val="BodyTextIndent3"/>
        <w:tabs>
          <w:tab w:val="num" w:pos="426"/>
          <w:tab w:val="num" w:pos="709"/>
        </w:tabs>
        <w:spacing w:before="140"/>
        <w:ind w:left="720"/>
        <w:rPr>
          <w:i/>
          <w:iCs/>
        </w:rPr>
      </w:pPr>
      <w:r>
        <w:t xml:space="preserve">This instrument is the </w:t>
      </w:r>
      <w:r>
        <w:rPr>
          <w:i/>
          <w:iCs/>
        </w:rPr>
        <w:t>Building (Fees) Determination 20</w:t>
      </w:r>
      <w:r w:rsidR="00C36995">
        <w:rPr>
          <w:i/>
          <w:iCs/>
        </w:rPr>
        <w:t>2</w:t>
      </w:r>
      <w:r w:rsidR="00842CBD">
        <w:rPr>
          <w:i/>
          <w:iCs/>
        </w:rPr>
        <w:t>6</w:t>
      </w:r>
      <w:r w:rsidR="008058AE">
        <w:rPr>
          <w:i/>
          <w:iCs/>
        </w:rPr>
        <w:t>.</w:t>
      </w:r>
    </w:p>
    <w:p w14:paraId="05010D99" w14:textId="77777777" w:rsidR="00F136A2" w:rsidRDefault="00F136A2" w:rsidP="00A77D00">
      <w:pPr>
        <w:numPr>
          <w:ilvl w:val="0"/>
          <w:numId w:val="25"/>
        </w:numPr>
        <w:spacing w:before="300"/>
        <w:ind w:hanging="720"/>
        <w:rPr>
          <w:rFonts w:ascii="Arial" w:hAnsi="Arial" w:cs="Arial"/>
          <w:b/>
          <w:bCs/>
        </w:rPr>
      </w:pPr>
      <w:r>
        <w:rPr>
          <w:rFonts w:ascii="Arial" w:hAnsi="Arial" w:cs="Arial"/>
          <w:b/>
          <w:bCs/>
        </w:rPr>
        <w:t>Commencement</w:t>
      </w:r>
    </w:p>
    <w:p w14:paraId="1473690C" w14:textId="4504ED83" w:rsidR="00526EC3" w:rsidRDefault="00526EC3" w:rsidP="00A77D00">
      <w:pPr>
        <w:spacing w:before="140"/>
        <w:ind w:left="720"/>
      </w:pPr>
      <w:r>
        <w:t>This ins</w:t>
      </w:r>
      <w:r w:rsidR="00A657F5">
        <w:t>trument commences on 1 July</w:t>
      </w:r>
      <w:r w:rsidR="00EF5075">
        <w:t xml:space="preserve"> </w:t>
      </w:r>
      <w:r w:rsidR="00A657F5">
        <w:t>20</w:t>
      </w:r>
      <w:r w:rsidR="00C36995">
        <w:t>2</w:t>
      </w:r>
      <w:r w:rsidR="00842CBD">
        <w:t>6</w:t>
      </w:r>
      <w:r w:rsidR="00D46220">
        <w:t>.</w:t>
      </w:r>
    </w:p>
    <w:p w14:paraId="2A91A942" w14:textId="77777777" w:rsidR="00F136A2" w:rsidRDefault="00F136A2" w:rsidP="00A77D00">
      <w:pPr>
        <w:numPr>
          <w:ilvl w:val="0"/>
          <w:numId w:val="25"/>
        </w:numPr>
        <w:spacing w:before="300"/>
        <w:ind w:hanging="720"/>
        <w:rPr>
          <w:rFonts w:ascii="Arial" w:hAnsi="Arial" w:cs="Arial"/>
          <w:b/>
          <w:bCs/>
        </w:rPr>
      </w:pPr>
      <w:r>
        <w:rPr>
          <w:rFonts w:ascii="Arial" w:hAnsi="Arial" w:cs="Arial"/>
          <w:b/>
          <w:bCs/>
        </w:rPr>
        <w:t>Determination of fees</w:t>
      </w:r>
    </w:p>
    <w:p w14:paraId="31170FC9" w14:textId="1FA98557" w:rsidR="00F136A2" w:rsidRDefault="00AA7924" w:rsidP="00A77D00">
      <w:pPr>
        <w:pStyle w:val="BodyTextIndent3"/>
        <w:numPr>
          <w:ilvl w:val="0"/>
          <w:numId w:val="39"/>
        </w:numPr>
        <w:spacing w:before="140"/>
        <w:ind w:left="721" w:hanging="437"/>
      </w:pPr>
      <w:r>
        <w:t xml:space="preserve">I determine the fee payable for a matter listed in </w:t>
      </w:r>
      <w:r w:rsidRPr="00D67827">
        <w:t xml:space="preserve">column </w:t>
      </w:r>
      <w:r w:rsidR="00D67827" w:rsidRPr="00D67827">
        <w:t>3</w:t>
      </w:r>
      <w:r w:rsidRPr="00D67827">
        <w:t xml:space="preserve"> of the schedule to be the fee listed in the corresponding entry in column </w:t>
      </w:r>
      <w:r w:rsidR="00D67827" w:rsidRPr="00D67827">
        <w:t>5</w:t>
      </w:r>
      <w:r>
        <w:t xml:space="preserve"> of the schedule.</w:t>
      </w:r>
    </w:p>
    <w:p w14:paraId="1AC51FBF" w14:textId="1B8A2021" w:rsidR="00F136A2" w:rsidRDefault="00F136A2" w:rsidP="006700E1">
      <w:pPr>
        <w:pStyle w:val="BodyTextIndent3"/>
        <w:numPr>
          <w:ilvl w:val="0"/>
          <w:numId w:val="39"/>
        </w:numPr>
        <w:spacing w:before="140"/>
        <w:ind w:left="721" w:hanging="437"/>
      </w:pPr>
      <w:r>
        <w:t xml:space="preserve">This determination does not apply to the lodging with the </w:t>
      </w:r>
      <w:r w:rsidR="00710D32">
        <w:t xml:space="preserve">City and </w:t>
      </w:r>
      <w:r w:rsidR="00AA7924">
        <w:t>Environment</w:t>
      </w:r>
      <w:r w:rsidR="00710D32">
        <w:t xml:space="preserve"> </w:t>
      </w:r>
      <w:r w:rsidR="00FC22C7">
        <w:t xml:space="preserve">Directorate or </w:t>
      </w:r>
      <w:r w:rsidR="00546F8D">
        <w:t xml:space="preserve">the </w:t>
      </w:r>
      <w:r w:rsidR="00526070">
        <w:t xml:space="preserve">Territory </w:t>
      </w:r>
      <w:r w:rsidR="00546F8D">
        <w:t>Planning A</w:t>
      </w:r>
      <w:r w:rsidR="00FC22C7">
        <w:t>uthority</w:t>
      </w:r>
      <w:r>
        <w:t xml:space="preserve">, under the </w:t>
      </w:r>
      <w:r w:rsidRPr="00FC22C7">
        <w:rPr>
          <w:i/>
        </w:rPr>
        <w:t>Building Act 2004</w:t>
      </w:r>
      <w:r w:rsidR="002A521C">
        <w:t>,</w:t>
      </w:r>
      <w:r>
        <w:t xml:space="preserve"> </w:t>
      </w:r>
      <w:r w:rsidR="00A04576">
        <w:t xml:space="preserve">section 28 (2), </w:t>
      </w:r>
      <w:r w:rsidR="00526EC3">
        <w:t xml:space="preserve">of </w:t>
      </w:r>
      <w:r>
        <w:t>a copy of plans relating to:</w:t>
      </w:r>
    </w:p>
    <w:p w14:paraId="175F9E2F" w14:textId="50096447" w:rsidR="00F136A2" w:rsidRDefault="00F136A2" w:rsidP="006700E1">
      <w:pPr>
        <w:pStyle w:val="Header"/>
        <w:numPr>
          <w:ilvl w:val="0"/>
          <w:numId w:val="35"/>
        </w:numPr>
        <w:tabs>
          <w:tab w:val="clear" w:pos="4153"/>
          <w:tab w:val="clear" w:pos="8306"/>
          <w:tab w:val="num" w:pos="720"/>
        </w:tabs>
        <w:spacing w:before="140"/>
        <w:rPr>
          <w:snapToGrid w:val="0"/>
          <w:color w:val="000000"/>
        </w:rPr>
      </w:pPr>
      <w:r>
        <w:rPr>
          <w:snapToGrid w:val="0"/>
          <w:color w:val="000000"/>
        </w:rPr>
        <w:t xml:space="preserve">a parcel of land on which a building or structure was destroyed or damaged by fire, or in the course of fighting fire, associated with the bushfire emergency that began on 18 January 2003 and ended on </w:t>
      </w:r>
      <w:r w:rsidR="00181682">
        <w:rPr>
          <w:snapToGrid w:val="0"/>
          <w:color w:val="000000"/>
        </w:rPr>
        <w:t>28 </w:t>
      </w:r>
      <w:r>
        <w:rPr>
          <w:snapToGrid w:val="0"/>
          <w:color w:val="000000"/>
        </w:rPr>
        <w:t>January 2003</w:t>
      </w:r>
      <w:r w:rsidR="00424B32">
        <w:rPr>
          <w:snapToGrid w:val="0"/>
          <w:color w:val="000000"/>
        </w:rPr>
        <w:t xml:space="preserve"> (the </w:t>
      </w:r>
      <w:r w:rsidR="00424B32" w:rsidRPr="00424B32">
        <w:rPr>
          <w:b/>
          <w:bCs/>
          <w:i/>
          <w:iCs/>
          <w:snapToGrid w:val="0"/>
          <w:color w:val="000000"/>
        </w:rPr>
        <w:t>bushfire emergency</w:t>
      </w:r>
      <w:r w:rsidR="00424B32">
        <w:rPr>
          <w:snapToGrid w:val="0"/>
          <w:color w:val="000000"/>
        </w:rPr>
        <w:t>)</w:t>
      </w:r>
      <w:r>
        <w:rPr>
          <w:snapToGrid w:val="0"/>
          <w:color w:val="000000"/>
        </w:rPr>
        <w:t>; and</w:t>
      </w:r>
    </w:p>
    <w:p w14:paraId="4A44229A" w14:textId="77777777" w:rsidR="00F136A2" w:rsidRDefault="00F136A2" w:rsidP="006700E1">
      <w:pPr>
        <w:pStyle w:val="Header"/>
        <w:numPr>
          <w:ilvl w:val="0"/>
          <w:numId w:val="35"/>
        </w:numPr>
        <w:tabs>
          <w:tab w:val="clear" w:pos="4153"/>
          <w:tab w:val="clear" w:pos="8306"/>
          <w:tab w:val="num" w:pos="720"/>
        </w:tabs>
        <w:spacing w:before="140"/>
        <w:rPr>
          <w:snapToGrid w:val="0"/>
          <w:color w:val="000000"/>
        </w:rPr>
      </w:pPr>
      <w:r>
        <w:rPr>
          <w:snapToGrid w:val="0"/>
          <w:color w:val="000000"/>
        </w:rPr>
        <w:t>the erection or alteration of a building or structure that:</w:t>
      </w:r>
    </w:p>
    <w:p w14:paraId="32F04A42" w14:textId="77777777" w:rsidR="00F136A2" w:rsidRDefault="00F136A2" w:rsidP="006700E1">
      <w:pPr>
        <w:pStyle w:val="Header"/>
        <w:tabs>
          <w:tab w:val="clear" w:pos="4153"/>
          <w:tab w:val="clear" w:pos="8306"/>
        </w:tabs>
        <w:spacing w:before="140"/>
        <w:ind w:left="1418" w:hanging="284"/>
        <w:rPr>
          <w:snapToGrid w:val="0"/>
          <w:color w:val="000000"/>
        </w:rPr>
      </w:pPr>
      <w:r>
        <w:rPr>
          <w:snapToGrid w:val="0"/>
          <w:color w:val="000000"/>
        </w:rPr>
        <w:t>(</w:t>
      </w:r>
      <w:proofErr w:type="spellStart"/>
      <w:r>
        <w:rPr>
          <w:snapToGrid w:val="0"/>
          <w:color w:val="000000"/>
        </w:rPr>
        <w:t>i</w:t>
      </w:r>
      <w:proofErr w:type="spellEnd"/>
      <w:r>
        <w:rPr>
          <w:snapToGrid w:val="0"/>
          <w:color w:val="000000"/>
        </w:rPr>
        <w:t>)</w:t>
      </w:r>
      <w:r>
        <w:rPr>
          <w:snapToGrid w:val="0"/>
          <w:color w:val="000000"/>
        </w:rPr>
        <w:tab/>
        <w:t xml:space="preserve">replaces a building or structure of the same kind that was located on the land immediately before the beginning of the bushfire emergency and was damaged during the bushfire emergency; and </w:t>
      </w:r>
    </w:p>
    <w:p w14:paraId="475D976C" w14:textId="77777777" w:rsidR="00F136A2" w:rsidRDefault="00F136A2" w:rsidP="006700E1">
      <w:pPr>
        <w:pStyle w:val="Header"/>
        <w:tabs>
          <w:tab w:val="clear" w:pos="4153"/>
          <w:tab w:val="clear" w:pos="8306"/>
        </w:tabs>
        <w:spacing w:before="140"/>
        <w:ind w:left="1418" w:hanging="284"/>
        <w:rPr>
          <w:snapToGrid w:val="0"/>
          <w:color w:val="000000"/>
        </w:rPr>
      </w:pPr>
      <w:r>
        <w:rPr>
          <w:snapToGrid w:val="0"/>
          <w:color w:val="000000"/>
        </w:rPr>
        <w:t>(ii)</w:t>
      </w:r>
      <w:r>
        <w:rPr>
          <w:snapToGrid w:val="0"/>
          <w:color w:val="000000"/>
        </w:rPr>
        <w:tab/>
      </w:r>
      <w:r w:rsidR="00AA7924">
        <w:rPr>
          <w:snapToGrid w:val="0"/>
          <w:color w:val="000000"/>
        </w:rPr>
        <w:t xml:space="preserve"> </w:t>
      </w:r>
      <w:r>
        <w:rPr>
          <w:snapToGrid w:val="0"/>
          <w:color w:val="000000"/>
        </w:rPr>
        <w:t>would not result in an increase in the number of dwellings on the land.</w:t>
      </w:r>
    </w:p>
    <w:p w14:paraId="6C86F514" w14:textId="77777777" w:rsidR="00F136A2" w:rsidRDefault="00F136A2" w:rsidP="006700E1">
      <w:pPr>
        <w:pStyle w:val="BodyTextIndent3"/>
        <w:numPr>
          <w:ilvl w:val="0"/>
          <w:numId w:val="39"/>
        </w:numPr>
        <w:spacing w:before="140"/>
        <w:ind w:left="721" w:hanging="437"/>
      </w:pPr>
      <w:r>
        <w:t>This determination:</w:t>
      </w:r>
    </w:p>
    <w:p w14:paraId="10750138" w14:textId="77777777" w:rsidR="006700E1" w:rsidRDefault="00F136A2" w:rsidP="006700E1">
      <w:pPr>
        <w:pStyle w:val="Header"/>
        <w:numPr>
          <w:ilvl w:val="0"/>
          <w:numId w:val="40"/>
        </w:numPr>
        <w:tabs>
          <w:tab w:val="clear" w:pos="4153"/>
          <w:tab w:val="clear" w:pos="8306"/>
        </w:tabs>
        <w:spacing w:before="140"/>
        <w:ind w:left="1077" w:hanging="357"/>
        <w:rPr>
          <w:snapToGrid w:val="0"/>
          <w:color w:val="000000"/>
        </w:rPr>
      </w:pPr>
      <w:r>
        <w:rPr>
          <w:snapToGrid w:val="0"/>
          <w:color w:val="000000"/>
        </w:rPr>
        <w:t xml:space="preserve">does not apply if, at the time the plans are lodged, the person who was the </w:t>
      </w:r>
      <w:r>
        <w:t>lessee</w:t>
      </w:r>
      <w:r>
        <w:rPr>
          <w:snapToGrid w:val="0"/>
          <w:color w:val="000000"/>
        </w:rPr>
        <w:t xml:space="preserve"> of the </w:t>
      </w:r>
      <w:r>
        <w:t>land</w:t>
      </w:r>
      <w:r>
        <w:rPr>
          <w:snapToGrid w:val="0"/>
          <w:color w:val="000000"/>
        </w:rPr>
        <w:t xml:space="preserve"> at the beginning of the bushfire emergency is no longer the lessee of the land; but </w:t>
      </w:r>
    </w:p>
    <w:p w14:paraId="73BC8C0B" w14:textId="6E09747B" w:rsidR="00F136A2" w:rsidRPr="006700E1" w:rsidRDefault="00F136A2" w:rsidP="006700E1">
      <w:pPr>
        <w:pStyle w:val="Header"/>
        <w:numPr>
          <w:ilvl w:val="0"/>
          <w:numId w:val="40"/>
        </w:numPr>
        <w:tabs>
          <w:tab w:val="clear" w:pos="4153"/>
          <w:tab w:val="clear" w:pos="8306"/>
        </w:tabs>
        <w:spacing w:before="140"/>
        <w:ind w:left="1077" w:hanging="357"/>
        <w:rPr>
          <w:snapToGrid w:val="0"/>
          <w:color w:val="000000"/>
        </w:rPr>
      </w:pPr>
      <w:r w:rsidRPr="006700E1">
        <w:rPr>
          <w:snapToGrid w:val="0"/>
          <w:color w:val="000000"/>
        </w:rPr>
        <w:t>if before the beginning of the bushfire emergency, a person had entered into</w:t>
      </w:r>
      <w:r>
        <w:rPr>
          <w:snapToGrid w:val="0"/>
          <w:color w:val="000000"/>
        </w:rPr>
        <w:t xml:space="preserve"> an ag</w:t>
      </w:r>
      <w:r w:rsidRPr="006700E1">
        <w:rPr>
          <w:snapToGrid w:val="0"/>
          <w:color w:val="000000"/>
        </w:rPr>
        <w:t xml:space="preserve">reement </w:t>
      </w:r>
      <w:r>
        <w:rPr>
          <w:snapToGrid w:val="0"/>
          <w:color w:val="000000"/>
        </w:rPr>
        <w:t>with</w:t>
      </w:r>
      <w:r w:rsidRPr="006700E1">
        <w:rPr>
          <w:snapToGrid w:val="0"/>
          <w:color w:val="000000"/>
        </w:rPr>
        <w:t xml:space="preserve"> the lessee of the land giving the person a right to the transfer of the lease, but no transfer had been registered under the </w:t>
      </w:r>
      <w:r w:rsidRPr="006700E1">
        <w:rPr>
          <w:i/>
          <w:snapToGrid w:val="0"/>
          <w:color w:val="000000"/>
        </w:rPr>
        <w:t xml:space="preserve">Land </w:t>
      </w:r>
      <w:r w:rsidRPr="006700E1">
        <w:rPr>
          <w:i/>
          <w:snapToGrid w:val="0"/>
          <w:color w:val="000000"/>
        </w:rPr>
        <w:lastRenderedPageBreak/>
        <w:t>Titles Act 1925</w:t>
      </w:r>
      <w:r w:rsidRPr="006700E1">
        <w:rPr>
          <w:snapToGrid w:val="0"/>
          <w:color w:val="000000"/>
        </w:rPr>
        <w:t xml:space="preserve"> in accordance with the agreement, the person is taken to be the lessee of the land at the beginning of the </w:t>
      </w:r>
      <w:r w:rsidR="00424B32">
        <w:rPr>
          <w:snapToGrid w:val="0"/>
          <w:color w:val="000000"/>
        </w:rPr>
        <w:t xml:space="preserve">bushfire </w:t>
      </w:r>
      <w:r w:rsidRPr="006700E1">
        <w:rPr>
          <w:snapToGrid w:val="0"/>
          <w:color w:val="000000"/>
        </w:rPr>
        <w:t>emergency.</w:t>
      </w:r>
    </w:p>
    <w:p w14:paraId="235585DF" w14:textId="77777777" w:rsidR="00F136A2" w:rsidRPr="006700E1" w:rsidRDefault="00F136A2" w:rsidP="006700E1">
      <w:pPr>
        <w:numPr>
          <w:ilvl w:val="0"/>
          <w:numId w:val="25"/>
        </w:numPr>
        <w:tabs>
          <w:tab w:val="num" w:pos="709"/>
        </w:tabs>
        <w:spacing w:before="300"/>
        <w:ind w:left="709" w:hanging="709"/>
        <w:rPr>
          <w:rFonts w:ascii="Arial" w:hAnsi="Arial" w:cs="Arial"/>
          <w:b/>
          <w:bCs/>
          <w:snapToGrid w:val="0"/>
          <w:color w:val="000000"/>
        </w:rPr>
      </w:pPr>
      <w:r w:rsidRPr="006700E1">
        <w:rPr>
          <w:rFonts w:ascii="Arial" w:hAnsi="Arial" w:cs="Arial"/>
          <w:b/>
          <w:bCs/>
          <w:snapToGrid w:val="0"/>
          <w:color w:val="000000"/>
        </w:rPr>
        <w:t>Payment of fees</w:t>
      </w:r>
    </w:p>
    <w:p w14:paraId="22FD89DD" w14:textId="7BC681CD" w:rsidR="00F136A2" w:rsidRDefault="002C64DF" w:rsidP="006700E1">
      <w:pPr>
        <w:pStyle w:val="BodyTextIndent3"/>
        <w:tabs>
          <w:tab w:val="num" w:pos="426"/>
          <w:tab w:val="num" w:pos="709"/>
        </w:tabs>
        <w:spacing w:before="140"/>
        <w:ind w:left="709" w:right="-51"/>
        <w:rPr>
          <w:snapToGrid w:val="0"/>
          <w:color w:val="000000"/>
        </w:rPr>
      </w:pPr>
      <w:r w:rsidRPr="006700E1">
        <w:rPr>
          <w:snapToGrid w:val="0"/>
          <w:color w:val="000000"/>
        </w:rPr>
        <w:t xml:space="preserve">A fee mentioned in the schedule is payable to the </w:t>
      </w:r>
      <w:r w:rsidR="00E5410D">
        <w:rPr>
          <w:snapToGrid w:val="0"/>
          <w:color w:val="000000"/>
        </w:rPr>
        <w:t>Territory</w:t>
      </w:r>
      <w:r w:rsidRPr="006700E1">
        <w:rPr>
          <w:snapToGrid w:val="0"/>
          <w:color w:val="000000"/>
        </w:rPr>
        <w:t xml:space="preserve"> by the person requesting the goods or services described in the schedule. </w:t>
      </w:r>
      <w:r w:rsidR="003C74A1">
        <w:t>Where applicable, GST inclusive fees are marked with a double asterisk (**)</w:t>
      </w:r>
      <w:r w:rsidR="00424B32">
        <w:t>.</w:t>
      </w:r>
    </w:p>
    <w:p w14:paraId="739EB28E" w14:textId="77777777" w:rsidR="00F136A2" w:rsidRPr="006700E1" w:rsidRDefault="00F136A2" w:rsidP="006700E1">
      <w:pPr>
        <w:numPr>
          <w:ilvl w:val="0"/>
          <w:numId w:val="25"/>
        </w:numPr>
        <w:tabs>
          <w:tab w:val="num" w:pos="709"/>
        </w:tabs>
        <w:spacing w:before="300"/>
        <w:ind w:left="709" w:hanging="709"/>
        <w:rPr>
          <w:rFonts w:ascii="Arial" w:hAnsi="Arial" w:cs="Arial"/>
          <w:b/>
          <w:bCs/>
          <w:snapToGrid w:val="0"/>
          <w:color w:val="000000"/>
        </w:rPr>
      </w:pPr>
      <w:r w:rsidRPr="006700E1">
        <w:rPr>
          <w:rFonts w:ascii="Arial" w:hAnsi="Arial" w:cs="Arial"/>
          <w:b/>
          <w:bCs/>
          <w:snapToGrid w:val="0"/>
          <w:color w:val="000000"/>
        </w:rPr>
        <w:t>Revocation</w:t>
      </w:r>
    </w:p>
    <w:p w14:paraId="2A34F889" w14:textId="77128656" w:rsidR="00B63E99" w:rsidRDefault="0027093C" w:rsidP="00B63E99">
      <w:pPr>
        <w:pStyle w:val="BodyTextIndent3"/>
        <w:tabs>
          <w:tab w:val="num" w:pos="426"/>
          <w:tab w:val="num" w:pos="709"/>
        </w:tabs>
        <w:spacing w:before="120"/>
        <w:ind w:left="709"/>
      </w:pPr>
      <w:r>
        <w:rPr>
          <w:snapToGrid w:val="0"/>
          <w:color w:val="000000"/>
        </w:rPr>
        <w:t>This instrument</w:t>
      </w:r>
      <w:r w:rsidR="002C64DF" w:rsidRPr="006700E1">
        <w:rPr>
          <w:snapToGrid w:val="0"/>
          <w:color w:val="000000"/>
        </w:rPr>
        <w:t xml:space="preserve"> revoke</w:t>
      </w:r>
      <w:r>
        <w:rPr>
          <w:snapToGrid w:val="0"/>
          <w:color w:val="000000"/>
        </w:rPr>
        <w:t>s</w:t>
      </w:r>
      <w:r w:rsidR="002C64DF" w:rsidRPr="006700E1">
        <w:rPr>
          <w:snapToGrid w:val="0"/>
          <w:color w:val="000000"/>
        </w:rPr>
        <w:t xml:space="preserve"> t</w:t>
      </w:r>
      <w:r w:rsidR="002C64DF">
        <w:rPr>
          <w:color w:val="000000"/>
        </w:rPr>
        <w:t xml:space="preserve">he </w:t>
      </w:r>
      <w:r w:rsidR="007D7722">
        <w:rPr>
          <w:i/>
          <w:color w:val="000000"/>
        </w:rPr>
        <w:t>Building</w:t>
      </w:r>
      <w:r w:rsidR="002C64DF">
        <w:rPr>
          <w:i/>
          <w:color w:val="000000"/>
        </w:rPr>
        <w:t xml:space="preserve"> (Fees) Determination 20</w:t>
      </w:r>
      <w:r w:rsidR="006A6E72">
        <w:rPr>
          <w:i/>
          <w:color w:val="000000"/>
        </w:rPr>
        <w:t>2</w:t>
      </w:r>
      <w:r w:rsidR="00842CBD">
        <w:rPr>
          <w:i/>
          <w:color w:val="000000"/>
        </w:rPr>
        <w:t>5</w:t>
      </w:r>
      <w:r w:rsidR="00842CBD">
        <w:rPr>
          <w:i/>
          <w:color w:val="000000"/>
        </w:rPr>
        <w:br/>
      </w:r>
      <w:r w:rsidR="002C64DF">
        <w:rPr>
          <w:i/>
          <w:color w:val="000000"/>
        </w:rPr>
        <w:t xml:space="preserve"> </w:t>
      </w:r>
      <w:r w:rsidR="002C64DF">
        <w:rPr>
          <w:color w:val="000000"/>
        </w:rPr>
        <w:t>(</w:t>
      </w:r>
      <w:r w:rsidR="00B25281">
        <w:rPr>
          <w:color w:val="000000"/>
        </w:rPr>
        <w:t>DI20</w:t>
      </w:r>
      <w:r w:rsidR="006A6E72">
        <w:rPr>
          <w:color w:val="000000"/>
        </w:rPr>
        <w:t>2</w:t>
      </w:r>
      <w:r w:rsidR="00842CBD">
        <w:rPr>
          <w:color w:val="000000"/>
        </w:rPr>
        <w:t>5</w:t>
      </w:r>
      <w:r w:rsidR="00526070">
        <w:rPr>
          <w:color w:val="000000"/>
        </w:rPr>
        <w:t>-</w:t>
      </w:r>
      <w:r w:rsidR="00842CBD">
        <w:rPr>
          <w:color w:val="000000"/>
        </w:rPr>
        <w:t>164</w:t>
      </w:r>
      <w:r w:rsidR="002C64DF">
        <w:rPr>
          <w:color w:val="000000"/>
        </w:rPr>
        <w:t>)</w:t>
      </w:r>
      <w:r w:rsidR="00B63E99">
        <w:rPr>
          <w:color w:val="000000"/>
        </w:rPr>
        <w:t xml:space="preserve">.  </w:t>
      </w:r>
    </w:p>
    <w:p w14:paraId="3AF69891" w14:textId="64080918" w:rsidR="00C36995" w:rsidRDefault="001F35C1" w:rsidP="00C36995">
      <w:pPr>
        <w:pStyle w:val="CoverActName"/>
        <w:tabs>
          <w:tab w:val="clear" w:pos="2600"/>
          <w:tab w:val="left" w:pos="5160"/>
        </w:tabs>
        <w:spacing w:before="960" w:after="0"/>
        <w:jc w:val="left"/>
        <w:rPr>
          <w:rFonts w:ascii="Times New Roman" w:hAnsi="Times New Roman" w:cs="Times New Roman"/>
          <w:b w:val="0"/>
          <w:bCs w:val="0"/>
        </w:rPr>
      </w:pPr>
      <w:r>
        <w:rPr>
          <w:rFonts w:ascii="Times New Roman" w:hAnsi="Times New Roman" w:cs="Times New Roman"/>
          <w:b w:val="0"/>
          <w:bCs w:val="0"/>
        </w:rPr>
        <w:t>Chris Steel</w:t>
      </w:r>
      <w:r w:rsidR="00C36995">
        <w:rPr>
          <w:rFonts w:ascii="Times New Roman" w:hAnsi="Times New Roman" w:cs="Times New Roman"/>
          <w:b w:val="0"/>
          <w:bCs w:val="0"/>
        </w:rPr>
        <w:t xml:space="preserve"> MLA</w:t>
      </w:r>
    </w:p>
    <w:p w14:paraId="2147BE48" w14:textId="262E797D" w:rsidR="00C36995" w:rsidRDefault="00C36995" w:rsidP="00C36995">
      <w:pPr>
        <w:pStyle w:val="CoverActName"/>
        <w:tabs>
          <w:tab w:val="clear" w:pos="260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 xml:space="preserve">Minister for </w:t>
      </w:r>
      <w:r w:rsidR="001F35C1" w:rsidRPr="001F35C1">
        <w:rPr>
          <w:rFonts w:ascii="Times New Roman" w:hAnsi="Times New Roman" w:cs="Times New Roman"/>
          <w:b w:val="0"/>
          <w:bCs w:val="0"/>
        </w:rPr>
        <w:t>Planning and Sustainable Development</w:t>
      </w:r>
    </w:p>
    <w:p w14:paraId="48EE0206" w14:textId="782E3FB0" w:rsidR="00F136A2" w:rsidRDefault="00016FD3" w:rsidP="007A0D54">
      <w:pPr>
        <w:tabs>
          <w:tab w:val="left" w:pos="-142"/>
        </w:tabs>
      </w:pPr>
      <w:r>
        <w:t xml:space="preserve">30 June </w:t>
      </w:r>
      <w:r w:rsidR="00C36995" w:rsidRPr="008E3390">
        <w:t>202</w:t>
      </w:r>
      <w:r w:rsidR="00D67025">
        <w:t>6</w:t>
      </w:r>
    </w:p>
    <w:p w14:paraId="6DD081F5" w14:textId="56697CA4" w:rsidR="00F136A2" w:rsidRDefault="00842CBD">
      <w:pPr>
        <w:tabs>
          <w:tab w:val="left" w:pos="-142"/>
        </w:tabs>
      </w:pPr>
      <w:r>
        <w:br/>
      </w:r>
    </w:p>
    <w:p w14:paraId="353C5A20" w14:textId="77777777" w:rsidR="00842CBD" w:rsidRDefault="00842CBD">
      <w:pPr>
        <w:tabs>
          <w:tab w:val="left" w:pos="-142"/>
        </w:tabs>
      </w:pPr>
    </w:p>
    <w:p w14:paraId="12E51BE6" w14:textId="77777777" w:rsidR="00842CBD" w:rsidRDefault="00842CBD">
      <w:pPr>
        <w:tabs>
          <w:tab w:val="left" w:pos="-142"/>
        </w:tabs>
      </w:pPr>
    </w:p>
    <w:p w14:paraId="0720EDAF" w14:textId="77777777" w:rsidR="00842CBD" w:rsidRDefault="00842CBD">
      <w:pPr>
        <w:tabs>
          <w:tab w:val="left" w:pos="-142"/>
        </w:tabs>
      </w:pPr>
    </w:p>
    <w:p w14:paraId="1F90D982" w14:textId="77777777" w:rsidR="00842CBD" w:rsidRDefault="00842CBD">
      <w:pPr>
        <w:tabs>
          <w:tab w:val="left" w:pos="-142"/>
        </w:tabs>
      </w:pPr>
    </w:p>
    <w:p w14:paraId="6160584D" w14:textId="77777777" w:rsidR="00842CBD" w:rsidRDefault="00842CBD">
      <w:pPr>
        <w:tabs>
          <w:tab w:val="left" w:pos="-142"/>
        </w:tabs>
      </w:pPr>
    </w:p>
    <w:p w14:paraId="31815BB6" w14:textId="77777777" w:rsidR="00842CBD" w:rsidRDefault="00842CBD">
      <w:pPr>
        <w:tabs>
          <w:tab w:val="left" w:pos="-142"/>
        </w:tabs>
      </w:pPr>
    </w:p>
    <w:p w14:paraId="33D2BB42" w14:textId="77777777" w:rsidR="00842CBD" w:rsidRDefault="00842CBD">
      <w:pPr>
        <w:tabs>
          <w:tab w:val="left" w:pos="-142"/>
        </w:tabs>
      </w:pPr>
    </w:p>
    <w:p w14:paraId="4DF87DE5" w14:textId="77777777" w:rsidR="00842CBD" w:rsidRDefault="00842CBD">
      <w:pPr>
        <w:tabs>
          <w:tab w:val="left" w:pos="-142"/>
        </w:tabs>
      </w:pPr>
    </w:p>
    <w:p w14:paraId="362D87DD" w14:textId="77777777" w:rsidR="00842CBD" w:rsidRDefault="00842CBD">
      <w:pPr>
        <w:tabs>
          <w:tab w:val="left" w:pos="-142"/>
        </w:tabs>
      </w:pPr>
    </w:p>
    <w:p w14:paraId="55271249" w14:textId="77777777" w:rsidR="00842CBD" w:rsidRDefault="00842CBD">
      <w:pPr>
        <w:tabs>
          <w:tab w:val="left" w:pos="-142"/>
        </w:tabs>
      </w:pPr>
    </w:p>
    <w:p w14:paraId="3A150C8F" w14:textId="77777777" w:rsidR="00842CBD" w:rsidRDefault="00842CBD">
      <w:pPr>
        <w:tabs>
          <w:tab w:val="left" w:pos="-142"/>
        </w:tabs>
      </w:pPr>
    </w:p>
    <w:p w14:paraId="653E597A" w14:textId="77777777" w:rsidR="00842CBD" w:rsidRDefault="00842CBD">
      <w:pPr>
        <w:tabs>
          <w:tab w:val="left" w:pos="-142"/>
        </w:tabs>
      </w:pPr>
    </w:p>
    <w:p w14:paraId="33CA570D" w14:textId="77777777" w:rsidR="00842CBD" w:rsidRDefault="00842CBD">
      <w:pPr>
        <w:tabs>
          <w:tab w:val="left" w:pos="-142"/>
        </w:tabs>
      </w:pPr>
    </w:p>
    <w:p w14:paraId="75343077" w14:textId="77777777" w:rsidR="00842CBD" w:rsidRDefault="00842CBD">
      <w:pPr>
        <w:tabs>
          <w:tab w:val="left" w:pos="-142"/>
        </w:tabs>
      </w:pPr>
    </w:p>
    <w:p w14:paraId="4FD8F4B3" w14:textId="77777777" w:rsidR="00842CBD" w:rsidRDefault="00842CBD">
      <w:pPr>
        <w:tabs>
          <w:tab w:val="left" w:pos="-142"/>
        </w:tabs>
      </w:pPr>
    </w:p>
    <w:p w14:paraId="1DB50FA0" w14:textId="77777777" w:rsidR="00842CBD" w:rsidRDefault="00842CBD">
      <w:pPr>
        <w:tabs>
          <w:tab w:val="left" w:pos="-142"/>
        </w:tabs>
      </w:pPr>
    </w:p>
    <w:p w14:paraId="1A312959" w14:textId="77777777" w:rsidR="00842CBD" w:rsidRDefault="00842CBD">
      <w:pPr>
        <w:tabs>
          <w:tab w:val="left" w:pos="-142"/>
        </w:tabs>
      </w:pPr>
    </w:p>
    <w:p w14:paraId="600FEA70" w14:textId="77777777" w:rsidR="00842CBD" w:rsidRDefault="00842CBD">
      <w:pPr>
        <w:tabs>
          <w:tab w:val="left" w:pos="-142"/>
        </w:tabs>
      </w:pPr>
    </w:p>
    <w:p w14:paraId="5288FE5F" w14:textId="77777777" w:rsidR="00842CBD" w:rsidRDefault="00842CBD">
      <w:pPr>
        <w:tabs>
          <w:tab w:val="left" w:pos="-142"/>
        </w:tabs>
      </w:pPr>
    </w:p>
    <w:p w14:paraId="2FDDFB92" w14:textId="77777777" w:rsidR="00842CBD" w:rsidRDefault="00842CBD">
      <w:pPr>
        <w:tabs>
          <w:tab w:val="left" w:pos="-142"/>
        </w:tabs>
      </w:pPr>
    </w:p>
    <w:p w14:paraId="225EDCAA" w14:textId="77777777" w:rsidR="00842CBD" w:rsidRDefault="00842CBD">
      <w:pPr>
        <w:tabs>
          <w:tab w:val="left" w:pos="-142"/>
        </w:tabs>
      </w:pPr>
    </w:p>
    <w:p w14:paraId="0E6EB577" w14:textId="77777777" w:rsidR="00842CBD" w:rsidRDefault="00842CBD">
      <w:pPr>
        <w:tabs>
          <w:tab w:val="left" w:pos="-142"/>
        </w:tabs>
      </w:pPr>
    </w:p>
    <w:p w14:paraId="533B09B2" w14:textId="77777777" w:rsidR="00842CBD" w:rsidRDefault="00842CBD">
      <w:pPr>
        <w:tabs>
          <w:tab w:val="left" w:pos="-142"/>
        </w:tabs>
      </w:pPr>
    </w:p>
    <w:p w14:paraId="059518EC" w14:textId="77777777" w:rsidR="00842CBD" w:rsidRDefault="00842CBD">
      <w:pPr>
        <w:tabs>
          <w:tab w:val="left" w:pos="-142"/>
        </w:tabs>
      </w:pPr>
    </w:p>
    <w:p w14:paraId="1F38D64D" w14:textId="77777777" w:rsidR="00842CBD" w:rsidRDefault="00842CBD">
      <w:pPr>
        <w:tabs>
          <w:tab w:val="left" w:pos="-142"/>
        </w:tabs>
      </w:pPr>
    </w:p>
    <w:p w14:paraId="5D16469F" w14:textId="77777777" w:rsidR="00842CBD" w:rsidRDefault="00842CBD">
      <w:pPr>
        <w:tabs>
          <w:tab w:val="left" w:pos="-142"/>
        </w:tabs>
      </w:pPr>
    </w:p>
    <w:p w14:paraId="33B0440A" w14:textId="77777777" w:rsidR="00842CBD" w:rsidRDefault="00842CBD">
      <w:pPr>
        <w:tabs>
          <w:tab w:val="left" w:pos="-142"/>
        </w:tabs>
      </w:pPr>
    </w:p>
    <w:p w14:paraId="23183B9E" w14:textId="77777777" w:rsidR="00842CBD" w:rsidRDefault="00842CBD">
      <w:pPr>
        <w:tabs>
          <w:tab w:val="left" w:pos="-142"/>
        </w:tabs>
      </w:pPr>
    </w:p>
    <w:p w14:paraId="731695C7" w14:textId="77777777" w:rsidR="00F136A2" w:rsidRDefault="004B07DE">
      <w:pPr>
        <w:tabs>
          <w:tab w:val="left" w:pos="-142"/>
        </w:tabs>
        <w:sectPr w:rsidR="00F136A2" w:rsidSect="00C50D5C">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720" w:gutter="0"/>
          <w:pgNumType w:start="1"/>
          <w:cols w:space="720"/>
          <w:titlePg/>
          <w:docGrid w:linePitch="326"/>
        </w:sectPr>
      </w:pPr>
      <w:r>
        <w:br w:type="page"/>
      </w:r>
    </w:p>
    <w:p w14:paraId="4E3C522A" w14:textId="77777777" w:rsidR="00C415C7" w:rsidRPr="006700E1" w:rsidRDefault="00C415C7" w:rsidP="00C415C7">
      <w:pPr>
        <w:pStyle w:val="Header"/>
        <w:rPr>
          <w:rFonts w:ascii="Arial" w:hAnsi="Arial" w:cs="Arial"/>
          <w:b/>
        </w:rPr>
      </w:pPr>
      <w:r w:rsidRPr="006700E1">
        <w:rPr>
          <w:rFonts w:ascii="Arial" w:hAnsi="Arial" w:cs="Arial"/>
          <w:b/>
        </w:rPr>
        <w:lastRenderedPageBreak/>
        <w:t xml:space="preserve">Schedule </w:t>
      </w:r>
    </w:p>
    <w:p w14:paraId="7B290460" w14:textId="37E7F94C" w:rsidR="00C415C7" w:rsidRDefault="00C415C7" w:rsidP="00C415C7">
      <w:pPr>
        <w:pStyle w:val="Header"/>
      </w:pPr>
      <w:r w:rsidRPr="006700E1">
        <w:t>(see s 3)</w:t>
      </w:r>
    </w:p>
    <w:p w14:paraId="15BF4FDF" w14:textId="77777777" w:rsidR="00546469" w:rsidRDefault="00546469" w:rsidP="00C415C7">
      <w:pPr>
        <w:pStyle w:val="Header"/>
      </w:pPr>
    </w:p>
    <w:tbl>
      <w:tblPr>
        <w:tblW w:w="10401" w:type="dxa"/>
        <w:tblInd w:w="-426" w:type="dxa"/>
        <w:tblLook w:val="04A0" w:firstRow="1" w:lastRow="0" w:firstColumn="1" w:lastColumn="0" w:noHBand="0" w:noVBand="1"/>
      </w:tblPr>
      <w:tblGrid>
        <w:gridCol w:w="1039"/>
        <w:gridCol w:w="1300"/>
        <w:gridCol w:w="3870"/>
        <w:gridCol w:w="2176"/>
        <w:gridCol w:w="2016"/>
      </w:tblGrid>
      <w:tr w:rsidR="000242DE" w14:paraId="0410AC47" w14:textId="77777777" w:rsidTr="0051688F">
        <w:trPr>
          <w:trHeight w:val="300"/>
          <w:tblHeader/>
        </w:trPr>
        <w:tc>
          <w:tcPr>
            <w:tcW w:w="1039" w:type="dxa"/>
            <w:tcBorders>
              <w:top w:val="single" w:sz="8" w:space="0" w:color="auto"/>
              <w:left w:val="nil"/>
              <w:bottom w:val="nil"/>
              <w:right w:val="nil"/>
            </w:tcBorders>
          </w:tcPr>
          <w:p w14:paraId="77E8C823" w14:textId="60500B54" w:rsidR="000242DE" w:rsidRDefault="000242DE">
            <w:pPr>
              <w:jc w:val="center"/>
              <w:rPr>
                <w:rFonts w:ascii="Arial" w:hAnsi="Arial" w:cs="Arial"/>
                <w:b/>
                <w:bCs/>
                <w:color w:val="000000"/>
                <w:sz w:val="22"/>
                <w:szCs w:val="22"/>
              </w:rPr>
            </w:pPr>
            <w:r>
              <w:rPr>
                <w:rFonts w:ascii="Arial" w:hAnsi="Arial" w:cs="Arial"/>
                <w:b/>
                <w:bCs/>
                <w:color w:val="000000"/>
                <w:sz w:val="22"/>
                <w:szCs w:val="22"/>
              </w:rPr>
              <w:t>Column 1</w:t>
            </w:r>
          </w:p>
        </w:tc>
        <w:tc>
          <w:tcPr>
            <w:tcW w:w="1300" w:type="dxa"/>
            <w:tcBorders>
              <w:top w:val="single" w:sz="8" w:space="0" w:color="auto"/>
              <w:left w:val="nil"/>
              <w:bottom w:val="nil"/>
              <w:right w:val="nil"/>
            </w:tcBorders>
            <w:hideMark/>
          </w:tcPr>
          <w:p w14:paraId="71B20942" w14:textId="7B1CAE9A" w:rsidR="000242DE" w:rsidRDefault="000242DE">
            <w:pPr>
              <w:jc w:val="center"/>
              <w:rPr>
                <w:rFonts w:ascii="Arial" w:hAnsi="Arial" w:cs="Arial"/>
                <w:b/>
                <w:bCs/>
                <w:color w:val="000000"/>
                <w:sz w:val="22"/>
                <w:szCs w:val="22"/>
                <w:lang w:eastAsia="en-AU"/>
              </w:rPr>
            </w:pPr>
            <w:r>
              <w:rPr>
                <w:rFonts w:ascii="Arial" w:hAnsi="Arial" w:cs="Arial"/>
                <w:b/>
                <w:bCs/>
                <w:color w:val="000000"/>
                <w:sz w:val="22"/>
                <w:szCs w:val="22"/>
              </w:rPr>
              <w:t>Column 2</w:t>
            </w:r>
          </w:p>
        </w:tc>
        <w:tc>
          <w:tcPr>
            <w:tcW w:w="3870" w:type="dxa"/>
            <w:tcBorders>
              <w:top w:val="single" w:sz="8" w:space="0" w:color="auto"/>
              <w:left w:val="nil"/>
              <w:bottom w:val="nil"/>
              <w:right w:val="nil"/>
            </w:tcBorders>
            <w:hideMark/>
          </w:tcPr>
          <w:p w14:paraId="561A20A3" w14:textId="2380E102" w:rsidR="000242DE" w:rsidRDefault="000242DE">
            <w:pPr>
              <w:jc w:val="center"/>
              <w:rPr>
                <w:rFonts w:ascii="Arial" w:hAnsi="Arial" w:cs="Arial"/>
                <w:b/>
                <w:bCs/>
                <w:color w:val="000000"/>
                <w:sz w:val="22"/>
                <w:szCs w:val="22"/>
              </w:rPr>
            </w:pPr>
            <w:r>
              <w:rPr>
                <w:rFonts w:ascii="Arial" w:hAnsi="Arial" w:cs="Arial"/>
                <w:b/>
                <w:bCs/>
                <w:color w:val="000000"/>
                <w:sz w:val="22"/>
                <w:szCs w:val="22"/>
              </w:rPr>
              <w:t>Column 3</w:t>
            </w:r>
          </w:p>
        </w:tc>
        <w:tc>
          <w:tcPr>
            <w:tcW w:w="2176" w:type="dxa"/>
            <w:tcBorders>
              <w:top w:val="single" w:sz="8" w:space="0" w:color="auto"/>
              <w:left w:val="nil"/>
              <w:bottom w:val="nil"/>
              <w:right w:val="nil"/>
            </w:tcBorders>
            <w:hideMark/>
          </w:tcPr>
          <w:p w14:paraId="4362EA33" w14:textId="46BD3412" w:rsidR="000242DE" w:rsidRPr="00546469" w:rsidRDefault="000242DE">
            <w:pPr>
              <w:jc w:val="center"/>
              <w:rPr>
                <w:rFonts w:ascii="Arial" w:hAnsi="Arial" w:cs="Arial"/>
                <w:b/>
                <w:bCs/>
                <w:color w:val="000000"/>
                <w:sz w:val="22"/>
                <w:szCs w:val="22"/>
              </w:rPr>
            </w:pPr>
            <w:r w:rsidRPr="00546469">
              <w:rPr>
                <w:rFonts w:ascii="Arial" w:hAnsi="Arial" w:cs="Arial"/>
                <w:b/>
                <w:bCs/>
                <w:color w:val="000000"/>
                <w:sz w:val="22"/>
                <w:szCs w:val="22"/>
              </w:rPr>
              <w:t>Column 4</w:t>
            </w:r>
          </w:p>
        </w:tc>
        <w:tc>
          <w:tcPr>
            <w:tcW w:w="2016" w:type="dxa"/>
            <w:tcBorders>
              <w:top w:val="single" w:sz="8" w:space="0" w:color="auto"/>
              <w:left w:val="nil"/>
              <w:bottom w:val="nil"/>
              <w:right w:val="nil"/>
            </w:tcBorders>
            <w:hideMark/>
          </w:tcPr>
          <w:p w14:paraId="44BF9053" w14:textId="4F84CCAA" w:rsidR="000242DE" w:rsidRDefault="000242DE">
            <w:pPr>
              <w:jc w:val="center"/>
              <w:rPr>
                <w:rFonts w:ascii="Arial" w:hAnsi="Arial" w:cs="Arial"/>
                <w:b/>
                <w:bCs/>
                <w:color w:val="000000"/>
                <w:sz w:val="22"/>
                <w:szCs w:val="22"/>
              </w:rPr>
            </w:pPr>
            <w:r>
              <w:rPr>
                <w:rFonts w:ascii="Arial" w:hAnsi="Arial" w:cs="Arial"/>
                <w:b/>
                <w:bCs/>
                <w:color w:val="000000"/>
                <w:sz w:val="22"/>
                <w:szCs w:val="22"/>
              </w:rPr>
              <w:t>Column</w:t>
            </w:r>
            <w:r w:rsidR="00D67827">
              <w:rPr>
                <w:rFonts w:ascii="Arial" w:hAnsi="Arial" w:cs="Arial"/>
                <w:b/>
                <w:bCs/>
                <w:color w:val="000000"/>
                <w:sz w:val="22"/>
                <w:szCs w:val="22"/>
              </w:rPr>
              <w:t xml:space="preserve"> </w:t>
            </w:r>
            <w:r>
              <w:rPr>
                <w:rFonts w:ascii="Arial" w:hAnsi="Arial" w:cs="Arial"/>
                <w:b/>
                <w:bCs/>
                <w:color w:val="000000"/>
                <w:sz w:val="22"/>
                <w:szCs w:val="22"/>
              </w:rPr>
              <w:t>5</w:t>
            </w:r>
          </w:p>
        </w:tc>
      </w:tr>
      <w:tr w:rsidR="000242DE" w14:paraId="7BECD252" w14:textId="77777777" w:rsidTr="0051688F">
        <w:trPr>
          <w:trHeight w:val="1504"/>
          <w:tblHeader/>
        </w:trPr>
        <w:tc>
          <w:tcPr>
            <w:tcW w:w="1039" w:type="dxa"/>
            <w:tcBorders>
              <w:top w:val="single" w:sz="4" w:space="0" w:color="auto"/>
              <w:left w:val="nil"/>
              <w:bottom w:val="single" w:sz="4" w:space="0" w:color="auto"/>
              <w:right w:val="nil"/>
            </w:tcBorders>
          </w:tcPr>
          <w:p w14:paraId="5BC88147" w14:textId="51560536" w:rsidR="000242DE" w:rsidRDefault="000242DE">
            <w:pPr>
              <w:jc w:val="center"/>
              <w:rPr>
                <w:rFonts w:ascii="Arial" w:hAnsi="Arial" w:cs="Arial"/>
                <w:b/>
                <w:bCs/>
                <w:color w:val="000000"/>
                <w:sz w:val="22"/>
                <w:szCs w:val="22"/>
              </w:rPr>
            </w:pPr>
            <w:r>
              <w:rPr>
                <w:rFonts w:ascii="Arial" w:hAnsi="Arial" w:cs="Arial"/>
                <w:b/>
                <w:bCs/>
                <w:color w:val="000000"/>
                <w:sz w:val="22"/>
                <w:szCs w:val="22"/>
              </w:rPr>
              <w:t>Item number</w:t>
            </w:r>
          </w:p>
        </w:tc>
        <w:tc>
          <w:tcPr>
            <w:tcW w:w="1300" w:type="dxa"/>
            <w:tcBorders>
              <w:top w:val="single" w:sz="4" w:space="0" w:color="auto"/>
              <w:left w:val="nil"/>
              <w:bottom w:val="single" w:sz="4" w:space="0" w:color="auto"/>
              <w:right w:val="nil"/>
            </w:tcBorders>
            <w:vAlign w:val="center"/>
            <w:hideMark/>
          </w:tcPr>
          <w:p w14:paraId="0EADD765" w14:textId="3852CE7E" w:rsidR="000242DE" w:rsidRDefault="000242DE">
            <w:pPr>
              <w:jc w:val="center"/>
              <w:rPr>
                <w:rFonts w:ascii="Arial" w:hAnsi="Arial" w:cs="Arial"/>
                <w:b/>
                <w:bCs/>
                <w:color w:val="000000"/>
                <w:sz w:val="22"/>
                <w:szCs w:val="22"/>
              </w:rPr>
            </w:pPr>
            <w:r>
              <w:rPr>
                <w:rFonts w:ascii="Arial" w:hAnsi="Arial" w:cs="Arial"/>
                <w:b/>
                <w:bCs/>
                <w:color w:val="000000"/>
                <w:sz w:val="22"/>
                <w:szCs w:val="22"/>
              </w:rPr>
              <w:t>Relevant Section for which a fee is payable</w:t>
            </w:r>
          </w:p>
        </w:tc>
        <w:tc>
          <w:tcPr>
            <w:tcW w:w="3870" w:type="dxa"/>
            <w:tcBorders>
              <w:top w:val="single" w:sz="4" w:space="0" w:color="auto"/>
              <w:left w:val="nil"/>
              <w:bottom w:val="single" w:sz="4" w:space="0" w:color="auto"/>
              <w:right w:val="nil"/>
            </w:tcBorders>
            <w:vAlign w:val="center"/>
            <w:hideMark/>
          </w:tcPr>
          <w:p w14:paraId="3E2CE8A0" w14:textId="77777777" w:rsidR="000242DE" w:rsidRDefault="000242DE">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2176" w:type="dxa"/>
            <w:tcBorders>
              <w:top w:val="single" w:sz="4" w:space="0" w:color="auto"/>
              <w:left w:val="nil"/>
              <w:bottom w:val="single" w:sz="4" w:space="0" w:color="auto"/>
              <w:right w:val="nil"/>
            </w:tcBorders>
            <w:vAlign w:val="center"/>
            <w:hideMark/>
          </w:tcPr>
          <w:p w14:paraId="5BE51F09" w14:textId="62CD3921" w:rsidR="000242DE" w:rsidRPr="00546469" w:rsidRDefault="000242DE">
            <w:pPr>
              <w:jc w:val="center"/>
              <w:rPr>
                <w:rFonts w:ascii="Arial" w:hAnsi="Arial" w:cs="Arial"/>
                <w:b/>
                <w:bCs/>
                <w:color w:val="000000"/>
                <w:sz w:val="22"/>
                <w:szCs w:val="22"/>
              </w:rPr>
            </w:pPr>
            <w:r w:rsidRPr="00546469">
              <w:rPr>
                <w:rFonts w:ascii="Arial" w:hAnsi="Arial" w:cs="Arial"/>
                <w:b/>
                <w:bCs/>
                <w:color w:val="000000"/>
                <w:sz w:val="22"/>
                <w:szCs w:val="22"/>
              </w:rPr>
              <w:t>Fee Payable</w:t>
            </w:r>
            <w:r w:rsidR="003F3C77" w:rsidRPr="00546469">
              <w:rPr>
                <w:rFonts w:ascii="Arial" w:hAnsi="Arial" w:cs="Arial"/>
                <w:b/>
                <w:bCs/>
                <w:color w:val="000000"/>
                <w:sz w:val="22"/>
                <w:szCs w:val="22"/>
              </w:rPr>
              <w:br/>
            </w:r>
            <w:r w:rsidRPr="00546469">
              <w:rPr>
                <w:rFonts w:ascii="Arial" w:hAnsi="Arial" w:cs="Arial"/>
                <w:b/>
                <w:bCs/>
                <w:color w:val="000000"/>
                <w:sz w:val="22"/>
                <w:szCs w:val="22"/>
              </w:rPr>
              <w:t>GST Exempt</w:t>
            </w:r>
            <w:r w:rsidRPr="00546469">
              <w:rPr>
                <w:rFonts w:ascii="Arial" w:hAnsi="Arial" w:cs="Arial"/>
                <w:b/>
                <w:bCs/>
                <w:color w:val="000000"/>
                <w:sz w:val="22"/>
                <w:szCs w:val="22"/>
              </w:rPr>
              <w:br/>
              <w:t>$</w:t>
            </w:r>
            <w:r w:rsidRPr="00546469">
              <w:rPr>
                <w:rFonts w:ascii="Arial" w:hAnsi="Arial" w:cs="Arial"/>
                <w:b/>
                <w:bCs/>
                <w:color w:val="000000"/>
                <w:sz w:val="22"/>
                <w:szCs w:val="22"/>
              </w:rPr>
              <w:br/>
              <w:t>202</w:t>
            </w:r>
            <w:r w:rsidR="00842CBD" w:rsidRPr="00546469">
              <w:rPr>
                <w:rFonts w:ascii="Arial" w:hAnsi="Arial" w:cs="Arial"/>
                <w:b/>
                <w:bCs/>
                <w:color w:val="000000"/>
                <w:sz w:val="22"/>
                <w:szCs w:val="22"/>
              </w:rPr>
              <w:t>5</w:t>
            </w:r>
            <w:r w:rsidRPr="00546469">
              <w:rPr>
                <w:rFonts w:ascii="Arial" w:hAnsi="Arial" w:cs="Arial"/>
                <w:b/>
                <w:bCs/>
                <w:color w:val="000000"/>
                <w:sz w:val="22"/>
                <w:szCs w:val="22"/>
              </w:rPr>
              <w:t>-2</w:t>
            </w:r>
            <w:r w:rsidR="00842CBD" w:rsidRPr="00546469">
              <w:rPr>
                <w:rFonts w:ascii="Arial" w:hAnsi="Arial" w:cs="Arial"/>
                <w:b/>
                <w:bCs/>
                <w:color w:val="000000"/>
                <w:sz w:val="22"/>
                <w:szCs w:val="22"/>
              </w:rPr>
              <w:t>6</w:t>
            </w:r>
          </w:p>
        </w:tc>
        <w:tc>
          <w:tcPr>
            <w:tcW w:w="2016" w:type="dxa"/>
            <w:tcBorders>
              <w:top w:val="single" w:sz="4" w:space="0" w:color="auto"/>
              <w:left w:val="nil"/>
              <w:bottom w:val="single" w:sz="4" w:space="0" w:color="auto"/>
              <w:right w:val="nil"/>
            </w:tcBorders>
            <w:vAlign w:val="center"/>
            <w:hideMark/>
          </w:tcPr>
          <w:p w14:paraId="7FE47F19" w14:textId="65774C2F" w:rsidR="000242DE" w:rsidRDefault="000242DE">
            <w:pPr>
              <w:jc w:val="center"/>
              <w:rPr>
                <w:rFonts w:ascii="Arial" w:hAnsi="Arial" w:cs="Arial"/>
                <w:b/>
                <w:bCs/>
                <w:color w:val="000000"/>
                <w:sz w:val="22"/>
                <w:szCs w:val="22"/>
              </w:rPr>
            </w:pPr>
            <w:r>
              <w:rPr>
                <w:rFonts w:ascii="Arial" w:hAnsi="Arial" w:cs="Arial"/>
                <w:b/>
                <w:bCs/>
                <w:color w:val="000000"/>
                <w:sz w:val="22"/>
                <w:szCs w:val="22"/>
              </w:rPr>
              <w:t>Fee Payable</w:t>
            </w:r>
            <w:r w:rsidR="003F3C77">
              <w:rPr>
                <w:rFonts w:ascii="Arial" w:hAnsi="Arial" w:cs="Arial"/>
                <w:b/>
                <w:bCs/>
                <w:color w:val="000000"/>
                <w:sz w:val="22"/>
                <w:szCs w:val="22"/>
              </w:rPr>
              <w:br/>
            </w:r>
            <w:r>
              <w:rPr>
                <w:rFonts w:ascii="Arial" w:hAnsi="Arial" w:cs="Arial"/>
                <w:b/>
                <w:bCs/>
                <w:color w:val="000000"/>
                <w:sz w:val="22"/>
                <w:szCs w:val="22"/>
              </w:rPr>
              <w:t>GST Exempt</w:t>
            </w:r>
            <w:r>
              <w:rPr>
                <w:rFonts w:ascii="Arial" w:hAnsi="Arial" w:cs="Arial"/>
                <w:b/>
                <w:bCs/>
                <w:color w:val="000000"/>
                <w:sz w:val="22"/>
                <w:szCs w:val="22"/>
              </w:rPr>
              <w:br/>
              <w:t>$</w:t>
            </w:r>
            <w:r>
              <w:rPr>
                <w:rFonts w:ascii="Arial" w:hAnsi="Arial" w:cs="Arial"/>
                <w:b/>
                <w:bCs/>
                <w:color w:val="000000"/>
                <w:sz w:val="22"/>
                <w:szCs w:val="22"/>
              </w:rPr>
              <w:br/>
              <w:t>202</w:t>
            </w:r>
            <w:r w:rsidR="00842CBD">
              <w:rPr>
                <w:rFonts w:ascii="Arial" w:hAnsi="Arial" w:cs="Arial"/>
                <w:b/>
                <w:bCs/>
                <w:color w:val="000000"/>
                <w:sz w:val="22"/>
                <w:szCs w:val="22"/>
              </w:rPr>
              <w:t>6</w:t>
            </w:r>
            <w:r>
              <w:rPr>
                <w:rFonts w:ascii="Arial" w:hAnsi="Arial" w:cs="Arial"/>
                <w:b/>
                <w:bCs/>
                <w:color w:val="000000"/>
                <w:sz w:val="22"/>
                <w:szCs w:val="22"/>
              </w:rPr>
              <w:t>-2</w:t>
            </w:r>
            <w:r w:rsidR="00842CBD">
              <w:rPr>
                <w:rFonts w:ascii="Arial" w:hAnsi="Arial" w:cs="Arial"/>
                <w:b/>
                <w:bCs/>
                <w:color w:val="000000"/>
                <w:sz w:val="22"/>
                <w:szCs w:val="22"/>
              </w:rPr>
              <w:t>7</w:t>
            </w:r>
          </w:p>
        </w:tc>
      </w:tr>
      <w:tr w:rsidR="000242DE" w14:paraId="37ED6275" w14:textId="77777777" w:rsidTr="0051688F">
        <w:trPr>
          <w:trHeight w:val="300"/>
        </w:trPr>
        <w:tc>
          <w:tcPr>
            <w:tcW w:w="1039" w:type="dxa"/>
            <w:tcBorders>
              <w:top w:val="nil"/>
              <w:left w:val="nil"/>
              <w:bottom w:val="nil"/>
              <w:right w:val="nil"/>
            </w:tcBorders>
          </w:tcPr>
          <w:p w14:paraId="46FC9DFB" w14:textId="77777777" w:rsidR="000242DE" w:rsidRDefault="000242DE">
            <w:pPr>
              <w:jc w:val="center"/>
              <w:rPr>
                <w:rFonts w:ascii="Arial" w:hAnsi="Arial" w:cs="Arial"/>
                <w:b/>
                <w:bCs/>
                <w:color w:val="000000"/>
                <w:sz w:val="22"/>
                <w:szCs w:val="22"/>
              </w:rPr>
            </w:pPr>
          </w:p>
        </w:tc>
        <w:tc>
          <w:tcPr>
            <w:tcW w:w="1300" w:type="dxa"/>
            <w:tcBorders>
              <w:top w:val="nil"/>
              <w:left w:val="nil"/>
              <w:bottom w:val="nil"/>
              <w:right w:val="nil"/>
            </w:tcBorders>
            <w:hideMark/>
          </w:tcPr>
          <w:p w14:paraId="474D97E3" w14:textId="361461E7" w:rsidR="000242DE" w:rsidRDefault="000242DE">
            <w:pPr>
              <w:jc w:val="center"/>
              <w:rPr>
                <w:rFonts w:ascii="Arial" w:hAnsi="Arial" w:cs="Arial"/>
                <w:b/>
                <w:bCs/>
                <w:color w:val="000000"/>
                <w:sz w:val="22"/>
                <w:szCs w:val="22"/>
              </w:rPr>
            </w:pPr>
          </w:p>
        </w:tc>
        <w:tc>
          <w:tcPr>
            <w:tcW w:w="3870" w:type="dxa"/>
            <w:tcBorders>
              <w:top w:val="nil"/>
              <w:left w:val="nil"/>
              <w:bottom w:val="nil"/>
              <w:right w:val="nil"/>
            </w:tcBorders>
            <w:hideMark/>
          </w:tcPr>
          <w:p w14:paraId="06C8C24D" w14:textId="77777777" w:rsidR="000242DE" w:rsidRDefault="000242DE">
            <w:pPr>
              <w:jc w:val="center"/>
              <w:rPr>
                <w:sz w:val="20"/>
                <w:szCs w:val="20"/>
              </w:rPr>
            </w:pPr>
          </w:p>
        </w:tc>
        <w:tc>
          <w:tcPr>
            <w:tcW w:w="2176" w:type="dxa"/>
            <w:tcBorders>
              <w:top w:val="nil"/>
              <w:left w:val="nil"/>
              <w:bottom w:val="nil"/>
              <w:right w:val="nil"/>
            </w:tcBorders>
            <w:hideMark/>
          </w:tcPr>
          <w:p w14:paraId="5ED2A77D" w14:textId="77777777" w:rsidR="000242DE" w:rsidRPr="0051688F" w:rsidRDefault="000242DE">
            <w:pPr>
              <w:jc w:val="center"/>
              <w:rPr>
                <w:i/>
                <w:iCs/>
                <w:sz w:val="20"/>
                <w:szCs w:val="20"/>
              </w:rPr>
            </w:pPr>
          </w:p>
        </w:tc>
        <w:tc>
          <w:tcPr>
            <w:tcW w:w="2016" w:type="dxa"/>
            <w:tcBorders>
              <w:top w:val="nil"/>
              <w:left w:val="nil"/>
              <w:bottom w:val="nil"/>
              <w:right w:val="nil"/>
            </w:tcBorders>
            <w:hideMark/>
          </w:tcPr>
          <w:p w14:paraId="527043FF" w14:textId="77777777" w:rsidR="000242DE" w:rsidRDefault="000242DE">
            <w:pPr>
              <w:jc w:val="center"/>
              <w:rPr>
                <w:sz w:val="20"/>
                <w:szCs w:val="20"/>
              </w:rPr>
            </w:pPr>
          </w:p>
        </w:tc>
      </w:tr>
      <w:tr w:rsidR="000242DE" w14:paraId="584AD638" w14:textId="77777777" w:rsidTr="0051688F">
        <w:trPr>
          <w:trHeight w:val="300"/>
        </w:trPr>
        <w:tc>
          <w:tcPr>
            <w:tcW w:w="1039" w:type="dxa"/>
            <w:tcBorders>
              <w:top w:val="nil"/>
              <w:left w:val="nil"/>
              <w:bottom w:val="nil"/>
              <w:right w:val="nil"/>
            </w:tcBorders>
          </w:tcPr>
          <w:p w14:paraId="56D1F46E" w14:textId="6B1CB74F" w:rsidR="000242DE" w:rsidRDefault="000242DE">
            <w:pPr>
              <w:rPr>
                <w:color w:val="000000"/>
                <w:sz w:val="22"/>
                <w:szCs w:val="22"/>
              </w:rPr>
            </w:pPr>
            <w:r>
              <w:rPr>
                <w:color w:val="000000"/>
                <w:sz w:val="22"/>
                <w:szCs w:val="22"/>
              </w:rPr>
              <w:t>1.1</w:t>
            </w:r>
          </w:p>
        </w:tc>
        <w:tc>
          <w:tcPr>
            <w:tcW w:w="1300" w:type="dxa"/>
            <w:tcBorders>
              <w:top w:val="nil"/>
              <w:left w:val="nil"/>
              <w:bottom w:val="nil"/>
              <w:right w:val="nil"/>
            </w:tcBorders>
            <w:hideMark/>
          </w:tcPr>
          <w:p w14:paraId="28E6EDA9" w14:textId="64456F76" w:rsidR="000242DE" w:rsidRDefault="000242DE">
            <w:pPr>
              <w:rPr>
                <w:color w:val="000000"/>
                <w:sz w:val="22"/>
                <w:szCs w:val="22"/>
              </w:rPr>
            </w:pPr>
            <w:r>
              <w:rPr>
                <w:color w:val="000000"/>
                <w:sz w:val="22"/>
                <w:szCs w:val="22"/>
              </w:rPr>
              <w:t>Section 20</w:t>
            </w:r>
          </w:p>
        </w:tc>
        <w:tc>
          <w:tcPr>
            <w:tcW w:w="3870" w:type="dxa"/>
            <w:tcBorders>
              <w:top w:val="nil"/>
              <w:left w:val="nil"/>
              <w:bottom w:val="nil"/>
              <w:right w:val="nil"/>
            </w:tcBorders>
            <w:hideMark/>
          </w:tcPr>
          <w:p w14:paraId="3E3826FD" w14:textId="1E95E04C" w:rsidR="000242DE" w:rsidRDefault="005A4705">
            <w:pPr>
              <w:rPr>
                <w:color w:val="000000"/>
                <w:sz w:val="22"/>
                <w:szCs w:val="22"/>
              </w:rPr>
            </w:pPr>
            <w:r>
              <w:rPr>
                <w:color w:val="000000"/>
                <w:sz w:val="22"/>
                <w:szCs w:val="22"/>
              </w:rPr>
              <w:t xml:space="preserve">Appointment of </w:t>
            </w:r>
            <w:r w:rsidR="000242DE">
              <w:rPr>
                <w:color w:val="000000"/>
                <w:sz w:val="22"/>
                <w:szCs w:val="22"/>
              </w:rPr>
              <w:t xml:space="preserve">Government </w:t>
            </w:r>
            <w:r>
              <w:rPr>
                <w:color w:val="000000"/>
                <w:sz w:val="22"/>
                <w:szCs w:val="22"/>
              </w:rPr>
              <w:t>certifier</w:t>
            </w:r>
            <w:r w:rsidR="000242DE">
              <w:rPr>
                <w:color w:val="000000"/>
                <w:sz w:val="22"/>
                <w:szCs w:val="22"/>
              </w:rPr>
              <w:t xml:space="preserve">: </w:t>
            </w:r>
          </w:p>
        </w:tc>
        <w:tc>
          <w:tcPr>
            <w:tcW w:w="2176" w:type="dxa"/>
            <w:tcBorders>
              <w:top w:val="nil"/>
              <w:left w:val="nil"/>
              <w:bottom w:val="nil"/>
              <w:right w:val="nil"/>
            </w:tcBorders>
            <w:hideMark/>
          </w:tcPr>
          <w:p w14:paraId="0B3C9367" w14:textId="77777777" w:rsidR="000242DE" w:rsidRPr="0051688F" w:rsidRDefault="000242DE">
            <w:pPr>
              <w:rPr>
                <w:i/>
                <w:iCs/>
                <w:color w:val="000000"/>
                <w:sz w:val="22"/>
                <w:szCs w:val="22"/>
              </w:rPr>
            </w:pPr>
          </w:p>
        </w:tc>
        <w:tc>
          <w:tcPr>
            <w:tcW w:w="2016" w:type="dxa"/>
            <w:tcBorders>
              <w:top w:val="nil"/>
              <w:left w:val="nil"/>
              <w:bottom w:val="nil"/>
              <w:right w:val="nil"/>
            </w:tcBorders>
            <w:hideMark/>
          </w:tcPr>
          <w:p w14:paraId="2DEF8194" w14:textId="77777777" w:rsidR="000242DE" w:rsidRDefault="000242DE">
            <w:pPr>
              <w:jc w:val="center"/>
              <w:rPr>
                <w:sz w:val="20"/>
                <w:szCs w:val="20"/>
              </w:rPr>
            </w:pPr>
          </w:p>
        </w:tc>
      </w:tr>
      <w:tr w:rsidR="00842CBD" w14:paraId="0A3B3E78" w14:textId="77777777" w:rsidTr="0051688F">
        <w:trPr>
          <w:trHeight w:val="338"/>
        </w:trPr>
        <w:tc>
          <w:tcPr>
            <w:tcW w:w="1039" w:type="dxa"/>
            <w:tcBorders>
              <w:top w:val="nil"/>
              <w:left w:val="nil"/>
              <w:bottom w:val="nil"/>
              <w:right w:val="nil"/>
            </w:tcBorders>
          </w:tcPr>
          <w:p w14:paraId="0B9E2EE9" w14:textId="77777777" w:rsidR="00842CBD" w:rsidRDefault="00842CBD" w:rsidP="00842CBD">
            <w:pPr>
              <w:jc w:val="center"/>
              <w:rPr>
                <w:sz w:val="20"/>
                <w:szCs w:val="20"/>
              </w:rPr>
            </w:pPr>
          </w:p>
        </w:tc>
        <w:tc>
          <w:tcPr>
            <w:tcW w:w="1300" w:type="dxa"/>
            <w:tcBorders>
              <w:top w:val="nil"/>
              <w:left w:val="nil"/>
              <w:bottom w:val="nil"/>
              <w:right w:val="nil"/>
            </w:tcBorders>
            <w:hideMark/>
          </w:tcPr>
          <w:p w14:paraId="4A08F8D0" w14:textId="4F9B15BF" w:rsidR="00842CBD" w:rsidRDefault="00842CBD" w:rsidP="00842CBD">
            <w:pPr>
              <w:jc w:val="center"/>
              <w:rPr>
                <w:sz w:val="20"/>
                <w:szCs w:val="20"/>
              </w:rPr>
            </w:pPr>
          </w:p>
        </w:tc>
        <w:tc>
          <w:tcPr>
            <w:tcW w:w="3870" w:type="dxa"/>
            <w:tcBorders>
              <w:top w:val="nil"/>
              <w:left w:val="nil"/>
              <w:bottom w:val="nil"/>
              <w:right w:val="nil"/>
            </w:tcBorders>
            <w:hideMark/>
          </w:tcPr>
          <w:p w14:paraId="553E0E91" w14:textId="77777777" w:rsidR="00842CBD" w:rsidRDefault="00842CBD" w:rsidP="00842CBD">
            <w:pPr>
              <w:rPr>
                <w:color w:val="000000"/>
                <w:sz w:val="22"/>
                <w:szCs w:val="22"/>
              </w:rPr>
            </w:pPr>
            <w:r>
              <w:rPr>
                <w:color w:val="000000"/>
                <w:sz w:val="22"/>
                <w:szCs w:val="22"/>
              </w:rPr>
              <w:t>Single dwelling</w:t>
            </w:r>
          </w:p>
        </w:tc>
        <w:tc>
          <w:tcPr>
            <w:tcW w:w="2176" w:type="dxa"/>
            <w:tcBorders>
              <w:top w:val="nil"/>
              <w:left w:val="nil"/>
              <w:bottom w:val="nil"/>
              <w:right w:val="nil"/>
            </w:tcBorders>
            <w:hideMark/>
          </w:tcPr>
          <w:p w14:paraId="48C1A3B2" w14:textId="2CB28855" w:rsidR="00842CBD" w:rsidRPr="00546469" w:rsidRDefault="00842CBD" w:rsidP="00842CBD">
            <w:pPr>
              <w:jc w:val="right"/>
              <w:rPr>
                <w:i/>
                <w:iCs/>
                <w:color w:val="000000"/>
                <w:sz w:val="22"/>
                <w:szCs w:val="22"/>
              </w:rPr>
            </w:pPr>
            <w:r w:rsidRPr="0051688F">
              <w:rPr>
                <w:i/>
                <w:iCs/>
                <w:sz w:val="22"/>
                <w:szCs w:val="22"/>
              </w:rPr>
              <w:t>837.74</w:t>
            </w:r>
          </w:p>
        </w:tc>
        <w:tc>
          <w:tcPr>
            <w:tcW w:w="2016" w:type="dxa"/>
            <w:tcBorders>
              <w:top w:val="nil"/>
              <w:left w:val="nil"/>
              <w:bottom w:val="nil"/>
              <w:right w:val="nil"/>
            </w:tcBorders>
            <w:hideMark/>
          </w:tcPr>
          <w:p w14:paraId="47B1C765" w14:textId="5824F5E0" w:rsidR="00842CBD" w:rsidRPr="00E74DBA" w:rsidRDefault="00842CBD" w:rsidP="00842CBD">
            <w:pPr>
              <w:jc w:val="right"/>
              <w:rPr>
                <w:b/>
                <w:bCs/>
                <w:color w:val="000000"/>
                <w:sz w:val="22"/>
                <w:szCs w:val="22"/>
              </w:rPr>
            </w:pPr>
            <w:r>
              <w:rPr>
                <w:b/>
                <w:bCs/>
                <w:sz w:val="22"/>
                <w:szCs w:val="22"/>
              </w:rPr>
              <w:t>867.90</w:t>
            </w:r>
          </w:p>
        </w:tc>
      </w:tr>
      <w:tr w:rsidR="00842CBD" w14:paraId="4CDF6E3B" w14:textId="77777777" w:rsidTr="0051688F">
        <w:trPr>
          <w:trHeight w:val="300"/>
        </w:trPr>
        <w:tc>
          <w:tcPr>
            <w:tcW w:w="1039" w:type="dxa"/>
            <w:tcBorders>
              <w:top w:val="nil"/>
              <w:left w:val="nil"/>
              <w:bottom w:val="nil"/>
              <w:right w:val="nil"/>
            </w:tcBorders>
          </w:tcPr>
          <w:p w14:paraId="4584203C" w14:textId="6E931C5E" w:rsidR="00842CBD" w:rsidRPr="0051688F" w:rsidRDefault="0051688F" w:rsidP="0051688F">
            <w:pPr>
              <w:rPr>
                <w:color w:val="000000"/>
                <w:sz w:val="22"/>
                <w:szCs w:val="22"/>
              </w:rPr>
            </w:pPr>
            <w:r w:rsidRPr="0051688F">
              <w:rPr>
                <w:color w:val="000000"/>
                <w:sz w:val="22"/>
                <w:szCs w:val="22"/>
              </w:rPr>
              <w:t>1.2</w:t>
            </w:r>
          </w:p>
        </w:tc>
        <w:tc>
          <w:tcPr>
            <w:tcW w:w="1300" w:type="dxa"/>
            <w:tcBorders>
              <w:top w:val="nil"/>
              <w:left w:val="nil"/>
              <w:bottom w:val="nil"/>
              <w:right w:val="nil"/>
            </w:tcBorders>
            <w:hideMark/>
          </w:tcPr>
          <w:p w14:paraId="1DD82DBB" w14:textId="4E7A510C" w:rsidR="00842CBD" w:rsidRDefault="00842CBD" w:rsidP="00842CBD">
            <w:pPr>
              <w:jc w:val="right"/>
              <w:rPr>
                <w:b/>
                <w:bCs/>
                <w:color w:val="000000"/>
                <w:sz w:val="22"/>
                <w:szCs w:val="22"/>
              </w:rPr>
            </w:pPr>
          </w:p>
        </w:tc>
        <w:tc>
          <w:tcPr>
            <w:tcW w:w="3870" w:type="dxa"/>
            <w:tcBorders>
              <w:top w:val="nil"/>
              <w:left w:val="nil"/>
              <w:bottom w:val="nil"/>
              <w:right w:val="nil"/>
            </w:tcBorders>
            <w:hideMark/>
          </w:tcPr>
          <w:p w14:paraId="095F11E3" w14:textId="77777777" w:rsidR="00842CBD" w:rsidRDefault="00842CBD" w:rsidP="00842CBD">
            <w:pPr>
              <w:rPr>
                <w:color w:val="000000"/>
                <w:sz w:val="22"/>
                <w:szCs w:val="22"/>
              </w:rPr>
            </w:pPr>
            <w:proofErr w:type="spellStart"/>
            <w:r>
              <w:rPr>
                <w:color w:val="000000"/>
                <w:sz w:val="22"/>
                <w:szCs w:val="22"/>
              </w:rPr>
              <w:t>Multi unit</w:t>
            </w:r>
            <w:proofErr w:type="spellEnd"/>
            <w:r>
              <w:rPr>
                <w:color w:val="000000"/>
                <w:sz w:val="22"/>
                <w:szCs w:val="22"/>
              </w:rPr>
              <w:t xml:space="preserve"> dwelling – per unit</w:t>
            </w:r>
          </w:p>
        </w:tc>
        <w:tc>
          <w:tcPr>
            <w:tcW w:w="2176" w:type="dxa"/>
            <w:tcBorders>
              <w:top w:val="nil"/>
              <w:left w:val="nil"/>
              <w:bottom w:val="nil"/>
              <w:right w:val="nil"/>
            </w:tcBorders>
            <w:hideMark/>
          </w:tcPr>
          <w:p w14:paraId="1F3DF8B9" w14:textId="1CF979C7" w:rsidR="00842CBD" w:rsidRPr="00546469" w:rsidRDefault="00842CBD" w:rsidP="00842CBD">
            <w:pPr>
              <w:jc w:val="right"/>
              <w:rPr>
                <w:i/>
                <w:iCs/>
                <w:color w:val="000000"/>
                <w:sz w:val="22"/>
                <w:szCs w:val="22"/>
              </w:rPr>
            </w:pPr>
            <w:r w:rsidRPr="0051688F">
              <w:rPr>
                <w:i/>
                <w:iCs/>
                <w:sz w:val="22"/>
                <w:szCs w:val="22"/>
              </w:rPr>
              <w:t>629.93</w:t>
            </w:r>
          </w:p>
        </w:tc>
        <w:tc>
          <w:tcPr>
            <w:tcW w:w="2016" w:type="dxa"/>
            <w:tcBorders>
              <w:top w:val="nil"/>
              <w:left w:val="nil"/>
              <w:bottom w:val="nil"/>
              <w:right w:val="nil"/>
            </w:tcBorders>
            <w:hideMark/>
          </w:tcPr>
          <w:p w14:paraId="277BA115" w14:textId="29C1943F" w:rsidR="00842CBD" w:rsidRPr="00E74DBA" w:rsidRDefault="00842CBD" w:rsidP="00842CBD">
            <w:pPr>
              <w:jc w:val="right"/>
              <w:rPr>
                <w:b/>
                <w:bCs/>
                <w:color w:val="000000"/>
                <w:sz w:val="22"/>
                <w:szCs w:val="22"/>
              </w:rPr>
            </w:pPr>
            <w:r>
              <w:rPr>
                <w:b/>
                <w:bCs/>
                <w:sz w:val="22"/>
                <w:szCs w:val="22"/>
              </w:rPr>
              <w:t>652.61</w:t>
            </w:r>
          </w:p>
        </w:tc>
      </w:tr>
      <w:tr w:rsidR="00842CBD" w14:paraId="7D54A7DF" w14:textId="77777777" w:rsidTr="0051688F">
        <w:trPr>
          <w:trHeight w:val="1203"/>
        </w:trPr>
        <w:tc>
          <w:tcPr>
            <w:tcW w:w="1039" w:type="dxa"/>
            <w:tcBorders>
              <w:top w:val="nil"/>
              <w:left w:val="nil"/>
              <w:bottom w:val="nil"/>
              <w:right w:val="nil"/>
            </w:tcBorders>
          </w:tcPr>
          <w:p w14:paraId="329D3FE5" w14:textId="77777777" w:rsidR="00842CBD" w:rsidRDefault="00842CBD" w:rsidP="00842CBD">
            <w:pPr>
              <w:jc w:val="right"/>
              <w:rPr>
                <w:b/>
                <w:bCs/>
                <w:color w:val="000000"/>
                <w:sz w:val="22"/>
                <w:szCs w:val="22"/>
              </w:rPr>
            </w:pPr>
          </w:p>
        </w:tc>
        <w:tc>
          <w:tcPr>
            <w:tcW w:w="1300" w:type="dxa"/>
            <w:tcBorders>
              <w:top w:val="nil"/>
              <w:left w:val="nil"/>
              <w:bottom w:val="nil"/>
              <w:right w:val="nil"/>
            </w:tcBorders>
            <w:hideMark/>
          </w:tcPr>
          <w:p w14:paraId="3294B1D7" w14:textId="78D586B1" w:rsidR="00842CBD" w:rsidRDefault="00842CBD" w:rsidP="00842CBD">
            <w:pPr>
              <w:jc w:val="right"/>
              <w:rPr>
                <w:b/>
                <w:bCs/>
                <w:color w:val="000000"/>
                <w:sz w:val="22"/>
                <w:szCs w:val="22"/>
              </w:rPr>
            </w:pPr>
          </w:p>
        </w:tc>
        <w:tc>
          <w:tcPr>
            <w:tcW w:w="3870" w:type="dxa"/>
            <w:tcBorders>
              <w:top w:val="nil"/>
              <w:left w:val="nil"/>
              <w:bottom w:val="nil"/>
              <w:right w:val="nil"/>
            </w:tcBorders>
            <w:hideMark/>
          </w:tcPr>
          <w:p w14:paraId="0D7747DF" w14:textId="77777777" w:rsidR="00842CBD" w:rsidRDefault="00842CBD" w:rsidP="00842CBD">
            <w:pPr>
              <w:rPr>
                <w:color w:val="000000"/>
                <w:sz w:val="22"/>
                <w:szCs w:val="22"/>
              </w:rPr>
            </w:pPr>
            <w:r>
              <w:rPr>
                <w:color w:val="000000"/>
                <w:sz w:val="22"/>
                <w:szCs w:val="22"/>
              </w:rPr>
              <w:t>Building work in relation to a building or part of a building other than a single dwelling or unit in a multi-unit dwelling</w:t>
            </w:r>
          </w:p>
        </w:tc>
        <w:tc>
          <w:tcPr>
            <w:tcW w:w="2176" w:type="dxa"/>
            <w:tcBorders>
              <w:top w:val="nil"/>
              <w:left w:val="nil"/>
              <w:bottom w:val="nil"/>
              <w:right w:val="nil"/>
            </w:tcBorders>
            <w:hideMark/>
          </w:tcPr>
          <w:p w14:paraId="340CE36B" w14:textId="0260FD46" w:rsidR="00842CBD" w:rsidRPr="00546469" w:rsidRDefault="00842CBD" w:rsidP="00842CBD">
            <w:pPr>
              <w:jc w:val="right"/>
              <w:rPr>
                <w:i/>
                <w:iCs/>
                <w:color w:val="000000"/>
                <w:sz w:val="22"/>
                <w:szCs w:val="22"/>
              </w:rPr>
            </w:pPr>
            <w:r w:rsidRPr="0051688F">
              <w:rPr>
                <w:i/>
                <w:iCs/>
                <w:sz w:val="22"/>
                <w:szCs w:val="22"/>
              </w:rPr>
              <w:t>0.5% of the value of the outstanding work</w:t>
            </w:r>
          </w:p>
        </w:tc>
        <w:tc>
          <w:tcPr>
            <w:tcW w:w="2016" w:type="dxa"/>
            <w:tcBorders>
              <w:top w:val="nil"/>
              <w:left w:val="nil"/>
              <w:bottom w:val="nil"/>
              <w:right w:val="nil"/>
            </w:tcBorders>
            <w:hideMark/>
          </w:tcPr>
          <w:p w14:paraId="6D7D5C8E" w14:textId="68F24D08" w:rsidR="00842CBD" w:rsidRPr="00E74DBA" w:rsidRDefault="00842CBD" w:rsidP="00842CBD">
            <w:pPr>
              <w:jc w:val="right"/>
              <w:rPr>
                <w:b/>
                <w:bCs/>
                <w:color w:val="000000"/>
                <w:sz w:val="22"/>
                <w:szCs w:val="22"/>
              </w:rPr>
            </w:pPr>
            <w:r w:rsidRPr="00E74DBA">
              <w:rPr>
                <w:b/>
                <w:bCs/>
                <w:sz w:val="22"/>
                <w:szCs w:val="22"/>
              </w:rPr>
              <w:t>0.5% of the value of the outstanding work</w:t>
            </w:r>
          </w:p>
        </w:tc>
      </w:tr>
      <w:tr w:rsidR="00842CBD" w14:paraId="21E38118" w14:textId="77777777" w:rsidTr="0051688F">
        <w:trPr>
          <w:trHeight w:val="601"/>
        </w:trPr>
        <w:tc>
          <w:tcPr>
            <w:tcW w:w="1039" w:type="dxa"/>
            <w:tcBorders>
              <w:top w:val="nil"/>
              <w:left w:val="nil"/>
              <w:bottom w:val="nil"/>
              <w:right w:val="nil"/>
            </w:tcBorders>
          </w:tcPr>
          <w:p w14:paraId="4E16C269" w14:textId="5DA739DA" w:rsidR="00842CBD" w:rsidRPr="0051688F" w:rsidRDefault="0051688F" w:rsidP="0051688F">
            <w:pPr>
              <w:rPr>
                <w:color w:val="000000"/>
                <w:sz w:val="22"/>
                <w:szCs w:val="22"/>
              </w:rPr>
            </w:pPr>
            <w:r w:rsidRPr="0051688F">
              <w:rPr>
                <w:color w:val="000000"/>
                <w:sz w:val="22"/>
                <w:szCs w:val="22"/>
              </w:rPr>
              <w:t>1.</w:t>
            </w:r>
            <w:r>
              <w:rPr>
                <w:color w:val="000000"/>
                <w:sz w:val="22"/>
                <w:szCs w:val="22"/>
              </w:rPr>
              <w:t>3</w:t>
            </w:r>
          </w:p>
        </w:tc>
        <w:tc>
          <w:tcPr>
            <w:tcW w:w="1300" w:type="dxa"/>
            <w:tcBorders>
              <w:top w:val="nil"/>
              <w:left w:val="nil"/>
              <w:bottom w:val="nil"/>
              <w:right w:val="nil"/>
            </w:tcBorders>
            <w:hideMark/>
          </w:tcPr>
          <w:p w14:paraId="33B9129E" w14:textId="55A8F6F4" w:rsidR="00842CBD" w:rsidRDefault="00842CBD" w:rsidP="00842CBD">
            <w:pPr>
              <w:jc w:val="right"/>
              <w:rPr>
                <w:b/>
                <w:bCs/>
                <w:color w:val="000000"/>
                <w:sz w:val="22"/>
                <w:szCs w:val="22"/>
              </w:rPr>
            </w:pPr>
          </w:p>
        </w:tc>
        <w:tc>
          <w:tcPr>
            <w:tcW w:w="3870" w:type="dxa"/>
            <w:tcBorders>
              <w:top w:val="nil"/>
              <w:left w:val="nil"/>
              <w:bottom w:val="nil"/>
              <w:right w:val="nil"/>
            </w:tcBorders>
            <w:hideMark/>
          </w:tcPr>
          <w:p w14:paraId="5E0C13EF" w14:textId="77777777" w:rsidR="00842CBD" w:rsidRDefault="00842CBD" w:rsidP="00842CBD">
            <w:pPr>
              <w:rPr>
                <w:color w:val="000000"/>
                <w:sz w:val="22"/>
                <w:szCs w:val="22"/>
              </w:rPr>
            </w:pPr>
            <w:r>
              <w:rPr>
                <w:color w:val="000000"/>
                <w:sz w:val="22"/>
                <w:szCs w:val="22"/>
              </w:rPr>
              <w:t>Government certifier reinspection of non-complying work – per inspection</w:t>
            </w:r>
          </w:p>
        </w:tc>
        <w:tc>
          <w:tcPr>
            <w:tcW w:w="2176" w:type="dxa"/>
            <w:tcBorders>
              <w:top w:val="nil"/>
              <w:left w:val="nil"/>
              <w:bottom w:val="nil"/>
              <w:right w:val="nil"/>
            </w:tcBorders>
            <w:hideMark/>
          </w:tcPr>
          <w:p w14:paraId="401F758A" w14:textId="77777777" w:rsidR="00842CBD" w:rsidRPr="0051688F" w:rsidRDefault="00842CBD" w:rsidP="00842CBD">
            <w:pPr>
              <w:jc w:val="right"/>
              <w:rPr>
                <w:i/>
                <w:iCs/>
                <w:color w:val="000000"/>
                <w:sz w:val="22"/>
                <w:szCs w:val="22"/>
                <w:lang w:eastAsia="en-AU"/>
              </w:rPr>
            </w:pPr>
            <w:r w:rsidRPr="0051688F">
              <w:rPr>
                <w:i/>
                <w:iCs/>
                <w:color w:val="000000"/>
                <w:sz w:val="22"/>
                <w:szCs w:val="22"/>
              </w:rPr>
              <w:t>130.71</w:t>
            </w:r>
          </w:p>
          <w:p w14:paraId="10659E2E" w14:textId="5DE10560" w:rsidR="00842CBD" w:rsidRPr="00546469" w:rsidRDefault="00842CBD" w:rsidP="00842CBD">
            <w:pPr>
              <w:jc w:val="right"/>
              <w:rPr>
                <w:i/>
                <w:iCs/>
                <w:color w:val="000000"/>
                <w:sz w:val="22"/>
                <w:szCs w:val="22"/>
              </w:rPr>
            </w:pPr>
          </w:p>
        </w:tc>
        <w:tc>
          <w:tcPr>
            <w:tcW w:w="2016" w:type="dxa"/>
            <w:tcBorders>
              <w:top w:val="nil"/>
              <w:left w:val="nil"/>
              <w:bottom w:val="nil"/>
              <w:right w:val="nil"/>
            </w:tcBorders>
            <w:hideMark/>
          </w:tcPr>
          <w:p w14:paraId="1E40110E" w14:textId="1C980E65" w:rsidR="00842CBD" w:rsidRPr="00E74DBA" w:rsidRDefault="00842CBD" w:rsidP="00842CBD">
            <w:pPr>
              <w:jc w:val="right"/>
              <w:rPr>
                <w:b/>
                <w:bCs/>
                <w:color w:val="000000"/>
                <w:sz w:val="22"/>
                <w:szCs w:val="22"/>
                <w:lang w:eastAsia="en-AU"/>
              </w:rPr>
            </w:pPr>
            <w:r w:rsidRPr="00E74DBA">
              <w:rPr>
                <w:b/>
                <w:bCs/>
                <w:color w:val="000000"/>
                <w:sz w:val="22"/>
                <w:szCs w:val="22"/>
              </w:rPr>
              <w:t>1</w:t>
            </w:r>
            <w:r>
              <w:rPr>
                <w:b/>
                <w:bCs/>
                <w:color w:val="000000"/>
                <w:sz w:val="22"/>
                <w:szCs w:val="22"/>
              </w:rPr>
              <w:t>35.42</w:t>
            </w:r>
          </w:p>
          <w:p w14:paraId="257202D6" w14:textId="42AC784E" w:rsidR="00842CBD" w:rsidRPr="00E74DBA" w:rsidRDefault="00842CBD" w:rsidP="00842CBD">
            <w:pPr>
              <w:jc w:val="right"/>
              <w:rPr>
                <w:b/>
                <w:bCs/>
                <w:color w:val="000000"/>
                <w:sz w:val="22"/>
                <w:szCs w:val="22"/>
              </w:rPr>
            </w:pPr>
          </w:p>
        </w:tc>
      </w:tr>
      <w:tr w:rsidR="00842CBD" w14:paraId="10726483" w14:textId="77777777" w:rsidTr="0051688F">
        <w:trPr>
          <w:trHeight w:val="902"/>
        </w:trPr>
        <w:tc>
          <w:tcPr>
            <w:tcW w:w="1039" w:type="dxa"/>
            <w:tcBorders>
              <w:top w:val="nil"/>
              <w:left w:val="nil"/>
              <w:bottom w:val="nil"/>
              <w:right w:val="nil"/>
            </w:tcBorders>
          </w:tcPr>
          <w:p w14:paraId="0E38434F" w14:textId="256C9720" w:rsidR="00842CBD" w:rsidRDefault="00842CBD" w:rsidP="00842CBD">
            <w:pPr>
              <w:rPr>
                <w:color w:val="000000"/>
                <w:sz w:val="22"/>
                <w:szCs w:val="22"/>
              </w:rPr>
            </w:pPr>
          </w:p>
        </w:tc>
        <w:tc>
          <w:tcPr>
            <w:tcW w:w="5170" w:type="dxa"/>
            <w:gridSpan w:val="2"/>
            <w:tcBorders>
              <w:top w:val="nil"/>
              <w:left w:val="nil"/>
              <w:bottom w:val="nil"/>
              <w:right w:val="nil"/>
            </w:tcBorders>
            <w:hideMark/>
          </w:tcPr>
          <w:p w14:paraId="2E081F1C" w14:textId="06B57287" w:rsidR="00842CBD" w:rsidRPr="002C331C" w:rsidRDefault="00842CBD" w:rsidP="00842CBD">
            <w:pPr>
              <w:rPr>
                <w:b/>
                <w:bCs/>
                <w:color w:val="000000"/>
                <w:sz w:val="22"/>
                <w:szCs w:val="22"/>
              </w:rPr>
            </w:pPr>
            <w:r w:rsidRPr="002C331C">
              <w:rPr>
                <w:b/>
                <w:bCs/>
                <w:color w:val="000000"/>
                <w:sz w:val="22"/>
                <w:szCs w:val="22"/>
              </w:rPr>
              <w:t>Section 28 -</w:t>
            </w:r>
            <w:r>
              <w:rPr>
                <w:color w:val="000000"/>
                <w:sz w:val="22"/>
                <w:szCs w:val="22"/>
              </w:rPr>
              <w:t xml:space="preserve"> </w:t>
            </w:r>
            <w:r w:rsidRPr="002C331C">
              <w:rPr>
                <w:b/>
                <w:bCs/>
                <w:color w:val="000000"/>
                <w:sz w:val="22"/>
                <w:szCs w:val="22"/>
              </w:rPr>
              <w:t>Building Levy – applies to all Building approvals issued by a Building Certifier (including electrical).</w:t>
            </w:r>
          </w:p>
        </w:tc>
        <w:tc>
          <w:tcPr>
            <w:tcW w:w="2176" w:type="dxa"/>
            <w:tcBorders>
              <w:top w:val="nil"/>
              <w:left w:val="nil"/>
              <w:bottom w:val="nil"/>
              <w:right w:val="nil"/>
            </w:tcBorders>
            <w:hideMark/>
          </w:tcPr>
          <w:p w14:paraId="089E4CC4" w14:textId="77777777" w:rsidR="00842CBD" w:rsidRPr="00546469" w:rsidRDefault="00842CBD" w:rsidP="00842CBD">
            <w:pPr>
              <w:rPr>
                <w:i/>
                <w:iCs/>
                <w:color w:val="000000"/>
                <w:sz w:val="22"/>
                <w:szCs w:val="22"/>
              </w:rPr>
            </w:pPr>
          </w:p>
        </w:tc>
        <w:tc>
          <w:tcPr>
            <w:tcW w:w="2016" w:type="dxa"/>
            <w:tcBorders>
              <w:top w:val="nil"/>
              <w:left w:val="nil"/>
              <w:bottom w:val="nil"/>
              <w:right w:val="nil"/>
            </w:tcBorders>
            <w:hideMark/>
          </w:tcPr>
          <w:p w14:paraId="3BF3BBA4" w14:textId="77777777" w:rsidR="00842CBD" w:rsidRPr="00E74DBA" w:rsidRDefault="00842CBD" w:rsidP="00842CBD">
            <w:pPr>
              <w:jc w:val="right"/>
              <w:rPr>
                <w:sz w:val="22"/>
                <w:szCs w:val="22"/>
              </w:rPr>
            </w:pPr>
          </w:p>
        </w:tc>
      </w:tr>
      <w:tr w:rsidR="00842CBD" w14:paraId="19F851F6" w14:textId="77777777" w:rsidTr="0051688F">
        <w:trPr>
          <w:trHeight w:val="1903"/>
        </w:trPr>
        <w:tc>
          <w:tcPr>
            <w:tcW w:w="1039" w:type="dxa"/>
            <w:tcBorders>
              <w:top w:val="nil"/>
              <w:left w:val="nil"/>
              <w:bottom w:val="nil"/>
              <w:right w:val="nil"/>
            </w:tcBorders>
          </w:tcPr>
          <w:p w14:paraId="4793533A" w14:textId="4510EEEC" w:rsidR="00842CBD" w:rsidRDefault="00842CBD" w:rsidP="00842CBD">
            <w:pPr>
              <w:rPr>
                <w:color w:val="000000"/>
                <w:sz w:val="22"/>
                <w:szCs w:val="22"/>
              </w:rPr>
            </w:pPr>
            <w:r>
              <w:rPr>
                <w:color w:val="000000"/>
                <w:sz w:val="22"/>
                <w:szCs w:val="22"/>
              </w:rPr>
              <w:t>2.1</w:t>
            </w:r>
          </w:p>
        </w:tc>
        <w:tc>
          <w:tcPr>
            <w:tcW w:w="1300" w:type="dxa"/>
            <w:tcBorders>
              <w:top w:val="nil"/>
              <w:left w:val="nil"/>
              <w:bottom w:val="nil"/>
              <w:right w:val="nil"/>
            </w:tcBorders>
            <w:hideMark/>
          </w:tcPr>
          <w:p w14:paraId="0F86B894" w14:textId="1F7ADD95" w:rsidR="00842CBD" w:rsidRDefault="00842CBD" w:rsidP="00842CBD">
            <w:pPr>
              <w:rPr>
                <w:color w:val="000000"/>
                <w:sz w:val="22"/>
                <w:szCs w:val="22"/>
              </w:rPr>
            </w:pPr>
            <w:r>
              <w:rPr>
                <w:color w:val="000000"/>
                <w:sz w:val="22"/>
                <w:szCs w:val="22"/>
              </w:rPr>
              <w:t>Section 28</w:t>
            </w:r>
          </w:p>
        </w:tc>
        <w:tc>
          <w:tcPr>
            <w:tcW w:w="3870" w:type="dxa"/>
            <w:tcBorders>
              <w:top w:val="nil"/>
              <w:left w:val="nil"/>
              <w:bottom w:val="nil"/>
              <w:right w:val="nil"/>
            </w:tcBorders>
            <w:hideMark/>
          </w:tcPr>
          <w:p w14:paraId="3E63C814" w14:textId="77777777" w:rsidR="00842CBD" w:rsidRDefault="00842CBD" w:rsidP="00842CBD">
            <w:pPr>
              <w:rPr>
                <w:color w:val="000000"/>
                <w:sz w:val="22"/>
                <w:szCs w:val="22"/>
              </w:rPr>
            </w:pPr>
            <w:r>
              <w:rPr>
                <w:color w:val="000000"/>
                <w:sz w:val="22"/>
                <w:szCs w:val="22"/>
              </w:rPr>
              <w:t>Building Levy – applies to a building approval issued to an owner of land by an appointed building certifier including building work in relation to one or more of: a class 1 building, class 1 part of a building, class 2 building, or class 2 part of a building.</w:t>
            </w:r>
          </w:p>
        </w:tc>
        <w:tc>
          <w:tcPr>
            <w:tcW w:w="2176" w:type="dxa"/>
            <w:tcBorders>
              <w:top w:val="nil"/>
              <w:left w:val="nil"/>
              <w:bottom w:val="nil"/>
              <w:right w:val="nil"/>
            </w:tcBorders>
            <w:hideMark/>
          </w:tcPr>
          <w:p w14:paraId="14FF7797" w14:textId="106CECFF" w:rsidR="00842CBD" w:rsidRPr="00546469" w:rsidRDefault="00842CBD" w:rsidP="00842CBD">
            <w:pPr>
              <w:jc w:val="right"/>
              <w:rPr>
                <w:i/>
                <w:iCs/>
                <w:color w:val="000000"/>
                <w:sz w:val="22"/>
                <w:szCs w:val="22"/>
              </w:rPr>
            </w:pPr>
            <w:r w:rsidRPr="0051688F">
              <w:rPr>
                <w:i/>
                <w:iCs/>
                <w:color w:val="000000"/>
                <w:sz w:val="22"/>
                <w:szCs w:val="22"/>
              </w:rPr>
              <w:t>1.40% of total cost of works</w:t>
            </w:r>
          </w:p>
        </w:tc>
        <w:tc>
          <w:tcPr>
            <w:tcW w:w="2016" w:type="dxa"/>
            <w:tcBorders>
              <w:top w:val="nil"/>
              <w:left w:val="nil"/>
              <w:bottom w:val="nil"/>
              <w:right w:val="nil"/>
            </w:tcBorders>
            <w:hideMark/>
          </w:tcPr>
          <w:p w14:paraId="279BAAE8" w14:textId="694E9E8C" w:rsidR="00842CBD" w:rsidRPr="00E74DBA" w:rsidRDefault="00842CBD" w:rsidP="00842CBD">
            <w:pPr>
              <w:jc w:val="right"/>
              <w:rPr>
                <w:b/>
                <w:bCs/>
                <w:color w:val="000000"/>
                <w:sz w:val="22"/>
                <w:szCs w:val="22"/>
              </w:rPr>
            </w:pPr>
            <w:r w:rsidRPr="00E74DBA">
              <w:rPr>
                <w:b/>
                <w:bCs/>
                <w:color w:val="000000"/>
                <w:sz w:val="22"/>
                <w:szCs w:val="22"/>
              </w:rPr>
              <w:t>1.</w:t>
            </w:r>
            <w:r>
              <w:rPr>
                <w:b/>
                <w:bCs/>
                <w:color w:val="000000"/>
                <w:sz w:val="22"/>
                <w:szCs w:val="22"/>
              </w:rPr>
              <w:t>4</w:t>
            </w:r>
            <w:r w:rsidR="00E95ABF">
              <w:rPr>
                <w:b/>
                <w:bCs/>
                <w:color w:val="000000"/>
                <w:sz w:val="22"/>
                <w:szCs w:val="22"/>
              </w:rPr>
              <w:t>0</w:t>
            </w:r>
            <w:r w:rsidRPr="00E74DBA">
              <w:rPr>
                <w:b/>
                <w:bCs/>
                <w:color w:val="000000"/>
                <w:sz w:val="22"/>
                <w:szCs w:val="22"/>
              </w:rPr>
              <w:t>% of total cost of works</w:t>
            </w:r>
          </w:p>
        </w:tc>
      </w:tr>
      <w:tr w:rsidR="00842CBD" w14:paraId="0F765BE4" w14:textId="77777777" w:rsidTr="0051688F">
        <w:trPr>
          <w:trHeight w:val="1805"/>
        </w:trPr>
        <w:tc>
          <w:tcPr>
            <w:tcW w:w="1039" w:type="dxa"/>
            <w:tcBorders>
              <w:top w:val="nil"/>
              <w:left w:val="nil"/>
              <w:bottom w:val="nil"/>
              <w:right w:val="nil"/>
            </w:tcBorders>
          </w:tcPr>
          <w:p w14:paraId="0946BFC0" w14:textId="6DCC495A" w:rsidR="00842CBD" w:rsidRDefault="00842CBD" w:rsidP="00842CBD">
            <w:pPr>
              <w:rPr>
                <w:color w:val="000000"/>
                <w:sz w:val="22"/>
                <w:szCs w:val="22"/>
              </w:rPr>
            </w:pPr>
            <w:r>
              <w:rPr>
                <w:color w:val="000000"/>
                <w:sz w:val="22"/>
                <w:szCs w:val="22"/>
              </w:rPr>
              <w:t>2.2</w:t>
            </w:r>
          </w:p>
        </w:tc>
        <w:tc>
          <w:tcPr>
            <w:tcW w:w="1300" w:type="dxa"/>
            <w:tcBorders>
              <w:top w:val="nil"/>
              <w:left w:val="nil"/>
              <w:bottom w:val="nil"/>
              <w:right w:val="nil"/>
            </w:tcBorders>
            <w:hideMark/>
          </w:tcPr>
          <w:p w14:paraId="666D0F60" w14:textId="79ECB773" w:rsidR="00842CBD" w:rsidRDefault="00842CBD" w:rsidP="00842CBD">
            <w:pPr>
              <w:rPr>
                <w:color w:val="000000"/>
                <w:sz w:val="22"/>
                <w:szCs w:val="22"/>
              </w:rPr>
            </w:pPr>
            <w:r>
              <w:rPr>
                <w:color w:val="000000"/>
                <w:sz w:val="22"/>
                <w:szCs w:val="22"/>
              </w:rPr>
              <w:t>Section 28</w:t>
            </w:r>
          </w:p>
        </w:tc>
        <w:tc>
          <w:tcPr>
            <w:tcW w:w="3870" w:type="dxa"/>
            <w:tcBorders>
              <w:top w:val="nil"/>
              <w:left w:val="nil"/>
              <w:bottom w:val="nil"/>
              <w:right w:val="nil"/>
            </w:tcBorders>
            <w:hideMark/>
          </w:tcPr>
          <w:p w14:paraId="00F3BAE2" w14:textId="77777777" w:rsidR="00842CBD" w:rsidRDefault="00842CBD" w:rsidP="00842CBD">
            <w:pPr>
              <w:rPr>
                <w:color w:val="000000"/>
                <w:sz w:val="22"/>
                <w:szCs w:val="22"/>
              </w:rPr>
            </w:pPr>
            <w:r>
              <w:rPr>
                <w:color w:val="000000"/>
                <w:sz w:val="22"/>
                <w:szCs w:val="22"/>
              </w:rPr>
              <w:t xml:space="preserve">Building Levy – applies to a landowner issued a building approval by an appointed building certifier for building work that does not include building work in relation to one or more of: a class 1 building, class 1 part of a building, class 2 building, or class 2 part of a building. </w:t>
            </w:r>
          </w:p>
        </w:tc>
        <w:tc>
          <w:tcPr>
            <w:tcW w:w="2176" w:type="dxa"/>
            <w:tcBorders>
              <w:top w:val="nil"/>
              <w:left w:val="nil"/>
              <w:bottom w:val="nil"/>
              <w:right w:val="nil"/>
            </w:tcBorders>
            <w:hideMark/>
          </w:tcPr>
          <w:p w14:paraId="21551DE3" w14:textId="6DD1466E" w:rsidR="00842CBD" w:rsidRPr="00546469" w:rsidRDefault="00842CBD" w:rsidP="00842CBD">
            <w:pPr>
              <w:jc w:val="right"/>
              <w:rPr>
                <w:i/>
                <w:iCs/>
                <w:color w:val="000000"/>
                <w:sz w:val="22"/>
                <w:szCs w:val="22"/>
              </w:rPr>
            </w:pPr>
            <w:r w:rsidRPr="0051688F">
              <w:rPr>
                <w:i/>
                <w:iCs/>
                <w:color w:val="000000"/>
                <w:sz w:val="22"/>
                <w:szCs w:val="22"/>
              </w:rPr>
              <w:t>1.28% of total cost of works</w:t>
            </w:r>
          </w:p>
        </w:tc>
        <w:tc>
          <w:tcPr>
            <w:tcW w:w="2016" w:type="dxa"/>
            <w:tcBorders>
              <w:top w:val="nil"/>
              <w:left w:val="nil"/>
              <w:bottom w:val="nil"/>
              <w:right w:val="nil"/>
            </w:tcBorders>
            <w:hideMark/>
          </w:tcPr>
          <w:p w14:paraId="59684044" w14:textId="4B58DE7B" w:rsidR="00842CBD" w:rsidRPr="00E74DBA" w:rsidRDefault="00842CBD" w:rsidP="00842CBD">
            <w:pPr>
              <w:jc w:val="right"/>
              <w:rPr>
                <w:b/>
                <w:bCs/>
                <w:color w:val="000000"/>
                <w:sz w:val="22"/>
                <w:szCs w:val="22"/>
              </w:rPr>
            </w:pPr>
            <w:r w:rsidRPr="00E74DBA">
              <w:rPr>
                <w:b/>
                <w:bCs/>
                <w:color w:val="000000"/>
                <w:sz w:val="22"/>
                <w:szCs w:val="22"/>
              </w:rPr>
              <w:t>1.</w:t>
            </w:r>
            <w:r w:rsidR="00E95ABF">
              <w:rPr>
                <w:b/>
                <w:bCs/>
                <w:color w:val="000000"/>
                <w:sz w:val="22"/>
                <w:szCs w:val="22"/>
              </w:rPr>
              <w:t>28</w:t>
            </w:r>
            <w:r w:rsidRPr="00E74DBA">
              <w:rPr>
                <w:b/>
                <w:bCs/>
                <w:color w:val="000000"/>
                <w:sz w:val="22"/>
                <w:szCs w:val="22"/>
              </w:rPr>
              <w:t>% of total cost of works</w:t>
            </w:r>
          </w:p>
        </w:tc>
      </w:tr>
      <w:tr w:rsidR="00842CBD" w14:paraId="7DE0F849" w14:textId="77777777" w:rsidTr="0051688F">
        <w:trPr>
          <w:trHeight w:val="3610"/>
        </w:trPr>
        <w:tc>
          <w:tcPr>
            <w:tcW w:w="1039" w:type="dxa"/>
            <w:tcBorders>
              <w:top w:val="nil"/>
              <w:left w:val="nil"/>
              <w:bottom w:val="nil"/>
              <w:right w:val="nil"/>
            </w:tcBorders>
          </w:tcPr>
          <w:p w14:paraId="25E4EC28" w14:textId="5C9E130C" w:rsidR="00842CBD" w:rsidRDefault="00842CBD" w:rsidP="00842CBD">
            <w:pPr>
              <w:rPr>
                <w:color w:val="000000"/>
                <w:sz w:val="22"/>
                <w:szCs w:val="22"/>
              </w:rPr>
            </w:pPr>
            <w:r>
              <w:rPr>
                <w:color w:val="000000"/>
                <w:sz w:val="22"/>
                <w:szCs w:val="22"/>
              </w:rPr>
              <w:lastRenderedPageBreak/>
              <w:t>2.3</w:t>
            </w:r>
          </w:p>
        </w:tc>
        <w:tc>
          <w:tcPr>
            <w:tcW w:w="1300" w:type="dxa"/>
            <w:tcBorders>
              <w:top w:val="nil"/>
              <w:left w:val="nil"/>
              <w:bottom w:val="nil"/>
              <w:right w:val="nil"/>
            </w:tcBorders>
            <w:hideMark/>
          </w:tcPr>
          <w:p w14:paraId="4AAFFA44" w14:textId="7A36DDB9" w:rsidR="00842CBD" w:rsidRDefault="00842CBD" w:rsidP="00842CBD">
            <w:pPr>
              <w:rPr>
                <w:color w:val="000000"/>
                <w:sz w:val="22"/>
                <w:szCs w:val="22"/>
              </w:rPr>
            </w:pPr>
            <w:r>
              <w:rPr>
                <w:color w:val="000000"/>
                <w:sz w:val="22"/>
                <w:szCs w:val="22"/>
              </w:rPr>
              <w:t>Section 28</w:t>
            </w:r>
          </w:p>
        </w:tc>
        <w:tc>
          <w:tcPr>
            <w:tcW w:w="3870" w:type="dxa"/>
            <w:tcBorders>
              <w:top w:val="nil"/>
              <w:left w:val="nil"/>
              <w:bottom w:val="nil"/>
              <w:right w:val="nil"/>
            </w:tcBorders>
            <w:hideMark/>
          </w:tcPr>
          <w:p w14:paraId="5C20E4A2" w14:textId="77777777" w:rsidR="00842CBD" w:rsidRDefault="00842CBD" w:rsidP="00842CBD">
            <w:pPr>
              <w:rPr>
                <w:color w:val="000000"/>
                <w:sz w:val="22"/>
                <w:szCs w:val="22"/>
              </w:rPr>
            </w:pPr>
            <w:r>
              <w:rPr>
                <w:color w:val="000000"/>
                <w:sz w:val="22"/>
                <w:szCs w:val="22"/>
              </w:rPr>
              <w:t>If the owner of a land parcel applies for a refund of Building Levy Fees paid in respect of a building approval granted in relation to that land, a refund may be given on the following terms. The application must verify that the relevant certifier has cancelled the building approval and that none of the building work has commenced and that the certifier has not carried out inspections of that work under the</w:t>
            </w:r>
            <w:r>
              <w:rPr>
                <w:i/>
                <w:iCs/>
                <w:color w:val="000000"/>
                <w:sz w:val="22"/>
                <w:szCs w:val="22"/>
              </w:rPr>
              <w:t xml:space="preserve"> </w:t>
            </w:r>
            <w:r>
              <w:rPr>
                <w:color w:val="000000"/>
                <w:sz w:val="22"/>
                <w:szCs w:val="22"/>
              </w:rPr>
              <w:t>Act: and the following amounts shall be deducted from such refund amount – residential and commercial**</w:t>
            </w:r>
          </w:p>
        </w:tc>
        <w:tc>
          <w:tcPr>
            <w:tcW w:w="2176" w:type="dxa"/>
            <w:tcBorders>
              <w:top w:val="nil"/>
              <w:left w:val="nil"/>
              <w:bottom w:val="nil"/>
              <w:right w:val="nil"/>
            </w:tcBorders>
            <w:hideMark/>
          </w:tcPr>
          <w:p w14:paraId="74F00433" w14:textId="480FABF0" w:rsidR="00842CBD" w:rsidRPr="00546469" w:rsidRDefault="00842CBD" w:rsidP="0051688F">
            <w:pPr>
              <w:jc w:val="right"/>
              <w:rPr>
                <w:i/>
                <w:iCs/>
                <w:color w:val="000000"/>
                <w:sz w:val="22"/>
                <w:szCs w:val="22"/>
              </w:rPr>
            </w:pPr>
            <w:r w:rsidRPr="0051688F">
              <w:rPr>
                <w:i/>
                <w:iCs/>
                <w:color w:val="000000"/>
                <w:sz w:val="22"/>
                <w:szCs w:val="22"/>
              </w:rPr>
              <w:t>114.37</w:t>
            </w:r>
          </w:p>
        </w:tc>
        <w:tc>
          <w:tcPr>
            <w:tcW w:w="2016" w:type="dxa"/>
            <w:tcBorders>
              <w:top w:val="nil"/>
              <w:left w:val="nil"/>
              <w:bottom w:val="nil"/>
              <w:right w:val="nil"/>
            </w:tcBorders>
            <w:hideMark/>
          </w:tcPr>
          <w:p w14:paraId="58AF754A" w14:textId="26748902" w:rsidR="00842CBD" w:rsidRPr="00E74DBA" w:rsidRDefault="00842CBD" w:rsidP="00842CBD">
            <w:pPr>
              <w:jc w:val="right"/>
              <w:rPr>
                <w:b/>
                <w:bCs/>
                <w:color w:val="000000"/>
                <w:sz w:val="22"/>
                <w:szCs w:val="22"/>
                <w:lang w:eastAsia="en-AU"/>
              </w:rPr>
            </w:pPr>
            <w:r w:rsidRPr="00E74DBA">
              <w:rPr>
                <w:b/>
                <w:bCs/>
                <w:color w:val="000000"/>
                <w:sz w:val="22"/>
                <w:szCs w:val="22"/>
              </w:rPr>
              <w:t>1</w:t>
            </w:r>
            <w:r>
              <w:rPr>
                <w:b/>
                <w:bCs/>
                <w:color w:val="000000"/>
                <w:sz w:val="22"/>
                <w:szCs w:val="22"/>
              </w:rPr>
              <w:t>18.</w:t>
            </w:r>
            <w:r w:rsidR="00957836">
              <w:rPr>
                <w:b/>
                <w:bCs/>
                <w:color w:val="000000"/>
                <w:sz w:val="22"/>
                <w:szCs w:val="22"/>
              </w:rPr>
              <w:t>09</w:t>
            </w:r>
          </w:p>
          <w:p w14:paraId="36DE0134" w14:textId="47096759" w:rsidR="00842CBD" w:rsidRPr="00E74DBA" w:rsidRDefault="00842CBD" w:rsidP="00842CBD">
            <w:pPr>
              <w:jc w:val="right"/>
              <w:rPr>
                <w:b/>
                <w:bCs/>
                <w:color w:val="000000"/>
                <w:sz w:val="22"/>
                <w:szCs w:val="22"/>
              </w:rPr>
            </w:pPr>
          </w:p>
        </w:tc>
      </w:tr>
      <w:tr w:rsidR="00842CBD" w14:paraId="29BAB4A8" w14:textId="77777777" w:rsidTr="0051688F">
        <w:trPr>
          <w:trHeight w:val="3911"/>
        </w:trPr>
        <w:tc>
          <w:tcPr>
            <w:tcW w:w="1039" w:type="dxa"/>
            <w:tcBorders>
              <w:top w:val="nil"/>
              <w:left w:val="nil"/>
              <w:bottom w:val="nil"/>
              <w:right w:val="nil"/>
            </w:tcBorders>
          </w:tcPr>
          <w:p w14:paraId="1316DC88" w14:textId="6AFF500F" w:rsidR="00842CBD" w:rsidRDefault="00842CBD" w:rsidP="00842CBD">
            <w:pPr>
              <w:rPr>
                <w:color w:val="000000"/>
                <w:sz w:val="22"/>
                <w:szCs w:val="22"/>
              </w:rPr>
            </w:pPr>
            <w:r>
              <w:rPr>
                <w:color w:val="000000"/>
                <w:sz w:val="22"/>
                <w:szCs w:val="22"/>
              </w:rPr>
              <w:t>3.1</w:t>
            </w:r>
          </w:p>
        </w:tc>
        <w:tc>
          <w:tcPr>
            <w:tcW w:w="1300" w:type="dxa"/>
            <w:tcBorders>
              <w:top w:val="nil"/>
              <w:left w:val="nil"/>
              <w:bottom w:val="nil"/>
              <w:right w:val="nil"/>
            </w:tcBorders>
            <w:hideMark/>
          </w:tcPr>
          <w:p w14:paraId="3AA204E7" w14:textId="5A448E60" w:rsidR="00842CBD" w:rsidRDefault="00842CBD" w:rsidP="00842CBD">
            <w:pPr>
              <w:rPr>
                <w:color w:val="000000"/>
                <w:sz w:val="22"/>
                <w:szCs w:val="22"/>
              </w:rPr>
            </w:pPr>
            <w:r>
              <w:rPr>
                <w:color w:val="000000"/>
                <w:sz w:val="22"/>
                <w:szCs w:val="22"/>
              </w:rPr>
              <w:t>Section 28A</w:t>
            </w:r>
          </w:p>
        </w:tc>
        <w:tc>
          <w:tcPr>
            <w:tcW w:w="3870" w:type="dxa"/>
            <w:tcBorders>
              <w:top w:val="nil"/>
              <w:left w:val="nil"/>
              <w:bottom w:val="nil"/>
              <w:right w:val="nil"/>
            </w:tcBorders>
            <w:hideMark/>
          </w:tcPr>
          <w:p w14:paraId="74A2D979" w14:textId="77777777" w:rsidR="00842CBD" w:rsidRDefault="00842CBD" w:rsidP="00842CBD">
            <w:pPr>
              <w:rPr>
                <w:color w:val="000000"/>
                <w:sz w:val="22"/>
                <w:szCs w:val="22"/>
              </w:rPr>
            </w:pPr>
            <w:r>
              <w:rPr>
                <w:color w:val="000000"/>
                <w:sz w:val="22"/>
                <w:szCs w:val="22"/>
              </w:rPr>
              <w:t>Building re-registration of work that has not been completed within the statutory time frame</w:t>
            </w:r>
          </w:p>
        </w:tc>
        <w:tc>
          <w:tcPr>
            <w:tcW w:w="2176" w:type="dxa"/>
            <w:tcBorders>
              <w:top w:val="nil"/>
              <w:left w:val="nil"/>
              <w:bottom w:val="nil"/>
              <w:right w:val="nil"/>
            </w:tcBorders>
            <w:hideMark/>
          </w:tcPr>
          <w:p w14:paraId="267DE2B5" w14:textId="0C614A9E" w:rsidR="00842CBD" w:rsidRPr="00546469" w:rsidRDefault="00842CBD" w:rsidP="00842CBD">
            <w:pPr>
              <w:jc w:val="right"/>
              <w:rPr>
                <w:i/>
                <w:iCs/>
                <w:color w:val="000000"/>
                <w:sz w:val="22"/>
                <w:szCs w:val="22"/>
              </w:rPr>
            </w:pPr>
            <w:r w:rsidRPr="0051688F">
              <w:rPr>
                <w:i/>
                <w:iCs/>
                <w:sz w:val="22"/>
                <w:szCs w:val="22"/>
              </w:rPr>
              <w:t>52% of the calculated building levy for the value of work (or minimum 128.08) at the time of registration with the Construction Occupations Registrar</w:t>
            </w:r>
          </w:p>
        </w:tc>
        <w:tc>
          <w:tcPr>
            <w:tcW w:w="2016" w:type="dxa"/>
            <w:tcBorders>
              <w:top w:val="nil"/>
              <w:left w:val="nil"/>
              <w:bottom w:val="nil"/>
              <w:right w:val="nil"/>
            </w:tcBorders>
            <w:hideMark/>
          </w:tcPr>
          <w:p w14:paraId="466EF506" w14:textId="5171AB08" w:rsidR="00842CBD" w:rsidRPr="00E74DBA" w:rsidRDefault="00290CFC" w:rsidP="00842CBD">
            <w:pPr>
              <w:jc w:val="right"/>
              <w:rPr>
                <w:b/>
                <w:bCs/>
                <w:color w:val="000000"/>
                <w:sz w:val="22"/>
                <w:szCs w:val="22"/>
              </w:rPr>
            </w:pPr>
            <w:r w:rsidRPr="00E74DBA">
              <w:rPr>
                <w:b/>
                <w:bCs/>
                <w:sz w:val="22"/>
                <w:szCs w:val="22"/>
              </w:rPr>
              <w:t>5</w:t>
            </w:r>
            <w:r>
              <w:rPr>
                <w:b/>
                <w:bCs/>
                <w:sz w:val="22"/>
                <w:szCs w:val="22"/>
              </w:rPr>
              <w:t>4</w:t>
            </w:r>
            <w:r w:rsidR="00842CBD" w:rsidRPr="00E74DBA">
              <w:rPr>
                <w:b/>
                <w:bCs/>
                <w:sz w:val="22"/>
                <w:szCs w:val="22"/>
              </w:rPr>
              <w:t>% of the calculated building levy for the value of work (or minimum 1</w:t>
            </w:r>
            <w:r w:rsidR="00842CBD">
              <w:rPr>
                <w:b/>
                <w:bCs/>
                <w:sz w:val="22"/>
                <w:szCs w:val="22"/>
              </w:rPr>
              <w:t>32.70</w:t>
            </w:r>
            <w:r w:rsidR="00842CBD" w:rsidRPr="00E74DBA">
              <w:rPr>
                <w:b/>
                <w:bCs/>
                <w:sz w:val="22"/>
                <w:szCs w:val="22"/>
              </w:rPr>
              <w:t>) at the time of registration with the Construction Occupations Registrar</w:t>
            </w:r>
          </w:p>
        </w:tc>
      </w:tr>
      <w:tr w:rsidR="00842CBD" w14:paraId="717D4A12" w14:textId="77777777" w:rsidTr="0051688F">
        <w:trPr>
          <w:trHeight w:val="601"/>
        </w:trPr>
        <w:tc>
          <w:tcPr>
            <w:tcW w:w="1039" w:type="dxa"/>
            <w:tcBorders>
              <w:top w:val="nil"/>
              <w:left w:val="nil"/>
              <w:bottom w:val="nil"/>
              <w:right w:val="nil"/>
            </w:tcBorders>
          </w:tcPr>
          <w:p w14:paraId="63E2493C" w14:textId="19DAB340" w:rsidR="00842CBD" w:rsidRDefault="00842CBD" w:rsidP="00842CBD">
            <w:pPr>
              <w:rPr>
                <w:color w:val="000000"/>
                <w:sz w:val="22"/>
                <w:szCs w:val="22"/>
              </w:rPr>
            </w:pPr>
            <w:r>
              <w:rPr>
                <w:color w:val="000000"/>
                <w:sz w:val="22"/>
                <w:szCs w:val="22"/>
              </w:rPr>
              <w:t>4.1</w:t>
            </w:r>
          </w:p>
        </w:tc>
        <w:tc>
          <w:tcPr>
            <w:tcW w:w="1300" w:type="dxa"/>
            <w:tcBorders>
              <w:top w:val="nil"/>
              <w:left w:val="nil"/>
              <w:bottom w:val="nil"/>
              <w:right w:val="nil"/>
            </w:tcBorders>
            <w:hideMark/>
          </w:tcPr>
          <w:p w14:paraId="7AB163D3" w14:textId="6F171735" w:rsidR="00842CBD" w:rsidRDefault="00842CBD" w:rsidP="00842CBD">
            <w:pPr>
              <w:rPr>
                <w:color w:val="000000"/>
                <w:sz w:val="22"/>
                <w:szCs w:val="22"/>
              </w:rPr>
            </w:pPr>
            <w:r>
              <w:rPr>
                <w:color w:val="000000"/>
                <w:sz w:val="22"/>
                <w:szCs w:val="22"/>
              </w:rPr>
              <w:t>Section 32</w:t>
            </w:r>
          </w:p>
        </w:tc>
        <w:tc>
          <w:tcPr>
            <w:tcW w:w="3870" w:type="dxa"/>
            <w:tcBorders>
              <w:top w:val="nil"/>
              <w:left w:val="nil"/>
              <w:bottom w:val="nil"/>
              <w:right w:val="nil"/>
            </w:tcBorders>
            <w:hideMark/>
          </w:tcPr>
          <w:p w14:paraId="024F8AD8" w14:textId="77777777" w:rsidR="00842CBD" w:rsidRDefault="00842CBD" w:rsidP="00842CBD">
            <w:pPr>
              <w:rPr>
                <w:color w:val="000000"/>
                <w:sz w:val="22"/>
                <w:szCs w:val="22"/>
              </w:rPr>
            </w:pPr>
            <w:r>
              <w:rPr>
                <w:color w:val="000000"/>
                <w:sz w:val="22"/>
                <w:szCs w:val="22"/>
              </w:rPr>
              <w:t>Registration of amended plans to already registered building plans</w:t>
            </w:r>
          </w:p>
        </w:tc>
        <w:tc>
          <w:tcPr>
            <w:tcW w:w="2176" w:type="dxa"/>
            <w:tcBorders>
              <w:top w:val="nil"/>
              <w:left w:val="nil"/>
              <w:bottom w:val="nil"/>
              <w:right w:val="nil"/>
            </w:tcBorders>
            <w:hideMark/>
          </w:tcPr>
          <w:p w14:paraId="408E373E" w14:textId="467861FB" w:rsidR="00842CBD" w:rsidRPr="00546469" w:rsidRDefault="00842CBD" w:rsidP="00842CBD">
            <w:pPr>
              <w:jc w:val="right"/>
              <w:rPr>
                <w:i/>
                <w:iCs/>
                <w:color w:val="000000"/>
                <w:sz w:val="22"/>
                <w:szCs w:val="22"/>
              </w:rPr>
            </w:pPr>
            <w:r w:rsidRPr="0051688F">
              <w:rPr>
                <w:i/>
                <w:iCs/>
                <w:sz w:val="22"/>
                <w:szCs w:val="22"/>
              </w:rPr>
              <w:t>27.43</w:t>
            </w:r>
          </w:p>
        </w:tc>
        <w:tc>
          <w:tcPr>
            <w:tcW w:w="2016" w:type="dxa"/>
            <w:tcBorders>
              <w:top w:val="nil"/>
              <w:left w:val="nil"/>
              <w:bottom w:val="nil"/>
              <w:right w:val="nil"/>
            </w:tcBorders>
            <w:hideMark/>
          </w:tcPr>
          <w:p w14:paraId="2AEA16E6" w14:textId="1353A172" w:rsidR="00842CBD" w:rsidRPr="00E74DBA" w:rsidRDefault="00842CBD" w:rsidP="00842CBD">
            <w:pPr>
              <w:jc w:val="right"/>
              <w:rPr>
                <w:b/>
                <w:bCs/>
                <w:color w:val="000000"/>
                <w:sz w:val="22"/>
                <w:szCs w:val="22"/>
              </w:rPr>
            </w:pPr>
            <w:r w:rsidRPr="00E74DBA">
              <w:rPr>
                <w:b/>
                <w:bCs/>
                <w:sz w:val="22"/>
                <w:szCs w:val="22"/>
              </w:rPr>
              <w:t>2</w:t>
            </w:r>
            <w:r>
              <w:rPr>
                <w:b/>
                <w:bCs/>
                <w:sz w:val="22"/>
                <w:szCs w:val="22"/>
              </w:rPr>
              <w:t>8.42</w:t>
            </w:r>
          </w:p>
        </w:tc>
      </w:tr>
      <w:tr w:rsidR="00842CBD" w14:paraId="6D88CD3E" w14:textId="77777777" w:rsidTr="0051688F">
        <w:trPr>
          <w:trHeight w:val="601"/>
        </w:trPr>
        <w:tc>
          <w:tcPr>
            <w:tcW w:w="1039" w:type="dxa"/>
            <w:tcBorders>
              <w:top w:val="nil"/>
              <w:left w:val="nil"/>
              <w:bottom w:val="nil"/>
              <w:right w:val="nil"/>
            </w:tcBorders>
          </w:tcPr>
          <w:p w14:paraId="236C2C71" w14:textId="2DF0BB83" w:rsidR="00842CBD" w:rsidRDefault="00842CBD" w:rsidP="00842CBD">
            <w:pPr>
              <w:rPr>
                <w:color w:val="000000"/>
                <w:sz w:val="22"/>
                <w:szCs w:val="22"/>
              </w:rPr>
            </w:pPr>
            <w:r>
              <w:rPr>
                <w:color w:val="000000"/>
                <w:sz w:val="22"/>
                <w:szCs w:val="22"/>
              </w:rPr>
              <w:t>4.2</w:t>
            </w:r>
          </w:p>
        </w:tc>
        <w:tc>
          <w:tcPr>
            <w:tcW w:w="1300" w:type="dxa"/>
            <w:tcBorders>
              <w:top w:val="nil"/>
              <w:left w:val="nil"/>
              <w:bottom w:val="nil"/>
              <w:right w:val="nil"/>
            </w:tcBorders>
            <w:hideMark/>
          </w:tcPr>
          <w:p w14:paraId="6E8F908B" w14:textId="7B205BBC" w:rsidR="00842CBD" w:rsidRDefault="00842CBD" w:rsidP="00842CBD">
            <w:pPr>
              <w:rPr>
                <w:color w:val="000000"/>
                <w:sz w:val="22"/>
                <w:szCs w:val="22"/>
              </w:rPr>
            </w:pPr>
            <w:r>
              <w:rPr>
                <w:color w:val="000000"/>
                <w:sz w:val="22"/>
                <w:szCs w:val="22"/>
              </w:rPr>
              <w:t>Section 32</w:t>
            </w:r>
          </w:p>
        </w:tc>
        <w:tc>
          <w:tcPr>
            <w:tcW w:w="3870" w:type="dxa"/>
            <w:tcBorders>
              <w:top w:val="nil"/>
              <w:left w:val="nil"/>
              <w:bottom w:val="nil"/>
              <w:right w:val="nil"/>
            </w:tcBorders>
            <w:hideMark/>
          </w:tcPr>
          <w:p w14:paraId="14A91604" w14:textId="77777777" w:rsidR="00842CBD" w:rsidRDefault="00842CBD" w:rsidP="00842CBD">
            <w:pPr>
              <w:rPr>
                <w:color w:val="000000"/>
                <w:sz w:val="22"/>
                <w:szCs w:val="22"/>
              </w:rPr>
            </w:pPr>
            <w:r>
              <w:rPr>
                <w:color w:val="000000"/>
                <w:sz w:val="22"/>
                <w:szCs w:val="22"/>
              </w:rPr>
              <w:t>Registration of detailed plans to already registered building plans</w:t>
            </w:r>
          </w:p>
        </w:tc>
        <w:tc>
          <w:tcPr>
            <w:tcW w:w="2176" w:type="dxa"/>
            <w:tcBorders>
              <w:top w:val="nil"/>
              <w:left w:val="nil"/>
              <w:bottom w:val="nil"/>
              <w:right w:val="nil"/>
            </w:tcBorders>
            <w:hideMark/>
          </w:tcPr>
          <w:p w14:paraId="35BE521F" w14:textId="0A653BEE" w:rsidR="00842CBD" w:rsidRPr="00546469" w:rsidRDefault="00842CBD" w:rsidP="00842CBD">
            <w:pPr>
              <w:jc w:val="right"/>
              <w:rPr>
                <w:i/>
                <w:iCs/>
                <w:color w:val="000000"/>
                <w:sz w:val="22"/>
                <w:szCs w:val="22"/>
              </w:rPr>
            </w:pPr>
            <w:r w:rsidRPr="0051688F">
              <w:rPr>
                <w:i/>
                <w:iCs/>
                <w:sz w:val="22"/>
                <w:szCs w:val="22"/>
              </w:rPr>
              <w:t>27.43</w:t>
            </w:r>
          </w:p>
        </w:tc>
        <w:tc>
          <w:tcPr>
            <w:tcW w:w="2016" w:type="dxa"/>
            <w:tcBorders>
              <w:top w:val="nil"/>
              <w:left w:val="nil"/>
              <w:bottom w:val="nil"/>
              <w:right w:val="nil"/>
            </w:tcBorders>
            <w:hideMark/>
          </w:tcPr>
          <w:p w14:paraId="616151B7" w14:textId="68B8BEB3" w:rsidR="00842CBD" w:rsidRPr="00E74DBA" w:rsidRDefault="00842CBD" w:rsidP="00842CBD">
            <w:pPr>
              <w:jc w:val="right"/>
              <w:rPr>
                <w:b/>
                <w:bCs/>
                <w:color w:val="000000"/>
                <w:sz w:val="22"/>
                <w:szCs w:val="22"/>
              </w:rPr>
            </w:pPr>
            <w:r w:rsidRPr="00E74DBA">
              <w:rPr>
                <w:b/>
                <w:bCs/>
                <w:sz w:val="22"/>
                <w:szCs w:val="22"/>
              </w:rPr>
              <w:t>2</w:t>
            </w:r>
            <w:r>
              <w:rPr>
                <w:b/>
                <w:bCs/>
                <w:sz w:val="22"/>
                <w:szCs w:val="22"/>
              </w:rPr>
              <w:t>8.42</w:t>
            </w:r>
          </w:p>
        </w:tc>
      </w:tr>
      <w:tr w:rsidR="00842CBD" w14:paraId="368C9D8C" w14:textId="77777777" w:rsidTr="0051688F">
        <w:trPr>
          <w:trHeight w:val="300"/>
        </w:trPr>
        <w:tc>
          <w:tcPr>
            <w:tcW w:w="1039" w:type="dxa"/>
            <w:tcBorders>
              <w:top w:val="nil"/>
              <w:left w:val="nil"/>
              <w:bottom w:val="nil"/>
              <w:right w:val="nil"/>
            </w:tcBorders>
          </w:tcPr>
          <w:p w14:paraId="5CF96017" w14:textId="2E58D1F4" w:rsidR="00842CBD" w:rsidRDefault="00842CBD" w:rsidP="00842CBD">
            <w:pPr>
              <w:rPr>
                <w:color w:val="000000"/>
                <w:sz w:val="22"/>
                <w:szCs w:val="22"/>
              </w:rPr>
            </w:pPr>
            <w:r>
              <w:rPr>
                <w:color w:val="000000"/>
                <w:sz w:val="22"/>
                <w:szCs w:val="22"/>
              </w:rPr>
              <w:t>5.1</w:t>
            </w:r>
          </w:p>
        </w:tc>
        <w:tc>
          <w:tcPr>
            <w:tcW w:w="1300" w:type="dxa"/>
            <w:tcBorders>
              <w:top w:val="nil"/>
              <w:left w:val="nil"/>
              <w:bottom w:val="nil"/>
              <w:right w:val="nil"/>
            </w:tcBorders>
            <w:hideMark/>
          </w:tcPr>
          <w:p w14:paraId="3436B5B7" w14:textId="07F1A952" w:rsidR="00842CBD" w:rsidRDefault="00842CBD" w:rsidP="00842CBD">
            <w:pPr>
              <w:rPr>
                <w:color w:val="000000"/>
                <w:sz w:val="22"/>
                <w:szCs w:val="22"/>
              </w:rPr>
            </w:pPr>
            <w:r>
              <w:rPr>
                <w:color w:val="000000"/>
                <w:sz w:val="22"/>
                <w:szCs w:val="22"/>
              </w:rPr>
              <w:t>Section 53</w:t>
            </w:r>
          </w:p>
        </w:tc>
        <w:tc>
          <w:tcPr>
            <w:tcW w:w="3870" w:type="dxa"/>
            <w:tcBorders>
              <w:top w:val="nil"/>
              <w:left w:val="nil"/>
              <w:bottom w:val="nil"/>
              <w:right w:val="nil"/>
            </w:tcBorders>
            <w:hideMark/>
          </w:tcPr>
          <w:p w14:paraId="31E6006D" w14:textId="77777777" w:rsidR="00842CBD" w:rsidRDefault="00842CBD" w:rsidP="00842CBD">
            <w:pPr>
              <w:rPr>
                <w:color w:val="000000"/>
                <w:sz w:val="22"/>
                <w:szCs w:val="22"/>
              </w:rPr>
            </w:pPr>
            <w:r>
              <w:rPr>
                <w:color w:val="000000"/>
                <w:sz w:val="22"/>
                <w:szCs w:val="22"/>
              </w:rPr>
              <w:t>Lifting stop notices</w:t>
            </w:r>
          </w:p>
        </w:tc>
        <w:tc>
          <w:tcPr>
            <w:tcW w:w="2176" w:type="dxa"/>
            <w:tcBorders>
              <w:top w:val="nil"/>
              <w:left w:val="nil"/>
              <w:bottom w:val="nil"/>
              <w:right w:val="nil"/>
            </w:tcBorders>
            <w:hideMark/>
          </w:tcPr>
          <w:p w14:paraId="5FAB325B" w14:textId="1278BD6F" w:rsidR="00842CBD" w:rsidRPr="00546469" w:rsidRDefault="00842CBD" w:rsidP="00842CBD">
            <w:pPr>
              <w:jc w:val="right"/>
              <w:rPr>
                <w:i/>
                <w:iCs/>
                <w:color w:val="000000"/>
                <w:sz w:val="22"/>
                <w:szCs w:val="22"/>
              </w:rPr>
            </w:pPr>
            <w:r w:rsidRPr="0051688F">
              <w:rPr>
                <w:i/>
                <w:iCs/>
                <w:sz w:val="22"/>
                <w:szCs w:val="22"/>
              </w:rPr>
              <w:t>282.31</w:t>
            </w:r>
          </w:p>
        </w:tc>
        <w:tc>
          <w:tcPr>
            <w:tcW w:w="2016" w:type="dxa"/>
            <w:tcBorders>
              <w:top w:val="nil"/>
              <w:left w:val="nil"/>
              <w:bottom w:val="nil"/>
              <w:right w:val="nil"/>
            </w:tcBorders>
            <w:hideMark/>
          </w:tcPr>
          <w:p w14:paraId="45B7C851" w14:textId="3D080E16" w:rsidR="00842CBD" w:rsidRPr="00E74DBA" w:rsidRDefault="00842CBD" w:rsidP="00842CBD">
            <w:pPr>
              <w:jc w:val="right"/>
              <w:rPr>
                <w:b/>
                <w:bCs/>
                <w:color w:val="000000"/>
                <w:sz w:val="22"/>
                <w:szCs w:val="22"/>
              </w:rPr>
            </w:pPr>
            <w:r w:rsidRPr="00E74DBA">
              <w:rPr>
                <w:b/>
                <w:bCs/>
                <w:sz w:val="22"/>
                <w:szCs w:val="22"/>
              </w:rPr>
              <w:t>2</w:t>
            </w:r>
            <w:r>
              <w:rPr>
                <w:b/>
                <w:bCs/>
                <w:sz w:val="22"/>
                <w:szCs w:val="22"/>
              </w:rPr>
              <w:t>92.48</w:t>
            </w:r>
          </w:p>
        </w:tc>
      </w:tr>
      <w:tr w:rsidR="00236156" w14:paraId="299AD8C2" w14:textId="77777777" w:rsidTr="0051688F">
        <w:trPr>
          <w:trHeight w:val="300"/>
        </w:trPr>
        <w:tc>
          <w:tcPr>
            <w:tcW w:w="1039" w:type="dxa"/>
            <w:tcBorders>
              <w:top w:val="nil"/>
              <w:left w:val="nil"/>
              <w:bottom w:val="nil"/>
              <w:right w:val="nil"/>
            </w:tcBorders>
          </w:tcPr>
          <w:p w14:paraId="64BE4FB8" w14:textId="38C6BD56" w:rsidR="00236156" w:rsidRDefault="00236156" w:rsidP="00236156">
            <w:pPr>
              <w:rPr>
                <w:color w:val="000000"/>
                <w:sz w:val="22"/>
                <w:szCs w:val="22"/>
              </w:rPr>
            </w:pPr>
            <w:r>
              <w:rPr>
                <w:color w:val="000000"/>
                <w:sz w:val="22"/>
                <w:szCs w:val="22"/>
              </w:rPr>
              <w:t>6.1</w:t>
            </w:r>
          </w:p>
        </w:tc>
        <w:tc>
          <w:tcPr>
            <w:tcW w:w="1300" w:type="dxa"/>
            <w:tcBorders>
              <w:top w:val="nil"/>
              <w:left w:val="nil"/>
              <w:bottom w:val="nil"/>
              <w:right w:val="nil"/>
            </w:tcBorders>
          </w:tcPr>
          <w:p w14:paraId="7405400D" w14:textId="63251B54" w:rsidR="00236156" w:rsidRDefault="00236156" w:rsidP="00236156">
            <w:pPr>
              <w:rPr>
                <w:color w:val="000000"/>
                <w:sz w:val="22"/>
                <w:szCs w:val="22"/>
              </w:rPr>
            </w:pPr>
            <w:r>
              <w:rPr>
                <w:color w:val="000000"/>
                <w:sz w:val="22"/>
                <w:szCs w:val="22"/>
              </w:rPr>
              <w:t>Section 69</w:t>
            </w:r>
          </w:p>
        </w:tc>
        <w:tc>
          <w:tcPr>
            <w:tcW w:w="3870" w:type="dxa"/>
            <w:tcBorders>
              <w:top w:val="nil"/>
              <w:left w:val="nil"/>
              <w:bottom w:val="nil"/>
              <w:right w:val="nil"/>
            </w:tcBorders>
          </w:tcPr>
          <w:p w14:paraId="08771662" w14:textId="78AE0FEA" w:rsidR="00236156" w:rsidRDefault="00236156" w:rsidP="00236156">
            <w:pPr>
              <w:rPr>
                <w:color w:val="000000"/>
                <w:sz w:val="22"/>
                <w:szCs w:val="22"/>
              </w:rPr>
            </w:pPr>
            <w:r w:rsidRPr="00732897">
              <w:rPr>
                <w:color w:val="000000"/>
                <w:sz w:val="22"/>
                <w:szCs w:val="22"/>
              </w:rPr>
              <w:t>Certificate of Occupancy and Use under subsection (2B) (per instance)</w:t>
            </w:r>
          </w:p>
        </w:tc>
        <w:tc>
          <w:tcPr>
            <w:tcW w:w="2176" w:type="dxa"/>
            <w:tcBorders>
              <w:top w:val="nil"/>
              <w:left w:val="nil"/>
              <w:bottom w:val="nil"/>
              <w:right w:val="nil"/>
            </w:tcBorders>
          </w:tcPr>
          <w:p w14:paraId="5BA25131" w14:textId="44F2CD8D" w:rsidR="00236156" w:rsidRPr="0051688F" w:rsidRDefault="00236156" w:rsidP="00236156">
            <w:pPr>
              <w:jc w:val="right"/>
              <w:rPr>
                <w:i/>
                <w:iCs/>
                <w:sz w:val="22"/>
                <w:szCs w:val="22"/>
              </w:rPr>
            </w:pPr>
            <w:r w:rsidRPr="0051688F">
              <w:rPr>
                <w:i/>
                <w:iCs/>
                <w:sz w:val="22"/>
                <w:szCs w:val="22"/>
              </w:rPr>
              <w:t>N/A</w:t>
            </w:r>
          </w:p>
        </w:tc>
        <w:tc>
          <w:tcPr>
            <w:tcW w:w="2016" w:type="dxa"/>
            <w:tcBorders>
              <w:top w:val="nil"/>
              <w:left w:val="nil"/>
              <w:bottom w:val="nil"/>
              <w:right w:val="nil"/>
            </w:tcBorders>
          </w:tcPr>
          <w:p w14:paraId="7D11A95A" w14:textId="69F58659" w:rsidR="00236156" w:rsidRPr="00E74DBA" w:rsidRDefault="00236156" w:rsidP="00236156">
            <w:pPr>
              <w:jc w:val="right"/>
              <w:rPr>
                <w:b/>
                <w:bCs/>
                <w:sz w:val="22"/>
                <w:szCs w:val="22"/>
              </w:rPr>
            </w:pPr>
            <w:r>
              <w:rPr>
                <w:b/>
                <w:bCs/>
                <w:sz w:val="22"/>
                <w:szCs w:val="22"/>
              </w:rPr>
              <w:t>361.53</w:t>
            </w:r>
          </w:p>
        </w:tc>
      </w:tr>
      <w:tr w:rsidR="00236156" w14:paraId="1E01F999" w14:textId="77777777" w:rsidTr="0051688F">
        <w:trPr>
          <w:trHeight w:val="3174"/>
        </w:trPr>
        <w:tc>
          <w:tcPr>
            <w:tcW w:w="1039" w:type="dxa"/>
            <w:tcBorders>
              <w:top w:val="nil"/>
              <w:left w:val="nil"/>
              <w:bottom w:val="nil"/>
              <w:right w:val="nil"/>
            </w:tcBorders>
          </w:tcPr>
          <w:p w14:paraId="19F0E970" w14:textId="791135C2" w:rsidR="00236156" w:rsidRDefault="00236156" w:rsidP="00236156">
            <w:pPr>
              <w:rPr>
                <w:color w:val="000000"/>
                <w:sz w:val="22"/>
                <w:szCs w:val="22"/>
              </w:rPr>
            </w:pPr>
            <w:r>
              <w:rPr>
                <w:color w:val="000000"/>
                <w:sz w:val="22"/>
                <w:szCs w:val="22"/>
              </w:rPr>
              <w:lastRenderedPageBreak/>
              <w:t>7.1</w:t>
            </w:r>
          </w:p>
        </w:tc>
        <w:tc>
          <w:tcPr>
            <w:tcW w:w="1300" w:type="dxa"/>
            <w:tcBorders>
              <w:top w:val="nil"/>
              <w:left w:val="nil"/>
              <w:bottom w:val="nil"/>
              <w:right w:val="nil"/>
            </w:tcBorders>
            <w:hideMark/>
          </w:tcPr>
          <w:p w14:paraId="4B84E0B2" w14:textId="65E84020" w:rsidR="00236156" w:rsidRDefault="00236156" w:rsidP="00236156">
            <w:pPr>
              <w:rPr>
                <w:color w:val="000000"/>
                <w:sz w:val="22"/>
                <w:szCs w:val="22"/>
              </w:rPr>
            </w:pPr>
            <w:r>
              <w:rPr>
                <w:color w:val="000000"/>
                <w:sz w:val="22"/>
                <w:szCs w:val="22"/>
              </w:rPr>
              <w:t>Section 74</w:t>
            </w:r>
          </w:p>
        </w:tc>
        <w:tc>
          <w:tcPr>
            <w:tcW w:w="3870" w:type="dxa"/>
            <w:tcBorders>
              <w:top w:val="nil"/>
              <w:left w:val="nil"/>
              <w:bottom w:val="nil"/>
              <w:right w:val="nil"/>
            </w:tcBorders>
            <w:hideMark/>
          </w:tcPr>
          <w:p w14:paraId="43ACE887" w14:textId="77777777" w:rsidR="00236156" w:rsidRDefault="00236156" w:rsidP="00236156">
            <w:pPr>
              <w:rPr>
                <w:color w:val="000000"/>
                <w:sz w:val="22"/>
                <w:szCs w:val="22"/>
              </w:rPr>
            </w:pPr>
            <w:r>
              <w:rPr>
                <w:color w:val="000000"/>
                <w:sz w:val="22"/>
                <w:szCs w:val="22"/>
              </w:rPr>
              <w:t>Certificate of Regularisation – A certificate of regularisation authorises the continuing occupancy of a building that was constructed by the Commonwealth or ACT Government without requiring approval or a certificate of occupancy under section 69 of the Act and has now been sold, or is to be sold. The amount depends on the value of the work and is the same as that determined as payable for a certificate of occupancy where the cost of works is:</w:t>
            </w:r>
          </w:p>
        </w:tc>
        <w:tc>
          <w:tcPr>
            <w:tcW w:w="2176" w:type="dxa"/>
            <w:tcBorders>
              <w:top w:val="nil"/>
              <w:left w:val="nil"/>
              <w:bottom w:val="nil"/>
              <w:right w:val="nil"/>
            </w:tcBorders>
            <w:hideMark/>
          </w:tcPr>
          <w:p w14:paraId="5B61510B" w14:textId="77777777" w:rsidR="00236156" w:rsidRPr="00546469" w:rsidRDefault="00236156" w:rsidP="00236156">
            <w:pPr>
              <w:rPr>
                <w:i/>
                <w:iCs/>
                <w:color w:val="000000"/>
                <w:sz w:val="22"/>
                <w:szCs w:val="22"/>
              </w:rPr>
            </w:pPr>
          </w:p>
        </w:tc>
        <w:tc>
          <w:tcPr>
            <w:tcW w:w="2016" w:type="dxa"/>
            <w:tcBorders>
              <w:top w:val="nil"/>
              <w:left w:val="nil"/>
              <w:bottom w:val="nil"/>
              <w:right w:val="nil"/>
            </w:tcBorders>
            <w:hideMark/>
          </w:tcPr>
          <w:p w14:paraId="3F6EF035" w14:textId="77777777" w:rsidR="00236156" w:rsidRPr="00E74DBA" w:rsidRDefault="00236156" w:rsidP="00236156">
            <w:pPr>
              <w:jc w:val="right"/>
              <w:rPr>
                <w:sz w:val="22"/>
                <w:szCs w:val="22"/>
              </w:rPr>
            </w:pPr>
          </w:p>
        </w:tc>
      </w:tr>
      <w:tr w:rsidR="00236156" w14:paraId="33E9D018" w14:textId="77777777" w:rsidTr="0051688F">
        <w:trPr>
          <w:trHeight w:val="338"/>
        </w:trPr>
        <w:tc>
          <w:tcPr>
            <w:tcW w:w="1039" w:type="dxa"/>
            <w:tcBorders>
              <w:top w:val="nil"/>
              <w:left w:val="nil"/>
              <w:bottom w:val="nil"/>
              <w:right w:val="nil"/>
            </w:tcBorders>
          </w:tcPr>
          <w:p w14:paraId="68BE7E83" w14:textId="77777777" w:rsidR="00236156" w:rsidRDefault="00236156" w:rsidP="00236156">
            <w:pPr>
              <w:jc w:val="right"/>
              <w:rPr>
                <w:sz w:val="20"/>
                <w:szCs w:val="20"/>
              </w:rPr>
            </w:pPr>
          </w:p>
        </w:tc>
        <w:tc>
          <w:tcPr>
            <w:tcW w:w="1300" w:type="dxa"/>
            <w:tcBorders>
              <w:top w:val="nil"/>
              <w:left w:val="nil"/>
              <w:bottom w:val="nil"/>
              <w:right w:val="nil"/>
            </w:tcBorders>
            <w:hideMark/>
          </w:tcPr>
          <w:p w14:paraId="4CD11BFA" w14:textId="4A38310C" w:rsidR="00236156" w:rsidRDefault="00236156" w:rsidP="00236156">
            <w:pPr>
              <w:jc w:val="right"/>
              <w:rPr>
                <w:sz w:val="20"/>
                <w:szCs w:val="20"/>
              </w:rPr>
            </w:pPr>
          </w:p>
        </w:tc>
        <w:tc>
          <w:tcPr>
            <w:tcW w:w="3870" w:type="dxa"/>
            <w:tcBorders>
              <w:top w:val="nil"/>
              <w:left w:val="nil"/>
              <w:bottom w:val="nil"/>
              <w:right w:val="nil"/>
            </w:tcBorders>
            <w:hideMark/>
          </w:tcPr>
          <w:p w14:paraId="0D2B24E8" w14:textId="77777777" w:rsidR="00236156" w:rsidRDefault="00236156" w:rsidP="00236156">
            <w:pPr>
              <w:rPr>
                <w:color w:val="000000"/>
                <w:sz w:val="22"/>
                <w:szCs w:val="22"/>
              </w:rPr>
            </w:pPr>
            <w:r>
              <w:rPr>
                <w:color w:val="000000"/>
                <w:sz w:val="22"/>
                <w:szCs w:val="22"/>
              </w:rPr>
              <w:t>$0 to $10,240</w:t>
            </w:r>
          </w:p>
        </w:tc>
        <w:tc>
          <w:tcPr>
            <w:tcW w:w="2176" w:type="dxa"/>
            <w:tcBorders>
              <w:top w:val="nil"/>
              <w:left w:val="nil"/>
              <w:bottom w:val="nil"/>
              <w:right w:val="nil"/>
            </w:tcBorders>
            <w:hideMark/>
          </w:tcPr>
          <w:p w14:paraId="4B339F03" w14:textId="24485687" w:rsidR="00236156" w:rsidRPr="00546469" w:rsidRDefault="00236156" w:rsidP="00236156">
            <w:pPr>
              <w:jc w:val="right"/>
              <w:rPr>
                <w:i/>
                <w:iCs/>
                <w:color w:val="000000"/>
                <w:sz w:val="22"/>
                <w:szCs w:val="22"/>
              </w:rPr>
            </w:pPr>
            <w:r w:rsidRPr="0051688F">
              <w:rPr>
                <w:i/>
                <w:iCs/>
                <w:sz w:val="22"/>
                <w:szCs w:val="22"/>
              </w:rPr>
              <w:t>129.43</w:t>
            </w:r>
          </w:p>
        </w:tc>
        <w:tc>
          <w:tcPr>
            <w:tcW w:w="2016" w:type="dxa"/>
            <w:tcBorders>
              <w:top w:val="nil"/>
              <w:left w:val="nil"/>
              <w:bottom w:val="nil"/>
              <w:right w:val="nil"/>
            </w:tcBorders>
            <w:hideMark/>
          </w:tcPr>
          <w:p w14:paraId="166821EA" w14:textId="062C470C" w:rsidR="00236156" w:rsidRPr="00E74DBA" w:rsidRDefault="00236156" w:rsidP="00236156">
            <w:pPr>
              <w:jc w:val="right"/>
              <w:rPr>
                <w:b/>
                <w:bCs/>
                <w:color w:val="000000"/>
                <w:sz w:val="22"/>
                <w:szCs w:val="22"/>
              </w:rPr>
            </w:pPr>
            <w:r w:rsidRPr="00E74DBA">
              <w:rPr>
                <w:b/>
                <w:bCs/>
                <w:sz w:val="22"/>
                <w:szCs w:val="22"/>
              </w:rPr>
              <w:t>1</w:t>
            </w:r>
            <w:r>
              <w:rPr>
                <w:b/>
                <w:bCs/>
                <w:sz w:val="22"/>
                <w:szCs w:val="22"/>
              </w:rPr>
              <w:t>34.09</w:t>
            </w:r>
          </w:p>
        </w:tc>
      </w:tr>
      <w:tr w:rsidR="00236156" w14:paraId="3B0AFB6E" w14:textId="77777777" w:rsidTr="0051688F">
        <w:trPr>
          <w:trHeight w:val="1504"/>
        </w:trPr>
        <w:tc>
          <w:tcPr>
            <w:tcW w:w="1039" w:type="dxa"/>
            <w:tcBorders>
              <w:top w:val="nil"/>
              <w:left w:val="nil"/>
              <w:bottom w:val="nil"/>
              <w:right w:val="nil"/>
            </w:tcBorders>
          </w:tcPr>
          <w:p w14:paraId="2BFF1C69" w14:textId="77777777" w:rsidR="00236156" w:rsidRDefault="00236156" w:rsidP="00236156">
            <w:pPr>
              <w:jc w:val="right"/>
              <w:rPr>
                <w:b/>
                <w:bCs/>
                <w:color w:val="000000"/>
                <w:sz w:val="22"/>
                <w:szCs w:val="22"/>
              </w:rPr>
            </w:pPr>
          </w:p>
        </w:tc>
        <w:tc>
          <w:tcPr>
            <w:tcW w:w="1300" w:type="dxa"/>
            <w:tcBorders>
              <w:top w:val="nil"/>
              <w:left w:val="nil"/>
              <w:bottom w:val="nil"/>
              <w:right w:val="nil"/>
            </w:tcBorders>
            <w:hideMark/>
          </w:tcPr>
          <w:p w14:paraId="2BE10A80" w14:textId="6F0849AB" w:rsidR="00236156" w:rsidRDefault="00236156" w:rsidP="00236156">
            <w:pPr>
              <w:jc w:val="right"/>
              <w:rPr>
                <w:b/>
                <w:bCs/>
                <w:color w:val="000000"/>
                <w:sz w:val="22"/>
                <w:szCs w:val="22"/>
              </w:rPr>
            </w:pPr>
          </w:p>
        </w:tc>
        <w:tc>
          <w:tcPr>
            <w:tcW w:w="3870" w:type="dxa"/>
            <w:tcBorders>
              <w:top w:val="nil"/>
              <w:left w:val="nil"/>
              <w:bottom w:val="nil"/>
              <w:right w:val="nil"/>
            </w:tcBorders>
            <w:hideMark/>
          </w:tcPr>
          <w:p w14:paraId="735CABE9" w14:textId="77777777" w:rsidR="00236156" w:rsidRDefault="00236156" w:rsidP="00236156">
            <w:pPr>
              <w:rPr>
                <w:color w:val="000000"/>
                <w:sz w:val="22"/>
                <w:szCs w:val="22"/>
              </w:rPr>
            </w:pPr>
            <w:r>
              <w:rPr>
                <w:color w:val="000000"/>
                <w:sz w:val="22"/>
                <w:szCs w:val="22"/>
              </w:rPr>
              <w:t>$10,241 to $20,000</w:t>
            </w:r>
          </w:p>
        </w:tc>
        <w:tc>
          <w:tcPr>
            <w:tcW w:w="2176" w:type="dxa"/>
            <w:tcBorders>
              <w:top w:val="nil"/>
              <w:left w:val="nil"/>
              <w:bottom w:val="nil"/>
              <w:right w:val="nil"/>
            </w:tcBorders>
            <w:hideMark/>
          </w:tcPr>
          <w:p w14:paraId="453BFA90" w14:textId="6BAE4E34" w:rsidR="00236156" w:rsidRPr="00546469" w:rsidRDefault="00236156" w:rsidP="00236156">
            <w:pPr>
              <w:jc w:val="right"/>
              <w:rPr>
                <w:i/>
                <w:iCs/>
                <w:color w:val="000000"/>
                <w:sz w:val="22"/>
                <w:szCs w:val="22"/>
              </w:rPr>
            </w:pPr>
            <w:r w:rsidRPr="0051688F">
              <w:rPr>
                <w:i/>
                <w:iCs/>
                <w:sz w:val="22"/>
                <w:szCs w:val="22"/>
              </w:rPr>
              <w:t>129.43 plus 0.86% of the amount in excess of 10,240</w:t>
            </w:r>
          </w:p>
        </w:tc>
        <w:tc>
          <w:tcPr>
            <w:tcW w:w="2016" w:type="dxa"/>
            <w:tcBorders>
              <w:top w:val="nil"/>
              <w:left w:val="nil"/>
              <w:bottom w:val="nil"/>
              <w:right w:val="nil"/>
            </w:tcBorders>
            <w:hideMark/>
          </w:tcPr>
          <w:p w14:paraId="290835F7" w14:textId="794D5BC0" w:rsidR="00236156" w:rsidRPr="00E74DBA" w:rsidRDefault="00236156" w:rsidP="00236156">
            <w:pPr>
              <w:jc w:val="right"/>
              <w:rPr>
                <w:b/>
                <w:bCs/>
                <w:color w:val="000000"/>
                <w:sz w:val="22"/>
                <w:szCs w:val="22"/>
              </w:rPr>
            </w:pPr>
            <w:r w:rsidRPr="00E74DBA">
              <w:rPr>
                <w:b/>
                <w:bCs/>
                <w:sz w:val="22"/>
                <w:szCs w:val="22"/>
              </w:rPr>
              <w:t>1</w:t>
            </w:r>
            <w:r>
              <w:rPr>
                <w:b/>
                <w:bCs/>
                <w:sz w:val="22"/>
                <w:szCs w:val="22"/>
              </w:rPr>
              <w:t>34.09</w:t>
            </w:r>
            <w:r w:rsidRPr="00E74DBA">
              <w:rPr>
                <w:b/>
                <w:bCs/>
                <w:sz w:val="22"/>
                <w:szCs w:val="22"/>
              </w:rPr>
              <w:t xml:space="preserve"> plus 0.</w:t>
            </w:r>
            <w:r w:rsidR="009E3FE4" w:rsidRPr="00E74DBA">
              <w:rPr>
                <w:b/>
                <w:bCs/>
                <w:sz w:val="22"/>
                <w:szCs w:val="22"/>
              </w:rPr>
              <w:t>8</w:t>
            </w:r>
            <w:r w:rsidR="009E3FE4">
              <w:rPr>
                <w:b/>
                <w:bCs/>
                <w:sz w:val="22"/>
                <w:szCs w:val="22"/>
              </w:rPr>
              <w:t>9</w:t>
            </w:r>
            <w:r w:rsidRPr="00E74DBA">
              <w:rPr>
                <w:b/>
                <w:bCs/>
                <w:sz w:val="22"/>
                <w:szCs w:val="22"/>
              </w:rPr>
              <w:t>% of the amount in excess of 10,240</w:t>
            </w:r>
          </w:p>
        </w:tc>
      </w:tr>
      <w:tr w:rsidR="00236156" w14:paraId="66FDE70C" w14:textId="77777777" w:rsidTr="0051688F">
        <w:trPr>
          <w:trHeight w:val="1504"/>
        </w:trPr>
        <w:tc>
          <w:tcPr>
            <w:tcW w:w="1039" w:type="dxa"/>
            <w:tcBorders>
              <w:top w:val="nil"/>
              <w:left w:val="nil"/>
              <w:bottom w:val="nil"/>
              <w:right w:val="nil"/>
            </w:tcBorders>
          </w:tcPr>
          <w:p w14:paraId="74E8E90D" w14:textId="77777777" w:rsidR="00236156" w:rsidRDefault="00236156" w:rsidP="00236156">
            <w:pPr>
              <w:jc w:val="right"/>
              <w:rPr>
                <w:b/>
                <w:bCs/>
                <w:color w:val="000000"/>
                <w:sz w:val="22"/>
                <w:szCs w:val="22"/>
              </w:rPr>
            </w:pPr>
          </w:p>
        </w:tc>
        <w:tc>
          <w:tcPr>
            <w:tcW w:w="1300" w:type="dxa"/>
            <w:tcBorders>
              <w:top w:val="nil"/>
              <w:left w:val="nil"/>
              <w:bottom w:val="nil"/>
              <w:right w:val="nil"/>
            </w:tcBorders>
            <w:hideMark/>
          </w:tcPr>
          <w:p w14:paraId="2F5C755E" w14:textId="74F1A236" w:rsidR="00236156" w:rsidRDefault="00236156" w:rsidP="00236156">
            <w:pPr>
              <w:jc w:val="right"/>
              <w:rPr>
                <w:b/>
                <w:bCs/>
                <w:color w:val="000000"/>
                <w:sz w:val="22"/>
                <w:szCs w:val="22"/>
              </w:rPr>
            </w:pPr>
          </w:p>
        </w:tc>
        <w:tc>
          <w:tcPr>
            <w:tcW w:w="3870" w:type="dxa"/>
            <w:tcBorders>
              <w:top w:val="nil"/>
              <w:left w:val="nil"/>
              <w:bottom w:val="nil"/>
              <w:right w:val="nil"/>
            </w:tcBorders>
            <w:hideMark/>
          </w:tcPr>
          <w:p w14:paraId="090F58CA" w14:textId="77777777" w:rsidR="00236156" w:rsidRDefault="00236156" w:rsidP="00236156">
            <w:pPr>
              <w:rPr>
                <w:color w:val="000000"/>
                <w:sz w:val="22"/>
                <w:szCs w:val="22"/>
              </w:rPr>
            </w:pPr>
            <w:r>
              <w:rPr>
                <w:color w:val="000000"/>
                <w:sz w:val="22"/>
                <w:szCs w:val="22"/>
              </w:rPr>
              <w:t>$20,001 to $150,000</w:t>
            </w:r>
          </w:p>
        </w:tc>
        <w:tc>
          <w:tcPr>
            <w:tcW w:w="2176" w:type="dxa"/>
            <w:tcBorders>
              <w:top w:val="nil"/>
              <w:left w:val="nil"/>
              <w:bottom w:val="nil"/>
              <w:right w:val="nil"/>
            </w:tcBorders>
            <w:hideMark/>
          </w:tcPr>
          <w:p w14:paraId="2CCDF55B" w14:textId="65DADAC6" w:rsidR="00236156" w:rsidRPr="00546469" w:rsidRDefault="00236156" w:rsidP="00236156">
            <w:pPr>
              <w:jc w:val="right"/>
              <w:rPr>
                <w:i/>
                <w:iCs/>
                <w:color w:val="000000"/>
                <w:sz w:val="22"/>
                <w:szCs w:val="22"/>
              </w:rPr>
            </w:pPr>
            <w:r w:rsidRPr="0051688F">
              <w:rPr>
                <w:i/>
                <w:iCs/>
                <w:sz w:val="22"/>
                <w:szCs w:val="22"/>
              </w:rPr>
              <w:t>241.75 plus 0.68% of the amount in excess of 20,000</w:t>
            </w:r>
          </w:p>
        </w:tc>
        <w:tc>
          <w:tcPr>
            <w:tcW w:w="2016" w:type="dxa"/>
            <w:tcBorders>
              <w:top w:val="nil"/>
              <w:left w:val="nil"/>
              <w:bottom w:val="nil"/>
              <w:right w:val="nil"/>
            </w:tcBorders>
            <w:hideMark/>
          </w:tcPr>
          <w:p w14:paraId="744A71D5" w14:textId="27C5D9AD" w:rsidR="00236156" w:rsidRPr="00E74DBA" w:rsidRDefault="00236156" w:rsidP="00236156">
            <w:pPr>
              <w:jc w:val="right"/>
              <w:rPr>
                <w:b/>
                <w:bCs/>
                <w:color w:val="000000"/>
                <w:sz w:val="22"/>
                <w:szCs w:val="22"/>
              </w:rPr>
            </w:pPr>
            <w:r w:rsidRPr="00E74DBA">
              <w:rPr>
                <w:b/>
                <w:bCs/>
                <w:sz w:val="22"/>
                <w:szCs w:val="22"/>
              </w:rPr>
              <w:t>2</w:t>
            </w:r>
            <w:r>
              <w:rPr>
                <w:b/>
                <w:bCs/>
                <w:sz w:val="22"/>
                <w:szCs w:val="22"/>
              </w:rPr>
              <w:t>50.45</w:t>
            </w:r>
            <w:r w:rsidRPr="00E74DBA">
              <w:rPr>
                <w:b/>
                <w:bCs/>
                <w:sz w:val="22"/>
                <w:szCs w:val="22"/>
              </w:rPr>
              <w:t xml:space="preserve"> plus 0.</w:t>
            </w:r>
            <w:r w:rsidR="009E3FE4">
              <w:rPr>
                <w:b/>
                <w:bCs/>
                <w:sz w:val="22"/>
                <w:szCs w:val="22"/>
              </w:rPr>
              <w:t>71</w:t>
            </w:r>
            <w:r w:rsidRPr="00E74DBA">
              <w:rPr>
                <w:b/>
                <w:bCs/>
                <w:sz w:val="22"/>
                <w:szCs w:val="22"/>
              </w:rPr>
              <w:t>% of the amount in excess of 20,000</w:t>
            </w:r>
          </w:p>
        </w:tc>
      </w:tr>
      <w:tr w:rsidR="00236156" w14:paraId="5C763235" w14:textId="77777777" w:rsidTr="0051688F">
        <w:trPr>
          <w:trHeight w:val="1504"/>
        </w:trPr>
        <w:tc>
          <w:tcPr>
            <w:tcW w:w="1039" w:type="dxa"/>
            <w:tcBorders>
              <w:top w:val="nil"/>
              <w:left w:val="nil"/>
              <w:bottom w:val="nil"/>
              <w:right w:val="nil"/>
            </w:tcBorders>
          </w:tcPr>
          <w:p w14:paraId="3AC7CF5E" w14:textId="77777777" w:rsidR="00236156" w:rsidRDefault="00236156" w:rsidP="00236156">
            <w:pPr>
              <w:jc w:val="right"/>
              <w:rPr>
                <w:b/>
                <w:bCs/>
                <w:color w:val="000000"/>
                <w:sz w:val="22"/>
                <w:szCs w:val="22"/>
              </w:rPr>
            </w:pPr>
          </w:p>
        </w:tc>
        <w:tc>
          <w:tcPr>
            <w:tcW w:w="1300" w:type="dxa"/>
            <w:tcBorders>
              <w:top w:val="nil"/>
              <w:left w:val="nil"/>
              <w:bottom w:val="nil"/>
              <w:right w:val="nil"/>
            </w:tcBorders>
            <w:hideMark/>
          </w:tcPr>
          <w:p w14:paraId="35959C24" w14:textId="2641863E" w:rsidR="00236156" w:rsidRDefault="00236156" w:rsidP="00236156">
            <w:pPr>
              <w:jc w:val="right"/>
              <w:rPr>
                <w:b/>
                <w:bCs/>
                <w:color w:val="000000"/>
                <w:sz w:val="22"/>
                <w:szCs w:val="22"/>
              </w:rPr>
            </w:pPr>
          </w:p>
        </w:tc>
        <w:tc>
          <w:tcPr>
            <w:tcW w:w="3870" w:type="dxa"/>
            <w:tcBorders>
              <w:top w:val="nil"/>
              <w:left w:val="nil"/>
              <w:bottom w:val="nil"/>
              <w:right w:val="nil"/>
            </w:tcBorders>
            <w:hideMark/>
          </w:tcPr>
          <w:p w14:paraId="4793D051" w14:textId="77777777" w:rsidR="00236156" w:rsidRDefault="00236156" w:rsidP="00236156">
            <w:pPr>
              <w:rPr>
                <w:color w:val="000000"/>
                <w:sz w:val="22"/>
                <w:szCs w:val="22"/>
              </w:rPr>
            </w:pPr>
            <w:r>
              <w:rPr>
                <w:color w:val="000000"/>
                <w:sz w:val="22"/>
                <w:szCs w:val="22"/>
              </w:rPr>
              <w:t>$150,001 to $250,000</w:t>
            </w:r>
          </w:p>
        </w:tc>
        <w:tc>
          <w:tcPr>
            <w:tcW w:w="2176" w:type="dxa"/>
            <w:tcBorders>
              <w:top w:val="nil"/>
              <w:left w:val="nil"/>
              <w:bottom w:val="nil"/>
              <w:right w:val="nil"/>
            </w:tcBorders>
            <w:hideMark/>
          </w:tcPr>
          <w:p w14:paraId="0CAB98F5" w14:textId="2A14A3E4" w:rsidR="00236156" w:rsidRPr="00546469" w:rsidRDefault="00236156" w:rsidP="00236156">
            <w:pPr>
              <w:jc w:val="right"/>
              <w:rPr>
                <w:i/>
                <w:iCs/>
                <w:color w:val="000000"/>
                <w:sz w:val="22"/>
                <w:szCs w:val="22"/>
              </w:rPr>
            </w:pPr>
            <w:r w:rsidRPr="0051688F">
              <w:rPr>
                <w:i/>
                <w:iCs/>
              </w:rPr>
              <w:t>1,462.45 plus 0.68% of the amount in excess of 150,000</w:t>
            </w:r>
          </w:p>
        </w:tc>
        <w:tc>
          <w:tcPr>
            <w:tcW w:w="2016" w:type="dxa"/>
            <w:tcBorders>
              <w:top w:val="nil"/>
              <w:left w:val="nil"/>
              <w:bottom w:val="nil"/>
              <w:right w:val="nil"/>
            </w:tcBorders>
            <w:hideMark/>
          </w:tcPr>
          <w:p w14:paraId="2E17A734" w14:textId="6C3C7E50" w:rsidR="00236156" w:rsidRPr="00196F70" w:rsidRDefault="00236156" w:rsidP="00236156">
            <w:pPr>
              <w:jc w:val="right"/>
              <w:rPr>
                <w:b/>
                <w:bCs/>
                <w:color w:val="000000"/>
                <w:sz w:val="22"/>
                <w:szCs w:val="22"/>
              </w:rPr>
            </w:pPr>
            <w:r w:rsidRPr="00196F70">
              <w:rPr>
                <w:b/>
                <w:bCs/>
              </w:rPr>
              <w:t>1,</w:t>
            </w:r>
            <w:r>
              <w:rPr>
                <w:b/>
                <w:bCs/>
              </w:rPr>
              <w:t>515.10</w:t>
            </w:r>
            <w:r w:rsidRPr="00196F70">
              <w:rPr>
                <w:b/>
                <w:bCs/>
              </w:rPr>
              <w:t xml:space="preserve"> plus 0.</w:t>
            </w:r>
            <w:r w:rsidR="009E3FE4">
              <w:rPr>
                <w:b/>
                <w:bCs/>
              </w:rPr>
              <w:t>71</w:t>
            </w:r>
            <w:r w:rsidRPr="00196F70">
              <w:rPr>
                <w:b/>
                <w:bCs/>
              </w:rPr>
              <w:t>% of the amount in excess of 150,000</w:t>
            </w:r>
          </w:p>
        </w:tc>
      </w:tr>
      <w:tr w:rsidR="00236156" w14:paraId="18282011" w14:textId="77777777" w:rsidTr="0051688F">
        <w:trPr>
          <w:trHeight w:val="1504"/>
        </w:trPr>
        <w:tc>
          <w:tcPr>
            <w:tcW w:w="1039" w:type="dxa"/>
            <w:tcBorders>
              <w:top w:val="nil"/>
              <w:left w:val="nil"/>
              <w:bottom w:val="nil"/>
              <w:right w:val="nil"/>
            </w:tcBorders>
          </w:tcPr>
          <w:p w14:paraId="0C69D545" w14:textId="77777777" w:rsidR="00236156" w:rsidRDefault="00236156" w:rsidP="00236156">
            <w:pPr>
              <w:jc w:val="right"/>
              <w:rPr>
                <w:b/>
                <w:bCs/>
                <w:color w:val="000000"/>
                <w:sz w:val="22"/>
                <w:szCs w:val="22"/>
              </w:rPr>
            </w:pPr>
          </w:p>
        </w:tc>
        <w:tc>
          <w:tcPr>
            <w:tcW w:w="1300" w:type="dxa"/>
            <w:tcBorders>
              <w:top w:val="nil"/>
              <w:left w:val="nil"/>
              <w:bottom w:val="nil"/>
              <w:right w:val="nil"/>
            </w:tcBorders>
            <w:hideMark/>
          </w:tcPr>
          <w:p w14:paraId="3D70FD8F" w14:textId="1E6B10A2" w:rsidR="00236156" w:rsidRDefault="00236156" w:rsidP="00236156">
            <w:pPr>
              <w:jc w:val="right"/>
              <w:rPr>
                <w:b/>
                <w:bCs/>
                <w:color w:val="000000"/>
                <w:sz w:val="22"/>
                <w:szCs w:val="22"/>
              </w:rPr>
            </w:pPr>
          </w:p>
        </w:tc>
        <w:tc>
          <w:tcPr>
            <w:tcW w:w="3870" w:type="dxa"/>
            <w:tcBorders>
              <w:top w:val="nil"/>
              <w:left w:val="nil"/>
              <w:bottom w:val="nil"/>
              <w:right w:val="nil"/>
            </w:tcBorders>
            <w:hideMark/>
          </w:tcPr>
          <w:p w14:paraId="32BC3CC7" w14:textId="77777777" w:rsidR="00236156" w:rsidRDefault="00236156" w:rsidP="00236156">
            <w:pPr>
              <w:rPr>
                <w:color w:val="000000"/>
                <w:sz w:val="22"/>
                <w:szCs w:val="22"/>
              </w:rPr>
            </w:pPr>
            <w:r>
              <w:rPr>
                <w:color w:val="000000"/>
                <w:sz w:val="22"/>
                <w:szCs w:val="22"/>
              </w:rPr>
              <w:t>$250,001 to $500,000</w:t>
            </w:r>
          </w:p>
        </w:tc>
        <w:tc>
          <w:tcPr>
            <w:tcW w:w="2176" w:type="dxa"/>
            <w:tcBorders>
              <w:top w:val="nil"/>
              <w:left w:val="nil"/>
              <w:bottom w:val="nil"/>
              <w:right w:val="nil"/>
            </w:tcBorders>
            <w:hideMark/>
          </w:tcPr>
          <w:p w14:paraId="7A74725C" w14:textId="7AE98F1E" w:rsidR="00236156" w:rsidRPr="00546469" w:rsidRDefault="00236156" w:rsidP="00236156">
            <w:pPr>
              <w:jc w:val="right"/>
              <w:rPr>
                <w:i/>
                <w:iCs/>
                <w:color w:val="000000"/>
                <w:sz w:val="22"/>
                <w:szCs w:val="22"/>
              </w:rPr>
            </w:pPr>
            <w:r w:rsidRPr="0051688F">
              <w:rPr>
                <w:i/>
                <w:iCs/>
              </w:rPr>
              <w:t>2,399.55 plus 0.64% of the amount in excess of 250,000</w:t>
            </w:r>
          </w:p>
        </w:tc>
        <w:tc>
          <w:tcPr>
            <w:tcW w:w="2016" w:type="dxa"/>
            <w:tcBorders>
              <w:top w:val="nil"/>
              <w:left w:val="nil"/>
              <w:bottom w:val="nil"/>
              <w:right w:val="nil"/>
            </w:tcBorders>
            <w:hideMark/>
          </w:tcPr>
          <w:p w14:paraId="60542BFB" w14:textId="4CD99512" w:rsidR="00236156" w:rsidRPr="00196F70" w:rsidRDefault="00236156" w:rsidP="00236156">
            <w:pPr>
              <w:jc w:val="right"/>
              <w:rPr>
                <w:b/>
                <w:bCs/>
                <w:color w:val="000000"/>
                <w:sz w:val="22"/>
                <w:szCs w:val="22"/>
              </w:rPr>
            </w:pPr>
            <w:r w:rsidRPr="00196F70">
              <w:rPr>
                <w:b/>
                <w:bCs/>
              </w:rPr>
              <w:t>2,</w:t>
            </w:r>
            <w:r>
              <w:rPr>
                <w:b/>
                <w:bCs/>
              </w:rPr>
              <w:t>485.93</w:t>
            </w:r>
            <w:r w:rsidRPr="00196F70">
              <w:rPr>
                <w:b/>
                <w:bCs/>
              </w:rPr>
              <w:t xml:space="preserve"> plus 0.</w:t>
            </w:r>
            <w:r w:rsidR="009E3FE4" w:rsidRPr="00196F70">
              <w:rPr>
                <w:b/>
                <w:bCs/>
              </w:rPr>
              <w:t>6</w:t>
            </w:r>
            <w:r w:rsidR="009E3FE4">
              <w:rPr>
                <w:b/>
                <w:bCs/>
              </w:rPr>
              <w:t>7</w:t>
            </w:r>
            <w:r w:rsidRPr="00196F70">
              <w:rPr>
                <w:b/>
                <w:bCs/>
              </w:rPr>
              <w:t>% of the amount in excess of 250,000</w:t>
            </w:r>
          </w:p>
        </w:tc>
      </w:tr>
      <w:tr w:rsidR="00236156" w14:paraId="0E3FC607" w14:textId="77777777" w:rsidTr="0051688F">
        <w:trPr>
          <w:trHeight w:val="1504"/>
        </w:trPr>
        <w:tc>
          <w:tcPr>
            <w:tcW w:w="1039" w:type="dxa"/>
            <w:tcBorders>
              <w:top w:val="nil"/>
              <w:left w:val="nil"/>
              <w:bottom w:val="nil"/>
              <w:right w:val="nil"/>
            </w:tcBorders>
          </w:tcPr>
          <w:p w14:paraId="2C18D0DE" w14:textId="77777777" w:rsidR="00236156" w:rsidRDefault="00236156" w:rsidP="00236156">
            <w:pPr>
              <w:jc w:val="right"/>
              <w:rPr>
                <w:b/>
                <w:bCs/>
                <w:color w:val="000000"/>
                <w:sz w:val="22"/>
                <w:szCs w:val="22"/>
              </w:rPr>
            </w:pPr>
          </w:p>
        </w:tc>
        <w:tc>
          <w:tcPr>
            <w:tcW w:w="1300" w:type="dxa"/>
            <w:tcBorders>
              <w:top w:val="nil"/>
              <w:left w:val="nil"/>
              <w:bottom w:val="nil"/>
              <w:right w:val="nil"/>
            </w:tcBorders>
            <w:hideMark/>
          </w:tcPr>
          <w:p w14:paraId="5662E485" w14:textId="5327774E" w:rsidR="00236156" w:rsidRDefault="00236156" w:rsidP="00236156">
            <w:pPr>
              <w:jc w:val="right"/>
              <w:rPr>
                <w:b/>
                <w:bCs/>
                <w:color w:val="000000"/>
                <w:sz w:val="22"/>
                <w:szCs w:val="22"/>
              </w:rPr>
            </w:pPr>
          </w:p>
        </w:tc>
        <w:tc>
          <w:tcPr>
            <w:tcW w:w="3870" w:type="dxa"/>
            <w:tcBorders>
              <w:top w:val="nil"/>
              <w:left w:val="nil"/>
              <w:bottom w:val="nil"/>
              <w:right w:val="nil"/>
            </w:tcBorders>
            <w:hideMark/>
          </w:tcPr>
          <w:p w14:paraId="2AE5B2EF" w14:textId="77777777" w:rsidR="00236156" w:rsidRDefault="00236156" w:rsidP="00236156">
            <w:pPr>
              <w:rPr>
                <w:color w:val="000000"/>
                <w:sz w:val="22"/>
                <w:szCs w:val="22"/>
              </w:rPr>
            </w:pPr>
            <w:r>
              <w:rPr>
                <w:color w:val="000000"/>
                <w:sz w:val="22"/>
                <w:szCs w:val="22"/>
              </w:rPr>
              <w:t>$500,001 to $1,000,000</w:t>
            </w:r>
          </w:p>
        </w:tc>
        <w:tc>
          <w:tcPr>
            <w:tcW w:w="2176" w:type="dxa"/>
            <w:tcBorders>
              <w:top w:val="nil"/>
              <w:left w:val="nil"/>
              <w:bottom w:val="nil"/>
              <w:right w:val="nil"/>
            </w:tcBorders>
            <w:hideMark/>
          </w:tcPr>
          <w:p w14:paraId="490E54E3" w14:textId="09D3FB22" w:rsidR="00236156" w:rsidRPr="00546469" w:rsidRDefault="00236156" w:rsidP="00236156">
            <w:pPr>
              <w:jc w:val="right"/>
              <w:rPr>
                <w:i/>
                <w:iCs/>
                <w:color w:val="000000"/>
                <w:sz w:val="22"/>
                <w:szCs w:val="22"/>
              </w:rPr>
            </w:pPr>
            <w:r w:rsidRPr="0051688F">
              <w:rPr>
                <w:i/>
                <w:iCs/>
              </w:rPr>
              <w:t>4,588.76 plus 0.45% of the amount in excess of $500,000</w:t>
            </w:r>
          </w:p>
        </w:tc>
        <w:tc>
          <w:tcPr>
            <w:tcW w:w="2016" w:type="dxa"/>
            <w:tcBorders>
              <w:top w:val="nil"/>
              <w:left w:val="nil"/>
              <w:bottom w:val="nil"/>
              <w:right w:val="nil"/>
            </w:tcBorders>
            <w:hideMark/>
          </w:tcPr>
          <w:p w14:paraId="45DB6F0B" w14:textId="64B64485" w:rsidR="00236156" w:rsidRPr="00196F70" w:rsidRDefault="00236156" w:rsidP="00236156">
            <w:pPr>
              <w:jc w:val="right"/>
              <w:rPr>
                <w:b/>
                <w:bCs/>
                <w:color w:val="000000"/>
                <w:sz w:val="22"/>
                <w:szCs w:val="22"/>
              </w:rPr>
            </w:pPr>
            <w:r w:rsidRPr="00196F70">
              <w:rPr>
                <w:b/>
                <w:bCs/>
              </w:rPr>
              <w:t>4,</w:t>
            </w:r>
            <w:r>
              <w:rPr>
                <w:b/>
                <w:bCs/>
              </w:rPr>
              <w:t>753.96</w:t>
            </w:r>
            <w:r w:rsidRPr="00196F70">
              <w:rPr>
                <w:b/>
                <w:bCs/>
              </w:rPr>
              <w:t xml:space="preserve"> plus 0.</w:t>
            </w:r>
            <w:r w:rsidR="009E3FE4" w:rsidRPr="00196F70">
              <w:rPr>
                <w:b/>
                <w:bCs/>
              </w:rPr>
              <w:t>4</w:t>
            </w:r>
            <w:r w:rsidR="009E3FE4">
              <w:rPr>
                <w:b/>
                <w:bCs/>
              </w:rPr>
              <w:t>7</w:t>
            </w:r>
            <w:r w:rsidRPr="00196F70">
              <w:rPr>
                <w:b/>
                <w:bCs/>
              </w:rPr>
              <w:t>% of the amount in excess of $500,000</w:t>
            </w:r>
          </w:p>
        </w:tc>
      </w:tr>
      <w:tr w:rsidR="00236156" w14:paraId="346F7BFE" w14:textId="77777777" w:rsidTr="0051688F">
        <w:trPr>
          <w:trHeight w:val="1504"/>
        </w:trPr>
        <w:tc>
          <w:tcPr>
            <w:tcW w:w="1039" w:type="dxa"/>
            <w:tcBorders>
              <w:top w:val="nil"/>
              <w:left w:val="nil"/>
              <w:bottom w:val="nil"/>
              <w:right w:val="nil"/>
            </w:tcBorders>
          </w:tcPr>
          <w:p w14:paraId="6F551D26" w14:textId="77777777" w:rsidR="00236156" w:rsidRDefault="00236156" w:rsidP="00236156">
            <w:pPr>
              <w:jc w:val="right"/>
              <w:rPr>
                <w:b/>
                <w:bCs/>
                <w:color w:val="000000"/>
                <w:sz w:val="22"/>
                <w:szCs w:val="22"/>
              </w:rPr>
            </w:pPr>
          </w:p>
        </w:tc>
        <w:tc>
          <w:tcPr>
            <w:tcW w:w="1300" w:type="dxa"/>
            <w:tcBorders>
              <w:top w:val="nil"/>
              <w:left w:val="nil"/>
              <w:bottom w:val="nil"/>
              <w:right w:val="nil"/>
            </w:tcBorders>
            <w:hideMark/>
          </w:tcPr>
          <w:p w14:paraId="3F9CA387" w14:textId="4F118CD8" w:rsidR="00236156" w:rsidRDefault="00236156" w:rsidP="00236156">
            <w:pPr>
              <w:jc w:val="right"/>
              <w:rPr>
                <w:b/>
                <w:bCs/>
                <w:color w:val="000000"/>
                <w:sz w:val="22"/>
                <w:szCs w:val="22"/>
              </w:rPr>
            </w:pPr>
          </w:p>
        </w:tc>
        <w:tc>
          <w:tcPr>
            <w:tcW w:w="3870" w:type="dxa"/>
            <w:tcBorders>
              <w:top w:val="nil"/>
              <w:left w:val="nil"/>
              <w:bottom w:val="nil"/>
              <w:right w:val="nil"/>
            </w:tcBorders>
            <w:hideMark/>
          </w:tcPr>
          <w:p w14:paraId="773A5997" w14:textId="77777777" w:rsidR="00236156" w:rsidRDefault="00236156" w:rsidP="00236156">
            <w:pPr>
              <w:rPr>
                <w:color w:val="000000"/>
                <w:sz w:val="22"/>
                <w:szCs w:val="22"/>
              </w:rPr>
            </w:pPr>
            <w:r>
              <w:rPr>
                <w:color w:val="000000"/>
                <w:sz w:val="22"/>
                <w:szCs w:val="22"/>
              </w:rPr>
              <w:t>$1,000,001 to $10,000,000</w:t>
            </w:r>
          </w:p>
        </w:tc>
        <w:tc>
          <w:tcPr>
            <w:tcW w:w="2176" w:type="dxa"/>
            <w:tcBorders>
              <w:top w:val="nil"/>
              <w:left w:val="nil"/>
              <w:bottom w:val="nil"/>
              <w:right w:val="nil"/>
            </w:tcBorders>
            <w:hideMark/>
          </w:tcPr>
          <w:p w14:paraId="23F42B95" w14:textId="77777777" w:rsidR="00236156" w:rsidRPr="0051688F" w:rsidRDefault="00236156" w:rsidP="00236156">
            <w:pPr>
              <w:jc w:val="right"/>
              <w:rPr>
                <w:i/>
                <w:iCs/>
              </w:rPr>
            </w:pPr>
            <w:r w:rsidRPr="0051688F">
              <w:rPr>
                <w:i/>
                <w:iCs/>
              </w:rPr>
              <w:t>7,714.96</w:t>
            </w:r>
          </w:p>
          <w:p w14:paraId="148BF71C" w14:textId="22A32C71" w:rsidR="00236156" w:rsidRPr="00546469" w:rsidRDefault="00236156" w:rsidP="00236156">
            <w:pPr>
              <w:jc w:val="right"/>
              <w:rPr>
                <w:i/>
                <w:iCs/>
                <w:color w:val="000000"/>
                <w:sz w:val="22"/>
                <w:szCs w:val="22"/>
              </w:rPr>
            </w:pPr>
            <w:r w:rsidRPr="0051688F">
              <w:rPr>
                <w:i/>
                <w:iCs/>
              </w:rPr>
              <w:t xml:space="preserve"> plus 0.29% of the amount in excess of 1,000,000</w:t>
            </w:r>
          </w:p>
        </w:tc>
        <w:tc>
          <w:tcPr>
            <w:tcW w:w="2016" w:type="dxa"/>
            <w:tcBorders>
              <w:top w:val="nil"/>
              <w:left w:val="nil"/>
              <w:bottom w:val="nil"/>
              <w:right w:val="nil"/>
            </w:tcBorders>
            <w:hideMark/>
          </w:tcPr>
          <w:p w14:paraId="64A4492C" w14:textId="68EC9E86" w:rsidR="00236156" w:rsidRDefault="00236156" w:rsidP="00236156">
            <w:pPr>
              <w:jc w:val="right"/>
              <w:rPr>
                <w:b/>
                <w:bCs/>
              </w:rPr>
            </w:pPr>
            <w:r w:rsidRPr="00196F70">
              <w:rPr>
                <w:b/>
                <w:bCs/>
              </w:rPr>
              <w:t>7,</w:t>
            </w:r>
            <w:r>
              <w:rPr>
                <w:b/>
                <w:bCs/>
              </w:rPr>
              <w:t>992.70</w:t>
            </w:r>
          </w:p>
          <w:p w14:paraId="5893AD62" w14:textId="3F6F8406" w:rsidR="00236156" w:rsidRPr="00196F70" w:rsidRDefault="00236156" w:rsidP="00236156">
            <w:pPr>
              <w:jc w:val="right"/>
              <w:rPr>
                <w:b/>
                <w:bCs/>
                <w:color w:val="000000"/>
                <w:sz w:val="22"/>
                <w:szCs w:val="22"/>
              </w:rPr>
            </w:pPr>
            <w:r w:rsidRPr="00196F70">
              <w:rPr>
                <w:b/>
                <w:bCs/>
              </w:rPr>
              <w:t xml:space="preserve"> plus 0.</w:t>
            </w:r>
            <w:r w:rsidR="00290CFC">
              <w:rPr>
                <w:b/>
                <w:bCs/>
              </w:rPr>
              <w:t>30</w:t>
            </w:r>
            <w:r w:rsidRPr="00196F70">
              <w:rPr>
                <w:b/>
                <w:bCs/>
              </w:rPr>
              <w:t>% of the amount in excess of 1,000,000</w:t>
            </w:r>
          </w:p>
        </w:tc>
      </w:tr>
      <w:tr w:rsidR="00236156" w14:paraId="3ECA32B7" w14:textId="77777777" w:rsidTr="0051688F">
        <w:trPr>
          <w:trHeight w:val="1504"/>
        </w:trPr>
        <w:tc>
          <w:tcPr>
            <w:tcW w:w="1039" w:type="dxa"/>
            <w:tcBorders>
              <w:top w:val="nil"/>
              <w:left w:val="nil"/>
              <w:bottom w:val="nil"/>
              <w:right w:val="nil"/>
            </w:tcBorders>
          </w:tcPr>
          <w:p w14:paraId="1605A101" w14:textId="77777777" w:rsidR="00236156" w:rsidRDefault="00236156" w:rsidP="00236156">
            <w:pPr>
              <w:jc w:val="right"/>
              <w:rPr>
                <w:b/>
                <w:bCs/>
                <w:color w:val="000000"/>
                <w:sz w:val="22"/>
                <w:szCs w:val="22"/>
              </w:rPr>
            </w:pPr>
          </w:p>
        </w:tc>
        <w:tc>
          <w:tcPr>
            <w:tcW w:w="1300" w:type="dxa"/>
            <w:tcBorders>
              <w:top w:val="nil"/>
              <w:left w:val="nil"/>
              <w:bottom w:val="nil"/>
              <w:right w:val="nil"/>
            </w:tcBorders>
            <w:hideMark/>
          </w:tcPr>
          <w:p w14:paraId="33F48EA0" w14:textId="2F4C1D1D" w:rsidR="00236156" w:rsidRDefault="00236156" w:rsidP="00236156">
            <w:pPr>
              <w:jc w:val="right"/>
              <w:rPr>
                <w:b/>
                <w:bCs/>
                <w:color w:val="000000"/>
                <w:sz w:val="22"/>
                <w:szCs w:val="22"/>
              </w:rPr>
            </w:pPr>
          </w:p>
        </w:tc>
        <w:tc>
          <w:tcPr>
            <w:tcW w:w="3870" w:type="dxa"/>
            <w:tcBorders>
              <w:top w:val="nil"/>
              <w:left w:val="nil"/>
              <w:bottom w:val="nil"/>
              <w:right w:val="nil"/>
            </w:tcBorders>
            <w:hideMark/>
          </w:tcPr>
          <w:p w14:paraId="48105150" w14:textId="77777777" w:rsidR="00236156" w:rsidRDefault="00236156" w:rsidP="00236156">
            <w:pPr>
              <w:rPr>
                <w:color w:val="000000"/>
                <w:sz w:val="22"/>
                <w:szCs w:val="22"/>
              </w:rPr>
            </w:pPr>
            <w:r>
              <w:rPr>
                <w:color w:val="000000"/>
                <w:sz w:val="22"/>
                <w:szCs w:val="22"/>
              </w:rPr>
              <w:t>More than $10,000,000</w:t>
            </w:r>
          </w:p>
        </w:tc>
        <w:tc>
          <w:tcPr>
            <w:tcW w:w="2176" w:type="dxa"/>
            <w:tcBorders>
              <w:top w:val="nil"/>
              <w:left w:val="nil"/>
              <w:bottom w:val="nil"/>
              <w:right w:val="nil"/>
            </w:tcBorders>
            <w:hideMark/>
          </w:tcPr>
          <w:p w14:paraId="350C44F4" w14:textId="3BEACC3D" w:rsidR="00236156" w:rsidRPr="00546469" w:rsidRDefault="00236156" w:rsidP="00236156">
            <w:pPr>
              <w:jc w:val="right"/>
              <w:rPr>
                <w:i/>
                <w:iCs/>
                <w:color w:val="000000"/>
                <w:sz w:val="22"/>
                <w:szCs w:val="22"/>
              </w:rPr>
            </w:pPr>
            <w:r w:rsidRPr="0051688F">
              <w:rPr>
                <w:i/>
                <w:iCs/>
              </w:rPr>
              <w:t>43,597.38 plus 0.13% of the amount in excess of 10,000,000</w:t>
            </w:r>
          </w:p>
        </w:tc>
        <w:tc>
          <w:tcPr>
            <w:tcW w:w="2016" w:type="dxa"/>
            <w:tcBorders>
              <w:top w:val="nil"/>
              <w:left w:val="nil"/>
              <w:bottom w:val="nil"/>
              <w:right w:val="nil"/>
            </w:tcBorders>
            <w:hideMark/>
          </w:tcPr>
          <w:p w14:paraId="32BE04C8" w14:textId="17BFFECD" w:rsidR="00236156" w:rsidRPr="00196F70" w:rsidRDefault="00236156" w:rsidP="00236156">
            <w:pPr>
              <w:jc w:val="right"/>
              <w:rPr>
                <w:b/>
                <w:bCs/>
                <w:color w:val="000000"/>
                <w:sz w:val="22"/>
                <w:szCs w:val="22"/>
              </w:rPr>
            </w:pPr>
            <w:r w:rsidRPr="00196F70">
              <w:rPr>
                <w:b/>
                <w:bCs/>
              </w:rPr>
              <w:t>4</w:t>
            </w:r>
            <w:r>
              <w:rPr>
                <w:b/>
                <w:bCs/>
              </w:rPr>
              <w:t>5,166.88</w:t>
            </w:r>
            <w:r w:rsidRPr="00196F70">
              <w:rPr>
                <w:b/>
                <w:bCs/>
              </w:rPr>
              <w:t xml:space="preserve"> plus 0.</w:t>
            </w:r>
            <w:r w:rsidR="009E3FE4" w:rsidRPr="00196F70">
              <w:rPr>
                <w:b/>
                <w:bCs/>
              </w:rPr>
              <w:t>1</w:t>
            </w:r>
            <w:r w:rsidR="009E3FE4">
              <w:rPr>
                <w:b/>
                <w:bCs/>
              </w:rPr>
              <w:t>4</w:t>
            </w:r>
            <w:r w:rsidRPr="00196F70">
              <w:rPr>
                <w:b/>
                <w:bCs/>
              </w:rPr>
              <w:t>% of the amount in excess of 10,000,000</w:t>
            </w:r>
          </w:p>
        </w:tc>
      </w:tr>
      <w:tr w:rsidR="00236156" w14:paraId="7887E72B" w14:textId="77777777" w:rsidTr="0051688F">
        <w:trPr>
          <w:trHeight w:val="601"/>
        </w:trPr>
        <w:tc>
          <w:tcPr>
            <w:tcW w:w="1039" w:type="dxa"/>
            <w:tcBorders>
              <w:top w:val="nil"/>
              <w:left w:val="nil"/>
              <w:bottom w:val="nil"/>
              <w:right w:val="nil"/>
            </w:tcBorders>
          </w:tcPr>
          <w:p w14:paraId="6778F1BC" w14:textId="068B5F55" w:rsidR="00236156" w:rsidRDefault="00236156" w:rsidP="00236156">
            <w:pPr>
              <w:rPr>
                <w:color w:val="000000"/>
                <w:sz w:val="22"/>
                <w:szCs w:val="22"/>
              </w:rPr>
            </w:pPr>
            <w:r>
              <w:rPr>
                <w:color w:val="000000"/>
                <w:sz w:val="22"/>
                <w:szCs w:val="22"/>
              </w:rPr>
              <w:t>7.2</w:t>
            </w:r>
          </w:p>
        </w:tc>
        <w:tc>
          <w:tcPr>
            <w:tcW w:w="1300" w:type="dxa"/>
            <w:tcBorders>
              <w:top w:val="nil"/>
              <w:left w:val="nil"/>
              <w:bottom w:val="nil"/>
              <w:right w:val="nil"/>
            </w:tcBorders>
            <w:hideMark/>
          </w:tcPr>
          <w:p w14:paraId="6E0869F3" w14:textId="70FE5111" w:rsidR="00236156" w:rsidRDefault="00236156" w:rsidP="00236156">
            <w:pPr>
              <w:rPr>
                <w:color w:val="000000"/>
                <w:sz w:val="22"/>
                <w:szCs w:val="22"/>
              </w:rPr>
            </w:pPr>
            <w:r>
              <w:rPr>
                <w:color w:val="000000"/>
                <w:sz w:val="22"/>
                <w:szCs w:val="22"/>
              </w:rPr>
              <w:t>Section 74</w:t>
            </w:r>
          </w:p>
        </w:tc>
        <w:tc>
          <w:tcPr>
            <w:tcW w:w="3870" w:type="dxa"/>
            <w:tcBorders>
              <w:top w:val="nil"/>
              <w:left w:val="nil"/>
              <w:bottom w:val="nil"/>
              <w:right w:val="nil"/>
            </w:tcBorders>
            <w:hideMark/>
          </w:tcPr>
          <w:p w14:paraId="53D57674" w14:textId="77777777" w:rsidR="00236156" w:rsidRDefault="00236156" w:rsidP="00236156">
            <w:pPr>
              <w:rPr>
                <w:color w:val="000000"/>
                <w:sz w:val="22"/>
                <w:szCs w:val="22"/>
              </w:rPr>
            </w:pPr>
            <w:r>
              <w:rPr>
                <w:color w:val="000000"/>
                <w:sz w:val="22"/>
                <w:szCs w:val="22"/>
              </w:rPr>
              <w:t>Certificate of Regularisation – Commissioner of Housing (per instance)</w:t>
            </w:r>
          </w:p>
        </w:tc>
        <w:tc>
          <w:tcPr>
            <w:tcW w:w="2176" w:type="dxa"/>
            <w:tcBorders>
              <w:top w:val="nil"/>
              <w:left w:val="nil"/>
              <w:bottom w:val="nil"/>
              <w:right w:val="nil"/>
            </w:tcBorders>
            <w:hideMark/>
          </w:tcPr>
          <w:p w14:paraId="3F2E1EA0" w14:textId="2BD4E498" w:rsidR="00236156" w:rsidRPr="00546469" w:rsidRDefault="00236156" w:rsidP="00236156">
            <w:pPr>
              <w:jc w:val="right"/>
              <w:rPr>
                <w:i/>
                <w:iCs/>
                <w:color w:val="000000"/>
                <w:sz w:val="22"/>
                <w:szCs w:val="22"/>
              </w:rPr>
            </w:pPr>
            <w:r w:rsidRPr="0051688F">
              <w:rPr>
                <w:i/>
                <w:iCs/>
              </w:rPr>
              <w:t>348.96</w:t>
            </w:r>
          </w:p>
        </w:tc>
        <w:tc>
          <w:tcPr>
            <w:tcW w:w="2016" w:type="dxa"/>
            <w:tcBorders>
              <w:top w:val="nil"/>
              <w:left w:val="nil"/>
              <w:bottom w:val="nil"/>
              <w:right w:val="nil"/>
            </w:tcBorders>
            <w:hideMark/>
          </w:tcPr>
          <w:p w14:paraId="6759BBD6" w14:textId="21527536" w:rsidR="00236156" w:rsidRPr="00196F70" w:rsidRDefault="00236156" w:rsidP="00236156">
            <w:pPr>
              <w:jc w:val="right"/>
              <w:rPr>
                <w:b/>
                <w:bCs/>
                <w:color w:val="000000"/>
                <w:sz w:val="22"/>
                <w:szCs w:val="22"/>
              </w:rPr>
            </w:pPr>
            <w:r>
              <w:rPr>
                <w:b/>
                <w:bCs/>
              </w:rPr>
              <w:t>361.53</w:t>
            </w:r>
          </w:p>
        </w:tc>
      </w:tr>
      <w:tr w:rsidR="00236156" w14:paraId="27A145A3" w14:textId="77777777" w:rsidTr="0051688F">
        <w:trPr>
          <w:trHeight w:val="902"/>
        </w:trPr>
        <w:tc>
          <w:tcPr>
            <w:tcW w:w="1039" w:type="dxa"/>
            <w:tcBorders>
              <w:top w:val="nil"/>
              <w:left w:val="nil"/>
              <w:bottom w:val="nil"/>
              <w:right w:val="nil"/>
            </w:tcBorders>
          </w:tcPr>
          <w:p w14:paraId="6840A60E" w14:textId="77777777" w:rsidR="00236156" w:rsidRDefault="00236156" w:rsidP="00236156">
            <w:pPr>
              <w:jc w:val="right"/>
              <w:rPr>
                <w:b/>
                <w:bCs/>
                <w:color w:val="000000"/>
                <w:sz w:val="22"/>
                <w:szCs w:val="22"/>
              </w:rPr>
            </w:pPr>
          </w:p>
        </w:tc>
        <w:tc>
          <w:tcPr>
            <w:tcW w:w="1300" w:type="dxa"/>
            <w:tcBorders>
              <w:top w:val="nil"/>
              <w:left w:val="nil"/>
              <w:bottom w:val="nil"/>
              <w:right w:val="nil"/>
            </w:tcBorders>
            <w:hideMark/>
          </w:tcPr>
          <w:p w14:paraId="10BC4214" w14:textId="25DE9D2E" w:rsidR="00236156" w:rsidRDefault="00236156" w:rsidP="00236156">
            <w:pPr>
              <w:jc w:val="right"/>
              <w:rPr>
                <w:b/>
                <w:bCs/>
                <w:color w:val="000000"/>
                <w:sz w:val="22"/>
                <w:szCs w:val="22"/>
              </w:rPr>
            </w:pPr>
          </w:p>
        </w:tc>
        <w:tc>
          <w:tcPr>
            <w:tcW w:w="3870" w:type="dxa"/>
            <w:tcBorders>
              <w:top w:val="nil"/>
              <w:left w:val="nil"/>
              <w:bottom w:val="nil"/>
              <w:right w:val="nil"/>
            </w:tcBorders>
            <w:hideMark/>
          </w:tcPr>
          <w:p w14:paraId="2D41D684" w14:textId="77777777" w:rsidR="003868FC" w:rsidRDefault="00236156" w:rsidP="00236156">
            <w:pPr>
              <w:rPr>
                <w:color w:val="000000"/>
                <w:sz w:val="22"/>
                <w:szCs w:val="22"/>
              </w:rPr>
            </w:pPr>
            <w:r>
              <w:rPr>
                <w:color w:val="000000"/>
                <w:sz w:val="22"/>
                <w:szCs w:val="22"/>
              </w:rPr>
              <w:t>Notice of ‘Confirmation of Building Approval Exemption’ to existing construction. Retrieval of building file and filing of notice</w:t>
            </w:r>
          </w:p>
          <w:p w14:paraId="213FAAA5" w14:textId="360B33B3" w:rsidR="003868FC" w:rsidRDefault="003868FC" w:rsidP="00236156">
            <w:pPr>
              <w:rPr>
                <w:color w:val="000000"/>
                <w:sz w:val="22"/>
                <w:szCs w:val="22"/>
              </w:rPr>
            </w:pPr>
          </w:p>
        </w:tc>
        <w:tc>
          <w:tcPr>
            <w:tcW w:w="2176" w:type="dxa"/>
            <w:tcBorders>
              <w:top w:val="nil"/>
              <w:left w:val="nil"/>
              <w:bottom w:val="nil"/>
              <w:right w:val="nil"/>
            </w:tcBorders>
            <w:hideMark/>
          </w:tcPr>
          <w:p w14:paraId="22824A52" w14:textId="77777777" w:rsidR="00236156" w:rsidRPr="00546469" w:rsidRDefault="00236156" w:rsidP="00236156">
            <w:pPr>
              <w:rPr>
                <w:i/>
                <w:iCs/>
                <w:color w:val="000000"/>
                <w:sz w:val="22"/>
                <w:szCs w:val="22"/>
              </w:rPr>
            </w:pPr>
          </w:p>
        </w:tc>
        <w:tc>
          <w:tcPr>
            <w:tcW w:w="2016" w:type="dxa"/>
            <w:tcBorders>
              <w:top w:val="nil"/>
              <w:left w:val="nil"/>
              <w:bottom w:val="nil"/>
              <w:right w:val="nil"/>
            </w:tcBorders>
            <w:hideMark/>
          </w:tcPr>
          <w:p w14:paraId="7B69DF1D" w14:textId="77777777" w:rsidR="00236156" w:rsidRDefault="00236156" w:rsidP="00236156">
            <w:pPr>
              <w:jc w:val="right"/>
              <w:rPr>
                <w:sz w:val="20"/>
                <w:szCs w:val="20"/>
              </w:rPr>
            </w:pPr>
          </w:p>
        </w:tc>
      </w:tr>
      <w:tr w:rsidR="00236156" w14:paraId="5348695C" w14:textId="77777777" w:rsidTr="0051688F">
        <w:trPr>
          <w:trHeight w:val="300"/>
        </w:trPr>
        <w:tc>
          <w:tcPr>
            <w:tcW w:w="1039" w:type="dxa"/>
            <w:tcBorders>
              <w:top w:val="nil"/>
              <w:left w:val="nil"/>
              <w:bottom w:val="nil"/>
              <w:right w:val="nil"/>
            </w:tcBorders>
          </w:tcPr>
          <w:p w14:paraId="1A446E75" w14:textId="27862DBA" w:rsidR="00236156" w:rsidRDefault="0051688F" w:rsidP="0051688F">
            <w:pPr>
              <w:rPr>
                <w:sz w:val="20"/>
                <w:szCs w:val="20"/>
              </w:rPr>
            </w:pPr>
            <w:r>
              <w:rPr>
                <w:sz w:val="20"/>
                <w:szCs w:val="20"/>
              </w:rPr>
              <w:t>7.3</w:t>
            </w:r>
          </w:p>
        </w:tc>
        <w:tc>
          <w:tcPr>
            <w:tcW w:w="1300" w:type="dxa"/>
            <w:tcBorders>
              <w:top w:val="nil"/>
              <w:left w:val="nil"/>
              <w:bottom w:val="nil"/>
              <w:right w:val="nil"/>
            </w:tcBorders>
            <w:hideMark/>
          </w:tcPr>
          <w:p w14:paraId="70F9397B" w14:textId="132F57B5" w:rsidR="00236156" w:rsidRDefault="00236156" w:rsidP="00236156">
            <w:pPr>
              <w:jc w:val="right"/>
              <w:rPr>
                <w:sz w:val="20"/>
                <w:szCs w:val="20"/>
              </w:rPr>
            </w:pPr>
          </w:p>
        </w:tc>
        <w:tc>
          <w:tcPr>
            <w:tcW w:w="3870" w:type="dxa"/>
            <w:tcBorders>
              <w:top w:val="nil"/>
              <w:left w:val="nil"/>
              <w:bottom w:val="nil"/>
              <w:right w:val="nil"/>
            </w:tcBorders>
            <w:vAlign w:val="center"/>
            <w:hideMark/>
          </w:tcPr>
          <w:p w14:paraId="07D48A53" w14:textId="77777777" w:rsidR="0051688F" w:rsidRDefault="0051688F" w:rsidP="0051688F">
            <w:pPr>
              <w:rPr>
                <w:color w:val="000000"/>
                <w:sz w:val="22"/>
                <w:szCs w:val="22"/>
              </w:rPr>
            </w:pPr>
            <w:r>
              <w:rPr>
                <w:color w:val="000000"/>
                <w:sz w:val="22"/>
                <w:szCs w:val="22"/>
              </w:rPr>
              <w:t>Per individual notice</w:t>
            </w:r>
          </w:p>
          <w:p w14:paraId="0A5F0446" w14:textId="77777777" w:rsidR="003868FC" w:rsidRDefault="003868FC" w:rsidP="003868FC">
            <w:pPr>
              <w:rPr>
                <w:color w:val="000000"/>
                <w:sz w:val="22"/>
                <w:szCs w:val="22"/>
              </w:rPr>
            </w:pPr>
          </w:p>
          <w:p w14:paraId="241F1786" w14:textId="77777777" w:rsidR="003868FC" w:rsidRDefault="003868FC" w:rsidP="0051688F">
            <w:pPr>
              <w:rPr>
                <w:color w:val="000000"/>
                <w:sz w:val="22"/>
                <w:szCs w:val="22"/>
              </w:rPr>
            </w:pPr>
          </w:p>
        </w:tc>
        <w:tc>
          <w:tcPr>
            <w:tcW w:w="2176" w:type="dxa"/>
            <w:tcBorders>
              <w:top w:val="nil"/>
              <w:left w:val="nil"/>
              <w:bottom w:val="nil"/>
              <w:right w:val="nil"/>
            </w:tcBorders>
            <w:vAlign w:val="center"/>
            <w:hideMark/>
          </w:tcPr>
          <w:p w14:paraId="0C779E7C" w14:textId="443CD677" w:rsidR="003868FC" w:rsidRDefault="0051688F" w:rsidP="003868FC">
            <w:pPr>
              <w:jc w:val="right"/>
              <w:rPr>
                <w:i/>
                <w:iCs/>
                <w:color w:val="000000"/>
              </w:rPr>
            </w:pPr>
            <w:r>
              <w:rPr>
                <w:i/>
                <w:iCs/>
                <w:color w:val="000000"/>
              </w:rPr>
              <w:t>26.52</w:t>
            </w:r>
          </w:p>
          <w:p w14:paraId="3536F863" w14:textId="6D3D8A5A" w:rsidR="00236156" w:rsidRPr="0051688F" w:rsidRDefault="00236156" w:rsidP="003868FC">
            <w:pPr>
              <w:jc w:val="right"/>
              <w:rPr>
                <w:i/>
                <w:iCs/>
                <w:color w:val="000000"/>
                <w:lang w:eastAsia="en-AU"/>
              </w:rPr>
            </w:pPr>
          </w:p>
          <w:p w14:paraId="57D642A0" w14:textId="5DBC5C6E" w:rsidR="00236156" w:rsidRPr="00546469" w:rsidRDefault="00236156" w:rsidP="003868FC">
            <w:pPr>
              <w:jc w:val="right"/>
              <w:rPr>
                <w:i/>
                <w:iCs/>
                <w:color w:val="000000"/>
                <w:sz w:val="22"/>
                <w:szCs w:val="22"/>
              </w:rPr>
            </w:pPr>
          </w:p>
        </w:tc>
        <w:tc>
          <w:tcPr>
            <w:tcW w:w="2016" w:type="dxa"/>
            <w:tcBorders>
              <w:top w:val="nil"/>
              <w:left w:val="nil"/>
              <w:bottom w:val="nil"/>
              <w:right w:val="nil"/>
            </w:tcBorders>
            <w:vAlign w:val="center"/>
            <w:hideMark/>
          </w:tcPr>
          <w:p w14:paraId="06AB0410" w14:textId="14389044" w:rsidR="003868FC" w:rsidRDefault="0051688F" w:rsidP="003868FC">
            <w:pPr>
              <w:jc w:val="right"/>
              <w:rPr>
                <w:b/>
                <w:bCs/>
                <w:color w:val="000000"/>
              </w:rPr>
            </w:pPr>
            <w:r>
              <w:rPr>
                <w:b/>
                <w:bCs/>
                <w:color w:val="000000"/>
              </w:rPr>
              <w:t>27.48</w:t>
            </w:r>
          </w:p>
          <w:p w14:paraId="6AC2E8ED" w14:textId="2063778E" w:rsidR="00236156" w:rsidRDefault="00236156" w:rsidP="003868FC">
            <w:pPr>
              <w:jc w:val="right"/>
              <w:rPr>
                <w:b/>
                <w:bCs/>
                <w:color w:val="000000"/>
                <w:lang w:eastAsia="en-AU"/>
              </w:rPr>
            </w:pPr>
          </w:p>
          <w:p w14:paraId="51C6D0E3" w14:textId="661D79DE" w:rsidR="00236156" w:rsidRDefault="00236156" w:rsidP="003868FC">
            <w:pPr>
              <w:jc w:val="right"/>
              <w:rPr>
                <w:b/>
                <w:bCs/>
                <w:color w:val="000000"/>
                <w:sz w:val="22"/>
                <w:szCs w:val="22"/>
              </w:rPr>
            </w:pPr>
          </w:p>
        </w:tc>
      </w:tr>
      <w:tr w:rsidR="00236156" w14:paraId="45121B64" w14:textId="77777777" w:rsidTr="0051688F">
        <w:trPr>
          <w:trHeight w:val="653"/>
        </w:trPr>
        <w:tc>
          <w:tcPr>
            <w:tcW w:w="1039" w:type="dxa"/>
            <w:tcBorders>
              <w:top w:val="nil"/>
              <w:left w:val="nil"/>
              <w:bottom w:val="nil"/>
              <w:right w:val="nil"/>
            </w:tcBorders>
          </w:tcPr>
          <w:p w14:paraId="2AC8E5DF" w14:textId="7F3076EC" w:rsidR="00236156" w:rsidRPr="0051688F" w:rsidRDefault="0051688F" w:rsidP="0051688F">
            <w:pPr>
              <w:rPr>
                <w:color w:val="000000"/>
                <w:sz w:val="22"/>
                <w:szCs w:val="22"/>
              </w:rPr>
            </w:pPr>
            <w:r w:rsidRPr="0051688F">
              <w:rPr>
                <w:color w:val="000000"/>
                <w:sz w:val="22"/>
                <w:szCs w:val="22"/>
              </w:rPr>
              <w:t>7.4</w:t>
            </w:r>
          </w:p>
        </w:tc>
        <w:tc>
          <w:tcPr>
            <w:tcW w:w="1300" w:type="dxa"/>
            <w:tcBorders>
              <w:top w:val="nil"/>
              <w:left w:val="nil"/>
              <w:bottom w:val="nil"/>
              <w:right w:val="nil"/>
            </w:tcBorders>
            <w:hideMark/>
          </w:tcPr>
          <w:p w14:paraId="1BFEC08C" w14:textId="4E4E3EB8" w:rsidR="00236156" w:rsidRDefault="00236156" w:rsidP="00236156">
            <w:pPr>
              <w:jc w:val="right"/>
              <w:rPr>
                <w:b/>
                <w:bCs/>
                <w:color w:val="000000"/>
                <w:sz w:val="22"/>
                <w:szCs w:val="22"/>
              </w:rPr>
            </w:pPr>
          </w:p>
        </w:tc>
        <w:tc>
          <w:tcPr>
            <w:tcW w:w="3870" w:type="dxa"/>
            <w:tcBorders>
              <w:top w:val="nil"/>
              <w:left w:val="nil"/>
              <w:bottom w:val="nil"/>
              <w:right w:val="nil"/>
            </w:tcBorders>
            <w:hideMark/>
          </w:tcPr>
          <w:p w14:paraId="210A390D" w14:textId="540165D0" w:rsidR="00236156" w:rsidRDefault="00236156" w:rsidP="00236156">
            <w:pPr>
              <w:rPr>
                <w:color w:val="000000"/>
                <w:sz w:val="22"/>
                <w:szCs w:val="22"/>
              </w:rPr>
            </w:pPr>
            <w:r>
              <w:rPr>
                <w:color w:val="000000"/>
                <w:sz w:val="22"/>
                <w:szCs w:val="22"/>
              </w:rPr>
              <w:t>Refund of Building Levy</w:t>
            </w:r>
            <w:r>
              <w:rPr>
                <w:color w:val="000000"/>
                <w:sz w:val="22"/>
                <w:szCs w:val="22"/>
              </w:rPr>
              <w:br/>
              <w:t>If the owner of a land parcel applies for a refund of Building Levy Fees paid in respect of a building approval granted in relation to that land, a refund may be given on the following terms:</w:t>
            </w:r>
            <w:r>
              <w:rPr>
                <w:color w:val="000000"/>
                <w:sz w:val="22"/>
                <w:szCs w:val="22"/>
              </w:rPr>
              <w:br/>
              <w:t>The application must verify that the relevant certifier has cancelled the building approval and that none of the building work has commenced and that the certifier has not carried out inspections of that work under the Building Act 1972: Refund payable will be the fee paid less an administration fee – residential and commercial** If building levy is less than the administrative fee no refund will be issued</w:t>
            </w:r>
          </w:p>
          <w:p w14:paraId="172D7156" w14:textId="77777777" w:rsidR="003868FC" w:rsidRDefault="003868FC" w:rsidP="00236156">
            <w:pPr>
              <w:rPr>
                <w:color w:val="000000"/>
                <w:sz w:val="22"/>
                <w:szCs w:val="22"/>
              </w:rPr>
            </w:pPr>
          </w:p>
        </w:tc>
        <w:tc>
          <w:tcPr>
            <w:tcW w:w="2176" w:type="dxa"/>
            <w:tcBorders>
              <w:top w:val="nil"/>
              <w:left w:val="nil"/>
              <w:bottom w:val="nil"/>
              <w:right w:val="nil"/>
            </w:tcBorders>
            <w:hideMark/>
          </w:tcPr>
          <w:p w14:paraId="4561A5BE" w14:textId="22EE4799" w:rsidR="00236156" w:rsidRPr="00546469" w:rsidRDefault="00236156" w:rsidP="00236156">
            <w:pPr>
              <w:jc w:val="right"/>
              <w:rPr>
                <w:i/>
                <w:iCs/>
                <w:color w:val="000000"/>
                <w:sz w:val="22"/>
                <w:szCs w:val="22"/>
              </w:rPr>
            </w:pPr>
            <w:r w:rsidRPr="0051688F">
              <w:rPr>
                <w:i/>
                <w:iCs/>
                <w:color w:val="000000"/>
                <w:sz w:val="22"/>
                <w:szCs w:val="22"/>
              </w:rPr>
              <w:t>Building Levy paid less administration fee</w:t>
            </w:r>
          </w:p>
        </w:tc>
        <w:tc>
          <w:tcPr>
            <w:tcW w:w="2016" w:type="dxa"/>
            <w:tcBorders>
              <w:top w:val="nil"/>
              <w:left w:val="nil"/>
              <w:bottom w:val="nil"/>
              <w:right w:val="nil"/>
            </w:tcBorders>
            <w:hideMark/>
          </w:tcPr>
          <w:p w14:paraId="4E203806" w14:textId="2A3D7739" w:rsidR="00236156" w:rsidRDefault="00236156" w:rsidP="00236156">
            <w:pPr>
              <w:jc w:val="right"/>
              <w:rPr>
                <w:b/>
                <w:bCs/>
                <w:color w:val="000000"/>
                <w:sz w:val="22"/>
                <w:szCs w:val="22"/>
              </w:rPr>
            </w:pPr>
            <w:r>
              <w:rPr>
                <w:b/>
                <w:bCs/>
                <w:color w:val="000000"/>
                <w:sz w:val="22"/>
                <w:szCs w:val="22"/>
              </w:rPr>
              <w:t>Building Levy paid less administration fee</w:t>
            </w:r>
          </w:p>
        </w:tc>
      </w:tr>
      <w:tr w:rsidR="00236156" w14:paraId="06387AF6" w14:textId="77777777" w:rsidTr="0051688F">
        <w:trPr>
          <w:trHeight w:val="1701"/>
        </w:trPr>
        <w:tc>
          <w:tcPr>
            <w:tcW w:w="1039" w:type="dxa"/>
            <w:tcBorders>
              <w:top w:val="nil"/>
              <w:left w:val="nil"/>
              <w:bottom w:val="nil"/>
              <w:right w:val="nil"/>
            </w:tcBorders>
          </w:tcPr>
          <w:p w14:paraId="1B4E8FFA" w14:textId="131399DB" w:rsidR="00236156" w:rsidRPr="00E653B3" w:rsidRDefault="00236156" w:rsidP="00236156">
            <w:pPr>
              <w:rPr>
                <w:color w:val="000000"/>
                <w:sz w:val="22"/>
                <w:szCs w:val="22"/>
              </w:rPr>
            </w:pPr>
            <w:r>
              <w:rPr>
                <w:color w:val="000000"/>
                <w:sz w:val="22"/>
                <w:szCs w:val="22"/>
              </w:rPr>
              <w:lastRenderedPageBreak/>
              <w:t>8.1</w:t>
            </w:r>
          </w:p>
        </w:tc>
        <w:tc>
          <w:tcPr>
            <w:tcW w:w="1300" w:type="dxa"/>
            <w:tcBorders>
              <w:top w:val="nil"/>
              <w:left w:val="nil"/>
              <w:bottom w:val="nil"/>
              <w:right w:val="nil"/>
            </w:tcBorders>
          </w:tcPr>
          <w:p w14:paraId="2F665321" w14:textId="78276B5C" w:rsidR="00236156" w:rsidRPr="00E653B3" w:rsidRDefault="00236156" w:rsidP="00236156">
            <w:pPr>
              <w:rPr>
                <w:color w:val="000000"/>
                <w:sz w:val="22"/>
                <w:szCs w:val="22"/>
              </w:rPr>
            </w:pPr>
            <w:r w:rsidRPr="00E653B3">
              <w:rPr>
                <w:color w:val="000000"/>
                <w:sz w:val="22"/>
                <w:szCs w:val="22"/>
              </w:rPr>
              <w:t xml:space="preserve">Section </w:t>
            </w:r>
            <w:r>
              <w:rPr>
                <w:color w:val="000000"/>
                <w:sz w:val="22"/>
                <w:szCs w:val="22"/>
              </w:rPr>
              <w:t>8</w:t>
            </w:r>
            <w:r w:rsidRPr="00E653B3">
              <w:rPr>
                <w:color w:val="000000"/>
                <w:sz w:val="22"/>
                <w:szCs w:val="22"/>
              </w:rPr>
              <w:t>3D</w:t>
            </w:r>
          </w:p>
        </w:tc>
        <w:tc>
          <w:tcPr>
            <w:tcW w:w="3870" w:type="dxa"/>
            <w:tcBorders>
              <w:top w:val="nil"/>
              <w:left w:val="nil"/>
              <w:bottom w:val="nil"/>
              <w:right w:val="nil"/>
            </w:tcBorders>
          </w:tcPr>
          <w:p w14:paraId="038FF348" w14:textId="019462C2" w:rsidR="00236156" w:rsidRDefault="00236156" w:rsidP="00236156">
            <w:pPr>
              <w:rPr>
                <w:color w:val="000000"/>
                <w:sz w:val="22"/>
                <w:szCs w:val="22"/>
              </w:rPr>
            </w:pPr>
            <w:r w:rsidRPr="00E653B3">
              <w:rPr>
                <w:color w:val="000000"/>
                <w:sz w:val="22"/>
                <w:szCs w:val="22"/>
              </w:rPr>
              <w:t>Application fee for seeking a Ministerial exemption on the grounds that there are documented plans to demolish the regulated swimming pool</w:t>
            </w:r>
          </w:p>
        </w:tc>
        <w:tc>
          <w:tcPr>
            <w:tcW w:w="2176" w:type="dxa"/>
            <w:tcBorders>
              <w:top w:val="nil"/>
              <w:left w:val="nil"/>
              <w:bottom w:val="nil"/>
              <w:right w:val="nil"/>
            </w:tcBorders>
          </w:tcPr>
          <w:p w14:paraId="4474BFE9" w14:textId="7202195B" w:rsidR="00236156" w:rsidRPr="00546469" w:rsidRDefault="00236156" w:rsidP="00236156">
            <w:pPr>
              <w:jc w:val="right"/>
              <w:rPr>
                <w:i/>
                <w:iCs/>
                <w:color w:val="000000"/>
                <w:sz w:val="22"/>
                <w:szCs w:val="22"/>
              </w:rPr>
            </w:pPr>
            <w:r w:rsidRPr="0051688F">
              <w:rPr>
                <w:i/>
                <w:iCs/>
                <w:sz w:val="22"/>
                <w:szCs w:val="22"/>
              </w:rPr>
              <w:t>233.10</w:t>
            </w:r>
          </w:p>
        </w:tc>
        <w:tc>
          <w:tcPr>
            <w:tcW w:w="2016" w:type="dxa"/>
            <w:tcBorders>
              <w:top w:val="nil"/>
              <w:left w:val="nil"/>
              <w:bottom w:val="nil"/>
              <w:right w:val="nil"/>
            </w:tcBorders>
          </w:tcPr>
          <w:p w14:paraId="4DF334AC" w14:textId="1FF0EA00" w:rsidR="00236156" w:rsidRPr="006C4C5B" w:rsidRDefault="00236156" w:rsidP="00236156">
            <w:pPr>
              <w:jc w:val="right"/>
              <w:rPr>
                <w:b/>
                <w:bCs/>
                <w:color w:val="000000"/>
                <w:sz w:val="22"/>
                <w:szCs w:val="22"/>
              </w:rPr>
            </w:pPr>
            <w:r w:rsidRPr="006C4C5B">
              <w:rPr>
                <w:b/>
                <w:bCs/>
                <w:sz w:val="22"/>
                <w:szCs w:val="22"/>
              </w:rPr>
              <w:t>2</w:t>
            </w:r>
            <w:r>
              <w:rPr>
                <w:b/>
                <w:bCs/>
                <w:sz w:val="22"/>
                <w:szCs w:val="22"/>
              </w:rPr>
              <w:t>41.49</w:t>
            </w:r>
          </w:p>
        </w:tc>
      </w:tr>
      <w:tr w:rsidR="00236156" w:rsidRPr="00FF7962" w14:paraId="46FE877E" w14:textId="77777777" w:rsidTr="0051688F">
        <w:trPr>
          <w:trHeight w:val="3686"/>
        </w:trPr>
        <w:tc>
          <w:tcPr>
            <w:tcW w:w="1039" w:type="dxa"/>
            <w:tcBorders>
              <w:top w:val="nil"/>
              <w:left w:val="nil"/>
              <w:bottom w:val="nil"/>
              <w:right w:val="nil"/>
            </w:tcBorders>
          </w:tcPr>
          <w:p w14:paraId="0FFCBC37" w14:textId="784DD3D2" w:rsidR="00236156" w:rsidRPr="00E653B3" w:rsidRDefault="00236156" w:rsidP="00236156">
            <w:pPr>
              <w:rPr>
                <w:color w:val="000000"/>
                <w:sz w:val="22"/>
                <w:szCs w:val="22"/>
              </w:rPr>
            </w:pPr>
            <w:r>
              <w:rPr>
                <w:color w:val="000000"/>
                <w:sz w:val="22"/>
                <w:szCs w:val="22"/>
              </w:rPr>
              <w:t>8.2</w:t>
            </w:r>
          </w:p>
        </w:tc>
        <w:tc>
          <w:tcPr>
            <w:tcW w:w="1300" w:type="dxa"/>
            <w:tcBorders>
              <w:top w:val="nil"/>
              <w:left w:val="nil"/>
              <w:bottom w:val="nil"/>
              <w:right w:val="nil"/>
            </w:tcBorders>
          </w:tcPr>
          <w:p w14:paraId="5CE82992" w14:textId="2FF61E7F" w:rsidR="00236156" w:rsidRPr="00E653B3" w:rsidRDefault="00236156" w:rsidP="00236156">
            <w:pPr>
              <w:rPr>
                <w:color w:val="000000"/>
                <w:sz w:val="22"/>
                <w:szCs w:val="22"/>
              </w:rPr>
            </w:pPr>
            <w:r w:rsidRPr="00E653B3">
              <w:rPr>
                <w:color w:val="000000"/>
                <w:sz w:val="22"/>
                <w:szCs w:val="22"/>
              </w:rPr>
              <w:t>Section 83D</w:t>
            </w:r>
          </w:p>
        </w:tc>
        <w:tc>
          <w:tcPr>
            <w:tcW w:w="3870" w:type="dxa"/>
            <w:tcBorders>
              <w:top w:val="nil"/>
              <w:left w:val="nil"/>
              <w:bottom w:val="nil"/>
              <w:right w:val="nil"/>
            </w:tcBorders>
          </w:tcPr>
          <w:p w14:paraId="36B6C34A" w14:textId="77777777" w:rsidR="00236156" w:rsidRPr="00E653B3" w:rsidRDefault="00236156" w:rsidP="00236156">
            <w:pPr>
              <w:rPr>
                <w:color w:val="000000"/>
                <w:sz w:val="22"/>
                <w:szCs w:val="22"/>
              </w:rPr>
            </w:pPr>
            <w:r w:rsidRPr="00E653B3">
              <w:rPr>
                <w:color w:val="000000"/>
                <w:sz w:val="22"/>
                <w:szCs w:val="22"/>
              </w:rPr>
              <w:t>Application fee for seeking a Ministerial exemption on the following grounds:</w:t>
            </w:r>
          </w:p>
          <w:p w14:paraId="4BEF1C5F" w14:textId="77777777" w:rsidR="00236156" w:rsidRPr="00E653B3" w:rsidRDefault="00236156" w:rsidP="00236156">
            <w:pPr>
              <w:rPr>
                <w:color w:val="000000"/>
                <w:sz w:val="22"/>
                <w:szCs w:val="22"/>
              </w:rPr>
            </w:pPr>
          </w:p>
          <w:p w14:paraId="5D841D52" w14:textId="3065C97A" w:rsidR="00236156" w:rsidRPr="00E653B3" w:rsidRDefault="00236156" w:rsidP="00236156">
            <w:pPr>
              <w:rPr>
                <w:color w:val="000000"/>
                <w:sz w:val="22"/>
                <w:szCs w:val="22"/>
              </w:rPr>
            </w:pPr>
            <w:r w:rsidRPr="00E653B3">
              <w:rPr>
                <w:color w:val="000000"/>
                <w:sz w:val="22"/>
                <w:szCs w:val="22"/>
              </w:rPr>
              <w:t xml:space="preserve"> • Require approval under the Urban Forest Act 2023 to remove a protected tree </w:t>
            </w:r>
          </w:p>
          <w:p w14:paraId="017F00D0" w14:textId="77777777" w:rsidR="00236156" w:rsidRPr="00E653B3" w:rsidRDefault="00236156" w:rsidP="00236156">
            <w:pPr>
              <w:rPr>
                <w:color w:val="000000"/>
                <w:sz w:val="22"/>
                <w:szCs w:val="22"/>
              </w:rPr>
            </w:pPr>
          </w:p>
          <w:p w14:paraId="6E7BA109" w14:textId="77777777" w:rsidR="00236156" w:rsidRPr="00E653B3" w:rsidRDefault="00236156" w:rsidP="00236156">
            <w:pPr>
              <w:rPr>
                <w:color w:val="000000"/>
                <w:sz w:val="22"/>
                <w:szCs w:val="22"/>
              </w:rPr>
            </w:pPr>
            <w:r w:rsidRPr="00E653B3">
              <w:rPr>
                <w:color w:val="000000"/>
                <w:sz w:val="22"/>
                <w:szCs w:val="22"/>
              </w:rPr>
              <w:t xml:space="preserve">• Significant adverse effect on the heritage significance of a place or object registered under the Heritage Act 2004 </w:t>
            </w:r>
          </w:p>
          <w:p w14:paraId="30593D1D" w14:textId="77777777" w:rsidR="00236156" w:rsidRPr="00E653B3" w:rsidRDefault="00236156" w:rsidP="00236156">
            <w:pPr>
              <w:rPr>
                <w:color w:val="000000"/>
                <w:sz w:val="22"/>
                <w:szCs w:val="22"/>
              </w:rPr>
            </w:pPr>
          </w:p>
          <w:p w14:paraId="518FAD5D" w14:textId="17DDBAF0" w:rsidR="00236156" w:rsidRDefault="00236156" w:rsidP="00236156">
            <w:pPr>
              <w:rPr>
                <w:color w:val="000000"/>
                <w:sz w:val="22"/>
                <w:szCs w:val="22"/>
              </w:rPr>
            </w:pPr>
            <w:r w:rsidRPr="00E653B3">
              <w:rPr>
                <w:color w:val="000000"/>
                <w:sz w:val="22"/>
                <w:szCs w:val="22"/>
              </w:rPr>
              <w:t>• Person with a disability is, or is to become, an occupier of the premises on which the regulated swimming pool is situated</w:t>
            </w:r>
          </w:p>
        </w:tc>
        <w:tc>
          <w:tcPr>
            <w:tcW w:w="2176" w:type="dxa"/>
            <w:tcBorders>
              <w:top w:val="nil"/>
              <w:left w:val="nil"/>
              <w:bottom w:val="nil"/>
              <w:right w:val="nil"/>
            </w:tcBorders>
          </w:tcPr>
          <w:p w14:paraId="0FFAB522" w14:textId="5CC4069D" w:rsidR="00236156" w:rsidRPr="00546469" w:rsidRDefault="00236156" w:rsidP="00236156">
            <w:pPr>
              <w:jc w:val="right"/>
              <w:rPr>
                <w:i/>
                <w:iCs/>
                <w:color w:val="000000"/>
                <w:sz w:val="22"/>
                <w:szCs w:val="22"/>
              </w:rPr>
            </w:pPr>
            <w:r w:rsidRPr="0051688F">
              <w:rPr>
                <w:i/>
                <w:iCs/>
                <w:sz w:val="22"/>
                <w:szCs w:val="22"/>
              </w:rPr>
              <w:t>336.70</w:t>
            </w:r>
          </w:p>
        </w:tc>
        <w:tc>
          <w:tcPr>
            <w:tcW w:w="2016" w:type="dxa"/>
            <w:tcBorders>
              <w:top w:val="nil"/>
              <w:left w:val="nil"/>
              <w:bottom w:val="nil"/>
              <w:right w:val="nil"/>
            </w:tcBorders>
          </w:tcPr>
          <w:p w14:paraId="2003A5DB" w14:textId="2E92B843" w:rsidR="00236156" w:rsidRPr="006C4C5B" w:rsidRDefault="00236156" w:rsidP="00236156">
            <w:pPr>
              <w:jc w:val="right"/>
              <w:rPr>
                <w:b/>
                <w:bCs/>
                <w:color w:val="000000"/>
                <w:sz w:val="22"/>
                <w:szCs w:val="22"/>
              </w:rPr>
            </w:pPr>
            <w:r w:rsidRPr="006C4C5B">
              <w:rPr>
                <w:b/>
                <w:bCs/>
                <w:sz w:val="22"/>
                <w:szCs w:val="22"/>
              </w:rPr>
              <w:t>3</w:t>
            </w:r>
            <w:r>
              <w:rPr>
                <w:b/>
                <w:bCs/>
                <w:sz w:val="22"/>
                <w:szCs w:val="22"/>
              </w:rPr>
              <w:t>48.82</w:t>
            </w:r>
          </w:p>
        </w:tc>
      </w:tr>
      <w:tr w:rsidR="00236156" w14:paraId="21ED0F22" w14:textId="77777777" w:rsidTr="0051688F">
        <w:trPr>
          <w:trHeight w:val="1134"/>
        </w:trPr>
        <w:tc>
          <w:tcPr>
            <w:tcW w:w="1039" w:type="dxa"/>
            <w:tcBorders>
              <w:top w:val="nil"/>
              <w:left w:val="nil"/>
              <w:bottom w:val="nil"/>
              <w:right w:val="nil"/>
            </w:tcBorders>
          </w:tcPr>
          <w:p w14:paraId="77483153" w14:textId="4DB3B715" w:rsidR="00236156" w:rsidRPr="00E653B3" w:rsidRDefault="00236156" w:rsidP="00236156">
            <w:pPr>
              <w:rPr>
                <w:color w:val="000000"/>
                <w:sz w:val="22"/>
                <w:szCs w:val="22"/>
              </w:rPr>
            </w:pPr>
            <w:r>
              <w:rPr>
                <w:color w:val="000000"/>
                <w:sz w:val="22"/>
                <w:szCs w:val="22"/>
              </w:rPr>
              <w:t>8.3</w:t>
            </w:r>
          </w:p>
        </w:tc>
        <w:tc>
          <w:tcPr>
            <w:tcW w:w="1300" w:type="dxa"/>
            <w:tcBorders>
              <w:top w:val="nil"/>
              <w:left w:val="nil"/>
              <w:bottom w:val="nil"/>
              <w:right w:val="nil"/>
            </w:tcBorders>
          </w:tcPr>
          <w:p w14:paraId="01DA8FEF" w14:textId="6DCD47CB" w:rsidR="00236156" w:rsidRPr="00E653B3" w:rsidRDefault="00236156" w:rsidP="00236156">
            <w:pPr>
              <w:rPr>
                <w:color w:val="000000"/>
                <w:sz w:val="22"/>
                <w:szCs w:val="22"/>
              </w:rPr>
            </w:pPr>
            <w:r w:rsidRPr="00E653B3">
              <w:rPr>
                <w:color w:val="000000"/>
                <w:sz w:val="22"/>
                <w:szCs w:val="22"/>
              </w:rPr>
              <w:t>Section 83D</w:t>
            </w:r>
          </w:p>
        </w:tc>
        <w:tc>
          <w:tcPr>
            <w:tcW w:w="3870" w:type="dxa"/>
            <w:tcBorders>
              <w:top w:val="nil"/>
              <w:left w:val="nil"/>
              <w:bottom w:val="nil"/>
              <w:right w:val="nil"/>
            </w:tcBorders>
          </w:tcPr>
          <w:p w14:paraId="38D06518" w14:textId="7713C9F5" w:rsidR="00236156" w:rsidRDefault="00236156" w:rsidP="00236156">
            <w:pPr>
              <w:rPr>
                <w:color w:val="000000"/>
                <w:sz w:val="22"/>
                <w:szCs w:val="22"/>
              </w:rPr>
            </w:pPr>
            <w:r w:rsidRPr="00E653B3">
              <w:rPr>
                <w:color w:val="000000"/>
                <w:sz w:val="22"/>
                <w:szCs w:val="22"/>
              </w:rPr>
              <w:t>Application fee for seeking a Ministerial exemption on the grounds premises is unable to physically accommodate a safety barrier compliant with the prescribed safety standard</w:t>
            </w:r>
          </w:p>
        </w:tc>
        <w:tc>
          <w:tcPr>
            <w:tcW w:w="2176" w:type="dxa"/>
            <w:tcBorders>
              <w:top w:val="nil"/>
              <w:left w:val="nil"/>
              <w:bottom w:val="nil"/>
              <w:right w:val="nil"/>
            </w:tcBorders>
          </w:tcPr>
          <w:p w14:paraId="2DC31613" w14:textId="02838B2E" w:rsidR="00236156" w:rsidRPr="00546469" w:rsidRDefault="00236156" w:rsidP="00236156">
            <w:pPr>
              <w:jc w:val="right"/>
              <w:rPr>
                <w:i/>
                <w:iCs/>
                <w:color w:val="000000"/>
                <w:sz w:val="22"/>
                <w:szCs w:val="22"/>
              </w:rPr>
            </w:pPr>
            <w:r w:rsidRPr="0051688F">
              <w:rPr>
                <w:i/>
                <w:iCs/>
                <w:sz w:val="22"/>
                <w:szCs w:val="22"/>
              </w:rPr>
              <w:t>595.70</w:t>
            </w:r>
          </w:p>
        </w:tc>
        <w:tc>
          <w:tcPr>
            <w:tcW w:w="2016" w:type="dxa"/>
            <w:tcBorders>
              <w:top w:val="nil"/>
              <w:left w:val="nil"/>
              <w:bottom w:val="nil"/>
              <w:right w:val="nil"/>
            </w:tcBorders>
          </w:tcPr>
          <w:p w14:paraId="3032A4E7" w14:textId="287F4A47" w:rsidR="00236156" w:rsidRPr="006C4C5B" w:rsidRDefault="00236156" w:rsidP="00236156">
            <w:pPr>
              <w:jc w:val="right"/>
              <w:rPr>
                <w:b/>
                <w:bCs/>
                <w:color w:val="000000"/>
                <w:sz w:val="22"/>
                <w:szCs w:val="22"/>
              </w:rPr>
            </w:pPr>
            <w:r>
              <w:rPr>
                <w:b/>
                <w:bCs/>
                <w:sz w:val="22"/>
                <w:szCs w:val="22"/>
              </w:rPr>
              <w:t>617.15</w:t>
            </w:r>
          </w:p>
        </w:tc>
      </w:tr>
      <w:tr w:rsidR="00236156" w14:paraId="032E5983" w14:textId="77777777" w:rsidTr="0051688F">
        <w:trPr>
          <w:trHeight w:val="851"/>
        </w:trPr>
        <w:tc>
          <w:tcPr>
            <w:tcW w:w="1039" w:type="dxa"/>
            <w:tcBorders>
              <w:top w:val="nil"/>
              <w:left w:val="nil"/>
              <w:bottom w:val="nil"/>
              <w:right w:val="nil"/>
            </w:tcBorders>
          </w:tcPr>
          <w:p w14:paraId="3DC512F1" w14:textId="3651496B" w:rsidR="00236156" w:rsidRPr="00E653B3" w:rsidRDefault="00236156" w:rsidP="00236156">
            <w:pPr>
              <w:rPr>
                <w:color w:val="000000"/>
                <w:sz w:val="22"/>
                <w:szCs w:val="22"/>
              </w:rPr>
            </w:pPr>
            <w:r>
              <w:rPr>
                <w:color w:val="000000"/>
                <w:sz w:val="22"/>
                <w:szCs w:val="22"/>
              </w:rPr>
              <w:t>8.4</w:t>
            </w:r>
          </w:p>
        </w:tc>
        <w:tc>
          <w:tcPr>
            <w:tcW w:w="1300" w:type="dxa"/>
            <w:tcBorders>
              <w:top w:val="nil"/>
              <w:left w:val="nil"/>
              <w:bottom w:val="nil"/>
              <w:right w:val="nil"/>
            </w:tcBorders>
          </w:tcPr>
          <w:p w14:paraId="69DB9C70" w14:textId="279943A7" w:rsidR="00236156" w:rsidRPr="00E653B3" w:rsidRDefault="00236156" w:rsidP="00236156">
            <w:pPr>
              <w:rPr>
                <w:color w:val="000000"/>
                <w:sz w:val="22"/>
                <w:szCs w:val="22"/>
              </w:rPr>
            </w:pPr>
            <w:r w:rsidRPr="00E653B3">
              <w:rPr>
                <w:color w:val="000000"/>
                <w:sz w:val="22"/>
                <w:szCs w:val="22"/>
              </w:rPr>
              <w:t>Section 83D</w:t>
            </w:r>
          </w:p>
        </w:tc>
        <w:tc>
          <w:tcPr>
            <w:tcW w:w="3870" w:type="dxa"/>
            <w:tcBorders>
              <w:top w:val="nil"/>
              <w:left w:val="nil"/>
              <w:bottom w:val="nil"/>
              <w:right w:val="nil"/>
            </w:tcBorders>
          </w:tcPr>
          <w:p w14:paraId="290D70FF" w14:textId="617C0242" w:rsidR="00236156" w:rsidRPr="00E653B3" w:rsidRDefault="00236156" w:rsidP="00236156">
            <w:pPr>
              <w:rPr>
                <w:color w:val="000000"/>
                <w:sz w:val="22"/>
                <w:szCs w:val="22"/>
              </w:rPr>
            </w:pPr>
            <w:r w:rsidRPr="00E653B3">
              <w:rPr>
                <w:color w:val="000000"/>
                <w:sz w:val="22"/>
                <w:szCs w:val="22"/>
              </w:rPr>
              <w:t>Fee for a second and subsequent reissue of an existing valid exemption certificate</w:t>
            </w:r>
          </w:p>
        </w:tc>
        <w:tc>
          <w:tcPr>
            <w:tcW w:w="2176" w:type="dxa"/>
            <w:tcBorders>
              <w:top w:val="nil"/>
              <w:left w:val="nil"/>
              <w:bottom w:val="nil"/>
              <w:right w:val="nil"/>
            </w:tcBorders>
          </w:tcPr>
          <w:p w14:paraId="03B4A73B" w14:textId="677A51DE" w:rsidR="00236156" w:rsidRPr="00546469" w:rsidRDefault="00236156" w:rsidP="00236156">
            <w:pPr>
              <w:jc w:val="right"/>
              <w:rPr>
                <w:i/>
                <w:iCs/>
                <w:color w:val="000000"/>
                <w:sz w:val="22"/>
                <w:szCs w:val="22"/>
              </w:rPr>
            </w:pPr>
            <w:r w:rsidRPr="0051688F">
              <w:rPr>
                <w:i/>
                <w:iCs/>
                <w:sz w:val="22"/>
                <w:szCs w:val="22"/>
              </w:rPr>
              <w:t>25.90</w:t>
            </w:r>
          </w:p>
        </w:tc>
        <w:tc>
          <w:tcPr>
            <w:tcW w:w="2016" w:type="dxa"/>
            <w:tcBorders>
              <w:top w:val="nil"/>
              <w:left w:val="nil"/>
              <w:bottom w:val="nil"/>
              <w:right w:val="nil"/>
            </w:tcBorders>
          </w:tcPr>
          <w:p w14:paraId="44802593" w14:textId="511C55B5" w:rsidR="00236156" w:rsidRPr="006C4C5B" w:rsidRDefault="00236156" w:rsidP="00236156">
            <w:pPr>
              <w:jc w:val="right"/>
              <w:rPr>
                <w:b/>
                <w:bCs/>
                <w:color w:val="000000"/>
                <w:sz w:val="22"/>
                <w:szCs w:val="22"/>
              </w:rPr>
            </w:pPr>
            <w:r w:rsidRPr="006C4C5B">
              <w:rPr>
                <w:b/>
                <w:bCs/>
                <w:sz w:val="22"/>
                <w:szCs w:val="22"/>
              </w:rPr>
              <w:t>2</w:t>
            </w:r>
            <w:r>
              <w:rPr>
                <w:b/>
                <w:bCs/>
                <w:sz w:val="22"/>
                <w:szCs w:val="22"/>
              </w:rPr>
              <w:t>6.83</w:t>
            </w:r>
          </w:p>
        </w:tc>
      </w:tr>
      <w:tr w:rsidR="00236156" w14:paraId="71E6367B" w14:textId="77777777" w:rsidTr="0051688F">
        <w:trPr>
          <w:trHeight w:val="851"/>
        </w:trPr>
        <w:tc>
          <w:tcPr>
            <w:tcW w:w="1039" w:type="dxa"/>
            <w:tcBorders>
              <w:top w:val="nil"/>
              <w:left w:val="nil"/>
              <w:bottom w:val="nil"/>
              <w:right w:val="nil"/>
            </w:tcBorders>
          </w:tcPr>
          <w:p w14:paraId="2D6C414D" w14:textId="4710EA1A" w:rsidR="00236156" w:rsidRPr="00E653B3" w:rsidRDefault="00236156" w:rsidP="00236156">
            <w:pPr>
              <w:rPr>
                <w:color w:val="000000"/>
                <w:sz w:val="22"/>
                <w:szCs w:val="22"/>
              </w:rPr>
            </w:pPr>
            <w:r>
              <w:rPr>
                <w:color w:val="000000"/>
                <w:sz w:val="22"/>
                <w:szCs w:val="22"/>
              </w:rPr>
              <w:t>9.1</w:t>
            </w:r>
          </w:p>
        </w:tc>
        <w:tc>
          <w:tcPr>
            <w:tcW w:w="1300" w:type="dxa"/>
            <w:tcBorders>
              <w:top w:val="nil"/>
              <w:left w:val="nil"/>
              <w:bottom w:val="nil"/>
              <w:right w:val="nil"/>
            </w:tcBorders>
          </w:tcPr>
          <w:p w14:paraId="24F7F6C3" w14:textId="4C748702" w:rsidR="00236156" w:rsidRPr="00E653B3" w:rsidRDefault="00236156" w:rsidP="00236156">
            <w:pPr>
              <w:rPr>
                <w:color w:val="000000"/>
                <w:sz w:val="22"/>
                <w:szCs w:val="22"/>
              </w:rPr>
            </w:pPr>
            <w:r w:rsidRPr="00E653B3">
              <w:rPr>
                <w:color w:val="000000"/>
                <w:sz w:val="22"/>
                <w:szCs w:val="22"/>
              </w:rPr>
              <w:t>Section 83M</w:t>
            </w:r>
          </w:p>
        </w:tc>
        <w:tc>
          <w:tcPr>
            <w:tcW w:w="3870" w:type="dxa"/>
            <w:tcBorders>
              <w:top w:val="nil"/>
              <w:left w:val="nil"/>
              <w:bottom w:val="nil"/>
              <w:right w:val="nil"/>
            </w:tcBorders>
          </w:tcPr>
          <w:p w14:paraId="57C26D88" w14:textId="333A3F36" w:rsidR="00236156" w:rsidRPr="00E653B3" w:rsidRDefault="00236156" w:rsidP="00236156">
            <w:pPr>
              <w:rPr>
                <w:color w:val="000000"/>
                <w:sz w:val="22"/>
                <w:szCs w:val="22"/>
              </w:rPr>
            </w:pPr>
            <w:r w:rsidRPr="00E653B3">
              <w:rPr>
                <w:color w:val="000000"/>
                <w:sz w:val="22"/>
                <w:szCs w:val="22"/>
              </w:rPr>
              <w:t>Fee for lodging a compliance certificate with government</w:t>
            </w:r>
          </w:p>
        </w:tc>
        <w:tc>
          <w:tcPr>
            <w:tcW w:w="2176" w:type="dxa"/>
            <w:tcBorders>
              <w:top w:val="nil"/>
              <w:left w:val="nil"/>
              <w:bottom w:val="nil"/>
              <w:right w:val="nil"/>
            </w:tcBorders>
          </w:tcPr>
          <w:p w14:paraId="58F0DA50" w14:textId="6EF1D01E" w:rsidR="00236156" w:rsidRPr="00546469" w:rsidRDefault="00236156" w:rsidP="00236156">
            <w:pPr>
              <w:jc w:val="right"/>
              <w:rPr>
                <w:i/>
                <w:iCs/>
                <w:color w:val="000000"/>
                <w:sz w:val="22"/>
                <w:szCs w:val="22"/>
              </w:rPr>
            </w:pPr>
            <w:r w:rsidRPr="0051688F">
              <w:rPr>
                <w:i/>
                <w:iCs/>
                <w:color w:val="000000"/>
                <w:sz w:val="22"/>
                <w:szCs w:val="22"/>
              </w:rPr>
              <w:t>40.35</w:t>
            </w:r>
          </w:p>
        </w:tc>
        <w:tc>
          <w:tcPr>
            <w:tcW w:w="2016" w:type="dxa"/>
            <w:tcBorders>
              <w:top w:val="nil"/>
              <w:left w:val="nil"/>
              <w:bottom w:val="nil"/>
              <w:right w:val="nil"/>
            </w:tcBorders>
          </w:tcPr>
          <w:p w14:paraId="2AF41C16" w14:textId="4DCA0596" w:rsidR="00236156" w:rsidRPr="00FF7962" w:rsidRDefault="00236156" w:rsidP="00236156">
            <w:pPr>
              <w:jc w:val="right"/>
              <w:rPr>
                <w:b/>
                <w:bCs/>
                <w:color w:val="000000"/>
                <w:sz w:val="22"/>
                <w:szCs w:val="22"/>
              </w:rPr>
            </w:pPr>
            <w:r>
              <w:rPr>
                <w:b/>
                <w:bCs/>
                <w:color w:val="000000"/>
                <w:sz w:val="22"/>
                <w:szCs w:val="22"/>
              </w:rPr>
              <w:t>41.80</w:t>
            </w:r>
          </w:p>
        </w:tc>
      </w:tr>
      <w:tr w:rsidR="00236156" w14:paraId="76054EF7" w14:textId="77777777" w:rsidTr="0051688F">
        <w:trPr>
          <w:trHeight w:val="851"/>
        </w:trPr>
        <w:tc>
          <w:tcPr>
            <w:tcW w:w="1039" w:type="dxa"/>
            <w:tcBorders>
              <w:top w:val="nil"/>
              <w:left w:val="nil"/>
              <w:bottom w:val="nil"/>
              <w:right w:val="nil"/>
            </w:tcBorders>
          </w:tcPr>
          <w:p w14:paraId="265161C3" w14:textId="5A451A8A" w:rsidR="00236156" w:rsidRPr="00E653B3" w:rsidRDefault="00236156" w:rsidP="00236156">
            <w:pPr>
              <w:rPr>
                <w:color w:val="000000"/>
                <w:sz w:val="22"/>
                <w:szCs w:val="22"/>
              </w:rPr>
            </w:pPr>
            <w:r>
              <w:rPr>
                <w:color w:val="000000"/>
                <w:sz w:val="22"/>
                <w:szCs w:val="22"/>
              </w:rPr>
              <w:t>10.1</w:t>
            </w:r>
          </w:p>
        </w:tc>
        <w:tc>
          <w:tcPr>
            <w:tcW w:w="1300" w:type="dxa"/>
            <w:tcBorders>
              <w:top w:val="nil"/>
              <w:left w:val="nil"/>
              <w:bottom w:val="nil"/>
              <w:right w:val="nil"/>
            </w:tcBorders>
          </w:tcPr>
          <w:p w14:paraId="70F30E8C" w14:textId="2D11FE31" w:rsidR="00236156" w:rsidRPr="00E653B3" w:rsidRDefault="00236156" w:rsidP="00236156">
            <w:pPr>
              <w:rPr>
                <w:color w:val="000000"/>
                <w:sz w:val="22"/>
                <w:szCs w:val="22"/>
              </w:rPr>
            </w:pPr>
            <w:r w:rsidRPr="00E653B3">
              <w:rPr>
                <w:color w:val="000000"/>
                <w:sz w:val="22"/>
                <w:szCs w:val="22"/>
              </w:rPr>
              <w:t>Section 83P</w:t>
            </w:r>
          </w:p>
        </w:tc>
        <w:tc>
          <w:tcPr>
            <w:tcW w:w="3870" w:type="dxa"/>
            <w:tcBorders>
              <w:top w:val="nil"/>
              <w:left w:val="nil"/>
              <w:bottom w:val="nil"/>
              <w:right w:val="nil"/>
            </w:tcBorders>
          </w:tcPr>
          <w:p w14:paraId="3781F50A" w14:textId="195C03BE" w:rsidR="00236156" w:rsidRPr="00E653B3" w:rsidRDefault="00236156" w:rsidP="00236156">
            <w:pPr>
              <w:rPr>
                <w:color w:val="000000"/>
                <w:sz w:val="22"/>
                <w:szCs w:val="22"/>
              </w:rPr>
            </w:pPr>
            <w:r w:rsidRPr="00E653B3">
              <w:rPr>
                <w:color w:val="000000"/>
                <w:sz w:val="22"/>
                <w:szCs w:val="22"/>
              </w:rPr>
              <w:t>Application fee for appointment as an authorised person</w:t>
            </w:r>
          </w:p>
        </w:tc>
        <w:tc>
          <w:tcPr>
            <w:tcW w:w="2176" w:type="dxa"/>
            <w:tcBorders>
              <w:top w:val="nil"/>
              <w:left w:val="nil"/>
              <w:bottom w:val="nil"/>
              <w:right w:val="nil"/>
            </w:tcBorders>
          </w:tcPr>
          <w:p w14:paraId="1E7A40CB" w14:textId="77777777" w:rsidR="00236156" w:rsidRPr="0051688F" w:rsidRDefault="00236156" w:rsidP="00236156">
            <w:pPr>
              <w:jc w:val="right"/>
              <w:rPr>
                <w:i/>
                <w:iCs/>
                <w:color w:val="000000"/>
                <w:sz w:val="22"/>
                <w:szCs w:val="22"/>
              </w:rPr>
            </w:pPr>
            <w:r w:rsidRPr="0051688F">
              <w:rPr>
                <w:i/>
                <w:iCs/>
                <w:color w:val="000000"/>
                <w:sz w:val="22"/>
                <w:szCs w:val="22"/>
              </w:rPr>
              <w:t>77.70</w:t>
            </w:r>
          </w:p>
          <w:p w14:paraId="0FA254EE" w14:textId="2818122D" w:rsidR="00236156" w:rsidRPr="00546469" w:rsidRDefault="00236156" w:rsidP="00236156">
            <w:pPr>
              <w:jc w:val="right"/>
              <w:rPr>
                <w:i/>
                <w:iCs/>
                <w:color w:val="000000"/>
                <w:sz w:val="22"/>
                <w:szCs w:val="22"/>
              </w:rPr>
            </w:pPr>
          </w:p>
        </w:tc>
        <w:tc>
          <w:tcPr>
            <w:tcW w:w="2016" w:type="dxa"/>
            <w:tcBorders>
              <w:top w:val="nil"/>
              <w:left w:val="nil"/>
              <w:bottom w:val="nil"/>
              <w:right w:val="nil"/>
            </w:tcBorders>
          </w:tcPr>
          <w:p w14:paraId="590DBE8B" w14:textId="3E7E0D5B" w:rsidR="00236156" w:rsidRPr="00FF7962" w:rsidRDefault="00236156" w:rsidP="00236156">
            <w:pPr>
              <w:jc w:val="right"/>
              <w:rPr>
                <w:b/>
                <w:bCs/>
                <w:color w:val="000000"/>
                <w:sz w:val="22"/>
                <w:szCs w:val="22"/>
              </w:rPr>
            </w:pPr>
            <w:r>
              <w:rPr>
                <w:b/>
                <w:bCs/>
                <w:color w:val="000000"/>
                <w:sz w:val="22"/>
                <w:szCs w:val="22"/>
              </w:rPr>
              <w:t>80.50</w:t>
            </w:r>
          </w:p>
          <w:p w14:paraId="61A0EF32" w14:textId="0EA17A7D" w:rsidR="00236156" w:rsidRPr="00FF7962" w:rsidRDefault="00236156" w:rsidP="00236156">
            <w:pPr>
              <w:jc w:val="right"/>
              <w:rPr>
                <w:b/>
                <w:bCs/>
                <w:color w:val="000000"/>
                <w:sz w:val="22"/>
                <w:szCs w:val="22"/>
              </w:rPr>
            </w:pPr>
          </w:p>
        </w:tc>
      </w:tr>
      <w:tr w:rsidR="00236156" w14:paraId="53E0B6E1" w14:textId="77777777" w:rsidTr="0051688F">
        <w:trPr>
          <w:trHeight w:val="300"/>
        </w:trPr>
        <w:tc>
          <w:tcPr>
            <w:tcW w:w="1039" w:type="dxa"/>
            <w:tcBorders>
              <w:top w:val="nil"/>
              <w:left w:val="nil"/>
              <w:bottom w:val="nil"/>
              <w:right w:val="nil"/>
            </w:tcBorders>
          </w:tcPr>
          <w:p w14:paraId="402AC891" w14:textId="77777777" w:rsidR="00236156" w:rsidRDefault="00236156" w:rsidP="00236156">
            <w:pPr>
              <w:jc w:val="center"/>
              <w:rPr>
                <w:i/>
                <w:iCs/>
                <w:color w:val="000000"/>
                <w:sz w:val="22"/>
                <w:szCs w:val="22"/>
              </w:rPr>
            </w:pPr>
          </w:p>
        </w:tc>
        <w:tc>
          <w:tcPr>
            <w:tcW w:w="9362" w:type="dxa"/>
            <w:gridSpan w:val="4"/>
            <w:tcBorders>
              <w:top w:val="nil"/>
              <w:left w:val="nil"/>
              <w:bottom w:val="nil"/>
              <w:right w:val="nil"/>
            </w:tcBorders>
            <w:noWrap/>
            <w:vAlign w:val="center"/>
            <w:hideMark/>
          </w:tcPr>
          <w:p w14:paraId="62B1A3AB" w14:textId="73B9EFDD" w:rsidR="00236156" w:rsidRPr="00546469" w:rsidRDefault="00236156" w:rsidP="00236156">
            <w:pPr>
              <w:jc w:val="center"/>
              <w:rPr>
                <w:i/>
                <w:iCs/>
                <w:color w:val="000000"/>
                <w:sz w:val="22"/>
                <w:szCs w:val="22"/>
              </w:rPr>
            </w:pPr>
            <w:r w:rsidRPr="00546469">
              <w:rPr>
                <w:i/>
                <w:iCs/>
                <w:color w:val="000000"/>
                <w:sz w:val="22"/>
                <w:szCs w:val="22"/>
              </w:rPr>
              <w:t>Note: The amount in column 4 is for comparison purposes only.</w:t>
            </w:r>
          </w:p>
        </w:tc>
      </w:tr>
    </w:tbl>
    <w:p w14:paraId="5953A81B" w14:textId="77777777" w:rsidR="00C415C7" w:rsidRDefault="00C415C7" w:rsidP="00C415C7">
      <w:pPr>
        <w:pStyle w:val="Header"/>
      </w:pPr>
    </w:p>
    <w:sectPr w:rsidR="00C415C7" w:rsidSect="00D67827">
      <w:headerReference w:type="default" r:id="rId16"/>
      <w:type w:val="continuous"/>
      <w:pgSz w:w="11906" w:h="16838" w:code="9"/>
      <w:pgMar w:top="1440" w:right="1797" w:bottom="144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53A9" w14:textId="77777777" w:rsidR="00584AD7" w:rsidRDefault="00584AD7">
      <w:r>
        <w:separator/>
      </w:r>
    </w:p>
  </w:endnote>
  <w:endnote w:type="continuationSeparator" w:id="0">
    <w:p w14:paraId="191EDF6D" w14:textId="77777777" w:rsidR="00584AD7" w:rsidRDefault="0058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3559" w14:textId="77777777" w:rsidR="00831FAA" w:rsidRDefault="00831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745A" w14:textId="23A33666" w:rsidR="002A6D6E" w:rsidRPr="00831FAA" w:rsidRDefault="00831FAA" w:rsidP="00831FAA">
    <w:pPr>
      <w:pStyle w:val="Footer"/>
      <w:jc w:val="center"/>
      <w:rPr>
        <w:rFonts w:ascii="Arial" w:hAnsi="Arial" w:cs="Arial"/>
        <w:sz w:val="14"/>
      </w:rPr>
    </w:pPr>
    <w:r w:rsidRPr="00831FA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93F6" w14:textId="46577152" w:rsidR="002A6D6E" w:rsidRPr="00831FAA" w:rsidRDefault="00831FAA" w:rsidP="00831FAA">
    <w:pPr>
      <w:pStyle w:val="Footer"/>
      <w:jc w:val="center"/>
      <w:rPr>
        <w:rFonts w:ascii="Arial" w:hAnsi="Arial" w:cs="Arial"/>
        <w:sz w:val="14"/>
      </w:rPr>
    </w:pPr>
    <w:r w:rsidRPr="00831FAA">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FD00" w14:textId="77777777" w:rsidR="00584AD7" w:rsidRDefault="00584AD7">
      <w:r>
        <w:separator/>
      </w:r>
    </w:p>
  </w:footnote>
  <w:footnote w:type="continuationSeparator" w:id="0">
    <w:p w14:paraId="5D708E2E" w14:textId="77777777" w:rsidR="00584AD7" w:rsidRDefault="0058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61ED" w14:textId="77777777" w:rsidR="00831FAA" w:rsidRDefault="00831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EEB4" w14:textId="77777777" w:rsidR="00831FAA" w:rsidRDefault="00831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8C59" w14:textId="77777777" w:rsidR="002A6D6E" w:rsidRDefault="002A6D6E">
    <w:pPr>
      <w:pStyle w:val="Header"/>
      <w:framePr w:wrap="auto" w:vAnchor="text" w:hAnchor="margin" w:xAlign="right" w:y="1"/>
      <w:rPr>
        <w:rStyle w:val="PageNumber"/>
      </w:rPr>
    </w:pPr>
  </w:p>
  <w:p w14:paraId="15230235" w14:textId="77777777" w:rsidR="002A6D6E" w:rsidRPr="00C415C7" w:rsidRDefault="002A6D6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A70F" w14:textId="36EFFCE5" w:rsidR="002A6D6E" w:rsidRPr="00C415C7" w:rsidRDefault="002A6D6E" w:rsidP="00C41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CC"/>
    <w:multiLevelType w:val="singleLevel"/>
    <w:tmpl w:val="BF86E92E"/>
    <w:lvl w:ilvl="0">
      <w:start w:val="1"/>
      <w:numFmt w:val="lowerLetter"/>
      <w:lvlText w:val="(%1)"/>
      <w:lvlJc w:val="left"/>
      <w:pPr>
        <w:tabs>
          <w:tab w:val="num" w:pos="360"/>
        </w:tabs>
        <w:ind w:left="360" w:hanging="360"/>
      </w:pPr>
    </w:lvl>
  </w:abstractNum>
  <w:abstractNum w:abstractNumId="1" w15:restartNumberingAfterBreak="0">
    <w:nsid w:val="03E92238"/>
    <w:multiLevelType w:val="singleLevel"/>
    <w:tmpl w:val="324CD4EC"/>
    <w:lvl w:ilvl="0">
      <w:start w:val="1"/>
      <w:numFmt w:val="lowerLetter"/>
      <w:lvlText w:val="(%1)"/>
      <w:lvlJc w:val="left"/>
      <w:pPr>
        <w:tabs>
          <w:tab w:val="num" w:pos="1140"/>
        </w:tabs>
        <w:ind w:left="1140" w:hanging="360"/>
      </w:pPr>
      <w:rPr>
        <w:rFonts w:hint="default"/>
      </w:rPr>
    </w:lvl>
  </w:abstractNum>
  <w:abstractNum w:abstractNumId="2" w15:restartNumberingAfterBreak="0">
    <w:nsid w:val="03FF755C"/>
    <w:multiLevelType w:val="singleLevel"/>
    <w:tmpl w:val="573E6F70"/>
    <w:lvl w:ilvl="0">
      <w:start w:val="1"/>
      <w:numFmt w:val="lowerRoman"/>
      <w:lvlText w:val="(%1)"/>
      <w:lvlJc w:val="left"/>
      <w:pPr>
        <w:tabs>
          <w:tab w:val="num" w:pos="720"/>
        </w:tabs>
        <w:ind w:left="360" w:hanging="360"/>
      </w:pPr>
    </w:lvl>
  </w:abstractNum>
  <w:abstractNum w:abstractNumId="3" w15:restartNumberingAfterBreak="0">
    <w:nsid w:val="08EF64E8"/>
    <w:multiLevelType w:val="singleLevel"/>
    <w:tmpl w:val="1D1ADE56"/>
    <w:lvl w:ilvl="0">
      <w:start w:val="1"/>
      <w:numFmt w:val="lowerLetter"/>
      <w:lvlText w:val="%1."/>
      <w:lvlJc w:val="left"/>
      <w:pPr>
        <w:tabs>
          <w:tab w:val="num" w:pos="360"/>
        </w:tabs>
        <w:ind w:left="360" w:hanging="360"/>
      </w:pPr>
    </w:lvl>
  </w:abstractNum>
  <w:abstractNum w:abstractNumId="4" w15:restartNumberingAfterBreak="0">
    <w:nsid w:val="0F251E9B"/>
    <w:multiLevelType w:val="singleLevel"/>
    <w:tmpl w:val="0C090019"/>
    <w:lvl w:ilvl="0">
      <w:start w:val="1"/>
      <w:numFmt w:val="lowerLetter"/>
      <w:lvlText w:val="(%1)"/>
      <w:lvlJc w:val="left"/>
      <w:pPr>
        <w:tabs>
          <w:tab w:val="num" w:pos="360"/>
        </w:tabs>
        <w:ind w:left="360" w:hanging="360"/>
      </w:pPr>
      <w:rPr>
        <w:rFonts w:hint="default"/>
      </w:rPr>
    </w:lvl>
  </w:abstractNum>
  <w:abstractNum w:abstractNumId="5"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11122027"/>
    <w:multiLevelType w:val="singleLevel"/>
    <w:tmpl w:val="56F4322E"/>
    <w:lvl w:ilvl="0">
      <w:start w:val="1"/>
      <w:numFmt w:val="lowerRoman"/>
      <w:lvlText w:val="%1)"/>
      <w:lvlJc w:val="left"/>
      <w:pPr>
        <w:tabs>
          <w:tab w:val="num" w:pos="720"/>
        </w:tabs>
        <w:ind w:left="510" w:hanging="510"/>
      </w:pPr>
    </w:lvl>
  </w:abstractNum>
  <w:abstractNum w:abstractNumId="7" w15:restartNumberingAfterBreak="0">
    <w:nsid w:val="14232F33"/>
    <w:multiLevelType w:val="singleLevel"/>
    <w:tmpl w:val="B0BEF79C"/>
    <w:lvl w:ilvl="0">
      <w:start w:val="1"/>
      <w:numFmt w:val="lowerLetter"/>
      <w:lvlText w:val="(%1)"/>
      <w:lvlJc w:val="left"/>
      <w:pPr>
        <w:tabs>
          <w:tab w:val="num" w:pos="360"/>
        </w:tabs>
        <w:ind w:left="360" w:hanging="360"/>
      </w:pPr>
    </w:lvl>
  </w:abstractNum>
  <w:abstractNum w:abstractNumId="8" w15:restartNumberingAfterBreak="0">
    <w:nsid w:val="1D477133"/>
    <w:multiLevelType w:val="singleLevel"/>
    <w:tmpl w:val="F5B6CD40"/>
    <w:lvl w:ilvl="0">
      <w:start w:val="1"/>
      <w:numFmt w:val="lowerLetter"/>
      <w:lvlText w:val="(%1)"/>
      <w:lvlJc w:val="left"/>
      <w:pPr>
        <w:tabs>
          <w:tab w:val="num" w:pos="375"/>
        </w:tabs>
        <w:ind w:left="375" w:hanging="375"/>
      </w:pPr>
      <w:rPr>
        <w:rFonts w:hint="default"/>
      </w:rPr>
    </w:lvl>
  </w:abstractNum>
  <w:abstractNum w:abstractNumId="9" w15:restartNumberingAfterBreak="0">
    <w:nsid w:val="20A74CFB"/>
    <w:multiLevelType w:val="singleLevel"/>
    <w:tmpl w:val="B0BEF79C"/>
    <w:lvl w:ilvl="0">
      <w:start w:val="1"/>
      <w:numFmt w:val="lowerLetter"/>
      <w:lvlText w:val="(%1)"/>
      <w:lvlJc w:val="left"/>
      <w:pPr>
        <w:tabs>
          <w:tab w:val="num" w:pos="360"/>
        </w:tabs>
        <w:ind w:left="360" w:hanging="360"/>
      </w:pPr>
    </w:lvl>
  </w:abstractNum>
  <w:abstractNum w:abstractNumId="10" w15:restartNumberingAfterBreak="0">
    <w:nsid w:val="21EB5E8C"/>
    <w:multiLevelType w:val="singleLevel"/>
    <w:tmpl w:val="3B28BE8A"/>
    <w:lvl w:ilvl="0">
      <w:start w:val="1"/>
      <w:numFmt w:val="upperLetter"/>
      <w:lvlText w:val="(%1)"/>
      <w:lvlJc w:val="left"/>
      <w:pPr>
        <w:tabs>
          <w:tab w:val="num" w:pos="360"/>
        </w:tabs>
        <w:ind w:left="360" w:hanging="360"/>
      </w:pPr>
    </w:lvl>
  </w:abstractNum>
  <w:abstractNum w:abstractNumId="11" w15:restartNumberingAfterBreak="0">
    <w:nsid w:val="2FAA5250"/>
    <w:multiLevelType w:val="singleLevel"/>
    <w:tmpl w:val="264A3E4A"/>
    <w:lvl w:ilvl="0">
      <w:start w:val="1"/>
      <w:numFmt w:val="decimal"/>
      <w:lvlText w:val="%1"/>
      <w:lvlJc w:val="left"/>
      <w:pPr>
        <w:ind w:left="720" w:hanging="360"/>
      </w:pPr>
      <w:rPr>
        <w:rFonts w:hint="default"/>
      </w:rPr>
    </w:lvl>
  </w:abstractNum>
  <w:abstractNum w:abstractNumId="12" w15:restartNumberingAfterBreak="0">
    <w:nsid w:val="2FF51784"/>
    <w:multiLevelType w:val="singleLevel"/>
    <w:tmpl w:val="C628A226"/>
    <w:lvl w:ilvl="0">
      <w:start w:val="1"/>
      <w:numFmt w:val="lowerRoman"/>
      <w:lvlText w:val="(%1)"/>
      <w:lvlJc w:val="left"/>
      <w:pPr>
        <w:tabs>
          <w:tab w:val="num" w:pos="720"/>
        </w:tabs>
        <w:ind w:left="720" w:hanging="720"/>
      </w:pPr>
      <w:rPr>
        <w:rFonts w:hint="default"/>
      </w:rPr>
    </w:lvl>
  </w:abstractNum>
  <w:abstractNum w:abstractNumId="13" w15:restartNumberingAfterBreak="0">
    <w:nsid w:val="30AB4D28"/>
    <w:multiLevelType w:val="singleLevel"/>
    <w:tmpl w:val="D56AE2AE"/>
    <w:lvl w:ilvl="0">
      <w:start w:val="2"/>
      <w:numFmt w:val="lowerLetter"/>
      <w:lvlText w:val="(%1)"/>
      <w:lvlJc w:val="left"/>
      <w:pPr>
        <w:tabs>
          <w:tab w:val="num" w:pos="360"/>
        </w:tabs>
        <w:ind w:left="360" w:hanging="360"/>
      </w:pPr>
    </w:lvl>
  </w:abstractNum>
  <w:abstractNum w:abstractNumId="14" w15:restartNumberingAfterBreak="0">
    <w:nsid w:val="31623749"/>
    <w:multiLevelType w:val="singleLevel"/>
    <w:tmpl w:val="AB16F434"/>
    <w:lvl w:ilvl="0">
      <w:start w:val="1"/>
      <w:numFmt w:val="lowerLetter"/>
      <w:lvlText w:val="%1)"/>
      <w:lvlJc w:val="left"/>
      <w:pPr>
        <w:tabs>
          <w:tab w:val="num" w:pos="510"/>
        </w:tabs>
        <w:ind w:left="510" w:hanging="510"/>
      </w:pPr>
    </w:lvl>
  </w:abstractNum>
  <w:abstractNum w:abstractNumId="15" w15:restartNumberingAfterBreak="0">
    <w:nsid w:val="37155D33"/>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38427200"/>
    <w:multiLevelType w:val="singleLevel"/>
    <w:tmpl w:val="7DF49052"/>
    <w:lvl w:ilvl="0">
      <w:start w:val="1"/>
      <w:numFmt w:val="decimal"/>
      <w:lvlText w:val="(%1)"/>
      <w:lvlJc w:val="left"/>
      <w:pPr>
        <w:tabs>
          <w:tab w:val="num" w:pos="360"/>
        </w:tabs>
        <w:ind w:left="360" w:hanging="360"/>
      </w:pPr>
      <w:rPr>
        <w:rFonts w:hint="default"/>
      </w:rPr>
    </w:lvl>
  </w:abstractNum>
  <w:abstractNum w:abstractNumId="17" w15:restartNumberingAfterBreak="0">
    <w:nsid w:val="38526765"/>
    <w:multiLevelType w:val="singleLevel"/>
    <w:tmpl w:val="324CD4EC"/>
    <w:lvl w:ilvl="0">
      <w:start w:val="1"/>
      <w:numFmt w:val="lowerLetter"/>
      <w:lvlText w:val="(%1)"/>
      <w:lvlJc w:val="left"/>
      <w:pPr>
        <w:tabs>
          <w:tab w:val="num" w:pos="1140"/>
        </w:tabs>
        <w:ind w:left="1140" w:hanging="360"/>
      </w:pPr>
      <w:rPr>
        <w:rFonts w:hint="default"/>
      </w:rPr>
    </w:lvl>
  </w:abstractNum>
  <w:abstractNum w:abstractNumId="18" w15:restartNumberingAfterBreak="0">
    <w:nsid w:val="39B04B67"/>
    <w:multiLevelType w:val="singleLevel"/>
    <w:tmpl w:val="56F4322E"/>
    <w:lvl w:ilvl="0">
      <w:start w:val="1"/>
      <w:numFmt w:val="lowerRoman"/>
      <w:lvlText w:val="%1)"/>
      <w:lvlJc w:val="left"/>
      <w:pPr>
        <w:tabs>
          <w:tab w:val="num" w:pos="720"/>
        </w:tabs>
        <w:ind w:left="510" w:hanging="510"/>
      </w:pPr>
    </w:lvl>
  </w:abstractNum>
  <w:abstractNum w:abstractNumId="19" w15:restartNumberingAfterBreak="0">
    <w:nsid w:val="3BFF66CD"/>
    <w:multiLevelType w:val="singleLevel"/>
    <w:tmpl w:val="34749AF4"/>
    <w:lvl w:ilvl="0">
      <w:start w:val="1"/>
      <w:numFmt w:val="lowerLetter"/>
      <w:lvlText w:val="(%1)"/>
      <w:lvlJc w:val="left"/>
      <w:pPr>
        <w:tabs>
          <w:tab w:val="num" w:pos="360"/>
        </w:tabs>
        <w:ind w:left="360" w:hanging="360"/>
      </w:pPr>
    </w:lvl>
  </w:abstractNum>
  <w:abstractNum w:abstractNumId="20" w15:restartNumberingAfterBreak="0">
    <w:nsid w:val="3C401BEB"/>
    <w:multiLevelType w:val="singleLevel"/>
    <w:tmpl w:val="BF86E92E"/>
    <w:lvl w:ilvl="0">
      <w:start w:val="1"/>
      <w:numFmt w:val="lowerLetter"/>
      <w:lvlText w:val="(%1)"/>
      <w:lvlJc w:val="left"/>
      <w:pPr>
        <w:tabs>
          <w:tab w:val="num" w:pos="360"/>
        </w:tabs>
        <w:ind w:left="360" w:hanging="360"/>
      </w:pPr>
    </w:lvl>
  </w:abstractNum>
  <w:abstractNum w:abstractNumId="21" w15:restartNumberingAfterBreak="0">
    <w:nsid w:val="3FA15498"/>
    <w:multiLevelType w:val="singleLevel"/>
    <w:tmpl w:val="573E6F70"/>
    <w:lvl w:ilvl="0">
      <w:start w:val="1"/>
      <w:numFmt w:val="lowerRoman"/>
      <w:lvlText w:val="(%1)"/>
      <w:lvlJc w:val="left"/>
      <w:pPr>
        <w:tabs>
          <w:tab w:val="num" w:pos="720"/>
        </w:tabs>
        <w:ind w:left="360" w:hanging="360"/>
      </w:pPr>
    </w:lvl>
  </w:abstractNum>
  <w:abstractNum w:abstractNumId="22" w15:restartNumberingAfterBreak="0">
    <w:nsid w:val="434A3BA9"/>
    <w:multiLevelType w:val="singleLevel"/>
    <w:tmpl w:val="573E6F70"/>
    <w:lvl w:ilvl="0">
      <w:start w:val="1"/>
      <w:numFmt w:val="lowerRoman"/>
      <w:lvlText w:val="(%1)"/>
      <w:lvlJc w:val="left"/>
      <w:pPr>
        <w:tabs>
          <w:tab w:val="num" w:pos="720"/>
        </w:tabs>
        <w:ind w:left="360" w:hanging="360"/>
      </w:pPr>
    </w:lvl>
  </w:abstractNum>
  <w:abstractNum w:abstractNumId="23" w15:restartNumberingAfterBreak="0">
    <w:nsid w:val="45871FD7"/>
    <w:multiLevelType w:val="singleLevel"/>
    <w:tmpl w:val="D56AE2AE"/>
    <w:lvl w:ilvl="0">
      <w:start w:val="2"/>
      <w:numFmt w:val="lowerLetter"/>
      <w:lvlText w:val="(%1)"/>
      <w:lvlJc w:val="left"/>
      <w:pPr>
        <w:tabs>
          <w:tab w:val="num" w:pos="360"/>
        </w:tabs>
        <w:ind w:left="360" w:hanging="360"/>
      </w:pPr>
    </w:lvl>
  </w:abstractNum>
  <w:abstractNum w:abstractNumId="24" w15:restartNumberingAfterBreak="0">
    <w:nsid w:val="4A5E30E5"/>
    <w:multiLevelType w:val="singleLevel"/>
    <w:tmpl w:val="E04AF5EE"/>
    <w:lvl w:ilvl="0">
      <w:start w:val="1"/>
      <w:numFmt w:val="upperLetter"/>
      <w:lvlText w:val="(%1)"/>
      <w:lvlJc w:val="left"/>
      <w:pPr>
        <w:tabs>
          <w:tab w:val="num" w:pos="360"/>
        </w:tabs>
        <w:ind w:left="360" w:hanging="360"/>
      </w:pPr>
    </w:lvl>
  </w:abstractNum>
  <w:abstractNum w:abstractNumId="25" w15:restartNumberingAfterBreak="0">
    <w:nsid w:val="4B5379EB"/>
    <w:multiLevelType w:val="hybridMultilevel"/>
    <w:tmpl w:val="F5846A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0075858"/>
    <w:multiLevelType w:val="singleLevel"/>
    <w:tmpl w:val="B0BEF79C"/>
    <w:lvl w:ilvl="0">
      <w:start w:val="1"/>
      <w:numFmt w:val="lowerLetter"/>
      <w:lvlText w:val="(%1)"/>
      <w:lvlJc w:val="left"/>
      <w:pPr>
        <w:tabs>
          <w:tab w:val="num" w:pos="360"/>
        </w:tabs>
        <w:ind w:left="360" w:hanging="360"/>
      </w:pPr>
    </w:lvl>
  </w:abstractNum>
  <w:abstractNum w:abstractNumId="27" w15:restartNumberingAfterBreak="0">
    <w:nsid w:val="5E942F21"/>
    <w:multiLevelType w:val="hybridMultilevel"/>
    <w:tmpl w:val="4DDA2814"/>
    <w:lvl w:ilvl="0" w:tplc="710C678E">
      <w:start w:val="1"/>
      <w:numFmt w:val="decimal"/>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8" w15:restartNumberingAfterBreak="0">
    <w:nsid w:val="5F0F057E"/>
    <w:multiLevelType w:val="hybridMultilevel"/>
    <w:tmpl w:val="B97E9F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07C4FD7"/>
    <w:multiLevelType w:val="singleLevel"/>
    <w:tmpl w:val="0C090019"/>
    <w:lvl w:ilvl="0">
      <w:start w:val="1"/>
      <w:numFmt w:val="lowerLetter"/>
      <w:lvlText w:val="(%1)"/>
      <w:lvlJc w:val="left"/>
      <w:pPr>
        <w:tabs>
          <w:tab w:val="num" w:pos="360"/>
        </w:tabs>
        <w:ind w:left="360" w:hanging="360"/>
      </w:pPr>
      <w:rPr>
        <w:rFonts w:hint="default"/>
      </w:rPr>
    </w:lvl>
  </w:abstractNum>
  <w:abstractNum w:abstractNumId="30" w15:restartNumberingAfterBreak="0">
    <w:nsid w:val="61956E5C"/>
    <w:multiLevelType w:val="hybridMultilevel"/>
    <w:tmpl w:val="6CC8AA9E"/>
    <w:lvl w:ilvl="0" w:tplc="48BE2E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2918F0"/>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7C11EF7"/>
    <w:multiLevelType w:val="singleLevel"/>
    <w:tmpl w:val="B0BEF79C"/>
    <w:lvl w:ilvl="0">
      <w:start w:val="1"/>
      <w:numFmt w:val="lowerLetter"/>
      <w:lvlText w:val="(%1)"/>
      <w:lvlJc w:val="left"/>
      <w:pPr>
        <w:tabs>
          <w:tab w:val="num" w:pos="360"/>
        </w:tabs>
        <w:ind w:left="360" w:hanging="360"/>
      </w:pPr>
    </w:lvl>
  </w:abstractNum>
  <w:abstractNum w:abstractNumId="33" w15:restartNumberingAfterBreak="0">
    <w:nsid w:val="69815953"/>
    <w:multiLevelType w:val="singleLevel"/>
    <w:tmpl w:val="0C09000F"/>
    <w:lvl w:ilvl="0">
      <w:start w:val="1"/>
      <w:numFmt w:val="decimal"/>
      <w:lvlText w:val="%1."/>
      <w:lvlJc w:val="left"/>
      <w:pPr>
        <w:tabs>
          <w:tab w:val="num" w:pos="360"/>
        </w:tabs>
        <w:ind w:left="360" w:hanging="360"/>
      </w:pPr>
    </w:lvl>
  </w:abstractNum>
  <w:abstractNum w:abstractNumId="34" w15:restartNumberingAfterBreak="0">
    <w:nsid w:val="6BAC7A0E"/>
    <w:multiLevelType w:val="singleLevel"/>
    <w:tmpl w:val="56F4322E"/>
    <w:lvl w:ilvl="0">
      <w:start w:val="1"/>
      <w:numFmt w:val="lowerRoman"/>
      <w:lvlText w:val="%1)"/>
      <w:lvlJc w:val="left"/>
      <w:pPr>
        <w:tabs>
          <w:tab w:val="num" w:pos="720"/>
        </w:tabs>
        <w:ind w:left="510" w:hanging="510"/>
      </w:pPr>
    </w:lvl>
  </w:abstractNum>
  <w:abstractNum w:abstractNumId="35" w15:restartNumberingAfterBreak="0">
    <w:nsid w:val="6C1C3050"/>
    <w:multiLevelType w:val="singleLevel"/>
    <w:tmpl w:val="E04AF5EE"/>
    <w:lvl w:ilvl="0">
      <w:start w:val="1"/>
      <w:numFmt w:val="upperLetter"/>
      <w:lvlText w:val="(%1)"/>
      <w:lvlJc w:val="left"/>
      <w:pPr>
        <w:tabs>
          <w:tab w:val="num" w:pos="360"/>
        </w:tabs>
        <w:ind w:left="360" w:hanging="360"/>
      </w:pPr>
    </w:lvl>
  </w:abstractNum>
  <w:abstractNum w:abstractNumId="36" w15:restartNumberingAfterBreak="0">
    <w:nsid w:val="70A11F22"/>
    <w:multiLevelType w:val="singleLevel"/>
    <w:tmpl w:val="B0BEF79C"/>
    <w:lvl w:ilvl="0">
      <w:start w:val="1"/>
      <w:numFmt w:val="lowerLetter"/>
      <w:lvlText w:val="(%1)"/>
      <w:lvlJc w:val="left"/>
      <w:pPr>
        <w:tabs>
          <w:tab w:val="num" w:pos="360"/>
        </w:tabs>
        <w:ind w:left="360" w:hanging="360"/>
      </w:pPr>
    </w:lvl>
  </w:abstractNum>
  <w:abstractNum w:abstractNumId="37" w15:restartNumberingAfterBreak="0">
    <w:nsid w:val="70F11408"/>
    <w:multiLevelType w:val="singleLevel"/>
    <w:tmpl w:val="8EEC6916"/>
    <w:lvl w:ilvl="0">
      <w:start w:val="1"/>
      <w:numFmt w:val="lowerLetter"/>
      <w:lvlText w:val="(%1)"/>
      <w:lvlJc w:val="left"/>
      <w:pPr>
        <w:tabs>
          <w:tab w:val="num" w:pos="360"/>
        </w:tabs>
        <w:ind w:left="360" w:hanging="360"/>
      </w:pPr>
    </w:lvl>
  </w:abstractNum>
  <w:abstractNum w:abstractNumId="38" w15:restartNumberingAfterBreak="0">
    <w:nsid w:val="795A4CF1"/>
    <w:multiLevelType w:val="singleLevel"/>
    <w:tmpl w:val="56F4322E"/>
    <w:lvl w:ilvl="0">
      <w:start w:val="1"/>
      <w:numFmt w:val="lowerRoman"/>
      <w:lvlText w:val="%1)"/>
      <w:lvlJc w:val="left"/>
      <w:pPr>
        <w:tabs>
          <w:tab w:val="num" w:pos="720"/>
        </w:tabs>
        <w:ind w:left="510" w:hanging="510"/>
      </w:pPr>
    </w:lvl>
  </w:abstractNum>
  <w:abstractNum w:abstractNumId="39" w15:restartNumberingAfterBreak="0">
    <w:nsid w:val="7A2C2CC0"/>
    <w:multiLevelType w:val="singleLevel"/>
    <w:tmpl w:val="BF86E92E"/>
    <w:lvl w:ilvl="0">
      <w:start w:val="1"/>
      <w:numFmt w:val="lowerLetter"/>
      <w:lvlText w:val="(%1)"/>
      <w:lvlJc w:val="left"/>
      <w:pPr>
        <w:tabs>
          <w:tab w:val="num" w:pos="360"/>
        </w:tabs>
        <w:ind w:left="360" w:hanging="360"/>
      </w:pPr>
    </w:lvl>
  </w:abstractNum>
  <w:num w:numId="1" w16cid:durableId="715593195">
    <w:abstractNumId w:val="14"/>
  </w:num>
  <w:num w:numId="2" w16cid:durableId="726799023">
    <w:abstractNumId w:val="21"/>
  </w:num>
  <w:num w:numId="3" w16cid:durableId="1464813216">
    <w:abstractNumId w:val="23"/>
  </w:num>
  <w:num w:numId="4" w16cid:durableId="577325629">
    <w:abstractNumId w:val="13"/>
  </w:num>
  <w:num w:numId="5" w16cid:durableId="1081565671">
    <w:abstractNumId w:val="37"/>
  </w:num>
  <w:num w:numId="6" w16cid:durableId="1971544812">
    <w:abstractNumId w:val="22"/>
  </w:num>
  <w:num w:numId="7" w16cid:durableId="428817259">
    <w:abstractNumId w:val="3"/>
  </w:num>
  <w:num w:numId="8" w16cid:durableId="1056389544">
    <w:abstractNumId w:val="0"/>
  </w:num>
  <w:num w:numId="9" w16cid:durableId="2072731383">
    <w:abstractNumId w:val="39"/>
  </w:num>
  <w:num w:numId="10" w16cid:durableId="237791095">
    <w:abstractNumId w:val="34"/>
  </w:num>
  <w:num w:numId="11" w16cid:durableId="1742946938">
    <w:abstractNumId w:val="20"/>
  </w:num>
  <w:num w:numId="12" w16cid:durableId="1969241229">
    <w:abstractNumId w:val="24"/>
  </w:num>
  <w:num w:numId="13" w16cid:durableId="1160729407">
    <w:abstractNumId w:val="18"/>
  </w:num>
  <w:num w:numId="14" w16cid:durableId="1442257384">
    <w:abstractNumId w:val="35"/>
  </w:num>
  <w:num w:numId="15" w16cid:durableId="1603144712">
    <w:abstractNumId w:val="19"/>
  </w:num>
  <w:num w:numId="16" w16cid:durableId="739671878">
    <w:abstractNumId w:val="6"/>
  </w:num>
  <w:num w:numId="17" w16cid:durableId="1963921967">
    <w:abstractNumId w:val="10"/>
  </w:num>
  <w:num w:numId="18" w16cid:durableId="1104575195">
    <w:abstractNumId w:val="26"/>
  </w:num>
  <w:num w:numId="19" w16cid:durableId="300159312">
    <w:abstractNumId w:val="38"/>
  </w:num>
  <w:num w:numId="20" w16cid:durableId="2101826910">
    <w:abstractNumId w:val="36"/>
  </w:num>
  <w:num w:numId="21" w16cid:durableId="1133399785">
    <w:abstractNumId w:val="7"/>
  </w:num>
  <w:num w:numId="22" w16cid:durableId="1195460742">
    <w:abstractNumId w:val="32"/>
  </w:num>
  <w:num w:numId="23" w16cid:durableId="1760442198">
    <w:abstractNumId w:val="9"/>
  </w:num>
  <w:num w:numId="24" w16cid:durableId="1210150925">
    <w:abstractNumId w:val="2"/>
  </w:num>
  <w:num w:numId="25" w16cid:durableId="354236932">
    <w:abstractNumId w:val="11"/>
  </w:num>
  <w:num w:numId="26" w16cid:durableId="2001273213">
    <w:abstractNumId w:val="33"/>
  </w:num>
  <w:num w:numId="27" w16cid:durableId="1220673836">
    <w:abstractNumId w:val="5"/>
  </w:num>
  <w:num w:numId="28" w16cid:durableId="614601597">
    <w:abstractNumId w:val="4"/>
  </w:num>
  <w:num w:numId="29" w16cid:durableId="859127454">
    <w:abstractNumId w:val="29"/>
  </w:num>
  <w:num w:numId="30" w16cid:durableId="1420834747">
    <w:abstractNumId w:val="12"/>
  </w:num>
  <w:num w:numId="31" w16cid:durableId="1327326021">
    <w:abstractNumId w:val="8"/>
  </w:num>
  <w:num w:numId="32" w16cid:durableId="1035081827">
    <w:abstractNumId w:val="31"/>
  </w:num>
  <w:num w:numId="33" w16cid:durableId="451679402">
    <w:abstractNumId w:val="16"/>
  </w:num>
  <w:num w:numId="34" w16cid:durableId="166025484">
    <w:abstractNumId w:val="15"/>
  </w:num>
  <w:num w:numId="35" w16cid:durableId="141433266">
    <w:abstractNumId w:val="17"/>
  </w:num>
  <w:num w:numId="36" w16cid:durableId="1963879955">
    <w:abstractNumId w:val="1"/>
  </w:num>
  <w:num w:numId="37" w16cid:durableId="824249131">
    <w:abstractNumId w:val="25"/>
  </w:num>
  <w:num w:numId="38" w16cid:durableId="349914857">
    <w:abstractNumId w:val="28"/>
  </w:num>
  <w:num w:numId="39" w16cid:durableId="229117116">
    <w:abstractNumId w:val="27"/>
  </w:num>
  <w:num w:numId="40" w16cid:durableId="610277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2C"/>
    <w:rsid w:val="000132C1"/>
    <w:rsid w:val="00016EE1"/>
    <w:rsid w:val="00016FD3"/>
    <w:rsid w:val="000242DE"/>
    <w:rsid w:val="00025681"/>
    <w:rsid w:val="00033144"/>
    <w:rsid w:val="000333B6"/>
    <w:rsid w:val="00036BF8"/>
    <w:rsid w:val="000576E0"/>
    <w:rsid w:val="00062868"/>
    <w:rsid w:val="00065EBC"/>
    <w:rsid w:val="00074DAE"/>
    <w:rsid w:val="00080211"/>
    <w:rsid w:val="00083E52"/>
    <w:rsid w:val="0008487B"/>
    <w:rsid w:val="00092EAA"/>
    <w:rsid w:val="00095EA3"/>
    <w:rsid w:val="000A6D02"/>
    <w:rsid w:val="000B4E41"/>
    <w:rsid w:val="000C0349"/>
    <w:rsid w:val="000C4663"/>
    <w:rsid w:val="000C6FF4"/>
    <w:rsid w:val="000C7F1D"/>
    <w:rsid w:val="000F7C31"/>
    <w:rsid w:val="00100C0D"/>
    <w:rsid w:val="001114F8"/>
    <w:rsid w:val="001130B1"/>
    <w:rsid w:val="001221EA"/>
    <w:rsid w:val="00125029"/>
    <w:rsid w:val="00135580"/>
    <w:rsid w:val="0014529C"/>
    <w:rsid w:val="00153475"/>
    <w:rsid w:val="00161FB5"/>
    <w:rsid w:val="00167337"/>
    <w:rsid w:val="00175F37"/>
    <w:rsid w:val="00181682"/>
    <w:rsid w:val="00181BAC"/>
    <w:rsid w:val="00196A54"/>
    <w:rsid w:val="00196F06"/>
    <w:rsid w:val="00196F70"/>
    <w:rsid w:val="001A00CE"/>
    <w:rsid w:val="001A2621"/>
    <w:rsid w:val="001A7823"/>
    <w:rsid w:val="001B0850"/>
    <w:rsid w:val="001C27D2"/>
    <w:rsid w:val="001C5365"/>
    <w:rsid w:val="001C7B11"/>
    <w:rsid w:val="001D0DC5"/>
    <w:rsid w:val="001D39CC"/>
    <w:rsid w:val="001E3D81"/>
    <w:rsid w:val="001F0DDD"/>
    <w:rsid w:val="001F2C3F"/>
    <w:rsid w:val="001F35C1"/>
    <w:rsid w:val="00204752"/>
    <w:rsid w:val="00213940"/>
    <w:rsid w:val="002204B3"/>
    <w:rsid w:val="00221EB3"/>
    <w:rsid w:val="00223AE1"/>
    <w:rsid w:val="00233130"/>
    <w:rsid w:val="00236156"/>
    <w:rsid w:val="00237826"/>
    <w:rsid w:val="002426AC"/>
    <w:rsid w:val="0024355D"/>
    <w:rsid w:val="0024390C"/>
    <w:rsid w:val="00244EAA"/>
    <w:rsid w:val="0024585F"/>
    <w:rsid w:val="00255256"/>
    <w:rsid w:val="0025652D"/>
    <w:rsid w:val="00256A67"/>
    <w:rsid w:val="00261A1B"/>
    <w:rsid w:val="002637C6"/>
    <w:rsid w:val="00265357"/>
    <w:rsid w:val="002661C1"/>
    <w:rsid w:val="0027093C"/>
    <w:rsid w:val="0028207E"/>
    <w:rsid w:val="0029070A"/>
    <w:rsid w:val="00290C6D"/>
    <w:rsid w:val="00290CFC"/>
    <w:rsid w:val="00293206"/>
    <w:rsid w:val="002A521C"/>
    <w:rsid w:val="002A5839"/>
    <w:rsid w:val="002A6D6E"/>
    <w:rsid w:val="002A721E"/>
    <w:rsid w:val="002B70D4"/>
    <w:rsid w:val="002C331C"/>
    <w:rsid w:val="002C5CA0"/>
    <w:rsid w:val="002C64DF"/>
    <w:rsid w:val="002E19A4"/>
    <w:rsid w:val="002E7441"/>
    <w:rsid w:val="003033B0"/>
    <w:rsid w:val="00312977"/>
    <w:rsid w:val="0031299D"/>
    <w:rsid w:val="00331418"/>
    <w:rsid w:val="00331DA7"/>
    <w:rsid w:val="0033550D"/>
    <w:rsid w:val="003543B3"/>
    <w:rsid w:val="00367B75"/>
    <w:rsid w:val="00374DF2"/>
    <w:rsid w:val="003778AA"/>
    <w:rsid w:val="003868FC"/>
    <w:rsid w:val="00390CB5"/>
    <w:rsid w:val="00392EBA"/>
    <w:rsid w:val="00395A96"/>
    <w:rsid w:val="00396BEA"/>
    <w:rsid w:val="003A3BB1"/>
    <w:rsid w:val="003A3D41"/>
    <w:rsid w:val="003B2854"/>
    <w:rsid w:val="003B3385"/>
    <w:rsid w:val="003B5C8E"/>
    <w:rsid w:val="003C3553"/>
    <w:rsid w:val="003C74A1"/>
    <w:rsid w:val="003D1247"/>
    <w:rsid w:val="003D17EB"/>
    <w:rsid w:val="003D4789"/>
    <w:rsid w:val="003E13A6"/>
    <w:rsid w:val="003E7594"/>
    <w:rsid w:val="003F2C51"/>
    <w:rsid w:val="003F3C77"/>
    <w:rsid w:val="003F4193"/>
    <w:rsid w:val="00400B1B"/>
    <w:rsid w:val="00413B8E"/>
    <w:rsid w:val="0041643B"/>
    <w:rsid w:val="00424B32"/>
    <w:rsid w:val="00454E84"/>
    <w:rsid w:val="00456CA8"/>
    <w:rsid w:val="00465681"/>
    <w:rsid w:val="004701CA"/>
    <w:rsid w:val="00480546"/>
    <w:rsid w:val="00493FB7"/>
    <w:rsid w:val="004A0772"/>
    <w:rsid w:val="004A1EDB"/>
    <w:rsid w:val="004A48C6"/>
    <w:rsid w:val="004B07DE"/>
    <w:rsid w:val="004B64AB"/>
    <w:rsid w:val="004B7016"/>
    <w:rsid w:val="004B7CEC"/>
    <w:rsid w:val="004C32F0"/>
    <w:rsid w:val="004D5777"/>
    <w:rsid w:val="004D634B"/>
    <w:rsid w:val="004E188F"/>
    <w:rsid w:val="004E25B2"/>
    <w:rsid w:val="004E3658"/>
    <w:rsid w:val="004F0C6E"/>
    <w:rsid w:val="005012AF"/>
    <w:rsid w:val="005027AF"/>
    <w:rsid w:val="00502982"/>
    <w:rsid w:val="005048E7"/>
    <w:rsid w:val="0050583E"/>
    <w:rsid w:val="0051297B"/>
    <w:rsid w:val="005146D7"/>
    <w:rsid w:val="00514B70"/>
    <w:rsid w:val="005151ED"/>
    <w:rsid w:val="00515DB7"/>
    <w:rsid w:val="0051688F"/>
    <w:rsid w:val="00524366"/>
    <w:rsid w:val="00526070"/>
    <w:rsid w:val="00526EC3"/>
    <w:rsid w:val="0053294E"/>
    <w:rsid w:val="00533504"/>
    <w:rsid w:val="0054346F"/>
    <w:rsid w:val="00546469"/>
    <w:rsid w:val="00546651"/>
    <w:rsid w:val="00546F8D"/>
    <w:rsid w:val="00554B6E"/>
    <w:rsid w:val="00566854"/>
    <w:rsid w:val="00567B3C"/>
    <w:rsid w:val="0057165F"/>
    <w:rsid w:val="00580E87"/>
    <w:rsid w:val="005835F1"/>
    <w:rsid w:val="00584AD7"/>
    <w:rsid w:val="005A371B"/>
    <w:rsid w:val="005A4705"/>
    <w:rsid w:val="005A624B"/>
    <w:rsid w:val="005B054D"/>
    <w:rsid w:val="005B3668"/>
    <w:rsid w:val="005B4733"/>
    <w:rsid w:val="005B4E2A"/>
    <w:rsid w:val="005D426D"/>
    <w:rsid w:val="005D60CB"/>
    <w:rsid w:val="005D67AE"/>
    <w:rsid w:val="005D7BAC"/>
    <w:rsid w:val="005E067C"/>
    <w:rsid w:val="005E2C0A"/>
    <w:rsid w:val="005F3989"/>
    <w:rsid w:val="006013C5"/>
    <w:rsid w:val="00601FFD"/>
    <w:rsid w:val="00602CC0"/>
    <w:rsid w:val="00613FAA"/>
    <w:rsid w:val="006256A8"/>
    <w:rsid w:val="006277B2"/>
    <w:rsid w:val="00645C22"/>
    <w:rsid w:val="00647F83"/>
    <w:rsid w:val="006606C0"/>
    <w:rsid w:val="00661F09"/>
    <w:rsid w:val="006700E1"/>
    <w:rsid w:val="0067039B"/>
    <w:rsid w:val="0067321E"/>
    <w:rsid w:val="00677A8D"/>
    <w:rsid w:val="00681CF9"/>
    <w:rsid w:val="00685664"/>
    <w:rsid w:val="00693B03"/>
    <w:rsid w:val="006A340B"/>
    <w:rsid w:val="006A6E72"/>
    <w:rsid w:val="006B0E16"/>
    <w:rsid w:val="006B1D7B"/>
    <w:rsid w:val="006B6E74"/>
    <w:rsid w:val="006C25CB"/>
    <w:rsid w:val="006C4C5B"/>
    <w:rsid w:val="006C75F0"/>
    <w:rsid w:val="006D0599"/>
    <w:rsid w:val="006D47EF"/>
    <w:rsid w:val="006E3182"/>
    <w:rsid w:val="006E6D97"/>
    <w:rsid w:val="006F7283"/>
    <w:rsid w:val="00705579"/>
    <w:rsid w:val="00710084"/>
    <w:rsid w:val="00710D32"/>
    <w:rsid w:val="0071121A"/>
    <w:rsid w:val="00726BF6"/>
    <w:rsid w:val="00740F2C"/>
    <w:rsid w:val="007438FD"/>
    <w:rsid w:val="007474E9"/>
    <w:rsid w:val="00754778"/>
    <w:rsid w:val="00760E0F"/>
    <w:rsid w:val="00762031"/>
    <w:rsid w:val="0076385F"/>
    <w:rsid w:val="007670EE"/>
    <w:rsid w:val="00770CC5"/>
    <w:rsid w:val="00770E0B"/>
    <w:rsid w:val="0078092A"/>
    <w:rsid w:val="0079176A"/>
    <w:rsid w:val="007933F3"/>
    <w:rsid w:val="007A0D54"/>
    <w:rsid w:val="007A4B35"/>
    <w:rsid w:val="007B431A"/>
    <w:rsid w:val="007B4D55"/>
    <w:rsid w:val="007D33F2"/>
    <w:rsid w:val="007D39EF"/>
    <w:rsid w:val="007D4D67"/>
    <w:rsid w:val="007D7722"/>
    <w:rsid w:val="007E3BB8"/>
    <w:rsid w:val="007E639C"/>
    <w:rsid w:val="007F068F"/>
    <w:rsid w:val="007F18D3"/>
    <w:rsid w:val="007F1978"/>
    <w:rsid w:val="007F4053"/>
    <w:rsid w:val="007F7EB4"/>
    <w:rsid w:val="008058AE"/>
    <w:rsid w:val="00817251"/>
    <w:rsid w:val="00830213"/>
    <w:rsid w:val="00831FAA"/>
    <w:rsid w:val="00833290"/>
    <w:rsid w:val="00842CBD"/>
    <w:rsid w:val="0085115F"/>
    <w:rsid w:val="008546E8"/>
    <w:rsid w:val="00856F21"/>
    <w:rsid w:val="0086718E"/>
    <w:rsid w:val="008724E6"/>
    <w:rsid w:val="00872D5F"/>
    <w:rsid w:val="0088155E"/>
    <w:rsid w:val="008A1480"/>
    <w:rsid w:val="008B2399"/>
    <w:rsid w:val="008B5A57"/>
    <w:rsid w:val="008B708E"/>
    <w:rsid w:val="008C2244"/>
    <w:rsid w:val="008C7594"/>
    <w:rsid w:val="008D14AB"/>
    <w:rsid w:val="008D1E10"/>
    <w:rsid w:val="008D7F3D"/>
    <w:rsid w:val="008E3390"/>
    <w:rsid w:val="008F478E"/>
    <w:rsid w:val="008F6123"/>
    <w:rsid w:val="00901592"/>
    <w:rsid w:val="00903236"/>
    <w:rsid w:val="00905DCD"/>
    <w:rsid w:val="009069C1"/>
    <w:rsid w:val="0091369F"/>
    <w:rsid w:val="009154AE"/>
    <w:rsid w:val="009245B6"/>
    <w:rsid w:val="00925D88"/>
    <w:rsid w:val="00934E0E"/>
    <w:rsid w:val="00945159"/>
    <w:rsid w:val="00957836"/>
    <w:rsid w:val="009579D1"/>
    <w:rsid w:val="00970B77"/>
    <w:rsid w:val="00972AC3"/>
    <w:rsid w:val="00973AD5"/>
    <w:rsid w:val="00976958"/>
    <w:rsid w:val="00983DEC"/>
    <w:rsid w:val="00991B67"/>
    <w:rsid w:val="00994D27"/>
    <w:rsid w:val="0099764A"/>
    <w:rsid w:val="009C6785"/>
    <w:rsid w:val="009D1BF4"/>
    <w:rsid w:val="009D282A"/>
    <w:rsid w:val="009D5E24"/>
    <w:rsid w:val="009D7300"/>
    <w:rsid w:val="009E035C"/>
    <w:rsid w:val="009E3FE4"/>
    <w:rsid w:val="009E406C"/>
    <w:rsid w:val="009E7DB4"/>
    <w:rsid w:val="009F1C4A"/>
    <w:rsid w:val="00A04576"/>
    <w:rsid w:val="00A04BBC"/>
    <w:rsid w:val="00A1235A"/>
    <w:rsid w:val="00A1245A"/>
    <w:rsid w:val="00A13259"/>
    <w:rsid w:val="00A1614A"/>
    <w:rsid w:val="00A1668F"/>
    <w:rsid w:val="00A16CEA"/>
    <w:rsid w:val="00A1711F"/>
    <w:rsid w:val="00A2068A"/>
    <w:rsid w:val="00A364F1"/>
    <w:rsid w:val="00A36D73"/>
    <w:rsid w:val="00A416B9"/>
    <w:rsid w:val="00A56C14"/>
    <w:rsid w:val="00A56C7C"/>
    <w:rsid w:val="00A631C4"/>
    <w:rsid w:val="00A639CC"/>
    <w:rsid w:val="00A65642"/>
    <w:rsid w:val="00A657F5"/>
    <w:rsid w:val="00A66545"/>
    <w:rsid w:val="00A71F95"/>
    <w:rsid w:val="00A72057"/>
    <w:rsid w:val="00A72559"/>
    <w:rsid w:val="00A743F4"/>
    <w:rsid w:val="00A75C3F"/>
    <w:rsid w:val="00A77D00"/>
    <w:rsid w:val="00A8774E"/>
    <w:rsid w:val="00A91454"/>
    <w:rsid w:val="00A93689"/>
    <w:rsid w:val="00A94C1A"/>
    <w:rsid w:val="00A96712"/>
    <w:rsid w:val="00A97CDE"/>
    <w:rsid w:val="00AA0571"/>
    <w:rsid w:val="00AA7924"/>
    <w:rsid w:val="00AB2474"/>
    <w:rsid w:val="00AB6F9B"/>
    <w:rsid w:val="00AC4DE8"/>
    <w:rsid w:val="00AE3DC6"/>
    <w:rsid w:val="00AE59C5"/>
    <w:rsid w:val="00AF1DBE"/>
    <w:rsid w:val="00AF7594"/>
    <w:rsid w:val="00AF7E13"/>
    <w:rsid w:val="00B03816"/>
    <w:rsid w:val="00B104EA"/>
    <w:rsid w:val="00B10D35"/>
    <w:rsid w:val="00B1100A"/>
    <w:rsid w:val="00B13928"/>
    <w:rsid w:val="00B174E4"/>
    <w:rsid w:val="00B21001"/>
    <w:rsid w:val="00B25281"/>
    <w:rsid w:val="00B33D70"/>
    <w:rsid w:val="00B4660F"/>
    <w:rsid w:val="00B5287D"/>
    <w:rsid w:val="00B55C8F"/>
    <w:rsid w:val="00B562E5"/>
    <w:rsid w:val="00B63E99"/>
    <w:rsid w:val="00B70A1F"/>
    <w:rsid w:val="00B736A8"/>
    <w:rsid w:val="00B7505E"/>
    <w:rsid w:val="00B815C4"/>
    <w:rsid w:val="00B82ED7"/>
    <w:rsid w:val="00B86752"/>
    <w:rsid w:val="00BA0155"/>
    <w:rsid w:val="00BA7365"/>
    <w:rsid w:val="00BB31BE"/>
    <w:rsid w:val="00BB55A1"/>
    <w:rsid w:val="00BB6F03"/>
    <w:rsid w:val="00BC20B1"/>
    <w:rsid w:val="00BE0F28"/>
    <w:rsid w:val="00BE2021"/>
    <w:rsid w:val="00BE42A7"/>
    <w:rsid w:val="00BF1504"/>
    <w:rsid w:val="00BF4242"/>
    <w:rsid w:val="00C21A7A"/>
    <w:rsid w:val="00C24CFF"/>
    <w:rsid w:val="00C24F53"/>
    <w:rsid w:val="00C331A0"/>
    <w:rsid w:val="00C3554B"/>
    <w:rsid w:val="00C36995"/>
    <w:rsid w:val="00C4082C"/>
    <w:rsid w:val="00C415C7"/>
    <w:rsid w:val="00C50D5C"/>
    <w:rsid w:val="00C51B47"/>
    <w:rsid w:val="00C559DD"/>
    <w:rsid w:val="00C63EB1"/>
    <w:rsid w:val="00C66364"/>
    <w:rsid w:val="00C8639A"/>
    <w:rsid w:val="00C976C6"/>
    <w:rsid w:val="00CB1572"/>
    <w:rsid w:val="00CB6E98"/>
    <w:rsid w:val="00CC3F65"/>
    <w:rsid w:val="00CD0B57"/>
    <w:rsid w:val="00CD1A8B"/>
    <w:rsid w:val="00CD25C0"/>
    <w:rsid w:val="00CD2776"/>
    <w:rsid w:val="00CD345F"/>
    <w:rsid w:val="00CF3710"/>
    <w:rsid w:val="00D04CB3"/>
    <w:rsid w:val="00D14B90"/>
    <w:rsid w:val="00D153A8"/>
    <w:rsid w:val="00D1573B"/>
    <w:rsid w:val="00D24F03"/>
    <w:rsid w:val="00D25951"/>
    <w:rsid w:val="00D45CC2"/>
    <w:rsid w:val="00D46220"/>
    <w:rsid w:val="00D61F91"/>
    <w:rsid w:val="00D6252C"/>
    <w:rsid w:val="00D67025"/>
    <w:rsid w:val="00D67827"/>
    <w:rsid w:val="00D97087"/>
    <w:rsid w:val="00DB060C"/>
    <w:rsid w:val="00DC05E8"/>
    <w:rsid w:val="00DC17C9"/>
    <w:rsid w:val="00DC3525"/>
    <w:rsid w:val="00DD1098"/>
    <w:rsid w:val="00DD5C59"/>
    <w:rsid w:val="00DF273D"/>
    <w:rsid w:val="00DF6F25"/>
    <w:rsid w:val="00DF7ECD"/>
    <w:rsid w:val="00E004EC"/>
    <w:rsid w:val="00E02769"/>
    <w:rsid w:val="00E074C0"/>
    <w:rsid w:val="00E2250D"/>
    <w:rsid w:val="00E233F2"/>
    <w:rsid w:val="00E23517"/>
    <w:rsid w:val="00E23F6C"/>
    <w:rsid w:val="00E247E5"/>
    <w:rsid w:val="00E324E4"/>
    <w:rsid w:val="00E347E7"/>
    <w:rsid w:val="00E35145"/>
    <w:rsid w:val="00E354C4"/>
    <w:rsid w:val="00E35A39"/>
    <w:rsid w:val="00E45E0A"/>
    <w:rsid w:val="00E5383A"/>
    <w:rsid w:val="00E5410D"/>
    <w:rsid w:val="00E55858"/>
    <w:rsid w:val="00E62396"/>
    <w:rsid w:val="00E630F7"/>
    <w:rsid w:val="00E653B3"/>
    <w:rsid w:val="00E7372F"/>
    <w:rsid w:val="00E73AFE"/>
    <w:rsid w:val="00E74DBA"/>
    <w:rsid w:val="00E75BA2"/>
    <w:rsid w:val="00E857AD"/>
    <w:rsid w:val="00E85A0B"/>
    <w:rsid w:val="00E907CA"/>
    <w:rsid w:val="00E93BA9"/>
    <w:rsid w:val="00E93E47"/>
    <w:rsid w:val="00E95ABF"/>
    <w:rsid w:val="00EA281E"/>
    <w:rsid w:val="00EA37CC"/>
    <w:rsid w:val="00EA6C48"/>
    <w:rsid w:val="00EB5E6C"/>
    <w:rsid w:val="00ED35E6"/>
    <w:rsid w:val="00ED4A78"/>
    <w:rsid w:val="00EE109C"/>
    <w:rsid w:val="00EE4C43"/>
    <w:rsid w:val="00EE5149"/>
    <w:rsid w:val="00EF325E"/>
    <w:rsid w:val="00EF4E7C"/>
    <w:rsid w:val="00EF5075"/>
    <w:rsid w:val="00EF7A9D"/>
    <w:rsid w:val="00F02235"/>
    <w:rsid w:val="00F02DA2"/>
    <w:rsid w:val="00F04D8A"/>
    <w:rsid w:val="00F1178A"/>
    <w:rsid w:val="00F13152"/>
    <w:rsid w:val="00F13328"/>
    <w:rsid w:val="00F136A2"/>
    <w:rsid w:val="00F238E6"/>
    <w:rsid w:val="00F30620"/>
    <w:rsid w:val="00F51A5D"/>
    <w:rsid w:val="00F524E8"/>
    <w:rsid w:val="00F5606C"/>
    <w:rsid w:val="00F64713"/>
    <w:rsid w:val="00F65FDC"/>
    <w:rsid w:val="00F67DD7"/>
    <w:rsid w:val="00F71137"/>
    <w:rsid w:val="00F723BA"/>
    <w:rsid w:val="00F735E0"/>
    <w:rsid w:val="00F8156E"/>
    <w:rsid w:val="00FA1133"/>
    <w:rsid w:val="00FB3628"/>
    <w:rsid w:val="00FB6094"/>
    <w:rsid w:val="00FC22C7"/>
    <w:rsid w:val="00FC28C2"/>
    <w:rsid w:val="00FD04AC"/>
    <w:rsid w:val="00FD2037"/>
    <w:rsid w:val="00FD5B85"/>
    <w:rsid w:val="00FD659F"/>
    <w:rsid w:val="00FE5D2D"/>
    <w:rsid w:val="00FE6E2E"/>
    <w:rsid w:val="00FF0AB6"/>
    <w:rsid w:val="00FF2A87"/>
    <w:rsid w:val="00FF4A17"/>
    <w:rsid w:val="00FF68FB"/>
    <w:rsid w:val="00FF796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BD83C"/>
  <w15:chartTrackingRefBased/>
  <w15:docId w15:val="{947FD011-354D-4D97-8A42-364D574B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color w:val="0000FF"/>
    </w:rPr>
  </w:style>
  <w:style w:type="paragraph" w:styleId="Heading2">
    <w:name w:val="heading 2"/>
    <w:basedOn w:val="Normal"/>
    <w:next w:val="Normal"/>
    <w:qFormat/>
    <w:pPr>
      <w:keepNext/>
      <w:spacing w:before="120" w:after="120"/>
      <w:outlineLvl w:val="1"/>
    </w:pPr>
    <w:rPr>
      <w:b/>
      <w:bCs/>
      <w:sz w:val="22"/>
      <w:szCs w:val="22"/>
    </w:rPr>
  </w:style>
  <w:style w:type="paragraph" w:styleId="Heading3">
    <w:name w:val="heading 3"/>
    <w:basedOn w:val="Normal"/>
    <w:next w:val="Normal"/>
    <w:qFormat/>
    <w:pPr>
      <w:keepNext/>
      <w:jc w:val="center"/>
      <w:outlineLvl w:val="2"/>
    </w:pPr>
    <w:rPr>
      <w:b/>
      <w:bCs/>
      <w:sz w:val="22"/>
      <w:szCs w:val="22"/>
    </w:rPr>
  </w:style>
  <w:style w:type="paragraph" w:styleId="Heading4">
    <w:name w:val="heading 4"/>
    <w:basedOn w:val="Normal"/>
    <w:next w:val="Normal"/>
    <w:qFormat/>
    <w:pPr>
      <w:keepNext/>
      <w:ind w:right="-1333"/>
      <w:jc w:val="center"/>
      <w:outlineLvl w:val="3"/>
    </w:pPr>
    <w:rPr>
      <w:b/>
      <w:bCs/>
    </w:rPr>
  </w:style>
  <w:style w:type="paragraph" w:styleId="Heading5">
    <w:name w:val="heading 5"/>
    <w:basedOn w:val="Normal"/>
    <w:next w:val="Normal"/>
    <w:qFormat/>
    <w:pPr>
      <w:keepNext/>
      <w:ind w:right="90"/>
      <w:jc w:val="center"/>
      <w:outlineLvl w:val="4"/>
    </w:pPr>
    <w:rPr>
      <w:b/>
      <w:bCs/>
    </w:rPr>
  </w:style>
  <w:style w:type="paragraph" w:styleId="Heading6">
    <w:name w:val="heading 6"/>
    <w:basedOn w:val="Normal"/>
    <w:next w:val="Normal"/>
    <w:qFormat/>
    <w:pPr>
      <w:keepNext/>
      <w:jc w:val="right"/>
      <w:outlineLvl w:val="5"/>
    </w:pPr>
    <w:rPr>
      <w:i/>
      <w:iCs/>
      <w:color w:val="FF0000"/>
    </w:rPr>
  </w:style>
  <w:style w:type="paragraph" w:styleId="Heading7">
    <w:name w:val="heading 7"/>
    <w:basedOn w:val="Normal"/>
    <w:next w:val="Normal"/>
    <w:qFormat/>
    <w:pPr>
      <w:keepNext/>
      <w:spacing w:before="240" w:after="6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before="120" w:after="120"/>
    </w:pPr>
    <w:rPr>
      <w:b/>
      <w:bCs/>
      <w:sz w:val="22"/>
      <w:szCs w:val="22"/>
    </w:rPr>
  </w:style>
  <w:style w:type="paragraph" w:styleId="BodyTextIndent">
    <w:name w:val="Body Text Indent"/>
    <w:basedOn w:val="Normal"/>
    <w:pPr>
      <w:spacing w:before="120" w:after="120"/>
    </w:pPr>
    <w:rPr>
      <w:sz w:val="22"/>
      <w:szCs w:val="22"/>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b/>
      <w:bC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styleId="Title">
    <w:name w:val="Title"/>
    <w:basedOn w:val="Normal"/>
    <w:qFormat/>
    <w:pPr>
      <w:jc w:val="center"/>
    </w:pPr>
    <w:rPr>
      <w:rFonts w:ascii="Times" w:hAnsi="Times" w:cs="Times"/>
      <w:b/>
      <w:bCs/>
    </w:rPr>
  </w:style>
  <w:style w:type="paragraph" w:styleId="BodyTextIndent2">
    <w:name w:val="Body Text Indent 2"/>
    <w:basedOn w:val="Normal"/>
    <w:pPr>
      <w:ind w:left="-466"/>
      <w:jc w:val="center"/>
    </w:pPr>
    <w:rPr>
      <w:b/>
      <w:bCs/>
      <w:color w:val="000000"/>
    </w:rPr>
  </w:style>
  <w:style w:type="paragraph" w:styleId="BodyTextIndent3">
    <w:name w:val="Body Text Indent 3"/>
    <w:basedOn w:val="Normal"/>
    <w:pPr>
      <w:ind w:left="360"/>
    </w:pPr>
  </w:style>
  <w:style w:type="paragraph" w:styleId="BalloonText">
    <w:name w:val="Balloon Text"/>
    <w:basedOn w:val="Normal"/>
    <w:link w:val="BalloonTextChar"/>
    <w:rsid w:val="00AA7924"/>
    <w:rPr>
      <w:rFonts w:ascii="Tahoma" w:hAnsi="Tahoma" w:cs="Tahoma"/>
      <w:sz w:val="16"/>
      <w:szCs w:val="16"/>
    </w:rPr>
  </w:style>
  <w:style w:type="character" w:customStyle="1" w:styleId="BalloonTextChar">
    <w:name w:val="Balloon Text Char"/>
    <w:link w:val="BalloonText"/>
    <w:rsid w:val="00AA7924"/>
    <w:rPr>
      <w:rFonts w:ascii="Tahoma" w:hAnsi="Tahoma" w:cs="Tahoma"/>
      <w:sz w:val="16"/>
      <w:szCs w:val="16"/>
      <w:lang w:eastAsia="en-US"/>
    </w:rPr>
  </w:style>
  <w:style w:type="character" w:styleId="CommentReference">
    <w:name w:val="annotation reference"/>
    <w:rsid w:val="00AA7924"/>
    <w:rPr>
      <w:sz w:val="16"/>
      <w:szCs w:val="16"/>
    </w:rPr>
  </w:style>
  <w:style w:type="paragraph" w:styleId="CommentText">
    <w:name w:val="annotation text"/>
    <w:basedOn w:val="Normal"/>
    <w:link w:val="CommentTextChar"/>
    <w:rsid w:val="00AA7924"/>
    <w:rPr>
      <w:sz w:val="20"/>
      <w:szCs w:val="20"/>
    </w:rPr>
  </w:style>
  <w:style w:type="character" w:customStyle="1" w:styleId="CommentTextChar">
    <w:name w:val="Comment Text Char"/>
    <w:link w:val="CommentText"/>
    <w:rsid w:val="00AA7924"/>
    <w:rPr>
      <w:lang w:eastAsia="en-US"/>
    </w:rPr>
  </w:style>
  <w:style w:type="paragraph" w:styleId="CommentSubject">
    <w:name w:val="annotation subject"/>
    <w:basedOn w:val="CommentText"/>
    <w:next w:val="CommentText"/>
    <w:link w:val="CommentSubjectChar"/>
    <w:rsid w:val="00AA7924"/>
    <w:rPr>
      <w:b/>
      <w:bCs/>
    </w:rPr>
  </w:style>
  <w:style w:type="character" w:customStyle="1" w:styleId="CommentSubjectChar">
    <w:name w:val="Comment Subject Char"/>
    <w:link w:val="CommentSubject"/>
    <w:rsid w:val="00AA7924"/>
    <w:rPr>
      <w:b/>
      <w:bCs/>
      <w:lang w:eastAsia="en-US"/>
    </w:rPr>
  </w:style>
  <w:style w:type="character" w:customStyle="1" w:styleId="HeaderChar">
    <w:name w:val="Header Char"/>
    <w:link w:val="Header"/>
    <w:uiPriority w:val="99"/>
    <w:rsid w:val="00392EBA"/>
    <w:rPr>
      <w:sz w:val="24"/>
      <w:szCs w:val="24"/>
      <w:lang w:eastAsia="en-US"/>
    </w:rPr>
  </w:style>
  <w:style w:type="character" w:customStyle="1" w:styleId="FooterChar">
    <w:name w:val="Footer Char"/>
    <w:link w:val="Footer"/>
    <w:uiPriority w:val="99"/>
    <w:rsid w:val="00392EBA"/>
    <w:rPr>
      <w:sz w:val="24"/>
      <w:szCs w:val="24"/>
      <w:lang w:eastAsia="en-US"/>
    </w:rPr>
  </w:style>
  <w:style w:type="paragraph" w:customStyle="1" w:styleId="note">
    <w:name w:val="note"/>
    <w:basedOn w:val="Normal"/>
    <w:next w:val="Normal"/>
    <w:uiPriority w:val="99"/>
    <w:rsid w:val="00E5410D"/>
    <w:pPr>
      <w:spacing w:before="80" w:after="60"/>
      <w:ind w:left="709"/>
    </w:pPr>
    <w:rPr>
      <w:color w:val="000000"/>
      <w:sz w:val="20"/>
      <w:szCs w:val="20"/>
    </w:rPr>
  </w:style>
  <w:style w:type="paragraph" w:styleId="Revision">
    <w:name w:val="Revision"/>
    <w:hidden/>
    <w:uiPriority w:val="99"/>
    <w:semiHidden/>
    <w:rsid w:val="00526070"/>
    <w:rPr>
      <w:sz w:val="24"/>
      <w:szCs w:val="24"/>
      <w:lang w:eastAsia="en-US"/>
    </w:rPr>
  </w:style>
  <w:style w:type="character" w:styleId="Hyperlink">
    <w:name w:val="Hyperlink"/>
    <w:basedOn w:val="DefaultParagraphFont"/>
    <w:rsid w:val="00AB6F9B"/>
    <w:rPr>
      <w:color w:val="0563C1" w:themeColor="hyperlink"/>
      <w:u w:val="single"/>
    </w:rPr>
  </w:style>
  <w:style w:type="character" w:styleId="UnresolvedMention">
    <w:name w:val="Unresolved Mention"/>
    <w:basedOn w:val="DefaultParagraphFont"/>
    <w:uiPriority w:val="99"/>
    <w:semiHidden/>
    <w:unhideWhenUsed/>
    <w:rsid w:val="00AB6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82571">
      <w:bodyDiv w:val="1"/>
      <w:marLeft w:val="0"/>
      <w:marRight w:val="0"/>
      <w:marTop w:val="0"/>
      <w:marBottom w:val="0"/>
      <w:divBdr>
        <w:top w:val="none" w:sz="0" w:space="0" w:color="auto"/>
        <w:left w:val="none" w:sz="0" w:space="0" w:color="auto"/>
        <w:bottom w:val="none" w:sz="0" w:space="0" w:color="auto"/>
        <w:right w:val="none" w:sz="0" w:space="0" w:color="auto"/>
      </w:divBdr>
    </w:div>
    <w:div w:id="565069109">
      <w:bodyDiv w:val="1"/>
      <w:marLeft w:val="0"/>
      <w:marRight w:val="0"/>
      <w:marTop w:val="0"/>
      <w:marBottom w:val="0"/>
      <w:divBdr>
        <w:top w:val="none" w:sz="0" w:space="0" w:color="auto"/>
        <w:left w:val="none" w:sz="0" w:space="0" w:color="auto"/>
        <w:bottom w:val="none" w:sz="0" w:space="0" w:color="auto"/>
        <w:right w:val="none" w:sz="0" w:space="0" w:color="auto"/>
      </w:divBdr>
    </w:div>
    <w:div w:id="787311110">
      <w:bodyDiv w:val="1"/>
      <w:marLeft w:val="0"/>
      <w:marRight w:val="0"/>
      <w:marTop w:val="0"/>
      <w:marBottom w:val="0"/>
      <w:divBdr>
        <w:top w:val="none" w:sz="0" w:space="0" w:color="auto"/>
        <w:left w:val="none" w:sz="0" w:space="0" w:color="auto"/>
        <w:bottom w:val="none" w:sz="0" w:space="0" w:color="auto"/>
        <w:right w:val="none" w:sz="0" w:space="0" w:color="auto"/>
      </w:divBdr>
    </w:div>
    <w:div w:id="1185484408">
      <w:bodyDiv w:val="1"/>
      <w:marLeft w:val="0"/>
      <w:marRight w:val="0"/>
      <w:marTop w:val="0"/>
      <w:marBottom w:val="0"/>
      <w:divBdr>
        <w:top w:val="none" w:sz="0" w:space="0" w:color="auto"/>
        <w:left w:val="none" w:sz="0" w:space="0" w:color="auto"/>
        <w:bottom w:val="none" w:sz="0" w:space="0" w:color="auto"/>
        <w:right w:val="none" w:sz="0" w:space="0" w:color="auto"/>
      </w:divBdr>
    </w:div>
    <w:div w:id="1186872171">
      <w:bodyDiv w:val="1"/>
      <w:marLeft w:val="0"/>
      <w:marRight w:val="0"/>
      <w:marTop w:val="0"/>
      <w:marBottom w:val="0"/>
      <w:divBdr>
        <w:top w:val="none" w:sz="0" w:space="0" w:color="auto"/>
        <w:left w:val="none" w:sz="0" w:space="0" w:color="auto"/>
        <w:bottom w:val="none" w:sz="0" w:space="0" w:color="auto"/>
        <w:right w:val="none" w:sz="0" w:space="0" w:color="auto"/>
      </w:divBdr>
    </w:div>
    <w:div w:id="1623613664">
      <w:bodyDiv w:val="1"/>
      <w:marLeft w:val="0"/>
      <w:marRight w:val="0"/>
      <w:marTop w:val="0"/>
      <w:marBottom w:val="0"/>
      <w:divBdr>
        <w:top w:val="none" w:sz="0" w:space="0" w:color="auto"/>
        <w:left w:val="none" w:sz="0" w:space="0" w:color="auto"/>
        <w:bottom w:val="none" w:sz="0" w:space="0" w:color="auto"/>
        <w:right w:val="none" w:sz="0" w:space="0" w:color="auto"/>
      </w:divBdr>
    </w:div>
    <w:div w:id="1679574815">
      <w:bodyDiv w:val="1"/>
      <w:marLeft w:val="0"/>
      <w:marRight w:val="0"/>
      <w:marTop w:val="0"/>
      <w:marBottom w:val="0"/>
      <w:divBdr>
        <w:top w:val="none" w:sz="0" w:space="0" w:color="auto"/>
        <w:left w:val="none" w:sz="0" w:space="0" w:color="auto"/>
        <w:bottom w:val="none" w:sz="0" w:space="0" w:color="auto"/>
        <w:right w:val="none" w:sz="0" w:space="0" w:color="auto"/>
      </w:divBdr>
    </w:div>
    <w:div w:id="21315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metadata xmlns="http://www.objective.com/ecm/document/metadata/4FEB93B0D38B3BDFE05400144FFB2061" version="1.0.0">
  <systemFields>
    <field name="Objective-Id">
      <value order="0">A62461743</value>
    </field>
    <field name="Objective-Title">
      <value order="0">Attach B - Building (Fees) Determination DI</value>
    </field>
    <field name="Objective-Description">
      <value order="0"/>
    </field>
    <field name="Objective-CreationStamp">
      <value order="0">2026-06-15T02:00:48Z</value>
    </field>
    <field name="Objective-IsApproved">
      <value order="0">false</value>
    </field>
    <field name="Objective-IsPublished">
      <value order="0">false</value>
    </field>
    <field name="Objective-DatePublished">
      <value order="0"/>
    </field>
    <field name="Objective-ModificationStamp">
      <value order="0">2026-06-30T03:57:34Z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S2026/01273 - 2026-27 Fees and Charges</value>
    </field>
    <field name="Objective-Parent">
      <value order="0">CED - MIN S2026/01273 - 2026-27 Fees and Charges</value>
    </field>
    <field name="Objective-State">
      <value order="0">Being Edited</value>
    </field>
    <field name="Objective-VersionId">
      <value order="0">vA79585883</value>
    </field>
    <field name="Objective-Version">
      <value order="0">5.1</value>
    </field>
    <field name="Objective-VersionNumber">
      <value order="0">7</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6EFFF358-93B6-4BA8-B22A-498BD814E874}">
  <ds:schemaRefs>
    <ds:schemaRef ds:uri="http://schemas.openxmlformats.org/officeDocument/2006/bibliography"/>
  </ds:schemaRefs>
</ds:datastoreItem>
</file>

<file path=customXml/itemProps2.xml><?xml version="1.0" encoding="utf-8"?>
<ds:datastoreItem xmlns:ds="http://schemas.openxmlformats.org/officeDocument/2006/customXml" ds:itemID="{24DA75EE-ACFD-45B2-AE82-E0CC458DF3D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1436</Words>
  <Characters>7108</Characters>
  <Application>Microsoft Office Word</Application>
  <DocSecurity>0</DocSecurity>
  <Lines>451</Lines>
  <Paragraphs>173</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
  <dc:description/>
  <cp:lastModifiedBy>PCODCS</cp:lastModifiedBy>
  <cp:revision>4</cp:revision>
  <cp:lastPrinted>2019-06-04T22:35:00Z</cp:lastPrinted>
  <dcterms:created xsi:type="dcterms:W3CDTF">2026-06-30T04:03:00Z</dcterms:created>
  <dcterms:modified xsi:type="dcterms:W3CDTF">2026-06-30T04:03:00Z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EPSDD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77479350-6a1f-4e43-8ee9-8b24cf850659</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2024-04-11T02:36:50Z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09acc71c-11c3-4920-b492-a6e38bf042c8</vt:lpwstr>
  </property>
  <property fmtid="{D5CDD505-2E9C-101B-9397-08002B2CF9AE}" pid="28" name="MSIP_Label_69af8531-eb46-4968-8cb3-105d2f5ea87e_ContentBits">
    <vt:lpwstr>0</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Customer-Id">
    <vt:lpwstr>4FEB93B0D38B3BDFE05400144FFB2061</vt:lpwstr>
  </property>
  <property fmtid="{D5CDD505-2E9C-101B-9397-08002B2CF9AE}" pid="47" name="Objective-Id">
    <vt:lpwstr>A62461743</vt:lpwstr>
  </property>
  <property fmtid="{D5CDD505-2E9C-101B-9397-08002B2CF9AE}" pid="48" name="Objective-Title">
    <vt:lpwstr>Attach B - Building (Fees) Determination DI</vt:lpwstr>
  </property>
  <property fmtid="{D5CDD505-2E9C-101B-9397-08002B2CF9AE}" pid="49" name="Objective-Description">
    <vt:lpwstr/>
  </property>
  <property fmtid="{D5CDD505-2E9C-101B-9397-08002B2CF9AE}" pid="50" name="Objective-CreationStamp">
    <vt:filetime>2026-06-15T02:00:48Z</vt:filetime>
  </property>
  <property fmtid="{D5CDD505-2E9C-101B-9397-08002B2CF9AE}" pid="51" name="Objective-IsApproved">
    <vt:bool>false</vt:bool>
  </property>
  <property fmtid="{D5CDD505-2E9C-101B-9397-08002B2CF9AE}" pid="52" name="Objective-IsPublished">
    <vt:bool>false</vt:bool>
  </property>
  <property fmtid="{D5CDD505-2E9C-101B-9397-08002B2CF9AE}" pid="53" name="Objective-DatePublished">
    <vt:lpwstr/>
  </property>
  <property fmtid="{D5CDD505-2E9C-101B-9397-08002B2CF9AE}" pid="54" name="Objective-ModificationStamp">
    <vt:filetime>2026-06-30T03:57:34Z</vt:filetime>
  </property>
  <property fmtid="{D5CDD505-2E9C-101B-9397-08002B2CF9AE}" pid="55" name="Objective-Owner">
    <vt:lpwstr>Gregory Mirenda</vt:lpwstr>
  </property>
  <property fmtid="{D5CDD505-2E9C-101B-9397-08002B2CF9AE}" pid="56" name="Objective-Path">
    <vt:lpwstr>Whole of ACT Government:TCCS STRUCTURE - Content Restriction Hierarchy:01. Assembly, Cabinet, Ministerial:03. Ministerials:03. Complete:Information Brief (Minister):2026 Information Brief (Minister) (TCCS):CED - MIN S2026/01273 - 2026-27 Fees and Charges:</vt:lpwstr>
  </property>
  <property fmtid="{D5CDD505-2E9C-101B-9397-08002B2CF9AE}" pid="57" name="Objective-Parent">
    <vt:lpwstr>CED - MIN S2026/01273 - 2026-27 Fees and Charges</vt:lpwstr>
  </property>
  <property fmtid="{D5CDD505-2E9C-101B-9397-08002B2CF9AE}" pid="58" name="Objective-State">
    <vt:lpwstr>Being Edited</vt:lpwstr>
  </property>
  <property fmtid="{D5CDD505-2E9C-101B-9397-08002B2CF9AE}" pid="59" name="Objective-VersionId">
    <vt:lpwstr>vA79585883</vt:lpwstr>
  </property>
  <property fmtid="{D5CDD505-2E9C-101B-9397-08002B2CF9AE}" pid="60" name="Objective-Version">
    <vt:lpwstr>5.1</vt:lpwstr>
  </property>
  <property fmtid="{D5CDD505-2E9C-101B-9397-08002B2CF9AE}" pid="61" name="Objective-VersionNumber">
    <vt:r8>7</vt:r8>
  </property>
  <property fmtid="{D5CDD505-2E9C-101B-9397-08002B2CF9AE}" pid="62" name="Objective-VersionComment">
    <vt:lpwstr/>
  </property>
  <property fmtid="{D5CDD505-2E9C-101B-9397-08002B2CF9AE}" pid="63" name="Objective-FileNumber">
    <vt:lpwstr>qA2147601</vt:lpwstr>
  </property>
  <property fmtid="{D5CDD505-2E9C-101B-9397-08002B2CF9AE}" pid="64" name="Objective-Classification">
    <vt:lpwstr>[Inherited - none]</vt:lpwstr>
  </property>
  <property fmtid="{D5CDD505-2E9C-101B-9397-08002B2CF9AE}" pid="65" name="Objective-Caveats">
    <vt:lpwstr/>
  </property>
  <property fmtid="{D5CDD505-2E9C-101B-9397-08002B2CF9AE}" pid="66" name="Objective-OM Author">
    <vt:lpwstr/>
  </property>
  <property fmtid="{D5CDD505-2E9C-101B-9397-08002B2CF9AE}" pid="67" name="Objective-OM Author Organisation">
    <vt:lpwstr/>
  </property>
  <property fmtid="{D5CDD505-2E9C-101B-9397-08002B2CF9AE}" pid="68" name="Objective-OM Author Type">
    <vt:lpwstr/>
  </property>
  <property fmtid="{D5CDD505-2E9C-101B-9397-08002B2CF9AE}" pid="69" name="Objective-OM Date Received">
    <vt:lpwstr/>
  </property>
  <property fmtid="{D5CDD505-2E9C-101B-9397-08002B2CF9AE}" pid="70" name="Objective-OM Date of Document">
    <vt:lpwstr/>
  </property>
  <property fmtid="{D5CDD505-2E9C-101B-9397-08002B2CF9AE}" pid="71" name="Objective-OM External Reference">
    <vt:lpwstr/>
  </property>
  <property fmtid="{D5CDD505-2E9C-101B-9397-08002B2CF9AE}" pid="72" name="Objective-OM Reference">
    <vt:lpwstr/>
  </property>
  <property fmtid="{D5CDD505-2E9C-101B-9397-08002B2CF9AE}" pid="73" name="Objective-OM Topic">
    <vt:lpwstr/>
  </property>
  <property fmtid="{D5CDD505-2E9C-101B-9397-08002B2CF9AE}" pid="74" name="Objective-Suburb">
    <vt:lpwstr/>
  </property>
</Properties>
</file>