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9B25" w14:textId="77777777" w:rsidR="00F3204F" w:rsidRDefault="00F3204F" w:rsidP="00F3204F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Times New Roman"/>
          <w:szCs w:val="20"/>
          <w:bdr w:val="nil"/>
        </w:rPr>
      </w:pPr>
      <w:bookmarkStart w:id="0" w:name="_Toc44738651_5"/>
      <w:r>
        <w:rPr>
          <w:rFonts w:eastAsia="Times New Roman"/>
          <w:szCs w:val="20"/>
          <w:bdr w:val="nil"/>
        </w:rPr>
        <w:t>Australian Capital Territory</w:t>
      </w:r>
    </w:p>
    <w:p w14:paraId="7ED0A3CB" w14:textId="37AB434E" w:rsidR="00F3204F" w:rsidRPr="00F4553A" w:rsidRDefault="00F3204F" w:rsidP="00F3204F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Times New Roman" w:cs="Times New Roman"/>
          <w:bCs w:val="0"/>
          <w:szCs w:val="20"/>
          <w:bdr w:val="nil"/>
        </w:rPr>
      </w:pPr>
      <w:r w:rsidRPr="00F4553A">
        <w:rPr>
          <w:rFonts w:eastAsia="Times New Roman" w:cs="Times New Roman"/>
          <w:bCs w:val="0"/>
          <w:szCs w:val="20"/>
          <w:bdr w:val="nil"/>
        </w:rPr>
        <w:t xml:space="preserve">Unlawful Gambling (Charitable Gaming Application Fees) Determination </w:t>
      </w:r>
      <w:r w:rsidR="0033353F">
        <w:rPr>
          <w:rFonts w:eastAsia="Times New Roman" w:cs="Times New Roman"/>
          <w:bCs w:val="0"/>
          <w:szCs w:val="20"/>
          <w:bdr w:val="nil"/>
        </w:rPr>
        <w:t>2026</w:t>
      </w:r>
    </w:p>
    <w:p w14:paraId="25289C48" w14:textId="10143C5A" w:rsidR="00F3204F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504"/>
        </w:tabs>
        <w:spacing w:before="240" w:after="60"/>
        <w:rPr>
          <w:rFonts w:eastAsia="Times New Roman"/>
          <w:b/>
          <w:bCs/>
          <w:szCs w:val="20"/>
          <w:bdr w:val="nil"/>
          <w:vertAlign w:val="superscript"/>
        </w:rPr>
      </w:pPr>
      <w:r w:rsidRPr="00F4553A">
        <w:rPr>
          <w:rFonts w:eastAsia="Times New Roman"/>
          <w:b/>
          <w:bCs/>
          <w:szCs w:val="20"/>
          <w:bdr w:val="nil"/>
        </w:rPr>
        <w:t xml:space="preserve">Disallowable Instrument </w:t>
      </w:r>
      <w:r>
        <w:rPr>
          <w:rFonts w:eastAsia="Times New Roman"/>
          <w:b/>
          <w:bCs/>
          <w:szCs w:val="20"/>
          <w:bdr w:val="nil"/>
        </w:rPr>
        <w:t>DI</w:t>
      </w:r>
      <w:r w:rsidR="0033353F">
        <w:rPr>
          <w:rFonts w:eastAsia="Times New Roman"/>
          <w:b/>
          <w:bCs/>
          <w:szCs w:val="20"/>
          <w:bdr w:val="nil"/>
        </w:rPr>
        <w:t>2026</w:t>
      </w:r>
      <w:r>
        <w:rPr>
          <w:rFonts w:eastAsia="Times New Roman"/>
          <w:b/>
          <w:bCs/>
          <w:szCs w:val="20"/>
          <w:bdr w:val="nil"/>
        </w:rPr>
        <w:t>-</w:t>
      </w:r>
      <w:r w:rsidR="00773D25">
        <w:rPr>
          <w:rFonts w:eastAsia="Times New Roman"/>
          <w:b/>
          <w:bCs/>
          <w:szCs w:val="20"/>
          <w:bdr w:val="nil"/>
        </w:rPr>
        <w:t>92</w:t>
      </w:r>
    </w:p>
    <w:p w14:paraId="2200419C" w14:textId="77777777" w:rsidR="00F3204F" w:rsidRDefault="00F3204F" w:rsidP="00F3204F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made under the</w:t>
      </w:r>
    </w:p>
    <w:p w14:paraId="7EE1D423" w14:textId="77777777" w:rsidR="00F3204F" w:rsidRDefault="00F3204F" w:rsidP="00F3204F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Times New Roman"/>
          <w:bCs w:val="0"/>
          <w:szCs w:val="20"/>
          <w:bdr w:val="nil"/>
        </w:rPr>
      </w:pPr>
      <w:r>
        <w:rPr>
          <w:rFonts w:eastAsia="Times New Roman"/>
          <w:bCs w:val="0"/>
          <w:sz w:val="20"/>
          <w:szCs w:val="20"/>
          <w:bdr w:val="nil"/>
        </w:rPr>
        <w:t>Unlawful Gambling Act 2009, section 48 (Determination of fees)</w:t>
      </w:r>
    </w:p>
    <w:p w14:paraId="38943415" w14:textId="77777777" w:rsidR="00F3204F" w:rsidRDefault="00F3204F" w:rsidP="00F3204F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Cs w:val="20"/>
          <w:bdr w:val="nil"/>
        </w:rPr>
      </w:pPr>
    </w:p>
    <w:p w14:paraId="289EDCBA" w14:textId="77777777" w:rsidR="00F3204F" w:rsidRDefault="00F3204F" w:rsidP="00F3204F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Cs w:val="20"/>
          <w:bdr w:val="nil"/>
        </w:rPr>
      </w:pPr>
    </w:p>
    <w:p w14:paraId="71868FE7" w14:textId="77777777" w:rsidR="00F3204F" w:rsidRPr="00F3204F" w:rsidRDefault="00F3204F" w:rsidP="00F3204F">
      <w:pPr>
        <w:pStyle w:val="Heading1"/>
        <w:pBdr>
          <w:top w:val="nil"/>
          <w:left w:val="nil"/>
          <w:bottom w:val="nil"/>
          <w:right w:val="nil"/>
          <w:between w:val="nil"/>
          <w:bar w:val="nil"/>
        </w:pBdr>
        <w:spacing w:before="80"/>
        <w:rPr>
          <w:rFonts w:ascii="Arial" w:eastAsia="Times New Roman" w:hAnsi="Arial" w:cs="Arial"/>
          <w:b/>
          <w:bCs/>
          <w:color w:val="auto"/>
          <w:sz w:val="24"/>
          <w:szCs w:val="20"/>
          <w:bdr w:val="nil"/>
        </w:rPr>
      </w:pPr>
      <w:r w:rsidRPr="00F3204F">
        <w:rPr>
          <w:rFonts w:ascii="Arial" w:eastAsia="Times New Roman" w:hAnsi="Arial" w:cs="Arial"/>
          <w:b/>
          <w:bCs/>
          <w:color w:val="auto"/>
          <w:sz w:val="24"/>
          <w:szCs w:val="20"/>
          <w:bdr w:val="nil"/>
        </w:rPr>
        <w:t>1</w:t>
      </w:r>
      <w:r w:rsidRPr="00F3204F">
        <w:rPr>
          <w:rFonts w:ascii="Arial" w:eastAsia="Times New Roman" w:hAnsi="Arial" w:cs="Arial"/>
          <w:b/>
          <w:bCs/>
          <w:color w:val="auto"/>
          <w:sz w:val="24"/>
          <w:szCs w:val="20"/>
          <w:bdr w:val="nil"/>
        </w:rPr>
        <w:tab/>
        <w:t>Name of instrument</w:t>
      </w:r>
    </w:p>
    <w:p w14:paraId="524B83EF" w14:textId="11B65CBB" w:rsidR="00F3204F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Times New Roman" w:hAnsi="Times New Roman" w:cs="Times New Roman"/>
          <w:i/>
          <w:iCs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 xml:space="preserve">This instrument is the 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 xml:space="preserve">Unlawful Gambling (Charitable Gaming Application Fees) Determination </w:t>
      </w:r>
      <w:r w:rsidR="0033353F">
        <w:rPr>
          <w:rFonts w:ascii="Times New Roman" w:eastAsia="Times New Roman" w:hAnsi="Times New Roman" w:cs="Times New Roman"/>
          <w:i/>
          <w:iCs/>
          <w:szCs w:val="20"/>
          <w:bdr w:val="nil"/>
        </w:rPr>
        <w:t>2026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>.</w:t>
      </w:r>
    </w:p>
    <w:p w14:paraId="36113AC5" w14:textId="77777777" w:rsidR="00F3204F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i/>
          <w:iCs/>
          <w:szCs w:val="20"/>
          <w:bdr w:val="nil"/>
        </w:rPr>
      </w:pPr>
    </w:p>
    <w:p w14:paraId="4E087454" w14:textId="77777777" w:rsidR="00F3204F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 w:hanging="720"/>
        <w:rPr>
          <w:rFonts w:eastAsia="Times New Roman"/>
          <w:b/>
          <w:bCs/>
          <w:szCs w:val="20"/>
          <w:bdr w:val="nil"/>
        </w:rPr>
      </w:pPr>
      <w:r>
        <w:rPr>
          <w:rFonts w:eastAsia="Times New Roman"/>
          <w:b/>
          <w:bCs/>
          <w:szCs w:val="20"/>
          <w:bdr w:val="nil"/>
        </w:rPr>
        <w:t>2</w:t>
      </w:r>
      <w:r>
        <w:rPr>
          <w:rFonts w:eastAsia="Times New Roman"/>
          <w:b/>
          <w:bCs/>
          <w:szCs w:val="20"/>
          <w:bdr w:val="nil"/>
        </w:rPr>
        <w:tab/>
        <w:t>Commencement</w:t>
      </w:r>
    </w:p>
    <w:p w14:paraId="35638F69" w14:textId="1C103FB6" w:rsidR="00F3204F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 xml:space="preserve">This instrument commences on 1 July </w:t>
      </w:r>
      <w:r w:rsidR="0033353F">
        <w:rPr>
          <w:rFonts w:ascii="Times New Roman" w:eastAsia="Times New Roman" w:hAnsi="Times New Roman" w:cs="Times New Roman"/>
          <w:szCs w:val="20"/>
          <w:bdr w:val="nil"/>
        </w:rPr>
        <w:t>2026</w:t>
      </w:r>
      <w:r>
        <w:rPr>
          <w:rFonts w:ascii="Times New Roman" w:eastAsia="Times New Roman" w:hAnsi="Times New Roman" w:cs="Times New Roman"/>
          <w:szCs w:val="20"/>
          <w:bdr w:val="nil"/>
        </w:rPr>
        <w:t>.</w:t>
      </w:r>
    </w:p>
    <w:p w14:paraId="47818144" w14:textId="77777777" w:rsidR="00F3204F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</w:p>
    <w:p w14:paraId="4E48EA8A" w14:textId="77777777" w:rsidR="00F3204F" w:rsidRDefault="00F3204F" w:rsidP="00F3204F">
      <w:pPr>
        <w:pStyle w:val="Amain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500"/>
        </w:tabs>
        <w:ind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Determination</w:t>
      </w:r>
    </w:p>
    <w:p w14:paraId="5E5A8BFE" w14:textId="46E4F5D2" w:rsidR="00F3204F" w:rsidRDefault="00F3204F" w:rsidP="00F3204F">
      <w:pPr>
        <w:pStyle w:val="BodyTextIndent"/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09"/>
        <w:rPr>
          <w:bdr w:val="nil"/>
        </w:rPr>
      </w:pPr>
      <w:r>
        <w:rPr>
          <w:bdr w:val="nil"/>
        </w:rPr>
        <w:t xml:space="preserve">I determine under section 48 of the </w:t>
      </w:r>
      <w:r w:rsidRPr="00A93001">
        <w:rPr>
          <w:i/>
          <w:bdr w:val="nil"/>
        </w:rPr>
        <w:t>Unlawful Gambling Act 2009</w:t>
      </w:r>
      <w:r>
        <w:rPr>
          <w:bdr w:val="nil"/>
        </w:rPr>
        <w:t xml:space="preserve"> that the fee payable to accompany an application under section 11 of the Act </w:t>
      </w:r>
      <w:r w:rsidRPr="005B567A">
        <w:rPr>
          <w:bdr w:val="nil"/>
        </w:rPr>
        <w:t xml:space="preserve">is </w:t>
      </w:r>
      <w:r w:rsidR="00A912F3" w:rsidRPr="00A912F3">
        <w:rPr>
          <w:bdr w:val="nil"/>
        </w:rPr>
        <w:t xml:space="preserve">$69.00 </w:t>
      </w:r>
      <w:r w:rsidRPr="00B3669E">
        <w:rPr>
          <w:bdr w:val="nil"/>
        </w:rPr>
        <w:t>(GST is not applicable).</w:t>
      </w:r>
      <w:r>
        <w:rPr>
          <w:bdr w:val="nil"/>
        </w:rPr>
        <w:br/>
      </w:r>
    </w:p>
    <w:p w14:paraId="52B983A3" w14:textId="77777777" w:rsidR="00F3204F" w:rsidRDefault="00F3204F" w:rsidP="00F3204F">
      <w:pPr>
        <w:pStyle w:val="Amain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500"/>
        </w:tabs>
        <w:ind w:left="709" w:hanging="709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Payment of fee</w:t>
      </w:r>
    </w:p>
    <w:p w14:paraId="31FBE16D" w14:textId="77777777" w:rsidR="00F3204F" w:rsidRDefault="00F3204F" w:rsidP="00F3204F">
      <w:pPr>
        <w:pStyle w:val="Amain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500"/>
          <w:tab w:val="clear" w:pos="700"/>
        </w:tabs>
        <w:spacing w:before="0"/>
        <w:ind w:left="709" w:firstLine="0"/>
        <w:jc w:val="left"/>
        <w:rPr>
          <w:bdr w:val="nil"/>
        </w:rPr>
      </w:pPr>
      <w:r>
        <w:rPr>
          <w:bdr w:val="nil"/>
        </w:rPr>
        <w:t>The fee is payable to the ACT Gambling and Racing Commission by a charitable organisation applying for approval to conduct a game.</w:t>
      </w:r>
    </w:p>
    <w:p w14:paraId="2703EAF1" w14:textId="77777777" w:rsidR="00F3204F" w:rsidRDefault="00F3204F" w:rsidP="00F3204F">
      <w:pPr>
        <w:pStyle w:val="Amain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500"/>
          <w:tab w:val="clear" w:pos="700"/>
        </w:tabs>
        <w:spacing w:before="0"/>
        <w:ind w:left="709" w:firstLine="0"/>
        <w:jc w:val="left"/>
        <w:rPr>
          <w:bdr w:val="nil"/>
        </w:rPr>
      </w:pPr>
    </w:p>
    <w:p w14:paraId="5C58D8F2" w14:textId="77777777" w:rsidR="00F3204F" w:rsidRDefault="00F3204F" w:rsidP="00F3204F">
      <w:pPr>
        <w:pStyle w:val="Header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before="80" w:after="60"/>
        <w:rPr>
          <w:rFonts w:eastAsia="Times New Roman"/>
          <w:b/>
          <w:bCs/>
          <w:szCs w:val="20"/>
          <w:bdr w:val="nil"/>
        </w:rPr>
      </w:pPr>
      <w:r>
        <w:rPr>
          <w:rFonts w:eastAsia="Times New Roman"/>
          <w:b/>
          <w:bCs/>
          <w:szCs w:val="20"/>
          <w:bdr w:val="nil"/>
        </w:rPr>
        <w:t>Revocation</w:t>
      </w:r>
    </w:p>
    <w:p w14:paraId="57879AFF" w14:textId="0E5E4F3F" w:rsidR="00F3204F" w:rsidRDefault="00F3204F" w:rsidP="00F3204F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bookmarkStart w:id="1" w:name="_Hlk10626282"/>
      <w:r>
        <w:rPr>
          <w:rFonts w:ascii="Times New Roman" w:eastAsia="Times New Roman" w:hAnsi="Times New Roman" w:cs="Times New Roman"/>
          <w:szCs w:val="20"/>
          <w:bdr w:val="nil"/>
        </w:rPr>
        <w:t>This instrument revokes DI</w:t>
      </w:r>
      <w:r w:rsidR="0033353F">
        <w:rPr>
          <w:rFonts w:ascii="Times New Roman" w:eastAsia="Times New Roman" w:hAnsi="Times New Roman" w:cs="Times New Roman"/>
          <w:szCs w:val="20"/>
          <w:bdr w:val="nil"/>
        </w:rPr>
        <w:t>2025-108</w:t>
      </w:r>
      <w:r>
        <w:rPr>
          <w:rFonts w:ascii="Times New Roman" w:eastAsia="Times New Roman" w:hAnsi="Times New Roman" w:cs="Times New Roman"/>
          <w:szCs w:val="20"/>
          <w:bdr w:val="nil"/>
        </w:rPr>
        <w:t xml:space="preserve">, the </w:t>
      </w:r>
      <w:r>
        <w:rPr>
          <w:rFonts w:ascii="Times New Roman" w:eastAsia="Times New Roman" w:hAnsi="Times New Roman" w:cs="Times New Roman"/>
          <w:i/>
          <w:szCs w:val="20"/>
          <w:bdr w:val="nil"/>
        </w:rPr>
        <w:t xml:space="preserve">Unlawful Gambling (Charitable Gaming Application Fees) Determination </w:t>
      </w:r>
      <w:bookmarkEnd w:id="1"/>
      <w:r w:rsidR="0033353F">
        <w:rPr>
          <w:rFonts w:ascii="Times New Roman" w:eastAsia="Times New Roman" w:hAnsi="Times New Roman" w:cs="Times New Roman"/>
          <w:i/>
          <w:szCs w:val="20"/>
          <w:bdr w:val="nil"/>
        </w:rPr>
        <w:t>2025</w:t>
      </w:r>
      <w:r>
        <w:rPr>
          <w:rFonts w:ascii="Times New Roman" w:eastAsia="Times New Roman" w:hAnsi="Times New Roman" w:cs="Times New Roman"/>
          <w:i/>
          <w:szCs w:val="20"/>
          <w:bdr w:val="nil"/>
        </w:rPr>
        <w:t>.</w:t>
      </w:r>
    </w:p>
    <w:p w14:paraId="085215BC" w14:textId="77777777" w:rsidR="00F3204F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</w:p>
    <w:p w14:paraId="501892C1" w14:textId="77777777" w:rsidR="00F3204F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</w:p>
    <w:bookmarkEnd w:id="0"/>
    <w:p w14:paraId="59C2DE90" w14:textId="77777777" w:rsidR="00F3204F" w:rsidRPr="00781EA8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Marisa Paterson MLA</w:t>
      </w:r>
    </w:p>
    <w:p w14:paraId="23E11C19" w14:textId="77777777" w:rsidR="00F3204F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Minister for Gaming Reform</w:t>
      </w:r>
    </w:p>
    <w:p w14:paraId="0DFFA022" w14:textId="16190E3C" w:rsidR="00F3204F" w:rsidRPr="00B3669E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</w:pPr>
    </w:p>
    <w:p w14:paraId="2E0FFEC7" w14:textId="117DBD94" w:rsidR="00DC3982" w:rsidRPr="00F3204F" w:rsidRDefault="00225AA8" w:rsidP="00F3204F">
      <w:r>
        <w:t>15 June 2026</w:t>
      </w:r>
    </w:p>
    <w:sectPr w:rsidR="00DC3982" w:rsidRPr="00F32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1737" w14:textId="77777777" w:rsidR="00305A5C" w:rsidRDefault="00305A5C" w:rsidP="002A7528">
      <w:r>
        <w:separator/>
      </w:r>
    </w:p>
  </w:endnote>
  <w:endnote w:type="continuationSeparator" w:id="0">
    <w:p w14:paraId="716170C9" w14:textId="77777777" w:rsidR="00305A5C" w:rsidRDefault="00305A5C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C0625D" w:rsidRDefault="00C0625D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648E" w14:textId="1E146F35" w:rsidR="00BE55C3" w:rsidRPr="00BE55C3" w:rsidRDefault="00BE55C3" w:rsidP="00BE55C3">
    <w:pPr>
      <w:pStyle w:val="Footer"/>
      <w:jc w:val="center"/>
      <w:rPr>
        <w:sz w:val="14"/>
      </w:rPr>
    </w:pPr>
    <w:r w:rsidRPr="00BE55C3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C0625D" w:rsidRDefault="00C0625D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333F" w14:textId="77777777" w:rsidR="00305A5C" w:rsidRDefault="00305A5C" w:rsidP="002A7528">
      <w:r>
        <w:separator/>
      </w:r>
    </w:p>
  </w:footnote>
  <w:footnote w:type="continuationSeparator" w:id="0">
    <w:p w14:paraId="45877AF4" w14:textId="77777777" w:rsidR="00305A5C" w:rsidRDefault="00305A5C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C0625D" w:rsidRDefault="00C0625D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318F" w14:textId="77777777" w:rsidR="00BE55C3" w:rsidRDefault="00BE55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C0625D" w:rsidRDefault="00C0625D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182579"/>
    <w:rsid w:val="00225AA8"/>
    <w:rsid w:val="00225D02"/>
    <w:rsid w:val="00236C05"/>
    <w:rsid w:val="00265904"/>
    <w:rsid w:val="002A7528"/>
    <w:rsid w:val="00305A5C"/>
    <w:rsid w:val="0032110C"/>
    <w:rsid w:val="0033353F"/>
    <w:rsid w:val="003B12B1"/>
    <w:rsid w:val="003B515E"/>
    <w:rsid w:val="003C47DB"/>
    <w:rsid w:val="003E682F"/>
    <w:rsid w:val="00422274"/>
    <w:rsid w:val="00443BC2"/>
    <w:rsid w:val="005331FF"/>
    <w:rsid w:val="005D2493"/>
    <w:rsid w:val="00600353"/>
    <w:rsid w:val="006576AE"/>
    <w:rsid w:val="006918B2"/>
    <w:rsid w:val="0070490E"/>
    <w:rsid w:val="00732565"/>
    <w:rsid w:val="00740E1F"/>
    <w:rsid w:val="007655D1"/>
    <w:rsid w:val="00773D25"/>
    <w:rsid w:val="007A1BD0"/>
    <w:rsid w:val="007E37F2"/>
    <w:rsid w:val="007F0B4C"/>
    <w:rsid w:val="008E1D47"/>
    <w:rsid w:val="00954238"/>
    <w:rsid w:val="009C4B02"/>
    <w:rsid w:val="00A1689D"/>
    <w:rsid w:val="00A3135D"/>
    <w:rsid w:val="00A40D70"/>
    <w:rsid w:val="00A43FE0"/>
    <w:rsid w:val="00A74911"/>
    <w:rsid w:val="00A75F30"/>
    <w:rsid w:val="00A912F3"/>
    <w:rsid w:val="00AA56A6"/>
    <w:rsid w:val="00AB3C6D"/>
    <w:rsid w:val="00AE2E55"/>
    <w:rsid w:val="00AF6919"/>
    <w:rsid w:val="00B17831"/>
    <w:rsid w:val="00B2563B"/>
    <w:rsid w:val="00B4517A"/>
    <w:rsid w:val="00B90ABC"/>
    <w:rsid w:val="00BE55C3"/>
    <w:rsid w:val="00C0625D"/>
    <w:rsid w:val="00C32CA4"/>
    <w:rsid w:val="00CE1295"/>
    <w:rsid w:val="00CF7BB0"/>
    <w:rsid w:val="00DC3982"/>
    <w:rsid w:val="00DE37F0"/>
    <w:rsid w:val="00E76CC5"/>
    <w:rsid w:val="00ED490F"/>
    <w:rsid w:val="00F037F7"/>
    <w:rsid w:val="00F3204F"/>
    <w:rsid w:val="00F46D3D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styleId="Revision">
    <w:name w:val="Revision"/>
    <w:hidden/>
    <w:uiPriority w:val="99"/>
    <w:semiHidden/>
    <w:rsid w:val="0033353F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17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78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7831"/>
    <w:rPr>
      <w:rFonts w:ascii="Arial" w:eastAsiaTheme="minorEastAsia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831"/>
    <w:rPr>
      <w:rFonts w:ascii="Arial" w:eastAsiaTheme="minorEastAsia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783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dcterms:created xsi:type="dcterms:W3CDTF">2026-06-16T05:20:00Z</dcterms:created>
  <dcterms:modified xsi:type="dcterms:W3CDTF">2026-06-16T05:20:00Z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