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A2" w:rsidRDefault="00020AA2" w:rsidP="00745B3A">
      <w:pPr>
        <w:spacing w:before="120"/>
      </w:pPr>
      <w:r>
        <w:t>Australian Capital Territory</w:t>
      </w:r>
    </w:p>
    <w:p w:rsidR="00020AA2" w:rsidRDefault="00956FE0">
      <w:pPr>
        <w:pStyle w:val="Billname"/>
        <w:spacing w:before="700"/>
      </w:pPr>
      <w:bookmarkStart w:id="0" w:name="OLE_LINK1"/>
      <w:bookmarkStart w:id="1" w:name="OLE_LINK2"/>
      <w:r>
        <w:t>Work Health and Safety</w:t>
      </w:r>
      <w:r w:rsidR="00D04784">
        <w:t xml:space="preserve"> </w:t>
      </w:r>
      <w:r w:rsidR="00365605">
        <w:t xml:space="preserve">(Fees) Determination </w:t>
      </w:r>
      <w:r w:rsidR="007F5555">
        <w:t>201</w:t>
      </w:r>
      <w:r w:rsidR="00EB239C">
        <w:t>8</w:t>
      </w:r>
      <w:r w:rsidR="00D033A3" w:rsidRPr="000153D2">
        <w:t xml:space="preserve"> </w:t>
      </w:r>
      <w:r w:rsidR="000153D2" w:rsidRPr="000153D2">
        <w:t xml:space="preserve">(No </w:t>
      </w:r>
      <w:r w:rsidR="00EB239C">
        <w:t>2</w:t>
      </w:r>
      <w:r w:rsidR="000153D2" w:rsidRPr="000153D2">
        <w:t>)</w:t>
      </w:r>
    </w:p>
    <w:p w:rsidR="00020AA2" w:rsidRDefault="00365605">
      <w:pPr>
        <w:spacing w:before="240" w:after="60"/>
        <w:rPr>
          <w:b/>
          <w:bCs/>
        </w:rPr>
      </w:pPr>
      <w:r>
        <w:rPr>
          <w:b/>
          <w:bCs/>
        </w:rPr>
        <w:t>Di</w:t>
      </w:r>
      <w:r w:rsidR="005D4CBE">
        <w:rPr>
          <w:b/>
          <w:bCs/>
        </w:rPr>
        <w:t xml:space="preserve">sallowable instrument </w:t>
      </w:r>
      <w:r w:rsidR="007F5555">
        <w:rPr>
          <w:b/>
          <w:bCs/>
        </w:rPr>
        <w:t>DI201</w:t>
      </w:r>
      <w:r w:rsidR="0081062F">
        <w:rPr>
          <w:b/>
          <w:bCs/>
        </w:rPr>
        <w:t>8</w:t>
      </w:r>
      <w:r w:rsidR="00D033A3">
        <w:rPr>
          <w:b/>
          <w:bCs/>
        </w:rPr>
        <w:t>-</w:t>
      </w:r>
      <w:r w:rsidR="00A43823">
        <w:rPr>
          <w:b/>
          <w:bCs/>
        </w:rPr>
        <w:t>227</w:t>
      </w:r>
    </w:p>
    <w:p w:rsidR="00020AA2" w:rsidRDefault="0038380C" w:rsidP="001F2108">
      <w:pPr>
        <w:pStyle w:val="madeun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bookmarkEnd w:id="0"/>
    <w:bookmarkEnd w:id="1"/>
    <w:p w:rsidR="001F2108" w:rsidRDefault="00956FE0" w:rsidP="006C72D7">
      <w:pPr>
        <w:pStyle w:val="CoverActName"/>
        <w:rPr>
          <w:snapToGrid w:val="0"/>
          <w:color w:val="000000"/>
          <w:sz w:val="20"/>
          <w:szCs w:val="20"/>
        </w:rPr>
      </w:pPr>
      <w:r w:rsidRPr="0081062F">
        <w:rPr>
          <w:i/>
          <w:snapToGrid w:val="0"/>
          <w:color w:val="000000"/>
          <w:sz w:val="20"/>
          <w:szCs w:val="20"/>
        </w:rPr>
        <w:t>Work Health and Safety Act 2011</w:t>
      </w:r>
      <w:r w:rsidRPr="006C72D7">
        <w:rPr>
          <w:snapToGrid w:val="0"/>
          <w:color w:val="000000"/>
          <w:sz w:val="20"/>
          <w:szCs w:val="20"/>
        </w:rPr>
        <w:t>, s</w:t>
      </w:r>
      <w:r>
        <w:rPr>
          <w:snapToGrid w:val="0"/>
          <w:color w:val="000000"/>
          <w:sz w:val="20"/>
          <w:szCs w:val="20"/>
        </w:rPr>
        <w:t xml:space="preserve"> 278 (Determination of fees)</w:t>
      </w:r>
    </w:p>
    <w:p w:rsidR="0049690B" w:rsidRPr="001F2108" w:rsidRDefault="0049690B" w:rsidP="006C72D7">
      <w:pPr>
        <w:pStyle w:val="CoverActName"/>
        <w:spacing w:before="360" w:after="0"/>
        <w:rPr>
          <w:snapToGrid w:val="0"/>
          <w:color w:val="000000"/>
          <w:sz w:val="20"/>
          <w:szCs w:val="20"/>
        </w:rPr>
      </w:pPr>
      <w:r w:rsidRPr="0049690B">
        <w:rPr>
          <w:rFonts w:eastAsia="Times New Roman"/>
          <w:sz w:val="28"/>
          <w:szCs w:val="28"/>
        </w:rPr>
        <w:t>EXPLANATORY STATEMENT</w:t>
      </w:r>
    </w:p>
    <w:p w:rsidR="0049690B" w:rsidRPr="0049690B" w:rsidRDefault="0049690B" w:rsidP="00E25C7B">
      <w:pPr>
        <w:jc w:val="both"/>
        <w:rPr>
          <w:rFonts w:ascii="Times New Roman" w:hAnsi="Times New Roman" w:cs="Times New Roman"/>
        </w:rPr>
      </w:pPr>
    </w:p>
    <w:p w:rsidR="00020AA2" w:rsidRDefault="00020AA2">
      <w:pPr>
        <w:pStyle w:val="N-line3"/>
        <w:pBdr>
          <w:top w:val="single" w:sz="12" w:space="1" w:color="auto"/>
          <w:bottom w:val="none" w:sz="0" w:space="0" w:color="auto"/>
        </w:pBdr>
      </w:pPr>
    </w:p>
    <w:p w:rsidR="00AC3132" w:rsidRDefault="0049690B" w:rsidP="000475AE">
      <w:pPr>
        <w:rPr>
          <w:rFonts w:ascii="Times New Roman" w:hAnsi="Times New Roman" w:cs="Times New Roman"/>
          <w:i/>
        </w:rPr>
      </w:pPr>
      <w:r w:rsidRPr="0049690B">
        <w:rPr>
          <w:rFonts w:ascii="Times New Roman" w:hAnsi="Times New Roman"/>
        </w:rPr>
        <w:t xml:space="preserve">The </w:t>
      </w:r>
      <w:r w:rsidR="00571BF7">
        <w:rPr>
          <w:rFonts w:ascii="Times New Roman" w:hAnsi="Times New Roman"/>
        </w:rPr>
        <w:t xml:space="preserve">Minister has power to determine </w:t>
      </w:r>
      <w:r w:rsidRPr="0049690B">
        <w:rPr>
          <w:rFonts w:ascii="Times New Roman" w:hAnsi="Times New Roman"/>
        </w:rPr>
        <w:t xml:space="preserve">fees </w:t>
      </w:r>
      <w:r w:rsidR="00571BF7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i/>
        </w:rPr>
        <w:t>W</w:t>
      </w:r>
      <w:r w:rsidR="00AC3132">
        <w:rPr>
          <w:rFonts w:ascii="Times New Roman" w:hAnsi="Times New Roman" w:cs="Times New Roman"/>
          <w:i/>
        </w:rPr>
        <w:t>ork Health and Safety Act 2011</w:t>
      </w:r>
      <w:r w:rsidR="00571BF7">
        <w:rPr>
          <w:rFonts w:ascii="Times New Roman" w:hAnsi="Times New Roman" w:cs="Times New Roman"/>
        </w:rPr>
        <w:t xml:space="preserve"> (WHS Act)</w:t>
      </w:r>
      <w:r w:rsidR="00AC3132">
        <w:rPr>
          <w:rFonts w:ascii="Times New Roman" w:hAnsi="Times New Roman" w:cs="Times New Roman"/>
          <w:i/>
        </w:rPr>
        <w:t>.</w:t>
      </w:r>
    </w:p>
    <w:p w:rsidR="0003277E" w:rsidRDefault="00571BF7" w:rsidP="000475AE">
      <w:pPr>
        <w:spacing w:before="160"/>
        <w:rPr>
          <w:rFonts w:ascii="Times New Roman" w:hAnsi="Times New Roman"/>
        </w:rPr>
      </w:pPr>
      <w:r>
        <w:rPr>
          <w:rFonts w:ascii="Times New Roman" w:hAnsi="Times New Roman"/>
        </w:rPr>
        <w:t>This</w:t>
      </w:r>
      <w:r w:rsidR="0049690B" w:rsidRPr="0049690B">
        <w:rPr>
          <w:rFonts w:ascii="Times New Roman" w:hAnsi="Times New Roman"/>
        </w:rPr>
        <w:t xml:space="preserve"> determination replicates the </w:t>
      </w:r>
      <w:r w:rsidR="0049690B">
        <w:rPr>
          <w:rFonts w:ascii="Times New Roman" w:hAnsi="Times New Roman"/>
        </w:rPr>
        <w:t>previous fees determination</w:t>
      </w:r>
      <w:r>
        <w:rPr>
          <w:rFonts w:ascii="Times New Roman" w:hAnsi="Times New Roman"/>
        </w:rPr>
        <w:t xml:space="preserve"> for fees </w:t>
      </w:r>
      <w:r w:rsidR="004D63D3">
        <w:rPr>
          <w:rFonts w:ascii="Times New Roman" w:hAnsi="Times New Roman"/>
        </w:rPr>
        <w:t>that commenced on</w:t>
      </w:r>
      <w:r>
        <w:rPr>
          <w:rFonts w:ascii="Times New Roman" w:hAnsi="Times New Roman"/>
        </w:rPr>
        <w:t xml:space="preserve"> 1 July 2018 under</w:t>
      </w:r>
      <w:r w:rsidR="00EB239C">
        <w:rPr>
          <w:rFonts w:ascii="Times New Roman" w:hAnsi="Times New Roman"/>
        </w:rPr>
        <w:t xml:space="preserve"> the </w:t>
      </w:r>
      <w:r w:rsidR="00EB239C">
        <w:rPr>
          <w:rFonts w:ascii="Times New Roman" w:hAnsi="Times New Roman"/>
          <w:i/>
        </w:rPr>
        <w:t>Work Health and Safety (Fees) Determination 2018</w:t>
      </w:r>
      <w:r w:rsidR="0049690B">
        <w:rPr>
          <w:rFonts w:ascii="Times New Roman" w:hAnsi="Times New Roman"/>
        </w:rPr>
        <w:t xml:space="preserve"> </w:t>
      </w:r>
      <w:r w:rsidR="0049690B" w:rsidRPr="0049690B">
        <w:rPr>
          <w:rFonts w:ascii="Times New Roman" w:hAnsi="Times New Roman"/>
        </w:rPr>
        <w:t xml:space="preserve">that it revokes and replaces. </w:t>
      </w:r>
      <w:r w:rsidR="0003277E">
        <w:rPr>
          <w:rFonts w:ascii="Times New Roman" w:hAnsi="Times New Roman"/>
        </w:rPr>
        <w:t xml:space="preserve">  </w:t>
      </w:r>
    </w:p>
    <w:p w:rsidR="00AC3132" w:rsidRDefault="00AC3132" w:rsidP="000475AE">
      <w:pPr>
        <w:spacing w:before="160"/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EB239C">
        <w:rPr>
          <w:rFonts w:ascii="Times New Roman" w:hAnsi="Times New Roman"/>
        </w:rPr>
        <w:t xml:space="preserve"> purpose of this fee</w:t>
      </w:r>
      <w:r>
        <w:rPr>
          <w:rFonts w:ascii="Times New Roman" w:hAnsi="Times New Roman"/>
        </w:rPr>
        <w:t xml:space="preserve"> determination </w:t>
      </w:r>
      <w:r w:rsidR="00EB239C">
        <w:rPr>
          <w:rFonts w:ascii="Times New Roman" w:hAnsi="Times New Roman"/>
        </w:rPr>
        <w:t xml:space="preserve">is to add four </w:t>
      </w:r>
      <w:r>
        <w:rPr>
          <w:rFonts w:ascii="Times New Roman" w:hAnsi="Times New Roman"/>
        </w:rPr>
        <w:t>new fees, item numbers 372.1-372.4. The new fees follow the adoption and c</w:t>
      </w:r>
      <w:bookmarkStart w:id="2" w:name="_GoBack"/>
      <w:bookmarkEnd w:id="2"/>
      <w:r>
        <w:rPr>
          <w:rFonts w:ascii="Times New Roman" w:hAnsi="Times New Roman"/>
        </w:rPr>
        <w:t xml:space="preserve">ommencement of chapters 7 and 9 in the </w:t>
      </w:r>
      <w:r>
        <w:rPr>
          <w:rFonts w:ascii="Times New Roman" w:hAnsi="Times New Roman"/>
          <w:i/>
        </w:rPr>
        <w:t>Work Health and Safety Regulation 2011</w:t>
      </w:r>
      <w:r>
        <w:rPr>
          <w:rFonts w:ascii="Times New Roman" w:hAnsi="Times New Roman"/>
        </w:rPr>
        <w:t>.</w:t>
      </w:r>
    </w:p>
    <w:p w:rsidR="00E35F85" w:rsidRPr="00E35F85" w:rsidRDefault="00E35F85" w:rsidP="000475AE">
      <w:pPr>
        <w:spacing w:before="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Prior to 29 March 2018, dangerous </w:t>
      </w:r>
      <w:r w:rsidR="00571BF7">
        <w:rPr>
          <w:rFonts w:ascii="Times New Roman" w:hAnsi="Times New Roman"/>
        </w:rPr>
        <w:t>substances</w:t>
      </w:r>
      <w:r>
        <w:rPr>
          <w:rFonts w:ascii="Times New Roman" w:hAnsi="Times New Roman"/>
        </w:rPr>
        <w:t xml:space="preserve"> were regulated under the </w:t>
      </w:r>
      <w:r>
        <w:rPr>
          <w:rFonts w:ascii="Times New Roman" w:hAnsi="Times New Roman"/>
          <w:i/>
        </w:rPr>
        <w:t>Dangerous Substances Act 200</w:t>
      </w:r>
      <w:r w:rsidR="00571BF7">
        <w:rPr>
          <w:rFonts w:ascii="Times New Roman" w:hAnsi="Times New Roman"/>
          <w:i/>
        </w:rPr>
        <w:t>4</w:t>
      </w:r>
      <w:r>
        <w:rPr>
          <w:rFonts w:ascii="Times New Roman" w:hAnsi="Times New Roman"/>
        </w:rPr>
        <w:t>. Since then</w:t>
      </w:r>
      <w:r w:rsidR="00571BF7">
        <w:rPr>
          <w:rFonts w:ascii="Times New Roman" w:hAnsi="Times New Roman"/>
        </w:rPr>
        <w:t xml:space="preserve">, the adoption of chapters 7 and 9 into the </w:t>
      </w:r>
      <w:r w:rsidR="00571BF7">
        <w:rPr>
          <w:rFonts w:ascii="Times New Roman" w:hAnsi="Times New Roman"/>
          <w:i/>
        </w:rPr>
        <w:t>Work Health and Safety Regulation 2011</w:t>
      </w:r>
      <w:r>
        <w:rPr>
          <w:rFonts w:ascii="Times New Roman" w:hAnsi="Times New Roman"/>
        </w:rPr>
        <w:t xml:space="preserve"> </w:t>
      </w:r>
      <w:r w:rsidR="00571BF7">
        <w:rPr>
          <w:rFonts w:ascii="Times New Roman" w:hAnsi="Times New Roman"/>
        </w:rPr>
        <w:t xml:space="preserve">now means they are </w:t>
      </w:r>
      <w:r>
        <w:rPr>
          <w:rFonts w:ascii="Times New Roman" w:hAnsi="Times New Roman"/>
        </w:rPr>
        <w:t>largely regulated as hazardous chemicals under the</w:t>
      </w:r>
      <w:r w:rsidR="00571BF7">
        <w:rPr>
          <w:rFonts w:ascii="Times New Roman" w:hAnsi="Times New Roman"/>
        </w:rPr>
        <w:t xml:space="preserve"> WHS Act</w:t>
      </w:r>
      <w:r>
        <w:rPr>
          <w:rFonts w:ascii="Times New Roman" w:hAnsi="Times New Roman"/>
        </w:rPr>
        <w:t>.</w:t>
      </w:r>
      <w:r w:rsidR="00571BF7">
        <w:rPr>
          <w:rFonts w:ascii="Times New Roman" w:hAnsi="Times New Roman"/>
        </w:rPr>
        <w:t xml:space="preserve"> As such, the new fees relate to recently inserted provisions adopting chapters 7 and 9 as agreed by Government and passed by the Legislative Assembly.</w:t>
      </w:r>
    </w:p>
    <w:p w:rsidR="00AC3132" w:rsidRDefault="00AC3132" w:rsidP="000475AE">
      <w:pPr>
        <w:spacing w:before="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particular, the new </w:t>
      </w:r>
      <w:r w:rsidR="00571BF7">
        <w:rPr>
          <w:rFonts w:ascii="Times New Roman" w:hAnsi="Times New Roman"/>
        </w:rPr>
        <w:t>chapters include provisions in relation to the new fees that</w:t>
      </w:r>
      <w:r>
        <w:rPr>
          <w:rFonts w:ascii="Times New Roman" w:hAnsi="Times New Roman"/>
        </w:rPr>
        <w:t>:</w:t>
      </w:r>
    </w:p>
    <w:p w:rsidR="00AC3132" w:rsidRDefault="00E35F85" w:rsidP="000475AE">
      <w:pPr>
        <w:pStyle w:val="ListParagraph"/>
        <w:numPr>
          <w:ilvl w:val="0"/>
          <w:numId w:val="1"/>
        </w:numPr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require persons conducting a business or undertaking where manifest quantities of hazardous chemicals are handled and stored to notify the regulator of the fact;</w:t>
      </w:r>
    </w:p>
    <w:p w:rsidR="00EB239C" w:rsidRDefault="00571BF7" w:rsidP="000475AE">
      <w:pPr>
        <w:pStyle w:val="ListParagraph"/>
        <w:numPr>
          <w:ilvl w:val="0"/>
          <w:numId w:val="1"/>
        </w:numPr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provide</w:t>
      </w:r>
      <w:r w:rsidR="00EB239C">
        <w:rPr>
          <w:rFonts w:ascii="Times New Roman" w:hAnsi="Times New Roman"/>
        </w:rPr>
        <w:t xml:space="preserve"> for applications and exemptions for persons conducting a business or undertaking who store and/or handle prohibited or restricted carcinogens; and</w:t>
      </w:r>
    </w:p>
    <w:p w:rsidR="00E35F85" w:rsidRDefault="00E35F85" w:rsidP="000475AE">
      <w:pPr>
        <w:pStyle w:val="ListParagraph"/>
        <w:numPr>
          <w:ilvl w:val="0"/>
          <w:numId w:val="1"/>
        </w:numPr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require major hazard facilities (determined or otherwise) to be licensed.</w:t>
      </w:r>
    </w:p>
    <w:p w:rsidR="00174BE3" w:rsidRPr="000F30BB" w:rsidRDefault="00854608" w:rsidP="000475AE">
      <w:pPr>
        <w:spacing w:before="16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174BE3">
        <w:rPr>
          <w:rFonts w:ascii="Times New Roman" w:hAnsi="Times New Roman"/>
        </w:rPr>
        <w:t xml:space="preserve">he </w:t>
      </w:r>
      <w:r>
        <w:rPr>
          <w:rFonts w:ascii="Times New Roman" w:hAnsi="Times New Roman"/>
        </w:rPr>
        <w:t>new</w:t>
      </w:r>
      <w:r w:rsidRPr="00174BE3">
        <w:rPr>
          <w:rFonts w:ascii="Times New Roman" w:hAnsi="Times New Roman"/>
        </w:rPr>
        <w:t xml:space="preserve"> fees </w:t>
      </w:r>
      <w:r>
        <w:rPr>
          <w:rFonts w:ascii="Times New Roman" w:hAnsi="Times New Roman"/>
        </w:rPr>
        <w:t xml:space="preserve">are a cost recovery model </w:t>
      </w:r>
      <w:r w:rsidRPr="007E5250">
        <w:rPr>
          <w:rFonts w:ascii="Times New Roman" w:hAnsi="Times New Roman"/>
        </w:rPr>
        <w:t>based on th</w:t>
      </w:r>
      <w:r w:rsidR="000D69CB">
        <w:rPr>
          <w:rFonts w:ascii="Times New Roman" w:hAnsi="Times New Roman"/>
        </w:rPr>
        <w:t>e administ</w:t>
      </w:r>
      <w:r w:rsidR="00636EDD">
        <w:rPr>
          <w:rFonts w:ascii="Times New Roman" w:hAnsi="Times New Roman"/>
        </w:rPr>
        <w:t xml:space="preserve">rative burden to Access Canberra </w:t>
      </w:r>
      <w:r w:rsidR="00EB239C">
        <w:rPr>
          <w:rFonts w:ascii="Times New Roman" w:hAnsi="Times New Roman"/>
        </w:rPr>
        <w:t>in regulating the newly inserted provisions in relation to the storage and handling of hazardous chemicals and at major hazard facilities.</w:t>
      </w:r>
      <w:r w:rsidR="000F30BB">
        <w:rPr>
          <w:rFonts w:ascii="Times New Roman" w:hAnsi="Times New Roman"/>
        </w:rPr>
        <w:t xml:space="preserve"> </w:t>
      </w:r>
    </w:p>
    <w:p w:rsidR="000475AE" w:rsidRDefault="00F458AA" w:rsidP="000475AE">
      <w:pPr>
        <w:pStyle w:val="LongTitle"/>
        <w:spacing w:before="160" w:after="0"/>
        <w:jc w:val="left"/>
      </w:pPr>
      <w:r>
        <w:rPr>
          <w:color w:val="000000"/>
        </w:rPr>
        <w:t xml:space="preserve">Item numbers, included in </w:t>
      </w:r>
      <w:r>
        <w:t>the schedule</w:t>
      </w:r>
      <w:r w:rsidRPr="0075450D">
        <w:t>, column 2</w:t>
      </w:r>
      <w:r>
        <w:t>, enable the comparison of past fees set under the Act with those set by this instrument.</w:t>
      </w:r>
    </w:p>
    <w:p w:rsidR="00F458AA" w:rsidRPr="0038380C" w:rsidRDefault="00F458AA" w:rsidP="000475AE">
      <w:pPr>
        <w:pStyle w:val="LongTitle"/>
        <w:spacing w:before="160" w:after="0"/>
        <w:jc w:val="left"/>
      </w:pPr>
      <w:r>
        <w:t>The instrument contains further explanatory notes about the fee for various items in the past Financial Year.</w:t>
      </w:r>
    </w:p>
    <w:sectPr w:rsidR="00F458AA" w:rsidRPr="0038380C" w:rsidSect="00E25C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60" w:right="1304" w:bottom="993" w:left="1304" w:header="567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132" w:rsidRDefault="00AC3132">
      <w:r>
        <w:separator/>
      </w:r>
    </w:p>
  </w:endnote>
  <w:endnote w:type="continuationSeparator" w:id="0">
    <w:p w:rsidR="00AC3132" w:rsidRDefault="00AC3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nivers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FB1" w:rsidRDefault="00457F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132" w:rsidRPr="00457FB1" w:rsidRDefault="00457FB1" w:rsidP="00457FB1">
    <w:pPr>
      <w:pStyle w:val="Footer"/>
      <w:jc w:val="center"/>
      <w:rPr>
        <w:sz w:val="14"/>
      </w:rPr>
    </w:pPr>
    <w:r w:rsidRPr="00457FB1">
      <w:rPr>
        <w:sz w:val="14"/>
      </w:rPr>
      <w:t>Unauthorised version prepared by ACT Parliamentary Counsel’s Office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FB1" w:rsidRDefault="00457F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132" w:rsidRDefault="00AC3132">
      <w:r>
        <w:separator/>
      </w:r>
    </w:p>
  </w:footnote>
  <w:footnote w:type="continuationSeparator" w:id="0">
    <w:p w:rsidR="00AC3132" w:rsidRDefault="00AC3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FB1" w:rsidRDefault="00457F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132" w:rsidRDefault="00AC3132">
    <w:pPr>
      <w:tabs>
        <w:tab w:val="left" w:pos="2280"/>
        <w:tab w:val="left" w:pos="3860"/>
      </w:tabs>
      <w:ind w:right="-308"/>
      <w:rPr>
        <w:sz w:val="2"/>
        <w:szCs w:val="2"/>
      </w:rPr>
    </w:pPr>
  </w:p>
  <w:p w:rsidR="00AC3132" w:rsidRDefault="00AC3132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FB1" w:rsidRDefault="00457F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C089B"/>
    <w:multiLevelType w:val="hybridMultilevel"/>
    <w:tmpl w:val="B5D05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stylePaneFormatFilter w:val="3F01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ED022C"/>
    <w:rsid w:val="00004B80"/>
    <w:rsid w:val="000055E6"/>
    <w:rsid w:val="000056F7"/>
    <w:rsid w:val="00007E8E"/>
    <w:rsid w:val="00011A69"/>
    <w:rsid w:val="00013653"/>
    <w:rsid w:val="000153D2"/>
    <w:rsid w:val="000202F0"/>
    <w:rsid w:val="00020651"/>
    <w:rsid w:val="00020AA2"/>
    <w:rsid w:val="00025FCD"/>
    <w:rsid w:val="00027DD8"/>
    <w:rsid w:val="0003277E"/>
    <w:rsid w:val="00034237"/>
    <w:rsid w:val="00034E0E"/>
    <w:rsid w:val="00036422"/>
    <w:rsid w:val="00036624"/>
    <w:rsid w:val="00041876"/>
    <w:rsid w:val="00043EC5"/>
    <w:rsid w:val="000475AE"/>
    <w:rsid w:val="0005173B"/>
    <w:rsid w:val="00051DE3"/>
    <w:rsid w:val="00054F69"/>
    <w:rsid w:val="000610E8"/>
    <w:rsid w:val="000622A6"/>
    <w:rsid w:val="00062706"/>
    <w:rsid w:val="00070E94"/>
    <w:rsid w:val="00071BD4"/>
    <w:rsid w:val="00072C33"/>
    <w:rsid w:val="0007350E"/>
    <w:rsid w:val="000735DC"/>
    <w:rsid w:val="00073CBA"/>
    <w:rsid w:val="00081110"/>
    <w:rsid w:val="000820B3"/>
    <w:rsid w:val="0009054E"/>
    <w:rsid w:val="00092434"/>
    <w:rsid w:val="0009352C"/>
    <w:rsid w:val="00094D53"/>
    <w:rsid w:val="00095B9F"/>
    <w:rsid w:val="0009797F"/>
    <w:rsid w:val="000A24E2"/>
    <w:rsid w:val="000A39BF"/>
    <w:rsid w:val="000A53BD"/>
    <w:rsid w:val="000B1A75"/>
    <w:rsid w:val="000C2F11"/>
    <w:rsid w:val="000C35DE"/>
    <w:rsid w:val="000C3EB9"/>
    <w:rsid w:val="000C5301"/>
    <w:rsid w:val="000C6379"/>
    <w:rsid w:val="000C7A76"/>
    <w:rsid w:val="000D1427"/>
    <w:rsid w:val="000D15DE"/>
    <w:rsid w:val="000D1EAF"/>
    <w:rsid w:val="000D27AA"/>
    <w:rsid w:val="000D3008"/>
    <w:rsid w:val="000D38F5"/>
    <w:rsid w:val="000D69CB"/>
    <w:rsid w:val="000E1337"/>
    <w:rsid w:val="000E236B"/>
    <w:rsid w:val="000E246F"/>
    <w:rsid w:val="000E4DD1"/>
    <w:rsid w:val="000F07E0"/>
    <w:rsid w:val="000F1EE2"/>
    <w:rsid w:val="000F2035"/>
    <w:rsid w:val="000F30BB"/>
    <w:rsid w:val="000F4A11"/>
    <w:rsid w:val="000F5A40"/>
    <w:rsid w:val="000F65F5"/>
    <w:rsid w:val="00100B65"/>
    <w:rsid w:val="00104752"/>
    <w:rsid w:val="00105442"/>
    <w:rsid w:val="00107E48"/>
    <w:rsid w:val="00113511"/>
    <w:rsid w:val="001138EA"/>
    <w:rsid w:val="00114D0C"/>
    <w:rsid w:val="00117BD5"/>
    <w:rsid w:val="00121A21"/>
    <w:rsid w:val="00122D8A"/>
    <w:rsid w:val="00127C7B"/>
    <w:rsid w:val="001426D2"/>
    <w:rsid w:val="0014649C"/>
    <w:rsid w:val="001464BE"/>
    <w:rsid w:val="00147037"/>
    <w:rsid w:val="00150023"/>
    <w:rsid w:val="0015309B"/>
    <w:rsid w:val="0015759A"/>
    <w:rsid w:val="0016087C"/>
    <w:rsid w:val="00161BDF"/>
    <w:rsid w:val="00172D4D"/>
    <w:rsid w:val="00173A2A"/>
    <w:rsid w:val="00174BE3"/>
    <w:rsid w:val="00175CD7"/>
    <w:rsid w:val="00176DB6"/>
    <w:rsid w:val="00177765"/>
    <w:rsid w:val="00185950"/>
    <w:rsid w:val="00185AB2"/>
    <w:rsid w:val="00185E74"/>
    <w:rsid w:val="00190D36"/>
    <w:rsid w:val="00192411"/>
    <w:rsid w:val="00193C03"/>
    <w:rsid w:val="001971C4"/>
    <w:rsid w:val="001A311F"/>
    <w:rsid w:val="001A330D"/>
    <w:rsid w:val="001B0752"/>
    <w:rsid w:val="001B0C90"/>
    <w:rsid w:val="001B0F94"/>
    <w:rsid w:val="001B23F6"/>
    <w:rsid w:val="001B3A32"/>
    <w:rsid w:val="001B4DA6"/>
    <w:rsid w:val="001B666F"/>
    <w:rsid w:val="001D03CC"/>
    <w:rsid w:val="001D3C5D"/>
    <w:rsid w:val="001E0453"/>
    <w:rsid w:val="001E0674"/>
    <w:rsid w:val="001E3CA7"/>
    <w:rsid w:val="001E64B3"/>
    <w:rsid w:val="001E6BF8"/>
    <w:rsid w:val="001F2108"/>
    <w:rsid w:val="001F291C"/>
    <w:rsid w:val="001F5677"/>
    <w:rsid w:val="00203533"/>
    <w:rsid w:val="00204314"/>
    <w:rsid w:val="00207FF6"/>
    <w:rsid w:val="00211673"/>
    <w:rsid w:val="0021226D"/>
    <w:rsid w:val="00212A56"/>
    <w:rsid w:val="00217525"/>
    <w:rsid w:val="00220A55"/>
    <w:rsid w:val="00220F23"/>
    <w:rsid w:val="00232B32"/>
    <w:rsid w:val="002335BD"/>
    <w:rsid w:val="002340C8"/>
    <w:rsid w:val="002346D9"/>
    <w:rsid w:val="0024230E"/>
    <w:rsid w:val="00244A98"/>
    <w:rsid w:val="00250014"/>
    <w:rsid w:val="00252340"/>
    <w:rsid w:val="00252FA2"/>
    <w:rsid w:val="00253EE6"/>
    <w:rsid w:val="00254834"/>
    <w:rsid w:val="00262FEE"/>
    <w:rsid w:val="00266B59"/>
    <w:rsid w:val="002707D3"/>
    <w:rsid w:val="00270C03"/>
    <w:rsid w:val="00270FD5"/>
    <w:rsid w:val="00274710"/>
    <w:rsid w:val="00277378"/>
    <w:rsid w:val="00277C5A"/>
    <w:rsid w:val="002802C2"/>
    <w:rsid w:val="00282576"/>
    <w:rsid w:val="00282BDD"/>
    <w:rsid w:val="00285594"/>
    <w:rsid w:val="00286B2B"/>
    <w:rsid w:val="00290348"/>
    <w:rsid w:val="002913CC"/>
    <w:rsid w:val="002A16B2"/>
    <w:rsid w:val="002A6B73"/>
    <w:rsid w:val="002A796A"/>
    <w:rsid w:val="002C0299"/>
    <w:rsid w:val="002C1598"/>
    <w:rsid w:val="002C1AD4"/>
    <w:rsid w:val="002C33F8"/>
    <w:rsid w:val="002C4BF2"/>
    <w:rsid w:val="002C5610"/>
    <w:rsid w:val="002C7FB1"/>
    <w:rsid w:val="002C7FB5"/>
    <w:rsid w:val="002D2F93"/>
    <w:rsid w:val="002D3B0A"/>
    <w:rsid w:val="002D4012"/>
    <w:rsid w:val="002E207B"/>
    <w:rsid w:val="002E2C30"/>
    <w:rsid w:val="002E3EA6"/>
    <w:rsid w:val="002F333E"/>
    <w:rsid w:val="002F692A"/>
    <w:rsid w:val="002F75E8"/>
    <w:rsid w:val="002F787C"/>
    <w:rsid w:val="003004DC"/>
    <w:rsid w:val="003068A3"/>
    <w:rsid w:val="00307F8D"/>
    <w:rsid w:val="00307FDD"/>
    <w:rsid w:val="0031151C"/>
    <w:rsid w:val="0031291E"/>
    <w:rsid w:val="00315C01"/>
    <w:rsid w:val="00320C13"/>
    <w:rsid w:val="0032256F"/>
    <w:rsid w:val="00324033"/>
    <w:rsid w:val="0032684C"/>
    <w:rsid w:val="00330B4C"/>
    <w:rsid w:val="00337DA3"/>
    <w:rsid w:val="003459DC"/>
    <w:rsid w:val="00350032"/>
    <w:rsid w:val="00350C58"/>
    <w:rsid w:val="0035145F"/>
    <w:rsid w:val="00357403"/>
    <w:rsid w:val="00361399"/>
    <w:rsid w:val="0036223D"/>
    <w:rsid w:val="00363481"/>
    <w:rsid w:val="00365605"/>
    <w:rsid w:val="003656FA"/>
    <w:rsid w:val="0037000A"/>
    <w:rsid w:val="00374095"/>
    <w:rsid w:val="0037589C"/>
    <w:rsid w:val="00375927"/>
    <w:rsid w:val="00376BFC"/>
    <w:rsid w:val="00377D27"/>
    <w:rsid w:val="00380695"/>
    <w:rsid w:val="003813C7"/>
    <w:rsid w:val="003817FB"/>
    <w:rsid w:val="0038315F"/>
    <w:rsid w:val="0038380C"/>
    <w:rsid w:val="00384DFB"/>
    <w:rsid w:val="003851CC"/>
    <w:rsid w:val="00386D47"/>
    <w:rsid w:val="0039084E"/>
    <w:rsid w:val="00390D87"/>
    <w:rsid w:val="00394344"/>
    <w:rsid w:val="0039443D"/>
    <w:rsid w:val="00396913"/>
    <w:rsid w:val="003A4CD0"/>
    <w:rsid w:val="003A62A9"/>
    <w:rsid w:val="003B3232"/>
    <w:rsid w:val="003B3670"/>
    <w:rsid w:val="003B6EEA"/>
    <w:rsid w:val="003B71C7"/>
    <w:rsid w:val="003C1086"/>
    <w:rsid w:val="003C2F51"/>
    <w:rsid w:val="003C5009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F4876"/>
    <w:rsid w:val="003F66A2"/>
    <w:rsid w:val="003F77A3"/>
    <w:rsid w:val="00400C02"/>
    <w:rsid w:val="004020D0"/>
    <w:rsid w:val="00405A52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F21"/>
    <w:rsid w:val="004512CB"/>
    <w:rsid w:val="00457FB1"/>
    <w:rsid w:val="004823C5"/>
    <w:rsid w:val="00486788"/>
    <w:rsid w:val="00494BAB"/>
    <w:rsid w:val="00495EAE"/>
    <w:rsid w:val="0049690B"/>
    <w:rsid w:val="00497033"/>
    <w:rsid w:val="004A1180"/>
    <w:rsid w:val="004A27B8"/>
    <w:rsid w:val="004A5A7F"/>
    <w:rsid w:val="004B66AE"/>
    <w:rsid w:val="004C1FBD"/>
    <w:rsid w:val="004C42FA"/>
    <w:rsid w:val="004C49DE"/>
    <w:rsid w:val="004C5AAA"/>
    <w:rsid w:val="004C6EF6"/>
    <w:rsid w:val="004D02DA"/>
    <w:rsid w:val="004D0FD4"/>
    <w:rsid w:val="004D2A83"/>
    <w:rsid w:val="004D3F36"/>
    <w:rsid w:val="004D63D3"/>
    <w:rsid w:val="004E6B0F"/>
    <w:rsid w:val="004E6D80"/>
    <w:rsid w:val="004E77CF"/>
    <w:rsid w:val="004F0EE3"/>
    <w:rsid w:val="004F3022"/>
    <w:rsid w:val="004F5CE6"/>
    <w:rsid w:val="00500F9D"/>
    <w:rsid w:val="00502593"/>
    <w:rsid w:val="00502A5D"/>
    <w:rsid w:val="00504825"/>
    <w:rsid w:val="005108D1"/>
    <w:rsid w:val="005118C4"/>
    <w:rsid w:val="00521BFE"/>
    <w:rsid w:val="005332DE"/>
    <w:rsid w:val="005335C1"/>
    <w:rsid w:val="005344D2"/>
    <w:rsid w:val="00534EAF"/>
    <w:rsid w:val="00535AED"/>
    <w:rsid w:val="00541482"/>
    <w:rsid w:val="00541E70"/>
    <w:rsid w:val="00545502"/>
    <w:rsid w:val="005479D6"/>
    <w:rsid w:val="005506E4"/>
    <w:rsid w:val="0055140F"/>
    <w:rsid w:val="0055181C"/>
    <w:rsid w:val="0055324E"/>
    <w:rsid w:val="005602B5"/>
    <w:rsid w:val="00565797"/>
    <w:rsid w:val="00566240"/>
    <w:rsid w:val="005669A1"/>
    <w:rsid w:val="00567A0D"/>
    <w:rsid w:val="00571BF7"/>
    <w:rsid w:val="0057489C"/>
    <w:rsid w:val="0057564F"/>
    <w:rsid w:val="005758A5"/>
    <w:rsid w:val="00581B26"/>
    <w:rsid w:val="0058702A"/>
    <w:rsid w:val="005912D1"/>
    <w:rsid w:val="00594233"/>
    <w:rsid w:val="0059567B"/>
    <w:rsid w:val="00597B02"/>
    <w:rsid w:val="005A18DE"/>
    <w:rsid w:val="005A23BE"/>
    <w:rsid w:val="005A2E64"/>
    <w:rsid w:val="005A57F2"/>
    <w:rsid w:val="005A6186"/>
    <w:rsid w:val="005A69A8"/>
    <w:rsid w:val="005B04BC"/>
    <w:rsid w:val="005B2DBA"/>
    <w:rsid w:val="005B5C7F"/>
    <w:rsid w:val="005C0A75"/>
    <w:rsid w:val="005C281E"/>
    <w:rsid w:val="005C2A14"/>
    <w:rsid w:val="005C35AE"/>
    <w:rsid w:val="005C656A"/>
    <w:rsid w:val="005C780B"/>
    <w:rsid w:val="005D1766"/>
    <w:rsid w:val="005D4CBE"/>
    <w:rsid w:val="005D5A60"/>
    <w:rsid w:val="005E12C8"/>
    <w:rsid w:val="005E1E26"/>
    <w:rsid w:val="005E470A"/>
    <w:rsid w:val="005E6A3C"/>
    <w:rsid w:val="005F121D"/>
    <w:rsid w:val="005F29D2"/>
    <w:rsid w:val="005F4FB1"/>
    <w:rsid w:val="005F70DD"/>
    <w:rsid w:val="005F7FA8"/>
    <w:rsid w:val="00603D6F"/>
    <w:rsid w:val="0061013A"/>
    <w:rsid w:val="0061166B"/>
    <w:rsid w:val="00613B88"/>
    <w:rsid w:val="00616005"/>
    <w:rsid w:val="00616AF0"/>
    <w:rsid w:val="00616FBF"/>
    <w:rsid w:val="006220A1"/>
    <w:rsid w:val="0062294C"/>
    <w:rsid w:val="00622C02"/>
    <w:rsid w:val="0062496B"/>
    <w:rsid w:val="0062783C"/>
    <w:rsid w:val="00627F8C"/>
    <w:rsid w:val="00630DD3"/>
    <w:rsid w:val="0063152E"/>
    <w:rsid w:val="0063251C"/>
    <w:rsid w:val="00633993"/>
    <w:rsid w:val="00634931"/>
    <w:rsid w:val="00636EDD"/>
    <w:rsid w:val="0064212A"/>
    <w:rsid w:val="00642944"/>
    <w:rsid w:val="00644C3A"/>
    <w:rsid w:val="006458C7"/>
    <w:rsid w:val="0065688A"/>
    <w:rsid w:val="006568F8"/>
    <w:rsid w:val="0065756C"/>
    <w:rsid w:val="00657CEF"/>
    <w:rsid w:val="00660A7E"/>
    <w:rsid w:val="006627A0"/>
    <w:rsid w:val="006640AD"/>
    <w:rsid w:val="00666389"/>
    <w:rsid w:val="006707A6"/>
    <w:rsid w:val="00672189"/>
    <w:rsid w:val="00676667"/>
    <w:rsid w:val="00681F9D"/>
    <w:rsid w:val="00682049"/>
    <w:rsid w:val="006859EC"/>
    <w:rsid w:val="0068739F"/>
    <w:rsid w:val="0069290D"/>
    <w:rsid w:val="00693709"/>
    <w:rsid w:val="0069491E"/>
    <w:rsid w:val="006A0279"/>
    <w:rsid w:val="006A3028"/>
    <w:rsid w:val="006A3ECC"/>
    <w:rsid w:val="006A609C"/>
    <w:rsid w:val="006A61AB"/>
    <w:rsid w:val="006B18D7"/>
    <w:rsid w:val="006B55E5"/>
    <w:rsid w:val="006B6498"/>
    <w:rsid w:val="006C353D"/>
    <w:rsid w:val="006C5A40"/>
    <w:rsid w:val="006C72D7"/>
    <w:rsid w:val="006D1DAE"/>
    <w:rsid w:val="006D74F4"/>
    <w:rsid w:val="006E1759"/>
    <w:rsid w:val="006E1F9D"/>
    <w:rsid w:val="006E2792"/>
    <w:rsid w:val="006E5D82"/>
    <w:rsid w:val="006E7BAF"/>
    <w:rsid w:val="006F013C"/>
    <w:rsid w:val="006F0721"/>
    <w:rsid w:val="006F1AFE"/>
    <w:rsid w:val="006F7BB0"/>
    <w:rsid w:val="00701B0F"/>
    <w:rsid w:val="007034EC"/>
    <w:rsid w:val="007059C2"/>
    <w:rsid w:val="00713770"/>
    <w:rsid w:val="00714718"/>
    <w:rsid w:val="00715848"/>
    <w:rsid w:val="00717DBF"/>
    <w:rsid w:val="0072286D"/>
    <w:rsid w:val="007261FA"/>
    <w:rsid w:val="00727E0F"/>
    <w:rsid w:val="0073261A"/>
    <w:rsid w:val="00733234"/>
    <w:rsid w:val="00735FDA"/>
    <w:rsid w:val="0074386A"/>
    <w:rsid w:val="00745B3A"/>
    <w:rsid w:val="00747174"/>
    <w:rsid w:val="00753986"/>
    <w:rsid w:val="0075450D"/>
    <w:rsid w:val="00757C8D"/>
    <w:rsid w:val="007611E7"/>
    <w:rsid w:val="00762225"/>
    <w:rsid w:val="00764902"/>
    <w:rsid w:val="0076637E"/>
    <w:rsid w:val="007707FD"/>
    <w:rsid w:val="0077087E"/>
    <w:rsid w:val="00772C02"/>
    <w:rsid w:val="007740FC"/>
    <w:rsid w:val="00774F30"/>
    <w:rsid w:val="0077678D"/>
    <w:rsid w:val="007910A1"/>
    <w:rsid w:val="00792422"/>
    <w:rsid w:val="0079260D"/>
    <w:rsid w:val="007937EC"/>
    <w:rsid w:val="00797277"/>
    <w:rsid w:val="007A417E"/>
    <w:rsid w:val="007A587A"/>
    <w:rsid w:val="007A5A08"/>
    <w:rsid w:val="007A7CBD"/>
    <w:rsid w:val="007B3E96"/>
    <w:rsid w:val="007B434F"/>
    <w:rsid w:val="007B6E56"/>
    <w:rsid w:val="007B720D"/>
    <w:rsid w:val="007C0363"/>
    <w:rsid w:val="007C1767"/>
    <w:rsid w:val="007C3F11"/>
    <w:rsid w:val="007C4D6A"/>
    <w:rsid w:val="007C4EA9"/>
    <w:rsid w:val="007D130D"/>
    <w:rsid w:val="007D1B9F"/>
    <w:rsid w:val="007D3CDD"/>
    <w:rsid w:val="007E3485"/>
    <w:rsid w:val="007E3DC4"/>
    <w:rsid w:val="007E3F89"/>
    <w:rsid w:val="007E459C"/>
    <w:rsid w:val="007E5250"/>
    <w:rsid w:val="007E549D"/>
    <w:rsid w:val="007F1737"/>
    <w:rsid w:val="007F27B8"/>
    <w:rsid w:val="007F4EAA"/>
    <w:rsid w:val="007F5555"/>
    <w:rsid w:val="007F5DDE"/>
    <w:rsid w:val="007F6928"/>
    <w:rsid w:val="0081062F"/>
    <w:rsid w:val="00813A12"/>
    <w:rsid w:val="00822CA6"/>
    <w:rsid w:val="0082490C"/>
    <w:rsid w:val="0082515A"/>
    <w:rsid w:val="00830C6A"/>
    <w:rsid w:val="00831B2E"/>
    <w:rsid w:val="008323C5"/>
    <w:rsid w:val="00846198"/>
    <w:rsid w:val="008467E9"/>
    <w:rsid w:val="00846E4E"/>
    <w:rsid w:val="008524E5"/>
    <w:rsid w:val="00852E2C"/>
    <w:rsid w:val="00853DF1"/>
    <w:rsid w:val="00853E83"/>
    <w:rsid w:val="00854608"/>
    <w:rsid w:val="00856241"/>
    <w:rsid w:val="008605B8"/>
    <w:rsid w:val="008631C0"/>
    <w:rsid w:val="008637EF"/>
    <w:rsid w:val="00864A73"/>
    <w:rsid w:val="00870BFC"/>
    <w:rsid w:val="008741A6"/>
    <w:rsid w:val="008769FD"/>
    <w:rsid w:val="00877601"/>
    <w:rsid w:val="00877B4C"/>
    <w:rsid w:val="00877F4B"/>
    <w:rsid w:val="008859CD"/>
    <w:rsid w:val="0089019E"/>
    <w:rsid w:val="0089091C"/>
    <w:rsid w:val="00892DB4"/>
    <w:rsid w:val="00894690"/>
    <w:rsid w:val="008A05DE"/>
    <w:rsid w:val="008A0FD9"/>
    <w:rsid w:val="008A37B0"/>
    <w:rsid w:val="008B0C24"/>
    <w:rsid w:val="008B0D9B"/>
    <w:rsid w:val="008B32E4"/>
    <w:rsid w:val="008B3F2E"/>
    <w:rsid w:val="008B6F3C"/>
    <w:rsid w:val="008C127B"/>
    <w:rsid w:val="008C19A2"/>
    <w:rsid w:val="008C1B2C"/>
    <w:rsid w:val="008C1D4B"/>
    <w:rsid w:val="008C488A"/>
    <w:rsid w:val="008C4B06"/>
    <w:rsid w:val="008C6532"/>
    <w:rsid w:val="008D0090"/>
    <w:rsid w:val="008D11BB"/>
    <w:rsid w:val="008D464C"/>
    <w:rsid w:val="008E53E0"/>
    <w:rsid w:val="008E6CC2"/>
    <w:rsid w:val="008F1149"/>
    <w:rsid w:val="008F24B0"/>
    <w:rsid w:val="008F36C7"/>
    <w:rsid w:val="008F3D22"/>
    <w:rsid w:val="008F40FB"/>
    <w:rsid w:val="008F5888"/>
    <w:rsid w:val="008F63B9"/>
    <w:rsid w:val="009020F7"/>
    <w:rsid w:val="00903F6D"/>
    <w:rsid w:val="00905602"/>
    <w:rsid w:val="009066D6"/>
    <w:rsid w:val="00906973"/>
    <w:rsid w:val="00910A55"/>
    <w:rsid w:val="009119EE"/>
    <w:rsid w:val="00912190"/>
    <w:rsid w:val="00917E23"/>
    <w:rsid w:val="009212D6"/>
    <w:rsid w:val="00921EF4"/>
    <w:rsid w:val="0093109B"/>
    <w:rsid w:val="00933909"/>
    <w:rsid w:val="00934334"/>
    <w:rsid w:val="00935665"/>
    <w:rsid w:val="00935CC8"/>
    <w:rsid w:val="00935D3F"/>
    <w:rsid w:val="00937083"/>
    <w:rsid w:val="0094269C"/>
    <w:rsid w:val="00947A76"/>
    <w:rsid w:val="00951542"/>
    <w:rsid w:val="00956FE0"/>
    <w:rsid w:val="00957838"/>
    <w:rsid w:val="00960900"/>
    <w:rsid w:val="00960A98"/>
    <w:rsid w:val="00964388"/>
    <w:rsid w:val="00965BE6"/>
    <w:rsid w:val="00967324"/>
    <w:rsid w:val="00971644"/>
    <w:rsid w:val="00971AC4"/>
    <w:rsid w:val="0098023A"/>
    <w:rsid w:val="009808BC"/>
    <w:rsid w:val="00987035"/>
    <w:rsid w:val="009942D1"/>
    <w:rsid w:val="00995BBE"/>
    <w:rsid w:val="00997F96"/>
    <w:rsid w:val="009A0568"/>
    <w:rsid w:val="009A4360"/>
    <w:rsid w:val="009A4EE7"/>
    <w:rsid w:val="009A5235"/>
    <w:rsid w:val="009A5DA3"/>
    <w:rsid w:val="009A6F8A"/>
    <w:rsid w:val="009B3D8B"/>
    <w:rsid w:val="009B51F0"/>
    <w:rsid w:val="009B64A3"/>
    <w:rsid w:val="009C056B"/>
    <w:rsid w:val="009C1283"/>
    <w:rsid w:val="009C6368"/>
    <w:rsid w:val="009D0E3A"/>
    <w:rsid w:val="009D1695"/>
    <w:rsid w:val="009D24B2"/>
    <w:rsid w:val="009D44BA"/>
    <w:rsid w:val="009D7537"/>
    <w:rsid w:val="009E091B"/>
    <w:rsid w:val="009E17F3"/>
    <w:rsid w:val="009E3315"/>
    <w:rsid w:val="009E3376"/>
    <w:rsid w:val="009F1892"/>
    <w:rsid w:val="009F2927"/>
    <w:rsid w:val="009F36B7"/>
    <w:rsid w:val="009F433F"/>
    <w:rsid w:val="00A01890"/>
    <w:rsid w:val="00A022A7"/>
    <w:rsid w:val="00A046B6"/>
    <w:rsid w:val="00A046BA"/>
    <w:rsid w:val="00A0741D"/>
    <w:rsid w:val="00A118DB"/>
    <w:rsid w:val="00A123BB"/>
    <w:rsid w:val="00A14875"/>
    <w:rsid w:val="00A15010"/>
    <w:rsid w:val="00A20807"/>
    <w:rsid w:val="00A21C75"/>
    <w:rsid w:val="00A23303"/>
    <w:rsid w:val="00A2347A"/>
    <w:rsid w:val="00A23B1D"/>
    <w:rsid w:val="00A31D43"/>
    <w:rsid w:val="00A32494"/>
    <w:rsid w:val="00A330ED"/>
    <w:rsid w:val="00A337A2"/>
    <w:rsid w:val="00A3777B"/>
    <w:rsid w:val="00A40D99"/>
    <w:rsid w:val="00A43823"/>
    <w:rsid w:val="00A45A90"/>
    <w:rsid w:val="00A46B25"/>
    <w:rsid w:val="00A5221E"/>
    <w:rsid w:val="00A55605"/>
    <w:rsid w:val="00A60B01"/>
    <w:rsid w:val="00A6118D"/>
    <w:rsid w:val="00A62592"/>
    <w:rsid w:val="00A67156"/>
    <w:rsid w:val="00A6798D"/>
    <w:rsid w:val="00A701F7"/>
    <w:rsid w:val="00A7297D"/>
    <w:rsid w:val="00A74A91"/>
    <w:rsid w:val="00A77A05"/>
    <w:rsid w:val="00A871DF"/>
    <w:rsid w:val="00A917A6"/>
    <w:rsid w:val="00A91853"/>
    <w:rsid w:val="00A918AF"/>
    <w:rsid w:val="00A92667"/>
    <w:rsid w:val="00A92E89"/>
    <w:rsid w:val="00A96A8C"/>
    <w:rsid w:val="00AA0225"/>
    <w:rsid w:val="00AA1C61"/>
    <w:rsid w:val="00AA5494"/>
    <w:rsid w:val="00AA5B6E"/>
    <w:rsid w:val="00AB4F53"/>
    <w:rsid w:val="00AB63D1"/>
    <w:rsid w:val="00AB732F"/>
    <w:rsid w:val="00AC3132"/>
    <w:rsid w:val="00AC60E1"/>
    <w:rsid w:val="00AC692D"/>
    <w:rsid w:val="00AD06C2"/>
    <w:rsid w:val="00AD0AFC"/>
    <w:rsid w:val="00AD32F1"/>
    <w:rsid w:val="00AD3506"/>
    <w:rsid w:val="00AD387B"/>
    <w:rsid w:val="00AD46A7"/>
    <w:rsid w:val="00AD669C"/>
    <w:rsid w:val="00AD7DE4"/>
    <w:rsid w:val="00AE2200"/>
    <w:rsid w:val="00AE45CF"/>
    <w:rsid w:val="00AE70EF"/>
    <w:rsid w:val="00AE7DAE"/>
    <w:rsid w:val="00AF1018"/>
    <w:rsid w:val="00AF5286"/>
    <w:rsid w:val="00AF52D9"/>
    <w:rsid w:val="00B0208A"/>
    <w:rsid w:val="00B0232B"/>
    <w:rsid w:val="00B02DAE"/>
    <w:rsid w:val="00B10417"/>
    <w:rsid w:val="00B114E8"/>
    <w:rsid w:val="00B202AC"/>
    <w:rsid w:val="00B2073B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3EE2"/>
    <w:rsid w:val="00B34C9F"/>
    <w:rsid w:val="00B36A19"/>
    <w:rsid w:val="00B40398"/>
    <w:rsid w:val="00B41D74"/>
    <w:rsid w:val="00B42645"/>
    <w:rsid w:val="00B42B17"/>
    <w:rsid w:val="00B4501B"/>
    <w:rsid w:val="00B5198B"/>
    <w:rsid w:val="00B51A77"/>
    <w:rsid w:val="00B603AF"/>
    <w:rsid w:val="00B61141"/>
    <w:rsid w:val="00B61272"/>
    <w:rsid w:val="00B65E35"/>
    <w:rsid w:val="00B7059B"/>
    <w:rsid w:val="00B72A25"/>
    <w:rsid w:val="00B74E1A"/>
    <w:rsid w:val="00B75D36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B26B1"/>
    <w:rsid w:val="00BB3E92"/>
    <w:rsid w:val="00BB42FC"/>
    <w:rsid w:val="00BB7F26"/>
    <w:rsid w:val="00BC0867"/>
    <w:rsid w:val="00BC27E8"/>
    <w:rsid w:val="00BC2D7B"/>
    <w:rsid w:val="00BC5284"/>
    <w:rsid w:val="00BD0B8F"/>
    <w:rsid w:val="00BD2F66"/>
    <w:rsid w:val="00BD4A08"/>
    <w:rsid w:val="00BD4FF9"/>
    <w:rsid w:val="00BD580A"/>
    <w:rsid w:val="00BE091C"/>
    <w:rsid w:val="00BE17B2"/>
    <w:rsid w:val="00BE25A3"/>
    <w:rsid w:val="00BE5C50"/>
    <w:rsid w:val="00BF4480"/>
    <w:rsid w:val="00C0008F"/>
    <w:rsid w:val="00C062AA"/>
    <w:rsid w:val="00C06AE4"/>
    <w:rsid w:val="00C07C33"/>
    <w:rsid w:val="00C11004"/>
    <w:rsid w:val="00C15FC9"/>
    <w:rsid w:val="00C16AC2"/>
    <w:rsid w:val="00C213CC"/>
    <w:rsid w:val="00C22C7C"/>
    <w:rsid w:val="00C23B15"/>
    <w:rsid w:val="00C245FD"/>
    <w:rsid w:val="00C24F5D"/>
    <w:rsid w:val="00C30007"/>
    <w:rsid w:val="00C35365"/>
    <w:rsid w:val="00C40050"/>
    <w:rsid w:val="00C40563"/>
    <w:rsid w:val="00C422E0"/>
    <w:rsid w:val="00C42756"/>
    <w:rsid w:val="00C46BB4"/>
    <w:rsid w:val="00C5077E"/>
    <w:rsid w:val="00C51B92"/>
    <w:rsid w:val="00C521F5"/>
    <w:rsid w:val="00C60909"/>
    <w:rsid w:val="00C7007E"/>
    <w:rsid w:val="00C72759"/>
    <w:rsid w:val="00C73861"/>
    <w:rsid w:val="00C73F2A"/>
    <w:rsid w:val="00C76618"/>
    <w:rsid w:val="00C7756B"/>
    <w:rsid w:val="00C8107A"/>
    <w:rsid w:val="00C85D86"/>
    <w:rsid w:val="00C87758"/>
    <w:rsid w:val="00C9097A"/>
    <w:rsid w:val="00C92177"/>
    <w:rsid w:val="00C943A5"/>
    <w:rsid w:val="00C9565F"/>
    <w:rsid w:val="00C9649E"/>
    <w:rsid w:val="00CA10EC"/>
    <w:rsid w:val="00CA12BD"/>
    <w:rsid w:val="00CA53B3"/>
    <w:rsid w:val="00CA5A76"/>
    <w:rsid w:val="00CA6E64"/>
    <w:rsid w:val="00CA7986"/>
    <w:rsid w:val="00CB05D7"/>
    <w:rsid w:val="00CB1156"/>
    <w:rsid w:val="00CB7728"/>
    <w:rsid w:val="00CC2E51"/>
    <w:rsid w:val="00CC520D"/>
    <w:rsid w:val="00CC6AFE"/>
    <w:rsid w:val="00CC78A3"/>
    <w:rsid w:val="00CD25CE"/>
    <w:rsid w:val="00CD5461"/>
    <w:rsid w:val="00CD783C"/>
    <w:rsid w:val="00CE186F"/>
    <w:rsid w:val="00CE2C2F"/>
    <w:rsid w:val="00CE5DAE"/>
    <w:rsid w:val="00CF2381"/>
    <w:rsid w:val="00CF27D3"/>
    <w:rsid w:val="00CF738D"/>
    <w:rsid w:val="00D016C7"/>
    <w:rsid w:val="00D0277A"/>
    <w:rsid w:val="00D033A3"/>
    <w:rsid w:val="00D04784"/>
    <w:rsid w:val="00D05CFE"/>
    <w:rsid w:val="00D12A1B"/>
    <w:rsid w:val="00D12F07"/>
    <w:rsid w:val="00D17417"/>
    <w:rsid w:val="00D225B7"/>
    <w:rsid w:val="00D22A12"/>
    <w:rsid w:val="00D24CE0"/>
    <w:rsid w:val="00D30850"/>
    <w:rsid w:val="00D35D17"/>
    <w:rsid w:val="00D36584"/>
    <w:rsid w:val="00D36A50"/>
    <w:rsid w:val="00D400EC"/>
    <w:rsid w:val="00D41698"/>
    <w:rsid w:val="00D419FB"/>
    <w:rsid w:val="00D451F2"/>
    <w:rsid w:val="00D475BD"/>
    <w:rsid w:val="00D54E49"/>
    <w:rsid w:val="00D56B34"/>
    <w:rsid w:val="00D62A84"/>
    <w:rsid w:val="00D65D5C"/>
    <w:rsid w:val="00D700EA"/>
    <w:rsid w:val="00D71AFB"/>
    <w:rsid w:val="00D72108"/>
    <w:rsid w:val="00D72B29"/>
    <w:rsid w:val="00D73890"/>
    <w:rsid w:val="00D80F78"/>
    <w:rsid w:val="00D82A6D"/>
    <w:rsid w:val="00D84180"/>
    <w:rsid w:val="00D84F10"/>
    <w:rsid w:val="00D85CE4"/>
    <w:rsid w:val="00D956F7"/>
    <w:rsid w:val="00DA1F0C"/>
    <w:rsid w:val="00DA2195"/>
    <w:rsid w:val="00DA26CF"/>
    <w:rsid w:val="00DA5F47"/>
    <w:rsid w:val="00DA7882"/>
    <w:rsid w:val="00DA7F51"/>
    <w:rsid w:val="00DB16A3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D127A"/>
    <w:rsid w:val="00DD5CAC"/>
    <w:rsid w:val="00DD701C"/>
    <w:rsid w:val="00DE0612"/>
    <w:rsid w:val="00DE08D5"/>
    <w:rsid w:val="00DE157C"/>
    <w:rsid w:val="00DE25F8"/>
    <w:rsid w:val="00DE2A8C"/>
    <w:rsid w:val="00DE3875"/>
    <w:rsid w:val="00DE3ABA"/>
    <w:rsid w:val="00DE5016"/>
    <w:rsid w:val="00DF125C"/>
    <w:rsid w:val="00DF47B0"/>
    <w:rsid w:val="00DF4F72"/>
    <w:rsid w:val="00DF6129"/>
    <w:rsid w:val="00E0052C"/>
    <w:rsid w:val="00E037CE"/>
    <w:rsid w:val="00E03E17"/>
    <w:rsid w:val="00E050F3"/>
    <w:rsid w:val="00E061CA"/>
    <w:rsid w:val="00E06816"/>
    <w:rsid w:val="00E1089A"/>
    <w:rsid w:val="00E117A5"/>
    <w:rsid w:val="00E160D8"/>
    <w:rsid w:val="00E169D8"/>
    <w:rsid w:val="00E16A48"/>
    <w:rsid w:val="00E16C80"/>
    <w:rsid w:val="00E24175"/>
    <w:rsid w:val="00E25C7B"/>
    <w:rsid w:val="00E27687"/>
    <w:rsid w:val="00E27C14"/>
    <w:rsid w:val="00E31CF4"/>
    <w:rsid w:val="00E35F85"/>
    <w:rsid w:val="00E362C3"/>
    <w:rsid w:val="00E371CC"/>
    <w:rsid w:val="00E40A34"/>
    <w:rsid w:val="00E43425"/>
    <w:rsid w:val="00E479A3"/>
    <w:rsid w:val="00E50A9C"/>
    <w:rsid w:val="00E51942"/>
    <w:rsid w:val="00E53438"/>
    <w:rsid w:val="00E53780"/>
    <w:rsid w:val="00E569C9"/>
    <w:rsid w:val="00E56E0F"/>
    <w:rsid w:val="00E643E2"/>
    <w:rsid w:val="00E65BB6"/>
    <w:rsid w:val="00E65EC4"/>
    <w:rsid w:val="00E66D74"/>
    <w:rsid w:val="00E66E48"/>
    <w:rsid w:val="00E71014"/>
    <w:rsid w:val="00E71133"/>
    <w:rsid w:val="00E731D7"/>
    <w:rsid w:val="00E73497"/>
    <w:rsid w:val="00E7604C"/>
    <w:rsid w:val="00E8792C"/>
    <w:rsid w:val="00E94964"/>
    <w:rsid w:val="00E9711C"/>
    <w:rsid w:val="00EA5DEF"/>
    <w:rsid w:val="00EA6BB1"/>
    <w:rsid w:val="00EB05BB"/>
    <w:rsid w:val="00EB22AF"/>
    <w:rsid w:val="00EB239C"/>
    <w:rsid w:val="00EB23CE"/>
    <w:rsid w:val="00EB4082"/>
    <w:rsid w:val="00EC1305"/>
    <w:rsid w:val="00EC16EB"/>
    <w:rsid w:val="00EC2E7D"/>
    <w:rsid w:val="00EC3ECC"/>
    <w:rsid w:val="00ED022C"/>
    <w:rsid w:val="00ED441A"/>
    <w:rsid w:val="00ED5FA4"/>
    <w:rsid w:val="00ED6C70"/>
    <w:rsid w:val="00ED6F50"/>
    <w:rsid w:val="00ED7B71"/>
    <w:rsid w:val="00EE0B18"/>
    <w:rsid w:val="00EE0CC5"/>
    <w:rsid w:val="00EE1422"/>
    <w:rsid w:val="00EE1E15"/>
    <w:rsid w:val="00EE5D8D"/>
    <w:rsid w:val="00EE6C89"/>
    <w:rsid w:val="00F00ADE"/>
    <w:rsid w:val="00F07FAA"/>
    <w:rsid w:val="00F11124"/>
    <w:rsid w:val="00F122C9"/>
    <w:rsid w:val="00F127FD"/>
    <w:rsid w:val="00F12CBE"/>
    <w:rsid w:val="00F16856"/>
    <w:rsid w:val="00F16D43"/>
    <w:rsid w:val="00F2098A"/>
    <w:rsid w:val="00F20B0E"/>
    <w:rsid w:val="00F20C8F"/>
    <w:rsid w:val="00F2209D"/>
    <w:rsid w:val="00F234E2"/>
    <w:rsid w:val="00F26798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2608"/>
    <w:rsid w:val="00F43B04"/>
    <w:rsid w:val="00F440D5"/>
    <w:rsid w:val="00F458AA"/>
    <w:rsid w:val="00F55F08"/>
    <w:rsid w:val="00F5724C"/>
    <w:rsid w:val="00F60629"/>
    <w:rsid w:val="00F649C0"/>
    <w:rsid w:val="00F65CA2"/>
    <w:rsid w:val="00F66EC0"/>
    <w:rsid w:val="00F67B48"/>
    <w:rsid w:val="00F67E92"/>
    <w:rsid w:val="00F70732"/>
    <w:rsid w:val="00F711F3"/>
    <w:rsid w:val="00F71DFF"/>
    <w:rsid w:val="00F7207C"/>
    <w:rsid w:val="00F72131"/>
    <w:rsid w:val="00F72716"/>
    <w:rsid w:val="00F75BDB"/>
    <w:rsid w:val="00F77CC1"/>
    <w:rsid w:val="00F81F7E"/>
    <w:rsid w:val="00F81F99"/>
    <w:rsid w:val="00F830B2"/>
    <w:rsid w:val="00F855A3"/>
    <w:rsid w:val="00F860DE"/>
    <w:rsid w:val="00F90F0D"/>
    <w:rsid w:val="00F91FB3"/>
    <w:rsid w:val="00F978B3"/>
    <w:rsid w:val="00FA0960"/>
    <w:rsid w:val="00FA2D80"/>
    <w:rsid w:val="00FB323E"/>
    <w:rsid w:val="00FB5A80"/>
    <w:rsid w:val="00FB625A"/>
    <w:rsid w:val="00FC031A"/>
    <w:rsid w:val="00FC739B"/>
    <w:rsid w:val="00FD06CD"/>
    <w:rsid w:val="00FD18A7"/>
    <w:rsid w:val="00FD20B6"/>
    <w:rsid w:val="00FD3619"/>
    <w:rsid w:val="00FD50DA"/>
    <w:rsid w:val="00FE0903"/>
    <w:rsid w:val="00FE13A4"/>
    <w:rsid w:val="00FE1D9B"/>
    <w:rsid w:val="00FE34B9"/>
    <w:rsid w:val="00FF17B3"/>
    <w:rsid w:val="00FF247D"/>
    <w:rsid w:val="00FF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  <w:style w:type="paragraph" w:customStyle="1" w:styleId="Default">
    <w:name w:val="Default"/>
    <w:rsid w:val="00DB16A3"/>
    <w:pPr>
      <w:autoSpaceDE w:val="0"/>
      <w:autoSpaceDN w:val="0"/>
      <w:adjustRightInd w:val="0"/>
      <w:spacing w:after="0" w:line="240" w:lineRule="auto"/>
    </w:pPr>
    <w:rPr>
      <w:rFonts w:ascii="Univers 45 Light" w:hAnsi="Univers 45 Light" w:cs="Univers 45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DB16A3"/>
    <w:pPr>
      <w:spacing w:line="18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DB16A3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05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DCAB9-985D-48E8-970C-587F0988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1761</Characters>
  <Application>Microsoft Office Word</Application>
  <DocSecurity>0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2015-05-08T02:24:00Z</cp:lastPrinted>
  <dcterms:created xsi:type="dcterms:W3CDTF">2018-08-14T04:04:00Z</dcterms:created>
  <dcterms:modified xsi:type="dcterms:W3CDTF">2018-08-14T04:04:00Z</dcterms:modified>
</cp:coreProperties>
</file>