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Pr="00B01433" w:rsidRDefault="00D5027A">
      <w:pPr>
        <w:pStyle w:val="Billname"/>
        <w:spacing w:before="700"/>
        <w:rPr>
          <w:color w:val="FF0000"/>
          <w:sz w:val="20"/>
        </w:rPr>
      </w:pPr>
      <w:r>
        <w:t>Public Place Names</w:t>
      </w:r>
      <w:r w:rsidR="00FD75CE">
        <w:t xml:space="preserve"> </w:t>
      </w:r>
      <w:r>
        <w:t>(</w:t>
      </w:r>
      <w:r w:rsidR="002B5671">
        <w:t>Denman Prospect</w:t>
      </w:r>
      <w:r>
        <w:t>) Determination</w:t>
      </w:r>
      <w:r w:rsidR="00FD75CE">
        <w:t xml:space="preserve"> </w:t>
      </w:r>
      <w:r w:rsidR="002B5671">
        <w:t>2018</w:t>
      </w:r>
      <w:r w:rsidR="00FD75CE">
        <w:t xml:space="preserve"> (No</w:t>
      </w:r>
      <w:r w:rsidR="002B5671">
        <w:t xml:space="preserve"> 2</w:t>
      </w:r>
      <w:r w:rsidR="00FD75CE">
        <w:t>)</w:t>
      </w:r>
      <w:r w:rsidR="00B01433">
        <w:t xml:space="preserve"> </w:t>
      </w:r>
      <w:r w:rsidR="00B01433">
        <w:rPr>
          <w:color w:val="FF0000"/>
          <w:sz w:val="20"/>
        </w:rPr>
        <w:t xml:space="preserve"> </w:t>
      </w:r>
    </w:p>
    <w:p w:rsidR="00C17FAB" w:rsidRDefault="002D7C60" w:rsidP="00DA3B00">
      <w:pPr>
        <w:spacing w:before="340"/>
        <w:rPr>
          <w:rFonts w:ascii="Arial" w:hAnsi="Arial" w:cs="Arial"/>
          <w:b/>
          <w:bCs/>
        </w:rPr>
      </w:pPr>
      <w:r>
        <w:rPr>
          <w:rFonts w:ascii="Arial" w:hAnsi="Arial" w:cs="Arial"/>
          <w:b/>
          <w:bCs/>
        </w:rPr>
        <w:t>Disallowable instrument DI</w:t>
      </w:r>
      <w:r w:rsidR="002B5671">
        <w:rPr>
          <w:rFonts w:ascii="Arial" w:hAnsi="Arial" w:cs="Arial"/>
          <w:b/>
          <w:bCs/>
        </w:rPr>
        <w:t>2018</w:t>
      </w:r>
      <w:r w:rsidR="00C17FAB">
        <w:rPr>
          <w:rFonts w:ascii="Arial" w:hAnsi="Arial" w:cs="Arial"/>
          <w:b/>
          <w:bCs/>
        </w:rPr>
        <w:t>–</w:t>
      </w:r>
      <w:r w:rsidR="00BA524E">
        <w:rPr>
          <w:rFonts w:ascii="Arial" w:hAnsi="Arial" w:cs="Arial"/>
          <w:b/>
          <w:bCs/>
        </w:rPr>
        <w:t>241</w:t>
      </w:r>
    </w:p>
    <w:p w:rsidR="00C17FAB" w:rsidRDefault="00C17FAB" w:rsidP="00DA3B00">
      <w:pPr>
        <w:pStyle w:val="madeunder"/>
        <w:spacing w:before="300" w:after="0"/>
      </w:pPr>
      <w:r>
        <w:t xml:space="preserve">made under the  </w:t>
      </w:r>
    </w:p>
    <w:p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p w:rsidR="00D5027A" w:rsidRPr="00D5027A" w:rsidRDefault="00D5027A" w:rsidP="00D5027A"/>
    <w:bookmarkEnd w:id="0"/>
    <w:p w:rsidR="00C17FAB" w:rsidRDefault="00D5027A">
      <w:pPr>
        <w:rPr>
          <w:rFonts w:ascii="Arial" w:hAnsi="Arial" w:cs="Arial"/>
          <w:b/>
        </w:rPr>
      </w:pPr>
      <w:r w:rsidRPr="00BB744F">
        <w:rPr>
          <w:rFonts w:ascii="Arial" w:hAnsi="Arial" w:cs="Arial"/>
          <w:b/>
        </w:rPr>
        <w:t>Overview</w:t>
      </w:r>
    </w:p>
    <w:p w:rsidR="00BB744F" w:rsidRDefault="00BB744F">
      <w:pPr>
        <w:rPr>
          <w:rFonts w:ascii="Arial" w:hAnsi="Arial" w:cs="Arial"/>
          <w:b/>
        </w:rPr>
      </w:pPr>
    </w:p>
    <w:p w:rsidR="00BB744F" w:rsidRPr="00BB744F" w:rsidRDefault="00BB744F">
      <w:pPr>
        <w:rPr>
          <w:b/>
          <w:i/>
        </w:rPr>
      </w:pPr>
      <w:r w:rsidRPr="00BB744F">
        <w:rPr>
          <w:b/>
          <w:i/>
        </w:rPr>
        <w:t>Background</w:t>
      </w:r>
    </w:p>
    <w:p w:rsidR="00515C02" w:rsidRPr="00052E11" w:rsidRDefault="00D5027A" w:rsidP="00735204">
      <w:r>
        <w:t xml:space="preserve">The </w:t>
      </w:r>
      <w:r w:rsidRPr="00C05D4B">
        <w:rPr>
          <w:i/>
        </w:rPr>
        <w:t>Public Place Names Act 1989</w:t>
      </w:r>
      <w:r>
        <w:t xml:space="preserve"> </w:t>
      </w:r>
      <w:r w:rsidR="00FC0568">
        <w:t xml:space="preserve">(the Act)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rsidR="00735204" w:rsidRDefault="00735204" w:rsidP="00D5027A"/>
    <w:p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in</w:t>
      </w:r>
      <w:r>
        <w:t xml:space="preserve"> the ACT Legislation Register.</w:t>
      </w:r>
    </w:p>
    <w:p w:rsidR="00735204" w:rsidRDefault="00735204" w:rsidP="00D5027A"/>
    <w:p w:rsidR="00735204" w:rsidRDefault="00735204" w:rsidP="00D5027A">
      <w:r>
        <w:t xml:space="preserve">The factors that the Minister must have regard to in determining a name are set out in sections 3 and 4 of the Act.  </w:t>
      </w:r>
      <w:r w:rsidR="001F1B3C">
        <w:t>Section 3(3)(a) of the Act requires the Minister to consider</w:t>
      </w:r>
      <w:r>
        <w:t xml:space="preserve"> the </w:t>
      </w:r>
      <w:r w:rsidR="001F1B3C">
        <w:rPr>
          <w:i/>
        </w:rPr>
        <w:t>Public Place Names (Naming of Public P</w:t>
      </w:r>
      <w:r w:rsidR="001F1B3C" w:rsidRPr="00B32837">
        <w:rPr>
          <w:i/>
        </w:rPr>
        <w:t>laces) Guidelines 2014</w:t>
      </w:r>
      <w:r w:rsidR="001F1B3C">
        <w:rPr>
          <w:i/>
        </w:rPr>
        <w:t xml:space="preserve"> </w:t>
      </w:r>
      <w:r w:rsidR="001F1B3C" w:rsidRPr="00B32837">
        <w:rPr>
          <w:i/>
        </w:rPr>
        <w:t>(</w:t>
      </w:r>
      <w:r w:rsidR="001F1B3C">
        <w:rPr>
          <w:i/>
        </w:rPr>
        <w:t xml:space="preserve">No </w:t>
      </w:r>
      <w:r w:rsidR="001F1B3C" w:rsidRPr="00B32837">
        <w:rPr>
          <w:i/>
        </w:rPr>
        <w:t>1)</w:t>
      </w:r>
      <w:r w:rsidR="001F1B3C" w:rsidRPr="00B32837">
        <w:t xml:space="preserve"> </w:t>
      </w:r>
      <w:r w:rsidR="001F1B3C">
        <w:t xml:space="preserve">(guidelines) when naming a public place.  The guidelines are made under section 4A of the Act and are </w:t>
      </w:r>
      <w:r w:rsidR="001F1B3C" w:rsidRPr="00B32837">
        <w:t>notified at</w:t>
      </w:r>
      <w:r w:rsidR="001F1B3C">
        <w:rPr>
          <w:color w:val="FF0000"/>
        </w:rPr>
        <w:t xml:space="preserve"> </w:t>
      </w:r>
      <w:hyperlink r:id="rId7" w:history="1">
        <w:r w:rsidR="001F1B3C" w:rsidRPr="003D0189">
          <w:rPr>
            <w:rStyle w:val="Hyperlink"/>
          </w:rPr>
          <w:t>http://www.legislation.act.gov.au/ni/2014-643/default.asp</w:t>
        </w:r>
      </w:hyperlink>
      <w:r w:rsidR="001F1B3C">
        <w:t xml:space="preserve">.  </w:t>
      </w:r>
    </w:p>
    <w:p w:rsidR="00FC0568" w:rsidRDefault="00FC0568" w:rsidP="00D5027A"/>
    <w:p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rsidR="00FC0568" w:rsidRDefault="00FC0568" w:rsidP="00FC0568">
      <w:r>
        <w:t xml:space="preserve">The </w:t>
      </w:r>
      <w:r w:rsidRPr="00BB744F">
        <w:rPr>
          <w:i/>
        </w:rPr>
        <w:t>Public Place Names (</w:t>
      </w:r>
      <w:r w:rsidR="002B5671">
        <w:rPr>
          <w:i/>
        </w:rPr>
        <w:t>Denman Prospect) Determination 2018</w:t>
      </w:r>
      <w:r w:rsidRPr="00BB744F">
        <w:rPr>
          <w:i/>
        </w:rPr>
        <w:t xml:space="preserve"> (No </w:t>
      </w:r>
      <w:r w:rsidR="002B5671">
        <w:rPr>
          <w:i/>
        </w:rPr>
        <w:t>2</w:t>
      </w:r>
      <w:r w:rsidRPr="00BB744F">
        <w:rPr>
          <w:i/>
        </w:rPr>
        <w:t>)</w:t>
      </w:r>
      <w:r>
        <w:t xml:space="preserve"> determines the name</w:t>
      </w:r>
      <w:r w:rsidR="00A81C1F">
        <w:t>s of</w:t>
      </w:r>
      <w:r>
        <w:t xml:space="preserve"> </w:t>
      </w:r>
      <w:r w:rsidR="002B5671">
        <w:t>eight roads</w:t>
      </w:r>
      <w:r w:rsidR="00A14446">
        <w:t xml:space="preserve"> for the public place</w:t>
      </w:r>
      <w:r w:rsidR="002B5671">
        <w:t>s</w:t>
      </w:r>
      <w:r w:rsidR="00A14446">
        <w:t xml:space="preserve"> indicated in the </w:t>
      </w:r>
      <w:r w:rsidR="00AD7166">
        <w:t>diagram</w:t>
      </w:r>
      <w:r w:rsidR="00A14446">
        <w:t xml:space="preserve"> in the schedule to the determination</w:t>
      </w:r>
      <w:r>
        <w:t xml:space="preserve">. </w:t>
      </w:r>
    </w:p>
    <w:p w:rsidR="00FC0568" w:rsidRDefault="00FC0568" w:rsidP="00FC0568"/>
    <w:p w:rsidR="00FC0568" w:rsidRDefault="00FC0568" w:rsidP="00FC0568">
      <w:r>
        <w:t>The name</w:t>
      </w:r>
      <w:r w:rsidR="002B5671">
        <w:t>s</w:t>
      </w:r>
      <w:r>
        <w:t xml:space="preserve"> </w:t>
      </w:r>
      <w:r w:rsidR="002B5671">
        <w:t>are</w:t>
      </w:r>
      <w:r>
        <w:t xml:space="preserve"> consistent with the </w:t>
      </w:r>
      <w:r w:rsidRPr="00FC0568">
        <w:t xml:space="preserve">theme for </w:t>
      </w:r>
      <w:r w:rsidR="002B5671">
        <w:t xml:space="preserve">Denman Prospect </w:t>
      </w:r>
      <w:r>
        <w:t xml:space="preserve">which is </w:t>
      </w:r>
      <w:r w:rsidR="002B5671">
        <w:t>activism and reform</w:t>
      </w:r>
      <w:r>
        <w:t>.  The purpose of this determination is to</w:t>
      </w:r>
      <w:r w:rsidR="002B5671">
        <w:t xml:space="preserve"> </w:t>
      </w:r>
      <w:r w:rsidR="002B5671">
        <w:rPr>
          <w:szCs w:val="24"/>
        </w:rPr>
        <w:t>commemorate the n</w:t>
      </w:r>
      <w:r w:rsidR="002B5671" w:rsidRPr="00420F0D">
        <w:rPr>
          <w:szCs w:val="24"/>
        </w:rPr>
        <w:t xml:space="preserve">ames of </w:t>
      </w:r>
      <w:r w:rsidR="002B5671">
        <w:rPr>
          <w:szCs w:val="24"/>
        </w:rPr>
        <w:t>people</w:t>
      </w:r>
      <w:r w:rsidR="002B5671" w:rsidRPr="00420F0D">
        <w:rPr>
          <w:szCs w:val="24"/>
        </w:rPr>
        <w:t xml:space="preserve"> associated with social justice, community activism, </w:t>
      </w:r>
      <w:r w:rsidR="002B5671">
        <w:rPr>
          <w:szCs w:val="24"/>
        </w:rPr>
        <w:t>legal</w:t>
      </w:r>
      <w:r w:rsidR="002B5671" w:rsidRPr="00420F0D">
        <w:rPr>
          <w:szCs w:val="24"/>
        </w:rPr>
        <w:t xml:space="preserve"> reform</w:t>
      </w:r>
      <w:r w:rsidR="002B5671">
        <w:rPr>
          <w:szCs w:val="24"/>
        </w:rPr>
        <w:t xml:space="preserve"> and</w:t>
      </w:r>
      <w:r w:rsidR="002B5671" w:rsidRPr="00420F0D">
        <w:rPr>
          <w:szCs w:val="24"/>
        </w:rPr>
        <w:t xml:space="preserve"> cultural diversity</w:t>
      </w:r>
      <w:r w:rsidR="002B5671">
        <w:rPr>
          <w:szCs w:val="24"/>
        </w:rPr>
        <w:t>.</w:t>
      </w:r>
      <w:r w:rsidR="002B5671" w:rsidRPr="00420F0D">
        <w:rPr>
          <w:szCs w:val="24"/>
        </w:rPr>
        <w:t xml:space="preserve"> </w:t>
      </w:r>
    </w:p>
    <w:p w:rsidR="00FC0568" w:rsidRDefault="00FC0568" w:rsidP="00FC0568"/>
    <w:p w:rsidR="00BA524E" w:rsidRDefault="00BA524E">
      <w:r>
        <w:br w:type="page"/>
      </w:r>
    </w:p>
    <w:p w:rsidR="00FC0568" w:rsidRDefault="00FC0568" w:rsidP="00FC0568">
      <w:r>
        <w:lastRenderedPageBreak/>
        <w:t>The number of women and men after whom divisions or public places have been named in the last 10 years, and whether the names of women are well represented, has been considered as required by</w:t>
      </w:r>
      <w:r w:rsidR="00735204">
        <w:t xml:space="preserve"> section 3(2) of the Act</w:t>
      </w:r>
      <w:r>
        <w:t xml:space="preserve">. This instrument commemorates </w:t>
      </w:r>
      <w:r w:rsidR="002B5671">
        <w:t>the names of seven</w:t>
      </w:r>
      <w:r>
        <w:t xml:space="preserve"> women and </w:t>
      </w:r>
      <w:r w:rsidR="002B5671">
        <w:t>two</w:t>
      </w:r>
      <w:r>
        <w:t xml:space="preserve"> men.</w:t>
      </w:r>
      <w:r w:rsidR="002B5671">
        <w:t xml:space="preserve">  One road is named to </w:t>
      </w:r>
      <w:r w:rsidR="002B5671">
        <w:br w:type="textWrapping" w:clear="all"/>
        <w:t>co-commemorate two people.</w:t>
      </w:r>
    </w:p>
    <w:p w:rsidR="00FC0568" w:rsidRDefault="00FC0568" w:rsidP="00D5027A"/>
    <w:p w:rsidR="008E335B" w:rsidRPr="00B32837" w:rsidRDefault="008E335B" w:rsidP="008E335B">
      <w:pPr>
        <w:rPr>
          <w:u w:val="single"/>
        </w:rPr>
      </w:pPr>
      <w:r w:rsidRPr="00B32837">
        <w:rPr>
          <w:u w:val="single"/>
        </w:rPr>
        <w:t>Consultation</w:t>
      </w:r>
    </w:p>
    <w:p w:rsidR="00EB3A5A" w:rsidRDefault="008E335B" w:rsidP="00EB3A5A">
      <w:pPr>
        <w:rPr>
          <w:szCs w:val="24"/>
        </w:rPr>
      </w:pPr>
      <w:r w:rsidRPr="00B32837">
        <w:t>If a public place is proposed to be named after a particular person reasonable steps are taken to obtain prior permission from the person’s relatives, close colleagues or a relevant professional organisation.</w:t>
      </w:r>
      <w:r w:rsidR="00B32837">
        <w:t xml:space="preserve"> </w:t>
      </w:r>
      <w:r w:rsidR="001B7F63">
        <w:t>This consultation and related steps are taken</w:t>
      </w:r>
      <w:r w:rsidR="00891926" w:rsidRPr="00B32837">
        <w:t xml:space="preserve"> in accordance with </w:t>
      </w:r>
      <w:r w:rsidR="001F1B3C">
        <w:t xml:space="preserve">the guidelines.  </w:t>
      </w:r>
      <w:r w:rsidR="00EB3A5A" w:rsidRPr="009D38A7">
        <w:rPr>
          <w:szCs w:val="24"/>
        </w:rPr>
        <w:t>This determination has involved consultation with family members</w:t>
      </w:r>
      <w:r w:rsidR="00EB3A5A">
        <w:rPr>
          <w:szCs w:val="24"/>
        </w:rPr>
        <w:t xml:space="preserve"> and liaison with state organisation</w:t>
      </w:r>
      <w:r w:rsidR="00102D83">
        <w:rPr>
          <w:szCs w:val="24"/>
        </w:rPr>
        <w:t>s</w:t>
      </w:r>
      <w:r w:rsidR="00EB3A5A">
        <w:rPr>
          <w:szCs w:val="24"/>
        </w:rPr>
        <w:t>.</w:t>
      </w:r>
    </w:p>
    <w:p w:rsidR="008E335B" w:rsidRDefault="008E335B" w:rsidP="00D5027A"/>
    <w:p w:rsidR="00D82060" w:rsidRPr="008E335B" w:rsidRDefault="00D82060" w:rsidP="007979D3">
      <w:pPr>
        <w:keepNext/>
        <w:rPr>
          <w:u w:val="single"/>
        </w:rPr>
      </w:pPr>
      <w:r w:rsidRPr="008E335B">
        <w:rPr>
          <w:u w:val="single"/>
        </w:rPr>
        <w:t>Regulatory Impact Statement (RIS)</w:t>
      </w:r>
    </w:p>
    <w:p w:rsidR="00D5027A" w:rsidRDefault="001B7F63" w:rsidP="00D5027A">
      <w:r>
        <w:t xml:space="preserve">The </w:t>
      </w:r>
      <w:r w:rsidRPr="00070613">
        <w:rPr>
          <w:i/>
        </w:rPr>
        <w:t>Legislation Act</w:t>
      </w:r>
      <w:r w:rsidR="00070613" w:rsidRPr="00070613">
        <w:rPr>
          <w:i/>
        </w:rPr>
        <w:t xml:space="preserve"> 2001</w:t>
      </w:r>
      <w:r>
        <w:t xml:space="preserve"> </w:t>
      </w:r>
      <w:r w:rsidR="00070613">
        <w:t xml:space="preserve">(Legislation Act) </w:t>
      </w:r>
      <w:r>
        <w:t>requires a RIS for regulations and disallowable instruments subject to specified exceptions.  In this case, a</w:t>
      </w:r>
      <w:r w:rsidR="00D5027A">
        <w:t xml:space="preserve"> RIS </w:t>
      </w:r>
      <w:r w:rsidR="00D82060" w:rsidRPr="008E335B">
        <w:t>is not required</w:t>
      </w:r>
      <w:r w:rsidR="00D82060">
        <w:t xml:space="preserve"> </w:t>
      </w:r>
      <w:r w:rsidR="00D5027A">
        <w:t>because the</w:t>
      </w:r>
      <w:r>
        <w:t xml:space="preserve"> determination does not impose any appreciable costs on the community or part of the community (s 34(1) of the Legislation Act).  Further, a RIS is also not required because while the determination of place names is culturally and s</w:t>
      </w:r>
      <w:r w:rsidR="00E9262C">
        <w:t xml:space="preserve">ocially significant it </w:t>
      </w:r>
      <w:r w:rsidR="00D5027A" w:rsidRPr="005A4979">
        <w:t>does not adversely affect rights or impose liabilities on a person</w:t>
      </w:r>
      <w:r>
        <w:t xml:space="preserve"> (s 36(1)(b) of the Legislation Act)</w:t>
      </w:r>
      <w:r w:rsidR="00D5027A" w:rsidRPr="005A4979">
        <w:t>.</w:t>
      </w:r>
      <w:r w:rsidR="00D5027A">
        <w:t xml:space="preserve"> </w:t>
      </w:r>
    </w:p>
    <w:p w:rsidR="008E335B" w:rsidRDefault="008E335B" w:rsidP="009B1BB3">
      <w:pPr>
        <w:rPr>
          <w:color w:val="FF0000"/>
          <w:u w:val="single"/>
        </w:rPr>
      </w:pPr>
    </w:p>
    <w:p w:rsidR="00F07B24" w:rsidRPr="008E335B" w:rsidRDefault="00F07B24" w:rsidP="009B1BB3">
      <w:pPr>
        <w:rPr>
          <w:u w:val="single"/>
        </w:rPr>
      </w:pPr>
      <w:r w:rsidRPr="008E335B">
        <w:rPr>
          <w:u w:val="single"/>
        </w:rPr>
        <w:t>Human Rights</w:t>
      </w:r>
    </w:p>
    <w:p w:rsidR="00311AF0" w:rsidRDefault="00311AF0" w:rsidP="009B1BB3">
      <w:r>
        <w:t xml:space="preserve">Section 12 of the </w:t>
      </w:r>
      <w:r w:rsidRPr="00311AF0">
        <w:rPr>
          <w:i/>
        </w:rPr>
        <w:t>Human Rights Act 2004</w:t>
      </w:r>
      <w:r>
        <w:t xml:space="preserve"> creates a right to privacy and reputation. </w:t>
      </w:r>
    </w:p>
    <w:p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rsidR="008E335B" w:rsidRDefault="008E335B" w:rsidP="00D5027A"/>
    <w:p w:rsidR="007979D3" w:rsidRPr="00FC0568" w:rsidRDefault="007979D3" w:rsidP="007979D3">
      <w:pPr>
        <w:rPr>
          <w:u w:val="single"/>
        </w:rPr>
      </w:pPr>
      <w:r w:rsidRPr="00FC0568">
        <w:rPr>
          <w:u w:val="single"/>
        </w:rPr>
        <w:t>Delegation</w:t>
      </w:r>
    </w:p>
    <w:p w:rsidR="007979D3" w:rsidRPr="00A81C1F" w:rsidRDefault="007979D3" w:rsidP="007979D3">
      <w:r w:rsidRPr="00A81C1F">
        <w:t>This determination is made by a delegate of the Minister.  The Minister has delegated the power under section 3 of the Act</w:t>
      </w:r>
      <w:r w:rsidRPr="00A81C1F">
        <w:rPr>
          <w:i/>
        </w:rPr>
        <w:t xml:space="preserve"> </w:t>
      </w:r>
      <w:r w:rsidRPr="00A81C1F">
        <w:t xml:space="preserve">to name a division or public place to the </w:t>
      </w:r>
      <w:r w:rsidR="00620B4B" w:rsidRPr="00A81C1F">
        <w:t xml:space="preserve">persons occupying the positions of </w:t>
      </w:r>
      <w:r w:rsidRPr="00A81C1F">
        <w:t xml:space="preserve">Director-General and </w:t>
      </w:r>
      <w:r w:rsidR="00620B4B" w:rsidRPr="00A81C1F">
        <w:t>Deputy Director-General of the Environment, Planning and Sustainable Development Directorate</w:t>
      </w:r>
      <w:r w:rsidRPr="00A81C1F">
        <w:t xml:space="preserve">, refer to the </w:t>
      </w:r>
      <w:r w:rsidRPr="00A81C1F">
        <w:rPr>
          <w:i/>
        </w:rPr>
        <w:t>Legislation (Environment</w:t>
      </w:r>
      <w:r w:rsidR="00C00700" w:rsidRPr="00A81C1F">
        <w:rPr>
          <w:i/>
        </w:rPr>
        <w:t>,</w:t>
      </w:r>
      <w:r w:rsidRPr="00A81C1F">
        <w:rPr>
          <w:i/>
        </w:rPr>
        <w:t xml:space="preserve"> Planning</w:t>
      </w:r>
      <w:r w:rsidR="00876C92" w:rsidRPr="00A81C1F">
        <w:rPr>
          <w:i/>
        </w:rPr>
        <w:t xml:space="preserve"> </w:t>
      </w:r>
      <w:r w:rsidR="00C00700" w:rsidRPr="00A81C1F">
        <w:rPr>
          <w:i/>
        </w:rPr>
        <w:t xml:space="preserve">and Sustainable Development </w:t>
      </w:r>
      <w:r w:rsidRPr="00A81C1F">
        <w:rPr>
          <w:i/>
        </w:rPr>
        <w:t>Directorate) Delegation 201</w:t>
      </w:r>
      <w:r w:rsidR="00C00700" w:rsidRPr="00A81C1F">
        <w:rPr>
          <w:i/>
        </w:rPr>
        <w:t>8</w:t>
      </w:r>
      <w:r w:rsidRPr="00A81C1F">
        <w:rPr>
          <w:i/>
        </w:rPr>
        <w:t xml:space="preserve"> (No </w:t>
      </w:r>
      <w:r w:rsidR="00C00700" w:rsidRPr="00A81C1F">
        <w:rPr>
          <w:i/>
        </w:rPr>
        <w:t>1</w:t>
      </w:r>
      <w:r w:rsidRPr="00A81C1F">
        <w:rPr>
          <w:i/>
        </w:rPr>
        <w:t>)</w:t>
      </w:r>
      <w:r w:rsidRPr="00A81C1F">
        <w:t xml:space="preserve">, notifiable instrument </w:t>
      </w:r>
      <w:r w:rsidR="00C27619" w:rsidRPr="00A81C1F">
        <w:t>NI201</w:t>
      </w:r>
      <w:r w:rsidR="00C00700" w:rsidRPr="00A81C1F">
        <w:t>8</w:t>
      </w:r>
      <w:r w:rsidR="00C27619" w:rsidRPr="00A81C1F">
        <w:t>-</w:t>
      </w:r>
      <w:r w:rsidR="00C233D3" w:rsidRPr="00A81C1F">
        <w:t>2</w:t>
      </w:r>
      <w:r w:rsidR="00C00700" w:rsidRPr="00A81C1F">
        <w:t>16</w:t>
      </w:r>
      <w:r w:rsidRPr="00A81C1F">
        <w:t xml:space="preserve">. </w:t>
      </w:r>
    </w:p>
    <w:p w:rsidR="00A81C1F" w:rsidRDefault="00A81C1F" w:rsidP="007979D3"/>
    <w:p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A81C1F" w:rsidRPr="00BB744F">
        <w:rPr>
          <w:i/>
        </w:rPr>
        <w:t>Public Place Names (</w:t>
      </w:r>
      <w:r w:rsidR="00A81C1F">
        <w:rPr>
          <w:i/>
        </w:rPr>
        <w:t>Denman Prospect) Determination 2018</w:t>
      </w:r>
      <w:r w:rsidR="00A81C1F" w:rsidRPr="00BB744F">
        <w:rPr>
          <w:i/>
        </w:rPr>
        <w:t xml:space="preserve"> (No </w:t>
      </w:r>
      <w:r w:rsidR="00A81C1F">
        <w:rPr>
          <w:i/>
        </w:rPr>
        <w:t>2</w:t>
      </w:r>
      <w:r w:rsidR="00A81C1F" w:rsidRPr="00BB744F">
        <w:rPr>
          <w:i/>
        </w:rPr>
        <w:t>)</w:t>
      </w:r>
      <w:r w:rsidR="00A81C1F">
        <w:t xml:space="preserve"> </w:t>
      </w:r>
      <w:r w:rsidRPr="008E335B">
        <w:rPr>
          <w:rFonts w:cs="Times-Roman"/>
          <w:lang w:eastAsia="en-AU"/>
        </w:rPr>
        <w:t xml:space="preserve">as made by the delegate of the Minister and presented to the ACT Legislative Assembly. It has been prepared in order to assist the reader of the disallowable instrument. It does not form part of the disallowable instrument and has not been endorsed by the Assembly. </w:t>
      </w:r>
    </w:p>
    <w:p w:rsidR="008E335B" w:rsidRDefault="008E335B" w:rsidP="00D5027A"/>
    <w:p w:rsidR="00A81C1F" w:rsidRDefault="00A81C1F">
      <w:r>
        <w:br w:type="page"/>
      </w:r>
    </w:p>
    <w:p w:rsidR="00D5027A" w:rsidRPr="00BB744F" w:rsidRDefault="00D5027A" w:rsidP="00D5027A">
      <w:pPr>
        <w:rPr>
          <w:rFonts w:ascii="Arial" w:hAnsi="Arial" w:cs="Arial"/>
          <w:b/>
        </w:rPr>
      </w:pPr>
      <w:r w:rsidRPr="00BB744F">
        <w:rPr>
          <w:rFonts w:ascii="Arial" w:hAnsi="Arial" w:cs="Arial"/>
          <w:b/>
        </w:rPr>
        <w:lastRenderedPageBreak/>
        <w:t>Clause Notes</w:t>
      </w:r>
    </w:p>
    <w:p w:rsidR="00D5027A" w:rsidRDefault="00D5027A" w:rsidP="00D5027A"/>
    <w:p w:rsidR="00D5027A" w:rsidRPr="00BB744F" w:rsidRDefault="00D5027A" w:rsidP="00D5027A">
      <w:pPr>
        <w:rPr>
          <w:b/>
          <w:i/>
        </w:rPr>
      </w:pPr>
      <w:r w:rsidRPr="00BB744F">
        <w:rPr>
          <w:b/>
          <w:i/>
        </w:rPr>
        <w:t>Clause 1 – Name of Instrument</w:t>
      </w:r>
    </w:p>
    <w:p w:rsidR="00D5027A" w:rsidRDefault="00D5027A" w:rsidP="00D5027A">
      <w:r>
        <w:t>This clause names the instrument.</w:t>
      </w:r>
    </w:p>
    <w:p w:rsidR="00D5027A" w:rsidRDefault="00D5027A" w:rsidP="00D5027A"/>
    <w:p w:rsidR="00D5027A" w:rsidRPr="00BB744F" w:rsidRDefault="00D5027A" w:rsidP="00D5027A">
      <w:pPr>
        <w:rPr>
          <w:b/>
          <w:i/>
        </w:rPr>
      </w:pPr>
      <w:r w:rsidRPr="00BB744F">
        <w:rPr>
          <w:b/>
          <w:i/>
        </w:rPr>
        <w:t>Clause 2 – Commencement</w:t>
      </w:r>
    </w:p>
    <w:p w:rsidR="00D5027A" w:rsidRDefault="00D5027A" w:rsidP="00D5027A">
      <w:r>
        <w:t>This clause provides for the commencement of the instrument.</w:t>
      </w:r>
    </w:p>
    <w:p w:rsidR="00D5027A" w:rsidRDefault="00D5027A" w:rsidP="00D5027A"/>
    <w:p w:rsidR="00D5027A" w:rsidRPr="00BB744F" w:rsidRDefault="00D5027A" w:rsidP="00D5027A">
      <w:pPr>
        <w:rPr>
          <w:b/>
          <w:i/>
        </w:rPr>
      </w:pPr>
      <w:r w:rsidRPr="00BB744F">
        <w:rPr>
          <w:b/>
          <w:i/>
        </w:rPr>
        <w:t>Clause 3 – Determination of Place Names</w:t>
      </w:r>
    </w:p>
    <w:p w:rsidR="00D5027A" w:rsidRDefault="00D5027A" w:rsidP="00D5027A">
      <w:r>
        <w:t xml:space="preserve">This clause names the public places as specified in the schedule.  </w:t>
      </w:r>
    </w:p>
    <w:p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B3" w:rsidRDefault="00EF41B3" w:rsidP="00C17FAB">
      <w:r>
        <w:separator/>
      </w:r>
    </w:p>
  </w:endnote>
  <w:endnote w:type="continuationSeparator" w:id="0">
    <w:p w:rsidR="00EF41B3" w:rsidRDefault="00EF41B3"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C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56" w:rsidRDefault="00B31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9851"/>
      <w:docPartObj>
        <w:docPartGallery w:val="Page Numbers (Bottom of Page)"/>
        <w:docPartUnique/>
      </w:docPartObj>
    </w:sdtPr>
    <w:sdtEndPr/>
    <w:sdtContent>
      <w:p w:rsidR="00B31356" w:rsidRDefault="008227D2">
        <w:pPr>
          <w:pStyle w:val="Footer"/>
          <w:jc w:val="center"/>
        </w:pPr>
        <w:r>
          <w:fldChar w:fldCharType="begin"/>
        </w:r>
        <w:r>
          <w:instrText xml:space="preserve"> PAGE   \* MERGEFORMAT </w:instrText>
        </w:r>
        <w:r>
          <w:fldChar w:fldCharType="separate"/>
        </w:r>
        <w:r w:rsidR="008B4EAF">
          <w:rPr>
            <w:noProof/>
          </w:rPr>
          <w:t>1</w:t>
        </w:r>
        <w:r>
          <w:rPr>
            <w:noProof/>
          </w:rPr>
          <w:fldChar w:fldCharType="end"/>
        </w:r>
      </w:p>
    </w:sdtContent>
  </w:sdt>
  <w:p w:rsidR="00B31356" w:rsidRPr="008B4EAF" w:rsidRDefault="008B4EAF" w:rsidP="008B4EAF">
    <w:pPr>
      <w:pStyle w:val="Footer"/>
      <w:jc w:val="center"/>
      <w:rPr>
        <w:rFonts w:cs="Arial"/>
        <w:sz w:val="14"/>
      </w:rPr>
    </w:pPr>
    <w:r w:rsidRPr="008B4EA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56" w:rsidRDefault="00B3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B3" w:rsidRDefault="00EF41B3" w:rsidP="00C17FAB">
      <w:r>
        <w:separator/>
      </w:r>
    </w:p>
  </w:footnote>
  <w:footnote w:type="continuationSeparator" w:id="0">
    <w:p w:rsidR="00EF41B3" w:rsidRDefault="00EF41B3"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56" w:rsidRDefault="00B31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56" w:rsidRDefault="00B31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356" w:rsidRDefault="00B3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D7C60"/>
    <w:rsid w:val="00052E11"/>
    <w:rsid w:val="00062001"/>
    <w:rsid w:val="00070613"/>
    <w:rsid w:val="00082DFD"/>
    <w:rsid w:val="00102D83"/>
    <w:rsid w:val="00143042"/>
    <w:rsid w:val="00170FCE"/>
    <w:rsid w:val="00177B91"/>
    <w:rsid w:val="001B7F63"/>
    <w:rsid w:val="001D4CA4"/>
    <w:rsid w:val="001F1B3C"/>
    <w:rsid w:val="00222B1F"/>
    <w:rsid w:val="00241E75"/>
    <w:rsid w:val="0026084F"/>
    <w:rsid w:val="0028556B"/>
    <w:rsid w:val="00291E2D"/>
    <w:rsid w:val="002B5671"/>
    <w:rsid w:val="002B77E6"/>
    <w:rsid w:val="002D7C60"/>
    <w:rsid w:val="00311AF0"/>
    <w:rsid w:val="0033350C"/>
    <w:rsid w:val="00354741"/>
    <w:rsid w:val="00364EA3"/>
    <w:rsid w:val="00412D82"/>
    <w:rsid w:val="004216E5"/>
    <w:rsid w:val="00471512"/>
    <w:rsid w:val="0049218D"/>
    <w:rsid w:val="004B5984"/>
    <w:rsid w:val="004C47D5"/>
    <w:rsid w:val="004D45C6"/>
    <w:rsid w:val="00503F3C"/>
    <w:rsid w:val="00515C02"/>
    <w:rsid w:val="005411DB"/>
    <w:rsid w:val="00562673"/>
    <w:rsid w:val="005E4258"/>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A0758"/>
    <w:rsid w:val="006A621A"/>
    <w:rsid w:val="006B5E26"/>
    <w:rsid w:val="006B6949"/>
    <w:rsid w:val="006E6989"/>
    <w:rsid w:val="00725340"/>
    <w:rsid w:val="007346AC"/>
    <w:rsid w:val="00735204"/>
    <w:rsid w:val="0074623E"/>
    <w:rsid w:val="00762EC8"/>
    <w:rsid w:val="0076712B"/>
    <w:rsid w:val="007711DB"/>
    <w:rsid w:val="007805A5"/>
    <w:rsid w:val="00787F14"/>
    <w:rsid w:val="007979D3"/>
    <w:rsid w:val="007A1613"/>
    <w:rsid w:val="007D7AB1"/>
    <w:rsid w:val="00814559"/>
    <w:rsid w:val="008227D2"/>
    <w:rsid w:val="00835042"/>
    <w:rsid w:val="00845FDB"/>
    <w:rsid w:val="00876C92"/>
    <w:rsid w:val="00891926"/>
    <w:rsid w:val="008B4EAF"/>
    <w:rsid w:val="008B66BC"/>
    <w:rsid w:val="008C523C"/>
    <w:rsid w:val="008E335B"/>
    <w:rsid w:val="00960893"/>
    <w:rsid w:val="00975BBF"/>
    <w:rsid w:val="0098742E"/>
    <w:rsid w:val="009B1BB3"/>
    <w:rsid w:val="009E302A"/>
    <w:rsid w:val="00A14446"/>
    <w:rsid w:val="00A749F0"/>
    <w:rsid w:val="00A81C1F"/>
    <w:rsid w:val="00A81FB9"/>
    <w:rsid w:val="00A9090C"/>
    <w:rsid w:val="00AD7166"/>
    <w:rsid w:val="00B01433"/>
    <w:rsid w:val="00B31356"/>
    <w:rsid w:val="00B32837"/>
    <w:rsid w:val="00B65A5A"/>
    <w:rsid w:val="00B83C2F"/>
    <w:rsid w:val="00BA524E"/>
    <w:rsid w:val="00BA5975"/>
    <w:rsid w:val="00BB744F"/>
    <w:rsid w:val="00BF0BE1"/>
    <w:rsid w:val="00C00700"/>
    <w:rsid w:val="00C17FAB"/>
    <w:rsid w:val="00C233D3"/>
    <w:rsid w:val="00C24469"/>
    <w:rsid w:val="00C27619"/>
    <w:rsid w:val="00C539AC"/>
    <w:rsid w:val="00C6303E"/>
    <w:rsid w:val="00C74081"/>
    <w:rsid w:val="00CC7D1B"/>
    <w:rsid w:val="00CE261C"/>
    <w:rsid w:val="00CE599C"/>
    <w:rsid w:val="00D0094D"/>
    <w:rsid w:val="00D10A4C"/>
    <w:rsid w:val="00D41A89"/>
    <w:rsid w:val="00D5027A"/>
    <w:rsid w:val="00D52A5D"/>
    <w:rsid w:val="00D5735B"/>
    <w:rsid w:val="00D62E98"/>
    <w:rsid w:val="00D82060"/>
    <w:rsid w:val="00D86C8F"/>
    <w:rsid w:val="00DA3B00"/>
    <w:rsid w:val="00DB5F86"/>
    <w:rsid w:val="00DD37D7"/>
    <w:rsid w:val="00DE2CDE"/>
    <w:rsid w:val="00DF60B5"/>
    <w:rsid w:val="00DF6BA7"/>
    <w:rsid w:val="00E171C6"/>
    <w:rsid w:val="00E919C0"/>
    <w:rsid w:val="00E9262C"/>
    <w:rsid w:val="00EA4A93"/>
    <w:rsid w:val="00EB3A5A"/>
    <w:rsid w:val="00EC3D6E"/>
    <w:rsid w:val="00ED34FF"/>
    <w:rsid w:val="00ED7CCA"/>
    <w:rsid w:val="00EE5A16"/>
    <w:rsid w:val="00EF41B3"/>
    <w:rsid w:val="00F07B24"/>
    <w:rsid w:val="00F76DC2"/>
    <w:rsid w:val="00F87706"/>
    <w:rsid w:val="00FC0568"/>
    <w:rsid w:val="00FD75CE"/>
    <w:rsid w:val="00FE2839"/>
    <w:rsid w:val="00FF2D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3942</Characters>
  <Application>Microsoft Office Word</Application>
  <DocSecurity>0</DocSecurity>
  <Lines>97</Lines>
  <Paragraphs>33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2016-02-14T22:32:00Z</cp:lastPrinted>
  <dcterms:created xsi:type="dcterms:W3CDTF">2018-08-31T04:00:00Z</dcterms:created>
  <dcterms:modified xsi:type="dcterms:W3CDTF">2018-08-31T04:00:00Z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A16606222</vt:lpwstr>
  </property>
  <property fmtid="{D5CDD505-2E9C-101B-9397-08002B2CF9AE}" pid="4" name="Objective-Title">
    <vt:lpwstr>Public Place Names (Denman Prospect) Explanatory Statement 2018 (No 2 )</vt:lpwstr>
  </property>
  <property fmtid="{D5CDD505-2E9C-101B-9397-08002B2CF9AE}" pid="5" name="Objective-Comment">
    <vt:lpwstr/>
  </property>
  <property fmtid="{D5CDD505-2E9C-101B-9397-08002B2CF9AE}" pid="6" name="Objective-CreationStamp">
    <vt:filetime>2018-08-16T01:13:29Z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2018-08-16T02:34:55Z</vt:filetime>
  </property>
  <property fmtid="{D5CDD505-2E9C-101B-9397-08002B2CF9AE}" pid="10" name="Objective-ModificationStamp">
    <vt:filetime>2018-08-22T00:51:23Z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18/23771 - Public Place Names (Denman Prospect) Determination 2018 (2)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Edited from Template Dialog</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