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54" w:rsidRPr="006357E6" w:rsidRDefault="00AF0D54" w:rsidP="00AF0D54">
      <w:pPr>
        <w:autoSpaceDE w:val="0"/>
        <w:autoSpaceDN w:val="0"/>
        <w:adjustRightInd w:val="0"/>
        <w:spacing w:before="240" w:after="120"/>
        <w:jc w:val="center"/>
        <w:rPr>
          <w:b/>
          <w:bCs/>
          <w:szCs w:val="24"/>
        </w:rPr>
      </w:pPr>
      <w:bookmarkStart w:id="0" w:name="_GoBack"/>
      <w:bookmarkEnd w:id="0"/>
    </w:p>
    <w:p w:rsidR="0030585F" w:rsidRPr="006357E6" w:rsidRDefault="0030585F" w:rsidP="00AF0D54">
      <w:pPr>
        <w:autoSpaceDE w:val="0"/>
        <w:autoSpaceDN w:val="0"/>
        <w:adjustRightInd w:val="0"/>
        <w:spacing w:before="240" w:after="120"/>
        <w:jc w:val="center"/>
        <w:rPr>
          <w:b/>
          <w:bCs/>
          <w:szCs w:val="24"/>
        </w:rPr>
      </w:pPr>
      <w:r w:rsidRPr="006357E6">
        <w:rPr>
          <w:b/>
          <w:bCs/>
          <w:szCs w:val="24"/>
        </w:rPr>
        <w:t>201</w:t>
      </w:r>
      <w:r w:rsidR="00A5134C" w:rsidRPr="006357E6">
        <w:rPr>
          <w:b/>
          <w:bCs/>
          <w:szCs w:val="24"/>
        </w:rPr>
        <w:t>8</w:t>
      </w:r>
    </w:p>
    <w:p w:rsidR="0030585F" w:rsidRPr="006357E6" w:rsidRDefault="0030585F" w:rsidP="00A363CB">
      <w:pPr>
        <w:autoSpaceDE w:val="0"/>
        <w:autoSpaceDN w:val="0"/>
        <w:adjustRightInd w:val="0"/>
        <w:spacing w:before="240" w:after="120"/>
        <w:jc w:val="center"/>
        <w:rPr>
          <w:b/>
          <w:bCs/>
          <w:szCs w:val="24"/>
        </w:rPr>
      </w:pPr>
    </w:p>
    <w:p w:rsidR="0030585F" w:rsidRPr="006357E6" w:rsidRDefault="0030585F" w:rsidP="002E1092">
      <w:pPr>
        <w:autoSpaceDE w:val="0"/>
        <w:autoSpaceDN w:val="0"/>
        <w:adjustRightInd w:val="0"/>
        <w:spacing w:before="240" w:after="120"/>
        <w:rPr>
          <w:b/>
          <w:bCs/>
          <w:szCs w:val="24"/>
        </w:rPr>
      </w:pPr>
    </w:p>
    <w:p w:rsidR="00EE32FF" w:rsidRPr="006357E6" w:rsidRDefault="00EE32FF" w:rsidP="002E1092">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r w:rsidRPr="006357E6">
        <w:rPr>
          <w:b/>
          <w:bCs/>
          <w:szCs w:val="24"/>
        </w:rPr>
        <w:t>LEGISLATIVE ASSEMBLY FOR THE</w:t>
      </w:r>
    </w:p>
    <w:p w:rsidR="0030585F" w:rsidRPr="006357E6" w:rsidRDefault="0030585F" w:rsidP="00A363CB">
      <w:pPr>
        <w:autoSpaceDE w:val="0"/>
        <w:autoSpaceDN w:val="0"/>
        <w:adjustRightInd w:val="0"/>
        <w:spacing w:before="240" w:after="120"/>
        <w:jc w:val="center"/>
        <w:rPr>
          <w:b/>
          <w:bCs/>
          <w:szCs w:val="24"/>
        </w:rPr>
      </w:pPr>
      <w:r w:rsidRPr="006357E6">
        <w:rPr>
          <w:b/>
          <w:bCs/>
          <w:szCs w:val="24"/>
        </w:rPr>
        <w:t>AUSTRALIAN CAPITAL TERRITORY</w:t>
      </w:r>
    </w:p>
    <w:p w:rsidR="0030585F" w:rsidRPr="006357E6" w:rsidRDefault="0030585F" w:rsidP="002E1092">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p>
    <w:p w:rsidR="007326EC" w:rsidRPr="006357E6" w:rsidRDefault="00942F7B" w:rsidP="00A363CB">
      <w:pPr>
        <w:spacing w:before="240" w:after="120"/>
        <w:jc w:val="center"/>
        <w:rPr>
          <w:b/>
          <w:bCs/>
          <w:caps/>
          <w:szCs w:val="24"/>
        </w:rPr>
      </w:pPr>
      <w:r w:rsidRPr="006357E6">
        <w:rPr>
          <w:b/>
          <w:bCs/>
          <w:caps/>
          <w:szCs w:val="24"/>
        </w:rPr>
        <w:t>CRIMES LEGISLATION AMENDMENT BILL 2018</w:t>
      </w:r>
    </w:p>
    <w:p w:rsidR="0030585F" w:rsidRPr="006357E6" w:rsidRDefault="0030585F" w:rsidP="00A363CB">
      <w:pPr>
        <w:autoSpaceDE w:val="0"/>
        <w:autoSpaceDN w:val="0"/>
        <w:adjustRightInd w:val="0"/>
        <w:spacing w:before="240" w:after="120"/>
        <w:rPr>
          <w:b/>
          <w:bCs/>
          <w:szCs w:val="24"/>
        </w:rPr>
      </w:pPr>
    </w:p>
    <w:p w:rsidR="00EE32FF" w:rsidRPr="006357E6" w:rsidRDefault="00EE32F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jc w:val="center"/>
        <w:rPr>
          <w:b/>
          <w:bCs/>
          <w:szCs w:val="24"/>
        </w:rPr>
      </w:pPr>
      <w:r w:rsidRPr="006357E6">
        <w:rPr>
          <w:b/>
          <w:bCs/>
          <w:szCs w:val="24"/>
        </w:rPr>
        <w:t>EXPLANATORY STATEMENT</w:t>
      </w:r>
    </w:p>
    <w:p w:rsidR="0030585F" w:rsidRPr="006357E6" w:rsidRDefault="0030585F" w:rsidP="00A363CB">
      <w:pPr>
        <w:autoSpaceDE w:val="0"/>
        <w:autoSpaceDN w:val="0"/>
        <w:adjustRightInd w:val="0"/>
        <w:spacing w:before="240" w:after="120"/>
        <w:rPr>
          <w:b/>
          <w:bCs/>
          <w:szCs w:val="24"/>
        </w:rPr>
      </w:pPr>
    </w:p>
    <w:p w:rsidR="007B7934" w:rsidRPr="006357E6" w:rsidRDefault="007B7934"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852B37" w:rsidRPr="006357E6" w:rsidRDefault="00852B37" w:rsidP="00A363CB">
      <w:pPr>
        <w:autoSpaceDE w:val="0"/>
        <w:autoSpaceDN w:val="0"/>
        <w:adjustRightInd w:val="0"/>
        <w:spacing w:before="240" w:after="120"/>
        <w:rPr>
          <w:b/>
          <w:bCs/>
          <w:szCs w:val="24"/>
        </w:rPr>
      </w:pPr>
    </w:p>
    <w:p w:rsidR="00EE32FF" w:rsidRPr="006357E6" w:rsidRDefault="00EE32F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30585F" w:rsidRPr="006357E6" w:rsidRDefault="0030585F" w:rsidP="00A363CB">
      <w:pPr>
        <w:autoSpaceDE w:val="0"/>
        <w:autoSpaceDN w:val="0"/>
        <w:adjustRightInd w:val="0"/>
        <w:spacing w:before="240" w:after="120"/>
        <w:rPr>
          <w:b/>
          <w:bCs/>
          <w:szCs w:val="24"/>
        </w:rPr>
      </w:pPr>
    </w:p>
    <w:p w:rsidR="0030585F" w:rsidRPr="006357E6" w:rsidRDefault="0030585F" w:rsidP="00EE32FF">
      <w:pPr>
        <w:autoSpaceDE w:val="0"/>
        <w:autoSpaceDN w:val="0"/>
        <w:adjustRightInd w:val="0"/>
        <w:spacing w:after="0" w:line="240" w:lineRule="auto"/>
        <w:jc w:val="right"/>
        <w:rPr>
          <w:szCs w:val="24"/>
        </w:rPr>
      </w:pPr>
      <w:r w:rsidRPr="006357E6">
        <w:rPr>
          <w:szCs w:val="24"/>
        </w:rPr>
        <w:t>Presented by</w:t>
      </w:r>
    </w:p>
    <w:p w:rsidR="0030585F" w:rsidRPr="006357E6" w:rsidRDefault="00942F7B" w:rsidP="00EE32FF">
      <w:pPr>
        <w:autoSpaceDE w:val="0"/>
        <w:autoSpaceDN w:val="0"/>
        <w:adjustRightInd w:val="0"/>
        <w:spacing w:after="0" w:line="240" w:lineRule="auto"/>
        <w:jc w:val="right"/>
        <w:rPr>
          <w:szCs w:val="24"/>
        </w:rPr>
      </w:pPr>
      <w:r w:rsidRPr="006357E6">
        <w:rPr>
          <w:szCs w:val="24"/>
        </w:rPr>
        <w:t>Gordon Ramsay</w:t>
      </w:r>
      <w:r w:rsidR="0030585F" w:rsidRPr="006357E6">
        <w:rPr>
          <w:szCs w:val="24"/>
        </w:rPr>
        <w:t xml:space="preserve"> MLA</w:t>
      </w:r>
    </w:p>
    <w:sdt>
      <w:sdtPr>
        <w:rPr>
          <w:szCs w:val="24"/>
        </w:rPr>
        <w:alias w:val="Relevant Minister"/>
        <w:tag w:val="Relevant Minister"/>
        <w:id w:val="172944409"/>
        <w:placeholder>
          <w:docPart w:val="DefaultPlaceholder_22675704"/>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rsidR="0030585F" w:rsidRPr="006357E6" w:rsidRDefault="00942F7B" w:rsidP="00EE32FF">
          <w:pPr>
            <w:spacing w:after="0" w:line="240" w:lineRule="auto"/>
            <w:jc w:val="right"/>
            <w:rPr>
              <w:szCs w:val="24"/>
            </w:rPr>
          </w:pPr>
          <w:r w:rsidRPr="006357E6">
            <w:rPr>
              <w:szCs w:val="24"/>
            </w:rPr>
            <w:t>Attorney-General</w:t>
          </w:r>
        </w:p>
      </w:sdtContent>
    </w:sdt>
    <w:p w:rsidR="00EE32FF" w:rsidRPr="006357E6" w:rsidRDefault="009428EA" w:rsidP="002E1092">
      <w:pPr>
        <w:spacing w:after="120"/>
        <w:jc w:val="center"/>
        <w:rPr>
          <w:b/>
          <w:bCs/>
          <w:szCs w:val="24"/>
        </w:rPr>
        <w:sectPr w:rsidR="00EE32FF" w:rsidRPr="006357E6" w:rsidSect="006B28D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6357E6">
        <w:rPr>
          <w:b/>
          <w:bCs/>
          <w:szCs w:val="24"/>
        </w:rPr>
        <w:br w:type="page"/>
      </w:r>
    </w:p>
    <w:p w:rsidR="00BF0E36" w:rsidRPr="006357E6" w:rsidRDefault="00942F7B" w:rsidP="002E1092">
      <w:pPr>
        <w:spacing w:after="120"/>
        <w:jc w:val="center"/>
        <w:rPr>
          <w:b/>
          <w:bCs/>
          <w:caps/>
          <w:szCs w:val="24"/>
        </w:rPr>
      </w:pPr>
      <w:r w:rsidRPr="006357E6">
        <w:rPr>
          <w:b/>
          <w:bCs/>
          <w:caps/>
          <w:szCs w:val="24"/>
        </w:rPr>
        <w:lastRenderedPageBreak/>
        <w:t>CRIMES LEGISLATION AMENDMENT BILL 2018</w:t>
      </w:r>
    </w:p>
    <w:p w:rsidR="006431CF" w:rsidRPr="006357E6" w:rsidRDefault="006431CF" w:rsidP="0088781C">
      <w:pPr>
        <w:pStyle w:val="Title"/>
      </w:pPr>
      <w:bookmarkStart w:id="1" w:name="_Toc426711258"/>
      <w:bookmarkStart w:id="2" w:name="_Toc429052821"/>
      <w:bookmarkStart w:id="3" w:name="_Toc524337306"/>
      <w:r w:rsidRPr="006357E6">
        <w:t>Outline</w:t>
      </w:r>
      <w:bookmarkEnd w:id="1"/>
      <w:bookmarkEnd w:id="2"/>
      <w:bookmarkEnd w:id="3"/>
    </w:p>
    <w:p w:rsidR="009D5FEE" w:rsidRDefault="00326167">
      <w:pPr>
        <w:pStyle w:val="TOC1"/>
        <w:tabs>
          <w:tab w:val="right" w:leader="dot" w:pos="9016"/>
        </w:tabs>
        <w:rPr>
          <w:rFonts w:asciiTheme="minorHAnsi" w:eastAsiaTheme="minorEastAsia" w:hAnsiTheme="minorHAnsi" w:cstheme="minorBidi"/>
          <w:noProof/>
          <w:sz w:val="22"/>
          <w:lang w:eastAsia="en-AU"/>
        </w:rPr>
      </w:pPr>
      <w:r w:rsidRPr="006357E6">
        <w:fldChar w:fldCharType="begin"/>
      </w:r>
      <w:r w:rsidR="00AC5B87" w:rsidRPr="006357E6">
        <w:instrText xml:space="preserve"> TOC \o "1-3" \h \z \u </w:instrText>
      </w:r>
      <w:r w:rsidRPr="006357E6">
        <w:fldChar w:fldCharType="separate"/>
      </w:r>
      <w:hyperlink w:anchor="_Toc524337306" w:history="1">
        <w:r w:rsidR="009D5FEE" w:rsidRPr="00FA1697">
          <w:rPr>
            <w:rStyle w:val="Hyperlink"/>
            <w:noProof/>
          </w:rPr>
          <w:t>Outline</w:t>
        </w:r>
        <w:r w:rsidR="009D5FEE">
          <w:rPr>
            <w:noProof/>
            <w:webHidden/>
          </w:rPr>
          <w:tab/>
        </w:r>
        <w:r w:rsidR="009D5FEE">
          <w:rPr>
            <w:noProof/>
            <w:webHidden/>
          </w:rPr>
          <w:fldChar w:fldCharType="begin"/>
        </w:r>
        <w:r w:rsidR="009D5FEE">
          <w:rPr>
            <w:noProof/>
            <w:webHidden/>
          </w:rPr>
          <w:instrText xml:space="preserve"> PAGEREF _Toc524337306 \h </w:instrText>
        </w:r>
        <w:r w:rsidR="009D5FEE">
          <w:rPr>
            <w:noProof/>
            <w:webHidden/>
          </w:rPr>
        </w:r>
        <w:r w:rsidR="009D5FEE">
          <w:rPr>
            <w:noProof/>
            <w:webHidden/>
          </w:rPr>
          <w:fldChar w:fldCharType="separate"/>
        </w:r>
        <w:r w:rsidR="009D5FEE">
          <w:rPr>
            <w:noProof/>
            <w:webHidden/>
          </w:rPr>
          <w:t>1</w:t>
        </w:r>
        <w:r w:rsidR="009D5FEE">
          <w:rPr>
            <w:noProof/>
            <w:webHidden/>
          </w:rPr>
          <w:fldChar w:fldCharType="end"/>
        </w:r>
      </w:hyperlink>
    </w:p>
    <w:p w:rsidR="009D5FEE" w:rsidRDefault="005E146A">
      <w:pPr>
        <w:pStyle w:val="TOC2"/>
        <w:tabs>
          <w:tab w:val="right" w:leader="dot" w:pos="9016"/>
        </w:tabs>
        <w:rPr>
          <w:rFonts w:asciiTheme="minorHAnsi" w:eastAsiaTheme="minorEastAsia" w:hAnsiTheme="minorHAnsi" w:cstheme="minorBidi"/>
          <w:noProof/>
          <w:sz w:val="22"/>
          <w:lang w:eastAsia="en-AU"/>
        </w:rPr>
      </w:pPr>
      <w:hyperlink w:anchor="_Toc524337307" w:history="1">
        <w:r w:rsidR="009D5FEE" w:rsidRPr="00FA1697">
          <w:rPr>
            <w:rStyle w:val="Hyperlink"/>
            <w:noProof/>
          </w:rPr>
          <w:t>Introduction</w:t>
        </w:r>
        <w:r w:rsidR="009D5FEE">
          <w:rPr>
            <w:noProof/>
            <w:webHidden/>
          </w:rPr>
          <w:tab/>
        </w:r>
        <w:r w:rsidR="009D5FEE">
          <w:rPr>
            <w:noProof/>
            <w:webHidden/>
          </w:rPr>
          <w:fldChar w:fldCharType="begin"/>
        </w:r>
        <w:r w:rsidR="009D5FEE">
          <w:rPr>
            <w:noProof/>
            <w:webHidden/>
          </w:rPr>
          <w:instrText xml:space="preserve"> PAGEREF _Toc524337307 \h </w:instrText>
        </w:r>
        <w:r w:rsidR="009D5FEE">
          <w:rPr>
            <w:noProof/>
            <w:webHidden/>
          </w:rPr>
        </w:r>
        <w:r w:rsidR="009D5FEE">
          <w:rPr>
            <w:noProof/>
            <w:webHidden/>
          </w:rPr>
          <w:fldChar w:fldCharType="separate"/>
        </w:r>
        <w:r w:rsidR="009D5FEE">
          <w:rPr>
            <w:noProof/>
            <w:webHidden/>
          </w:rPr>
          <w:t>2</w:t>
        </w:r>
        <w:r w:rsidR="009D5FEE">
          <w:rPr>
            <w:noProof/>
            <w:webHidden/>
          </w:rPr>
          <w:fldChar w:fldCharType="end"/>
        </w:r>
      </w:hyperlink>
    </w:p>
    <w:p w:rsidR="009D5FEE" w:rsidRDefault="005E146A">
      <w:pPr>
        <w:pStyle w:val="TOC2"/>
        <w:tabs>
          <w:tab w:val="right" w:leader="dot" w:pos="9016"/>
        </w:tabs>
        <w:rPr>
          <w:rFonts w:asciiTheme="minorHAnsi" w:eastAsiaTheme="minorEastAsia" w:hAnsiTheme="minorHAnsi" w:cstheme="minorBidi"/>
          <w:noProof/>
          <w:sz w:val="22"/>
          <w:lang w:eastAsia="en-AU"/>
        </w:rPr>
      </w:pPr>
      <w:hyperlink w:anchor="_Toc524337308" w:history="1">
        <w:r w:rsidR="009D5FEE" w:rsidRPr="00FA1697">
          <w:rPr>
            <w:rStyle w:val="Hyperlink"/>
            <w:noProof/>
          </w:rPr>
          <w:t>Purpose of the Bill</w:t>
        </w:r>
        <w:r w:rsidR="009D5FEE">
          <w:rPr>
            <w:noProof/>
            <w:webHidden/>
          </w:rPr>
          <w:tab/>
        </w:r>
        <w:r w:rsidR="009D5FEE">
          <w:rPr>
            <w:noProof/>
            <w:webHidden/>
          </w:rPr>
          <w:fldChar w:fldCharType="begin"/>
        </w:r>
        <w:r w:rsidR="009D5FEE">
          <w:rPr>
            <w:noProof/>
            <w:webHidden/>
          </w:rPr>
          <w:instrText xml:space="preserve"> PAGEREF _Toc524337308 \h </w:instrText>
        </w:r>
        <w:r w:rsidR="009D5FEE">
          <w:rPr>
            <w:noProof/>
            <w:webHidden/>
          </w:rPr>
        </w:r>
        <w:r w:rsidR="009D5FEE">
          <w:rPr>
            <w:noProof/>
            <w:webHidden/>
          </w:rPr>
          <w:fldChar w:fldCharType="separate"/>
        </w:r>
        <w:r w:rsidR="009D5FEE">
          <w:rPr>
            <w:noProof/>
            <w:webHidden/>
          </w:rPr>
          <w:t>2</w:t>
        </w:r>
        <w:r w:rsidR="009D5FEE">
          <w:rPr>
            <w:noProof/>
            <w:webHidden/>
          </w:rPr>
          <w:fldChar w:fldCharType="end"/>
        </w:r>
      </w:hyperlink>
    </w:p>
    <w:p w:rsidR="009D5FEE" w:rsidRDefault="005E146A">
      <w:pPr>
        <w:pStyle w:val="TOC2"/>
        <w:tabs>
          <w:tab w:val="right" w:leader="dot" w:pos="9016"/>
        </w:tabs>
        <w:rPr>
          <w:rFonts w:asciiTheme="minorHAnsi" w:eastAsiaTheme="minorEastAsia" w:hAnsiTheme="minorHAnsi" w:cstheme="minorBidi"/>
          <w:noProof/>
          <w:sz w:val="22"/>
          <w:lang w:eastAsia="en-AU"/>
        </w:rPr>
      </w:pPr>
      <w:hyperlink w:anchor="_Toc524337309" w:history="1">
        <w:r w:rsidR="009D5FEE" w:rsidRPr="00FA1697">
          <w:rPr>
            <w:rStyle w:val="Hyperlink"/>
            <w:noProof/>
          </w:rPr>
          <w:t>Human Rights Considerations</w:t>
        </w:r>
        <w:r w:rsidR="009D5FEE">
          <w:rPr>
            <w:noProof/>
            <w:webHidden/>
          </w:rPr>
          <w:tab/>
        </w:r>
        <w:r w:rsidR="009D5FEE">
          <w:rPr>
            <w:noProof/>
            <w:webHidden/>
          </w:rPr>
          <w:fldChar w:fldCharType="begin"/>
        </w:r>
        <w:r w:rsidR="009D5FEE">
          <w:rPr>
            <w:noProof/>
            <w:webHidden/>
          </w:rPr>
          <w:instrText xml:space="preserve"> PAGEREF _Toc524337309 \h </w:instrText>
        </w:r>
        <w:r w:rsidR="009D5FEE">
          <w:rPr>
            <w:noProof/>
            <w:webHidden/>
          </w:rPr>
        </w:r>
        <w:r w:rsidR="009D5FEE">
          <w:rPr>
            <w:noProof/>
            <w:webHidden/>
          </w:rPr>
          <w:fldChar w:fldCharType="separate"/>
        </w:r>
        <w:r w:rsidR="009D5FEE">
          <w:rPr>
            <w:noProof/>
            <w:webHidden/>
          </w:rPr>
          <w:t>3</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0" w:history="1">
        <w:r w:rsidR="009D5FEE" w:rsidRPr="00FA1697">
          <w:rPr>
            <w:rStyle w:val="Hyperlink"/>
            <w:noProof/>
            <w:lang w:eastAsia="en-AU"/>
          </w:rPr>
          <w:t>Detail</w:t>
        </w:r>
        <w:r w:rsidR="009D5FEE">
          <w:rPr>
            <w:noProof/>
            <w:webHidden/>
          </w:rPr>
          <w:tab/>
        </w:r>
        <w:r w:rsidR="009D5FEE">
          <w:rPr>
            <w:noProof/>
            <w:webHidden/>
          </w:rPr>
          <w:fldChar w:fldCharType="begin"/>
        </w:r>
        <w:r w:rsidR="009D5FEE">
          <w:rPr>
            <w:noProof/>
            <w:webHidden/>
          </w:rPr>
          <w:instrText xml:space="preserve"> PAGEREF _Toc524337310 \h </w:instrText>
        </w:r>
        <w:r w:rsidR="009D5FEE">
          <w:rPr>
            <w:noProof/>
            <w:webHidden/>
          </w:rPr>
        </w:r>
        <w:r w:rsidR="009D5FEE">
          <w:rPr>
            <w:noProof/>
            <w:webHidden/>
          </w:rPr>
          <w:fldChar w:fldCharType="separate"/>
        </w:r>
        <w:r w:rsidR="009D5FEE">
          <w:rPr>
            <w:noProof/>
            <w:webHidden/>
          </w:rPr>
          <w:t>4</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1" w:history="1">
        <w:r w:rsidR="009D5FEE" w:rsidRPr="00FA1697">
          <w:rPr>
            <w:rStyle w:val="Hyperlink"/>
            <w:noProof/>
            <w:lang w:eastAsia="en-AU"/>
          </w:rPr>
          <w:t>Part 1 – Preliminary</w:t>
        </w:r>
        <w:r w:rsidR="009D5FEE">
          <w:rPr>
            <w:noProof/>
            <w:webHidden/>
          </w:rPr>
          <w:tab/>
        </w:r>
        <w:r w:rsidR="009D5FEE">
          <w:rPr>
            <w:noProof/>
            <w:webHidden/>
          </w:rPr>
          <w:fldChar w:fldCharType="begin"/>
        </w:r>
        <w:r w:rsidR="009D5FEE">
          <w:rPr>
            <w:noProof/>
            <w:webHidden/>
          </w:rPr>
          <w:instrText xml:space="preserve"> PAGEREF _Toc524337311 \h </w:instrText>
        </w:r>
        <w:r w:rsidR="009D5FEE">
          <w:rPr>
            <w:noProof/>
            <w:webHidden/>
          </w:rPr>
        </w:r>
        <w:r w:rsidR="009D5FEE">
          <w:rPr>
            <w:noProof/>
            <w:webHidden/>
          </w:rPr>
          <w:fldChar w:fldCharType="separate"/>
        </w:r>
        <w:r w:rsidR="009D5FEE">
          <w:rPr>
            <w:noProof/>
            <w:webHidden/>
          </w:rPr>
          <w:t>4</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2" w:history="1">
        <w:r w:rsidR="009D5FEE" w:rsidRPr="00FA1697">
          <w:rPr>
            <w:rStyle w:val="Hyperlink"/>
            <w:noProof/>
            <w:lang w:eastAsia="en-AU"/>
          </w:rPr>
          <w:t xml:space="preserve">Part 2 – </w:t>
        </w:r>
        <w:r w:rsidR="009D5FEE" w:rsidRPr="00FA1697">
          <w:rPr>
            <w:rStyle w:val="Hyperlink"/>
            <w:i/>
            <w:noProof/>
            <w:lang w:eastAsia="en-AU"/>
          </w:rPr>
          <w:t>Confiscation of Criminal Assets Act 2003</w:t>
        </w:r>
        <w:r w:rsidR="009D5FEE">
          <w:rPr>
            <w:noProof/>
            <w:webHidden/>
          </w:rPr>
          <w:tab/>
        </w:r>
        <w:r w:rsidR="009D5FEE">
          <w:rPr>
            <w:noProof/>
            <w:webHidden/>
          </w:rPr>
          <w:fldChar w:fldCharType="begin"/>
        </w:r>
        <w:r w:rsidR="009D5FEE">
          <w:rPr>
            <w:noProof/>
            <w:webHidden/>
          </w:rPr>
          <w:instrText xml:space="preserve"> PAGEREF _Toc524337312 \h </w:instrText>
        </w:r>
        <w:r w:rsidR="009D5FEE">
          <w:rPr>
            <w:noProof/>
            <w:webHidden/>
          </w:rPr>
        </w:r>
        <w:r w:rsidR="009D5FEE">
          <w:rPr>
            <w:noProof/>
            <w:webHidden/>
          </w:rPr>
          <w:fldChar w:fldCharType="separate"/>
        </w:r>
        <w:r w:rsidR="009D5FEE">
          <w:rPr>
            <w:noProof/>
            <w:webHidden/>
          </w:rPr>
          <w:t>4</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3" w:history="1">
        <w:r w:rsidR="009D5FEE" w:rsidRPr="00FA1697">
          <w:rPr>
            <w:rStyle w:val="Hyperlink"/>
            <w:noProof/>
            <w:lang w:eastAsia="en-AU"/>
          </w:rPr>
          <w:t xml:space="preserve">Part 3 – </w:t>
        </w:r>
        <w:r w:rsidR="009D5FEE" w:rsidRPr="00FA1697">
          <w:rPr>
            <w:rStyle w:val="Hyperlink"/>
            <w:i/>
            <w:noProof/>
            <w:lang w:eastAsia="en-AU"/>
          </w:rPr>
          <w:t>Crimes Act 1900</w:t>
        </w:r>
        <w:r w:rsidR="009D5FEE">
          <w:rPr>
            <w:noProof/>
            <w:webHidden/>
          </w:rPr>
          <w:tab/>
        </w:r>
        <w:r w:rsidR="009D5FEE">
          <w:rPr>
            <w:noProof/>
            <w:webHidden/>
          </w:rPr>
          <w:fldChar w:fldCharType="begin"/>
        </w:r>
        <w:r w:rsidR="009D5FEE">
          <w:rPr>
            <w:noProof/>
            <w:webHidden/>
          </w:rPr>
          <w:instrText xml:space="preserve"> PAGEREF _Toc524337313 \h </w:instrText>
        </w:r>
        <w:r w:rsidR="009D5FEE">
          <w:rPr>
            <w:noProof/>
            <w:webHidden/>
          </w:rPr>
        </w:r>
        <w:r w:rsidR="009D5FEE">
          <w:rPr>
            <w:noProof/>
            <w:webHidden/>
          </w:rPr>
          <w:fldChar w:fldCharType="separate"/>
        </w:r>
        <w:r w:rsidR="009D5FEE">
          <w:rPr>
            <w:noProof/>
            <w:webHidden/>
          </w:rPr>
          <w:t>5</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4" w:history="1">
        <w:r w:rsidR="009D5FEE" w:rsidRPr="00FA1697">
          <w:rPr>
            <w:rStyle w:val="Hyperlink"/>
            <w:noProof/>
            <w:lang w:eastAsia="en-AU"/>
          </w:rPr>
          <w:t xml:space="preserve">Part 4 – </w:t>
        </w:r>
        <w:r w:rsidR="009D5FEE" w:rsidRPr="00FA1697">
          <w:rPr>
            <w:rStyle w:val="Hyperlink"/>
            <w:i/>
            <w:noProof/>
            <w:lang w:eastAsia="en-AU"/>
          </w:rPr>
          <w:t>Crimes (Child Sex Offenders) Act 2005</w:t>
        </w:r>
        <w:r w:rsidR="009D5FEE">
          <w:rPr>
            <w:noProof/>
            <w:webHidden/>
          </w:rPr>
          <w:tab/>
        </w:r>
        <w:r w:rsidR="009D5FEE">
          <w:rPr>
            <w:noProof/>
            <w:webHidden/>
          </w:rPr>
          <w:fldChar w:fldCharType="begin"/>
        </w:r>
        <w:r w:rsidR="009D5FEE">
          <w:rPr>
            <w:noProof/>
            <w:webHidden/>
          </w:rPr>
          <w:instrText xml:space="preserve"> PAGEREF _Toc524337314 \h </w:instrText>
        </w:r>
        <w:r w:rsidR="009D5FEE">
          <w:rPr>
            <w:noProof/>
            <w:webHidden/>
          </w:rPr>
        </w:r>
        <w:r w:rsidR="009D5FEE">
          <w:rPr>
            <w:noProof/>
            <w:webHidden/>
          </w:rPr>
          <w:fldChar w:fldCharType="separate"/>
        </w:r>
        <w:r w:rsidR="009D5FEE">
          <w:rPr>
            <w:noProof/>
            <w:webHidden/>
          </w:rPr>
          <w:t>5</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5" w:history="1">
        <w:r w:rsidR="009D5FEE" w:rsidRPr="00FA1697">
          <w:rPr>
            <w:rStyle w:val="Hyperlink"/>
            <w:noProof/>
            <w:lang w:eastAsia="en-AU"/>
          </w:rPr>
          <w:t xml:space="preserve">Part 5 – </w:t>
        </w:r>
        <w:r w:rsidR="009D5FEE" w:rsidRPr="00FA1697">
          <w:rPr>
            <w:rStyle w:val="Hyperlink"/>
            <w:i/>
            <w:noProof/>
            <w:lang w:eastAsia="en-AU"/>
          </w:rPr>
          <w:t>Crimes (Surveillance Devices) Act 2010</w:t>
        </w:r>
        <w:r w:rsidR="009D5FEE">
          <w:rPr>
            <w:noProof/>
            <w:webHidden/>
          </w:rPr>
          <w:tab/>
        </w:r>
        <w:r w:rsidR="009D5FEE">
          <w:rPr>
            <w:noProof/>
            <w:webHidden/>
          </w:rPr>
          <w:fldChar w:fldCharType="begin"/>
        </w:r>
        <w:r w:rsidR="009D5FEE">
          <w:rPr>
            <w:noProof/>
            <w:webHidden/>
          </w:rPr>
          <w:instrText xml:space="preserve"> PAGEREF _Toc524337315 \h </w:instrText>
        </w:r>
        <w:r w:rsidR="009D5FEE">
          <w:rPr>
            <w:noProof/>
            <w:webHidden/>
          </w:rPr>
        </w:r>
        <w:r w:rsidR="009D5FEE">
          <w:rPr>
            <w:noProof/>
            <w:webHidden/>
          </w:rPr>
          <w:fldChar w:fldCharType="separate"/>
        </w:r>
        <w:r w:rsidR="009D5FEE">
          <w:rPr>
            <w:noProof/>
            <w:webHidden/>
          </w:rPr>
          <w:t>7</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6" w:history="1">
        <w:r w:rsidR="009D5FEE" w:rsidRPr="00FA1697">
          <w:rPr>
            <w:rStyle w:val="Hyperlink"/>
            <w:noProof/>
            <w:lang w:eastAsia="en-AU"/>
          </w:rPr>
          <w:t xml:space="preserve">Part 6 – </w:t>
        </w:r>
        <w:r w:rsidR="009D5FEE" w:rsidRPr="00FA1697">
          <w:rPr>
            <w:rStyle w:val="Hyperlink"/>
            <w:i/>
            <w:noProof/>
            <w:lang w:eastAsia="en-AU"/>
          </w:rPr>
          <w:t>Drugs of Dependence Act 1989</w:t>
        </w:r>
        <w:r w:rsidR="009D5FEE">
          <w:rPr>
            <w:noProof/>
            <w:webHidden/>
          </w:rPr>
          <w:tab/>
        </w:r>
        <w:r w:rsidR="009D5FEE">
          <w:rPr>
            <w:noProof/>
            <w:webHidden/>
          </w:rPr>
          <w:fldChar w:fldCharType="begin"/>
        </w:r>
        <w:r w:rsidR="009D5FEE">
          <w:rPr>
            <w:noProof/>
            <w:webHidden/>
          </w:rPr>
          <w:instrText xml:space="preserve"> PAGEREF _Toc524337316 \h </w:instrText>
        </w:r>
        <w:r w:rsidR="009D5FEE">
          <w:rPr>
            <w:noProof/>
            <w:webHidden/>
          </w:rPr>
        </w:r>
        <w:r w:rsidR="009D5FEE">
          <w:rPr>
            <w:noProof/>
            <w:webHidden/>
          </w:rPr>
          <w:fldChar w:fldCharType="separate"/>
        </w:r>
        <w:r w:rsidR="009D5FEE">
          <w:rPr>
            <w:noProof/>
            <w:webHidden/>
          </w:rPr>
          <w:t>7</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7" w:history="1">
        <w:r w:rsidR="009D5FEE" w:rsidRPr="00FA1697">
          <w:rPr>
            <w:rStyle w:val="Hyperlink"/>
            <w:noProof/>
            <w:lang w:eastAsia="en-AU"/>
          </w:rPr>
          <w:t xml:space="preserve">Part 7 – </w:t>
        </w:r>
        <w:r w:rsidR="009D5FEE" w:rsidRPr="00FA1697">
          <w:rPr>
            <w:rStyle w:val="Hyperlink"/>
            <w:i/>
            <w:noProof/>
            <w:lang w:eastAsia="en-AU"/>
          </w:rPr>
          <w:t>Legislation Act 2001</w:t>
        </w:r>
        <w:r w:rsidR="009D5FEE">
          <w:rPr>
            <w:noProof/>
            <w:webHidden/>
          </w:rPr>
          <w:tab/>
        </w:r>
        <w:r w:rsidR="009D5FEE">
          <w:rPr>
            <w:noProof/>
            <w:webHidden/>
          </w:rPr>
          <w:fldChar w:fldCharType="begin"/>
        </w:r>
        <w:r w:rsidR="009D5FEE">
          <w:rPr>
            <w:noProof/>
            <w:webHidden/>
          </w:rPr>
          <w:instrText xml:space="preserve"> PAGEREF _Toc524337317 \h </w:instrText>
        </w:r>
        <w:r w:rsidR="009D5FEE">
          <w:rPr>
            <w:noProof/>
            <w:webHidden/>
          </w:rPr>
        </w:r>
        <w:r w:rsidR="009D5FEE">
          <w:rPr>
            <w:noProof/>
            <w:webHidden/>
          </w:rPr>
          <w:fldChar w:fldCharType="separate"/>
        </w:r>
        <w:r w:rsidR="009D5FEE">
          <w:rPr>
            <w:noProof/>
            <w:webHidden/>
          </w:rPr>
          <w:t>7</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8" w:history="1">
        <w:r w:rsidR="009D5FEE" w:rsidRPr="00FA1697">
          <w:rPr>
            <w:rStyle w:val="Hyperlink"/>
            <w:noProof/>
            <w:lang w:eastAsia="en-AU"/>
          </w:rPr>
          <w:t xml:space="preserve">Part 8 – </w:t>
        </w:r>
        <w:r w:rsidR="009D5FEE" w:rsidRPr="00FA1697">
          <w:rPr>
            <w:rStyle w:val="Hyperlink"/>
            <w:i/>
            <w:noProof/>
            <w:lang w:eastAsia="en-AU"/>
          </w:rPr>
          <w:t>Magistrates Court Act 1930</w:t>
        </w:r>
        <w:r w:rsidR="009D5FEE">
          <w:rPr>
            <w:noProof/>
            <w:webHidden/>
          </w:rPr>
          <w:tab/>
        </w:r>
        <w:r w:rsidR="009D5FEE">
          <w:rPr>
            <w:noProof/>
            <w:webHidden/>
          </w:rPr>
          <w:fldChar w:fldCharType="begin"/>
        </w:r>
        <w:r w:rsidR="009D5FEE">
          <w:rPr>
            <w:noProof/>
            <w:webHidden/>
          </w:rPr>
          <w:instrText xml:space="preserve"> PAGEREF _Toc524337318 \h </w:instrText>
        </w:r>
        <w:r w:rsidR="009D5FEE">
          <w:rPr>
            <w:noProof/>
            <w:webHidden/>
          </w:rPr>
        </w:r>
        <w:r w:rsidR="009D5FEE">
          <w:rPr>
            <w:noProof/>
            <w:webHidden/>
          </w:rPr>
          <w:fldChar w:fldCharType="separate"/>
        </w:r>
        <w:r w:rsidR="009D5FEE">
          <w:rPr>
            <w:noProof/>
            <w:webHidden/>
          </w:rPr>
          <w:t>8</w:t>
        </w:r>
        <w:r w:rsidR="009D5FEE">
          <w:rPr>
            <w:noProof/>
            <w:webHidden/>
          </w:rPr>
          <w:fldChar w:fldCharType="end"/>
        </w:r>
      </w:hyperlink>
    </w:p>
    <w:p w:rsidR="009D5FEE" w:rsidRDefault="005E146A">
      <w:pPr>
        <w:pStyle w:val="TOC1"/>
        <w:tabs>
          <w:tab w:val="right" w:leader="dot" w:pos="9016"/>
        </w:tabs>
        <w:rPr>
          <w:rFonts w:asciiTheme="minorHAnsi" w:eastAsiaTheme="minorEastAsia" w:hAnsiTheme="minorHAnsi" w:cstheme="minorBidi"/>
          <w:noProof/>
          <w:sz w:val="22"/>
          <w:lang w:eastAsia="en-AU"/>
        </w:rPr>
      </w:pPr>
      <w:hyperlink w:anchor="_Toc524337319" w:history="1">
        <w:r w:rsidR="009D5FEE" w:rsidRPr="00FA1697">
          <w:rPr>
            <w:rStyle w:val="Hyperlink"/>
            <w:noProof/>
            <w:lang w:eastAsia="en-AU"/>
          </w:rPr>
          <w:t xml:space="preserve">Part 9 – </w:t>
        </w:r>
        <w:r w:rsidR="009D5FEE" w:rsidRPr="00FA1697">
          <w:rPr>
            <w:rStyle w:val="Hyperlink"/>
            <w:i/>
            <w:noProof/>
            <w:lang w:eastAsia="en-AU"/>
          </w:rPr>
          <w:t>Supreme Court Act 1933</w:t>
        </w:r>
        <w:r w:rsidR="009D5FEE">
          <w:rPr>
            <w:noProof/>
            <w:webHidden/>
          </w:rPr>
          <w:tab/>
        </w:r>
        <w:r w:rsidR="009D5FEE">
          <w:rPr>
            <w:noProof/>
            <w:webHidden/>
          </w:rPr>
          <w:fldChar w:fldCharType="begin"/>
        </w:r>
        <w:r w:rsidR="009D5FEE">
          <w:rPr>
            <w:noProof/>
            <w:webHidden/>
          </w:rPr>
          <w:instrText xml:space="preserve"> PAGEREF _Toc524337319 \h </w:instrText>
        </w:r>
        <w:r w:rsidR="009D5FEE">
          <w:rPr>
            <w:noProof/>
            <w:webHidden/>
          </w:rPr>
        </w:r>
        <w:r w:rsidR="009D5FEE">
          <w:rPr>
            <w:noProof/>
            <w:webHidden/>
          </w:rPr>
          <w:fldChar w:fldCharType="separate"/>
        </w:r>
        <w:r w:rsidR="009D5FEE">
          <w:rPr>
            <w:noProof/>
            <w:webHidden/>
          </w:rPr>
          <w:t>8</w:t>
        </w:r>
        <w:r w:rsidR="009D5FEE">
          <w:rPr>
            <w:noProof/>
            <w:webHidden/>
          </w:rPr>
          <w:fldChar w:fldCharType="end"/>
        </w:r>
      </w:hyperlink>
    </w:p>
    <w:p w:rsidR="00AC5B87" w:rsidRPr="006357E6" w:rsidRDefault="00326167" w:rsidP="00AC5B87">
      <w:r w:rsidRPr="006357E6">
        <w:fldChar w:fldCharType="end"/>
      </w:r>
    </w:p>
    <w:p w:rsidR="00812B9F" w:rsidRPr="006357E6" w:rsidRDefault="00AC5B87" w:rsidP="002E1092">
      <w:pPr>
        <w:pStyle w:val="Heading2"/>
        <w:spacing w:after="120"/>
      </w:pPr>
      <w:bookmarkStart w:id="4" w:name="_Toc426711259"/>
      <w:bookmarkStart w:id="5" w:name="_Toc429052822"/>
      <w:r w:rsidRPr="006357E6">
        <w:br w:type="page"/>
      </w:r>
    </w:p>
    <w:p w:rsidR="00812B9F" w:rsidRPr="006357E6" w:rsidRDefault="00812B9F" w:rsidP="002E1092">
      <w:pPr>
        <w:pStyle w:val="Heading2"/>
        <w:spacing w:after="120"/>
      </w:pPr>
      <w:bookmarkStart w:id="6" w:name="_Toc524337307"/>
      <w:r w:rsidRPr="006357E6">
        <w:lastRenderedPageBreak/>
        <w:t>Introduction</w:t>
      </w:r>
      <w:bookmarkEnd w:id="6"/>
    </w:p>
    <w:p w:rsidR="00812B9F" w:rsidRPr="006357E6" w:rsidRDefault="00812B9F" w:rsidP="00812B9F">
      <w:r w:rsidRPr="006357E6">
        <w:t xml:space="preserve">This Explanatory Statement relates to the Crimes Legislation Amendment Bill 2018 (the Bill) as presented to the ACT Legislative Assembly. It has been prepared in order to assist the reader of the Bill and to help inform debate on it. It does not form part of the Bill and has not been endorsed by the Assembly. </w:t>
      </w:r>
    </w:p>
    <w:p w:rsidR="00812B9F" w:rsidRPr="006357E6" w:rsidRDefault="00812B9F" w:rsidP="00812B9F">
      <w:r w:rsidRPr="006357E6">
        <w:t>The Statement must be read in conjunction with the Bill. It is not, and is not meant to be, a comprehensive description of the amendments. What is said about a provision is not to be taken as an authoritative guide to the meaning of a provision, this being a task for the courts.</w:t>
      </w:r>
    </w:p>
    <w:p w:rsidR="0030585F" w:rsidRPr="006357E6" w:rsidRDefault="0030585F" w:rsidP="002E1092">
      <w:pPr>
        <w:pStyle w:val="Heading2"/>
        <w:spacing w:after="120"/>
      </w:pPr>
      <w:bookmarkStart w:id="7" w:name="_Toc524337308"/>
      <w:r w:rsidRPr="006357E6">
        <w:t>Purpose of the Bill</w:t>
      </w:r>
      <w:bookmarkEnd w:id="4"/>
      <w:bookmarkEnd w:id="5"/>
      <w:bookmarkEnd w:id="7"/>
    </w:p>
    <w:p w:rsidR="00EC59E0" w:rsidRDefault="00EC59E0" w:rsidP="00A363CB">
      <w:pPr>
        <w:keepNext/>
        <w:autoSpaceDE w:val="0"/>
        <w:autoSpaceDN w:val="0"/>
        <w:adjustRightInd w:val="0"/>
        <w:spacing w:before="240" w:after="120"/>
        <w:rPr>
          <w:szCs w:val="24"/>
        </w:rPr>
      </w:pPr>
      <w:r>
        <w:rPr>
          <w:szCs w:val="24"/>
        </w:rPr>
        <w:t xml:space="preserve">The policy objective of the Bill is to improve the operation and efficiency of the criminal justice system by making amendments to a range of criminal laws. </w:t>
      </w:r>
    </w:p>
    <w:p w:rsidR="00A26427" w:rsidRPr="006357E6" w:rsidRDefault="005B37B4" w:rsidP="00A363CB">
      <w:pPr>
        <w:autoSpaceDE w:val="0"/>
        <w:autoSpaceDN w:val="0"/>
        <w:adjustRightInd w:val="0"/>
        <w:spacing w:before="240" w:after="120"/>
        <w:rPr>
          <w:szCs w:val="24"/>
        </w:rPr>
      </w:pPr>
      <w:r w:rsidRPr="006357E6">
        <w:rPr>
          <w:szCs w:val="24"/>
        </w:rPr>
        <w:t>T</w:t>
      </w:r>
      <w:r w:rsidR="00812B9F" w:rsidRPr="006357E6">
        <w:rPr>
          <w:szCs w:val="24"/>
        </w:rPr>
        <w:t>he Bill</w:t>
      </w:r>
      <w:r w:rsidR="00A26427" w:rsidRPr="006357E6">
        <w:rPr>
          <w:szCs w:val="24"/>
        </w:rPr>
        <w:t xml:space="preserve">: </w:t>
      </w:r>
    </w:p>
    <w:p w:rsidR="00812B9F" w:rsidRPr="006357E6" w:rsidRDefault="002A5968" w:rsidP="00812B9F">
      <w:pPr>
        <w:numPr>
          <w:ilvl w:val="1"/>
          <w:numId w:val="1"/>
        </w:numPr>
        <w:autoSpaceDE w:val="0"/>
        <w:autoSpaceDN w:val="0"/>
        <w:adjustRightInd w:val="0"/>
        <w:spacing w:before="240" w:after="120"/>
        <w:rPr>
          <w:szCs w:val="24"/>
        </w:rPr>
      </w:pPr>
      <w:r w:rsidRPr="006357E6">
        <w:rPr>
          <w:szCs w:val="24"/>
        </w:rPr>
        <w:t>clarifies</w:t>
      </w:r>
      <w:r w:rsidR="00812B9F" w:rsidRPr="006357E6">
        <w:rPr>
          <w:szCs w:val="24"/>
        </w:rPr>
        <w:t xml:space="preserve"> that warrants under the </w:t>
      </w:r>
      <w:r w:rsidR="00812B9F" w:rsidRPr="006357E6">
        <w:rPr>
          <w:i/>
          <w:szCs w:val="24"/>
        </w:rPr>
        <w:t>Crimes (Child Sex Offenders) Act 2005</w:t>
      </w:r>
      <w:r w:rsidR="00812B9F" w:rsidRPr="006357E6">
        <w:rPr>
          <w:szCs w:val="24"/>
        </w:rPr>
        <w:t xml:space="preserve"> (CSO Act) are issued by a magistrate, rather than the Magistrates Court</w:t>
      </w:r>
      <w:r w:rsidR="00A626E8">
        <w:rPr>
          <w:szCs w:val="24"/>
        </w:rPr>
        <w:t>, to bring the CSO Act provisions in line with warrant provisions under other Territory Acts</w:t>
      </w:r>
      <w:r w:rsidR="00614425">
        <w:rPr>
          <w:szCs w:val="24"/>
        </w:rPr>
        <w:t>. The intention is to avoid unintended consequences of inappropriately vesting the power in the court, rather than in a designated person</w:t>
      </w:r>
      <w:r w:rsidR="00812B9F" w:rsidRPr="006357E6">
        <w:rPr>
          <w:szCs w:val="24"/>
        </w:rPr>
        <w:t>;</w:t>
      </w:r>
    </w:p>
    <w:p w:rsidR="00061D42" w:rsidRPr="006357E6" w:rsidRDefault="00061D42" w:rsidP="00061D42">
      <w:pPr>
        <w:pStyle w:val="ListParagraph"/>
        <w:numPr>
          <w:ilvl w:val="1"/>
          <w:numId w:val="1"/>
        </w:numPr>
        <w:rPr>
          <w:sz w:val="24"/>
          <w:szCs w:val="24"/>
          <w:lang w:eastAsia="en-US"/>
        </w:rPr>
      </w:pPr>
      <w:r w:rsidRPr="006357E6">
        <w:rPr>
          <w:sz w:val="24"/>
          <w:szCs w:val="24"/>
          <w:lang w:eastAsia="en-US"/>
        </w:rPr>
        <w:t>provide</w:t>
      </w:r>
      <w:r w:rsidR="00DB0550">
        <w:rPr>
          <w:sz w:val="24"/>
          <w:szCs w:val="24"/>
          <w:lang w:eastAsia="en-US"/>
        </w:rPr>
        <w:t>s</w:t>
      </w:r>
      <w:r w:rsidRPr="006357E6">
        <w:rPr>
          <w:sz w:val="24"/>
          <w:szCs w:val="24"/>
          <w:lang w:eastAsia="en-US"/>
        </w:rPr>
        <w:t xml:space="preserve"> powers to an associate judge of t</w:t>
      </w:r>
      <w:r w:rsidR="00DB0550">
        <w:rPr>
          <w:sz w:val="24"/>
          <w:szCs w:val="24"/>
          <w:lang w:eastAsia="en-US"/>
        </w:rPr>
        <w:t xml:space="preserve">he Supreme Court, </w:t>
      </w:r>
      <w:r w:rsidR="00A626E8">
        <w:rPr>
          <w:sz w:val="24"/>
          <w:szCs w:val="24"/>
          <w:lang w:eastAsia="en-US"/>
        </w:rPr>
        <w:t xml:space="preserve">equivalent to those granted to judges, </w:t>
      </w:r>
      <w:r w:rsidR="00DB0550">
        <w:rPr>
          <w:sz w:val="24"/>
          <w:szCs w:val="24"/>
          <w:lang w:eastAsia="en-US"/>
        </w:rPr>
        <w:t xml:space="preserve">as a </w:t>
      </w:r>
      <w:r w:rsidR="00DB0550">
        <w:rPr>
          <w:i/>
          <w:sz w:val="24"/>
          <w:szCs w:val="24"/>
          <w:lang w:eastAsia="en-US"/>
        </w:rPr>
        <w:t xml:space="preserve">persona designata, </w:t>
      </w:r>
      <w:r w:rsidR="00DB0550">
        <w:rPr>
          <w:sz w:val="24"/>
          <w:szCs w:val="24"/>
          <w:lang w:eastAsia="en-US"/>
        </w:rPr>
        <w:t xml:space="preserve">to issue warrants under the </w:t>
      </w:r>
      <w:r w:rsidR="00A72887">
        <w:rPr>
          <w:i/>
          <w:sz w:val="24"/>
          <w:szCs w:val="24"/>
          <w:lang w:eastAsia="en-US"/>
        </w:rPr>
        <w:t>Confiscation of Criminal Assets 2003</w:t>
      </w:r>
      <w:r w:rsidR="00A72887">
        <w:rPr>
          <w:sz w:val="24"/>
          <w:szCs w:val="24"/>
          <w:lang w:eastAsia="en-US"/>
        </w:rPr>
        <w:t xml:space="preserve">, the </w:t>
      </w:r>
      <w:r w:rsidR="00A72887">
        <w:rPr>
          <w:i/>
          <w:sz w:val="24"/>
          <w:szCs w:val="24"/>
          <w:lang w:eastAsia="en-US"/>
        </w:rPr>
        <w:t>Crimes Act 1900</w:t>
      </w:r>
      <w:r w:rsidR="00A72887">
        <w:rPr>
          <w:sz w:val="24"/>
          <w:szCs w:val="24"/>
          <w:lang w:eastAsia="en-US"/>
        </w:rPr>
        <w:t xml:space="preserve">, the </w:t>
      </w:r>
      <w:r w:rsidR="00DB0550">
        <w:rPr>
          <w:i/>
          <w:sz w:val="24"/>
          <w:szCs w:val="24"/>
          <w:lang w:eastAsia="en-US"/>
        </w:rPr>
        <w:t xml:space="preserve">Crimes (Surveillance Devices) Act 2010, </w:t>
      </w:r>
      <w:r w:rsidR="00A72887">
        <w:rPr>
          <w:sz w:val="24"/>
          <w:szCs w:val="24"/>
          <w:lang w:eastAsia="en-US"/>
        </w:rPr>
        <w:t>and</w:t>
      </w:r>
      <w:r w:rsidR="00DB0550">
        <w:rPr>
          <w:i/>
          <w:sz w:val="24"/>
          <w:szCs w:val="24"/>
          <w:lang w:eastAsia="en-US"/>
        </w:rPr>
        <w:t xml:space="preserve"> </w:t>
      </w:r>
      <w:r w:rsidR="00DB0550">
        <w:rPr>
          <w:sz w:val="24"/>
          <w:szCs w:val="24"/>
          <w:lang w:eastAsia="en-US"/>
        </w:rPr>
        <w:t xml:space="preserve">the </w:t>
      </w:r>
      <w:r w:rsidR="00DB0550">
        <w:rPr>
          <w:i/>
          <w:sz w:val="24"/>
          <w:szCs w:val="24"/>
          <w:lang w:eastAsia="en-US"/>
        </w:rPr>
        <w:t>Drugs of Dependence Act 1989</w:t>
      </w:r>
      <w:r w:rsidR="00614425">
        <w:rPr>
          <w:sz w:val="24"/>
          <w:szCs w:val="24"/>
          <w:lang w:eastAsia="en-US"/>
        </w:rPr>
        <w:t xml:space="preserve">. This approach is consistent with recent amendments made to the </w:t>
      </w:r>
      <w:r w:rsidR="00614425">
        <w:rPr>
          <w:i/>
          <w:sz w:val="24"/>
          <w:szCs w:val="24"/>
          <w:lang w:eastAsia="en-US"/>
        </w:rPr>
        <w:t xml:space="preserve">Supreme Court Act 1933 </w:t>
      </w:r>
      <w:r w:rsidR="00614425">
        <w:rPr>
          <w:sz w:val="24"/>
          <w:szCs w:val="24"/>
          <w:lang w:eastAsia="en-US"/>
        </w:rPr>
        <w:t xml:space="preserve">which expanded the jurisdiction of the associate judge to include the jurisdiction (including the inherent jurisdiction) of the Supreme Court that is exercisable by a single judge, except for trials on indictment and matters before the Court of Appeal. Increasing the pool of judicial officers authorised to perform </w:t>
      </w:r>
      <w:r w:rsidR="00614425">
        <w:rPr>
          <w:i/>
          <w:sz w:val="24"/>
          <w:szCs w:val="24"/>
          <w:lang w:eastAsia="en-US"/>
        </w:rPr>
        <w:t>persona desi</w:t>
      </w:r>
      <w:r w:rsidR="00376C6E">
        <w:rPr>
          <w:i/>
          <w:sz w:val="24"/>
          <w:szCs w:val="24"/>
          <w:lang w:eastAsia="en-US"/>
        </w:rPr>
        <w:t>gnata</w:t>
      </w:r>
      <w:r w:rsidR="00614425">
        <w:rPr>
          <w:i/>
          <w:sz w:val="24"/>
          <w:szCs w:val="24"/>
          <w:lang w:eastAsia="en-US"/>
        </w:rPr>
        <w:t xml:space="preserve"> </w:t>
      </w:r>
      <w:r w:rsidR="00614425">
        <w:rPr>
          <w:sz w:val="24"/>
          <w:szCs w:val="24"/>
          <w:lang w:eastAsia="en-US"/>
        </w:rPr>
        <w:t>functions will improve efficiencies of the Supreme Court and timeliness for law enforcement agencies;</w:t>
      </w:r>
      <w:r w:rsidRPr="006357E6">
        <w:rPr>
          <w:sz w:val="24"/>
          <w:szCs w:val="24"/>
          <w:lang w:eastAsia="en-US"/>
        </w:rPr>
        <w:t xml:space="preserve"> </w:t>
      </w:r>
    </w:p>
    <w:p w:rsidR="00812B9F" w:rsidRPr="006357E6" w:rsidRDefault="00812B9F" w:rsidP="00812B9F">
      <w:pPr>
        <w:numPr>
          <w:ilvl w:val="1"/>
          <w:numId w:val="1"/>
        </w:numPr>
        <w:autoSpaceDE w:val="0"/>
        <w:autoSpaceDN w:val="0"/>
        <w:adjustRightInd w:val="0"/>
        <w:spacing w:before="240" w:after="120"/>
        <w:rPr>
          <w:szCs w:val="24"/>
        </w:rPr>
      </w:pPr>
      <w:r w:rsidRPr="006357E6">
        <w:rPr>
          <w:szCs w:val="24"/>
        </w:rPr>
        <w:t>extend</w:t>
      </w:r>
      <w:r w:rsidR="007F148C" w:rsidRPr="006357E6">
        <w:rPr>
          <w:szCs w:val="24"/>
        </w:rPr>
        <w:t>s</w:t>
      </w:r>
      <w:r w:rsidRPr="006357E6">
        <w:rPr>
          <w:szCs w:val="24"/>
        </w:rPr>
        <w:t xml:space="preserve"> existing mechanisms for transferring back-up or related charges with an indicatable matter committed to the Supreme Court under section 88B of the </w:t>
      </w:r>
      <w:r w:rsidRPr="006357E6">
        <w:rPr>
          <w:i/>
          <w:szCs w:val="24"/>
        </w:rPr>
        <w:t>Magistrates Court Act 1930</w:t>
      </w:r>
      <w:r w:rsidRPr="006357E6">
        <w:rPr>
          <w:szCs w:val="24"/>
        </w:rPr>
        <w:t>; and</w:t>
      </w:r>
    </w:p>
    <w:p w:rsidR="00722E63" w:rsidRPr="006357E6" w:rsidRDefault="00812B9F" w:rsidP="00812B9F">
      <w:pPr>
        <w:numPr>
          <w:ilvl w:val="1"/>
          <w:numId w:val="1"/>
        </w:numPr>
        <w:autoSpaceDE w:val="0"/>
        <w:autoSpaceDN w:val="0"/>
        <w:adjustRightInd w:val="0"/>
        <w:spacing w:before="240" w:after="120"/>
        <w:rPr>
          <w:szCs w:val="24"/>
        </w:rPr>
      </w:pPr>
      <w:r w:rsidRPr="006357E6">
        <w:rPr>
          <w:szCs w:val="24"/>
        </w:rPr>
        <w:t>increase</w:t>
      </w:r>
      <w:r w:rsidR="007F148C" w:rsidRPr="006357E6">
        <w:rPr>
          <w:szCs w:val="24"/>
        </w:rPr>
        <w:t>s</w:t>
      </w:r>
      <w:r w:rsidRPr="006357E6">
        <w:rPr>
          <w:szCs w:val="24"/>
        </w:rPr>
        <w:t xml:space="preserve"> the monetary value of a penalty unit for offences committed by individuals and corporations</w:t>
      </w:r>
      <w:r w:rsidR="00DB0550">
        <w:rPr>
          <w:szCs w:val="24"/>
        </w:rPr>
        <w:t xml:space="preserve"> by amending section 133(2) of the </w:t>
      </w:r>
      <w:r w:rsidR="00DB0550">
        <w:rPr>
          <w:i/>
          <w:szCs w:val="24"/>
        </w:rPr>
        <w:t>Legislation Act 2001</w:t>
      </w:r>
      <w:r w:rsidRPr="006357E6">
        <w:rPr>
          <w:szCs w:val="24"/>
        </w:rPr>
        <w:t>.</w:t>
      </w:r>
    </w:p>
    <w:p w:rsidR="007229C4" w:rsidRDefault="007229C4" w:rsidP="00A626E8">
      <w:pPr>
        <w:autoSpaceDE w:val="0"/>
        <w:autoSpaceDN w:val="0"/>
        <w:adjustRightInd w:val="0"/>
        <w:spacing w:before="240" w:after="120"/>
        <w:rPr>
          <w:szCs w:val="24"/>
        </w:rPr>
      </w:pPr>
    </w:p>
    <w:p w:rsidR="007229C4" w:rsidRDefault="007229C4" w:rsidP="00A626E8">
      <w:pPr>
        <w:autoSpaceDE w:val="0"/>
        <w:autoSpaceDN w:val="0"/>
        <w:adjustRightInd w:val="0"/>
        <w:spacing w:before="240" w:after="120"/>
        <w:rPr>
          <w:szCs w:val="24"/>
        </w:rPr>
      </w:pPr>
    </w:p>
    <w:p w:rsidR="00DD66BA" w:rsidRPr="006357E6" w:rsidRDefault="00A626E8" w:rsidP="00A626E8">
      <w:pPr>
        <w:autoSpaceDE w:val="0"/>
        <w:autoSpaceDN w:val="0"/>
        <w:adjustRightInd w:val="0"/>
        <w:spacing w:before="240" w:after="120"/>
        <w:rPr>
          <w:szCs w:val="24"/>
        </w:rPr>
      </w:pPr>
      <w:r>
        <w:rPr>
          <w:szCs w:val="24"/>
        </w:rPr>
        <w:t>Further analysis of each amendment is contained in the detail of the Explanatory Statement below</w:t>
      </w:r>
      <w:r w:rsidR="005B5922" w:rsidRPr="006357E6">
        <w:rPr>
          <w:szCs w:val="24"/>
        </w:rPr>
        <w:t xml:space="preserve">. </w:t>
      </w:r>
    </w:p>
    <w:p w:rsidR="00702566" w:rsidRPr="006357E6" w:rsidRDefault="00702566" w:rsidP="00214EAF">
      <w:pPr>
        <w:pStyle w:val="Heading2"/>
        <w:spacing w:after="120"/>
      </w:pPr>
      <w:bookmarkStart w:id="8" w:name="_Toc426711260"/>
      <w:bookmarkStart w:id="9" w:name="_Toc429052823"/>
      <w:bookmarkStart w:id="10" w:name="_Toc524337309"/>
      <w:r w:rsidRPr="006357E6">
        <w:t>Human Rights Considerations</w:t>
      </w:r>
      <w:bookmarkEnd w:id="8"/>
      <w:bookmarkEnd w:id="9"/>
      <w:bookmarkEnd w:id="10"/>
    </w:p>
    <w:p w:rsidR="00D21B72" w:rsidRPr="00A626E8" w:rsidRDefault="002A5968" w:rsidP="002A5968">
      <w:pPr>
        <w:autoSpaceDE w:val="0"/>
        <w:autoSpaceDN w:val="0"/>
        <w:adjustRightInd w:val="0"/>
        <w:spacing w:before="240" w:after="120"/>
      </w:pPr>
      <w:r w:rsidRPr="00614425">
        <w:rPr>
          <w:bCs/>
          <w:szCs w:val="24"/>
        </w:rPr>
        <w:t xml:space="preserve">The Bill does not limit any of the rights contained in the </w:t>
      </w:r>
      <w:r w:rsidRPr="00614425">
        <w:rPr>
          <w:bCs/>
          <w:i/>
          <w:szCs w:val="24"/>
        </w:rPr>
        <w:t>Human Rights Act 2004</w:t>
      </w:r>
      <w:r w:rsidR="00A626E8" w:rsidRPr="00614425">
        <w:rPr>
          <w:bCs/>
          <w:i/>
          <w:szCs w:val="24"/>
        </w:rPr>
        <w:t xml:space="preserve"> </w:t>
      </w:r>
      <w:r w:rsidR="00A626E8" w:rsidRPr="00614425">
        <w:rPr>
          <w:bCs/>
          <w:szCs w:val="24"/>
        </w:rPr>
        <w:t>(HR Act)</w:t>
      </w:r>
      <w:r w:rsidRPr="00614425">
        <w:rPr>
          <w:bCs/>
          <w:i/>
          <w:szCs w:val="24"/>
        </w:rPr>
        <w:t xml:space="preserve">. </w:t>
      </w:r>
      <w:r w:rsidR="00A626E8" w:rsidRPr="00614425">
        <w:rPr>
          <w:bCs/>
          <w:szCs w:val="24"/>
        </w:rPr>
        <w:t xml:space="preserve">Clause </w:t>
      </w:r>
      <w:r w:rsidR="00614425" w:rsidRPr="00614425">
        <w:rPr>
          <w:bCs/>
          <w:szCs w:val="24"/>
        </w:rPr>
        <w:t>22</w:t>
      </w:r>
      <w:r w:rsidR="00A626E8" w:rsidRPr="00614425">
        <w:rPr>
          <w:bCs/>
          <w:szCs w:val="24"/>
        </w:rPr>
        <w:t xml:space="preserve"> </w:t>
      </w:r>
      <w:r w:rsidR="00614425">
        <w:rPr>
          <w:bCs/>
          <w:szCs w:val="24"/>
        </w:rPr>
        <w:t xml:space="preserve">(which amends section 88B of the </w:t>
      </w:r>
      <w:r w:rsidR="00614425">
        <w:rPr>
          <w:bCs/>
          <w:i/>
          <w:szCs w:val="24"/>
        </w:rPr>
        <w:t xml:space="preserve">Magistrates Court Act </w:t>
      </w:r>
      <w:r w:rsidR="00614425" w:rsidRPr="00614425">
        <w:rPr>
          <w:bCs/>
          <w:i/>
          <w:szCs w:val="24"/>
        </w:rPr>
        <w:t>1930</w:t>
      </w:r>
      <w:r w:rsidR="00614425">
        <w:rPr>
          <w:bCs/>
          <w:szCs w:val="24"/>
        </w:rPr>
        <w:t xml:space="preserve">) </w:t>
      </w:r>
      <w:r w:rsidR="00A626E8" w:rsidRPr="00614425">
        <w:rPr>
          <w:bCs/>
          <w:szCs w:val="24"/>
        </w:rPr>
        <w:t>engages and supports the right to a fair trial under section 21(1) of the HR Act as it enhances the right to have criminal charges, and rights and obligations, recognised by law, decided by a competent, independent and impartial court or tribunal after a fair and public hearing.</w:t>
      </w:r>
      <w:r w:rsidR="00A626E8">
        <w:rPr>
          <w:bCs/>
          <w:szCs w:val="24"/>
        </w:rPr>
        <w:t xml:space="preserve"> </w:t>
      </w:r>
    </w:p>
    <w:p w:rsidR="002A5968" w:rsidRPr="006357E6" w:rsidRDefault="002A5968" w:rsidP="00D21B72">
      <w:pPr>
        <w:keepNext/>
        <w:autoSpaceDE w:val="0"/>
        <w:autoSpaceDN w:val="0"/>
        <w:adjustRightInd w:val="0"/>
        <w:spacing w:before="240" w:after="120"/>
        <w:jc w:val="center"/>
        <w:rPr>
          <w:bCs/>
          <w:szCs w:val="24"/>
        </w:rPr>
      </w:pPr>
      <w:r w:rsidRPr="006357E6">
        <w:rPr>
          <w:bCs/>
          <w:szCs w:val="24"/>
        </w:rPr>
        <w:br w:type="page"/>
      </w:r>
    </w:p>
    <w:p w:rsidR="00702566" w:rsidRPr="006357E6" w:rsidRDefault="00942F7B" w:rsidP="00D21B72">
      <w:pPr>
        <w:keepNext/>
        <w:autoSpaceDE w:val="0"/>
        <w:autoSpaceDN w:val="0"/>
        <w:adjustRightInd w:val="0"/>
        <w:spacing w:before="240" w:after="120"/>
        <w:jc w:val="center"/>
        <w:rPr>
          <w:b/>
          <w:bCs/>
          <w:sz w:val="28"/>
          <w:szCs w:val="28"/>
          <w:lang w:eastAsia="en-AU"/>
        </w:rPr>
      </w:pPr>
      <w:r w:rsidRPr="006357E6">
        <w:rPr>
          <w:b/>
          <w:bCs/>
          <w:sz w:val="28"/>
          <w:szCs w:val="28"/>
          <w:lang w:eastAsia="en-AU"/>
        </w:rPr>
        <w:t>CRIMES LEGISLATION AMENDMENT BILL 2018</w:t>
      </w:r>
    </w:p>
    <w:p w:rsidR="00702566" w:rsidRPr="006357E6" w:rsidRDefault="00702566" w:rsidP="00A363CB">
      <w:pPr>
        <w:pStyle w:val="Title"/>
        <w:spacing w:before="240" w:after="120"/>
        <w:rPr>
          <w:lang w:eastAsia="en-AU"/>
        </w:rPr>
      </w:pPr>
      <w:bookmarkStart w:id="11" w:name="_Toc426711261"/>
      <w:bookmarkStart w:id="12" w:name="_Toc429052824"/>
      <w:bookmarkStart w:id="13" w:name="_Toc524337310"/>
      <w:r w:rsidRPr="006357E6">
        <w:rPr>
          <w:lang w:eastAsia="en-AU"/>
        </w:rPr>
        <w:t>Detail</w:t>
      </w:r>
      <w:bookmarkEnd w:id="11"/>
      <w:bookmarkEnd w:id="12"/>
      <w:bookmarkEnd w:id="13"/>
    </w:p>
    <w:p w:rsidR="00AC5B87" w:rsidRPr="006357E6" w:rsidRDefault="00AC5B87" w:rsidP="00AC5B87">
      <w:pPr>
        <w:pStyle w:val="Heading1"/>
        <w:rPr>
          <w:lang w:eastAsia="en-AU"/>
        </w:rPr>
      </w:pPr>
      <w:bookmarkStart w:id="14" w:name="_Preamble"/>
      <w:bookmarkStart w:id="15" w:name="_Toc524337311"/>
      <w:bookmarkEnd w:id="14"/>
      <w:r w:rsidRPr="006357E6">
        <w:rPr>
          <w:lang w:eastAsia="en-AU"/>
        </w:rPr>
        <w:t xml:space="preserve">Part </w:t>
      </w:r>
      <w:r w:rsidR="00326167" w:rsidRPr="006357E6">
        <w:rPr>
          <w:lang w:eastAsia="en-AU"/>
        </w:rPr>
        <w:fldChar w:fldCharType="begin"/>
      </w:r>
      <w:r w:rsidRPr="006357E6">
        <w:rPr>
          <w:lang w:eastAsia="en-AU"/>
        </w:rPr>
        <w:instrText xml:space="preserve"> SEQ Part \* ARABIC </w:instrText>
      </w:r>
      <w:r w:rsidR="00326167" w:rsidRPr="006357E6">
        <w:rPr>
          <w:lang w:eastAsia="en-AU"/>
        </w:rPr>
        <w:fldChar w:fldCharType="separate"/>
      </w:r>
      <w:r w:rsidR="00A626E8">
        <w:rPr>
          <w:noProof/>
          <w:lang w:eastAsia="en-AU"/>
        </w:rPr>
        <w:t>1</w:t>
      </w:r>
      <w:r w:rsidR="00326167" w:rsidRPr="006357E6">
        <w:rPr>
          <w:lang w:eastAsia="en-AU"/>
        </w:rPr>
        <w:fldChar w:fldCharType="end"/>
      </w:r>
      <w:r w:rsidRPr="006357E6">
        <w:rPr>
          <w:lang w:eastAsia="en-AU"/>
        </w:rPr>
        <w:t xml:space="preserve"> – Preliminary</w:t>
      </w:r>
      <w:bookmarkEnd w:id="15"/>
    </w:p>
    <w:p w:rsidR="00702566" w:rsidRPr="006357E6" w:rsidRDefault="00C71A66" w:rsidP="00C07F8C">
      <w:pPr>
        <w:pStyle w:val="Heading4"/>
        <w:rPr>
          <w:bCs/>
          <w:lang w:eastAsia="en-AU"/>
        </w:rPr>
      </w:pPr>
      <w:r w:rsidRPr="006357E6">
        <w:t xml:space="preserve">Clause </w:t>
      </w:r>
      <w:r w:rsidR="00326167" w:rsidRPr="006357E6">
        <w:fldChar w:fldCharType="begin"/>
      </w:r>
      <w:r w:rsidRPr="006357E6">
        <w:instrText xml:space="preserve"> SEQ Clause \* ARABIC </w:instrText>
      </w:r>
      <w:r w:rsidR="00326167" w:rsidRPr="006357E6">
        <w:fldChar w:fldCharType="separate"/>
      </w:r>
      <w:r w:rsidR="00A626E8">
        <w:rPr>
          <w:noProof/>
        </w:rPr>
        <w:t>1</w:t>
      </w:r>
      <w:r w:rsidR="00326167" w:rsidRPr="006357E6">
        <w:fldChar w:fldCharType="end"/>
      </w:r>
      <w:r w:rsidR="00702566" w:rsidRPr="006357E6">
        <w:rPr>
          <w:bCs/>
          <w:lang w:eastAsia="en-AU"/>
        </w:rPr>
        <w:t xml:space="preserve"> — Name of Act</w:t>
      </w:r>
    </w:p>
    <w:p w:rsidR="00702566" w:rsidRPr="006357E6" w:rsidRDefault="00702566" w:rsidP="00A363CB">
      <w:pPr>
        <w:keepNext/>
        <w:autoSpaceDE w:val="0"/>
        <w:autoSpaceDN w:val="0"/>
        <w:adjustRightInd w:val="0"/>
        <w:spacing w:before="240" w:after="120"/>
        <w:rPr>
          <w:szCs w:val="24"/>
          <w:lang w:eastAsia="en-AU"/>
        </w:rPr>
      </w:pPr>
      <w:r w:rsidRPr="00614425">
        <w:rPr>
          <w:szCs w:val="24"/>
          <w:lang w:eastAsia="en-AU"/>
        </w:rPr>
        <w:t xml:space="preserve">This is a technical clause that names the short title of the Act. The name of the Act </w:t>
      </w:r>
      <w:r w:rsidR="00807087" w:rsidRPr="00614425">
        <w:rPr>
          <w:szCs w:val="24"/>
          <w:lang w:eastAsia="en-AU"/>
        </w:rPr>
        <w:t>will</w:t>
      </w:r>
      <w:r w:rsidRPr="00614425">
        <w:rPr>
          <w:szCs w:val="24"/>
          <w:lang w:eastAsia="en-AU"/>
        </w:rPr>
        <w:t xml:space="preserve"> be</w:t>
      </w:r>
      <w:r w:rsidR="001B7E69" w:rsidRPr="00614425">
        <w:rPr>
          <w:szCs w:val="24"/>
          <w:lang w:eastAsia="en-AU"/>
        </w:rPr>
        <w:t xml:space="preserve"> </w:t>
      </w:r>
      <w:r w:rsidRPr="00614425">
        <w:rPr>
          <w:szCs w:val="24"/>
          <w:lang w:eastAsia="en-AU"/>
        </w:rPr>
        <w:t xml:space="preserve">the </w:t>
      </w:r>
      <w:r w:rsidR="00942F7B" w:rsidRPr="00614425">
        <w:rPr>
          <w:i/>
          <w:szCs w:val="24"/>
          <w:lang w:eastAsia="en-AU"/>
        </w:rPr>
        <w:t>Crimes Legislation Amendment Act 2018</w:t>
      </w:r>
      <w:r w:rsidRPr="00614425">
        <w:rPr>
          <w:szCs w:val="24"/>
          <w:lang w:eastAsia="en-AU"/>
        </w:rPr>
        <w:t>.</w:t>
      </w:r>
    </w:p>
    <w:p w:rsidR="00702566" w:rsidRPr="006357E6" w:rsidRDefault="00C71A66" w:rsidP="00C07F8C">
      <w:pPr>
        <w:pStyle w:val="Heading4"/>
        <w:rPr>
          <w:bCs/>
          <w:lang w:eastAsia="en-AU"/>
        </w:rPr>
      </w:pPr>
      <w:r w:rsidRPr="006357E6">
        <w:t xml:space="preserve">Clause </w:t>
      </w:r>
      <w:r w:rsidR="00326167" w:rsidRPr="006357E6">
        <w:fldChar w:fldCharType="begin"/>
      </w:r>
      <w:r w:rsidRPr="006357E6">
        <w:instrText xml:space="preserve"> SEQ Clause \* ARABIC </w:instrText>
      </w:r>
      <w:r w:rsidR="00326167" w:rsidRPr="006357E6">
        <w:fldChar w:fldCharType="separate"/>
      </w:r>
      <w:r w:rsidR="00A626E8">
        <w:rPr>
          <w:noProof/>
        </w:rPr>
        <w:t>2</w:t>
      </w:r>
      <w:r w:rsidR="00326167" w:rsidRPr="006357E6">
        <w:fldChar w:fldCharType="end"/>
      </w:r>
      <w:r w:rsidRPr="006357E6">
        <w:rPr>
          <w:bCs/>
          <w:lang w:eastAsia="en-AU"/>
        </w:rPr>
        <w:t xml:space="preserve"> </w:t>
      </w:r>
      <w:r w:rsidR="00702566" w:rsidRPr="006357E6">
        <w:rPr>
          <w:bCs/>
          <w:lang w:eastAsia="en-AU"/>
        </w:rPr>
        <w:t>— Commencement</w:t>
      </w:r>
    </w:p>
    <w:p w:rsidR="00A11978" w:rsidRPr="006357E6" w:rsidRDefault="001F7F5F" w:rsidP="00DF7319">
      <w:pPr>
        <w:keepNext/>
        <w:autoSpaceDE w:val="0"/>
        <w:autoSpaceDN w:val="0"/>
        <w:adjustRightInd w:val="0"/>
        <w:spacing w:before="240" w:after="120"/>
        <w:rPr>
          <w:szCs w:val="24"/>
          <w:lang w:eastAsia="en-AU"/>
        </w:rPr>
      </w:pPr>
      <w:r w:rsidRPr="006357E6">
        <w:rPr>
          <w:szCs w:val="24"/>
          <w:lang w:eastAsia="en-AU"/>
        </w:rPr>
        <w:t>This clause provid</w:t>
      </w:r>
      <w:r w:rsidR="00393C03" w:rsidRPr="006357E6">
        <w:rPr>
          <w:szCs w:val="24"/>
          <w:lang w:eastAsia="en-AU"/>
        </w:rPr>
        <w:t>es that the Act</w:t>
      </w:r>
      <w:r w:rsidR="00DF7319" w:rsidRPr="006357E6">
        <w:rPr>
          <w:szCs w:val="24"/>
          <w:lang w:eastAsia="en-AU"/>
        </w:rPr>
        <w:t xml:space="preserve"> </w:t>
      </w:r>
      <w:r w:rsidR="00393C03" w:rsidRPr="006357E6">
        <w:rPr>
          <w:szCs w:val="24"/>
          <w:lang w:eastAsia="en-AU"/>
        </w:rPr>
        <w:t>will commence</w:t>
      </w:r>
      <w:r w:rsidR="005D0412" w:rsidRPr="006357E6">
        <w:rPr>
          <w:szCs w:val="24"/>
          <w:lang w:eastAsia="en-AU"/>
        </w:rPr>
        <w:t xml:space="preserve"> </w:t>
      </w:r>
      <w:r w:rsidR="00DF7319" w:rsidRPr="006357E6">
        <w:rPr>
          <w:szCs w:val="24"/>
          <w:lang w:eastAsia="en-AU"/>
        </w:rPr>
        <w:t xml:space="preserve">on </w:t>
      </w:r>
      <w:r w:rsidR="00942F7B" w:rsidRPr="006357E6">
        <w:rPr>
          <w:szCs w:val="24"/>
          <w:lang w:eastAsia="en-AU"/>
        </w:rPr>
        <w:t>the day after its notification day</w:t>
      </w:r>
      <w:r w:rsidR="00DF7319" w:rsidRPr="006357E6">
        <w:rPr>
          <w:szCs w:val="24"/>
          <w:lang w:eastAsia="en-AU"/>
        </w:rPr>
        <w:t>.</w:t>
      </w:r>
    </w:p>
    <w:p w:rsidR="00C87B10" w:rsidRPr="006357E6" w:rsidRDefault="00C87B10" w:rsidP="00C87B10">
      <w:pPr>
        <w:pStyle w:val="Heading4"/>
        <w:rPr>
          <w:bCs/>
          <w:lang w:eastAsia="en-AU"/>
        </w:rPr>
      </w:pPr>
      <w:r w:rsidRPr="006357E6">
        <w:t xml:space="preserve">Clause </w:t>
      </w:r>
      <w:r w:rsidR="00B649EC" w:rsidRPr="006357E6">
        <w:rPr>
          <w:noProof/>
        </w:rPr>
        <w:fldChar w:fldCharType="begin"/>
      </w:r>
      <w:r w:rsidR="00B649EC" w:rsidRPr="006357E6">
        <w:rPr>
          <w:noProof/>
        </w:rPr>
        <w:instrText xml:space="preserve"> SEQ Clause \* ARABIC </w:instrText>
      </w:r>
      <w:r w:rsidR="00B649EC" w:rsidRPr="006357E6">
        <w:rPr>
          <w:noProof/>
        </w:rPr>
        <w:fldChar w:fldCharType="separate"/>
      </w:r>
      <w:r w:rsidR="00A626E8">
        <w:rPr>
          <w:noProof/>
        </w:rPr>
        <w:t>3</w:t>
      </w:r>
      <w:r w:rsidR="00B649EC" w:rsidRPr="006357E6">
        <w:rPr>
          <w:noProof/>
        </w:rPr>
        <w:fldChar w:fldCharType="end"/>
      </w:r>
      <w:r w:rsidRPr="006357E6">
        <w:rPr>
          <w:bCs/>
          <w:lang w:eastAsia="en-AU"/>
        </w:rPr>
        <w:t xml:space="preserve"> — Legislation Amended</w:t>
      </w:r>
    </w:p>
    <w:p w:rsidR="007F148C" w:rsidRPr="006357E6" w:rsidRDefault="00C87B10" w:rsidP="00C87B10">
      <w:pPr>
        <w:spacing w:before="240" w:after="120"/>
        <w:rPr>
          <w:szCs w:val="24"/>
          <w:lang w:eastAsia="en-AU"/>
        </w:rPr>
      </w:pPr>
      <w:r w:rsidRPr="006357E6">
        <w:rPr>
          <w:szCs w:val="24"/>
          <w:lang w:eastAsia="en-AU"/>
        </w:rPr>
        <w:t xml:space="preserve">This clause </w:t>
      </w:r>
      <w:r w:rsidR="00E171CB">
        <w:rPr>
          <w:szCs w:val="24"/>
          <w:lang w:eastAsia="en-AU"/>
        </w:rPr>
        <w:t>identifies</w:t>
      </w:r>
      <w:r w:rsidR="00442BD2" w:rsidRPr="006357E6">
        <w:rPr>
          <w:szCs w:val="24"/>
          <w:lang w:eastAsia="en-AU"/>
        </w:rPr>
        <w:t xml:space="preserve"> the legislation amended by </w:t>
      </w:r>
      <w:r w:rsidR="00E171CB">
        <w:rPr>
          <w:szCs w:val="24"/>
          <w:lang w:eastAsia="en-AU"/>
        </w:rPr>
        <w:t>the Act, namely the</w:t>
      </w:r>
      <w:r w:rsidR="007F148C" w:rsidRPr="006357E6">
        <w:rPr>
          <w:szCs w:val="24"/>
          <w:lang w:eastAsia="en-AU"/>
        </w:rPr>
        <w:t>:</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Confiscation of Criminal Assets Act 2003 </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Crimes Act 1900 </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Crimes (Child Sex Offenders) Act 2005 </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Crimes (Surveillance Devices) Act 2010 </w:t>
      </w:r>
    </w:p>
    <w:p w:rsidR="007F148C" w:rsidRPr="006357E6" w:rsidRDefault="005B5922" w:rsidP="007F148C">
      <w:pPr>
        <w:pStyle w:val="ListParagraph"/>
        <w:numPr>
          <w:ilvl w:val="0"/>
          <w:numId w:val="25"/>
        </w:numPr>
        <w:autoSpaceDE w:val="0"/>
        <w:autoSpaceDN w:val="0"/>
        <w:adjustRightInd w:val="0"/>
        <w:spacing w:after="87" w:line="240" w:lineRule="auto"/>
        <w:rPr>
          <w:i/>
          <w:color w:val="000000"/>
          <w:sz w:val="23"/>
          <w:szCs w:val="23"/>
        </w:rPr>
      </w:pPr>
      <w:r w:rsidRPr="006357E6">
        <w:rPr>
          <w:i/>
          <w:iCs/>
          <w:color w:val="000000"/>
          <w:sz w:val="23"/>
          <w:szCs w:val="23"/>
        </w:rPr>
        <w:t>Drugs of Dependence Act 1989</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Legislation Act 2001 </w:t>
      </w:r>
    </w:p>
    <w:p w:rsidR="007F148C" w:rsidRPr="006357E6" w:rsidRDefault="007F148C" w:rsidP="007F148C">
      <w:pPr>
        <w:pStyle w:val="ListParagraph"/>
        <w:numPr>
          <w:ilvl w:val="0"/>
          <w:numId w:val="25"/>
        </w:numPr>
        <w:autoSpaceDE w:val="0"/>
        <w:autoSpaceDN w:val="0"/>
        <w:adjustRightInd w:val="0"/>
        <w:spacing w:after="87" w:line="240" w:lineRule="auto"/>
        <w:rPr>
          <w:color w:val="000000"/>
          <w:sz w:val="23"/>
          <w:szCs w:val="23"/>
        </w:rPr>
      </w:pPr>
      <w:r w:rsidRPr="006357E6">
        <w:rPr>
          <w:i/>
          <w:iCs/>
          <w:color w:val="000000"/>
          <w:sz w:val="23"/>
          <w:szCs w:val="23"/>
        </w:rPr>
        <w:t xml:space="preserve">Magistrates Court Act 1930 </w:t>
      </w:r>
    </w:p>
    <w:p w:rsidR="00AC5B87" w:rsidRPr="006357E6" w:rsidRDefault="007F148C" w:rsidP="00F42B31">
      <w:pPr>
        <w:pStyle w:val="ListParagraph"/>
        <w:numPr>
          <w:ilvl w:val="0"/>
          <w:numId w:val="25"/>
        </w:numPr>
        <w:autoSpaceDE w:val="0"/>
        <w:autoSpaceDN w:val="0"/>
        <w:adjustRightInd w:val="0"/>
        <w:spacing w:after="0" w:line="240" w:lineRule="auto"/>
        <w:rPr>
          <w:color w:val="000000"/>
          <w:sz w:val="23"/>
          <w:szCs w:val="23"/>
        </w:rPr>
      </w:pPr>
      <w:r w:rsidRPr="006357E6">
        <w:rPr>
          <w:i/>
          <w:iCs/>
          <w:color w:val="000000"/>
          <w:sz w:val="23"/>
          <w:szCs w:val="23"/>
        </w:rPr>
        <w:t>Supreme Court Act 1933</w:t>
      </w:r>
      <w:r w:rsidRPr="006357E6">
        <w:rPr>
          <w:color w:val="000000"/>
          <w:sz w:val="23"/>
          <w:szCs w:val="23"/>
        </w:rPr>
        <w:t xml:space="preserve">. </w:t>
      </w:r>
    </w:p>
    <w:p w:rsidR="00CF129B" w:rsidRPr="006357E6" w:rsidRDefault="00AC5B87" w:rsidP="00A363CB">
      <w:pPr>
        <w:pStyle w:val="Heading1"/>
        <w:rPr>
          <w:lang w:eastAsia="en-AU"/>
        </w:rPr>
      </w:pPr>
      <w:bookmarkStart w:id="16" w:name="_Part_2_–"/>
      <w:bookmarkStart w:id="17" w:name="_Toc426711263"/>
      <w:bookmarkStart w:id="18" w:name="_Toc429052826"/>
      <w:bookmarkStart w:id="19" w:name="_Toc524337312"/>
      <w:bookmarkEnd w:id="16"/>
      <w:r w:rsidRPr="006357E6">
        <w:rPr>
          <w:lang w:eastAsia="en-AU"/>
        </w:rPr>
        <w:t xml:space="preserve">Part </w:t>
      </w:r>
      <w:r w:rsidR="00326167" w:rsidRPr="006357E6">
        <w:rPr>
          <w:lang w:eastAsia="en-AU"/>
        </w:rPr>
        <w:fldChar w:fldCharType="begin"/>
      </w:r>
      <w:r w:rsidRPr="006357E6">
        <w:rPr>
          <w:lang w:eastAsia="en-AU"/>
        </w:rPr>
        <w:instrText xml:space="preserve"> SEQ Part \* ARABIC </w:instrText>
      </w:r>
      <w:r w:rsidR="00326167" w:rsidRPr="006357E6">
        <w:rPr>
          <w:lang w:eastAsia="en-AU"/>
        </w:rPr>
        <w:fldChar w:fldCharType="separate"/>
      </w:r>
      <w:r w:rsidR="00A626E8">
        <w:rPr>
          <w:noProof/>
          <w:lang w:eastAsia="en-AU"/>
        </w:rPr>
        <w:t>2</w:t>
      </w:r>
      <w:r w:rsidR="00326167" w:rsidRPr="006357E6">
        <w:rPr>
          <w:lang w:eastAsia="en-AU"/>
        </w:rPr>
        <w:fldChar w:fldCharType="end"/>
      </w:r>
      <w:r w:rsidR="00CF129B" w:rsidRPr="006357E6">
        <w:rPr>
          <w:lang w:eastAsia="en-AU"/>
        </w:rPr>
        <w:t xml:space="preserve"> – </w:t>
      </w:r>
      <w:bookmarkEnd w:id="17"/>
      <w:bookmarkEnd w:id="18"/>
      <w:r w:rsidR="007F148C" w:rsidRPr="00EC59E0">
        <w:rPr>
          <w:i/>
          <w:lang w:eastAsia="en-AU"/>
        </w:rPr>
        <w:t>Confiscation of Criminal Assets</w:t>
      </w:r>
      <w:r w:rsidR="005954C9" w:rsidRPr="00EC59E0">
        <w:rPr>
          <w:i/>
          <w:lang w:eastAsia="en-AU"/>
        </w:rPr>
        <w:t xml:space="preserve"> Act 2003</w:t>
      </w:r>
      <w:bookmarkEnd w:id="19"/>
    </w:p>
    <w:p w:rsidR="00AC5B87" w:rsidRPr="006357E6" w:rsidRDefault="00AC5B87" w:rsidP="00DF7319">
      <w:pPr>
        <w:pStyle w:val="Heading4"/>
        <w:keepNext w:val="0"/>
      </w:pPr>
      <w:bookmarkStart w:id="20" w:name="_Clause_6_–"/>
      <w:bookmarkEnd w:id="20"/>
      <w:r w:rsidRPr="006357E6">
        <w:t xml:space="preserve">Clause </w:t>
      </w:r>
      <w:r w:rsidR="00326167" w:rsidRPr="006357E6">
        <w:fldChar w:fldCharType="begin"/>
      </w:r>
      <w:r w:rsidRPr="006357E6">
        <w:instrText xml:space="preserve"> SEQ Clause \* ARABIC </w:instrText>
      </w:r>
      <w:r w:rsidR="00326167" w:rsidRPr="006357E6">
        <w:fldChar w:fldCharType="separate"/>
      </w:r>
      <w:r w:rsidR="00A626E8">
        <w:rPr>
          <w:noProof/>
        </w:rPr>
        <w:t>4</w:t>
      </w:r>
      <w:r w:rsidR="00326167" w:rsidRPr="006357E6">
        <w:fldChar w:fldCharType="end"/>
      </w:r>
      <w:r w:rsidRPr="006357E6">
        <w:rPr>
          <w:bCs/>
          <w:lang w:eastAsia="en-AU"/>
        </w:rPr>
        <w:t xml:space="preserve"> </w:t>
      </w:r>
      <w:r w:rsidRPr="006357E6">
        <w:rPr>
          <w:lang w:eastAsia="en-AU"/>
        </w:rPr>
        <w:t xml:space="preserve">– </w:t>
      </w:r>
      <w:r w:rsidR="00A47B45" w:rsidRPr="006357E6">
        <w:rPr>
          <w:lang w:eastAsia="en-AU"/>
        </w:rPr>
        <w:t xml:space="preserve">Definitions for part 13, </w:t>
      </w:r>
      <w:r w:rsidR="005954C9" w:rsidRPr="006357E6">
        <w:rPr>
          <w:lang w:eastAsia="en-AU"/>
        </w:rPr>
        <w:t xml:space="preserve">Section 195, definition of </w:t>
      </w:r>
      <w:r w:rsidR="005954C9" w:rsidRPr="006357E6">
        <w:rPr>
          <w:i/>
          <w:lang w:eastAsia="en-AU"/>
        </w:rPr>
        <w:t>issuing officer,</w:t>
      </w:r>
      <w:r w:rsidR="005954C9" w:rsidRPr="006357E6">
        <w:t xml:space="preserve"> paragraph (a)</w:t>
      </w:r>
    </w:p>
    <w:p w:rsidR="00376C6E" w:rsidRDefault="005954C9" w:rsidP="00376C6E">
      <w:pPr>
        <w:pStyle w:val="Heading4"/>
        <w:keepNext w:val="0"/>
        <w:rPr>
          <w:b w:val="0"/>
          <w:lang w:eastAsia="en-AU"/>
        </w:rPr>
      </w:pPr>
      <w:bookmarkStart w:id="21" w:name="_Clause_7_–"/>
      <w:bookmarkEnd w:id="21"/>
      <w:r w:rsidRPr="006357E6">
        <w:rPr>
          <w:b w:val="0"/>
          <w:lang w:eastAsia="en-AU"/>
        </w:rPr>
        <w:t>This clause amends</w:t>
      </w:r>
      <w:r w:rsidR="00E46A61">
        <w:rPr>
          <w:b w:val="0"/>
          <w:lang w:eastAsia="en-AU"/>
        </w:rPr>
        <w:t xml:space="preserve"> </w:t>
      </w:r>
      <w:r w:rsidR="00E46A61" w:rsidRPr="006357E6">
        <w:rPr>
          <w:b w:val="0"/>
          <w:lang w:eastAsia="en-AU"/>
        </w:rPr>
        <w:t xml:space="preserve">the definition of </w:t>
      </w:r>
      <w:r w:rsidR="00E46A61" w:rsidRPr="006357E6">
        <w:rPr>
          <w:b w:val="0"/>
          <w:i/>
          <w:lang w:eastAsia="en-AU"/>
        </w:rPr>
        <w:t>issuing officer</w:t>
      </w:r>
      <w:r w:rsidR="00376C6E">
        <w:rPr>
          <w:b w:val="0"/>
          <w:lang w:eastAsia="en-AU"/>
        </w:rPr>
        <w:t>,</w:t>
      </w:r>
      <w:r w:rsidR="00376C6E">
        <w:rPr>
          <w:b w:val="0"/>
          <w:i/>
          <w:lang w:eastAsia="en-AU"/>
        </w:rPr>
        <w:t xml:space="preserve"> </w:t>
      </w:r>
      <w:r w:rsidR="00376C6E">
        <w:rPr>
          <w:b w:val="0"/>
          <w:lang w:eastAsia="en-AU"/>
        </w:rPr>
        <w:t>for a search warrant,</w:t>
      </w:r>
      <w:r w:rsidR="00E46A61">
        <w:rPr>
          <w:b w:val="0"/>
          <w:i/>
          <w:lang w:eastAsia="en-AU"/>
        </w:rPr>
        <w:t xml:space="preserve"> </w:t>
      </w:r>
      <w:r w:rsidR="00E46A61">
        <w:rPr>
          <w:b w:val="0"/>
          <w:lang w:eastAsia="en-AU"/>
        </w:rPr>
        <w:t>in</w:t>
      </w:r>
      <w:r w:rsidR="00A72887">
        <w:rPr>
          <w:b w:val="0"/>
          <w:lang w:eastAsia="en-AU"/>
        </w:rPr>
        <w:t xml:space="preserve"> section 195 of the </w:t>
      </w:r>
      <w:r w:rsidR="00A72887" w:rsidRPr="006357E6">
        <w:rPr>
          <w:b w:val="0"/>
          <w:i/>
          <w:lang w:eastAsia="en-AU"/>
        </w:rPr>
        <w:t>Confiscation of Criminal Assets Act 2003</w:t>
      </w:r>
      <w:r w:rsidR="00A72887" w:rsidRPr="006357E6">
        <w:rPr>
          <w:b w:val="0"/>
          <w:lang w:eastAsia="en-AU"/>
        </w:rPr>
        <w:t xml:space="preserve"> </w:t>
      </w:r>
      <w:r w:rsidR="00E46A61">
        <w:rPr>
          <w:b w:val="0"/>
          <w:lang w:eastAsia="en-AU"/>
        </w:rPr>
        <w:t xml:space="preserve">to include an associate judge </w:t>
      </w:r>
      <w:r w:rsidR="00F61E82">
        <w:rPr>
          <w:b w:val="0"/>
          <w:lang w:eastAsia="en-AU"/>
        </w:rPr>
        <w:t xml:space="preserve">of the Supreme Court </w:t>
      </w:r>
      <w:r w:rsidR="00376C6E">
        <w:rPr>
          <w:b w:val="0"/>
          <w:lang w:eastAsia="en-AU"/>
        </w:rPr>
        <w:t>for P</w:t>
      </w:r>
      <w:r w:rsidR="00A47B45" w:rsidRPr="006357E6">
        <w:rPr>
          <w:b w:val="0"/>
          <w:lang w:eastAsia="en-AU"/>
        </w:rPr>
        <w:t xml:space="preserve">art 13 of the </w:t>
      </w:r>
      <w:r w:rsidR="00376C6E">
        <w:rPr>
          <w:b w:val="0"/>
          <w:lang w:eastAsia="en-AU"/>
        </w:rPr>
        <w:t>Act. This will extend to the associate judge the ability to:</w:t>
      </w:r>
    </w:p>
    <w:p w:rsidR="00376C6E" w:rsidRDefault="00376C6E" w:rsidP="00EC003D">
      <w:pPr>
        <w:pStyle w:val="NoSpacing"/>
        <w:numPr>
          <w:ilvl w:val="0"/>
          <w:numId w:val="27"/>
        </w:numPr>
        <w:spacing w:line="276" w:lineRule="auto"/>
        <w:rPr>
          <w:lang w:eastAsia="en-AU"/>
        </w:rPr>
      </w:pPr>
      <w:r>
        <w:rPr>
          <w:lang w:eastAsia="en-AU"/>
        </w:rPr>
        <w:t>issue search warrants under section 199;</w:t>
      </w:r>
    </w:p>
    <w:p w:rsidR="00376C6E" w:rsidRDefault="00376C6E" w:rsidP="00EC003D">
      <w:pPr>
        <w:pStyle w:val="NoSpacing"/>
        <w:numPr>
          <w:ilvl w:val="0"/>
          <w:numId w:val="27"/>
        </w:numPr>
        <w:spacing w:line="276" w:lineRule="auto"/>
        <w:rPr>
          <w:lang w:eastAsia="en-AU"/>
        </w:rPr>
      </w:pPr>
      <w:r>
        <w:rPr>
          <w:lang w:eastAsia="en-AU"/>
        </w:rPr>
        <w:t>issue warrants by telephone or other electronic means under section 203;</w:t>
      </w:r>
    </w:p>
    <w:p w:rsidR="00376C6E" w:rsidRDefault="00376C6E" w:rsidP="00EC003D">
      <w:pPr>
        <w:pStyle w:val="NoSpacing"/>
        <w:numPr>
          <w:ilvl w:val="0"/>
          <w:numId w:val="27"/>
        </w:numPr>
        <w:spacing w:line="276" w:lineRule="auto"/>
        <w:rPr>
          <w:lang w:eastAsia="en-AU"/>
        </w:rPr>
      </w:pPr>
      <w:r>
        <w:rPr>
          <w:lang w:eastAsia="en-AU"/>
        </w:rPr>
        <w:t>grant extensions of time to move things to another place for examination or processing under section 218;</w:t>
      </w:r>
    </w:p>
    <w:p w:rsidR="00376C6E" w:rsidRDefault="00376C6E" w:rsidP="00EC003D">
      <w:pPr>
        <w:pStyle w:val="NoSpacing"/>
        <w:numPr>
          <w:ilvl w:val="0"/>
          <w:numId w:val="27"/>
        </w:numPr>
        <w:spacing w:line="276" w:lineRule="auto"/>
        <w:rPr>
          <w:lang w:eastAsia="en-AU"/>
        </w:rPr>
      </w:pPr>
      <w:r>
        <w:rPr>
          <w:lang w:eastAsia="en-AU"/>
        </w:rPr>
        <w:t>make orders under section 220 requiring a person to provide any information or assistance reasonably necessary to allow the executing police officer to do various things such as accessing data; and</w:t>
      </w:r>
    </w:p>
    <w:p w:rsidR="00376C6E" w:rsidRDefault="00376C6E" w:rsidP="00EC003D">
      <w:pPr>
        <w:pStyle w:val="NoSpacing"/>
        <w:numPr>
          <w:ilvl w:val="0"/>
          <w:numId w:val="27"/>
        </w:numPr>
        <w:spacing w:line="276" w:lineRule="auto"/>
        <w:rPr>
          <w:lang w:eastAsia="en-AU"/>
        </w:rPr>
      </w:pPr>
      <w:r>
        <w:rPr>
          <w:lang w:eastAsia="en-AU"/>
        </w:rPr>
        <w:t xml:space="preserve">make orders under section 228 permitting a police officer to keep a seized thing for a further period. </w:t>
      </w:r>
    </w:p>
    <w:p w:rsidR="00A47B45" w:rsidRPr="006357E6" w:rsidRDefault="00A47B45" w:rsidP="00A47B45">
      <w:pPr>
        <w:pStyle w:val="Heading1"/>
        <w:rPr>
          <w:lang w:eastAsia="en-AU"/>
        </w:rPr>
      </w:pPr>
      <w:bookmarkStart w:id="22" w:name="_Toc524337313"/>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3</w:t>
      </w:r>
      <w:r w:rsidRPr="006357E6">
        <w:rPr>
          <w:lang w:eastAsia="en-AU"/>
        </w:rPr>
        <w:fldChar w:fldCharType="end"/>
      </w:r>
      <w:r w:rsidRPr="006357E6">
        <w:rPr>
          <w:lang w:eastAsia="en-AU"/>
        </w:rPr>
        <w:t xml:space="preserve"> – </w:t>
      </w:r>
      <w:r w:rsidR="003C39FF" w:rsidRPr="00EC59E0">
        <w:rPr>
          <w:i/>
          <w:lang w:eastAsia="en-AU"/>
        </w:rPr>
        <w:t>Crimes Act 1900</w:t>
      </w:r>
      <w:bookmarkEnd w:id="22"/>
    </w:p>
    <w:p w:rsidR="00A47B45" w:rsidRPr="006357E6" w:rsidRDefault="00A47B45" w:rsidP="00A47B45">
      <w:pPr>
        <w:pStyle w:val="Heading4"/>
        <w:keepNext w:val="0"/>
        <w:rPr>
          <w:lang w:eastAsia="en-AU"/>
        </w:rPr>
      </w:pPr>
      <w:r w:rsidRPr="006357E6">
        <w:t xml:space="preserve">Clause </w:t>
      </w:r>
      <w:r w:rsidRPr="006357E6">
        <w:rPr>
          <w:noProof/>
        </w:rPr>
        <w:fldChar w:fldCharType="begin"/>
      </w:r>
      <w:r w:rsidRPr="006357E6">
        <w:rPr>
          <w:noProof/>
        </w:rPr>
        <w:instrText xml:space="preserve"> SEQ Clause \* ARABIC </w:instrText>
      </w:r>
      <w:r w:rsidRPr="006357E6">
        <w:rPr>
          <w:noProof/>
        </w:rPr>
        <w:fldChar w:fldCharType="separate"/>
      </w:r>
      <w:r w:rsidR="00A626E8">
        <w:rPr>
          <w:noProof/>
        </w:rPr>
        <w:t>5</w:t>
      </w:r>
      <w:r w:rsidRPr="006357E6">
        <w:rPr>
          <w:noProof/>
        </w:rPr>
        <w:fldChar w:fldCharType="end"/>
      </w:r>
      <w:r w:rsidRPr="006357E6">
        <w:rPr>
          <w:bCs/>
          <w:lang w:eastAsia="en-AU"/>
        </w:rPr>
        <w:t xml:space="preserve"> </w:t>
      </w:r>
      <w:r w:rsidRPr="006357E6">
        <w:rPr>
          <w:lang w:eastAsia="en-AU"/>
        </w:rPr>
        <w:t xml:space="preserve">– Definitions for pt 10, Section 185, definition of </w:t>
      </w:r>
      <w:r w:rsidRPr="006357E6">
        <w:rPr>
          <w:i/>
          <w:lang w:eastAsia="en-AU"/>
        </w:rPr>
        <w:t xml:space="preserve">issuing officer, </w:t>
      </w:r>
      <w:r w:rsidRPr="006357E6">
        <w:rPr>
          <w:lang w:eastAsia="en-AU"/>
        </w:rPr>
        <w:t>paragraph (a)</w:t>
      </w:r>
    </w:p>
    <w:p w:rsidR="00E83AEE" w:rsidRDefault="00E83AEE" w:rsidP="00E83AEE">
      <w:pPr>
        <w:pStyle w:val="Heading4"/>
        <w:keepNext w:val="0"/>
        <w:rPr>
          <w:b w:val="0"/>
          <w:lang w:eastAsia="en-AU"/>
        </w:rPr>
      </w:pPr>
      <w:r w:rsidRPr="006357E6">
        <w:rPr>
          <w:b w:val="0"/>
          <w:lang w:eastAsia="en-AU"/>
        </w:rPr>
        <w:t xml:space="preserve">This clause amends the definition of </w:t>
      </w:r>
      <w:r w:rsidRPr="006357E6">
        <w:rPr>
          <w:b w:val="0"/>
          <w:i/>
          <w:lang w:eastAsia="en-AU"/>
        </w:rPr>
        <w:t>issuing officer</w:t>
      </w:r>
      <w:r w:rsidR="00376C6E">
        <w:rPr>
          <w:b w:val="0"/>
          <w:i/>
          <w:lang w:eastAsia="en-AU"/>
        </w:rPr>
        <w:t xml:space="preserve">, </w:t>
      </w:r>
      <w:r w:rsidR="00376C6E">
        <w:rPr>
          <w:b w:val="0"/>
          <w:lang w:eastAsia="en-AU"/>
        </w:rPr>
        <w:t xml:space="preserve">in relation to a warrant to search premises or a person or a warrant for arrest under </w:t>
      </w:r>
      <w:r w:rsidRPr="006357E6">
        <w:rPr>
          <w:b w:val="0"/>
          <w:lang w:eastAsia="en-AU"/>
        </w:rPr>
        <w:t xml:space="preserve">part 10 of the </w:t>
      </w:r>
      <w:r w:rsidRPr="006357E6">
        <w:rPr>
          <w:b w:val="0"/>
          <w:i/>
          <w:lang w:eastAsia="en-AU"/>
        </w:rPr>
        <w:t>Crimes Act 1900</w:t>
      </w:r>
      <w:r w:rsidRPr="006357E6">
        <w:rPr>
          <w:b w:val="0"/>
          <w:lang w:eastAsia="en-AU"/>
        </w:rPr>
        <w:t xml:space="preserve"> to include an associate judge of the Supreme Court. This amendment will </w:t>
      </w:r>
      <w:r w:rsidR="00EC003D">
        <w:rPr>
          <w:b w:val="0"/>
          <w:lang w:eastAsia="en-AU"/>
        </w:rPr>
        <w:t>an associate judge with the power to issue:</w:t>
      </w:r>
    </w:p>
    <w:p w:rsidR="00EC003D" w:rsidRDefault="00EC003D" w:rsidP="00EC003D">
      <w:pPr>
        <w:pStyle w:val="NoSpacing"/>
        <w:numPr>
          <w:ilvl w:val="0"/>
          <w:numId w:val="27"/>
        </w:numPr>
        <w:spacing w:line="276" w:lineRule="auto"/>
        <w:rPr>
          <w:lang w:eastAsia="en-AU"/>
        </w:rPr>
      </w:pPr>
      <w:r>
        <w:rPr>
          <w:lang w:eastAsia="en-AU"/>
        </w:rPr>
        <w:t>search warrants under section 194;</w:t>
      </w:r>
    </w:p>
    <w:p w:rsidR="00EC003D" w:rsidRDefault="00EC003D" w:rsidP="00EC003D">
      <w:pPr>
        <w:pStyle w:val="NoSpacing"/>
        <w:numPr>
          <w:ilvl w:val="0"/>
          <w:numId w:val="27"/>
        </w:numPr>
        <w:spacing w:line="276" w:lineRule="auto"/>
        <w:rPr>
          <w:lang w:eastAsia="en-AU"/>
        </w:rPr>
      </w:pPr>
      <w:r>
        <w:rPr>
          <w:lang w:eastAsia="en-AU"/>
        </w:rPr>
        <w:t>warrants by telephone or other electronic means under section 205;</w:t>
      </w:r>
    </w:p>
    <w:p w:rsidR="00EC003D" w:rsidRDefault="00EC003D" w:rsidP="00EC003D">
      <w:pPr>
        <w:pStyle w:val="NoSpacing"/>
        <w:numPr>
          <w:ilvl w:val="0"/>
          <w:numId w:val="27"/>
        </w:numPr>
        <w:spacing w:line="276" w:lineRule="auto"/>
        <w:rPr>
          <w:lang w:eastAsia="en-AU"/>
        </w:rPr>
      </w:pPr>
      <w:r>
        <w:rPr>
          <w:lang w:eastAsia="en-AU"/>
        </w:rPr>
        <w:t>warrants for arrest under section 219; and</w:t>
      </w:r>
    </w:p>
    <w:p w:rsidR="00EC003D" w:rsidRDefault="00EC003D" w:rsidP="00EC003D">
      <w:pPr>
        <w:pStyle w:val="NoSpacing"/>
        <w:numPr>
          <w:ilvl w:val="0"/>
          <w:numId w:val="27"/>
        </w:numPr>
        <w:spacing w:line="276" w:lineRule="auto"/>
        <w:rPr>
          <w:lang w:eastAsia="en-AU"/>
        </w:rPr>
      </w:pPr>
      <w:r>
        <w:rPr>
          <w:lang w:eastAsia="en-AU"/>
        </w:rPr>
        <w:t xml:space="preserve">warrants for the arrest of a child under 10 years old under section 252A. </w:t>
      </w:r>
    </w:p>
    <w:p w:rsidR="00E83AEE" w:rsidRPr="006357E6" w:rsidRDefault="00E83AEE" w:rsidP="00E83AEE">
      <w:pPr>
        <w:pStyle w:val="Heading1"/>
        <w:rPr>
          <w:lang w:eastAsia="en-AU"/>
        </w:rPr>
      </w:pPr>
      <w:bookmarkStart w:id="23" w:name="_Toc524337314"/>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4</w:t>
      </w:r>
      <w:r w:rsidRPr="006357E6">
        <w:rPr>
          <w:lang w:eastAsia="en-AU"/>
        </w:rPr>
        <w:fldChar w:fldCharType="end"/>
      </w:r>
      <w:r w:rsidRPr="006357E6">
        <w:rPr>
          <w:lang w:eastAsia="en-AU"/>
        </w:rPr>
        <w:t xml:space="preserve"> – </w:t>
      </w:r>
      <w:r w:rsidRPr="00EC59E0">
        <w:rPr>
          <w:i/>
          <w:lang w:eastAsia="en-AU"/>
        </w:rPr>
        <w:t>Crimes (Child Sex Offenders) Act 2005</w:t>
      </w:r>
      <w:bookmarkEnd w:id="23"/>
    </w:p>
    <w:p w:rsidR="00E83AEE" w:rsidRPr="006357E6" w:rsidRDefault="00E83AEE" w:rsidP="00E83AEE">
      <w:pPr>
        <w:pStyle w:val="Heading4"/>
        <w:keepNext w:val="0"/>
        <w:rPr>
          <w:lang w:eastAsia="en-AU"/>
        </w:rPr>
      </w:pPr>
      <w:r w:rsidRPr="006357E6">
        <w:t xml:space="preserve">Clause </w:t>
      </w:r>
      <w:r w:rsidRPr="006357E6">
        <w:rPr>
          <w:noProof/>
        </w:rPr>
        <w:fldChar w:fldCharType="begin"/>
      </w:r>
      <w:r w:rsidRPr="006357E6">
        <w:rPr>
          <w:noProof/>
        </w:rPr>
        <w:instrText xml:space="preserve"> SEQ Clause \* ARABIC </w:instrText>
      </w:r>
      <w:r w:rsidRPr="006357E6">
        <w:rPr>
          <w:noProof/>
        </w:rPr>
        <w:fldChar w:fldCharType="separate"/>
      </w:r>
      <w:r w:rsidR="00A626E8">
        <w:rPr>
          <w:noProof/>
        </w:rPr>
        <w:t>6</w:t>
      </w:r>
      <w:r w:rsidRPr="006357E6">
        <w:rPr>
          <w:noProof/>
        </w:rPr>
        <w:fldChar w:fldCharType="end"/>
      </w:r>
      <w:r w:rsidRPr="006357E6">
        <w:rPr>
          <w:bCs/>
          <w:lang w:eastAsia="en-AU"/>
        </w:rPr>
        <w:t xml:space="preserve"> </w:t>
      </w:r>
      <w:r w:rsidRPr="006357E6">
        <w:rPr>
          <w:lang w:eastAsia="en-AU"/>
        </w:rPr>
        <w:t>– Entry and search warrant – application, Section 116C (1)</w:t>
      </w:r>
    </w:p>
    <w:p w:rsidR="00EC003D" w:rsidRPr="006357E6" w:rsidRDefault="00EC003D" w:rsidP="00EC003D">
      <w:pPr>
        <w:autoSpaceDE w:val="0"/>
        <w:autoSpaceDN w:val="0"/>
        <w:adjustRightInd w:val="0"/>
        <w:spacing w:before="240" w:after="120"/>
        <w:rPr>
          <w:szCs w:val="24"/>
          <w:u w:val="single"/>
        </w:rPr>
      </w:pPr>
      <w:r w:rsidRPr="006357E6">
        <w:rPr>
          <w:szCs w:val="24"/>
        </w:rPr>
        <w:t xml:space="preserve">Section 116 of the </w:t>
      </w:r>
      <w:r>
        <w:rPr>
          <w:i/>
          <w:szCs w:val="24"/>
        </w:rPr>
        <w:t xml:space="preserve">Crimes (Child Sex Offenders) Act 2005 </w:t>
      </w:r>
      <w:r>
        <w:rPr>
          <w:szCs w:val="24"/>
        </w:rPr>
        <w:t>(CSO Act)</w:t>
      </w:r>
      <w:r w:rsidRPr="006357E6">
        <w:rPr>
          <w:szCs w:val="24"/>
        </w:rPr>
        <w:t xml:space="preserve"> allows a police officer above the rank of sergeant to apply to the Magistrates Court for a warrant authorising entry to, and search of, premises occupied by a registered child sex offender.</w:t>
      </w:r>
    </w:p>
    <w:p w:rsidR="00EC003D" w:rsidRPr="00EC003D" w:rsidRDefault="00EC003D" w:rsidP="00EC003D">
      <w:pPr>
        <w:autoSpaceDE w:val="0"/>
        <w:autoSpaceDN w:val="0"/>
        <w:adjustRightInd w:val="0"/>
        <w:spacing w:before="240" w:after="120"/>
        <w:rPr>
          <w:szCs w:val="24"/>
        </w:rPr>
      </w:pPr>
      <w:r w:rsidRPr="006357E6">
        <w:rPr>
          <w:szCs w:val="24"/>
        </w:rPr>
        <w:t>The warrant scheme under the CSO Act differs from warrant schemes created under other Territory legislation as it empowers the Magistrates Court to issue a warrant, rather than a ‘magistrate’ or ‘issuing officer’ in the</w:t>
      </w:r>
      <w:r>
        <w:rPr>
          <w:szCs w:val="24"/>
        </w:rPr>
        <w:t>ir</w:t>
      </w:r>
      <w:r w:rsidRPr="006357E6">
        <w:rPr>
          <w:szCs w:val="24"/>
        </w:rPr>
        <w:t xml:space="preserve"> personal capacity as </w:t>
      </w:r>
      <w:r w:rsidRPr="006357E6">
        <w:rPr>
          <w:i/>
          <w:szCs w:val="24"/>
        </w:rPr>
        <w:t xml:space="preserve">persona </w:t>
      </w:r>
      <w:r w:rsidR="00570D99">
        <w:rPr>
          <w:i/>
          <w:szCs w:val="24"/>
        </w:rPr>
        <w:t>designata.</w:t>
      </w:r>
      <w:r w:rsidRPr="006357E6">
        <w:rPr>
          <w:i/>
          <w:szCs w:val="24"/>
        </w:rPr>
        <w:t>.</w:t>
      </w:r>
      <w:r>
        <w:rPr>
          <w:i/>
          <w:szCs w:val="24"/>
        </w:rPr>
        <w:t xml:space="preserve"> </w:t>
      </w:r>
      <w:r>
        <w:rPr>
          <w:szCs w:val="24"/>
        </w:rPr>
        <w:t xml:space="preserve">The </w:t>
      </w:r>
      <w:r w:rsidR="00936A95">
        <w:rPr>
          <w:szCs w:val="24"/>
        </w:rPr>
        <w:t>explanatory material accompanying</w:t>
      </w:r>
      <w:r>
        <w:rPr>
          <w:szCs w:val="24"/>
        </w:rPr>
        <w:t xml:space="preserve"> the Crimes (Child Sex Offenders) Amendment Bill 2015 </w:t>
      </w:r>
      <w:r w:rsidR="00936A95">
        <w:rPr>
          <w:szCs w:val="24"/>
        </w:rPr>
        <w:t>(</w:t>
      </w:r>
      <w:r>
        <w:rPr>
          <w:szCs w:val="24"/>
        </w:rPr>
        <w:t>which inserted Part 3.11 relating to entry and search warrants</w:t>
      </w:r>
      <w:r w:rsidR="00936A95">
        <w:rPr>
          <w:szCs w:val="24"/>
        </w:rPr>
        <w:t>) does</w:t>
      </w:r>
      <w:r>
        <w:rPr>
          <w:szCs w:val="24"/>
        </w:rPr>
        <w:t xml:space="preserve"> not provide any reason for the departure from the usual warrant model by vesting the power in the ‘Magistrates Court’. </w:t>
      </w:r>
    </w:p>
    <w:p w:rsidR="00EC003D" w:rsidRPr="006357E6" w:rsidRDefault="00EC003D" w:rsidP="00EC003D">
      <w:pPr>
        <w:autoSpaceDE w:val="0"/>
        <w:autoSpaceDN w:val="0"/>
        <w:adjustRightInd w:val="0"/>
        <w:spacing w:before="240" w:after="120"/>
        <w:rPr>
          <w:szCs w:val="24"/>
        </w:rPr>
      </w:pPr>
      <w:r w:rsidRPr="006357E6">
        <w:rPr>
          <w:szCs w:val="24"/>
        </w:rPr>
        <w:t>It is well established that the process of issuing a warrant is an administrative function, not a judicial one (</w:t>
      </w:r>
      <w:r w:rsidRPr="006357E6">
        <w:rPr>
          <w:i/>
          <w:szCs w:val="24"/>
        </w:rPr>
        <w:t xml:space="preserve">Hilton v Wells </w:t>
      </w:r>
      <w:r w:rsidRPr="006357E6">
        <w:rPr>
          <w:szCs w:val="24"/>
        </w:rPr>
        <w:t xml:space="preserve">(1985) 157 CLR 57 and </w:t>
      </w:r>
      <w:r w:rsidRPr="006357E6">
        <w:rPr>
          <w:i/>
          <w:szCs w:val="24"/>
        </w:rPr>
        <w:t xml:space="preserve">Grollo v Palmer </w:t>
      </w:r>
      <w:r w:rsidRPr="006357E6">
        <w:rPr>
          <w:szCs w:val="24"/>
        </w:rPr>
        <w:t xml:space="preserve">(1995) 184 CLR 348). </w:t>
      </w:r>
    </w:p>
    <w:p w:rsidR="00061D42" w:rsidRPr="006357E6" w:rsidRDefault="00EC003D" w:rsidP="00EC003D">
      <w:pPr>
        <w:autoSpaceDE w:val="0"/>
        <w:autoSpaceDN w:val="0"/>
        <w:adjustRightInd w:val="0"/>
        <w:spacing w:before="240" w:after="120"/>
        <w:rPr>
          <w:b/>
          <w:lang w:eastAsia="en-AU"/>
        </w:rPr>
      </w:pPr>
      <w:r>
        <w:rPr>
          <w:szCs w:val="24"/>
        </w:rPr>
        <w:t xml:space="preserve">This clause clarifies that it is a chief police officer, a deputy chief police officer or a police officer of or above the rank of sergeant who is the </w:t>
      </w:r>
      <w:r>
        <w:rPr>
          <w:i/>
          <w:szCs w:val="24"/>
        </w:rPr>
        <w:t xml:space="preserve">applicant </w:t>
      </w:r>
      <w:r>
        <w:rPr>
          <w:szCs w:val="24"/>
        </w:rPr>
        <w:t xml:space="preserve">for an entry and search warrant under the </w:t>
      </w:r>
      <w:r w:rsidRPr="006357E6">
        <w:rPr>
          <w:szCs w:val="24"/>
        </w:rPr>
        <w:t>CSO Act</w:t>
      </w:r>
      <w:r w:rsidR="005345D6" w:rsidRPr="006357E6">
        <w:rPr>
          <w:lang w:eastAsia="en-AU"/>
        </w:rPr>
        <w:t xml:space="preserve">. </w:t>
      </w:r>
      <w:r w:rsidR="00C51338">
        <w:rPr>
          <w:lang w:eastAsia="en-AU"/>
        </w:rPr>
        <w:t xml:space="preserve">The term </w:t>
      </w:r>
      <w:r w:rsidR="00C51338">
        <w:rPr>
          <w:i/>
          <w:lang w:eastAsia="en-AU"/>
        </w:rPr>
        <w:t xml:space="preserve">applicant </w:t>
      </w:r>
      <w:r w:rsidR="00C51338">
        <w:rPr>
          <w:lang w:eastAsia="en-AU"/>
        </w:rPr>
        <w:t xml:space="preserve">is used throughout Part 3.11 of the CSO Act relating to entry and search warrants. </w:t>
      </w:r>
      <w:r w:rsidR="005345D6" w:rsidRPr="006357E6">
        <w:rPr>
          <w:lang w:eastAsia="en-AU"/>
        </w:rPr>
        <w:t>This</w:t>
      </w:r>
      <w:r w:rsidR="004916B6" w:rsidRPr="006357E6">
        <w:rPr>
          <w:lang w:eastAsia="en-AU"/>
        </w:rPr>
        <w:t xml:space="preserve"> is a technical amendment intended to </w:t>
      </w:r>
      <w:r w:rsidR="00F42B31" w:rsidRPr="006357E6">
        <w:rPr>
          <w:lang w:eastAsia="en-AU"/>
        </w:rPr>
        <w:t>bring the provision into line with</w:t>
      </w:r>
      <w:r w:rsidR="005345D6" w:rsidRPr="006357E6">
        <w:rPr>
          <w:lang w:eastAsia="en-AU"/>
        </w:rPr>
        <w:t xml:space="preserve"> other warrant provisions.</w:t>
      </w:r>
    </w:p>
    <w:p w:rsidR="00061D42" w:rsidRPr="006357E6" w:rsidRDefault="00061D42" w:rsidP="00061D42">
      <w:pPr>
        <w:pStyle w:val="Heading4"/>
        <w:keepNext w:val="0"/>
        <w:rPr>
          <w:lang w:eastAsia="en-AU"/>
        </w:rPr>
      </w:pPr>
      <w:r w:rsidRPr="006357E6">
        <w:t xml:space="preserve">Clause </w:t>
      </w:r>
      <w:r w:rsidRPr="006357E6">
        <w:rPr>
          <w:noProof/>
        </w:rPr>
        <w:fldChar w:fldCharType="begin"/>
      </w:r>
      <w:r w:rsidRPr="006357E6">
        <w:rPr>
          <w:noProof/>
        </w:rPr>
        <w:instrText xml:space="preserve"> SEQ Clause \* ARABIC </w:instrText>
      </w:r>
      <w:r w:rsidRPr="006357E6">
        <w:rPr>
          <w:noProof/>
        </w:rPr>
        <w:fldChar w:fldCharType="separate"/>
      </w:r>
      <w:r w:rsidR="00A626E8">
        <w:rPr>
          <w:noProof/>
        </w:rPr>
        <w:t>7</w:t>
      </w:r>
      <w:r w:rsidRPr="006357E6">
        <w:rPr>
          <w:noProof/>
        </w:rPr>
        <w:fldChar w:fldCharType="end"/>
      </w:r>
      <w:r w:rsidR="004F2153" w:rsidRPr="006357E6">
        <w:rPr>
          <w:noProof/>
        </w:rPr>
        <w:t xml:space="preserve"> – Section 116C (1)</w:t>
      </w:r>
    </w:p>
    <w:p w:rsidR="005B37B4" w:rsidRDefault="00EC003D" w:rsidP="005B37B4">
      <w:pPr>
        <w:pStyle w:val="Heading4"/>
        <w:keepNext w:val="0"/>
        <w:rPr>
          <w:b w:val="0"/>
          <w:lang w:eastAsia="en-AU"/>
        </w:rPr>
      </w:pPr>
      <w:r>
        <w:rPr>
          <w:b w:val="0"/>
          <w:lang w:eastAsia="en-AU"/>
        </w:rPr>
        <w:t xml:space="preserve">This clause </w:t>
      </w:r>
      <w:r w:rsidR="00C51338">
        <w:rPr>
          <w:b w:val="0"/>
          <w:lang w:eastAsia="en-AU"/>
        </w:rPr>
        <w:t xml:space="preserve">clarifies that </w:t>
      </w:r>
      <w:r w:rsidR="004F2153" w:rsidRPr="006357E6">
        <w:rPr>
          <w:b w:val="0"/>
          <w:lang w:eastAsia="en-AU"/>
        </w:rPr>
        <w:t>warrants are to be issued by a magistrate, rather than the Magistrates Court,</w:t>
      </w:r>
      <w:r w:rsidR="00C51338">
        <w:rPr>
          <w:b w:val="0"/>
          <w:lang w:eastAsia="en-AU"/>
        </w:rPr>
        <w:t xml:space="preserve"> under the CSO Act</w:t>
      </w:r>
      <w:r w:rsidR="004F2153" w:rsidRPr="006357E6">
        <w:rPr>
          <w:b w:val="0"/>
          <w:lang w:eastAsia="en-AU"/>
        </w:rPr>
        <w:t xml:space="preserve"> to bring the provisions in line with warrant provisi</w:t>
      </w:r>
      <w:r w:rsidR="00C51338">
        <w:rPr>
          <w:b w:val="0"/>
          <w:lang w:eastAsia="en-AU"/>
        </w:rPr>
        <w:t xml:space="preserve">ons under other Territory Acts and avoid unintended consequences of inappropriately vesting the power in the court. </w:t>
      </w:r>
    </w:p>
    <w:p w:rsidR="00C51338" w:rsidRDefault="00C51338" w:rsidP="00C51338">
      <w:pPr>
        <w:pStyle w:val="Heading4"/>
        <w:keepNext w:val="0"/>
        <w:rPr>
          <w:noProof/>
        </w:rPr>
      </w:pPr>
      <w:r w:rsidRPr="006357E6">
        <w:t xml:space="preserve">Clause </w:t>
      </w:r>
      <w:r>
        <w:rPr>
          <w:noProof/>
        </w:rPr>
        <w:t>8</w:t>
      </w:r>
      <w:r w:rsidRPr="006357E6">
        <w:rPr>
          <w:noProof/>
        </w:rPr>
        <w:t xml:space="preserve"> </w:t>
      </w:r>
      <w:r>
        <w:rPr>
          <w:noProof/>
        </w:rPr>
        <w:t>– Section 116C (4</w:t>
      </w:r>
      <w:r w:rsidRPr="006357E6">
        <w:rPr>
          <w:noProof/>
        </w:rPr>
        <w:t>)</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C51338" w:rsidRDefault="004F2153" w:rsidP="004F2153">
      <w:pPr>
        <w:pStyle w:val="Heading4"/>
        <w:keepNext w:val="0"/>
        <w:rPr>
          <w:noProof/>
        </w:rPr>
      </w:pPr>
      <w:r w:rsidRPr="006357E6">
        <w:t xml:space="preserve">Clause </w:t>
      </w:r>
      <w:r w:rsidR="00501D97">
        <w:rPr>
          <w:noProof/>
        </w:rPr>
        <w:t>9</w:t>
      </w:r>
      <w:r w:rsidR="00F42B31" w:rsidRPr="006357E6">
        <w:rPr>
          <w:noProof/>
        </w:rPr>
        <w:t xml:space="preserve"> – Section 116H (3) (a)</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C51338" w:rsidRDefault="004F2153" w:rsidP="004F2153">
      <w:pPr>
        <w:pStyle w:val="Heading4"/>
        <w:keepNext w:val="0"/>
        <w:rPr>
          <w:noProof/>
        </w:rPr>
      </w:pPr>
      <w:r w:rsidRPr="006357E6">
        <w:t xml:space="preserve">Clause </w:t>
      </w:r>
      <w:r w:rsidR="00501D97">
        <w:rPr>
          <w:noProof/>
        </w:rPr>
        <w:t>10</w:t>
      </w:r>
      <w:r w:rsidR="00F42B31" w:rsidRPr="006357E6">
        <w:rPr>
          <w:noProof/>
        </w:rPr>
        <w:t xml:space="preserve"> – Secion 116I (4)</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C51338" w:rsidRDefault="004F2153" w:rsidP="004F2153">
      <w:pPr>
        <w:pStyle w:val="Heading4"/>
        <w:keepNext w:val="0"/>
        <w:rPr>
          <w:noProof/>
        </w:rPr>
      </w:pPr>
      <w:r w:rsidRPr="006357E6">
        <w:t xml:space="preserve">Clause </w:t>
      </w:r>
      <w:r w:rsidRPr="006357E6">
        <w:rPr>
          <w:noProof/>
        </w:rPr>
        <w:fldChar w:fldCharType="begin"/>
      </w:r>
      <w:r w:rsidRPr="006357E6">
        <w:rPr>
          <w:noProof/>
        </w:rPr>
        <w:instrText xml:space="preserve"> SEQ Clause \* ARABIC </w:instrText>
      </w:r>
      <w:r w:rsidRPr="006357E6">
        <w:rPr>
          <w:noProof/>
        </w:rPr>
        <w:fldChar w:fldCharType="separate"/>
      </w:r>
      <w:r w:rsidR="00A626E8">
        <w:rPr>
          <w:noProof/>
        </w:rPr>
        <w:t>1</w:t>
      </w:r>
      <w:r w:rsidRPr="006357E6">
        <w:rPr>
          <w:noProof/>
        </w:rPr>
        <w:fldChar w:fldCharType="end"/>
      </w:r>
      <w:r w:rsidR="00501D97">
        <w:rPr>
          <w:noProof/>
        </w:rPr>
        <w:t>1</w:t>
      </w:r>
      <w:r w:rsidR="00F42B31" w:rsidRPr="006357E6">
        <w:rPr>
          <w:noProof/>
        </w:rPr>
        <w:t xml:space="preserve"> – Section 116I (5)</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C51338" w:rsidRDefault="004F2153" w:rsidP="004F2153">
      <w:pPr>
        <w:pStyle w:val="Heading4"/>
        <w:keepNext w:val="0"/>
        <w:rPr>
          <w:noProof/>
        </w:rPr>
      </w:pPr>
      <w:r w:rsidRPr="006357E6">
        <w:t xml:space="preserve">Clause </w:t>
      </w:r>
      <w:r w:rsidR="00501D97">
        <w:rPr>
          <w:noProof/>
        </w:rPr>
        <w:t>12</w:t>
      </w:r>
      <w:r w:rsidR="00F42B31" w:rsidRPr="006357E6">
        <w:rPr>
          <w:noProof/>
        </w:rPr>
        <w:t xml:space="preserve"> – Section 116J (2)</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C51338" w:rsidRDefault="004F2153" w:rsidP="004F2153">
      <w:pPr>
        <w:pStyle w:val="Heading4"/>
        <w:keepNext w:val="0"/>
        <w:rPr>
          <w:noProof/>
        </w:rPr>
      </w:pPr>
      <w:r w:rsidRPr="006357E6">
        <w:t xml:space="preserve">Clause </w:t>
      </w:r>
      <w:r w:rsidRPr="006357E6">
        <w:rPr>
          <w:noProof/>
        </w:rPr>
        <w:fldChar w:fldCharType="begin"/>
      </w:r>
      <w:r w:rsidRPr="006357E6">
        <w:rPr>
          <w:noProof/>
        </w:rPr>
        <w:instrText xml:space="preserve"> SEQ Clause \* ARABIC </w:instrText>
      </w:r>
      <w:r w:rsidRPr="006357E6">
        <w:rPr>
          <w:noProof/>
        </w:rPr>
        <w:fldChar w:fldCharType="separate"/>
      </w:r>
      <w:r w:rsidR="00A626E8">
        <w:rPr>
          <w:noProof/>
        </w:rPr>
        <w:t>1</w:t>
      </w:r>
      <w:r w:rsidR="00501D97">
        <w:rPr>
          <w:noProof/>
        </w:rPr>
        <w:t>3</w:t>
      </w:r>
      <w:r w:rsidRPr="006357E6">
        <w:rPr>
          <w:noProof/>
        </w:rPr>
        <w:fldChar w:fldCharType="end"/>
      </w:r>
      <w:r w:rsidR="00F42B31" w:rsidRPr="006357E6">
        <w:rPr>
          <w:noProof/>
        </w:rPr>
        <w:t xml:space="preserve"> – Section 116J (3)</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p>
    <w:p w:rsidR="004F2153" w:rsidRPr="006357E6" w:rsidRDefault="004F2153" w:rsidP="004F2153">
      <w:pPr>
        <w:pStyle w:val="Heading4"/>
        <w:keepNext w:val="0"/>
        <w:rPr>
          <w:i/>
          <w:lang w:eastAsia="en-AU"/>
        </w:rPr>
      </w:pPr>
      <w:r w:rsidRPr="006357E6">
        <w:t xml:space="preserve">Clause </w:t>
      </w:r>
      <w:r w:rsidR="00501D97">
        <w:rPr>
          <w:noProof/>
        </w:rPr>
        <w:t>14</w:t>
      </w:r>
      <w:r w:rsidRPr="006357E6">
        <w:rPr>
          <w:bCs/>
          <w:lang w:eastAsia="en-AU"/>
        </w:rPr>
        <w:t xml:space="preserve"> </w:t>
      </w:r>
      <w:r w:rsidRPr="006357E6">
        <w:rPr>
          <w:lang w:eastAsia="en-AU"/>
        </w:rPr>
        <w:t xml:space="preserve">– </w:t>
      </w:r>
      <w:r w:rsidR="00F42B31" w:rsidRPr="006357E6">
        <w:rPr>
          <w:lang w:eastAsia="en-AU"/>
        </w:rPr>
        <w:t xml:space="preserve">Further amendments, mentions of </w:t>
      </w:r>
      <w:r w:rsidR="00F42B31" w:rsidRPr="006357E6">
        <w:rPr>
          <w:i/>
          <w:lang w:eastAsia="en-AU"/>
        </w:rPr>
        <w:t>Magistrates Court</w:t>
      </w:r>
    </w:p>
    <w:p w:rsidR="00C51338" w:rsidRPr="00C51338" w:rsidRDefault="00C51338" w:rsidP="00C51338">
      <w:pPr>
        <w:pStyle w:val="Heading4"/>
        <w:keepNext w:val="0"/>
        <w:rPr>
          <w:b w:val="0"/>
          <w:lang w:eastAsia="en-AU"/>
        </w:rPr>
      </w:pPr>
      <w:r>
        <w:rPr>
          <w:b w:val="0"/>
          <w:lang w:eastAsia="en-AU"/>
        </w:rPr>
        <w:t xml:space="preserve">This clause is consequential to the amendment at clause 7, which clarifies that warrants are to be issued by a magistrate, rather than the Magistrates Court. </w:t>
      </w:r>
      <w:r w:rsidR="00501D97">
        <w:rPr>
          <w:b w:val="0"/>
          <w:lang w:eastAsia="en-AU"/>
        </w:rPr>
        <w:t xml:space="preserve">This clause omits the term ‘Magistrates Court’ and substitutes it with ‘magistrate’ in sections 116D (1), 116E (3), 116F, 116G (2) and (3), 116H (1)(l) and 116J (1). </w:t>
      </w:r>
    </w:p>
    <w:p w:rsidR="00F42B31" w:rsidRPr="006357E6" w:rsidRDefault="00F42B31" w:rsidP="00F42B31">
      <w:pPr>
        <w:pStyle w:val="Heading1"/>
        <w:rPr>
          <w:lang w:eastAsia="en-AU"/>
        </w:rPr>
      </w:pPr>
      <w:bookmarkStart w:id="24" w:name="_Toc524337315"/>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5</w:t>
      </w:r>
      <w:r w:rsidRPr="006357E6">
        <w:rPr>
          <w:lang w:eastAsia="en-AU"/>
        </w:rPr>
        <w:fldChar w:fldCharType="end"/>
      </w:r>
      <w:r w:rsidRPr="006357E6">
        <w:rPr>
          <w:lang w:eastAsia="en-AU"/>
        </w:rPr>
        <w:t xml:space="preserve"> – </w:t>
      </w:r>
      <w:r w:rsidRPr="00EC59E0">
        <w:rPr>
          <w:i/>
          <w:lang w:eastAsia="en-AU"/>
        </w:rPr>
        <w:t>Crimes (Surveillance Devices) Act 2010</w:t>
      </w:r>
      <w:bookmarkEnd w:id="24"/>
    </w:p>
    <w:p w:rsidR="00F42B31" w:rsidRPr="006357E6" w:rsidRDefault="00F42B31" w:rsidP="00F42B31">
      <w:pPr>
        <w:pStyle w:val="Heading4"/>
        <w:keepNext w:val="0"/>
        <w:rPr>
          <w:lang w:eastAsia="en-AU"/>
        </w:rPr>
      </w:pPr>
      <w:r w:rsidRPr="006357E6">
        <w:t xml:space="preserve">Clause </w:t>
      </w:r>
      <w:r w:rsidR="00501D97">
        <w:rPr>
          <w:noProof/>
        </w:rPr>
        <w:t>15</w:t>
      </w:r>
      <w:r w:rsidRPr="006357E6">
        <w:rPr>
          <w:bCs/>
          <w:lang w:eastAsia="en-AU"/>
        </w:rPr>
        <w:t xml:space="preserve"> </w:t>
      </w:r>
      <w:r w:rsidRPr="006357E6">
        <w:rPr>
          <w:lang w:eastAsia="en-AU"/>
        </w:rPr>
        <w:t>– Who may issue warrants? Section 10 (1), new note</w:t>
      </w:r>
    </w:p>
    <w:p w:rsidR="00F42B31" w:rsidRPr="006357E6" w:rsidRDefault="00F42B31" w:rsidP="00F42B31">
      <w:pPr>
        <w:pStyle w:val="Heading4"/>
        <w:keepNext w:val="0"/>
        <w:rPr>
          <w:b w:val="0"/>
          <w:i/>
          <w:lang w:eastAsia="en-AU"/>
        </w:rPr>
      </w:pPr>
      <w:r w:rsidRPr="006357E6">
        <w:rPr>
          <w:b w:val="0"/>
          <w:lang w:eastAsia="en-AU"/>
        </w:rPr>
        <w:t>This clause inserts a new note into section 10 (1) to clarify that a ‘judge’ includes an associate judge.</w:t>
      </w:r>
    </w:p>
    <w:p w:rsidR="00F42B31" w:rsidRPr="006357E6" w:rsidRDefault="00F42B31" w:rsidP="00F42B31">
      <w:pPr>
        <w:pStyle w:val="Heading4"/>
        <w:keepNext w:val="0"/>
        <w:rPr>
          <w:i/>
          <w:lang w:eastAsia="en-AU"/>
        </w:rPr>
      </w:pPr>
      <w:r w:rsidRPr="006357E6">
        <w:t xml:space="preserve">Clause </w:t>
      </w:r>
      <w:r w:rsidR="00501D97">
        <w:rPr>
          <w:noProof/>
        </w:rPr>
        <w:t>16</w:t>
      </w:r>
      <w:r w:rsidRPr="006357E6">
        <w:rPr>
          <w:bCs/>
          <w:lang w:eastAsia="en-AU"/>
        </w:rPr>
        <w:t xml:space="preserve"> </w:t>
      </w:r>
      <w:r w:rsidRPr="006357E6">
        <w:rPr>
          <w:lang w:eastAsia="en-AU"/>
        </w:rPr>
        <w:t xml:space="preserve">– Dictionary, new definition of </w:t>
      </w:r>
      <w:r w:rsidRPr="006357E6">
        <w:rPr>
          <w:i/>
          <w:lang w:eastAsia="en-AU"/>
        </w:rPr>
        <w:t>judge</w:t>
      </w:r>
    </w:p>
    <w:p w:rsidR="00F42B31" w:rsidRPr="00C51338" w:rsidRDefault="00F42B31" w:rsidP="00F42B31">
      <w:pPr>
        <w:pStyle w:val="Heading4"/>
        <w:keepNext w:val="0"/>
        <w:rPr>
          <w:b w:val="0"/>
          <w:lang w:eastAsia="en-AU"/>
        </w:rPr>
      </w:pPr>
      <w:r w:rsidRPr="006357E6">
        <w:rPr>
          <w:b w:val="0"/>
          <w:lang w:eastAsia="en-AU"/>
        </w:rPr>
        <w:t xml:space="preserve">This clause inserts a new </w:t>
      </w:r>
      <w:r w:rsidR="00807592" w:rsidRPr="006357E6">
        <w:rPr>
          <w:b w:val="0"/>
          <w:lang w:eastAsia="en-AU"/>
        </w:rPr>
        <w:t xml:space="preserve">definition of ‘judge’ </w:t>
      </w:r>
      <w:r w:rsidR="00351308" w:rsidRPr="006357E6">
        <w:rPr>
          <w:b w:val="0"/>
          <w:lang w:eastAsia="en-AU"/>
        </w:rPr>
        <w:t>to clarify</w:t>
      </w:r>
      <w:r w:rsidR="00807592" w:rsidRPr="006357E6">
        <w:rPr>
          <w:b w:val="0"/>
          <w:lang w:eastAsia="en-AU"/>
        </w:rPr>
        <w:t xml:space="preserve"> that a ‘jud</w:t>
      </w:r>
      <w:r w:rsidR="00C51338">
        <w:rPr>
          <w:b w:val="0"/>
          <w:lang w:eastAsia="en-AU"/>
        </w:rPr>
        <w:t xml:space="preserve">ge’ includes an associate judge for the purposes of the </w:t>
      </w:r>
      <w:r w:rsidR="00C51338">
        <w:rPr>
          <w:b w:val="0"/>
          <w:i/>
          <w:lang w:eastAsia="en-AU"/>
        </w:rPr>
        <w:t xml:space="preserve">Crimes (Surveillance Devices) Act 2010. </w:t>
      </w:r>
      <w:r w:rsidR="00C51338">
        <w:rPr>
          <w:b w:val="0"/>
          <w:lang w:eastAsia="en-AU"/>
        </w:rPr>
        <w:t xml:space="preserve">The term ‘judge’ is defined in Part 1 of the Dictionary to the </w:t>
      </w:r>
      <w:r w:rsidR="00C51338">
        <w:rPr>
          <w:b w:val="0"/>
          <w:i/>
          <w:lang w:eastAsia="en-AU"/>
        </w:rPr>
        <w:t xml:space="preserve">Legislation Act 2001 </w:t>
      </w:r>
      <w:r w:rsidR="00C51338">
        <w:rPr>
          <w:b w:val="0"/>
          <w:lang w:eastAsia="en-AU"/>
        </w:rPr>
        <w:t xml:space="preserve">as meaning “a resident judge, additional judge or acting judge under the </w:t>
      </w:r>
      <w:r w:rsidR="00C51338">
        <w:rPr>
          <w:b w:val="0"/>
          <w:i/>
          <w:lang w:eastAsia="en-AU"/>
        </w:rPr>
        <w:t>Supreme Court Act 1933.</w:t>
      </w:r>
      <w:r w:rsidR="00C51338">
        <w:rPr>
          <w:b w:val="0"/>
          <w:lang w:eastAsia="en-AU"/>
        </w:rPr>
        <w:t xml:space="preserve">” This will provide powers to an associate judge to issue warrants under Part 2 and emergency authorisations under Part 3. </w:t>
      </w:r>
    </w:p>
    <w:p w:rsidR="00807592" w:rsidRPr="006357E6" w:rsidRDefault="00807592" w:rsidP="00807592">
      <w:pPr>
        <w:pStyle w:val="Heading1"/>
        <w:rPr>
          <w:lang w:eastAsia="en-AU"/>
        </w:rPr>
      </w:pPr>
      <w:bookmarkStart w:id="25" w:name="_Toc524337316"/>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6</w:t>
      </w:r>
      <w:r w:rsidRPr="006357E6">
        <w:rPr>
          <w:lang w:eastAsia="en-AU"/>
        </w:rPr>
        <w:fldChar w:fldCharType="end"/>
      </w:r>
      <w:r w:rsidRPr="006357E6">
        <w:rPr>
          <w:lang w:eastAsia="en-AU"/>
        </w:rPr>
        <w:t xml:space="preserve"> – </w:t>
      </w:r>
      <w:r w:rsidRPr="00EC59E0">
        <w:rPr>
          <w:i/>
          <w:lang w:eastAsia="en-AU"/>
        </w:rPr>
        <w:t>Drugs of Dependence Act 1989</w:t>
      </w:r>
      <w:bookmarkEnd w:id="25"/>
    </w:p>
    <w:p w:rsidR="00807592" w:rsidRPr="006357E6" w:rsidRDefault="00807592" w:rsidP="00807592">
      <w:pPr>
        <w:pStyle w:val="Heading4"/>
        <w:keepNext w:val="0"/>
        <w:rPr>
          <w:lang w:eastAsia="en-AU"/>
        </w:rPr>
      </w:pPr>
      <w:r w:rsidRPr="006357E6">
        <w:t xml:space="preserve">Clause </w:t>
      </w:r>
      <w:r w:rsidR="00501D97">
        <w:rPr>
          <w:noProof/>
        </w:rPr>
        <w:t>17</w:t>
      </w:r>
      <w:r w:rsidRPr="006357E6">
        <w:rPr>
          <w:bCs/>
          <w:lang w:eastAsia="en-AU"/>
        </w:rPr>
        <w:t xml:space="preserve"> </w:t>
      </w:r>
      <w:r w:rsidRPr="006357E6">
        <w:rPr>
          <w:lang w:eastAsia="en-AU"/>
        </w:rPr>
        <w:t>– Search Warrants, Section 187 (</w:t>
      </w:r>
      <w:r w:rsidR="00A21DE6" w:rsidRPr="006357E6">
        <w:rPr>
          <w:lang w:eastAsia="en-AU"/>
        </w:rPr>
        <w:t xml:space="preserve">1), definition of </w:t>
      </w:r>
      <w:r w:rsidR="00A21DE6" w:rsidRPr="006357E6">
        <w:rPr>
          <w:i/>
          <w:lang w:eastAsia="en-AU"/>
        </w:rPr>
        <w:t xml:space="preserve">issuing officer, </w:t>
      </w:r>
      <w:r w:rsidR="00A21DE6" w:rsidRPr="006357E6">
        <w:rPr>
          <w:lang w:eastAsia="en-AU"/>
        </w:rPr>
        <w:t>paragraph (a)</w:t>
      </w:r>
    </w:p>
    <w:p w:rsidR="00A21DE6" w:rsidRPr="00D5642B" w:rsidRDefault="00807592" w:rsidP="00D5642B">
      <w:pPr>
        <w:pStyle w:val="Heading4"/>
        <w:keepNext w:val="0"/>
        <w:rPr>
          <w:b w:val="0"/>
          <w:lang w:eastAsia="en-AU"/>
        </w:rPr>
      </w:pPr>
      <w:r w:rsidRPr="006357E6">
        <w:rPr>
          <w:b w:val="0"/>
          <w:lang w:eastAsia="en-AU"/>
        </w:rPr>
        <w:t xml:space="preserve">This clause </w:t>
      </w:r>
      <w:r w:rsidR="00A21DE6" w:rsidRPr="006357E6">
        <w:rPr>
          <w:b w:val="0"/>
          <w:lang w:eastAsia="en-AU"/>
        </w:rPr>
        <w:t xml:space="preserve">amends the definition of </w:t>
      </w:r>
      <w:r w:rsidR="00A21DE6" w:rsidRPr="006357E6">
        <w:rPr>
          <w:b w:val="0"/>
          <w:i/>
          <w:lang w:eastAsia="en-AU"/>
        </w:rPr>
        <w:t xml:space="preserve">issuing officer </w:t>
      </w:r>
      <w:r w:rsidR="00D5642B">
        <w:rPr>
          <w:b w:val="0"/>
          <w:lang w:eastAsia="en-AU"/>
        </w:rPr>
        <w:t xml:space="preserve">to include an associate judge for the purposes of section 187 of the </w:t>
      </w:r>
      <w:r w:rsidR="00D5642B">
        <w:rPr>
          <w:b w:val="0"/>
          <w:i/>
          <w:lang w:eastAsia="en-AU"/>
        </w:rPr>
        <w:t xml:space="preserve">Drugs of Dependence Act 1989. </w:t>
      </w:r>
      <w:r w:rsidR="00D5642B">
        <w:rPr>
          <w:b w:val="0"/>
          <w:lang w:eastAsia="en-AU"/>
        </w:rPr>
        <w:t xml:space="preserve">This will extend to the associate judge the ability to issue search warrants under section 187. </w:t>
      </w:r>
    </w:p>
    <w:p w:rsidR="00A21DE6" w:rsidRPr="006357E6" w:rsidRDefault="00A21DE6" w:rsidP="00A21DE6">
      <w:pPr>
        <w:pStyle w:val="Heading1"/>
        <w:rPr>
          <w:lang w:eastAsia="en-AU"/>
        </w:rPr>
      </w:pPr>
      <w:bookmarkStart w:id="26" w:name="_Toc524337317"/>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7</w:t>
      </w:r>
      <w:r w:rsidRPr="006357E6">
        <w:rPr>
          <w:lang w:eastAsia="en-AU"/>
        </w:rPr>
        <w:fldChar w:fldCharType="end"/>
      </w:r>
      <w:r w:rsidRPr="006357E6">
        <w:rPr>
          <w:lang w:eastAsia="en-AU"/>
        </w:rPr>
        <w:t xml:space="preserve"> – </w:t>
      </w:r>
      <w:r w:rsidRPr="00EC59E0">
        <w:rPr>
          <w:i/>
          <w:lang w:eastAsia="en-AU"/>
        </w:rPr>
        <w:t>Legislation Act 2001</w:t>
      </w:r>
      <w:bookmarkEnd w:id="26"/>
    </w:p>
    <w:p w:rsidR="00A21DE6" w:rsidRPr="006357E6" w:rsidRDefault="00A21DE6" w:rsidP="00A21DE6">
      <w:pPr>
        <w:pStyle w:val="Heading4"/>
        <w:keepNext w:val="0"/>
        <w:rPr>
          <w:lang w:eastAsia="en-AU"/>
        </w:rPr>
      </w:pPr>
      <w:r w:rsidRPr="006357E6">
        <w:t xml:space="preserve">Clause </w:t>
      </w:r>
      <w:r w:rsidR="00501D97">
        <w:rPr>
          <w:noProof/>
        </w:rPr>
        <w:t>18</w:t>
      </w:r>
      <w:r w:rsidRPr="006357E6">
        <w:rPr>
          <w:bCs/>
          <w:lang w:eastAsia="en-AU"/>
        </w:rPr>
        <w:t xml:space="preserve"> </w:t>
      </w:r>
      <w:r w:rsidRPr="006357E6">
        <w:rPr>
          <w:lang w:eastAsia="en-AU"/>
        </w:rPr>
        <w:t>– Penalty Units, Section 133 (2) and note</w:t>
      </w:r>
    </w:p>
    <w:p w:rsidR="00D5642B" w:rsidRPr="00D5642B" w:rsidRDefault="00A21DE6" w:rsidP="00D5642B">
      <w:pPr>
        <w:autoSpaceDE w:val="0"/>
        <w:autoSpaceDN w:val="0"/>
        <w:adjustRightInd w:val="0"/>
        <w:spacing w:before="240" w:after="120"/>
        <w:rPr>
          <w:szCs w:val="24"/>
        </w:rPr>
      </w:pPr>
      <w:r w:rsidRPr="00D5642B">
        <w:rPr>
          <w:lang w:eastAsia="en-AU"/>
        </w:rPr>
        <w:t>This</w:t>
      </w:r>
      <w:r w:rsidR="00E215E4" w:rsidRPr="00D5642B">
        <w:rPr>
          <w:lang w:eastAsia="en-AU"/>
        </w:rPr>
        <w:t xml:space="preserve"> clause </w:t>
      </w:r>
      <w:r w:rsidR="00D5642B" w:rsidRPr="00D5642B">
        <w:rPr>
          <w:lang w:eastAsia="en-AU"/>
        </w:rPr>
        <w:t xml:space="preserve">amends section 133(2) of the </w:t>
      </w:r>
      <w:r w:rsidR="00D5642B" w:rsidRPr="00D5642B">
        <w:rPr>
          <w:i/>
          <w:lang w:eastAsia="en-AU"/>
        </w:rPr>
        <w:t xml:space="preserve">Legislation Act 2001 </w:t>
      </w:r>
      <w:r w:rsidR="00D5642B" w:rsidRPr="00D5642B">
        <w:rPr>
          <w:lang w:eastAsia="en-AU"/>
        </w:rPr>
        <w:t xml:space="preserve">by increasing </w:t>
      </w:r>
      <w:r w:rsidR="00E215E4" w:rsidRPr="00D5642B">
        <w:rPr>
          <w:lang w:eastAsia="en-AU"/>
        </w:rPr>
        <w:t>the value of a ‘penalty unit’</w:t>
      </w:r>
      <w:r w:rsidR="00D5642B" w:rsidRPr="00D5642B">
        <w:rPr>
          <w:lang w:eastAsia="en-AU"/>
        </w:rPr>
        <w:t xml:space="preserve"> that provide the basis for determining statutory fines. In accordance with </w:t>
      </w:r>
      <w:r w:rsidR="00D5642B">
        <w:rPr>
          <w:szCs w:val="24"/>
        </w:rPr>
        <w:t>section 133(3</w:t>
      </w:r>
      <w:r w:rsidR="00D5642B" w:rsidRPr="00D5642B">
        <w:rPr>
          <w:szCs w:val="24"/>
        </w:rPr>
        <w:t xml:space="preserve">) </w:t>
      </w:r>
      <w:r w:rsidR="00D5642B">
        <w:rPr>
          <w:szCs w:val="24"/>
        </w:rPr>
        <w:t>of the Act</w:t>
      </w:r>
      <w:r w:rsidR="00D5642B" w:rsidRPr="00D5642B">
        <w:rPr>
          <w:i/>
          <w:szCs w:val="24"/>
        </w:rPr>
        <w:t>,</w:t>
      </w:r>
      <w:r w:rsidR="00D5642B">
        <w:rPr>
          <w:szCs w:val="24"/>
        </w:rPr>
        <w:t xml:space="preserve"> the Attorney-General has reviewed</w:t>
      </w:r>
      <w:r w:rsidR="00D5642B" w:rsidRPr="00D5642B">
        <w:rPr>
          <w:szCs w:val="24"/>
        </w:rPr>
        <w:t xml:space="preserve"> the appropriateness of current penalty unit values and decided to increase the value of penalty units: </w:t>
      </w:r>
    </w:p>
    <w:p w:rsidR="00D5642B" w:rsidRPr="00D5642B" w:rsidRDefault="00D5642B" w:rsidP="00D5642B">
      <w:pPr>
        <w:pStyle w:val="NoSpacing"/>
        <w:numPr>
          <w:ilvl w:val="0"/>
          <w:numId w:val="28"/>
        </w:numPr>
        <w:spacing w:line="276" w:lineRule="auto"/>
      </w:pPr>
      <w:r w:rsidRPr="00D5642B">
        <w:t xml:space="preserve">from $150 to $160 for an offence committed by an individual, and </w:t>
      </w:r>
    </w:p>
    <w:p w:rsidR="00D5642B" w:rsidRDefault="00D5642B" w:rsidP="00D5642B">
      <w:pPr>
        <w:pStyle w:val="NoSpacing"/>
        <w:numPr>
          <w:ilvl w:val="0"/>
          <w:numId w:val="28"/>
        </w:numPr>
        <w:spacing w:line="276" w:lineRule="auto"/>
      </w:pPr>
      <w:r w:rsidRPr="00D5642B">
        <w:t>from $750 to $810 for an offence committed by a corporation</w:t>
      </w:r>
      <w:r>
        <w:t>.</w:t>
      </w:r>
    </w:p>
    <w:p w:rsidR="00D5642B" w:rsidRPr="00D5642B" w:rsidRDefault="00D5642B" w:rsidP="00D5642B">
      <w:pPr>
        <w:pStyle w:val="NoSpacing"/>
        <w:spacing w:line="276" w:lineRule="auto"/>
        <w:ind w:left="720"/>
      </w:pPr>
    </w:p>
    <w:p w:rsidR="00D5642B" w:rsidRDefault="00D5642B" w:rsidP="005B37B4">
      <w:pPr>
        <w:rPr>
          <w:lang w:eastAsia="en-AU"/>
        </w:rPr>
      </w:pPr>
      <w:r>
        <w:rPr>
          <w:lang w:eastAsia="en-AU"/>
        </w:rPr>
        <w:t>This amendment will ensure the relative weight of penalties is maintained and continues to have a deterrent effect.</w:t>
      </w:r>
    </w:p>
    <w:p w:rsidR="005B37B4" w:rsidRPr="006357E6" w:rsidRDefault="005B37B4" w:rsidP="005B37B4">
      <w:pPr>
        <w:rPr>
          <w:lang w:eastAsia="en-AU"/>
        </w:rPr>
      </w:pPr>
      <w:r w:rsidRPr="006357E6">
        <w:rPr>
          <w:lang w:eastAsia="en-AU"/>
        </w:rPr>
        <w:t>The clause also provides an example of how a fine is calculated using penalty units.</w:t>
      </w:r>
    </w:p>
    <w:p w:rsidR="00B649EC" w:rsidRPr="006357E6" w:rsidRDefault="00B649EC" w:rsidP="00B649EC">
      <w:pPr>
        <w:pStyle w:val="Heading1"/>
        <w:rPr>
          <w:lang w:eastAsia="en-AU"/>
        </w:rPr>
      </w:pPr>
      <w:bookmarkStart w:id="27" w:name="_Toc524337318"/>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8</w:t>
      </w:r>
      <w:r w:rsidRPr="006357E6">
        <w:rPr>
          <w:lang w:eastAsia="en-AU"/>
        </w:rPr>
        <w:fldChar w:fldCharType="end"/>
      </w:r>
      <w:r w:rsidRPr="006357E6">
        <w:rPr>
          <w:lang w:eastAsia="en-AU"/>
        </w:rPr>
        <w:t xml:space="preserve"> – </w:t>
      </w:r>
      <w:r w:rsidRPr="00EC59E0">
        <w:rPr>
          <w:i/>
          <w:lang w:eastAsia="en-AU"/>
        </w:rPr>
        <w:t>Magistrates Court Act 1930</w:t>
      </w:r>
      <w:bookmarkEnd w:id="27"/>
    </w:p>
    <w:p w:rsidR="00B649EC" w:rsidRPr="006357E6" w:rsidRDefault="00B649EC" w:rsidP="00B649EC">
      <w:pPr>
        <w:pStyle w:val="Heading4"/>
        <w:keepNext w:val="0"/>
        <w:rPr>
          <w:lang w:eastAsia="en-AU"/>
        </w:rPr>
      </w:pPr>
      <w:r w:rsidRPr="006357E6">
        <w:t xml:space="preserve">Clause </w:t>
      </w:r>
      <w:r w:rsidR="00501D97">
        <w:rPr>
          <w:noProof/>
        </w:rPr>
        <w:t>19</w:t>
      </w:r>
      <w:r w:rsidRPr="006357E6">
        <w:rPr>
          <w:bCs/>
          <w:lang w:eastAsia="en-AU"/>
        </w:rPr>
        <w:t xml:space="preserve"> </w:t>
      </w:r>
      <w:r w:rsidRPr="006357E6">
        <w:rPr>
          <w:lang w:eastAsia="en-AU"/>
        </w:rPr>
        <w:t>– Court may waive committal proceedings, New section 88B (1A)</w:t>
      </w:r>
    </w:p>
    <w:p w:rsidR="00A626E8" w:rsidRPr="006357E6" w:rsidRDefault="00A626E8" w:rsidP="00A626E8">
      <w:pPr>
        <w:autoSpaceDE w:val="0"/>
        <w:autoSpaceDN w:val="0"/>
        <w:adjustRightInd w:val="0"/>
        <w:spacing w:before="240" w:after="120"/>
        <w:rPr>
          <w:b/>
          <w:szCs w:val="24"/>
        </w:rPr>
      </w:pPr>
      <w:r w:rsidRPr="006357E6">
        <w:rPr>
          <w:szCs w:val="24"/>
        </w:rPr>
        <w:t xml:space="preserve">Part 3.5 of the </w:t>
      </w:r>
      <w:r w:rsidRPr="006357E6">
        <w:rPr>
          <w:i/>
          <w:szCs w:val="24"/>
        </w:rPr>
        <w:t>Magistrates Court Act 1930</w:t>
      </w:r>
      <w:r w:rsidRPr="006357E6">
        <w:rPr>
          <w:szCs w:val="24"/>
        </w:rPr>
        <w:t xml:space="preserve"> provides the mechanism for the Magistrates Court to commit an accused person for trial, and makes specific provision for the transfer of back-up and related charges to the Supreme Court in certain confined circumstances. </w:t>
      </w:r>
    </w:p>
    <w:p w:rsidR="00A626E8" w:rsidRDefault="00BF625C" w:rsidP="00A626E8">
      <w:pPr>
        <w:autoSpaceDE w:val="0"/>
        <w:autoSpaceDN w:val="0"/>
        <w:adjustRightInd w:val="0"/>
        <w:spacing w:before="240" w:after="120"/>
        <w:rPr>
          <w:szCs w:val="24"/>
        </w:rPr>
      </w:pPr>
      <w:r>
        <w:rPr>
          <w:szCs w:val="24"/>
        </w:rPr>
        <w:t>Section 88B</w:t>
      </w:r>
      <w:r w:rsidR="00A626E8" w:rsidRPr="006357E6">
        <w:rPr>
          <w:szCs w:val="24"/>
        </w:rPr>
        <w:t xml:space="preserve"> of the </w:t>
      </w:r>
      <w:r w:rsidR="00A626E8" w:rsidRPr="006357E6">
        <w:rPr>
          <w:i/>
          <w:szCs w:val="24"/>
        </w:rPr>
        <w:t>Magistrates Court Act 1930</w:t>
      </w:r>
      <w:r w:rsidR="00A626E8" w:rsidRPr="006357E6">
        <w:rPr>
          <w:szCs w:val="24"/>
        </w:rPr>
        <w:t xml:space="preserve"> provides a mechanism for matters to be committed for trial on the application of the accused and with the consent of the prosecution, in effect a waiver of a full committal proceeding. </w:t>
      </w:r>
      <w:r w:rsidRPr="00BF625C">
        <w:rPr>
          <w:szCs w:val="24"/>
        </w:rPr>
        <w:t>There is no mechanism to also transfer back-up and related charges in a committal under section 88B.</w:t>
      </w:r>
      <w:r>
        <w:rPr>
          <w:szCs w:val="24"/>
        </w:rPr>
        <w:t xml:space="preserve"> This appears to be an anomaly in the drafting of section 88B, specifically by reference to the way that similar sections operate when transferring indictable matters to the Supreme Court. The inability to transfer back-up and related charges creates an unnecessary consequence of requiring the Magistrates Court to retain back-up and related charges in that court until the committed matter is finalised. </w:t>
      </w:r>
    </w:p>
    <w:p w:rsidR="003342EB" w:rsidRDefault="003342EB" w:rsidP="00A626E8">
      <w:pPr>
        <w:autoSpaceDE w:val="0"/>
        <w:autoSpaceDN w:val="0"/>
        <w:adjustRightInd w:val="0"/>
        <w:spacing w:before="240" w:after="120"/>
        <w:rPr>
          <w:szCs w:val="24"/>
        </w:rPr>
      </w:pPr>
      <w:r>
        <w:rPr>
          <w:szCs w:val="24"/>
        </w:rPr>
        <w:t xml:space="preserve">This </w:t>
      </w:r>
      <w:r w:rsidR="00BF625C">
        <w:rPr>
          <w:szCs w:val="24"/>
        </w:rPr>
        <w:t xml:space="preserve">clause amends section 88B </w:t>
      </w:r>
      <w:r>
        <w:rPr>
          <w:szCs w:val="24"/>
        </w:rPr>
        <w:t xml:space="preserve">to align the committal process with other committals to allow back-up and related charges to be transferred to the Supreme Court. </w:t>
      </w:r>
    </w:p>
    <w:p w:rsidR="003342EB" w:rsidRPr="003342EB" w:rsidRDefault="008724CA" w:rsidP="00A626E8">
      <w:pPr>
        <w:autoSpaceDE w:val="0"/>
        <w:autoSpaceDN w:val="0"/>
        <w:adjustRightInd w:val="0"/>
        <w:spacing w:before="240" w:after="120"/>
        <w:rPr>
          <w:szCs w:val="24"/>
        </w:rPr>
      </w:pPr>
      <w:r>
        <w:rPr>
          <w:szCs w:val="24"/>
          <w:u w:val="single"/>
        </w:rPr>
        <w:t>S</w:t>
      </w:r>
      <w:r w:rsidR="003342EB">
        <w:rPr>
          <w:szCs w:val="24"/>
          <w:u w:val="single"/>
        </w:rPr>
        <w:t>ection 88B (1A)</w:t>
      </w:r>
      <w:r w:rsidR="003342EB">
        <w:rPr>
          <w:szCs w:val="24"/>
        </w:rPr>
        <w:t xml:space="preserve"> requires the prosecutor to tell the court about the back-up or related offence if the court commits an accused person for trial under section 88B (1). The court must transfer the proceeding for the back-up and related offence to the Supreme Court, to be dealt with under Part 8 of the </w:t>
      </w:r>
      <w:r w:rsidR="003342EB">
        <w:rPr>
          <w:i/>
          <w:szCs w:val="24"/>
        </w:rPr>
        <w:t xml:space="preserve">Supreme Court Act 1933. </w:t>
      </w:r>
      <w:r w:rsidR="003342EB">
        <w:rPr>
          <w:szCs w:val="24"/>
        </w:rPr>
        <w:t xml:space="preserve">This addresses the issue of transferred charges at first instance. </w:t>
      </w:r>
    </w:p>
    <w:p w:rsidR="00BF625C" w:rsidRDefault="008724CA" w:rsidP="00A626E8">
      <w:pPr>
        <w:autoSpaceDE w:val="0"/>
        <w:autoSpaceDN w:val="0"/>
        <w:adjustRightInd w:val="0"/>
        <w:spacing w:before="240" w:after="120"/>
        <w:rPr>
          <w:szCs w:val="24"/>
        </w:rPr>
      </w:pPr>
      <w:r>
        <w:rPr>
          <w:szCs w:val="24"/>
          <w:u w:val="single"/>
        </w:rPr>
        <w:t>Section</w:t>
      </w:r>
      <w:r w:rsidR="003342EB">
        <w:rPr>
          <w:szCs w:val="24"/>
          <w:u w:val="single"/>
        </w:rPr>
        <w:t xml:space="preserve"> 88B (1B)</w:t>
      </w:r>
      <w:r w:rsidR="003342EB">
        <w:rPr>
          <w:szCs w:val="24"/>
        </w:rPr>
        <w:t xml:space="preserve"> clarifies that subsection (1A) does not prevent the accused person being charged with an offence after committal under subsection (1). </w:t>
      </w:r>
    </w:p>
    <w:p w:rsidR="00B649EC" w:rsidRPr="003342EB" w:rsidRDefault="008724CA" w:rsidP="003342EB">
      <w:pPr>
        <w:autoSpaceDE w:val="0"/>
        <w:autoSpaceDN w:val="0"/>
        <w:adjustRightInd w:val="0"/>
        <w:spacing w:before="240" w:after="120"/>
        <w:rPr>
          <w:szCs w:val="24"/>
        </w:rPr>
      </w:pPr>
      <w:r>
        <w:rPr>
          <w:szCs w:val="24"/>
          <w:u w:val="single"/>
        </w:rPr>
        <w:t>S</w:t>
      </w:r>
      <w:r w:rsidR="003342EB">
        <w:rPr>
          <w:szCs w:val="24"/>
          <w:u w:val="single"/>
        </w:rPr>
        <w:t>ection 88B (1C)</w:t>
      </w:r>
      <w:r w:rsidR="003342EB">
        <w:rPr>
          <w:szCs w:val="24"/>
        </w:rPr>
        <w:t xml:space="preserve"> requires the court to transfer the proceeding</w:t>
      </w:r>
      <w:r w:rsidR="003342EB">
        <w:t xml:space="preserve"> </w:t>
      </w:r>
      <w:r w:rsidR="003342EB">
        <w:rPr>
          <w:szCs w:val="24"/>
        </w:rPr>
        <w:t xml:space="preserve">for the back-up and related offence to the Supreme Court, to be dealt with under Part 8 of the </w:t>
      </w:r>
      <w:r w:rsidR="003342EB">
        <w:rPr>
          <w:i/>
          <w:szCs w:val="24"/>
        </w:rPr>
        <w:t xml:space="preserve">Supreme Court Act 1933, </w:t>
      </w:r>
      <w:r w:rsidR="003342EB">
        <w:rPr>
          <w:szCs w:val="24"/>
        </w:rPr>
        <w:t xml:space="preserve">if the accused person is charged with a back-up or related offence after committal under subsection (1). This addresses </w:t>
      </w:r>
      <w:r w:rsidR="003342EB" w:rsidRPr="003342EB">
        <w:rPr>
          <w:szCs w:val="24"/>
        </w:rPr>
        <w:t>the situation where further related or back-up charges may be instituted after a waiver of committal proceedings.</w:t>
      </w:r>
    </w:p>
    <w:p w:rsidR="00AD4D42" w:rsidRPr="006357E6" w:rsidRDefault="00AD4D42" w:rsidP="00AD4D42">
      <w:pPr>
        <w:pStyle w:val="Heading1"/>
        <w:rPr>
          <w:lang w:eastAsia="en-AU"/>
        </w:rPr>
      </w:pPr>
      <w:bookmarkStart w:id="28" w:name="_Toc524337319"/>
      <w:r w:rsidRPr="006357E6">
        <w:rPr>
          <w:lang w:eastAsia="en-AU"/>
        </w:rPr>
        <w:t xml:space="preserve">Part </w:t>
      </w:r>
      <w:r w:rsidRPr="006357E6">
        <w:rPr>
          <w:lang w:eastAsia="en-AU"/>
        </w:rPr>
        <w:fldChar w:fldCharType="begin"/>
      </w:r>
      <w:r w:rsidRPr="006357E6">
        <w:rPr>
          <w:lang w:eastAsia="en-AU"/>
        </w:rPr>
        <w:instrText xml:space="preserve"> SEQ Part \* ARABIC </w:instrText>
      </w:r>
      <w:r w:rsidRPr="006357E6">
        <w:rPr>
          <w:lang w:eastAsia="en-AU"/>
        </w:rPr>
        <w:fldChar w:fldCharType="separate"/>
      </w:r>
      <w:r w:rsidR="00A626E8">
        <w:rPr>
          <w:noProof/>
          <w:lang w:eastAsia="en-AU"/>
        </w:rPr>
        <w:t>9</w:t>
      </w:r>
      <w:r w:rsidRPr="006357E6">
        <w:rPr>
          <w:lang w:eastAsia="en-AU"/>
        </w:rPr>
        <w:fldChar w:fldCharType="end"/>
      </w:r>
      <w:r w:rsidRPr="006357E6">
        <w:rPr>
          <w:lang w:eastAsia="en-AU"/>
        </w:rPr>
        <w:t xml:space="preserve"> – </w:t>
      </w:r>
      <w:r w:rsidRPr="00EC59E0">
        <w:rPr>
          <w:i/>
          <w:lang w:eastAsia="en-AU"/>
        </w:rPr>
        <w:t>Supreme Court Act 1933</w:t>
      </w:r>
      <w:bookmarkEnd w:id="28"/>
    </w:p>
    <w:p w:rsidR="003C39FF" w:rsidRPr="006357E6" w:rsidRDefault="003C39FF" w:rsidP="003C39FF">
      <w:pPr>
        <w:pStyle w:val="Heading4"/>
        <w:keepNext w:val="0"/>
        <w:rPr>
          <w:lang w:eastAsia="en-AU"/>
        </w:rPr>
      </w:pPr>
      <w:r w:rsidRPr="006357E6">
        <w:t xml:space="preserve">Clause </w:t>
      </w:r>
      <w:r w:rsidR="00501D97">
        <w:rPr>
          <w:noProof/>
        </w:rPr>
        <w:t>20</w:t>
      </w:r>
      <w:r w:rsidRPr="006357E6">
        <w:rPr>
          <w:bCs/>
          <w:lang w:eastAsia="en-AU"/>
        </w:rPr>
        <w:t xml:space="preserve"> </w:t>
      </w:r>
      <w:r w:rsidRPr="006357E6">
        <w:rPr>
          <w:lang w:eastAsia="en-AU"/>
        </w:rPr>
        <w:t>– Back-up and related offences, Section 68D (1) (a) (i)</w:t>
      </w:r>
    </w:p>
    <w:p w:rsidR="00745EFC" w:rsidRPr="008724CA" w:rsidRDefault="00BF625C" w:rsidP="008724CA">
      <w:pPr>
        <w:rPr>
          <w:i/>
          <w:szCs w:val="24"/>
        </w:rPr>
      </w:pPr>
      <w:r w:rsidRPr="006357E6">
        <w:rPr>
          <w:szCs w:val="24"/>
        </w:rPr>
        <w:t xml:space="preserve">The Supreme Court has the power to deal with back-up and related charges under section 68D of the </w:t>
      </w:r>
      <w:r w:rsidRPr="006357E6">
        <w:rPr>
          <w:i/>
          <w:szCs w:val="24"/>
        </w:rPr>
        <w:t>Supreme Court Act 1993.</w:t>
      </w:r>
      <w:r w:rsidR="008724CA">
        <w:rPr>
          <w:i/>
          <w:szCs w:val="24"/>
        </w:rPr>
        <w:t xml:space="preserve"> </w:t>
      </w:r>
      <w:r w:rsidR="008724CA">
        <w:rPr>
          <w:szCs w:val="24"/>
        </w:rPr>
        <w:t>T</w:t>
      </w:r>
      <w:r w:rsidR="008724CA" w:rsidRPr="008724CA">
        <w:rPr>
          <w:szCs w:val="24"/>
        </w:rPr>
        <w:t xml:space="preserve">he power of </w:t>
      </w:r>
      <w:r w:rsidR="008724CA">
        <w:rPr>
          <w:szCs w:val="24"/>
        </w:rPr>
        <w:t>the Supreme Court</w:t>
      </w:r>
      <w:r w:rsidR="008724CA" w:rsidRPr="008724CA">
        <w:rPr>
          <w:szCs w:val="24"/>
        </w:rPr>
        <w:t xml:space="preserve"> to deal with back-up and related charges is limited to where a person:</w:t>
      </w:r>
      <w:r w:rsidR="008724CA" w:rsidRPr="008724CA">
        <w:rPr>
          <w:i/>
          <w:szCs w:val="24"/>
        </w:rPr>
        <w:t xml:space="preserve"> </w:t>
      </w:r>
    </w:p>
    <w:p w:rsidR="00745EFC" w:rsidRDefault="00745EFC" w:rsidP="00745EFC">
      <w:pPr>
        <w:pStyle w:val="NoSpacing"/>
        <w:numPr>
          <w:ilvl w:val="0"/>
          <w:numId w:val="27"/>
        </w:numPr>
        <w:spacing w:line="276" w:lineRule="auto"/>
        <w:rPr>
          <w:lang w:eastAsia="en-AU"/>
        </w:rPr>
      </w:pPr>
      <w:r>
        <w:rPr>
          <w:lang w:eastAsia="en-AU"/>
        </w:rPr>
        <w:t xml:space="preserve">is committed for trial following a plea of guilty (section 90A (7) of the </w:t>
      </w:r>
      <w:r>
        <w:rPr>
          <w:i/>
          <w:lang w:eastAsia="en-AU"/>
        </w:rPr>
        <w:t>Magistrates Court Act 1930</w:t>
      </w:r>
      <w:r>
        <w:rPr>
          <w:lang w:eastAsia="en-AU"/>
        </w:rPr>
        <w:t xml:space="preserve">); </w:t>
      </w:r>
    </w:p>
    <w:p w:rsidR="00745EFC" w:rsidRDefault="00745EFC" w:rsidP="00745EFC">
      <w:pPr>
        <w:pStyle w:val="NoSpacing"/>
        <w:numPr>
          <w:ilvl w:val="0"/>
          <w:numId w:val="27"/>
        </w:numPr>
        <w:spacing w:line="276" w:lineRule="auto"/>
        <w:rPr>
          <w:lang w:eastAsia="en-AU"/>
        </w:rPr>
      </w:pPr>
      <w:r>
        <w:rPr>
          <w:lang w:eastAsia="en-AU"/>
        </w:rPr>
        <w:t xml:space="preserve">is committed for an indictable offence to be tried summarily (section 92A); </w:t>
      </w:r>
    </w:p>
    <w:p w:rsidR="00745EFC" w:rsidRDefault="00745EFC" w:rsidP="00745EFC">
      <w:pPr>
        <w:pStyle w:val="NoSpacing"/>
        <w:numPr>
          <w:ilvl w:val="0"/>
          <w:numId w:val="27"/>
        </w:numPr>
        <w:spacing w:line="276" w:lineRule="auto"/>
        <w:rPr>
          <w:lang w:eastAsia="en-AU"/>
        </w:rPr>
      </w:pPr>
      <w:r>
        <w:rPr>
          <w:lang w:eastAsia="en-AU"/>
        </w:rPr>
        <w:t>is committed for trial (section 94); and</w:t>
      </w:r>
    </w:p>
    <w:p w:rsidR="00745EFC" w:rsidRDefault="00745EFC" w:rsidP="008724CA">
      <w:pPr>
        <w:pStyle w:val="NoSpacing"/>
        <w:numPr>
          <w:ilvl w:val="0"/>
          <w:numId w:val="27"/>
        </w:numPr>
        <w:spacing w:line="276" w:lineRule="auto"/>
        <w:rPr>
          <w:lang w:eastAsia="en-AU"/>
        </w:rPr>
      </w:pPr>
      <w:r>
        <w:rPr>
          <w:lang w:eastAsia="en-AU"/>
        </w:rPr>
        <w:t xml:space="preserve">is sent for sentence by the Childrens Court to the Supreme Court (section 291G). </w:t>
      </w:r>
    </w:p>
    <w:p w:rsidR="00745EFC" w:rsidRDefault="00745EFC" w:rsidP="00745EFC">
      <w:pPr>
        <w:pStyle w:val="NoSpacing"/>
        <w:spacing w:line="276" w:lineRule="auto"/>
        <w:ind w:left="360"/>
        <w:rPr>
          <w:lang w:eastAsia="en-AU"/>
        </w:rPr>
      </w:pPr>
    </w:p>
    <w:p w:rsidR="00745EFC" w:rsidRDefault="00745EFC" w:rsidP="008724CA">
      <w:pPr>
        <w:rPr>
          <w:lang w:eastAsia="en-AU"/>
        </w:rPr>
      </w:pPr>
      <w:r>
        <w:rPr>
          <w:u w:val="single"/>
          <w:lang w:eastAsia="en-AU"/>
        </w:rPr>
        <w:t>Substituted section 68D (1)(a)(i)</w:t>
      </w:r>
      <w:r>
        <w:rPr>
          <w:lang w:eastAsia="en-AU"/>
        </w:rPr>
        <w:t xml:space="preserve"> extends the power of the Supreme Court to deal with back-up and related offences committed under section 88B. </w:t>
      </w:r>
    </w:p>
    <w:p w:rsidR="008B40CE" w:rsidRPr="008B40CE" w:rsidRDefault="00AF60C6" w:rsidP="008B40CE">
      <w:pPr>
        <w:rPr>
          <w:lang w:eastAsia="en-AU"/>
        </w:rPr>
      </w:pPr>
      <w:r>
        <w:rPr>
          <w:u w:val="single"/>
          <w:lang w:eastAsia="en-AU"/>
        </w:rPr>
        <w:t>Substituted section 68D (1)(a)(ia)</w:t>
      </w:r>
      <w:r>
        <w:rPr>
          <w:lang w:eastAsia="en-AU"/>
        </w:rPr>
        <w:t xml:space="preserve"> </w:t>
      </w:r>
      <w:r w:rsidR="00745EFC">
        <w:rPr>
          <w:lang w:eastAsia="en-AU"/>
        </w:rPr>
        <w:t>clarifies an anomaly by correctly referencing section 90</w:t>
      </w:r>
      <w:r>
        <w:rPr>
          <w:lang w:eastAsia="en-AU"/>
        </w:rPr>
        <w:t xml:space="preserve">A (7) which provides the mechanism for the Magistrates Court to commit a person for trial following a plea of guilty. The reference to section 90B is </w:t>
      </w:r>
      <w:r w:rsidR="00745EFC">
        <w:rPr>
          <w:lang w:eastAsia="en-AU"/>
        </w:rPr>
        <w:t>incon</w:t>
      </w:r>
      <w:r>
        <w:rPr>
          <w:lang w:eastAsia="en-AU"/>
        </w:rPr>
        <w:t xml:space="preserve">sistent with the references in </w:t>
      </w:r>
      <w:r w:rsidR="00745EFC">
        <w:rPr>
          <w:lang w:eastAsia="en-AU"/>
        </w:rPr>
        <w:t>sections 68D</w:t>
      </w:r>
      <w:r>
        <w:rPr>
          <w:lang w:eastAsia="en-AU"/>
        </w:rPr>
        <w:t xml:space="preserve"> </w:t>
      </w:r>
      <w:r w:rsidR="00745EFC">
        <w:rPr>
          <w:lang w:eastAsia="en-AU"/>
        </w:rPr>
        <w:t xml:space="preserve">(1)(a)(ii)-(iv) as they refer to the provisions empowering the court to commit primary charges for sentence (rather than the transfer of back-up and related charges). </w:t>
      </w:r>
    </w:p>
    <w:sectPr w:rsidR="008B40CE" w:rsidRPr="008B40CE" w:rsidSect="00EE32FF">
      <w:footerReference w:type="default" r:id="rId17"/>
      <w:footerReference w:type="first" r:id="rId1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A9" w:rsidRDefault="00495BA9" w:rsidP="00EB113E">
      <w:pPr>
        <w:spacing w:after="0" w:line="240" w:lineRule="auto"/>
      </w:pPr>
      <w:r>
        <w:separator/>
      </w:r>
    </w:p>
  </w:endnote>
  <w:endnote w:type="continuationSeparator" w:id="0">
    <w:p w:rsidR="00495BA9" w:rsidRDefault="00495BA9" w:rsidP="00EB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8" w:rsidRDefault="008266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Pr="00C31AB2" w:rsidRDefault="00B649EC" w:rsidP="00C31AB2">
    <w:pPr>
      <w:pStyle w:val="Header"/>
      <w:jc w:val="center"/>
      <w:rPr>
        <w:rFonts w:ascii="Arial" w:hAnsi="Arial" w:cs="Arial"/>
        <w:b/>
        <w:color w:val="FF0000"/>
      </w:rPr>
    </w:pPr>
    <w:r>
      <w:rPr>
        <w:rFonts w:ascii="Arial" w:hAnsi="Arial" w:cs="Arial"/>
        <w:b/>
        <w:color w:val="FF0000"/>
      </w:rPr>
      <w:t>SENSITIVE: CABINET</w:t>
    </w:r>
  </w:p>
  <w:p w:rsidR="00B649EC" w:rsidRPr="00826618" w:rsidRDefault="00826618" w:rsidP="00826618">
    <w:pPr>
      <w:pStyle w:val="Header"/>
      <w:jc w:val="center"/>
      <w:rPr>
        <w:rFonts w:ascii="Arial" w:hAnsi="Arial" w:cs="Arial"/>
        <w:b/>
        <w:color w:val="FF0000"/>
        <w:sz w:val="14"/>
      </w:rPr>
    </w:pPr>
    <w:r w:rsidRPr="00826618">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8" w:rsidRPr="00826618" w:rsidRDefault="00826618" w:rsidP="00826618">
    <w:pPr>
      <w:pStyle w:val="Footer"/>
      <w:jc w:val="center"/>
      <w:rPr>
        <w:rFonts w:ascii="Arial" w:hAnsi="Arial" w:cs="Arial"/>
        <w:sz w:val="14"/>
      </w:rPr>
    </w:pPr>
    <w:r w:rsidRPr="00826618">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Default="00B649EC">
    <w:pPr>
      <w:pStyle w:val="Footer"/>
      <w:jc w:val="right"/>
      <w:rPr>
        <w:noProof/>
      </w:rPr>
    </w:pPr>
    <w:r>
      <w:fldChar w:fldCharType="begin"/>
    </w:r>
    <w:r>
      <w:instrText xml:space="preserve"> PAGE   \* MERGEFORMAT </w:instrText>
    </w:r>
    <w:r>
      <w:fldChar w:fldCharType="separate"/>
    </w:r>
    <w:r w:rsidR="00826618">
      <w:rPr>
        <w:noProof/>
      </w:rPr>
      <w:t>2</w:t>
    </w:r>
    <w:r>
      <w:rPr>
        <w:noProof/>
      </w:rPr>
      <w:fldChar w:fldCharType="end"/>
    </w:r>
  </w:p>
  <w:p w:rsidR="00826618" w:rsidRPr="00826618" w:rsidRDefault="00826618" w:rsidP="00826618">
    <w:pPr>
      <w:pStyle w:val="Footer"/>
      <w:jc w:val="center"/>
      <w:rPr>
        <w:rFonts w:ascii="Arial" w:hAnsi="Arial" w:cs="Arial"/>
        <w:sz w:val="14"/>
      </w:rPr>
    </w:pPr>
    <w:r w:rsidRPr="00826618">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Default="00B649EC">
    <w:pPr>
      <w:pStyle w:val="Footer"/>
      <w:jc w:val="right"/>
      <w:rPr>
        <w:noProof/>
      </w:rPr>
    </w:pPr>
    <w:r>
      <w:fldChar w:fldCharType="begin"/>
    </w:r>
    <w:r>
      <w:instrText xml:space="preserve"> PAGE   \* MERGEFORMAT </w:instrText>
    </w:r>
    <w:r>
      <w:fldChar w:fldCharType="separate"/>
    </w:r>
    <w:r w:rsidR="00826618">
      <w:rPr>
        <w:noProof/>
      </w:rPr>
      <w:t>1</w:t>
    </w:r>
    <w:r>
      <w:rPr>
        <w:noProof/>
      </w:rPr>
      <w:fldChar w:fldCharType="end"/>
    </w:r>
  </w:p>
  <w:p w:rsidR="00826618" w:rsidRPr="00826618" w:rsidRDefault="00826618" w:rsidP="00826618">
    <w:pPr>
      <w:pStyle w:val="Footer"/>
      <w:jc w:val="center"/>
      <w:rPr>
        <w:rFonts w:ascii="Arial" w:hAnsi="Arial" w:cs="Arial"/>
        <w:sz w:val="14"/>
      </w:rPr>
    </w:pPr>
    <w:r w:rsidRPr="00826618">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A9" w:rsidRDefault="00495BA9" w:rsidP="00EB113E">
      <w:pPr>
        <w:spacing w:after="0" w:line="240" w:lineRule="auto"/>
      </w:pPr>
      <w:r>
        <w:separator/>
      </w:r>
    </w:p>
  </w:footnote>
  <w:footnote w:type="continuationSeparator" w:id="0">
    <w:p w:rsidR="00495BA9" w:rsidRDefault="00495BA9" w:rsidP="00EB1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8" w:rsidRDefault="008266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618" w:rsidRDefault="008266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9EC" w:rsidRPr="00EE32FF" w:rsidRDefault="00B649EC" w:rsidP="00EE32FF">
    <w:pPr>
      <w:pStyle w:val="Header"/>
      <w:jc w:val="center"/>
      <w:rPr>
        <w:rFonts w:ascii="Arial" w:hAnsi="Arial" w:cs="Arial"/>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0" w15:restartNumberingAfterBreak="0">
    <w:nsid w:val="37742A6F"/>
    <w:multiLevelType w:val="hybridMultilevel"/>
    <w:tmpl w:val="346A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FD5BC1"/>
    <w:multiLevelType w:val="hybridMultilevel"/>
    <w:tmpl w:val="92901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4744FB"/>
    <w:multiLevelType w:val="hybridMultilevel"/>
    <w:tmpl w:val="39E2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AD6676"/>
    <w:multiLevelType w:val="hybridMultilevel"/>
    <w:tmpl w:val="0F12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
  </w:num>
  <w:num w:numId="4">
    <w:abstractNumId w:val="14"/>
  </w:num>
  <w:num w:numId="5">
    <w:abstractNumId w:val="0"/>
  </w:num>
  <w:num w:numId="6">
    <w:abstractNumId w:val="24"/>
  </w:num>
  <w:num w:numId="7">
    <w:abstractNumId w:val="5"/>
  </w:num>
  <w:num w:numId="8">
    <w:abstractNumId w:val="21"/>
  </w:num>
  <w:num w:numId="9">
    <w:abstractNumId w:val="22"/>
  </w:num>
  <w:num w:numId="10">
    <w:abstractNumId w:val="15"/>
  </w:num>
  <w:num w:numId="11">
    <w:abstractNumId w:val="1"/>
  </w:num>
  <w:num w:numId="12">
    <w:abstractNumId w:val="26"/>
  </w:num>
  <w:num w:numId="13">
    <w:abstractNumId w:val="3"/>
  </w:num>
  <w:num w:numId="14">
    <w:abstractNumId w:val="8"/>
  </w:num>
  <w:num w:numId="15">
    <w:abstractNumId w:val="11"/>
  </w:num>
  <w:num w:numId="16">
    <w:abstractNumId w:val="16"/>
  </w:num>
  <w:num w:numId="17">
    <w:abstractNumId w:val="6"/>
  </w:num>
  <w:num w:numId="18">
    <w:abstractNumId w:val="20"/>
  </w:num>
  <w:num w:numId="19">
    <w:abstractNumId w:val="19"/>
  </w:num>
  <w:num w:numId="20">
    <w:abstractNumId w:val="18"/>
  </w:num>
  <w:num w:numId="21">
    <w:abstractNumId w:val="13"/>
  </w:num>
  <w:num w:numId="22">
    <w:abstractNumId w:val="17"/>
  </w:num>
  <w:num w:numId="23">
    <w:abstractNumId w:val="4"/>
  </w:num>
  <w:num w:numId="24">
    <w:abstractNumId w:val="7"/>
  </w:num>
  <w:num w:numId="25">
    <w:abstractNumId w:val="25"/>
  </w:num>
  <w:num w:numId="26">
    <w:abstractNumId w:val="12"/>
  </w:num>
  <w:num w:numId="27">
    <w:abstractNumId w:val="27"/>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5F"/>
    <w:rsid w:val="000015A3"/>
    <w:rsid w:val="00003A60"/>
    <w:rsid w:val="00004C31"/>
    <w:rsid w:val="00004C8C"/>
    <w:rsid w:val="00006786"/>
    <w:rsid w:val="00006C49"/>
    <w:rsid w:val="000071C7"/>
    <w:rsid w:val="00007206"/>
    <w:rsid w:val="000101D9"/>
    <w:rsid w:val="000115BF"/>
    <w:rsid w:val="0001228A"/>
    <w:rsid w:val="00012BB3"/>
    <w:rsid w:val="00012D1B"/>
    <w:rsid w:val="00014D20"/>
    <w:rsid w:val="00015C96"/>
    <w:rsid w:val="000169D0"/>
    <w:rsid w:val="00016D42"/>
    <w:rsid w:val="00020890"/>
    <w:rsid w:val="00020FDB"/>
    <w:rsid w:val="000215C2"/>
    <w:rsid w:val="00023F7F"/>
    <w:rsid w:val="000263D1"/>
    <w:rsid w:val="00026A03"/>
    <w:rsid w:val="00031D9F"/>
    <w:rsid w:val="000348B1"/>
    <w:rsid w:val="00037F43"/>
    <w:rsid w:val="000402AF"/>
    <w:rsid w:val="000428AD"/>
    <w:rsid w:val="00042B0B"/>
    <w:rsid w:val="00043790"/>
    <w:rsid w:val="00044FFD"/>
    <w:rsid w:val="00046749"/>
    <w:rsid w:val="00046A4A"/>
    <w:rsid w:val="00046F4A"/>
    <w:rsid w:val="00047523"/>
    <w:rsid w:val="000475F2"/>
    <w:rsid w:val="00047E5D"/>
    <w:rsid w:val="00052380"/>
    <w:rsid w:val="0005298F"/>
    <w:rsid w:val="00053623"/>
    <w:rsid w:val="00053D52"/>
    <w:rsid w:val="00054020"/>
    <w:rsid w:val="000545DF"/>
    <w:rsid w:val="000559E0"/>
    <w:rsid w:val="00055EB6"/>
    <w:rsid w:val="0005733C"/>
    <w:rsid w:val="00057859"/>
    <w:rsid w:val="00060993"/>
    <w:rsid w:val="00061410"/>
    <w:rsid w:val="00061D42"/>
    <w:rsid w:val="000625C1"/>
    <w:rsid w:val="00063E3F"/>
    <w:rsid w:val="00065917"/>
    <w:rsid w:val="000673A5"/>
    <w:rsid w:val="00070620"/>
    <w:rsid w:val="00070EC3"/>
    <w:rsid w:val="00072520"/>
    <w:rsid w:val="000748A0"/>
    <w:rsid w:val="00077560"/>
    <w:rsid w:val="0008299A"/>
    <w:rsid w:val="00085977"/>
    <w:rsid w:val="00086CEF"/>
    <w:rsid w:val="000900EC"/>
    <w:rsid w:val="00090B56"/>
    <w:rsid w:val="00092EE3"/>
    <w:rsid w:val="0009319D"/>
    <w:rsid w:val="00093829"/>
    <w:rsid w:val="00093EE9"/>
    <w:rsid w:val="000974D5"/>
    <w:rsid w:val="000A29DE"/>
    <w:rsid w:val="000A2E19"/>
    <w:rsid w:val="000A41D2"/>
    <w:rsid w:val="000A5481"/>
    <w:rsid w:val="000A5922"/>
    <w:rsid w:val="000B086A"/>
    <w:rsid w:val="000B0E83"/>
    <w:rsid w:val="000B119B"/>
    <w:rsid w:val="000B30D8"/>
    <w:rsid w:val="000B4650"/>
    <w:rsid w:val="000B4844"/>
    <w:rsid w:val="000B5559"/>
    <w:rsid w:val="000B68D6"/>
    <w:rsid w:val="000C047D"/>
    <w:rsid w:val="000C08B4"/>
    <w:rsid w:val="000C4A95"/>
    <w:rsid w:val="000C52D8"/>
    <w:rsid w:val="000C5792"/>
    <w:rsid w:val="000C6B65"/>
    <w:rsid w:val="000C6CDD"/>
    <w:rsid w:val="000C6E4A"/>
    <w:rsid w:val="000C757E"/>
    <w:rsid w:val="000D00D3"/>
    <w:rsid w:val="000D08EB"/>
    <w:rsid w:val="000D0DF0"/>
    <w:rsid w:val="000D1672"/>
    <w:rsid w:val="000D3492"/>
    <w:rsid w:val="000D49AD"/>
    <w:rsid w:val="000D4E86"/>
    <w:rsid w:val="000E093A"/>
    <w:rsid w:val="000E0D63"/>
    <w:rsid w:val="000E122F"/>
    <w:rsid w:val="000E12ED"/>
    <w:rsid w:val="000E1760"/>
    <w:rsid w:val="000E3C9D"/>
    <w:rsid w:val="000E4C04"/>
    <w:rsid w:val="000E6C5B"/>
    <w:rsid w:val="000E6DAB"/>
    <w:rsid w:val="000E7048"/>
    <w:rsid w:val="000E7B1E"/>
    <w:rsid w:val="000F114D"/>
    <w:rsid w:val="000F309C"/>
    <w:rsid w:val="000F4CA8"/>
    <w:rsid w:val="000F58CA"/>
    <w:rsid w:val="000F6CC6"/>
    <w:rsid w:val="001013C2"/>
    <w:rsid w:val="00102162"/>
    <w:rsid w:val="00103DA7"/>
    <w:rsid w:val="001079CC"/>
    <w:rsid w:val="001129D2"/>
    <w:rsid w:val="0011351A"/>
    <w:rsid w:val="00113D31"/>
    <w:rsid w:val="0011578D"/>
    <w:rsid w:val="001161FE"/>
    <w:rsid w:val="00116CB0"/>
    <w:rsid w:val="00116F01"/>
    <w:rsid w:val="001202A7"/>
    <w:rsid w:val="00121C72"/>
    <w:rsid w:val="0012423D"/>
    <w:rsid w:val="00124DFA"/>
    <w:rsid w:val="00125EC6"/>
    <w:rsid w:val="0012660F"/>
    <w:rsid w:val="00126C7A"/>
    <w:rsid w:val="00126FD0"/>
    <w:rsid w:val="00131012"/>
    <w:rsid w:val="0013475A"/>
    <w:rsid w:val="00135F51"/>
    <w:rsid w:val="001364FE"/>
    <w:rsid w:val="0013726E"/>
    <w:rsid w:val="00137350"/>
    <w:rsid w:val="00137A6F"/>
    <w:rsid w:val="00141ACF"/>
    <w:rsid w:val="00143817"/>
    <w:rsid w:val="00143847"/>
    <w:rsid w:val="00143B3D"/>
    <w:rsid w:val="0014533D"/>
    <w:rsid w:val="00145D38"/>
    <w:rsid w:val="00145DCF"/>
    <w:rsid w:val="00153811"/>
    <w:rsid w:val="00153B5B"/>
    <w:rsid w:val="00153DFB"/>
    <w:rsid w:val="00154118"/>
    <w:rsid w:val="00154351"/>
    <w:rsid w:val="00154679"/>
    <w:rsid w:val="00155920"/>
    <w:rsid w:val="00155A60"/>
    <w:rsid w:val="00155F92"/>
    <w:rsid w:val="00156D10"/>
    <w:rsid w:val="00160863"/>
    <w:rsid w:val="001609A7"/>
    <w:rsid w:val="001609D9"/>
    <w:rsid w:val="00160B72"/>
    <w:rsid w:val="00161403"/>
    <w:rsid w:val="00161598"/>
    <w:rsid w:val="00161E92"/>
    <w:rsid w:val="0016244C"/>
    <w:rsid w:val="001627AD"/>
    <w:rsid w:val="00162893"/>
    <w:rsid w:val="00164C81"/>
    <w:rsid w:val="00165B49"/>
    <w:rsid w:val="00166B2A"/>
    <w:rsid w:val="00167163"/>
    <w:rsid w:val="00167A83"/>
    <w:rsid w:val="00167B13"/>
    <w:rsid w:val="001735A4"/>
    <w:rsid w:val="001752F7"/>
    <w:rsid w:val="0017781D"/>
    <w:rsid w:val="00177F7F"/>
    <w:rsid w:val="00180946"/>
    <w:rsid w:val="00183148"/>
    <w:rsid w:val="00183CAA"/>
    <w:rsid w:val="00184158"/>
    <w:rsid w:val="0018628F"/>
    <w:rsid w:val="001863BC"/>
    <w:rsid w:val="00191C3D"/>
    <w:rsid w:val="00192B65"/>
    <w:rsid w:val="00195933"/>
    <w:rsid w:val="001A1F22"/>
    <w:rsid w:val="001A3A2E"/>
    <w:rsid w:val="001A42B5"/>
    <w:rsid w:val="001A48F2"/>
    <w:rsid w:val="001A58AC"/>
    <w:rsid w:val="001A64D0"/>
    <w:rsid w:val="001A78FE"/>
    <w:rsid w:val="001B05B6"/>
    <w:rsid w:val="001B1AA2"/>
    <w:rsid w:val="001B30CE"/>
    <w:rsid w:val="001B5F7A"/>
    <w:rsid w:val="001B64EB"/>
    <w:rsid w:val="001B7E69"/>
    <w:rsid w:val="001C1650"/>
    <w:rsid w:val="001C22AE"/>
    <w:rsid w:val="001C2DED"/>
    <w:rsid w:val="001C4091"/>
    <w:rsid w:val="001C5B4D"/>
    <w:rsid w:val="001D0F44"/>
    <w:rsid w:val="001D28FD"/>
    <w:rsid w:val="001D2CF9"/>
    <w:rsid w:val="001D485C"/>
    <w:rsid w:val="001D48C1"/>
    <w:rsid w:val="001D519A"/>
    <w:rsid w:val="001E0F79"/>
    <w:rsid w:val="001E13ED"/>
    <w:rsid w:val="001E1AC6"/>
    <w:rsid w:val="001E2E89"/>
    <w:rsid w:val="001E3654"/>
    <w:rsid w:val="001E4A19"/>
    <w:rsid w:val="001E4C81"/>
    <w:rsid w:val="001E66FB"/>
    <w:rsid w:val="001E6E4E"/>
    <w:rsid w:val="001F00A7"/>
    <w:rsid w:val="001F126B"/>
    <w:rsid w:val="001F26DB"/>
    <w:rsid w:val="001F4E9D"/>
    <w:rsid w:val="001F7F5F"/>
    <w:rsid w:val="00200955"/>
    <w:rsid w:val="0020136C"/>
    <w:rsid w:val="00201AD8"/>
    <w:rsid w:val="00202D8A"/>
    <w:rsid w:val="0020440A"/>
    <w:rsid w:val="0020540B"/>
    <w:rsid w:val="002070A2"/>
    <w:rsid w:val="00207295"/>
    <w:rsid w:val="002072F0"/>
    <w:rsid w:val="00210A29"/>
    <w:rsid w:val="0021141A"/>
    <w:rsid w:val="0021195A"/>
    <w:rsid w:val="002125F4"/>
    <w:rsid w:val="00212C60"/>
    <w:rsid w:val="002139DC"/>
    <w:rsid w:val="002147C8"/>
    <w:rsid w:val="00214A59"/>
    <w:rsid w:val="00214EAF"/>
    <w:rsid w:val="002158D5"/>
    <w:rsid w:val="00216C37"/>
    <w:rsid w:val="00217DAB"/>
    <w:rsid w:val="00220344"/>
    <w:rsid w:val="00220389"/>
    <w:rsid w:val="00220D3A"/>
    <w:rsid w:val="00222001"/>
    <w:rsid w:val="00224D92"/>
    <w:rsid w:val="0022542A"/>
    <w:rsid w:val="00225663"/>
    <w:rsid w:val="00225D75"/>
    <w:rsid w:val="00226A09"/>
    <w:rsid w:val="0022766D"/>
    <w:rsid w:val="002329EA"/>
    <w:rsid w:val="00234132"/>
    <w:rsid w:val="00234D19"/>
    <w:rsid w:val="002352DF"/>
    <w:rsid w:val="002361E0"/>
    <w:rsid w:val="00242605"/>
    <w:rsid w:val="0024673E"/>
    <w:rsid w:val="002469E9"/>
    <w:rsid w:val="00247DE7"/>
    <w:rsid w:val="00254067"/>
    <w:rsid w:val="002542E5"/>
    <w:rsid w:val="00254797"/>
    <w:rsid w:val="00254E3E"/>
    <w:rsid w:val="002555AB"/>
    <w:rsid w:val="00255D30"/>
    <w:rsid w:val="00256E81"/>
    <w:rsid w:val="00257029"/>
    <w:rsid w:val="00257A47"/>
    <w:rsid w:val="00260001"/>
    <w:rsid w:val="00263CB4"/>
    <w:rsid w:val="00263FCF"/>
    <w:rsid w:val="002641CC"/>
    <w:rsid w:val="00265966"/>
    <w:rsid w:val="0027025A"/>
    <w:rsid w:val="00270B08"/>
    <w:rsid w:val="00271FB4"/>
    <w:rsid w:val="00273BE9"/>
    <w:rsid w:val="002740B8"/>
    <w:rsid w:val="00276F77"/>
    <w:rsid w:val="00277539"/>
    <w:rsid w:val="00277A4C"/>
    <w:rsid w:val="0028119A"/>
    <w:rsid w:val="00281925"/>
    <w:rsid w:val="00281EB6"/>
    <w:rsid w:val="002838D0"/>
    <w:rsid w:val="00284155"/>
    <w:rsid w:val="00284AE1"/>
    <w:rsid w:val="00287F1A"/>
    <w:rsid w:val="00291CE9"/>
    <w:rsid w:val="00293CBB"/>
    <w:rsid w:val="00294123"/>
    <w:rsid w:val="00294F20"/>
    <w:rsid w:val="00295A55"/>
    <w:rsid w:val="00295CB1"/>
    <w:rsid w:val="00295EA3"/>
    <w:rsid w:val="002963D7"/>
    <w:rsid w:val="00296D06"/>
    <w:rsid w:val="00297D32"/>
    <w:rsid w:val="002A1D6E"/>
    <w:rsid w:val="002A3308"/>
    <w:rsid w:val="002A5968"/>
    <w:rsid w:val="002A69FB"/>
    <w:rsid w:val="002B0C42"/>
    <w:rsid w:val="002B21EE"/>
    <w:rsid w:val="002B282C"/>
    <w:rsid w:val="002B545A"/>
    <w:rsid w:val="002B62B2"/>
    <w:rsid w:val="002B69FC"/>
    <w:rsid w:val="002B7E39"/>
    <w:rsid w:val="002C26F0"/>
    <w:rsid w:val="002C3109"/>
    <w:rsid w:val="002C3DA5"/>
    <w:rsid w:val="002C474E"/>
    <w:rsid w:val="002C4DB6"/>
    <w:rsid w:val="002C667E"/>
    <w:rsid w:val="002C6A06"/>
    <w:rsid w:val="002C72FA"/>
    <w:rsid w:val="002C7864"/>
    <w:rsid w:val="002D0602"/>
    <w:rsid w:val="002D0BD8"/>
    <w:rsid w:val="002D4736"/>
    <w:rsid w:val="002D491A"/>
    <w:rsid w:val="002D5E29"/>
    <w:rsid w:val="002D7EC5"/>
    <w:rsid w:val="002E088B"/>
    <w:rsid w:val="002E1092"/>
    <w:rsid w:val="002E1B08"/>
    <w:rsid w:val="002E1B66"/>
    <w:rsid w:val="002E2A34"/>
    <w:rsid w:val="002E37B4"/>
    <w:rsid w:val="002E3985"/>
    <w:rsid w:val="002E55B5"/>
    <w:rsid w:val="002E59F4"/>
    <w:rsid w:val="002E67C3"/>
    <w:rsid w:val="002E6959"/>
    <w:rsid w:val="002F0FD2"/>
    <w:rsid w:val="002F18B6"/>
    <w:rsid w:val="002F1918"/>
    <w:rsid w:val="002F2784"/>
    <w:rsid w:val="002F437B"/>
    <w:rsid w:val="002F44DD"/>
    <w:rsid w:val="002F4F19"/>
    <w:rsid w:val="002F5D29"/>
    <w:rsid w:val="002F6EE5"/>
    <w:rsid w:val="002F72D7"/>
    <w:rsid w:val="002F781D"/>
    <w:rsid w:val="00300F62"/>
    <w:rsid w:val="003010CA"/>
    <w:rsid w:val="0030200A"/>
    <w:rsid w:val="003032E2"/>
    <w:rsid w:val="00303AE8"/>
    <w:rsid w:val="00303C2E"/>
    <w:rsid w:val="0030406F"/>
    <w:rsid w:val="00304E98"/>
    <w:rsid w:val="003050B5"/>
    <w:rsid w:val="0030517A"/>
    <w:rsid w:val="0030585F"/>
    <w:rsid w:val="00306462"/>
    <w:rsid w:val="00311615"/>
    <w:rsid w:val="00312E59"/>
    <w:rsid w:val="00313143"/>
    <w:rsid w:val="0031384F"/>
    <w:rsid w:val="003153CA"/>
    <w:rsid w:val="0031576A"/>
    <w:rsid w:val="00315ACA"/>
    <w:rsid w:val="0031614E"/>
    <w:rsid w:val="003168DF"/>
    <w:rsid w:val="003169F8"/>
    <w:rsid w:val="003172F1"/>
    <w:rsid w:val="00317DD7"/>
    <w:rsid w:val="00322584"/>
    <w:rsid w:val="00324782"/>
    <w:rsid w:val="003247F7"/>
    <w:rsid w:val="00326167"/>
    <w:rsid w:val="003264D5"/>
    <w:rsid w:val="003270F6"/>
    <w:rsid w:val="00327BD8"/>
    <w:rsid w:val="00330DC5"/>
    <w:rsid w:val="00333AB2"/>
    <w:rsid w:val="00333E5D"/>
    <w:rsid w:val="003342EB"/>
    <w:rsid w:val="00334CCE"/>
    <w:rsid w:val="0033669B"/>
    <w:rsid w:val="00336AAF"/>
    <w:rsid w:val="00337F26"/>
    <w:rsid w:val="00342FB5"/>
    <w:rsid w:val="00343A7F"/>
    <w:rsid w:val="003473E6"/>
    <w:rsid w:val="00351308"/>
    <w:rsid w:val="00351F41"/>
    <w:rsid w:val="00352BB6"/>
    <w:rsid w:val="003530AF"/>
    <w:rsid w:val="00353230"/>
    <w:rsid w:val="00354214"/>
    <w:rsid w:val="003547B8"/>
    <w:rsid w:val="00354E28"/>
    <w:rsid w:val="00360CFB"/>
    <w:rsid w:val="00361639"/>
    <w:rsid w:val="0036321F"/>
    <w:rsid w:val="003656A8"/>
    <w:rsid w:val="00366367"/>
    <w:rsid w:val="00367472"/>
    <w:rsid w:val="0037046B"/>
    <w:rsid w:val="003706AB"/>
    <w:rsid w:val="00371ACC"/>
    <w:rsid w:val="003725DD"/>
    <w:rsid w:val="00372E7D"/>
    <w:rsid w:val="00373DC4"/>
    <w:rsid w:val="00373F54"/>
    <w:rsid w:val="0037435E"/>
    <w:rsid w:val="00374F71"/>
    <w:rsid w:val="003762BA"/>
    <w:rsid w:val="0037653A"/>
    <w:rsid w:val="00376C6E"/>
    <w:rsid w:val="003770C0"/>
    <w:rsid w:val="00380C89"/>
    <w:rsid w:val="003818A5"/>
    <w:rsid w:val="00381A2E"/>
    <w:rsid w:val="00382806"/>
    <w:rsid w:val="00384B35"/>
    <w:rsid w:val="00384DCD"/>
    <w:rsid w:val="00384FF5"/>
    <w:rsid w:val="003868C8"/>
    <w:rsid w:val="00386B8D"/>
    <w:rsid w:val="003936D9"/>
    <w:rsid w:val="00393C03"/>
    <w:rsid w:val="00395BE9"/>
    <w:rsid w:val="00396F6F"/>
    <w:rsid w:val="003972FD"/>
    <w:rsid w:val="00397994"/>
    <w:rsid w:val="003A2779"/>
    <w:rsid w:val="003A35F7"/>
    <w:rsid w:val="003A3638"/>
    <w:rsid w:val="003A4EC1"/>
    <w:rsid w:val="003A5041"/>
    <w:rsid w:val="003A5DF4"/>
    <w:rsid w:val="003A5EB6"/>
    <w:rsid w:val="003A6387"/>
    <w:rsid w:val="003A774C"/>
    <w:rsid w:val="003A7C2F"/>
    <w:rsid w:val="003B216E"/>
    <w:rsid w:val="003B459A"/>
    <w:rsid w:val="003B56A8"/>
    <w:rsid w:val="003B6472"/>
    <w:rsid w:val="003C10DE"/>
    <w:rsid w:val="003C20D9"/>
    <w:rsid w:val="003C31B5"/>
    <w:rsid w:val="003C37DC"/>
    <w:rsid w:val="003C39FF"/>
    <w:rsid w:val="003C5473"/>
    <w:rsid w:val="003C5D3A"/>
    <w:rsid w:val="003C7366"/>
    <w:rsid w:val="003C7522"/>
    <w:rsid w:val="003D18B1"/>
    <w:rsid w:val="003D1DEA"/>
    <w:rsid w:val="003D1F94"/>
    <w:rsid w:val="003D28A4"/>
    <w:rsid w:val="003D2C9C"/>
    <w:rsid w:val="003D442C"/>
    <w:rsid w:val="003D71CB"/>
    <w:rsid w:val="003E08C3"/>
    <w:rsid w:val="003E0BC4"/>
    <w:rsid w:val="003E1C14"/>
    <w:rsid w:val="003E3C68"/>
    <w:rsid w:val="003E76DF"/>
    <w:rsid w:val="003E7871"/>
    <w:rsid w:val="003F15A7"/>
    <w:rsid w:val="003F16E9"/>
    <w:rsid w:val="003F29D9"/>
    <w:rsid w:val="003F3401"/>
    <w:rsid w:val="003F5FA5"/>
    <w:rsid w:val="003F7868"/>
    <w:rsid w:val="004009A6"/>
    <w:rsid w:val="00402073"/>
    <w:rsid w:val="004024F4"/>
    <w:rsid w:val="0040357C"/>
    <w:rsid w:val="0040397B"/>
    <w:rsid w:val="00406118"/>
    <w:rsid w:val="00406C67"/>
    <w:rsid w:val="00410BAB"/>
    <w:rsid w:val="00410F37"/>
    <w:rsid w:val="004125AC"/>
    <w:rsid w:val="0041276E"/>
    <w:rsid w:val="0041364F"/>
    <w:rsid w:val="00413858"/>
    <w:rsid w:val="00414089"/>
    <w:rsid w:val="00414202"/>
    <w:rsid w:val="00414310"/>
    <w:rsid w:val="004146D1"/>
    <w:rsid w:val="00416CA7"/>
    <w:rsid w:val="00420763"/>
    <w:rsid w:val="00421493"/>
    <w:rsid w:val="00421680"/>
    <w:rsid w:val="0042333D"/>
    <w:rsid w:val="00424D52"/>
    <w:rsid w:val="0043202C"/>
    <w:rsid w:val="00433C14"/>
    <w:rsid w:val="00433EE9"/>
    <w:rsid w:val="00433F4F"/>
    <w:rsid w:val="004342B4"/>
    <w:rsid w:val="00435300"/>
    <w:rsid w:val="00435F00"/>
    <w:rsid w:val="00441793"/>
    <w:rsid w:val="00442BD2"/>
    <w:rsid w:val="00443149"/>
    <w:rsid w:val="004452AF"/>
    <w:rsid w:val="00446142"/>
    <w:rsid w:val="00450AC6"/>
    <w:rsid w:val="004522F1"/>
    <w:rsid w:val="00452A3A"/>
    <w:rsid w:val="00452E62"/>
    <w:rsid w:val="0045411B"/>
    <w:rsid w:val="00454D4D"/>
    <w:rsid w:val="0045558A"/>
    <w:rsid w:val="00456B77"/>
    <w:rsid w:val="00457B87"/>
    <w:rsid w:val="004618BD"/>
    <w:rsid w:val="00461D6D"/>
    <w:rsid w:val="0046693F"/>
    <w:rsid w:val="004669AB"/>
    <w:rsid w:val="00467034"/>
    <w:rsid w:val="00471C1C"/>
    <w:rsid w:val="004729F7"/>
    <w:rsid w:val="00472F58"/>
    <w:rsid w:val="004730BF"/>
    <w:rsid w:val="004737B0"/>
    <w:rsid w:val="00474218"/>
    <w:rsid w:val="00474D3F"/>
    <w:rsid w:val="00475B71"/>
    <w:rsid w:val="0047619D"/>
    <w:rsid w:val="0047694A"/>
    <w:rsid w:val="00476DB7"/>
    <w:rsid w:val="004802AD"/>
    <w:rsid w:val="00480887"/>
    <w:rsid w:val="00480CA5"/>
    <w:rsid w:val="004913EC"/>
    <w:rsid w:val="004916B6"/>
    <w:rsid w:val="004923B7"/>
    <w:rsid w:val="0049496B"/>
    <w:rsid w:val="00495BA9"/>
    <w:rsid w:val="00496901"/>
    <w:rsid w:val="00497DBF"/>
    <w:rsid w:val="004A1DC3"/>
    <w:rsid w:val="004A42CD"/>
    <w:rsid w:val="004A5A29"/>
    <w:rsid w:val="004B20A4"/>
    <w:rsid w:val="004B40C0"/>
    <w:rsid w:val="004B49A4"/>
    <w:rsid w:val="004B558A"/>
    <w:rsid w:val="004B5D89"/>
    <w:rsid w:val="004B7DBC"/>
    <w:rsid w:val="004C0DA3"/>
    <w:rsid w:val="004C13B1"/>
    <w:rsid w:val="004C1EB9"/>
    <w:rsid w:val="004C398D"/>
    <w:rsid w:val="004C5624"/>
    <w:rsid w:val="004C5872"/>
    <w:rsid w:val="004D1968"/>
    <w:rsid w:val="004D1D08"/>
    <w:rsid w:val="004D20D0"/>
    <w:rsid w:val="004D330B"/>
    <w:rsid w:val="004D33B2"/>
    <w:rsid w:val="004D385B"/>
    <w:rsid w:val="004D5CEA"/>
    <w:rsid w:val="004D5E9F"/>
    <w:rsid w:val="004D7CC9"/>
    <w:rsid w:val="004D7D86"/>
    <w:rsid w:val="004E22D9"/>
    <w:rsid w:val="004E2C29"/>
    <w:rsid w:val="004E347F"/>
    <w:rsid w:val="004E4E5D"/>
    <w:rsid w:val="004E67C2"/>
    <w:rsid w:val="004E6F66"/>
    <w:rsid w:val="004E75D7"/>
    <w:rsid w:val="004F2015"/>
    <w:rsid w:val="004F2153"/>
    <w:rsid w:val="004F221C"/>
    <w:rsid w:val="004F7FF1"/>
    <w:rsid w:val="00500191"/>
    <w:rsid w:val="0050047C"/>
    <w:rsid w:val="0050115C"/>
    <w:rsid w:val="00501993"/>
    <w:rsid w:val="00501D97"/>
    <w:rsid w:val="00503EB1"/>
    <w:rsid w:val="005041CC"/>
    <w:rsid w:val="00505B45"/>
    <w:rsid w:val="005079E0"/>
    <w:rsid w:val="00510B1F"/>
    <w:rsid w:val="00510F55"/>
    <w:rsid w:val="00512A76"/>
    <w:rsid w:val="005223E7"/>
    <w:rsid w:val="005228F6"/>
    <w:rsid w:val="00522E75"/>
    <w:rsid w:val="005237AC"/>
    <w:rsid w:val="00523E15"/>
    <w:rsid w:val="00524342"/>
    <w:rsid w:val="00526BF6"/>
    <w:rsid w:val="005303ED"/>
    <w:rsid w:val="0053121C"/>
    <w:rsid w:val="00532BF5"/>
    <w:rsid w:val="00532FB2"/>
    <w:rsid w:val="005333B5"/>
    <w:rsid w:val="005345D6"/>
    <w:rsid w:val="00535B11"/>
    <w:rsid w:val="005371D0"/>
    <w:rsid w:val="00541268"/>
    <w:rsid w:val="005415A4"/>
    <w:rsid w:val="00541C3D"/>
    <w:rsid w:val="005420B2"/>
    <w:rsid w:val="00542B8E"/>
    <w:rsid w:val="00543B97"/>
    <w:rsid w:val="0054444E"/>
    <w:rsid w:val="0055109E"/>
    <w:rsid w:val="005525BB"/>
    <w:rsid w:val="00557FB4"/>
    <w:rsid w:val="00561847"/>
    <w:rsid w:val="005623F5"/>
    <w:rsid w:val="00562540"/>
    <w:rsid w:val="005642C4"/>
    <w:rsid w:val="005645B5"/>
    <w:rsid w:val="00565A77"/>
    <w:rsid w:val="00565C4E"/>
    <w:rsid w:val="00565E7C"/>
    <w:rsid w:val="00567E42"/>
    <w:rsid w:val="00570D99"/>
    <w:rsid w:val="00570EE8"/>
    <w:rsid w:val="005716E4"/>
    <w:rsid w:val="0057191A"/>
    <w:rsid w:val="0057236C"/>
    <w:rsid w:val="0057512A"/>
    <w:rsid w:val="00577677"/>
    <w:rsid w:val="0058031A"/>
    <w:rsid w:val="00580653"/>
    <w:rsid w:val="0058213D"/>
    <w:rsid w:val="00582FA7"/>
    <w:rsid w:val="0058416C"/>
    <w:rsid w:val="0058488F"/>
    <w:rsid w:val="00584C66"/>
    <w:rsid w:val="00584C87"/>
    <w:rsid w:val="0058529A"/>
    <w:rsid w:val="00585645"/>
    <w:rsid w:val="00585C14"/>
    <w:rsid w:val="0058617D"/>
    <w:rsid w:val="0058703F"/>
    <w:rsid w:val="0058712F"/>
    <w:rsid w:val="00587356"/>
    <w:rsid w:val="00592375"/>
    <w:rsid w:val="00592F8A"/>
    <w:rsid w:val="005940D3"/>
    <w:rsid w:val="005954C9"/>
    <w:rsid w:val="00595DDB"/>
    <w:rsid w:val="0059706E"/>
    <w:rsid w:val="005975F2"/>
    <w:rsid w:val="005A0C00"/>
    <w:rsid w:val="005A1C6A"/>
    <w:rsid w:val="005A3E1C"/>
    <w:rsid w:val="005A7405"/>
    <w:rsid w:val="005B35F6"/>
    <w:rsid w:val="005B37B4"/>
    <w:rsid w:val="005B382E"/>
    <w:rsid w:val="005B4E1C"/>
    <w:rsid w:val="005B5065"/>
    <w:rsid w:val="005B5922"/>
    <w:rsid w:val="005B5BAB"/>
    <w:rsid w:val="005B6F23"/>
    <w:rsid w:val="005C0274"/>
    <w:rsid w:val="005C350F"/>
    <w:rsid w:val="005C3B60"/>
    <w:rsid w:val="005C44DC"/>
    <w:rsid w:val="005C4AE1"/>
    <w:rsid w:val="005C4B2F"/>
    <w:rsid w:val="005C5465"/>
    <w:rsid w:val="005C6533"/>
    <w:rsid w:val="005D0412"/>
    <w:rsid w:val="005D116B"/>
    <w:rsid w:val="005D19BD"/>
    <w:rsid w:val="005D6E7F"/>
    <w:rsid w:val="005D7632"/>
    <w:rsid w:val="005D7F7B"/>
    <w:rsid w:val="005D7F96"/>
    <w:rsid w:val="005E0AD3"/>
    <w:rsid w:val="005E146A"/>
    <w:rsid w:val="005E1665"/>
    <w:rsid w:val="005E1A4E"/>
    <w:rsid w:val="005E445C"/>
    <w:rsid w:val="005E4F8E"/>
    <w:rsid w:val="005E58BB"/>
    <w:rsid w:val="005E7D03"/>
    <w:rsid w:val="005E7E24"/>
    <w:rsid w:val="005F01A2"/>
    <w:rsid w:val="005F09A8"/>
    <w:rsid w:val="005F117C"/>
    <w:rsid w:val="005F1272"/>
    <w:rsid w:val="005F1A7D"/>
    <w:rsid w:val="005F2206"/>
    <w:rsid w:val="005F3D88"/>
    <w:rsid w:val="005F4169"/>
    <w:rsid w:val="005F4764"/>
    <w:rsid w:val="005F7A40"/>
    <w:rsid w:val="0060454E"/>
    <w:rsid w:val="00607E51"/>
    <w:rsid w:val="00610AC3"/>
    <w:rsid w:val="00611680"/>
    <w:rsid w:val="00614425"/>
    <w:rsid w:val="00614F8B"/>
    <w:rsid w:val="006156DF"/>
    <w:rsid w:val="00615F21"/>
    <w:rsid w:val="00617C31"/>
    <w:rsid w:val="00617C78"/>
    <w:rsid w:val="006216D4"/>
    <w:rsid w:val="006218BC"/>
    <w:rsid w:val="0062284C"/>
    <w:rsid w:val="006233BD"/>
    <w:rsid w:val="00624063"/>
    <w:rsid w:val="00625E7F"/>
    <w:rsid w:val="00627361"/>
    <w:rsid w:val="00627417"/>
    <w:rsid w:val="00627AFA"/>
    <w:rsid w:val="006300C2"/>
    <w:rsid w:val="00630249"/>
    <w:rsid w:val="00633348"/>
    <w:rsid w:val="0063421F"/>
    <w:rsid w:val="0063491A"/>
    <w:rsid w:val="00634DFE"/>
    <w:rsid w:val="006357E6"/>
    <w:rsid w:val="006357F8"/>
    <w:rsid w:val="0063620B"/>
    <w:rsid w:val="0064272F"/>
    <w:rsid w:val="00642B18"/>
    <w:rsid w:val="006431CF"/>
    <w:rsid w:val="00643D4D"/>
    <w:rsid w:val="006449DF"/>
    <w:rsid w:val="0064504A"/>
    <w:rsid w:val="00645242"/>
    <w:rsid w:val="00645373"/>
    <w:rsid w:val="0064554D"/>
    <w:rsid w:val="0064588B"/>
    <w:rsid w:val="0064631E"/>
    <w:rsid w:val="00655772"/>
    <w:rsid w:val="006610CB"/>
    <w:rsid w:val="00661521"/>
    <w:rsid w:val="00662392"/>
    <w:rsid w:val="0066340C"/>
    <w:rsid w:val="006677FA"/>
    <w:rsid w:val="00667D5C"/>
    <w:rsid w:val="00670567"/>
    <w:rsid w:val="0067110D"/>
    <w:rsid w:val="006711D6"/>
    <w:rsid w:val="00672509"/>
    <w:rsid w:val="00672DDA"/>
    <w:rsid w:val="00673453"/>
    <w:rsid w:val="0067567C"/>
    <w:rsid w:val="00676721"/>
    <w:rsid w:val="00676E04"/>
    <w:rsid w:val="006773AA"/>
    <w:rsid w:val="006801D6"/>
    <w:rsid w:val="006832AB"/>
    <w:rsid w:val="006856B5"/>
    <w:rsid w:val="00685DA1"/>
    <w:rsid w:val="006862E3"/>
    <w:rsid w:val="00686730"/>
    <w:rsid w:val="00687B3D"/>
    <w:rsid w:val="00690286"/>
    <w:rsid w:val="006903CB"/>
    <w:rsid w:val="006911F5"/>
    <w:rsid w:val="00693B2C"/>
    <w:rsid w:val="00697145"/>
    <w:rsid w:val="00697ED1"/>
    <w:rsid w:val="006A123D"/>
    <w:rsid w:val="006A1B5D"/>
    <w:rsid w:val="006A2475"/>
    <w:rsid w:val="006A4D5B"/>
    <w:rsid w:val="006A5C42"/>
    <w:rsid w:val="006A72F5"/>
    <w:rsid w:val="006A7426"/>
    <w:rsid w:val="006A7DEE"/>
    <w:rsid w:val="006B0477"/>
    <w:rsid w:val="006B28D6"/>
    <w:rsid w:val="006B36F7"/>
    <w:rsid w:val="006B43B2"/>
    <w:rsid w:val="006B7503"/>
    <w:rsid w:val="006C0141"/>
    <w:rsid w:val="006C0689"/>
    <w:rsid w:val="006C0E11"/>
    <w:rsid w:val="006C11E2"/>
    <w:rsid w:val="006C1254"/>
    <w:rsid w:val="006C1E0A"/>
    <w:rsid w:val="006C47A5"/>
    <w:rsid w:val="006C510B"/>
    <w:rsid w:val="006C7501"/>
    <w:rsid w:val="006D230D"/>
    <w:rsid w:val="006D2508"/>
    <w:rsid w:val="006D2643"/>
    <w:rsid w:val="006D27EF"/>
    <w:rsid w:val="006D3366"/>
    <w:rsid w:val="006D3B49"/>
    <w:rsid w:val="006D3C94"/>
    <w:rsid w:val="006D40BB"/>
    <w:rsid w:val="006D470D"/>
    <w:rsid w:val="006D64A6"/>
    <w:rsid w:val="006D6D6F"/>
    <w:rsid w:val="006D7AC3"/>
    <w:rsid w:val="006E0B6A"/>
    <w:rsid w:val="006E0D59"/>
    <w:rsid w:val="006E1111"/>
    <w:rsid w:val="006E1B19"/>
    <w:rsid w:val="006E1E0E"/>
    <w:rsid w:val="006E30F4"/>
    <w:rsid w:val="006E5770"/>
    <w:rsid w:val="006F03C5"/>
    <w:rsid w:val="006F0664"/>
    <w:rsid w:val="006F1135"/>
    <w:rsid w:val="006F13EF"/>
    <w:rsid w:val="006F1F72"/>
    <w:rsid w:val="006F2AF9"/>
    <w:rsid w:val="006F4751"/>
    <w:rsid w:val="00700AD5"/>
    <w:rsid w:val="00700F5E"/>
    <w:rsid w:val="00702566"/>
    <w:rsid w:val="0070370A"/>
    <w:rsid w:val="00706447"/>
    <w:rsid w:val="00707783"/>
    <w:rsid w:val="007103EE"/>
    <w:rsid w:val="00711414"/>
    <w:rsid w:val="0071273F"/>
    <w:rsid w:val="00713935"/>
    <w:rsid w:val="00714439"/>
    <w:rsid w:val="00715E82"/>
    <w:rsid w:val="0071638A"/>
    <w:rsid w:val="00716D98"/>
    <w:rsid w:val="00717A86"/>
    <w:rsid w:val="00720057"/>
    <w:rsid w:val="0072058C"/>
    <w:rsid w:val="00720A78"/>
    <w:rsid w:val="00721BB3"/>
    <w:rsid w:val="0072245A"/>
    <w:rsid w:val="007229C4"/>
    <w:rsid w:val="00722E63"/>
    <w:rsid w:val="00724CCE"/>
    <w:rsid w:val="00725170"/>
    <w:rsid w:val="0072747B"/>
    <w:rsid w:val="00727F92"/>
    <w:rsid w:val="00731BDB"/>
    <w:rsid w:val="00731CDA"/>
    <w:rsid w:val="007320C1"/>
    <w:rsid w:val="007326EC"/>
    <w:rsid w:val="00732AC7"/>
    <w:rsid w:val="00733815"/>
    <w:rsid w:val="007344B5"/>
    <w:rsid w:val="00734B4C"/>
    <w:rsid w:val="007352BC"/>
    <w:rsid w:val="007355E1"/>
    <w:rsid w:val="00736912"/>
    <w:rsid w:val="007375CF"/>
    <w:rsid w:val="007377C5"/>
    <w:rsid w:val="00741541"/>
    <w:rsid w:val="00742137"/>
    <w:rsid w:val="00744770"/>
    <w:rsid w:val="007447B2"/>
    <w:rsid w:val="00744F69"/>
    <w:rsid w:val="0074585F"/>
    <w:rsid w:val="00745EFC"/>
    <w:rsid w:val="007463B6"/>
    <w:rsid w:val="007476EB"/>
    <w:rsid w:val="00747F0D"/>
    <w:rsid w:val="00750620"/>
    <w:rsid w:val="0075123F"/>
    <w:rsid w:val="00751DCE"/>
    <w:rsid w:val="00754707"/>
    <w:rsid w:val="00754B75"/>
    <w:rsid w:val="00754D4C"/>
    <w:rsid w:val="00755AAA"/>
    <w:rsid w:val="00755D42"/>
    <w:rsid w:val="00756FD5"/>
    <w:rsid w:val="00757750"/>
    <w:rsid w:val="00757C90"/>
    <w:rsid w:val="00762B14"/>
    <w:rsid w:val="007637E7"/>
    <w:rsid w:val="007646F6"/>
    <w:rsid w:val="00765CE9"/>
    <w:rsid w:val="00767749"/>
    <w:rsid w:val="007710D0"/>
    <w:rsid w:val="007730A7"/>
    <w:rsid w:val="00773148"/>
    <w:rsid w:val="00775740"/>
    <w:rsid w:val="0077742F"/>
    <w:rsid w:val="007802F3"/>
    <w:rsid w:val="00783664"/>
    <w:rsid w:val="0078392D"/>
    <w:rsid w:val="00785A3B"/>
    <w:rsid w:val="00786631"/>
    <w:rsid w:val="00786A47"/>
    <w:rsid w:val="007906DB"/>
    <w:rsid w:val="007925C8"/>
    <w:rsid w:val="00794D06"/>
    <w:rsid w:val="00795604"/>
    <w:rsid w:val="00796204"/>
    <w:rsid w:val="00796B5A"/>
    <w:rsid w:val="00797A23"/>
    <w:rsid w:val="007A0061"/>
    <w:rsid w:val="007A108D"/>
    <w:rsid w:val="007A20D5"/>
    <w:rsid w:val="007A4A0E"/>
    <w:rsid w:val="007A5391"/>
    <w:rsid w:val="007A589E"/>
    <w:rsid w:val="007A6CC0"/>
    <w:rsid w:val="007B095F"/>
    <w:rsid w:val="007B0C55"/>
    <w:rsid w:val="007B172E"/>
    <w:rsid w:val="007B1843"/>
    <w:rsid w:val="007B2295"/>
    <w:rsid w:val="007B333F"/>
    <w:rsid w:val="007B6124"/>
    <w:rsid w:val="007B6645"/>
    <w:rsid w:val="007B78C2"/>
    <w:rsid w:val="007B7934"/>
    <w:rsid w:val="007C041B"/>
    <w:rsid w:val="007C24A5"/>
    <w:rsid w:val="007C30B5"/>
    <w:rsid w:val="007C53DE"/>
    <w:rsid w:val="007C6519"/>
    <w:rsid w:val="007C692F"/>
    <w:rsid w:val="007D3E2D"/>
    <w:rsid w:val="007D5041"/>
    <w:rsid w:val="007D687A"/>
    <w:rsid w:val="007D742C"/>
    <w:rsid w:val="007D79C7"/>
    <w:rsid w:val="007E122F"/>
    <w:rsid w:val="007E1F20"/>
    <w:rsid w:val="007E26DC"/>
    <w:rsid w:val="007E3BA2"/>
    <w:rsid w:val="007E4791"/>
    <w:rsid w:val="007E4E58"/>
    <w:rsid w:val="007E51AF"/>
    <w:rsid w:val="007E5A78"/>
    <w:rsid w:val="007E67AF"/>
    <w:rsid w:val="007F018C"/>
    <w:rsid w:val="007F148C"/>
    <w:rsid w:val="007F5457"/>
    <w:rsid w:val="007F5AB1"/>
    <w:rsid w:val="007F5FF7"/>
    <w:rsid w:val="00800047"/>
    <w:rsid w:val="00800514"/>
    <w:rsid w:val="008030BC"/>
    <w:rsid w:val="008065B7"/>
    <w:rsid w:val="008068E2"/>
    <w:rsid w:val="00807087"/>
    <w:rsid w:val="00807592"/>
    <w:rsid w:val="0080767B"/>
    <w:rsid w:val="008078EB"/>
    <w:rsid w:val="00810811"/>
    <w:rsid w:val="00810A11"/>
    <w:rsid w:val="00810CE4"/>
    <w:rsid w:val="00811F38"/>
    <w:rsid w:val="00812B9F"/>
    <w:rsid w:val="0081326C"/>
    <w:rsid w:val="008147D7"/>
    <w:rsid w:val="00817DA9"/>
    <w:rsid w:val="00820D48"/>
    <w:rsid w:val="00820DDF"/>
    <w:rsid w:val="0082551A"/>
    <w:rsid w:val="00825A0F"/>
    <w:rsid w:val="00826618"/>
    <w:rsid w:val="00831A3E"/>
    <w:rsid w:val="008323C6"/>
    <w:rsid w:val="008326A2"/>
    <w:rsid w:val="0083310F"/>
    <w:rsid w:val="00833F1E"/>
    <w:rsid w:val="008342D9"/>
    <w:rsid w:val="00834F92"/>
    <w:rsid w:val="00836EF9"/>
    <w:rsid w:val="00836FDE"/>
    <w:rsid w:val="00842131"/>
    <w:rsid w:val="00843E0F"/>
    <w:rsid w:val="008444AE"/>
    <w:rsid w:val="00852B37"/>
    <w:rsid w:val="00852E04"/>
    <w:rsid w:val="0085314F"/>
    <w:rsid w:val="00854B92"/>
    <w:rsid w:val="00855923"/>
    <w:rsid w:val="00860E19"/>
    <w:rsid w:val="00861428"/>
    <w:rsid w:val="00861D4B"/>
    <w:rsid w:val="008624D2"/>
    <w:rsid w:val="008625D2"/>
    <w:rsid w:val="0086764C"/>
    <w:rsid w:val="00871C56"/>
    <w:rsid w:val="00872100"/>
    <w:rsid w:val="008724CA"/>
    <w:rsid w:val="00872880"/>
    <w:rsid w:val="008773BC"/>
    <w:rsid w:val="00877593"/>
    <w:rsid w:val="00877BAE"/>
    <w:rsid w:val="00882DD3"/>
    <w:rsid w:val="00883315"/>
    <w:rsid w:val="00883813"/>
    <w:rsid w:val="00884E88"/>
    <w:rsid w:val="00885065"/>
    <w:rsid w:val="0088781C"/>
    <w:rsid w:val="00887D73"/>
    <w:rsid w:val="00890850"/>
    <w:rsid w:val="008908B7"/>
    <w:rsid w:val="00891F94"/>
    <w:rsid w:val="0089287B"/>
    <w:rsid w:val="0089333D"/>
    <w:rsid w:val="008935D6"/>
    <w:rsid w:val="008947FF"/>
    <w:rsid w:val="00897F60"/>
    <w:rsid w:val="008A089F"/>
    <w:rsid w:val="008A3385"/>
    <w:rsid w:val="008A3D49"/>
    <w:rsid w:val="008A6F2A"/>
    <w:rsid w:val="008A71BE"/>
    <w:rsid w:val="008A75F0"/>
    <w:rsid w:val="008B164A"/>
    <w:rsid w:val="008B1D8C"/>
    <w:rsid w:val="008B40CE"/>
    <w:rsid w:val="008B4D9C"/>
    <w:rsid w:val="008B5F8E"/>
    <w:rsid w:val="008B6447"/>
    <w:rsid w:val="008B6DE3"/>
    <w:rsid w:val="008C00F3"/>
    <w:rsid w:val="008C0FFF"/>
    <w:rsid w:val="008C1D42"/>
    <w:rsid w:val="008C1E9E"/>
    <w:rsid w:val="008C381F"/>
    <w:rsid w:val="008C3E3E"/>
    <w:rsid w:val="008C3F4A"/>
    <w:rsid w:val="008C5899"/>
    <w:rsid w:val="008C69EE"/>
    <w:rsid w:val="008C7AF9"/>
    <w:rsid w:val="008D324E"/>
    <w:rsid w:val="008D43A2"/>
    <w:rsid w:val="008D5121"/>
    <w:rsid w:val="008D709F"/>
    <w:rsid w:val="008D7B7C"/>
    <w:rsid w:val="008E0832"/>
    <w:rsid w:val="008E0F2F"/>
    <w:rsid w:val="008E1F17"/>
    <w:rsid w:val="008E43C2"/>
    <w:rsid w:val="008E45E7"/>
    <w:rsid w:val="008E4EB8"/>
    <w:rsid w:val="008E5AE2"/>
    <w:rsid w:val="008F0B8B"/>
    <w:rsid w:val="008F309C"/>
    <w:rsid w:val="008F3A9B"/>
    <w:rsid w:val="008F5854"/>
    <w:rsid w:val="008F61A8"/>
    <w:rsid w:val="008F7A5A"/>
    <w:rsid w:val="00900B1C"/>
    <w:rsid w:val="00901EC5"/>
    <w:rsid w:val="00902553"/>
    <w:rsid w:val="009042F6"/>
    <w:rsid w:val="00905399"/>
    <w:rsid w:val="00907203"/>
    <w:rsid w:val="009072E7"/>
    <w:rsid w:val="00910146"/>
    <w:rsid w:val="00910499"/>
    <w:rsid w:val="00911721"/>
    <w:rsid w:val="00911D9C"/>
    <w:rsid w:val="009133EE"/>
    <w:rsid w:val="00913C15"/>
    <w:rsid w:val="00913F03"/>
    <w:rsid w:val="009161BE"/>
    <w:rsid w:val="009175D9"/>
    <w:rsid w:val="0092193B"/>
    <w:rsid w:val="0092403F"/>
    <w:rsid w:val="00925838"/>
    <w:rsid w:val="00926165"/>
    <w:rsid w:val="0092782F"/>
    <w:rsid w:val="00931D07"/>
    <w:rsid w:val="00932845"/>
    <w:rsid w:val="0093399E"/>
    <w:rsid w:val="00934550"/>
    <w:rsid w:val="00935699"/>
    <w:rsid w:val="00936A95"/>
    <w:rsid w:val="00936B62"/>
    <w:rsid w:val="00940B11"/>
    <w:rsid w:val="00942334"/>
    <w:rsid w:val="009426B8"/>
    <w:rsid w:val="009428EA"/>
    <w:rsid w:val="00942E72"/>
    <w:rsid w:val="00942F7B"/>
    <w:rsid w:val="00944567"/>
    <w:rsid w:val="009452E3"/>
    <w:rsid w:val="00945C13"/>
    <w:rsid w:val="009460D0"/>
    <w:rsid w:val="00951D1D"/>
    <w:rsid w:val="00951EB0"/>
    <w:rsid w:val="00952B76"/>
    <w:rsid w:val="00953DEA"/>
    <w:rsid w:val="00954C6E"/>
    <w:rsid w:val="009557C7"/>
    <w:rsid w:val="009578DC"/>
    <w:rsid w:val="009608C0"/>
    <w:rsid w:val="00960EF7"/>
    <w:rsid w:val="00960F9C"/>
    <w:rsid w:val="0096108C"/>
    <w:rsid w:val="00962EF2"/>
    <w:rsid w:val="00963EBF"/>
    <w:rsid w:val="00966493"/>
    <w:rsid w:val="00971F5C"/>
    <w:rsid w:val="00973EA7"/>
    <w:rsid w:val="00974E97"/>
    <w:rsid w:val="00975399"/>
    <w:rsid w:val="0097683D"/>
    <w:rsid w:val="00980591"/>
    <w:rsid w:val="00981948"/>
    <w:rsid w:val="00981EEF"/>
    <w:rsid w:val="00981F19"/>
    <w:rsid w:val="00982C6A"/>
    <w:rsid w:val="00982E1F"/>
    <w:rsid w:val="0098478E"/>
    <w:rsid w:val="009862DA"/>
    <w:rsid w:val="00986771"/>
    <w:rsid w:val="009878A5"/>
    <w:rsid w:val="009904C4"/>
    <w:rsid w:val="00991F8E"/>
    <w:rsid w:val="009921AD"/>
    <w:rsid w:val="00993A3F"/>
    <w:rsid w:val="009950D9"/>
    <w:rsid w:val="009964C7"/>
    <w:rsid w:val="009A082B"/>
    <w:rsid w:val="009A10F0"/>
    <w:rsid w:val="009A478E"/>
    <w:rsid w:val="009A5043"/>
    <w:rsid w:val="009A5515"/>
    <w:rsid w:val="009A6578"/>
    <w:rsid w:val="009A6E9D"/>
    <w:rsid w:val="009B01D5"/>
    <w:rsid w:val="009B0C02"/>
    <w:rsid w:val="009B58DF"/>
    <w:rsid w:val="009B5D70"/>
    <w:rsid w:val="009B7097"/>
    <w:rsid w:val="009B7B1A"/>
    <w:rsid w:val="009C1AF7"/>
    <w:rsid w:val="009C25B6"/>
    <w:rsid w:val="009C3785"/>
    <w:rsid w:val="009C3821"/>
    <w:rsid w:val="009C424A"/>
    <w:rsid w:val="009C4A95"/>
    <w:rsid w:val="009C4CE5"/>
    <w:rsid w:val="009C6664"/>
    <w:rsid w:val="009C6841"/>
    <w:rsid w:val="009C7044"/>
    <w:rsid w:val="009D117D"/>
    <w:rsid w:val="009D28AF"/>
    <w:rsid w:val="009D290E"/>
    <w:rsid w:val="009D2CC6"/>
    <w:rsid w:val="009D2F47"/>
    <w:rsid w:val="009D3A40"/>
    <w:rsid w:val="009D3E04"/>
    <w:rsid w:val="009D4A30"/>
    <w:rsid w:val="009D59CF"/>
    <w:rsid w:val="009D5FEE"/>
    <w:rsid w:val="009D7A85"/>
    <w:rsid w:val="009E15B4"/>
    <w:rsid w:val="009E18A4"/>
    <w:rsid w:val="009E235F"/>
    <w:rsid w:val="009E3971"/>
    <w:rsid w:val="009E7F86"/>
    <w:rsid w:val="009F058D"/>
    <w:rsid w:val="009F1D59"/>
    <w:rsid w:val="009F1DCB"/>
    <w:rsid w:val="009F30E6"/>
    <w:rsid w:val="009F37D8"/>
    <w:rsid w:val="009F59A3"/>
    <w:rsid w:val="00A00277"/>
    <w:rsid w:val="00A02021"/>
    <w:rsid w:val="00A03D31"/>
    <w:rsid w:val="00A0598B"/>
    <w:rsid w:val="00A06A53"/>
    <w:rsid w:val="00A11295"/>
    <w:rsid w:val="00A1191C"/>
    <w:rsid w:val="00A11978"/>
    <w:rsid w:val="00A11DD2"/>
    <w:rsid w:val="00A12828"/>
    <w:rsid w:val="00A15E34"/>
    <w:rsid w:val="00A16144"/>
    <w:rsid w:val="00A171C6"/>
    <w:rsid w:val="00A17A6A"/>
    <w:rsid w:val="00A17C39"/>
    <w:rsid w:val="00A17E8F"/>
    <w:rsid w:val="00A21DE6"/>
    <w:rsid w:val="00A230ED"/>
    <w:rsid w:val="00A23F6E"/>
    <w:rsid w:val="00A24526"/>
    <w:rsid w:val="00A2590C"/>
    <w:rsid w:val="00A26427"/>
    <w:rsid w:val="00A264A8"/>
    <w:rsid w:val="00A27334"/>
    <w:rsid w:val="00A31001"/>
    <w:rsid w:val="00A31B34"/>
    <w:rsid w:val="00A33070"/>
    <w:rsid w:val="00A33208"/>
    <w:rsid w:val="00A341B6"/>
    <w:rsid w:val="00A363CB"/>
    <w:rsid w:val="00A36AD9"/>
    <w:rsid w:val="00A37534"/>
    <w:rsid w:val="00A403C7"/>
    <w:rsid w:val="00A40D04"/>
    <w:rsid w:val="00A41603"/>
    <w:rsid w:val="00A433EB"/>
    <w:rsid w:val="00A44C24"/>
    <w:rsid w:val="00A45D35"/>
    <w:rsid w:val="00A46649"/>
    <w:rsid w:val="00A4706C"/>
    <w:rsid w:val="00A470C7"/>
    <w:rsid w:val="00A47B45"/>
    <w:rsid w:val="00A501FD"/>
    <w:rsid w:val="00A5134C"/>
    <w:rsid w:val="00A51605"/>
    <w:rsid w:val="00A51B50"/>
    <w:rsid w:val="00A54768"/>
    <w:rsid w:val="00A55009"/>
    <w:rsid w:val="00A57913"/>
    <w:rsid w:val="00A61E7A"/>
    <w:rsid w:val="00A6253C"/>
    <w:rsid w:val="00A626E8"/>
    <w:rsid w:val="00A6429F"/>
    <w:rsid w:val="00A66160"/>
    <w:rsid w:val="00A669DE"/>
    <w:rsid w:val="00A71039"/>
    <w:rsid w:val="00A710D5"/>
    <w:rsid w:val="00A72820"/>
    <w:rsid w:val="00A72887"/>
    <w:rsid w:val="00A72AE8"/>
    <w:rsid w:val="00A7390C"/>
    <w:rsid w:val="00A73D93"/>
    <w:rsid w:val="00A74C9B"/>
    <w:rsid w:val="00A777BD"/>
    <w:rsid w:val="00A80044"/>
    <w:rsid w:val="00A8111D"/>
    <w:rsid w:val="00A824E1"/>
    <w:rsid w:val="00A82D1A"/>
    <w:rsid w:val="00A862E2"/>
    <w:rsid w:val="00A86887"/>
    <w:rsid w:val="00A878AD"/>
    <w:rsid w:val="00A87C9C"/>
    <w:rsid w:val="00A92EEF"/>
    <w:rsid w:val="00A9371B"/>
    <w:rsid w:val="00A955E4"/>
    <w:rsid w:val="00A9758B"/>
    <w:rsid w:val="00AA0304"/>
    <w:rsid w:val="00AA15FA"/>
    <w:rsid w:val="00AA1D70"/>
    <w:rsid w:val="00AA1FE3"/>
    <w:rsid w:val="00AA444B"/>
    <w:rsid w:val="00AA5465"/>
    <w:rsid w:val="00AA54E0"/>
    <w:rsid w:val="00AA59F9"/>
    <w:rsid w:val="00AA741B"/>
    <w:rsid w:val="00AB39DE"/>
    <w:rsid w:val="00AB52B8"/>
    <w:rsid w:val="00AB60EE"/>
    <w:rsid w:val="00AB77BA"/>
    <w:rsid w:val="00AC00BD"/>
    <w:rsid w:val="00AC08CF"/>
    <w:rsid w:val="00AC0BA2"/>
    <w:rsid w:val="00AC5B87"/>
    <w:rsid w:val="00AC6296"/>
    <w:rsid w:val="00AD0617"/>
    <w:rsid w:val="00AD25BC"/>
    <w:rsid w:val="00AD3876"/>
    <w:rsid w:val="00AD4B4A"/>
    <w:rsid w:val="00AD4D42"/>
    <w:rsid w:val="00AD73A1"/>
    <w:rsid w:val="00AD7FA8"/>
    <w:rsid w:val="00AE0AE9"/>
    <w:rsid w:val="00AE1194"/>
    <w:rsid w:val="00AE1619"/>
    <w:rsid w:val="00AE2DE3"/>
    <w:rsid w:val="00AE32D8"/>
    <w:rsid w:val="00AE3B1B"/>
    <w:rsid w:val="00AE5879"/>
    <w:rsid w:val="00AE5CCD"/>
    <w:rsid w:val="00AE6112"/>
    <w:rsid w:val="00AF0D54"/>
    <w:rsid w:val="00AF282A"/>
    <w:rsid w:val="00AF339C"/>
    <w:rsid w:val="00AF4BC7"/>
    <w:rsid w:val="00AF4FA1"/>
    <w:rsid w:val="00AF5623"/>
    <w:rsid w:val="00AF60C6"/>
    <w:rsid w:val="00AF6A3A"/>
    <w:rsid w:val="00AF6C12"/>
    <w:rsid w:val="00AF7338"/>
    <w:rsid w:val="00B002CD"/>
    <w:rsid w:val="00B01A99"/>
    <w:rsid w:val="00B01F5A"/>
    <w:rsid w:val="00B021F5"/>
    <w:rsid w:val="00B03290"/>
    <w:rsid w:val="00B04182"/>
    <w:rsid w:val="00B047F2"/>
    <w:rsid w:val="00B0534B"/>
    <w:rsid w:val="00B06B26"/>
    <w:rsid w:val="00B073B0"/>
    <w:rsid w:val="00B0799C"/>
    <w:rsid w:val="00B1560B"/>
    <w:rsid w:val="00B1743D"/>
    <w:rsid w:val="00B201EE"/>
    <w:rsid w:val="00B20C63"/>
    <w:rsid w:val="00B22907"/>
    <w:rsid w:val="00B24B15"/>
    <w:rsid w:val="00B24F99"/>
    <w:rsid w:val="00B251D7"/>
    <w:rsid w:val="00B27766"/>
    <w:rsid w:val="00B33073"/>
    <w:rsid w:val="00B332D1"/>
    <w:rsid w:val="00B33559"/>
    <w:rsid w:val="00B3446D"/>
    <w:rsid w:val="00B3549E"/>
    <w:rsid w:val="00B354BE"/>
    <w:rsid w:val="00B40BF6"/>
    <w:rsid w:val="00B40F66"/>
    <w:rsid w:val="00B41A0E"/>
    <w:rsid w:val="00B42250"/>
    <w:rsid w:val="00B42ECA"/>
    <w:rsid w:val="00B44D09"/>
    <w:rsid w:val="00B4527E"/>
    <w:rsid w:val="00B465FC"/>
    <w:rsid w:val="00B46E31"/>
    <w:rsid w:val="00B515B5"/>
    <w:rsid w:val="00B54F14"/>
    <w:rsid w:val="00B55A54"/>
    <w:rsid w:val="00B56424"/>
    <w:rsid w:val="00B56A46"/>
    <w:rsid w:val="00B56BA8"/>
    <w:rsid w:val="00B575C4"/>
    <w:rsid w:val="00B61611"/>
    <w:rsid w:val="00B640AC"/>
    <w:rsid w:val="00B6430D"/>
    <w:rsid w:val="00B643F4"/>
    <w:rsid w:val="00B649EC"/>
    <w:rsid w:val="00B64D68"/>
    <w:rsid w:val="00B6542C"/>
    <w:rsid w:val="00B66398"/>
    <w:rsid w:val="00B6668B"/>
    <w:rsid w:val="00B66D6C"/>
    <w:rsid w:val="00B67D2B"/>
    <w:rsid w:val="00B7297E"/>
    <w:rsid w:val="00B72E03"/>
    <w:rsid w:val="00B73AF6"/>
    <w:rsid w:val="00B744BC"/>
    <w:rsid w:val="00B76F48"/>
    <w:rsid w:val="00B832CB"/>
    <w:rsid w:val="00B83F68"/>
    <w:rsid w:val="00B87091"/>
    <w:rsid w:val="00B903D1"/>
    <w:rsid w:val="00B92390"/>
    <w:rsid w:val="00B93BBD"/>
    <w:rsid w:val="00B9437C"/>
    <w:rsid w:val="00B96166"/>
    <w:rsid w:val="00B966F0"/>
    <w:rsid w:val="00B96EF7"/>
    <w:rsid w:val="00B96FD2"/>
    <w:rsid w:val="00B97BD1"/>
    <w:rsid w:val="00BA3753"/>
    <w:rsid w:val="00BA5B30"/>
    <w:rsid w:val="00BA5E68"/>
    <w:rsid w:val="00BA6409"/>
    <w:rsid w:val="00BA7738"/>
    <w:rsid w:val="00BB0E60"/>
    <w:rsid w:val="00BB1526"/>
    <w:rsid w:val="00BB2CF9"/>
    <w:rsid w:val="00BB5EED"/>
    <w:rsid w:val="00BB60AE"/>
    <w:rsid w:val="00BB6A23"/>
    <w:rsid w:val="00BC08DB"/>
    <w:rsid w:val="00BC3DF5"/>
    <w:rsid w:val="00BC6308"/>
    <w:rsid w:val="00BC7866"/>
    <w:rsid w:val="00BD2B17"/>
    <w:rsid w:val="00BD3507"/>
    <w:rsid w:val="00BD354E"/>
    <w:rsid w:val="00BD38D8"/>
    <w:rsid w:val="00BD64C7"/>
    <w:rsid w:val="00BD7737"/>
    <w:rsid w:val="00BE0733"/>
    <w:rsid w:val="00BE0EB0"/>
    <w:rsid w:val="00BE239A"/>
    <w:rsid w:val="00BE2515"/>
    <w:rsid w:val="00BE3466"/>
    <w:rsid w:val="00BE3970"/>
    <w:rsid w:val="00BE4528"/>
    <w:rsid w:val="00BE4A25"/>
    <w:rsid w:val="00BE544E"/>
    <w:rsid w:val="00BE56FA"/>
    <w:rsid w:val="00BE5AAD"/>
    <w:rsid w:val="00BE6510"/>
    <w:rsid w:val="00BE6AAE"/>
    <w:rsid w:val="00BE728E"/>
    <w:rsid w:val="00BF064C"/>
    <w:rsid w:val="00BF0E36"/>
    <w:rsid w:val="00BF1627"/>
    <w:rsid w:val="00BF21B6"/>
    <w:rsid w:val="00BF248C"/>
    <w:rsid w:val="00BF3AE7"/>
    <w:rsid w:val="00BF4DB7"/>
    <w:rsid w:val="00BF5320"/>
    <w:rsid w:val="00BF5335"/>
    <w:rsid w:val="00BF625C"/>
    <w:rsid w:val="00BF6346"/>
    <w:rsid w:val="00BF6D20"/>
    <w:rsid w:val="00C00AA4"/>
    <w:rsid w:val="00C01EF6"/>
    <w:rsid w:val="00C02085"/>
    <w:rsid w:val="00C04910"/>
    <w:rsid w:val="00C060EF"/>
    <w:rsid w:val="00C0690F"/>
    <w:rsid w:val="00C076C0"/>
    <w:rsid w:val="00C07ACC"/>
    <w:rsid w:val="00C07F8C"/>
    <w:rsid w:val="00C10AAF"/>
    <w:rsid w:val="00C11F1E"/>
    <w:rsid w:val="00C12EF7"/>
    <w:rsid w:val="00C148B4"/>
    <w:rsid w:val="00C1716D"/>
    <w:rsid w:val="00C17699"/>
    <w:rsid w:val="00C178A7"/>
    <w:rsid w:val="00C21EEC"/>
    <w:rsid w:val="00C2350E"/>
    <w:rsid w:val="00C23574"/>
    <w:rsid w:val="00C2432A"/>
    <w:rsid w:val="00C24CC9"/>
    <w:rsid w:val="00C25667"/>
    <w:rsid w:val="00C260DA"/>
    <w:rsid w:val="00C27075"/>
    <w:rsid w:val="00C315EE"/>
    <w:rsid w:val="00C31AB2"/>
    <w:rsid w:val="00C32440"/>
    <w:rsid w:val="00C33C3A"/>
    <w:rsid w:val="00C34D13"/>
    <w:rsid w:val="00C35F1C"/>
    <w:rsid w:val="00C42C04"/>
    <w:rsid w:val="00C437BA"/>
    <w:rsid w:val="00C44219"/>
    <w:rsid w:val="00C445C8"/>
    <w:rsid w:val="00C44760"/>
    <w:rsid w:val="00C46862"/>
    <w:rsid w:val="00C50273"/>
    <w:rsid w:val="00C51338"/>
    <w:rsid w:val="00C5135E"/>
    <w:rsid w:val="00C53070"/>
    <w:rsid w:val="00C5370E"/>
    <w:rsid w:val="00C543D9"/>
    <w:rsid w:val="00C54ADC"/>
    <w:rsid w:val="00C54E8B"/>
    <w:rsid w:val="00C55BB7"/>
    <w:rsid w:val="00C668F3"/>
    <w:rsid w:val="00C70B60"/>
    <w:rsid w:val="00C71797"/>
    <w:rsid w:val="00C71A66"/>
    <w:rsid w:val="00C72072"/>
    <w:rsid w:val="00C72FA8"/>
    <w:rsid w:val="00C731F3"/>
    <w:rsid w:val="00C7369B"/>
    <w:rsid w:val="00C73EB0"/>
    <w:rsid w:val="00C74015"/>
    <w:rsid w:val="00C74872"/>
    <w:rsid w:val="00C74A4C"/>
    <w:rsid w:val="00C75B96"/>
    <w:rsid w:val="00C7752E"/>
    <w:rsid w:val="00C81685"/>
    <w:rsid w:val="00C81FD0"/>
    <w:rsid w:val="00C82B95"/>
    <w:rsid w:val="00C82DC5"/>
    <w:rsid w:val="00C83EDD"/>
    <w:rsid w:val="00C840E9"/>
    <w:rsid w:val="00C84368"/>
    <w:rsid w:val="00C866FF"/>
    <w:rsid w:val="00C87A47"/>
    <w:rsid w:val="00C87B10"/>
    <w:rsid w:val="00C87E6B"/>
    <w:rsid w:val="00C903A1"/>
    <w:rsid w:val="00C913F4"/>
    <w:rsid w:val="00C9172D"/>
    <w:rsid w:val="00C964D7"/>
    <w:rsid w:val="00CA0682"/>
    <w:rsid w:val="00CA089A"/>
    <w:rsid w:val="00CA22E3"/>
    <w:rsid w:val="00CA29EB"/>
    <w:rsid w:val="00CA2F1C"/>
    <w:rsid w:val="00CA3EA6"/>
    <w:rsid w:val="00CA4335"/>
    <w:rsid w:val="00CA55D1"/>
    <w:rsid w:val="00CA66B5"/>
    <w:rsid w:val="00CA6B9E"/>
    <w:rsid w:val="00CA6FF0"/>
    <w:rsid w:val="00CB059F"/>
    <w:rsid w:val="00CB0B19"/>
    <w:rsid w:val="00CB0C2A"/>
    <w:rsid w:val="00CB49B0"/>
    <w:rsid w:val="00CB5056"/>
    <w:rsid w:val="00CB555B"/>
    <w:rsid w:val="00CB678B"/>
    <w:rsid w:val="00CC052D"/>
    <w:rsid w:val="00CC5906"/>
    <w:rsid w:val="00CC6514"/>
    <w:rsid w:val="00CC7052"/>
    <w:rsid w:val="00CD129E"/>
    <w:rsid w:val="00CD1C53"/>
    <w:rsid w:val="00CD1CC9"/>
    <w:rsid w:val="00CD47C3"/>
    <w:rsid w:val="00CD4EDE"/>
    <w:rsid w:val="00CD5427"/>
    <w:rsid w:val="00CD6EAA"/>
    <w:rsid w:val="00CD7CEF"/>
    <w:rsid w:val="00CE0987"/>
    <w:rsid w:val="00CE0EC9"/>
    <w:rsid w:val="00CE1BDF"/>
    <w:rsid w:val="00CE1C03"/>
    <w:rsid w:val="00CE4B24"/>
    <w:rsid w:val="00CF0FB9"/>
    <w:rsid w:val="00CF108B"/>
    <w:rsid w:val="00CF129B"/>
    <w:rsid w:val="00CF156C"/>
    <w:rsid w:val="00CF1581"/>
    <w:rsid w:val="00CF59BA"/>
    <w:rsid w:val="00CF6D3B"/>
    <w:rsid w:val="00CF7733"/>
    <w:rsid w:val="00CF7896"/>
    <w:rsid w:val="00CF7D76"/>
    <w:rsid w:val="00D02AA6"/>
    <w:rsid w:val="00D02D10"/>
    <w:rsid w:val="00D045A2"/>
    <w:rsid w:val="00D046F4"/>
    <w:rsid w:val="00D05841"/>
    <w:rsid w:val="00D07F31"/>
    <w:rsid w:val="00D121EF"/>
    <w:rsid w:val="00D129E5"/>
    <w:rsid w:val="00D13ED1"/>
    <w:rsid w:val="00D147D7"/>
    <w:rsid w:val="00D15208"/>
    <w:rsid w:val="00D15B82"/>
    <w:rsid w:val="00D204D9"/>
    <w:rsid w:val="00D208C8"/>
    <w:rsid w:val="00D21269"/>
    <w:rsid w:val="00D216E4"/>
    <w:rsid w:val="00D21B72"/>
    <w:rsid w:val="00D220A2"/>
    <w:rsid w:val="00D22785"/>
    <w:rsid w:val="00D23069"/>
    <w:rsid w:val="00D23394"/>
    <w:rsid w:val="00D23A96"/>
    <w:rsid w:val="00D25611"/>
    <w:rsid w:val="00D30621"/>
    <w:rsid w:val="00D308EB"/>
    <w:rsid w:val="00D30B89"/>
    <w:rsid w:val="00D3234A"/>
    <w:rsid w:val="00D32B9E"/>
    <w:rsid w:val="00D32CF5"/>
    <w:rsid w:val="00D333FC"/>
    <w:rsid w:val="00D3435A"/>
    <w:rsid w:val="00D35397"/>
    <w:rsid w:val="00D35D77"/>
    <w:rsid w:val="00D40BFD"/>
    <w:rsid w:val="00D421FC"/>
    <w:rsid w:val="00D440D2"/>
    <w:rsid w:val="00D4587C"/>
    <w:rsid w:val="00D45A51"/>
    <w:rsid w:val="00D45C70"/>
    <w:rsid w:val="00D509A5"/>
    <w:rsid w:val="00D523A1"/>
    <w:rsid w:val="00D53476"/>
    <w:rsid w:val="00D54C56"/>
    <w:rsid w:val="00D5642B"/>
    <w:rsid w:val="00D56B26"/>
    <w:rsid w:val="00D576CE"/>
    <w:rsid w:val="00D57774"/>
    <w:rsid w:val="00D577CD"/>
    <w:rsid w:val="00D60347"/>
    <w:rsid w:val="00D60455"/>
    <w:rsid w:val="00D60E27"/>
    <w:rsid w:val="00D61966"/>
    <w:rsid w:val="00D61F02"/>
    <w:rsid w:val="00D621C2"/>
    <w:rsid w:val="00D628B3"/>
    <w:rsid w:val="00D63174"/>
    <w:rsid w:val="00D63F7D"/>
    <w:rsid w:val="00D651B8"/>
    <w:rsid w:val="00D67259"/>
    <w:rsid w:val="00D67A2D"/>
    <w:rsid w:val="00D67B08"/>
    <w:rsid w:val="00D70339"/>
    <w:rsid w:val="00D70986"/>
    <w:rsid w:val="00D70A43"/>
    <w:rsid w:val="00D70FAD"/>
    <w:rsid w:val="00D71105"/>
    <w:rsid w:val="00D723DE"/>
    <w:rsid w:val="00D73012"/>
    <w:rsid w:val="00D74648"/>
    <w:rsid w:val="00D750AD"/>
    <w:rsid w:val="00D7518A"/>
    <w:rsid w:val="00D76723"/>
    <w:rsid w:val="00D76DE5"/>
    <w:rsid w:val="00D77145"/>
    <w:rsid w:val="00D77DA5"/>
    <w:rsid w:val="00D77ECE"/>
    <w:rsid w:val="00D804FD"/>
    <w:rsid w:val="00D81C89"/>
    <w:rsid w:val="00D8388E"/>
    <w:rsid w:val="00D83B3D"/>
    <w:rsid w:val="00D8627F"/>
    <w:rsid w:val="00D86C70"/>
    <w:rsid w:val="00D86CF2"/>
    <w:rsid w:val="00D8759A"/>
    <w:rsid w:val="00D9063B"/>
    <w:rsid w:val="00D92B3B"/>
    <w:rsid w:val="00D94B8F"/>
    <w:rsid w:val="00D960DF"/>
    <w:rsid w:val="00D96618"/>
    <w:rsid w:val="00D97544"/>
    <w:rsid w:val="00D9761A"/>
    <w:rsid w:val="00D9768F"/>
    <w:rsid w:val="00DA000F"/>
    <w:rsid w:val="00DA227D"/>
    <w:rsid w:val="00DA2B87"/>
    <w:rsid w:val="00DA2CAD"/>
    <w:rsid w:val="00DA3475"/>
    <w:rsid w:val="00DA3F5D"/>
    <w:rsid w:val="00DB0550"/>
    <w:rsid w:val="00DB0B8B"/>
    <w:rsid w:val="00DB402C"/>
    <w:rsid w:val="00DB5A82"/>
    <w:rsid w:val="00DB61B8"/>
    <w:rsid w:val="00DC1707"/>
    <w:rsid w:val="00DC1D32"/>
    <w:rsid w:val="00DC2E74"/>
    <w:rsid w:val="00DC3776"/>
    <w:rsid w:val="00DC3A41"/>
    <w:rsid w:val="00DC44CD"/>
    <w:rsid w:val="00DC48B4"/>
    <w:rsid w:val="00DC6F45"/>
    <w:rsid w:val="00DC71D8"/>
    <w:rsid w:val="00DC7D31"/>
    <w:rsid w:val="00DD029D"/>
    <w:rsid w:val="00DD11C3"/>
    <w:rsid w:val="00DD15FF"/>
    <w:rsid w:val="00DD2D2C"/>
    <w:rsid w:val="00DD4116"/>
    <w:rsid w:val="00DD45E2"/>
    <w:rsid w:val="00DD66BA"/>
    <w:rsid w:val="00DD7951"/>
    <w:rsid w:val="00DE0513"/>
    <w:rsid w:val="00DE0D1D"/>
    <w:rsid w:val="00DE402B"/>
    <w:rsid w:val="00DE40E5"/>
    <w:rsid w:val="00DE50B5"/>
    <w:rsid w:val="00DE58E9"/>
    <w:rsid w:val="00DE7BA8"/>
    <w:rsid w:val="00DF00CF"/>
    <w:rsid w:val="00DF0391"/>
    <w:rsid w:val="00DF1571"/>
    <w:rsid w:val="00DF5911"/>
    <w:rsid w:val="00DF6347"/>
    <w:rsid w:val="00DF7319"/>
    <w:rsid w:val="00DF761D"/>
    <w:rsid w:val="00E00508"/>
    <w:rsid w:val="00E02ABC"/>
    <w:rsid w:val="00E03057"/>
    <w:rsid w:val="00E04AC9"/>
    <w:rsid w:val="00E061F8"/>
    <w:rsid w:val="00E07047"/>
    <w:rsid w:val="00E07265"/>
    <w:rsid w:val="00E100F7"/>
    <w:rsid w:val="00E10B0B"/>
    <w:rsid w:val="00E13AD7"/>
    <w:rsid w:val="00E14280"/>
    <w:rsid w:val="00E15671"/>
    <w:rsid w:val="00E1575B"/>
    <w:rsid w:val="00E162F8"/>
    <w:rsid w:val="00E16AF6"/>
    <w:rsid w:val="00E171CB"/>
    <w:rsid w:val="00E21115"/>
    <w:rsid w:val="00E215E4"/>
    <w:rsid w:val="00E21D6D"/>
    <w:rsid w:val="00E23AEC"/>
    <w:rsid w:val="00E245D0"/>
    <w:rsid w:val="00E26870"/>
    <w:rsid w:val="00E26BAF"/>
    <w:rsid w:val="00E26CCA"/>
    <w:rsid w:val="00E30F86"/>
    <w:rsid w:val="00E3244C"/>
    <w:rsid w:val="00E3390F"/>
    <w:rsid w:val="00E33B81"/>
    <w:rsid w:val="00E341CB"/>
    <w:rsid w:val="00E35DDE"/>
    <w:rsid w:val="00E35F53"/>
    <w:rsid w:val="00E37800"/>
    <w:rsid w:val="00E42D54"/>
    <w:rsid w:val="00E438DD"/>
    <w:rsid w:val="00E4487F"/>
    <w:rsid w:val="00E4533A"/>
    <w:rsid w:val="00E45947"/>
    <w:rsid w:val="00E459EA"/>
    <w:rsid w:val="00E46A61"/>
    <w:rsid w:val="00E47F00"/>
    <w:rsid w:val="00E50EE0"/>
    <w:rsid w:val="00E51AC9"/>
    <w:rsid w:val="00E51C3A"/>
    <w:rsid w:val="00E54A08"/>
    <w:rsid w:val="00E54A63"/>
    <w:rsid w:val="00E56979"/>
    <w:rsid w:val="00E56D23"/>
    <w:rsid w:val="00E575FC"/>
    <w:rsid w:val="00E60BC8"/>
    <w:rsid w:val="00E63242"/>
    <w:rsid w:val="00E65E5A"/>
    <w:rsid w:val="00E702C8"/>
    <w:rsid w:val="00E73DB5"/>
    <w:rsid w:val="00E77722"/>
    <w:rsid w:val="00E80456"/>
    <w:rsid w:val="00E80AD1"/>
    <w:rsid w:val="00E8344B"/>
    <w:rsid w:val="00E83AEE"/>
    <w:rsid w:val="00E8409B"/>
    <w:rsid w:val="00E840A7"/>
    <w:rsid w:val="00E87C51"/>
    <w:rsid w:val="00E90E42"/>
    <w:rsid w:val="00E925ED"/>
    <w:rsid w:val="00E92B5E"/>
    <w:rsid w:val="00E93D53"/>
    <w:rsid w:val="00E95364"/>
    <w:rsid w:val="00E95EB4"/>
    <w:rsid w:val="00E96FF8"/>
    <w:rsid w:val="00EA0CB2"/>
    <w:rsid w:val="00EA16F0"/>
    <w:rsid w:val="00EA1F47"/>
    <w:rsid w:val="00EA225A"/>
    <w:rsid w:val="00EA2AFD"/>
    <w:rsid w:val="00EA2BAA"/>
    <w:rsid w:val="00EA37F1"/>
    <w:rsid w:val="00EA388E"/>
    <w:rsid w:val="00EA3CDD"/>
    <w:rsid w:val="00EA5A5F"/>
    <w:rsid w:val="00EA73F5"/>
    <w:rsid w:val="00EB113E"/>
    <w:rsid w:val="00EB1247"/>
    <w:rsid w:val="00EB2B49"/>
    <w:rsid w:val="00EB38ED"/>
    <w:rsid w:val="00EC003D"/>
    <w:rsid w:val="00EC091C"/>
    <w:rsid w:val="00EC3C42"/>
    <w:rsid w:val="00EC4177"/>
    <w:rsid w:val="00EC59E0"/>
    <w:rsid w:val="00EC5E6F"/>
    <w:rsid w:val="00EC7B7C"/>
    <w:rsid w:val="00ED0629"/>
    <w:rsid w:val="00ED1115"/>
    <w:rsid w:val="00ED12EC"/>
    <w:rsid w:val="00ED191E"/>
    <w:rsid w:val="00ED1E65"/>
    <w:rsid w:val="00ED246C"/>
    <w:rsid w:val="00ED325F"/>
    <w:rsid w:val="00ED3913"/>
    <w:rsid w:val="00ED67E8"/>
    <w:rsid w:val="00ED70C0"/>
    <w:rsid w:val="00EE0CFE"/>
    <w:rsid w:val="00EE0D4C"/>
    <w:rsid w:val="00EE275B"/>
    <w:rsid w:val="00EE32FF"/>
    <w:rsid w:val="00EE6053"/>
    <w:rsid w:val="00EE6C16"/>
    <w:rsid w:val="00EE757A"/>
    <w:rsid w:val="00EF1BF2"/>
    <w:rsid w:val="00EF2032"/>
    <w:rsid w:val="00EF2453"/>
    <w:rsid w:val="00EF3FD8"/>
    <w:rsid w:val="00EF44E6"/>
    <w:rsid w:val="00EF7955"/>
    <w:rsid w:val="00F007E8"/>
    <w:rsid w:val="00F017A0"/>
    <w:rsid w:val="00F0430C"/>
    <w:rsid w:val="00F05FCA"/>
    <w:rsid w:val="00F06BFC"/>
    <w:rsid w:val="00F07EBA"/>
    <w:rsid w:val="00F10752"/>
    <w:rsid w:val="00F11E51"/>
    <w:rsid w:val="00F1261E"/>
    <w:rsid w:val="00F12789"/>
    <w:rsid w:val="00F131BC"/>
    <w:rsid w:val="00F13F3E"/>
    <w:rsid w:val="00F14389"/>
    <w:rsid w:val="00F14805"/>
    <w:rsid w:val="00F14A3A"/>
    <w:rsid w:val="00F1518C"/>
    <w:rsid w:val="00F151B2"/>
    <w:rsid w:val="00F158B5"/>
    <w:rsid w:val="00F159B2"/>
    <w:rsid w:val="00F16DB4"/>
    <w:rsid w:val="00F17D69"/>
    <w:rsid w:val="00F2107B"/>
    <w:rsid w:val="00F21D89"/>
    <w:rsid w:val="00F21E36"/>
    <w:rsid w:val="00F2209A"/>
    <w:rsid w:val="00F23315"/>
    <w:rsid w:val="00F23519"/>
    <w:rsid w:val="00F245EE"/>
    <w:rsid w:val="00F24948"/>
    <w:rsid w:val="00F26809"/>
    <w:rsid w:val="00F278A3"/>
    <w:rsid w:val="00F2797D"/>
    <w:rsid w:val="00F30C4D"/>
    <w:rsid w:val="00F31B3F"/>
    <w:rsid w:val="00F324A9"/>
    <w:rsid w:val="00F33EE8"/>
    <w:rsid w:val="00F34570"/>
    <w:rsid w:val="00F354B9"/>
    <w:rsid w:val="00F36010"/>
    <w:rsid w:val="00F36797"/>
    <w:rsid w:val="00F36AEF"/>
    <w:rsid w:val="00F4030B"/>
    <w:rsid w:val="00F41CD0"/>
    <w:rsid w:val="00F42B31"/>
    <w:rsid w:val="00F42CF7"/>
    <w:rsid w:val="00F43669"/>
    <w:rsid w:val="00F44474"/>
    <w:rsid w:val="00F44AF9"/>
    <w:rsid w:val="00F44DCF"/>
    <w:rsid w:val="00F451F4"/>
    <w:rsid w:val="00F45966"/>
    <w:rsid w:val="00F46035"/>
    <w:rsid w:val="00F47CD2"/>
    <w:rsid w:val="00F50670"/>
    <w:rsid w:val="00F52E81"/>
    <w:rsid w:val="00F56CF6"/>
    <w:rsid w:val="00F5707E"/>
    <w:rsid w:val="00F57C5B"/>
    <w:rsid w:val="00F60311"/>
    <w:rsid w:val="00F61E82"/>
    <w:rsid w:val="00F62B72"/>
    <w:rsid w:val="00F62E9F"/>
    <w:rsid w:val="00F63F6D"/>
    <w:rsid w:val="00F64F72"/>
    <w:rsid w:val="00F664D4"/>
    <w:rsid w:val="00F66BDD"/>
    <w:rsid w:val="00F66F9B"/>
    <w:rsid w:val="00F67F00"/>
    <w:rsid w:val="00F71863"/>
    <w:rsid w:val="00F73071"/>
    <w:rsid w:val="00F7323D"/>
    <w:rsid w:val="00F73A1D"/>
    <w:rsid w:val="00F7631A"/>
    <w:rsid w:val="00F76898"/>
    <w:rsid w:val="00F769C2"/>
    <w:rsid w:val="00F77FF0"/>
    <w:rsid w:val="00F8118B"/>
    <w:rsid w:val="00F828A4"/>
    <w:rsid w:val="00F82E93"/>
    <w:rsid w:val="00F86F44"/>
    <w:rsid w:val="00F87613"/>
    <w:rsid w:val="00F927D0"/>
    <w:rsid w:val="00F92819"/>
    <w:rsid w:val="00F93F43"/>
    <w:rsid w:val="00F94B63"/>
    <w:rsid w:val="00F95631"/>
    <w:rsid w:val="00F96079"/>
    <w:rsid w:val="00F96506"/>
    <w:rsid w:val="00FA23D3"/>
    <w:rsid w:val="00FA2CF8"/>
    <w:rsid w:val="00FA3384"/>
    <w:rsid w:val="00FA6407"/>
    <w:rsid w:val="00FA6AEB"/>
    <w:rsid w:val="00FB0508"/>
    <w:rsid w:val="00FB062B"/>
    <w:rsid w:val="00FB0962"/>
    <w:rsid w:val="00FB0D4F"/>
    <w:rsid w:val="00FB3211"/>
    <w:rsid w:val="00FB338F"/>
    <w:rsid w:val="00FB3BBB"/>
    <w:rsid w:val="00FB6246"/>
    <w:rsid w:val="00FB64C6"/>
    <w:rsid w:val="00FB76E5"/>
    <w:rsid w:val="00FC06B0"/>
    <w:rsid w:val="00FC07A4"/>
    <w:rsid w:val="00FC0F9F"/>
    <w:rsid w:val="00FC10EF"/>
    <w:rsid w:val="00FC1D42"/>
    <w:rsid w:val="00FC2496"/>
    <w:rsid w:val="00FC39BD"/>
    <w:rsid w:val="00FC7014"/>
    <w:rsid w:val="00FD06A2"/>
    <w:rsid w:val="00FD22FD"/>
    <w:rsid w:val="00FD3E48"/>
    <w:rsid w:val="00FD54E9"/>
    <w:rsid w:val="00FD65D6"/>
    <w:rsid w:val="00FD6E6B"/>
    <w:rsid w:val="00FD6FE4"/>
    <w:rsid w:val="00FD7C5E"/>
    <w:rsid w:val="00FE0FBF"/>
    <w:rsid w:val="00FE1D8A"/>
    <w:rsid w:val="00FE2EEA"/>
    <w:rsid w:val="00FF252C"/>
    <w:rsid w:val="00FF34F9"/>
    <w:rsid w:val="00FF6EBE"/>
    <w:rsid w:val="00FF7C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473F0EA-5816-40EC-91BB-C1291BF1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68"/>
    <w:pPr>
      <w:spacing w:after="200" w:line="276" w:lineRule="auto"/>
    </w:pPr>
    <w:rPr>
      <w:rFonts w:ascii="Times New Roman" w:hAnsi="Times New Roman"/>
      <w:sz w:val="24"/>
      <w:szCs w:val="22"/>
      <w:lang w:eastAsia="en-US"/>
    </w:rPr>
  </w:style>
  <w:style w:type="paragraph" w:styleId="Heading1">
    <w:name w:val="heading 1"/>
    <w:aliases w:val="'Part' Heading"/>
    <w:basedOn w:val="Normal"/>
    <w:next w:val="Normal"/>
    <w:link w:val="Heading1Char"/>
    <w:uiPriority w:val="9"/>
    <w:qFormat/>
    <w:rsid w:val="00501993"/>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431CF"/>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480CA5"/>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92403F"/>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8D709F"/>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1611"/>
    <w:rPr>
      <w:sz w:val="16"/>
      <w:szCs w:val="16"/>
    </w:rPr>
  </w:style>
  <w:style w:type="paragraph" w:styleId="CommentText">
    <w:name w:val="annotation text"/>
    <w:basedOn w:val="Normal"/>
    <w:link w:val="CommentTextChar"/>
    <w:uiPriority w:val="99"/>
    <w:semiHidden/>
    <w:unhideWhenUsed/>
    <w:rsid w:val="00B61611"/>
    <w:rPr>
      <w:sz w:val="20"/>
      <w:szCs w:val="20"/>
    </w:rPr>
  </w:style>
  <w:style w:type="character" w:customStyle="1" w:styleId="CommentTextChar">
    <w:name w:val="Comment Text Char"/>
    <w:basedOn w:val="DefaultParagraphFont"/>
    <w:link w:val="CommentText"/>
    <w:uiPriority w:val="99"/>
    <w:semiHidden/>
    <w:rsid w:val="00B61611"/>
    <w:rPr>
      <w:lang w:eastAsia="en-US"/>
    </w:rPr>
  </w:style>
  <w:style w:type="paragraph" w:styleId="CommentSubject">
    <w:name w:val="annotation subject"/>
    <w:basedOn w:val="CommentText"/>
    <w:next w:val="CommentText"/>
    <w:link w:val="CommentSubjectChar"/>
    <w:uiPriority w:val="99"/>
    <w:semiHidden/>
    <w:unhideWhenUsed/>
    <w:rsid w:val="00B61611"/>
    <w:rPr>
      <w:b/>
      <w:bCs/>
    </w:rPr>
  </w:style>
  <w:style w:type="character" w:customStyle="1" w:styleId="CommentSubjectChar">
    <w:name w:val="Comment Subject Char"/>
    <w:basedOn w:val="CommentTextChar"/>
    <w:link w:val="CommentSubject"/>
    <w:uiPriority w:val="99"/>
    <w:semiHidden/>
    <w:rsid w:val="00B61611"/>
    <w:rPr>
      <w:b/>
      <w:bCs/>
      <w:lang w:eastAsia="en-US"/>
    </w:rPr>
  </w:style>
  <w:style w:type="paragraph" w:styleId="BalloonText">
    <w:name w:val="Balloon Text"/>
    <w:basedOn w:val="Normal"/>
    <w:link w:val="BalloonTextChar"/>
    <w:uiPriority w:val="99"/>
    <w:semiHidden/>
    <w:unhideWhenUsed/>
    <w:rsid w:val="00B61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11"/>
    <w:rPr>
      <w:rFonts w:ascii="Tahoma" w:hAnsi="Tahoma" w:cs="Tahoma"/>
      <w:sz w:val="16"/>
      <w:szCs w:val="16"/>
      <w:lang w:eastAsia="en-US"/>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BE4528"/>
  </w:style>
  <w:style w:type="paragraph" w:styleId="ListParagraph">
    <w:name w:val="List Paragraph"/>
    <w:aliases w:val="List Paragraph1,Recommendation,List Paragraph11,1 Recommendation"/>
    <w:basedOn w:val="Normal"/>
    <w:link w:val="ListParagraphChar"/>
    <w:uiPriority w:val="34"/>
    <w:qFormat/>
    <w:rsid w:val="00BE4528"/>
    <w:pPr>
      <w:ind w:left="720"/>
    </w:pPr>
    <w:rPr>
      <w:sz w:val="20"/>
      <w:szCs w:val="20"/>
      <w:lang w:eastAsia="en-AU"/>
    </w:rPr>
  </w:style>
  <w:style w:type="paragraph" w:styleId="Header">
    <w:name w:val="header"/>
    <w:basedOn w:val="Normal"/>
    <w:link w:val="HeaderChar"/>
    <w:uiPriority w:val="99"/>
    <w:rsid w:val="00BE4528"/>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BE4528"/>
    <w:rPr>
      <w:rFonts w:ascii="Times New Roman" w:eastAsia="Times New Roman" w:hAnsi="Times New Roman"/>
      <w:sz w:val="24"/>
      <w:lang w:val="en-GB" w:eastAsia="en-US"/>
    </w:rPr>
  </w:style>
  <w:style w:type="paragraph" w:styleId="Footer">
    <w:name w:val="footer"/>
    <w:basedOn w:val="Normal"/>
    <w:link w:val="FooterChar"/>
    <w:uiPriority w:val="99"/>
    <w:unhideWhenUsed/>
    <w:rsid w:val="00EB113E"/>
    <w:pPr>
      <w:tabs>
        <w:tab w:val="center" w:pos="4513"/>
        <w:tab w:val="right" w:pos="9026"/>
      </w:tabs>
    </w:pPr>
  </w:style>
  <w:style w:type="character" w:customStyle="1" w:styleId="FooterChar">
    <w:name w:val="Footer Char"/>
    <w:basedOn w:val="DefaultParagraphFont"/>
    <w:link w:val="Footer"/>
    <w:uiPriority w:val="99"/>
    <w:rsid w:val="00EB113E"/>
    <w:rPr>
      <w:sz w:val="22"/>
      <w:szCs w:val="22"/>
      <w:lang w:eastAsia="en-US"/>
    </w:rPr>
  </w:style>
  <w:style w:type="paragraph" w:customStyle="1" w:styleId="Default">
    <w:name w:val="Default"/>
    <w:rsid w:val="006D2508"/>
    <w:pPr>
      <w:autoSpaceDE w:val="0"/>
      <w:autoSpaceDN w:val="0"/>
      <w:adjustRightInd w:val="0"/>
    </w:pPr>
    <w:rPr>
      <w:rFonts w:ascii="Arial" w:hAnsi="Arial" w:cs="Arial"/>
      <w:color w:val="000000"/>
      <w:sz w:val="24"/>
      <w:szCs w:val="24"/>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D2508"/>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D2508"/>
    <w:rPr>
      <w:rFonts w:ascii="Arial" w:hAnsi="Arial"/>
      <w:lang w:eastAsia="en-US"/>
    </w:rPr>
  </w:style>
  <w:style w:type="character" w:styleId="FootnoteReference">
    <w:name w:val="footnote reference"/>
    <w:aliases w:val="Footnote number,Footnotes refss"/>
    <w:basedOn w:val="DefaultParagraphFont"/>
    <w:uiPriority w:val="99"/>
    <w:rsid w:val="006D2508"/>
    <w:rPr>
      <w:rFonts w:cs="Times New Roman"/>
      <w:vertAlign w:val="superscript"/>
    </w:rPr>
  </w:style>
  <w:style w:type="character" w:customStyle="1" w:styleId="field-content">
    <w:name w:val="field-content"/>
    <w:basedOn w:val="DefaultParagraphFont"/>
    <w:rsid w:val="006D2508"/>
  </w:style>
  <w:style w:type="paragraph" w:styleId="NoSpacing">
    <w:name w:val="No Spacing"/>
    <w:link w:val="NoSpacingChar"/>
    <w:uiPriority w:val="1"/>
    <w:qFormat/>
    <w:rsid w:val="006D2508"/>
    <w:rPr>
      <w:rFonts w:ascii="Times New Roman" w:hAnsi="Times New Roman"/>
      <w:sz w:val="24"/>
      <w:szCs w:val="22"/>
      <w:lang w:eastAsia="en-US"/>
    </w:rPr>
  </w:style>
  <w:style w:type="paragraph" w:styleId="EndnoteText">
    <w:name w:val="endnote text"/>
    <w:basedOn w:val="Normal"/>
    <w:link w:val="EndnoteTextChar"/>
    <w:uiPriority w:val="99"/>
    <w:semiHidden/>
    <w:unhideWhenUsed/>
    <w:rsid w:val="002E67C3"/>
    <w:rPr>
      <w:sz w:val="20"/>
      <w:szCs w:val="20"/>
    </w:rPr>
  </w:style>
  <w:style w:type="character" w:customStyle="1" w:styleId="EndnoteTextChar">
    <w:name w:val="Endnote Text Char"/>
    <w:basedOn w:val="DefaultParagraphFont"/>
    <w:link w:val="EndnoteText"/>
    <w:uiPriority w:val="99"/>
    <w:semiHidden/>
    <w:rsid w:val="002E67C3"/>
    <w:rPr>
      <w:lang w:eastAsia="en-US"/>
    </w:rPr>
  </w:style>
  <w:style w:type="character" w:styleId="EndnoteReference">
    <w:name w:val="endnote reference"/>
    <w:basedOn w:val="DefaultParagraphFont"/>
    <w:uiPriority w:val="99"/>
    <w:semiHidden/>
    <w:unhideWhenUsed/>
    <w:rsid w:val="002E67C3"/>
    <w:rPr>
      <w:vertAlign w:val="superscript"/>
    </w:rPr>
  </w:style>
  <w:style w:type="character" w:styleId="Hyperlink">
    <w:name w:val="Hyperlink"/>
    <w:basedOn w:val="DefaultParagraphFont"/>
    <w:uiPriority w:val="99"/>
    <w:unhideWhenUsed/>
    <w:rsid w:val="00B33559"/>
    <w:rPr>
      <w:color w:val="0000FF"/>
      <w:u w:val="single"/>
    </w:rPr>
  </w:style>
  <w:style w:type="paragraph" w:styleId="NormalWeb">
    <w:name w:val="Normal (Web)"/>
    <w:basedOn w:val="Normal"/>
    <w:uiPriority w:val="99"/>
    <w:semiHidden/>
    <w:unhideWhenUsed/>
    <w:rsid w:val="00B33559"/>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B33559"/>
    <w:rPr>
      <w:i/>
      <w:iCs/>
    </w:rPr>
  </w:style>
  <w:style w:type="paragraph" w:customStyle="1" w:styleId="s30eec3f8">
    <w:name w:val="s30eec3f8"/>
    <w:basedOn w:val="Normal"/>
    <w:rsid w:val="005716E4"/>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5716E4"/>
  </w:style>
  <w:style w:type="character" w:customStyle="1" w:styleId="s6b621b36">
    <w:name w:val="s6b621b36"/>
    <w:basedOn w:val="DefaultParagraphFont"/>
    <w:rsid w:val="005716E4"/>
  </w:style>
  <w:style w:type="character" w:styleId="FollowedHyperlink">
    <w:name w:val="FollowedHyperlink"/>
    <w:basedOn w:val="DefaultParagraphFont"/>
    <w:uiPriority w:val="99"/>
    <w:semiHidden/>
    <w:unhideWhenUsed/>
    <w:rsid w:val="00627361"/>
    <w:rPr>
      <w:color w:val="800080"/>
      <w:u w:val="single"/>
    </w:rPr>
  </w:style>
  <w:style w:type="character" w:customStyle="1" w:styleId="Heading1Char">
    <w:name w:val="Heading 1 Char"/>
    <w:aliases w:val="'Part' Heading Char"/>
    <w:basedOn w:val="DefaultParagraphFont"/>
    <w:link w:val="Heading1"/>
    <w:uiPriority w:val="9"/>
    <w:rsid w:val="00501993"/>
    <w:rPr>
      <w:rFonts w:ascii="Times New Roman" w:eastAsia="Times New Roman" w:hAnsi="Times New Roman" w:cs="Times New Roman"/>
      <w:b/>
      <w:bCs/>
      <w:kern w:val="32"/>
      <w:sz w:val="28"/>
      <w:szCs w:val="32"/>
      <w:lang w:eastAsia="en-US"/>
    </w:rPr>
  </w:style>
  <w:style w:type="paragraph" w:styleId="TOC1">
    <w:name w:val="toc 1"/>
    <w:basedOn w:val="Normal"/>
    <w:next w:val="Normal"/>
    <w:autoRedefine/>
    <w:uiPriority w:val="39"/>
    <w:unhideWhenUsed/>
    <w:rsid w:val="00501993"/>
  </w:style>
  <w:style w:type="paragraph" w:styleId="Title">
    <w:name w:val="Title"/>
    <w:basedOn w:val="Normal"/>
    <w:next w:val="Normal"/>
    <w:link w:val="TitleChar"/>
    <w:uiPriority w:val="10"/>
    <w:qFormat/>
    <w:rsid w:val="00B83F68"/>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B83F68"/>
    <w:rPr>
      <w:rFonts w:ascii="Times New Roman" w:eastAsia="Times New Roman" w:hAnsi="Times New Roman" w:cs="Times New Roman"/>
      <w:b/>
      <w:bCs/>
      <w:kern w:val="28"/>
      <w:sz w:val="28"/>
      <w:szCs w:val="32"/>
      <w:lang w:eastAsia="en-US"/>
    </w:rPr>
  </w:style>
  <w:style w:type="character" w:customStyle="1" w:styleId="Heading2Char">
    <w:name w:val="Heading 2 Char"/>
    <w:basedOn w:val="DefaultParagraphFont"/>
    <w:link w:val="Heading2"/>
    <w:uiPriority w:val="9"/>
    <w:rsid w:val="006431CF"/>
    <w:rPr>
      <w:rFonts w:ascii="Times New Roman" w:eastAsia="Times New Roman" w:hAnsi="Times New Roman" w:cs="Times New Roman"/>
      <w:b/>
      <w:bCs/>
      <w:iCs/>
      <w:sz w:val="24"/>
      <w:szCs w:val="28"/>
      <w:u w:val="single"/>
      <w:lang w:eastAsia="en-US"/>
    </w:rPr>
  </w:style>
  <w:style w:type="paragraph" w:styleId="TOC2">
    <w:name w:val="toc 2"/>
    <w:basedOn w:val="Normal"/>
    <w:next w:val="Normal"/>
    <w:autoRedefine/>
    <w:uiPriority w:val="39"/>
    <w:unhideWhenUsed/>
    <w:rsid w:val="006431CF"/>
    <w:pPr>
      <w:ind w:left="240"/>
    </w:pPr>
  </w:style>
  <w:style w:type="paragraph" w:styleId="Caption">
    <w:name w:val="caption"/>
    <w:basedOn w:val="Normal"/>
    <w:next w:val="Normal"/>
    <w:uiPriority w:val="35"/>
    <w:unhideWhenUsed/>
    <w:qFormat/>
    <w:rsid w:val="00C71A66"/>
    <w:rPr>
      <w:b/>
      <w:bCs/>
      <w:sz w:val="20"/>
      <w:szCs w:val="20"/>
    </w:rPr>
  </w:style>
  <w:style w:type="character" w:customStyle="1" w:styleId="Heading3Char">
    <w:name w:val="Heading 3 Char"/>
    <w:aliases w:val="'Division' heading Char,Division heading Char"/>
    <w:basedOn w:val="DefaultParagraphFont"/>
    <w:link w:val="Heading3"/>
    <w:uiPriority w:val="9"/>
    <w:rsid w:val="00480CA5"/>
    <w:rPr>
      <w:rFonts w:ascii="Times New Roman" w:hAnsi="Times New Roman"/>
      <w:b/>
      <w:sz w:val="26"/>
      <w:szCs w:val="26"/>
      <w:lang w:eastAsia="en-US"/>
    </w:rPr>
  </w:style>
  <w:style w:type="paragraph" w:styleId="TOC3">
    <w:name w:val="toc 3"/>
    <w:basedOn w:val="Normal"/>
    <w:next w:val="Normal"/>
    <w:autoRedefine/>
    <w:uiPriority w:val="39"/>
    <w:unhideWhenUsed/>
    <w:rsid w:val="00E51C3A"/>
    <w:pPr>
      <w:spacing w:after="100"/>
      <w:ind w:left="480"/>
    </w:pPr>
  </w:style>
  <w:style w:type="paragraph" w:styleId="DocumentMap">
    <w:name w:val="Document Map"/>
    <w:basedOn w:val="Normal"/>
    <w:link w:val="DocumentMapChar"/>
    <w:uiPriority w:val="99"/>
    <w:semiHidden/>
    <w:unhideWhenUsed/>
    <w:rsid w:val="00125E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5EC6"/>
    <w:rPr>
      <w:rFonts w:ascii="Tahoma" w:hAnsi="Tahoma" w:cs="Tahoma"/>
      <w:sz w:val="16"/>
      <w:szCs w:val="16"/>
      <w:lang w:eastAsia="en-US"/>
    </w:rPr>
  </w:style>
  <w:style w:type="paragraph" w:styleId="BodyText">
    <w:name w:val="Body Text"/>
    <w:basedOn w:val="Normal"/>
    <w:link w:val="BodyTextChar"/>
    <w:uiPriority w:val="1"/>
    <w:qFormat/>
    <w:rsid w:val="00CD129E"/>
    <w:pPr>
      <w:spacing w:before="240" w:after="120"/>
    </w:pPr>
    <w:rPr>
      <w:szCs w:val="24"/>
      <w:lang w:eastAsia="en-AU"/>
    </w:rPr>
  </w:style>
  <w:style w:type="character" w:customStyle="1" w:styleId="BodyTextChar">
    <w:name w:val="Body Text Char"/>
    <w:basedOn w:val="DefaultParagraphFont"/>
    <w:link w:val="BodyText"/>
    <w:uiPriority w:val="1"/>
    <w:rsid w:val="00CD129E"/>
    <w:rPr>
      <w:rFonts w:ascii="Times New Roman" w:hAnsi="Times New Roman"/>
      <w:sz w:val="24"/>
      <w:szCs w:val="24"/>
    </w:rPr>
  </w:style>
  <w:style w:type="table" w:styleId="TableGrid">
    <w:name w:val="Table Grid"/>
    <w:basedOn w:val="TableNormal"/>
    <w:uiPriority w:val="59"/>
    <w:rsid w:val="0085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52E04"/>
    <w:rPr>
      <w:rFonts w:ascii="Times New Roman" w:hAnsi="Times New Roman"/>
      <w:sz w:val="24"/>
      <w:szCs w:val="22"/>
      <w:lang w:eastAsia="en-US"/>
    </w:rPr>
  </w:style>
  <w:style w:type="character" w:customStyle="1" w:styleId="Heading4Char">
    <w:name w:val="Heading 4 Char"/>
    <w:aliases w:val="'Clause' heading Char"/>
    <w:basedOn w:val="DefaultParagraphFont"/>
    <w:link w:val="Heading4"/>
    <w:uiPriority w:val="9"/>
    <w:rsid w:val="0092403F"/>
    <w:rPr>
      <w:rFonts w:ascii="Times New Roman" w:hAnsi="Times New Roman"/>
      <w:b/>
      <w:sz w:val="24"/>
      <w:szCs w:val="24"/>
      <w:lang w:eastAsia="en-US"/>
    </w:rPr>
  </w:style>
  <w:style w:type="character" w:styleId="PlaceholderText">
    <w:name w:val="Placeholder Text"/>
    <w:basedOn w:val="DefaultParagraphFont"/>
    <w:uiPriority w:val="99"/>
    <w:semiHidden/>
    <w:rsid w:val="00A5134C"/>
    <w:rPr>
      <w:color w:val="808080"/>
    </w:rPr>
  </w:style>
  <w:style w:type="character" w:customStyle="1" w:styleId="Heading5Char">
    <w:name w:val="Heading 5 Char"/>
    <w:aliases w:val="New Section heading Char"/>
    <w:basedOn w:val="DefaultParagraphFont"/>
    <w:link w:val="Heading5"/>
    <w:uiPriority w:val="9"/>
    <w:rsid w:val="008D709F"/>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1649">
      <w:bodyDiv w:val="1"/>
      <w:marLeft w:val="0"/>
      <w:marRight w:val="0"/>
      <w:marTop w:val="0"/>
      <w:marBottom w:val="0"/>
      <w:divBdr>
        <w:top w:val="none" w:sz="0" w:space="0" w:color="auto"/>
        <w:left w:val="none" w:sz="0" w:space="0" w:color="auto"/>
        <w:bottom w:val="none" w:sz="0" w:space="0" w:color="auto"/>
        <w:right w:val="none" w:sz="0" w:space="0" w:color="auto"/>
      </w:divBdr>
    </w:div>
    <w:div w:id="219705663">
      <w:bodyDiv w:val="1"/>
      <w:marLeft w:val="0"/>
      <w:marRight w:val="0"/>
      <w:marTop w:val="0"/>
      <w:marBottom w:val="0"/>
      <w:divBdr>
        <w:top w:val="none" w:sz="0" w:space="0" w:color="auto"/>
        <w:left w:val="none" w:sz="0" w:space="0" w:color="auto"/>
        <w:bottom w:val="none" w:sz="0" w:space="0" w:color="auto"/>
        <w:right w:val="none" w:sz="0" w:space="0" w:color="auto"/>
      </w:divBdr>
    </w:div>
    <w:div w:id="323557251">
      <w:bodyDiv w:val="1"/>
      <w:marLeft w:val="0"/>
      <w:marRight w:val="0"/>
      <w:marTop w:val="0"/>
      <w:marBottom w:val="0"/>
      <w:divBdr>
        <w:top w:val="none" w:sz="0" w:space="0" w:color="auto"/>
        <w:left w:val="none" w:sz="0" w:space="0" w:color="auto"/>
        <w:bottom w:val="none" w:sz="0" w:space="0" w:color="auto"/>
        <w:right w:val="none" w:sz="0" w:space="0" w:color="auto"/>
      </w:divBdr>
      <w:divsChild>
        <w:div w:id="1148281209">
          <w:marLeft w:val="0"/>
          <w:marRight w:val="0"/>
          <w:marTop w:val="0"/>
          <w:marBottom w:val="0"/>
          <w:divBdr>
            <w:top w:val="none" w:sz="0" w:space="0" w:color="auto"/>
            <w:left w:val="none" w:sz="0" w:space="0" w:color="auto"/>
            <w:bottom w:val="none" w:sz="0" w:space="0" w:color="auto"/>
            <w:right w:val="none" w:sz="0" w:space="0" w:color="auto"/>
          </w:divBdr>
          <w:divsChild>
            <w:div w:id="617302029">
              <w:marLeft w:val="-164"/>
              <w:marRight w:val="-164"/>
              <w:marTop w:val="0"/>
              <w:marBottom w:val="0"/>
              <w:divBdr>
                <w:top w:val="none" w:sz="0" w:space="0" w:color="auto"/>
                <w:left w:val="none" w:sz="0" w:space="0" w:color="auto"/>
                <w:bottom w:val="none" w:sz="0" w:space="0" w:color="auto"/>
                <w:right w:val="none" w:sz="0" w:space="0" w:color="auto"/>
              </w:divBdr>
              <w:divsChild>
                <w:div w:id="1885603898">
                  <w:marLeft w:val="0"/>
                  <w:marRight w:val="0"/>
                  <w:marTop w:val="0"/>
                  <w:marBottom w:val="0"/>
                  <w:divBdr>
                    <w:top w:val="none" w:sz="0" w:space="0" w:color="auto"/>
                    <w:left w:val="none" w:sz="0" w:space="0" w:color="auto"/>
                    <w:bottom w:val="none" w:sz="0" w:space="0" w:color="auto"/>
                    <w:right w:val="none" w:sz="0" w:space="0" w:color="auto"/>
                  </w:divBdr>
                  <w:divsChild>
                    <w:div w:id="1355422121">
                      <w:marLeft w:val="0"/>
                      <w:marRight w:val="0"/>
                      <w:marTop w:val="0"/>
                      <w:marBottom w:val="0"/>
                      <w:divBdr>
                        <w:top w:val="none" w:sz="0" w:space="0" w:color="auto"/>
                        <w:left w:val="none" w:sz="0" w:space="0" w:color="auto"/>
                        <w:bottom w:val="none" w:sz="0" w:space="0" w:color="auto"/>
                        <w:right w:val="none" w:sz="0" w:space="0" w:color="auto"/>
                      </w:divBdr>
                      <w:divsChild>
                        <w:div w:id="1415586170">
                          <w:marLeft w:val="0"/>
                          <w:marRight w:val="0"/>
                          <w:marTop w:val="0"/>
                          <w:marBottom w:val="0"/>
                          <w:divBdr>
                            <w:top w:val="none" w:sz="0" w:space="0" w:color="auto"/>
                            <w:left w:val="none" w:sz="0" w:space="0" w:color="auto"/>
                            <w:bottom w:val="none" w:sz="0" w:space="0" w:color="auto"/>
                            <w:right w:val="none" w:sz="0" w:space="0" w:color="auto"/>
                          </w:divBdr>
                          <w:divsChild>
                            <w:div w:id="2037728410">
                              <w:marLeft w:val="0"/>
                              <w:marRight w:val="0"/>
                              <w:marTop w:val="0"/>
                              <w:marBottom w:val="0"/>
                              <w:divBdr>
                                <w:top w:val="none" w:sz="0" w:space="0" w:color="auto"/>
                                <w:left w:val="none" w:sz="0" w:space="0" w:color="auto"/>
                                <w:bottom w:val="none" w:sz="0" w:space="0" w:color="auto"/>
                                <w:right w:val="none" w:sz="0" w:space="0" w:color="auto"/>
                              </w:divBdr>
                              <w:divsChild>
                                <w:div w:id="1951161510">
                                  <w:marLeft w:val="0"/>
                                  <w:marRight w:val="0"/>
                                  <w:marTop w:val="0"/>
                                  <w:marBottom w:val="0"/>
                                  <w:divBdr>
                                    <w:top w:val="none" w:sz="0" w:space="0" w:color="auto"/>
                                    <w:left w:val="none" w:sz="0" w:space="0" w:color="auto"/>
                                    <w:bottom w:val="none" w:sz="0" w:space="0" w:color="auto"/>
                                    <w:right w:val="none" w:sz="0" w:space="0" w:color="auto"/>
                                  </w:divBdr>
                                  <w:divsChild>
                                    <w:div w:id="912852358">
                                      <w:marLeft w:val="0"/>
                                      <w:marRight w:val="0"/>
                                      <w:marTop w:val="0"/>
                                      <w:marBottom w:val="0"/>
                                      <w:divBdr>
                                        <w:top w:val="none" w:sz="0" w:space="0" w:color="auto"/>
                                        <w:left w:val="none" w:sz="0" w:space="0" w:color="auto"/>
                                        <w:bottom w:val="none" w:sz="0" w:space="0" w:color="auto"/>
                                        <w:right w:val="none" w:sz="0" w:space="0" w:color="auto"/>
                                      </w:divBdr>
                                      <w:divsChild>
                                        <w:div w:id="1500929372">
                                          <w:marLeft w:val="0"/>
                                          <w:marRight w:val="0"/>
                                          <w:marTop w:val="0"/>
                                          <w:marBottom w:val="0"/>
                                          <w:divBdr>
                                            <w:top w:val="none" w:sz="0" w:space="0" w:color="auto"/>
                                            <w:left w:val="none" w:sz="0" w:space="0" w:color="auto"/>
                                            <w:bottom w:val="none" w:sz="0" w:space="0" w:color="auto"/>
                                            <w:right w:val="none" w:sz="0" w:space="0" w:color="auto"/>
                                          </w:divBdr>
                                          <w:divsChild>
                                            <w:div w:id="963267218">
                                              <w:marLeft w:val="0"/>
                                              <w:marRight w:val="0"/>
                                              <w:marTop w:val="0"/>
                                              <w:marBottom w:val="0"/>
                                              <w:divBdr>
                                                <w:top w:val="none" w:sz="0" w:space="0" w:color="auto"/>
                                                <w:left w:val="none" w:sz="0" w:space="0" w:color="auto"/>
                                                <w:bottom w:val="none" w:sz="0" w:space="0" w:color="auto"/>
                                                <w:right w:val="none" w:sz="0" w:space="0" w:color="auto"/>
                                              </w:divBdr>
                                              <w:divsChild>
                                                <w:div w:id="381445502">
                                                  <w:marLeft w:val="0"/>
                                                  <w:marRight w:val="0"/>
                                                  <w:marTop w:val="0"/>
                                                  <w:marBottom w:val="0"/>
                                                  <w:divBdr>
                                                    <w:top w:val="none" w:sz="0" w:space="0" w:color="auto"/>
                                                    <w:left w:val="none" w:sz="0" w:space="0" w:color="auto"/>
                                                    <w:bottom w:val="none" w:sz="0" w:space="0" w:color="auto"/>
                                                    <w:right w:val="none" w:sz="0" w:space="0" w:color="auto"/>
                                                  </w:divBdr>
                                                  <w:divsChild>
                                                    <w:div w:id="485631529">
                                                      <w:marLeft w:val="0"/>
                                                      <w:marRight w:val="0"/>
                                                      <w:marTop w:val="0"/>
                                                      <w:marBottom w:val="0"/>
                                                      <w:divBdr>
                                                        <w:top w:val="none" w:sz="0" w:space="0" w:color="auto"/>
                                                        <w:left w:val="none" w:sz="0" w:space="0" w:color="auto"/>
                                                        <w:bottom w:val="none" w:sz="0" w:space="0" w:color="auto"/>
                                                        <w:right w:val="none" w:sz="0" w:space="0" w:color="auto"/>
                                                      </w:divBdr>
                                                      <w:divsChild>
                                                        <w:div w:id="2435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821447">
      <w:bodyDiv w:val="1"/>
      <w:marLeft w:val="0"/>
      <w:marRight w:val="0"/>
      <w:marTop w:val="0"/>
      <w:marBottom w:val="0"/>
      <w:divBdr>
        <w:top w:val="none" w:sz="0" w:space="0" w:color="auto"/>
        <w:left w:val="none" w:sz="0" w:space="0" w:color="auto"/>
        <w:bottom w:val="none" w:sz="0" w:space="0" w:color="auto"/>
        <w:right w:val="none" w:sz="0" w:space="0" w:color="auto"/>
      </w:divBdr>
    </w:div>
    <w:div w:id="733813222">
      <w:bodyDiv w:val="1"/>
      <w:marLeft w:val="0"/>
      <w:marRight w:val="0"/>
      <w:marTop w:val="0"/>
      <w:marBottom w:val="0"/>
      <w:divBdr>
        <w:top w:val="none" w:sz="0" w:space="0" w:color="auto"/>
        <w:left w:val="none" w:sz="0" w:space="0" w:color="auto"/>
        <w:bottom w:val="none" w:sz="0" w:space="0" w:color="auto"/>
        <w:right w:val="none" w:sz="0" w:space="0" w:color="auto"/>
      </w:divBdr>
      <w:divsChild>
        <w:div w:id="449973940">
          <w:marLeft w:val="0"/>
          <w:marRight w:val="0"/>
          <w:marTop w:val="0"/>
          <w:marBottom w:val="0"/>
          <w:divBdr>
            <w:top w:val="none" w:sz="0" w:space="0" w:color="auto"/>
            <w:left w:val="none" w:sz="0" w:space="0" w:color="auto"/>
            <w:bottom w:val="none" w:sz="0" w:space="0" w:color="auto"/>
            <w:right w:val="none" w:sz="0" w:space="0" w:color="auto"/>
          </w:divBdr>
          <w:divsChild>
            <w:div w:id="879517677">
              <w:marLeft w:val="0"/>
              <w:marRight w:val="0"/>
              <w:marTop w:val="0"/>
              <w:marBottom w:val="0"/>
              <w:divBdr>
                <w:top w:val="none" w:sz="0" w:space="0" w:color="auto"/>
                <w:left w:val="none" w:sz="0" w:space="0" w:color="auto"/>
                <w:bottom w:val="none" w:sz="0" w:space="0" w:color="auto"/>
                <w:right w:val="none" w:sz="0" w:space="0" w:color="auto"/>
              </w:divBdr>
              <w:divsChild>
                <w:div w:id="408188674">
                  <w:marLeft w:val="0"/>
                  <w:marRight w:val="0"/>
                  <w:marTop w:val="0"/>
                  <w:marBottom w:val="0"/>
                  <w:divBdr>
                    <w:top w:val="none" w:sz="0" w:space="0" w:color="auto"/>
                    <w:left w:val="none" w:sz="0" w:space="0" w:color="auto"/>
                    <w:bottom w:val="none" w:sz="0" w:space="0" w:color="auto"/>
                    <w:right w:val="none" w:sz="0" w:space="0" w:color="auto"/>
                  </w:divBdr>
                  <w:divsChild>
                    <w:div w:id="1899121273">
                      <w:marLeft w:val="0"/>
                      <w:marRight w:val="0"/>
                      <w:marTop w:val="0"/>
                      <w:marBottom w:val="0"/>
                      <w:divBdr>
                        <w:top w:val="none" w:sz="0" w:space="0" w:color="auto"/>
                        <w:left w:val="none" w:sz="0" w:space="0" w:color="auto"/>
                        <w:bottom w:val="none" w:sz="0" w:space="0" w:color="auto"/>
                        <w:right w:val="none" w:sz="0" w:space="0" w:color="auto"/>
                      </w:divBdr>
                      <w:divsChild>
                        <w:div w:id="906843345">
                          <w:marLeft w:val="0"/>
                          <w:marRight w:val="0"/>
                          <w:marTop w:val="0"/>
                          <w:marBottom w:val="0"/>
                          <w:divBdr>
                            <w:top w:val="none" w:sz="0" w:space="0" w:color="auto"/>
                            <w:left w:val="none" w:sz="0" w:space="0" w:color="auto"/>
                            <w:bottom w:val="none" w:sz="0" w:space="0" w:color="auto"/>
                            <w:right w:val="none" w:sz="0" w:space="0" w:color="auto"/>
                          </w:divBdr>
                          <w:divsChild>
                            <w:div w:id="5778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25222">
      <w:bodyDiv w:val="1"/>
      <w:marLeft w:val="0"/>
      <w:marRight w:val="0"/>
      <w:marTop w:val="0"/>
      <w:marBottom w:val="0"/>
      <w:divBdr>
        <w:top w:val="none" w:sz="0" w:space="0" w:color="auto"/>
        <w:left w:val="none" w:sz="0" w:space="0" w:color="auto"/>
        <w:bottom w:val="none" w:sz="0" w:space="0" w:color="auto"/>
        <w:right w:val="none" w:sz="0" w:space="0" w:color="auto"/>
      </w:divBdr>
    </w:div>
    <w:div w:id="776220620">
      <w:bodyDiv w:val="1"/>
      <w:marLeft w:val="0"/>
      <w:marRight w:val="0"/>
      <w:marTop w:val="0"/>
      <w:marBottom w:val="0"/>
      <w:divBdr>
        <w:top w:val="none" w:sz="0" w:space="0" w:color="auto"/>
        <w:left w:val="none" w:sz="0" w:space="0" w:color="auto"/>
        <w:bottom w:val="none" w:sz="0" w:space="0" w:color="auto"/>
        <w:right w:val="none" w:sz="0" w:space="0" w:color="auto"/>
      </w:divBdr>
    </w:div>
    <w:div w:id="822280540">
      <w:bodyDiv w:val="1"/>
      <w:marLeft w:val="0"/>
      <w:marRight w:val="0"/>
      <w:marTop w:val="0"/>
      <w:marBottom w:val="0"/>
      <w:divBdr>
        <w:top w:val="none" w:sz="0" w:space="0" w:color="auto"/>
        <w:left w:val="none" w:sz="0" w:space="0" w:color="auto"/>
        <w:bottom w:val="none" w:sz="0" w:space="0" w:color="auto"/>
        <w:right w:val="none" w:sz="0" w:space="0" w:color="auto"/>
      </w:divBdr>
    </w:div>
    <w:div w:id="1210994216">
      <w:bodyDiv w:val="1"/>
      <w:marLeft w:val="0"/>
      <w:marRight w:val="0"/>
      <w:marTop w:val="0"/>
      <w:marBottom w:val="0"/>
      <w:divBdr>
        <w:top w:val="none" w:sz="0" w:space="0" w:color="auto"/>
        <w:left w:val="none" w:sz="0" w:space="0" w:color="auto"/>
        <w:bottom w:val="none" w:sz="0" w:space="0" w:color="auto"/>
        <w:right w:val="none" w:sz="0" w:space="0" w:color="auto"/>
      </w:divBdr>
    </w:div>
    <w:div w:id="1586913814">
      <w:bodyDiv w:val="1"/>
      <w:marLeft w:val="0"/>
      <w:marRight w:val="0"/>
      <w:marTop w:val="0"/>
      <w:marBottom w:val="0"/>
      <w:divBdr>
        <w:top w:val="none" w:sz="0" w:space="0" w:color="auto"/>
        <w:left w:val="none" w:sz="0" w:space="0" w:color="auto"/>
        <w:bottom w:val="none" w:sz="0" w:space="0" w:color="auto"/>
        <w:right w:val="none" w:sz="0" w:space="0" w:color="auto"/>
      </w:divBdr>
    </w:div>
    <w:div w:id="19402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4"/>
        <w:category>
          <w:name w:val="General"/>
          <w:gallery w:val="placeholder"/>
        </w:category>
        <w:types>
          <w:type w:val="bbPlcHdr"/>
        </w:types>
        <w:behaviors>
          <w:behavior w:val="content"/>
        </w:behaviors>
        <w:guid w:val="{0B20E34A-50AE-43E0-8B79-2BC708E578BE}"/>
      </w:docPartPr>
      <w:docPartBody>
        <w:p w:rsidR="00B159E0" w:rsidRDefault="00B159E0">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159E0"/>
    <w:rsid w:val="003468A4"/>
    <w:rsid w:val="00555E87"/>
    <w:rsid w:val="00711EEE"/>
    <w:rsid w:val="00772D2C"/>
    <w:rsid w:val="00B159E0"/>
    <w:rsid w:val="00D662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27BD5A065AE43B889ADD91434348F" ma:contentTypeVersion="0" ma:contentTypeDescription="Create a new document." ma:contentTypeScope="" ma:versionID="1b729b710d99da1aa5203af201e02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955D2-9B74-4EDF-BFCF-05D39078A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D33A2F-2F21-42E2-9EAF-10142248EBFD}">
  <ds:schemaRefs>
    <ds:schemaRef ds:uri="http://schemas.microsoft.com/sharepoint/v3/contenttype/forms"/>
  </ds:schemaRefs>
</ds:datastoreItem>
</file>

<file path=customXml/itemProps3.xml><?xml version="1.0" encoding="utf-8"?>
<ds:datastoreItem xmlns:ds="http://schemas.openxmlformats.org/officeDocument/2006/customXml" ds:itemID="{673FAD76-D01C-4B08-A63D-FDA0EC7AA4C4}">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5F58DF9-FA63-4490-B7E6-4BA43CF2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2381</Words>
  <Characters>12054</Characters>
  <Application>Microsoft Office Word</Application>
  <DocSecurity>0</DocSecurity>
  <Lines>252</Lines>
  <Paragraphs>123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14413</CharactersWithSpaces>
  <SharedDoc>false</SharedDoc>
  <HLinks>
    <vt:vector size="78" baseType="variant">
      <vt:variant>
        <vt:i4>2097203</vt:i4>
      </vt:variant>
      <vt:variant>
        <vt:i4>36</vt:i4>
      </vt:variant>
      <vt:variant>
        <vt:i4>0</vt:i4>
      </vt:variant>
      <vt:variant>
        <vt:i4>5</vt:i4>
      </vt:variant>
      <vt:variant>
        <vt:lpwstr>http://www.legislation.act.gov.au/es/db_5400/20030626-6617/pdf/db_5400.pdf</vt:lpwstr>
      </vt:variant>
      <vt:variant>
        <vt:lpwstr/>
      </vt:variant>
      <vt:variant>
        <vt:i4>4915212</vt:i4>
      </vt:variant>
      <vt:variant>
        <vt:i4>33</vt:i4>
      </vt:variant>
      <vt:variant>
        <vt:i4>0</vt:i4>
      </vt:variant>
      <vt:variant>
        <vt:i4>5</vt:i4>
      </vt:variant>
      <vt:variant>
        <vt:lpwstr>http://www.legislation.act.gov.au/es/db_33009/20080807-37363/pdf/db_33009.pdf</vt:lpwstr>
      </vt:variant>
      <vt:variant>
        <vt:lpwstr/>
      </vt:variant>
      <vt:variant>
        <vt:i4>4915212</vt:i4>
      </vt:variant>
      <vt:variant>
        <vt:i4>30</vt:i4>
      </vt:variant>
      <vt:variant>
        <vt:i4>0</vt:i4>
      </vt:variant>
      <vt:variant>
        <vt:i4>5</vt:i4>
      </vt:variant>
      <vt:variant>
        <vt:lpwstr>http://www.legislation.act.gov.au/es/db_33009/20080807-37363/pdf/db_33009.pdf</vt:lpwstr>
      </vt:variant>
      <vt:variant>
        <vt:lpwstr/>
      </vt:variant>
      <vt:variant>
        <vt:i4>4915212</vt:i4>
      </vt:variant>
      <vt:variant>
        <vt:i4>27</vt:i4>
      </vt:variant>
      <vt:variant>
        <vt:i4>0</vt:i4>
      </vt:variant>
      <vt:variant>
        <vt:i4>5</vt:i4>
      </vt:variant>
      <vt:variant>
        <vt:lpwstr>http://www.legislation.act.gov.au/es/db_33009/20080807-37363/pdf/db_33009.pdf</vt:lpwstr>
      </vt:variant>
      <vt:variant>
        <vt:lpwstr/>
      </vt:variant>
      <vt:variant>
        <vt:i4>4915212</vt:i4>
      </vt:variant>
      <vt:variant>
        <vt:i4>24</vt:i4>
      </vt:variant>
      <vt:variant>
        <vt:i4>0</vt:i4>
      </vt:variant>
      <vt:variant>
        <vt:i4>5</vt:i4>
      </vt:variant>
      <vt:variant>
        <vt:lpwstr>http://www.legislation.act.gov.au/es/db_33009/20080807-37363/pdf/db_33009.pdf</vt:lpwstr>
      </vt:variant>
      <vt:variant>
        <vt:lpwstr/>
      </vt:variant>
      <vt:variant>
        <vt:i4>4915212</vt:i4>
      </vt:variant>
      <vt:variant>
        <vt:i4>21</vt:i4>
      </vt:variant>
      <vt:variant>
        <vt:i4>0</vt:i4>
      </vt:variant>
      <vt:variant>
        <vt:i4>5</vt:i4>
      </vt:variant>
      <vt:variant>
        <vt:lpwstr>http://www.legislation.act.gov.au/es/db_33009/20080807-37363/pdf/db_33009.pdf</vt:lpwstr>
      </vt:variant>
      <vt:variant>
        <vt:lpwstr/>
      </vt:variant>
      <vt:variant>
        <vt:i4>4915212</vt:i4>
      </vt:variant>
      <vt:variant>
        <vt:i4>18</vt:i4>
      </vt:variant>
      <vt:variant>
        <vt:i4>0</vt:i4>
      </vt:variant>
      <vt:variant>
        <vt:i4>5</vt:i4>
      </vt:variant>
      <vt:variant>
        <vt:lpwstr>http://www.legislation.act.gov.au/es/db_33009/20080807-37363/pdf/db_33009.pdf</vt:lpwstr>
      </vt:variant>
      <vt:variant>
        <vt:lpwstr/>
      </vt:variant>
      <vt:variant>
        <vt:i4>6815803</vt:i4>
      </vt:variant>
      <vt:variant>
        <vt:i4>15</vt:i4>
      </vt:variant>
      <vt:variant>
        <vt:i4>0</vt:i4>
      </vt:variant>
      <vt:variant>
        <vt:i4>5</vt:i4>
      </vt:variant>
      <vt:variant>
        <vt:lpwstr>http://www.endvawnow.org/en/articles/834-felony-strangulation-and-other-provisions.html</vt:lpwstr>
      </vt:variant>
      <vt:variant>
        <vt:lpwstr/>
      </vt:variant>
      <vt:variant>
        <vt:i4>983109</vt:i4>
      </vt:variant>
      <vt:variant>
        <vt:i4>12</vt:i4>
      </vt:variant>
      <vt:variant>
        <vt:i4>0</vt:i4>
      </vt:variant>
      <vt:variant>
        <vt:i4>5</vt:i4>
      </vt:variant>
      <vt:variant>
        <vt:lpwstr>http://ac.els-cdn.com/S0736467901003997/1-s2.0-S0736467901003997-main.pdf?_tid=2f14ea5e-e8b8-11e4-b3b2-00000aab0f6c&amp;acdnat=1429684029_bfc9d4253a1ec8ad3aad599e62016423</vt:lpwstr>
      </vt:variant>
      <vt:variant>
        <vt:lpwstr/>
      </vt:variant>
      <vt:variant>
        <vt:i4>6094872</vt:i4>
      </vt:variant>
      <vt:variant>
        <vt:i4>9</vt:i4>
      </vt:variant>
      <vt:variant>
        <vt:i4>0</vt:i4>
      </vt:variant>
      <vt:variant>
        <vt:i4>5</vt:i4>
      </vt:variant>
      <vt:variant>
        <vt:lpwstr>http://ac.els-cdn.com/S0736467907004143/1-s2.0-S0736467907004143-main.pdf?_tid=afad1c9c-e8b6-11e4-9bdc-00000aacb35d&amp;acdnat=1429683385_587fff12f3131aaccf70f8dcbc054ba1</vt:lpwstr>
      </vt:variant>
      <vt:variant>
        <vt:lpwstr/>
      </vt:variant>
      <vt:variant>
        <vt:i4>4718667</vt:i4>
      </vt:variant>
      <vt:variant>
        <vt:i4>6</vt:i4>
      </vt:variant>
      <vt:variant>
        <vt:i4>0</vt:i4>
      </vt:variant>
      <vt:variant>
        <vt:i4>5</vt:i4>
      </vt:variant>
      <vt:variant>
        <vt:lpwstr>http://www.anrows.org.au/</vt:lpwstr>
      </vt:variant>
      <vt:variant>
        <vt:lpwstr/>
      </vt:variant>
      <vt:variant>
        <vt:i4>3604533</vt:i4>
      </vt:variant>
      <vt:variant>
        <vt:i4>3</vt:i4>
      </vt:variant>
      <vt:variant>
        <vt:i4>0</vt:i4>
      </vt:variant>
      <vt:variant>
        <vt:i4>5</vt:i4>
      </vt:variant>
      <vt:variant>
        <vt:lpwstr>http://www.unhchr.ch/tbs/doc.nsf/(Symbol)/6f97648603f69bcdc12563ed004c3881?Opendocument</vt:lpwstr>
      </vt:variant>
      <vt:variant>
        <vt:lpwstr/>
      </vt:variant>
      <vt:variant>
        <vt:i4>2752573</vt:i4>
      </vt:variant>
      <vt:variant>
        <vt:i4>0</vt:i4>
      </vt:variant>
      <vt:variant>
        <vt:i4>0</vt:i4>
      </vt:variant>
      <vt:variant>
        <vt:i4>5</vt:i4>
      </vt:variant>
      <vt:variant>
        <vt:lpwstr>http://www.anrows.org.au/publications/fast-facts/key-statistics-violence-against-women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2018-09-07T05:46:00Z</cp:lastPrinted>
  <dcterms:created xsi:type="dcterms:W3CDTF">2018-09-19T01:01:00Z</dcterms:created>
  <dcterms:modified xsi:type="dcterms:W3CDTF">2018-09-19T01:01:00Z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0x010100EF327BD5A065AE43B889ADD91434348F</vt:lpwstr>
  </property>
</Properties>
</file>