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716A3" w14:textId="77777777" w:rsidR="00AF0D54" w:rsidRDefault="00AF0D54">
      <w:pPr>
        <w:spacing w:after="0" w:line="240" w:lineRule="auto"/>
        <w:rPr>
          <w:b/>
          <w:bCs/>
          <w:szCs w:val="24"/>
        </w:rPr>
      </w:pPr>
      <w:bookmarkStart w:id="0" w:name="_GoBack"/>
      <w:bookmarkEnd w:id="0"/>
    </w:p>
    <w:p w14:paraId="38510791" w14:textId="56613480" w:rsidR="00AF0D54" w:rsidRDefault="00AF0D54">
      <w:pPr>
        <w:spacing w:after="0" w:line="240" w:lineRule="auto"/>
        <w:rPr>
          <w:b/>
          <w:bCs/>
          <w:szCs w:val="24"/>
        </w:rPr>
      </w:pPr>
    </w:p>
    <w:p w14:paraId="179C0BD0" w14:textId="77777777" w:rsidR="00AF0D54" w:rsidRDefault="00AF0D54" w:rsidP="00AF0D54">
      <w:pPr>
        <w:autoSpaceDE w:val="0"/>
        <w:autoSpaceDN w:val="0"/>
        <w:adjustRightInd w:val="0"/>
        <w:spacing w:before="240" w:after="120"/>
        <w:jc w:val="center"/>
        <w:rPr>
          <w:b/>
          <w:bCs/>
          <w:szCs w:val="24"/>
        </w:rPr>
      </w:pPr>
    </w:p>
    <w:p w14:paraId="587DDEA3" w14:textId="77777777" w:rsidR="0030585F" w:rsidRPr="00EE32FF" w:rsidRDefault="0030585F" w:rsidP="00AF0D54">
      <w:pPr>
        <w:autoSpaceDE w:val="0"/>
        <w:autoSpaceDN w:val="0"/>
        <w:adjustRightInd w:val="0"/>
        <w:spacing w:before="240" w:after="120"/>
        <w:jc w:val="center"/>
        <w:rPr>
          <w:b/>
          <w:bCs/>
          <w:szCs w:val="24"/>
        </w:rPr>
      </w:pPr>
      <w:r w:rsidRPr="00EE32FF">
        <w:rPr>
          <w:b/>
          <w:bCs/>
          <w:szCs w:val="24"/>
        </w:rPr>
        <w:t>201</w:t>
      </w:r>
      <w:r w:rsidR="00A5134C">
        <w:rPr>
          <w:b/>
          <w:bCs/>
          <w:szCs w:val="24"/>
        </w:rPr>
        <w:t>8</w:t>
      </w:r>
    </w:p>
    <w:p w14:paraId="6FD2F644" w14:textId="77777777" w:rsidR="0030585F" w:rsidRPr="00EE32FF" w:rsidRDefault="0030585F" w:rsidP="00A363CB">
      <w:pPr>
        <w:autoSpaceDE w:val="0"/>
        <w:autoSpaceDN w:val="0"/>
        <w:adjustRightInd w:val="0"/>
        <w:spacing w:before="240" w:after="120"/>
        <w:jc w:val="center"/>
        <w:rPr>
          <w:b/>
          <w:bCs/>
          <w:szCs w:val="24"/>
        </w:rPr>
      </w:pPr>
    </w:p>
    <w:p w14:paraId="0B3E93DB" w14:textId="77777777" w:rsidR="0030585F" w:rsidRDefault="0030585F" w:rsidP="002E1092">
      <w:pPr>
        <w:autoSpaceDE w:val="0"/>
        <w:autoSpaceDN w:val="0"/>
        <w:adjustRightInd w:val="0"/>
        <w:spacing w:before="240" w:after="120"/>
        <w:rPr>
          <w:b/>
          <w:bCs/>
          <w:szCs w:val="24"/>
        </w:rPr>
      </w:pPr>
    </w:p>
    <w:p w14:paraId="7ABAE37D" w14:textId="77777777" w:rsidR="00EE32FF" w:rsidRPr="00EE32FF" w:rsidRDefault="00EE32FF" w:rsidP="002E1092">
      <w:pPr>
        <w:autoSpaceDE w:val="0"/>
        <w:autoSpaceDN w:val="0"/>
        <w:adjustRightInd w:val="0"/>
        <w:spacing w:before="240" w:after="120"/>
        <w:rPr>
          <w:b/>
          <w:bCs/>
          <w:szCs w:val="24"/>
        </w:rPr>
      </w:pPr>
    </w:p>
    <w:p w14:paraId="6EB635AF" w14:textId="77777777" w:rsidR="0030585F" w:rsidRPr="00EE32FF" w:rsidRDefault="0030585F" w:rsidP="00A363CB">
      <w:pPr>
        <w:autoSpaceDE w:val="0"/>
        <w:autoSpaceDN w:val="0"/>
        <w:adjustRightInd w:val="0"/>
        <w:spacing w:before="240" w:after="120"/>
        <w:jc w:val="center"/>
        <w:rPr>
          <w:b/>
          <w:bCs/>
          <w:szCs w:val="24"/>
        </w:rPr>
      </w:pPr>
      <w:r w:rsidRPr="00EE32FF">
        <w:rPr>
          <w:b/>
          <w:bCs/>
          <w:szCs w:val="24"/>
        </w:rPr>
        <w:t>LEGISLATIVE ASSEMBLY FOR THE</w:t>
      </w:r>
    </w:p>
    <w:p w14:paraId="5F365D67" w14:textId="77777777" w:rsidR="0030585F" w:rsidRPr="00EE32FF" w:rsidRDefault="0030585F" w:rsidP="00A363CB">
      <w:pPr>
        <w:autoSpaceDE w:val="0"/>
        <w:autoSpaceDN w:val="0"/>
        <w:adjustRightInd w:val="0"/>
        <w:spacing w:before="240" w:after="120"/>
        <w:jc w:val="center"/>
        <w:rPr>
          <w:b/>
          <w:bCs/>
          <w:szCs w:val="24"/>
        </w:rPr>
      </w:pPr>
      <w:r w:rsidRPr="00EE32FF">
        <w:rPr>
          <w:b/>
          <w:bCs/>
          <w:szCs w:val="24"/>
        </w:rPr>
        <w:t>AUSTRALIAN CAPITAL TERRITORY</w:t>
      </w:r>
    </w:p>
    <w:p w14:paraId="43AA28BC" w14:textId="77777777" w:rsidR="0030585F" w:rsidRPr="00EE32FF" w:rsidRDefault="0030585F" w:rsidP="002E1092">
      <w:pPr>
        <w:autoSpaceDE w:val="0"/>
        <w:autoSpaceDN w:val="0"/>
        <w:adjustRightInd w:val="0"/>
        <w:spacing w:before="240" w:after="120"/>
        <w:rPr>
          <w:b/>
          <w:bCs/>
          <w:szCs w:val="24"/>
        </w:rPr>
      </w:pPr>
    </w:p>
    <w:p w14:paraId="71E998D9" w14:textId="77777777" w:rsidR="0030585F" w:rsidRPr="00EE32FF" w:rsidRDefault="0030585F" w:rsidP="00A363CB">
      <w:pPr>
        <w:autoSpaceDE w:val="0"/>
        <w:autoSpaceDN w:val="0"/>
        <w:adjustRightInd w:val="0"/>
        <w:spacing w:before="240" w:after="120"/>
        <w:jc w:val="center"/>
        <w:rPr>
          <w:b/>
          <w:bCs/>
          <w:szCs w:val="24"/>
        </w:rPr>
      </w:pPr>
    </w:p>
    <w:p w14:paraId="2999B3E5" w14:textId="68431E9C" w:rsidR="007326EC" w:rsidRPr="00C87B10" w:rsidRDefault="00321FCD" w:rsidP="00A363CB">
      <w:pPr>
        <w:spacing w:before="240" w:after="120"/>
        <w:jc w:val="center"/>
        <w:rPr>
          <w:b/>
          <w:bCs/>
          <w:caps/>
          <w:szCs w:val="24"/>
        </w:rPr>
      </w:pPr>
      <w:r>
        <w:rPr>
          <w:b/>
          <w:bCs/>
          <w:caps/>
          <w:szCs w:val="24"/>
        </w:rPr>
        <w:t>Sentencing Legislation Amendment Bill 2018</w:t>
      </w:r>
    </w:p>
    <w:p w14:paraId="089723CC" w14:textId="77777777" w:rsidR="0030585F" w:rsidRDefault="0030585F" w:rsidP="00A363CB">
      <w:pPr>
        <w:autoSpaceDE w:val="0"/>
        <w:autoSpaceDN w:val="0"/>
        <w:adjustRightInd w:val="0"/>
        <w:spacing w:before="240" w:after="120"/>
        <w:rPr>
          <w:b/>
          <w:bCs/>
          <w:szCs w:val="24"/>
        </w:rPr>
      </w:pPr>
    </w:p>
    <w:p w14:paraId="29450727" w14:textId="77777777" w:rsidR="00EE32FF" w:rsidRPr="00EE32FF" w:rsidRDefault="00EE32FF" w:rsidP="00A363CB">
      <w:pPr>
        <w:autoSpaceDE w:val="0"/>
        <w:autoSpaceDN w:val="0"/>
        <w:adjustRightInd w:val="0"/>
        <w:spacing w:before="240" w:after="120"/>
        <w:rPr>
          <w:b/>
          <w:bCs/>
          <w:szCs w:val="24"/>
        </w:rPr>
      </w:pPr>
    </w:p>
    <w:p w14:paraId="583025EE" w14:textId="77777777" w:rsidR="0030585F" w:rsidRPr="00EE32FF" w:rsidRDefault="0030585F" w:rsidP="00A363CB">
      <w:pPr>
        <w:autoSpaceDE w:val="0"/>
        <w:autoSpaceDN w:val="0"/>
        <w:adjustRightInd w:val="0"/>
        <w:spacing w:before="240" w:after="120"/>
        <w:jc w:val="center"/>
        <w:rPr>
          <w:b/>
          <w:bCs/>
          <w:szCs w:val="24"/>
        </w:rPr>
      </w:pPr>
      <w:r w:rsidRPr="00EE32FF">
        <w:rPr>
          <w:b/>
          <w:bCs/>
          <w:szCs w:val="24"/>
        </w:rPr>
        <w:t>EXPLANATORY STATEMENT</w:t>
      </w:r>
    </w:p>
    <w:p w14:paraId="4A2BEF3B" w14:textId="77777777" w:rsidR="0030585F" w:rsidRPr="00EE32FF" w:rsidRDefault="0030585F" w:rsidP="00A363CB">
      <w:pPr>
        <w:autoSpaceDE w:val="0"/>
        <w:autoSpaceDN w:val="0"/>
        <w:adjustRightInd w:val="0"/>
        <w:spacing w:before="240" w:after="120"/>
        <w:rPr>
          <w:b/>
          <w:bCs/>
          <w:szCs w:val="24"/>
        </w:rPr>
      </w:pPr>
    </w:p>
    <w:p w14:paraId="1285871F" w14:textId="77777777" w:rsidR="007B7934" w:rsidRPr="00EE32FF" w:rsidRDefault="007B7934" w:rsidP="00A363CB">
      <w:pPr>
        <w:autoSpaceDE w:val="0"/>
        <w:autoSpaceDN w:val="0"/>
        <w:adjustRightInd w:val="0"/>
        <w:spacing w:before="240" w:after="120"/>
        <w:rPr>
          <w:b/>
          <w:bCs/>
          <w:szCs w:val="24"/>
        </w:rPr>
      </w:pPr>
    </w:p>
    <w:p w14:paraId="279D7E30" w14:textId="77777777" w:rsidR="0030585F" w:rsidRPr="00EE32FF" w:rsidRDefault="0030585F" w:rsidP="00A363CB">
      <w:pPr>
        <w:autoSpaceDE w:val="0"/>
        <w:autoSpaceDN w:val="0"/>
        <w:adjustRightInd w:val="0"/>
        <w:spacing w:before="240" w:after="120"/>
        <w:rPr>
          <w:b/>
          <w:bCs/>
          <w:szCs w:val="24"/>
        </w:rPr>
      </w:pPr>
    </w:p>
    <w:p w14:paraId="5FFECDAE" w14:textId="77777777" w:rsidR="00852B37" w:rsidRDefault="00852B37" w:rsidP="00A363CB">
      <w:pPr>
        <w:autoSpaceDE w:val="0"/>
        <w:autoSpaceDN w:val="0"/>
        <w:adjustRightInd w:val="0"/>
        <w:spacing w:before="240" w:after="120"/>
        <w:rPr>
          <w:b/>
          <w:bCs/>
          <w:szCs w:val="24"/>
        </w:rPr>
      </w:pPr>
    </w:p>
    <w:p w14:paraId="4D2568AC" w14:textId="77777777" w:rsidR="00EE32FF" w:rsidRPr="009428EA" w:rsidRDefault="00EE32FF" w:rsidP="00A363CB">
      <w:pPr>
        <w:autoSpaceDE w:val="0"/>
        <w:autoSpaceDN w:val="0"/>
        <w:adjustRightInd w:val="0"/>
        <w:spacing w:before="240" w:after="120"/>
        <w:rPr>
          <w:b/>
          <w:bCs/>
          <w:szCs w:val="24"/>
        </w:rPr>
      </w:pPr>
    </w:p>
    <w:p w14:paraId="2F2D6DDF" w14:textId="77777777" w:rsidR="0030585F" w:rsidRPr="009428EA" w:rsidRDefault="0030585F" w:rsidP="00A363CB">
      <w:pPr>
        <w:autoSpaceDE w:val="0"/>
        <w:autoSpaceDN w:val="0"/>
        <w:adjustRightInd w:val="0"/>
        <w:spacing w:before="240" w:after="120"/>
        <w:rPr>
          <w:b/>
          <w:bCs/>
          <w:szCs w:val="24"/>
        </w:rPr>
      </w:pPr>
    </w:p>
    <w:p w14:paraId="7CDCC040" w14:textId="77777777" w:rsidR="0030585F" w:rsidRPr="009428EA" w:rsidRDefault="0030585F" w:rsidP="00A363CB">
      <w:pPr>
        <w:autoSpaceDE w:val="0"/>
        <w:autoSpaceDN w:val="0"/>
        <w:adjustRightInd w:val="0"/>
        <w:spacing w:before="240" w:after="120"/>
        <w:rPr>
          <w:b/>
          <w:bCs/>
          <w:szCs w:val="24"/>
        </w:rPr>
      </w:pPr>
    </w:p>
    <w:p w14:paraId="3BC858F4" w14:textId="77777777" w:rsidR="0030585F" w:rsidRPr="00EE32FF" w:rsidRDefault="0030585F" w:rsidP="00EE32FF">
      <w:pPr>
        <w:autoSpaceDE w:val="0"/>
        <w:autoSpaceDN w:val="0"/>
        <w:adjustRightInd w:val="0"/>
        <w:spacing w:after="0" w:line="240" w:lineRule="auto"/>
        <w:jc w:val="right"/>
        <w:rPr>
          <w:szCs w:val="24"/>
        </w:rPr>
      </w:pPr>
      <w:r w:rsidRPr="00EE32FF">
        <w:rPr>
          <w:szCs w:val="24"/>
        </w:rPr>
        <w:t>Presented by</w:t>
      </w:r>
    </w:p>
    <w:p w14:paraId="10094C4E" w14:textId="2A10328A" w:rsidR="0030585F" w:rsidRPr="00EE32FF" w:rsidRDefault="00394AD2" w:rsidP="00EE32FF">
      <w:pPr>
        <w:autoSpaceDE w:val="0"/>
        <w:autoSpaceDN w:val="0"/>
        <w:adjustRightInd w:val="0"/>
        <w:spacing w:after="0" w:line="240" w:lineRule="auto"/>
        <w:jc w:val="right"/>
        <w:rPr>
          <w:szCs w:val="24"/>
        </w:rPr>
      </w:pPr>
      <w:r>
        <w:rPr>
          <w:szCs w:val="24"/>
        </w:rPr>
        <w:t>Shane Rattenbury</w:t>
      </w:r>
      <w:r w:rsidR="0030585F" w:rsidRPr="00EE32FF">
        <w:rPr>
          <w:szCs w:val="24"/>
        </w:rPr>
        <w:t xml:space="preserve"> MLA</w:t>
      </w:r>
    </w:p>
    <w:sdt>
      <w:sdtPr>
        <w:rPr>
          <w:szCs w:val="24"/>
        </w:rPr>
        <w:alias w:val="Relevant Minister"/>
        <w:tag w:val="Relevant Minister"/>
        <w:id w:val="172944409"/>
        <w:placeholder>
          <w:docPart w:val="DefaultPlaceholder_22675704"/>
        </w:placeholder>
        <w:dropDownList>
          <w:listItem w:displayText="Choose item." w:value="Choose item."/>
          <w:listItem w:displayText="Attorney-General" w:value="Attorney-General"/>
          <w:listItem w:displayText="Minister for the Prevention of Domestic and Family Violence" w:value="Minister for the Prevention of Domestic and Family Violence"/>
          <w:listItem w:displayText="Minister for Police and Emergency Services" w:value="Minister for Police and Emergency Services"/>
          <w:listItem w:displayText="Minister for Justice, Consumer Affairs and Road Safety" w:value="Minister for Justice, Consumer Affairs and Road Safety"/>
          <w:listItem w:displayText="Minister for Corrections" w:value="Minister for Corrections"/>
        </w:dropDownList>
      </w:sdtPr>
      <w:sdtEndPr/>
      <w:sdtContent>
        <w:p w14:paraId="4FC100A3" w14:textId="245F0C05" w:rsidR="0030585F" w:rsidRPr="00EE32FF" w:rsidRDefault="00321FCD" w:rsidP="00EE32FF">
          <w:pPr>
            <w:spacing w:after="0" w:line="240" w:lineRule="auto"/>
            <w:jc w:val="right"/>
            <w:rPr>
              <w:szCs w:val="24"/>
            </w:rPr>
          </w:pPr>
          <w:r>
            <w:rPr>
              <w:szCs w:val="24"/>
            </w:rPr>
            <w:t>Minister for Justice, Consumer Affairs and Road Safety</w:t>
          </w:r>
        </w:p>
      </w:sdtContent>
    </w:sdt>
    <w:p w14:paraId="3A423ED0" w14:textId="77777777" w:rsidR="00EE32FF" w:rsidRDefault="009428EA" w:rsidP="002E1092">
      <w:pPr>
        <w:spacing w:after="120"/>
        <w:jc w:val="center"/>
        <w:rPr>
          <w:b/>
          <w:bCs/>
          <w:szCs w:val="24"/>
        </w:rPr>
        <w:sectPr w:rsidR="00EE32FF" w:rsidSect="006B28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pPr>
      <w:r>
        <w:rPr>
          <w:b/>
          <w:bCs/>
          <w:szCs w:val="24"/>
        </w:rPr>
        <w:br w:type="page"/>
      </w:r>
    </w:p>
    <w:p w14:paraId="1A7083FC" w14:textId="6267CBD9" w:rsidR="00BF0E36" w:rsidRPr="00A5134C" w:rsidRDefault="00394AD2" w:rsidP="002E1092">
      <w:pPr>
        <w:spacing w:after="120"/>
        <w:jc w:val="center"/>
        <w:rPr>
          <w:b/>
          <w:bCs/>
          <w:caps/>
          <w:szCs w:val="24"/>
        </w:rPr>
      </w:pPr>
      <w:r>
        <w:rPr>
          <w:b/>
          <w:bCs/>
          <w:caps/>
          <w:szCs w:val="24"/>
        </w:rPr>
        <w:lastRenderedPageBreak/>
        <w:t>Sentencing Legislation Amendment Bill 2018</w:t>
      </w:r>
    </w:p>
    <w:p w14:paraId="69842CE4" w14:textId="77777777" w:rsidR="006431CF" w:rsidRDefault="006431CF" w:rsidP="0088781C">
      <w:pPr>
        <w:pStyle w:val="Title"/>
      </w:pPr>
      <w:bookmarkStart w:id="1" w:name="_Toc426711258"/>
      <w:bookmarkStart w:id="2" w:name="_Toc429052821"/>
      <w:bookmarkStart w:id="3" w:name="_Toc523841317"/>
      <w:r w:rsidRPr="0088781C">
        <w:t>Outline</w:t>
      </w:r>
      <w:bookmarkEnd w:id="1"/>
      <w:bookmarkEnd w:id="2"/>
      <w:bookmarkEnd w:id="3"/>
    </w:p>
    <w:p w14:paraId="5C1EE4EA" w14:textId="77777777" w:rsidR="0011444A" w:rsidRDefault="00326167">
      <w:pPr>
        <w:pStyle w:val="TOC1"/>
        <w:tabs>
          <w:tab w:val="right" w:leader="dot" w:pos="9016"/>
        </w:tabs>
        <w:rPr>
          <w:rFonts w:asciiTheme="minorHAnsi" w:eastAsiaTheme="minorEastAsia" w:hAnsiTheme="minorHAnsi" w:cstheme="minorBidi"/>
          <w:noProof/>
          <w:sz w:val="22"/>
          <w:lang w:eastAsia="en-AU"/>
        </w:rPr>
      </w:pPr>
      <w:r>
        <w:fldChar w:fldCharType="begin"/>
      </w:r>
      <w:r w:rsidR="00AC5B87">
        <w:instrText xml:space="preserve"> TOC \o "1-3" \h \z \u </w:instrText>
      </w:r>
      <w:r>
        <w:fldChar w:fldCharType="separate"/>
      </w:r>
      <w:hyperlink w:anchor="_Toc523841317" w:history="1">
        <w:r w:rsidR="0011444A" w:rsidRPr="00AE4727">
          <w:rPr>
            <w:rStyle w:val="Hyperlink"/>
            <w:noProof/>
          </w:rPr>
          <w:t>Outline</w:t>
        </w:r>
        <w:r w:rsidR="0011444A">
          <w:rPr>
            <w:noProof/>
            <w:webHidden/>
          </w:rPr>
          <w:tab/>
        </w:r>
        <w:r w:rsidR="0011444A">
          <w:rPr>
            <w:noProof/>
            <w:webHidden/>
          </w:rPr>
          <w:fldChar w:fldCharType="begin"/>
        </w:r>
        <w:r w:rsidR="0011444A">
          <w:rPr>
            <w:noProof/>
            <w:webHidden/>
          </w:rPr>
          <w:instrText xml:space="preserve"> PAGEREF _Toc523841317 \h </w:instrText>
        </w:r>
        <w:r w:rsidR="0011444A">
          <w:rPr>
            <w:noProof/>
            <w:webHidden/>
          </w:rPr>
        </w:r>
        <w:r w:rsidR="0011444A">
          <w:rPr>
            <w:noProof/>
            <w:webHidden/>
          </w:rPr>
          <w:fldChar w:fldCharType="separate"/>
        </w:r>
        <w:r w:rsidR="00AB12E0">
          <w:rPr>
            <w:noProof/>
            <w:webHidden/>
          </w:rPr>
          <w:t>1</w:t>
        </w:r>
        <w:r w:rsidR="0011444A">
          <w:rPr>
            <w:noProof/>
            <w:webHidden/>
          </w:rPr>
          <w:fldChar w:fldCharType="end"/>
        </w:r>
      </w:hyperlink>
    </w:p>
    <w:p w14:paraId="2840B99B" w14:textId="77777777" w:rsidR="0011444A" w:rsidRDefault="00E50E3E">
      <w:pPr>
        <w:pStyle w:val="TOC2"/>
        <w:tabs>
          <w:tab w:val="right" w:leader="dot" w:pos="9016"/>
        </w:tabs>
        <w:rPr>
          <w:rFonts w:asciiTheme="minorHAnsi" w:eastAsiaTheme="minorEastAsia" w:hAnsiTheme="minorHAnsi" w:cstheme="minorBidi"/>
          <w:noProof/>
          <w:sz w:val="22"/>
          <w:lang w:eastAsia="en-AU"/>
        </w:rPr>
      </w:pPr>
      <w:hyperlink w:anchor="_Toc523841318" w:history="1">
        <w:r w:rsidR="0011444A" w:rsidRPr="00AE4727">
          <w:rPr>
            <w:rStyle w:val="Hyperlink"/>
            <w:noProof/>
          </w:rPr>
          <w:t>Purpose of the Bill</w:t>
        </w:r>
        <w:r w:rsidR="0011444A">
          <w:rPr>
            <w:noProof/>
            <w:webHidden/>
          </w:rPr>
          <w:tab/>
        </w:r>
        <w:r w:rsidR="0011444A">
          <w:rPr>
            <w:noProof/>
            <w:webHidden/>
          </w:rPr>
          <w:fldChar w:fldCharType="begin"/>
        </w:r>
        <w:r w:rsidR="0011444A">
          <w:rPr>
            <w:noProof/>
            <w:webHidden/>
          </w:rPr>
          <w:instrText xml:space="preserve"> PAGEREF _Toc523841318 \h </w:instrText>
        </w:r>
        <w:r w:rsidR="0011444A">
          <w:rPr>
            <w:noProof/>
            <w:webHidden/>
          </w:rPr>
        </w:r>
        <w:r w:rsidR="0011444A">
          <w:rPr>
            <w:noProof/>
            <w:webHidden/>
          </w:rPr>
          <w:fldChar w:fldCharType="separate"/>
        </w:r>
        <w:r w:rsidR="00AB12E0">
          <w:rPr>
            <w:noProof/>
            <w:webHidden/>
          </w:rPr>
          <w:t>2</w:t>
        </w:r>
        <w:r w:rsidR="0011444A">
          <w:rPr>
            <w:noProof/>
            <w:webHidden/>
          </w:rPr>
          <w:fldChar w:fldCharType="end"/>
        </w:r>
      </w:hyperlink>
    </w:p>
    <w:p w14:paraId="561D258E" w14:textId="77777777" w:rsidR="0011444A" w:rsidRDefault="00E50E3E">
      <w:pPr>
        <w:pStyle w:val="TOC2"/>
        <w:tabs>
          <w:tab w:val="right" w:leader="dot" w:pos="9016"/>
        </w:tabs>
        <w:rPr>
          <w:rFonts w:asciiTheme="minorHAnsi" w:eastAsiaTheme="minorEastAsia" w:hAnsiTheme="minorHAnsi" w:cstheme="minorBidi"/>
          <w:noProof/>
          <w:sz w:val="22"/>
          <w:lang w:eastAsia="en-AU"/>
        </w:rPr>
      </w:pPr>
      <w:hyperlink w:anchor="_Toc523841319" w:history="1">
        <w:r w:rsidR="0011444A" w:rsidRPr="00AE4727">
          <w:rPr>
            <w:rStyle w:val="Hyperlink"/>
            <w:noProof/>
          </w:rPr>
          <w:t>Human Rights Considerations</w:t>
        </w:r>
        <w:r w:rsidR="0011444A">
          <w:rPr>
            <w:noProof/>
            <w:webHidden/>
          </w:rPr>
          <w:tab/>
        </w:r>
        <w:r w:rsidR="0011444A">
          <w:rPr>
            <w:noProof/>
            <w:webHidden/>
          </w:rPr>
          <w:fldChar w:fldCharType="begin"/>
        </w:r>
        <w:r w:rsidR="0011444A">
          <w:rPr>
            <w:noProof/>
            <w:webHidden/>
          </w:rPr>
          <w:instrText xml:space="preserve"> PAGEREF _Toc523841319 \h </w:instrText>
        </w:r>
        <w:r w:rsidR="0011444A">
          <w:rPr>
            <w:noProof/>
            <w:webHidden/>
          </w:rPr>
        </w:r>
        <w:r w:rsidR="0011444A">
          <w:rPr>
            <w:noProof/>
            <w:webHidden/>
          </w:rPr>
          <w:fldChar w:fldCharType="separate"/>
        </w:r>
        <w:r w:rsidR="00AB12E0">
          <w:rPr>
            <w:noProof/>
            <w:webHidden/>
          </w:rPr>
          <w:t>2</w:t>
        </w:r>
        <w:r w:rsidR="0011444A">
          <w:rPr>
            <w:noProof/>
            <w:webHidden/>
          </w:rPr>
          <w:fldChar w:fldCharType="end"/>
        </w:r>
      </w:hyperlink>
    </w:p>
    <w:p w14:paraId="3736A5E8" w14:textId="77777777" w:rsidR="0011444A" w:rsidRDefault="00E50E3E">
      <w:pPr>
        <w:pStyle w:val="TOC1"/>
        <w:tabs>
          <w:tab w:val="right" w:leader="dot" w:pos="9016"/>
        </w:tabs>
        <w:rPr>
          <w:rFonts w:asciiTheme="minorHAnsi" w:eastAsiaTheme="minorEastAsia" w:hAnsiTheme="minorHAnsi" w:cstheme="minorBidi"/>
          <w:noProof/>
          <w:sz w:val="22"/>
          <w:lang w:eastAsia="en-AU"/>
        </w:rPr>
      </w:pPr>
      <w:hyperlink w:anchor="_Toc523841320" w:history="1">
        <w:r w:rsidR="0011444A" w:rsidRPr="00AE4727">
          <w:rPr>
            <w:rStyle w:val="Hyperlink"/>
            <w:noProof/>
            <w:lang w:eastAsia="en-AU"/>
          </w:rPr>
          <w:t>Detail</w:t>
        </w:r>
        <w:r w:rsidR="0011444A">
          <w:rPr>
            <w:noProof/>
            <w:webHidden/>
          </w:rPr>
          <w:tab/>
        </w:r>
        <w:r w:rsidR="0011444A">
          <w:rPr>
            <w:noProof/>
            <w:webHidden/>
          </w:rPr>
          <w:fldChar w:fldCharType="begin"/>
        </w:r>
        <w:r w:rsidR="0011444A">
          <w:rPr>
            <w:noProof/>
            <w:webHidden/>
          </w:rPr>
          <w:instrText xml:space="preserve"> PAGEREF _Toc523841320 \h </w:instrText>
        </w:r>
        <w:r w:rsidR="0011444A">
          <w:rPr>
            <w:noProof/>
            <w:webHidden/>
          </w:rPr>
        </w:r>
        <w:r w:rsidR="0011444A">
          <w:rPr>
            <w:noProof/>
            <w:webHidden/>
          </w:rPr>
          <w:fldChar w:fldCharType="separate"/>
        </w:r>
        <w:r w:rsidR="00AB12E0">
          <w:rPr>
            <w:noProof/>
            <w:webHidden/>
          </w:rPr>
          <w:t>9</w:t>
        </w:r>
        <w:r w:rsidR="0011444A">
          <w:rPr>
            <w:noProof/>
            <w:webHidden/>
          </w:rPr>
          <w:fldChar w:fldCharType="end"/>
        </w:r>
      </w:hyperlink>
    </w:p>
    <w:p w14:paraId="46878FA5" w14:textId="77777777" w:rsidR="0011444A" w:rsidRDefault="00E50E3E">
      <w:pPr>
        <w:pStyle w:val="TOC1"/>
        <w:tabs>
          <w:tab w:val="right" w:leader="dot" w:pos="9016"/>
        </w:tabs>
        <w:rPr>
          <w:rFonts w:asciiTheme="minorHAnsi" w:eastAsiaTheme="minorEastAsia" w:hAnsiTheme="minorHAnsi" w:cstheme="minorBidi"/>
          <w:noProof/>
          <w:sz w:val="22"/>
          <w:lang w:eastAsia="en-AU"/>
        </w:rPr>
      </w:pPr>
      <w:hyperlink w:anchor="_Toc523841321" w:history="1">
        <w:r w:rsidR="0011444A" w:rsidRPr="00AE4727">
          <w:rPr>
            <w:rStyle w:val="Hyperlink"/>
            <w:noProof/>
            <w:lang w:eastAsia="en-AU"/>
          </w:rPr>
          <w:t>Part 1 – Preliminary</w:t>
        </w:r>
        <w:r w:rsidR="0011444A">
          <w:rPr>
            <w:noProof/>
            <w:webHidden/>
          </w:rPr>
          <w:tab/>
        </w:r>
        <w:r w:rsidR="0011444A">
          <w:rPr>
            <w:noProof/>
            <w:webHidden/>
          </w:rPr>
          <w:fldChar w:fldCharType="begin"/>
        </w:r>
        <w:r w:rsidR="0011444A">
          <w:rPr>
            <w:noProof/>
            <w:webHidden/>
          </w:rPr>
          <w:instrText xml:space="preserve"> PAGEREF _Toc523841321 \h </w:instrText>
        </w:r>
        <w:r w:rsidR="0011444A">
          <w:rPr>
            <w:noProof/>
            <w:webHidden/>
          </w:rPr>
        </w:r>
        <w:r w:rsidR="0011444A">
          <w:rPr>
            <w:noProof/>
            <w:webHidden/>
          </w:rPr>
          <w:fldChar w:fldCharType="separate"/>
        </w:r>
        <w:r w:rsidR="00AB12E0">
          <w:rPr>
            <w:noProof/>
            <w:webHidden/>
          </w:rPr>
          <w:t>9</w:t>
        </w:r>
        <w:r w:rsidR="0011444A">
          <w:rPr>
            <w:noProof/>
            <w:webHidden/>
          </w:rPr>
          <w:fldChar w:fldCharType="end"/>
        </w:r>
      </w:hyperlink>
    </w:p>
    <w:p w14:paraId="599E8907" w14:textId="77777777" w:rsidR="0011444A" w:rsidRDefault="00E50E3E">
      <w:pPr>
        <w:pStyle w:val="TOC1"/>
        <w:tabs>
          <w:tab w:val="right" w:leader="dot" w:pos="9016"/>
        </w:tabs>
        <w:rPr>
          <w:rFonts w:asciiTheme="minorHAnsi" w:eastAsiaTheme="minorEastAsia" w:hAnsiTheme="minorHAnsi" w:cstheme="minorBidi"/>
          <w:noProof/>
          <w:sz w:val="22"/>
          <w:lang w:eastAsia="en-AU"/>
        </w:rPr>
      </w:pPr>
      <w:hyperlink w:anchor="_Toc523841322" w:history="1">
        <w:r w:rsidR="0011444A" w:rsidRPr="00AE4727">
          <w:rPr>
            <w:rStyle w:val="Hyperlink"/>
            <w:noProof/>
            <w:lang w:eastAsia="en-AU"/>
          </w:rPr>
          <w:t>Part 2 – Crimes (Sentence Administration) Act 2005</w:t>
        </w:r>
        <w:r w:rsidR="0011444A">
          <w:rPr>
            <w:noProof/>
            <w:webHidden/>
          </w:rPr>
          <w:tab/>
        </w:r>
        <w:r w:rsidR="0011444A">
          <w:rPr>
            <w:noProof/>
            <w:webHidden/>
          </w:rPr>
          <w:fldChar w:fldCharType="begin"/>
        </w:r>
        <w:r w:rsidR="0011444A">
          <w:rPr>
            <w:noProof/>
            <w:webHidden/>
          </w:rPr>
          <w:instrText xml:space="preserve"> PAGEREF _Toc523841322 \h </w:instrText>
        </w:r>
        <w:r w:rsidR="0011444A">
          <w:rPr>
            <w:noProof/>
            <w:webHidden/>
          </w:rPr>
        </w:r>
        <w:r w:rsidR="0011444A">
          <w:rPr>
            <w:noProof/>
            <w:webHidden/>
          </w:rPr>
          <w:fldChar w:fldCharType="separate"/>
        </w:r>
        <w:r w:rsidR="00AB12E0">
          <w:rPr>
            <w:noProof/>
            <w:webHidden/>
          </w:rPr>
          <w:t>9</w:t>
        </w:r>
        <w:r w:rsidR="0011444A">
          <w:rPr>
            <w:noProof/>
            <w:webHidden/>
          </w:rPr>
          <w:fldChar w:fldCharType="end"/>
        </w:r>
      </w:hyperlink>
    </w:p>
    <w:p w14:paraId="31FBB473" w14:textId="77777777" w:rsidR="0011444A" w:rsidRDefault="00E50E3E">
      <w:pPr>
        <w:pStyle w:val="TOC1"/>
        <w:tabs>
          <w:tab w:val="right" w:leader="dot" w:pos="9016"/>
        </w:tabs>
        <w:rPr>
          <w:rFonts w:asciiTheme="minorHAnsi" w:eastAsiaTheme="minorEastAsia" w:hAnsiTheme="minorHAnsi" w:cstheme="minorBidi"/>
          <w:noProof/>
          <w:sz w:val="22"/>
          <w:lang w:eastAsia="en-AU"/>
        </w:rPr>
      </w:pPr>
      <w:hyperlink w:anchor="_Toc523841323" w:history="1">
        <w:r w:rsidR="0011444A" w:rsidRPr="00AE4727">
          <w:rPr>
            <w:rStyle w:val="Hyperlink"/>
            <w:noProof/>
            <w:lang w:eastAsia="en-AU"/>
          </w:rPr>
          <w:t>Part 3 – Crimes (Sentencing) Act 2005</w:t>
        </w:r>
        <w:r w:rsidR="0011444A">
          <w:rPr>
            <w:noProof/>
            <w:webHidden/>
          </w:rPr>
          <w:tab/>
        </w:r>
        <w:r w:rsidR="0011444A">
          <w:rPr>
            <w:noProof/>
            <w:webHidden/>
          </w:rPr>
          <w:fldChar w:fldCharType="begin"/>
        </w:r>
        <w:r w:rsidR="0011444A">
          <w:rPr>
            <w:noProof/>
            <w:webHidden/>
          </w:rPr>
          <w:instrText xml:space="preserve"> PAGEREF _Toc523841323 \h </w:instrText>
        </w:r>
        <w:r w:rsidR="0011444A">
          <w:rPr>
            <w:noProof/>
            <w:webHidden/>
          </w:rPr>
        </w:r>
        <w:r w:rsidR="0011444A">
          <w:rPr>
            <w:noProof/>
            <w:webHidden/>
          </w:rPr>
          <w:fldChar w:fldCharType="separate"/>
        </w:r>
        <w:r w:rsidR="00AB12E0">
          <w:rPr>
            <w:noProof/>
            <w:webHidden/>
          </w:rPr>
          <w:t>12</w:t>
        </w:r>
        <w:r w:rsidR="0011444A">
          <w:rPr>
            <w:noProof/>
            <w:webHidden/>
          </w:rPr>
          <w:fldChar w:fldCharType="end"/>
        </w:r>
      </w:hyperlink>
    </w:p>
    <w:p w14:paraId="204670A1" w14:textId="77777777" w:rsidR="0011444A" w:rsidRDefault="00E50E3E">
      <w:pPr>
        <w:pStyle w:val="TOC1"/>
        <w:tabs>
          <w:tab w:val="right" w:leader="dot" w:pos="9016"/>
        </w:tabs>
        <w:rPr>
          <w:rFonts w:asciiTheme="minorHAnsi" w:eastAsiaTheme="minorEastAsia" w:hAnsiTheme="minorHAnsi" w:cstheme="minorBidi"/>
          <w:noProof/>
          <w:sz w:val="22"/>
          <w:lang w:eastAsia="en-AU"/>
        </w:rPr>
      </w:pPr>
      <w:hyperlink w:anchor="_Toc523841324" w:history="1">
        <w:r w:rsidR="0011444A" w:rsidRPr="00AE4727">
          <w:rPr>
            <w:rStyle w:val="Hyperlink"/>
            <w:noProof/>
            <w:lang w:eastAsia="en-AU"/>
          </w:rPr>
          <w:t>Schedule 1 – Other amendments</w:t>
        </w:r>
        <w:r w:rsidR="0011444A">
          <w:rPr>
            <w:noProof/>
            <w:webHidden/>
          </w:rPr>
          <w:tab/>
        </w:r>
        <w:r w:rsidR="0011444A">
          <w:rPr>
            <w:noProof/>
            <w:webHidden/>
          </w:rPr>
          <w:fldChar w:fldCharType="begin"/>
        </w:r>
        <w:r w:rsidR="0011444A">
          <w:rPr>
            <w:noProof/>
            <w:webHidden/>
          </w:rPr>
          <w:instrText xml:space="preserve"> PAGEREF _Toc523841324 \h </w:instrText>
        </w:r>
        <w:r w:rsidR="0011444A">
          <w:rPr>
            <w:noProof/>
            <w:webHidden/>
          </w:rPr>
        </w:r>
        <w:r w:rsidR="0011444A">
          <w:rPr>
            <w:noProof/>
            <w:webHidden/>
          </w:rPr>
          <w:fldChar w:fldCharType="separate"/>
        </w:r>
        <w:r w:rsidR="00AB12E0">
          <w:rPr>
            <w:noProof/>
            <w:webHidden/>
          </w:rPr>
          <w:t>16</w:t>
        </w:r>
        <w:r w:rsidR="0011444A">
          <w:rPr>
            <w:noProof/>
            <w:webHidden/>
          </w:rPr>
          <w:fldChar w:fldCharType="end"/>
        </w:r>
      </w:hyperlink>
    </w:p>
    <w:p w14:paraId="495B8397" w14:textId="77777777" w:rsidR="0011444A" w:rsidRDefault="00E50E3E">
      <w:pPr>
        <w:pStyle w:val="TOC3"/>
        <w:tabs>
          <w:tab w:val="right" w:leader="dot" w:pos="9016"/>
        </w:tabs>
        <w:rPr>
          <w:rFonts w:asciiTheme="minorHAnsi" w:eastAsiaTheme="minorEastAsia" w:hAnsiTheme="minorHAnsi" w:cstheme="minorBidi"/>
          <w:noProof/>
          <w:sz w:val="22"/>
          <w:lang w:eastAsia="en-AU"/>
        </w:rPr>
      </w:pPr>
      <w:hyperlink w:anchor="_Toc523841325" w:history="1">
        <w:r w:rsidR="0011444A" w:rsidRPr="00AE4727">
          <w:rPr>
            <w:rStyle w:val="Hyperlink"/>
            <w:noProof/>
          </w:rPr>
          <w:t xml:space="preserve">Part 1.1 – </w:t>
        </w:r>
        <w:r w:rsidR="0011444A" w:rsidRPr="00AE4727">
          <w:rPr>
            <w:rStyle w:val="Hyperlink"/>
            <w:noProof/>
            <w:lang w:eastAsia="en-AU"/>
          </w:rPr>
          <w:t>Crimes Act 1900</w:t>
        </w:r>
        <w:r w:rsidR="0011444A">
          <w:rPr>
            <w:noProof/>
            <w:webHidden/>
          </w:rPr>
          <w:tab/>
        </w:r>
        <w:r w:rsidR="0011444A">
          <w:rPr>
            <w:noProof/>
            <w:webHidden/>
          </w:rPr>
          <w:fldChar w:fldCharType="begin"/>
        </w:r>
        <w:r w:rsidR="0011444A">
          <w:rPr>
            <w:noProof/>
            <w:webHidden/>
          </w:rPr>
          <w:instrText xml:space="preserve"> PAGEREF _Toc523841325 \h </w:instrText>
        </w:r>
        <w:r w:rsidR="0011444A">
          <w:rPr>
            <w:noProof/>
            <w:webHidden/>
          </w:rPr>
        </w:r>
        <w:r w:rsidR="0011444A">
          <w:rPr>
            <w:noProof/>
            <w:webHidden/>
          </w:rPr>
          <w:fldChar w:fldCharType="separate"/>
        </w:r>
        <w:r w:rsidR="00AB12E0">
          <w:rPr>
            <w:noProof/>
            <w:webHidden/>
          </w:rPr>
          <w:t>16</w:t>
        </w:r>
        <w:r w:rsidR="0011444A">
          <w:rPr>
            <w:noProof/>
            <w:webHidden/>
          </w:rPr>
          <w:fldChar w:fldCharType="end"/>
        </w:r>
      </w:hyperlink>
    </w:p>
    <w:p w14:paraId="56D40D0C" w14:textId="77777777" w:rsidR="0011444A" w:rsidRDefault="00E50E3E">
      <w:pPr>
        <w:pStyle w:val="TOC3"/>
        <w:tabs>
          <w:tab w:val="right" w:leader="dot" w:pos="9016"/>
        </w:tabs>
        <w:rPr>
          <w:rFonts w:asciiTheme="minorHAnsi" w:eastAsiaTheme="minorEastAsia" w:hAnsiTheme="minorHAnsi" w:cstheme="minorBidi"/>
          <w:noProof/>
          <w:sz w:val="22"/>
          <w:lang w:eastAsia="en-AU"/>
        </w:rPr>
      </w:pPr>
      <w:hyperlink w:anchor="_Toc523841326" w:history="1">
        <w:r w:rsidR="0011444A" w:rsidRPr="00AE4727">
          <w:rPr>
            <w:rStyle w:val="Hyperlink"/>
            <w:noProof/>
          </w:rPr>
          <w:t xml:space="preserve">Part 1.2 – </w:t>
        </w:r>
        <w:r w:rsidR="0011444A" w:rsidRPr="00AE4727">
          <w:rPr>
            <w:rStyle w:val="Hyperlink"/>
            <w:noProof/>
            <w:lang w:eastAsia="en-AU"/>
          </w:rPr>
          <w:t>Road Transport (General) Act 1999</w:t>
        </w:r>
        <w:r w:rsidR="0011444A">
          <w:rPr>
            <w:noProof/>
            <w:webHidden/>
          </w:rPr>
          <w:tab/>
        </w:r>
        <w:r w:rsidR="0011444A">
          <w:rPr>
            <w:noProof/>
            <w:webHidden/>
          </w:rPr>
          <w:fldChar w:fldCharType="begin"/>
        </w:r>
        <w:r w:rsidR="0011444A">
          <w:rPr>
            <w:noProof/>
            <w:webHidden/>
          </w:rPr>
          <w:instrText xml:space="preserve"> PAGEREF _Toc523841326 \h </w:instrText>
        </w:r>
        <w:r w:rsidR="0011444A">
          <w:rPr>
            <w:noProof/>
            <w:webHidden/>
          </w:rPr>
        </w:r>
        <w:r w:rsidR="0011444A">
          <w:rPr>
            <w:noProof/>
            <w:webHidden/>
          </w:rPr>
          <w:fldChar w:fldCharType="separate"/>
        </w:r>
        <w:r w:rsidR="00AB12E0">
          <w:rPr>
            <w:noProof/>
            <w:webHidden/>
          </w:rPr>
          <w:t>16</w:t>
        </w:r>
        <w:r w:rsidR="0011444A">
          <w:rPr>
            <w:noProof/>
            <w:webHidden/>
          </w:rPr>
          <w:fldChar w:fldCharType="end"/>
        </w:r>
      </w:hyperlink>
    </w:p>
    <w:p w14:paraId="314FFBD4" w14:textId="77777777" w:rsidR="00AC5B87" w:rsidRPr="00AC5B87" w:rsidRDefault="00326167" w:rsidP="00AC5B87">
      <w:r>
        <w:fldChar w:fldCharType="end"/>
      </w:r>
    </w:p>
    <w:p w14:paraId="0649DBE8" w14:textId="77777777" w:rsidR="00394AD2" w:rsidRDefault="00AC5B87" w:rsidP="002E1092">
      <w:pPr>
        <w:pStyle w:val="Heading2"/>
        <w:spacing w:after="120"/>
      </w:pPr>
      <w:bookmarkStart w:id="4" w:name="_Toc426711259"/>
      <w:bookmarkStart w:id="5" w:name="_Toc429052822"/>
      <w:r>
        <w:br w:type="page"/>
      </w:r>
    </w:p>
    <w:p w14:paraId="61FA9AF1" w14:textId="77B61802" w:rsidR="00394AD2" w:rsidRDefault="00394AD2" w:rsidP="007C11D6">
      <w:pPr>
        <w:rPr>
          <w:b/>
        </w:rPr>
      </w:pPr>
      <w:r w:rsidRPr="00394AD2">
        <w:lastRenderedPageBreak/>
        <w:t xml:space="preserve">This explanatory statement relates to the </w:t>
      </w:r>
      <w:r>
        <w:t xml:space="preserve">Sentencing Legislation Amendment Bill 2018 </w:t>
      </w:r>
      <w:r w:rsidR="00AB12E0">
        <w:t xml:space="preserve">(the Bill) </w:t>
      </w:r>
      <w:r w:rsidRPr="00394AD2">
        <w:t xml:space="preserve">as presented to the Legislative Assembly. It has been prepared in order to assist the reader of the </w:t>
      </w:r>
      <w:r w:rsidR="00AB12E0">
        <w:t>B</w:t>
      </w:r>
      <w:r w:rsidRPr="00394AD2">
        <w:t xml:space="preserve">ill and to help inform debate on it. It does not form part of the </w:t>
      </w:r>
      <w:r w:rsidR="00AB12E0">
        <w:t>B</w:t>
      </w:r>
      <w:r w:rsidRPr="00394AD2">
        <w:t>ill and has not been endorsed by the Assembly.</w:t>
      </w:r>
    </w:p>
    <w:p w14:paraId="5BDAB927" w14:textId="3B54AEEF" w:rsidR="00394AD2" w:rsidRPr="007C11D6" w:rsidRDefault="00394AD2" w:rsidP="00394AD2">
      <w:pPr>
        <w:rPr>
          <w:sz w:val="28"/>
        </w:rPr>
      </w:pPr>
      <w:r w:rsidRPr="007C11D6">
        <w:rPr>
          <w:szCs w:val="23"/>
        </w:rPr>
        <w:t xml:space="preserve">The Statement must to be read in conjunction with the </w:t>
      </w:r>
      <w:r w:rsidR="00AB12E0">
        <w:rPr>
          <w:szCs w:val="23"/>
        </w:rPr>
        <w:t>B</w:t>
      </w:r>
      <w:r w:rsidRPr="007C11D6">
        <w:rPr>
          <w:szCs w:val="23"/>
        </w:rPr>
        <w:t xml:space="preserve">ill. It is not, and is not meant to be, a comprehensive description of the </w:t>
      </w:r>
      <w:r w:rsidR="00AB12E0">
        <w:rPr>
          <w:szCs w:val="23"/>
        </w:rPr>
        <w:t>B</w:t>
      </w:r>
      <w:r w:rsidRPr="007C11D6">
        <w:rPr>
          <w:szCs w:val="23"/>
        </w:rPr>
        <w:t>ill. What is said about a provision is not to be taken as an authoritative guide to the meaning of a provision, this being a task for the courts.</w:t>
      </w:r>
    </w:p>
    <w:p w14:paraId="647CCAEE" w14:textId="5A8601A9" w:rsidR="0030585F" w:rsidRPr="002E1092" w:rsidRDefault="0030585F" w:rsidP="002E1092">
      <w:pPr>
        <w:pStyle w:val="Heading2"/>
        <w:spacing w:after="120"/>
      </w:pPr>
      <w:bookmarkStart w:id="6" w:name="_Toc523841318"/>
      <w:r w:rsidRPr="009428EA">
        <w:t>Purpose of the Bill</w:t>
      </w:r>
      <w:bookmarkEnd w:id="4"/>
      <w:bookmarkEnd w:id="5"/>
      <w:bookmarkEnd w:id="6"/>
    </w:p>
    <w:p w14:paraId="58CD13E9" w14:textId="74F599CE" w:rsidR="003258D0" w:rsidRPr="00A363CB" w:rsidRDefault="00CE1BDF" w:rsidP="003258D0">
      <w:pPr>
        <w:autoSpaceDE w:val="0"/>
        <w:autoSpaceDN w:val="0"/>
        <w:adjustRightInd w:val="0"/>
        <w:spacing w:before="240" w:after="120"/>
        <w:rPr>
          <w:szCs w:val="24"/>
        </w:rPr>
      </w:pPr>
      <w:r>
        <w:rPr>
          <w:szCs w:val="24"/>
        </w:rPr>
        <w:t xml:space="preserve">The </w:t>
      </w:r>
      <w:r w:rsidR="003258D0">
        <w:rPr>
          <w:szCs w:val="24"/>
        </w:rPr>
        <w:t xml:space="preserve">primary purpose of the </w:t>
      </w:r>
      <w:r w:rsidR="004D776A">
        <w:rPr>
          <w:szCs w:val="24"/>
        </w:rPr>
        <w:t>Bill</w:t>
      </w:r>
      <w:r w:rsidR="00DF7319">
        <w:rPr>
          <w:szCs w:val="24"/>
        </w:rPr>
        <w:t xml:space="preserve"> </w:t>
      </w:r>
      <w:r w:rsidR="003258D0">
        <w:rPr>
          <w:szCs w:val="24"/>
        </w:rPr>
        <w:t xml:space="preserve">is </w:t>
      </w:r>
      <w:r w:rsidR="00DF7319">
        <w:rPr>
          <w:szCs w:val="24"/>
        </w:rPr>
        <w:t xml:space="preserve">to </w:t>
      </w:r>
      <w:r w:rsidR="00B17261">
        <w:rPr>
          <w:szCs w:val="24"/>
        </w:rPr>
        <w:t xml:space="preserve">improve the operation of </w:t>
      </w:r>
      <w:r w:rsidR="0061458E">
        <w:rPr>
          <w:szCs w:val="24"/>
        </w:rPr>
        <w:t xml:space="preserve">the crimes </w:t>
      </w:r>
      <w:r w:rsidR="00B17261">
        <w:rPr>
          <w:szCs w:val="24"/>
        </w:rPr>
        <w:t xml:space="preserve">sentencing </w:t>
      </w:r>
      <w:r w:rsidR="0061458E">
        <w:rPr>
          <w:szCs w:val="24"/>
        </w:rPr>
        <w:t>scheme</w:t>
      </w:r>
      <w:r w:rsidR="00B17261">
        <w:rPr>
          <w:szCs w:val="24"/>
        </w:rPr>
        <w:t xml:space="preserve"> in the ACT</w:t>
      </w:r>
      <w:r w:rsidR="009A6B68">
        <w:rPr>
          <w:szCs w:val="24"/>
        </w:rPr>
        <w:t xml:space="preserve">, particularly in relation to </w:t>
      </w:r>
      <w:r w:rsidR="004D776A">
        <w:rPr>
          <w:szCs w:val="24"/>
        </w:rPr>
        <w:t>Intensive Correction Orders (ICO)</w:t>
      </w:r>
      <w:r w:rsidR="009A6B68">
        <w:rPr>
          <w:szCs w:val="24"/>
        </w:rPr>
        <w:t xml:space="preserve"> and</w:t>
      </w:r>
      <w:r w:rsidR="004D776A">
        <w:rPr>
          <w:szCs w:val="24"/>
        </w:rPr>
        <w:t xml:space="preserve"> community service work</w:t>
      </w:r>
      <w:r w:rsidR="009A6B68">
        <w:rPr>
          <w:szCs w:val="24"/>
        </w:rPr>
        <w:t>.</w:t>
      </w:r>
      <w:r w:rsidR="004D776A">
        <w:rPr>
          <w:szCs w:val="24"/>
        </w:rPr>
        <w:t xml:space="preserve"> </w:t>
      </w:r>
      <w:r w:rsidR="003258D0" w:rsidRPr="00197524">
        <w:rPr>
          <w:szCs w:val="24"/>
        </w:rPr>
        <w:t>Sentencing in criminal matters is an area of law which is constantly evolving</w:t>
      </w:r>
      <w:r w:rsidR="003258D0">
        <w:rPr>
          <w:szCs w:val="24"/>
        </w:rPr>
        <w:t>, and the Bill reflects the government’s ongoing monitoring of sentencing administration to ensure that sentencing law and practice is operating as intended.</w:t>
      </w:r>
    </w:p>
    <w:p w14:paraId="004333E1" w14:textId="4BE809AF" w:rsidR="004D776A" w:rsidRPr="003258D0" w:rsidRDefault="00E336BA" w:rsidP="00675678">
      <w:pPr>
        <w:keepNext/>
        <w:autoSpaceDE w:val="0"/>
        <w:autoSpaceDN w:val="0"/>
        <w:adjustRightInd w:val="0"/>
        <w:spacing w:before="240" w:after="120"/>
        <w:rPr>
          <w:szCs w:val="24"/>
        </w:rPr>
      </w:pPr>
      <w:r>
        <w:rPr>
          <w:szCs w:val="24"/>
        </w:rPr>
        <w:t xml:space="preserve">The second purpose of the </w:t>
      </w:r>
      <w:r w:rsidR="003258D0">
        <w:rPr>
          <w:szCs w:val="24"/>
        </w:rPr>
        <w:t xml:space="preserve">Bill </w:t>
      </w:r>
      <w:r>
        <w:rPr>
          <w:szCs w:val="24"/>
        </w:rPr>
        <w:t xml:space="preserve">is to update definition sections in </w:t>
      </w:r>
      <w:r w:rsidR="003258D0">
        <w:rPr>
          <w:szCs w:val="24"/>
        </w:rPr>
        <w:t xml:space="preserve">the </w:t>
      </w:r>
      <w:r w:rsidR="003258D0">
        <w:rPr>
          <w:i/>
          <w:szCs w:val="24"/>
        </w:rPr>
        <w:t xml:space="preserve">Crimes Act 1900 </w:t>
      </w:r>
      <w:r w:rsidR="003258D0">
        <w:rPr>
          <w:szCs w:val="24"/>
        </w:rPr>
        <w:t xml:space="preserve">and the </w:t>
      </w:r>
      <w:r w:rsidR="003258D0">
        <w:rPr>
          <w:i/>
          <w:szCs w:val="24"/>
        </w:rPr>
        <w:t xml:space="preserve">Road Transport (General) Act 1999 </w:t>
      </w:r>
      <w:r>
        <w:rPr>
          <w:szCs w:val="24"/>
        </w:rPr>
        <w:t>(minor technical amendments)</w:t>
      </w:r>
      <w:r w:rsidR="003258D0">
        <w:rPr>
          <w:szCs w:val="24"/>
        </w:rPr>
        <w:t>.</w:t>
      </w:r>
    </w:p>
    <w:p w14:paraId="34B64E5F" w14:textId="3495735A" w:rsidR="009A6B68" w:rsidRPr="00675678" w:rsidRDefault="00BD7E67" w:rsidP="00A363CB">
      <w:pPr>
        <w:autoSpaceDE w:val="0"/>
        <w:autoSpaceDN w:val="0"/>
        <w:adjustRightInd w:val="0"/>
        <w:spacing w:before="240" w:after="120"/>
        <w:rPr>
          <w:i/>
          <w:szCs w:val="24"/>
        </w:rPr>
      </w:pPr>
      <w:r>
        <w:rPr>
          <w:i/>
          <w:szCs w:val="24"/>
        </w:rPr>
        <w:t>A</w:t>
      </w:r>
      <w:r w:rsidR="00687EAF">
        <w:rPr>
          <w:i/>
          <w:szCs w:val="24"/>
        </w:rPr>
        <w:t xml:space="preserve">dministration of </w:t>
      </w:r>
      <w:r w:rsidR="0058229B">
        <w:rPr>
          <w:i/>
          <w:szCs w:val="24"/>
        </w:rPr>
        <w:t>the ICO scheme</w:t>
      </w:r>
    </w:p>
    <w:p w14:paraId="10514931" w14:textId="77777777" w:rsidR="0058229B" w:rsidRDefault="0058229B" w:rsidP="0058229B">
      <w:pPr>
        <w:autoSpaceDE w:val="0"/>
        <w:autoSpaceDN w:val="0"/>
        <w:adjustRightInd w:val="0"/>
        <w:spacing w:before="240" w:after="120"/>
        <w:rPr>
          <w:szCs w:val="24"/>
        </w:rPr>
      </w:pPr>
      <w:r>
        <w:rPr>
          <w:szCs w:val="24"/>
        </w:rPr>
        <w:t xml:space="preserve">The ICO scheme was </w:t>
      </w:r>
      <w:r w:rsidRPr="00197524">
        <w:rPr>
          <w:szCs w:val="24"/>
        </w:rPr>
        <w:t xml:space="preserve">created </w:t>
      </w:r>
      <w:r>
        <w:rPr>
          <w:szCs w:val="24"/>
        </w:rPr>
        <w:t xml:space="preserve">in 2016 </w:t>
      </w:r>
      <w:r w:rsidRPr="00197524">
        <w:rPr>
          <w:szCs w:val="24"/>
        </w:rPr>
        <w:t>to ensure that the ACT’s sentencing</w:t>
      </w:r>
      <w:r>
        <w:rPr>
          <w:szCs w:val="24"/>
        </w:rPr>
        <w:t xml:space="preserve"> </w:t>
      </w:r>
      <w:r w:rsidRPr="00197524">
        <w:rPr>
          <w:szCs w:val="24"/>
        </w:rPr>
        <w:t>framework is modern and responsive.</w:t>
      </w:r>
      <w:r>
        <w:rPr>
          <w:szCs w:val="24"/>
        </w:rPr>
        <w:t xml:space="preserve"> The ICO sentence is a sentence of imprisonment, served in the community under intensive supervision. As such, it </w:t>
      </w:r>
      <w:r w:rsidRPr="00197524">
        <w:rPr>
          <w:szCs w:val="24"/>
        </w:rPr>
        <w:t>sit</w:t>
      </w:r>
      <w:r>
        <w:rPr>
          <w:szCs w:val="24"/>
        </w:rPr>
        <w:t xml:space="preserve">s </w:t>
      </w:r>
      <w:r w:rsidRPr="00197524">
        <w:rPr>
          <w:szCs w:val="24"/>
        </w:rPr>
        <w:t>just below a sentence of full-time imprisonment in the sentencing framework. It is a sentence of ‘last resort’ for offenders before full-time imprisonment.</w:t>
      </w:r>
    </w:p>
    <w:p w14:paraId="1F4C3642" w14:textId="1FA63E2F" w:rsidR="0058229B" w:rsidRDefault="0058229B" w:rsidP="00675678">
      <w:pPr>
        <w:autoSpaceDE w:val="0"/>
        <w:autoSpaceDN w:val="0"/>
        <w:adjustRightInd w:val="0"/>
        <w:spacing w:after="0"/>
        <w:rPr>
          <w:szCs w:val="24"/>
          <w:lang w:eastAsia="en-AU"/>
        </w:rPr>
      </w:pPr>
      <w:r>
        <w:rPr>
          <w:szCs w:val="24"/>
          <w:lang w:eastAsia="en-AU"/>
        </w:rPr>
        <w:t xml:space="preserve">The </w:t>
      </w:r>
      <w:r w:rsidR="00A06E5A">
        <w:rPr>
          <w:szCs w:val="24"/>
          <w:lang w:eastAsia="en-AU"/>
        </w:rPr>
        <w:t xml:space="preserve">development </w:t>
      </w:r>
      <w:r>
        <w:rPr>
          <w:szCs w:val="24"/>
          <w:lang w:eastAsia="en-AU"/>
        </w:rPr>
        <w:t xml:space="preserve">of the </w:t>
      </w:r>
      <w:r w:rsidR="00A06E5A">
        <w:rPr>
          <w:szCs w:val="24"/>
          <w:lang w:eastAsia="en-AU"/>
        </w:rPr>
        <w:t xml:space="preserve">ICO sentence scheme </w:t>
      </w:r>
      <w:r>
        <w:rPr>
          <w:szCs w:val="24"/>
          <w:lang w:eastAsia="en-AU"/>
        </w:rPr>
        <w:t xml:space="preserve">was </w:t>
      </w:r>
      <w:r w:rsidR="00A06E5A">
        <w:rPr>
          <w:szCs w:val="24"/>
          <w:lang w:eastAsia="en-AU"/>
        </w:rPr>
        <w:t xml:space="preserve">informed </w:t>
      </w:r>
      <w:r>
        <w:rPr>
          <w:szCs w:val="24"/>
          <w:lang w:eastAsia="en-AU"/>
        </w:rPr>
        <w:t xml:space="preserve">by research, both academic and </w:t>
      </w:r>
      <w:r w:rsidR="00A06E5A">
        <w:rPr>
          <w:szCs w:val="24"/>
          <w:lang w:eastAsia="en-AU"/>
        </w:rPr>
        <w:t>by Justice and Community Safety Directorate</w:t>
      </w:r>
      <w:r>
        <w:rPr>
          <w:szCs w:val="24"/>
          <w:lang w:eastAsia="en-AU"/>
        </w:rPr>
        <w:t xml:space="preserve">. The ICO was developed within a human rights framework, informed by the </w:t>
      </w:r>
      <w:r w:rsidRPr="00675678">
        <w:rPr>
          <w:i/>
          <w:szCs w:val="24"/>
          <w:lang w:eastAsia="en-AU"/>
        </w:rPr>
        <w:t>United Nations Standard Minimum Rules for Non-custodial Measures</w:t>
      </w:r>
      <w:r>
        <w:rPr>
          <w:szCs w:val="24"/>
          <w:lang w:eastAsia="en-AU"/>
        </w:rPr>
        <w:t xml:space="preserve"> </w:t>
      </w:r>
      <w:r w:rsidRPr="00675678">
        <w:rPr>
          <w:i/>
          <w:szCs w:val="24"/>
          <w:lang w:eastAsia="en-AU"/>
        </w:rPr>
        <w:t>(the Tokyo Rules)</w:t>
      </w:r>
      <w:r>
        <w:rPr>
          <w:szCs w:val="24"/>
          <w:lang w:eastAsia="en-AU"/>
        </w:rPr>
        <w:t>.</w:t>
      </w:r>
      <w:r>
        <w:rPr>
          <w:rStyle w:val="FootnoteReference"/>
          <w:szCs w:val="24"/>
          <w:lang w:eastAsia="en-AU"/>
        </w:rPr>
        <w:footnoteReference w:id="1"/>
      </w:r>
      <w:r>
        <w:rPr>
          <w:sz w:val="16"/>
          <w:szCs w:val="16"/>
          <w:lang w:eastAsia="en-AU"/>
        </w:rPr>
        <w:t xml:space="preserve"> </w:t>
      </w:r>
      <w:r>
        <w:rPr>
          <w:szCs w:val="24"/>
          <w:lang w:eastAsia="en-AU"/>
        </w:rPr>
        <w:t>The ICO scheme generally seeks to balance the rights of individual offenders and their families with the rights and interests of victims and the wider community.</w:t>
      </w:r>
      <w:r w:rsidR="00687EAF">
        <w:rPr>
          <w:szCs w:val="24"/>
          <w:lang w:eastAsia="en-AU"/>
        </w:rPr>
        <w:t xml:space="preserve"> A detailed explanation of the scheme can be found in the Explanatory Statement to the Crimes (Sentencing and Restorative Justice) Amendment Bill 2015.</w:t>
      </w:r>
    </w:p>
    <w:p w14:paraId="1FD7E5EE" w14:textId="77777777" w:rsidR="008339CE" w:rsidRDefault="008339CE" w:rsidP="00675678">
      <w:pPr>
        <w:autoSpaceDE w:val="0"/>
        <w:autoSpaceDN w:val="0"/>
        <w:adjustRightInd w:val="0"/>
        <w:spacing w:after="0"/>
        <w:rPr>
          <w:szCs w:val="24"/>
          <w:lang w:eastAsia="en-AU"/>
        </w:rPr>
      </w:pPr>
    </w:p>
    <w:p w14:paraId="389CA26B" w14:textId="7640CCCC" w:rsidR="008339CE" w:rsidRPr="008339CE" w:rsidRDefault="008339CE" w:rsidP="00675678">
      <w:pPr>
        <w:autoSpaceDE w:val="0"/>
        <w:autoSpaceDN w:val="0"/>
        <w:adjustRightInd w:val="0"/>
        <w:spacing w:after="0"/>
        <w:rPr>
          <w:szCs w:val="24"/>
          <w:lang w:eastAsia="en-AU"/>
        </w:rPr>
      </w:pPr>
      <w:r>
        <w:rPr>
          <w:szCs w:val="24"/>
          <w:lang w:eastAsia="en-AU"/>
        </w:rPr>
        <w:t xml:space="preserve">The ICO scheme is contained in the </w:t>
      </w:r>
      <w:r>
        <w:rPr>
          <w:i/>
          <w:szCs w:val="24"/>
          <w:lang w:eastAsia="en-AU"/>
        </w:rPr>
        <w:t>Crimes (Sentencing) Act 2005</w:t>
      </w:r>
      <w:r>
        <w:rPr>
          <w:szCs w:val="24"/>
          <w:lang w:eastAsia="en-AU"/>
        </w:rPr>
        <w:t xml:space="preserve"> (Sentencing Act) and the </w:t>
      </w:r>
      <w:r>
        <w:rPr>
          <w:i/>
          <w:szCs w:val="24"/>
          <w:lang w:eastAsia="en-AU"/>
        </w:rPr>
        <w:t>Crimes (Sentence Administration) Act 2005</w:t>
      </w:r>
      <w:r>
        <w:rPr>
          <w:szCs w:val="24"/>
          <w:lang w:eastAsia="en-AU"/>
        </w:rPr>
        <w:t xml:space="preserve"> (Sentence Administration Act) and this Bill proposes amendments to both Acts to improve the administration of the scheme.</w:t>
      </w:r>
    </w:p>
    <w:p w14:paraId="18D6434E" w14:textId="77777777" w:rsidR="0058229B" w:rsidRDefault="0058229B" w:rsidP="0058229B">
      <w:pPr>
        <w:autoSpaceDE w:val="0"/>
        <w:autoSpaceDN w:val="0"/>
        <w:adjustRightInd w:val="0"/>
        <w:spacing w:after="0" w:line="240" w:lineRule="auto"/>
        <w:rPr>
          <w:szCs w:val="24"/>
          <w:lang w:eastAsia="en-AU"/>
        </w:rPr>
      </w:pPr>
    </w:p>
    <w:p w14:paraId="43642D11" w14:textId="758DDFE9" w:rsidR="00687EAF" w:rsidRDefault="00687EAF" w:rsidP="00675678">
      <w:pPr>
        <w:keepNext/>
        <w:autoSpaceDE w:val="0"/>
        <w:autoSpaceDN w:val="0"/>
        <w:adjustRightInd w:val="0"/>
        <w:spacing w:after="0" w:line="240" w:lineRule="auto"/>
        <w:rPr>
          <w:szCs w:val="24"/>
          <w:lang w:eastAsia="en-AU"/>
        </w:rPr>
      </w:pPr>
      <w:r>
        <w:rPr>
          <w:szCs w:val="24"/>
          <w:lang w:eastAsia="en-AU"/>
        </w:rPr>
        <w:t xml:space="preserve">The Bill aims to improve the administration of the ICO scheme </w:t>
      </w:r>
      <w:r w:rsidR="00D52B22">
        <w:rPr>
          <w:szCs w:val="24"/>
          <w:lang w:eastAsia="en-AU"/>
        </w:rPr>
        <w:t>by</w:t>
      </w:r>
      <w:r>
        <w:rPr>
          <w:szCs w:val="24"/>
          <w:lang w:eastAsia="en-AU"/>
        </w:rPr>
        <w:t>:</w:t>
      </w:r>
    </w:p>
    <w:p w14:paraId="05119C90" w14:textId="216363AD" w:rsidR="00D52B22" w:rsidRPr="00864516" w:rsidRDefault="00687EAF" w:rsidP="00D52B22">
      <w:pPr>
        <w:numPr>
          <w:ilvl w:val="1"/>
          <w:numId w:val="1"/>
        </w:numPr>
        <w:autoSpaceDE w:val="0"/>
        <w:autoSpaceDN w:val="0"/>
        <w:adjustRightInd w:val="0"/>
        <w:spacing w:before="240" w:after="120"/>
        <w:rPr>
          <w:szCs w:val="24"/>
        </w:rPr>
      </w:pPr>
      <w:r w:rsidRPr="00864516">
        <w:rPr>
          <w:szCs w:val="24"/>
        </w:rPr>
        <w:t>e</w:t>
      </w:r>
      <w:r w:rsidR="00D52B22" w:rsidRPr="00864516">
        <w:rPr>
          <w:szCs w:val="24"/>
        </w:rPr>
        <w:t>nsuring</w:t>
      </w:r>
      <w:r w:rsidRPr="00864516">
        <w:rPr>
          <w:szCs w:val="24"/>
        </w:rPr>
        <w:t xml:space="preserve"> that </w:t>
      </w:r>
      <w:r w:rsidR="0050441D">
        <w:rPr>
          <w:szCs w:val="24"/>
        </w:rPr>
        <w:t>whether</w:t>
      </w:r>
      <w:r w:rsidR="0050441D" w:rsidRPr="00864516">
        <w:rPr>
          <w:szCs w:val="24"/>
        </w:rPr>
        <w:t xml:space="preserve"> </w:t>
      </w:r>
      <w:r w:rsidR="00A06E5A" w:rsidRPr="00864516">
        <w:rPr>
          <w:szCs w:val="24"/>
        </w:rPr>
        <w:t xml:space="preserve">the warrant </w:t>
      </w:r>
      <w:r w:rsidR="00A06E5A">
        <w:rPr>
          <w:szCs w:val="24"/>
        </w:rPr>
        <w:t xml:space="preserve">for an offender </w:t>
      </w:r>
      <w:r w:rsidR="0050441D">
        <w:rPr>
          <w:szCs w:val="24"/>
        </w:rPr>
        <w:t>is</w:t>
      </w:r>
      <w:r w:rsidR="0050441D" w:rsidRPr="00864516">
        <w:rPr>
          <w:szCs w:val="24"/>
        </w:rPr>
        <w:t xml:space="preserve"> </w:t>
      </w:r>
      <w:r w:rsidR="00A06E5A" w:rsidRPr="00864516">
        <w:rPr>
          <w:szCs w:val="24"/>
        </w:rPr>
        <w:t xml:space="preserve">issued by a </w:t>
      </w:r>
      <w:r w:rsidR="0050441D">
        <w:rPr>
          <w:szCs w:val="24"/>
        </w:rPr>
        <w:t>j</w:t>
      </w:r>
      <w:r w:rsidR="0050441D" w:rsidRPr="00864516">
        <w:rPr>
          <w:szCs w:val="24"/>
        </w:rPr>
        <w:t xml:space="preserve">udge </w:t>
      </w:r>
      <w:r w:rsidR="00A06E5A" w:rsidRPr="00864516">
        <w:rPr>
          <w:szCs w:val="24"/>
        </w:rPr>
        <w:t xml:space="preserve">or </w:t>
      </w:r>
      <w:r w:rsidR="0050441D">
        <w:rPr>
          <w:szCs w:val="24"/>
        </w:rPr>
        <w:t>m</w:t>
      </w:r>
      <w:r w:rsidR="0050441D" w:rsidRPr="00864516">
        <w:rPr>
          <w:szCs w:val="24"/>
        </w:rPr>
        <w:t>agistrate</w:t>
      </w:r>
      <w:r w:rsidR="00A06E5A" w:rsidRPr="00864516">
        <w:rPr>
          <w:szCs w:val="24"/>
        </w:rPr>
        <w:t>, or by the Sentence Administration Board (SAB)</w:t>
      </w:r>
      <w:r w:rsidR="00A06E5A">
        <w:rPr>
          <w:szCs w:val="24"/>
        </w:rPr>
        <w:t xml:space="preserve"> for failing to comply with an obligation to report to the SAB under an ICO</w:t>
      </w:r>
      <w:r w:rsidR="0050441D">
        <w:rPr>
          <w:szCs w:val="24"/>
        </w:rPr>
        <w:t>,</w:t>
      </w:r>
      <w:r w:rsidR="006902B3">
        <w:rPr>
          <w:szCs w:val="24"/>
        </w:rPr>
        <w:t xml:space="preserve"> </w:t>
      </w:r>
      <w:r w:rsidR="00043E18" w:rsidRPr="00864516">
        <w:rPr>
          <w:szCs w:val="24"/>
        </w:rPr>
        <w:t xml:space="preserve">similar consequences </w:t>
      </w:r>
      <w:r w:rsidR="006902B3">
        <w:rPr>
          <w:szCs w:val="24"/>
        </w:rPr>
        <w:t>apply.</w:t>
      </w:r>
    </w:p>
    <w:p w14:paraId="312AA03B" w14:textId="02F0F43D" w:rsidR="00D52B22" w:rsidRPr="00864516" w:rsidRDefault="00D52B22" w:rsidP="00D52B22">
      <w:pPr>
        <w:numPr>
          <w:ilvl w:val="1"/>
          <w:numId w:val="1"/>
        </w:numPr>
        <w:autoSpaceDE w:val="0"/>
        <w:autoSpaceDN w:val="0"/>
        <w:adjustRightInd w:val="0"/>
        <w:spacing w:before="240" w:after="120"/>
        <w:rPr>
          <w:szCs w:val="24"/>
        </w:rPr>
      </w:pPr>
      <w:r w:rsidRPr="00864516">
        <w:rPr>
          <w:szCs w:val="24"/>
        </w:rPr>
        <w:t>ensuring</w:t>
      </w:r>
      <w:r w:rsidR="008339CE" w:rsidRPr="00864516">
        <w:rPr>
          <w:szCs w:val="24"/>
        </w:rPr>
        <w:t xml:space="preserve"> that if such a warrant is issued, the consequences that flow do not </w:t>
      </w:r>
      <w:r w:rsidR="00972C06" w:rsidRPr="00864516">
        <w:rPr>
          <w:szCs w:val="24"/>
        </w:rPr>
        <w:t xml:space="preserve">affect </w:t>
      </w:r>
      <w:r w:rsidR="008339CE" w:rsidRPr="00864516">
        <w:rPr>
          <w:szCs w:val="24"/>
        </w:rPr>
        <w:t>certain offenders in an arbitrary or discriminatory way;</w:t>
      </w:r>
      <w:r w:rsidRPr="00864516">
        <w:rPr>
          <w:szCs w:val="24"/>
        </w:rPr>
        <w:t xml:space="preserve"> </w:t>
      </w:r>
    </w:p>
    <w:p w14:paraId="6C03575F" w14:textId="1AA7C43B" w:rsidR="00D52B22" w:rsidRPr="00864516" w:rsidRDefault="00D52B22" w:rsidP="00D52B22">
      <w:pPr>
        <w:numPr>
          <w:ilvl w:val="1"/>
          <w:numId w:val="1"/>
        </w:numPr>
        <w:autoSpaceDE w:val="0"/>
        <w:autoSpaceDN w:val="0"/>
        <w:adjustRightInd w:val="0"/>
        <w:spacing w:before="240" w:after="120"/>
        <w:rPr>
          <w:szCs w:val="24"/>
        </w:rPr>
      </w:pPr>
      <w:r w:rsidRPr="00864516">
        <w:t>clarifying the orders that a court can make if an ICO is cancelled on commission of a further offence</w:t>
      </w:r>
      <w:bookmarkStart w:id="7" w:name="_Toc426711260"/>
      <w:bookmarkStart w:id="8" w:name="_Toc429052823"/>
      <w:r w:rsidRPr="00864516">
        <w:t xml:space="preserve">, following the Supreme Court’s decision in </w:t>
      </w:r>
      <w:r w:rsidRPr="00864516">
        <w:rPr>
          <w:i/>
        </w:rPr>
        <w:t xml:space="preserve">R v XH </w:t>
      </w:r>
      <w:r w:rsidRPr="00864516">
        <w:t>[2017] ACTSC 236;</w:t>
      </w:r>
    </w:p>
    <w:p w14:paraId="3BFD49F1" w14:textId="28F48D71" w:rsidR="00D52B22" w:rsidRPr="00864516" w:rsidRDefault="00D52B22" w:rsidP="00D52B22">
      <w:pPr>
        <w:numPr>
          <w:ilvl w:val="1"/>
          <w:numId w:val="1"/>
        </w:numPr>
        <w:autoSpaceDE w:val="0"/>
        <w:autoSpaceDN w:val="0"/>
        <w:adjustRightInd w:val="0"/>
        <w:spacing w:before="240" w:after="120"/>
        <w:rPr>
          <w:szCs w:val="24"/>
        </w:rPr>
      </w:pPr>
      <w:r w:rsidRPr="00864516">
        <w:rPr>
          <w:szCs w:val="24"/>
        </w:rPr>
        <w:t xml:space="preserve">requiring critical information to be notified to relevant agencies if the Supreme Court cancels an ICO due to further offending and commits the offender to full-time </w:t>
      </w:r>
      <w:r w:rsidR="006902B3">
        <w:rPr>
          <w:szCs w:val="24"/>
        </w:rPr>
        <w:t>custody</w:t>
      </w:r>
      <w:r w:rsidRPr="00864516">
        <w:rPr>
          <w:szCs w:val="24"/>
        </w:rPr>
        <w:t>; and</w:t>
      </w:r>
    </w:p>
    <w:p w14:paraId="758DBFB0" w14:textId="5889207A" w:rsidR="00CC520D" w:rsidRDefault="00B17261" w:rsidP="00B17261">
      <w:pPr>
        <w:numPr>
          <w:ilvl w:val="1"/>
          <w:numId w:val="1"/>
        </w:numPr>
        <w:autoSpaceDE w:val="0"/>
        <w:autoSpaceDN w:val="0"/>
        <w:adjustRightInd w:val="0"/>
        <w:spacing w:before="240" w:after="120"/>
        <w:rPr>
          <w:szCs w:val="24"/>
        </w:rPr>
      </w:pPr>
      <w:r>
        <w:rPr>
          <w:szCs w:val="24"/>
        </w:rPr>
        <w:t>clarify</w:t>
      </w:r>
      <w:r w:rsidR="00D52B22">
        <w:rPr>
          <w:szCs w:val="24"/>
        </w:rPr>
        <w:t>ing</w:t>
      </w:r>
      <w:r>
        <w:rPr>
          <w:szCs w:val="24"/>
        </w:rPr>
        <w:t xml:space="preserve"> </w:t>
      </w:r>
      <w:r w:rsidR="00D52B22">
        <w:rPr>
          <w:szCs w:val="24"/>
        </w:rPr>
        <w:t xml:space="preserve">when </w:t>
      </w:r>
      <w:r>
        <w:rPr>
          <w:szCs w:val="24"/>
        </w:rPr>
        <w:t xml:space="preserve">a court may request </w:t>
      </w:r>
      <w:r w:rsidR="00D52B22">
        <w:rPr>
          <w:szCs w:val="24"/>
        </w:rPr>
        <w:t xml:space="preserve">that </w:t>
      </w:r>
      <w:r>
        <w:rPr>
          <w:szCs w:val="24"/>
        </w:rPr>
        <w:t xml:space="preserve">ACT Corrective Services (ACTCS) prepare an assessment of </w:t>
      </w:r>
      <w:r w:rsidR="00D52B22">
        <w:rPr>
          <w:szCs w:val="24"/>
        </w:rPr>
        <w:t xml:space="preserve">an offender’s </w:t>
      </w:r>
      <w:r>
        <w:rPr>
          <w:szCs w:val="24"/>
        </w:rPr>
        <w:t>suitability for an ICO</w:t>
      </w:r>
      <w:r w:rsidR="00D52B22">
        <w:rPr>
          <w:szCs w:val="24"/>
        </w:rPr>
        <w:t>, and placing the functions of an ICO assessor on a</w:t>
      </w:r>
      <w:r w:rsidR="008C5A6D">
        <w:rPr>
          <w:szCs w:val="24"/>
        </w:rPr>
        <w:t>n express</w:t>
      </w:r>
      <w:r w:rsidR="00D52B22">
        <w:rPr>
          <w:szCs w:val="24"/>
        </w:rPr>
        <w:t xml:space="preserve"> statutory footing.</w:t>
      </w:r>
    </w:p>
    <w:p w14:paraId="68D42DB1" w14:textId="451E6FB7" w:rsidR="00B17261" w:rsidRPr="00675678" w:rsidRDefault="00CC520D" w:rsidP="00675678">
      <w:pPr>
        <w:autoSpaceDE w:val="0"/>
        <w:autoSpaceDN w:val="0"/>
        <w:adjustRightInd w:val="0"/>
        <w:spacing w:before="240" w:after="120"/>
        <w:rPr>
          <w:i/>
          <w:szCs w:val="24"/>
        </w:rPr>
      </w:pPr>
      <w:r>
        <w:rPr>
          <w:szCs w:val="24"/>
        </w:rPr>
        <w:t xml:space="preserve">These amendments are intended to clarify and improve the operation of the existing ICO scheme. The </w:t>
      </w:r>
      <w:r w:rsidR="00D87449">
        <w:rPr>
          <w:szCs w:val="24"/>
        </w:rPr>
        <w:t>operation and effectiveness of the ICO scheme will be reviewed in the third year of its operation, and a report of that review will be presented to the Legislative Assembly in the fourth year of its operation (Sentence Administration Act section 81).</w:t>
      </w:r>
    </w:p>
    <w:p w14:paraId="69FF0B5D" w14:textId="7863EDB6" w:rsidR="009A6B68" w:rsidRPr="00675678" w:rsidRDefault="009A6B68" w:rsidP="00675678">
      <w:pPr>
        <w:autoSpaceDE w:val="0"/>
        <w:autoSpaceDN w:val="0"/>
        <w:adjustRightInd w:val="0"/>
        <w:spacing w:before="240" w:after="120"/>
        <w:rPr>
          <w:i/>
          <w:szCs w:val="24"/>
        </w:rPr>
      </w:pPr>
      <w:r>
        <w:rPr>
          <w:i/>
          <w:szCs w:val="24"/>
        </w:rPr>
        <w:t>Community service work</w:t>
      </w:r>
    </w:p>
    <w:p w14:paraId="684AF8C9" w14:textId="24261931" w:rsidR="00DF7C6F" w:rsidRPr="00DF7C6F" w:rsidRDefault="00DF7C6F" w:rsidP="00DF7C6F">
      <w:pPr>
        <w:autoSpaceDE w:val="0"/>
        <w:autoSpaceDN w:val="0"/>
        <w:adjustRightInd w:val="0"/>
        <w:spacing w:before="240" w:after="120"/>
        <w:rPr>
          <w:szCs w:val="24"/>
        </w:rPr>
      </w:pPr>
      <w:r w:rsidRPr="00DF7C6F">
        <w:rPr>
          <w:szCs w:val="24"/>
        </w:rPr>
        <w:t xml:space="preserve">Under the Sentencing Act, both ICOs and Good Behaviour Orders can contain a condition that the offender perform a certain amount of community service work. </w:t>
      </w:r>
    </w:p>
    <w:p w14:paraId="7EB4B4EC" w14:textId="506ECAC2" w:rsidR="00CC520D" w:rsidRDefault="00DF7C6F" w:rsidP="00675678">
      <w:pPr>
        <w:autoSpaceDE w:val="0"/>
        <w:autoSpaceDN w:val="0"/>
        <w:adjustRightInd w:val="0"/>
        <w:spacing w:before="240" w:after="120"/>
        <w:rPr>
          <w:szCs w:val="24"/>
        </w:rPr>
      </w:pPr>
      <w:r w:rsidRPr="00DF7C6F">
        <w:rPr>
          <w:szCs w:val="24"/>
        </w:rPr>
        <w:t xml:space="preserve">Most Australian jurisdictions make specific provision for an offender to be able to accumulate community service </w:t>
      </w:r>
      <w:r>
        <w:rPr>
          <w:szCs w:val="24"/>
        </w:rPr>
        <w:t xml:space="preserve">work </w:t>
      </w:r>
      <w:r w:rsidRPr="00DF7C6F">
        <w:rPr>
          <w:szCs w:val="24"/>
        </w:rPr>
        <w:t xml:space="preserve">hours through participation in </w:t>
      </w:r>
      <w:r>
        <w:rPr>
          <w:szCs w:val="24"/>
        </w:rPr>
        <w:t xml:space="preserve">therapeutic or educational </w:t>
      </w:r>
      <w:r w:rsidRPr="00DF7C6F">
        <w:rPr>
          <w:szCs w:val="24"/>
        </w:rPr>
        <w:t>programs.</w:t>
      </w:r>
      <w:r>
        <w:rPr>
          <w:szCs w:val="24"/>
        </w:rPr>
        <w:t xml:space="preserve"> The Bill aims to bring the ACT broadly into line with other Australian jurisdictions in this respect. </w:t>
      </w:r>
    </w:p>
    <w:p w14:paraId="58C27EE2" w14:textId="2288273E" w:rsidR="00DF7C6F" w:rsidRDefault="00DF7C6F" w:rsidP="00675678">
      <w:pPr>
        <w:autoSpaceDE w:val="0"/>
        <w:autoSpaceDN w:val="0"/>
        <w:adjustRightInd w:val="0"/>
        <w:spacing w:before="240" w:after="120"/>
        <w:rPr>
          <w:szCs w:val="24"/>
        </w:rPr>
      </w:pPr>
      <w:r w:rsidRPr="00DF7C6F">
        <w:rPr>
          <w:szCs w:val="24"/>
        </w:rPr>
        <w:t>The purpose of this amendment is to increase completion rates for orders including community service work and to support people with high needs who are subject to the orders.</w:t>
      </w:r>
    </w:p>
    <w:p w14:paraId="0F6AAC2E" w14:textId="77777777" w:rsidR="00702566" w:rsidRPr="00A363CB" w:rsidRDefault="00702566" w:rsidP="00214EAF">
      <w:pPr>
        <w:pStyle w:val="Heading2"/>
        <w:spacing w:after="120"/>
      </w:pPr>
      <w:bookmarkStart w:id="9" w:name="_Toc523841319"/>
      <w:r w:rsidRPr="009428EA">
        <w:t>Human Rights Considerations</w:t>
      </w:r>
      <w:bookmarkEnd w:id="7"/>
      <w:bookmarkEnd w:id="8"/>
      <w:bookmarkEnd w:id="9"/>
    </w:p>
    <w:p w14:paraId="31321406" w14:textId="0FE007BF" w:rsidR="00F521BB" w:rsidRDefault="00F521BB" w:rsidP="00F521BB">
      <w:pPr>
        <w:autoSpaceDE w:val="0"/>
        <w:autoSpaceDN w:val="0"/>
        <w:adjustRightInd w:val="0"/>
        <w:spacing w:before="240" w:after="120"/>
        <w:rPr>
          <w:szCs w:val="24"/>
        </w:rPr>
      </w:pPr>
      <w:r w:rsidRPr="00F521BB">
        <w:rPr>
          <w:szCs w:val="24"/>
        </w:rPr>
        <w:t>This human rights consideration will provide an overview of the human rights which may be</w:t>
      </w:r>
      <w:r>
        <w:rPr>
          <w:szCs w:val="24"/>
        </w:rPr>
        <w:t xml:space="preserve"> </w:t>
      </w:r>
      <w:r w:rsidRPr="00F521BB">
        <w:rPr>
          <w:szCs w:val="24"/>
        </w:rPr>
        <w:t xml:space="preserve">engaged by </w:t>
      </w:r>
      <w:r w:rsidR="0096175C">
        <w:rPr>
          <w:szCs w:val="24"/>
        </w:rPr>
        <w:t xml:space="preserve">the ICO </w:t>
      </w:r>
      <w:r w:rsidRPr="00F521BB">
        <w:rPr>
          <w:szCs w:val="24"/>
        </w:rPr>
        <w:t>aspects of the Bill, together with a discussion on reasonable limits where</w:t>
      </w:r>
      <w:r w:rsidR="0096175C">
        <w:rPr>
          <w:szCs w:val="24"/>
        </w:rPr>
        <w:t xml:space="preserve"> </w:t>
      </w:r>
      <w:r w:rsidRPr="00F521BB">
        <w:rPr>
          <w:szCs w:val="24"/>
        </w:rPr>
        <w:t>appropriate. Where necessary, a further human rights analysis is provided under specific</w:t>
      </w:r>
      <w:r>
        <w:rPr>
          <w:szCs w:val="24"/>
        </w:rPr>
        <w:t xml:space="preserve"> </w:t>
      </w:r>
      <w:r w:rsidRPr="00F521BB">
        <w:rPr>
          <w:szCs w:val="24"/>
        </w:rPr>
        <w:t>provisions.</w:t>
      </w:r>
    </w:p>
    <w:p w14:paraId="0D61E882" w14:textId="77777777" w:rsidR="00BD7E67" w:rsidRPr="0018440E" w:rsidRDefault="00BD7E67" w:rsidP="00800FCE">
      <w:pPr>
        <w:keepNext/>
        <w:autoSpaceDE w:val="0"/>
        <w:autoSpaceDN w:val="0"/>
        <w:adjustRightInd w:val="0"/>
        <w:spacing w:before="240" w:after="120"/>
        <w:rPr>
          <w:b/>
          <w:i/>
          <w:szCs w:val="24"/>
        </w:rPr>
      </w:pPr>
      <w:r w:rsidRPr="0018440E">
        <w:rPr>
          <w:b/>
          <w:i/>
          <w:szCs w:val="24"/>
        </w:rPr>
        <w:t>Administration of the ICO scheme</w:t>
      </w:r>
    </w:p>
    <w:p w14:paraId="5DC99A2A" w14:textId="77777777" w:rsidR="00F521BB" w:rsidRDefault="00F521BB" w:rsidP="00F521BB">
      <w:pPr>
        <w:autoSpaceDE w:val="0"/>
        <w:autoSpaceDN w:val="0"/>
        <w:adjustRightInd w:val="0"/>
        <w:spacing w:after="0" w:line="240" w:lineRule="auto"/>
        <w:rPr>
          <w:szCs w:val="24"/>
          <w:lang w:eastAsia="en-AU"/>
        </w:rPr>
      </w:pPr>
      <w:r>
        <w:rPr>
          <w:szCs w:val="24"/>
          <w:lang w:eastAsia="en-AU"/>
        </w:rPr>
        <w:t>Sentencing measures of any description can be expected to impact on the human rights of</w:t>
      </w:r>
    </w:p>
    <w:p w14:paraId="1A2C27BC" w14:textId="77777777" w:rsidR="00F521BB" w:rsidRDefault="00F521BB" w:rsidP="00F521BB">
      <w:pPr>
        <w:autoSpaceDE w:val="0"/>
        <w:autoSpaceDN w:val="0"/>
        <w:adjustRightInd w:val="0"/>
        <w:spacing w:after="0" w:line="240" w:lineRule="auto"/>
        <w:rPr>
          <w:szCs w:val="24"/>
          <w:lang w:eastAsia="en-AU"/>
        </w:rPr>
      </w:pPr>
      <w:r>
        <w:rPr>
          <w:szCs w:val="24"/>
          <w:lang w:eastAsia="en-AU"/>
        </w:rPr>
        <w:t>offenders and in broad terms, the provisions of the Bill engage and place limitations on the</w:t>
      </w:r>
    </w:p>
    <w:p w14:paraId="3AFD48A2" w14:textId="2AFD0F0C" w:rsidR="00197524" w:rsidRDefault="00F521BB" w:rsidP="00675678">
      <w:pPr>
        <w:autoSpaceDE w:val="0"/>
        <w:autoSpaceDN w:val="0"/>
        <w:adjustRightInd w:val="0"/>
        <w:spacing w:after="0" w:line="240" w:lineRule="auto"/>
        <w:rPr>
          <w:szCs w:val="24"/>
        </w:rPr>
      </w:pPr>
      <w:r>
        <w:rPr>
          <w:szCs w:val="24"/>
          <w:lang w:eastAsia="en-AU"/>
        </w:rPr>
        <w:t xml:space="preserve">following rights under the </w:t>
      </w:r>
      <w:r>
        <w:rPr>
          <w:i/>
          <w:iCs/>
          <w:szCs w:val="24"/>
          <w:lang w:eastAsia="en-AU"/>
        </w:rPr>
        <w:t xml:space="preserve">Human Rights Act 2004 </w:t>
      </w:r>
      <w:r>
        <w:rPr>
          <w:szCs w:val="24"/>
          <w:lang w:eastAsia="en-AU"/>
        </w:rPr>
        <w:t>(the Human Rights Act):</w:t>
      </w:r>
    </w:p>
    <w:p w14:paraId="1C31C4E1" w14:textId="2C167A4A" w:rsidR="0088781C" w:rsidRDefault="00BD7E67" w:rsidP="00DF7319">
      <w:pPr>
        <w:numPr>
          <w:ilvl w:val="0"/>
          <w:numId w:val="2"/>
        </w:numPr>
        <w:autoSpaceDE w:val="0"/>
        <w:autoSpaceDN w:val="0"/>
        <w:adjustRightInd w:val="0"/>
        <w:spacing w:before="240" w:after="120"/>
        <w:rPr>
          <w:bCs/>
          <w:szCs w:val="24"/>
        </w:rPr>
      </w:pPr>
      <w:r>
        <w:rPr>
          <w:bCs/>
          <w:szCs w:val="24"/>
        </w:rPr>
        <w:t>r</w:t>
      </w:r>
      <w:r w:rsidR="0088781C">
        <w:rPr>
          <w:bCs/>
          <w:szCs w:val="24"/>
        </w:rPr>
        <w:t>ight to liberty and security of person</w:t>
      </w:r>
      <w:r>
        <w:rPr>
          <w:bCs/>
          <w:szCs w:val="24"/>
        </w:rPr>
        <w:t xml:space="preserve"> (s 18);</w:t>
      </w:r>
    </w:p>
    <w:p w14:paraId="32DC097E" w14:textId="755E2BA4" w:rsidR="0088781C" w:rsidRDefault="00BD7E67" w:rsidP="00DF7319">
      <w:pPr>
        <w:numPr>
          <w:ilvl w:val="0"/>
          <w:numId w:val="2"/>
        </w:numPr>
        <w:autoSpaceDE w:val="0"/>
        <w:autoSpaceDN w:val="0"/>
        <w:adjustRightInd w:val="0"/>
        <w:spacing w:before="240" w:after="120"/>
        <w:rPr>
          <w:bCs/>
          <w:szCs w:val="24"/>
        </w:rPr>
      </w:pPr>
      <w:r>
        <w:rPr>
          <w:bCs/>
          <w:szCs w:val="24"/>
        </w:rPr>
        <w:t>r</w:t>
      </w:r>
      <w:r w:rsidR="0088781C">
        <w:rPr>
          <w:bCs/>
          <w:szCs w:val="24"/>
        </w:rPr>
        <w:t>ight to a fair trial</w:t>
      </w:r>
      <w:r>
        <w:rPr>
          <w:bCs/>
          <w:szCs w:val="24"/>
        </w:rPr>
        <w:t xml:space="preserve"> (s 21);</w:t>
      </w:r>
    </w:p>
    <w:p w14:paraId="797C6264" w14:textId="0CC74A3C" w:rsidR="00BD7E67" w:rsidRDefault="00BD7E67" w:rsidP="001611C0">
      <w:pPr>
        <w:numPr>
          <w:ilvl w:val="0"/>
          <w:numId w:val="2"/>
        </w:numPr>
        <w:autoSpaceDE w:val="0"/>
        <w:autoSpaceDN w:val="0"/>
        <w:adjustRightInd w:val="0"/>
        <w:spacing w:before="240" w:after="120"/>
        <w:rPr>
          <w:bCs/>
          <w:szCs w:val="24"/>
        </w:rPr>
      </w:pPr>
      <w:r>
        <w:rPr>
          <w:bCs/>
          <w:szCs w:val="24"/>
        </w:rPr>
        <w:t xml:space="preserve">rights to privacy and reputation (s 12). </w:t>
      </w:r>
    </w:p>
    <w:p w14:paraId="1A23FBCF" w14:textId="3BE53390" w:rsidR="007909B8" w:rsidRPr="001611C0" w:rsidRDefault="007909B8" w:rsidP="007909B8">
      <w:pPr>
        <w:autoSpaceDE w:val="0"/>
        <w:autoSpaceDN w:val="0"/>
        <w:adjustRightInd w:val="0"/>
        <w:spacing w:before="240" w:after="120"/>
        <w:rPr>
          <w:bCs/>
          <w:szCs w:val="24"/>
        </w:rPr>
      </w:pPr>
      <w:r w:rsidRPr="007909B8">
        <w:rPr>
          <w:bCs/>
          <w:szCs w:val="24"/>
        </w:rPr>
        <w:t>In addition</w:t>
      </w:r>
      <w:r w:rsidR="006902B3">
        <w:rPr>
          <w:bCs/>
          <w:szCs w:val="24"/>
        </w:rPr>
        <w:t>,</w:t>
      </w:r>
      <w:r w:rsidRPr="007909B8">
        <w:rPr>
          <w:bCs/>
          <w:szCs w:val="24"/>
        </w:rPr>
        <w:t xml:space="preserve"> the prohibition against retrospective criminal laws </w:t>
      </w:r>
      <w:r>
        <w:rPr>
          <w:bCs/>
          <w:szCs w:val="24"/>
        </w:rPr>
        <w:t xml:space="preserve">(s 25) is considered. While not </w:t>
      </w:r>
      <w:r w:rsidRPr="007909B8">
        <w:rPr>
          <w:bCs/>
          <w:szCs w:val="24"/>
        </w:rPr>
        <w:t>engage</w:t>
      </w:r>
      <w:r w:rsidR="006902B3">
        <w:rPr>
          <w:bCs/>
          <w:szCs w:val="24"/>
        </w:rPr>
        <w:t>d, the Bill seeks to support that</w:t>
      </w:r>
      <w:r w:rsidRPr="007909B8">
        <w:rPr>
          <w:bCs/>
          <w:szCs w:val="24"/>
        </w:rPr>
        <w:t xml:space="preserve"> right.</w:t>
      </w:r>
    </w:p>
    <w:p w14:paraId="1D740F96" w14:textId="77777777" w:rsidR="005A1175" w:rsidRPr="005A1175" w:rsidRDefault="005A1175" w:rsidP="005A1175">
      <w:pPr>
        <w:autoSpaceDE w:val="0"/>
        <w:autoSpaceDN w:val="0"/>
        <w:adjustRightInd w:val="0"/>
        <w:spacing w:before="240" w:after="120"/>
        <w:rPr>
          <w:b/>
          <w:bCs/>
          <w:i/>
          <w:iCs/>
          <w:szCs w:val="24"/>
        </w:rPr>
      </w:pPr>
      <w:r w:rsidRPr="005A1175">
        <w:rPr>
          <w:b/>
          <w:bCs/>
          <w:i/>
          <w:iCs/>
          <w:szCs w:val="24"/>
        </w:rPr>
        <w:t>Limitations on human rights – section 28 of the Human Rights Act</w:t>
      </w:r>
    </w:p>
    <w:p w14:paraId="0613D6A4" w14:textId="77777777" w:rsidR="00351F41" w:rsidRDefault="00351F41" w:rsidP="002F0FD2">
      <w:pPr>
        <w:autoSpaceDE w:val="0"/>
        <w:autoSpaceDN w:val="0"/>
        <w:adjustRightInd w:val="0"/>
        <w:spacing w:before="240" w:after="120"/>
        <w:rPr>
          <w:szCs w:val="24"/>
        </w:rPr>
      </w:pPr>
      <w:r w:rsidRPr="002F0FD2">
        <w:rPr>
          <w:szCs w:val="24"/>
        </w:rPr>
        <w:t>The preamble to the HR Act notes that few rights are absolute and that they may be subject only to the reasonable limits in law that can be demonstrably justified in a free and democratic society. Section 28 (2) of the HR Act contains the framework that is used to determine the acceptable limitations that may be placed on human rights.</w:t>
      </w:r>
      <w:r w:rsidR="008147D7">
        <w:rPr>
          <w:szCs w:val="24"/>
        </w:rPr>
        <w:t xml:space="preserve"> </w:t>
      </w:r>
    </w:p>
    <w:p w14:paraId="4B430BEC" w14:textId="3FB009D8" w:rsidR="005A1175" w:rsidRDefault="005A1175" w:rsidP="005A1175">
      <w:pPr>
        <w:autoSpaceDE w:val="0"/>
        <w:autoSpaceDN w:val="0"/>
        <w:adjustRightInd w:val="0"/>
        <w:spacing w:before="240" w:after="120"/>
        <w:rPr>
          <w:bCs/>
          <w:szCs w:val="24"/>
        </w:rPr>
      </w:pPr>
      <w:r w:rsidRPr="005A1175">
        <w:rPr>
          <w:bCs/>
          <w:szCs w:val="24"/>
        </w:rPr>
        <w:t>The list of factors in section 28(2) is non-exhaustive. Where it is accepted that a right is</w:t>
      </w:r>
      <w:r>
        <w:rPr>
          <w:bCs/>
          <w:szCs w:val="24"/>
        </w:rPr>
        <w:t xml:space="preserve"> </w:t>
      </w:r>
      <w:r w:rsidRPr="005A1175">
        <w:rPr>
          <w:bCs/>
          <w:szCs w:val="24"/>
        </w:rPr>
        <w:t>engaged and limited by the Bill’s provisions in relation to the new sentence, these factors are</w:t>
      </w:r>
      <w:r>
        <w:rPr>
          <w:bCs/>
          <w:szCs w:val="24"/>
        </w:rPr>
        <w:t xml:space="preserve"> </w:t>
      </w:r>
      <w:r w:rsidRPr="005A1175">
        <w:rPr>
          <w:bCs/>
          <w:szCs w:val="24"/>
        </w:rPr>
        <w:t>addressed by referencing the factor in bold type followed by the explanation as to why the</w:t>
      </w:r>
      <w:r>
        <w:rPr>
          <w:bCs/>
          <w:szCs w:val="24"/>
        </w:rPr>
        <w:t xml:space="preserve"> </w:t>
      </w:r>
      <w:r w:rsidRPr="005A1175">
        <w:rPr>
          <w:bCs/>
          <w:szCs w:val="24"/>
        </w:rPr>
        <w:t>limitation is reasonable in relation to that factor.</w:t>
      </w:r>
    </w:p>
    <w:p w14:paraId="0855B423" w14:textId="77777777" w:rsidR="000B2A8D" w:rsidRPr="00675678" w:rsidRDefault="000B2A8D" w:rsidP="000B2A8D">
      <w:pPr>
        <w:autoSpaceDE w:val="0"/>
        <w:autoSpaceDN w:val="0"/>
        <w:adjustRightInd w:val="0"/>
        <w:spacing w:before="240" w:after="120"/>
        <w:rPr>
          <w:b/>
          <w:bCs/>
          <w:i/>
          <w:szCs w:val="24"/>
        </w:rPr>
      </w:pPr>
      <w:r w:rsidRPr="00675678">
        <w:rPr>
          <w:b/>
          <w:bCs/>
          <w:i/>
          <w:szCs w:val="24"/>
        </w:rPr>
        <w:t>The right to liberty and security of person</w:t>
      </w:r>
    </w:p>
    <w:p w14:paraId="3291710D" w14:textId="1CD64767" w:rsidR="005853FA" w:rsidRDefault="000B2A8D" w:rsidP="00675678">
      <w:pPr>
        <w:autoSpaceDE w:val="0"/>
        <w:autoSpaceDN w:val="0"/>
        <w:adjustRightInd w:val="0"/>
        <w:spacing w:before="240" w:after="120"/>
      </w:pPr>
      <w:r w:rsidRPr="000B2A8D">
        <w:rPr>
          <w:bCs/>
          <w:szCs w:val="24"/>
        </w:rPr>
        <w:t xml:space="preserve">Section 18 of the </w:t>
      </w:r>
      <w:r>
        <w:rPr>
          <w:bCs/>
          <w:szCs w:val="24"/>
        </w:rPr>
        <w:t xml:space="preserve">HRA </w:t>
      </w:r>
      <w:r w:rsidRPr="000B2A8D">
        <w:rPr>
          <w:bCs/>
          <w:szCs w:val="24"/>
        </w:rPr>
        <w:t>provides that everyone has the right to liberty and</w:t>
      </w:r>
      <w:r>
        <w:rPr>
          <w:bCs/>
          <w:szCs w:val="24"/>
        </w:rPr>
        <w:t xml:space="preserve"> </w:t>
      </w:r>
      <w:r w:rsidRPr="000B2A8D">
        <w:rPr>
          <w:bCs/>
          <w:szCs w:val="24"/>
        </w:rPr>
        <w:t xml:space="preserve">security of person. </w:t>
      </w:r>
      <w:r>
        <w:rPr>
          <w:bCs/>
          <w:szCs w:val="24"/>
        </w:rPr>
        <w:t>In the context of the ICO scheme</w:t>
      </w:r>
      <w:r w:rsidR="005853FA">
        <w:rPr>
          <w:bCs/>
          <w:szCs w:val="24"/>
        </w:rPr>
        <w:t xml:space="preserve"> as a whole</w:t>
      </w:r>
      <w:r>
        <w:rPr>
          <w:bCs/>
          <w:szCs w:val="24"/>
        </w:rPr>
        <w:t>,</w:t>
      </w:r>
      <w:r w:rsidR="000A331C">
        <w:t xml:space="preserve"> this right is engaged by the imposition of an </w:t>
      </w:r>
      <w:r w:rsidR="005853FA">
        <w:t xml:space="preserve">ICO </w:t>
      </w:r>
      <w:r w:rsidR="000A331C">
        <w:t xml:space="preserve">and may be both supported and limited. The right is supported in that the sentence of imprisonment imposed is not to be served in a prison or detention facility, but in the community. </w:t>
      </w:r>
    </w:p>
    <w:p w14:paraId="20BA9054" w14:textId="25DAB29F" w:rsidR="005853FA" w:rsidRDefault="000A331C" w:rsidP="00675678">
      <w:pPr>
        <w:autoSpaceDE w:val="0"/>
        <w:autoSpaceDN w:val="0"/>
        <w:adjustRightInd w:val="0"/>
        <w:spacing w:before="240" w:after="120"/>
        <w:rPr>
          <w:szCs w:val="24"/>
          <w:lang w:eastAsia="en-AU"/>
        </w:rPr>
      </w:pPr>
      <w:r>
        <w:t xml:space="preserve">However, the right may also be engaged and limited in the event an offender is found to be in breach of the </w:t>
      </w:r>
      <w:r w:rsidR="006902B3">
        <w:t xml:space="preserve">ICO </w:t>
      </w:r>
      <w:r>
        <w:t xml:space="preserve">because the </w:t>
      </w:r>
      <w:r w:rsidR="005853FA">
        <w:t>cancellation</w:t>
      </w:r>
      <w:r>
        <w:t xml:space="preserve"> of a</w:t>
      </w:r>
      <w:r w:rsidR="006902B3">
        <w:t>n ICO</w:t>
      </w:r>
      <w:r>
        <w:t xml:space="preserve"> will result in a period of full-time imprisonment.</w:t>
      </w:r>
      <w:r w:rsidR="005853FA">
        <w:t xml:space="preserve"> </w:t>
      </w:r>
      <w:r w:rsidR="005853FA">
        <w:rPr>
          <w:szCs w:val="24"/>
          <w:lang w:eastAsia="en-AU"/>
        </w:rPr>
        <w:t xml:space="preserve">Section 18 requires particular consideration where an offender breaches an </w:t>
      </w:r>
      <w:r w:rsidR="006902B3">
        <w:rPr>
          <w:szCs w:val="24"/>
          <w:lang w:eastAsia="en-AU"/>
        </w:rPr>
        <w:t>ICO</w:t>
      </w:r>
      <w:r w:rsidR="005853FA">
        <w:rPr>
          <w:szCs w:val="24"/>
          <w:lang w:eastAsia="en-AU"/>
        </w:rPr>
        <w:t xml:space="preserve"> and must consequently serve full-time imprisonment in custody.</w:t>
      </w:r>
    </w:p>
    <w:p w14:paraId="27114E7E" w14:textId="3FBA1EBC" w:rsidR="000A331C" w:rsidRDefault="008F1453" w:rsidP="00675678">
      <w:pPr>
        <w:autoSpaceDE w:val="0"/>
        <w:autoSpaceDN w:val="0"/>
        <w:adjustRightInd w:val="0"/>
        <w:spacing w:before="240" w:after="120"/>
      </w:pPr>
      <w:r>
        <w:rPr>
          <w:szCs w:val="24"/>
          <w:lang w:eastAsia="en-AU"/>
        </w:rPr>
        <w:t xml:space="preserve">The Sentencing Administration Act </w:t>
      </w:r>
      <w:r w:rsidRPr="008F1453">
        <w:rPr>
          <w:szCs w:val="24"/>
          <w:lang w:eastAsia="en-AU"/>
        </w:rPr>
        <w:t>provides a legislative breach framework which responds proportionately to noncompliance</w:t>
      </w:r>
      <w:r>
        <w:rPr>
          <w:szCs w:val="24"/>
          <w:lang w:eastAsia="en-AU"/>
        </w:rPr>
        <w:t xml:space="preserve"> </w:t>
      </w:r>
      <w:r w:rsidRPr="008F1453">
        <w:rPr>
          <w:szCs w:val="24"/>
          <w:lang w:eastAsia="en-AU"/>
        </w:rPr>
        <w:t xml:space="preserve">with an </w:t>
      </w:r>
      <w:r w:rsidR="00DD649C">
        <w:rPr>
          <w:szCs w:val="24"/>
          <w:lang w:eastAsia="en-AU"/>
        </w:rPr>
        <w:t xml:space="preserve">ICO </w:t>
      </w:r>
      <w:r w:rsidRPr="008F1453">
        <w:rPr>
          <w:szCs w:val="24"/>
          <w:lang w:eastAsia="en-AU"/>
        </w:rPr>
        <w:t>in accordance with section 28.</w:t>
      </w:r>
      <w:r w:rsidR="000A331C">
        <w:t xml:space="preserve"> </w:t>
      </w:r>
      <w:r w:rsidR="00D448F7">
        <w:t xml:space="preserve">This </w:t>
      </w:r>
      <w:r>
        <w:t xml:space="preserve">Bill clarifies the operation of one part of that framework in light of the Supreme Court’s decision in </w:t>
      </w:r>
      <w:r>
        <w:rPr>
          <w:i/>
        </w:rPr>
        <w:t xml:space="preserve">R </w:t>
      </w:r>
      <w:r w:rsidR="00F7246C">
        <w:rPr>
          <w:i/>
        </w:rPr>
        <w:t>v</w:t>
      </w:r>
      <w:r>
        <w:rPr>
          <w:i/>
        </w:rPr>
        <w:t xml:space="preserve"> XH </w:t>
      </w:r>
      <w:r>
        <w:t>[2017] ACTCS 236. In that decision, the Court noted the Act did not clearly set out the range of orders available to a Court following cancellation of an ICO if the Judge was of the view that the offender should be given an opportunity to serve less than the full remaining term of imprisonment in full time detention.</w:t>
      </w:r>
    </w:p>
    <w:p w14:paraId="489C0D43" w14:textId="692ED419" w:rsidR="008F1453" w:rsidRDefault="008F1453" w:rsidP="00675678">
      <w:pPr>
        <w:autoSpaceDE w:val="0"/>
        <w:autoSpaceDN w:val="0"/>
        <w:adjustRightInd w:val="0"/>
        <w:spacing w:before="240" w:after="120"/>
      </w:pPr>
      <w:r>
        <w:t>The Bill clarifies that if an ICO is cancelled because of further offending</w:t>
      </w:r>
      <w:r w:rsidR="00CD4A75">
        <w:t xml:space="preserve"> punishable by imprisonment</w:t>
      </w:r>
      <w:r>
        <w:t>, the offender may be given the opportunity to serve only part of the remaining term in full time detention if the Judge sets a non-parole period.</w:t>
      </w:r>
      <w:r w:rsidR="003C4D4A">
        <w:t xml:space="preserve"> </w:t>
      </w:r>
    </w:p>
    <w:p w14:paraId="2E5F40A2" w14:textId="563D99FF" w:rsidR="00445A31" w:rsidRDefault="003C4D4A" w:rsidP="00675678">
      <w:pPr>
        <w:autoSpaceDE w:val="0"/>
        <w:autoSpaceDN w:val="0"/>
        <w:adjustRightInd w:val="0"/>
        <w:spacing w:before="240" w:after="120"/>
      </w:pPr>
      <w:r>
        <w:t xml:space="preserve">The </w:t>
      </w:r>
      <w:r w:rsidRPr="00675678">
        <w:rPr>
          <w:b/>
        </w:rPr>
        <w:t>nature of the right</w:t>
      </w:r>
      <w:r>
        <w:t xml:space="preserve"> is not absolute and people who have been found guilty of serious crimes can properly be imprisoned provided it is in accordance with law and is proportionate. </w:t>
      </w:r>
      <w:r w:rsidR="00445A31">
        <w:t xml:space="preserve">The </w:t>
      </w:r>
      <w:r w:rsidR="00445A31" w:rsidRPr="00675678">
        <w:rPr>
          <w:b/>
        </w:rPr>
        <w:t>purpose of the limitation</w:t>
      </w:r>
      <w:r w:rsidR="00445A31">
        <w:t xml:space="preserve"> </w:t>
      </w:r>
      <w:r w:rsidR="00A220B3">
        <w:t>is to ensure there are appropriate consequences to the commission of a further offence, which is punishable by imprisonment, while serving a sentence of imprisonment in the community by way of an ICO.</w:t>
      </w:r>
      <w:r w:rsidR="00445A31">
        <w:t xml:space="preserve"> The </w:t>
      </w:r>
      <w:r w:rsidR="00445A31" w:rsidRPr="00675678">
        <w:rPr>
          <w:b/>
        </w:rPr>
        <w:t>nature and extent of the limitation</w:t>
      </w:r>
      <w:r w:rsidR="00445A31">
        <w:t xml:space="preserve"> is reasonable because:</w:t>
      </w:r>
    </w:p>
    <w:p w14:paraId="3031CB66" w14:textId="28442F5C" w:rsidR="00445A31" w:rsidRDefault="00445A31" w:rsidP="00675678">
      <w:pPr>
        <w:pStyle w:val="ListParagraph"/>
        <w:numPr>
          <w:ilvl w:val="0"/>
          <w:numId w:val="29"/>
        </w:numPr>
        <w:autoSpaceDE w:val="0"/>
        <w:autoSpaceDN w:val="0"/>
        <w:adjustRightInd w:val="0"/>
        <w:spacing w:before="240" w:after="120"/>
        <w:rPr>
          <w:szCs w:val="24"/>
        </w:rPr>
      </w:pPr>
      <w:r w:rsidRPr="00675678">
        <w:rPr>
          <w:sz w:val="24"/>
          <w:szCs w:val="24"/>
        </w:rPr>
        <w:t xml:space="preserve">it leaves in place the existing criteria for cancelling an ICO and the existing </w:t>
      </w:r>
      <w:r w:rsidR="00E554C3">
        <w:rPr>
          <w:sz w:val="24"/>
          <w:szCs w:val="24"/>
        </w:rPr>
        <w:t xml:space="preserve">requirement </w:t>
      </w:r>
      <w:r w:rsidRPr="00675678">
        <w:rPr>
          <w:sz w:val="24"/>
          <w:szCs w:val="24"/>
        </w:rPr>
        <w:t xml:space="preserve">that </w:t>
      </w:r>
      <w:r w:rsidR="00E554C3">
        <w:rPr>
          <w:sz w:val="24"/>
          <w:szCs w:val="24"/>
        </w:rPr>
        <w:t xml:space="preserve">at least some of </w:t>
      </w:r>
      <w:r w:rsidRPr="00675678">
        <w:rPr>
          <w:sz w:val="24"/>
          <w:szCs w:val="24"/>
        </w:rPr>
        <w:t xml:space="preserve">the remaining term of imprisonment will be </w:t>
      </w:r>
      <w:r w:rsidR="00E554C3">
        <w:rPr>
          <w:sz w:val="24"/>
          <w:szCs w:val="24"/>
        </w:rPr>
        <w:t xml:space="preserve">served in full time detention </w:t>
      </w:r>
      <w:r w:rsidRPr="00675678">
        <w:rPr>
          <w:sz w:val="24"/>
          <w:szCs w:val="24"/>
        </w:rPr>
        <w:t>if an ICO is cancelled</w:t>
      </w:r>
      <w:r>
        <w:rPr>
          <w:sz w:val="24"/>
          <w:szCs w:val="24"/>
        </w:rPr>
        <w:t>;</w:t>
      </w:r>
      <w:r w:rsidRPr="00675678">
        <w:rPr>
          <w:sz w:val="24"/>
          <w:szCs w:val="24"/>
        </w:rPr>
        <w:t xml:space="preserve"> </w:t>
      </w:r>
    </w:p>
    <w:p w14:paraId="2CCD4982" w14:textId="2A824E29" w:rsidR="00445A31" w:rsidRDefault="00445A31" w:rsidP="00675678">
      <w:pPr>
        <w:pStyle w:val="ListParagraph"/>
        <w:numPr>
          <w:ilvl w:val="0"/>
          <w:numId w:val="29"/>
        </w:numPr>
        <w:autoSpaceDE w:val="0"/>
        <w:autoSpaceDN w:val="0"/>
        <w:adjustRightInd w:val="0"/>
        <w:spacing w:before="240" w:after="120"/>
        <w:rPr>
          <w:szCs w:val="24"/>
        </w:rPr>
      </w:pPr>
      <w:r>
        <w:rPr>
          <w:sz w:val="24"/>
          <w:szCs w:val="24"/>
        </w:rPr>
        <w:t xml:space="preserve">it retains a judicial discretion to determine, in appropriate cases, that the offender should be given a further opportunity to serve part of the </w:t>
      </w:r>
      <w:r w:rsidR="00D05B60">
        <w:rPr>
          <w:sz w:val="24"/>
          <w:szCs w:val="24"/>
        </w:rPr>
        <w:t>sentence of imprisonment</w:t>
      </w:r>
      <w:r>
        <w:rPr>
          <w:sz w:val="24"/>
          <w:szCs w:val="24"/>
        </w:rPr>
        <w:t xml:space="preserve"> in the community</w:t>
      </w:r>
      <w:r w:rsidR="00D05B60">
        <w:rPr>
          <w:sz w:val="24"/>
          <w:szCs w:val="24"/>
        </w:rPr>
        <w:t xml:space="preserve"> (on parole);</w:t>
      </w:r>
      <w:r>
        <w:rPr>
          <w:sz w:val="24"/>
          <w:szCs w:val="24"/>
        </w:rPr>
        <w:t xml:space="preserve"> </w:t>
      </w:r>
      <w:r w:rsidR="00D05B60">
        <w:rPr>
          <w:sz w:val="24"/>
          <w:szCs w:val="24"/>
        </w:rPr>
        <w:t>and</w:t>
      </w:r>
    </w:p>
    <w:p w14:paraId="5FC526E5" w14:textId="01DDD1E0" w:rsidR="003C4D4A" w:rsidRDefault="00D05B60" w:rsidP="00675678">
      <w:pPr>
        <w:pStyle w:val="ListParagraph"/>
        <w:numPr>
          <w:ilvl w:val="0"/>
          <w:numId w:val="29"/>
        </w:numPr>
        <w:autoSpaceDE w:val="0"/>
        <w:autoSpaceDN w:val="0"/>
        <w:adjustRightInd w:val="0"/>
        <w:spacing w:before="240" w:after="120"/>
        <w:rPr>
          <w:szCs w:val="24"/>
        </w:rPr>
      </w:pPr>
      <w:r>
        <w:rPr>
          <w:sz w:val="24"/>
          <w:szCs w:val="24"/>
        </w:rPr>
        <w:t xml:space="preserve">in defining </w:t>
      </w:r>
      <w:r w:rsidR="00445A31" w:rsidRPr="00675678">
        <w:rPr>
          <w:sz w:val="24"/>
          <w:szCs w:val="24"/>
        </w:rPr>
        <w:t xml:space="preserve">the circumstances in which the Judge may set a non-parole period </w:t>
      </w:r>
      <w:r>
        <w:rPr>
          <w:sz w:val="24"/>
          <w:szCs w:val="24"/>
        </w:rPr>
        <w:t xml:space="preserve">on cancellation, the Bill </w:t>
      </w:r>
      <w:r w:rsidR="00445A31" w:rsidRPr="00675678">
        <w:rPr>
          <w:sz w:val="24"/>
          <w:szCs w:val="24"/>
        </w:rPr>
        <w:t>strike</w:t>
      </w:r>
      <w:r>
        <w:rPr>
          <w:sz w:val="24"/>
          <w:szCs w:val="24"/>
        </w:rPr>
        <w:t>s</w:t>
      </w:r>
      <w:r w:rsidR="00445A31" w:rsidRPr="00675678">
        <w:rPr>
          <w:sz w:val="24"/>
          <w:szCs w:val="24"/>
        </w:rPr>
        <w:t xml:space="preserve"> a balance between consistency with the existing parole regime and other parts of the existing ICO scheme. In the existing parole regime, only sentences of 12 months or more may have a non-parole period set. In the existing ICO cancellation regime, an offender whose ICO is cancelled by the SAB for another reason may not apply for reinstatement of the ICO until they have served at least 30 days of the remaining term of imprisonment.</w:t>
      </w:r>
    </w:p>
    <w:p w14:paraId="35C9226B" w14:textId="48F73700" w:rsidR="00E97F7F" w:rsidRDefault="00E97F7F" w:rsidP="00675678">
      <w:pPr>
        <w:autoSpaceDE w:val="0"/>
        <w:autoSpaceDN w:val="0"/>
        <w:adjustRightInd w:val="0"/>
        <w:spacing w:before="240" w:after="120"/>
        <w:rPr>
          <w:szCs w:val="24"/>
        </w:rPr>
      </w:pPr>
      <w:r w:rsidRPr="00E97F7F">
        <w:rPr>
          <w:szCs w:val="24"/>
        </w:rPr>
        <w:t xml:space="preserve">There is </w:t>
      </w:r>
      <w:r w:rsidRPr="00675678">
        <w:rPr>
          <w:b/>
          <w:szCs w:val="24"/>
        </w:rPr>
        <w:t>no less restrictive means reasonably available</w:t>
      </w:r>
      <w:r>
        <w:rPr>
          <w:szCs w:val="24"/>
        </w:rPr>
        <w:t xml:space="preserve"> to support compliance with an ICO in this context, </w:t>
      </w:r>
      <w:r w:rsidRPr="00E97F7F">
        <w:rPr>
          <w:szCs w:val="24"/>
        </w:rPr>
        <w:t>because an</w:t>
      </w:r>
      <w:r>
        <w:rPr>
          <w:szCs w:val="24"/>
        </w:rPr>
        <w:t xml:space="preserve">y less restrictive way of an offender serving only ‘part’ of their remaining term in full time detention would not be a proportionate response to the seriousness of breaching the ICO by further offending. As a sentence of imprisonment, the ICO </w:t>
      </w:r>
      <w:r w:rsidRPr="00E97F7F">
        <w:rPr>
          <w:szCs w:val="24"/>
        </w:rPr>
        <w:t>order would have no effect as a penalty without the ultimate</w:t>
      </w:r>
      <w:r>
        <w:rPr>
          <w:szCs w:val="24"/>
        </w:rPr>
        <w:t xml:space="preserve"> </w:t>
      </w:r>
      <w:r w:rsidRPr="00E97F7F">
        <w:rPr>
          <w:szCs w:val="24"/>
        </w:rPr>
        <w:t>sanction of full-time detention in the event of non-compliance.</w:t>
      </w:r>
    </w:p>
    <w:p w14:paraId="48A2152C" w14:textId="33DE8245" w:rsidR="00DC3D90" w:rsidRDefault="00252A00" w:rsidP="00675678">
      <w:pPr>
        <w:autoSpaceDE w:val="0"/>
        <w:autoSpaceDN w:val="0"/>
        <w:adjustRightInd w:val="0"/>
        <w:spacing w:before="240" w:after="120"/>
        <w:rPr>
          <w:szCs w:val="24"/>
        </w:rPr>
      </w:pPr>
      <w:r>
        <w:rPr>
          <w:szCs w:val="24"/>
        </w:rPr>
        <w:t xml:space="preserve">As part of the </w:t>
      </w:r>
      <w:r w:rsidRPr="008F1453">
        <w:rPr>
          <w:szCs w:val="24"/>
          <w:lang w:eastAsia="en-AU"/>
        </w:rPr>
        <w:t xml:space="preserve">legislative breach framework </w:t>
      </w:r>
      <w:r w:rsidR="00FA4B61">
        <w:rPr>
          <w:szCs w:val="24"/>
          <w:lang w:eastAsia="en-AU"/>
        </w:rPr>
        <w:t xml:space="preserve">for </w:t>
      </w:r>
      <w:r w:rsidRPr="008F1453">
        <w:rPr>
          <w:szCs w:val="24"/>
          <w:lang w:eastAsia="en-AU"/>
        </w:rPr>
        <w:t>noncompliance</w:t>
      </w:r>
      <w:r>
        <w:rPr>
          <w:szCs w:val="24"/>
          <w:lang w:eastAsia="en-AU"/>
        </w:rPr>
        <w:t xml:space="preserve"> </w:t>
      </w:r>
      <w:r w:rsidRPr="008F1453">
        <w:rPr>
          <w:szCs w:val="24"/>
          <w:lang w:eastAsia="en-AU"/>
        </w:rPr>
        <w:t xml:space="preserve">with an </w:t>
      </w:r>
      <w:r>
        <w:rPr>
          <w:szCs w:val="24"/>
          <w:lang w:eastAsia="en-AU"/>
        </w:rPr>
        <w:t>ICO</w:t>
      </w:r>
      <w:r>
        <w:rPr>
          <w:szCs w:val="24"/>
        </w:rPr>
        <w:t xml:space="preserve">, </w:t>
      </w:r>
      <w:r w:rsidR="00DC3D90">
        <w:rPr>
          <w:szCs w:val="24"/>
        </w:rPr>
        <w:t xml:space="preserve">an </w:t>
      </w:r>
      <w:r>
        <w:rPr>
          <w:szCs w:val="24"/>
        </w:rPr>
        <w:t xml:space="preserve">arrest </w:t>
      </w:r>
      <w:r w:rsidR="00DC3D90">
        <w:rPr>
          <w:szCs w:val="24"/>
        </w:rPr>
        <w:t>warrant</w:t>
      </w:r>
      <w:r>
        <w:rPr>
          <w:szCs w:val="24"/>
        </w:rPr>
        <w:t xml:space="preserve"> may be issued for an offender </w:t>
      </w:r>
      <w:r w:rsidR="00FA4B61">
        <w:rPr>
          <w:szCs w:val="24"/>
        </w:rPr>
        <w:t>by a j</w:t>
      </w:r>
      <w:r w:rsidR="00DC3D90">
        <w:rPr>
          <w:szCs w:val="24"/>
        </w:rPr>
        <w:t xml:space="preserve">udge, a </w:t>
      </w:r>
      <w:r w:rsidR="00FA4B61">
        <w:rPr>
          <w:szCs w:val="24"/>
        </w:rPr>
        <w:t>m</w:t>
      </w:r>
      <w:r w:rsidR="00DC3D90">
        <w:rPr>
          <w:szCs w:val="24"/>
        </w:rPr>
        <w:t>agistrate or the Sentence Administration Board (SAB)</w:t>
      </w:r>
      <w:r w:rsidR="00FA4B61">
        <w:rPr>
          <w:szCs w:val="24"/>
        </w:rPr>
        <w:t xml:space="preserve"> where the offender is suspected to have breached</w:t>
      </w:r>
      <w:r w:rsidR="00DC3D90">
        <w:rPr>
          <w:szCs w:val="24"/>
        </w:rPr>
        <w:t>. Whe</w:t>
      </w:r>
      <w:r w:rsidR="00FA4B61">
        <w:rPr>
          <w:szCs w:val="24"/>
        </w:rPr>
        <w:t>re a j</w:t>
      </w:r>
      <w:r w:rsidR="00DC3D90">
        <w:rPr>
          <w:szCs w:val="24"/>
        </w:rPr>
        <w:t xml:space="preserve">udge or </w:t>
      </w:r>
      <w:r w:rsidR="00FA4B61">
        <w:rPr>
          <w:szCs w:val="24"/>
        </w:rPr>
        <w:t>m</w:t>
      </w:r>
      <w:r w:rsidR="00DC3D90">
        <w:rPr>
          <w:szCs w:val="24"/>
        </w:rPr>
        <w:t xml:space="preserve">agistrate issues the warrant, </w:t>
      </w:r>
      <w:r w:rsidR="000B7C57">
        <w:rPr>
          <w:szCs w:val="24"/>
        </w:rPr>
        <w:t xml:space="preserve">section 80(2) of </w:t>
      </w:r>
      <w:r w:rsidR="00DC3D90">
        <w:rPr>
          <w:szCs w:val="24"/>
        </w:rPr>
        <w:t>the Sentence Administration Act operates (in effect) to suspend the operation of the ICO</w:t>
      </w:r>
      <w:r w:rsidR="00FA4B61">
        <w:rPr>
          <w:szCs w:val="24"/>
        </w:rPr>
        <w:t>.</w:t>
      </w:r>
      <w:r w:rsidR="00DC3D90">
        <w:rPr>
          <w:szCs w:val="24"/>
        </w:rPr>
        <w:t xml:space="preserve"> </w:t>
      </w:r>
      <w:r w:rsidR="00FA4B61">
        <w:rPr>
          <w:szCs w:val="24"/>
        </w:rPr>
        <w:t>T</w:t>
      </w:r>
      <w:r w:rsidR="00DC3D90">
        <w:rPr>
          <w:szCs w:val="24"/>
        </w:rPr>
        <w:t xml:space="preserve">hat </w:t>
      </w:r>
      <w:r w:rsidR="00FA4B61">
        <w:rPr>
          <w:szCs w:val="24"/>
        </w:rPr>
        <w:t xml:space="preserve">means that </w:t>
      </w:r>
      <w:r w:rsidR="00DC3D90">
        <w:rPr>
          <w:szCs w:val="24"/>
        </w:rPr>
        <w:t xml:space="preserve">the </w:t>
      </w:r>
      <w:r w:rsidR="00FA4B61">
        <w:rPr>
          <w:szCs w:val="24"/>
        </w:rPr>
        <w:t xml:space="preserve">sentence </w:t>
      </w:r>
      <w:r w:rsidR="00DC3D90">
        <w:rPr>
          <w:szCs w:val="24"/>
        </w:rPr>
        <w:t xml:space="preserve">does not continue to </w:t>
      </w:r>
      <w:r w:rsidR="00FA4B61">
        <w:rPr>
          <w:szCs w:val="24"/>
        </w:rPr>
        <w:t xml:space="preserve">be taken as served </w:t>
      </w:r>
      <w:r w:rsidR="00DC3D90">
        <w:rPr>
          <w:szCs w:val="24"/>
        </w:rPr>
        <w:t xml:space="preserve">while the offender is at large. The Bill </w:t>
      </w:r>
      <w:r w:rsidR="000B7C57">
        <w:rPr>
          <w:szCs w:val="24"/>
        </w:rPr>
        <w:t xml:space="preserve">introduces </w:t>
      </w:r>
      <w:r w:rsidR="00DC3D90">
        <w:rPr>
          <w:szCs w:val="24"/>
        </w:rPr>
        <w:t xml:space="preserve">a similar suspension in circumstances where </w:t>
      </w:r>
      <w:r w:rsidR="000B7C57">
        <w:rPr>
          <w:szCs w:val="24"/>
        </w:rPr>
        <w:t xml:space="preserve">the </w:t>
      </w:r>
      <w:r w:rsidR="00DC3D90">
        <w:rPr>
          <w:szCs w:val="24"/>
        </w:rPr>
        <w:t>warrant has been issued by the SAB</w:t>
      </w:r>
      <w:r w:rsidR="00FA4B61">
        <w:rPr>
          <w:szCs w:val="24"/>
        </w:rPr>
        <w:t xml:space="preserve"> rather than a j</w:t>
      </w:r>
      <w:r w:rsidR="000B7C57">
        <w:rPr>
          <w:szCs w:val="24"/>
        </w:rPr>
        <w:t xml:space="preserve">udge or </w:t>
      </w:r>
      <w:r w:rsidR="00FA4B61">
        <w:rPr>
          <w:szCs w:val="24"/>
        </w:rPr>
        <w:t>m</w:t>
      </w:r>
      <w:r w:rsidR="000B7C57">
        <w:rPr>
          <w:szCs w:val="24"/>
        </w:rPr>
        <w:t>agistrate</w:t>
      </w:r>
      <w:r w:rsidR="00DC3D90">
        <w:rPr>
          <w:szCs w:val="24"/>
        </w:rPr>
        <w:t xml:space="preserve">. </w:t>
      </w:r>
    </w:p>
    <w:p w14:paraId="5E1FA166" w14:textId="7A3869B4" w:rsidR="000B528D" w:rsidRDefault="000B528D" w:rsidP="00675678">
      <w:pPr>
        <w:autoSpaceDE w:val="0"/>
        <w:autoSpaceDN w:val="0"/>
        <w:adjustRightInd w:val="0"/>
        <w:spacing w:before="240" w:after="120"/>
        <w:rPr>
          <w:szCs w:val="24"/>
        </w:rPr>
      </w:pPr>
      <w:r>
        <w:rPr>
          <w:szCs w:val="24"/>
        </w:rPr>
        <w:t>A</w:t>
      </w:r>
      <w:r w:rsidR="000B7C57">
        <w:rPr>
          <w:szCs w:val="24"/>
        </w:rPr>
        <w:t xml:space="preserve">kin to existing section 80(2), </w:t>
      </w:r>
      <w:r>
        <w:rPr>
          <w:szCs w:val="24"/>
        </w:rPr>
        <w:t xml:space="preserve">new section 212A </w:t>
      </w:r>
      <w:r w:rsidR="00FE3E9F">
        <w:rPr>
          <w:szCs w:val="24"/>
        </w:rPr>
        <w:t xml:space="preserve">of the Sentence Administration Act </w:t>
      </w:r>
      <w:r>
        <w:rPr>
          <w:szCs w:val="24"/>
        </w:rPr>
        <w:t xml:space="preserve">will </w:t>
      </w:r>
      <w:r w:rsidR="000B7C57">
        <w:rPr>
          <w:szCs w:val="24"/>
        </w:rPr>
        <w:t>extend</w:t>
      </w:r>
      <w:r w:rsidR="00DC3D90">
        <w:rPr>
          <w:szCs w:val="24"/>
        </w:rPr>
        <w:t xml:space="preserve"> the ultimate duration of </w:t>
      </w:r>
      <w:r w:rsidR="000B7C57">
        <w:rPr>
          <w:szCs w:val="24"/>
        </w:rPr>
        <w:t xml:space="preserve">an </w:t>
      </w:r>
      <w:r w:rsidR="00DC3D90">
        <w:rPr>
          <w:szCs w:val="24"/>
        </w:rPr>
        <w:t>ICO</w:t>
      </w:r>
      <w:r w:rsidR="000B7C57">
        <w:rPr>
          <w:szCs w:val="24"/>
        </w:rPr>
        <w:t xml:space="preserve"> where </w:t>
      </w:r>
      <w:r>
        <w:rPr>
          <w:szCs w:val="24"/>
        </w:rPr>
        <w:t xml:space="preserve">a warrant has been issued on the basis of an allegation the offender has breached their ICO. In relation to SAB warrants under section 206 of that Act, the new section 212A will only be triggered in two circumstances: </w:t>
      </w:r>
    </w:p>
    <w:p w14:paraId="43D07B6C" w14:textId="4B151A1E" w:rsidR="000B528D" w:rsidRDefault="000B528D" w:rsidP="000B528D">
      <w:pPr>
        <w:pStyle w:val="ListParagraph"/>
        <w:numPr>
          <w:ilvl w:val="0"/>
          <w:numId w:val="33"/>
        </w:numPr>
        <w:autoSpaceDE w:val="0"/>
        <w:autoSpaceDN w:val="0"/>
        <w:adjustRightInd w:val="0"/>
        <w:spacing w:before="240" w:after="120"/>
        <w:rPr>
          <w:sz w:val="24"/>
          <w:szCs w:val="24"/>
        </w:rPr>
      </w:pPr>
      <w:r>
        <w:rPr>
          <w:sz w:val="24"/>
          <w:szCs w:val="24"/>
        </w:rPr>
        <w:t xml:space="preserve">where </w:t>
      </w:r>
      <w:r w:rsidRPr="000B528D">
        <w:rPr>
          <w:sz w:val="24"/>
          <w:szCs w:val="24"/>
        </w:rPr>
        <w:t xml:space="preserve">the offender </w:t>
      </w:r>
      <w:r w:rsidR="00FA4B61">
        <w:rPr>
          <w:sz w:val="24"/>
          <w:szCs w:val="24"/>
        </w:rPr>
        <w:t xml:space="preserve">was </w:t>
      </w:r>
      <w:r w:rsidRPr="000B528D">
        <w:rPr>
          <w:sz w:val="24"/>
          <w:szCs w:val="24"/>
        </w:rPr>
        <w:t xml:space="preserve">notified under section 63 they </w:t>
      </w:r>
      <w:r w:rsidR="00FA4B61">
        <w:rPr>
          <w:sz w:val="24"/>
          <w:szCs w:val="24"/>
        </w:rPr>
        <w:t>wer</w:t>
      </w:r>
      <w:r w:rsidRPr="000B528D">
        <w:rPr>
          <w:sz w:val="24"/>
          <w:szCs w:val="24"/>
        </w:rPr>
        <w:t xml:space="preserve">e required to attend the SAB to answer the breach allegation and they </w:t>
      </w:r>
      <w:r>
        <w:rPr>
          <w:sz w:val="24"/>
          <w:szCs w:val="24"/>
        </w:rPr>
        <w:t>fail</w:t>
      </w:r>
      <w:r w:rsidR="00FA4B61">
        <w:rPr>
          <w:sz w:val="24"/>
          <w:szCs w:val="24"/>
        </w:rPr>
        <w:t>ed</w:t>
      </w:r>
      <w:r>
        <w:rPr>
          <w:sz w:val="24"/>
          <w:szCs w:val="24"/>
        </w:rPr>
        <w:t xml:space="preserve"> to appear; </w:t>
      </w:r>
      <w:r w:rsidR="00FA4B61">
        <w:rPr>
          <w:sz w:val="24"/>
          <w:szCs w:val="24"/>
        </w:rPr>
        <w:t>or</w:t>
      </w:r>
    </w:p>
    <w:p w14:paraId="7352ADBC" w14:textId="2D0064B9" w:rsidR="000B528D" w:rsidRPr="000B528D" w:rsidRDefault="000B528D" w:rsidP="000B528D">
      <w:pPr>
        <w:pStyle w:val="ListParagraph"/>
        <w:numPr>
          <w:ilvl w:val="0"/>
          <w:numId w:val="33"/>
        </w:numPr>
        <w:autoSpaceDE w:val="0"/>
        <w:autoSpaceDN w:val="0"/>
        <w:adjustRightInd w:val="0"/>
        <w:spacing w:before="240" w:after="120"/>
        <w:rPr>
          <w:sz w:val="24"/>
          <w:szCs w:val="24"/>
        </w:rPr>
      </w:pPr>
      <w:r>
        <w:rPr>
          <w:sz w:val="24"/>
          <w:szCs w:val="24"/>
        </w:rPr>
        <w:t>where a judicial member of the SAB considered that an offender w</w:t>
      </w:r>
      <w:r w:rsidR="00FA4B61">
        <w:rPr>
          <w:sz w:val="24"/>
          <w:szCs w:val="24"/>
        </w:rPr>
        <w:t>ould</w:t>
      </w:r>
      <w:r>
        <w:rPr>
          <w:sz w:val="24"/>
          <w:szCs w:val="24"/>
        </w:rPr>
        <w:t xml:space="preserve"> not appear before the board to answer a notice under section 63.</w:t>
      </w:r>
    </w:p>
    <w:p w14:paraId="727393D5" w14:textId="4120E3A3" w:rsidR="00FE3E9F" w:rsidRDefault="00FE3E9F" w:rsidP="00675678">
      <w:pPr>
        <w:autoSpaceDE w:val="0"/>
        <w:autoSpaceDN w:val="0"/>
        <w:adjustRightInd w:val="0"/>
        <w:spacing w:before="240" w:after="120"/>
        <w:rPr>
          <w:szCs w:val="24"/>
        </w:rPr>
      </w:pPr>
      <w:r>
        <w:rPr>
          <w:szCs w:val="24"/>
        </w:rPr>
        <w:t xml:space="preserve">The second circumstance is included to ensure that offenders who evade service of a section 63 notice do not obtain a benefit by absconding in breach of their ICO conditions. </w:t>
      </w:r>
    </w:p>
    <w:p w14:paraId="6179E309" w14:textId="60DA70B1" w:rsidR="00F93F43" w:rsidRPr="000D2356" w:rsidRDefault="00BC1E1D" w:rsidP="000D2356">
      <w:pPr>
        <w:autoSpaceDE w:val="0"/>
        <w:autoSpaceDN w:val="0"/>
        <w:adjustRightInd w:val="0"/>
        <w:spacing w:before="240" w:after="120"/>
        <w:rPr>
          <w:szCs w:val="24"/>
        </w:rPr>
      </w:pPr>
      <w:r>
        <w:rPr>
          <w:szCs w:val="24"/>
        </w:rPr>
        <w:t xml:space="preserve">In </w:t>
      </w:r>
      <w:r w:rsidR="00DC3D90">
        <w:rPr>
          <w:szCs w:val="24"/>
        </w:rPr>
        <w:t xml:space="preserve">cases where </w:t>
      </w:r>
      <w:r>
        <w:rPr>
          <w:szCs w:val="24"/>
        </w:rPr>
        <w:t xml:space="preserve">the new suspension operates and the </w:t>
      </w:r>
      <w:r w:rsidR="00DC3D90">
        <w:rPr>
          <w:szCs w:val="24"/>
        </w:rPr>
        <w:t>offender is later required to spend some of the remaining term in full time</w:t>
      </w:r>
      <w:r w:rsidR="00CE2AA1">
        <w:rPr>
          <w:szCs w:val="24"/>
        </w:rPr>
        <w:t xml:space="preserve"> custody</w:t>
      </w:r>
      <w:r w:rsidR="00DC3D90">
        <w:rPr>
          <w:szCs w:val="24"/>
        </w:rPr>
        <w:t xml:space="preserve">, this amendment </w:t>
      </w:r>
      <w:r>
        <w:rPr>
          <w:szCs w:val="24"/>
        </w:rPr>
        <w:t xml:space="preserve">also </w:t>
      </w:r>
      <w:r w:rsidR="00DC3D90">
        <w:rPr>
          <w:szCs w:val="24"/>
        </w:rPr>
        <w:t>engages the right.</w:t>
      </w:r>
      <w:r w:rsidR="00C16006">
        <w:rPr>
          <w:szCs w:val="24"/>
        </w:rPr>
        <w:t xml:space="preserve"> </w:t>
      </w:r>
      <w:r w:rsidR="00C16006" w:rsidRPr="00C16006">
        <w:rPr>
          <w:szCs w:val="24"/>
        </w:rPr>
        <w:t xml:space="preserve">The </w:t>
      </w:r>
      <w:r w:rsidR="00C16006" w:rsidRPr="00675678">
        <w:rPr>
          <w:b/>
          <w:szCs w:val="24"/>
        </w:rPr>
        <w:t>nature of the right</w:t>
      </w:r>
      <w:r w:rsidR="00C16006" w:rsidRPr="00C16006">
        <w:rPr>
          <w:szCs w:val="24"/>
        </w:rPr>
        <w:t xml:space="preserve"> is not absolute and people who have been found guilty of serious crimes can</w:t>
      </w:r>
      <w:r w:rsidR="00C16006">
        <w:rPr>
          <w:szCs w:val="24"/>
        </w:rPr>
        <w:t xml:space="preserve"> </w:t>
      </w:r>
      <w:r w:rsidR="00C16006" w:rsidRPr="00C16006">
        <w:rPr>
          <w:szCs w:val="24"/>
        </w:rPr>
        <w:t>properly be imprisoned provided it is in accordance with law and is proportionate.</w:t>
      </w:r>
      <w:r w:rsidR="00C16006">
        <w:rPr>
          <w:szCs w:val="24"/>
        </w:rPr>
        <w:t xml:space="preserve"> </w:t>
      </w:r>
      <w:r w:rsidR="00C16006" w:rsidRPr="00C16006">
        <w:rPr>
          <w:szCs w:val="24"/>
        </w:rPr>
        <w:t>The</w:t>
      </w:r>
      <w:r w:rsidR="00C16006">
        <w:rPr>
          <w:szCs w:val="24"/>
        </w:rPr>
        <w:t xml:space="preserve"> </w:t>
      </w:r>
      <w:r w:rsidR="00C16006" w:rsidRPr="00675678">
        <w:rPr>
          <w:b/>
          <w:szCs w:val="24"/>
        </w:rPr>
        <w:t>purpose of the limitation</w:t>
      </w:r>
      <w:r w:rsidR="00C16006" w:rsidRPr="00C16006">
        <w:rPr>
          <w:szCs w:val="24"/>
        </w:rPr>
        <w:t xml:space="preserve"> </w:t>
      </w:r>
      <w:r w:rsidR="00897BDA">
        <w:rPr>
          <w:szCs w:val="24"/>
        </w:rPr>
        <w:t xml:space="preserve">is </w:t>
      </w:r>
      <w:r w:rsidR="00C16006" w:rsidRPr="00C16006">
        <w:rPr>
          <w:szCs w:val="24"/>
        </w:rPr>
        <w:t>to support compliance with an order of the court</w:t>
      </w:r>
      <w:r>
        <w:rPr>
          <w:szCs w:val="24"/>
        </w:rPr>
        <w:t xml:space="preserve"> (the ICO)</w:t>
      </w:r>
      <w:r w:rsidR="00C16006" w:rsidRPr="00C16006">
        <w:rPr>
          <w:szCs w:val="24"/>
        </w:rPr>
        <w:t>, as without</w:t>
      </w:r>
      <w:r w:rsidR="00C16006">
        <w:rPr>
          <w:szCs w:val="24"/>
        </w:rPr>
        <w:t xml:space="preserve"> </w:t>
      </w:r>
      <w:r w:rsidR="00C16006" w:rsidRPr="00C16006">
        <w:rPr>
          <w:szCs w:val="24"/>
        </w:rPr>
        <w:t>consequences, there would be no incentive for an offender to comply.</w:t>
      </w:r>
      <w:r w:rsidR="00C16006">
        <w:rPr>
          <w:szCs w:val="24"/>
        </w:rPr>
        <w:t xml:space="preserve"> </w:t>
      </w:r>
      <w:r w:rsidR="00563DE0" w:rsidRPr="00563DE0">
        <w:rPr>
          <w:szCs w:val="24"/>
        </w:rPr>
        <w:t>The</w:t>
      </w:r>
      <w:r w:rsidR="00563DE0">
        <w:rPr>
          <w:szCs w:val="24"/>
        </w:rPr>
        <w:t xml:space="preserve"> </w:t>
      </w:r>
      <w:r w:rsidR="00563DE0" w:rsidRPr="00563DE0">
        <w:rPr>
          <w:b/>
          <w:szCs w:val="24"/>
        </w:rPr>
        <w:t>nature and extent of the limitation</w:t>
      </w:r>
      <w:r w:rsidR="00563DE0" w:rsidRPr="00563DE0">
        <w:rPr>
          <w:szCs w:val="24"/>
        </w:rPr>
        <w:t xml:space="preserve"> is reasonable to </w:t>
      </w:r>
      <w:r w:rsidR="00563DE0">
        <w:rPr>
          <w:szCs w:val="24"/>
        </w:rPr>
        <w:t>ensure that offenders in analogous circumstances are treated equally, regardless of the decision-maker issuing the warrant.</w:t>
      </w:r>
      <w:r w:rsidR="003D3D8D">
        <w:rPr>
          <w:szCs w:val="24"/>
        </w:rPr>
        <w:t xml:space="preserve"> There</w:t>
      </w:r>
      <w:r w:rsidR="00563DE0" w:rsidRPr="00563DE0">
        <w:rPr>
          <w:szCs w:val="24"/>
        </w:rPr>
        <w:t xml:space="preserve"> is </w:t>
      </w:r>
      <w:r w:rsidR="00563DE0" w:rsidRPr="00563DE0">
        <w:rPr>
          <w:b/>
          <w:szCs w:val="24"/>
        </w:rPr>
        <w:t>no less restrictive means reasonably available</w:t>
      </w:r>
      <w:r w:rsidR="00563DE0" w:rsidRPr="00563DE0">
        <w:rPr>
          <w:szCs w:val="24"/>
        </w:rPr>
        <w:t xml:space="preserve"> </w:t>
      </w:r>
      <w:r w:rsidR="00563DE0">
        <w:rPr>
          <w:szCs w:val="24"/>
        </w:rPr>
        <w:t>because</w:t>
      </w:r>
      <w:r w:rsidR="00DF3628">
        <w:rPr>
          <w:szCs w:val="24"/>
        </w:rPr>
        <w:t>, as an alternative to full-time detention,</w:t>
      </w:r>
      <w:r w:rsidR="00563DE0">
        <w:rPr>
          <w:szCs w:val="24"/>
        </w:rPr>
        <w:t xml:space="preserve"> </w:t>
      </w:r>
      <w:r w:rsidR="00DF3628">
        <w:rPr>
          <w:szCs w:val="24"/>
        </w:rPr>
        <w:t xml:space="preserve">the administration and integrity of the ICO scheme relies on offenders serving their term of imprisonment in the community under strict supervision. </w:t>
      </w:r>
      <w:r w:rsidR="000D2356">
        <w:rPr>
          <w:szCs w:val="24"/>
        </w:rPr>
        <w:t xml:space="preserve">The new section does not apply where an offender is otherwise in custody or detained under the </w:t>
      </w:r>
      <w:r w:rsidR="000D2356">
        <w:rPr>
          <w:i/>
          <w:szCs w:val="24"/>
        </w:rPr>
        <w:t>Mental Health Act 2015</w:t>
      </w:r>
      <w:r w:rsidR="000D2356">
        <w:rPr>
          <w:szCs w:val="24"/>
        </w:rPr>
        <w:t>.</w:t>
      </w:r>
    </w:p>
    <w:p w14:paraId="1063FD30" w14:textId="3D3A8759" w:rsidR="00E5795A" w:rsidRPr="00093829" w:rsidRDefault="000E6AFF" w:rsidP="00E5795A">
      <w:pPr>
        <w:pStyle w:val="Heading4"/>
        <w:rPr>
          <w:i/>
        </w:rPr>
      </w:pPr>
      <w:r>
        <w:rPr>
          <w:i/>
        </w:rPr>
        <w:t xml:space="preserve">The right to a fair trial </w:t>
      </w:r>
    </w:p>
    <w:p w14:paraId="66F4CF56" w14:textId="77777777" w:rsidR="00E5795A" w:rsidRDefault="00E5795A" w:rsidP="00E5795A">
      <w:pPr>
        <w:rPr>
          <w:bCs/>
          <w:szCs w:val="24"/>
        </w:rPr>
      </w:pPr>
      <w:r>
        <w:t>Section 21 of the Human Rights Act provides that everyone has the right to have criminal charges, and rights and obligations recognised by law, decided by a competent, independent and impartial court or tribunal after a fair and public hearing. The Bill applies to an offender who has been tried and found guilty of committing an offence in accordance with criminal law and procedure</w:t>
      </w:r>
      <w:r>
        <w:rPr>
          <w:bCs/>
          <w:szCs w:val="24"/>
        </w:rPr>
        <w:t xml:space="preserve">. </w:t>
      </w:r>
    </w:p>
    <w:p w14:paraId="4ED5F777" w14:textId="24A626DF" w:rsidR="00EA4AD1" w:rsidRDefault="00CE2AA1" w:rsidP="00E5795A">
      <w:pPr>
        <w:rPr>
          <w:bCs/>
          <w:szCs w:val="24"/>
        </w:rPr>
      </w:pPr>
      <w:r>
        <w:rPr>
          <w:bCs/>
          <w:szCs w:val="24"/>
        </w:rPr>
        <w:t>S</w:t>
      </w:r>
      <w:r w:rsidR="000E6AFF">
        <w:rPr>
          <w:bCs/>
          <w:szCs w:val="24"/>
        </w:rPr>
        <w:t>ection 212A in the Bill (described above) may engage this right.</w:t>
      </w:r>
      <w:r w:rsidR="00752E6C">
        <w:rPr>
          <w:bCs/>
          <w:szCs w:val="24"/>
        </w:rPr>
        <w:t xml:space="preserve"> </w:t>
      </w:r>
      <w:r w:rsidR="00B24F82">
        <w:rPr>
          <w:bCs/>
          <w:szCs w:val="24"/>
        </w:rPr>
        <w:t xml:space="preserve"> </w:t>
      </w:r>
      <w:r w:rsidR="00E5795A">
        <w:rPr>
          <w:bCs/>
          <w:szCs w:val="24"/>
        </w:rPr>
        <w:t xml:space="preserve">The </w:t>
      </w:r>
      <w:r w:rsidR="00E5795A">
        <w:rPr>
          <w:b/>
          <w:bCs/>
          <w:szCs w:val="24"/>
        </w:rPr>
        <w:t xml:space="preserve">nature of </w:t>
      </w:r>
      <w:r w:rsidR="0050441D">
        <w:rPr>
          <w:b/>
          <w:bCs/>
          <w:szCs w:val="24"/>
        </w:rPr>
        <w:t xml:space="preserve">the </w:t>
      </w:r>
      <w:r w:rsidR="00E5795A">
        <w:rPr>
          <w:b/>
          <w:bCs/>
          <w:szCs w:val="24"/>
        </w:rPr>
        <w:t xml:space="preserve">right </w:t>
      </w:r>
      <w:r w:rsidR="00E5795A">
        <w:rPr>
          <w:bCs/>
          <w:szCs w:val="24"/>
        </w:rPr>
        <w:t>may be absolute in itself, in that it can never be justified to hold an unfair trial, but many of the principles that characterise a fair trial are not absolute.</w:t>
      </w:r>
      <w:r w:rsidR="00E5795A">
        <w:rPr>
          <w:rStyle w:val="FootnoteReference"/>
          <w:bCs/>
          <w:szCs w:val="24"/>
        </w:rPr>
        <w:footnoteReference w:id="2"/>
      </w:r>
      <w:r w:rsidR="00E5795A">
        <w:rPr>
          <w:bCs/>
          <w:szCs w:val="24"/>
        </w:rPr>
        <w:t xml:space="preserve"> The right </w:t>
      </w:r>
      <w:r w:rsidR="00752E6C">
        <w:rPr>
          <w:bCs/>
          <w:szCs w:val="24"/>
        </w:rPr>
        <w:t xml:space="preserve">may be </w:t>
      </w:r>
      <w:r w:rsidR="00E5795A">
        <w:rPr>
          <w:bCs/>
          <w:szCs w:val="24"/>
        </w:rPr>
        <w:t>eng</w:t>
      </w:r>
      <w:r w:rsidR="00B24F82">
        <w:rPr>
          <w:bCs/>
          <w:szCs w:val="24"/>
        </w:rPr>
        <w:t>aged and limited by the Bill</w:t>
      </w:r>
      <w:r w:rsidR="000A249B">
        <w:rPr>
          <w:bCs/>
          <w:szCs w:val="24"/>
        </w:rPr>
        <w:t>,</w:t>
      </w:r>
      <w:r w:rsidR="00B24F82">
        <w:rPr>
          <w:bCs/>
          <w:szCs w:val="24"/>
        </w:rPr>
        <w:t xml:space="preserve"> </w:t>
      </w:r>
      <w:r w:rsidR="00752E6C">
        <w:rPr>
          <w:bCs/>
          <w:szCs w:val="24"/>
        </w:rPr>
        <w:t xml:space="preserve">which </w:t>
      </w:r>
      <w:r w:rsidR="00B24F82">
        <w:rPr>
          <w:bCs/>
          <w:szCs w:val="24"/>
        </w:rPr>
        <w:t xml:space="preserve">provides that </w:t>
      </w:r>
      <w:r w:rsidR="000A249B">
        <w:rPr>
          <w:bCs/>
          <w:szCs w:val="24"/>
        </w:rPr>
        <w:t xml:space="preserve">the </w:t>
      </w:r>
      <w:r w:rsidR="00B24F82">
        <w:rPr>
          <w:bCs/>
          <w:szCs w:val="24"/>
        </w:rPr>
        <w:t xml:space="preserve">period for which an offender </w:t>
      </w:r>
      <w:r w:rsidR="00752E6C">
        <w:rPr>
          <w:bCs/>
          <w:szCs w:val="24"/>
        </w:rPr>
        <w:t xml:space="preserve">is at large in the community after the SAB has issued a </w:t>
      </w:r>
      <w:r w:rsidR="00B24F82">
        <w:rPr>
          <w:bCs/>
          <w:szCs w:val="24"/>
        </w:rPr>
        <w:t xml:space="preserve">warrant </w:t>
      </w:r>
      <w:r w:rsidR="00752E6C">
        <w:rPr>
          <w:bCs/>
          <w:szCs w:val="24"/>
        </w:rPr>
        <w:t xml:space="preserve">in relation to an alleged ICO breach </w:t>
      </w:r>
      <w:r w:rsidR="00B24F82">
        <w:rPr>
          <w:bCs/>
          <w:szCs w:val="24"/>
        </w:rPr>
        <w:t xml:space="preserve">does not count </w:t>
      </w:r>
      <w:r w:rsidR="000A249B">
        <w:rPr>
          <w:bCs/>
          <w:szCs w:val="24"/>
        </w:rPr>
        <w:t xml:space="preserve">as time served against </w:t>
      </w:r>
      <w:r w:rsidR="00B24F82">
        <w:rPr>
          <w:bCs/>
          <w:szCs w:val="24"/>
        </w:rPr>
        <w:t>the offender’s sentence of imprisonment.</w:t>
      </w:r>
      <w:r w:rsidR="00E5795A">
        <w:rPr>
          <w:bCs/>
          <w:szCs w:val="24"/>
        </w:rPr>
        <w:t xml:space="preserve"> </w:t>
      </w:r>
    </w:p>
    <w:p w14:paraId="10064D97" w14:textId="3263A4FA" w:rsidR="008825C4" w:rsidRDefault="008825C4" w:rsidP="008825C4">
      <w:pPr>
        <w:rPr>
          <w:bCs/>
          <w:szCs w:val="24"/>
        </w:rPr>
      </w:pPr>
      <w:r>
        <w:rPr>
          <w:bCs/>
          <w:szCs w:val="24"/>
        </w:rPr>
        <w:t>Generally speaking, the SAB has the primary responsibility to monitor and enforce the compliance of individual offenders with the terms of their judicial sentence to serve imprisonment by</w:t>
      </w:r>
      <w:r w:rsidR="00CE2AA1">
        <w:rPr>
          <w:bCs/>
          <w:szCs w:val="24"/>
        </w:rPr>
        <w:t xml:space="preserve"> ICO</w:t>
      </w:r>
      <w:r>
        <w:rPr>
          <w:bCs/>
          <w:szCs w:val="24"/>
        </w:rPr>
        <w:t xml:space="preserve">. </w:t>
      </w:r>
      <w:r w:rsidRPr="008825C4">
        <w:rPr>
          <w:bCs/>
          <w:szCs w:val="24"/>
        </w:rPr>
        <w:t xml:space="preserve">The rules and procedures of the Sentence Administration Board set out in the </w:t>
      </w:r>
      <w:r>
        <w:rPr>
          <w:bCs/>
          <w:szCs w:val="24"/>
        </w:rPr>
        <w:t xml:space="preserve">Sentence Administration </w:t>
      </w:r>
      <w:r w:rsidRPr="008825C4">
        <w:rPr>
          <w:bCs/>
          <w:szCs w:val="24"/>
        </w:rPr>
        <w:t>Act are designed to afford natural justice to offenders</w:t>
      </w:r>
      <w:r>
        <w:rPr>
          <w:bCs/>
          <w:szCs w:val="24"/>
        </w:rPr>
        <w:t xml:space="preserve"> </w:t>
      </w:r>
      <w:r w:rsidRPr="008825C4">
        <w:rPr>
          <w:bCs/>
          <w:szCs w:val="24"/>
        </w:rPr>
        <w:t>appearing before it.</w:t>
      </w:r>
    </w:p>
    <w:p w14:paraId="5E8D00BF" w14:textId="6ADB580E" w:rsidR="005B09BF" w:rsidRDefault="00E5795A" w:rsidP="00E5795A">
      <w:pPr>
        <w:rPr>
          <w:bCs/>
          <w:szCs w:val="24"/>
        </w:rPr>
      </w:pPr>
      <w:r>
        <w:rPr>
          <w:bCs/>
          <w:szCs w:val="24"/>
        </w:rPr>
        <w:t xml:space="preserve">The </w:t>
      </w:r>
      <w:r>
        <w:rPr>
          <w:b/>
          <w:bCs/>
          <w:szCs w:val="24"/>
        </w:rPr>
        <w:t>purpose of the limitation</w:t>
      </w:r>
      <w:r>
        <w:rPr>
          <w:bCs/>
          <w:szCs w:val="24"/>
        </w:rPr>
        <w:t xml:space="preserve"> is to</w:t>
      </w:r>
      <w:r w:rsidR="00B24F82">
        <w:rPr>
          <w:bCs/>
          <w:szCs w:val="24"/>
        </w:rPr>
        <w:t xml:space="preserve"> </w:t>
      </w:r>
      <w:r w:rsidR="00752E6C">
        <w:rPr>
          <w:bCs/>
          <w:szCs w:val="24"/>
        </w:rPr>
        <w:t xml:space="preserve">effectively administer the </w:t>
      </w:r>
      <w:r w:rsidR="000A249B">
        <w:rPr>
          <w:bCs/>
          <w:szCs w:val="24"/>
        </w:rPr>
        <w:t xml:space="preserve">terms of the </w:t>
      </w:r>
      <w:r w:rsidR="00752E6C">
        <w:rPr>
          <w:bCs/>
          <w:szCs w:val="24"/>
        </w:rPr>
        <w:t xml:space="preserve">judicial sentence </w:t>
      </w:r>
      <w:r w:rsidR="000A249B">
        <w:rPr>
          <w:bCs/>
          <w:szCs w:val="24"/>
        </w:rPr>
        <w:t>of imprisonment</w:t>
      </w:r>
      <w:r w:rsidR="005B09BF">
        <w:rPr>
          <w:bCs/>
          <w:szCs w:val="24"/>
        </w:rPr>
        <w:t xml:space="preserve"> to be served by intensive correction</w:t>
      </w:r>
      <w:r w:rsidR="000A249B">
        <w:rPr>
          <w:bCs/>
          <w:szCs w:val="24"/>
        </w:rPr>
        <w:t xml:space="preserve">, which requires the offender to </w:t>
      </w:r>
      <w:r w:rsidR="005B09BF">
        <w:rPr>
          <w:bCs/>
          <w:szCs w:val="24"/>
        </w:rPr>
        <w:t xml:space="preserve">consent </w:t>
      </w:r>
      <w:r w:rsidR="000A249B">
        <w:rPr>
          <w:bCs/>
          <w:szCs w:val="24"/>
        </w:rPr>
        <w:t xml:space="preserve">to </w:t>
      </w:r>
      <w:r w:rsidR="005B09BF">
        <w:rPr>
          <w:bCs/>
          <w:szCs w:val="24"/>
        </w:rPr>
        <w:t xml:space="preserve">and comply with </w:t>
      </w:r>
      <w:r w:rsidR="000A249B">
        <w:rPr>
          <w:bCs/>
          <w:szCs w:val="24"/>
        </w:rPr>
        <w:t xml:space="preserve">strict supervision </w:t>
      </w:r>
      <w:r w:rsidR="005B09BF">
        <w:rPr>
          <w:bCs/>
          <w:szCs w:val="24"/>
        </w:rPr>
        <w:t>in the community</w:t>
      </w:r>
      <w:r w:rsidR="000A249B">
        <w:rPr>
          <w:bCs/>
          <w:szCs w:val="24"/>
        </w:rPr>
        <w:t xml:space="preserve">. </w:t>
      </w:r>
      <w:r w:rsidR="005B09BF">
        <w:rPr>
          <w:bCs/>
          <w:szCs w:val="24"/>
        </w:rPr>
        <w:t xml:space="preserve">If that consent is withdrawn, the ordinary consequence is that the SAB must cancel the ICO (Sentence Administration Act section 66) and the offender is automatically re-committed to full time detention for the remaining term of the sentence (section 69(4)). </w:t>
      </w:r>
    </w:p>
    <w:p w14:paraId="153E6FA6" w14:textId="2AF51AD0" w:rsidR="000A249B" w:rsidRDefault="000A249B" w:rsidP="008825C4">
      <w:pPr>
        <w:rPr>
          <w:bCs/>
          <w:szCs w:val="24"/>
        </w:rPr>
      </w:pPr>
      <w:r>
        <w:rPr>
          <w:bCs/>
          <w:szCs w:val="24"/>
        </w:rPr>
        <w:t xml:space="preserve">The </w:t>
      </w:r>
      <w:r w:rsidR="005B09BF">
        <w:rPr>
          <w:bCs/>
          <w:szCs w:val="24"/>
        </w:rPr>
        <w:t xml:space="preserve">Bill achieves the </w:t>
      </w:r>
      <w:r>
        <w:rPr>
          <w:bCs/>
          <w:szCs w:val="24"/>
        </w:rPr>
        <w:t xml:space="preserve">purpose </w:t>
      </w:r>
      <w:r w:rsidR="005B09BF">
        <w:rPr>
          <w:bCs/>
          <w:szCs w:val="24"/>
        </w:rPr>
        <w:t xml:space="preserve">of effectively administering the ICO scheme </w:t>
      </w:r>
      <w:r>
        <w:rPr>
          <w:bCs/>
          <w:szCs w:val="24"/>
        </w:rPr>
        <w:t xml:space="preserve">by applying </w:t>
      </w:r>
      <w:r w:rsidR="00B24F82">
        <w:rPr>
          <w:bCs/>
          <w:szCs w:val="24"/>
        </w:rPr>
        <w:t xml:space="preserve">the same </w:t>
      </w:r>
      <w:r>
        <w:rPr>
          <w:bCs/>
          <w:szCs w:val="24"/>
        </w:rPr>
        <w:t xml:space="preserve">statutory consequences to the administrative decision to issue an arrest warrant, whether that decision is made by a </w:t>
      </w:r>
      <w:r w:rsidR="0050441D">
        <w:rPr>
          <w:bCs/>
          <w:szCs w:val="24"/>
        </w:rPr>
        <w:t>magistrate</w:t>
      </w:r>
      <w:r>
        <w:rPr>
          <w:bCs/>
          <w:szCs w:val="24"/>
        </w:rPr>
        <w:t xml:space="preserve">, a </w:t>
      </w:r>
      <w:r w:rsidR="0050441D">
        <w:rPr>
          <w:bCs/>
          <w:szCs w:val="24"/>
        </w:rPr>
        <w:t xml:space="preserve">judge </w:t>
      </w:r>
      <w:r>
        <w:rPr>
          <w:bCs/>
          <w:szCs w:val="24"/>
        </w:rPr>
        <w:t xml:space="preserve">or the SAB. </w:t>
      </w:r>
      <w:r w:rsidR="00E5795A">
        <w:rPr>
          <w:bCs/>
          <w:szCs w:val="24"/>
        </w:rPr>
        <w:t xml:space="preserve">The </w:t>
      </w:r>
      <w:r w:rsidR="00E5795A">
        <w:rPr>
          <w:b/>
          <w:bCs/>
          <w:szCs w:val="24"/>
        </w:rPr>
        <w:t>nature and extent of the limitation</w:t>
      </w:r>
      <w:r>
        <w:rPr>
          <w:bCs/>
          <w:szCs w:val="24"/>
        </w:rPr>
        <w:t>, as noted above,</w:t>
      </w:r>
      <w:r w:rsidR="00E5795A">
        <w:rPr>
          <w:b/>
          <w:bCs/>
          <w:szCs w:val="24"/>
        </w:rPr>
        <w:t xml:space="preserve"> </w:t>
      </w:r>
      <w:r w:rsidR="00E5795A">
        <w:rPr>
          <w:bCs/>
          <w:szCs w:val="24"/>
        </w:rPr>
        <w:t>is to</w:t>
      </w:r>
      <w:r w:rsidR="00EA4AD1">
        <w:rPr>
          <w:bCs/>
          <w:szCs w:val="24"/>
        </w:rPr>
        <w:t xml:space="preserve"> suspend the operation of an offender’s sentence </w:t>
      </w:r>
      <w:r>
        <w:rPr>
          <w:bCs/>
          <w:szCs w:val="24"/>
        </w:rPr>
        <w:t xml:space="preserve">of imprisonment </w:t>
      </w:r>
      <w:r w:rsidR="00EA4AD1">
        <w:rPr>
          <w:bCs/>
          <w:szCs w:val="24"/>
        </w:rPr>
        <w:t xml:space="preserve">where </w:t>
      </w:r>
      <w:r>
        <w:rPr>
          <w:bCs/>
          <w:szCs w:val="24"/>
        </w:rPr>
        <w:t xml:space="preserve">the SAB </w:t>
      </w:r>
      <w:r w:rsidR="0033241E">
        <w:rPr>
          <w:bCs/>
          <w:szCs w:val="24"/>
        </w:rPr>
        <w:t xml:space="preserve">issues an arrest warrant on the basis </w:t>
      </w:r>
      <w:r>
        <w:rPr>
          <w:bCs/>
          <w:szCs w:val="24"/>
        </w:rPr>
        <w:t xml:space="preserve">the offender </w:t>
      </w:r>
      <w:r w:rsidR="0033241E">
        <w:rPr>
          <w:bCs/>
          <w:szCs w:val="24"/>
        </w:rPr>
        <w:t xml:space="preserve">is not complying with the conditions that allow them to serve their </w:t>
      </w:r>
      <w:r>
        <w:rPr>
          <w:bCs/>
          <w:szCs w:val="24"/>
        </w:rPr>
        <w:t xml:space="preserve">sentence </w:t>
      </w:r>
      <w:r w:rsidR="0033241E">
        <w:rPr>
          <w:bCs/>
          <w:szCs w:val="24"/>
        </w:rPr>
        <w:t xml:space="preserve">of imprisonment </w:t>
      </w:r>
      <w:r>
        <w:rPr>
          <w:bCs/>
          <w:szCs w:val="24"/>
        </w:rPr>
        <w:t xml:space="preserve">in the community. </w:t>
      </w:r>
    </w:p>
    <w:p w14:paraId="35F2B879" w14:textId="069797D2" w:rsidR="00006840" w:rsidRDefault="00E5795A" w:rsidP="00006840">
      <w:pPr>
        <w:rPr>
          <w:szCs w:val="24"/>
        </w:rPr>
      </w:pPr>
      <w:r>
        <w:rPr>
          <w:bCs/>
          <w:szCs w:val="24"/>
        </w:rPr>
        <w:t xml:space="preserve">The limitation is the </w:t>
      </w:r>
      <w:r>
        <w:rPr>
          <w:b/>
          <w:bCs/>
          <w:szCs w:val="24"/>
        </w:rPr>
        <w:t xml:space="preserve">least restrictive possible </w:t>
      </w:r>
      <w:r w:rsidR="00EA4AD1">
        <w:rPr>
          <w:bCs/>
          <w:szCs w:val="24"/>
        </w:rPr>
        <w:t>to achieve a balance between allowing offenders a last opportunity to avoid full-time imprisonment, and providing a safe and secure community by encouraging compliance with the conditions of the ICO and discouraging behaviour that is in breach of the order</w:t>
      </w:r>
      <w:r>
        <w:rPr>
          <w:bCs/>
          <w:szCs w:val="24"/>
        </w:rPr>
        <w:t>.</w:t>
      </w:r>
      <w:r w:rsidR="0052426F">
        <w:rPr>
          <w:bCs/>
          <w:szCs w:val="24"/>
        </w:rPr>
        <w:t xml:space="preserve"> </w:t>
      </w:r>
      <w:r w:rsidR="00006840">
        <w:rPr>
          <w:bCs/>
          <w:szCs w:val="24"/>
        </w:rPr>
        <w:t>When offenders are sentenced to an ICO by a court, they are made aware of the conditions they will need to abide by under the order, including reporting to corrections officers,</w:t>
      </w:r>
      <w:r w:rsidR="00006840">
        <w:rPr>
          <w:rStyle w:val="FootnoteReference"/>
          <w:bCs/>
          <w:szCs w:val="24"/>
        </w:rPr>
        <w:footnoteReference w:id="3"/>
      </w:r>
      <w:r w:rsidR="00006840">
        <w:rPr>
          <w:bCs/>
          <w:szCs w:val="24"/>
        </w:rPr>
        <w:t xml:space="preserve"> </w:t>
      </w:r>
      <w:r w:rsidR="0052426F">
        <w:rPr>
          <w:bCs/>
          <w:szCs w:val="24"/>
        </w:rPr>
        <w:t>notifying the Director-General of any change in contact details,</w:t>
      </w:r>
      <w:r w:rsidR="0052426F">
        <w:rPr>
          <w:rStyle w:val="FootnoteReference"/>
          <w:bCs/>
          <w:szCs w:val="24"/>
        </w:rPr>
        <w:footnoteReference w:id="4"/>
      </w:r>
      <w:r w:rsidR="0052426F">
        <w:rPr>
          <w:bCs/>
          <w:szCs w:val="24"/>
        </w:rPr>
        <w:t xml:space="preserve"> </w:t>
      </w:r>
      <w:r w:rsidR="00006840">
        <w:rPr>
          <w:bCs/>
          <w:szCs w:val="24"/>
        </w:rPr>
        <w:t xml:space="preserve">and complying with any notice </w:t>
      </w:r>
      <w:r w:rsidR="0052426F">
        <w:rPr>
          <w:bCs/>
          <w:szCs w:val="24"/>
        </w:rPr>
        <w:t xml:space="preserve">under section 63 </w:t>
      </w:r>
      <w:r w:rsidR="00006840">
        <w:rPr>
          <w:bCs/>
          <w:szCs w:val="24"/>
        </w:rPr>
        <w:t>to attend hearings of the SAB.</w:t>
      </w:r>
      <w:r w:rsidR="00006840">
        <w:rPr>
          <w:rStyle w:val="FootnoteReference"/>
          <w:bCs/>
          <w:szCs w:val="24"/>
        </w:rPr>
        <w:footnoteReference w:id="5"/>
      </w:r>
      <w:r w:rsidR="00006840">
        <w:rPr>
          <w:bCs/>
          <w:szCs w:val="24"/>
        </w:rPr>
        <w:t xml:space="preserve"> </w:t>
      </w:r>
      <w:r w:rsidR="000D2356">
        <w:rPr>
          <w:szCs w:val="24"/>
        </w:rPr>
        <w:t xml:space="preserve">The new section does not apply where an offender is otherwise in custody or detained under the </w:t>
      </w:r>
      <w:r w:rsidR="000D2356">
        <w:rPr>
          <w:i/>
          <w:szCs w:val="24"/>
        </w:rPr>
        <w:t>Mental Health Act 2015</w:t>
      </w:r>
      <w:r w:rsidR="000D2356">
        <w:rPr>
          <w:szCs w:val="24"/>
        </w:rPr>
        <w:t>.</w:t>
      </w:r>
      <w:r w:rsidR="005B09BF">
        <w:rPr>
          <w:szCs w:val="24"/>
        </w:rPr>
        <w:t xml:space="preserve"> </w:t>
      </w:r>
    </w:p>
    <w:p w14:paraId="084546A3" w14:textId="57816D74" w:rsidR="00B446E3" w:rsidRDefault="00B446E3" w:rsidP="00006840">
      <w:pPr>
        <w:rPr>
          <w:b/>
          <w:i/>
          <w:szCs w:val="24"/>
        </w:rPr>
      </w:pPr>
      <w:r>
        <w:rPr>
          <w:b/>
          <w:i/>
          <w:szCs w:val="24"/>
        </w:rPr>
        <w:t>Rights to privacy and reputation</w:t>
      </w:r>
    </w:p>
    <w:p w14:paraId="6B1B29F9" w14:textId="33BCC9E9" w:rsidR="005B6BC8" w:rsidRDefault="005B6BC8" w:rsidP="004E53CC">
      <w:pPr>
        <w:rPr>
          <w:bCs/>
          <w:szCs w:val="24"/>
        </w:rPr>
      </w:pPr>
      <w:r>
        <w:rPr>
          <w:bCs/>
          <w:szCs w:val="24"/>
        </w:rPr>
        <w:t xml:space="preserve">Section 12 of the HRA provides that everyone has the </w:t>
      </w:r>
      <w:r w:rsidRPr="005B6BC8">
        <w:rPr>
          <w:bCs/>
          <w:szCs w:val="24"/>
        </w:rPr>
        <w:t xml:space="preserve">right </w:t>
      </w:r>
      <w:r>
        <w:rPr>
          <w:bCs/>
          <w:szCs w:val="24"/>
        </w:rPr>
        <w:t xml:space="preserve">not to have their privacy, family, home or correspondence interfered with unlawfully or arbitrarily. </w:t>
      </w:r>
      <w:r w:rsidRPr="005B6BC8">
        <w:rPr>
          <w:bCs/>
          <w:szCs w:val="24"/>
        </w:rPr>
        <w:t>Rule 3.1 of the Tokyo Rules also</w:t>
      </w:r>
      <w:r>
        <w:rPr>
          <w:bCs/>
          <w:szCs w:val="24"/>
        </w:rPr>
        <w:t xml:space="preserve"> </w:t>
      </w:r>
      <w:r w:rsidRPr="005B6BC8">
        <w:rPr>
          <w:bCs/>
          <w:szCs w:val="24"/>
        </w:rPr>
        <w:t>requires respect for an offender’s right to privacy and that of their family in the application of</w:t>
      </w:r>
      <w:r>
        <w:rPr>
          <w:bCs/>
          <w:szCs w:val="24"/>
        </w:rPr>
        <w:t xml:space="preserve"> </w:t>
      </w:r>
      <w:r w:rsidRPr="005B6BC8">
        <w:rPr>
          <w:bCs/>
          <w:szCs w:val="24"/>
        </w:rPr>
        <w:t>non-custodial measures.</w:t>
      </w:r>
      <w:r w:rsidR="004E53CC">
        <w:rPr>
          <w:bCs/>
          <w:szCs w:val="24"/>
        </w:rPr>
        <w:t xml:space="preserve"> </w:t>
      </w:r>
      <w:r w:rsidR="004E53CC" w:rsidRPr="004E53CC">
        <w:rPr>
          <w:bCs/>
          <w:szCs w:val="24"/>
        </w:rPr>
        <w:t>General comment 16 from the Office of the High Commissioner for Human Rights describes</w:t>
      </w:r>
      <w:r w:rsidR="004E53CC">
        <w:rPr>
          <w:bCs/>
          <w:szCs w:val="24"/>
        </w:rPr>
        <w:t xml:space="preserve"> </w:t>
      </w:r>
      <w:r w:rsidR="004E53CC" w:rsidRPr="004E53CC">
        <w:rPr>
          <w:bCs/>
          <w:szCs w:val="24"/>
        </w:rPr>
        <w:t>this right as the right of every person to be protected against arbitrary or unlawful</w:t>
      </w:r>
      <w:r w:rsidR="004E53CC">
        <w:rPr>
          <w:bCs/>
          <w:szCs w:val="24"/>
        </w:rPr>
        <w:t xml:space="preserve"> </w:t>
      </w:r>
      <w:r w:rsidR="004E53CC" w:rsidRPr="004E53CC">
        <w:rPr>
          <w:bCs/>
          <w:szCs w:val="24"/>
        </w:rPr>
        <w:t>interference with their privacy, family, home or correspondence. The comment notes that the</w:t>
      </w:r>
      <w:r w:rsidR="004E53CC">
        <w:rPr>
          <w:bCs/>
          <w:szCs w:val="24"/>
        </w:rPr>
        <w:t xml:space="preserve"> </w:t>
      </w:r>
      <w:r w:rsidR="004E53CC" w:rsidRPr="004E53CC">
        <w:rPr>
          <w:bCs/>
          <w:szCs w:val="24"/>
        </w:rPr>
        <w:t>term ‘unlawful’ means that no interference can take place except in cases envisaged by the</w:t>
      </w:r>
      <w:r w:rsidR="004E53CC">
        <w:rPr>
          <w:bCs/>
          <w:szCs w:val="24"/>
        </w:rPr>
        <w:t xml:space="preserve"> </w:t>
      </w:r>
      <w:r w:rsidR="004E53CC" w:rsidRPr="004E53CC">
        <w:rPr>
          <w:bCs/>
          <w:szCs w:val="24"/>
        </w:rPr>
        <w:t>law.</w:t>
      </w:r>
      <w:r w:rsidR="004E53CC">
        <w:rPr>
          <w:rStyle w:val="FootnoteReference"/>
          <w:bCs/>
          <w:szCs w:val="24"/>
        </w:rPr>
        <w:footnoteReference w:id="6"/>
      </w:r>
      <w:r w:rsidR="004E53CC" w:rsidRPr="004E53CC">
        <w:rPr>
          <w:bCs/>
          <w:szCs w:val="24"/>
        </w:rPr>
        <w:t xml:space="preserve"> The term ‘arbitrary interference’ is described as intending to guarantee that even</w:t>
      </w:r>
      <w:r w:rsidR="004E53CC">
        <w:rPr>
          <w:bCs/>
          <w:szCs w:val="24"/>
        </w:rPr>
        <w:t xml:space="preserve"> </w:t>
      </w:r>
      <w:r w:rsidR="004E53CC" w:rsidRPr="004E53CC">
        <w:rPr>
          <w:bCs/>
          <w:szCs w:val="24"/>
        </w:rPr>
        <w:t>interference provided by law should be in accordance with the provisions, aims and</w:t>
      </w:r>
      <w:r w:rsidR="004E53CC">
        <w:rPr>
          <w:bCs/>
          <w:szCs w:val="24"/>
        </w:rPr>
        <w:t xml:space="preserve"> </w:t>
      </w:r>
      <w:r w:rsidR="004E53CC" w:rsidRPr="004E53CC">
        <w:rPr>
          <w:bCs/>
          <w:szCs w:val="24"/>
        </w:rPr>
        <w:t>objectives of the ICCPR and should be reasonable in the particular circumstances.</w:t>
      </w:r>
      <w:r w:rsidR="004E53CC">
        <w:rPr>
          <w:rStyle w:val="FootnoteReference"/>
          <w:bCs/>
          <w:szCs w:val="24"/>
        </w:rPr>
        <w:footnoteReference w:id="7"/>
      </w:r>
    </w:p>
    <w:p w14:paraId="61D7EB9C" w14:textId="11437675" w:rsidR="004E53CC" w:rsidRDefault="00792555" w:rsidP="004E53CC">
      <w:pPr>
        <w:rPr>
          <w:bCs/>
          <w:szCs w:val="24"/>
        </w:rPr>
      </w:pPr>
      <w:r>
        <w:rPr>
          <w:bCs/>
          <w:szCs w:val="24"/>
        </w:rPr>
        <w:t>The right to privacy may be</w:t>
      </w:r>
      <w:r w:rsidR="004E53CC" w:rsidRPr="004E53CC">
        <w:rPr>
          <w:bCs/>
          <w:szCs w:val="24"/>
        </w:rPr>
        <w:t xml:space="preserve"> e</w:t>
      </w:r>
      <w:r w:rsidR="004D2A3D">
        <w:rPr>
          <w:bCs/>
          <w:szCs w:val="24"/>
        </w:rPr>
        <w:t>ngaged and limited by new section 46E in clause 16 of the Bill,</w:t>
      </w:r>
      <w:r w:rsidR="004E53CC" w:rsidRPr="004E53CC">
        <w:rPr>
          <w:bCs/>
          <w:szCs w:val="24"/>
        </w:rPr>
        <w:t xml:space="preserve"> </w:t>
      </w:r>
      <w:r w:rsidR="004D2A3D">
        <w:rPr>
          <w:bCs/>
          <w:szCs w:val="24"/>
        </w:rPr>
        <w:t xml:space="preserve">which puts the functions </w:t>
      </w:r>
      <w:r w:rsidR="00697786">
        <w:rPr>
          <w:bCs/>
          <w:szCs w:val="24"/>
        </w:rPr>
        <w:t xml:space="preserve">and information-gathering powers </w:t>
      </w:r>
      <w:r w:rsidR="004D2A3D">
        <w:rPr>
          <w:bCs/>
          <w:szCs w:val="24"/>
        </w:rPr>
        <w:t>of an ICO assessor on an express statutory footing.</w:t>
      </w:r>
      <w:r w:rsidR="00697786">
        <w:rPr>
          <w:bCs/>
          <w:szCs w:val="24"/>
        </w:rPr>
        <w:t xml:space="preserve"> The new section enables an assessor to conduct investigations they consider appropriate, and </w:t>
      </w:r>
      <w:r w:rsidR="00E663C9">
        <w:rPr>
          <w:bCs/>
          <w:szCs w:val="24"/>
        </w:rPr>
        <w:t>request information from various entities,</w:t>
      </w:r>
      <w:r w:rsidR="00697786">
        <w:rPr>
          <w:bCs/>
          <w:szCs w:val="24"/>
        </w:rPr>
        <w:t xml:space="preserve"> to prepare </w:t>
      </w:r>
      <w:r w:rsidR="00E663C9">
        <w:rPr>
          <w:bCs/>
          <w:szCs w:val="24"/>
        </w:rPr>
        <w:t xml:space="preserve">an </w:t>
      </w:r>
      <w:r w:rsidR="00697786">
        <w:rPr>
          <w:bCs/>
          <w:szCs w:val="24"/>
        </w:rPr>
        <w:t>intensive correction assessment</w:t>
      </w:r>
      <w:r>
        <w:rPr>
          <w:bCs/>
          <w:szCs w:val="24"/>
        </w:rPr>
        <w:t xml:space="preserve"> (section 46E(1))</w:t>
      </w:r>
      <w:r w:rsidR="00E663C9">
        <w:rPr>
          <w:bCs/>
          <w:szCs w:val="24"/>
        </w:rPr>
        <w:t>.</w:t>
      </w:r>
    </w:p>
    <w:p w14:paraId="6B82F61D" w14:textId="60DEA4F0" w:rsidR="00697786" w:rsidRDefault="00697786" w:rsidP="00697786">
      <w:pPr>
        <w:autoSpaceDE w:val="0"/>
        <w:autoSpaceDN w:val="0"/>
        <w:adjustRightInd w:val="0"/>
        <w:spacing w:after="0" w:line="240" w:lineRule="auto"/>
        <w:rPr>
          <w:szCs w:val="24"/>
          <w:lang w:eastAsia="en-AU"/>
        </w:rPr>
      </w:pPr>
      <w:r>
        <w:rPr>
          <w:szCs w:val="24"/>
          <w:lang w:eastAsia="en-AU"/>
        </w:rPr>
        <w:t>The right is not absolute as any interference must be un</w:t>
      </w:r>
      <w:r w:rsidR="00CE2AA1">
        <w:rPr>
          <w:szCs w:val="24"/>
          <w:lang w:eastAsia="en-AU"/>
        </w:rPr>
        <w:t xml:space="preserve">lawful or arbitrary to breach </w:t>
      </w:r>
      <w:r>
        <w:rPr>
          <w:szCs w:val="24"/>
          <w:lang w:eastAsia="en-AU"/>
        </w:rPr>
        <w:t xml:space="preserve">human rights. The </w:t>
      </w:r>
      <w:r>
        <w:rPr>
          <w:b/>
          <w:bCs/>
          <w:szCs w:val="24"/>
          <w:lang w:eastAsia="en-AU"/>
        </w:rPr>
        <w:t xml:space="preserve">purpose of the limitation </w:t>
      </w:r>
      <w:r w:rsidR="00C01EFB" w:rsidRPr="00C01EFB">
        <w:rPr>
          <w:bCs/>
          <w:szCs w:val="24"/>
          <w:lang w:eastAsia="en-AU"/>
        </w:rPr>
        <w:t>is</w:t>
      </w:r>
      <w:r w:rsidR="00C01EFB">
        <w:rPr>
          <w:bCs/>
          <w:szCs w:val="24"/>
          <w:lang w:eastAsia="en-AU"/>
        </w:rPr>
        <w:t xml:space="preserve"> to enable the assessor to carry out the Court’s request to prepare an assessment of the suitability of the offender to serve any term of imprisonment in the community under supervision rather than in full-time detention. </w:t>
      </w:r>
      <w:r w:rsidR="00792555">
        <w:rPr>
          <w:szCs w:val="24"/>
          <w:lang w:eastAsia="en-AU"/>
        </w:rPr>
        <w:t xml:space="preserve">The </w:t>
      </w:r>
      <w:r>
        <w:rPr>
          <w:b/>
          <w:bCs/>
          <w:szCs w:val="24"/>
          <w:lang w:eastAsia="en-AU"/>
        </w:rPr>
        <w:t>nature and</w:t>
      </w:r>
      <w:r w:rsidR="00792555">
        <w:rPr>
          <w:b/>
          <w:bCs/>
          <w:szCs w:val="24"/>
          <w:lang w:eastAsia="en-AU"/>
        </w:rPr>
        <w:t xml:space="preserve"> </w:t>
      </w:r>
      <w:r>
        <w:rPr>
          <w:b/>
          <w:bCs/>
          <w:szCs w:val="24"/>
          <w:lang w:eastAsia="en-AU"/>
        </w:rPr>
        <w:t>e</w:t>
      </w:r>
      <w:r w:rsidR="00792555">
        <w:rPr>
          <w:b/>
          <w:bCs/>
          <w:szCs w:val="24"/>
          <w:lang w:eastAsia="en-AU"/>
        </w:rPr>
        <w:t>xtent of the limitation</w:t>
      </w:r>
      <w:r>
        <w:rPr>
          <w:b/>
          <w:bCs/>
          <w:szCs w:val="24"/>
          <w:lang w:eastAsia="en-AU"/>
        </w:rPr>
        <w:t xml:space="preserve"> </w:t>
      </w:r>
      <w:r w:rsidR="00792555" w:rsidRPr="00792555">
        <w:rPr>
          <w:bCs/>
          <w:szCs w:val="24"/>
          <w:lang w:eastAsia="en-AU"/>
        </w:rPr>
        <w:t>is</w:t>
      </w:r>
      <w:r w:rsidR="00792555">
        <w:rPr>
          <w:b/>
          <w:bCs/>
          <w:szCs w:val="24"/>
          <w:lang w:eastAsia="en-AU"/>
        </w:rPr>
        <w:t xml:space="preserve"> </w:t>
      </w:r>
      <w:r>
        <w:rPr>
          <w:szCs w:val="24"/>
          <w:lang w:eastAsia="en-AU"/>
        </w:rPr>
        <w:t xml:space="preserve">tailored to the </w:t>
      </w:r>
      <w:r w:rsidR="00792555">
        <w:rPr>
          <w:szCs w:val="24"/>
          <w:lang w:eastAsia="en-AU"/>
        </w:rPr>
        <w:t xml:space="preserve">purpose of preparing an intensive correction assessment, as the statutory authority to investigate and request information is conferred on the assessor </w:t>
      </w:r>
      <w:r w:rsidR="006640B2">
        <w:rPr>
          <w:szCs w:val="24"/>
          <w:lang w:eastAsia="en-AU"/>
        </w:rPr>
        <w:t xml:space="preserve">‘in preparing the intensive correction assessment for the offender’. The matters for assessing the offender’s suitability for intensive correction are not unbounded, but are set out in section 46D (which replicates existing </w:t>
      </w:r>
      <w:r w:rsidR="006640B2" w:rsidRPr="00864516">
        <w:rPr>
          <w:szCs w:val="24"/>
          <w:lang w:eastAsia="en-AU"/>
        </w:rPr>
        <w:t xml:space="preserve">section </w:t>
      </w:r>
      <w:r w:rsidR="00864516" w:rsidRPr="00864516">
        <w:rPr>
          <w:szCs w:val="24"/>
          <w:lang w:eastAsia="en-AU"/>
        </w:rPr>
        <w:t>79</w:t>
      </w:r>
      <w:r w:rsidR="006640B2">
        <w:rPr>
          <w:szCs w:val="24"/>
          <w:lang w:eastAsia="en-AU"/>
        </w:rPr>
        <w:t xml:space="preserve"> of the Sentencing Act). There is no </w:t>
      </w:r>
      <w:r>
        <w:rPr>
          <w:b/>
          <w:bCs/>
          <w:szCs w:val="24"/>
          <w:lang w:eastAsia="en-AU"/>
        </w:rPr>
        <w:t xml:space="preserve">less restrictive means </w:t>
      </w:r>
      <w:r>
        <w:rPr>
          <w:szCs w:val="24"/>
          <w:lang w:eastAsia="en-AU"/>
        </w:rPr>
        <w:t xml:space="preserve">of </w:t>
      </w:r>
      <w:r w:rsidR="006640B2">
        <w:rPr>
          <w:szCs w:val="24"/>
          <w:lang w:eastAsia="en-AU"/>
        </w:rPr>
        <w:t xml:space="preserve">preparing an assessment of suitability for an intensive correction order, </w:t>
      </w:r>
      <w:r w:rsidR="00F05632">
        <w:rPr>
          <w:szCs w:val="24"/>
          <w:lang w:eastAsia="en-AU"/>
        </w:rPr>
        <w:t xml:space="preserve">as the assessment </w:t>
      </w:r>
      <w:r w:rsidR="006640B2">
        <w:rPr>
          <w:szCs w:val="24"/>
          <w:lang w:eastAsia="en-AU"/>
        </w:rPr>
        <w:t xml:space="preserve">requires a detailed </w:t>
      </w:r>
      <w:r w:rsidR="00F05632">
        <w:rPr>
          <w:szCs w:val="24"/>
          <w:lang w:eastAsia="en-AU"/>
        </w:rPr>
        <w:t xml:space="preserve">account </w:t>
      </w:r>
      <w:r w:rsidR="006640B2">
        <w:rPr>
          <w:szCs w:val="24"/>
          <w:lang w:eastAsia="en-AU"/>
        </w:rPr>
        <w:t xml:space="preserve">of living circumstances, past compliance with supervision requirements, employment, and factors that would indicate an inability to comply with an ICO including medical unfitness or </w:t>
      </w:r>
      <w:r w:rsidR="00F05632">
        <w:rPr>
          <w:szCs w:val="24"/>
          <w:lang w:eastAsia="en-AU"/>
        </w:rPr>
        <w:t>a major problem with alcohol or another drug.</w:t>
      </w:r>
      <w:r w:rsidR="006640B2">
        <w:rPr>
          <w:szCs w:val="24"/>
          <w:lang w:eastAsia="en-AU"/>
        </w:rPr>
        <w:t xml:space="preserve"> </w:t>
      </w:r>
      <w:r w:rsidR="00F05632">
        <w:rPr>
          <w:szCs w:val="24"/>
          <w:lang w:eastAsia="en-AU"/>
        </w:rPr>
        <w:t xml:space="preserve">New section 46E replicates the existing powers of assessors in relation to preparing Pre-Sentence Reports (see Sentencing Act </w:t>
      </w:r>
      <w:r w:rsidR="00F05632" w:rsidRPr="00864516">
        <w:rPr>
          <w:szCs w:val="24"/>
          <w:lang w:eastAsia="en-AU"/>
        </w:rPr>
        <w:t>Chapter 4.2</w:t>
      </w:r>
      <w:r w:rsidR="00F05632">
        <w:rPr>
          <w:szCs w:val="24"/>
          <w:lang w:eastAsia="en-AU"/>
        </w:rPr>
        <w:t xml:space="preserve">). </w:t>
      </w:r>
    </w:p>
    <w:p w14:paraId="581EBC24" w14:textId="77777777" w:rsidR="006640B2" w:rsidRDefault="006640B2" w:rsidP="00697786">
      <w:pPr>
        <w:autoSpaceDE w:val="0"/>
        <w:autoSpaceDN w:val="0"/>
        <w:adjustRightInd w:val="0"/>
        <w:spacing w:after="0" w:line="240" w:lineRule="auto"/>
        <w:rPr>
          <w:szCs w:val="24"/>
          <w:lang w:eastAsia="en-AU"/>
        </w:rPr>
      </w:pPr>
    </w:p>
    <w:p w14:paraId="635418FF" w14:textId="77777777" w:rsidR="00190B4B" w:rsidRDefault="00190B4B" w:rsidP="00190B4B">
      <w:pPr>
        <w:autoSpaceDE w:val="0"/>
        <w:autoSpaceDN w:val="0"/>
        <w:adjustRightInd w:val="0"/>
        <w:spacing w:after="0" w:line="240" w:lineRule="auto"/>
        <w:rPr>
          <w:b/>
          <w:bCs/>
          <w:i/>
          <w:iCs/>
          <w:szCs w:val="24"/>
          <w:lang w:eastAsia="en-AU"/>
        </w:rPr>
      </w:pPr>
      <w:r>
        <w:rPr>
          <w:b/>
          <w:bCs/>
          <w:i/>
          <w:iCs/>
          <w:szCs w:val="24"/>
          <w:lang w:eastAsia="en-AU"/>
        </w:rPr>
        <w:t>The prohibition on retrospective criminal laws</w:t>
      </w:r>
    </w:p>
    <w:p w14:paraId="2C4FE16E" w14:textId="77777777" w:rsidR="00190B4B" w:rsidRDefault="00190B4B" w:rsidP="00190B4B">
      <w:pPr>
        <w:autoSpaceDE w:val="0"/>
        <w:autoSpaceDN w:val="0"/>
        <w:adjustRightInd w:val="0"/>
        <w:spacing w:after="0" w:line="240" w:lineRule="auto"/>
        <w:rPr>
          <w:szCs w:val="24"/>
          <w:lang w:eastAsia="en-AU"/>
        </w:rPr>
      </w:pPr>
      <w:r>
        <w:rPr>
          <w:szCs w:val="24"/>
          <w:lang w:eastAsia="en-AU"/>
        </w:rPr>
        <w:t>Section 25(2) of the Human Rights Act states that a penalty may not be imposed on anyone</w:t>
      </w:r>
    </w:p>
    <w:p w14:paraId="0F87F6EE" w14:textId="77777777" w:rsidR="00190B4B" w:rsidRDefault="00190B4B" w:rsidP="00190B4B">
      <w:pPr>
        <w:autoSpaceDE w:val="0"/>
        <w:autoSpaceDN w:val="0"/>
        <w:adjustRightInd w:val="0"/>
        <w:spacing w:after="0" w:line="240" w:lineRule="auto"/>
        <w:rPr>
          <w:szCs w:val="24"/>
          <w:lang w:eastAsia="en-AU"/>
        </w:rPr>
      </w:pPr>
      <w:r>
        <w:rPr>
          <w:szCs w:val="24"/>
          <w:lang w:eastAsia="en-AU"/>
        </w:rPr>
        <w:t>for a criminal offence that is heavier than the penalty that applied to the offence when it was</w:t>
      </w:r>
    </w:p>
    <w:p w14:paraId="78E21FB0" w14:textId="6E18C440" w:rsidR="00190B4B" w:rsidRDefault="00190B4B" w:rsidP="00190B4B">
      <w:pPr>
        <w:autoSpaceDE w:val="0"/>
        <w:autoSpaceDN w:val="0"/>
        <w:adjustRightInd w:val="0"/>
        <w:spacing w:after="0" w:line="240" w:lineRule="auto"/>
        <w:rPr>
          <w:szCs w:val="24"/>
          <w:lang w:eastAsia="en-AU"/>
        </w:rPr>
      </w:pPr>
      <w:r>
        <w:rPr>
          <w:szCs w:val="24"/>
          <w:lang w:eastAsia="en-AU"/>
        </w:rPr>
        <w:t>committed.</w:t>
      </w:r>
    </w:p>
    <w:p w14:paraId="5D89BF73" w14:textId="77777777" w:rsidR="00190B4B" w:rsidRDefault="00190B4B" w:rsidP="00190B4B">
      <w:pPr>
        <w:autoSpaceDE w:val="0"/>
        <w:autoSpaceDN w:val="0"/>
        <w:adjustRightInd w:val="0"/>
        <w:spacing w:after="0" w:line="240" w:lineRule="auto"/>
        <w:rPr>
          <w:szCs w:val="24"/>
          <w:lang w:eastAsia="en-AU"/>
        </w:rPr>
      </w:pPr>
    </w:p>
    <w:p w14:paraId="08827C97" w14:textId="54F9B4E2" w:rsidR="00190B4B" w:rsidRDefault="00190B4B" w:rsidP="00190B4B">
      <w:pPr>
        <w:autoSpaceDE w:val="0"/>
        <w:autoSpaceDN w:val="0"/>
        <w:adjustRightInd w:val="0"/>
        <w:spacing w:after="0" w:line="240" w:lineRule="auto"/>
        <w:rPr>
          <w:szCs w:val="24"/>
          <w:lang w:eastAsia="en-AU"/>
        </w:rPr>
      </w:pPr>
      <w:r>
        <w:rPr>
          <w:szCs w:val="24"/>
          <w:lang w:eastAsia="en-AU"/>
        </w:rPr>
        <w:t xml:space="preserve">As described above, the Bill clarifies the orders a court may make after cancelling an ICO due to the offender committing a further offence punishable by imprisonment. In particular, the Bill clarifies that the Court must activate the remaining term of imprisonment, but may order that eligible offenders be given a further opportunity to serve only ‘part’ of that term in full time detention by setting a non-parole period. The effect of this is to clarify the options available to a court on cancellation, which the Supreme Court held in </w:t>
      </w:r>
      <w:r>
        <w:rPr>
          <w:i/>
          <w:szCs w:val="24"/>
          <w:lang w:eastAsia="en-AU"/>
        </w:rPr>
        <w:t xml:space="preserve">R v XH </w:t>
      </w:r>
      <w:r>
        <w:rPr>
          <w:szCs w:val="24"/>
          <w:lang w:eastAsia="en-AU"/>
        </w:rPr>
        <w:t xml:space="preserve">[2017] </w:t>
      </w:r>
      <w:r w:rsidR="00864516">
        <w:rPr>
          <w:szCs w:val="24"/>
          <w:lang w:eastAsia="en-AU"/>
        </w:rPr>
        <w:t>ACTSC 2</w:t>
      </w:r>
      <w:r w:rsidR="00E12478">
        <w:rPr>
          <w:szCs w:val="24"/>
          <w:lang w:eastAsia="en-AU"/>
        </w:rPr>
        <w:t>3</w:t>
      </w:r>
      <w:r w:rsidR="00864516">
        <w:rPr>
          <w:szCs w:val="24"/>
          <w:lang w:eastAsia="en-AU"/>
        </w:rPr>
        <w:t>6</w:t>
      </w:r>
      <w:r>
        <w:rPr>
          <w:szCs w:val="24"/>
          <w:lang w:eastAsia="en-AU"/>
        </w:rPr>
        <w:t xml:space="preserve"> </w:t>
      </w:r>
      <w:r w:rsidR="00E12478">
        <w:rPr>
          <w:szCs w:val="24"/>
          <w:lang w:eastAsia="en-AU"/>
        </w:rPr>
        <w:t xml:space="preserve">were unclear. The clarification will apply </w:t>
      </w:r>
      <w:r w:rsidR="001A4A7F">
        <w:rPr>
          <w:szCs w:val="24"/>
          <w:lang w:eastAsia="en-AU"/>
        </w:rPr>
        <w:t xml:space="preserve">prospectively </w:t>
      </w:r>
      <w:r w:rsidR="00E12478">
        <w:rPr>
          <w:szCs w:val="24"/>
          <w:lang w:eastAsia="en-AU"/>
        </w:rPr>
        <w:t xml:space="preserve">to </w:t>
      </w:r>
      <w:r w:rsidR="001A4A7F">
        <w:rPr>
          <w:szCs w:val="24"/>
          <w:lang w:eastAsia="en-AU"/>
        </w:rPr>
        <w:t xml:space="preserve">the question of cancellation that may arise in relation to any </w:t>
      </w:r>
      <w:r w:rsidR="00CE2AA1">
        <w:rPr>
          <w:szCs w:val="24"/>
          <w:lang w:eastAsia="en-AU"/>
        </w:rPr>
        <w:t xml:space="preserve">current </w:t>
      </w:r>
      <w:r w:rsidR="00E12478">
        <w:rPr>
          <w:szCs w:val="24"/>
          <w:lang w:eastAsia="en-AU"/>
        </w:rPr>
        <w:t>ICOs</w:t>
      </w:r>
      <w:r w:rsidR="001A4A7F">
        <w:rPr>
          <w:szCs w:val="24"/>
          <w:lang w:eastAsia="en-AU"/>
        </w:rPr>
        <w:t>, but will not apply retrospectively to affect any cases of past cancellation.</w:t>
      </w:r>
    </w:p>
    <w:p w14:paraId="25DF98DB" w14:textId="77777777" w:rsidR="001A4A7F" w:rsidRDefault="001A4A7F" w:rsidP="00190B4B">
      <w:pPr>
        <w:autoSpaceDE w:val="0"/>
        <w:autoSpaceDN w:val="0"/>
        <w:adjustRightInd w:val="0"/>
        <w:spacing w:after="0" w:line="240" w:lineRule="auto"/>
        <w:rPr>
          <w:szCs w:val="24"/>
          <w:lang w:eastAsia="en-AU"/>
        </w:rPr>
      </w:pPr>
    </w:p>
    <w:p w14:paraId="4028E577" w14:textId="77777777" w:rsidR="00190B4B" w:rsidRDefault="00190B4B" w:rsidP="00190B4B">
      <w:pPr>
        <w:autoSpaceDE w:val="0"/>
        <w:autoSpaceDN w:val="0"/>
        <w:adjustRightInd w:val="0"/>
        <w:spacing w:after="0" w:line="240" w:lineRule="auto"/>
        <w:rPr>
          <w:i/>
          <w:iCs/>
          <w:szCs w:val="24"/>
          <w:lang w:eastAsia="en-AU"/>
        </w:rPr>
      </w:pPr>
      <w:r>
        <w:rPr>
          <w:szCs w:val="24"/>
          <w:lang w:eastAsia="en-AU"/>
        </w:rPr>
        <w:t xml:space="preserve">The issue of retrospective laws is discussed fully in the explanatory statement to the </w:t>
      </w:r>
      <w:r>
        <w:rPr>
          <w:i/>
          <w:iCs/>
          <w:szCs w:val="24"/>
          <w:lang w:eastAsia="en-AU"/>
        </w:rPr>
        <w:t>Crimes</w:t>
      </w:r>
    </w:p>
    <w:p w14:paraId="7BF7DA12" w14:textId="77777777" w:rsidR="00190B4B" w:rsidRDefault="00190B4B" w:rsidP="00190B4B">
      <w:pPr>
        <w:autoSpaceDE w:val="0"/>
        <w:autoSpaceDN w:val="0"/>
        <w:adjustRightInd w:val="0"/>
        <w:spacing w:after="0" w:line="240" w:lineRule="auto"/>
        <w:rPr>
          <w:szCs w:val="24"/>
          <w:lang w:eastAsia="en-AU"/>
        </w:rPr>
      </w:pPr>
      <w:r>
        <w:rPr>
          <w:i/>
          <w:iCs/>
          <w:szCs w:val="24"/>
          <w:lang w:eastAsia="en-AU"/>
        </w:rPr>
        <w:t xml:space="preserve">(Sentencing) Amendment Act 2014 </w:t>
      </w:r>
      <w:r>
        <w:rPr>
          <w:szCs w:val="24"/>
          <w:lang w:eastAsia="en-AU"/>
        </w:rPr>
        <w:t>in the context of the provisions applying to offences</w:t>
      </w:r>
    </w:p>
    <w:p w14:paraId="6E75EE8E" w14:textId="77777777" w:rsidR="00190B4B" w:rsidRDefault="00190B4B" w:rsidP="00190B4B">
      <w:pPr>
        <w:autoSpaceDE w:val="0"/>
        <w:autoSpaceDN w:val="0"/>
        <w:adjustRightInd w:val="0"/>
        <w:spacing w:after="0" w:line="240" w:lineRule="auto"/>
        <w:rPr>
          <w:szCs w:val="24"/>
          <w:lang w:eastAsia="en-AU"/>
        </w:rPr>
      </w:pPr>
      <w:r>
        <w:rPr>
          <w:szCs w:val="24"/>
          <w:lang w:eastAsia="en-AU"/>
        </w:rPr>
        <w:t>sentenced (as opposed to committed) after commencement. As clearly set out in that</w:t>
      </w:r>
    </w:p>
    <w:p w14:paraId="3D4DADE7" w14:textId="77777777" w:rsidR="00190B4B" w:rsidRDefault="00190B4B" w:rsidP="00190B4B">
      <w:pPr>
        <w:autoSpaceDE w:val="0"/>
        <w:autoSpaceDN w:val="0"/>
        <w:adjustRightInd w:val="0"/>
        <w:spacing w:after="0" w:line="240" w:lineRule="auto"/>
        <w:rPr>
          <w:szCs w:val="24"/>
          <w:lang w:eastAsia="en-AU"/>
        </w:rPr>
      </w:pPr>
      <w:r>
        <w:rPr>
          <w:szCs w:val="24"/>
          <w:lang w:eastAsia="en-AU"/>
        </w:rPr>
        <w:t>explanatory statement, altering the sentencing options available, in the way proposed, does</w:t>
      </w:r>
    </w:p>
    <w:p w14:paraId="472DC981" w14:textId="5E9A87DE" w:rsidR="00190B4B" w:rsidRDefault="00190B4B" w:rsidP="00190B4B">
      <w:pPr>
        <w:autoSpaceDE w:val="0"/>
        <w:autoSpaceDN w:val="0"/>
        <w:adjustRightInd w:val="0"/>
        <w:spacing w:after="0" w:line="240" w:lineRule="auto"/>
        <w:rPr>
          <w:szCs w:val="24"/>
          <w:lang w:eastAsia="en-AU"/>
        </w:rPr>
      </w:pPr>
      <w:r>
        <w:rPr>
          <w:szCs w:val="24"/>
          <w:lang w:eastAsia="en-AU"/>
        </w:rPr>
        <w:t>not engage the prohibition against retrospective criminal laws.</w:t>
      </w:r>
      <w:r w:rsidR="001A4A7F">
        <w:rPr>
          <w:szCs w:val="24"/>
          <w:lang w:eastAsia="en-AU"/>
        </w:rPr>
        <w:t xml:space="preserve"> In particular, there is no proposal to make the original judicial sentence ‘heavier’ as an ICO has always carried with it the prospect of cancellation on re-offending and the imposition of the full remaining term.</w:t>
      </w:r>
    </w:p>
    <w:p w14:paraId="695B491B" w14:textId="77777777" w:rsidR="001A4A7F" w:rsidRDefault="001A4A7F" w:rsidP="00190B4B">
      <w:pPr>
        <w:autoSpaceDE w:val="0"/>
        <w:autoSpaceDN w:val="0"/>
        <w:adjustRightInd w:val="0"/>
        <w:spacing w:after="0" w:line="240" w:lineRule="auto"/>
        <w:rPr>
          <w:szCs w:val="24"/>
          <w:lang w:eastAsia="en-AU"/>
        </w:rPr>
      </w:pPr>
    </w:p>
    <w:p w14:paraId="6E107B81" w14:textId="74A4FD78" w:rsidR="001A4A7F" w:rsidRDefault="001A4A7F" w:rsidP="001A4A7F">
      <w:pPr>
        <w:autoSpaceDE w:val="0"/>
        <w:autoSpaceDN w:val="0"/>
        <w:adjustRightInd w:val="0"/>
        <w:spacing w:after="0" w:line="240" w:lineRule="auto"/>
        <w:rPr>
          <w:szCs w:val="24"/>
          <w:lang w:eastAsia="en-AU"/>
        </w:rPr>
      </w:pPr>
      <w:r>
        <w:rPr>
          <w:szCs w:val="24"/>
          <w:lang w:eastAsia="en-AU"/>
        </w:rPr>
        <w:t xml:space="preserve">While the right is not engaged, the Bill’s provisions seek to support section 25 of the HRA by requiring the court to set a non-parole period in circumstances akin to those that would have attracted a non-parole period had the original sentence been served in full-time detention from the outset. This will ensure that offenders are not disadvantaged </w:t>
      </w:r>
      <w:r w:rsidR="001B6A2B">
        <w:rPr>
          <w:szCs w:val="24"/>
          <w:lang w:eastAsia="en-AU"/>
        </w:rPr>
        <w:t xml:space="preserve">in relation to accessing parole by their unsuccessful attempt to </w:t>
      </w:r>
      <w:r>
        <w:rPr>
          <w:szCs w:val="24"/>
          <w:lang w:eastAsia="en-AU"/>
        </w:rPr>
        <w:t>serve their sentence of imprisonment in the community.</w:t>
      </w:r>
    </w:p>
    <w:p w14:paraId="1AA4AAB4" w14:textId="77777777" w:rsidR="00DD0E5A" w:rsidRDefault="00DD0E5A" w:rsidP="001A4A7F">
      <w:pPr>
        <w:autoSpaceDE w:val="0"/>
        <w:autoSpaceDN w:val="0"/>
        <w:adjustRightInd w:val="0"/>
        <w:spacing w:after="0" w:line="240" w:lineRule="auto"/>
        <w:rPr>
          <w:szCs w:val="24"/>
          <w:lang w:eastAsia="en-AU"/>
        </w:rPr>
      </w:pPr>
    </w:p>
    <w:p w14:paraId="3A35728A" w14:textId="77777777" w:rsidR="00DD0E5A" w:rsidRDefault="00DD0E5A" w:rsidP="001A4A7F">
      <w:pPr>
        <w:autoSpaceDE w:val="0"/>
        <w:autoSpaceDN w:val="0"/>
        <w:adjustRightInd w:val="0"/>
        <w:spacing w:after="0" w:line="240" w:lineRule="auto"/>
        <w:rPr>
          <w:szCs w:val="24"/>
          <w:lang w:eastAsia="en-AU"/>
        </w:rPr>
      </w:pPr>
    </w:p>
    <w:p w14:paraId="6A011B0E" w14:textId="77777777" w:rsidR="005475A5" w:rsidRDefault="005475A5">
      <w:pPr>
        <w:spacing w:after="0" w:line="240" w:lineRule="auto"/>
        <w:rPr>
          <w:bCs/>
          <w:szCs w:val="24"/>
        </w:rPr>
      </w:pPr>
      <w:r>
        <w:rPr>
          <w:bCs/>
          <w:szCs w:val="24"/>
        </w:rPr>
        <w:br w:type="page"/>
      </w:r>
    </w:p>
    <w:p w14:paraId="54F2A35E" w14:textId="357B7395" w:rsidR="00702566" w:rsidRPr="009428EA" w:rsidRDefault="004D776A" w:rsidP="00D21B72">
      <w:pPr>
        <w:keepNext/>
        <w:autoSpaceDE w:val="0"/>
        <w:autoSpaceDN w:val="0"/>
        <w:adjustRightInd w:val="0"/>
        <w:spacing w:before="240" w:after="120"/>
        <w:jc w:val="center"/>
        <w:rPr>
          <w:b/>
          <w:bCs/>
          <w:sz w:val="28"/>
          <w:szCs w:val="28"/>
          <w:lang w:eastAsia="en-AU"/>
        </w:rPr>
      </w:pPr>
      <w:r>
        <w:rPr>
          <w:b/>
          <w:bCs/>
          <w:sz w:val="28"/>
          <w:szCs w:val="28"/>
          <w:lang w:eastAsia="en-AU"/>
        </w:rPr>
        <w:t xml:space="preserve">Sentencing Legislation Amendment Bill </w:t>
      </w:r>
      <w:r w:rsidR="0061458E">
        <w:rPr>
          <w:b/>
          <w:bCs/>
          <w:sz w:val="28"/>
          <w:szCs w:val="28"/>
          <w:lang w:eastAsia="en-AU"/>
        </w:rPr>
        <w:t>2018</w:t>
      </w:r>
    </w:p>
    <w:p w14:paraId="7B72276F" w14:textId="77777777" w:rsidR="00702566" w:rsidRPr="00A363CB" w:rsidRDefault="00702566" w:rsidP="00A363CB">
      <w:pPr>
        <w:pStyle w:val="Title"/>
        <w:spacing w:before="240" w:after="120"/>
        <w:rPr>
          <w:lang w:eastAsia="en-AU"/>
        </w:rPr>
      </w:pPr>
      <w:bookmarkStart w:id="10" w:name="_Toc426711261"/>
      <w:bookmarkStart w:id="11" w:name="_Toc429052824"/>
      <w:bookmarkStart w:id="12" w:name="_Toc523841320"/>
      <w:r w:rsidRPr="009428EA">
        <w:rPr>
          <w:lang w:eastAsia="en-AU"/>
        </w:rPr>
        <w:t>Detail</w:t>
      </w:r>
      <w:bookmarkEnd w:id="10"/>
      <w:bookmarkEnd w:id="11"/>
      <w:bookmarkEnd w:id="12"/>
    </w:p>
    <w:p w14:paraId="655FC8CE" w14:textId="77777777" w:rsidR="00AC5B87" w:rsidRPr="00807087" w:rsidRDefault="00AC5B87" w:rsidP="00AC5B87">
      <w:pPr>
        <w:pStyle w:val="Heading1"/>
        <w:rPr>
          <w:lang w:eastAsia="en-AU"/>
        </w:rPr>
      </w:pPr>
      <w:bookmarkStart w:id="13" w:name="_Preamble"/>
      <w:bookmarkStart w:id="14" w:name="_Toc523841321"/>
      <w:bookmarkEnd w:id="13"/>
      <w:r>
        <w:rPr>
          <w:lang w:eastAsia="en-AU"/>
        </w:rPr>
        <w:t xml:space="preserve">Part </w:t>
      </w:r>
      <w:r w:rsidR="00326167">
        <w:rPr>
          <w:lang w:eastAsia="en-AU"/>
        </w:rPr>
        <w:fldChar w:fldCharType="begin"/>
      </w:r>
      <w:r>
        <w:rPr>
          <w:lang w:eastAsia="en-AU"/>
        </w:rPr>
        <w:instrText xml:space="preserve"> SEQ Part \* ARABIC </w:instrText>
      </w:r>
      <w:r w:rsidR="00326167">
        <w:rPr>
          <w:lang w:eastAsia="en-AU"/>
        </w:rPr>
        <w:fldChar w:fldCharType="separate"/>
      </w:r>
      <w:r w:rsidR="00AB12E0">
        <w:rPr>
          <w:noProof/>
          <w:lang w:eastAsia="en-AU"/>
        </w:rPr>
        <w:t>1</w:t>
      </w:r>
      <w:r w:rsidR="00326167">
        <w:rPr>
          <w:lang w:eastAsia="en-AU"/>
        </w:rPr>
        <w:fldChar w:fldCharType="end"/>
      </w:r>
      <w:r w:rsidRPr="009428EA">
        <w:rPr>
          <w:lang w:eastAsia="en-AU"/>
        </w:rPr>
        <w:t xml:space="preserve"> – Preliminary</w:t>
      </w:r>
      <w:bookmarkEnd w:id="14"/>
    </w:p>
    <w:p w14:paraId="26A76DDD" w14:textId="77777777" w:rsidR="00702566" w:rsidRPr="00C71A66" w:rsidRDefault="00C71A66" w:rsidP="00C07F8C">
      <w:pPr>
        <w:pStyle w:val="Heading4"/>
        <w:rPr>
          <w:bCs/>
          <w:lang w:eastAsia="en-AU"/>
        </w:rPr>
      </w:pPr>
      <w:r w:rsidRPr="00C71A66">
        <w:t xml:space="preserve">Clause </w:t>
      </w:r>
      <w:r w:rsidR="00326167" w:rsidRPr="00C71A66">
        <w:fldChar w:fldCharType="begin"/>
      </w:r>
      <w:r w:rsidRPr="00C71A66">
        <w:instrText xml:space="preserve"> SEQ Clause \* ARABIC </w:instrText>
      </w:r>
      <w:r w:rsidR="00326167" w:rsidRPr="00C71A66">
        <w:fldChar w:fldCharType="separate"/>
      </w:r>
      <w:r w:rsidR="00AB12E0">
        <w:rPr>
          <w:noProof/>
        </w:rPr>
        <w:t>1</w:t>
      </w:r>
      <w:r w:rsidR="00326167" w:rsidRPr="00C71A66">
        <w:fldChar w:fldCharType="end"/>
      </w:r>
      <w:r w:rsidR="00702566" w:rsidRPr="00C71A66">
        <w:rPr>
          <w:bCs/>
          <w:lang w:eastAsia="en-AU"/>
        </w:rPr>
        <w:t xml:space="preserve"> — Name of Act</w:t>
      </w:r>
    </w:p>
    <w:p w14:paraId="002E87C3" w14:textId="3771149D" w:rsidR="00702566" w:rsidRPr="00807087" w:rsidRDefault="00702566" w:rsidP="00A363CB">
      <w:pPr>
        <w:keepNext/>
        <w:autoSpaceDE w:val="0"/>
        <w:autoSpaceDN w:val="0"/>
        <w:adjustRightInd w:val="0"/>
        <w:spacing w:before="240" w:after="120"/>
        <w:rPr>
          <w:szCs w:val="24"/>
          <w:lang w:eastAsia="en-AU"/>
        </w:rPr>
      </w:pPr>
      <w:r w:rsidRPr="009428EA">
        <w:rPr>
          <w:szCs w:val="24"/>
          <w:lang w:eastAsia="en-AU"/>
        </w:rPr>
        <w:t xml:space="preserve">This is a technical clause that names the short title of the Act. The name of the Act </w:t>
      </w:r>
      <w:r w:rsidR="00807087">
        <w:rPr>
          <w:szCs w:val="24"/>
          <w:lang w:eastAsia="en-AU"/>
        </w:rPr>
        <w:t>will</w:t>
      </w:r>
      <w:r w:rsidRPr="009428EA">
        <w:rPr>
          <w:szCs w:val="24"/>
          <w:lang w:eastAsia="en-AU"/>
        </w:rPr>
        <w:t xml:space="preserve"> be</w:t>
      </w:r>
      <w:r w:rsidR="001B7E69" w:rsidRPr="009428EA">
        <w:rPr>
          <w:szCs w:val="24"/>
          <w:lang w:eastAsia="en-AU"/>
        </w:rPr>
        <w:t xml:space="preserve"> </w:t>
      </w:r>
      <w:r w:rsidRPr="009428EA">
        <w:rPr>
          <w:szCs w:val="24"/>
          <w:lang w:eastAsia="en-AU"/>
        </w:rPr>
        <w:t xml:space="preserve">the </w:t>
      </w:r>
      <w:r w:rsidR="0061458E">
        <w:rPr>
          <w:i/>
          <w:szCs w:val="24"/>
          <w:lang w:eastAsia="en-AU"/>
        </w:rPr>
        <w:t>Sentencing Legislation Amendment Act</w:t>
      </w:r>
      <w:r w:rsidR="0000266A">
        <w:rPr>
          <w:i/>
          <w:szCs w:val="24"/>
          <w:lang w:eastAsia="en-AU"/>
        </w:rPr>
        <w:t xml:space="preserve"> 2018</w:t>
      </w:r>
      <w:r w:rsidRPr="009428EA">
        <w:rPr>
          <w:szCs w:val="24"/>
          <w:lang w:eastAsia="en-AU"/>
        </w:rPr>
        <w:t>.</w:t>
      </w:r>
    </w:p>
    <w:p w14:paraId="141AFA77" w14:textId="77777777" w:rsidR="00702566" w:rsidRPr="009428EA" w:rsidRDefault="00C71A66" w:rsidP="00C07F8C">
      <w:pPr>
        <w:pStyle w:val="Heading4"/>
        <w:rPr>
          <w:bCs/>
          <w:lang w:eastAsia="en-AU"/>
        </w:rPr>
      </w:pPr>
      <w:r w:rsidRPr="00C71A66">
        <w:t xml:space="preserve">Clause </w:t>
      </w:r>
      <w:r w:rsidR="00326167" w:rsidRPr="00C71A66">
        <w:fldChar w:fldCharType="begin"/>
      </w:r>
      <w:r w:rsidRPr="00C71A66">
        <w:instrText xml:space="preserve"> SEQ Clause \* ARABIC </w:instrText>
      </w:r>
      <w:r w:rsidR="00326167" w:rsidRPr="00C71A66">
        <w:fldChar w:fldCharType="separate"/>
      </w:r>
      <w:r w:rsidR="00AB12E0">
        <w:rPr>
          <w:noProof/>
        </w:rPr>
        <w:t>2</w:t>
      </w:r>
      <w:r w:rsidR="00326167" w:rsidRPr="00C71A66">
        <w:fldChar w:fldCharType="end"/>
      </w:r>
      <w:r w:rsidRPr="00C71A66">
        <w:rPr>
          <w:bCs/>
          <w:lang w:eastAsia="en-AU"/>
        </w:rPr>
        <w:t xml:space="preserve"> </w:t>
      </w:r>
      <w:r w:rsidR="00702566" w:rsidRPr="009428EA">
        <w:rPr>
          <w:bCs/>
          <w:lang w:eastAsia="en-AU"/>
        </w:rPr>
        <w:t>— Commencement</w:t>
      </w:r>
    </w:p>
    <w:p w14:paraId="6A076AAA" w14:textId="5BACF0A6" w:rsidR="00A11978" w:rsidRPr="00A11978" w:rsidRDefault="001F7F5F" w:rsidP="00DF7319">
      <w:pPr>
        <w:keepNext/>
        <w:autoSpaceDE w:val="0"/>
        <w:autoSpaceDN w:val="0"/>
        <w:adjustRightInd w:val="0"/>
        <w:spacing w:before="240" w:after="120"/>
        <w:rPr>
          <w:szCs w:val="24"/>
          <w:lang w:eastAsia="en-AU"/>
        </w:rPr>
      </w:pPr>
      <w:r>
        <w:rPr>
          <w:szCs w:val="24"/>
          <w:lang w:eastAsia="en-AU"/>
        </w:rPr>
        <w:t>This clause provid</w:t>
      </w:r>
      <w:r w:rsidR="00393C03">
        <w:rPr>
          <w:szCs w:val="24"/>
          <w:lang w:eastAsia="en-AU"/>
        </w:rPr>
        <w:t>es that the Act</w:t>
      </w:r>
      <w:r w:rsidR="00DF7319">
        <w:rPr>
          <w:szCs w:val="24"/>
          <w:lang w:eastAsia="en-AU"/>
        </w:rPr>
        <w:t xml:space="preserve"> </w:t>
      </w:r>
      <w:r w:rsidR="00393C03">
        <w:rPr>
          <w:szCs w:val="24"/>
          <w:lang w:eastAsia="en-AU"/>
        </w:rPr>
        <w:t>will commence</w:t>
      </w:r>
      <w:r w:rsidR="005D0412">
        <w:rPr>
          <w:szCs w:val="24"/>
          <w:lang w:eastAsia="en-AU"/>
        </w:rPr>
        <w:t xml:space="preserve"> </w:t>
      </w:r>
      <w:r w:rsidR="00DF7319">
        <w:rPr>
          <w:szCs w:val="24"/>
          <w:lang w:eastAsia="en-AU"/>
        </w:rPr>
        <w:t xml:space="preserve">on </w:t>
      </w:r>
      <w:r w:rsidR="0000266A">
        <w:rPr>
          <w:szCs w:val="24"/>
          <w:lang w:eastAsia="en-AU"/>
        </w:rPr>
        <w:t>the day after the Act is notified.</w:t>
      </w:r>
    </w:p>
    <w:p w14:paraId="3E1BACD4" w14:textId="77777777" w:rsidR="00C87B10" w:rsidRPr="009428EA" w:rsidRDefault="00C87B10" w:rsidP="00C87B10">
      <w:pPr>
        <w:pStyle w:val="Heading4"/>
        <w:rPr>
          <w:bCs/>
          <w:lang w:eastAsia="en-AU"/>
        </w:rPr>
      </w:pPr>
      <w:r w:rsidRPr="00C71A66">
        <w:t xml:space="preserve">Clause </w:t>
      </w:r>
      <w:r w:rsidR="00321FCD">
        <w:rPr>
          <w:noProof/>
        </w:rPr>
        <w:fldChar w:fldCharType="begin"/>
      </w:r>
      <w:r w:rsidR="00321FCD">
        <w:rPr>
          <w:noProof/>
        </w:rPr>
        <w:instrText xml:space="preserve"> SEQ Clause \* ARABIC </w:instrText>
      </w:r>
      <w:r w:rsidR="00321FCD">
        <w:rPr>
          <w:noProof/>
        </w:rPr>
        <w:fldChar w:fldCharType="separate"/>
      </w:r>
      <w:r w:rsidR="00AB12E0">
        <w:rPr>
          <w:noProof/>
        </w:rPr>
        <w:t>3</w:t>
      </w:r>
      <w:r w:rsidR="00321FCD">
        <w:rPr>
          <w:noProof/>
        </w:rPr>
        <w:fldChar w:fldCharType="end"/>
      </w:r>
      <w:r w:rsidRPr="00C71A66">
        <w:rPr>
          <w:bCs/>
          <w:lang w:eastAsia="en-AU"/>
        </w:rPr>
        <w:t xml:space="preserve"> </w:t>
      </w:r>
      <w:r w:rsidRPr="009428EA">
        <w:rPr>
          <w:bCs/>
          <w:lang w:eastAsia="en-AU"/>
        </w:rPr>
        <w:t xml:space="preserve">— </w:t>
      </w:r>
      <w:r>
        <w:rPr>
          <w:bCs/>
          <w:lang w:eastAsia="en-AU"/>
        </w:rPr>
        <w:t>Legislation Amended</w:t>
      </w:r>
    </w:p>
    <w:p w14:paraId="46C20E91" w14:textId="6718AEEA" w:rsidR="00C87B10" w:rsidRDefault="00C87B10" w:rsidP="00C87B10">
      <w:pPr>
        <w:spacing w:before="240" w:after="120"/>
        <w:rPr>
          <w:szCs w:val="24"/>
          <w:lang w:eastAsia="en-AU"/>
        </w:rPr>
      </w:pPr>
      <w:r w:rsidRPr="009428EA">
        <w:rPr>
          <w:szCs w:val="24"/>
          <w:lang w:eastAsia="en-AU"/>
        </w:rPr>
        <w:t xml:space="preserve">This clause </w:t>
      </w:r>
      <w:r w:rsidR="00442BD2">
        <w:rPr>
          <w:szCs w:val="24"/>
          <w:lang w:eastAsia="en-AU"/>
        </w:rPr>
        <w:t xml:space="preserve">lists the legislation amended by this Bill. This Bill will amend the </w:t>
      </w:r>
      <w:r w:rsidR="0000266A">
        <w:rPr>
          <w:i/>
          <w:szCs w:val="24"/>
          <w:lang w:eastAsia="en-AU"/>
        </w:rPr>
        <w:t>Crimes (Sentence Administration) Act 2005</w:t>
      </w:r>
      <w:r w:rsidR="0000266A">
        <w:rPr>
          <w:szCs w:val="24"/>
          <w:lang w:eastAsia="en-AU"/>
        </w:rPr>
        <w:t xml:space="preserve">, the </w:t>
      </w:r>
      <w:r w:rsidR="0000266A">
        <w:rPr>
          <w:i/>
          <w:szCs w:val="24"/>
          <w:lang w:eastAsia="en-AU"/>
        </w:rPr>
        <w:t>Crimes (Sentencing) Act 2005</w:t>
      </w:r>
      <w:r w:rsidR="0000266A">
        <w:rPr>
          <w:szCs w:val="24"/>
          <w:lang w:eastAsia="en-AU"/>
        </w:rPr>
        <w:t>,</w:t>
      </w:r>
      <w:r w:rsidR="00F20A33">
        <w:rPr>
          <w:szCs w:val="24"/>
          <w:lang w:eastAsia="en-AU"/>
        </w:rPr>
        <w:t xml:space="preserve"> and (in Schedule 1)</w:t>
      </w:r>
      <w:r w:rsidR="0000266A">
        <w:rPr>
          <w:szCs w:val="24"/>
          <w:lang w:eastAsia="en-AU"/>
        </w:rPr>
        <w:t xml:space="preserve"> the </w:t>
      </w:r>
      <w:r w:rsidR="0000266A">
        <w:rPr>
          <w:i/>
          <w:szCs w:val="24"/>
          <w:lang w:eastAsia="en-AU"/>
        </w:rPr>
        <w:t xml:space="preserve">Crimes Act 1900 </w:t>
      </w:r>
      <w:r w:rsidR="0000266A">
        <w:rPr>
          <w:szCs w:val="24"/>
          <w:lang w:eastAsia="en-AU"/>
        </w:rPr>
        <w:t xml:space="preserve">and the </w:t>
      </w:r>
      <w:r w:rsidR="0000266A">
        <w:rPr>
          <w:i/>
          <w:szCs w:val="24"/>
          <w:lang w:eastAsia="en-AU"/>
        </w:rPr>
        <w:t>Road Transport (General) Act 1999</w:t>
      </w:r>
      <w:r w:rsidR="0000266A">
        <w:rPr>
          <w:szCs w:val="24"/>
          <w:lang w:eastAsia="en-AU"/>
        </w:rPr>
        <w:t>.</w:t>
      </w:r>
    </w:p>
    <w:p w14:paraId="0F705FFB" w14:textId="15EF3E20" w:rsidR="00CF129B" w:rsidRPr="009428EA" w:rsidRDefault="00AC5B87" w:rsidP="00A363CB">
      <w:pPr>
        <w:pStyle w:val="Heading1"/>
        <w:rPr>
          <w:lang w:eastAsia="en-AU"/>
        </w:rPr>
      </w:pPr>
      <w:bookmarkStart w:id="15" w:name="_Part_2_–"/>
      <w:bookmarkStart w:id="16" w:name="_Toc426711263"/>
      <w:bookmarkStart w:id="17" w:name="_Toc429052826"/>
      <w:bookmarkStart w:id="18" w:name="_Toc523841322"/>
      <w:bookmarkEnd w:id="15"/>
      <w:r>
        <w:rPr>
          <w:lang w:eastAsia="en-AU"/>
        </w:rPr>
        <w:t xml:space="preserve">Part </w:t>
      </w:r>
      <w:r w:rsidR="00326167">
        <w:rPr>
          <w:lang w:eastAsia="en-AU"/>
        </w:rPr>
        <w:fldChar w:fldCharType="begin"/>
      </w:r>
      <w:r>
        <w:rPr>
          <w:lang w:eastAsia="en-AU"/>
        </w:rPr>
        <w:instrText xml:space="preserve"> SEQ Part \* ARABIC </w:instrText>
      </w:r>
      <w:r w:rsidR="00326167">
        <w:rPr>
          <w:lang w:eastAsia="en-AU"/>
        </w:rPr>
        <w:fldChar w:fldCharType="separate"/>
      </w:r>
      <w:r w:rsidR="00AB12E0">
        <w:rPr>
          <w:noProof/>
          <w:lang w:eastAsia="en-AU"/>
        </w:rPr>
        <w:t>2</w:t>
      </w:r>
      <w:r w:rsidR="00326167">
        <w:rPr>
          <w:lang w:eastAsia="en-AU"/>
        </w:rPr>
        <w:fldChar w:fldCharType="end"/>
      </w:r>
      <w:r w:rsidR="00CF129B" w:rsidRPr="009428EA">
        <w:rPr>
          <w:lang w:eastAsia="en-AU"/>
        </w:rPr>
        <w:t xml:space="preserve"> – </w:t>
      </w:r>
      <w:bookmarkEnd w:id="16"/>
      <w:bookmarkEnd w:id="17"/>
      <w:r w:rsidR="0000266A">
        <w:rPr>
          <w:lang w:eastAsia="en-AU"/>
        </w:rPr>
        <w:t>Crimes (Sentence Administration) Act 2005</w:t>
      </w:r>
      <w:bookmarkEnd w:id="18"/>
    </w:p>
    <w:p w14:paraId="48184938" w14:textId="17B725C1" w:rsidR="0000266A" w:rsidRPr="009428EA" w:rsidRDefault="0000266A" w:rsidP="0000266A">
      <w:pPr>
        <w:pStyle w:val="Heading4"/>
        <w:rPr>
          <w:lang w:eastAsia="en-AU"/>
        </w:rPr>
      </w:pPr>
      <w:bookmarkStart w:id="19" w:name="_Clause_6_–"/>
      <w:bookmarkEnd w:id="19"/>
      <w:r w:rsidRPr="00C71A66">
        <w:t xml:space="preserve">Clause </w:t>
      </w:r>
      <w:r w:rsidR="00E47F6F">
        <w:rPr>
          <w:noProof/>
        </w:rPr>
        <w:fldChar w:fldCharType="begin"/>
      </w:r>
      <w:r w:rsidR="00E47F6F">
        <w:rPr>
          <w:noProof/>
        </w:rPr>
        <w:instrText xml:space="preserve"> SEQ Clause \* ARABIC  \* MERGEFORMAT </w:instrText>
      </w:r>
      <w:r w:rsidR="00E47F6F">
        <w:rPr>
          <w:noProof/>
        </w:rPr>
        <w:fldChar w:fldCharType="separate"/>
      </w:r>
      <w:r w:rsidR="00AB12E0">
        <w:rPr>
          <w:noProof/>
        </w:rPr>
        <w:t>4</w:t>
      </w:r>
      <w:r w:rsidR="00E47F6F">
        <w:rPr>
          <w:noProof/>
        </w:rPr>
        <w:fldChar w:fldCharType="end"/>
      </w:r>
      <w:r w:rsidRPr="00C71A66">
        <w:rPr>
          <w:lang w:eastAsia="en-AU"/>
        </w:rPr>
        <w:t xml:space="preserve"> </w:t>
      </w:r>
      <w:r w:rsidRPr="009428EA">
        <w:rPr>
          <w:lang w:eastAsia="en-AU"/>
        </w:rPr>
        <w:t xml:space="preserve">— </w:t>
      </w:r>
      <w:r>
        <w:rPr>
          <w:lang w:eastAsia="en-AU"/>
        </w:rPr>
        <w:t>New section 48A</w:t>
      </w:r>
    </w:p>
    <w:p w14:paraId="72069058" w14:textId="77777777" w:rsidR="000F5ECE" w:rsidRDefault="0000266A" w:rsidP="00355B5C">
      <w:pPr>
        <w:pStyle w:val="BodyText"/>
      </w:pPr>
      <w:r w:rsidRPr="00CD129E">
        <w:t xml:space="preserve">This clause </w:t>
      </w:r>
      <w:r w:rsidR="006449E7">
        <w:t>qualifies the effect of clause 11</w:t>
      </w:r>
      <w:r w:rsidR="000F5ECE">
        <w:t xml:space="preserve"> (below).</w:t>
      </w:r>
    </w:p>
    <w:p w14:paraId="44835CCC" w14:textId="0A73EF14" w:rsidR="00C61160" w:rsidRDefault="00C61160" w:rsidP="00355B5C">
      <w:pPr>
        <w:pStyle w:val="BodyText"/>
      </w:pPr>
      <w:r>
        <w:t xml:space="preserve">In relation to </w:t>
      </w:r>
      <w:r w:rsidR="006B2E8C">
        <w:t>offender</w:t>
      </w:r>
      <w:r>
        <w:t>s</w:t>
      </w:r>
      <w:r w:rsidR="00927F04">
        <w:t xml:space="preserve"> serving a sentence of intensive correction</w:t>
      </w:r>
      <w:r w:rsidR="006B2E8C">
        <w:t xml:space="preserve"> </w:t>
      </w:r>
      <w:r>
        <w:t xml:space="preserve">who are ordered to perform community service work, clause 4 (read with clause 11) </w:t>
      </w:r>
      <w:r w:rsidR="000F5ECE">
        <w:t xml:space="preserve">limits </w:t>
      </w:r>
      <w:r>
        <w:t xml:space="preserve">the </w:t>
      </w:r>
      <w:r w:rsidR="000F5ECE">
        <w:t xml:space="preserve">proportion </w:t>
      </w:r>
      <w:r w:rsidR="006B2E8C">
        <w:t xml:space="preserve">of </w:t>
      </w:r>
      <w:r>
        <w:t xml:space="preserve">‘community service work’ </w:t>
      </w:r>
      <w:r w:rsidR="006B2E8C">
        <w:t xml:space="preserve">hours </w:t>
      </w:r>
      <w:r w:rsidR="000F5ECE">
        <w:t xml:space="preserve">that </w:t>
      </w:r>
      <w:r>
        <w:t>may be counted from participation in educational and therapeutic activities</w:t>
      </w:r>
      <w:r w:rsidR="000F5ECE">
        <w:t xml:space="preserve"> to 25%</w:t>
      </w:r>
      <w:r>
        <w:t>.</w:t>
      </w:r>
    </w:p>
    <w:p w14:paraId="4A3ED1C0" w14:textId="7985EDFF" w:rsidR="00C61160" w:rsidRDefault="0018734E">
      <w:pPr>
        <w:pStyle w:val="BodyText"/>
      </w:pPr>
      <w:r>
        <w:t xml:space="preserve">The </w:t>
      </w:r>
      <w:r w:rsidR="00C61160">
        <w:t xml:space="preserve">purpose </w:t>
      </w:r>
      <w:r>
        <w:t xml:space="preserve">of this clause is to </w:t>
      </w:r>
      <w:r w:rsidR="00C61160">
        <w:t>retain the integrity of the ordinary meaning of ‘community service work’, by setting a limit to the proportion of educational and therapeutic activities that may count toward completing a community service work order.</w:t>
      </w:r>
    </w:p>
    <w:p w14:paraId="662D9D23" w14:textId="532B01BD" w:rsidR="00D0667C" w:rsidRDefault="00D0667C" w:rsidP="00F20A33">
      <w:pPr>
        <w:pStyle w:val="Heading4"/>
        <w:keepNext w:val="0"/>
        <w:spacing w:after="0"/>
        <w:rPr>
          <w:lang w:eastAsia="en-AU"/>
        </w:rPr>
      </w:pPr>
      <w:r w:rsidRPr="00C71A66">
        <w:t xml:space="preserve">Clause </w:t>
      </w:r>
      <w:r w:rsidR="00E47F6F">
        <w:rPr>
          <w:noProof/>
        </w:rPr>
        <w:fldChar w:fldCharType="begin"/>
      </w:r>
      <w:r w:rsidR="00E47F6F">
        <w:rPr>
          <w:noProof/>
        </w:rPr>
        <w:instrText xml:space="preserve"> SEQ Clause \* ARABIC  \* MERGEFORMAT </w:instrText>
      </w:r>
      <w:r w:rsidR="00E47F6F">
        <w:rPr>
          <w:noProof/>
        </w:rPr>
        <w:fldChar w:fldCharType="separate"/>
      </w:r>
      <w:r w:rsidR="00AB12E0">
        <w:rPr>
          <w:noProof/>
        </w:rPr>
        <w:t>5</w:t>
      </w:r>
      <w:r w:rsidR="00E47F6F">
        <w:rPr>
          <w:noProof/>
        </w:rPr>
        <w:fldChar w:fldCharType="end"/>
      </w:r>
      <w:r w:rsidRPr="00C71A66">
        <w:rPr>
          <w:bCs/>
          <w:lang w:eastAsia="en-AU"/>
        </w:rPr>
        <w:t xml:space="preserve"> </w:t>
      </w:r>
      <w:r w:rsidRPr="009428EA">
        <w:rPr>
          <w:lang w:eastAsia="en-AU"/>
        </w:rPr>
        <w:t xml:space="preserve">– </w:t>
      </w:r>
      <w:r>
        <w:rPr>
          <w:lang w:eastAsia="en-AU"/>
        </w:rPr>
        <w:t>Cancellation of intensive correction order on further conviction etc</w:t>
      </w:r>
    </w:p>
    <w:p w14:paraId="0CFF5578" w14:textId="23479845" w:rsidR="00D0667C" w:rsidRPr="007C11D6" w:rsidRDefault="00D0667C" w:rsidP="007C11D6">
      <w:pPr>
        <w:rPr>
          <w:lang w:eastAsia="en-AU"/>
        </w:rPr>
      </w:pPr>
      <w:r w:rsidRPr="007C11D6">
        <w:rPr>
          <w:b/>
          <w:lang w:eastAsia="en-AU"/>
        </w:rPr>
        <w:t>Section 65 (2) and (3)</w:t>
      </w:r>
    </w:p>
    <w:p w14:paraId="63E1BD72" w14:textId="0E678158" w:rsidR="00D0667C" w:rsidRPr="00EE7314" w:rsidRDefault="00B641CC" w:rsidP="00193C1D">
      <w:pPr>
        <w:rPr>
          <w:lang w:eastAsia="en-AU"/>
        </w:rPr>
      </w:pPr>
      <w:r>
        <w:rPr>
          <w:lang w:eastAsia="en-AU"/>
        </w:rPr>
        <w:t xml:space="preserve">Following the decision of her Honour Justice Penfold in </w:t>
      </w:r>
      <w:r w:rsidR="00EE7314">
        <w:rPr>
          <w:i/>
          <w:lang w:eastAsia="en-AU"/>
        </w:rPr>
        <w:t>R v XH</w:t>
      </w:r>
      <w:r w:rsidR="00EE7314">
        <w:rPr>
          <w:lang w:eastAsia="en-AU"/>
        </w:rPr>
        <w:t xml:space="preserve"> [2017] ACTSC 236</w:t>
      </w:r>
      <w:r>
        <w:rPr>
          <w:lang w:eastAsia="en-AU"/>
        </w:rPr>
        <w:t xml:space="preserve">, this clause clarifies the </w:t>
      </w:r>
      <w:r w:rsidR="00CC758B">
        <w:rPr>
          <w:lang w:eastAsia="en-AU"/>
        </w:rPr>
        <w:t xml:space="preserve">orders a Court may make if an </w:t>
      </w:r>
      <w:r>
        <w:rPr>
          <w:lang w:eastAsia="en-AU"/>
        </w:rPr>
        <w:t>intensive correction ord</w:t>
      </w:r>
      <w:r w:rsidR="00CC758B">
        <w:rPr>
          <w:lang w:eastAsia="en-AU"/>
        </w:rPr>
        <w:t xml:space="preserve">er is cancelled because the </w:t>
      </w:r>
      <w:r>
        <w:rPr>
          <w:lang w:eastAsia="en-AU"/>
        </w:rPr>
        <w:t>offender has been convicted of a further offence</w:t>
      </w:r>
      <w:r w:rsidR="00CC758B">
        <w:rPr>
          <w:lang w:eastAsia="en-AU"/>
        </w:rPr>
        <w:t xml:space="preserve"> punishable by imprisonment</w:t>
      </w:r>
      <w:r>
        <w:rPr>
          <w:lang w:eastAsia="en-AU"/>
        </w:rPr>
        <w:t xml:space="preserve">. </w:t>
      </w:r>
      <w:r w:rsidR="00EE7314">
        <w:rPr>
          <w:lang w:eastAsia="en-AU"/>
        </w:rPr>
        <w:t xml:space="preserve">In </w:t>
      </w:r>
      <w:r w:rsidR="00EE7314">
        <w:rPr>
          <w:i/>
          <w:lang w:eastAsia="en-AU"/>
        </w:rPr>
        <w:t>R v XH</w:t>
      </w:r>
      <w:r w:rsidR="00CC758B">
        <w:rPr>
          <w:lang w:eastAsia="en-AU"/>
        </w:rPr>
        <w:t xml:space="preserve">, her Honour </w:t>
      </w:r>
      <w:r w:rsidR="00EE7314">
        <w:rPr>
          <w:lang w:eastAsia="en-AU"/>
        </w:rPr>
        <w:t xml:space="preserve">identified </w:t>
      </w:r>
      <w:r w:rsidR="00CC758B">
        <w:rPr>
          <w:lang w:eastAsia="en-AU"/>
        </w:rPr>
        <w:t xml:space="preserve">some </w:t>
      </w:r>
      <w:r w:rsidR="00EE7314">
        <w:rPr>
          <w:lang w:eastAsia="en-AU"/>
        </w:rPr>
        <w:t xml:space="preserve">ambiguity in the </w:t>
      </w:r>
      <w:r w:rsidR="00FE2B27">
        <w:rPr>
          <w:lang w:eastAsia="en-AU"/>
        </w:rPr>
        <w:t xml:space="preserve">meaning </w:t>
      </w:r>
      <w:r w:rsidR="00EE7314">
        <w:rPr>
          <w:lang w:eastAsia="en-AU"/>
        </w:rPr>
        <w:t>of section 65</w:t>
      </w:r>
      <w:r w:rsidR="00FE2B27">
        <w:rPr>
          <w:lang w:eastAsia="en-AU"/>
        </w:rPr>
        <w:t xml:space="preserve">, read in the context of the Act as a whole and the </w:t>
      </w:r>
      <w:r w:rsidR="00FE2B27">
        <w:rPr>
          <w:i/>
          <w:lang w:eastAsia="en-AU"/>
        </w:rPr>
        <w:t>Crimes (Sentencing) Act 2005</w:t>
      </w:r>
      <w:r w:rsidR="00EE7314">
        <w:rPr>
          <w:lang w:eastAsia="en-AU"/>
        </w:rPr>
        <w:t xml:space="preserve">. As her Honour discussed at [14], because of the application of the </w:t>
      </w:r>
      <w:r w:rsidR="00EE7314">
        <w:rPr>
          <w:i/>
          <w:lang w:eastAsia="en-AU"/>
        </w:rPr>
        <w:t>Human Rights Act 2004</w:t>
      </w:r>
      <w:r w:rsidR="00EE7314">
        <w:rPr>
          <w:lang w:eastAsia="en-AU"/>
        </w:rPr>
        <w:t xml:space="preserve">, legislative wording which requires an offender to be subject to full-time imprisonment should be clear and unambiguous. </w:t>
      </w:r>
    </w:p>
    <w:p w14:paraId="601F3884" w14:textId="77777777" w:rsidR="00AD64EB" w:rsidRDefault="00B641CC" w:rsidP="00AD64EB">
      <w:pPr>
        <w:rPr>
          <w:lang w:eastAsia="en-AU"/>
        </w:rPr>
      </w:pPr>
      <w:r>
        <w:rPr>
          <w:lang w:eastAsia="en-AU"/>
        </w:rPr>
        <w:t xml:space="preserve">Under section 42(1)(a) of the </w:t>
      </w:r>
      <w:r>
        <w:rPr>
          <w:i/>
          <w:lang w:eastAsia="en-AU"/>
        </w:rPr>
        <w:t xml:space="preserve">Crimes (Sentence Administration) Act </w:t>
      </w:r>
      <w:r w:rsidRPr="00B641CC">
        <w:rPr>
          <w:i/>
          <w:lang w:eastAsia="en-AU"/>
        </w:rPr>
        <w:t>2005</w:t>
      </w:r>
      <w:r>
        <w:rPr>
          <w:lang w:eastAsia="en-AU"/>
        </w:rPr>
        <w:t>, i</w:t>
      </w:r>
      <w:r w:rsidRPr="00B641CC">
        <w:rPr>
          <w:lang w:eastAsia="en-AU"/>
        </w:rPr>
        <w:t>t</w:t>
      </w:r>
      <w:r>
        <w:rPr>
          <w:lang w:eastAsia="en-AU"/>
        </w:rPr>
        <w:t xml:space="preserve"> is a condition of the ICO that offenders must not commit a further offence punishable by imprisonment. This means that where an offender has been convicted of a further offence punishable by imprisonment they are in breach of their ICO. </w:t>
      </w:r>
    </w:p>
    <w:p w14:paraId="39BB5943" w14:textId="6A38E427" w:rsidR="00AD64EB" w:rsidRDefault="00AD64EB" w:rsidP="00AD64EB">
      <w:pPr>
        <w:rPr>
          <w:lang w:eastAsia="en-AU"/>
        </w:rPr>
      </w:pPr>
      <w:r>
        <w:rPr>
          <w:lang w:eastAsia="en-AU"/>
        </w:rPr>
        <w:t xml:space="preserve">If an offender commits and is convicted of a further offence punishable by imprisonment, </w:t>
      </w:r>
      <w:r w:rsidR="00B641CC">
        <w:rPr>
          <w:lang w:eastAsia="en-AU"/>
        </w:rPr>
        <w:t xml:space="preserve">the sentencing court must cancel the ICO unless it is not in the interests of justice to do so. </w:t>
      </w:r>
      <w:r>
        <w:rPr>
          <w:lang w:eastAsia="en-AU"/>
        </w:rPr>
        <w:t>The Bill retains this criteria for cancellation in section 65(2)(a).</w:t>
      </w:r>
    </w:p>
    <w:p w14:paraId="239599B7" w14:textId="472F4A7F" w:rsidR="00AD64EB" w:rsidRDefault="00AD64EB" w:rsidP="00AD64EB">
      <w:pPr>
        <w:rPr>
          <w:lang w:eastAsia="en-AU"/>
        </w:rPr>
      </w:pPr>
      <w:r>
        <w:rPr>
          <w:lang w:eastAsia="en-AU"/>
        </w:rPr>
        <w:t xml:space="preserve">In </w:t>
      </w:r>
      <w:r w:rsidR="005913D8">
        <w:rPr>
          <w:lang w:eastAsia="en-AU"/>
        </w:rPr>
        <w:t xml:space="preserve">sub-sections </w:t>
      </w:r>
      <w:r>
        <w:rPr>
          <w:lang w:eastAsia="en-AU"/>
        </w:rPr>
        <w:t>65(2)(b) and 65(3)</w:t>
      </w:r>
      <w:r w:rsidR="005913D8">
        <w:rPr>
          <w:lang w:eastAsia="en-AU"/>
        </w:rPr>
        <w:t>(b)</w:t>
      </w:r>
      <w:r>
        <w:rPr>
          <w:lang w:eastAsia="en-AU"/>
        </w:rPr>
        <w:t xml:space="preserve">, the </w:t>
      </w:r>
      <w:r w:rsidR="005913D8">
        <w:rPr>
          <w:lang w:eastAsia="en-AU"/>
        </w:rPr>
        <w:t xml:space="preserve">clause </w:t>
      </w:r>
      <w:r>
        <w:rPr>
          <w:lang w:eastAsia="en-AU"/>
        </w:rPr>
        <w:t xml:space="preserve">clarifies the orders the Court may make following </w:t>
      </w:r>
      <w:r w:rsidR="00A461A3">
        <w:rPr>
          <w:lang w:eastAsia="en-AU"/>
        </w:rPr>
        <w:t xml:space="preserve">ICO </w:t>
      </w:r>
      <w:r>
        <w:rPr>
          <w:lang w:eastAsia="en-AU"/>
        </w:rPr>
        <w:t xml:space="preserve">cancellation. The intention of the clarification is to retain two options for the Court; to order that an offender serve the </w:t>
      </w:r>
      <w:r w:rsidR="00A461A3">
        <w:rPr>
          <w:lang w:eastAsia="en-AU"/>
        </w:rPr>
        <w:t xml:space="preserve">full </w:t>
      </w:r>
      <w:r>
        <w:rPr>
          <w:lang w:eastAsia="en-AU"/>
        </w:rPr>
        <w:t>remaining term in full-time detention or, in appropriate cases, to set a non-parole period which will give the offender an opportunity to serve part of the remaining term otherwise that in full-time detention.</w:t>
      </w:r>
    </w:p>
    <w:p w14:paraId="7E7C43D8" w14:textId="5C26249A" w:rsidR="005913D8" w:rsidRPr="005913D8" w:rsidRDefault="00AD64EB" w:rsidP="005913D8">
      <w:pPr>
        <w:rPr>
          <w:lang w:eastAsia="en-AU"/>
        </w:rPr>
      </w:pPr>
      <w:r>
        <w:rPr>
          <w:lang w:eastAsia="en-AU"/>
        </w:rPr>
        <w:t>Proposed section 65(3)</w:t>
      </w:r>
      <w:r w:rsidR="00851D66">
        <w:rPr>
          <w:lang w:eastAsia="en-AU"/>
        </w:rPr>
        <w:t>(b)</w:t>
      </w:r>
      <w:r>
        <w:rPr>
          <w:lang w:eastAsia="en-AU"/>
        </w:rPr>
        <w:t xml:space="preserve"> </w:t>
      </w:r>
      <w:r w:rsidR="00B641CC">
        <w:rPr>
          <w:lang w:eastAsia="en-AU"/>
        </w:rPr>
        <w:t xml:space="preserve">allows the </w:t>
      </w:r>
      <w:r>
        <w:rPr>
          <w:lang w:eastAsia="en-AU"/>
        </w:rPr>
        <w:t>C</w:t>
      </w:r>
      <w:r w:rsidR="00B641CC">
        <w:rPr>
          <w:lang w:eastAsia="en-AU"/>
        </w:rPr>
        <w:t xml:space="preserve">ourt </w:t>
      </w:r>
      <w:r>
        <w:rPr>
          <w:lang w:eastAsia="en-AU"/>
        </w:rPr>
        <w:t xml:space="preserve">cancelling the ICO </w:t>
      </w:r>
      <w:r w:rsidR="00B641CC">
        <w:rPr>
          <w:lang w:eastAsia="en-AU"/>
        </w:rPr>
        <w:t xml:space="preserve">to set a non-parole period where the ICO sentence was more than 12 months, and the remaining period of full-time detention is more than 30 days. </w:t>
      </w:r>
      <w:r w:rsidR="005913D8">
        <w:rPr>
          <w:lang w:eastAsia="en-AU"/>
        </w:rPr>
        <w:t xml:space="preserve">The first </w:t>
      </w:r>
      <w:r>
        <w:rPr>
          <w:lang w:eastAsia="en-AU"/>
        </w:rPr>
        <w:t xml:space="preserve">criteria </w:t>
      </w:r>
      <w:r w:rsidR="005913D8">
        <w:rPr>
          <w:lang w:eastAsia="en-AU"/>
        </w:rPr>
        <w:t xml:space="preserve">is necessary to ensure that </w:t>
      </w:r>
      <w:r w:rsidRPr="005913D8">
        <w:rPr>
          <w:szCs w:val="24"/>
          <w:lang w:eastAsia="en-AU"/>
        </w:rPr>
        <w:t xml:space="preserve">offenders </w:t>
      </w:r>
      <w:r w:rsidR="005913D8" w:rsidRPr="005913D8">
        <w:rPr>
          <w:szCs w:val="24"/>
        </w:rPr>
        <w:t xml:space="preserve">sentenced to 12 months or more imprisonment to be served by intensive correction </w:t>
      </w:r>
      <w:r w:rsidRPr="005913D8">
        <w:rPr>
          <w:szCs w:val="24"/>
          <w:lang w:eastAsia="en-AU"/>
        </w:rPr>
        <w:t xml:space="preserve">are not placed in a disadvantageous position </w:t>
      </w:r>
      <w:r w:rsidR="00B13946">
        <w:rPr>
          <w:szCs w:val="24"/>
          <w:lang w:eastAsia="en-AU"/>
        </w:rPr>
        <w:t xml:space="preserve">compared to </w:t>
      </w:r>
      <w:r w:rsidRPr="005913D8">
        <w:rPr>
          <w:szCs w:val="24"/>
          <w:lang w:eastAsia="en-AU"/>
        </w:rPr>
        <w:t xml:space="preserve">offenders who were </w:t>
      </w:r>
      <w:r w:rsidR="005913D8" w:rsidRPr="005913D8">
        <w:rPr>
          <w:szCs w:val="24"/>
        </w:rPr>
        <w:t xml:space="preserve">sentenced to a similar term </w:t>
      </w:r>
      <w:r w:rsidRPr="005913D8">
        <w:rPr>
          <w:szCs w:val="24"/>
          <w:lang w:eastAsia="en-AU"/>
        </w:rPr>
        <w:t xml:space="preserve">to </w:t>
      </w:r>
      <w:r w:rsidR="005913D8" w:rsidRPr="005913D8">
        <w:rPr>
          <w:szCs w:val="24"/>
        </w:rPr>
        <w:t xml:space="preserve">be served in </w:t>
      </w:r>
      <w:r w:rsidRPr="005913D8">
        <w:rPr>
          <w:szCs w:val="24"/>
          <w:lang w:eastAsia="en-AU"/>
        </w:rPr>
        <w:t>full-time imprisonment</w:t>
      </w:r>
      <w:r w:rsidR="005913D8">
        <w:rPr>
          <w:szCs w:val="24"/>
        </w:rPr>
        <w:t>. The second criteria is necessary to ensure that offenders whose ICO is cancelled due to re-offending are not put in a more advantageous position than those whose ICO is cancelled by the SAB for another reason (cf section 73(2)(a)).</w:t>
      </w:r>
    </w:p>
    <w:p w14:paraId="5A10F0C1" w14:textId="1AD49ADE" w:rsidR="00B641CC" w:rsidRPr="00B641CC" w:rsidRDefault="00851D66" w:rsidP="00B641CC">
      <w:pPr>
        <w:rPr>
          <w:lang w:eastAsia="en-AU"/>
        </w:rPr>
      </w:pPr>
      <w:r>
        <w:rPr>
          <w:lang w:eastAsia="en-AU"/>
        </w:rPr>
        <w:t>In sub-section 65</w:t>
      </w:r>
      <w:r w:rsidR="00B641CC">
        <w:rPr>
          <w:lang w:eastAsia="en-AU"/>
        </w:rPr>
        <w:t>(4)</w:t>
      </w:r>
      <w:r>
        <w:rPr>
          <w:lang w:eastAsia="en-AU"/>
        </w:rPr>
        <w:t>,</w:t>
      </w:r>
      <w:r w:rsidR="00B641CC">
        <w:rPr>
          <w:lang w:eastAsia="en-AU"/>
        </w:rPr>
        <w:t xml:space="preserve"> the clause </w:t>
      </w:r>
      <w:r>
        <w:rPr>
          <w:lang w:eastAsia="en-AU"/>
        </w:rPr>
        <w:t xml:space="preserve">clarifies that </w:t>
      </w:r>
      <w:r w:rsidR="00305EB1">
        <w:rPr>
          <w:lang w:eastAsia="en-AU"/>
        </w:rPr>
        <w:t>part 5.</w:t>
      </w:r>
      <w:r w:rsidR="00B641CC">
        <w:rPr>
          <w:lang w:eastAsia="en-AU"/>
        </w:rPr>
        <w:t xml:space="preserve">2 of the </w:t>
      </w:r>
      <w:r w:rsidR="00B641CC">
        <w:rPr>
          <w:i/>
          <w:lang w:eastAsia="en-AU"/>
        </w:rPr>
        <w:t>Crimes (Sentencing) Act 2005</w:t>
      </w:r>
      <w:r w:rsidR="00B641CC">
        <w:rPr>
          <w:lang w:eastAsia="en-AU"/>
        </w:rPr>
        <w:t xml:space="preserve"> </w:t>
      </w:r>
      <w:r>
        <w:rPr>
          <w:lang w:eastAsia="en-AU"/>
        </w:rPr>
        <w:t xml:space="preserve">applies </w:t>
      </w:r>
      <w:r w:rsidR="00B641CC">
        <w:rPr>
          <w:lang w:eastAsia="en-AU"/>
        </w:rPr>
        <w:t xml:space="preserve">to </w:t>
      </w:r>
      <w:r w:rsidR="00305EB1">
        <w:rPr>
          <w:lang w:eastAsia="en-AU"/>
        </w:rPr>
        <w:t xml:space="preserve">any non-parole period set by the </w:t>
      </w:r>
      <w:r>
        <w:rPr>
          <w:lang w:eastAsia="en-AU"/>
        </w:rPr>
        <w:t xml:space="preserve">cancelling </w:t>
      </w:r>
      <w:r w:rsidR="00305EB1">
        <w:rPr>
          <w:lang w:eastAsia="en-AU"/>
        </w:rPr>
        <w:t xml:space="preserve">court under section 65(3)(b). </w:t>
      </w:r>
    </w:p>
    <w:p w14:paraId="2C2D996B" w14:textId="0A265DEA" w:rsidR="00E50DB7" w:rsidRDefault="00E50DB7" w:rsidP="00B641CC">
      <w:pPr>
        <w:rPr>
          <w:lang w:eastAsia="en-AU"/>
        </w:rPr>
      </w:pPr>
      <w:r>
        <w:rPr>
          <w:lang w:eastAsia="en-AU"/>
        </w:rPr>
        <w:t>In sub-section 65(5), t</w:t>
      </w:r>
      <w:r w:rsidR="00B641CC">
        <w:rPr>
          <w:lang w:eastAsia="en-AU"/>
        </w:rPr>
        <w:t xml:space="preserve">he clause </w:t>
      </w:r>
      <w:r w:rsidR="00851D66">
        <w:rPr>
          <w:lang w:eastAsia="en-AU"/>
        </w:rPr>
        <w:t xml:space="preserve">retains the existing requirement </w:t>
      </w:r>
      <w:r>
        <w:rPr>
          <w:lang w:eastAsia="en-AU"/>
        </w:rPr>
        <w:t>to give reasons if the Court decides it is not in the interests of justice to cancel an offender’s ICO notwithstanding the further offence.</w:t>
      </w:r>
    </w:p>
    <w:p w14:paraId="7CED9593" w14:textId="2D6958C7" w:rsidR="00E50DB7" w:rsidRDefault="00E50DB7" w:rsidP="00B641CC">
      <w:pPr>
        <w:rPr>
          <w:lang w:eastAsia="en-AU"/>
        </w:rPr>
      </w:pPr>
      <w:r>
        <w:rPr>
          <w:lang w:eastAsia="en-AU"/>
        </w:rPr>
        <w:t>New sub-section 65(3)(a) is an administrative provision that, read with clause 7, will assist to administer the remaining term of imprisonment to be served in full-time detention.</w:t>
      </w:r>
    </w:p>
    <w:p w14:paraId="58809C15" w14:textId="3BEAA6AF" w:rsidR="00D0667C" w:rsidRDefault="00AC5B87" w:rsidP="00F20A33">
      <w:pPr>
        <w:pStyle w:val="Heading4"/>
        <w:keepNext w:val="0"/>
        <w:spacing w:after="0"/>
        <w:rPr>
          <w:lang w:eastAsia="en-AU"/>
        </w:rPr>
      </w:pPr>
      <w:r w:rsidRPr="00C71A66">
        <w:t xml:space="preserve">Clause </w:t>
      </w:r>
      <w:r w:rsidR="00793C75">
        <w:rPr>
          <w:noProof/>
        </w:rPr>
        <w:fldChar w:fldCharType="begin"/>
      </w:r>
      <w:r w:rsidR="00793C75">
        <w:rPr>
          <w:noProof/>
        </w:rPr>
        <w:instrText xml:space="preserve"> SEQ Clause \* ARABIC </w:instrText>
      </w:r>
      <w:r w:rsidR="00793C75">
        <w:rPr>
          <w:noProof/>
        </w:rPr>
        <w:fldChar w:fldCharType="separate"/>
      </w:r>
      <w:r w:rsidR="00AB12E0">
        <w:rPr>
          <w:noProof/>
        </w:rPr>
        <w:t>6</w:t>
      </w:r>
      <w:r w:rsidR="00793C75">
        <w:rPr>
          <w:noProof/>
        </w:rPr>
        <w:fldChar w:fldCharType="end"/>
      </w:r>
      <w:r w:rsidRPr="00C71A66">
        <w:rPr>
          <w:bCs/>
          <w:lang w:eastAsia="en-AU"/>
        </w:rPr>
        <w:t xml:space="preserve"> </w:t>
      </w:r>
      <w:r w:rsidRPr="009428EA">
        <w:rPr>
          <w:lang w:eastAsia="en-AU"/>
        </w:rPr>
        <w:t xml:space="preserve">– </w:t>
      </w:r>
      <w:r w:rsidR="00D0667C">
        <w:rPr>
          <w:lang w:eastAsia="en-AU"/>
        </w:rPr>
        <w:t xml:space="preserve">Cancellation of intensive correction order – offender may apply for order to be reinstated </w:t>
      </w:r>
    </w:p>
    <w:p w14:paraId="5E66B971" w14:textId="5D8DDE42" w:rsidR="00D0667C" w:rsidRPr="007C11D6" w:rsidRDefault="00D0667C" w:rsidP="007C11D6">
      <w:pPr>
        <w:rPr>
          <w:lang w:eastAsia="en-AU"/>
        </w:rPr>
      </w:pPr>
      <w:r>
        <w:rPr>
          <w:b/>
          <w:lang w:eastAsia="en-AU"/>
        </w:rPr>
        <w:t>Section 73 (2) (b) (ii)</w:t>
      </w:r>
    </w:p>
    <w:p w14:paraId="789B2EFB" w14:textId="242D08B4" w:rsidR="00DF7319" w:rsidRDefault="00D0667C" w:rsidP="00193C1D">
      <w:pPr>
        <w:rPr>
          <w:lang w:eastAsia="en-AU"/>
        </w:rPr>
      </w:pPr>
      <w:bookmarkStart w:id="20" w:name="_Clause_7_–"/>
      <w:bookmarkEnd w:id="20"/>
      <w:r>
        <w:rPr>
          <w:lang w:eastAsia="en-AU"/>
        </w:rPr>
        <w:t xml:space="preserve">This clause is consequential to the amendment at clause </w:t>
      </w:r>
      <w:r w:rsidR="00450E94">
        <w:rPr>
          <w:lang w:eastAsia="en-AU"/>
        </w:rPr>
        <w:t>12.</w:t>
      </w:r>
    </w:p>
    <w:p w14:paraId="03E40A9A" w14:textId="02D6CAE8" w:rsidR="00DF7319" w:rsidRPr="009428EA" w:rsidRDefault="00DF7319" w:rsidP="00800FCE">
      <w:pPr>
        <w:pStyle w:val="Heading4"/>
        <w:rPr>
          <w:lang w:eastAsia="en-AU"/>
        </w:rPr>
      </w:pPr>
      <w:r w:rsidRPr="00C71A66">
        <w:t xml:space="preserve">Clause </w:t>
      </w:r>
      <w:r w:rsidR="00FE1AFF">
        <w:rPr>
          <w:noProof/>
        </w:rPr>
        <w:fldChar w:fldCharType="begin"/>
      </w:r>
      <w:r w:rsidR="00FE1AFF">
        <w:rPr>
          <w:noProof/>
        </w:rPr>
        <w:instrText xml:space="preserve"> SEQ Clause \* ARABIC  \* MERGEFORMAT </w:instrText>
      </w:r>
      <w:r w:rsidR="00FE1AFF">
        <w:rPr>
          <w:noProof/>
        </w:rPr>
        <w:fldChar w:fldCharType="separate"/>
      </w:r>
      <w:r w:rsidR="00AB12E0">
        <w:rPr>
          <w:noProof/>
        </w:rPr>
        <w:t>7</w:t>
      </w:r>
      <w:r w:rsidR="00FE1AFF">
        <w:rPr>
          <w:noProof/>
        </w:rPr>
        <w:fldChar w:fldCharType="end"/>
      </w:r>
      <w:r w:rsidR="00BA4A6E" w:rsidRPr="00C71A66">
        <w:rPr>
          <w:bCs/>
          <w:lang w:eastAsia="en-AU"/>
        </w:rPr>
        <w:t xml:space="preserve"> </w:t>
      </w:r>
      <w:r w:rsidRPr="009428EA">
        <w:rPr>
          <w:lang w:eastAsia="en-AU"/>
        </w:rPr>
        <w:t xml:space="preserve">– </w:t>
      </w:r>
      <w:r w:rsidR="00D0667C">
        <w:rPr>
          <w:lang w:eastAsia="en-AU"/>
        </w:rPr>
        <w:t>New section 78A</w:t>
      </w:r>
    </w:p>
    <w:p w14:paraId="5DA27AE3" w14:textId="64446EC3" w:rsidR="00397384" w:rsidRDefault="00E96A6C" w:rsidP="00193C1D">
      <w:pPr>
        <w:rPr>
          <w:lang w:eastAsia="en-AU"/>
        </w:rPr>
      </w:pPr>
      <w:r>
        <w:rPr>
          <w:lang w:eastAsia="en-AU"/>
        </w:rPr>
        <w:t xml:space="preserve">This clause inserts a new section </w:t>
      </w:r>
      <w:r w:rsidR="00397384">
        <w:rPr>
          <w:lang w:eastAsia="en-AU"/>
        </w:rPr>
        <w:t xml:space="preserve">requiring </w:t>
      </w:r>
      <w:r>
        <w:rPr>
          <w:lang w:eastAsia="en-AU"/>
        </w:rPr>
        <w:t xml:space="preserve">the court </w:t>
      </w:r>
      <w:r w:rsidR="00397384">
        <w:rPr>
          <w:lang w:eastAsia="en-AU"/>
        </w:rPr>
        <w:t xml:space="preserve">to </w:t>
      </w:r>
      <w:r>
        <w:rPr>
          <w:lang w:eastAsia="en-AU"/>
        </w:rPr>
        <w:t xml:space="preserve">provide </w:t>
      </w:r>
      <w:r w:rsidR="00397384">
        <w:rPr>
          <w:lang w:eastAsia="en-AU"/>
        </w:rPr>
        <w:t>information about the period of full-time detention to be served after an ICO is cancelled under section 65 to the offender and sentence administration authorities.</w:t>
      </w:r>
    </w:p>
    <w:p w14:paraId="5E7777BB" w14:textId="6C8DC0D6" w:rsidR="00DF7319" w:rsidRDefault="00E96A6C" w:rsidP="00193C1D">
      <w:pPr>
        <w:rPr>
          <w:lang w:eastAsia="en-AU"/>
        </w:rPr>
      </w:pPr>
      <w:r>
        <w:rPr>
          <w:lang w:eastAsia="en-AU"/>
        </w:rPr>
        <w:t xml:space="preserve">The purpose of this clause is to ensure </w:t>
      </w:r>
      <w:r w:rsidR="00B13946">
        <w:rPr>
          <w:lang w:eastAsia="en-AU"/>
        </w:rPr>
        <w:t xml:space="preserve">that the offender is aware of the terms of their sentence and for </w:t>
      </w:r>
      <w:r>
        <w:rPr>
          <w:lang w:eastAsia="en-AU"/>
        </w:rPr>
        <w:t xml:space="preserve">the smooth administration of justice within the </w:t>
      </w:r>
      <w:r w:rsidR="00397384">
        <w:rPr>
          <w:lang w:eastAsia="en-AU"/>
        </w:rPr>
        <w:t>T</w:t>
      </w:r>
      <w:r>
        <w:rPr>
          <w:lang w:eastAsia="en-AU"/>
        </w:rPr>
        <w:t xml:space="preserve">erritory, </w:t>
      </w:r>
      <w:r w:rsidR="00B13946">
        <w:rPr>
          <w:lang w:eastAsia="en-AU"/>
        </w:rPr>
        <w:t xml:space="preserve">with </w:t>
      </w:r>
      <w:r>
        <w:rPr>
          <w:lang w:eastAsia="en-AU"/>
        </w:rPr>
        <w:t xml:space="preserve">all relevant parties aware of the </w:t>
      </w:r>
      <w:r w:rsidR="00397384">
        <w:rPr>
          <w:lang w:eastAsia="en-AU"/>
        </w:rPr>
        <w:t>practical effect of the Court’s decision to cancel the ICO</w:t>
      </w:r>
      <w:r>
        <w:rPr>
          <w:lang w:eastAsia="en-AU"/>
        </w:rPr>
        <w:t xml:space="preserve">. </w:t>
      </w:r>
    </w:p>
    <w:p w14:paraId="79550204" w14:textId="0C84B3AC" w:rsidR="00E96A6C" w:rsidRPr="00E96A6C" w:rsidRDefault="00397384" w:rsidP="00193C1D">
      <w:pPr>
        <w:rPr>
          <w:lang w:eastAsia="en-AU"/>
        </w:rPr>
      </w:pPr>
      <w:r>
        <w:rPr>
          <w:lang w:eastAsia="en-AU"/>
        </w:rPr>
        <w:t>The clause notes (in s</w:t>
      </w:r>
      <w:r w:rsidR="00E96A6C">
        <w:rPr>
          <w:lang w:eastAsia="en-AU"/>
        </w:rPr>
        <w:t>ub</w:t>
      </w:r>
      <w:r>
        <w:rPr>
          <w:lang w:eastAsia="en-AU"/>
        </w:rPr>
        <w:t>-</w:t>
      </w:r>
      <w:r w:rsidR="00E96A6C">
        <w:rPr>
          <w:lang w:eastAsia="en-AU"/>
        </w:rPr>
        <w:t xml:space="preserve">section </w:t>
      </w:r>
      <w:r>
        <w:rPr>
          <w:lang w:eastAsia="en-AU"/>
        </w:rPr>
        <w:t>78A</w:t>
      </w:r>
      <w:r w:rsidR="00E96A6C">
        <w:rPr>
          <w:lang w:eastAsia="en-AU"/>
        </w:rPr>
        <w:t>(</w:t>
      </w:r>
      <w:r>
        <w:rPr>
          <w:lang w:eastAsia="en-AU"/>
        </w:rPr>
        <w:t xml:space="preserve">4)) </w:t>
      </w:r>
      <w:r w:rsidR="00E96A6C">
        <w:rPr>
          <w:lang w:eastAsia="en-AU"/>
        </w:rPr>
        <w:t xml:space="preserve">that failure to comply with </w:t>
      </w:r>
      <w:r>
        <w:rPr>
          <w:lang w:eastAsia="en-AU"/>
        </w:rPr>
        <w:t xml:space="preserve">new </w:t>
      </w:r>
      <w:r w:rsidR="00E96A6C">
        <w:rPr>
          <w:lang w:eastAsia="en-AU"/>
        </w:rPr>
        <w:t>section</w:t>
      </w:r>
      <w:r>
        <w:rPr>
          <w:lang w:eastAsia="en-AU"/>
        </w:rPr>
        <w:t xml:space="preserve"> 78A does not invalidate the section 65 cancellation order</w:t>
      </w:r>
      <w:r w:rsidR="00E96A6C">
        <w:rPr>
          <w:lang w:eastAsia="en-AU"/>
        </w:rPr>
        <w:t xml:space="preserve">. </w:t>
      </w:r>
    </w:p>
    <w:p w14:paraId="28392D35" w14:textId="302AB93C" w:rsidR="00DF7319" w:rsidRPr="009428EA" w:rsidRDefault="00DF7319" w:rsidP="00450E94">
      <w:pPr>
        <w:pStyle w:val="Heading4"/>
        <w:keepLines/>
        <w:rPr>
          <w:lang w:eastAsia="en-AU"/>
        </w:rPr>
      </w:pPr>
      <w:r w:rsidRPr="00C71A66">
        <w:t xml:space="preserve">Clause </w:t>
      </w:r>
      <w:r w:rsidR="00FE1AFF">
        <w:rPr>
          <w:noProof/>
        </w:rPr>
        <w:fldChar w:fldCharType="begin"/>
      </w:r>
      <w:r w:rsidR="00FE1AFF">
        <w:rPr>
          <w:noProof/>
        </w:rPr>
        <w:instrText xml:space="preserve"> SEQ Clause \* ARABIC  \* MERGEFORMAT </w:instrText>
      </w:r>
      <w:r w:rsidR="00FE1AFF">
        <w:rPr>
          <w:noProof/>
        </w:rPr>
        <w:fldChar w:fldCharType="separate"/>
      </w:r>
      <w:r w:rsidR="00AB12E0">
        <w:rPr>
          <w:noProof/>
        </w:rPr>
        <w:t>8</w:t>
      </w:r>
      <w:r w:rsidR="00FE1AFF">
        <w:rPr>
          <w:noProof/>
        </w:rPr>
        <w:fldChar w:fldCharType="end"/>
      </w:r>
      <w:r w:rsidR="00BA4A6E" w:rsidRPr="00C71A66">
        <w:rPr>
          <w:bCs/>
          <w:lang w:eastAsia="en-AU"/>
        </w:rPr>
        <w:t xml:space="preserve"> </w:t>
      </w:r>
      <w:r w:rsidRPr="009428EA">
        <w:rPr>
          <w:lang w:eastAsia="en-AU"/>
        </w:rPr>
        <w:t xml:space="preserve">– </w:t>
      </w:r>
      <w:r w:rsidR="00E96A6C">
        <w:rPr>
          <w:lang w:eastAsia="en-AU"/>
        </w:rPr>
        <w:t>Section 80</w:t>
      </w:r>
    </w:p>
    <w:p w14:paraId="3C42F65E" w14:textId="18126D5D" w:rsidR="00927F04" w:rsidRPr="00C87A31" w:rsidRDefault="003C67B0" w:rsidP="00193C1D">
      <w:pPr>
        <w:rPr>
          <w:lang w:eastAsia="en-AU"/>
        </w:rPr>
      </w:pPr>
      <w:r>
        <w:rPr>
          <w:lang w:eastAsia="en-AU"/>
        </w:rPr>
        <w:t>S</w:t>
      </w:r>
      <w:r w:rsidR="00C72B4F">
        <w:rPr>
          <w:lang w:eastAsia="en-AU"/>
        </w:rPr>
        <w:t xml:space="preserve">ection 80 </w:t>
      </w:r>
      <w:r>
        <w:rPr>
          <w:lang w:eastAsia="en-AU"/>
        </w:rPr>
        <w:t>of the Sentencing Administration Act applies</w:t>
      </w:r>
      <w:r w:rsidR="00800FCE">
        <w:rPr>
          <w:lang w:eastAsia="en-AU"/>
        </w:rPr>
        <w:t xml:space="preserve"> when a </w:t>
      </w:r>
      <w:r w:rsidR="00A37F19">
        <w:rPr>
          <w:lang w:eastAsia="en-AU"/>
        </w:rPr>
        <w:t>j</w:t>
      </w:r>
      <w:r w:rsidR="00800FCE">
        <w:rPr>
          <w:lang w:eastAsia="en-AU"/>
        </w:rPr>
        <w:t xml:space="preserve">udge or </w:t>
      </w:r>
      <w:r w:rsidR="00A506CC">
        <w:rPr>
          <w:lang w:eastAsia="en-AU"/>
        </w:rPr>
        <w:t xml:space="preserve">magistrate </w:t>
      </w:r>
      <w:r w:rsidR="00800FCE">
        <w:rPr>
          <w:lang w:eastAsia="en-AU"/>
        </w:rPr>
        <w:t xml:space="preserve">has issued a warrant on the basis of information that an offender has breached or will breach their ICO. Section 80(2) operates to </w:t>
      </w:r>
      <w:r w:rsidR="00C72B4F">
        <w:rPr>
          <w:lang w:eastAsia="en-AU"/>
        </w:rPr>
        <w:t xml:space="preserve">‘stop the clock’ in respect of </w:t>
      </w:r>
      <w:r w:rsidR="00800FCE">
        <w:rPr>
          <w:lang w:eastAsia="en-AU"/>
        </w:rPr>
        <w:t xml:space="preserve">those </w:t>
      </w:r>
      <w:r w:rsidR="00C72B4F">
        <w:rPr>
          <w:lang w:eastAsia="en-AU"/>
        </w:rPr>
        <w:t xml:space="preserve">offenders serving </w:t>
      </w:r>
      <w:r w:rsidR="00800FCE">
        <w:rPr>
          <w:lang w:eastAsia="en-AU"/>
        </w:rPr>
        <w:t xml:space="preserve">their </w:t>
      </w:r>
      <w:r w:rsidR="00C72B4F">
        <w:rPr>
          <w:lang w:eastAsia="en-AU"/>
        </w:rPr>
        <w:t xml:space="preserve">term of imprisonment in the community. </w:t>
      </w:r>
      <w:r w:rsidR="00800FCE">
        <w:rPr>
          <w:lang w:eastAsia="en-AU"/>
        </w:rPr>
        <w:t xml:space="preserve">The Bill amends this existing section </w:t>
      </w:r>
      <w:r w:rsidR="001357DB">
        <w:rPr>
          <w:lang w:eastAsia="en-AU"/>
        </w:rPr>
        <w:t xml:space="preserve">to prevent </w:t>
      </w:r>
      <w:r w:rsidR="00800FCE">
        <w:rPr>
          <w:lang w:eastAsia="en-AU"/>
        </w:rPr>
        <w:t xml:space="preserve">it </w:t>
      </w:r>
      <w:r w:rsidR="00C72B4F">
        <w:rPr>
          <w:lang w:eastAsia="en-AU"/>
        </w:rPr>
        <w:t>operat</w:t>
      </w:r>
      <w:r w:rsidR="001357DB">
        <w:rPr>
          <w:lang w:eastAsia="en-AU"/>
        </w:rPr>
        <w:t>ing</w:t>
      </w:r>
      <w:r w:rsidR="00C72B4F">
        <w:rPr>
          <w:lang w:eastAsia="en-AU"/>
        </w:rPr>
        <w:t xml:space="preserve"> unfairly </w:t>
      </w:r>
      <w:r w:rsidR="00800FCE">
        <w:rPr>
          <w:lang w:eastAsia="en-AU"/>
        </w:rPr>
        <w:t xml:space="preserve">or arbitrarily </w:t>
      </w:r>
      <w:r w:rsidR="00C72B4F">
        <w:rPr>
          <w:lang w:eastAsia="en-AU"/>
        </w:rPr>
        <w:t>on those who are unable to comply with their ICO</w:t>
      </w:r>
      <w:r w:rsidR="001357DB">
        <w:rPr>
          <w:lang w:eastAsia="en-AU"/>
        </w:rPr>
        <w:t xml:space="preserve"> </w:t>
      </w:r>
      <w:r w:rsidR="00800FCE">
        <w:rPr>
          <w:lang w:eastAsia="en-AU"/>
        </w:rPr>
        <w:t xml:space="preserve">obligations because </w:t>
      </w:r>
      <w:r w:rsidR="00C87A31">
        <w:rPr>
          <w:lang w:eastAsia="en-AU"/>
        </w:rPr>
        <w:t>they are</w:t>
      </w:r>
      <w:r w:rsidR="00A37F19">
        <w:rPr>
          <w:lang w:eastAsia="en-AU"/>
        </w:rPr>
        <w:t xml:space="preserve"> </w:t>
      </w:r>
      <w:r w:rsidR="00C87A31">
        <w:rPr>
          <w:lang w:eastAsia="en-AU"/>
        </w:rPr>
        <w:t>detained.</w:t>
      </w:r>
      <w:r w:rsidR="00A37F19">
        <w:rPr>
          <w:lang w:eastAsia="en-AU"/>
        </w:rPr>
        <w:t xml:space="preserve"> </w:t>
      </w:r>
      <w:r w:rsidR="00800FCE">
        <w:rPr>
          <w:lang w:eastAsia="en-AU"/>
        </w:rPr>
        <w:t>C</w:t>
      </w:r>
      <w:r w:rsidR="00C87A31">
        <w:rPr>
          <w:lang w:eastAsia="en-AU"/>
        </w:rPr>
        <w:t xml:space="preserve">lause </w:t>
      </w:r>
      <w:r w:rsidR="00800FCE">
        <w:rPr>
          <w:lang w:eastAsia="en-AU"/>
        </w:rPr>
        <w:t xml:space="preserve">8 </w:t>
      </w:r>
      <w:r w:rsidR="00C87A31">
        <w:rPr>
          <w:lang w:eastAsia="en-AU"/>
        </w:rPr>
        <w:t xml:space="preserve">amends </w:t>
      </w:r>
      <w:r w:rsidR="00800FCE">
        <w:rPr>
          <w:lang w:eastAsia="en-AU"/>
        </w:rPr>
        <w:t xml:space="preserve">sub-section 80(2) so that it </w:t>
      </w:r>
      <w:r w:rsidR="001673A2">
        <w:rPr>
          <w:lang w:eastAsia="en-AU"/>
        </w:rPr>
        <w:t xml:space="preserve">only </w:t>
      </w:r>
      <w:r w:rsidR="00C87A31">
        <w:rPr>
          <w:lang w:eastAsia="en-AU"/>
        </w:rPr>
        <w:t xml:space="preserve">applies </w:t>
      </w:r>
      <w:r w:rsidR="001673A2">
        <w:rPr>
          <w:lang w:eastAsia="en-AU"/>
        </w:rPr>
        <w:t xml:space="preserve">during any period </w:t>
      </w:r>
      <w:r w:rsidR="00C87A31">
        <w:rPr>
          <w:lang w:eastAsia="en-AU"/>
        </w:rPr>
        <w:t>wh</w:t>
      </w:r>
      <w:r w:rsidR="001673A2">
        <w:rPr>
          <w:lang w:eastAsia="en-AU"/>
        </w:rPr>
        <w:t>en</w:t>
      </w:r>
      <w:r w:rsidR="00C87A31">
        <w:rPr>
          <w:lang w:eastAsia="en-AU"/>
        </w:rPr>
        <w:t xml:space="preserve"> the offender is not detained under the </w:t>
      </w:r>
      <w:r w:rsidR="00C87A31">
        <w:rPr>
          <w:i/>
          <w:lang w:eastAsia="en-AU"/>
        </w:rPr>
        <w:t>Mental Health Act 2015</w:t>
      </w:r>
      <w:r w:rsidR="001673A2">
        <w:rPr>
          <w:lang w:eastAsia="en-AU"/>
        </w:rPr>
        <w:t xml:space="preserve"> or otherwise remanded in custody under an Australian law</w:t>
      </w:r>
      <w:r w:rsidR="00C87A31">
        <w:rPr>
          <w:i/>
          <w:lang w:eastAsia="en-AU"/>
        </w:rPr>
        <w:t>.</w:t>
      </w:r>
      <w:r w:rsidR="00C87A31">
        <w:rPr>
          <w:lang w:eastAsia="en-AU"/>
        </w:rPr>
        <w:t xml:space="preserve"> </w:t>
      </w:r>
    </w:p>
    <w:p w14:paraId="62D28170" w14:textId="65295DA6" w:rsidR="00DF7319" w:rsidRPr="009428EA" w:rsidRDefault="00DF7319" w:rsidP="00DF7319">
      <w:pPr>
        <w:pStyle w:val="Heading4"/>
        <w:keepNext w:val="0"/>
        <w:rPr>
          <w:lang w:eastAsia="en-AU"/>
        </w:rPr>
      </w:pPr>
      <w:r w:rsidRPr="00C71A66">
        <w:t xml:space="preserve">Clause </w:t>
      </w:r>
      <w:r w:rsidR="00FE1AFF">
        <w:rPr>
          <w:noProof/>
        </w:rPr>
        <w:fldChar w:fldCharType="begin"/>
      </w:r>
      <w:r w:rsidR="00FE1AFF">
        <w:rPr>
          <w:noProof/>
        </w:rPr>
        <w:instrText xml:space="preserve"> SEQ Clause \* ARABIC  \* MERGEFORMAT </w:instrText>
      </w:r>
      <w:r w:rsidR="00FE1AFF">
        <w:rPr>
          <w:noProof/>
        </w:rPr>
        <w:fldChar w:fldCharType="separate"/>
      </w:r>
      <w:r w:rsidR="00AB12E0">
        <w:rPr>
          <w:noProof/>
        </w:rPr>
        <w:t>9</w:t>
      </w:r>
      <w:r w:rsidR="00FE1AFF">
        <w:rPr>
          <w:noProof/>
        </w:rPr>
        <w:fldChar w:fldCharType="end"/>
      </w:r>
      <w:r w:rsidR="00BA4A6E" w:rsidRPr="00C71A66">
        <w:rPr>
          <w:bCs/>
          <w:lang w:eastAsia="en-AU"/>
        </w:rPr>
        <w:t xml:space="preserve"> </w:t>
      </w:r>
      <w:r w:rsidRPr="009428EA">
        <w:rPr>
          <w:lang w:eastAsia="en-AU"/>
        </w:rPr>
        <w:t xml:space="preserve">– </w:t>
      </w:r>
      <w:r w:rsidR="00D0667C">
        <w:rPr>
          <w:lang w:eastAsia="en-AU"/>
        </w:rPr>
        <w:t xml:space="preserve">New section </w:t>
      </w:r>
      <w:r w:rsidR="00E96A6C">
        <w:rPr>
          <w:lang w:eastAsia="en-AU"/>
        </w:rPr>
        <w:t>93A</w:t>
      </w:r>
    </w:p>
    <w:p w14:paraId="4E01CEC0" w14:textId="1341FC65" w:rsidR="000B1F74" w:rsidRDefault="000F5ECE" w:rsidP="00193C1D">
      <w:pPr>
        <w:pStyle w:val="BodyText"/>
      </w:pPr>
      <w:r>
        <w:t>C</w:t>
      </w:r>
      <w:r w:rsidR="000B1F74" w:rsidRPr="00CD129E">
        <w:t xml:space="preserve">lause </w:t>
      </w:r>
      <w:r>
        <w:t xml:space="preserve">9 </w:t>
      </w:r>
      <w:r w:rsidR="000B1F74">
        <w:t>qualifies the effect of clause 11</w:t>
      </w:r>
      <w:r w:rsidR="00D671F0">
        <w:t xml:space="preserve"> (below)</w:t>
      </w:r>
      <w:r>
        <w:t>.</w:t>
      </w:r>
    </w:p>
    <w:p w14:paraId="36657225" w14:textId="7B9AD64B" w:rsidR="000B1F74" w:rsidRDefault="000B1F74" w:rsidP="00193C1D">
      <w:pPr>
        <w:pStyle w:val="BodyText"/>
      </w:pPr>
      <w:r>
        <w:t xml:space="preserve">In relation to offenders subject to a good behaviour order who are ordered to perform community service work, clause </w:t>
      </w:r>
      <w:r w:rsidR="00D671F0">
        <w:t>9</w:t>
      </w:r>
      <w:r>
        <w:t xml:space="preserve"> (read with </w:t>
      </w:r>
      <w:r w:rsidR="000F5ECE">
        <w:t xml:space="preserve">the amendment in </w:t>
      </w:r>
      <w:r>
        <w:t xml:space="preserve">clause 11) </w:t>
      </w:r>
      <w:r w:rsidR="000F5ECE">
        <w:t xml:space="preserve">limits </w:t>
      </w:r>
      <w:r>
        <w:t xml:space="preserve">the </w:t>
      </w:r>
      <w:r w:rsidR="000F5ECE">
        <w:t xml:space="preserve">proportion </w:t>
      </w:r>
      <w:r>
        <w:t xml:space="preserve">of ‘community service work’ hours </w:t>
      </w:r>
      <w:r w:rsidR="000F5ECE">
        <w:t xml:space="preserve">that </w:t>
      </w:r>
      <w:r>
        <w:t>may be counted from participation in educational and therapeutic activities</w:t>
      </w:r>
      <w:r w:rsidR="000F5ECE">
        <w:t xml:space="preserve"> to 25%</w:t>
      </w:r>
      <w:r>
        <w:t>.</w:t>
      </w:r>
    </w:p>
    <w:p w14:paraId="6CD8B979" w14:textId="77777777" w:rsidR="000B1F74" w:rsidRDefault="000B1F74" w:rsidP="00193C1D">
      <w:pPr>
        <w:pStyle w:val="BodyText"/>
      </w:pPr>
      <w:r>
        <w:t>The purpose of this clause is to retain the integrity of the ordinary meaning of ‘community service work’, by setting a limit to the proportion of educational and therapeutic activities that may count toward completing a community service work order.</w:t>
      </w:r>
    </w:p>
    <w:p w14:paraId="6C0E0233" w14:textId="2C9F4145" w:rsidR="00D0667C" w:rsidRPr="009428EA" w:rsidRDefault="00D0667C" w:rsidP="00D0667C">
      <w:pPr>
        <w:pStyle w:val="Heading4"/>
        <w:keepNext w:val="0"/>
        <w:rPr>
          <w:lang w:eastAsia="en-AU"/>
        </w:rPr>
      </w:pPr>
      <w:r w:rsidRPr="00C71A66">
        <w:t xml:space="preserve">Clause </w:t>
      </w:r>
      <w:r>
        <w:rPr>
          <w:noProof/>
        </w:rPr>
        <w:fldChar w:fldCharType="begin"/>
      </w:r>
      <w:r>
        <w:rPr>
          <w:noProof/>
        </w:rPr>
        <w:instrText xml:space="preserve"> SEQ Clause \* ARABIC </w:instrText>
      </w:r>
      <w:r>
        <w:rPr>
          <w:noProof/>
        </w:rPr>
        <w:fldChar w:fldCharType="separate"/>
      </w:r>
      <w:r w:rsidR="00AB12E0">
        <w:rPr>
          <w:noProof/>
        </w:rPr>
        <w:t>10</w:t>
      </w:r>
      <w:r>
        <w:rPr>
          <w:noProof/>
        </w:rPr>
        <w:fldChar w:fldCharType="end"/>
      </w:r>
      <w:r w:rsidRPr="00C71A66">
        <w:rPr>
          <w:bCs/>
          <w:lang w:eastAsia="en-AU"/>
        </w:rPr>
        <w:t xml:space="preserve"> </w:t>
      </w:r>
      <w:r w:rsidRPr="009428EA">
        <w:rPr>
          <w:lang w:eastAsia="en-AU"/>
        </w:rPr>
        <w:t xml:space="preserve">– </w:t>
      </w:r>
      <w:r w:rsidR="00E96A6C">
        <w:rPr>
          <w:lang w:eastAsia="en-AU"/>
        </w:rPr>
        <w:t>New section 212</w:t>
      </w:r>
      <w:r w:rsidR="00FE1AFF">
        <w:rPr>
          <w:lang w:eastAsia="en-AU"/>
        </w:rPr>
        <w:t>A</w:t>
      </w:r>
    </w:p>
    <w:p w14:paraId="013FB8DA" w14:textId="7BDCB243" w:rsidR="00660551" w:rsidRDefault="001F4797" w:rsidP="00193C1D">
      <w:pPr>
        <w:pStyle w:val="BodyText"/>
      </w:pPr>
      <w:r>
        <w:t>This clause inserts a new section to align the consequences of certain warrants issued by the</w:t>
      </w:r>
      <w:r w:rsidR="00860E04">
        <w:t xml:space="preserve"> SAB with warrants issued by a j</w:t>
      </w:r>
      <w:r>
        <w:t xml:space="preserve">udge or </w:t>
      </w:r>
      <w:r w:rsidR="00860E04">
        <w:t>m</w:t>
      </w:r>
      <w:r>
        <w:t xml:space="preserve">agistrate in similar circumstances. </w:t>
      </w:r>
      <w:r w:rsidR="00E47F6F">
        <w:t xml:space="preserve">The new section </w:t>
      </w:r>
      <w:r w:rsidR="00660551">
        <w:t xml:space="preserve">applies if the SAB issues an arrest warrant under section 206(2) because an offender has </w:t>
      </w:r>
      <w:r>
        <w:t xml:space="preserve">either </w:t>
      </w:r>
      <w:r w:rsidR="00660551">
        <w:t>failed to appear before the SAB in accordance with a section 63 notice to appear, or because a judicial member of the SAB considers the offender will not appear to answer such a notice.</w:t>
      </w:r>
      <w:r>
        <w:t xml:space="preserve"> A section 63 notice relates to an allegation the offender has breached their ICO conditions.</w:t>
      </w:r>
    </w:p>
    <w:p w14:paraId="405D41BB" w14:textId="0418D0D1" w:rsidR="00E47F6F" w:rsidRPr="00E47F6F" w:rsidRDefault="00660551" w:rsidP="00193C1D">
      <w:pPr>
        <w:pStyle w:val="BodyText"/>
      </w:pPr>
      <w:r>
        <w:t>If the SAB issues a warrant for one (or both) of those reasons</w:t>
      </w:r>
      <w:r w:rsidR="00E47F6F">
        <w:t xml:space="preserve">, then </w:t>
      </w:r>
      <w:r>
        <w:t xml:space="preserve">new section 212A(2) provides that </w:t>
      </w:r>
      <w:r w:rsidR="00E47F6F">
        <w:t xml:space="preserve">any period for which the warrant is outstanding does not count as part of the offender’s ICO sentence term. </w:t>
      </w:r>
      <w:r w:rsidR="00424B59">
        <w:t xml:space="preserve">That consequence will </w:t>
      </w:r>
      <w:r>
        <w:t>only appl</w:t>
      </w:r>
      <w:r w:rsidR="00424B59">
        <w:t>y</w:t>
      </w:r>
      <w:r w:rsidR="00B91A50">
        <w:t xml:space="preserve"> when </w:t>
      </w:r>
      <w:r w:rsidR="00E47F6F">
        <w:t xml:space="preserve">the offender is </w:t>
      </w:r>
      <w:r>
        <w:t xml:space="preserve">not </w:t>
      </w:r>
      <w:r w:rsidR="00E47F6F">
        <w:t xml:space="preserve">detained under the </w:t>
      </w:r>
      <w:r w:rsidR="008658D7">
        <w:rPr>
          <w:i/>
        </w:rPr>
        <w:t>Mental Health Act </w:t>
      </w:r>
      <w:r w:rsidR="00E47F6F">
        <w:rPr>
          <w:i/>
        </w:rPr>
        <w:t>2015</w:t>
      </w:r>
      <w:r w:rsidR="00424B59">
        <w:t xml:space="preserve"> or otherwise remanded in custody under Australian law</w:t>
      </w:r>
      <w:r w:rsidR="00E47F6F">
        <w:t xml:space="preserve">. </w:t>
      </w:r>
    </w:p>
    <w:p w14:paraId="2E4B5FBF" w14:textId="1C5FBA3F" w:rsidR="00D0667C" w:rsidRPr="00355B5C" w:rsidRDefault="00D0667C" w:rsidP="00D0667C">
      <w:pPr>
        <w:pStyle w:val="Heading4"/>
        <w:keepNext w:val="0"/>
        <w:rPr>
          <w:lang w:eastAsia="en-AU"/>
        </w:rPr>
      </w:pPr>
      <w:r w:rsidRPr="00C71A66">
        <w:t xml:space="preserve">Clause </w:t>
      </w:r>
      <w:r>
        <w:rPr>
          <w:noProof/>
        </w:rPr>
        <w:fldChar w:fldCharType="begin"/>
      </w:r>
      <w:r>
        <w:rPr>
          <w:noProof/>
        </w:rPr>
        <w:instrText xml:space="preserve"> SEQ Clause \* ARABIC </w:instrText>
      </w:r>
      <w:r>
        <w:rPr>
          <w:noProof/>
        </w:rPr>
        <w:fldChar w:fldCharType="separate"/>
      </w:r>
      <w:r w:rsidR="00AB12E0">
        <w:rPr>
          <w:noProof/>
        </w:rPr>
        <w:t>11</w:t>
      </w:r>
      <w:r>
        <w:rPr>
          <w:noProof/>
        </w:rPr>
        <w:fldChar w:fldCharType="end"/>
      </w:r>
      <w:r w:rsidRPr="00C71A66">
        <w:rPr>
          <w:bCs/>
          <w:lang w:eastAsia="en-AU"/>
        </w:rPr>
        <w:t xml:space="preserve"> </w:t>
      </w:r>
      <w:r w:rsidRPr="009428EA">
        <w:rPr>
          <w:lang w:eastAsia="en-AU"/>
        </w:rPr>
        <w:t xml:space="preserve">– </w:t>
      </w:r>
      <w:r w:rsidR="00FE1AFF">
        <w:rPr>
          <w:lang w:eastAsia="en-AU"/>
        </w:rPr>
        <w:t>Section 316</w:t>
      </w:r>
    </w:p>
    <w:p w14:paraId="2D0B2482" w14:textId="3E78EA65" w:rsidR="00A8279F" w:rsidRDefault="00A8279F" w:rsidP="00193C1D">
      <w:pPr>
        <w:pStyle w:val="BodyText"/>
      </w:pPr>
      <w:r>
        <w:t xml:space="preserve">This clause amends the format and drafting language of existing section 316. In sub-section 316(1), the language of the existing regulation-making section is </w:t>
      </w:r>
      <w:r w:rsidR="00A506CC">
        <w:t xml:space="preserve">amended </w:t>
      </w:r>
      <w:r>
        <w:t>to use the word ‘includes’. The existing subjects that may be included as ‘community service work’ by regulation are re-formatted to appear in sub-sections 316(1)(a) and (b).</w:t>
      </w:r>
    </w:p>
    <w:p w14:paraId="52FDB834" w14:textId="77777777" w:rsidR="00554445" w:rsidRDefault="00A8279F" w:rsidP="00193C1D">
      <w:pPr>
        <w:pStyle w:val="BodyText"/>
      </w:pPr>
      <w:r>
        <w:t>To align the Territory with other Australian jurisdictions, the Bill includes new sub-section 316(2)</w:t>
      </w:r>
      <w:r w:rsidR="00554445">
        <w:t xml:space="preserve"> which deems that attendance at therapeutic or educational programs as directed by the Director-General is taken to be ‘community service work’</w:t>
      </w:r>
      <w:r>
        <w:t xml:space="preserve">. </w:t>
      </w:r>
    </w:p>
    <w:p w14:paraId="28754BFC" w14:textId="5539B6A6" w:rsidR="00A8279F" w:rsidRPr="00A8279F" w:rsidRDefault="00554445" w:rsidP="00193C1D">
      <w:pPr>
        <w:pStyle w:val="BodyText"/>
      </w:pPr>
      <w:r>
        <w:t>As noted in the note to the amended section, sub-section 316(2) is qualified by clauses 4 and 9 (see above).</w:t>
      </w:r>
    </w:p>
    <w:p w14:paraId="479C90AC" w14:textId="05EEF226" w:rsidR="00FE1AFF" w:rsidRPr="00FE1AFF" w:rsidRDefault="00FE1AFF" w:rsidP="00450E94">
      <w:pPr>
        <w:pStyle w:val="Heading4"/>
        <w:keepLines/>
        <w:rPr>
          <w:lang w:eastAsia="en-AU"/>
        </w:rPr>
      </w:pPr>
      <w:r w:rsidRPr="00C71A66">
        <w:t xml:space="preserve">Clause </w:t>
      </w:r>
      <w:r>
        <w:rPr>
          <w:noProof/>
        </w:rPr>
        <w:fldChar w:fldCharType="begin"/>
      </w:r>
      <w:r>
        <w:rPr>
          <w:noProof/>
        </w:rPr>
        <w:instrText xml:space="preserve"> SEQ Clause \* ARABIC </w:instrText>
      </w:r>
      <w:r>
        <w:rPr>
          <w:noProof/>
        </w:rPr>
        <w:fldChar w:fldCharType="separate"/>
      </w:r>
      <w:r w:rsidR="00AB12E0">
        <w:rPr>
          <w:noProof/>
        </w:rPr>
        <w:t>12</w:t>
      </w:r>
      <w:r>
        <w:rPr>
          <w:noProof/>
        </w:rPr>
        <w:fldChar w:fldCharType="end"/>
      </w:r>
      <w:r w:rsidRPr="00C71A66">
        <w:rPr>
          <w:bCs/>
          <w:lang w:eastAsia="en-AU"/>
        </w:rPr>
        <w:t xml:space="preserve"> </w:t>
      </w:r>
      <w:r w:rsidRPr="009428EA">
        <w:rPr>
          <w:lang w:eastAsia="en-AU"/>
        </w:rPr>
        <w:t xml:space="preserve">– </w:t>
      </w:r>
      <w:r>
        <w:rPr>
          <w:lang w:eastAsia="en-AU"/>
        </w:rPr>
        <w:t xml:space="preserve">Dictionary, new definition of </w:t>
      </w:r>
      <w:r>
        <w:rPr>
          <w:i/>
          <w:lang w:eastAsia="en-AU"/>
        </w:rPr>
        <w:t>intensive correction assessment</w:t>
      </w:r>
    </w:p>
    <w:p w14:paraId="423D601A" w14:textId="2FF97383" w:rsidR="00FE1AFF" w:rsidRPr="00FE1AFF" w:rsidRDefault="00DD143C" w:rsidP="00193C1D">
      <w:pPr>
        <w:pStyle w:val="BodyText"/>
      </w:pPr>
      <w:r>
        <w:t>This clause inserts a new signpost definition to the existing definition of ‘intensive correction assessment’ in section 40.</w:t>
      </w:r>
    </w:p>
    <w:p w14:paraId="3686C95E" w14:textId="514D7F93" w:rsidR="00EC0263" w:rsidRPr="009428EA" w:rsidRDefault="00EC0263" w:rsidP="00EC0263">
      <w:pPr>
        <w:pStyle w:val="Heading1"/>
        <w:rPr>
          <w:lang w:eastAsia="en-AU"/>
        </w:rPr>
      </w:pPr>
      <w:bookmarkStart w:id="21" w:name="_Toc523841323"/>
      <w:r>
        <w:rPr>
          <w:lang w:eastAsia="en-AU"/>
        </w:rPr>
        <w:t>Part 3</w:t>
      </w:r>
      <w:r w:rsidRPr="009428EA">
        <w:rPr>
          <w:lang w:eastAsia="en-AU"/>
        </w:rPr>
        <w:t xml:space="preserve"> – </w:t>
      </w:r>
      <w:r>
        <w:rPr>
          <w:lang w:eastAsia="en-AU"/>
        </w:rPr>
        <w:t>Crimes (Sentencing) Act 2005</w:t>
      </w:r>
      <w:bookmarkEnd w:id="21"/>
    </w:p>
    <w:p w14:paraId="44F9999C" w14:textId="7DB137FB" w:rsidR="00EC0263" w:rsidRPr="00193C1D" w:rsidRDefault="00EC0263" w:rsidP="00193C1D">
      <w:pPr>
        <w:pStyle w:val="Heading4"/>
        <w:rPr>
          <w:i/>
          <w:lang w:eastAsia="en-AU"/>
        </w:rPr>
      </w:pPr>
      <w:r w:rsidRPr="007C11D6">
        <w:t xml:space="preserve">Clause </w:t>
      </w:r>
      <w:r w:rsidRPr="007C11D6">
        <w:rPr>
          <w:noProof/>
        </w:rPr>
        <w:fldChar w:fldCharType="begin"/>
      </w:r>
      <w:r w:rsidRPr="007C11D6">
        <w:rPr>
          <w:noProof/>
        </w:rPr>
        <w:instrText xml:space="preserve"> SEQ Clause \* ARABIC </w:instrText>
      </w:r>
      <w:r w:rsidRPr="007C11D6">
        <w:rPr>
          <w:noProof/>
        </w:rPr>
        <w:fldChar w:fldCharType="separate"/>
      </w:r>
      <w:r w:rsidR="00AB12E0">
        <w:rPr>
          <w:noProof/>
        </w:rPr>
        <w:t>13</w:t>
      </w:r>
      <w:r w:rsidRPr="007C11D6">
        <w:rPr>
          <w:noProof/>
        </w:rPr>
        <w:fldChar w:fldCharType="end"/>
      </w:r>
      <w:r w:rsidRPr="007C11D6">
        <w:rPr>
          <w:bCs/>
          <w:lang w:eastAsia="en-AU"/>
        </w:rPr>
        <w:t xml:space="preserve"> </w:t>
      </w:r>
      <w:r w:rsidRPr="007C11D6">
        <w:rPr>
          <w:lang w:eastAsia="en-AU"/>
        </w:rPr>
        <w:t xml:space="preserve">– </w:t>
      </w:r>
      <w:r w:rsidR="00DB6A47">
        <w:rPr>
          <w:lang w:eastAsia="en-AU"/>
        </w:rPr>
        <w:t xml:space="preserve">Meaning of </w:t>
      </w:r>
      <w:r w:rsidR="00DB6A47" w:rsidRPr="00DB6A47">
        <w:rPr>
          <w:i/>
          <w:lang w:eastAsia="en-AU"/>
        </w:rPr>
        <w:t>offender</w:t>
      </w:r>
      <w:r w:rsidR="00DB6A47">
        <w:rPr>
          <w:i/>
          <w:lang w:eastAsia="en-AU"/>
        </w:rPr>
        <w:t xml:space="preserve"> </w:t>
      </w:r>
      <w:r w:rsidR="00193C1D">
        <w:rPr>
          <w:i/>
          <w:lang w:eastAsia="en-AU"/>
        </w:rPr>
        <w:br/>
      </w:r>
      <w:r w:rsidRPr="00DB6A47">
        <w:rPr>
          <w:lang w:eastAsia="en-AU"/>
        </w:rPr>
        <w:t>Section 8</w:t>
      </w:r>
      <w:r>
        <w:rPr>
          <w:lang w:eastAsia="en-AU"/>
        </w:rPr>
        <w:t xml:space="preserve">, definition of </w:t>
      </w:r>
      <w:r>
        <w:rPr>
          <w:i/>
          <w:lang w:eastAsia="en-AU"/>
        </w:rPr>
        <w:t xml:space="preserve">offender, </w:t>
      </w:r>
      <w:r>
        <w:rPr>
          <w:lang w:eastAsia="en-AU"/>
        </w:rPr>
        <w:t>paragraph (b)</w:t>
      </w:r>
    </w:p>
    <w:p w14:paraId="222B902B" w14:textId="095EBD8E" w:rsidR="00EC0263" w:rsidRDefault="00EE6238" w:rsidP="00193C1D">
      <w:pPr>
        <w:pStyle w:val="BodyText"/>
      </w:pPr>
      <w:r>
        <w:t xml:space="preserve">The clause modifies paragraph (b) of the definition of </w:t>
      </w:r>
      <w:r>
        <w:rPr>
          <w:i/>
        </w:rPr>
        <w:t>offender</w:t>
      </w:r>
      <w:r>
        <w:t xml:space="preserve"> to include a </w:t>
      </w:r>
      <w:r w:rsidR="00A37937">
        <w:t xml:space="preserve">signpost definition </w:t>
      </w:r>
      <w:r>
        <w:t xml:space="preserve">to offenders </w:t>
      </w:r>
      <w:r w:rsidR="00A37937">
        <w:t xml:space="preserve">who are </w:t>
      </w:r>
      <w:r>
        <w:t xml:space="preserve">referred by the court for intensive correction assessment under </w:t>
      </w:r>
      <w:r w:rsidR="00A37937">
        <w:t xml:space="preserve">new </w:t>
      </w:r>
      <w:r>
        <w:t xml:space="preserve">section 46B. </w:t>
      </w:r>
    </w:p>
    <w:p w14:paraId="0996057F" w14:textId="6D9F7C84" w:rsidR="00EE6238" w:rsidRPr="00EE6238" w:rsidRDefault="00EE6238" w:rsidP="00193C1D">
      <w:pPr>
        <w:pStyle w:val="BodyText"/>
      </w:pPr>
      <w:r w:rsidRPr="00403718">
        <w:t>This is part of a suite of changes designed to</w:t>
      </w:r>
      <w:r>
        <w:t xml:space="preserve"> </w:t>
      </w:r>
      <w:r w:rsidR="00403718">
        <w:t xml:space="preserve">clarify the process for obtaining an intensive correction assessment. </w:t>
      </w:r>
    </w:p>
    <w:p w14:paraId="6931A932" w14:textId="500FE06D" w:rsidR="00EC0263" w:rsidRDefault="00EC0263" w:rsidP="00193C1D">
      <w:pPr>
        <w:pStyle w:val="Heading4"/>
        <w:rPr>
          <w:lang w:eastAsia="en-AU"/>
        </w:rPr>
      </w:pPr>
      <w:r w:rsidRPr="00905DED">
        <w:t xml:space="preserve">Clause </w:t>
      </w:r>
      <w:r w:rsidRPr="00905DED">
        <w:rPr>
          <w:noProof/>
        </w:rPr>
        <w:fldChar w:fldCharType="begin"/>
      </w:r>
      <w:r w:rsidRPr="00905DED">
        <w:rPr>
          <w:noProof/>
        </w:rPr>
        <w:instrText xml:space="preserve"> SEQ Clause \* ARABIC </w:instrText>
      </w:r>
      <w:r w:rsidRPr="00905DED">
        <w:rPr>
          <w:noProof/>
        </w:rPr>
        <w:fldChar w:fldCharType="separate"/>
      </w:r>
      <w:r w:rsidR="00AB12E0">
        <w:rPr>
          <w:noProof/>
        </w:rPr>
        <w:t>14</w:t>
      </w:r>
      <w:r w:rsidRPr="00905DED">
        <w:rPr>
          <w:noProof/>
        </w:rPr>
        <w:fldChar w:fldCharType="end"/>
      </w:r>
      <w:r w:rsidRPr="00905DED">
        <w:rPr>
          <w:bCs/>
          <w:lang w:eastAsia="en-AU"/>
        </w:rPr>
        <w:t xml:space="preserve"> </w:t>
      </w:r>
      <w:r w:rsidRPr="00905DED">
        <w:rPr>
          <w:lang w:eastAsia="en-AU"/>
        </w:rPr>
        <w:t xml:space="preserve">– </w:t>
      </w:r>
      <w:r>
        <w:rPr>
          <w:lang w:eastAsia="en-AU"/>
        </w:rPr>
        <w:t>New section 39A</w:t>
      </w:r>
    </w:p>
    <w:p w14:paraId="1ED904A2" w14:textId="31ED93EA" w:rsidR="00403718" w:rsidRPr="00403718" w:rsidRDefault="002A1D25" w:rsidP="00193C1D">
      <w:pPr>
        <w:pStyle w:val="BodyText"/>
      </w:pPr>
      <w:r>
        <w:t>This clause relocates the existing definition of ‘assessor’ from section 41(8) of the principal Act.</w:t>
      </w:r>
      <w:r w:rsidR="00761C63">
        <w:t xml:space="preserve"> </w:t>
      </w:r>
      <w:r w:rsidR="00403718" w:rsidRPr="00403718">
        <w:t>This is part of a suite of changes designed to</w:t>
      </w:r>
      <w:r w:rsidR="00403718">
        <w:t xml:space="preserve"> clarify the process for obtaining an intensive correction assessment, and rationalise the legislation as it relates to offender assessments. </w:t>
      </w:r>
    </w:p>
    <w:p w14:paraId="2512433A" w14:textId="3075AD20" w:rsidR="00EC0263" w:rsidRDefault="00EC0263" w:rsidP="00761C63">
      <w:pPr>
        <w:pStyle w:val="Heading4"/>
        <w:rPr>
          <w:lang w:eastAsia="en-AU"/>
        </w:rPr>
      </w:pPr>
      <w:r w:rsidRPr="00905DED">
        <w:t xml:space="preserve">Clause </w:t>
      </w:r>
      <w:r w:rsidRPr="00905DED">
        <w:rPr>
          <w:noProof/>
        </w:rPr>
        <w:fldChar w:fldCharType="begin"/>
      </w:r>
      <w:r w:rsidRPr="00905DED">
        <w:rPr>
          <w:noProof/>
        </w:rPr>
        <w:instrText xml:space="preserve"> SEQ Clause \* ARABIC </w:instrText>
      </w:r>
      <w:r w:rsidRPr="00905DED">
        <w:rPr>
          <w:noProof/>
        </w:rPr>
        <w:fldChar w:fldCharType="separate"/>
      </w:r>
      <w:r w:rsidR="00AB12E0">
        <w:rPr>
          <w:noProof/>
        </w:rPr>
        <w:t>15</w:t>
      </w:r>
      <w:r w:rsidRPr="00905DED">
        <w:rPr>
          <w:noProof/>
        </w:rPr>
        <w:fldChar w:fldCharType="end"/>
      </w:r>
      <w:r w:rsidRPr="00905DED">
        <w:rPr>
          <w:bCs/>
          <w:lang w:eastAsia="en-AU"/>
        </w:rPr>
        <w:t xml:space="preserve"> </w:t>
      </w:r>
      <w:r w:rsidRPr="00905DED">
        <w:rPr>
          <w:lang w:eastAsia="en-AU"/>
        </w:rPr>
        <w:t xml:space="preserve">– </w:t>
      </w:r>
      <w:r w:rsidR="00DB6A47">
        <w:rPr>
          <w:lang w:eastAsia="en-AU"/>
        </w:rPr>
        <w:t>Pre-sentence reports – order</w:t>
      </w:r>
    </w:p>
    <w:p w14:paraId="2FCA6FAA" w14:textId="2D7F6C55" w:rsidR="00DB6A47" w:rsidRDefault="00DB6A47" w:rsidP="00EC0263">
      <w:pPr>
        <w:rPr>
          <w:b/>
          <w:lang w:eastAsia="en-AU"/>
        </w:rPr>
      </w:pPr>
      <w:r>
        <w:rPr>
          <w:b/>
          <w:lang w:eastAsia="en-AU"/>
        </w:rPr>
        <w:t>Section 41(8)</w:t>
      </w:r>
    </w:p>
    <w:p w14:paraId="60C0DB91" w14:textId="02503C6C" w:rsidR="00403718" w:rsidRPr="00761C63" w:rsidRDefault="00193C1D" w:rsidP="00761C63">
      <w:pPr>
        <w:pStyle w:val="BodyText"/>
        <w:rPr>
          <w:rStyle w:val="BodyTextChar"/>
        </w:rPr>
      </w:pPr>
      <w:r w:rsidRPr="00761C63">
        <w:t>Consequential to clause 14, t</w:t>
      </w:r>
      <w:r w:rsidR="00403718" w:rsidRPr="00761C63">
        <w:t xml:space="preserve">his clause removes section 41(8). </w:t>
      </w:r>
      <w:r w:rsidR="00403718" w:rsidRPr="00761C63">
        <w:rPr>
          <w:rStyle w:val="BodyTextChar"/>
        </w:rPr>
        <w:t xml:space="preserve">This is part of a suite of changes designed to clarify the process for obtaining an intensive correction assessment, and rationalise the legislation as it relates to offender assessments. </w:t>
      </w:r>
    </w:p>
    <w:p w14:paraId="270EA976" w14:textId="0C6BCC34" w:rsidR="00EC0263" w:rsidRDefault="00EC0263" w:rsidP="00761C63">
      <w:pPr>
        <w:pStyle w:val="Heading4"/>
        <w:rPr>
          <w:lang w:eastAsia="en-AU"/>
        </w:rPr>
      </w:pPr>
      <w:r w:rsidRPr="00905DED">
        <w:t xml:space="preserve">Clause </w:t>
      </w:r>
      <w:r w:rsidRPr="00905DED">
        <w:rPr>
          <w:noProof/>
        </w:rPr>
        <w:fldChar w:fldCharType="begin"/>
      </w:r>
      <w:r w:rsidRPr="00905DED">
        <w:rPr>
          <w:noProof/>
        </w:rPr>
        <w:instrText xml:space="preserve"> SEQ Clause \* ARABIC </w:instrText>
      </w:r>
      <w:r w:rsidRPr="00905DED">
        <w:rPr>
          <w:noProof/>
        </w:rPr>
        <w:fldChar w:fldCharType="separate"/>
      </w:r>
      <w:r w:rsidR="00AB12E0">
        <w:rPr>
          <w:noProof/>
        </w:rPr>
        <w:t>16</w:t>
      </w:r>
      <w:r w:rsidRPr="00905DED">
        <w:rPr>
          <w:noProof/>
        </w:rPr>
        <w:fldChar w:fldCharType="end"/>
      </w:r>
      <w:r w:rsidRPr="00905DED">
        <w:rPr>
          <w:bCs/>
          <w:lang w:eastAsia="en-AU"/>
        </w:rPr>
        <w:t xml:space="preserve"> </w:t>
      </w:r>
      <w:r w:rsidRPr="00905DED">
        <w:rPr>
          <w:lang w:eastAsia="en-AU"/>
        </w:rPr>
        <w:t xml:space="preserve">– </w:t>
      </w:r>
      <w:r>
        <w:rPr>
          <w:lang w:eastAsia="en-AU"/>
        </w:rPr>
        <w:t>New part 4.2A</w:t>
      </w:r>
    </w:p>
    <w:p w14:paraId="3981EB23" w14:textId="3210B846" w:rsidR="00355B5C" w:rsidRDefault="00403718" w:rsidP="00761C63">
      <w:pPr>
        <w:pStyle w:val="BodyText"/>
      </w:pPr>
      <w:r>
        <w:t>This clause inserts a new part, which deals exclusively with intensive correction assessments. The new part comes directly after Part 4.2, which sets out the provisions for obtaining pre-sentence reports. This is intended to improve the readability and access to the legislative requirements in this area.</w:t>
      </w:r>
    </w:p>
    <w:p w14:paraId="1DE50BA7" w14:textId="12C8BACE" w:rsidR="00403718" w:rsidRPr="00403718" w:rsidRDefault="00403718" w:rsidP="00761C63">
      <w:pPr>
        <w:pStyle w:val="BodyText"/>
      </w:pPr>
      <w:r w:rsidRPr="00403718">
        <w:t>This is part of a suite of changes designed to</w:t>
      </w:r>
      <w:r>
        <w:t xml:space="preserve"> clarify the process for obtaining an intensive correction assessment, and rationalise the legislation as it relates to offender assessments. </w:t>
      </w:r>
    </w:p>
    <w:p w14:paraId="50118DD9" w14:textId="1BA94B83" w:rsidR="00617A2E" w:rsidRPr="00761C63" w:rsidRDefault="00617A2E" w:rsidP="00761C63">
      <w:pPr>
        <w:pStyle w:val="BodyText"/>
        <w:rPr>
          <w:highlight w:val="yellow"/>
          <w:u w:val="single"/>
        </w:rPr>
      </w:pPr>
      <w:r w:rsidRPr="00761C63">
        <w:rPr>
          <w:u w:val="single"/>
        </w:rPr>
        <w:t xml:space="preserve">Section </w:t>
      </w:r>
      <w:r w:rsidR="00355B5C" w:rsidRPr="00761C63">
        <w:rPr>
          <w:u w:val="single"/>
        </w:rPr>
        <w:t>46</w:t>
      </w:r>
      <w:r w:rsidRPr="00761C63">
        <w:rPr>
          <w:u w:val="single"/>
        </w:rPr>
        <w:fldChar w:fldCharType="begin"/>
      </w:r>
      <w:r w:rsidRPr="00761C63">
        <w:rPr>
          <w:u w:val="single"/>
        </w:rPr>
        <w:instrText xml:space="preserve"> SEQ New_Section \* ALPHABETIC </w:instrText>
      </w:r>
      <w:r w:rsidRPr="00761C63">
        <w:rPr>
          <w:u w:val="single"/>
        </w:rPr>
        <w:fldChar w:fldCharType="separate"/>
      </w:r>
      <w:r w:rsidR="00AB12E0" w:rsidRPr="00761C63">
        <w:rPr>
          <w:noProof/>
          <w:u w:val="single"/>
        </w:rPr>
        <w:t>A</w:t>
      </w:r>
      <w:r w:rsidRPr="00761C63">
        <w:rPr>
          <w:u w:val="single"/>
        </w:rPr>
        <w:fldChar w:fldCharType="end"/>
      </w:r>
      <w:r w:rsidRPr="00761C63">
        <w:rPr>
          <w:u w:val="single"/>
        </w:rPr>
        <w:t xml:space="preserve"> </w:t>
      </w:r>
      <w:r w:rsidR="00355B5C" w:rsidRPr="00761C63">
        <w:rPr>
          <w:u w:val="single"/>
        </w:rPr>
        <w:t>– Meaning of assessor – pt 4.2A</w:t>
      </w:r>
    </w:p>
    <w:p w14:paraId="11439284" w14:textId="7A1A3E87" w:rsidR="00972054" w:rsidRDefault="00972054" w:rsidP="00AB1C01">
      <w:pPr>
        <w:pStyle w:val="BodyText"/>
        <w:rPr>
          <w:b/>
        </w:rPr>
      </w:pPr>
      <w:r>
        <w:t xml:space="preserve">For clarity, </w:t>
      </w:r>
      <w:r w:rsidR="00403718">
        <w:t xml:space="preserve">this clause </w:t>
      </w:r>
      <w:r>
        <w:t xml:space="preserve">expressly defines ‘assessor’ in relation to intensive correction assessments. The definition is relevantly identical to </w:t>
      </w:r>
      <w:r w:rsidR="005926EC">
        <w:t xml:space="preserve">the existing definition </w:t>
      </w:r>
      <w:r>
        <w:t>used in relation to pre-sentence reports (</w:t>
      </w:r>
      <w:r w:rsidR="005926EC">
        <w:t xml:space="preserve">re-located to a stand-alone section by </w:t>
      </w:r>
      <w:r>
        <w:t xml:space="preserve">clause 14 above). </w:t>
      </w:r>
    </w:p>
    <w:p w14:paraId="4C7B9E30" w14:textId="48C2999C" w:rsidR="00617A2E" w:rsidRPr="007C11D6" w:rsidRDefault="00617A2E" w:rsidP="005625B5">
      <w:pPr>
        <w:pStyle w:val="Heading5"/>
        <w:keepNext/>
        <w:keepLines/>
        <w:rPr>
          <w:b w:val="0"/>
          <w:i w:val="0"/>
          <w:u w:val="single"/>
        </w:rPr>
      </w:pPr>
      <w:r w:rsidRPr="007C11D6">
        <w:rPr>
          <w:b w:val="0"/>
          <w:i w:val="0"/>
          <w:u w:val="single"/>
        </w:rPr>
        <w:t xml:space="preserve">Section </w:t>
      </w:r>
      <w:r w:rsidR="00355B5C" w:rsidRPr="007C11D6">
        <w:rPr>
          <w:b w:val="0"/>
          <w:i w:val="0"/>
          <w:u w:val="single"/>
        </w:rPr>
        <w:t>46</w:t>
      </w:r>
      <w:r w:rsidRPr="007C11D6">
        <w:rPr>
          <w:b w:val="0"/>
          <w:i w:val="0"/>
          <w:u w:val="single"/>
        </w:rPr>
        <w:fldChar w:fldCharType="begin"/>
      </w:r>
      <w:r w:rsidRPr="007C11D6">
        <w:rPr>
          <w:b w:val="0"/>
          <w:i w:val="0"/>
          <w:u w:val="single"/>
        </w:rPr>
        <w:instrText xml:space="preserve"> SEQ New_Section \* ALPHABETIC </w:instrText>
      </w:r>
      <w:r w:rsidRPr="007C11D6">
        <w:rPr>
          <w:b w:val="0"/>
          <w:i w:val="0"/>
          <w:u w:val="single"/>
        </w:rPr>
        <w:fldChar w:fldCharType="separate"/>
      </w:r>
      <w:r w:rsidR="00AB12E0">
        <w:rPr>
          <w:b w:val="0"/>
          <w:i w:val="0"/>
          <w:noProof/>
          <w:u w:val="single"/>
        </w:rPr>
        <w:t>B</w:t>
      </w:r>
      <w:r w:rsidRPr="007C11D6">
        <w:rPr>
          <w:b w:val="0"/>
          <w:i w:val="0"/>
          <w:u w:val="single"/>
        </w:rPr>
        <w:fldChar w:fldCharType="end"/>
      </w:r>
      <w:r w:rsidRPr="007C11D6">
        <w:rPr>
          <w:b w:val="0"/>
          <w:i w:val="0"/>
          <w:u w:val="single"/>
        </w:rPr>
        <w:t xml:space="preserve"> </w:t>
      </w:r>
      <w:r w:rsidR="00355B5C" w:rsidRPr="007C11D6">
        <w:rPr>
          <w:b w:val="0"/>
          <w:u w:val="single"/>
          <w:lang w:eastAsia="en-AU"/>
        </w:rPr>
        <w:t>–</w:t>
      </w:r>
      <w:r w:rsidR="00355B5C" w:rsidRPr="007C11D6">
        <w:rPr>
          <w:b w:val="0"/>
          <w:i w:val="0"/>
          <w:u w:val="single"/>
          <w:lang w:eastAsia="en-AU"/>
        </w:rPr>
        <w:t xml:space="preserve"> Application – pt 4.2A </w:t>
      </w:r>
    </w:p>
    <w:p w14:paraId="481AB59D" w14:textId="77777777" w:rsidR="00856D35" w:rsidRDefault="00046725" w:rsidP="00355B5C">
      <w:pPr>
        <w:pStyle w:val="Heading4"/>
        <w:keepNext w:val="0"/>
        <w:rPr>
          <w:b w:val="0"/>
          <w:lang w:eastAsia="en-AU"/>
        </w:rPr>
      </w:pPr>
      <w:r>
        <w:rPr>
          <w:b w:val="0"/>
          <w:lang w:eastAsia="en-AU"/>
        </w:rPr>
        <w:t xml:space="preserve">Section 46B </w:t>
      </w:r>
      <w:r w:rsidR="005625B5">
        <w:rPr>
          <w:b w:val="0"/>
          <w:lang w:eastAsia="en-AU"/>
        </w:rPr>
        <w:t xml:space="preserve">provides that Part 4.2A applies to an ‘offender’, defined for the purposes of this part as meaning a person a court finds guilty of an offence, or a person who has indicated to a court an intention to plead guilty to an offence. This is in the same terms as section 40, which applies to pre-sentence reports. </w:t>
      </w:r>
    </w:p>
    <w:p w14:paraId="7A0E1E6C" w14:textId="0A309D12" w:rsidR="00355B5C" w:rsidRPr="00046725" w:rsidRDefault="00046725" w:rsidP="00355B5C">
      <w:pPr>
        <w:pStyle w:val="Heading4"/>
        <w:keepNext w:val="0"/>
        <w:rPr>
          <w:b w:val="0"/>
          <w:lang w:eastAsia="en-AU"/>
        </w:rPr>
      </w:pPr>
      <w:r>
        <w:rPr>
          <w:b w:val="0"/>
          <w:lang w:eastAsia="en-AU"/>
        </w:rPr>
        <w:t>While the section is not expressly limited to adult offenders, a Court may only make an intensive correction order in relation to adult offenders (section 11(1)) and so it is not intended that intensive corrections assessments will be requested in relation to young offenders.</w:t>
      </w:r>
    </w:p>
    <w:p w14:paraId="3D7087E8" w14:textId="6C8BD846" w:rsidR="00617A2E" w:rsidRDefault="00617A2E" w:rsidP="00E9122B">
      <w:pPr>
        <w:pStyle w:val="Heading5"/>
        <w:keepNext/>
        <w:rPr>
          <w:b w:val="0"/>
          <w:i w:val="0"/>
          <w:lang w:eastAsia="en-AU"/>
        </w:rPr>
      </w:pPr>
      <w:r w:rsidRPr="007C11D6">
        <w:rPr>
          <w:b w:val="0"/>
          <w:i w:val="0"/>
          <w:u w:val="single"/>
        </w:rPr>
        <w:t xml:space="preserve">Section </w:t>
      </w:r>
      <w:r w:rsidR="00355B5C" w:rsidRPr="007C11D6">
        <w:rPr>
          <w:b w:val="0"/>
          <w:i w:val="0"/>
          <w:u w:val="single"/>
        </w:rPr>
        <w:t>46</w:t>
      </w:r>
      <w:r w:rsidRPr="007C11D6">
        <w:rPr>
          <w:b w:val="0"/>
          <w:i w:val="0"/>
          <w:u w:val="single"/>
        </w:rPr>
        <w:fldChar w:fldCharType="begin"/>
      </w:r>
      <w:r w:rsidRPr="007C11D6">
        <w:rPr>
          <w:b w:val="0"/>
          <w:i w:val="0"/>
          <w:u w:val="single"/>
        </w:rPr>
        <w:instrText xml:space="preserve"> SEQ New_Section \* ALPHABETIC </w:instrText>
      </w:r>
      <w:r w:rsidRPr="007C11D6">
        <w:rPr>
          <w:b w:val="0"/>
          <w:i w:val="0"/>
          <w:u w:val="single"/>
        </w:rPr>
        <w:fldChar w:fldCharType="separate"/>
      </w:r>
      <w:r w:rsidR="00AB12E0">
        <w:rPr>
          <w:b w:val="0"/>
          <w:i w:val="0"/>
          <w:noProof/>
          <w:u w:val="single"/>
        </w:rPr>
        <w:t>C</w:t>
      </w:r>
      <w:r w:rsidRPr="007C11D6">
        <w:rPr>
          <w:b w:val="0"/>
          <w:i w:val="0"/>
          <w:u w:val="single"/>
        </w:rPr>
        <w:fldChar w:fldCharType="end"/>
      </w:r>
      <w:r w:rsidRPr="007C11D6">
        <w:rPr>
          <w:b w:val="0"/>
          <w:i w:val="0"/>
          <w:u w:val="single"/>
        </w:rPr>
        <w:t xml:space="preserve"> </w:t>
      </w:r>
      <w:r w:rsidR="00355B5C" w:rsidRPr="007C11D6">
        <w:rPr>
          <w:b w:val="0"/>
          <w:i w:val="0"/>
          <w:u w:val="single"/>
          <w:lang w:eastAsia="en-AU"/>
        </w:rPr>
        <w:t>– Intensive correction assessments – order</w:t>
      </w:r>
      <w:r w:rsidR="00355B5C">
        <w:rPr>
          <w:b w:val="0"/>
          <w:i w:val="0"/>
          <w:lang w:eastAsia="en-AU"/>
        </w:rPr>
        <w:t xml:space="preserve"> </w:t>
      </w:r>
    </w:p>
    <w:p w14:paraId="7D693C30" w14:textId="54F10EB4" w:rsidR="00FB50DA" w:rsidRDefault="00450E94" w:rsidP="00793C75">
      <w:pPr>
        <w:rPr>
          <w:lang w:eastAsia="en-AU"/>
        </w:rPr>
      </w:pPr>
      <w:r>
        <w:rPr>
          <w:lang w:eastAsia="en-AU"/>
        </w:rPr>
        <w:t xml:space="preserve">This section clarifies </w:t>
      </w:r>
      <w:r w:rsidR="00AB1C01">
        <w:rPr>
          <w:lang w:eastAsia="en-AU"/>
        </w:rPr>
        <w:t xml:space="preserve">when </w:t>
      </w:r>
      <w:r w:rsidR="00FB50DA">
        <w:rPr>
          <w:lang w:eastAsia="en-AU"/>
        </w:rPr>
        <w:t xml:space="preserve">a </w:t>
      </w:r>
      <w:r>
        <w:rPr>
          <w:lang w:eastAsia="en-AU"/>
        </w:rPr>
        <w:t xml:space="preserve">court may </w:t>
      </w:r>
      <w:r w:rsidR="00FB50DA">
        <w:rPr>
          <w:lang w:eastAsia="en-AU"/>
        </w:rPr>
        <w:t xml:space="preserve">request the Director-General prepare </w:t>
      </w:r>
      <w:r>
        <w:rPr>
          <w:lang w:eastAsia="en-AU"/>
        </w:rPr>
        <w:t>an intensive correction assessment</w:t>
      </w:r>
      <w:r w:rsidR="00AB1C01">
        <w:rPr>
          <w:lang w:eastAsia="en-AU"/>
        </w:rPr>
        <w:t>. The section is intended to enable an intensive correction assessment be requested</w:t>
      </w:r>
      <w:r w:rsidR="00FB50DA">
        <w:rPr>
          <w:lang w:eastAsia="en-AU"/>
        </w:rPr>
        <w:t xml:space="preserve"> at an early stage</w:t>
      </w:r>
      <w:r w:rsidR="00AB1C01">
        <w:rPr>
          <w:lang w:eastAsia="en-AU"/>
        </w:rPr>
        <w:t xml:space="preserve"> after an offender has pleaded or been found guilty.  </w:t>
      </w:r>
    </w:p>
    <w:p w14:paraId="6C936240" w14:textId="57066569" w:rsidR="00FB50DA" w:rsidRDefault="00FB50DA" w:rsidP="00793C75">
      <w:pPr>
        <w:rPr>
          <w:lang w:eastAsia="en-AU"/>
        </w:rPr>
      </w:pPr>
      <w:r>
        <w:rPr>
          <w:lang w:eastAsia="en-AU"/>
        </w:rPr>
        <w:t xml:space="preserve">The Bill provides that the </w:t>
      </w:r>
      <w:r w:rsidR="00AB1C01">
        <w:rPr>
          <w:lang w:eastAsia="en-AU"/>
        </w:rPr>
        <w:t xml:space="preserve">procedural stage at </w:t>
      </w:r>
      <w:r>
        <w:rPr>
          <w:lang w:eastAsia="en-AU"/>
        </w:rPr>
        <w:t xml:space="preserve">which a Court may request an intensive correction assessment </w:t>
      </w:r>
      <w:r w:rsidR="00AB1C01">
        <w:rPr>
          <w:lang w:eastAsia="en-AU"/>
        </w:rPr>
        <w:t xml:space="preserve">is </w:t>
      </w:r>
      <w:r>
        <w:rPr>
          <w:lang w:eastAsia="en-AU"/>
        </w:rPr>
        <w:t xml:space="preserve">similar to </w:t>
      </w:r>
      <w:r w:rsidR="00AB1C01">
        <w:rPr>
          <w:lang w:eastAsia="en-AU"/>
        </w:rPr>
        <w:t xml:space="preserve">that at </w:t>
      </w:r>
      <w:r>
        <w:rPr>
          <w:lang w:eastAsia="en-AU"/>
        </w:rPr>
        <w:t xml:space="preserve">which a pre-sentence report may be requested. Given the time and resources required to prepare an </w:t>
      </w:r>
      <w:r w:rsidR="00795213">
        <w:rPr>
          <w:lang w:eastAsia="en-AU"/>
        </w:rPr>
        <w:t>intensive</w:t>
      </w:r>
      <w:r>
        <w:rPr>
          <w:lang w:eastAsia="en-AU"/>
        </w:rPr>
        <w:t xml:space="preserve"> correction assessment, the aim of the new section is to minimise the delays that may occur if an assessment is ordered very late in the sentencing process.</w:t>
      </w:r>
    </w:p>
    <w:p w14:paraId="2C41B8D7" w14:textId="71BDA13D" w:rsidR="00A91187" w:rsidRDefault="00A91187" w:rsidP="00793C75">
      <w:pPr>
        <w:rPr>
          <w:lang w:eastAsia="en-AU"/>
        </w:rPr>
      </w:pPr>
      <w:r>
        <w:rPr>
          <w:lang w:eastAsia="en-AU"/>
        </w:rPr>
        <w:t>Likewise, the section clarifies (in sub-section 46C(4), read with clause 20), that an intensive correction assessment should be requested before a sentence of imprisonment is imposed on the offender. The aim of this sub-section is to avoid a lacuna between the imposition of a sentence of imprisonment and a final decision about how that sentence is to be served.</w:t>
      </w:r>
    </w:p>
    <w:p w14:paraId="7859821F" w14:textId="3985F1F5" w:rsidR="00450E94" w:rsidRPr="00450E94" w:rsidRDefault="000565A8" w:rsidP="000565A8">
      <w:r>
        <w:t>The section maintains the existing content of an intensive correction assessment (section 46C(6) read with section 46D).</w:t>
      </w:r>
    </w:p>
    <w:p w14:paraId="211A9B69" w14:textId="4BF4F721" w:rsidR="00617A2E" w:rsidRDefault="00617A2E" w:rsidP="00617A2E">
      <w:pPr>
        <w:pStyle w:val="Heading5"/>
        <w:rPr>
          <w:b w:val="0"/>
          <w:i w:val="0"/>
          <w:u w:val="single"/>
          <w:lang w:eastAsia="en-AU"/>
        </w:rPr>
      </w:pPr>
      <w:r w:rsidRPr="007C11D6">
        <w:rPr>
          <w:b w:val="0"/>
          <w:i w:val="0"/>
          <w:u w:val="single"/>
        </w:rPr>
        <w:t xml:space="preserve">Section </w:t>
      </w:r>
      <w:r w:rsidR="00355B5C" w:rsidRPr="007C11D6">
        <w:rPr>
          <w:b w:val="0"/>
          <w:i w:val="0"/>
          <w:u w:val="single"/>
        </w:rPr>
        <w:t>46</w:t>
      </w:r>
      <w:r w:rsidRPr="007C11D6">
        <w:rPr>
          <w:b w:val="0"/>
          <w:i w:val="0"/>
          <w:u w:val="single"/>
        </w:rPr>
        <w:fldChar w:fldCharType="begin"/>
      </w:r>
      <w:r w:rsidRPr="007C11D6">
        <w:rPr>
          <w:b w:val="0"/>
          <w:i w:val="0"/>
          <w:u w:val="single"/>
        </w:rPr>
        <w:instrText xml:space="preserve"> SEQ New_Section \* ALPHABETIC </w:instrText>
      </w:r>
      <w:r w:rsidRPr="007C11D6">
        <w:rPr>
          <w:b w:val="0"/>
          <w:i w:val="0"/>
          <w:u w:val="single"/>
        </w:rPr>
        <w:fldChar w:fldCharType="separate"/>
      </w:r>
      <w:r w:rsidR="00AB12E0">
        <w:rPr>
          <w:b w:val="0"/>
          <w:i w:val="0"/>
          <w:noProof/>
          <w:u w:val="single"/>
        </w:rPr>
        <w:t>D</w:t>
      </w:r>
      <w:r w:rsidRPr="007C11D6">
        <w:rPr>
          <w:b w:val="0"/>
          <w:i w:val="0"/>
          <w:u w:val="single"/>
        </w:rPr>
        <w:fldChar w:fldCharType="end"/>
      </w:r>
      <w:r w:rsidRPr="007C11D6">
        <w:rPr>
          <w:b w:val="0"/>
          <w:i w:val="0"/>
          <w:u w:val="single"/>
        </w:rPr>
        <w:t xml:space="preserve"> </w:t>
      </w:r>
      <w:r w:rsidR="00355B5C">
        <w:rPr>
          <w:b w:val="0"/>
          <w:i w:val="0"/>
          <w:u w:val="single"/>
          <w:lang w:eastAsia="en-AU"/>
        </w:rPr>
        <w:t xml:space="preserve">– Intensive correction orders – intensive correction assessment matters </w:t>
      </w:r>
    </w:p>
    <w:p w14:paraId="36A69FA9" w14:textId="22B637E6" w:rsidR="00793C75" w:rsidRDefault="005F46DC" w:rsidP="00793C75">
      <w:pPr>
        <w:pStyle w:val="Heading4"/>
        <w:keepNext w:val="0"/>
        <w:rPr>
          <w:b w:val="0"/>
          <w:lang w:eastAsia="en-AU"/>
        </w:rPr>
      </w:pPr>
      <w:r>
        <w:rPr>
          <w:b w:val="0"/>
          <w:lang w:eastAsia="en-AU"/>
        </w:rPr>
        <w:t>S</w:t>
      </w:r>
      <w:r w:rsidR="00793C75">
        <w:rPr>
          <w:b w:val="0"/>
          <w:lang w:eastAsia="en-AU"/>
        </w:rPr>
        <w:t xml:space="preserve">ection </w:t>
      </w:r>
      <w:r>
        <w:rPr>
          <w:b w:val="0"/>
          <w:lang w:eastAsia="en-AU"/>
        </w:rPr>
        <w:t xml:space="preserve">46D re-locates existing </w:t>
      </w:r>
      <w:r w:rsidR="00793C75">
        <w:rPr>
          <w:b w:val="0"/>
          <w:lang w:eastAsia="en-AU"/>
        </w:rPr>
        <w:t xml:space="preserve">section 79 </w:t>
      </w:r>
      <w:r>
        <w:rPr>
          <w:b w:val="0"/>
          <w:lang w:eastAsia="en-AU"/>
        </w:rPr>
        <w:t xml:space="preserve">to </w:t>
      </w:r>
      <w:r w:rsidR="00793C75">
        <w:rPr>
          <w:b w:val="0"/>
          <w:lang w:eastAsia="en-AU"/>
        </w:rPr>
        <w:t xml:space="preserve">new Part 4.2A to allow the consolidation of provisions within the Act governing offender assessments. </w:t>
      </w:r>
    </w:p>
    <w:p w14:paraId="14C8D39A" w14:textId="0FB99704" w:rsidR="00617A2E" w:rsidRDefault="00617A2E" w:rsidP="00617A2E">
      <w:pPr>
        <w:pStyle w:val="Heading5"/>
        <w:rPr>
          <w:b w:val="0"/>
          <w:i w:val="0"/>
          <w:u w:val="single"/>
          <w:lang w:eastAsia="en-AU"/>
        </w:rPr>
      </w:pPr>
      <w:r w:rsidRPr="007C11D6">
        <w:rPr>
          <w:b w:val="0"/>
          <w:i w:val="0"/>
          <w:u w:val="single"/>
        </w:rPr>
        <w:t xml:space="preserve">Section </w:t>
      </w:r>
      <w:r w:rsidR="00355B5C" w:rsidRPr="007C11D6">
        <w:rPr>
          <w:b w:val="0"/>
          <w:i w:val="0"/>
          <w:u w:val="single"/>
        </w:rPr>
        <w:t>46</w:t>
      </w:r>
      <w:r w:rsidRPr="007C11D6">
        <w:rPr>
          <w:b w:val="0"/>
          <w:i w:val="0"/>
          <w:u w:val="single"/>
        </w:rPr>
        <w:fldChar w:fldCharType="begin"/>
      </w:r>
      <w:r w:rsidRPr="007C11D6">
        <w:rPr>
          <w:b w:val="0"/>
          <w:i w:val="0"/>
          <w:u w:val="single"/>
        </w:rPr>
        <w:instrText xml:space="preserve"> SEQ New_Section \* ALPHABETIC </w:instrText>
      </w:r>
      <w:r w:rsidRPr="007C11D6">
        <w:rPr>
          <w:b w:val="0"/>
          <w:i w:val="0"/>
          <w:u w:val="single"/>
        </w:rPr>
        <w:fldChar w:fldCharType="separate"/>
      </w:r>
      <w:r w:rsidR="00AB12E0">
        <w:rPr>
          <w:b w:val="0"/>
          <w:i w:val="0"/>
          <w:noProof/>
          <w:u w:val="single"/>
        </w:rPr>
        <w:t>E</w:t>
      </w:r>
      <w:r w:rsidRPr="007C11D6">
        <w:rPr>
          <w:b w:val="0"/>
          <w:i w:val="0"/>
          <w:u w:val="single"/>
        </w:rPr>
        <w:fldChar w:fldCharType="end"/>
      </w:r>
      <w:r w:rsidRPr="007C11D6">
        <w:rPr>
          <w:b w:val="0"/>
          <w:i w:val="0"/>
          <w:u w:val="single"/>
        </w:rPr>
        <w:t xml:space="preserve"> </w:t>
      </w:r>
      <w:r w:rsidR="00355B5C">
        <w:rPr>
          <w:b w:val="0"/>
          <w:i w:val="0"/>
          <w:u w:val="single"/>
          <w:lang w:eastAsia="en-AU"/>
        </w:rPr>
        <w:t xml:space="preserve">– Intensive correction assessments – powers of assessors </w:t>
      </w:r>
    </w:p>
    <w:p w14:paraId="7861564D" w14:textId="58984A6F" w:rsidR="00793C75" w:rsidRDefault="00383F9A" w:rsidP="00793C75">
      <w:pPr>
        <w:pStyle w:val="Heading4"/>
        <w:keepNext w:val="0"/>
        <w:rPr>
          <w:b w:val="0"/>
          <w:lang w:eastAsia="en-AU"/>
        </w:rPr>
      </w:pPr>
      <w:r>
        <w:rPr>
          <w:b w:val="0"/>
          <w:lang w:eastAsia="en-AU"/>
        </w:rPr>
        <w:t>T</w:t>
      </w:r>
      <w:r w:rsidR="00793C75">
        <w:rPr>
          <w:b w:val="0"/>
          <w:lang w:eastAsia="en-AU"/>
        </w:rPr>
        <w:t xml:space="preserve">o standardise the provisions relating to pre-sentence reports and intensive correction assessments, section 46E </w:t>
      </w:r>
      <w:r w:rsidR="005F46DC">
        <w:rPr>
          <w:b w:val="0"/>
          <w:lang w:eastAsia="en-AU"/>
        </w:rPr>
        <w:t xml:space="preserve">puts the functions of </w:t>
      </w:r>
      <w:r>
        <w:rPr>
          <w:b w:val="0"/>
          <w:lang w:eastAsia="en-AU"/>
        </w:rPr>
        <w:t xml:space="preserve">intensive corrections </w:t>
      </w:r>
      <w:r w:rsidR="005F46DC">
        <w:rPr>
          <w:b w:val="0"/>
          <w:lang w:eastAsia="en-AU"/>
        </w:rPr>
        <w:t xml:space="preserve">assessors on an express statutory footing. The section is intended to align with </w:t>
      </w:r>
      <w:r w:rsidR="00793C75">
        <w:rPr>
          <w:b w:val="0"/>
          <w:lang w:eastAsia="en-AU"/>
        </w:rPr>
        <w:t>section 43 of the Act (Pre-sentence</w:t>
      </w:r>
      <w:r w:rsidR="005F46DC">
        <w:rPr>
          <w:b w:val="0"/>
          <w:lang w:eastAsia="en-AU"/>
        </w:rPr>
        <w:t xml:space="preserve"> reports – powers of assessors)</w:t>
      </w:r>
      <w:r w:rsidR="00793C75">
        <w:rPr>
          <w:b w:val="0"/>
          <w:lang w:eastAsia="en-AU"/>
        </w:rPr>
        <w:t xml:space="preserve">. </w:t>
      </w:r>
    </w:p>
    <w:p w14:paraId="776A8738" w14:textId="5DE328C0" w:rsidR="00617A2E" w:rsidRPr="007C11D6" w:rsidRDefault="00617A2E" w:rsidP="00450E94">
      <w:pPr>
        <w:pStyle w:val="Heading5"/>
        <w:keepNext/>
        <w:keepLines/>
        <w:rPr>
          <w:b w:val="0"/>
          <w:i w:val="0"/>
          <w:u w:val="single"/>
        </w:rPr>
      </w:pPr>
      <w:r w:rsidRPr="007C11D6">
        <w:rPr>
          <w:b w:val="0"/>
          <w:i w:val="0"/>
          <w:u w:val="single"/>
        </w:rPr>
        <w:t xml:space="preserve">Section </w:t>
      </w:r>
      <w:r w:rsidR="00355B5C" w:rsidRPr="007C11D6">
        <w:rPr>
          <w:b w:val="0"/>
          <w:i w:val="0"/>
          <w:u w:val="single"/>
        </w:rPr>
        <w:t>46</w:t>
      </w:r>
      <w:r w:rsidRPr="007C11D6">
        <w:rPr>
          <w:b w:val="0"/>
          <w:i w:val="0"/>
          <w:u w:val="single"/>
        </w:rPr>
        <w:fldChar w:fldCharType="begin"/>
      </w:r>
      <w:r w:rsidRPr="007C11D6">
        <w:rPr>
          <w:b w:val="0"/>
          <w:i w:val="0"/>
          <w:u w:val="single"/>
        </w:rPr>
        <w:instrText xml:space="preserve"> SEQ New_Section \* ALPHABETIC </w:instrText>
      </w:r>
      <w:r w:rsidRPr="007C11D6">
        <w:rPr>
          <w:b w:val="0"/>
          <w:i w:val="0"/>
          <w:u w:val="single"/>
        </w:rPr>
        <w:fldChar w:fldCharType="separate"/>
      </w:r>
      <w:r w:rsidR="00AB12E0">
        <w:rPr>
          <w:b w:val="0"/>
          <w:i w:val="0"/>
          <w:noProof/>
          <w:u w:val="single"/>
        </w:rPr>
        <w:t>F</w:t>
      </w:r>
      <w:r w:rsidRPr="007C11D6">
        <w:rPr>
          <w:b w:val="0"/>
          <w:i w:val="0"/>
          <w:u w:val="single"/>
        </w:rPr>
        <w:fldChar w:fldCharType="end"/>
      </w:r>
      <w:r w:rsidRPr="007C11D6">
        <w:rPr>
          <w:b w:val="0"/>
          <w:i w:val="0"/>
          <w:u w:val="single"/>
        </w:rPr>
        <w:t xml:space="preserve"> </w:t>
      </w:r>
      <w:r w:rsidR="00355B5C">
        <w:rPr>
          <w:b w:val="0"/>
          <w:i w:val="0"/>
          <w:u w:val="single"/>
          <w:lang w:eastAsia="en-AU"/>
        </w:rPr>
        <w:t>– Intensive correction assessments – provision to court</w:t>
      </w:r>
    </w:p>
    <w:p w14:paraId="1F1FA27D" w14:textId="69CF5F6D" w:rsidR="00355B5C" w:rsidRDefault="00B50F6B" w:rsidP="00355B5C">
      <w:pPr>
        <w:pStyle w:val="Heading4"/>
        <w:keepNext w:val="0"/>
        <w:rPr>
          <w:b w:val="0"/>
          <w:lang w:eastAsia="en-AU"/>
        </w:rPr>
      </w:pPr>
      <w:r>
        <w:rPr>
          <w:b w:val="0"/>
          <w:lang w:eastAsia="en-AU"/>
        </w:rPr>
        <w:t>T</w:t>
      </w:r>
      <w:r w:rsidR="00793C75">
        <w:rPr>
          <w:b w:val="0"/>
          <w:lang w:eastAsia="en-AU"/>
        </w:rPr>
        <w:t xml:space="preserve">o standardise the provisions relating to pre-sentence reports and intensive correction assessments, section 46F </w:t>
      </w:r>
      <w:r w:rsidR="008A0331">
        <w:rPr>
          <w:b w:val="0"/>
          <w:lang w:eastAsia="en-AU"/>
        </w:rPr>
        <w:t xml:space="preserve">replicates the substance of </w:t>
      </w:r>
      <w:r w:rsidR="00793C75">
        <w:rPr>
          <w:b w:val="0"/>
          <w:lang w:eastAsia="en-AU"/>
        </w:rPr>
        <w:t xml:space="preserve">section 44 of the Act (Pre-sentence reports – provision to court), allowing for the intensive corrective assessment to be given either orally or in writing. </w:t>
      </w:r>
      <w:r w:rsidR="00666499">
        <w:rPr>
          <w:b w:val="0"/>
          <w:lang w:eastAsia="en-AU"/>
        </w:rPr>
        <w:t>This section facilitates the provision of oral ‘update’ reports to the Court wh</w:t>
      </w:r>
      <w:r>
        <w:rPr>
          <w:b w:val="0"/>
          <w:lang w:eastAsia="en-AU"/>
        </w:rPr>
        <w:t xml:space="preserve">ere necessary (see </w:t>
      </w:r>
      <w:r w:rsidRPr="00B50F6B">
        <w:rPr>
          <w:b w:val="0"/>
          <w:i/>
          <w:lang w:eastAsia="en-AU"/>
        </w:rPr>
        <w:t>Scheele v Watson</w:t>
      </w:r>
      <w:r w:rsidRPr="00B50F6B">
        <w:rPr>
          <w:b w:val="0"/>
          <w:lang w:eastAsia="en-AU"/>
        </w:rPr>
        <w:t xml:space="preserve"> [2012] ACTSC 196 at [66]</w:t>
      </w:r>
      <w:r>
        <w:rPr>
          <w:b w:val="0"/>
          <w:lang w:eastAsia="en-AU"/>
        </w:rPr>
        <w:t>).</w:t>
      </w:r>
    </w:p>
    <w:p w14:paraId="4CD26C19" w14:textId="6E9F45B5" w:rsidR="00617A2E" w:rsidRPr="007C11D6" w:rsidRDefault="00617A2E" w:rsidP="00617A2E">
      <w:pPr>
        <w:pStyle w:val="Heading5"/>
        <w:rPr>
          <w:b w:val="0"/>
          <w:i w:val="0"/>
          <w:u w:val="single"/>
        </w:rPr>
      </w:pPr>
      <w:r w:rsidRPr="007C11D6">
        <w:rPr>
          <w:b w:val="0"/>
          <w:i w:val="0"/>
          <w:u w:val="single"/>
        </w:rPr>
        <w:t xml:space="preserve">Section </w:t>
      </w:r>
      <w:r w:rsidR="00355B5C" w:rsidRPr="007C11D6">
        <w:rPr>
          <w:b w:val="0"/>
          <w:i w:val="0"/>
          <w:u w:val="single"/>
        </w:rPr>
        <w:t>46</w:t>
      </w:r>
      <w:r w:rsidRPr="007C11D6">
        <w:rPr>
          <w:b w:val="0"/>
          <w:i w:val="0"/>
          <w:u w:val="single"/>
        </w:rPr>
        <w:fldChar w:fldCharType="begin"/>
      </w:r>
      <w:r w:rsidRPr="007C11D6">
        <w:rPr>
          <w:b w:val="0"/>
          <w:i w:val="0"/>
          <w:u w:val="single"/>
        </w:rPr>
        <w:instrText xml:space="preserve"> SEQ New_Section \* ALPHABETIC </w:instrText>
      </w:r>
      <w:r w:rsidRPr="007C11D6">
        <w:rPr>
          <w:b w:val="0"/>
          <w:i w:val="0"/>
          <w:u w:val="single"/>
        </w:rPr>
        <w:fldChar w:fldCharType="separate"/>
      </w:r>
      <w:r w:rsidR="00AB12E0">
        <w:rPr>
          <w:b w:val="0"/>
          <w:i w:val="0"/>
          <w:noProof/>
          <w:u w:val="single"/>
        </w:rPr>
        <w:t>G</w:t>
      </w:r>
      <w:r w:rsidRPr="007C11D6">
        <w:rPr>
          <w:b w:val="0"/>
          <w:i w:val="0"/>
          <w:u w:val="single"/>
        </w:rPr>
        <w:fldChar w:fldCharType="end"/>
      </w:r>
      <w:r w:rsidRPr="007C11D6">
        <w:rPr>
          <w:b w:val="0"/>
          <w:i w:val="0"/>
          <w:u w:val="single"/>
        </w:rPr>
        <w:t xml:space="preserve"> </w:t>
      </w:r>
      <w:r w:rsidR="00355B5C">
        <w:rPr>
          <w:b w:val="0"/>
          <w:i w:val="0"/>
          <w:u w:val="single"/>
          <w:lang w:eastAsia="en-AU"/>
        </w:rPr>
        <w:t xml:space="preserve">– Intensive correction assessments – cross-examination </w:t>
      </w:r>
    </w:p>
    <w:p w14:paraId="5840657A" w14:textId="387A8D4D" w:rsidR="00355B5C" w:rsidRDefault="00793C75" w:rsidP="00355B5C">
      <w:pPr>
        <w:pStyle w:val="Heading4"/>
        <w:keepNext w:val="0"/>
        <w:rPr>
          <w:b w:val="0"/>
          <w:lang w:eastAsia="en-AU"/>
        </w:rPr>
      </w:pPr>
      <w:r>
        <w:rPr>
          <w:b w:val="0"/>
          <w:lang w:eastAsia="en-AU"/>
        </w:rPr>
        <w:t xml:space="preserve">In order to standardise the provisions relating to pre-sentence reports and intensive correction assessments, section 46G </w:t>
      </w:r>
      <w:r w:rsidR="007F26BD">
        <w:rPr>
          <w:b w:val="0"/>
          <w:lang w:eastAsia="en-AU"/>
        </w:rPr>
        <w:t>replicates</w:t>
      </w:r>
      <w:r>
        <w:rPr>
          <w:b w:val="0"/>
          <w:lang w:eastAsia="en-AU"/>
        </w:rPr>
        <w:t xml:space="preserve"> section 46 of the Act (Pre-sentence reports – cross-examination), allowing the prosecutor and the defence to cross-examine the assessor on the intensive correction assessment given to the court by the assessor. Subsection (2) ensures that subsection (1) applies whether or not the offender is legally represented. </w:t>
      </w:r>
    </w:p>
    <w:p w14:paraId="587A2DD0" w14:textId="77777777" w:rsidR="00DB6A47" w:rsidRDefault="00AF0D54" w:rsidP="00793C75">
      <w:pPr>
        <w:pStyle w:val="Heading4"/>
        <w:keepLines/>
        <w:spacing w:after="0"/>
        <w:rPr>
          <w:lang w:eastAsia="en-AU"/>
        </w:rPr>
      </w:pPr>
      <w:r w:rsidRPr="00C71A66">
        <w:t xml:space="preserve">Clause </w:t>
      </w:r>
      <w:r w:rsidR="00BA4A6E">
        <w:rPr>
          <w:noProof/>
        </w:rPr>
        <w:fldChar w:fldCharType="begin"/>
      </w:r>
      <w:r w:rsidR="00BA4A6E">
        <w:rPr>
          <w:noProof/>
        </w:rPr>
        <w:instrText xml:space="preserve"> SEQ Clause \* ARABIC </w:instrText>
      </w:r>
      <w:r w:rsidR="00BA4A6E">
        <w:rPr>
          <w:noProof/>
        </w:rPr>
        <w:fldChar w:fldCharType="separate"/>
      </w:r>
      <w:r w:rsidR="00AB12E0">
        <w:rPr>
          <w:noProof/>
        </w:rPr>
        <w:t>17</w:t>
      </w:r>
      <w:r w:rsidR="00BA4A6E">
        <w:rPr>
          <w:noProof/>
        </w:rPr>
        <w:fldChar w:fldCharType="end"/>
      </w:r>
      <w:r w:rsidR="00BA4A6E" w:rsidRPr="00C71A66">
        <w:rPr>
          <w:bCs/>
          <w:lang w:eastAsia="en-AU"/>
        </w:rPr>
        <w:t xml:space="preserve"> </w:t>
      </w:r>
      <w:r w:rsidRPr="009428EA">
        <w:rPr>
          <w:lang w:eastAsia="en-AU"/>
        </w:rPr>
        <w:t xml:space="preserve">– </w:t>
      </w:r>
      <w:r w:rsidR="00DB6A47">
        <w:rPr>
          <w:lang w:eastAsia="en-AU"/>
        </w:rPr>
        <w:t>Application – pt 5.2</w:t>
      </w:r>
    </w:p>
    <w:p w14:paraId="75F62B93" w14:textId="623C6C7C" w:rsidR="00AF0D54" w:rsidRPr="009428EA" w:rsidRDefault="0018734E" w:rsidP="00793C75">
      <w:pPr>
        <w:pStyle w:val="Heading4"/>
        <w:keepLines/>
        <w:spacing w:before="0"/>
        <w:rPr>
          <w:lang w:eastAsia="en-AU"/>
        </w:rPr>
      </w:pPr>
      <w:r>
        <w:rPr>
          <w:lang w:eastAsia="en-AU"/>
        </w:rPr>
        <w:t>Section 64 (1)</w:t>
      </w:r>
    </w:p>
    <w:p w14:paraId="7E4A9599" w14:textId="04F69A8D" w:rsidR="00892734" w:rsidRPr="00892734" w:rsidRDefault="00FE41A3" w:rsidP="00AF0D54">
      <w:pPr>
        <w:pStyle w:val="Heading4"/>
        <w:keepNext w:val="0"/>
        <w:rPr>
          <w:b w:val="0"/>
          <w:lang w:eastAsia="en-AU"/>
        </w:rPr>
      </w:pPr>
      <w:r>
        <w:rPr>
          <w:b w:val="0"/>
          <w:lang w:eastAsia="en-AU"/>
        </w:rPr>
        <w:t xml:space="preserve">This is a consequential amendment </w:t>
      </w:r>
      <w:r w:rsidR="007F26BD">
        <w:rPr>
          <w:b w:val="0"/>
          <w:lang w:eastAsia="en-AU"/>
        </w:rPr>
        <w:t xml:space="preserve">to give full effect to </w:t>
      </w:r>
      <w:r>
        <w:rPr>
          <w:b w:val="0"/>
          <w:lang w:eastAsia="en-AU"/>
        </w:rPr>
        <w:t xml:space="preserve">clause 5. The amendment clarifies that where an </w:t>
      </w:r>
      <w:r w:rsidR="00892734">
        <w:rPr>
          <w:b w:val="0"/>
          <w:lang w:eastAsia="en-AU"/>
        </w:rPr>
        <w:t xml:space="preserve">ICO is </w:t>
      </w:r>
      <w:r>
        <w:rPr>
          <w:b w:val="0"/>
          <w:lang w:eastAsia="en-AU"/>
        </w:rPr>
        <w:t xml:space="preserve">cancelled and </w:t>
      </w:r>
      <w:r w:rsidR="00892734">
        <w:rPr>
          <w:b w:val="0"/>
          <w:lang w:eastAsia="en-AU"/>
        </w:rPr>
        <w:t xml:space="preserve">the offender ordered to serve a remaining term of </w:t>
      </w:r>
      <w:r>
        <w:rPr>
          <w:b w:val="0"/>
          <w:lang w:eastAsia="en-AU"/>
        </w:rPr>
        <w:t>imprisonment</w:t>
      </w:r>
      <w:r w:rsidR="00892734">
        <w:rPr>
          <w:b w:val="0"/>
          <w:lang w:eastAsia="en-AU"/>
        </w:rPr>
        <w:t xml:space="preserve"> under Sentence Administration Act section 65</w:t>
      </w:r>
      <w:r>
        <w:rPr>
          <w:b w:val="0"/>
          <w:lang w:eastAsia="en-AU"/>
        </w:rPr>
        <w:t xml:space="preserve">, </w:t>
      </w:r>
      <w:r w:rsidR="00892734">
        <w:rPr>
          <w:b w:val="0"/>
          <w:lang w:eastAsia="en-AU"/>
        </w:rPr>
        <w:t xml:space="preserve">the parole regime in the </w:t>
      </w:r>
      <w:r w:rsidR="00892734">
        <w:rPr>
          <w:b w:val="0"/>
          <w:i/>
          <w:lang w:eastAsia="en-AU"/>
        </w:rPr>
        <w:t>Crimes (Sentencing) Act 2005</w:t>
      </w:r>
      <w:r w:rsidR="00892734">
        <w:rPr>
          <w:b w:val="0"/>
          <w:lang w:eastAsia="en-AU"/>
        </w:rPr>
        <w:t xml:space="preserve"> applies in respect of the remaining term. The amendment is intended to clarify any ambiguity about the application of parole following the Supreme Court’s decision in </w:t>
      </w:r>
      <w:r w:rsidR="00892734">
        <w:rPr>
          <w:b w:val="0"/>
          <w:i/>
          <w:lang w:eastAsia="en-AU"/>
        </w:rPr>
        <w:t>R v XH</w:t>
      </w:r>
      <w:r w:rsidR="00892734">
        <w:rPr>
          <w:b w:val="0"/>
          <w:lang w:eastAsia="en-AU"/>
        </w:rPr>
        <w:t xml:space="preserve"> [2017] ACTSC 236.</w:t>
      </w:r>
    </w:p>
    <w:p w14:paraId="58E1E459" w14:textId="4850E7BE" w:rsidR="0018734E" w:rsidRPr="009428EA" w:rsidRDefault="0018734E" w:rsidP="0018734E">
      <w:pPr>
        <w:pStyle w:val="Heading4"/>
        <w:keepNext w:val="0"/>
        <w:rPr>
          <w:lang w:eastAsia="en-AU"/>
        </w:rPr>
      </w:pPr>
      <w:r w:rsidRPr="00C71A66">
        <w:t xml:space="preserve">Clause </w:t>
      </w:r>
      <w:r>
        <w:rPr>
          <w:noProof/>
        </w:rPr>
        <w:fldChar w:fldCharType="begin"/>
      </w:r>
      <w:r>
        <w:rPr>
          <w:noProof/>
        </w:rPr>
        <w:instrText xml:space="preserve"> SEQ Clause \* ARABIC </w:instrText>
      </w:r>
      <w:r>
        <w:rPr>
          <w:noProof/>
        </w:rPr>
        <w:fldChar w:fldCharType="separate"/>
      </w:r>
      <w:r w:rsidR="00AB12E0">
        <w:rPr>
          <w:noProof/>
        </w:rPr>
        <w:t>18</w:t>
      </w:r>
      <w:r>
        <w:rPr>
          <w:noProof/>
        </w:rPr>
        <w:fldChar w:fldCharType="end"/>
      </w:r>
      <w:r w:rsidRPr="00C71A66">
        <w:rPr>
          <w:bCs/>
          <w:lang w:eastAsia="en-AU"/>
        </w:rPr>
        <w:t xml:space="preserve"> </w:t>
      </w:r>
      <w:r w:rsidRPr="009428EA">
        <w:rPr>
          <w:lang w:eastAsia="en-AU"/>
        </w:rPr>
        <w:t xml:space="preserve">– </w:t>
      </w:r>
      <w:r>
        <w:rPr>
          <w:lang w:eastAsia="en-AU"/>
        </w:rPr>
        <w:t xml:space="preserve">New division 5.4.1A, heading </w:t>
      </w:r>
    </w:p>
    <w:p w14:paraId="6D020511" w14:textId="5A6F5F05" w:rsidR="0018734E" w:rsidRDefault="00CF6980" w:rsidP="0018734E">
      <w:pPr>
        <w:pStyle w:val="Heading4"/>
        <w:keepNext w:val="0"/>
        <w:rPr>
          <w:b w:val="0"/>
          <w:lang w:eastAsia="en-AU"/>
        </w:rPr>
      </w:pPr>
      <w:r>
        <w:rPr>
          <w:b w:val="0"/>
          <w:lang w:eastAsia="en-AU"/>
        </w:rPr>
        <w:t>This is a clause creat</w:t>
      </w:r>
      <w:r w:rsidR="00860E04">
        <w:rPr>
          <w:b w:val="0"/>
          <w:lang w:eastAsia="en-AU"/>
        </w:rPr>
        <w:t>es a new Division 5.4.1A to improve the structure of the legislation</w:t>
      </w:r>
      <w:r>
        <w:rPr>
          <w:b w:val="0"/>
          <w:lang w:eastAsia="en-AU"/>
        </w:rPr>
        <w:t xml:space="preserve">. </w:t>
      </w:r>
    </w:p>
    <w:p w14:paraId="53F2B82C" w14:textId="532EED36" w:rsidR="0018734E" w:rsidRDefault="0018734E" w:rsidP="00DB6A47">
      <w:pPr>
        <w:pStyle w:val="Heading4"/>
        <w:keepNext w:val="0"/>
        <w:spacing w:after="0"/>
        <w:rPr>
          <w:lang w:eastAsia="en-AU"/>
        </w:rPr>
      </w:pPr>
      <w:r w:rsidRPr="00C71A66">
        <w:t xml:space="preserve">Clause </w:t>
      </w:r>
      <w:r>
        <w:rPr>
          <w:noProof/>
        </w:rPr>
        <w:fldChar w:fldCharType="begin"/>
      </w:r>
      <w:r>
        <w:rPr>
          <w:noProof/>
        </w:rPr>
        <w:instrText xml:space="preserve"> SEQ Clause \* ARABIC </w:instrText>
      </w:r>
      <w:r>
        <w:rPr>
          <w:noProof/>
        </w:rPr>
        <w:fldChar w:fldCharType="separate"/>
      </w:r>
      <w:r w:rsidR="00AB12E0">
        <w:rPr>
          <w:noProof/>
        </w:rPr>
        <w:t>19</w:t>
      </w:r>
      <w:r>
        <w:rPr>
          <w:noProof/>
        </w:rPr>
        <w:fldChar w:fldCharType="end"/>
      </w:r>
      <w:r w:rsidRPr="00C71A66">
        <w:rPr>
          <w:bCs/>
          <w:lang w:eastAsia="en-AU"/>
        </w:rPr>
        <w:t xml:space="preserve"> </w:t>
      </w:r>
      <w:r w:rsidRPr="009428EA">
        <w:rPr>
          <w:lang w:eastAsia="en-AU"/>
        </w:rPr>
        <w:t xml:space="preserve">– </w:t>
      </w:r>
      <w:r w:rsidR="00DB6A47">
        <w:rPr>
          <w:lang w:eastAsia="en-AU"/>
        </w:rPr>
        <w:t>Application – pt 5.4</w:t>
      </w:r>
    </w:p>
    <w:p w14:paraId="20AE20D9" w14:textId="4A4F1C4A" w:rsidR="00DB6A47" w:rsidRPr="00DB6A47" w:rsidRDefault="00DB6A47" w:rsidP="00DB6A47">
      <w:pPr>
        <w:rPr>
          <w:lang w:eastAsia="en-AU"/>
        </w:rPr>
      </w:pPr>
      <w:r>
        <w:rPr>
          <w:b/>
          <w:lang w:eastAsia="en-AU"/>
        </w:rPr>
        <w:t>Section 76</w:t>
      </w:r>
    </w:p>
    <w:p w14:paraId="2133F25B" w14:textId="2F6DEED3" w:rsidR="00617A2E" w:rsidRDefault="00860E04" w:rsidP="00617A2E">
      <w:pPr>
        <w:pStyle w:val="Heading4"/>
        <w:keepNext w:val="0"/>
        <w:rPr>
          <w:b w:val="0"/>
          <w:lang w:eastAsia="en-AU"/>
        </w:rPr>
      </w:pPr>
      <w:r>
        <w:rPr>
          <w:b w:val="0"/>
          <w:lang w:eastAsia="en-AU"/>
        </w:rPr>
        <w:t>This is a clause moves</w:t>
      </w:r>
      <w:r w:rsidR="00C10E2C">
        <w:rPr>
          <w:b w:val="0"/>
          <w:lang w:eastAsia="en-AU"/>
        </w:rPr>
        <w:t xml:space="preserve"> section 76 to Division 5.4.1A</w:t>
      </w:r>
      <w:r w:rsidRPr="00860E04">
        <w:rPr>
          <w:b w:val="0"/>
          <w:lang w:eastAsia="en-AU"/>
        </w:rPr>
        <w:t xml:space="preserve"> </w:t>
      </w:r>
      <w:r>
        <w:rPr>
          <w:b w:val="0"/>
          <w:lang w:eastAsia="en-AU"/>
        </w:rPr>
        <w:t>to improve the structure of the legislation.</w:t>
      </w:r>
    </w:p>
    <w:p w14:paraId="58B4CF7C" w14:textId="0B0B6FF5" w:rsidR="00DB6A47" w:rsidRDefault="0018734E" w:rsidP="008658D7">
      <w:pPr>
        <w:pStyle w:val="Heading4"/>
        <w:keepLines/>
        <w:spacing w:after="0"/>
        <w:rPr>
          <w:lang w:eastAsia="en-AU"/>
        </w:rPr>
      </w:pPr>
      <w:r w:rsidRPr="00C71A66">
        <w:t xml:space="preserve">Clause </w:t>
      </w:r>
      <w:r w:rsidR="00DB6A47">
        <w:rPr>
          <w:noProof/>
        </w:rPr>
        <w:fldChar w:fldCharType="begin"/>
      </w:r>
      <w:r w:rsidR="00DB6A47">
        <w:rPr>
          <w:noProof/>
        </w:rPr>
        <w:instrText xml:space="preserve"> SEQ Clause \* ARABIC  \* MERGEFORMAT </w:instrText>
      </w:r>
      <w:r w:rsidR="00DB6A47">
        <w:rPr>
          <w:noProof/>
        </w:rPr>
        <w:fldChar w:fldCharType="separate"/>
      </w:r>
      <w:r w:rsidR="00AB12E0">
        <w:rPr>
          <w:noProof/>
        </w:rPr>
        <w:t>20</w:t>
      </w:r>
      <w:r w:rsidR="00DB6A47">
        <w:rPr>
          <w:noProof/>
        </w:rPr>
        <w:fldChar w:fldCharType="end"/>
      </w:r>
      <w:r w:rsidRPr="00C71A66">
        <w:rPr>
          <w:bCs/>
          <w:lang w:eastAsia="en-AU"/>
        </w:rPr>
        <w:t xml:space="preserve"> </w:t>
      </w:r>
      <w:r w:rsidRPr="009428EA">
        <w:rPr>
          <w:lang w:eastAsia="en-AU"/>
        </w:rPr>
        <w:t xml:space="preserve">– </w:t>
      </w:r>
      <w:r w:rsidR="00DB6A47">
        <w:rPr>
          <w:lang w:eastAsia="en-AU"/>
        </w:rPr>
        <w:t>Intensive correction orders – suitability</w:t>
      </w:r>
    </w:p>
    <w:p w14:paraId="641D3739" w14:textId="50D2B1B7" w:rsidR="0018734E" w:rsidRPr="009428EA" w:rsidRDefault="00DB6A47" w:rsidP="008658D7">
      <w:pPr>
        <w:pStyle w:val="Heading4"/>
        <w:keepLines/>
        <w:spacing w:before="0"/>
        <w:rPr>
          <w:lang w:eastAsia="en-AU"/>
        </w:rPr>
      </w:pPr>
      <w:r>
        <w:rPr>
          <w:lang w:eastAsia="en-AU"/>
        </w:rPr>
        <w:t>Section 78(1) and (2)</w:t>
      </w:r>
      <w:r w:rsidR="0018734E">
        <w:rPr>
          <w:lang w:eastAsia="en-AU"/>
        </w:rPr>
        <w:t xml:space="preserve"> </w:t>
      </w:r>
    </w:p>
    <w:p w14:paraId="0FD98632" w14:textId="6BF58B66" w:rsidR="000E756D" w:rsidRDefault="00450E94" w:rsidP="0018734E">
      <w:pPr>
        <w:pStyle w:val="Heading4"/>
        <w:keepNext w:val="0"/>
        <w:rPr>
          <w:b w:val="0"/>
          <w:lang w:eastAsia="en-AU"/>
        </w:rPr>
      </w:pPr>
      <w:r>
        <w:rPr>
          <w:b w:val="0"/>
          <w:lang w:eastAsia="en-AU"/>
        </w:rPr>
        <w:t xml:space="preserve">This clause amends section 78 to </w:t>
      </w:r>
      <w:r w:rsidR="000E756D">
        <w:rPr>
          <w:b w:val="0"/>
          <w:lang w:eastAsia="en-AU"/>
        </w:rPr>
        <w:t>align with the clarification in clause 16</w:t>
      </w:r>
      <w:r>
        <w:rPr>
          <w:b w:val="0"/>
          <w:lang w:eastAsia="en-AU"/>
        </w:rPr>
        <w:t xml:space="preserve"> that </w:t>
      </w:r>
      <w:r w:rsidR="000E756D">
        <w:rPr>
          <w:b w:val="0"/>
          <w:lang w:eastAsia="en-AU"/>
        </w:rPr>
        <w:t>an intensive correction assessment may be requested at an early stage, notwithstanding the assessment is not considered by the sentencing Court until a later stage.</w:t>
      </w:r>
    </w:p>
    <w:p w14:paraId="2898D65A" w14:textId="05C5309E" w:rsidR="0018734E" w:rsidRPr="009428EA" w:rsidRDefault="0018734E" w:rsidP="00C10E2C">
      <w:pPr>
        <w:pStyle w:val="Heading4"/>
        <w:keepLines/>
        <w:rPr>
          <w:lang w:eastAsia="en-AU"/>
        </w:rPr>
      </w:pPr>
      <w:r w:rsidRPr="00C71A66">
        <w:t xml:space="preserve">Clause </w:t>
      </w:r>
      <w:r w:rsidR="00DB6A47">
        <w:rPr>
          <w:noProof/>
        </w:rPr>
        <w:fldChar w:fldCharType="begin"/>
      </w:r>
      <w:r w:rsidR="00DB6A47">
        <w:rPr>
          <w:noProof/>
        </w:rPr>
        <w:instrText xml:space="preserve"> SEQ Clause \* ARABIC  \* MERGEFORMAT </w:instrText>
      </w:r>
      <w:r w:rsidR="00DB6A47">
        <w:rPr>
          <w:noProof/>
        </w:rPr>
        <w:fldChar w:fldCharType="separate"/>
      </w:r>
      <w:r w:rsidR="00AB12E0">
        <w:rPr>
          <w:noProof/>
        </w:rPr>
        <w:t>21</w:t>
      </w:r>
      <w:r w:rsidR="00DB6A47">
        <w:rPr>
          <w:noProof/>
        </w:rPr>
        <w:fldChar w:fldCharType="end"/>
      </w:r>
      <w:r w:rsidRPr="00C71A66">
        <w:rPr>
          <w:bCs/>
          <w:lang w:eastAsia="en-AU"/>
        </w:rPr>
        <w:t xml:space="preserve"> </w:t>
      </w:r>
      <w:r w:rsidRPr="009428EA">
        <w:rPr>
          <w:lang w:eastAsia="en-AU"/>
        </w:rPr>
        <w:t xml:space="preserve">– </w:t>
      </w:r>
      <w:r w:rsidR="00DB6A47">
        <w:rPr>
          <w:lang w:eastAsia="en-AU"/>
        </w:rPr>
        <w:t>Section 78 (5</w:t>
      </w:r>
      <w:r>
        <w:rPr>
          <w:lang w:eastAsia="en-AU"/>
        </w:rPr>
        <w:t>)</w:t>
      </w:r>
    </w:p>
    <w:p w14:paraId="4B2073B3" w14:textId="29F9D2E8" w:rsidR="00C562FD" w:rsidRPr="00A1349E" w:rsidRDefault="00C562FD" w:rsidP="00A1349E">
      <w:pPr>
        <w:pStyle w:val="BodyText"/>
        <w:rPr>
          <w:rStyle w:val="BodyTextChar"/>
        </w:rPr>
      </w:pPr>
      <w:r w:rsidRPr="00A1349E">
        <w:t xml:space="preserve">This is a consequential amendment </w:t>
      </w:r>
      <w:r w:rsidR="00A1349E">
        <w:t xml:space="preserve">following </w:t>
      </w:r>
      <w:r w:rsidRPr="00A1349E">
        <w:t>from clause 16</w:t>
      </w:r>
      <w:r w:rsidR="00A83B4A">
        <w:t xml:space="preserve"> and the re-location of table 79 to new section 46D</w:t>
      </w:r>
      <w:r w:rsidRPr="00A1349E">
        <w:t>.</w:t>
      </w:r>
      <w:r w:rsidRPr="00A1349E">
        <w:rPr>
          <w:szCs w:val="22"/>
        </w:rPr>
        <w:t xml:space="preserve"> </w:t>
      </w:r>
    </w:p>
    <w:p w14:paraId="4B4CE6BD" w14:textId="4AD9682F" w:rsidR="0018734E" w:rsidRPr="009428EA" w:rsidRDefault="0018734E" w:rsidP="0018734E">
      <w:pPr>
        <w:pStyle w:val="Heading4"/>
        <w:keepNext w:val="0"/>
        <w:rPr>
          <w:lang w:eastAsia="en-AU"/>
        </w:rPr>
      </w:pPr>
      <w:r w:rsidRPr="00C71A66">
        <w:t xml:space="preserve">Clause </w:t>
      </w:r>
      <w:r w:rsidR="00DB6A47">
        <w:rPr>
          <w:noProof/>
        </w:rPr>
        <w:fldChar w:fldCharType="begin"/>
      </w:r>
      <w:r w:rsidR="00DB6A47">
        <w:rPr>
          <w:noProof/>
        </w:rPr>
        <w:instrText xml:space="preserve"> SEQ Clause \* ARABIC  \* MERGEFORMAT </w:instrText>
      </w:r>
      <w:r w:rsidR="00DB6A47">
        <w:rPr>
          <w:noProof/>
        </w:rPr>
        <w:fldChar w:fldCharType="separate"/>
      </w:r>
      <w:r w:rsidR="00AB12E0">
        <w:rPr>
          <w:noProof/>
        </w:rPr>
        <w:t>22</w:t>
      </w:r>
      <w:r w:rsidR="00DB6A47">
        <w:rPr>
          <w:noProof/>
        </w:rPr>
        <w:fldChar w:fldCharType="end"/>
      </w:r>
      <w:r w:rsidRPr="00C71A66">
        <w:rPr>
          <w:bCs/>
          <w:lang w:eastAsia="en-AU"/>
        </w:rPr>
        <w:t xml:space="preserve"> </w:t>
      </w:r>
      <w:r w:rsidRPr="009428EA">
        <w:rPr>
          <w:lang w:eastAsia="en-AU"/>
        </w:rPr>
        <w:t xml:space="preserve">– </w:t>
      </w:r>
      <w:r w:rsidR="00DB6A47">
        <w:rPr>
          <w:lang w:eastAsia="en-AU"/>
        </w:rPr>
        <w:t>Section 78 (9</w:t>
      </w:r>
      <w:r>
        <w:rPr>
          <w:lang w:eastAsia="en-AU"/>
        </w:rPr>
        <w:t>)</w:t>
      </w:r>
    </w:p>
    <w:p w14:paraId="6627F9A5" w14:textId="7DB5292E" w:rsidR="00717B66" w:rsidRPr="00A1349E" w:rsidRDefault="00717B66" w:rsidP="00717B66">
      <w:pPr>
        <w:pStyle w:val="BodyText"/>
        <w:rPr>
          <w:rStyle w:val="BodyTextChar"/>
        </w:rPr>
      </w:pPr>
      <w:r w:rsidRPr="00A1349E">
        <w:t xml:space="preserve">This is a consequential amendment </w:t>
      </w:r>
      <w:r>
        <w:t xml:space="preserve">following </w:t>
      </w:r>
      <w:r w:rsidRPr="00A1349E">
        <w:t>from clause 16</w:t>
      </w:r>
      <w:r>
        <w:t xml:space="preserve"> and the re-location of section 78(9) to new section 46E(5)</w:t>
      </w:r>
      <w:r w:rsidRPr="00A1349E">
        <w:t>.</w:t>
      </w:r>
      <w:r w:rsidRPr="00A1349E">
        <w:rPr>
          <w:szCs w:val="22"/>
        </w:rPr>
        <w:t xml:space="preserve"> </w:t>
      </w:r>
    </w:p>
    <w:p w14:paraId="308DD68D" w14:textId="7519DF1C" w:rsidR="00AF0D54" w:rsidRDefault="00AF0D54" w:rsidP="00DB6A47">
      <w:pPr>
        <w:pStyle w:val="Heading4"/>
        <w:keepNext w:val="0"/>
        <w:spacing w:after="0"/>
        <w:rPr>
          <w:lang w:eastAsia="en-AU"/>
        </w:rPr>
      </w:pPr>
      <w:r w:rsidRPr="009208C7">
        <w:t xml:space="preserve">Clause </w:t>
      </w:r>
      <w:r w:rsidR="00BA4A6E" w:rsidRPr="009208C7">
        <w:rPr>
          <w:noProof/>
        </w:rPr>
        <w:fldChar w:fldCharType="begin"/>
      </w:r>
      <w:r w:rsidR="00BA4A6E" w:rsidRPr="009208C7">
        <w:rPr>
          <w:noProof/>
        </w:rPr>
        <w:instrText xml:space="preserve"> SEQ Clause \* ARABIC </w:instrText>
      </w:r>
      <w:r w:rsidR="00BA4A6E" w:rsidRPr="009208C7">
        <w:rPr>
          <w:noProof/>
        </w:rPr>
        <w:fldChar w:fldCharType="separate"/>
      </w:r>
      <w:r w:rsidR="00AB12E0" w:rsidRPr="009208C7">
        <w:rPr>
          <w:noProof/>
        </w:rPr>
        <w:t>23</w:t>
      </w:r>
      <w:r w:rsidR="00BA4A6E" w:rsidRPr="009208C7">
        <w:rPr>
          <w:noProof/>
        </w:rPr>
        <w:fldChar w:fldCharType="end"/>
      </w:r>
      <w:r w:rsidR="00BA4A6E" w:rsidRPr="00C71A66">
        <w:rPr>
          <w:bCs/>
          <w:lang w:eastAsia="en-AU"/>
        </w:rPr>
        <w:t xml:space="preserve"> </w:t>
      </w:r>
      <w:r w:rsidRPr="009428EA">
        <w:rPr>
          <w:lang w:eastAsia="en-AU"/>
        </w:rPr>
        <w:t xml:space="preserve">– </w:t>
      </w:r>
      <w:r w:rsidR="00DB6A47">
        <w:rPr>
          <w:lang w:eastAsia="en-AU"/>
        </w:rPr>
        <w:t>Intensive correction orders – intensive correction assessment matters</w:t>
      </w:r>
    </w:p>
    <w:p w14:paraId="2FB95C62" w14:textId="7C912842" w:rsidR="00DB6A47" w:rsidRPr="00DB6A47" w:rsidRDefault="00DB6A47" w:rsidP="00DB6A47">
      <w:pPr>
        <w:rPr>
          <w:b/>
          <w:lang w:eastAsia="en-AU"/>
        </w:rPr>
      </w:pPr>
      <w:r>
        <w:rPr>
          <w:b/>
          <w:lang w:eastAsia="en-AU"/>
        </w:rPr>
        <w:t>Section 79</w:t>
      </w:r>
    </w:p>
    <w:p w14:paraId="38C5F9E3" w14:textId="5A934120" w:rsidR="00C562FD" w:rsidRPr="00C562FD" w:rsidRDefault="00C562FD" w:rsidP="00C562FD">
      <w:pPr>
        <w:rPr>
          <w:lang w:eastAsia="en-AU"/>
        </w:rPr>
      </w:pPr>
      <w:r>
        <w:rPr>
          <w:lang w:eastAsia="en-AU"/>
        </w:rPr>
        <w:t xml:space="preserve">This is a consequential amendment </w:t>
      </w:r>
      <w:r w:rsidR="00001411">
        <w:rPr>
          <w:lang w:eastAsia="en-AU"/>
        </w:rPr>
        <w:t xml:space="preserve">flowing </w:t>
      </w:r>
      <w:r>
        <w:rPr>
          <w:lang w:eastAsia="en-AU"/>
        </w:rPr>
        <w:t>from clause 16</w:t>
      </w:r>
      <w:r w:rsidR="00A506CC">
        <w:rPr>
          <w:lang w:eastAsia="en-AU"/>
        </w:rPr>
        <w:t>,</w:t>
      </w:r>
      <w:r w:rsidR="00001411">
        <w:rPr>
          <w:lang w:eastAsia="en-AU"/>
        </w:rPr>
        <w:t xml:space="preserve"> which relocates existing section 79 to new section 46D</w:t>
      </w:r>
      <w:r>
        <w:rPr>
          <w:lang w:eastAsia="en-AU"/>
        </w:rPr>
        <w:t xml:space="preserve">. </w:t>
      </w:r>
    </w:p>
    <w:p w14:paraId="12B6FBE2" w14:textId="670067D7" w:rsidR="00355B5C" w:rsidRDefault="00355B5C" w:rsidP="001C62F4">
      <w:pPr>
        <w:pStyle w:val="Heading4"/>
        <w:keepLines/>
        <w:spacing w:after="0"/>
        <w:rPr>
          <w:lang w:eastAsia="en-AU"/>
        </w:rPr>
      </w:pPr>
      <w:r w:rsidRPr="00C71A66">
        <w:t xml:space="preserve">Clause </w:t>
      </w:r>
      <w:r>
        <w:rPr>
          <w:noProof/>
        </w:rPr>
        <w:fldChar w:fldCharType="begin"/>
      </w:r>
      <w:r>
        <w:rPr>
          <w:noProof/>
        </w:rPr>
        <w:instrText xml:space="preserve"> SEQ Clause \* ARABIC </w:instrText>
      </w:r>
      <w:r>
        <w:rPr>
          <w:noProof/>
        </w:rPr>
        <w:fldChar w:fldCharType="separate"/>
      </w:r>
      <w:r w:rsidR="00AB12E0">
        <w:rPr>
          <w:noProof/>
        </w:rPr>
        <w:t>24</w:t>
      </w:r>
      <w:r>
        <w:rPr>
          <w:noProof/>
        </w:rPr>
        <w:fldChar w:fldCharType="end"/>
      </w:r>
      <w:r w:rsidRPr="00C71A66">
        <w:rPr>
          <w:bCs/>
          <w:lang w:eastAsia="en-AU"/>
        </w:rPr>
        <w:t xml:space="preserve"> </w:t>
      </w:r>
      <w:r w:rsidRPr="009428EA">
        <w:rPr>
          <w:lang w:eastAsia="en-AU"/>
        </w:rPr>
        <w:t xml:space="preserve">– </w:t>
      </w:r>
      <w:r w:rsidR="00DB6A47">
        <w:rPr>
          <w:lang w:eastAsia="en-AU"/>
        </w:rPr>
        <w:t>Intensive correction order – community service – suitability</w:t>
      </w:r>
    </w:p>
    <w:p w14:paraId="6FB39AD4" w14:textId="159C8830" w:rsidR="00DB6A47" w:rsidRPr="00DB6A47" w:rsidRDefault="00DB6A47" w:rsidP="001C62F4">
      <w:pPr>
        <w:keepNext/>
        <w:keepLines/>
        <w:rPr>
          <w:b/>
          <w:lang w:eastAsia="en-AU"/>
        </w:rPr>
      </w:pPr>
      <w:r w:rsidRPr="00DB6A47">
        <w:rPr>
          <w:b/>
          <w:lang w:eastAsia="en-AU"/>
        </w:rPr>
        <w:t>Section 80D</w:t>
      </w:r>
    </w:p>
    <w:p w14:paraId="59497D0C" w14:textId="03B25306" w:rsidR="008B40CE" w:rsidRPr="007C11D6" w:rsidRDefault="00001411" w:rsidP="007C11D6">
      <w:pPr>
        <w:pStyle w:val="Heading4"/>
        <w:keepNext w:val="0"/>
        <w:rPr>
          <w:lang w:eastAsia="en-AU"/>
        </w:rPr>
      </w:pPr>
      <w:r>
        <w:rPr>
          <w:b w:val="0"/>
          <w:lang w:eastAsia="en-AU"/>
        </w:rPr>
        <w:t xml:space="preserve">Clause 24 </w:t>
      </w:r>
      <w:r w:rsidR="00E018EC">
        <w:rPr>
          <w:b w:val="0"/>
          <w:lang w:eastAsia="en-AU"/>
        </w:rPr>
        <w:t xml:space="preserve">makes a consequential amendment to </w:t>
      </w:r>
      <w:r>
        <w:rPr>
          <w:b w:val="0"/>
          <w:lang w:eastAsia="en-AU"/>
        </w:rPr>
        <w:t xml:space="preserve">sub-section 80D(1) </w:t>
      </w:r>
      <w:r w:rsidR="00E018EC">
        <w:rPr>
          <w:b w:val="0"/>
          <w:lang w:eastAsia="en-AU"/>
        </w:rPr>
        <w:t>to reflect the definition of intensive correction assessment in clause</w:t>
      </w:r>
      <w:r w:rsidR="008432E7">
        <w:rPr>
          <w:b w:val="0"/>
          <w:lang w:eastAsia="en-AU"/>
        </w:rPr>
        <w:t xml:space="preserve"> 28</w:t>
      </w:r>
      <w:r>
        <w:rPr>
          <w:b w:val="0"/>
          <w:lang w:eastAsia="en-AU"/>
        </w:rPr>
        <w:t>.</w:t>
      </w:r>
    </w:p>
    <w:p w14:paraId="5AA5F85D" w14:textId="5582888D" w:rsidR="00355B5C" w:rsidRDefault="00355B5C" w:rsidP="0011444A">
      <w:pPr>
        <w:pStyle w:val="Heading4"/>
        <w:keepNext w:val="0"/>
        <w:spacing w:after="0"/>
        <w:rPr>
          <w:lang w:eastAsia="en-AU"/>
        </w:rPr>
      </w:pPr>
      <w:r w:rsidRPr="00C71A66">
        <w:t xml:space="preserve">Clause </w:t>
      </w:r>
      <w:r>
        <w:rPr>
          <w:noProof/>
        </w:rPr>
        <w:fldChar w:fldCharType="begin"/>
      </w:r>
      <w:r>
        <w:rPr>
          <w:noProof/>
        </w:rPr>
        <w:instrText xml:space="preserve"> SEQ Clause \* ARABIC </w:instrText>
      </w:r>
      <w:r>
        <w:rPr>
          <w:noProof/>
        </w:rPr>
        <w:fldChar w:fldCharType="separate"/>
      </w:r>
      <w:r w:rsidR="00AB12E0">
        <w:rPr>
          <w:noProof/>
        </w:rPr>
        <w:t>25</w:t>
      </w:r>
      <w:r>
        <w:rPr>
          <w:noProof/>
        </w:rPr>
        <w:fldChar w:fldCharType="end"/>
      </w:r>
      <w:r w:rsidRPr="00C71A66">
        <w:rPr>
          <w:bCs/>
          <w:lang w:eastAsia="en-AU"/>
        </w:rPr>
        <w:t xml:space="preserve"> </w:t>
      </w:r>
      <w:r w:rsidRPr="009428EA">
        <w:rPr>
          <w:lang w:eastAsia="en-AU"/>
        </w:rPr>
        <w:t xml:space="preserve">– </w:t>
      </w:r>
      <w:r w:rsidR="0011444A">
        <w:rPr>
          <w:lang w:eastAsia="en-AU"/>
        </w:rPr>
        <w:t>Intensive correction orders – rehabilitation programs – suitability</w:t>
      </w:r>
    </w:p>
    <w:p w14:paraId="3C1A0DA4" w14:textId="0BBD5D5F" w:rsidR="0011444A" w:rsidRPr="0011444A" w:rsidRDefault="0011444A" w:rsidP="0011444A">
      <w:pPr>
        <w:rPr>
          <w:b/>
          <w:lang w:eastAsia="en-AU"/>
        </w:rPr>
      </w:pPr>
      <w:r w:rsidRPr="0011444A">
        <w:rPr>
          <w:b/>
          <w:lang w:eastAsia="en-AU"/>
        </w:rPr>
        <w:t>Section 80J (1) (a)</w:t>
      </w:r>
    </w:p>
    <w:p w14:paraId="1D46F702" w14:textId="1CFEC6DF" w:rsidR="008432E7" w:rsidRPr="007C11D6" w:rsidRDefault="008432E7" w:rsidP="008432E7">
      <w:pPr>
        <w:pStyle w:val="Heading4"/>
        <w:keepNext w:val="0"/>
        <w:rPr>
          <w:lang w:eastAsia="en-AU"/>
        </w:rPr>
      </w:pPr>
      <w:r>
        <w:rPr>
          <w:b w:val="0"/>
          <w:lang w:eastAsia="en-AU"/>
        </w:rPr>
        <w:t>Clause 25 makes a consequential amendment to sub-section 80J(1)(a) to reflect the definition of intensive correction assessment in clause 28.</w:t>
      </w:r>
    </w:p>
    <w:p w14:paraId="28880171" w14:textId="091D9BC3" w:rsidR="00355B5C" w:rsidRPr="009428EA" w:rsidRDefault="00355B5C" w:rsidP="00355B5C">
      <w:pPr>
        <w:pStyle w:val="Heading4"/>
        <w:keepNext w:val="0"/>
        <w:rPr>
          <w:lang w:eastAsia="en-AU"/>
        </w:rPr>
      </w:pPr>
      <w:r w:rsidRPr="00C71A66">
        <w:t xml:space="preserve">Clause </w:t>
      </w:r>
      <w:r w:rsidR="0011444A">
        <w:rPr>
          <w:noProof/>
        </w:rPr>
        <w:fldChar w:fldCharType="begin"/>
      </w:r>
      <w:r w:rsidR="0011444A">
        <w:rPr>
          <w:noProof/>
        </w:rPr>
        <w:instrText xml:space="preserve"> SEQ Clause \* ARABIC  \* MERGEFORMAT </w:instrText>
      </w:r>
      <w:r w:rsidR="0011444A">
        <w:rPr>
          <w:noProof/>
        </w:rPr>
        <w:fldChar w:fldCharType="separate"/>
      </w:r>
      <w:r w:rsidR="00AB12E0">
        <w:rPr>
          <w:noProof/>
        </w:rPr>
        <w:t>26</w:t>
      </w:r>
      <w:r w:rsidR="0011444A">
        <w:rPr>
          <w:noProof/>
        </w:rPr>
        <w:fldChar w:fldCharType="end"/>
      </w:r>
      <w:r w:rsidRPr="00C71A66">
        <w:rPr>
          <w:bCs/>
          <w:lang w:eastAsia="en-AU"/>
        </w:rPr>
        <w:t xml:space="preserve"> </w:t>
      </w:r>
      <w:r w:rsidRPr="009428EA">
        <w:rPr>
          <w:lang w:eastAsia="en-AU"/>
        </w:rPr>
        <w:t xml:space="preserve">– </w:t>
      </w:r>
      <w:r w:rsidR="0011444A">
        <w:rPr>
          <w:lang w:eastAsia="en-AU"/>
        </w:rPr>
        <w:t>Dictionary, note 2</w:t>
      </w:r>
    </w:p>
    <w:p w14:paraId="04AC24EB" w14:textId="5026AF14" w:rsidR="00355B5C" w:rsidRPr="00883F96" w:rsidRDefault="00883F96" w:rsidP="00355B5C">
      <w:pPr>
        <w:pStyle w:val="Heading4"/>
        <w:keepNext w:val="0"/>
        <w:rPr>
          <w:b w:val="0"/>
          <w:lang w:eastAsia="en-AU"/>
        </w:rPr>
      </w:pPr>
      <w:r>
        <w:rPr>
          <w:b w:val="0"/>
          <w:lang w:eastAsia="en-AU"/>
        </w:rPr>
        <w:t xml:space="preserve">This clause adds ‘Magistrates Court’ </w:t>
      </w:r>
      <w:r w:rsidR="00B7235D">
        <w:rPr>
          <w:b w:val="0"/>
          <w:lang w:eastAsia="en-AU"/>
        </w:rPr>
        <w:t xml:space="preserve">and ‘Supreme Court’ </w:t>
      </w:r>
      <w:r>
        <w:rPr>
          <w:b w:val="0"/>
          <w:lang w:eastAsia="en-AU"/>
        </w:rPr>
        <w:t xml:space="preserve">to the list of items that are defined in Part 1 of the Dictionary to the </w:t>
      </w:r>
      <w:r>
        <w:rPr>
          <w:b w:val="0"/>
          <w:i/>
          <w:lang w:eastAsia="en-AU"/>
        </w:rPr>
        <w:t>Legislation Act 2001</w:t>
      </w:r>
      <w:r>
        <w:rPr>
          <w:b w:val="0"/>
          <w:lang w:eastAsia="en-AU"/>
        </w:rPr>
        <w:t xml:space="preserve">. </w:t>
      </w:r>
    </w:p>
    <w:p w14:paraId="2D9B2308" w14:textId="71AE6F7D" w:rsidR="00355B5C" w:rsidRPr="0011444A" w:rsidRDefault="00355B5C" w:rsidP="00355B5C">
      <w:pPr>
        <w:pStyle w:val="Heading4"/>
        <w:keepNext w:val="0"/>
        <w:rPr>
          <w:lang w:eastAsia="en-AU"/>
        </w:rPr>
      </w:pPr>
      <w:r w:rsidRPr="00C71A66">
        <w:t xml:space="preserve">Clause </w:t>
      </w:r>
      <w:r>
        <w:rPr>
          <w:noProof/>
        </w:rPr>
        <w:fldChar w:fldCharType="begin"/>
      </w:r>
      <w:r>
        <w:rPr>
          <w:noProof/>
        </w:rPr>
        <w:instrText xml:space="preserve"> SEQ Clause \* ARABIC </w:instrText>
      </w:r>
      <w:r>
        <w:rPr>
          <w:noProof/>
        </w:rPr>
        <w:fldChar w:fldCharType="separate"/>
      </w:r>
      <w:r w:rsidR="00AB12E0">
        <w:rPr>
          <w:noProof/>
        </w:rPr>
        <w:t>27</w:t>
      </w:r>
      <w:r>
        <w:rPr>
          <w:noProof/>
        </w:rPr>
        <w:fldChar w:fldCharType="end"/>
      </w:r>
      <w:r w:rsidRPr="00C71A66">
        <w:rPr>
          <w:bCs/>
          <w:lang w:eastAsia="en-AU"/>
        </w:rPr>
        <w:t xml:space="preserve"> </w:t>
      </w:r>
      <w:r w:rsidRPr="009428EA">
        <w:rPr>
          <w:lang w:eastAsia="en-AU"/>
        </w:rPr>
        <w:t xml:space="preserve">– </w:t>
      </w:r>
      <w:r>
        <w:rPr>
          <w:lang w:eastAsia="en-AU"/>
        </w:rPr>
        <w:t xml:space="preserve">Dictionary, </w:t>
      </w:r>
      <w:r w:rsidR="0011444A">
        <w:rPr>
          <w:lang w:eastAsia="en-AU"/>
        </w:rPr>
        <w:t xml:space="preserve">definition of </w:t>
      </w:r>
      <w:r w:rsidR="0011444A">
        <w:rPr>
          <w:i/>
          <w:lang w:eastAsia="en-AU"/>
        </w:rPr>
        <w:t>assessor</w:t>
      </w:r>
    </w:p>
    <w:p w14:paraId="339BAAA5" w14:textId="3FC50D71" w:rsidR="00355B5C" w:rsidRPr="008B40CE" w:rsidRDefault="003B149B" w:rsidP="00355B5C">
      <w:pPr>
        <w:pStyle w:val="Heading4"/>
        <w:keepNext w:val="0"/>
        <w:rPr>
          <w:b w:val="0"/>
          <w:lang w:eastAsia="en-AU"/>
        </w:rPr>
      </w:pPr>
      <w:r>
        <w:rPr>
          <w:b w:val="0"/>
          <w:lang w:eastAsia="en-AU"/>
        </w:rPr>
        <w:t xml:space="preserve">This is a consequential amendment flowing from the insertion of section 46A in clause 16. As the term ‘assessor’ now is defined in relation to </w:t>
      </w:r>
      <w:r w:rsidR="00A506CC">
        <w:rPr>
          <w:b w:val="0"/>
          <w:lang w:eastAsia="en-AU"/>
        </w:rPr>
        <w:t xml:space="preserve">both </w:t>
      </w:r>
      <w:r>
        <w:rPr>
          <w:b w:val="0"/>
          <w:lang w:eastAsia="en-AU"/>
        </w:rPr>
        <w:t xml:space="preserve">pre-sentence reports and intensive correction assessments, the </w:t>
      </w:r>
      <w:r w:rsidR="00C020D1">
        <w:rPr>
          <w:b w:val="0"/>
          <w:lang w:eastAsia="en-AU"/>
        </w:rPr>
        <w:t>signpost</w:t>
      </w:r>
      <w:r w:rsidR="00B7235D">
        <w:rPr>
          <w:b w:val="0"/>
          <w:lang w:eastAsia="en-AU"/>
        </w:rPr>
        <w:t xml:space="preserve"> </w:t>
      </w:r>
      <w:r>
        <w:rPr>
          <w:b w:val="0"/>
          <w:lang w:eastAsia="en-AU"/>
        </w:rPr>
        <w:t xml:space="preserve">definition </w:t>
      </w:r>
      <w:r w:rsidR="00EC61D1">
        <w:rPr>
          <w:b w:val="0"/>
          <w:lang w:eastAsia="en-AU"/>
        </w:rPr>
        <w:t xml:space="preserve">in the dictionary is amended </w:t>
      </w:r>
      <w:r>
        <w:rPr>
          <w:b w:val="0"/>
          <w:lang w:eastAsia="en-AU"/>
        </w:rPr>
        <w:t xml:space="preserve">to include both sections. </w:t>
      </w:r>
    </w:p>
    <w:p w14:paraId="526FBEC9" w14:textId="0114BE42" w:rsidR="00355B5C" w:rsidRPr="007C11D6" w:rsidRDefault="00355B5C" w:rsidP="00450E94">
      <w:pPr>
        <w:pStyle w:val="Heading4"/>
        <w:keepLines/>
        <w:rPr>
          <w:i/>
          <w:lang w:eastAsia="en-AU"/>
        </w:rPr>
      </w:pPr>
      <w:r w:rsidRPr="00C71A66">
        <w:t xml:space="preserve">Clause </w:t>
      </w:r>
      <w:r>
        <w:rPr>
          <w:noProof/>
        </w:rPr>
        <w:fldChar w:fldCharType="begin"/>
      </w:r>
      <w:r>
        <w:rPr>
          <w:noProof/>
        </w:rPr>
        <w:instrText xml:space="preserve"> SEQ Clause \* ARABIC </w:instrText>
      </w:r>
      <w:r>
        <w:rPr>
          <w:noProof/>
        </w:rPr>
        <w:fldChar w:fldCharType="separate"/>
      </w:r>
      <w:r w:rsidR="00AB12E0">
        <w:rPr>
          <w:noProof/>
        </w:rPr>
        <w:t>28</w:t>
      </w:r>
      <w:r>
        <w:rPr>
          <w:noProof/>
        </w:rPr>
        <w:fldChar w:fldCharType="end"/>
      </w:r>
      <w:r w:rsidRPr="00C71A66">
        <w:rPr>
          <w:bCs/>
          <w:lang w:eastAsia="en-AU"/>
        </w:rPr>
        <w:t xml:space="preserve"> </w:t>
      </w:r>
      <w:r w:rsidRPr="009428EA">
        <w:rPr>
          <w:lang w:eastAsia="en-AU"/>
        </w:rPr>
        <w:t xml:space="preserve">– </w:t>
      </w:r>
      <w:r>
        <w:rPr>
          <w:lang w:eastAsia="en-AU"/>
        </w:rPr>
        <w:t xml:space="preserve">Dictionary, </w:t>
      </w:r>
      <w:r w:rsidR="0011444A">
        <w:rPr>
          <w:lang w:eastAsia="en-AU"/>
        </w:rPr>
        <w:t xml:space="preserve">new definition of </w:t>
      </w:r>
      <w:r w:rsidR="0011444A">
        <w:rPr>
          <w:i/>
          <w:lang w:eastAsia="en-AU"/>
        </w:rPr>
        <w:t>intensive correction assessment</w:t>
      </w:r>
      <w:r>
        <w:rPr>
          <w:i/>
          <w:lang w:eastAsia="en-AU"/>
        </w:rPr>
        <w:t xml:space="preserve"> </w:t>
      </w:r>
    </w:p>
    <w:p w14:paraId="35A2FCB9" w14:textId="13A545D9" w:rsidR="00F9265C" w:rsidRDefault="00F9265C" w:rsidP="00F9265C">
      <w:pPr>
        <w:pStyle w:val="Heading4"/>
        <w:keepNext w:val="0"/>
        <w:rPr>
          <w:b w:val="0"/>
          <w:lang w:eastAsia="en-AU"/>
        </w:rPr>
      </w:pPr>
      <w:r>
        <w:rPr>
          <w:b w:val="0"/>
          <w:lang w:eastAsia="en-AU"/>
        </w:rPr>
        <w:t xml:space="preserve">Clause 28 enacts a new single definition of intensive correction assessment in the dictionary. The definition is consistent with the existing meaning of intensive correction assessment, which currently appears in several places throughout the Act. </w:t>
      </w:r>
    </w:p>
    <w:p w14:paraId="169F9B4B" w14:textId="7870CE31" w:rsidR="008B40CE" w:rsidRPr="000115BF" w:rsidRDefault="008B40CE" w:rsidP="008B40CE">
      <w:pPr>
        <w:pStyle w:val="Heading1"/>
        <w:rPr>
          <w:lang w:eastAsia="en-AU"/>
        </w:rPr>
      </w:pPr>
      <w:bookmarkStart w:id="22" w:name="_Toc447714847"/>
      <w:bookmarkStart w:id="23" w:name="_Toc523841324"/>
      <w:r w:rsidRPr="000115BF">
        <w:rPr>
          <w:lang w:eastAsia="en-AU"/>
        </w:rPr>
        <w:t xml:space="preserve">Schedule </w:t>
      </w:r>
      <w:r w:rsidR="00326167" w:rsidRPr="000115BF">
        <w:rPr>
          <w:lang w:eastAsia="en-AU"/>
        </w:rPr>
        <w:fldChar w:fldCharType="begin"/>
      </w:r>
      <w:r w:rsidRPr="000115BF">
        <w:rPr>
          <w:lang w:eastAsia="en-AU"/>
        </w:rPr>
        <w:instrText xml:space="preserve"> SEQ Schedule \* ARABIC </w:instrText>
      </w:r>
      <w:r w:rsidR="00326167" w:rsidRPr="000115BF">
        <w:rPr>
          <w:lang w:eastAsia="en-AU"/>
        </w:rPr>
        <w:fldChar w:fldCharType="separate"/>
      </w:r>
      <w:r w:rsidR="00AB12E0">
        <w:rPr>
          <w:noProof/>
          <w:lang w:eastAsia="en-AU"/>
        </w:rPr>
        <w:t>1</w:t>
      </w:r>
      <w:r w:rsidR="00326167" w:rsidRPr="000115BF">
        <w:rPr>
          <w:lang w:eastAsia="en-AU"/>
        </w:rPr>
        <w:fldChar w:fldCharType="end"/>
      </w:r>
      <w:r w:rsidRPr="000115BF">
        <w:rPr>
          <w:lang w:eastAsia="en-AU"/>
        </w:rPr>
        <w:t xml:space="preserve"> – </w:t>
      </w:r>
      <w:bookmarkEnd w:id="22"/>
      <w:r w:rsidR="00355B5C">
        <w:rPr>
          <w:lang w:eastAsia="en-AU"/>
        </w:rPr>
        <w:t>Other amendments</w:t>
      </w:r>
      <w:bookmarkEnd w:id="23"/>
      <w:r w:rsidR="00355B5C">
        <w:rPr>
          <w:lang w:eastAsia="en-AU"/>
        </w:rPr>
        <w:t xml:space="preserve"> </w:t>
      </w:r>
    </w:p>
    <w:p w14:paraId="04153BE8" w14:textId="53EF1E8C" w:rsidR="008B40CE" w:rsidRDefault="008B40CE" w:rsidP="008B40CE">
      <w:pPr>
        <w:pStyle w:val="Heading3"/>
      </w:pPr>
      <w:bookmarkStart w:id="24" w:name="_Toc447714848"/>
      <w:bookmarkStart w:id="25" w:name="_Toc523841325"/>
      <w:r>
        <w:t xml:space="preserve">Part 1.1 – </w:t>
      </w:r>
      <w:bookmarkEnd w:id="24"/>
      <w:r w:rsidR="00355B5C">
        <w:rPr>
          <w:lang w:eastAsia="en-AU"/>
        </w:rPr>
        <w:t>Crimes Act 1900</w:t>
      </w:r>
      <w:bookmarkEnd w:id="25"/>
    </w:p>
    <w:p w14:paraId="3DA7D47A" w14:textId="1773D5FA" w:rsidR="008B40CE" w:rsidRDefault="008B40CE" w:rsidP="008B40CE">
      <w:pPr>
        <w:pStyle w:val="Heading4"/>
        <w:rPr>
          <w:i/>
          <w:lang w:eastAsia="en-AU"/>
        </w:rPr>
      </w:pPr>
      <w:r w:rsidRPr="000115BF">
        <w:t>[</w:t>
      </w:r>
      <w:r>
        <w:t>1</w:t>
      </w:r>
      <w:r w:rsidRPr="000115BF">
        <w:t>.</w:t>
      </w:r>
      <w:r w:rsidR="00326167" w:rsidRPr="000115BF">
        <w:fldChar w:fldCharType="begin"/>
      </w:r>
      <w:r w:rsidRPr="000115BF">
        <w:instrText xml:space="preserve"> SEQ [2.] \* ARABIC </w:instrText>
      </w:r>
      <w:r w:rsidR="00326167" w:rsidRPr="000115BF">
        <w:fldChar w:fldCharType="separate"/>
      </w:r>
      <w:r w:rsidR="00AB12E0">
        <w:rPr>
          <w:noProof/>
        </w:rPr>
        <w:t>1</w:t>
      </w:r>
      <w:r w:rsidR="00326167" w:rsidRPr="000115BF">
        <w:fldChar w:fldCharType="end"/>
      </w:r>
      <w:r w:rsidRPr="000115BF">
        <w:t xml:space="preserve">] </w:t>
      </w:r>
      <w:r w:rsidRPr="000115BF">
        <w:rPr>
          <w:color w:val="000000"/>
        </w:rPr>
        <w:t>–</w:t>
      </w:r>
      <w:r>
        <w:rPr>
          <w:color w:val="000000"/>
        </w:rPr>
        <w:t xml:space="preserve"> </w:t>
      </w:r>
      <w:r w:rsidR="00355B5C">
        <w:rPr>
          <w:lang w:eastAsia="en-AU"/>
        </w:rPr>
        <w:t xml:space="preserve">Dictionary, definition of </w:t>
      </w:r>
      <w:r w:rsidR="00355B5C">
        <w:rPr>
          <w:i/>
          <w:lang w:eastAsia="en-AU"/>
        </w:rPr>
        <w:t xml:space="preserve">lawful custody </w:t>
      </w:r>
    </w:p>
    <w:p w14:paraId="0DC32411" w14:textId="70AD5964" w:rsidR="00355B5C" w:rsidRPr="003B149B" w:rsidRDefault="003B149B" w:rsidP="00355B5C">
      <w:pPr>
        <w:pStyle w:val="Heading4"/>
        <w:keepNext w:val="0"/>
        <w:rPr>
          <w:b w:val="0"/>
          <w:lang w:eastAsia="en-AU"/>
        </w:rPr>
      </w:pPr>
      <w:r>
        <w:rPr>
          <w:b w:val="0"/>
          <w:lang w:eastAsia="en-AU"/>
        </w:rPr>
        <w:t xml:space="preserve">This is a technical amendment. The </w:t>
      </w:r>
      <w:r w:rsidR="00D32960">
        <w:rPr>
          <w:b w:val="0"/>
          <w:lang w:eastAsia="en-AU"/>
        </w:rPr>
        <w:t xml:space="preserve">signpost </w:t>
      </w:r>
      <w:r>
        <w:rPr>
          <w:b w:val="0"/>
          <w:lang w:eastAsia="en-AU"/>
        </w:rPr>
        <w:t>definition of ‘lawful custody’ at present refers to section 157</w:t>
      </w:r>
      <w:r w:rsidR="00D32960">
        <w:rPr>
          <w:b w:val="0"/>
          <w:lang w:eastAsia="en-AU"/>
        </w:rPr>
        <w:t xml:space="preserve">, which previously </w:t>
      </w:r>
      <w:r>
        <w:rPr>
          <w:b w:val="0"/>
          <w:lang w:eastAsia="en-AU"/>
        </w:rPr>
        <w:t>defined ‘lawful custody’ for the</w:t>
      </w:r>
      <w:r w:rsidR="00D32960">
        <w:rPr>
          <w:b w:val="0"/>
          <w:lang w:eastAsia="en-AU"/>
        </w:rPr>
        <w:t xml:space="preserve"> purposes of periodic detention. Section 157</w:t>
      </w:r>
      <w:r>
        <w:rPr>
          <w:b w:val="0"/>
          <w:lang w:eastAsia="en-AU"/>
        </w:rPr>
        <w:t xml:space="preserve"> was removed when periodic detention was removed as a sentencing option by the </w:t>
      </w:r>
      <w:r>
        <w:rPr>
          <w:b w:val="0"/>
          <w:i/>
          <w:lang w:eastAsia="en-AU"/>
        </w:rPr>
        <w:t>Crimes (Sentencing and Restorative Justice) Amendment Act 2016</w:t>
      </w:r>
      <w:r>
        <w:rPr>
          <w:b w:val="0"/>
          <w:lang w:eastAsia="en-AU"/>
        </w:rPr>
        <w:t>.</w:t>
      </w:r>
      <w:r w:rsidR="00DF0EAC">
        <w:rPr>
          <w:b w:val="0"/>
          <w:lang w:eastAsia="en-AU"/>
        </w:rPr>
        <w:t xml:space="preserve"> As </w:t>
      </w:r>
      <w:r w:rsidR="00D32960">
        <w:rPr>
          <w:b w:val="0"/>
          <w:lang w:eastAsia="en-AU"/>
        </w:rPr>
        <w:t xml:space="preserve">that </w:t>
      </w:r>
      <w:r w:rsidR="00DF0EAC">
        <w:rPr>
          <w:b w:val="0"/>
          <w:lang w:eastAsia="en-AU"/>
        </w:rPr>
        <w:t xml:space="preserve">section has been omitted, the </w:t>
      </w:r>
      <w:r w:rsidR="00D32960">
        <w:rPr>
          <w:b w:val="0"/>
          <w:lang w:eastAsia="en-AU"/>
        </w:rPr>
        <w:t xml:space="preserve">signpost </w:t>
      </w:r>
      <w:r w:rsidR="00DF0EAC">
        <w:rPr>
          <w:b w:val="0"/>
          <w:lang w:eastAsia="en-AU"/>
        </w:rPr>
        <w:t xml:space="preserve">definition </w:t>
      </w:r>
      <w:r w:rsidR="00D32960">
        <w:rPr>
          <w:b w:val="0"/>
          <w:lang w:eastAsia="en-AU"/>
        </w:rPr>
        <w:t xml:space="preserve">is </w:t>
      </w:r>
      <w:r w:rsidR="00DF0EAC">
        <w:rPr>
          <w:b w:val="0"/>
          <w:lang w:eastAsia="en-AU"/>
        </w:rPr>
        <w:t xml:space="preserve">redundant. </w:t>
      </w:r>
    </w:p>
    <w:p w14:paraId="346C2BD2" w14:textId="54325A44" w:rsidR="00355B5C" w:rsidRDefault="00355B5C" w:rsidP="003B149B">
      <w:pPr>
        <w:pStyle w:val="Heading3"/>
        <w:keepNext/>
        <w:keepLines/>
      </w:pPr>
      <w:bookmarkStart w:id="26" w:name="_Toc523841326"/>
      <w:r>
        <w:t xml:space="preserve">Part 1.2 – </w:t>
      </w:r>
      <w:r>
        <w:rPr>
          <w:lang w:eastAsia="en-AU"/>
        </w:rPr>
        <w:t>Road Transport (General) Act 1999</w:t>
      </w:r>
      <w:bookmarkEnd w:id="26"/>
    </w:p>
    <w:p w14:paraId="0DA707E0" w14:textId="51E487A0" w:rsidR="008B40CE" w:rsidRDefault="008B40CE" w:rsidP="008B40CE">
      <w:pPr>
        <w:pStyle w:val="Heading4"/>
        <w:rPr>
          <w:lang w:eastAsia="en-AU"/>
        </w:rPr>
      </w:pPr>
      <w:r w:rsidRPr="000115BF">
        <w:t>[</w:t>
      </w:r>
      <w:r>
        <w:t>1</w:t>
      </w:r>
      <w:r w:rsidRPr="000115BF">
        <w:t>.</w:t>
      </w:r>
      <w:r w:rsidR="00326167" w:rsidRPr="000115BF">
        <w:fldChar w:fldCharType="begin"/>
      </w:r>
      <w:r w:rsidRPr="000115BF">
        <w:instrText xml:space="preserve"> SEQ [2.] \* ARABIC </w:instrText>
      </w:r>
      <w:r w:rsidR="00326167" w:rsidRPr="000115BF">
        <w:fldChar w:fldCharType="separate"/>
      </w:r>
      <w:r w:rsidR="00AB12E0">
        <w:rPr>
          <w:noProof/>
        </w:rPr>
        <w:t>2</w:t>
      </w:r>
      <w:r w:rsidR="00326167" w:rsidRPr="000115BF">
        <w:fldChar w:fldCharType="end"/>
      </w:r>
      <w:r w:rsidRPr="000115BF">
        <w:t xml:space="preserve">] </w:t>
      </w:r>
      <w:r w:rsidRPr="000115BF">
        <w:rPr>
          <w:color w:val="000000"/>
        </w:rPr>
        <w:t>–</w:t>
      </w:r>
      <w:r>
        <w:rPr>
          <w:color w:val="000000"/>
        </w:rPr>
        <w:t xml:space="preserve"> </w:t>
      </w:r>
      <w:r w:rsidR="00355B5C">
        <w:rPr>
          <w:lang w:eastAsia="en-AU"/>
        </w:rPr>
        <w:t xml:space="preserve">Section 61A, definition of </w:t>
      </w:r>
      <w:r w:rsidR="00355B5C">
        <w:rPr>
          <w:i/>
          <w:lang w:eastAsia="en-AU"/>
        </w:rPr>
        <w:t>automatic disqualification provision</w:t>
      </w:r>
      <w:r w:rsidR="00355B5C">
        <w:rPr>
          <w:lang w:eastAsia="en-AU"/>
        </w:rPr>
        <w:t>, new paragraph (i)</w:t>
      </w:r>
    </w:p>
    <w:p w14:paraId="20FB2816" w14:textId="3D2273BC" w:rsidR="008B40CE" w:rsidRPr="00254E58" w:rsidRDefault="00DF0EAC" w:rsidP="00340CF5">
      <w:pPr>
        <w:pStyle w:val="Heading4"/>
        <w:keepNext w:val="0"/>
        <w:rPr>
          <w:lang w:eastAsia="en-AU"/>
        </w:rPr>
      </w:pPr>
      <w:r>
        <w:rPr>
          <w:b w:val="0"/>
          <w:lang w:eastAsia="en-AU"/>
        </w:rPr>
        <w:t xml:space="preserve">This is a consequential amendment. The section 61A definition of ‘automatic disqualification provision’ sets out the provisions of various Acts </w:t>
      </w:r>
      <w:r w:rsidR="00A37F19">
        <w:rPr>
          <w:b w:val="0"/>
          <w:lang w:eastAsia="en-AU"/>
        </w:rPr>
        <w:t>w</w:t>
      </w:r>
      <w:r>
        <w:rPr>
          <w:b w:val="0"/>
          <w:lang w:eastAsia="en-AU"/>
        </w:rPr>
        <w:t xml:space="preserve">hich can lead to an automatic disqualification. </w:t>
      </w:r>
      <w:r w:rsidR="00254E58">
        <w:rPr>
          <w:b w:val="0"/>
          <w:lang w:eastAsia="en-AU"/>
        </w:rPr>
        <w:t xml:space="preserve">The </w:t>
      </w:r>
      <w:r w:rsidR="00254E58">
        <w:rPr>
          <w:b w:val="0"/>
          <w:i/>
          <w:lang w:eastAsia="en-AU"/>
        </w:rPr>
        <w:t xml:space="preserve">Road Transport Legislation Amendment Act 2013 </w:t>
      </w:r>
      <w:r w:rsidR="00254E58">
        <w:rPr>
          <w:b w:val="0"/>
          <w:lang w:eastAsia="en-AU"/>
        </w:rPr>
        <w:t xml:space="preserve">inserted a new subsection with an automatic disqualification into section 32 of the </w:t>
      </w:r>
      <w:r w:rsidR="00254E58">
        <w:rPr>
          <w:b w:val="0"/>
          <w:i/>
          <w:lang w:eastAsia="en-AU"/>
        </w:rPr>
        <w:t>Road Transport (Driver Licensing) Act 1999</w:t>
      </w:r>
      <w:r w:rsidR="00254E58">
        <w:rPr>
          <w:b w:val="0"/>
          <w:lang w:eastAsia="en-AU"/>
        </w:rPr>
        <w:t xml:space="preserve">, but did not update the list in section 61A. This clause adds that subsection to the list. </w:t>
      </w:r>
    </w:p>
    <w:sectPr w:rsidR="008B40CE" w:rsidRPr="00254E58" w:rsidSect="00EE32FF">
      <w:footerReference w:type="default" r:id="rId17"/>
      <w:footerReference w:type="first" r:id="rId1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871AC" w14:textId="77777777" w:rsidR="00285A7F" w:rsidRDefault="00285A7F" w:rsidP="00EB113E">
      <w:pPr>
        <w:spacing w:after="0" w:line="240" w:lineRule="auto"/>
      </w:pPr>
      <w:r>
        <w:separator/>
      </w:r>
    </w:p>
  </w:endnote>
  <w:endnote w:type="continuationSeparator" w:id="0">
    <w:p w14:paraId="7F60D66C" w14:textId="77777777" w:rsidR="00285A7F" w:rsidRDefault="00285A7F" w:rsidP="00EB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Helvetica"/>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E3461" w14:textId="77777777" w:rsidR="00945F8D" w:rsidRDefault="00945F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546D8" w14:textId="77777777" w:rsidR="00FE3E9F" w:rsidRPr="00C31AB2" w:rsidRDefault="00FE3E9F" w:rsidP="00C31AB2">
    <w:pPr>
      <w:pStyle w:val="Header"/>
      <w:jc w:val="center"/>
      <w:rPr>
        <w:rFonts w:ascii="Arial" w:hAnsi="Arial" w:cs="Arial"/>
        <w:b/>
        <w:color w:val="FF0000"/>
      </w:rPr>
    </w:pPr>
    <w:r>
      <w:rPr>
        <w:rFonts w:ascii="Arial" w:hAnsi="Arial" w:cs="Arial"/>
        <w:b/>
        <w:color w:val="FF0000"/>
      </w:rPr>
      <w:t>SENSITIVE: CABINET</w:t>
    </w:r>
  </w:p>
  <w:p w14:paraId="233B9F1E" w14:textId="39A465C6" w:rsidR="00FE3E9F" w:rsidRPr="00945F8D" w:rsidRDefault="00945F8D" w:rsidP="00945F8D">
    <w:pPr>
      <w:pStyle w:val="Header"/>
      <w:jc w:val="center"/>
      <w:rPr>
        <w:rFonts w:ascii="Arial" w:hAnsi="Arial" w:cs="Arial"/>
        <w:b/>
        <w:color w:val="FF0000"/>
        <w:sz w:val="14"/>
      </w:rPr>
    </w:pPr>
    <w:r w:rsidRPr="00945F8D">
      <w:rPr>
        <w:rFonts w:ascii="Arial" w:hAnsi="Arial" w:cs="Arial"/>
        <w:b/>
        <w:color w:val="FF0000"/>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ED4D8" w14:textId="33B81FB0" w:rsidR="00945F8D" w:rsidRPr="00945F8D" w:rsidRDefault="00945F8D" w:rsidP="00945F8D">
    <w:pPr>
      <w:pStyle w:val="Footer"/>
      <w:jc w:val="center"/>
      <w:rPr>
        <w:rFonts w:ascii="Arial" w:hAnsi="Arial" w:cs="Arial"/>
        <w:sz w:val="14"/>
      </w:rPr>
    </w:pPr>
    <w:r w:rsidRPr="00945F8D">
      <w:rPr>
        <w:rFonts w:ascii="Arial" w:hAnsi="Arial" w:cs="Arial"/>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5C39C" w14:textId="0F55B7A0" w:rsidR="00FE3E9F" w:rsidRPr="00945F8D" w:rsidRDefault="00945F8D" w:rsidP="00945F8D">
    <w:pPr>
      <w:pStyle w:val="Footer"/>
      <w:jc w:val="center"/>
      <w:rPr>
        <w:rFonts w:ascii="Arial" w:hAnsi="Arial" w:cs="Arial"/>
        <w:sz w:val="14"/>
      </w:rPr>
    </w:pPr>
    <w:r w:rsidRPr="00945F8D">
      <w:rPr>
        <w:rFonts w:ascii="Arial" w:hAnsi="Arial" w:cs="Arial"/>
        <w:sz w:val="14"/>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44B50" w14:textId="72E137AA" w:rsidR="00FE3E9F" w:rsidRDefault="00FE3E9F">
    <w:pPr>
      <w:pStyle w:val="Footer"/>
      <w:jc w:val="right"/>
      <w:rPr>
        <w:noProof/>
      </w:rPr>
    </w:pPr>
    <w:r>
      <w:fldChar w:fldCharType="begin"/>
    </w:r>
    <w:r>
      <w:instrText xml:space="preserve"> PAGE   \* MERGEFORMAT </w:instrText>
    </w:r>
    <w:r>
      <w:fldChar w:fldCharType="separate"/>
    </w:r>
    <w:r w:rsidR="00945F8D">
      <w:rPr>
        <w:noProof/>
      </w:rPr>
      <w:t>1</w:t>
    </w:r>
    <w:r>
      <w:rPr>
        <w:noProof/>
      </w:rPr>
      <w:fldChar w:fldCharType="end"/>
    </w:r>
  </w:p>
  <w:p w14:paraId="452173B0" w14:textId="2F5FF564" w:rsidR="00945F8D" w:rsidRPr="00945F8D" w:rsidRDefault="00945F8D" w:rsidP="00945F8D">
    <w:pPr>
      <w:pStyle w:val="Footer"/>
      <w:jc w:val="center"/>
      <w:rPr>
        <w:rFonts w:ascii="Arial" w:hAnsi="Arial" w:cs="Arial"/>
        <w:sz w:val="14"/>
      </w:rPr>
    </w:pPr>
    <w:r w:rsidRPr="00945F8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565E4" w14:textId="77777777" w:rsidR="00285A7F" w:rsidRDefault="00285A7F" w:rsidP="00EB113E">
      <w:pPr>
        <w:spacing w:after="0" w:line="240" w:lineRule="auto"/>
      </w:pPr>
      <w:r>
        <w:separator/>
      </w:r>
    </w:p>
  </w:footnote>
  <w:footnote w:type="continuationSeparator" w:id="0">
    <w:p w14:paraId="48BAA4B6" w14:textId="77777777" w:rsidR="00285A7F" w:rsidRDefault="00285A7F" w:rsidP="00EB113E">
      <w:pPr>
        <w:spacing w:after="0" w:line="240" w:lineRule="auto"/>
      </w:pPr>
      <w:r>
        <w:continuationSeparator/>
      </w:r>
    </w:p>
  </w:footnote>
  <w:footnote w:id="1">
    <w:p w14:paraId="30C9E7AF" w14:textId="3BFCE530" w:rsidR="00FE3E9F" w:rsidRPr="004E53CC" w:rsidRDefault="00FE3E9F">
      <w:pPr>
        <w:pStyle w:val="FootnoteText"/>
        <w:rPr>
          <w:rFonts w:ascii="Times New Roman" w:hAnsi="Times New Roman"/>
        </w:rPr>
      </w:pPr>
      <w:r w:rsidRPr="004E53CC">
        <w:rPr>
          <w:rStyle w:val="FootnoteReference"/>
          <w:rFonts w:ascii="Times New Roman" w:hAnsi="Times New Roman"/>
        </w:rPr>
        <w:footnoteRef/>
      </w:r>
      <w:r w:rsidRPr="004E53CC">
        <w:rPr>
          <w:rFonts w:ascii="Times New Roman" w:hAnsi="Times New Roman"/>
        </w:rPr>
        <w:t xml:space="preserve"> </w:t>
      </w:r>
      <w:r w:rsidRPr="004E53CC">
        <w:rPr>
          <w:rFonts w:ascii="Times New Roman" w:hAnsi="Times New Roman"/>
          <w:color w:val="000000"/>
          <w:lang w:val="en"/>
        </w:rPr>
        <w:t>GA Res 45/110, UN GAOR, 45</w:t>
      </w:r>
      <w:r w:rsidRPr="004E53CC">
        <w:rPr>
          <w:rFonts w:ascii="Times New Roman" w:hAnsi="Times New Roman"/>
          <w:color w:val="000000"/>
          <w:vertAlign w:val="superscript"/>
          <w:lang w:val="en"/>
        </w:rPr>
        <w:t>th</w:t>
      </w:r>
      <w:r w:rsidRPr="004E53CC">
        <w:rPr>
          <w:rFonts w:ascii="Times New Roman" w:hAnsi="Times New Roman"/>
          <w:color w:val="000000"/>
          <w:lang w:val="en"/>
        </w:rPr>
        <w:t xml:space="preserve"> sess, 68</w:t>
      </w:r>
      <w:r w:rsidRPr="004E53CC">
        <w:rPr>
          <w:rFonts w:ascii="Times New Roman" w:hAnsi="Times New Roman"/>
          <w:color w:val="000000"/>
          <w:vertAlign w:val="superscript"/>
          <w:lang w:val="en"/>
        </w:rPr>
        <w:t>th</w:t>
      </w:r>
      <w:r w:rsidRPr="004E53CC">
        <w:rPr>
          <w:rFonts w:ascii="Times New Roman" w:hAnsi="Times New Roman"/>
          <w:color w:val="000000"/>
          <w:lang w:val="en"/>
        </w:rPr>
        <w:t xml:space="preserve"> plen mtg, Agenda Item 100, UN Doc A/RES/45/110 (14 December 1990)</w:t>
      </w:r>
      <w:r w:rsidRPr="004E53CC">
        <w:rPr>
          <w:rFonts w:ascii="Times New Roman" w:hAnsi="Times New Roman"/>
        </w:rPr>
        <w:t>.</w:t>
      </w:r>
    </w:p>
  </w:footnote>
  <w:footnote w:id="2">
    <w:p w14:paraId="4ADFD786" w14:textId="77777777" w:rsidR="00FE3E9F" w:rsidRPr="004E53CC" w:rsidRDefault="00FE3E9F" w:rsidP="00E5795A">
      <w:pPr>
        <w:pStyle w:val="FootnoteText"/>
        <w:rPr>
          <w:rFonts w:ascii="Times New Roman" w:hAnsi="Times New Roman"/>
        </w:rPr>
      </w:pPr>
      <w:r w:rsidRPr="004E53CC">
        <w:rPr>
          <w:rStyle w:val="FootnoteReference"/>
          <w:rFonts w:ascii="Times New Roman" w:hAnsi="Times New Roman"/>
        </w:rPr>
        <w:footnoteRef/>
      </w:r>
      <w:r w:rsidRPr="004E53CC">
        <w:rPr>
          <w:rFonts w:ascii="Times New Roman" w:hAnsi="Times New Roman"/>
        </w:rPr>
        <w:t xml:space="preserve"> </w:t>
      </w:r>
      <w:r w:rsidRPr="004E53CC">
        <w:rPr>
          <w:rFonts w:ascii="Times New Roman" w:hAnsi="Times New Roman"/>
          <w:i/>
        </w:rPr>
        <w:t xml:space="preserve">Brown v Stott </w:t>
      </w:r>
      <w:r w:rsidRPr="004E53CC">
        <w:rPr>
          <w:rFonts w:ascii="Times New Roman" w:hAnsi="Times New Roman"/>
        </w:rPr>
        <w:t>(2003) 1 AC 681</w:t>
      </w:r>
    </w:p>
  </w:footnote>
  <w:footnote w:id="3">
    <w:p w14:paraId="7B311383" w14:textId="77777777" w:rsidR="00FE3E9F" w:rsidRPr="004E53CC" w:rsidRDefault="00FE3E9F" w:rsidP="00006840">
      <w:pPr>
        <w:pStyle w:val="FootnoteText"/>
        <w:rPr>
          <w:rFonts w:ascii="Times New Roman" w:hAnsi="Times New Roman"/>
        </w:rPr>
      </w:pPr>
      <w:r w:rsidRPr="004E53CC">
        <w:rPr>
          <w:rStyle w:val="FootnoteReference"/>
          <w:rFonts w:ascii="Times New Roman" w:hAnsi="Times New Roman"/>
        </w:rPr>
        <w:footnoteRef/>
      </w:r>
      <w:r w:rsidRPr="004E53CC">
        <w:rPr>
          <w:rFonts w:ascii="Times New Roman" w:hAnsi="Times New Roman"/>
        </w:rPr>
        <w:t xml:space="preserve"> </w:t>
      </w:r>
      <w:r w:rsidRPr="004E53CC">
        <w:rPr>
          <w:rFonts w:ascii="Times New Roman" w:hAnsi="Times New Roman"/>
          <w:i/>
        </w:rPr>
        <w:t>Crimes (Sentence Administration) Act 2005</w:t>
      </w:r>
      <w:r w:rsidRPr="004E53CC">
        <w:rPr>
          <w:rFonts w:ascii="Times New Roman" w:hAnsi="Times New Roman"/>
        </w:rPr>
        <w:t xml:space="preserve"> s 42(1)(d), (e) and (j). </w:t>
      </w:r>
    </w:p>
  </w:footnote>
  <w:footnote w:id="4">
    <w:p w14:paraId="49597F70" w14:textId="77777777" w:rsidR="0052426F" w:rsidRPr="004E53CC" w:rsidRDefault="0052426F" w:rsidP="0052426F">
      <w:pPr>
        <w:pStyle w:val="FootnoteText"/>
        <w:rPr>
          <w:rFonts w:ascii="Times New Roman" w:hAnsi="Times New Roman"/>
        </w:rPr>
      </w:pPr>
      <w:r w:rsidRPr="004E53CC">
        <w:rPr>
          <w:rStyle w:val="FootnoteReference"/>
          <w:rFonts w:ascii="Times New Roman" w:hAnsi="Times New Roman"/>
        </w:rPr>
        <w:footnoteRef/>
      </w:r>
      <w:r w:rsidRPr="004E53CC">
        <w:rPr>
          <w:rFonts w:ascii="Times New Roman" w:hAnsi="Times New Roman"/>
        </w:rPr>
        <w:t xml:space="preserve"> </w:t>
      </w:r>
      <w:r w:rsidRPr="004E53CC">
        <w:rPr>
          <w:rFonts w:ascii="Times New Roman" w:hAnsi="Times New Roman"/>
          <w:i/>
        </w:rPr>
        <w:t>Crimes (Sentence Administration) Act 2005</w:t>
      </w:r>
      <w:r w:rsidRPr="004E53CC">
        <w:rPr>
          <w:rFonts w:ascii="Times New Roman" w:hAnsi="Times New Roman"/>
        </w:rPr>
        <w:t xml:space="preserve"> s 42(2).</w:t>
      </w:r>
    </w:p>
  </w:footnote>
  <w:footnote w:id="5">
    <w:p w14:paraId="24C67ED4" w14:textId="77777777" w:rsidR="00FE3E9F" w:rsidRPr="004E53CC" w:rsidRDefault="00FE3E9F" w:rsidP="00006840">
      <w:pPr>
        <w:pStyle w:val="FootnoteText"/>
        <w:rPr>
          <w:rFonts w:ascii="Times New Roman" w:hAnsi="Times New Roman"/>
        </w:rPr>
      </w:pPr>
      <w:r w:rsidRPr="004E53CC">
        <w:rPr>
          <w:rStyle w:val="FootnoteReference"/>
          <w:rFonts w:ascii="Times New Roman" w:hAnsi="Times New Roman"/>
        </w:rPr>
        <w:footnoteRef/>
      </w:r>
      <w:r w:rsidRPr="004E53CC">
        <w:rPr>
          <w:rFonts w:ascii="Times New Roman" w:hAnsi="Times New Roman"/>
        </w:rPr>
        <w:t xml:space="preserve"> </w:t>
      </w:r>
      <w:r w:rsidRPr="004E53CC">
        <w:rPr>
          <w:rFonts w:ascii="Times New Roman" w:hAnsi="Times New Roman"/>
          <w:i/>
        </w:rPr>
        <w:t>Crimes (Sentence Administration) Act 2005</w:t>
      </w:r>
      <w:r w:rsidRPr="004E53CC">
        <w:rPr>
          <w:rFonts w:ascii="Times New Roman" w:hAnsi="Times New Roman"/>
        </w:rPr>
        <w:t xml:space="preserve"> s 42(1)(k).</w:t>
      </w:r>
    </w:p>
  </w:footnote>
  <w:footnote w:id="6">
    <w:p w14:paraId="1876D996" w14:textId="77777777" w:rsidR="004E53CC" w:rsidRPr="004E53CC" w:rsidRDefault="004E53CC" w:rsidP="004E53CC">
      <w:pPr>
        <w:autoSpaceDE w:val="0"/>
        <w:autoSpaceDN w:val="0"/>
        <w:adjustRightInd w:val="0"/>
        <w:spacing w:after="0" w:line="240" w:lineRule="auto"/>
        <w:rPr>
          <w:sz w:val="20"/>
          <w:szCs w:val="20"/>
          <w:lang w:eastAsia="en-AU"/>
        </w:rPr>
      </w:pPr>
      <w:r w:rsidRPr="004E53CC">
        <w:rPr>
          <w:rStyle w:val="FootnoteReference"/>
          <w:sz w:val="20"/>
          <w:szCs w:val="20"/>
        </w:rPr>
        <w:footnoteRef/>
      </w:r>
      <w:r w:rsidRPr="004E53CC">
        <w:rPr>
          <w:sz w:val="20"/>
          <w:szCs w:val="20"/>
        </w:rPr>
        <w:t xml:space="preserve"> </w:t>
      </w:r>
      <w:r w:rsidRPr="004E53CC">
        <w:rPr>
          <w:sz w:val="20"/>
          <w:szCs w:val="20"/>
          <w:lang w:eastAsia="en-AU"/>
        </w:rPr>
        <w:t>Office of the United Nations High Commissioner for Human Rights, Human Rights Committee, 1988 ‘General</w:t>
      </w:r>
    </w:p>
    <w:p w14:paraId="22860392" w14:textId="77777777" w:rsidR="004E53CC" w:rsidRPr="004E53CC" w:rsidRDefault="004E53CC" w:rsidP="004E53CC">
      <w:pPr>
        <w:autoSpaceDE w:val="0"/>
        <w:autoSpaceDN w:val="0"/>
        <w:adjustRightInd w:val="0"/>
        <w:spacing w:after="0" w:line="240" w:lineRule="auto"/>
        <w:rPr>
          <w:sz w:val="20"/>
          <w:szCs w:val="20"/>
          <w:lang w:eastAsia="en-AU"/>
        </w:rPr>
      </w:pPr>
      <w:r w:rsidRPr="004E53CC">
        <w:rPr>
          <w:sz w:val="20"/>
          <w:szCs w:val="20"/>
          <w:lang w:eastAsia="en-AU"/>
        </w:rPr>
        <w:t>Comment No.16: the right to respect of privacy, family, home and correspondence, and protection of honour</w:t>
      </w:r>
    </w:p>
    <w:p w14:paraId="0A43B4BC" w14:textId="77777777" w:rsidR="004E53CC" w:rsidRPr="004E53CC" w:rsidRDefault="004E53CC" w:rsidP="004E53CC">
      <w:pPr>
        <w:autoSpaceDE w:val="0"/>
        <w:autoSpaceDN w:val="0"/>
        <w:adjustRightInd w:val="0"/>
        <w:spacing w:after="0" w:line="240" w:lineRule="auto"/>
        <w:rPr>
          <w:sz w:val="20"/>
          <w:szCs w:val="20"/>
          <w:lang w:eastAsia="en-AU"/>
        </w:rPr>
      </w:pPr>
      <w:r w:rsidRPr="004E53CC">
        <w:rPr>
          <w:sz w:val="20"/>
          <w:szCs w:val="20"/>
          <w:lang w:eastAsia="en-AU"/>
        </w:rPr>
        <w:t>and reputation’, para.3. Available:</w:t>
      </w:r>
    </w:p>
    <w:p w14:paraId="383F9168" w14:textId="627948B7" w:rsidR="004E53CC" w:rsidRPr="004E53CC" w:rsidRDefault="004E53CC" w:rsidP="004E53CC">
      <w:pPr>
        <w:pStyle w:val="FootnoteText"/>
        <w:rPr>
          <w:rFonts w:ascii="Times New Roman" w:hAnsi="Times New Roman"/>
        </w:rPr>
      </w:pPr>
      <w:r w:rsidRPr="004E53CC">
        <w:rPr>
          <w:rFonts w:ascii="Times New Roman" w:hAnsi="Times New Roman"/>
          <w:lang w:eastAsia="en-AU"/>
        </w:rPr>
        <w:t>(http://www.unhchr.ch/tbs/doc.nsf/(Symbol)/23378a8724595410c12563ed004aeecd?Opendocument)</w:t>
      </w:r>
    </w:p>
  </w:footnote>
  <w:footnote w:id="7">
    <w:p w14:paraId="3B20B556" w14:textId="0D8915E2" w:rsidR="004E53CC" w:rsidRPr="004E53CC" w:rsidRDefault="004E53CC">
      <w:pPr>
        <w:pStyle w:val="FootnoteText"/>
        <w:rPr>
          <w:rFonts w:ascii="Times New Roman" w:hAnsi="Times New Roman"/>
        </w:rPr>
      </w:pPr>
      <w:r w:rsidRPr="004E53CC">
        <w:rPr>
          <w:rStyle w:val="FootnoteReference"/>
          <w:rFonts w:ascii="Times New Roman" w:hAnsi="Times New Roman"/>
        </w:rPr>
        <w:footnoteRef/>
      </w:r>
      <w:r w:rsidRPr="004E53CC">
        <w:rPr>
          <w:rFonts w:ascii="Times New Roman" w:hAnsi="Times New Roman"/>
        </w:rPr>
        <w:t xml:space="preserve"> Ibid, at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9DD5D" w14:textId="77777777" w:rsidR="00945F8D" w:rsidRDefault="00945F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09B58" w14:textId="77777777" w:rsidR="00945F8D" w:rsidRDefault="00945F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41FAE" w14:textId="77777777" w:rsidR="00FE3E9F" w:rsidRPr="00EE32FF" w:rsidRDefault="00FE3E9F" w:rsidP="00EE32FF">
    <w:pPr>
      <w:pStyle w:val="Header"/>
      <w:jc w:val="center"/>
      <w:rPr>
        <w:rFonts w:ascii="Arial" w:hAnsi="Arial" w:cs="Arial"/>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2AE9"/>
    <w:multiLevelType w:val="hybridMultilevel"/>
    <w:tmpl w:val="14A2E506"/>
    <w:lvl w:ilvl="0" w:tplc="171851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2743C"/>
    <w:multiLevelType w:val="hybridMultilevel"/>
    <w:tmpl w:val="E8F6C83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B12E76"/>
    <w:multiLevelType w:val="hybridMultilevel"/>
    <w:tmpl w:val="559C9D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D75CC"/>
    <w:multiLevelType w:val="hybridMultilevel"/>
    <w:tmpl w:val="DF9E3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3439B"/>
    <w:multiLevelType w:val="hybridMultilevel"/>
    <w:tmpl w:val="BFFCC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17">
      <w:start w:val="1"/>
      <w:numFmt w:val="lowerLetter"/>
      <w:lvlText w:val="%5)"/>
      <w:lvlJc w:val="left"/>
      <w:pPr>
        <w:ind w:left="3600" w:hanging="360"/>
      </w:pPr>
      <w:rPr>
        <w:rFont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CD7314"/>
    <w:multiLevelType w:val="hybridMultilevel"/>
    <w:tmpl w:val="498CF23A"/>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44088F"/>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866616"/>
    <w:multiLevelType w:val="hybridMultilevel"/>
    <w:tmpl w:val="928EF8E8"/>
    <w:lvl w:ilvl="0" w:tplc="0428AAB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DF02E02"/>
    <w:multiLevelType w:val="hybridMultilevel"/>
    <w:tmpl w:val="88602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2F1B39"/>
    <w:multiLevelType w:val="hybridMultilevel"/>
    <w:tmpl w:val="A02AEC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62204F"/>
    <w:multiLevelType w:val="hybridMultilevel"/>
    <w:tmpl w:val="3F0E8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85790B"/>
    <w:multiLevelType w:val="hybridMultilevel"/>
    <w:tmpl w:val="F31ADC0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56D6E29"/>
    <w:multiLevelType w:val="hybridMultilevel"/>
    <w:tmpl w:val="AF5CE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886EC1"/>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2B65CE"/>
    <w:multiLevelType w:val="hybridMultilevel"/>
    <w:tmpl w:val="D0F255F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A62904"/>
    <w:multiLevelType w:val="hybridMultilevel"/>
    <w:tmpl w:val="5A3646E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928"/>
        </w:tabs>
        <w:ind w:left="928" w:hanging="360"/>
      </w:pPr>
      <w:rPr>
        <w:rFonts w:cs="Times New Roman" w:hint="default"/>
      </w:rPr>
    </w:lvl>
    <w:lvl w:ilvl="2">
      <w:start w:val="1"/>
      <w:numFmt w:val="lowerRoman"/>
      <w:lvlText w:val="%3)"/>
      <w:lvlJc w:val="left"/>
      <w:pPr>
        <w:tabs>
          <w:tab w:val="num" w:pos="1495"/>
        </w:tabs>
        <w:ind w:left="1495"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1070"/>
        </w:tabs>
        <w:ind w:left="107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7" w15:restartNumberingAfterBreak="0">
    <w:nsid w:val="3DC57AF7"/>
    <w:multiLevelType w:val="hybridMultilevel"/>
    <w:tmpl w:val="4A109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425DD4"/>
    <w:multiLevelType w:val="hybridMultilevel"/>
    <w:tmpl w:val="B7527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0A3705"/>
    <w:multiLevelType w:val="hybridMultilevel"/>
    <w:tmpl w:val="E0D03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CA7A81"/>
    <w:multiLevelType w:val="hybridMultilevel"/>
    <w:tmpl w:val="1166B7CC"/>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540422"/>
    <w:multiLevelType w:val="hybridMultilevel"/>
    <w:tmpl w:val="722A4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2A20D1"/>
    <w:multiLevelType w:val="hybridMultilevel"/>
    <w:tmpl w:val="42227BE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17">
      <w:start w:val="1"/>
      <w:numFmt w:val="lowerLetter"/>
      <w:lvlText w:val="%5)"/>
      <w:lvlJc w:val="left"/>
      <w:pPr>
        <w:ind w:left="3600" w:hanging="360"/>
      </w:pPr>
      <w:rPr>
        <w:rFont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62742F"/>
    <w:multiLevelType w:val="hybridMultilevel"/>
    <w:tmpl w:val="1E76D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0F6BB7"/>
    <w:multiLevelType w:val="hybridMultilevel"/>
    <w:tmpl w:val="137E5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2417B8"/>
    <w:multiLevelType w:val="hybridMultilevel"/>
    <w:tmpl w:val="2ACC17BA"/>
    <w:lvl w:ilvl="0" w:tplc="9FA05394">
      <w:start w:val="1"/>
      <w:numFmt w:val="bullet"/>
      <w:lvlText w:val=""/>
      <w:lvlJc w:val="left"/>
      <w:pPr>
        <w:tabs>
          <w:tab w:val="num" w:pos="1500"/>
        </w:tabs>
        <w:ind w:left="1478" w:hanging="338"/>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85A3B6C"/>
    <w:multiLevelType w:val="hybridMultilevel"/>
    <w:tmpl w:val="C5062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D95653"/>
    <w:multiLevelType w:val="hybridMultilevel"/>
    <w:tmpl w:val="E58827E0"/>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090FBF"/>
    <w:multiLevelType w:val="hybridMultilevel"/>
    <w:tmpl w:val="02A255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C7F3CD9"/>
    <w:multiLevelType w:val="hybridMultilevel"/>
    <w:tmpl w:val="8B1C1B32"/>
    <w:lvl w:ilvl="0" w:tplc="2FCC2CDE">
      <w:start w:val="18"/>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04652E"/>
    <w:multiLevelType w:val="hybridMultilevel"/>
    <w:tmpl w:val="C9542EC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FFA5245"/>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928"/>
        </w:tabs>
        <w:ind w:left="928" w:hanging="360"/>
      </w:pPr>
      <w:rPr>
        <w:rFonts w:cs="Times New Roman" w:hint="default"/>
      </w:rPr>
    </w:lvl>
    <w:lvl w:ilvl="2">
      <w:start w:val="1"/>
      <w:numFmt w:val="lowerRoman"/>
      <w:lvlText w:val="%3)"/>
      <w:lvlJc w:val="left"/>
      <w:pPr>
        <w:tabs>
          <w:tab w:val="num" w:pos="1495"/>
        </w:tabs>
        <w:ind w:left="1495"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1070"/>
        </w:tabs>
        <w:ind w:left="107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32" w15:restartNumberingAfterBreak="0">
    <w:nsid w:val="642E061C"/>
    <w:multiLevelType w:val="hybridMultilevel"/>
    <w:tmpl w:val="321A8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046F48"/>
    <w:multiLevelType w:val="hybridMultilevel"/>
    <w:tmpl w:val="FF5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265F81"/>
    <w:multiLevelType w:val="hybridMultilevel"/>
    <w:tmpl w:val="26F4B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D9524D"/>
    <w:multiLevelType w:val="hybridMultilevel"/>
    <w:tmpl w:val="3A8A20D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33"/>
  </w:num>
  <w:num w:numId="3">
    <w:abstractNumId w:val="3"/>
  </w:num>
  <w:num w:numId="4">
    <w:abstractNumId w:val="19"/>
  </w:num>
  <w:num w:numId="5">
    <w:abstractNumId w:val="0"/>
  </w:num>
  <w:num w:numId="6">
    <w:abstractNumId w:val="34"/>
  </w:num>
  <w:num w:numId="7">
    <w:abstractNumId w:val="8"/>
  </w:num>
  <w:num w:numId="8">
    <w:abstractNumId w:val="27"/>
  </w:num>
  <w:num w:numId="9">
    <w:abstractNumId w:val="30"/>
  </w:num>
  <w:num w:numId="10">
    <w:abstractNumId w:val="20"/>
  </w:num>
  <w:num w:numId="11">
    <w:abstractNumId w:val="1"/>
  </w:num>
  <w:num w:numId="12">
    <w:abstractNumId w:val="35"/>
  </w:num>
  <w:num w:numId="13">
    <w:abstractNumId w:val="5"/>
  </w:num>
  <w:num w:numId="14">
    <w:abstractNumId w:val="14"/>
  </w:num>
  <w:num w:numId="15">
    <w:abstractNumId w:val="17"/>
  </w:num>
  <w:num w:numId="16">
    <w:abstractNumId w:val="21"/>
  </w:num>
  <w:num w:numId="17">
    <w:abstractNumId w:val="12"/>
  </w:num>
  <w:num w:numId="18">
    <w:abstractNumId w:val="26"/>
  </w:num>
  <w:num w:numId="19">
    <w:abstractNumId w:val="25"/>
  </w:num>
  <w:num w:numId="20">
    <w:abstractNumId w:val="24"/>
  </w:num>
  <w:num w:numId="21">
    <w:abstractNumId w:val="18"/>
  </w:num>
  <w:num w:numId="22">
    <w:abstractNumId w:val="23"/>
  </w:num>
  <w:num w:numId="23">
    <w:abstractNumId w:val="6"/>
  </w:num>
  <w:num w:numId="24">
    <w:abstractNumId w:val="13"/>
  </w:num>
  <w:num w:numId="25">
    <w:abstractNumId w:val="15"/>
  </w:num>
  <w:num w:numId="26">
    <w:abstractNumId w:val="28"/>
  </w:num>
  <w:num w:numId="27">
    <w:abstractNumId w:val="11"/>
  </w:num>
  <w:num w:numId="28">
    <w:abstractNumId w:val="7"/>
  </w:num>
  <w:num w:numId="29">
    <w:abstractNumId w:val="29"/>
  </w:num>
  <w:num w:numId="30">
    <w:abstractNumId w:val="31"/>
  </w:num>
  <w:num w:numId="31">
    <w:abstractNumId w:val="2"/>
  </w:num>
  <w:num w:numId="32">
    <w:abstractNumId w:val="10"/>
  </w:num>
  <w:num w:numId="33">
    <w:abstractNumId w:val="9"/>
  </w:num>
  <w:num w:numId="34">
    <w:abstractNumId w:val="32"/>
  </w:num>
  <w:num w:numId="35">
    <w:abstractNumId w:val="4"/>
  </w:num>
  <w:num w:numId="36">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AU" w:vendorID="64" w:dllVersion="131078" w:nlCheck="1" w:checkStyle="0"/>
  <w:activeWritingStyle w:appName="MSWord" w:lang="en-US" w:vendorID="64" w:dllVersion="131078" w:nlCheck="1" w:checkStyle="1"/>
  <w:activeWritingStyle w:appName="MSWord" w:lang="en-GB" w:vendorID="64" w:dllVersion="131078" w:nlCheck="1" w:checkStyle="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5F"/>
    <w:rsid w:val="00001411"/>
    <w:rsid w:val="000015A3"/>
    <w:rsid w:val="0000266A"/>
    <w:rsid w:val="00003A60"/>
    <w:rsid w:val="00004C31"/>
    <w:rsid w:val="00004C8C"/>
    <w:rsid w:val="00006786"/>
    <w:rsid w:val="00006840"/>
    <w:rsid w:val="00006C49"/>
    <w:rsid w:val="000071C7"/>
    <w:rsid w:val="00007206"/>
    <w:rsid w:val="000101D9"/>
    <w:rsid w:val="000115BF"/>
    <w:rsid w:val="0001228A"/>
    <w:rsid w:val="00012BB3"/>
    <w:rsid w:val="00012D1B"/>
    <w:rsid w:val="00014D20"/>
    <w:rsid w:val="00015C96"/>
    <w:rsid w:val="000169D0"/>
    <w:rsid w:val="00016D42"/>
    <w:rsid w:val="00020890"/>
    <w:rsid w:val="00020FDB"/>
    <w:rsid w:val="000215C2"/>
    <w:rsid w:val="00023F7F"/>
    <w:rsid w:val="000263D1"/>
    <w:rsid w:val="00026A03"/>
    <w:rsid w:val="00031D9F"/>
    <w:rsid w:val="000348B1"/>
    <w:rsid w:val="00037F43"/>
    <w:rsid w:val="000402AF"/>
    <w:rsid w:val="000428AD"/>
    <w:rsid w:val="00042B0B"/>
    <w:rsid w:val="00043790"/>
    <w:rsid w:val="00043E18"/>
    <w:rsid w:val="00044FFD"/>
    <w:rsid w:val="00046725"/>
    <w:rsid w:val="00046749"/>
    <w:rsid w:val="00046A4A"/>
    <w:rsid w:val="00046F4A"/>
    <w:rsid w:val="00047523"/>
    <w:rsid w:val="000475F2"/>
    <w:rsid w:val="00047E5D"/>
    <w:rsid w:val="000516F1"/>
    <w:rsid w:val="00052380"/>
    <w:rsid w:val="0005298F"/>
    <w:rsid w:val="00053623"/>
    <w:rsid w:val="00053D52"/>
    <w:rsid w:val="00054020"/>
    <w:rsid w:val="000545DF"/>
    <w:rsid w:val="000559E0"/>
    <w:rsid w:val="00055EB6"/>
    <w:rsid w:val="000565A8"/>
    <w:rsid w:val="0005733C"/>
    <w:rsid w:val="00057859"/>
    <w:rsid w:val="00060993"/>
    <w:rsid w:val="00061410"/>
    <w:rsid w:val="000625C1"/>
    <w:rsid w:val="00063E3F"/>
    <w:rsid w:val="00065917"/>
    <w:rsid w:val="000673A5"/>
    <w:rsid w:val="000703CF"/>
    <w:rsid w:val="00070620"/>
    <w:rsid w:val="00070EC3"/>
    <w:rsid w:val="00071D2D"/>
    <w:rsid w:val="00072520"/>
    <w:rsid w:val="000748A0"/>
    <w:rsid w:val="00077560"/>
    <w:rsid w:val="0008299A"/>
    <w:rsid w:val="00085977"/>
    <w:rsid w:val="00086CEF"/>
    <w:rsid w:val="000900EC"/>
    <w:rsid w:val="00090B56"/>
    <w:rsid w:val="00092EE3"/>
    <w:rsid w:val="0009319D"/>
    <w:rsid w:val="00093829"/>
    <w:rsid w:val="00093EE9"/>
    <w:rsid w:val="000974D5"/>
    <w:rsid w:val="000A249B"/>
    <w:rsid w:val="000A29DE"/>
    <w:rsid w:val="000A2E19"/>
    <w:rsid w:val="000A331C"/>
    <w:rsid w:val="000A3EEC"/>
    <w:rsid w:val="000A41D2"/>
    <w:rsid w:val="000A5481"/>
    <w:rsid w:val="000A5922"/>
    <w:rsid w:val="000B086A"/>
    <w:rsid w:val="000B0E83"/>
    <w:rsid w:val="000B119B"/>
    <w:rsid w:val="000B1F74"/>
    <w:rsid w:val="000B2A8D"/>
    <w:rsid w:val="000B30D8"/>
    <w:rsid w:val="000B4650"/>
    <w:rsid w:val="000B4844"/>
    <w:rsid w:val="000B528D"/>
    <w:rsid w:val="000B5559"/>
    <w:rsid w:val="000B68D6"/>
    <w:rsid w:val="000B7C57"/>
    <w:rsid w:val="000C08B4"/>
    <w:rsid w:val="000C22ED"/>
    <w:rsid w:val="000C4A95"/>
    <w:rsid w:val="000C52D8"/>
    <w:rsid w:val="000C5792"/>
    <w:rsid w:val="000C6B65"/>
    <w:rsid w:val="000C6CDD"/>
    <w:rsid w:val="000C6E4A"/>
    <w:rsid w:val="000C757E"/>
    <w:rsid w:val="000D00D3"/>
    <w:rsid w:val="000D08EB"/>
    <w:rsid w:val="000D0DF0"/>
    <w:rsid w:val="000D1672"/>
    <w:rsid w:val="000D2356"/>
    <w:rsid w:val="000D3492"/>
    <w:rsid w:val="000D49AD"/>
    <w:rsid w:val="000D4E86"/>
    <w:rsid w:val="000E093A"/>
    <w:rsid w:val="000E0D63"/>
    <w:rsid w:val="000E122F"/>
    <w:rsid w:val="000E12ED"/>
    <w:rsid w:val="000E1760"/>
    <w:rsid w:val="000E3C9D"/>
    <w:rsid w:val="000E4C04"/>
    <w:rsid w:val="000E6AFF"/>
    <w:rsid w:val="000E6C5B"/>
    <w:rsid w:val="000E6DAB"/>
    <w:rsid w:val="000E7048"/>
    <w:rsid w:val="000E756D"/>
    <w:rsid w:val="000E797E"/>
    <w:rsid w:val="000E7B1E"/>
    <w:rsid w:val="000F114D"/>
    <w:rsid w:val="000F2711"/>
    <w:rsid w:val="000F309C"/>
    <w:rsid w:val="000F4CA8"/>
    <w:rsid w:val="000F58CA"/>
    <w:rsid w:val="000F5ECE"/>
    <w:rsid w:val="000F6CC6"/>
    <w:rsid w:val="001013C2"/>
    <w:rsid w:val="00102162"/>
    <w:rsid w:val="00103DA7"/>
    <w:rsid w:val="001079CC"/>
    <w:rsid w:val="0011142E"/>
    <w:rsid w:val="001129D2"/>
    <w:rsid w:val="0011351A"/>
    <w:rsid w:val="00113D31"/>
    <w:rsid w:val="0011444A"/>
    <w:rsid w:val="0011578D"/>
    <w:rsid w:val="001161FE"/>
    <w:rsid w:val="00116857"/>
    <w:rsid w:val="00116CB0"/>
    <w:rsid w:val="00116F01"/>
    <w:rsid w:val="001202A7"/>
    <w:rsid w:val="00121C72"/>
    <w:rsid w:val="00122259"/>
    <w:rsid w:val="0012423D"/>
    <w:rsid w:val="00124DFA"/>
    <w:rsid w:val="00125EC6"/>
    <w:rsid w:val="0012660F"/>
    <w:rsid w:val="00126C7A"/>
    <w:rsid w:val="00126FD0"/>
    <w:rsid w:val="00131012"/>
    <w:rsid w:val="0013475A"/>
    <w:rsid w:val="001357DB"/>
    <w:rsid w:val="00135F51"/>
    <w:rsid w:val="001364FE"/>
    <w:rsid w:val="0013726E"/>
    <w:rsid w:val="00137350"/>
    <w:rsid w:val="00137A6F"/>
    <w:rsid w:val="00141ACF"/>
    <w:rsid w:val="00143817"/>
    <w:rsid w:val="00143847"/>
    <w:rsid w:val="00143B3D"/>
    <w:rsid w:val="0014533D"/>
    <w:rsid w:val="00145D38"/>
    <w:rsid w:val="00145DCF"/>
    <w:rsid w:val="00153811"/>
    <w:rsid w:val="00153B5B"/>
    <w:rsid w:val="00153DFB"/>
    <w:rsid w:val="00154118"/>
    <w:rsid w:val="00154351"/>
    <w:rsid w:val="00154679"/>
    <w:rsid w:val="00155920"/>
    <w:rsid w:val="00155A60"/>
    <w:rsid w:val="00155F92"/>
    <w:rsid w:val="00156D10"/>
    <w:rsid w:val="00160863"/>
    <w:rsid w:val="001609A7"/>
    <w:rsid w:val="001609D9"/>
    <w:rsid w:val="00160B72"/>
    <w:rsid w:val="001611C0"/>
    <w:rsid w:val="00161403"/>
    <w:rsid w:val="00161598"/>
    <w:rsid w:val="00161E92"/>
    <w:rsid w:val="0016244C"/>
    <w:rsid w:val="001627AD"/>
    <w:rsid w:val="00162893"/>
    <w:rsid w:val="00164C81"/>
    <w:rsid w:val="00165B49"/>
    <w:rsid w:val="00166B2A"/>
    <w:rsid w:val="00167163"/>
    <w:rsid w:val="001673A2"/>
    <w:rsid w:val="00167A83"/>
    <w:rsid w:val="00167B13"/>
    <w:rsid w:val="001735A4"/>
    <w:rsid w:val="001752F7"/>
    <w:rsid w:val="0017781D"/>
    <w:rsid w:val="00177F7F"/>
    <w:rsid w:val="00180946"/>
    <w:rsid w:val="00183148"/>
    <w:rsid w:val="00183CAA"/>
    <w:rsid w:val="00184158"/>
    <w:rsid w:val="0018440E"/>
    <w:rsid w:val="0018628F"/>
    <w:rsid w:val="001863BC"/>
    <w:rsid w:val="0018734E"/>
    <w:rsid w:val="00190B4B"/>
    <w:rsid w:val="00191C3D"/>
    <w:rsid w:val="00192B65"/>
    <w:rsid w:val="00193C1D"/>
    <w:rsid w:val="00195933"/>
    <w:rsid w:val="00197524"/>
    <w:rsid w:val="001A1F22"/>
    <w:rsid w:val="001A3A2E"/>
    <w:rsid w:val="001A42B5"/>
    <w:rsid w:val="001A48F2"/>
    <w:rsid w:val="001A4A7F"/>
    <w:rsid w:val="001A58AC"/>
    <w:rsid w:val="001A64D0"/>
    <w:rsid w:val="001A78FE"/>
    <w:rsid w:val="001B05B6"/>
    <w:rsid w:val="001B1AA2"/>
    <w:rsid w:val="001B30CE"/>
    <w:rsid w:val="001B5F7A"/>
    <w:rsid w:val="001B64EB"/>
    <w:rsid w:val="001B6A2B"/>
    <w:rsid w:val="001B7E69"/>
    <w:rsid w:val="001C1650"/>
    <w:rsid w:val="001C22AE"/>
    <w:rsid w:val="001C2DED"/>
    <w:rsid w:val="001C4091"/>
    <w:rsid w:val="001C5B4D"/>
    <w:rsid w:val="001C62F4"/>
    <w:rsid w:val="001D0F44"/>
    <w:rsid w:val="001D28FD"/>
    <w:rsid w:val="001D2CF9"/>
    <w:rsid w:val="001D485C"/>
    <w:rsid w:val="001D48C1"/>
    <w:rsid w:val="001D519A"/>
    <w:rsid w:val="001E0F79"/>
    <w:rsid w:val="001E13ED"/>
    <w:rsid w:val="001E1AC6"/>
    <w:rsid w:val="001E2E89"/>
    <w:rsid w:val="001E3654"/>
    <w:rsid w:val="001E4A19"/>
    <w:rsid w:val="001E4C81"/>
    <w:rsid w:val="001E66FB"/>
    <w:rsid w:val="001E6E4E"/>
    <w:rsid w:val="001F00A7"/>
    <w:rsid w:val="001F126B"/>
    <w:rsid w:val="001F26DB"/>
    <w:rsid w:val="001F4797"/>
    <w:rsid w:val="001F4E9D"/>
    <w:rsid w:val="001F7F5F"/>
    <w:rsid w:val="00200955"/>
    <w:rsid w:val="0020136C"/>
    <w:rsid w:val="00201AD8"/>
    <w:rsid w:val="00202D8A"/>
    <w:rsid w:val="0020440A"/>
    <w:rsid w:val="0020540B"/>
    <w:rsid w:val="002070A2"/>
    <w:rsid w:val="00207295"/>
    <w:rsid w:val="002072F0"/>
    <w:rsid w:val="00210A29"/>
    <w:rsid w:val="0021141A"/>
    <w:rsid w:val="0021195A"/>
    <w:rsid w:val="002125F4"/>
    <w:rsid w:val="00212C60"/>
    <w:rsid w:val="002139DC"/>
    <w:rsid w:val="002145DE"/>
    <w:rsid w:val="002147C8"/>
    <w:rsid w:val="00214A59"/>
    <w:rsid w:val="00214EAF"/>
    <w:rsid w:val="002158D5"/>
    <w:rsid w:val="00216C37"/>
    <w:rsid w:val="00217DAB"/>
    <w:rsid w:val="00220344"/>
    <w:rsid w:val="00220389"/>
    <w:rsid w:val="00220D3A"/>
    <w:rsid w:val="00222001"/>
    <w:rsid w:val="00224D92"/>
    <w:rsid w:val="0022542A"/>
    <w:rsid w:val="00225663"/>
    <w:rsid w:val="00225D75"/>
    <w:rsid w:val="00226602"/>
    <w:rsid w:val="00226A09"/>
    <w:rsid w:val="0022766D"/>
    <w:rsid w:val="002329EA"/>
    <w:rsid w:val="00234132"/>
    <w:rsid w:val="00234D19"/>
    <w:rsid w:val="002352DF"/>
    <w:rsid w:val="002361E0"/>
    <w:rsid w:val="002403E7"/>
    <w:rsid w:val="00242605"/>
    <w:rsid w:val="002427C6"/>
    <w:rsid w:val="0024673E"/>
    <w:rsid w:val="002469E9"/>
    <w:rsid w:val="00247DE7"/>
    <w:rsid w:val="00252A00"/>
    <w:rsid w:val="00254067"/>
    <w:rsid w:val="002542E5"/>
    <w:rsid w:val="00254797"/>
    <w:rsid w:val="00254E3E"/>
    <w:rsid w:val="00254E58"/>
    <w:rsid w:val="002555AB"/>
    <w:rsid w:val="00255D30"/>
    <w:rsid w:val="00256E81"/>
    <w:rsid w:val="00257029"/>
    <w:rsid w:val="00257A47"/>
    <w:rsid w:val="00260001"/>
    <w:rsid w:val="00263CB4"/>
    <w:rsid w:val="00263FCF"/>
    <w:rsid w:val="002641CC"/>
    <w:rsid w:val="00265966"/>
    <w:rsid w:val="0027025A"/>
    <w:rsid w:val="00270B08"/>
    <w:rsid w:val="00271FB4"/>
    <w:rsid w:val="00273BE9"/>
    <w:rsid w:val="002740B8"/>
    <w:rsid w:val="00276F77"/>
    <w:rsid w:val="00277539"/>
    <w:rsid w:val="00277A4C"/>
    <w:rsid w:val="0028119A"/>
    <w:rsid w:val="00281925"/>
    <w:rsid w:val="00281EB6"/>
    <w:rsid w:val="002838D0"/>
    <w:rsid w:val="00284155"/>
    <w:rsid w:val="00284AE1"/>
    <w:rsid w:val="00285A7F"/>
    <w:rsid w:val="00287F1A"/>
    <w:rsid w:val="00291CE9"/>
    <w:rsid w:val="00293CBB"/>
    <w:rsid w:val="00294123"/>
    <w:rsid w:val="00294F20"/>
    <w:rsid w:val="00295A55"/>
    <w:rsid w:val="00295CB1"/>
    <w:rsid w:val="00295EA3"/>
    <w:rsid w:val="002963D7"/>
    <w:rsid w:val="00296D06"/>
    <w:rsid w:val="00297D32"/>
    <w:rsid w:val="002A1D25"/>
    <w:rsid w:val="002A1D6E"/>
    <w:rsid w:val="002A3308"/>
    <w:rsid w:val="002A69FB"/>
    <w:rsid w:val="002B0C42"/>
    <w:rsid w:val="002B21EE"/>
    <w:rsid w:val="002B282C"/>
    <w:rsid w:val="002B545A"/>
    <w:rsid w:val="002B62B2"/>
    <w:rsid w:val="002B69FC"/>
    <w:rsid w:val="002B7E39"/>
    <w:rsid w:val="002C26F0"/>
    <w:rsid w:val="002C3109"/>
    <w:rsid w:val="002C3DA5"/>
    <w:rsid w:val="002C474E"/>
    <w:rsid w:val="002C4DB6"/>
    <w:rsid w:val="002C667E"/>
    <w:rsid w:val="002C6A06"/>
    <w:rsid w:val="002C72FA"/>
    <w:rsid w:val="002C7864"/>
    <w:rsid w:val="002D0602"/>
    <w:rsid w:val="002D0BD8"/>
    <w:rsid w:val="002D4736"/>
    <w:rsid w:val="002D491A"/>
    <w:rsid w:val="002D5E29"/>
    <w:rsid w:val="002D7EC5"/>
    <w:rsid w:val="002E088B"/>
    <w:rsid w:val="002E1092"/>
    <w:rsid w:val="002E1B08"/>
    <w:rsid w:val="002E1B66"/>
    <w:rsid w:val="002E2A34"/>
    <w:rsid w:val="002E37B4"/>
    <w:rsid w:val="002E3985"/>
    <w:rsid w:val="002E55B5"/>
    <w:rsid w:val="002E59F4"/>
    <w:rsid w:val="002E67C3"/>
    <w:rsid w:val="002E6959"/>
    <w:rsid w:val="002F0FD2"/>
    <w:rsid w:val="002F18B6"/>
    <w:rsid w:val="002F1918"/>
    <w:rsid w:val="002F2784"/>
    <w:rsid w:val="002F437B"/>
    <w:rsid w:val="002F44DD"/>
    <w:rsid w:val="002F4F19"/>
    <w:rsid w:val="002F5183"/>
    <w:rsid w:val="002F5D29"/>
    <w:rsid w:val="002F6EE5"/>
    <w:rsid w:val="002F72D7"/>
    <w:rsid w:val="002F781D"/>
    <w:rsid w:val="00300F62"/>
    <w:rsid w:val="003010CA"/>
    <w:rsid w:val="0030200A"/>
    <w:rsid w:val="00302ADB"/>
    <w:rsid w:val="003032E2"/>
    <w:rsid w:val="00303AE8"/>
    <w:rsid w:val="00303C2E"/>
    <w:rsid w:val="0030406F"/>
    <w:rsid w:val="00304E98"/>
    <w:rsid w:val="003050B5"/>
    <w:rsid w:val="0030517A"/>
    <w:rsid w:val="0030585F"/>
    <w:rsid w:val="00305EB1"/>
    <w:rsid w:val="00306462"/>
    <w:rsid w:val="00311615"/>
    <w:rsid w:val="00312E59"/>
    <w:rsid w:val="00313143"/>
    <w:rsid w:val="0031384F"/>
    <w:rsid w:val="003153CA"/>
    <w:rsid w:val="0031576A"/>
    <w:rsid w:val="00315ACA"/>
    <w:rsid w:val="0031614E"/>
    <w:rsid w:val="003168DF"/>
    <w:rsid w:val="003169F8"/>
    <w:rsid w:val="003172F1"/>
    <w:rsid w:val="00317DD7"/>
    <w:rsid w:val="00317EA1"/>
    <w:rsid w:val="00321FCD"/>
    <w:rsid w:val="00322584"/>
    <w:rsid w:val="00324782"/>
    <w:rsid w:val="003247F7"/>
    <w:rsid w:val="003258D0"/>
    <w:rsid w:val="00326167"/>
    <w:rsid w:val="003264D5"/>
    <w:rsid w:val="003270F6"/>
    <w:rsid w:val="00327BD8"/>
    <w:rsid w:val="00330DC5"/>
    <w:rsid w:val="0033241E"/>
    <w:rsid w:val="00333AB2"/>
    <w:rsid w:val="00333E5D"/>
    <w:rsid w:val="00334CCE"/>
    <w:rsid w:val="0033669B"/>
    <w:rsid w:val="00336AAF"/>
    <w:rsid w:val="00337F26"/>
    <w:rsid w:val="00340CF5"/>
    <w:rsid w:val="00342FB5"/>
    <w:rsid w:val="00343A7F"/>
    <w:rsid w:val="003473E6"/>
    <w:rsid w:val="00351F41"/>
    <w:rsid w:val="00352BB6"/>
    <w:rsid w:val="003530AF"/>
    <w:rsid w:val="00353230"/>
    <w:rsid w:val="00354214"/>
    <w:rsid w:val="003547B8"/>
    <w:rsid w:val="00354E28"/>
    <w:rsid w:val="00355B5C"/>
    <w:rsid w:val="00360CFB"/>
    <w:rsid w:val="00361639"/>
    <w:rsid w:val="0036321F"/>
    <w:rsid w:val="003656A8"/>
    <w:rsid w:val="00366367"/>
    <w:rsid w:val="00367472"/>
    <w:rsid w:val="0037046B"/>
    <w:rsid w:val="003706AB"/>
    <w:rsid w:val="00371ACC"/>
    <w:rsid w:val="003725DD"/>
    <w:rsid w:val="00372E7D"/>
    <w:rsid w:val="00373DC4"/>
    <w:rsid w:val="00373F54"/>
    <w:rsid w:val="0037435E"/>
    <w:rsid w:val="00374F71"/>
    <w:rsid w:val="003762BA"/>
    <w:rsid w:val="0037653A"/>
    <w:rsid w:val="003770C0"/>
    <w:rsid w:val="00380C89"/>
    <w:rsid w:val="003818A5"/>
    <w:rsid w:val="00381A2E"/>
    <w:rsid w:val="00382806"/>
    <w:rsid w:val="00383F9A"/>
    <w:rsid w:val="00384B35"/>
    <w:rsid w:val="00384DCD"/>
    <w:rsid w:val="00384FF5"/>
    <w:rsid w:val="003868C8"/>
    <w:rsid w:val="00386B8D"/>
    <w:rsid w:val="003936D9"/>
    <w:rsid w:val="00393C03"/>
    <w:rsid w:val="00394AD2"/>
    <w:rsid w:val="00395BE9"/>
    <w:rsid w:val="00396F6F"/>
    <w:rsid w:val="003972FD"/>
    <w:rsid w:val="00397384"/>
    <w:rsid w:val="00397994"/>
    <w:rsid w:val="003A2779"/>
    <w:rsid w:val="003A35F7"/>
    <w:rsid w:val="003A3638"/>
    <w:rsid w:val="003A4EC1"/>
    <w:rsid w:val="003A5041"/>
    <w:rsid w:val="003A5DF4"/>
    <w:rsid w:val="003A5EB6"/>
    <w:rsid w:val="003A6387"/>
    <w:rsid w:val="003A774C"/>
    <w:rsid w:val="003A7C2F"/>
    <w:rsid w:val="003B149B"/>
    <w:rsid w:val="003B216E"/>
    <w:rsid w:val="003B459A"/>
    <w:rsid w:val="003B56A8"/>
    <w:rsid w:val="003B6472"/>
    <w:rsid w:val="003C10DE"/>
    <w:rsid w:val="003C20D9"/>
    <w:rsid w:val="003C31B5"/>
    <w:rsid w:val="003C37DC"/>
    <w:rsid w:val="003C4D4A"/>
    <w:rsid w:val="003C5473"/>
    <w:rsid w:val="003C5D3A"/>
    <w:rsid w:val="003C67B0"/>
    <w:rsid w:val="003C7366"/>
    <w:rsid w:val="003C7522"/>
    <w:rsid w:val="003D18B1"/>
    <w:rsid w:val="003D1F94"/>
    <w:rsid w:val="003D28A4"/>
    <w:rsid w:val="003D2C9C"/>
    <w:rsid w:val="003D3D8D"/>
    <w:rsid w:val="003D442C"/>
    <w:rsid w:val="003D71CB"/>
    <w:rsid w:val="003E08C3"/>
    <w:rsid w:val="003E0BC4"/>
    <w:rsid w:val="003E1C14"/>
    <w:rsid w:val="003E3C68"/>
    <w:rsid w:val="003E76DF"/>
    <w:rsid w:val="003E7871"/>
    <w:rsid w:val="003F15A7"/>
    <w:rsid w:val="003F16E9"/>
    <w:rsid w:val="003F29D9"/>
    <w:rsid w:val="003F3401"/>
    <w:rsid w:val="003F5FA5"/>
    <w:rsid w:val="003F7868"/>
    <w:rsid w:val="004009A6"/>
    <w:rsid w:val="00402073"/>
    <w:rsid w:val="004024F4"/>
    <w:rsid w:val="0040357C"/>
    <w:rsid w:val="00403718"/>
    <w:rsid w:val="0040397B"/>
    <w:rsid w:val="00406118"/>
    <w:rsid w:val="00406C67"/>
    <w:rsid w:val="00410BAB"/>
    <w:rsid w:val="00410F37"/>
    <w:rsid w:val="004125AC"/>
    <w:rsid w:val="0041276E"/>
    <w:rsid w:val="0041364F"/>
    <w:rsid w:val="00413858"/>
    <w:rsid w:val="00414089"/>
    <w:rsid w:val="00414202"/>
    <w:rsid w:val="00414310"/>
    <w:rsid w:val="004146D1"/>
    <w:rsid w:val="00416CA7"/>
    <w:rsid w:val="00420763"/>
    <w:rsid w:val="00421493"/>
    <w:rsid w:val="00421680"/>
    <w:rsid w:val="0042333D"/>
    <w:rsid w:val="00424B59"/>
    <w:rsid w:val="00424D52"/>
    <w:rsid w:val="00433C14"/>
    <w:rsid w:val="00433EE9"/>
    <w:rsid w:val="00433F4F"/>
    <w:rsid w:val="004342B4"/>
    <w:rsid w:val="00435300"/>
    <w:rsid w:val="00435F00"/>
    <w:rsid w:val="00441793"/>
    <w:rsid w:val="00442BD2"/>
    <w:rsid w:val="00443149"/>
    <w:rsid w:val="004452AF"/>
    <w:rsid w:val="00445A31"/>
    <w:rsid w:val="00446142"/>
    <w:rsid w:val="00446852"/>
    <w:rsid w:val="00450AC6"/>
    <w:rsid w:val="00450E94"/>
    <w:rsid w:val="004522F1"/>
    <w:rsid w:val="00452A3A"/>
    <w:rsid w:val="00452E62"/>
    <w:rsid w:val="0045411B"/>
    <w:rsid w:val="00454D4D"/>
    <w:rsid w:val="0045558A"/>
    <w:rsid w:val="00456B77"/>
    <w:rsid w:val="00457B87"/>
    <w:rsid w:val="004618BD"/>
    <w:rsid w:val="00461D6D"/>
    <w:rsid w:val="00464123"/>
    <w:rsid w:val="0046693F"/>
    <w:rsid w:val="004669AB"/>
    <w:rsid w:val="00467034"/>
    <w:rsid w:val="00471C1C"/>
    <w:rsid w:val="004729F7"/>
    <w:rsid w:val="00472F58"/>
    <w:rsid w:val="004730BF"/>
    <w:rsid w:val="004737B0"/>
    <w:rsid w:val="00474218"/>
    <w:rsid w:val="00474D3F"/>
    <w:rsid w:val="00475B71"/>
    <w:rsid w:val="0047619D"/>
    <w:rsid w:val="0047694A"/>
    <w:rsid w:val="00476DB7"/>
    <w:rsid w:val="004802AD"/>
    <w:rsid w:val="00480887"/>
    <w:rsid w:val="00480CA5"/>
    <w:rsid w:val="004913EC"/>
    <w:rsid w:val="004923B7"/>
    <w:rsid w:val="004931B9"/>
    <w:rsid w:val="0049496B"/>
    <w:rsid w:val="00496901"/>
    <w:rsid w:val="00497DBF"/>
    <w:rsid w:val="004A1DC3"/>
    <w:rsid w:val="004A42CD"/>
    <w:rsid w:val="004A5867"/>
    <w:rsid w:val="004A5A29"/>
    <w:rsid w:val="004B20A4"/>
    <w:rsid w:val="004B40C0"/>
    <w:rsid w:val="004B49A4"/>
    <w:rsid w:val="004B558A"/>
    <w:rsid w:val="004B5D89"/>
    <w:rsid w:val="004B7DBC"/>
    <w:rsid w:val="004C0DA3"/>
    <w:rsid w:val="004C13B1"/>
    <w:rsid w:val="004C1EB9"/>
    <w:rsid w:val="004C398D"/>
    <w:rsid w:val="004C5624"/>
    <w:rsid w:val="004C5872"/>
    <w:rsid w:val="004D1968"/>
    <w:rsid w:val="004D1D08"/>
    <w:rsid w:val="004D20D0"/>
    <w:rsid w:val="004D2A3D"/>
    <w:rsid w:val="004D330B"/>
    <w:rsid w:val="004D33B2"/>
    <w:rsid w:val="004D385B"/>
    <w:rsid w:val="004D5CEA"/>
    <w:rsid w:val="004D5E9F"/>
    <w:rsid w:val="004D776A"/>
    <w:rsid w:val="004D7CC9"/>
    <w:rsid w:val="004D7D86"/>
    <w:rsid w:val="004E22D9"/>
    <w:rsid w:val="004E2C29"/>
    <w:rsid w:val="004E347F"/>
    <w:rsid w:val="004E4E5D"/>
    <w:rsid w:val="004E53CC"/>
    <w:rsid w:val="004E67C2"/>
    <w:rsid w:val="004E6F66"/>
    <w:rsid w:val="004E75D7"/>
    <w:rsid w:val="004F2015"/>
    <w:rsid w:val="004F221C"/>
    <w:rsid w:val="004F7FF1"/>
    <w:rsid w:val="00500191"/>
    <w:rsid w:val="0050047C"/>
    <w:rsid w:val="0050115C"/>
    <w:rsid w:val="00501993"/>
    <w:rsid w:val="00503EB1"/>
    <w:rsid w:val="005041CC"/>
    <w:rsid w:val="0050441D"/>
    <w:rsid w:val="00505B45"/>
    <w:rsid w:val="00507208"/>
    <w:rsid w:val="005079E0"/>
    <w:rsid w:val="00510B1F"/>
    <w:rsid w:val="00510F55"/>
    <w:rsid w:val="00512A76"/>
    <w:rsid w:val="005223E7"/>
    <w:rsid w:val="005228F6"/>
    <w:rsid w:val="00522E75"/>
    <w:rsid w:val="005237AC"/>
    <w:rsid w:val="00523E15"/>
    <w:rsid w:val="0052426F"/>
    <w:rsid w:val="00524342"/>
    <w:rsid w:val="00526BF6"/>
    <w:rsid w:val="005303ED"/>
    <w:rsid w:val="0053121C"/>
    <w:rsid w:val="00532BF5"/>
    <w:rsid w:val="00532FB2"/>
    <w:rsid w:val="005333B5"/>
    <w:rsid w:val="00535B11"/>
    <w:rsid w:val="005371D0"/>
    <w:rsid w:val="00541268"/>
    <w:rsid w:val="005415A4"/>
    <w:rsid w:val="00541C3D"/>
    <w:rsid w:val="005420B2"/>
    <w:rsid w:val="00542B8E"/>
    <w:rsid w:val="00543B97"/>
    <w:rsid w:val="0054444E"/>
    <w:rsid w:val="005475A5"/>
    <w:rsid w:val="0055109E"/>
    <w:rsid w:val="005525BB"/>
    <w:rsid w:val="00554445"/>
    <w:rsid w:val="00557FB4"/>
    <w:rsid w:val="00561847"/>
    <w:rsid w:val="005623F5"/>
    <w:rsid w:val="00562540"/>
    <w:rsid w:val="005625B5"/>
    <w:rsid w:val="00563DE0"/>
    <w:rsid w:val="005642C4"/>
    <w:rsid w:val="005645B5"/>
    <w:rsid w:val="00565A77"/>
    <w:rsid w:val="00565C4E"/>
    <w:rsid w:val="00565E7C"/>
    <w:rsid w:val="00567E42"/>
    <w:rsid w:val="00570EE8"/>
    <w:rsid w:val="005716E4"/>
    <w:rsid w:val="0057191A"/>
    <w:rsid w:val="0057236C"/>
    <w:rsid w:val="0057512A"/>
    <w:rsid w:val="00577677"/>
    <w:rsid w:val="0058031A"/>
    <w:rsid w:val="00580653"/>
    <w:rsid w:val="0058213D"/>
    <w:rsid w:val="0058229B"/>
    <w:rsid w:val="00582FA7"/>
    <w:rsid w:val="0058416C"/>
    <w:rsid w:val="0058488F"/>
    <w:rsid w:val="00584C66"/>
    <w:rsid w:val="00584C87"/>
    <w:rsid w:val="0058529A"/>
    <w:rsid w:val="005853FA"/>
    <w:rsid w:val="00585645"/>
    <w:rsid w:val="00585C14"/>
    <w:rsid w:val="0058617D"/>
    <w:rsid w:val="0058703F"/>
    <w:rsid w:val="0058712F"/>
    <w:rsid w:val="00587356"/>
    <w:rsid w:val="005913D8"/>
    <w:rsid w:val="00592375"/>
    <w:rsid w:val="005926EC"/>
    <w:rsid w:val="00592F8A"/>
    <w:rsid w:val="005940D3"/>
    <w:rsid w:val="0059483C"/>
    <w:rsid w:val="00595DDB"/>
    <w:rsid w:val="0059706E"/>
    <w:rsid w:val="005975F2"/>
    <w:rsid w:val="005A0C00"/>
    <w:rsid w:val="005A1175"/>
    <w:rsid w:val="005A1C6A"/>
    <w:rsid w:val="005A3E1C"/>
    <w:rsid w:val="005A7405"/>
    <w:rsid w:val="005B09BF"/>
    <w:rsid w:val="005B35F6"/>
    <w:rsid w:val="005B382E"/>
    <w:rsid w:val="005B4E1C"/>
    <w:rsid w:val="005B5065"/>
    <w:rsid w:val="005B5BAB"/>
    <w:rsid w:val="005B6BC8"/>
    <w:rsid w:val="005B6F23"/>
    <w:rsid w:val="005C0274"/>
    <w:rsid w:val="005C350F"/>
    <w:rsid w:val="005C3B60"/>
    <w:rsid w:val="005C44DC"/>
    <w:rsid w:val="005C4AE1"/>
    <w:rsid w:val="005C4B2F"/>
    <w:rsid w:val="005C5465"/>
    <w:rsid w:val="005C6533"/>
    <w:rsid w:val="005D0412"/>
    <w:rsid w:val="005D116B"/>
    <w:rsid w:val="005D19BD"/>
    <w:rsid w:val="005D6E7F"/>
    <w:rsid w:val="005D7632"/>
    <w:rsid w:val="005D7F7B"/>
    <w:rsid w:val="005D7F96"/>
    <w:rsid w:val="005E0AD3"/>
    <w:rsid w:val="005E1665"/>
    <w:rsid w:val="005E1A4E"/>
    <w:rsid w:val="005E1BE7"/>
    <w:rsid w:val="005E445C"/>
    <w:rsid w:val="005E4F8E"/>
    <w:rsid w:val="005E58BB"/>
    <w:rsid w:val="005E7D03"/>
    <w:rsid w:val="005E7E24"/>
    <w:rsid w:val="005F01A2"/>
    <w:rsid w:val="005F09A8"/>
    <w:rsid w:val="005F117C"/>
    <w:rsid w:val="005F1272"/>
    <w:rsid w:val="005F1A7D"/>
    <w:rsid w:val="005F2206"/>
    <w:rsid w:val="005F3D88"/>
    <w:rsid w:val="005F4169"/>
    <w:rsid w:val="005F46DC"/>
    <w:rsid w:val="005F4764"/>
    <w:rsid w:val="005F7A40"/>
    <w:rsid w:val="0060454E"/>
    <w:rsid w:val="00607E51"/>
    <w:rsid w:val="00610AC3"/>
    <w:rsid w:val="00611680"/>
    <w:rsid w:val="0061458E"/>
    <w:rsid w:val="00614F8B"/>
    <w:rsid w:val="006156DF"/>
    <w:rsid w:val="00615F21"/>
    <w:rsid w:val="00617A2E"/>
    <w:rsid w:val="00617C31"/>
    <w:rsid w:val="00617C78"/>
    <w:rsid w:val="006216D4"/>
    <w:rsid w:val="006218BC"/>
    <w:rsid w:val="0062284C"/>
    <w:rsid w:val="006233BD"/>
    <w:rsid w:val="00624063"/>
    <w:rsid w:val="00625E7F"/>
    <w:rsid w:val="00627361"/>
    <w:rsid w:val="00627417"/>
    <w:rsid w:val="00627AFA"/>
    <w:rsid w:val="006300C2"/>
    <w:rsid w:val="00630249"/>
    <w:rsid w:val="00633348"/>
    <w:rsid w:val="0063421F"/>
    <w:rsid w:val="0063491A"/>
    <w:rsid w:val="00634DFE"/>
    <w:rsid w:val="006357F8"/>
    <w:rsid w:val="0063620B"/>
    <w:rsid w:val="0064272F"/>
    <w:rsid w:val="00642B18"/>
    <w:rsid w:val="006431CF"/>
    <w:rsid w:val="00643D4D"/>
    <w:rsid w:val="006449DF"/>
    <w:rsid w:val="006449E7"/>
    <w:rsid w:val="0064504A"/>
    <w:rsid w:val="00645242"/>
    <w:rsid w:val="00645373"/>
    <w:rsid w:val="0064554D"/>
    <w:rsid w:val="0064588B"/>
    <w:rsid w:val="0064631E"/>
    <w:rsid w:val="00655772"/>
    <w:rsid w:val="00660551"/>
    <w:rsid w:val="006610CB"/>
    <w:rsid w:val="00661521"/>
    <w:rsid w:val="00662392"/>
    <w:rsid w:val="0066291E"/>
    <w:rsid w:val="0066340C"/>
    <w:rsid w:val="006640B2"/>
    <w:rsid w:val="00666499"/>
    <w:rsid w:val="006677FA"/>
    <w:rsid w:val="00667D5C"/>
    <w:rsid w:val="00670567"/>
    <w:rsid w:val="0067110D"/>
    <w:rsid w:val="006711D6"/>
    <w:rsid w:val="00672509"/>
    <w:rsid w:val="00672DDA"/>
    <w:rsid w:val="00673453"/>
    <w:rsid w:val="00675678"/>
    <w:rsid w:val="0067567C"/>
    <w:rsid w:val="00676721"/>
    <w:rsid w:val="00676E04"/>
    <w:rsid w:val="006773AA"/>
    <w:rsid w:val="006801D6"/>
    <w:rsid w:val="006832AB"/>
    <w:rsid w:val="006856B5"/>
    <w:rsid w:val="00685DA1"/>
    <w:rsid w:val="006862E3"/>
    <w:rsid w:val="00686730"/>
    <w:rsid w:val="00687B3D"/>
    <w:rsid w:val="00687EAF"/>
    <w:rsid w:val="00690286"/>
    <w:rsid w:val="006902B3"/>
    <w:rsid w:val="006903CB"/>
    <w:rsid w:val="006911F5"/>
    <w:rsid w:val="00693B2C"/>
    <w:rsid w:val="00697145"/>
    <w:rsid w:val="00697786"/>
    <w:rsid w:val="00697ED1"/>
    <w:rsid w:val="006A123D"/>
    <w:rsid w:val="006A1B5D"/>
    <w:rsid w:val="006A2475"/>
    <w:rsid w:val="006A4D5B"/>
    <w:rsid w:val="006A5C42"/>
    <w:rsid w:val="006A72F5"/>
    <w:rsid w:val="006A7426"/>
    <w:rsid w:val="006A7DEE"/>
    <w:rsid w:val="006B28D6"/>
    <w:rsid w:val="006B2E8C"/>
    <w:rsid w:val="006B36F7"/>
    <w:rsid w:val="006B43B2"/>
    <w:rsid w:val="006B7503"/>
    <w:rsid w:val="006C0141"/>
    <w:rsid w:val="006C0689"/>
    <w:rsid w:val="006C0E11"/>
    <w:rsid w:val="006C11E2"/>
    <w:rsid w:val="006C1254"/>
    <w:rsid w:val="006C1E0A"/>
    <w:rsid w:val="006C2288"/>
    <w:rsid w:val="006C27B3"/>
    <w:rsid w:val="006C47A5"/>
    <w:rsid w:val="006C510B"/>
    <w:rsid w:val="006C7501"/>
    <w:rsid w:val="006D230D"/>
    <w:rsid w:val="006D2508"/>
    <w:rsid w:val="006D2643"/>
    <w:rsid w:val="006D27EF"/>
    <w:rsid w:val="006D3366"/>
    <w:rsid w:val="006D3B49"/>
    <w:rsid w:val="006D3C94"/>
    <w:rsid w:val="006D40BB"/>
    <w:rsid w:val="006D470D"/>
    <w:rsid w:val="006D64A6"/>
    <w:rsid w:val="006D6D6F"/>
    <w:rsid w:val="006D7AC3"/>
    <w:rsid w:val="006E0B6A"/>
    <w:rsid w:val="006E0D59"/>
    <w:rsid w:val="006E1111"/>
    <w:rsid w:val="006E1B19"/>
    <w:rsid w:val="006E1E0E"/>
    <w:rsid w:val="006E30F4"/>
    <w:rsid w:val="006E5770"/>
    <w:rsid w:val="006F03C5"/>
    <w:rsid w:val="006F0664"/>
    <w:rsid w:val="006F1135"/>
    <w:rsid w:val="006F13EF"/>
    <w:rsid w:val="006F1F72"/>
    <w:rsid w:val="006F2AF9"/>
    <w:rsid w:val="006F4751"/>
    <w:rsid w:val="006F5484"/>
    <w:rsid w:val="00700AD5"/>
    <w:rsid w:val="00700F5E"/>
    <w:rsid w:val="00702566"/>
    <w:rsid w:val="0070370A"/>
    <w:rsid w:val="00706447"/>
    <w:rsid w:val="007103EE"/>
    <w:rsid w:val="00711414"/>
    <w:rsid w:val="0071273F"/>
    <w:rsid w:val="00713935"/>
    <w:rsid w:val="00714439"/>
    <w:rsid w:val="00715E82"/>
    <w:rsid w:val="0071638A"/>
    <w:rsid w:val="00716D98"/>
    <w:rsid w:val="00717A86"/>
    <w:rsid w:val="00717B66"/>
    <w:rsid w:val="00720057"/>
    <w:rsid w:val="0072058C"/>
    <w:rsid w:val="00720A78"/>
    <w:rsid w:val="00721BB3"/>
    <w:rsid w:val="0072245A"/>
    <w:rsid w:val="00722E63"/>
    <w:rsid w:val="00724CCE"/>
    <w:rsid w:val="00725170"/>
    <w:rsid w:val="0072747B"/>
    <w:rsid w:val="00727F92"/>
    <w:rsid w:val="00731BDB"/>
    <w:rsid w:val="00731CDA"/>
    <w:rsid w:val="007320C1"/>
    <w:rsid w:val="007326EC"/>
    <w:rsid w:val="00732AC7"/>
    <w:rsid w:val="00733815"/>
    <w:rsid w:val="007344B5"/>
    <w:rsid w:val="00734B4C"/>
    <w:rsid w:val="007352BC"/>
    <w:rsid w:val="007355E1"/>
    <w:rsid w:val="00736912"/>
    <w:rsid w:val="007375CF"/>
    <w:rsid w:val="007377C5"/>
    <w:rsid w:val="00741541"/>
    <w:rsid w:val="00742137"/>
    <w:rsid w:val="00744770"/>
    <w:rsid w:val="007447B2"/>
    <w:rsid w:val="00744B09"/>
    <w:rsid w:val="00744F69"/>
    <w:rsid w:val="0074585F"/>
    <w:rsid w:val="007463B6"/>
    <w:rsid w:val="007476EB"/>
    <w:rsid w:val="00747F0D"/>
    <w:rsid w:val="00750620"/>
    <w:rsid w:val="0075123F"/>
    <w:rsid w:val="00751DCE"/>
    <w:rsid w:val="00752E6C"/>
    <w:rsid w:val="00754707"/>
    <w:rsid w:val="00754B75"/>
    <w:rsid w:val="00754D4C"/>
    <w:rsid w:val="00755AAA"/>
    <w:rsid w:val="00755D42"/>
    <w:rsid w:val="00756FD5"/>
    <w:rsid w:val="00757750"/>
    <w:rsid w:val="00757C90"/>
    <w:rsid w:val="00761C63"/>
    <w:rsid w:val="00762B14"/>
    <w:rsid w:val="007637E7"/>
    <w:rsid w:val="007646F6"/>
    <w:rsid w:val="00765CE9"/>
    <w:rsid w:val="00767749"/>
    <w:rsid w:val="007710D0"/>
    <w:rsid w:val="007730A7"/>
    <w:rsid w:val="00773148"/>
    <w:rsid w:val="00775740"/>
    <w:rsid w:val="0077742F"/>
    <w:rsid w:val="007802F3"/>
    <w:rsid w:val="00783664"/>
    <w:rsid w:val="0078392D"/>
    <w:rsid w:val="00785A3B"/>
    <w:rsid w:val="00786631"/>
    <w:rsid w:val="00786A47"/>
    <w:rsid w:val="007906DB"/>
    <w:rsid w:val="007909B8"/>
    <w:rsid w:val="00792555"/>
    <w:rsid w:val="007925C8"/>
    <w:rsid w:val="00793C75"/>
    <w:rsid w:val="00794D06"/>
    <w:rsid w:val="00795213"/>
    <w:rsid w:val="00795604"/>
    <w:rsid w:val="00796204"/>
    <w:rsid w:val="00796B5A"/>
    <w:rsid w:val="00797A23"/>
    <w:rsid w:val="007A0061"/>
    <w:rsid w:val="007A108D"/>
    <w:rsid w:val="007A20D5"/>
    <w:rsid w:val="007A4A0E"/>
    <w:rsid w:val="007A5391"/>
    <w:rsid w:val="007A589E"/>
    <w:rsid w:val="007A6CC0"/>
    <w:rsid w:val="007B095F"/>
    <w:rsid w:val="007B0C55"/>
    <w:rsid w:val="007B172E"/>
    <w:rsid w:val="007B1843"/>
    <w:rsid w:val="007B2295"/>
    <w:rsid w:val="007B333F"/>
    <w:rsid w:val="007B6124"/>
    <w:rsid w:val="007B78C2"/>
    <w:rsid w:val="007B7934"/>
    <w:rsid w:val="007C041B"/>
    <w:rsid w:val="007C11D6"/>
    <w:rsid w:val="007C24A5"/>
    <w:rsid w:val="007C30B5"/>
    <w:rsid w:val="007C53DE"/>
    <w:rsid w:val="007C6519"/>
    <w:rsid w:val="007C692F"/>
    <w:rsid w:val="007D3E2D"/>
    <w:rsid w:val="007D5041"/>
    <w:rsid w:val="007D687A"/>
    <w:rsid w:val="007D742C"/>
    <w:rsid w:val="007D79C7"/>
    <w:rsid w:val="007E122F"/>
    <w:rsid w:val="007E1F20"/>
    <w:rsid w:val="007E21F9"/>
    <w:rsid w:val="007E26DC"/>
    <w:rsid w:val="007E3BA2"/>
    <w:rsid w:val="007E4791"/>
    <w:rsid w:val="007E4E58"/>
    <w:rsid w:val="007E51AF"/>
    <w:rsid w:val="007E5A78"/>
    <w:rsid w:val="007E67AF"/>
    <w:rsid w:val="007F018C"/>
    <w:rsid w:val="007F26BD"/>
    <w:rsid w:val="007F5457"/>
    <w:rsid w:val="007F5AB1"/>
    <w:rsid w:val="007F5FF7"/>
    <w:rsid w:val="00800047"/>
    <w:rsid w:val="00800514"/>
    <w:rsid w:val="00800FCE"/>
    <w:rsid w:val="008030BC"/>
    <w:rsid w:val="008065B7"/>
    <w:rsid w:val="008068E2"/>
    <w:rsid w:val="00807087"/>
    <w:rsid w:val="0080767B"/>
    <w:rsid w:val="008078EB"/>
    <w:rsid w:val="00810811"/>
    <w:rsid w:val="00810A11"/>
    <w:rsid w:val="00810CE4"/>
    <w:rsid w:val="00811F38"/>
    <w:rsid w:val="0081326C"/>
    <w:rsid w:val="008147D7"/>
    <w:rsid w:val="00817DA9"/>
    <w:rsid w:val="00820D48"/>
    <w:rsid w:val="00820DDF"/>
    <w:rsid w:val="0082551A"/>
    <w:rsid w:val="00825A0F"/>
    <w:rsid w:val="008323C6"/>
    <w:rsid w:val="008326A2"/>
    <w:rsid w:val="0083310F"/>
    <w:rsid w:val="008339CE"/>
    <w:rsid w:val="00833F1E"/>
    <w:rsid w:val="008342D9"/>
    <w:rsid w:val="00834F92"/>
    <w:rsid w:val="008368EC"/>
    <w:rsid w:val="00836EF9"/>
    <w:rsid w:val="00836FDE"/>
    <w:rsid w:val="00842131"/>
    <w:rsid w:val="008432E7"/>
    <w:rsid w:val="00843E0F"/>
    <w:rsid w:val="008444AE"/>
    <w:rsid w:val="00851D66"/>
    <w:rsid w:val="00852B37"/>
    <w:rsid w:val="00852E04"/>
    <w:rsid w:val="0085314F"/>
    <w:rsid w:val="00854B92"/>
    <w:rsid w:val="00855923"/>
    <w:rsid w:val="00856D35"/>
    <w:rsid w:val="00860E04"/>
    <w:rsid w:val="00860E19"/>
    <w:rsid w:val="00861428"/>
    <w:rsid w:val="00861D4B"/>
    <w:rsid w:val="008624D2"/>
    <w:rsid w:val="008625D2"/>
    <w:rsid w:val="00864516"/>
    <w:rsid w:val="008658D7"/>
    <w:rsid w:val="0086764C"/>
    <w:rsid w:val="00871C56"/>
    <w:rsid w:val="00872100"/>
    <w:rsid w:val="00872880"/>
    <w:rsid w:val="008773BC"/>
    <w:rsid w:val="00877593"/>
    <w:rsid w:val="00877BAE"/>
    <w:rsid w:val="008825C4"/>
    <w:rsid w:val="00882DD3"/>
    <w:rsid w:val="00883315"/>
    <w:rsid w:val="00883813"/>
    <w:rsid w:val="00883F96"/>
    <w:rsid w:val="00884E88"/>
    <w:rsid w:val="00885065"/>
    <w:rsid w:val="0088781C"/>
    <w:rsid w:val="00887D73"/>
    <w:rsid w:val="00890850"/>
    <w:rsid w:val="008908B7"/>
    <w:rsid w:val="00891F94"/>
    <w:rsid w:val="00892734"/>
    <w:rsid w:val="0089287B"/>
    <w:rsid w:val="0089333D"/>
    <w:rsid w:val="008935D6"/>
    <w:rsid w:val="008947FF"/>
    <w:rsid w:val="00897BDA"/>
    <w:rsid w:val="00897F60"/>
    <w:rsid w:val="008A0331"/>
    <w:rsid w:val="008A089F"/>
    <w:rsid w:val="008A3385"/>
    <w:rsid w:val="008A3D49"/>
    <w:rsid w:val="008A6F2A"/>
    <w:rsid w:val="008A71BE"/>
    <w:rsid w:val="008A75F0"/>
    <w:rsid w:val="008B164A"/>
    <w:rsid w:val="008B1D6E"/>
    <w:rsid w:val="008B1D8C"/>
    <w:rsid w:val="008B40CE"/>
    <w:rsid w:val="008B4B1E"/>
    <w:rsid w:val="008B4D9C"/>
    <w:rsid w:val="008B5F8E"/>
    <w:rsid w:val="008B6447"/>
    <w:rsid w:val="008B6DE3"/>
    <w:rsid w:val="008C00F3"/>
    <w:rsid w:val="008C0FFF"/>
    <w:rsid w:val="008C1D42"/>
    <w:rsid w:val="008C1E9E"/>
    <w:rsid w:val="008C381F"/>
    <w:rsid w:val="008C3E3E"/>
    <w:rsid w:val="008C3F4A"/>
    <w:rsid w:val="008C5899"/>
    <w:rsid w:val="008C5A6D"/>
    <w:rsid w:val="008C69EE"/>
    <w:rsid w:val="008C7AF9"/>
    <w:rsid w:val="008D324E"/>
    <w:rsid w:val="008D5121"/>
    <w:rsid w:val="008D709F"/>
    <w:rsid w:val="008D7B7C"/>
    <w:rsid w:val="008E0832"/>
    <w:rsid w:val="008E0F2F"/>
    <w:rsid w:val="008E1F17"/>
    <w:rsid w:val="008E2961"/>
    <w:rsid w:val="008E43C2"/>
    <w:rsid w:val="008E45E7"/>
    <w:rsid w:val="008E4EB8"/>
    <w:rsid w:val="008E5AE2"/>
    <w:rsid w:val="008F0B8B"/>
    <w:rsid w:val="008F1453"/>
    <w:rsid w:val="008F309C"/>
    <w:rsid w:val="008F3A9B"/>
    <w:rsid w:val="008F5854"/>
    <w:rsid w:val="008F61A8"/>
    <w:rsid w:val="008F7A5A"/>
    <w:rsid w:val="00900B1C"/>
    <w:rsid w:val="00901EC5"/>
    <w:rsid w:val="00902553"/>
    <w:rsid w:val="009042F6"/>
    <w:rsid w:val="00905399"/>
    <w:rsid w:val="00907203"/>
    <w:rsid w:val="009072E7"/>
    <w:rsid w:val="00910146"/>
    <w:rsid w:val="00910499"/>
    <w:rsid w:val="00911721"/>
    <w:rsid w:val="00911D9C"/>
    <w:rsid w:val="009133EE"/>
    <w:rsid w:val="00913C15"/>
    <w:rsid w:val="00913F03"/>
    <w:rsid w:val="009161BE"/>
    <w:rsid w:val="009175D9"/>
    <w:rsid w:val="009208C7"/>
    <w:rsid w:val="0092193B"/>
    <w:rsid w:val="0092403F"/>
    <w:rsid w:val="00925838"/>
    <w:rsid w:val="00926165"/>
    <w:rsid w:val="0092782F"/>
    <w:rsid w:val="00927F04"/>
    <w:rsid w:val="00931D07"/>
    <w:rsid w:val="00932845"/>
    <w:rsid w:val="0093399E"/>
    <w:rsid w:val="00934550"/>
    <w:rsid w:val="00935699"/>
    <w:rsid w:val="00936B62"/>
    <w:rsid w:val="00940B11"/>
    <w:rsid w:val="00942334"/>
    <w:rsid w:val="009426B8"/>
    <w:rsid w:val="009428EA"/>
    <w:rsid w:val="00942E72"/>
    <w:rsid w:val="00944567"/>
    <w:rsid w:val="009452E3"/>
    <w:rsid w:val="00945C13"/>
    <w:rsid w:val="00945F8D"/>
    <w:rsid w:val="009460D0"/>
    <w:rsid w:val="00951D1D"/>
    <w:rsid w:val="00951EB0"/>
    <w:rsid w:val="00952B76"/>
    <w:rsid w:val="00953DEA"/>
    <w:rsid w:val="00954C6E"/>
    <w:rsid w:val="009557C7"/>
    <w:rsid w:val="009578DC"/>
    <w:rsid w:val="009608C0"/>
    <w:rsid w:val="00960EF7"/>
    <w:rsid w:val="00960F9C"/>
    <w:rsid w:val="0096108C"/>
    <w:rsid w:val="0096175C"/>
    <w:rsid w:val="00962EF2"/>
    <w:rsid w:val="00963EBF"/>
    <w:rsid w:val="00966493"/>
    <w:rsid w:val="00971F5C"/>
    <w:rsid w:val="00972054"/>
    <w:rsid w:val="0097213B"/>
    <w:rsid w:val="00972C06"/>
    <w:rsid w:val="00973EA7"/>
    <w:rsid w:val="00974E97"/>
    <w:rsid w:val="00975399"/>
    <w:rsid w:val="0097683D"/>
    <w:rsid w:val="00980591"/>
    <w:rsid w:val="00981948"/>
    <w:rsid w:val="00981EEF"/>
    <w:rsid w:val="00981F19"/>
    <w:rsid w:val="00982C6A"/>
    <w:rsid w:val="00982E1F"/>
    <w:rsid w:val="0098478E"/>
    <w:rsid w:val="009862DA"/>
    <w:rsid w:val="00986771"/>
    <w:rsid w:val="009878A5"/>
    <w:rsid w:val="009904C4"/>
    <w:rsid w:val="00991F8E"/>
    <w:rsid w:val="009921AD"/>
    <w:rsid w:val="00993A3F"/>
    <w:rsid w:val="009950D9"/>
    <w:rsid w:val="0099626D"/>
    <w:rsid w:val="009964C7"/>
    <w:rsid w:val="009A082B"/>
    <w:rsid w:val="009A10F0"/>
    <w:rsid w:val="009A20C9"/>
    <w:rsid w:val="009A478E"/>
    <w:rsid w:val="009A5043"/>
    <w:rsid w:val="009A5515"/>
    <w:rsid w:val="009A6578"/>
    <w:rsid w:val="009A6B68"/>
    <w:rsid w:val="009A6E9D"/>
    <w:rsid w:val="009B01D5"/>
    <w:rsid w:val="009B0C02"/>
    <w:rsid w:val="009B58DF"/>
    <w:rsid w:val="009B5D70"/>
    <w:rsid w:val="009B6412"/>
    <w:rsid w:val="009B7097"/>
    <w:rsid w:val="009B7B1A"/>
    <w:rsid w:val="009C1AF7"/>
    <w:rsid w:val="009C25B6"/>
    <w:rsid w:val="009C3785"/>
    <w:rsid w:val="009C3821"/>
    <w:rsid w:val="009C424A"/>
    <w:rsid w:val="009C4A95"/>
    <w:rsid w:val="009C4CE5"/>
    <w:rsid w:val="009C6664"/>
    <w:rsid w:val="009C6841"/>
    <w:rsid w:val="009C7044"/>
    <w:rsid w:val="009D117D"/>
    <w:rsid w:val="009D28AF"/>
    <w:rsid w:val="009D290E"/>
    <w:rsid w:val="009D2CC6"/>
    <w:rsid w:val="009D2F47"/>
    <w:rsid w:val="009D3A40"/>
    <w:rsid w:val="009D3E04"/>
    <w:rsid w:val="009D4A30"/>
    <w:rsid w:val="009D59CF"/>
    <w:rsid w:val="009D7A85"/>
    <w:rsid w:val="009E15B4"/>
    <w:rsid w:val="009E18A4"/>
    <w:rsid w:val="009E235F"/>
    <w:rsid w:val="009E3971"/>
    <w:rsid w:val="009E7F86"/>
    <w:rsid w:val="009F058D"/>
    <w:rsid w:val="009F1D59"/>
    <w:rsid w:val="009F1DCB"/>
    <w:rsid w:val="009F267B"/>
    <w:rsid w:val="009F30E6"/>
    <w:rsid w:val="009F37D8"/>
    <w:rsid w:val="009F59A3"/>
    <w:rsid w:val="009F6F92"/>
    <w:rsid w:val="00A00277"/>
    <w:rsid w:val="00A02021"/>
    <w:rsid w:val="00A03D31"/>
    <w:rsid w:val="00A04345"/>
    <w:rsid w:val="00A0598B"/>
    <w:rsid w:val="00A06A53"/>
    <w:rsid w:val="00A06E5A"/>
    <w:rsid w:val="00A11295"/>
    <w:rsid w:val="00A1191C"/>
    <w:rsid w:val="00A11978"/>
    <w:rsid w:val="00A11DD2"/>
    <w:rsid w:val="00A11F9E"/>
    <w:rsid w:val="00A12828"/>
    <w:rsid w:val="00A1349E"/>
    <w:rsid w:val="00A15E34"/>
    <w:rsid w:val="00A16144"/>
    <w:rsid w:val="00A171C6"/>
    <w:rsid w:val="00A17A6A"/>
    <w:rsid w:val="00A17C39"/>
    <w:rsid w:val="00A17E8F"/>
    <w:rsid w:val="00A220B3"/>
    <w:rsid w:val="00A230ED"/>
    <w:rsid w:val="00A23F6E"/>
    <w:rsid w:val="00A24526"/>
    <w:rsid w:val="00A2590C"/>
    <w:rsid w:val="00A26427"/>
    <w:rsid w:val="00A264A8"/>
    <w:rsid w:val="00A27334"/>
    <w:rsid w:val="00A31001"/>
    <w:rsid w:val="00A31B34"/>
    <w:rsid w:val="00A33070"/>
    <w:rsid w:val="00A33208"/>
    <w:rsid w:val="00A341B6"/>
    <w:rsid w:val="00A363CB"/>
    <w:rsid w:val="00A36AD9"/>
    <w:rsid w:val="00A37534"/>
    <w:rsid w:val="00A37937"/>
    <w:rsid w:val="00A37F19"/>
    <w:rsid w:val="00A403C7"/>
    <w:rsid w:val="00A40D04"/>
    <w:rsid w:val="00A41603"/>
    <w:rsid w:val="00A433EB"/>
    <w:rsid w:val="00A44C24"/>
    <w:rsid w:val="00A45D35"/>
    <w:rsid w:val="00A461A3"/>
    <w:rsid w:val="00A46649"/>
    <w:rsid w:val="00A4706C"/>
    <w:rsid w:val="00A470C7"/>
    <w:rsid w:val="00A501FD"/>
    <w:rsid w:val="00A506CC"/>
    <w:rsid w:val="00A5134C"/>
    <w:rsid w:val="00A51605"/>
    <w:rsid w:val="00A51B50"/>
    <w:rsid w:val="00A54768"/>
    <w:rsid w:val="00A548B0"/>
    <w:rsid w:val="00A55009"/>
    <w:rsid w:val="00A57913"/>
    <w:rsid w:val="00A61E7A"/>
    <w:rsid w:val="00A6253C"/>
    <w:rsid w:val="00A6429F"/>
    <w:rsid w:val="00A66160"/>
    <w:rsid w:val="00A669DE"/>
    <w:rsid w:val="00A71039"/>
    <w:rsid w:val="00A710D5"/>
    <w:rsid w:val="00A72820"/>
    <w:rsid w:val="00A72AE8"/>
    <w:rsid w:val="00A7390C"/>
    <w:rsid w:val="00A73D93"/>
    <w:rsid w:val="00A74C9B"/>
    <w:rsid w:val="00A777BD"/>
    <w:rsid w:val="00A80044"/>
    <w:rsid w:val="00A8111D"/>
    <w:rsid w:val="00A824E1"/>
    <w:rsid w:val="00A8279F"/>
    <w:rsid w:val="00A82D1A"/>
    <w:rsid w:val="00A83B4A"/>
    <w:rsid w:val="00A862E2"/>
    <w:rsid w:val="00A86887"/>
    <w:rsid w:val="00A878AD"/>
    <w:rsid w:val="00A87C9C"/>
    <w:rsid w:val="00A91187"/>
    <w:rsid w:val="00A92D6B"/>
    <w:rsid w:val="00A92EEF"/>
    <w:rsid w:val="00A9371B"/>
    <w:rsid w:val="00A955E4"/>
    <w:rsid w:val="00A9758B"/>
    <w:rsid w:val="00AA0304"/>
    <w:rsid w:val="00AA15FA"/>
    <w:rsid w:val="00AA1D70"/>
    <w:rsid w:val="00AA1FE3"/>
    <w:rsid w:val="00AA444B"/>
    <w:rsid w:val="00AA5465"/>
    <w:rsid w:val="00AA54E0"/>
    <w:rsid w:val="00AA59F9"/>
    <w:rsid w:val="00AA741B"/>
    <w:rsid w:val="00AB12E0"/>
    <w:rsid w:val="00AB1C01"/>
    <w:rsid w:val="00AB39DE"/>
    <w:rsid w:val="00AB52B8"/>
    <w:rsid w:val="00AB60EE"/>
    <w:rsid w:val="00AB77BA"/>
    <w:rsid w:val="00AC00BD"/>
    <w:rsid w:val="00AC08CF"/>
    <w:rsid w:val="00AC0BA2"/>
    <w:rsid w:val="00AC19B7"/>
    <w:rsid w:val="00AC5B87"/>
    <w:rsid w:val="00AC6296"/>
    <w:rsid w:val="00AD0617"/>
    <w:rsid w:val="00AD25BC"/>
    <w:rsid w:val="00AD3876"/>
    <w:rsid w:val="00AD4B4A"/>
    <w:rsid w:val="00AD64EB"/>
    <w:rsid w:val="00AD73A1"/>
    <w:rsid w:val="00AD7FA8"/>
    <w:rsid w:val="00AE0AE9"/>
    <w:rsid w:val="00AE1194"/>
    <w:rsid w:val="00AE1619"/>
    <w:rsid w:val="00AE2DE3"/>
    <w:rsid w:val="00AE32D8"/>
    <w:rsid w:val="00AE3B1B"/>
    <w:rsid w:val="00AE5879"/>
    <w:rsid w:val="00AE5CCD"/>
    <w:rsid w:val="00AE6112"/>
    <w:rsid w:val="00AF0D54"/>
    <w:rsid w:val="00AF1AC7"/>
    <w:rsid w:val="00AF282A"/>
    <w:rsid w:val="00AF339C"/>
    <w:rsid w:val="00AF4BC7"/>
    <w:rsid w:val="00AF4FA1"/>
    <w:rsid w:val="00AF5623"/>
    <w:rsid w:val="00AF6A3A"/>
    <w:rsid w:val="00AF6C12"/>
    <w:rsid w:val="00AF7338"/>
    <w:rsid w:val="00B002CD"/>
    <w:rsid w:val="00B01A99"/>
    <w:rsid w:val="00B01F5A"/>
    <w:rsid w:val="00B021F5"/>
    <w:rsid w:val="00B03290"/>
    <w:rsid w:val="00B04182"/>
    <w:rsid w:val="00B047F2"/>
    <w:rsid w:val="00B0534B"/>
    <w:rsid w:val="00B06B26"/>
    <w:rsid w:val="00B073B0"/>
    <w:rsid w:val="00B0799C"/>
    <w:rsid w:val="00B13946"/>
    <w:rsid w:val="00B1560B"/>
    <w:rsid w:val="00B17261"/>
    <w:rsid w:val="00B1743D"/>
    <w:rsid w:val="00B201EE"/>
    <w:rsid w:val="00B20C63"/>
    <w:rsid w:val="00B22907"/>
    <w:rsid w:val="00B24B15"/>
    <w:rsid w:val="00B24F82"/>
    <w:rsid w:val="00B24F99"/>
    <w:rsid w:val="00B251D7"/>
    <w:rsid w:val="00B27766"/>
    <w:rsid w:val="00B33073"/>
    <w:rsid w:val="00B332D1"/>
    <w:rsid w:val="00B33559"/>
    <w:rsid w:val="00B3446D"/>
    <w:rsid w:val="00B3549E"/>
    <w:rsid w:val="00B354BE"/>
    <w:rsid w:val="00B40BF6"/>
    <w:rsid w:val="00B40F66"/>
    <w:rsid w:val="00B41A0E"/>
    <w:rsid w:val="00B42250"/>
    <w:rsid w:val="00B42ECA"/>
    <w:rsid w:val="00B446E3"/>
    <w:rsid w:val="00B44D09"/>
    <w:rsid w:val="00B4527E"/>
    <w:rsid w:val="00B465FC"/>
    <w:rsid w:val="00B46E31"/>
    <w:rsid w:val="00B50F6B"/>
    <w:rsid w:val="00B515B5"/>
    <w:rsid w:val="00B52A21"/>
    <w:rsid w:val="00B54F14"/>
    <w:rsid w:val="00B55A54"/>
    <w:rsid w:val="00B56424"/>
    <w:rsid w:val="00B56A46"/>
    <w:rsid w:val="00B56BA8"/>
    <w:rsid w:val="00B575C4"/>
    <w:rsid w:val="00B61611"/>
    <w:rsid w:val="00B640AC"/>
    <w:rsid w:val="00B641CC"/>
    <w:rsid w:val="00B6430D"/>
    <w:rsid w:val="00B64D68"/>
    <w:rsid w:val="00B6542C"/>
    <w:rsid w:val="00B66398"/>
    <w:rsid w:val="00B6668B"/>
    <w:rsid w:val="00B66D6C"/>
    <w:rsid w:val="00B675B1"/>
    <w:rsid w:val="00B67D2B"/>
    <w:rsid w:val="00B7235D"/>
    <w:rsid w:val="00B7297E"/>
    <w:rsid w:val="00B72E03"/>
    <w:rsid w:val="00B73AF6"/>
    <w:rsid w:val="00B744BC"/>
    <w:rsid w:val="00B76F48"/>
    <w:rsid w:val="00B832CB"/>
    <w:rsid w:val="00B83F68"/>
    <w:rsid w:val="00B87091"/>
    <w:rsid w:val="00B903D1"/>
    <w:rsid w:val="00B91A50"/>
    <w:rsid w:val="00B92390"/>
    <w:rsid w:val="00B93BBD"/>
    <w:rsid w:val="00B9437C"/>
    <w:rsid w:val="00B96166"/>
    <w:rsid w:val="00B966F0"/>
    <w:rsid w:val="00B96EF7"/>
    <w:rsid w:val="00B96FD2"/>
    <w:rsid w:val="00B97BD1"/>
    <w:rsid w:val="00BA3753"/>
    <w:rsid w:val="00BA4A6E"/>
    <w:rsid w:val="00BA5B30"/>
    <w:rsid w:val="00BA5E68"/>
    <w:rsid w:val="00BA6409"/>
    <w:rsid w:val="00BA7738"/>
    <w:rsid w:val="00BB0E60"/>
    <w:rsid w:val="00BB1526"/>
    <w:rsid w:val="00BB2CF9"/>
    <w:rsid w:val="00BB5EED"/>
    <w:rsid w:val="00BB60AE"/>
    <w:rsid w:val="00BB6A23"/>
    <w:rsid w:val="00BC08DB"/>
    <w:rsid w:val="00BC1E1D"/>
    <w:rsid w:val="00BC3DF5"/>
    <w:rsid w:val="00BC6308"/>
    <w:rsid w:val="00BC7866"/>
    <w:rsid w:val="00BD2B17"/>
    <w:rsid w:val="00BD3507"/>
    <w:rsid w:val="00BD354E"/>
    <w:rsid w:val="00BD38D8"/>
    <w:rsid w:val="00BD64C7"/>
    <w:rsid w:val="00BD7737"/>
    <w:rsid w:val="00BD7E67"/>
    <w:rsid w:val="00BE0733"/>
    <w:rsid w:val="00BE0EB0"/>
    <w:rsid w:val="00BE239A"/>
    <w:rsid w:val="00BE2515"/>
    <w:rsid w:val="00BE3466"/>
    <w:rsid w:val="00BE3970"/>
    <w:rsid w:val="00BE4528"/>
    <w:rsid w:val="00BE4A25"/>
    <w:rsid w:val="00BE544E"/>
    <w:rsid w:val="00BE56FA"/>
    <w:rsid w:val="00BE5AAD"/>
    <w:rsid w:val="00BE6510"/>
    <w:rsid w:val="00BE6AAE"/>
    <w:rsid w:val="00BE728E"/>
    <w:rsid w:val="00BF064C"/>
    <w:rsid w:val="00BF0E36"/>
    <w:rsid w:val="00BF1627"/>
    <w:rsid w:val="00BF21B6"/>
    <w:rsid w:val="00BF248C"/>
    <w:rsid w:val="00BF3AE7"/>
    <w:rsid w:val="00BF4DB7"/>
    <w:rsid w:val="00BF5320"/>
    <w:rsid w:val="00BF5335"/>
    <w:rsid w:val="00BF6346"/>
    <w:rsid w:val="00BF6D20"/>
    <w:rsid w:val="00C00AA4"/>
    <w:rsid w:val="00C01A9F"/>
    <w:rsid w:val="00C01EF6"/>
    <w:rsid w:val="00C01EFB"/>
    <w:rsid w:val="00C02085"/>
    <w:rsid w:val="00C020D1"/>
    <w:rsid w:val="00C04910"/>
    <w:rsid w:val="00C060EF"/>
    <w:rsid w:val="00C0690F"/>
    <w:rsid w:val="00C076C0"/>
    <w:rsid w:val="00C07ACC"/>
    <w:rsid w:val="00C07F8C"/>
    <w:rsid w:val="00C10AAF"/>
    <w:rsid w:val="00C10E2C"/>
    <w:rsid w:val="00C11F1E"/>
    <w:rsid w:val="00C12EF7"/>
    <w:rsid w:val="00C13B73"/>
    <w:rsid w:val="00C148B4"/>
    <w:rsid w:val="00C16006"/>
    <w:rsid w:val="00C1716D"/>
    <w:rsid w:val="00C17699"/>
    <w:rsid w:val="00C178A7"/>
    <w:rsid w:val="00C21EEC"/>
    <w:rsid w:val="00C22414"/>
    <w:rsid w:val="00C232C5"/>
    <w:rsid w:val="00C2350E"/>
    <w:rsid w:val="00C23574"/>
    <w:rsid w:val="00C2432A"/>
    <w:rsid w:val="00C24CC9"/>
    <w:rsid w:val="00C25667"/>
    <w:rsid w:val="00C260DA"/>
    <w:rsid w:val="00C27075"/>
    <w:rsid w:val="00C315EE"/>
    <w:rsid w:val="00C31AB2"/>
    <w:rsid w:val="00C32440"/>
    <w:rsid w:val="00C33C3A"/>
    <w:rsid w:val="00C34D13"/>
    <w:rsid w:val="00C35F1C"/>
    <w:rsid w:val="00C42C04"/>
    <w:rsid w:val="00C437BA"/>
    <w:rsid w:val="00C44219"/>
    <w:rsid w:val="00C445C8"/>
    <w:rsid w:val="00C44760"/>
    <w:rsid w:val="00C46862"/>
    <w:rsid w:val="00C50273"/>
    <w:rsid w:val="00C5135E"/>
    <w:rsid w:val="00C53070"/>
    <w:rsid w:val="00C5370E"/>
    <w:rsid w:val="00C543D9"/>
    <w:rsid w:val="00C54ADC"/>
    <w:rsid w:val="00C54E8B"/>
    <w:rsid w:val="00C55BB7"/>
    <w:rsid w:val="00C562FD"/>
    <w:rsid w:val="00C61160"/>
    <w:rsid w:val="00C668F3"/>
    <w:rsid w:val="00C70B60"/>
    <w:rsid w:val="00C71797"/>
    <w:rsid w:val="00C71A66"/>
    <w:rsid w:val="00C72072"/>
    <w:rsid w:val="00C72B4F"/>
    <w:rsid w:val="00C72FA8"/>
    <w:rsid w:val="00C731F3"/>
    <w:rsid w:val="00C7369B"/>
    <w:rsid w:val="00C73EB0"/>
    <w:rsid w:val="00C74015"/>
    <w:rsid w:val="00C74872"/>
    <w:rsid w:val="00C74A4C"/>
    <w:rsid w:val="00C75B96"/>
    <w:rsid w:val="00C7752E"/>
    <w:rsid w:val="00C81685"/>
    <w:rsid w:val="00C81FD0"/>
    <w:rsid w:val="00C82B95"/>
    <w:rsid w:val="00C82DC5"/>
    <w:rsid w:val="00C83C3A"/>
    <w:rsid w:val="00C83EDD"/>
    <w:rsid w:val="00C840E9"/>
    <w:rsid w:val="00C84368"/>
    <w:rsid w:val="00C866FF"/>
    <w:rsid w:val="00C87A31"/>
    <w:rsid w:val="00C87A47"/>
    <w:rsid w:val="00C87B10"/>
    <w:rsid w:val="00C87E6B"/>
    <w:rsid w:val="00C903A1"/>
    <w:rsid w:val="00C913F4"/>
    <w:rsid w:val="00C9172D"/>
    <w:rsid w:val="00C964D7"/>
    <w:rsid w:val="00CA0682"/>
    <w:rsid w:val="00CA089A"/>
    <w:rsid w:val="00CA22E3"/>
    <w:rsid w:val="00CA29EB"/>
    <w:rsid w:val="00CA2F1C"/>
    <w:rsid w:val="00CA3EA6"/>
    <w:rsid w:val="00CA4335"/>
    <w:rsid w:val="00CA66B5"/>
    <w:rsid w:val="00CA6B9E"/>
    <w:rsid w:val="00CA6FF0"/>
    <w:rsid w:val="00CA75CE"/>
    <w:rsid w:val="00CB059F"/>
    <w:rsid w:val="00CB0B19"/>
    <w:rsid w:val="00CB0C2A"/>
    <w:rsid w:val="00CB49A9"/>
    <w:rsid w:val="00CB49B0"/>
    <w:rsid w:val="00CB5056"/>
    <w:rsid w:val="00CB555B"/>
    <w:rsid w:val="00CB678B"/>
    <w:rsid w:val="00CC052D"/>
    <w:rsid w:val="00CC1707"/>
    <w:rsid w:val="00CC520D"/>
    <w:rsid w:val="00CC5906"/>
    <w:rsid w:val="00CC6514"/>
    <w:rsid w:val="00CC7052"/>
    <w:rsid w:val="00CC758B"/>
    <w:rsid w:val="00CD129E"/>
    <w:rsid w:val="00CD1C53"/>
    <w:rsid w:val="00CD1CC9"/>
    <w:rsid w:val="00CD47C3"/>
    <w:rsid w:val="00CD4A75"/>
    <w:rsid w:val="00CD4EDE"/>
    <w:rsid w:val="00CD5427"/>
    <w:rsid w:val="00CD7CEF"/>
    <w:rsid w:val="00CE0987"/>
    <w:rsid w:val="00CE0EC9"/>
    <w:rsid w:val="00CE1BDF"/>
    <w:rsid w:val="00CE1C03"/>
    <w:rsid w:val="00CE2AA1"/>
    <w:rsid w:val="00CE4B24"/>
    <w:rsid w:val="00CF0FB9"/>
    <w:rsid w:val="00CF108B"/>
    <w:rsid w:val="00CF129B"/>
    <w:rsid w:val="00CF156C"/>
    <w:rsid w:val="00CF1581"/>
    <w:rsid w:val="00CF59BA"/>
    <w:rsid w:val="00CF6980"/>
    <w:rsid w:val="00CF6D3B"/>
    <w:rsid w:val="00CF7733"/>
    <w:rsid w:val="00CF7896"/>
    <w:rsid w:val="00CF7D76"/>
    <w:rsid w:val="00D01A46"/>
    <w:rsid w:val="00D02AA6"/>
    <w:rsid w:val="00D02D10"/>
    <w:rsid w:val="00D045A2"/>
    <w:rsid w:val="00D046F4"/>
    <w:rsid w:val="00D05841"/>
    <w:rsid w:val="00D05B60"/>
    <w:rsid w:val="00D0667C"/>
    <w:rsid w:val="00D07F31"/>
    <w:rsid w:val="00D121EF"/>
    <w:rsid w:val="00D129E5"/>
    <w:rsid w:val="00D13ED1"/>
    <w:rsid w:val="00D147D7"/>
    <w:rsid w:val="00D15208"/>
    <w:rsid w:val="00D15B82"/>
    <w:rsid w:val="00D204D9"/>
    <w:rsid w:val="00D208C8"/>
    <w:rsid w:val="00D21269"/>
    <w:rsid w:val="00D216E4"/>
    <w:rsid w:val="00D21B72"/>
    <w:rsid w:val="00D220A2"/>
    <w:rsid w:val="00D22785"/>
    <w:rsid w:val="00D23069"/>
    <w:rsid w:val="00D23394"/>
    <w:rsid w:val="00D23A96"/>
    <w:rsid w:val="00D25611"/>
    <w:rsid w:val="00D30621"/>
    <w:rsid w:val="00D308EB"/>
    <w:rsid w:val="00D30B89"/>
    <w:rsid w:val="00D3234A"/>
    <w:rsid w:val="00D32960"/>
    <w:rsid w:val="00D32B9E"/>
    <w:rsid w:val="00D32CF5"/>
    <w:rsid w:val="00D333FC"/>
    <w:rsid w:val="00D3435A"/>
    <w:rsid w:val="00D35397"/>
    <w:rsid w:val="00D35D77"/>
    <w:rsid w:val="00D40BFD"/>
    <w:rsid w:val="00D421FC"/>
    <w:rsid w:val="00D440D2"/>
    <w:rsid w:val="00D448F7"/>
    <w:rsid w:val="00D4587C"/>
    <w:rsid w:val="00D45A51"/>
    <w:rsid w:val="00D45C70"/>
    <w:rsid w:val="00D509A5"/>
    <w:rsid w:val="00D523A1"/>
    <w:rsid w:val="00D52B22"/>
    <w:rsid w:val="00D53476"/>
    <w:rsid w:val="00D54C56"/>
    <w:rsid w:val="00D56B26"/>
    <w:rsid w:val="00D576CE"/>
    <w:rsid w:val="00D57774"/>
    <w:rsid w:val="00D577CD"/>
    <w:rsid w:val="00D60347"/>
    <w:rsid w:val="00D60455"/>
    <w:rsid w:val="00D60E27"/>
    <w:rsid w:val="00D61966"/>
    <w:rsid w:val="00D61F02"/>
    <w:rsid w:val="00D621C2"/>
    <w:rsid w:val="00D628B3"/>
    <w:rsid w:val="00D63174"/>
    <w:rsid w:val="00D63F7D"/>
    <w:rsid w:val="00D651B8"/>
    <w:rsid w:val="00D671F0"/>
    <w:rsid w:val="00D67259"/>
    <w:rsid w:val="00D67A2D"/>
    <w:rsid w:val="00D67B08"/>
    <w:rsid w:val="00D70339"/>
    <w:rsid w:val="00D70986"/>
    <w:rsid w:val="00D70A43"/>
    <w:rsid w:val="00D70FAD"/>
    <w:rsid w:val="00D71105"/>
    <w:rsid w:val="00D723DE"/>
    <w:rsid w:val="00D73012"/>
    <w:rsid w:val="00D74648"/>
    <w:rsid w:val="00D750AD"/>
    <w:rsid w:val="00D7518A"/>
    <w:rsid w:val="00D76723"/>
    <w:rsid w:val="00D76DE5"/>
    <w:rsid w:val="00D77145"/>
    <w:rsid w:val="00D77DA5"/>
    <w:rsid w:val="00D77ECE"/>
    <w:rsid w:val="00D804FD"/>
    <w:rsid w:val="00D81C89"/>
    <w:rsid w:val="00D8388E"/>
    <w:rsid w:val="00D83B3D"/>
    <w:rsid w:val="00D86C70"/>
    <w:rsid w:val="00D86CF2"/>
    <w:rsid w:val="00D87449"/>
    <w:rsid w:val="00D8759A"/>
    <w:rsid w:val="00D9063B"/>
    <w:rsid w:val="00D94B8F"/>
    <w:rsid w:val="00D960DF"/>
    <w:rsid w:val="00D96618"/>
    <w:rsid w:val="00D97544"/>
    <w:rsid w:val="00D9761A"/>
    <w:rsid w:val="00D9768F"/>
    <w:rsid w:val="00DA000F"/>
    <w:rsid w:val="00DA227D"/>
    <w:rsid w:val="00DA2B87"/>
    <w:rsid w:val="00DA2CAD"/>
    <w:rsid w:val="00DA3475"/>
    <w:rsid w:val="00DA3F5D"/>
    <w:rsid w:val="00DB0B8B"/>
    <w:rsid w:val="00DB402C"/>
    <w:rsid w:val="00DB5A82"/>
    <w:rsid w:val="00DB61B8"/>
    <w:rsid w:val="00DB6A47"/>
    <w:rsid w:val="00DC1707"/>
    <w:rsid w:val="00DC1D32"/>
    <w:rsid w:val="00DC2E74"/>
    <w:rsid w:val="00DC3776"/>
    <w:rsid w:val="00DC3A41"/>
    <w:rsid w:val="00DC3D90"/>
    <w:rsid w:val="00DC44CD"/>
    <w:rsid w:val="00DC48B4"/>
    <w:rsid w:val="00DC6DF6"/>
    <w:rsid w:val="00DC6F45"/>
    <w:rsid w:val="00DC71D8"/>
    <w:rsid w:val="00DC7D31"/>
    <w:rsid w:val="00DD029D"/>
    <w:rsid w:val="00DD0E5A"/>
    <w:rsid w:val="00DD11C3"/>
    <w:rsid w:val="00DD143C"/>
    <w:rsid w:val="00DD15FF"/>
    <w:rsid w:val="00DD2D2C"/>
    <w:rsid w:val="00DD4116"/>
    <w:rsid w:val="00DD649C"/>
    <w:rsid w:val="00DD7951"/>
    <w:rsid w:val="00DE0513"/>
    <w:rsid w:val="00DE0D1D"/>
    <w:rsid w:val="00DE402B"/>
    <w:rsid w:val="00DE40E5"/>
    <w:rsid w:val="00DE50B5"/>
    <w:rsid w:val="00DE58E9"/>
    <w:rsid w:val="00DE7BA8"/>
    <w:rsid w:val="00DF00CF"/>
    <w:rsid w:val="00DF0391"/>
    <w:rsid w:val="00DF0EAC"/>
    <w:rsid w:val="00DF1571"/>
    <w:rsid w:val="00DF3628"/>
    <w:rsid w:val="00DF5911"/>
    <w:rsid w:val="00DF6347"/>
    <w:rsid w:val="00DF7319"/>
    <w:rsid w:val="00DF761D"/>
    <w:rsid w:val="00DF7C6F"/>
    <w:rsid w:val="00E00508"/>
    <w:rsid w:val="00E018EC"/>
    <w:rsid w:val="00E02ABC"/>
    <w:rsid w:val="00E03057"/>
    <w:rsid w:val="00E04AC9"/>
    <w:rsid w:val="00E061F8"/>
    <w:rsid w:val="00E07047"/>
    <w:rsid w:val="00E07265"/>
    <w:rsid w:val="00E100F7"/>
    <w:rsid w:val="00E10B0B"/>
    <w:rsid w:val="00E12478"/>
    <w:rsid w:val="00E13AD7"/>
    <w:rsid w:val="00E14280"/>
    <w:rsid w:val="00E15671"/>
    <w:rsid w:val="00E162F8"/>
    <w:rsid w:val="00E16AF6"/>
    <w:rsid w:val="00E21115"/>
    <w:rsid w:val="00E21D6D"/>
    <w:rsid w:val="00E23AEC"/>
    <w:rsid w:val="00E245D0"/>
    <w:rsid w:val="00E26870"/>
    <w:rsid w:val="00E26BAF"/>
    <w:rsid w:val="00E26CCA"/>
    <w:rsid w:val="00E30F86"/>
    <w:rsid w:val="00E3244C"/>
    <w:rsid w:val="00E336BA"/>
    <w:rsid w:val="00E3390F"/>
    <w:rsid w:val="00E33B81"/>
    <w:rsid w:val="00E341CB"/>
    <w:rsid w:val="00E35DDE"/>
    <w:rsid w:val="00E35F53"/>
    <w:rsid w:val="00E42D54"/>
    <w:rsid w:val="00E438DD"/>
    <w:rsid w:val="00E4487F"/>
    <w:rsid w:val="00E4533A"/>
    <w:rsid w:val="00E45947"/>
    <w:rsid w:val="00E459EA"/>
    <w:rsid w:val="00E47F00"/>
    <w:rsid w:val="00E47F6F"/>
    <w:rsid w:val="00E50DB7"/>
    <w:rsid w:val="00E50E3E"/>
    <w:rsid w:val="00E50EE0"/>
    <w:rsid w:val="00E51AC9"/>
    <w:rsid w:val="00E51C3A"/>
    <w:rsid w:val="00E54A08"/>
    <w:rsid w:val="00E54A63"/>
    <w:rsid w:val="00E554C3"/>
    <w:rsid w:val="00E56979"/>
    <w:rsid w:val="00E56D23"/>
    <w:rsid w:val="00E575FC"/>
    <w:rsid w:val="00E5795A"/>
    <w:rsid w:val="00E60BC8"/>
    <w:rsid w:val="00E63242"/>
    <w:rsid w:val="00E65E5A"/>
    <w:rsid w:val="00E663C9"/>
    <w:rsid w:val="00E702C8"/>
    <w:rsid w:val="00E73DB5"/>
    <w:rsid w:val="00E77722"/>
    <w:rsid w:val="00E80456"/>
    <w:rsid w:val="00E80AD1"/>
    <w:rsid w:val="00E8344B"/>
    <w:rsid w:val="00E8409B"/>
    <w:rsid w:val="00E840A7"/>
    <w:rsid w:val="00E87C51"/>
    <w:rsid w:val="00E90E42"/>
    <w:rsid w:val="00E9122B"/>
    <w:rsid w:val="00E925ED"/>
    <w:rsid w:val="00E92B5E"/>
    <w:rsid w:val="00E93D53"/>
    <w:rsid w:val="00E95364"/>
    <w:rsid w:val="00E95EB4"/>
    <w:rsid w:val="00E96A6C"/>
    <w:rsid w:val="00E96FF8"/>
    <w:rsid w:val="00E97D1F"/>
    <w:rsid w:val="00E97F7F"/>
    <w:rsid w:val="00EA0CB2"/>
    <w:rsid w:val="00EA16F0"/>
    <w:rsid w:val="00EA1F47"/>
    <w:rsid w:val="00EA225A"/>
    <w:rsid w:val="00EA2BAA"/>
    <w:rsid w:val="00EA37F1"/>
    <w:rsid w:val="00EA388E"/>
    <w:rsid w:val="00EA3CDD"/>
    <w:rsid w:val="00EA4AD1"/>
    <w:rsid w:val="00EA5A5F"/>
    <w:rsid w:val="00EA73F5"/>
    <w:rsid w:val="00EB113E"/>
    <w:rsid w:val="00EB1247"/>
    <w:rsid w:val="00EB2B49"/>
    <w:rsid w:val="00EB38ED"/>
    <w:rsid w:val="00EC0263"/>
    <w:rsid w:val="00EC091C"/>
    <w:rsid w:val="00EC3C42"/>
    <w:rsid w:val="00EC4177"/>
    <w:rsid w:val="00EC5E6F"/>
    <w:rsid w:val="00EC61D1"/>
    <w:rsid w:val="00EC7B7C"/>
    <w:rsid w:val="00ED0629"/>
    <w:rsid w:val="00ED1115"/>
    <w:rsid w:val="00ED12EC"/>
    <w:rsid w:val="00ED191E"/>
    <w:rsid w:val="00ED1E65"/>
    <w:rsid w:val="00ED246C"/>
    <w:rsid w:val="00ED325F"/>
    <w:rsid w:val="00ED3913"/>
    <w:rsid w:val="00ED67E8"/>
    <w:rsid w:val="00ED70C0"/>
    <w:rsid w:val="00EE0CFE"/>
    <w:rsid w:val="00EE0D4C"/>
    <w:rsid w:val="00EE275B"/>
    <w:rsid w:val="00EE32FF"/>
    <w:rsid w:val="00EE6053"/>
    <w:rsid w:val="00EE6238"/>
    <w:rsid w:val="00EE6C16"/>
    <w:rsid w:val="00EE7314"/>
    <w:rsid w:val="00EE757A"/>
    <w:rsid w:val="00EF1BF2"/>
    <w:rsid w:val="00EF2032"/>
    <w:rsid w:val="00EF2453"/>
    <w:rsid w:val="00EF3FD8"/>
    <w:rsid w:val="00EF44E6"/>
    <w:rsid w:val="00EF7955"/>
    <w:rsid w:val="00F007E8"/>
    <w:rsid w:val="00F017A0"/>
    <w:rsid w:val="00F0430C"/>
    <w:rsid w:val="00F05632"/>
    <w:rsid w:val="00F05FCA"/>
    <w:rsid w:val="00F06BFC"/>
    <w:rsid w:val="00F07EBA"/>
    <w:rsid w:val="00F10752"/>
    <w:rsid w:val="00F11E51"/>
    <w:rsid w:val="00F1261E"/>
    <w:rsid w:val="00F12789"/>
    <w:rsid w:val="00F131BC"/>
    <w:rsid w:val="00F13F3E"/>
    <w:rsid w:val="00F14389"/>
    <w:rsid w:val="00F14805"/>
    <w:rsid w:val="00F14A3A"/>
    <w:rsid w:val="00F1518C"/>
    <w:rsid w:val="00F151B2"/>
    <w:rsid w:val="00F158B5"/>
    <w:rsid w:val="00F159B2"/>
    <w:rsid w:val="00F16DB4"/>
    <w:rsid w:val="00F17D69"/>
    <w:rsid w:val="00F20A33"/>
    <w:rsid w:val="00F2107B"/>
    <w:rsid w:val="00F21D89"/>
    <w:rsid w:val="00F21E36"/>
    <w:rsid w:val="00F2209A"/>
    <w:rsid w:val="00F23315"/>
    <w:rsid w:val="00F23519"/>
    <w:rsid w:val="00F245EE"/>
    <w:rsid w:val="00F24948"/>
    <w:rsid w:val="00F24F2B"/>
    <w:rsid w:val="00F26809"/>
    <w:rsid w:val="00F278A3"/>
    <w:rsid w:val="00F2797D"/>
    <w:rsid w:val="00F30C4D"/>
    <w:rsid w:val="00F31B3F"/>
    <w:rsid w:val="00F324A9"/>
    <w:rsid w:val="00F33EE8"/>
    <w:rsid w:val="00F34570"/>
    <w:rsid w:val="00F354B9"/>
    <w:rsid w:val="00F36010"/>
    <w:rsid w:val="00F36797"/>
    <w:rsid w:val="00F36AEF"/>
    <w:rsid w:val="00F4030B"/>
    <w:rsid w:val="00F41CD0"/>
    <w:rsid w:val="00F42CF7"/>
    <w:rsid w:val="00F43669"/>
    <w:rsid w:val="00F44474"/>
    <w:rsid w:val="00F44AF9"/>
    <w:rsid w:val="00F44DCF"/>
    <w:rsid w:val="00F451F4"/>
    <w:rsid w:val="00F45966"/>
    <w:rsid w:val="00F46035"/>
    <w:rsid w:val="00F47CD2"/>
    <w:rsid w:val="00F50670"/>
    <w:rsid w:val="00F521BB"/>
    <w:rsid w:val="00F52E81"/>
    <w:rsid w:val="00F56CF6"/>
    <w:rsid w:val="00F5707E"/>
    <w:rsid w:val="00F57C5B"/>
    <w:rsid w:val="00F60311"/>
    <w:rsid w:val="00F62B72"/>
    <w:rsid w:val="00F62E9F"/>
    <w:rsid w:val="00F63F6D"/>
    <w:rsid w:val="00F64F72"/>
    <w:rsid w:val="00F664D4"/>
    <w:rsid w:val="00F66BDD"/>
    <w:rsid w:val="00F66F9B"/>
    <w:rsid w:val="00F67F00"/>
    <w:rsid w:val="00F71863"/>
    <w:rsid w:val="00F7246C"/>
    <w:rsid w:val="00F73071"/>
    <w:rsid w:val="00F7323D"/>
    <w:rsid w:val="00F73A1D"/>
    <w:rsid w:val="00F73EF2"/>
    <w:rsid w:val="00F7631A"/>
    <w:rsid w:val="00F76898"/>
    <w:rsid w:val="00F769C2"/>
    <w:rsid w:val="00F77FF0"/>
    <w:rsid w:val="00F8118B"/>
    <w:rsid w:val="00F828A4"/>
    <w:rsid w:val="00F82E93"/>
    <w:rsid w:val="00F8507A"/>
    <w:rsid w:val="00F86F44"/>
    <w:rsid w:val="00F87613"/>
    <w:rsid w:val="00F9265C"/>
    <w:rsid w:val="00F927D0"/>
    <w:rsid w:val="00F92819"/>
    <w:rsid w:val="00F93F43"/>
    <w:rsid w:val="00F94B63"/>
    <w:rsid w:val="00F95631"/>
    <w:rsid w:val="00F96079"/>
    <w:rsid w:val="00F96506"/>
    <w:rsid w:val="00FA23D3"/>
    <w:rsid w:val="00FA2CF8"/>
    <w:rsid w:val="00FA3384"/>
    <w:rsid w:val="00FA4B61"/>
    <w:rsid w:val="00FA6407"/>
    <w:rsid w:val="00FA6AEB"/>
    <w:rsid w:val="00FB0508"/>
    <w:rsid w:val="00FB062B"/>
    <w:rsid w:val="00FB0962"/>
    <w:rsid w:val="00FB0D4F"/>
    <w:rsid w:val="00FB3211"/>
    <w:rsid w:val="00FB338F"/>
    <w:rsid w:val="00FB3417"/>
    <w:rsid w:val="00FB3BBB"/>
    <w:rsid w:val="00FB50DA"/>
    <w:rsid w:val="00FB6246"/>
    <w:rsid w:val="00FB64C6"/>
    <w:rsid w:val="00FB76E5"/>
    <w:rsid w:val="00FC06B0"/>
    <w:rsid w:val="00FC07A4"/>
    <w:rsid w:val="00FC0F9F"/>
    <w:rsid w:val="00FC10EF"/>
    <w:rsid w:val="00FC1D42"/>
    <w:rsid w:val="00FC2496"/>
    <w:rsid w:val="00FC39BD"/>
    <w:rsid w:val="00FC7014"/>
    <w:rsid w:val="00FD06A2"/>
    <w:rsid w:val="00FD22FD"/>
    <w:rsid w:val="00FD3E48"/>
    <w:rsid w:val="00FD4E83"/>
    <w:rsid w:val="00FD54E9"/>
    <w:rsid w:val="00FD65D6"/>
    <w:rsid w:val="00FD6E6B"/>
    <w:rsid w:val="00FD6FE4"/>
    <w:rsid w:val="00FD7C5E"/>
    <w:rsid w:val="00FE0FBF"/>
    <w:rsid w:val="00FE1AFF"/>
    <w:rsid w:val="00FE1D8A"/>
    <w:rsid w:val="00FE2B27"/>
    <w:rsid w:val="00FE2EEA"/>
    <w:rsid w:val="00FE3E9F"/>
    <w:rsid w:val="00FE41A3"/>
    <w:rsid w:val="00FF252C"/>
    <w:rsid w:val="00FF34F9"/>
    <w:rsid w:val="00FF6EBE"/>
    <w:rsid w:val="00FF7C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1CE69D"/>
  <w15:docId w15:val="{A473F0EA-5816-40EC-91BB-C1291BF1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F68"/>
    <w:pPr>
      <w:spacing w:after="200" w:line="276" w:lineRule="auto"/>
    </w:pPr>
    <w:rPr>
      <w:rFonts w:ascii="Times New Roman" w:hAnsi="Times New Roman"/>
      <w:sz w:val="24"/>
      <w:szCs w:val="22"/>
      <w:lang w:eastAsia="en-US"/>
    </w:rPr>
  </w:style>
  <w:style w:type="paragraph" w:styleId="Heading1">
    <w:name w:val="heading 1"/>
    <w:aliases w:val="'Part' Heading"/>
    <w:basedOn w:val="Normal"/>
    <w:next w:val="Normal"/>
    <w:link w:val="Heading1Char"/>
    <w:uiPriority w:val="9"/>
    <w:qFormat/>
    <w:rsid w:val="00501993"/>
    <w:pPr>
      <w:keepNext/>
      <w:spacing w:before="240" w:after="12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431CF"/>
    <w:pPr>
      <w:keepNext/>
      <w:spacing w:before="240" w:after="60"/>
      <w:outlineLvl w:val="1"/>
    </w:pPr>
    <w:rPr>
      <w:rFonts w:eastAsia="Times New Roman"/>
      <w:b/>
      <w:bCs/>
      <w:iCs/>
      <w:szCs w:val="28"/>
      <w:u w:val="single"/>
    </w:rPr>
  </w:style>
  <w:style w:type="paragraph" w:styleId="Heading3">
    <w:name w:val="heading 3"/>
    <w:aliases w:val="'Division' heading,Division heading"/>
    <w:basedOn w:val="Normal"/>
    <w:next w:val="Normal"/>
    <w:link w:val="Heading3Char"/>
    <w:uiPriority w:val="9"/>
    <w:unhideWhenUsed/>
    <w:qFormat/>
    <w:rsid w:val="00480CA5"/>
    <w:pPr>
      <w:spacing w:before="240" w:after="120"/>
      <w:outlineLvl w:val="2"/>
    </w:pPr>
    <w:rPr>
      <w:b/>
      <w:sz w:val="26"/>
      <w:szCs w:val="26"/>
    </w:rPr>
  </w:style>
  <w:style w:type="paragraph" w:styleId="Heading4">
    <w:name w:val="heading 4"/>
    <w:aliases w:val="'Clause' heading"/>
    <w:basedOn w:val="Normal"/>
    <w:next w:val="Normal"/>
    <w:link w:val="Heading4Char"/>
    <w:uiPriority w:val="9"/>
    <w:unhideWhenUsed/>
    <w:qFormat/>
    <w:rsid w:val="0092403F"/>
    <w:pPr>
      <w:keepNext/>
      <w:spacing w:before="240" w:after="120"/>
      <w:outlineLvl w:val="3"/>
    </w:pPr>
    <w:rPr>
      <w:b/>
      <w:szCs w:val="24"/>
    </w:rPr>
  </w:style>
  <w:style w:type="paragraph" w:styleId="Heading5">
    <w:name w:val="heading 5"/>
    <w:aliases w:val="New Section heading"/>
    <w:basedOn w:val="Heading4"/>
    <w:next w:val="Normal"/>
    <w:link w:val="Heading5Char"/>
    <w:uiPriority w:val="9"/>
    <w:unhideWhenUsed/>
    <w:qFormat/>
    <w:rsid w:val="008D709F"/>
    <w:pPr>
      <w:keepNext w:val="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1611"/>
    <w:rPr>
      <w:sz w:val="16"/>
      <w:szCs w:val="16"/>
    </w:rPr>
  </w:style>
  <w:style w:type="paragraph" w:styleId="CommentText">
    <w:name w:val="annotation text"/>
    <w:basedOn w:val="Normal"/>
    <w:link w:val="CommentTextChar"/>
    <w:uiPriority w:val="99"/>
    <w:semiHidden/>
    <w:unhideWhenUsed/>
    <w:rsid w:val="00B61611"/>
    <w:rPr>
      <w:sz w:val="20"/>
      <w:szCs w:val="20"/>
    </w:rPr>
  </w:style>
  <w:style w:type="character" w:customStyle="1" w:styleId="CommentTextChar">
    <w:name w:val="Comment Text Char"/>
    <w:basedOn w:val="DefaultParagraphFont"/>
    <w:link w:val="CommentText"/>
    <w:uiPriority w:val="99"/>
    <w:semiHidden/>
    <w:rsid w:val="00B61611"/>
    <w:rPr>
      <w:lang w:eastAsia="en-US"/>
    </w:rPr>
  </w:style>
  <w:style w:type="paragraph" w:styleId="CommentSubject">
    <w:name w:val="annotation subject"/>
    <w:basedOn w:val="CommentText"/>
    <w:next w:val="CommentText"/>
    <w:link w:val="CommentSubjectChar"/>
    <w:uiPriority w:val="99"/>
    <w:semiHidden/>
    <w:unhideWhenUsed/>
    <w:rsid w:val="00B61611"/>
    <w:rPr>
      <w:b/>
      <w:bCs/>
    </w:rPr>
  </w:style>
  <w:style w:type="character" w:customStyle="1" w:styleId="CommentSubjectChar">
    <w:name w:val="Comment Subject Char"/>
    <w:basedOn w:val="CommentTextChar"/>
    <w:link w:val="CommentSubject"/>
    <w:uiPriority w:val="99"/>
    <w:semiHidden/>
    <w:rsid w:val="00B61611"/>
    <w:rPr>
      <w:b/>
      <w:bCs/>
      <w:lang w:eastAsia="en-US"/>
    </w:rPr>
  </w:style>
  <w:style w:type="paragraph" w:styleId="BalloonText">
    <w:name w:val="Balloon Text"/>
    <w:basedOn w:val="Normal"/>
    <w:link w:val="BalloonTextChar"/>
    <w:uiPriority w:val="99"/>
    <w:semiHidden/>
    <w:unhideWhenUsed/>
    <w:rsid w:val="00B61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611"/>
    <w:rPr>
      <w:rFonts w:ascii="Tahoma" w:hAnsi="Tahoma" w:cs="Tahoma"/>
      <w:sz w:val="16"/>
      <w:szCs w:val="16"/>
      <w:lang w:eastAsia="en-US"/>
    </w:rPr>
  </w:style>
  <w:style w:type="character" w:customStyle="1" w:styleId="ListParagraphChar">
    <w:name w:val="List Paragraph Char"/>
    <w:aliases w:val="List Paragraph1 Char,Recommendation Char,List Paragraph11 Char,1 Recommendation Char"/>
    <w:basedOn w:val="DefaultParagraphFont"/>
    <w:link w:val="ListParagraph"/>
    <w:uiPriority w:val="34"/>
    <w:locked/>
    <w:rsid w:val="00BE4528"/>
  </w:style>
  <w:style w:type="paragraph" w:styleId="ListParagraph">
    <w:name w:val="List Paragraph"/>
    <w:aliases w:val="List Paragraph1,Recommendation,List Paragraph11,1 Recommendation"/>
    <w:basedOn w:val="Normal"/>
    <w:link w:val="ListParagraphChar"/>
    <w:uiPriority w:val="34"/>
    <w:qFormat/>
    <w:rsid w:val="00BE4528"/>
    <w:pPr>
      <w:ind w:left="720"/>
    </w:pPr>
    <w:rPr>
      <w:sz w:val="20"/>
      <w:szCs w:val="20"/>
      <w:lang w:eastAsia="en-AU"/>
    </w:rPr>
  </w:style>
  <w:style w:type="paragraph" w:styleId="Header">
    <w:name w:val="header"/>
    <w:basedOn w:val="Normal"/>
    <w:link w:val="HeaderChar"/>
    <w:uiPriority w:val="99"/>
    <w:rsid w:val="00BE4528"/>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BE4528"/>
    <w:rPr>
      <w:rFonts w:ascii="Times New Roman" w:eastAsia="Times New Roman" w:hAnsi="Times New Roman"/>
      <w:sz w:val="24"/>
      <w:lang w:val="en-GB" w:eastAsia="en-US"/>
    </w:rPr>
  </w:style>
  <w:style w:type="paragraph" w:styleId="Footer">
    <w:name w:val="footer"/>
    <w:basedOn w:val="Normal"/>
    <w:link w:val="FooterChar"/>
    <w:uiPriority w:val="99"/>
    <w:unhideWhenUsed/>
    <w:rsid w:val="00EB113E"/>
    <w:pPr>
      <w:tabs>
        <w:tab w:val="center" w:pos="4513"/>
        <w:tab w:val="right" w:pos="9026"/>
      </w:tabs>
    </w:pPr>
  </w:style>
  <w:style w:type="character" w:customStyle="1" w:styleId="FooterChar">
    <w:name w:val="Footer Char"/>
    <w:basedOn w:val="DefaultParagraphFont"/>
    <w:link w:val="Footer"/>
    <w:uiPriority w:val="99"/>
    <w:rsid w:val="00EB113E"/>
    <w:rPr>
      <w:sz w:val="22"/>
      <w:szCs w:val="22"/>
      <w:lang w:eastAsia="en-US"/>
    </w:rPr>
  </w:style>
  <w:style w:type="paragraph" w:customStyle="1" w:styleId="Default">
    <w:name w:val="Default"/>
    <w:rsid w:val="006D2508"/>
    <w:pPr>
      <w:autoSpaceDE w:val="0"/>
      <w:autoSpaceDN w:val="0"/>
      <w:adjustRightInd w:val="0"/>
    </w:pPr>
    <w:rPr>
      <w:rFonts w:ascii="Arial" w:hAnsi="Arial" w:cs="Arial"/>
      <w:color w:val="000000"/>
      <w:sz w:val="24"/>
      <w:szCs w:val="24"/>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6D2508"/>
    <w:pPr>
      <w:spacing w:after="0" w:line="240" w:lineRule="auto"/>
    </w:pPr>
    <w:rPr>
      <w:rFonts w:ascii="Arial" w:hAnsi="Arial"/>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6D2508"/>
    <w:rPr>
      <w:rFonts w:ascii="Arial" w:hAnsi="Arial"/>
      <w:lang w:eastAsia="en-US"/>
    </w:rPr>
  </w:style>
  <w:style w:type="character" w:styleId="FootnoteReference">
    <w:name w:val="footnote reference"/>
    <w:aliases w:val="Footnote number,Footnotes refss"/>
    <w:basedOn w:val="DefaultParagraphFont"/>
    <w:uiPriority w:val="99"/>
    <w:rsid w:val="006D2508"/>
    <w:rPr>
      <w:rFonts w:cs="Times New Roman"/>
      <w:vertAlign w:val="superscript"/>
    </w:rPr>
  </w:style>
  <w:style w:type="character" w:customStyle="1" w:styleId="field-content">
    <w:name w:val="field-content"/>
    <w:basedOn w:val="DefaultParagraphFont"/>
    <w:rsid w:val="006D2508"/>
  </w:style>
  <w:style w:type="paragraph" w:styleId="NoSpacing">
    <w:name w:val="No Spacing"/>
    <w:link w:val="NoSpacingChar"/>
    <w:uiPriority w:val="1"/>
    <w:qFormat/>
    <w:rsid w:val="006D2508"/>
    <w:rPr>
      <w:rFonts w:ascii="Times New Roman" w:hAnsi="Times New Roman"/>
      <w:sz w:val="24"/>
      <w:szCs w:val="22"/>
      <w:lang w:eastAsia="en-US"/>
    </w:rPr>
  </w:style>
  <w:style w:type="paragraph" w:styleId="EndnoteText">
    <w:name w:val="endnote text"/>
    <w:basedOn w:val="Normal"/>
    <w:link w:val="EndnoteTextChar"/>
    <w:uiPriority w:val="99"/>
    <w:semiHidden/>
    <w:unhideWhenUsed/>
    <w:rsid w:val="002E67C3"/>
    <w:rPr>
      <w:sz w:val="20"/>
      <w:szCs w:val="20"/>
    </w:rPr>
  </w:style>
  <w:style w:type="character" w:customStyle="1" w:styleId="EndnoteTextChar">
    <w:name w:val="Endnote Text Char"/>
    <w:basedOn w:val="DefaultParagraphFont"/>
    <w:link w:val="EndnoteText"/>
    <w:uiPriority w:val="99"/>
    <w:semiHidden/>
    <w:rsid w:val="002E67C3"/>
    <w:rPr>
      <w:lang w:eastAsia="en-US"/>
    </w:rPr>
  </w:style>
  <w:style w:type="character" w:styleId="EndnoteReference">
    <w:name w:val="endnote reference"/>
    <w:basedOn w:val="DefaultParagraphFont"/>
    <w:uiPriority w:val="99"/>
    <w:semiHidden/>
    <w:unhideWhenUsed/>
    <w:rsid w:val="002E67C3"/>
    <w:rPr>
      <w:vertAlign w:val="superscript"/>
    </w:rPr>
  </w:style>
  <w:style w:type="character" w:styleId="Hyperlink">
    <w:name w:val="Hyperlink"/>
    <w:basedOn w:val="DefaultParagraphFont"/>
    <w:uiPriority w:val="99"/>
    <w:unhideWhenUsed/>
    <w:rsid w:val="00B33559"/>
    <w:rPr>
      <w:color w:val="0000FF"/>
      <w:u w:val="single"/>
    </w:rPr>
  </w:style>
  <w:style w:type="paragraph" w:styleId="NormalWeb">
    <w:name w:val="Normal (Web)"/>
    <w:basedOn w:val="Normal"/>
    <w:uiPriority w:val="99"/>
    <w:semiHidden/>
    <w:unhideWhenUsed/>
    <w:rsid w:val="00B33559"/>
    <w:pPr>
      <w:spacing w:before="100" w:beforeAutospacing="1" w:after="100" w:afterAutospacing="1" w:line="240" w:lineRule="auto"/>
    </w:pPr>
    <w:rPr>
      <w:rFonts w:eastAsia="Times New Roman"/>
      <w:szCs w:val="24"/>
      <w:lang w:eastAsia="en-AU"/>
    </w:rPr>
  </w:style>
  <w:style w:type="character" w:styleId="Emphasis">
    <w:name w:val="Emphasis"/>
    <w:basedOn w:val="DefaultParagraphFont"/>
    <w:uiPriority w:val="20"/>
    <w:qFormat/>
    <w:rsid w:val="00B33559"/>
    <w:rPr>
      <w:i/>
      <w:iCs/>
    </w:rPr>
  </w:style>
  <w:style w:type="paragraph" w:customStyle="1" w:styleId="s30eec3f8">
    <w:name w:val="s30eec3f8"/>
    <w:basedOn w:val="Normal"/>
    <w:rsid w:val="005716E4"/>
    <w:pPr>
      <w:spacing w:before="100" w:beforeAutospacing="1" w:after="100" w:afterAutospacing="1" w:line="240" w:lineRule="auto"/>
    </w:pPr>
    <w:rPr>
      <w:rFonts w:eastAsia="Times New Roman"/>
      <w:szCs w:val="24"/>
      <w:lang w:eastAsia="en-AU"/>
    </w:rPr>
  </w:style>
  <w:style w:type="character" w:customStyle="1" w:styleId="sb8d990e2">
    <w:name w:val="sb8d990e2"/>
    <w:basedOn w:val="DefaultParagraphFont"/>
    <w:rsid w:val="005716E4"/>
  </w:style>
  <w:style w:type="character" w:customStyle="1" w:styleId="s6b621b36">
    <w:name w:val="s6b621b36"/>
    <w:basedOn w:val="DefaultParagraphFont"/>
    <w:rsid w:val="005716E4"/>
  </w:style>
  <w:style w:type="character" w:styleId="FollowedHyperlink">
    <w:name w:val="FollowedHyperlink"/>
    <w:basedOn w:val="DefaultParagraphFont"/>
    <w:uiPriority w:val="99"/>
    <w:semiHidden/>
    <w:unhideWhenUsed/>
    <w:rsid w:val="00627361"/>
    <w:rPr>
      <w:color w:val="800080"/>
      <w:u w:val="single"/>
    </w:rPr>
  </w:style>
  <w:style w:type="character" w:customStyle="1" w:styleId="Heading1Char">
    <w:name w:val="Heading 1 Char"/>
    <w:aliases w:val="'Part' Heading Char"/>
    <w:basedOn w:val="DefaultParagraphFont"/>
    <w:link w:val="Heading1"/>
    <w:uiPriority w:val="9"/>
    <w:rsid w:val="00501993"/>
    <w:rPr>
      <w:rFonts w:ascii="Times New Roman" w:eastAsia="Times New Roman" w:hAnsi="Times New Roman" w:cs="Times New Roman"/>
      <w:b/>
      <w:bCs/>
      <w:kern w:val="32"/>
      <w:sz w:val="28"/>
      <w:szCs w:val="32"/>
      <w:lang w:eastAsia="en-US"/>
    </w:rPr>
  </w:style>
  <w:style w:type="paragraph" w:styleId="TOC1">
    <w:name w:val="toc 1"/>
    <w:basedOn w:val="Normal"/>
    <w:next w:val="Normal"/>
    <w:autoRedefine/>
    <w:uiPriority w:val="39"/>
    <w:unhideWhenUsed/>
    <w:rsid w:val="00501993"/>
  </w:style>
  <w:style w:type="paragraph" w:styleId="Title">
    <w:name w:val="Title"/>
    <w:basedOn w:val="Normal"/>
    <w:next w:val="Normal"/>
    <w:link w:val="TitleChar"/>
    <w:uiPriority w:val="10"/>
    <w:qFormat/>
    <w:rsid w:val="00B83F68"/>
    <w:pPr>
      <w:spacing w:before="360" w:after="240"/>
      <w:jc w:val="center"/>
      <w:outlineLvl w:val="0"/>
    </w:pPr>
    <w:rPr>
      <w:rFonts w:eastAsia="Times New Roman"/>
      <w:b/>
      <w:bCs/>
      <w:kern w:val="28"/>
      <w:sz w:val="28"/>
      <w:szCs w:val="32"/>
    </w:rPr>
  </w:style>
  <w:style w:type="character" w:customStyle="1" w:styleId="TitleChar">
    <w:name w:val="Title Char"/>
    <w:basedOn w:val="DefaultParagraphFont"/>
    <w:link w:val="Title"/>
    <w:uiPriority w:val="10"/>
    <w:rsid w:val="00B83F68"/>
    <w:rPr>
      <w:rFonts w:ascii="Times New Roman" w:eastAsia="Times New Roman" w:hAnsi="Times New Roman" w:cs="Times New Roman"/>
      <w:b/>
      <w:bCs/>
      <w:kern w:val="28"/>
      <w:sz w:val="28"/>
      <w:szCs w:val="32"/>
      <w:lang w:eastAsia="en-US"/>
    </w:rPr>
  </w:style>
  <w:style w:type="character" w:customStyle="1" w:styleId="Heading2Char">
    <w:name w:val="Heading 2 Char"/>
    <w:basedOn w:val="DefaultParagraphFont"/>
    <w:link w:val="Heading2"/>
    <w:uiPriority w:val="9"/>
    <w:rsid w:val="006431CF"/>
    <w:rPr>
      <w:rFonts w:ascii="Times New Roman" w:eastAsia="Times New Roman" w:hAnsi="Times New Roman" w:cs="Times New Roman"/>
      <w:b/>
      <w:bCs/>
      <w:iCs/>
      <w:sz w:val="24"/>
      <w:szCs w:val="28"/>
      <w:u w:val="single"/>
      <w:lang w:eastAsia="en-US"/>
    </w:rPr>
  </w:style>
  <w:style w:type="paragraph" w:styleId="TOC2">
    <w:name w:val="toc 2"/>
    <w:basedOn w:val="Normal"/>
    <w:next w:val="Normal"/>
    <w:autoRedefine/>
    <w:uiPriority w:val="39"/>
    <w:unhideWhenUsed/>
    <w:rsid w:val="006431CF"/>
    <w:pPr>
      <w:ind w:left="240"/>
    </w:pPr>
  </w:style>
  <w:style w:type="paragraph" w:styleId="Caption">
    <w:name w:val="caption"/>
    <w:basedOn w:val="Normal"/>
    <w:next w:val="Normal"/>
    <w:uiPriority w:val="35"/>
    <w:unhideWhenUsed/>
    <w:qFormat/>
    <w:rsid w:val="00C71A66"/>
    <w:rPr>
      <w:b/>
      <w:bCs/>
      <w:sz w:val="20"/>
      <w:szCs w:val="20"/>
    </w:rPr>
  </w:style>
  <w:style w:type="character" w:customStyle="1" w:styleId="Heading3Char">
    <w:name w:val="Heading 3 Char"/>
    <w:aliases w:val="'Division' heading Char,Division heading Char"/>
    <w:basedOn w:val="DefaultParagraphFont"/>
    <w:link w:val="Heading3"/>
    <w:uiPriority w:val="9"/>
    <w:rsid w:val="00480CA5"/>
    <w:rPr>
      <w:rFonts w:ascii="Times New Roman" w:hAnsi="Times New Roman"/>
      <w:b/>
      <w:sz w:val="26"/>
      <w:szCs w:val="26"/>
      <w:lang w:eastAsia="en-US"/>
    </w:rPr>
  </w:style>
  <w:style w:type="paragraph" w:styleId="TOC3">
    <w:name w:val="toc 3"/>
    <w:basedOn w:val="Normal"/>
    <w:next w:val="Normal"/>
    <w:autoRedefine/>
    <w:uiPriority w:val="39"/>
    <w:unhideWhenUsed/>
    <w:rsid w:val="00E51C3A"/>
    <w:pPr>
      <w:spacing w:after="100"/>
      <w:ind w:left="480"/>
    </w:pPr>
  </w:style>
  <w:style w:type="paragraph" w:styleId="DocumentMap">
    <w:name w:val="Document Map"/>
    <w:basedOn w:val="Normal"/>
    <w:link w:val="DocumentMapChar"/>
    <w:uiPriority w:val="99"/>
    <w:semiHidden/>
    <w:unhideWhenUsed/>
    <w:rsid w:val="00125E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25EC6"/>
    <w:rPr>
      <w:rFonts w:ascii="Tahoma" w:hAnsi="Tahoma" w:cs="Tahoma"/>
      <w:sz w:val="16"/>
      <w:szCs w:val="16"/>
      <w:lang w:eastAsia="en-US"/>
    </w:rPr>
  </w:style>
  <w:style w:type="paragraph" w:styleId="BodyText">
    <w:name w:val="Body Text"/>
    <w:basedOn w:val="Normal"/>
    <w:link w:val="BodyTextChar"/>
    <w:uiPriority w:val="1"/>
    <w:qFormat/>
    <w:rsid w:val="00CD129E"/>
    <w:pPr>
      <w:spacing w:before="240" w:after="120"/>
    </w:pPr>
    <w:rPr>
      <w:szCs w:val="24"/>
      <w:lang w:eastAsia="en-AU"/>
    </w:rPr>
  </w:style>
  <w:style w:type="character" w:customStyle="1" w:styleId="BodyTextChar">
    <w:name w:val="Body Text Char"/>
    <w:basedOn w:val="DefaultParagraphFont"/>
    <w:link w:val="BodyText"/>
    <w:uiPriority w:val="1"/>
    <w:rsid w:val="00CD129E"/>
    <w:rPr>
      <w:rFonts w:ascii="Times New Roman" w:hAnsi="Times New Roman"/>
      <w:sz w:val="24"/>
      <w:szCs w:val="24"/>
    </w:rPr>
  </w:style>
  <w:style w:type="table" w:styleId="TableGrid">
    <w:name w:val="Table Grid"/>
    <w:basedOn w:val="TableNormal"/>
    <w:uiPriority w:val="59"/>
    <w:rsid w:val="00852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52E04"/>
    <w:rPr>
      <w:rFonts w:ascii="Times New Roman" w:hAnsi="Times New Roman"/>
      <w:sz w:val="24"/>
      <w:szCs w:val="22"/>
      <w:lang w:eastAsia="en-US"/>
    </w:rPr>
  </w:style>
  <w:style w:type="character" w:customStyle="1" w:styleId="Heading4Char">
    <w:name w:val="Heading 4 Char"/>
    <w:aliases w:val="'Clause' heading Char"/>
    <w:basedOn w:val="DefaultParagraphFont"/>
    <w:link w:val="Heading4"/>
    <w:uiPriority w:val="9"/>
    <w:rsid w:val="0092403F"/>
    <w:rPr>
      <w:rFonts w:ascii="Times New Roman" w:hAnsi="Times New Roman"/>
      <w:b/>
      <w:sz w:val="24"/>
      <w:szCs w:val="24"/>
      <w:lang w:eastAsia="en-US"/>
    </w:rPr>
  </w:style>
  <w:style w:type="character" w:styleId="PlaceholderText">
    <w:name w:val="Placeholder Text"/>
    <w:basedOn w:val="DefaultParagraphFont"/>
    <w:uiPriority w:val="99"/>
    <w:semiHidden/>
    <w:rsid w:val="00A5134C"/>
    <w:rPr>
      <w:color w:val="808080"/>
    </w:rPr>
  </w:style>
  <w:style w:type="character" w:customStyle="1" w:styleId="Heading5Char">
    <w:name w:val="Heading 5 Char"/>
    <w:aliases w:val="New Section heading Char"/>
    <w:basedOn w:val="DefaultParagraphFont"/>
    <w:link w:val="Heading5"/>
    <w:uiPriority w:val="9"/>
    <w:rsid w:val="008D709F"/>
    <w:rPr>
      <w:rFonts w:ascii="Times New Roman" w:hAnsi="Times New Roman"/>
      <w:b/>
      <w:i/>
      <w:sz w:val="24"/>
      <w:szCs w:val="24"/>
      <w:lang w:eastAsia="en-US"/>
    </w:rPr>
  </w:style>
  <w:style w:type="paragraph" w:styleId="Revision">
    <w:name w:val="Revision"/>
    <w:hidden/>
    <w:uiPriority w:val="99"/>
    <w:semiHidden/>
    <w:rsid w:val="00C562FD"/>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1649">
      <w:bodyDiv w:val="1"/>
      <w:marLeft w:val="0"/>
      <w:marRight w:val="0"/>
      <w:marTop w:val="0"/>
      <w:marBottom w:val="0"/>
      <w:divBdr>
        <w:top w:val="none" w:sz="0" w:space="0" w:color="auto"/>
        <w:left w:val="none" w:sz="0" w:space="0" w:color="auto"/>
        <w:bottom w:val="none" w:sz="0" w:space="0" w:color="auto"/>
        <w:right w:val="none" w:sz="0" w:space="0" w:color="auto"/>
      </w:divBdr>
    </w:div>
    <w:div w:id="219705663">
      <w:bodyDiv w:val="1"/>
      <w:marLeft w:val="0"/>
      <w:marRight w:val="0"/>
      <w:marTop w:val="0"/>
      <w:marBottom w:val="0"/>
      <w:divBdr>
        <w:top w:val="none" w:sz="0" w:space="0" w:color="auto"/>
        <w:left w:val="none" w:sz="0" w:space="0" w:color="auto"/>
        <w:bottom w:val="none" w:sz="0" w:space="0" w:color="auto"/>
        <w:right w:val="none" w:sz="0" w:space="0" w:color="auto"/>
      </w:divBdr>
    </w:div>
    <w:div w:id="323557251">
      <w:bodyDiv w:val="1"/>
      <w:marLeft w:val="0"/>
      <w:marRight w:val="0"/>
      <w:marTop w:val="0"/>
      <w:marBottom w:val="0"/>
      <w:divBdr>
        <w:top w:val="none" w:sz="0" w:space="0" w:color="auto"/>
        <w:left w:val="none" w:sz="0" w:space="0" w:color="auto"/>
        <w:bottom w:val="none" w:sz="0" w:space="0" w:color="auto"/>
        <w:right w:val="none" w:sz="0" w:space="0" w:color="auto"/>
      </w:divBdr>
      <w:divsChild>
        <w:div w:id="1148281209">
          <w:marLeft w:val="0"/>
          <w:marRight w:val="0"/>
          <w:marTop w:val="0"/>
          <w:marBottom w:val="0"/>
          <w:divBdr>
            <w:top w:val="none" w:sz="0" w:space="0" w:color="auto"/>
            <w:left w:val="none" w:sz="0" w:space="0" w:color="auto"/>
            <w:bottom w:val="none" w:sz="0" w:space="0" w:color="auto"/>
            <w:right w:val="none" w:sz="0" w:space="0" w:color="auto"/>
          </w:divBdr>
          <w:divsChild>
            <w:div w:id="617302029">
              <w:marLeft w:val="-164"/>
              <w:marRight w:val="-164"/>
              <w:marTop w:val="0"/>
              <w:marBottom w:val="0"/>
              <w:divBdr>
                <w:top w:val="none" w:sz="0" w:space="0" w:color="auto"/>
                <w:left w:val="none" w:sz="0" w:space="0" w:color="auto"/>
                <w:bottom w:val="none" w:sz="0" w:space="0" w:color="auto"/>
                <w:right w:val="none" w:sz="0" w:space="0" w:color="auto"/>
              </w:divBdr>
              <w:divsChild>
                <w:div w:id="1885603898">
                  <w:marLeft w:val="0"/>
                  <w:marRight w:val="0"/>
                  <w:marTop w:val="0"/>
                  <w:marBottom w:val="0"/>
                  <w:divBdr>
                    <w:top w:val="none" w:sz="0" w:space="0" w:color="auto"/>
                    <w:left w:val="none" w:sz="0" w:space="0" w:color="auto"/>
                    <w:bottom w:val="none" w:sz="0" w:space="0" w:color="auto"/>
                    <w:right w:val="none" w:sz="0" w:space="0" w:color="auto"/>
                  </w:divBdr>
                  <w:divsChild>
                    <w:div w:id="1355422121">
                      <w:marLeft w:val="0"/>
                      <w:marRight w:val="0"/>
                      <w:marTop w:val="0"/>
                      <w:marBottom w:val="0"/>
                      <w:divBdr>
                        <w:top w:val="none" w:sz="0" w:space="0" w:color="auto"/>
                        <w:left w:val="none" w:sz="0" w:space="0" w:color="auto"/>
                        <w:bottom w:val="none" w:sz="0" w:space="0" w:color="auto"/>
                        <w:right w:val="none" w:sz="0" w:space="0" w:color="auto"/>
                      </w:divBdr>
                      <w:divsChild>
                        <w:div w:id="1415586170">
                          <w:marLeft w:val="0"/>
                          <w:marRight w:val="0"/>
                          <w:marTop w:val="0"/>
                          <w:marBottom w:val="0"/>
                          <w:divBdr>
                            <w:top w:val="none" w:sz="0" w:space="0" w:color="auto"/>
                            <w:left w:val="none" w:sz="0" w:space="0" w:color="auto"/>
                            <w:bottom w:val="none" w:sz="0" w:space="0" w:color="auto"/>
                            <w:right w:val="none" w:sz="0" w:space="0" w:color="auto"/>
                          </w:divBdr>
                          <w:divsChild>
                            <w:div w:id="2037728410">
                              <w:marLeft w:val="0"/>
                              <w:marRight w:val="0"/>
                              <w:marTop w:val="0"/>
                              <w:marBottom w:val="0"/>
                              <w:divBdr>
                                <w:top w:val="none" w:sz="0" w:space="0" w:color="auto"/>
                                <w:left w:val="none" w:sz="0" w:space="0" w:color="auto"/>
                                <w:bottom w:val="none" w:sz="0" w:space="0" w:color="auto"/>
                                <w:right w:val="none" w:sz="0" w:space="0" w:color="auto"/>
                              </w:divBdr>
                              <w:divsChild>
                                <w:div w:id="1951161510">
                                  <w:marLeft w:val="0"/>
                                  <w:marRight w:val="0"/>
                                  <w:marTop w:val="0"/>
                                  <w:marBottom w:val="0"/>
                                  <w:divBdr>
                                    <w:top w:val="none" w:sz="0" w:space="0" w:color="auto"/>
                                    <w:left w:val="none" w:sz="0" w:space="0" w:color="auto"/>
                                    <w:bottom w:val="none" w:sz="0" w:space="0" w:color="auto"/>
                                    <w:right w:val="none" w:sz="0" w:space="0" w:color="auto"/>
                                  </w:divBdr>
                                  <w:divsChild>
                                    <w:div w:id="912852358">
                                      <w:marLeft w:val="0"/>
                                      <w:marRight w:val="0"/>
                                      <w:marTop w:val="0"/>
                                      <w:marBottom w:val="0"/>
                                      <w:divBdr>
                                        <w:top w:val="none" w:sz="0" w:space="0" w:color="auto"/>
                                        <w:left w:val="none" w:sz="0" w:space="0" w:color="auto"/>
                                        <w:bottom w:val="none" w:sz="0" w:space="0" w:color="auto"/>
                                        <w:right w:val="none" w:sz="0" w:space="0" w:color="auto"/>
                                      </w:divBdr>
                                      <w:divsChild>
                                        <w:div w:id="1500929372">
                                          <w:marLeft w:val="0"/>
                                          <w:marRight w:val="0"/>
                                          <w:marTop w:val="0"/>
                                          <w:marBottom w:val="0"/>
                                          <w:divBdr>
                                            <w:top w:val="none" w:sz="0" w:space="0" w:color="auto"/>
                                            <w:left w:val="none" w:sz="0" w:space="0" w:color="auto"/>
                                            <w:bottom w:val="none" w:sz="0" w:space="0" w:color="auto"/>
                                            <w:right w:val="none" w:sz="0" w:space="0" w:color="auto"/>
                                          </w:divBdr>
                                          <w:divsChild>
                                            <w:div w:id="963267218">
                                              <w:marLeft w:val="0"/>
                                              <w:marRight w:val="0"/>
                                              <w:marTop w:val="0"/>
                                              <w:marBottom w:val="0"/>
                                              <w:divBdr>
                                                <w:top w:val="none" w:sz="0" w:space="0" w:color="auto"/>
                                                <w:left w:val="none" w:sz="0" w:space="0" w:color="auto"/>
                                                <w:bottom w:val="none" w:sz="0" w:space="0" w:color="auto"/>
                                                <w:right w:val="none" w:sz="0" w:space="0" w:color="auto"/>
                                              </w:divBdr>
                                              <w:divsChild>
                                                <w:div w:id="381445502">
                                                  <w:marLeft w:val="0"/>
                                                  <w:marRight w:val="0"/>
                                                  <w:marTop w:val="0"/>
                                                  <w:marBottom w:val="0"/>
                                                  <w:divBdr>
                                                    <w:top w:val="none" w:sz="0" w:space="0" w:color="auto"/>
                                                    <w:left w:val="none" w:sz="0" w:space="0" w:color="auto"/>
                                                    <w:bottom w:val="none" w:sz="0" w:space="0" w:color="auto"/>
                                                    <w:right w:val="none" w:sz="0" w:space="0" w:color="auto"/>
                                                  </w:divBdr>
                                                  <w:divsChild>
                                                    <w:div w:id="485631529">
                                                      <w:marLeft w:val="0"/>
                                                      <w:marRight w:val="0"/>
                                                      <w:marTop w:val="0"/>
                                                      <w:marBottom w:val="0"/>
                                                      <w:divBdr>
                                                        <w:top w:val="none" w:sz="0" w:space="0" w:color="auto"/>
                                                        <w:left w:val="none" w:sz="0" w:space="0" w:color="auto"/>
                                                        <w:bottom w:val="none" w:sz="0" w:space="0" w:color="auto"/>
                                                        <w:right w:val="none" w:sz="0" w:space="0" w:color="auto"/>
                                                      </w:divBdr>
                                                      <w:divsChild>
                                                        <w:div w:id="243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821447">
      <w:bodyDiv w:val="1"/>
      <w:marLeft w:val="0"/>
      <w:marRight w:val="0"/>
      <w:marTop w:val="0"/>
      <w:marBottom w:val="0"/>
      <w:divBdr>
        <w:top w:val="none" w:sz="0" w:space="0" w:color="auto"/>
        <w:left w:val="none" w:sz="0" w:space="0" w:color="auto"/>
        <w:bottom w:val="none" w:sz="0" w:space="0" w:color="auto"/>
        <w:right w:val="none" w:sz="0" w:space="0" w:color="auto"/>
      </w:divBdr>
    </w:div>
    <w:div w:id="733813222">
      <w:bodyDiv w:val="1"/>
      <w:marLeft w:val="0"/>
      <w:marRight w:val="0"/>
      <w:marTop w:val="0"/>
      <w:marBottom w:val="0"/>
      <w:divBdr>
        <w:top w:val="none" w:sz="0" w:space="0" w:color="auto"/>
        <w:left w:val="none" w:sz="0" w:space="0" w:color="auto"/>
        <w:bottom w:val="none" w:sz="0" w:space="0" w:color="auto"/>
        <w:right w:val="none" w:sz="0" w:space="0" w:color="auto"/>
      </w:divBdr>
      <w:divsChild>
        <w:div w:id="449973940">
          <w:marLeft w:val="0"/>
          <w:marRight w:val="0"/>
          <w:marTop w:val="0"/>
          <w:marBottom w:val="0"/>
          <w:divBdr>
            <w:top w:val="none" w:sz="0" w:space="0" w:color="auto"/>
            <w:left w:val="none" w:sz="0" w:space="0" w:color="auto"/>
            <w:bottom w:val="none" w:sz="0" w:space="0" w:color="auto"/>
            <w:right w:val="none" w:sz="0" w:space="0" w:color="auto"/>
          </w:divBdr>
          <w:divsChild>
            <w:div w:id="879517677">
              <w:marLeft w:val="0"/>
              <w:marRight w:val="0"/>
              <w:marTop w:val="0"/>
              <w:marBottom w:val="0"/>
              <w:divBdr>
                <w:top w:val="none" w:sz="0" w:space="0" w:color="auto"/>
                <w:left w:val="none" w:sz="0" w:space="0" w:color="auto"/>
                <w:bottom w:val="none" w:sz="0" w:space="0" w:color="auto"/>
                <w:right w:val="none" w:sz="0" w:space="0" w:color="auto"/>
              </w:divBdr>
              <w:divsChild>
                <w:div w:id="408188674">
                  <w:marLeft w:val="0"/>
                  <w:marRight w:val="0"/>
                  <w:marTop w:val="0"/>
                  <w:marBottom w:val="0"/>
                  <w:divBdr>
                    <w:top w:val="none" w:sz="0" w:space="0" w:color="auto"/>
                    <w:left w:val="none" w:sz="0" w:space="0" w:color="auto"/>
                    <w:bottom w:val="none" w:sz="0" w:space="0" w:color="auto"/>
                    <w:right w:val="none" w:sz="0" w:space="0" w:color="auto"/>
                  </w:divBdr>
                  <w:divsChild>
                    <w:div w:id="1899121273">
                      <w:marLeft w:val="0"/>
                      <w:marRight w:val="0"/>
                      <w:marTop w:val="0"/>
                      <w:marBottom w:val="0"/>
                      <w:divBdr>
                        <w:top w:val="none" w:sz="0" w:space="0" w:color="auto"/>
                        <w:left w:val="none" w:sz="0" w:space="0" w:color="auto"/>
                        <w:bottom w:val="none" w:sz="0" w:space="0" w:color="auto"/>
                        <w:right w:val="none" w:sz="0" w:space="0" w:color="auto"/>
                      </w:divBdr>
                      <w:divsChild>
                        <w:div w:id="906843345">
                          <w:marLeft w:val="0"/>
                          <w:marRight w:val="0"/>
                          <w:marTop w:val="0"/>
                          <w:marBottom w:val="0"/>
                          <w:divBdr>
                            <w:top w:val="none" w:sz="0" w:space="0" w:color="auto"/>
                            <w:left w:val="none" w:sz="0" w:space="0" w:color="auto"/>
                            <w:bottom w:val="none" w:sz="0" w:space="0" w:color="auto"/>
                            <w:right w:val="none" w:sz="0" w:space="0" w:color="auto"/>
                          </w:divBdr>
                          <w:divsChild>
                            <w:div w:id="577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625222">
      <w:bodyDiv w:val="1"/>
      <w:marLeft w:val="0"/>
      <w:marRight w:val="0"/>
      <w:marTop w:val="0"/>
      <w:marBottom w:val="0"/>
      <w:divBdr>
        <w:top w:val="none" w:sz="0" w:space="0" w:color="auto"/>
        <w:left w:val="none" w:sz="0" w:space="0" w:color="auto"/>
        <w:bottom w:val="none" w:sz="0" w:space="0" w:color="auto"/>
        <w:right w:val="none" w:sz="0" w:space="0" w:color="auto"/>
      </w:divBdr>
    </w:div>
    <w:div w:id="776220620">
      <w:bodyDiv w:val="1"/>
      <w:marLeft w:val="0"/>
      <w:marRight w:val="0"/>
      <w:marTop w:val="0"/>
      <w:marBottom w:val="0"/>
      <w:divBdr>
        <w:top w:val="none" w:sz="0" w:space="0" w:color="auto"/>
        <w:left w:val="none" w:sz="0" w:space="0" w:color="auto"/>
        <w:bottom w:val="none" w:sz="0" w:space="0" w:color="auto"/>
        <w:right w:val="none" w:sz="0" w:space="0" w:color="auto"/>
      </w:divBdr>
    </w:div>
    <w:div w:id="822280540">
      <w:bodyDiv w:val="1"/>
      <w:marLeft w:val="0"/>
      <w:marRight w:val="0"/>
      <w:marTop w:val="0"/>
      <w:marBottom w:val="0"/>
      <w:divBdr>
        <w:top w:val="none" w:sz="0" w:space="0" w:color="auto"/>
        <w:left w:val="none" w:sz="0" w:space="0" w:color="auto"/>
        <w:bottom w:val="none" w:sz="0" w:space="0" w:color="auto"/>
        <w:right w:val="none" w:sz="0" w:space="0" w:color="auto"/>
      </w:divBdr>
    </w:div>
    <w:div w:id="1138064892">
      <w:bodyDiv w:val="1"/>
      <w:marLeft w:val="0"/>
      <w:marRight w:val="0"/>
      <w:marTop w:val="0"/>
      <w:marBottom w:val="0"/>
      <w:divBdr>
        <w:top w:val="none" w:sz="0" w:space="0" w:color="auto"/>
        <w:left w:val="none" w:sz="0" w:space="0" w:color="auto"/>
        <w:bottom w:val="none" w:sz="0" w:space="0" w:color="auto"/>
        <w:right w:val="none" w:sz="0" w:space="0" w:color="auto"/>
      </w:divBdr>
    </w:div>
    <w:div w:id="1210994216">
      <w:bodyDiv w:val="1"/>
      <w:marLeft w:val="0"/>
      <w:marRight w:val="0"/>
      <w:marTop w:val="0"/>
      <w:marBottom w:val="0"/>
      <w:divBdr>
        <w:top w:val="none" w:sz="0" w:space="0" w:color="auto"/>
        <w:left w:val="none" w:sz="0" w:space="0" w:color="auto"/>
        <w:bottom w:val="none" w:sz="0" w:space="0" w:color="auto"/>
        <w:right w:val="none" w:sz="0" w:space="0" w:color="auto"/>
      </w:divBdr>
    </w:div>
    <w:div w:id="1586913814">
      <w:bodyDiv w:val="1"/>
      <w:marLeft w:val="0"/>
      <w:marRight w:val="0"/>
      <w:marTop w:val="0"/>
      <w:marBottom w:val="0"/>
      <w:divBdr>
        <w:top w:val="none" w:sz="0" w:space="0" w:color="auto"/>
        <w:left w:val="none" w:sz="0" w:space="0" w:color="auto"/>
        <w:bottom w:val="none" w:sz="0" w:space="0" w:color="auto"/>
        <w:right w:val="none" w:sz="0" w:space="0" w:color="auto"/>
      </w:divBdr>
    </w:div>
    <w:div w:id="19402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4"/>
        <w:category>
          <w:name w:val="General"/>
          <w:gallery w:val="placeholder"/>
        </w:category>
        <w:types>
          <w:type w:val="bbPlcHdr"/>
        </w:types>
        <w:behaviors>
          <w:behavior w:val="content"/>
        </w:behaviors>
        <w:guid w:val="{0B20E34A-50AE-43E0-8B79-2BC708E578BE}"/>
      </w:docPartPr>
      <w:docPartBody>
        <w:p w:rsidR="00B159E0" w:rsidRDefault="00B159E0">
          <w:r w:rsidRPr="004A13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Helvetica"/>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B159E0"/>
    <w:rsid w:val="00043A94"/>
    <w:rsid w:val="001F77A1"/>
    <w:rsid w:val="002A1128"/>
    <w:rsid w:val="003468A4"/>
    <w:rsid w:val="004F412C"/>
    <w:rsid w:val="00555E87"/>
    <w:rsid w:val="005C2226"/>
    <w:rsid w:val="00632BDF"/>
    <w:rsid w:val="006447F1"/>
    <w:rsid w:val="00772D2C"/>
    <w:rsid w:val="00823365"/>
    <w:rsid w:val="008C7A70"/>
    <w:rsid w:val="00A55DB9"/>
    <w:rsid w:val="00AD50F4"/>
    <w:rsid w:val="00B159E0"/>
    <w:rsid w:val="00C947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9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327BD5A065AE43B889ADD91434348F" ma:contentTypeVersion="0" ma:contentTypeDescription="Create a new document." ma:contentTypeScope="" ma:versionID="1b729b710d99da1aa5203af201e02f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FAD76-D01C-4B08-A63D-FDA0EC7AA4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5955D2-9B74-4EDF-BFCF-05D39078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D33A2F-2F21-42E2-9EAF-10142248EBFD}">
  <ds:schemaRefs>
    <ds:schemaRef ds:uri="http://schemas.microsoft.com/sharepoint/v3/contenttype/forms"/>
  </ds:schemaRefs>
</ds:datastoreItem>
</file>

<file path=customXml/itemProps4.xml><?xml version="1.0" encoding="utf-8"?>
<ds:datastoreItem xmlns:ds="http://schemas.openxmlformats.org/officeDocument/2006/customXml" ds:itemID="{0E010F30-9B7F-4BC7-8F17-0074C064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6168</Words>
  <Characters>32221</Characters>
  <Application>Microsoft Office Word</Application>
  <DocSecurity>0</DocSecurity>
  <Lines>560</Lines>
  <Paragraphs>204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38317</CharactersWithSpaces>
  <SharedDoc>false</SharedDoc>
  <HLinks>
    <vt:vector size="78" baseType="variant">
      <vt:variant>
        <vt:i4>2097203</vt:i4>
      </vt:variant>
      <vt:variant>
        <vt:i4>36</vt:i4>
      </vt:variant>
      <vt:variant>
        <vt:i4>0</vt:i4>
      </vt:variant>
      <vt:variant>
        <vt:i4>5</vt:i4>
      </vt:variant>
      <vt:variant>
        <vt:lpwstr>http://www.legislation.act.gov.au/es/db_5400/20030626-6617/pdf/db_5400.pdf</vt:lpwstr>
      </vt:variant>
      <vt:variant>
        <vt:lpwstr/>
      </vt:variant>
      <vt:variant>
        <vt:i4>4915212</vt:i4>
      </vt:variant>
      <vt:variant>
        <vt:i4>33</vt:i4>
      </vt:variant>
      <vt:variant>
        <vt:i4>0</vt:i4>
      </vt:variant>
      <vt:variant>
        <vt:i4>5</vt:i4>
      </vt:variant>
      <vt:variant>
        <vt:lpwstr>http://www.legislation.act.gov.au/es/db_33009/20080807-37363/pdf/db_33009.pdf</vt:lpwstr>
      </vt:variant>
      <vt:variant>
        <vt:lpwstr/>
      </vt:variant>
      <vt:variant>
        <vt:i4>4915212</vt:i4>
      </vt:variant>
      <vt:variant>
        <vt:i4>30</vt:i4>
      </vt:variant>
      <vt:variant>
        <vt:i4>0</vt:i4>
      </vt:variant>
      <vt:variant>
        <vt:i4>5</vt:i4>
      </vt:variant>
      <vt:variant>
        <vt:lpwstr>http://www.legislation.act.gov.au/es/db_33009/20080807-37363/pdf/db_33009.pdf</vt:lpwstr>
      </vt:variant>
      <vt:variant>
        <vt:lpwstr/>
      </vt:variant>
      <vt:variant>
        <vt:i4>4915212</vt:i4>
      </vt:variant>
      <vt:variant>
        <vt:i4>27</vt:i4>
      </vt:variant>
      <vt:variant>
        <vt:i4>0</vt:i4>
      </vt:variant>
      <vt:variant>
        <vt:i4>5</vt:i4>
      </vt:variant>
      <vt:variant>
        <vt:lpwstr>http://www.legislation.act.gov.au/es/db_33009/20080807-37363/pdf/db_33009.pdf</vt:lpwstr>
      </vt:variant>
      <vt:variant>
        <vt:lpwstr/>
      </vt:variant>
      <vt:variant>
        <vt:i4>4915212</vt:i4>
      </vt:variant>
      <vt:variant>
        <vt:i4>24</vt:i4>
      </vt:variant>
      <vt:variant>
        <vt:i4>0</vt:i4>
      </vt:variant>
      <vt:variant>
        <vt:i4>5</vt:i4>
      </vt:variant>
      <vt:variant>
        <vt:lpwstr>http://www.legislation.act.gov.au/es/db_33009/20080807-37363/pdf/db_33009.pdf</vt:lpwstr>
      </vt:variant>
      <vt:variant>
        <vt:lpwstr/>
      </vt:variant>
      <vt:variant>
        <vt:i4>4915212</vt:i4>
      </vt:variant>
      <vt:variant>
        <vt:i4>21</vt:i4>
      </vt:variant>
      <vt:variant>
        <vt:i4>0</vt:i4>
      </vt:variant>
      <vt:variant>
        <vt:i4>5</vt:i4>
      </vt:variant>
      <vt:variant>
        <vt:lpwstr>http://www.legislation.act.gov.au/es/db_33009/20080807-37363/pdf/db_33009.pdf</vt:lpwstr>
      </vt:variant>
      <vt:variant>
        <vt:lpwstr/>
      </vt:variant>
      <vt:variant>
        <vt:i4>4915212</vt:i4>
      </vt:variant>
      <vt:variant>
        <vt:i4>18</vt:i4>
      </vt:variant>
      <vt:variant>
        <vt:i4>0</vt:i4>
      </vt:variant>
      <vt:variant>
        <vt:i4>5</vt:i4>
      </vt:variant>
      <vt:variant>
        <vt:lpwstr>http://www.legislation.act.gov.au/es/db_33009/20080807-37363/pdf/db_33009.pdf</vt:lpwstr>
      </vt:variant>
      <vt:variant>
        <vt:lpwstr/>
      </vt:variant>
      <vt:variant>
        <vt:i4>6815803</vt:i4>
      </vt:variant>
      <vt:variant>
        <vt:i4>15</vt:i4>
      </vt:variant>
      <vt:variant>
        <vt:i4>0</vt:i4>
      </vt:variant>
      <vt:variant>
        <vt:i4>5</vt:i4>
      </vt:variant>
      <vt:variant>
        <vt:lpwstr>http://www.endvawnow.org/en/articles/834-felony-strangulation-and-other-provisions.html</vt:lpwstr>
      </vt:variant>
      <vt:variant>
        <vt:lpwstr/>
      </vt:variant>
      <vt:variant>
        <vt:i4>983109</vt:i4>
      </vt:variant>
      <vt:variant>
        <vt:i4>12</vt:i4>
      </vt:variant>
      <vt:variant>
        <vt:i4>0</vt:i4>
      </vt:variant>
      <vt:variant>
        <vt:i4>5</vt:i4>
      </vt:variant>
      <vt:variant>
        <vt:lpwstr>http://ac.els-cdn.com/S0736467901003997/1-s2.0-S0736467901003997-main.pdf?_tid=2f14ea5e-e8b8-11e4-b3b2-00000aab0f6c&amp;acdnat=1429684029_bfc9d4253a1ec8ad3aad599e62016423</vt:lpwstr>
      </vt:variant>
      <vt:variant>
        <vt:lpwstr/>
      </vt:variant>
      <vt:variant>
        <vt:i4>6094872</vt:i4>
      </vt:variant>
      <vt:variant>
        <vt:i4>9</vt:i4>
      </vt:variant>
      <vt:variant>
        <vt:i4>0</vt:i4>
      </vt:variant>
      <vt:variant>
        <vt:i4>5</vt:i4>
      </vt:variant>
      <vt:variant>
        <vt:lpwstr>http://ac.els-cdn.com/S0736467907004143/1-s2.0-S0736467907004143-main.pdf?_tid=afad1c9c-e8b6-11e4-9bdc-00000aacb35d&amp;acdnat=1429683385_587fff12f3131aaccf70f8dcbc054ba1</vt:lpwstr>
      </vt:variant>
      <vt:variant>
        <vt:lpwstr/>
      </vt:variant>
      <vt:variant>
        <vt:i4>4718667</vt:i4>
      </vt:variant>
      <vt:variant>
        <vt:i4>6</vt:i4>
      </vt:variant>
      <vt:variant>
        <vt:i4>0</vt:i4>
      </vt:variant>
      <vt:variant>
        <vt:i4>5</vt:i4>
      </vt:variant>
      <vt:variant>
        <vt:lpwstr>http://www.anrows.org.au/</vt:lpwstr>
      </vt:variant>
      <vt:variant>
        <vt:lpwstr/>
      </vt:variant>
      <vt:variant>
        <vt:i4>3604533</vt:i4>
      </vt:variant>
      <vt:variant>
        <vt:i4>3</vt:i4>
      </vt:variant>
      <vt:variant>
        <vt:i4>0</vt:i4>
      </vt:variant>
      <vt:variant>
        <vt:i4>5</vt:i4>
      </vt:variant>
      <vt:variant>
        <vt:lpwstr>http://www.unhchr.ch/tbs/doc.nsf/(Symbol)/6f97648603f69bcdc12563ed004c3881?Opendocument</vt:lpwstr>
      </vt:variant>
      <vt:variant>
        <vt:lpwstr/>
      </vt:variant>
      <vt:variant>
        <vt:i4>2752573</vt:i4>
      </vt:variant>
      <vt:variant>
        <vt:i4>0</vt:i4>
      </vt:variant>
      <vt:variant>
        <vt:i4>0</vt:i4>
      </vt:variant>
      <vt:variant>
        <vt:i4>5</vt:i4>
      </vt:variant>
      <vt:variant>
        <vt:lpwstr>http://www.anrows.org.au/publications/fast-facts/key-statistics-violence-against-women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PCODCS</cp:lastModifiedBy>
  <cp:revision>5</cp:revision>
  <cp:lastPrinted>2018-09-07T01:52:00Z</cp:lastPrinted>
  <dcterms:created xsi:type="dcterms:W3CDTF">2018-09-19T01:02:00Z</dcterms:created>
  <dcterms:modified xsi:type="dcterms:W3CDTF">2018-09-19T01:02:00Z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0x010100EF327BD5A065AE43B889ADD91434348F</vt:lpwstr>
  </property>
</Properties>
</file>