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36" w:rsidRDefault="00CA0B95">
      <w:pPr>
        <w:rPr>
          <w:rFonts w:ascii="Arial" w:hAnsi="Arial"/>
          <w:snapToGrid w:val="0"/>
          <w:color w:val="000000"/>
          <w:sz w:val="23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color w:val="000000"/>
              <w:sz w:val="23"/>
            </w:rPr>
            <w:t>Australian Capital Territory</w:t>
          </w:r>
        </w:smartTag>
      </w:smartTag>
    </w:p>
    <w:p w:rsidR="001A2036" w:rsidRDefault="001A2036">
      <w:pPr>
        <w:rPr>
          <w:rFonts w:ascii="Arial" w:hAnsi="Arial"/>
          <w:snapToGrid w:val="0"/>
          <w:color w:val="000000"/>
          <w:sz w:val="23"/>
        </w:rPr>
      </w:pPr>
    </w:p>
    <w:p w:rsidR="001A2036" w:rsidRDefault="00CA0B95">
      <w:pPr>
        <w:rPr>
          <w:rFonts w:ascii="Arial" w:hAnsi="Arial"/>
          <w:b/>
          <w:snapToGrid w:val="0"/>
          <w:color w:val="000000"/>
          <w:sz w:val="40"/>
        </w:rPr>
      </w:pPr>
      <w:r>
        <w:rPr>
          <w:rFonts w:ascii="Arial" w:hAnsi="Arial"/>
          <w:b/>
          <w:snapToGrid w:val="0"/>
          <w:color w:val="000000"/>
          <w:sz w:val="40"/>
        </w:rPr>
        <w:t xml:space="preserve">Utilities (Energy industry levy </w:t>
      </w:r>
      <w:r>
        <w:rPr>
          <w:rFonts w:ascii="Arial" w:hAnsi="Arial"/>
          <w:b/>
          <w:snapToGrid w:val="0"/>
          <w:color w:val="000000"/>
          <w:sz w:val="40"/>
        </w:rPr>
        <w:noBreakHyphen/>
        <w:t xml:space="preserve"> national regulatory obligations and costs) Determination 201</w:t>
      </w:r>
      <w:r w:rsidR="00F367A3">
        <w:rPr>
          <w:rFonts w:ascii="Arial" w:hAnsi="Arial"/>
          <w:b/>
          <w:snapToGrid w:val="0"/>
          <w:color w:val="000000"/>
          <w:sz w:val="40"/>
        </w:rPr>
        <w:t>8</w:t>
      </w:r>
    </w:p>
    <w:p w:rsidR="001A2036" w:rsidRDefault="001A2036">
      <w:pPr>
        <w:rPr>
          <w:rFonts w:ascii="Arial" w:hAnsi="Arial"/>
          <w:b/>
          <w:snapToGrid w:val="0"/>
          <w:color w:val="000000"/>
          <w:sz w:val="32"/>
        </w:rPr>
      </w:pPr>
    </w:p>
    <w:p w:rsidR="001A2036" w:rsidRDefault="00CA0B95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Notifiable Instrument NI201</w:t>
      </w:r>
      <w:r w:rsidR="00F367A3">
        <w:rPr>
          <w:rFonts w:ascii="Arial" w:hAnsi="Arial"/>
          <w:b/>
          <w:snapToGrid w:val="0"/>
          <w:color w:val="000000"/>
        </w:rPr>
        <w:t>8</w:t>
      </w:r>
      <w:r>
        <w:rPr>
          <w:rFonts w:ascii="Arial" w:hAnsi="Arial"/>
          <w:b/>
          <w:snapToGrid w:val="0"/>
          <w:color w:val="000000"/>
        </w:rPr>
        <w:t>-</w:t>
      </w:r>
      <w:r w:rsidR="00C44948">
        <w:rPr>
          <w:rFonts w:ascii="Arial" w:hAnsi="Arial"/>
          <w:b/>
          <w:snapToGrid w:val="0"/>
          <w:color w:val="000000"/>
        </w:rPr>
        <w:t>541</w:t>
      </w:r>
    </w:p>
    <w:p w:rsidR="001A2036" w:rsidRDefault="001A2036">
      <w:pPr>
        <w:rPr>
          <w:rFonts w:ascii="Arial" w:hAnsi="Arial"/>
          <w:b/>
          <w:snapToGrid w:val="0"/>
          <w:color w:val="000000"/>
        </w:rPr>
      </w:pPr>
    </w:p>
    <w:p w:rsidR="001A2036" w:rsidRPr="00426B31" w:rsidRDefault="00CA0B95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made under the</w:t>
      </w:r>
    </w:p>
    <w:p w:rsidR="001A2036" w:rsidRDefault="00CA0B95">
      <w:pPr>
        <w:pStyle w:val="CoverActName"/>
      </w:pPr>
      <w:r w:rsidRPr="00E67F5E">
        <w:rPr>
          <w:rFonts w:cs="Arial"/>
          <w:i/>
          <w:sz w:val="20"/>
        </w:rPr>
        <w:t xml:space="preserve">Utilities Act </w:t>
      </w:r>
      <w:r w:rsidRPr="007E6897">
        <w:rPr>
          <w:rFonts w:cs="Arial"/>
          <w:i/>
          <w:sz w:val="20"/>
        </w:rPr>
        <w:t>2000</w:t>
      </w:r>
      <w:r>
        <w:rPr>
          <w:rFonts w:cs="Arial"/>
          <w:sz w:val="20"/>
        </w:rPr>
        <w:t>, section 54E (National regulatory obligations and costs)</w:t>
      </w:r>
      <w:r w:rsidR="00E87836">
        <w:rPr>
          <w:rFonts w:cs="Arial"/>
          <w:sz w:val="20"/>
        </w:rPr>
        <w:t xml:space="preserve"> </w:t>
      </w:r>
    </w:p>
    <w:p w:rsidR="00096CB7" w:rsidRDefault="00096CB7" w:rsidP="00096CB7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:rsidR="00096CB7" w:rsidRDefault="00096CB7" w:rsidP="00096CB7">
      <w:pPr>
        <w:pStyle w:val="N-line3"/>
        <w:pBdr>
          <w:bottom w:val="none" w:sz="0" w:space="0" w:color="auto"/>
        </w:pBdr>
      </w:pPr>
    </w:p>
    <w:p w:rsidR="00096CB7" w:rsidRDefault="00096CB7" w:rsidP="00096CB7">
      <w:pPr>
        <w:pStyle w:val="N-line3"/>
        <w:pBdr>
          <w:top w:val="single" w:sz="12" w:space="1" w:color="auto"/>
          <w:bottom w:val="none" w:sz="0" w:space="0" w:color="auto"/>
        </w:pBdr>
      </w:pPr>
    </w:p>
    <w:p w:rsidR="00B621BD" w:rsidRPr="00621EA3" w:rsidRDefault="005A0E56">
      <w:pPr>
        <w:rPr>
          <w:rFonts w:asciiTheme="minorHAnsi" w:hAnsiTheme="minorHAnsi"/>
        </w:rPr>
      </w:pPr>
      <w:r w:rsidRPr="00621EA3">
        <w:rPr>
          <w:rFonts w:asciiTheme="minorHAnsi" w:hAnsiTheme="minorHAnsi"/>
        </w:rPr>
        <w:t xml:space="preserve">Section 54E of the </w:t>
      </w:r>
      <w:r w:rsidRPr="00621EA3">
        <w:rPr>
          <w:rFonts w:asciiTheme="minorHAnsi" w:hAnsiTheme="minorHAnsi"/>
          <w:i/>
        </w:rPr>
        <w:t xml:space="preserve">Utilities Act 2000 </w:t>
      </w:r>
      <w:r w:rsidRPr="00621EA3">
        <w:rPr>
          <w:rFonts w:asciiTheme="minorHAnsi" w:hAnsiTheme="minorHAnsi"/>
        </w:rPr>
        <w:t>requires the</w:t>
      </w:r>
      <w:r w:rsidRPr="00621EA3">
        <w:rPr>
          <w:rFonts w:asciiTheme="minorHAnsi" w:hAnsiTheme="minorHAnsi"/>
          <w:i/>
        </w:rPr>
        <w:t xml:space="preserve"> </w:t>
      </w:r>
      <w:r w:rsidRPr="00621EA3">
        <w:rPr>
          <w:rFonts w:asciiTheme="minorHAnsi" w:hAnsiTheme="minorHAnsi"/>
        </w:rPr>
        <w:t>Levy Administrator, appointed under section 25N, to determine the amount of national regulatory costs to be applied to each industry sector. The determination is a notifiable instrument.</w:t>
      </w:r>
    </w:p>
    <w:p w:rsidR="005A0E56" w:rsidRPr="00621EA3" w:rsidRDefault="005A0E56">
      <w:pPr>
        <w:rPr>
          <w:rFonts w:asciiTheme="minorHAnsi" w:hAnsiTheme="minorHAnsi"/>
        </w:rPr>
      </w:pPr>
    </w:p>
    <w:p w:rsidR="005A0E56" w:rsidRDefault="005A0E56">
      <w:pPr>
        <w:rPr>
          <w:rFonts w:asciiTheme="minorHAnsi" w:hAnsiTheme="minorHAnsi"/>
        </w:rPr>
      </w:pPr>
      <w:r w:rsidRPr="00621EA3">
        <w:rPr>
          <w:rFonts w:asciiTheme="minorHAnsi" w:hAnsiTheme="minorHAnsi"/>
        </w:rPr>
        <w:t>National regulatory costs are made up of costs to the Territory of meeting its national regulatory obligations each year</w:t>
      </w:r>
      <w:r w:rsidR="00F367A3">
        <w:rPr>
          <w:rFonts w:asciiTheme="minorHAnsi" w:hAnsiTheme="minorHAnsi"/>
        </w:rPr>
        <w:t xml:space="preserve"> under the Australian Energy Market Agreement</w:t>
      </w:r>
      <w:r w:rsidR="00990510">
        <w:rPr>
          <w:rFonts w:asciiTheme="minorHAnsi" w:hAnsiTheme="minorHAnsi"/>
        </w:rPr>
        <w:t xml:space="preserve"> 2004 (as amended)</w:t>
      </w:r>
      <w:r w:rsidRPr="00621EA3">
        <w:rPr>
          <w:rFonts w:asciiTheme="minorHAnsi" w:hAnsiTheme="minorHAnsi"/>
        </w:rPr>
        <w:t>. The costs relate to the regulatory work of the Australian Energy Market Commissio</w:t>
      </w:r>
      <w:r w:rsidR="00FA4A3F" w:rsidRPr="00621EA3">
        <w:rPr>
          <w:rFonts w:asciiTheme="minorHAnsi" w:hAnsiTheme="minorHAnsi"/>
        </w:rPr>
        <w:t xml:space="preserve">n (AEMC) and the </w:t>
      </w:r>
      <w:r w:rsidR="00C87598">
        <w:rPr>
          <w:rFonts w:asciiTheme="minorHAnsi" w:hAnsiTheme="minorHAnsi"/>
        </w:rPr>
        <w:t>COAG Energy Council (COAG EC)</w:t>
      </w:r>
      <w:r w:rsidR="00FA4A3F" w:rsidRPr="00621EA3">
        <w:rPr>
          <w:rFonts w:asciiTheme="minorHAnsi" w:hAnsiTheme="minorHAnsi"/>
        </w:rPr>
        <w:t xml:space="preserve">. </w:t>
      </w:r>
    </w:p>
    <w:p w:rsidR="00087339" w:rsidRDefault="00087339" w:rsidP="00C01753">
      <w:pPr>
        <w:rPr>
          <w:rFonts w:asciiTheme="minorHAnsi" w:hAnsiTheme="minorHAnsi"/>
        </w:rPr>
      </w:pPr>
    </w:p>
    <w:p w:rsidR="00C01753" w:rsidRDefault="006C6D2B" w:rsidP="00C01753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C01753">
        <w:rPr>
          <w:rFonts w:asciiTheme="minorHAnsi" w:hAnsiTheme="minorHAnsi"/>
        </w:rPr>
        <w:t>osts are apportioned to each industry sector having regard to the costs attributable to each energy sector.</w:t>
      </w:r>
      <w:r w:rsidR="00C01753" w:rsidRPr="00C01753">
        <w:rPr>
          <w:rFonts w:asciiTheme="minorHAnsi" w:hAnsiTheme="minorHAnsi"/>
        </w:rPr>
        <w:t xml:space="preserve"> </w:t>
      </w:r>
      <w:r w:rsidR="00C01753" w:rsidRPr="00621EA3">
        <w:rPr>
          <w:rFonts w:asciiTheme="minorHAnsi" w:hAnsiTheme="minorHAnsi"/>
        </w:rPr>
        <w:t>The four energy industry sectors subject to the levy are electricity distribution, electricity supply, gas distribution and gas supply.</w:t>
      </w:r>
    </w:p>
    <w:p w:rsidR="00E87836" w:rsidRDefault="00E87836" w:rsidP="00C01753">
      <w:pPr>
        <w:rPr>
          <w:rFonts w:asciiTheme="minorHAnsi" w:hAnsiTheme="minorHAnsi"/>
        </w:rPr>
      </w:pPr>
    </w:p>
    <w:p w:rsidR="00615BE3" w:rsidRPr="00621EA3" w:rsidRDefault="00615BE3" w:rsidP="00615BE3">
      <w:pPr>
        <w:rPr>
          <w:rFonts w:asciiTheme="minorHAnsi" w:hAnsiTheme="minorHAnsi"/>
        </w:rPr>
      </w:pPr>
      <w:r w:rsidRPr="00621EA3">
        <w:rPr>
          <w:rFonts w:asciiTheme="minorHAnsi" w:hAnsiTheme="minorHAnsi"/>
        </w:rPr>
        <w:t xml:space="preserve">The </w:t>
      </w:r>
      <w:r w:rsidRPr="00621EA3">
        <w:rPr>
          <w:rFonts w:asciiTheme="minorHAnsi" w:hAnsiTheme="minorHAnsi"/>
          <w:i/>
        </w:rPr>
        <w:t xml:space="preserve">Utilities (Energy industry levy – </w:t>
      </w:r>
      <w:r w:rsidR="00C1156B" w:rsidRPr="00621EA3">
        <w:rPr>
          <w:rFonts w:asciiTheme="minorHAnsi" w:hAnsiTheme="minorHAnsi"/>
          <w:i/>
        </w:rPr>
        <w:t>national regulatory obligations and costs</w:t>
      </w:r>
      <w:r w:rsidRPr="00621EA3">
        <w:rPr>
          <w:rFonts w:asciiTheme="minorHAnsi" w:hAnsiTheme="minorHAnsi"/>
          <w:i/>
        </w:rPr>
        <w:t>) Determination 201</w:t>
      </w:r>
      <w:r w:rsidR="00F367A3">
        <w:rPr>
          <w:rFonts w:asciiTheme="minorHAnsi" w:hAnsiTheme="minorHAnsi"/>
          <w:i/>
        </w:rPr>
        <w:t>8</w:t>
      </w:r>
      <w:r w:rsidRPr="00621EA3">
        <w:rPr>
          <w:rFonts w:asciiTheme="minorHAnsi" w:hAnsiTheme="minorHAnsi"/>
        </w:rPr>
        <w:t xml:space="preserve"> sets out the </w:t>
      </w:r>
      <w:r w:rsidR="00C87598">
        <w:rPr>
          <w:rFonts w:asciiTheme="minorHAnsi" w:hAnsiTheme="minorHAnsi"/>
        </w:rPr>
        <w:t>cost</w:t>
      </w:r>
      <w:r w:rsidR="006C6D2B">
        <w:rPr>
          <w:rFonts w:asciiTheme="minorHAnsi" w:hAnsiTheme="minorHAnsi"/>
        </w:rPr>
        <w:t>s</w:t>
      </w:r>
      <w:r w:rsidR="00C87598">
        <w:rPr>
          <w:rFonts w:asciiTheme="minorHAnsi" w:hAnsiTheme="minorHAnsi"/>
        </w:rPr>
        <w:t xml:space="preserve"> </w:t>
      </w:r>
      <w:r w:rsidRPr="00621EA3">
        <w:rPr>
          <w:rFonts w:asciiTheme="minorHAnsi" w:hAnsiTheme="minorHAnsi"/>
        </w:rPr>
        <w:t>determin</w:t>
      </w:r>
      <w:r w:rsidR="006C6D2B">
        <w:rPr>
          <w:rFonts w:asciiTheme="minorHAnsi" w:hAnsiTheme="minorHAnsi"/>
        </w:rPr>
        <w:t>ed by the Administrator</w:t>
      </w:r>
      <w:r w:rsidRPr="00621EA3">
        <w:rPr>
          <w:rFonts w:asciiTheme="minorHAnsi" w:hAnsiTheme="minorHAnsi"/>
        </w:rPr>
        <w:t>.</w:t>
      </w:r>
    </w:p>
    <w:p w:rsidR="00615BE3" w:rsidRPr="00621EA3" w:rsidRDefault="00615BE3">
      <w:pPr>
        <w:rPr>
          <w:rFonts w:asciiTheme="minorHAnsi" w:hAnsiTheme="minorHAnsi"/>
        </w:rPr>
      </w:pPr>
    </w:p>
    <w:sectPr w:rsidR="00615BE3" w:rsidRPr="00621EA3" w:rsidSect="001A2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800" w:bottom="993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97" w:rsidRDefault="007E6897" w:rsidP="007E6897">
      <w:r>
        <w:separator/>
      </w:r>
    </w:p>
  </w:endnote>
  <w:endnote w:type="continuationSeparator" w:id="0">
    <w:p w:rsidR="007E6897" w:rsidRDefault="007E6897" w:rsidP="007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24" w:rsidRDefault="00AB63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24" w:rsidRPr="00AB6324" w:rsidRDefault="00AB6324" w:rsidP="00AB6324">
    <w:pPr>
      <w:pStyle w:val="Footer"/>
      <w:jc w:val="center"/>
      <w:rPr>
        <w:rFonts w:ascii="Arial" w:hAnsi="Arial" w:cs="Arial"/>
        <w:sz w:val="14"/>
      </w:rPr>
    </w:pPr>
    <w:r w:rsidRPr="00AB6324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24" w:rsidRDefault="00AB6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97" w:rsidRDefault="007E6897" w:rsidP="007E6897">
      <w:r>
        <w:separator/>
      </w:r>
    </w:p>
  </w:footnote>
  <w:footnote w:type="continuationSeparator" w:id="0">
    <w:p w:rsidR="007E6897" w:rsidRDefault="007E6897" w:rsidP="007E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24" w:rsidRDefault="00AB63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24" w:rsidRDefault="00AB63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324" w:rsidRDefault="00AB6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7C1EF380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474" w:hanging="737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211" w:hanging="737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F154C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695CFD"/>
    <w:multiLevelType w:val="singleLevel"/>
    <w:tmpl w:val="5B6E15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7BE43DC"/>
    <w:multiLevelType w:val="hybridMultilevel"/>
    <w:tmpl w:val="43A0A61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FF68D6"/>
    <w:multiLevelType w:val="hybridMultilevel"/>
    <w:tmpl w:val="03D2E72A"/>
    <w:lvl w:ilvl="0" w:tplc="FBE89A68">
      <w:start w:val="1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6F1DA0"/>
    <w:multiLevelType w:val="hybridMultilevel"/>
    <w:tmpl w:val="B38A539E"/>
    <w:lvl w:ilvl="0" w:tplc="27123F8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5750CA"/>
    <w:multiLevelType w:val="multilevel"/>
    <w:tmpl w:val="E3E6A09A"/>
    <w:lvl w:ilvl="0">
      <w:start w:val="1"/>
      <w:numFmt w:val="lowerLetter"/>
      <w:lvlText w:val="(%1)"/>
      <w:legacy w:legacy="1" w:legacySpace="0" w:legacyIndent="737"/>
      <w:lvlJc w:val="left"/>
      <w:pPr>
        <w:ind w:left="772" w:hanging="737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7" w:hanging="72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3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37" w:hanging="737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474" w:hanging="737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211" w:hanging="737"/>
      </w:pPr>
    </w:lvl>
  </w:abstractNum>
  <w:abstractNum w:abstractNumId="8" w15:restartNumberingAfterBreak="0">
    <w:nsid w:val="159A5EE8"/>
    <w:multiLevelType w:val="hybridMultilevel"/>
    <w:tmpl w:val="808E6DD2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0537D"/>
    <w:multiLevelType w:val="hybridMultilevel"/>
    <w:tmpl w:val="557A877C"/>
    <w:lvl w:ilvl="0" w:tplc="9E6AB30C">
      <w:start w:val="3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8B1492B"/>
    <w:multiLevelType w:val="singleLevel"/>
    <w:tmpl w:val="E5020C2C"/>
    <w:lvl w:ilvl="0">
      <w:start w:val="1"/>
      <w:numFmt w:val="lowerLetter"/>
      <w:lvlText w:val="(%1)"/>
      <w:legacy w:legacy="1" w:legacySpace="0" w:legacyIndent="737"/>
      <w:lvlJc w:val="left"/>
      <w:pPr>
        <w:ind w:left="737" w:hanging="737"/>
      </w:pPr>
    </w:lvl>
  </w:abstractNum>
  <w:abstractNum w:abstractNumId="11" w15:restartNumberingAfterBreak="0">
    <w:nsid w:val="2C200F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953FA5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A827F1"/>
    <w:multiLevelType w:val="multilevel"/>
    <w:tmpl w:val="2A9614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714699"/>
    <w:multiLevelType w:val="singleLevel"/>
    <w:tmpl w:val="F168A364"/>
    <w:lvl w:ilvl="0">
      <w:start w:val="1"/>
      <w:numFmt w:val="lowerRoman"/>
      <w:lvlText w:val="(%1)"/>
      <w:legacy w:legacy="1" w:legacySpace="0" w:legacyIndent="737"/>
      <w:lvlJc w:val="left"/>
      <w:pPr>
        <w:ind w:left="1472" w:hanging="737"/>
      </w:pPr>
    </w:lvl>
  </w:abstractNum>
  <w:abstractNum w:abstractNumId="15" w15:restartNumberingAfterBreak="0">
    <w:nsid w:val="3F125552"/>
    <w:multiLevelType w:val="singleLevel"/>
    <w:tmpl w:val="1958BEF0"/>
    <w:lvl w:ilvl="0">
      <w:start w:val="1"/>
      <w:numFmt w:val="lowerRoman"/>
      <w:lvlText w:val="(%1)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3FEC0CDE"/>
    <w:multiLevelType w:val="hybridMultilevel"/>
    <w:tmpl w:val="954A9B40"/>
    <w:lvl w:ilvl="0" w:tplc="8E76C1A0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2410BC3"/>
    <w:multiLevelType w:val="singleLevel"/>
    <w:tmpl w:val="CBB0B0C4"/>
    <w:lvl w:ilvl="0">
      <w:start w:val="1"/>
      <w:numFmt w:val="lowerLetter"/>
      <w:lvlText w:val="(%1)"/>
      <w:legacy w:legacy="1" w:legacySpace="284" w:legacyIndent="567"/>
      <w:lvlJc w:val="left"/>
      <w:pPr>
        <w:ind w:left="567" w:hanging="567"/>
      </w:pPr>
    </w:lvl>
  </w:abstractNum>
  <w:abstractNum w:abstractNumId="18" w15:restartNumberingAfterBreak="0">
    <w:nsid w:val="44F400B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480D8F"/>
    <w:multiLevelType w:val="singleLevel"/>
    <w:tmpl w:val="08FC1498"/>
    <w:lvl w:ilvl="0">
      <w:start w:val="2"/>
      <w:numFmt w:val="lowerLetter"/>
      <w:lvlText w:val="(%1)"/>
      <w:lvlJc w:val="left"/>
      <w:pPr>
        <w:tabs>
          <w:tab w:val="num" w:pos="737"/>
        </w:tabs>
        <w:ind w:left="737" w:hanging="737"/>
      </w:pPr>
    </w:lvl>
  </w:abstractNum>
  <w:abstractNum w:abstractNumId="20" w15:restartNumberingAfterBreak="0">
    <w:nsid w:val="499113DE"/>
    <w:multiLevelType w:val="singleLevel"/>
    <w:tmpl w:val="6EA4E5CC"/>
    <w:lvl w:ilvl="0">
      <w:start w:val="1"/>
      <w:numFmt w:val="lowerLetter"/>
      <w:lvlText w:val="(%1)"/>
      <w:lvlJc w:val="left"/>
      <w:pPr>
        <w:tabs>
          <w:tab w:val="num" w:pos="737"/>
        </w:tabs>
        <w:ind w:left="737" w:hanging="737"/>
      </w:pPr>
    </w:lvl>
  </w:abstractNum>
  <w:abstractNum w:abstractNumId="21" w15:restartNumberingAfterBreak="0">
    <w:nsid w:val="4E7B1744"/>
    <w:multiLevelType w:val="hybridMultilevel"/>
    <w:tmpl w:val="A0EE55DA"/>
    <w:lvl w:ilvl="0" w:tplc="F096333C">
      <w:start w:val="1"/>
      <w:numFmt w:val="lowerRoman"/>
      <w:lvlText w:val="%1."/>
      <w:lvlJc w:val="right"/>
      <w:pPr>
        <w:tabs>
          <w:tab w:val="num" w:pos="1782"/>
        </w:tabs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2" w15:restartNumberingAfterBreak="0">
    <w:nsid w:val="54F339F0"/>
    <w:multiLevelType w:val="hybridMultilevel"/>
    <w:tmpl w:val="D25A6E96"/>
    <w:lvl w:ilvl="0" w:tplc="AFC6F424">
      <w:start w:val="2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162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290709D"/>
    <w:multiLevelType w:val="hybridMultilevel"/>
    <w:tmpl w:val="27E28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03E9B"/>
    <w:multiLevelType w:val="singleLevel"/>
    <w:tmpl w:val="1598D274"/>
    <w:lvl w:ilvl="0">
      <w:start w:val="2"/>
      <w:numFmt w:val="lowerLetter"/>
      <w:lvlText w:val="(%1)"/>
      <w:legacy w:legacy="1" w:legacySpace="0" w:legacyIndent="737"/>
      <w:lvlJc w:val="left"/>
      <w:pPr>
        <w:ind w:left="737" w:hanging="737"/>
      </w:pPr>
    </w:lvl>
  </w:abstractNum>
  <w:abstractNum w:abstractNumId="26" w15:restartNumberingAfterBreak="0">
    <w:nsid w:val="671863D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C478FF"/>
    <w:multiLevelType w:val="hybridMultilevel"/>
    <w:tmpl w:val="626668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52C1C"/>
    <w:multiLevelType w:val="hybridMultilevel"/>
    <w:tmpl w:val="C1AEB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A4AC8"/>
    <w:multiLevelType w:val="hybridMultilevel"/>
    <w:tmpl w:val="2506D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A0F53"/>
    <w:multiLevelType w:val="hybridMultilevel"/>
    <w:tmpl w:val="05B0693A"/>
    <w:lvl w:ilvl="0" w:tplc="157A2C4E">
      <w:start w:val="2"/>
      <w:numFmt w:val="low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7BC62657"/>
    <w:multiLevelType w:val="hybridMultilevel"/>
    <w:tmpl w:val="29F861B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1"/>
  </w:num>
  <w:num w:numId="5">
    <w:abstractNumId w:val="18"/>
  </w:num>
  <w:num w:numId="6">
    <w:abstractNumId w:val="3"/>
  </w:num>
  <w:num w:numId="7">
    <w:abstractNumId w:val="26"/>
  </w:num>
  <w:num w:numId="8">
    <w:abstractNumId w:val="21"/>
  </w:num>
  <w:num w:numId="9">
    <w:abstractNumId w:val="22"/>
  </w:num>
  <w:num w:numId="10">
    <w:abstractNumId w:val="30"/>
  </w:num>
  <w:num w:numId="11">
    <w:abstractNumId w:val="13"/>
  </w:num>
  <w:num w:numId="12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3">
    <w:abstractNumId w:val="0"/>
  </w:num>
  <w:num w:numId="14">
    <w:abstractNumId w:val="19"/>
  </w:num>
  <w:num w:numId="15">
    <w:abstractNumId w:val="2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8">
    <w:abstractNumId w:val="8"/>
  </w:num>
  <w:num w:numId="19">
    <w:abstractNumId w:val="10"/>
  </w:num>
  <w:num w:numId="20">
    <w:abstractNumId w:val="12"/>
  </w:num>
  <w:num w:numId="21">
    <w:abstractNumId w:val="7"/>
  </w:num>
  <w:num w:numId="22">
    <w:abstractNumId w:val="20"/>
  </w:num>
  <w:num w:numId="23">
    <w:abstractNumId w:val="17"/>
  </w:num>
  <w:num w:numId="24">
    <w:abstractNumId w:val="25"/>
  </w:num>
  <w:num w:numId="25">
    <w:abstractNumId w:val="14"/>
  </w:num>
  <w:num w:numId="26">
    <w:abstractNumId w:val="5"/>
  </w:num>
  <w:num w:numId="27">
    <w:abstractNumId w:val="31"/>
  </w:num>
  <w:num w:numId="28">
    <w:abstractNumId w:val="6"/>
  </w:num>
  <w:num w:numId="29">
    <w:abstractNumId w:val="4"/>
  </w:num>
  <w:num w:numId="30">
    <w:abstractNumId w:val="16"/>
  </w:num>
  <w:num w:numId="31">
    <w:abstractNumId w:val="9"/>
  </w:num>
  <w:num w:numId="32">
    <w:abstractNumId w:val="29"/>
  </w:num>
  <w:num w:numId="33">
    <w:abstractNumId w:val="2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8"/>
    <w:rsid w:val="00087339"/>
    <w:rsid w:val="00091DB5"/>
    <w:rsid w:val="00096CB7"/>
    <w:rsid w:val="000D3506"/>
    <w:rsid w:val="001A2036"/>
    <w:rsid w:val="001D42A5"/>
    <w:rsid w:val="001F0D8B"/>
    <w:rsid w:val="001F1C5A"/>
    <w:rsid w:val="001F1DB0"/>
    <w:rsid w:val="00260B66"/>
    <w:rsid w:val="00267770"/>
    <w:rsid w:val="00275199"/>
    <w:rsid w:val="002E36C1"/>
    <w:rsid w:val="002E7A58"/>
    <w:rsid w:val="002F59C8"/>
    <w:rsid w:val="003045DF"/>
    <w:rsid w:val="00392914"/>
    <w:rsid w:val="003C39EF"/>
    <w:rsid w:val="003D1C43"/>
    <w:rsid w:val="003E7C60"/>
    <w:rsid w:val="00407491"/>
    <w:rsid w:val="00426B31"/>
    <w:rsid w:val="004569D1"/>
    <w:rsid w:val="004E1F2A"/>
    <w:rsid w:val="004E3CAE"/>
    <w:rsid w:val="00502661"/>
    <w:rsid w:val="00512DA3"/>
    <w:rsid w:val="00517A8A"/>
    <w:rsid w:val="00535B31"/>
    <w:rsid w:val="00571EA3"/>
    <w:rsid w:val="005A0E56"/>
    <w:rsid w:val="005D6D9D"/>
    <w:rsid w:val="005E4454"/>
    <w:rsid w:val="00615BE3"/>
    <w:rsid w:val="00621EA3"/>
    <w:rsid w:val="00696C15"/>
    <w:rsid w:val="006A06AD"/>
    <w:rsid w:val="006B3F4C"/>
    <w:rsid w:val="006C6D2B"/>
    <w:rsid w:val="006D0AC3"/>
    <w:rsid w:val="006E325C"/>
    <w:rsid w:val="00714C3F"/>
    <w:rsid w:val="00721DB6"/>
    <w:rsid w:val="00742474"/>
    <w:rsid w:val="00766A4A"/>
    <w:rsid w:val="00767843"/>
    <w:rsid w:val="00783BA9"/>
    <w:rsid w:val="007C7E1F"/>
    <w:rsid w:val="007D451E"/>
    <w:rsid w:val="007E6584"/>
    <w:rsid w:val="007E6897"/>
    <w:rsid w:val="00820604"/>
    <w:rsid w:val="0084136F"/>
    <w:rsid w:val="008A6B55"/>
    <w:rsid w:val="009330B9"/>
    <w:rsid w:val="00936E82"/>
    <w:rsid w:val="00951BD3"/>
    <w:rsid w:val="00967E3B"/>
    <w:rsid w:val="00980BCD"/>
    <w:rsid w:val="009826AB"/>
    <w:rsid w:val="00990510"/>
    <w:rsid w:val="009E35AE"/>
    <w:rsid w:val="00A0244B"/>
    <w:rsid w:val="00A3103E"/>
    <w:rsid w:val="00A337BB"/>
    <w:rsid w:val="00A5485C"/>
    <w:rsid w:val="00A727AF"/>
    <w:rsid w:val="00AB6324"/>
    <w:rsid w:val="00AD3141"/>
    <w:rsid w:val="00AE2F70"/>
    <w:rsid w:val="00AE5D39"/>
    <w:rsid w:val="00AF66AA"/>
    <w:rsid w:val="00B26F4C"/>
    <w:rsid w:val="00B44A4E"/>
    <w:rsid w:val="00B621BD"/>
    <w:rsid w:val="00BC1052"/>
    <w:rsid w:val="00BD3731"/>
    <w:rsid w:val="00BD6572"/>
    <w:rsid w:val="00C01753"/>
    <w:rsid w:val="00C1156B"/>
    <w:rsid w:val="00C36C26"/>
    <w:rsid w:val="00C44948"/>
    <w:rsid w:val="00C827CE"/>
    <w:rsid w:val="00C87598"/>
    <w:rsid w:val="00CA0A35"/>
    <w:rsid w:val="00CA0B95"/>
    <w:rsid w:val="00CD1D8A"/>
    <w:rsid w:val="00CF598B"/>
    <w:rsid w:val="00D756DE"/>
    <w:rsid w:val="00E000A1"/>
    <w:rsid w:val="00E128B0"/>
    <w:rsid w:val="00E30C95"/>
    <w:rsid w:val="00E33251"/>
    <w:rsid w:val="00E61458"/>
    <w:rsid w:val="00E67F5E"/>
    <w:rsid w:val="00E765D4"/>
    <w:rsid w:val="00E847CF"/>
    <w:rsid w:val="00E87836"/>
    <w:rsid w:val="00E95BEA"/>
    <w:rsid w:val="00ED361B"/>
    <w:rsid w:val="00ED3B37"/>
    <w:rsid w:val="00ED7756"/>
    <w:rsid w:val="00F367A3"/>
    <w:rsid w:val="00F40D36"/>
    <w:rsid w:val="00F573DA"/>
    <w:rsid w:val="00F77AF3"/>
    <w:rsid w:val="00F8496F"/>
    <w:rsid w:val="00F85D9E"/>
    <w:rsid w:val="00F86B5B"/>
    <w:rsid w:val="00FA48C1"/>
    <w:rsid w:val="00FA4A3F"/>
    <w:rsid w:val="00FA7ABA"/>
    <w:rsid w:val="00FD371C"/>
    <w:rsid w:val="00FE1414"/>
    <w:rsid w:val="00FE2B27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66F4D936-590D-484A-9441-0AE368CB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03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A203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2036"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rsid w:val="001A2036"/>
    <w:pPr>
      <w:tabs>
        <w:tab w:val="left" w:pos="1418"/>
      </w:tabs>
      <w:spacing w:before="120" w:after="120"/>
      <w:ind w:left="1418" w:hanging="567"/>
      <w:outlineLvl w:val="2"/>
    </w:pPr>
    <w:rPr>
      <w:rFonts w:ascii="Arial" w:hAnsi="Arial"/>
      <w:sz w:val="22"/>
    </w:rPr>
  </w:style>
  <w:style w:type="paragraph" w:styleId="Heading4">
    <w:name w:val="heading 4"/>
    <w:basedOn w:val="Normal"/>
    <w:qFormat/>
    <w:rsid w:val="001A2036"/>
    <w:pPr>
      <w:tabs>
        <w:tab w:val="left" w:pos="1985"/>
      </w:tabs>
      <w:spacing w:before="40" w:after="40"/>
      <w:ind w:left="1985" w:hanging="567"/>
      <w:outlineLvl w:val="3"/>
    </w:pPr>
    <w:rPr>
      <w:rFonts w:ascii="Arial" w:hAnsi="Arial"/>
      <w:sz w:val="22"/>
    </w:rPr>
  </w:style>
  <w:style w:type="paragraph" w:styleId="Heading5">
    <w:name w:val="heading 5"/>
    <w:basedOn w:val="Heading1"/>
    <w:qFormat/>
    <w:rsid w:val="001A2036"/>
    <w:pPr>
      <w:keepNext w:val="0"/>
      <w:spacing w:before="240"/>
      <w:outlineLvl w:val="4"/>
    </w:pPr>
    <w:rPr>
      <w:b w:val="0"/>
      <w:smallCaps/>
      <w:sz w:val="22"/>
    </w:rPr>
  </w:style>
  <w:style w:type="paragraph" w:styleId="Heading6">
    <w:name w:val="heading 6"/>
    <w:basedOn w:val="Heading1"/>
    <w:qFormat/>
    <w:rsid w:val="001A2036"/>
    <w:pPr>
      <w:keepNext w:val="0"/>
      <w:spacing w:before="240"/>
      <w:outlineLvl w:val="5"/>
    </w:pPr>
    <w:rPr>
      <w:b w:val="0"/>
      <w:smallCaps/>
      <w:sz w:val="22"/>
    </w:rPr>
  </w:style>
  <w:style w:type="paragraph" w:styleId="Heading7">
    <w:name w:val="heading 7"/>
    <w:basedOn w:val="Heading1"/>
    <w:qFormat/>
    <w:rsid w:val="001A2036"/>
    <w:pPr>
      <w:keepNext w:val="0"/>
      <w:spacing w:before="240"/>
      <w:outlineLvl w:val="6"/>
    </w:pPr>
    <w:rPr>
      <w:b w:val="0"/>
      <w:smallCaps/>
      <w:sz w:val="22"/>
    </w:rPr>
  </w:style>
  <w:style w:type="paragraph" w:styleId="Heading8">
    <w:name w:val="heading 8"/>
    <w:basedOn w:val="Heading1"/>
    <w:qFormat/>
    <w:rsid w:val="001A2036"/>
    <w:pPr>
      <w:keepNext w:val="0"/>
      <w:spacing w:before="240"/>
      <w:outlineLvl w:val="7"/>
    </w:pPr>
    <w:rPr>
      <w:b w:val="0"/>
      <w:smallCaps/>
      <w:sz w:val="22"/>
    </w:rPr>
  </w:style>
  <w:style w:type="paragraph" w:styleId="Heading9">
    <w:name w:val="heading 9"/>
    <w:basedOn w:val="Heading1"/>
    <w:qFormat/>
    <w:rsid w:val="001A2036"/>
    <w:pPr>
      <w:keepNext w:val="0"/>
      <w:spacing w:before="240"/>
      <w:outlineLvl w:val="8"/>
    </w:pPr>
    <w:rPr>
      <w:b w:val="0"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A2036"/>
    <w:pPr>
      <w:spacing w:after="120"/>
      <w:ind w:left="284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rsid w:val="001A2036"/>
    <w:rPr>
      <w:rFonts w:ascii="Arial" w:hAnsi="Arial"/>
      <w:snapToGrid w:val="0"/>
      <w:color w:val="000000"/>
    </w:rPr>
  </w:style>
  <w:style w:type="paragraph" w:customStyle="1" w:styleId="BodyText1">
    <w:name w:val="Body Text 1"/>
    <w:basedOn w:val="Normal"/>
    <w:rsid w:val="001A2036"/>
    <w:pPr>
      <w:spacing w:before="240"/>
      <w:ind w:left="709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1A2036"/>
    <w:pPr>
      <w:spacing w:before="60"/>
      <w:ind w:left="851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1A2036"/>
    <w:rPr>
      <w:color w:val="0000FF"/>
      <w:u w:val="single"/>
    </w:rPr>
  </w:style>
  <w:style w:type="paragraph" w:styleId="BodyTextIndent2">
    <w:name w:val="Body Text Indent 2"/>
    <w:basedOn w:val="Normal"/>
    <w:rsid w:val="001A2036"/>
    <w:pPr>
      <w:ind w:left="567"/>
    </w:pPr>
    <w:rPr>
      <w:rFonts w:ascii="Arial" w:hAnsi="Arial" w:cs="Arial"/>
    </w:rPr>
  </w:style>
  <w:style w:type="paragraph" w:styleId="BodyText3">
    <w:name w:val="Body Text 3"/>
    <w:basedOn w:val="Normal"/>
    <w:rsid w:val="001A2036"/>
    <w:pPr>
      <w:jc w:val="right"/>
    </w:pPr>
    <w:rPr>
      <w:rFonts w:ascii="Arial" w:hAnsi="Arial"/>
      <w:snapToGrid w:val="0"/>
      <w:color w:val="000000"/>
    </w:rPr>
  </w:style>
  <w:style w:type="character" w:styleId="FootnoteReference">
    <w:name w:val="footnote reference"/>
    <w:basedOn w:val="DefaultParagraphFont"/>
    <w:semiHidden/>
    <w:rsid w:val="001A2036"/>
    <w:rPr>
      <w:vertAlign w:val="superscript"/>
    </w:rPr>
  </w:style>
  <w:style w:type="paragraph" w:styleId="BodyTextIndent3">
    <w:name w:val="Body Text Indent 3"/>
    <w:basedOn w:val="Normal"/>
    <w:rsid w:val="001A2036"/>
    <w:pPr>
      <w:spacing w:before="120" w:after="120"/>
      <w:ind w:left="742" w:hanging="283"/>
    </w:pPr>
    <w:rPr>
      <w:rFonts w:ascii="Times" w:hAnsi="Times"/>
      <w:sz w:val="22"/>
    </w:rPr>
  </w:style>
  <w:style w:type="paragraph" w:styleId="Header">
    <w:name w:val="header"/>
    <w:basedOn w:val="Normal"/>
    <w:rsid w:val="001A2036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noteText">
    <w:name w:val="footnote text"/>
    <w:basedOn w:val="Normal"/>
    <w:semiHidden/>
    <w:rsid w:val="001A2036"/>
    <w:rPr>
      <w:sz w:val="20"/>
    </w:rPr>
  </w:style>
  <w:style w:type="paragraph" w:customStyle="1" w:styleId="CoverActName">
    <w:name w:val="CoverActName"/>
    <w:basedOn w:val="Normal"/>
    <w:rsid w:val="001A203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TOC4">
    <w:name w:val="toc 4"/>
    <w:basedOn w:val="Normal"/>
    <w:next w:val="Normal"/>
    <w:autoRedefine/>
    <w:semiHidden/>
    <w:rsid w:val="001A2036"/>
    <w:pPr>
      <w:ind w:left="720"/>
    </w:pPr>
  </w:style>
  <w:style w:type="table" w:styleId="TableGrid">
    <w:name w:val="Table Grid"/>
    <w:basedOn w:val="TableNormal"/>
    <w:rsid w:val="001A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A2036"/>
    <w:rPr>
      <w:rFonts w:ascii="Tahoma" w:hAnsi="Tahoma" w:cs="Tahoma"/>
      <w:sz w:val="16"/>
      <w:szCs w:val="16"/>
    </w:rPr>
  </w:style>
  <w:style w:type="paragraph" w:customStyle="1" w:styleId="N-line3">
    <w:name w:val="N-line3"/>
    <w:basedOn w:val="Normal"/>
    <w:next w:val="Normal"/>
    <w:rsid w:val="00096CB7"/>
    <w:pPr>
      <w:pBdr>
        <w:bottom w:val="single" w:sz="12" w:space="1" w:color="auto"/>
      </w:pBdr>
      <w:jc w:val="both"/>
    </w:pPr>
  </w:style>
  <w:style w:type="paragraph" w:styleId="ListParagraph">
    <w:name w:val="List Paragraph"/>
    <w:basedOn w:val="Normal"/>
    <w:uiPriority w:val="34"/>
    <w:qFormat/>
    <w:rsid w:val="00091DB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AB6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B632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957B-0B84-49D2-AA20-1C5F0E1A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2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2018-09-24T23:38:00Z</cp:lastPrinted>
  <dcterms:created xsi:type="dcterms:W3CDTF">2018-09-28T06:10:00Z</dcterms:created>
  <dcterms:modified xsi:type="dcterms:W3CDTF">2018-09-28T06:10:00Z</dcterms:modified>
</cp:coreProperties>
</file>