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815C9" w:rsidRDefault="00A716A0">
      <w:pPr>
        <w:pStyle w:val="Billname"/>
        <w:spacing w:before="700"/>
      </w:pPr>
      <w:r>
        <w:t>Planning and Development</w:t>
      </w:r>
      <w:r w:rsidR="00722110">
        <w:t xml:space="preserve"> </w:t>
      </w:r>
      <w:r>
        <w:t>Amendment Regulation 2018</w:t>
      </w:r>
      <w:r w:rsidR="00546840">
        <w:t xml:space="preserve"> (No </w:t>
      </w:r>
      <w:r w:rsidR="002B2631">
        <w:t>1</w:t>
      </w:r>
      <w:r w:rsidR="0063546E">
        <w:t>)</w:t>
      </w:r>
    </w:p>
    <w:p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A716A0">
        <w:rPr>
          <w:rFonts w:ascii="Arial" w:hAnsi="Arial" w:cs="Arial"/>
          <w:b/>
          <w:bCs/>
        </w:rPr>
        <w:t>2018</w:t>
      </w:r>
      <w:r w:rsidR="006815C9">
        <w:rPr>
          <w:rFonts w:ascii="Arial" w:hAnsi="Arial" w:cs="Arial"/>
          <w:b/>
          <w:bCs/>
        </w:rPr>
        <w:t>–</w:t>
      </w:r>
      <w:r w:rsidR="00546840">
        <w:rPr>
          <w:rFonts w:ascii="Arial" w:hAnsi="Arial" w:cs="Arial"/>
          <w:b/>
          <w:bCs/>
        </w:rPr>
        <w:t>21</w:t>
      </w:r>
    </w:p>
    <w:p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:rsidR="006815C9" w:rsidRDefault="00A716A0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Planning and Development Act 2007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426</w:t>
      </w:r>
      <w:r w:rsidR="006815C9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Regulation-making power</w:t>
      </w:r>
      <w:r w:rsidR="006815C9">
        <w:rPr>
          <w:rFonts w:cs="Arial"/>
          <w:sz w:val="20"/>
        </w:rPr>
        <w:t>)</w:t>
      </w:r>
    </w:p>
    <w:p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6815C9" w:rsidRDefault="006815C9">
      <w:pPr>
        <w:pStyle w:val="N-line3"/>
        <w:pBdr>
          <w:bottom w:val="none" w:sz="0" w:space="0" w:color="auto"/>
        </w:pBdr>
      </w:pPr>
    </w:p>
    <w:p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1D0452" w:rsidRPr="001D0452" w:rsidRDefault="001D0452" w:rsidP="001D0452">
      <w:pPr>
        <w:autoSpaceDE w:val="0"/>
        <w:autoSpaceDN w:val="0"/>
        <w:adjustRightInd w:val="0"/>
        <w:spacing w:after="240"/>
        <w:rPr>
          <w:szCs w:val="24"/>
        </w:rPr>
      </w:pPr>
      <w:r w:rsidRPr="001D0452">
        <w:rPr>
          <w:color w:val="000000"/>
          <w:szCs w:val="24"/>
        </w:rPr>
        <w:t xml:space="preserve">This explanatory statement relates to the </w:t>
      </w:r>
      <w:r w:rsidRPr="001D0452">
        <w:rPr>
          <w:i/>
          <w:color w:val="000000"/>
          <w:szCs w:val="24"/>
        </w:rPr>
        <w:t>Planning a</w:t>
      </w:r>
      <w:r w:rsidR="00722110">
        <w:rPr>
          <w:i/>
          <w:color w:val="000000"/>
          <w:szCs w:val="24"/>
        </w:rPr>
        <w:t xml:space="preserve">nd Development </w:t>
      </w:r>
      <w:r w:rsidRPr="001D0452">
        <w:rPr>
          <w:i/>
          <w:color w:val="000000"/>
          <w:szCs w:val="24"/>
        </w:rPr>
        <w:t>Amendment Regulation 2018</w:t>
      </w:r>
      <w:r w:rsidR="0063546E">
        <w:rPr>
          <w:i/>
          <w:color w:val="000000"/>
          <w:szCs w:val="24"/>
        </w:rPr>
        <w:t xml:space="preserve"> (No 1)</w:t>
      </w:r>
      <w:r w:rsidRPr="001D0452">
        <w:rPr>
          <w:color w:val="000000"/>
          <w:szCs w:val="24"/>
        </w:rPr>
        <w:t xml:space="preserve"> (t</w:t>
      </w:r>
      <w:r w:rsidR="004462ED">
        <w:rPr>
          <w:color w:val="000000"/>
          <w:szCs w:val="24"/>
        </w:rPr>
        <w:t>he amendment</w:t>
      </w:r>
      <w:r w:rsidR="0022424C">
        <w:rPr>
          <w:color w:val="000000"/>
          <w:szCs w:val="24"/>
        </w:rPr>
        <w:t xml:space="preserve"> regulation) as made by the Executive</w:t>
      </w:r>
      <w:r w:rsidRPr="001D0452">
        <w:rPr>
          <w:color w:val="000000"/>
          <w:szCs w:val="24"/>
        </w:rPr>
        <w:t xml:space="preserve">. </w:t>
      </w:r>
      <w:r w:rsidR="0022424C">
        <w:rPr>
          <w:color w:val="000000"/>
          <w:szCs w:val="24"/>
        </w:rPr>
        <w:t xml:space="preserve"> </w:t>
      </w:r>
      <w:r w:rsidRPr="001D0452">
        <w:rPr>
          <w:szCs w:val="24"/>
        </w:rPr>
        <w:t>It has been prepared to a</w:t>
      </w:r>
      <w:r w:rsidR="00A94DA8">
        <w:rPr>
          <w:szCs w:val="24"/>
        </w:rPr>
        <w:t>ssist the reader of the amendment</w:t>
      </w:r>
      <w:r w:rsidRPr="001D0452">
        <w:rPr>
          <w:szCs w:val="24"/>
        </w:rPr>
        <w:t xml:space="preserve"> regulation and to help inform any debate on it. </w:t>
      </w:r>
      <w:r w:rsidR="0022424C">
        <w:rPr>
          <w:szCs w:val="24"/>
        </w:rPr>
        <w:t xml:space="preserve"> </w:t>
      </w:r>
      <w:r w:rsidRPr="001D0452">
        <w:rPr>
          <w:szCs w:val="24"/>
        </w:rPr>
        <w:t>It do</w:t>
      </w:r>
      <w:r w:rsidR="00A94DA8">
        <w:rPr>
          <w:szCs w:val="24"/>
        </w:rPr>
        <w:t>es not form part of the amendment</w:t>
      </w:r>
      <w:r w:rsidRPr="001D0452">
        <w:rPr>
          <w:szCs w:val="24"/>
        </w:rPr>
        <w:t xml:space="preserve"> regulation and has not been endorsed by the Legislative Assembly.</w:t>
      </w:r>
    </w:p>
    <w:p w:rsidR="001D0452" w:rsidRPr="001D0452" w:rsidRDefault="001D0452" w:rsidP="001D0452">
      <w:pPr>
        <w:autoSpaceDE w:val="0"/>
        <w:autoSpaceDN w:val="0"/>
        <w:adjustRightInd w:val="0"/>
        <w:spacing w:after="240"/>
        <w:rPr>
          <w:szCs w:val="24"/>
        </w:rPr>
      </w:pPr>
      <w:r w:rsidRPr="001D0452">
        <w:rPr>
          <w:szCs w:val="24"/>
        </w:rPr>
        <w:t>This statement must be read in conjunction wi</w:t>
      </w:r>
      <w:r w:rsidR="004462ED">
        <w:rPr>
          <w:szCs w:val="24"/>
        </w:rPr>
        <w:t>th the amendment</w:t>
      </w:r>
      <w:r w:rsidRPr="001D0452">
        <w:rPr>
          <w:szCs w:val="24"/>
        </w:rPr>
        <w:t xml:space="preserve"> regulation.</w:t>
      </w:r>
      <w:r w:rsidR="0022424C">
        <w:rPr>
          <w:szCs w:val="24"/>
        </w:rPr>
        <w:t xml:space="preserve"> </w:t>
      </w:r>
      <w:r w:rsidRPr="001D0452">
        <w:rPr>
          <w:szCs w:val="24"/>
        </w:rPr>
        <w:t xml:space="preserve"> It is not, and is not meant to be, a comprehen</w:t>
      </w:r>
      <w:r w:rsidR="004462ED">
        <w:rPr>
          <w:szCs w:val="24"/>
        </w:rPr>
        <w:t>sive description of the amendment</w:t>
      </w:r>
      <w:r w:rsidRPr="001D0452">
        <w:rPr>
          <w:szCs w:val="24"/>
        </w:rPr>
        <w:t xml:space="preserve"> regulation. </w:t>
      </w:r>
      <w:r w:rsidR="0022424C">
        <w:rPr>
          <w:szCs w:val="24"/>
        </w:rPr>
        <w:t xml:space="preserve"> </w:t>
      </w:r>
      <w:r w:rsidRPr="001D0452">
        <w:rPr>
          <w:szCs w:val="24"/>
        </w:rPr>
        <w:t>What is said about a provision is not taken as an authoritative guide to the meaning of a provision, this being a task for the courts.</w:t>
      </w:r>
    </w:p>
    <w:p w:rsidR="001D0452" w:rsidRPr="00801426" w:rsidRDefault="001D0452" w:rsidP="0022424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801426">
        <w:rPr>
          <w:rFonts w:ascii="Arial" w:hAnsi="Arial" w:cs="Arial"/>
          <w:b/>
          <w:bCs/>
          <w:color w:val="000000"/>
          <w:szCs w:val="24"/>
        </w:rPr>
        <w:t>Background</w:t>
      </w:r>
    </w:p>
    <w:p w:rsidR="001D0452" w:rsidRPr="001D0452" w:rsidRDefault="001D0452" w:rsidP="001D0452">
      <w:pPr>
        <w:spacing w:after="240"/>
        <w:rPr>
          <w:szCs w:val="24"/>
        </w:rPr>
      </w:pPr>
      <w:r w:rsidRPr="001D0452">
        <w:rPr>
          <w:szCs w:val="24"/>
        </w:rPr>
        <w:t xml:space="preserve">Variation to the Territory Plan No 352 (V352) makes changes to various development tables, codes and definitions in the Territory Plan. </w:t>
      </w:r>
      <w:r w:rsidR="0022424C">
        <w:rPr>
          <w:szCs w:val="24"/>
        </w:rPr>
        <w:t xml:space="preserve"> </w:t>
      </w:r>
      <w:r w:rsidR="00A24F87">
        <w:rPr>
          <w:szCs w:val="24"/>
        </w:rPr>
        <w:t>V352</w:t>
      </w:r>
      <w:r w:rsidRPr="001D0452">
        <w:rPr>
          <w:szCs w:val="24"/>
        </w:rPr>
        <w:t xml:space="preserve"> was undertaken as part of continued monitoring and </w:t>
      </w:r>
      <w:r w:rsidR="00722110">
        <w:rPr>
          <w:szCs w:val="24"/>
        </w:rPr>
        <w:t>updating of the Territory Plan.</w:t>
      </w:r>
    </w:p>
    <w:p w:rsidR="001D0452" w:rsidRPr="001D0452" w:rsidRDefault="00A14C29" w:rsidP="001D0452">
      <w:pPr>
        <w:spacing w:after="240"/>
        <w:rPr>
          <w:szCs w:val="24"/>
        </w:rPr>
      </w:pPr>
      <w:r>
        <w:rPr>
          <w:szCs w:val="24"/>
        </w:rPr>
        <w:t>V352 refined t</w:t>
      </w:r>
      <w:r w:rsidR="001D0452" w:rsidRPr="001D0452">
        <w:rPr>
          <w:szCs w:val="24"/>
        </w:rPr>
        <w:t>he definition of ‘buil</w:t>
      </w:r>
      <w:r>
        <w:rPr>
          <w:szCs w:val="24"/>
        </w:rPr>
        <w:t xml:space="preserve">ding line’ </w:t>
      </w:r>
      <w:r w:rsidR="001D0452" w:rsidRPr="001D0452">
        <w:rPr>
          <w:szCs w:val="24"/>
        </w:rPr>
        <w:t xml:space="preserve">to clarify that courtyard walls, fences, and retaining walls, although </w:t>
      </w:r>
      <w:r w:rsidR="00A24F87">
        <w:rPr>
          <w:szCs w:val="24"/>
        </w:rPr>
        <w:t xml:space="preserve">they may be </w:t>
      </w:r>
      <w:r w:rsidR="001D0452" w:rsidRPr="001D0452">
        <w:rPr>
          <w:szCs w:val="24"/>
        </w:rPr>
        <w:t>attached to the building, ar</w:t>
      </w:r>
      <w:r w:rsidR="00A24F87">
        <w:rPr>
          <w:szCs w:val="24"/>
        </w:rPr>
        <w:t xml:space="preserve">e not deemed to be part of the </w:t>
      </w:r>
      <w:r w:rsidR="001D0452" w:rsidRPr="001D0452">
        <w:rPr>
          <w:szCs w:val="24"/>
        </w:rPr>
        <w:t>building and therefore do not est</w:t>
      </w:r>
      <w:r>
        <w:rPr>
          <w:szCs w:val="24"/>
        </w:rPr>
        <w:t>ablish the building line for an</w:t>
      </w:r>
      <w:r w:rsidR="001D0452" w:rsidRPr="001D0452">
        <w:rPr>
          <w:szCs w:val="24"/>
        </w:rPr>
        <w:t xml:space="preserve"> anticipated development.</w:t>
      </w:r>
    </w:p>
    <w:p w:rsidR="001D0452" w:rsidRPr="001D0452" w:rsidRDefault="001D0452" w:rsidP="001D0452">
      <w:pPr>
        <w:spacing w:after="240"/>
        <w:rPr>
          <w:szCs w:val="24"/>
        </w:rPr>
      </w:pPr>
      <w:r w:rsidRPr="001D0452">
        <w:rPr>
          <w:szCs w:val="24"/>
        </w:rPr>
        <w:t xml:space="preserve">The Territory Plan and the </w:t>
      </w:r>
      <w:r w:rsidRPr="001D0452">
        <w:rPr>
          <w:i/>
          <w:szCs w:val="24"/>
        </w:rPr>
        <w:t>Planning and Development Regulation 2008</w:t>
      </w:r>
      <w:r w:rsidR="00080B14">
        <w:rPr>
          <w:szCs w:val="24"/>
        </w:rPr>
        <w:t xml:space="preserve"> (the r</w:t>
      </w:r>
      <w:r w:rsidRPr="001D0452">
        <w:rPr>
          <w:szCs w:val="24"/>
        </w:rPr>
        <w:t>egulation) use the term ‘behind the building line’ as a condition within provisions in various develop</w:t>
      </w:r>
      <w:r w:rsidR="00080B14">
        <w:rPr>
          <w:szCs w:val="24"/>
        </w:rPr>
        <w:t>ment codes and sections of the r</w:t>
      </w:r>
      <w:r w:rsidR="00A14C29">
        <w:rPr>
          <w:szCs w:val="24"/>
        </w:rPr>
        <w:t>egulation</w:t>
      </w:r>
      <w:r w:rsidRPr="001D0452">
        <w:rPr>
          <w:szCs w:val="24"/>
        </w:rPr>
        <w:t xml:space="preserve">. </w:t>
      </w:r>
      <w:r w:rsidR="00080B14">
        <w:rPr>
          <w:szCs w:val="24"/>
        </w:rPr>
        <w:t xml:space="preserve"> The regulation provides</w:t>
      </w:r>
      <w:r w:rsidRPr="001D0452">
        <w:rPr>
          <w:szCs w:val="24"/>
        </w:rPr>
        <w:t xml:space="preserve"> that the definition of ‘building line’ is the Territory Plan definition. </w:t>
      </w:r>
    </w:p>
    <w:p w:rsidR="001D0452" w:rsidRPr="001D0452" w:rsidRDefault="001D0452" w:rsidP="001D0452">
      <w:pPr>
        <w:spacing w:after="240"/>
        <w:rPr>
          <w:szCs w:val="24"/>
        </w:rPr>
      </w:pPr>
      <w:r w:rsidRPr="001D0452">
        <w:rPr>
          <w:szCs w:val="24"/>
        </w:rPr>
        <w:t>Prior to the mak</w:t>
      </w:r>
      <w:r w:rsidR="00A24F87">
        <w:rPr>
          <w:szCs w:val="24"/>
        </w:rPr>
        <w:t>ing of V</w:t>
      </w:r>
      <w:r w:rsidRPr="001D0452">
        <w:rPr>
          <w:szCs w:val="24"/>
        </w:rPr>
        <w:t>352, sw</w:t>
      </w:r>
      <w:r w:rsidR="00A14C29">
        <w:rPr>
          <w:szCs w:val="24"/>
        </w:rPr>
        <w:t>imming pools in front yards had long</w:t>
      </w:r>
      <w:r w:rsidRPr="001D0452">
        <w:rPr>
          <w:szCs w:val="24"/>
        </w:rPr>
        <w:t xml:space="preserve"> been considered to be exempt from requiring development approval if </w:t>
      </w:r>
      <w:r w:rsidR="00A14C29">
        <w:rPr>
          <w:szCs w:val="24"/>
        </w:rPr>
        <w:t>they we</w:t>
      </w:r>
      <w:r w:rsidR="00A24F87">
        <w:rPr>
          <w:szCs w:val="24"/>
        </w:rPr>
        <w:t xml:space="preserve">re located </w:t>
      </w:r>
      <w:r w:rsidRPr="001D0452">
        <w:rPr>
          <w:szCs w:val="24"/>
        </w:rPr>
        <w:t>behind a courtyard wall</w:t>
      </w:r>
      <w:r w:rsidR="00A24F87">
        <w:rPr>
          <w:szCs w:val="24"/>
        </w:rPr>
        <w:t>,</w:t>
      </w:r>
      <w:r w:rsidRPr="001D0452">
        <w:rPr>
          <w:szCs w:val="24"/>
        </w:rPr>
        <w:t xml:space="preserve"> on the basis that the courtyard wall forms part of the </w:t>
      </w:r>
      <w:r w:rsidR="00A14C29">
        <w:rPr>
          <w:szCs w:val="24"/>
        </w:rPr>
        <w:t>main building</w:t>
      </w:r>
      <w:r w:rsidRPr="001D0452">
        <w:rPr>
          <w:szCs w:val="24"/>
        </w:rPr>
        <w:t xml:space="preserve">.  Building approval </w:t>
      </w:r>
      <w:r w:rsidR="00A24F87">
        <w:rPr>
          <w:szCs w:val="24"/>
        </w:rPr>
        <w:t>for a swimming pool is, however,</w:t>
      </w:r>
      <w:r w:rsidRPr="001D0452">
        <w:rPr>
          <w:szCs w:val="24"/>
        </w:rPr>
        <w:t xml:space="preserve"> required under the </w:t>
      </w:r>
      <w:r w:rsidRPr="001D0452">
        <w:rPr>
          <w:i/>
          <w:szCs w:val="24"/>
        </w:rPr>
        <w:t>Building Act 2004</w:t>
      </w:r>
      <w:r w:rsidRPr="001D0452">
        <w:rPr>
          <w:szCs w:val="24"/>
        </w:rPr>
        <w:t xml:space="preserve"> in terms of public safety and i</w:t>
      </w:r>
      <w:r w:rsidR="00A14C29">
        <w:rPr>
          <w:szCs w:val="24"/>
        </w:rPr>
        <w:t>ntegrity of construction work.</w:t>
      </w:r>
    </w:p>
    <w:p w:rsidR="001D0452" w:rsidRPr="00801426" w:rsidRDefault="001D0452" w:rsidP="001D0452">
      <w:pPr>
        <w:spacing w:after="120"/>
        <w:rPr>
          <w:rFonts w:ascii="Arial" w:hAnsi="Arial" w:cs="Arial"/>
          <w:b/>
          <w:szCs w:val="24"/>
        </w:rPr>
      </w:pPr>
      <w:r w:rsidRPr="00801426">
        <w:rPr>
          <w:rFonts w:ascii="Arial" w:hAnsi="Arial" w:cs="Arial"/>
          <w:b/>
          <w:szCs w:val="24"/>
        </w:rPr>
        <w:lastRenderedPageBreak/>
        <w:t>Overview</w:t>
      </w:r>
    </w:p>
    <w:p w:rsidR="001D0452" w:rsidRPr="001D0452" w:rsidRDefault="001D0452" w:rsidP="001D0452">
      <w:pPr>
        <w:spacing w:after="240"/>
        <w:rPr>
          <w:szCs w:val="24"/>
        </w:rPr>
      </w:pPr>
      <w:r w:rsidRPr="001D0452">
        <w:rPr>
          <w:szCs w:val="24"/>
        </w:rPr>
        <w:t>The clarification of the definition of ‘building line’ in V352 has raised concerns regarding the development approval status of the construction of swimming pools in front yards behind</w:t>
      </w:r>
      <w:r w:rsidR="00A24F87">
        <w:rPr>
          <w:szCs w:val="24"/>
        </w:rPr>
        <w:t xml:space="preserve"> courtyard walls.  V352 may</w:t>
      </w:r>
      <w:r w:rsidRPr="001D0452">
        <w:rPr>
          <w:szCs w:val="24"/>
        </w:rPr>
        <w:t xml:space="preserve"> result in </w:t>
      </w:r>
      <w:r w:rsidR="00A24F87">
        <w:rPr>
          <w:szCs w:val="24"/>
        </w:rPr>
        <w:t xml:space="preserve">the unintended consequence that </w:t>
      </w:r>
      <w:r w:rsidRPr="001D0452">
        <w:rPr>
          <w:szCs w:val="24"/>
        </w:rPr>
        <w:t>pools which</w:t>
      </w:r>
      <w:r w:rsidR="00A24F87">
        <w:rPr>
          <w:szCs w:val="24"/>
        </w:rPr>
        <w:t xml:space="preserve"> are constructed in front of a building line</w:t>
      </w:r>
      <w:r w:rsidR="00A14C29">
        <w:rPr>
          <w:szCs w:val="24"/>
        </w:rPr>
        <w:t xml:space="preserve"> but behind a courtyard wall may</w:t>
      </w:r>
      <w:r w:rsidR="00A24F87">
        <w:rPr>
          <w:szCs w:val="24"/>
        </w:rPr>
        <w:t xml:space="preserve"> require</w:t>
      </w:r>
      <w:r w:rsidRPr="001D0452">
        <w:rPr>
          <w:szCs w:val="24"/>
        </w:rPr>
        <w:t xml:space="preserve"> development approval as they will be treated as being forward of the buildi</w:t>
      </w:r>
      <w:r w:rsidR="00A24F87">
        <w:rPr>
          <w:szCs w:val="24"/>
        </w:rPr>
        <w:t>ng line.</w:t>
      </w:r>
    </w:p>
    <w:p w:rsidR="001D0452" w:rsidRPr="001D0452" w:rsidRDefault="001D0452" w:rsidP="001D0452">
      <w:pPr>
        <w:spacing w:after="240"/>
        <w:rPr>
          <w:szCs w:val="24"/>
        </w:rPr>
      </w:pPr>
      <w:r w:rsidRPr="001D0452">
        <w:rPr>
          <w:szCs w:val="24"/>
        </w:rPr>
        <w:t xml:space="preserve">The </w:t>
      </w:r>
      <w:r w:rsidR="00A24F87">
        <w:rPr>
          <w:szCs w:val="24"/>
        </w:rPr>
        <w:t xml:space="preserve">intention of the amendment regulation </w:t>
      </w:r>
      <w:r w:rsidRPr="001D0452">
        <w:rPr>
          <w:szCs w:val="24"/>
        </w:rPr>
        <w:t xml:space="preserve">is to </w:t>
      </w:r>
      <w:r w:rsidR="00A24F87">
        <w:rPr>
          <w:szCs w:val="24"/>
        </w:rPr>
        <w:t xml:space="preserve">clarify </w:t>
      </w:r>
      <w:r w:rsidR="00A14C29">
        <w:rPr>
          <w:szCs w:val="24"/>
        </w:rPr>
        <w:t xml:space="preserve">the longstanding approach </w:t>
      </w:r>
      <w:r w:rsidR="00A24F87">
        <w:rPr>
          <w:szCs w:val="24"/>
        </w:rPr>
        <w:t xml:space="preserve">that </w:t>
      </w:r>
      <w:r w:rsidRPr="001D0452">
        <w:rPr>
          <w:szCs w:val="24"/>
        </w:rPr>
        <w:t>front y</w:t>
      </w:r>
      <w:r w:rsidR="00A24F87">
        <w:rPr>
          <w:szCs w:val="24"/>
        </w:rPr>
        <w:t>ard swimming pools behind court</w:t>
      </w:r>
      <w:r w:rsidRPr="001D0452">
        <w:rPr>
          <w:szCs w:val="24"/>
        </w:rPr>
        <w:t>yard walls remain exempt from development approval.  Th</w:t>
      </w:r>
      <w:r w:rsidR="00A14C29">
        <w:rPr>
          <w:szCs w:val="24"/>
        </w:rPr>
        <w:t xml:space="preserve">e amendment regulation </w:t>
      </w:r>
      <w:r w:rsidRPr="001D0452">
        <w:rPr>
          <w:szCs w:val="24"/>
        </w:rPr>
        <w:t xml:space="preserve">does not affect whether the pool requires a building approval under the </w:t>
      </w:r>
      <w:r w:rsidRPr="00722110">
        <w:rPr>
          <w:szCs w:val="24"/>
        </w:rPr>
        <w:t>Building Act</w:t>
      </w:r>
      <w:r w:rsidR="00150101">
        <w:rPr>
          <w:szCs w:val="24"/>
        </w:rPr>
        <w:t>.</w:t>
      </w:r>
    </w:p>
    <w:p w:rsidR="001D0452" w:rsidRPr="001D0452" w:rsidRDefault="00A14C29" w:rsidP="001D0452">
      <w:pPr>
        <w:spacing w:after="240"/>
        <w:rPr>
          <w:szCs w:val="24"/>
        </w:rPr>
      </w:pPr>
      <w:r>
        <w:rPr>
          <w:szCs w:val="24"/>
        </w:rPr>
        <w:t>The</w:t>
      </w:r>
      <w:r w:rsidR="001D0452" w:rsidRPr="001D0452">
        <w:rPr>
          <w:szCs w:val="24"/>
        </w:rPr>
        <w:t xml:space="preserve"> aim </w:t>
      </w:r>
      <w:r>
        <w:rPr>
          <w:szCs w:val="24"/>
        </w:rPr>
        <w:t xml:space="preserve">of the amendment regulation </w:t>
      </w:r>
      <w:r w:rsidR="001D0452" w:rsidRPr="001D0452">
        <w:rPr>
          <w:szCs w:val="24"/>
        </w:rPr>
        <w:t xml:space="preserve">is consistent with the broader objective of ensuring that there is no unwarranted imposition of red tape in </w:t>
      </w:r>
      <w:r>
        <w:rPr>
          <w:szCs w:val="24"/>
        </w:rPr>
        <w:t xml:space="preserve">development approvals </w:t>
      </w:r>
      <w:r w:rsidR="001D0452" w:rsidRPr="001D0452">
        <w:rPr>
          <w:szCs w:val="24"/>
        </w:rPr>
        <w:t>and in particular no unwar</w:t>
      </w:r>
      <w:r>
        <w:rPr>
          <w:szCs w:val="24"/>
        </w:rPr>
        <w:t>ranted regulatory burden on home</w:t>
      </w:r>
      <w:r w:rsidR="001D0452" w:rsidRPr="001D0452">
        <w:rPr>
          <w:szCs w:val="24"/>
        </w:rPr>
        <w:t xml:space="preserve"> owners who may wish to install a swim</w:t>
      </w:r>
      <w:r>
        <w:rPr>
          <w:szCs w:val="24"/>
        </w:rPr>
        <w:t>ming pool in their front yard.</w:t>
      </w:r>
    </w:p>
    <w:p w:rsidR="001D0452" w:rsidRPr="00801426" w:rsidRDefault="00E7463A" w:rsidP="001D0452">
      <w:pPr>
        <w:spacing w:after="12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Amendment r</w:t>
      </w:r>
      <w:r w:rsidR="001D0452" w:rsidRPr="00801426">
        <w:rPr>
          <w:rFonts w:ascii="Arial" w:hAnsi="Arial" w:cs="Arial"/>
          <w:b/>
          <w:szCs w:val="24"/>
        </w:rPr>
        <w:t>egulation</w:t>
      </w:r>
    </w:p>
    <w:p w:rsidR="001D0452" w:rsidRPr="001D0452" w:rsidRDefault="001D0452" w:rsidP="001D0452">
      <w:pPr>
        <w:autoSpaceDE w:val="0"/>
        <w:autoSpaceDN w:val="0"/>
        <w:adjustRightInd w:val="0"/>
        <w:spacing w:after="240"/>
        <w:rPr>
          <w:szCs w:val="24"/>
        </w:rPr>
      </w:pPr>
      <w:r>
        <w:rPr>
          <w:szCs w:val="24"/>
        </w:rPr>
        <w:t>Schedule 1 of the r</w:t>
      </w:r>
      <w:r w:rsidRPr="001D0452">
        <w:rPr>
          <w:szCs w:val="24"/>
        </w:rPr>
        <w:t xml:space="preserve">egulation provides for types of development that are exempt from requiring development approval under the </w:t>
      </w:r>
      <w:r w:rsidR="00150101" w:rsidRPr="00150101">
        <w:rPr>
          <w:i/>
          <w:szCs w:val="24"/>
        </w:rPr>
        <w:t xml:space="preserve">Planning and Development </w:t>
      </w:r>
      <w:r w:rsidRPr="00150101">
        <w:rPr>
          <w:i/>
          <w:szCs w:val="24"/>
        </w:rPr>
        <w:t>Act</w:t>
      </w:r>
      <w:r w:rsidR="00150101" w:rsidRPr="00150101">
        <w:rPr>
          <w:i/>
          <w:szCs w:val="24"/>
        </w:rPr>
        <w:t xml:space="preserve"> 2007</w:t>
      </w:r>
      <w:r w:rsidRPr="001D0452">
        <w:rPr>
          <w:szCs w:val="24"/>
        </w:rPr>
        <w:t xml:space="preserve">. </w:t>
      </w:r>
      <w:r w:rsidR="0022424C">
        <w:rPr>
          <w:szCs w:val="24"/>
        </w:rPr>
        <w:t xml:space="preserve"> </w:t>
      </w:r>
      <w:r w:rsidRPr="001D0452">
        <w:rPr>
          <w:szCs w:val="24"/>
        </w:rPr>
        <w:t xml:space="preserve">Section 1.54 </w:t>
      </w:r>
      <w:r>
        <w:rPr>
          <w:szCs w:val="24"/>
        </w:rPr>
        <w:t>of s</w:t>
      </w:r>
      <w:r w:rsidRPr="001D0452">
        <w:rPr>
          <w:szCs w:val="24"/>
        </w:rPr>
        <w:t xml:space="preserve">chedule 1 </w:t>
      </w:r>
      <w:r w:rsidR="00150101">
        <w:rPr>
          <w:szCs w:val="24"/>
        </w:rPr>
        <w:t xml:space="preserve">currently exempts </w:t>
      </w:r>
      <w:r w:rsidRPr="001D0452">
        <w:rPr>
          <w:szCs w:val="24"/>
        </w:rPr>
        <w:t xml:space="preserve">swimming pools </w:t>
      </w:r>
      <w:r w:rsidR="00150101">
        <w:rPr>
          <w:szCs w:val="24"/>
        </w:rPr>
        <w:t xml:space="preserve">from requiring development approval </w:t>
      </w:r>
      <w:r w:rsidR="005C67FD">
        <w:rPr>
          <w:szCs w:val="24"/>
        </w:rPr>
        <w:t>where the following criteria are met</w:t>
      </w:r>
      <w:r w:rsidRPr="001D0452">
        <w:rPr>
          <w:szCs w:val="24"/>
        </w:rPr>
        <w:t>:</w:t>
      </w:r>
    </w:p>
    <w:p w:rsidR="001D0452" w:rsidRPr="00080B14" w:rsidRDefault="004462ED" w:rsidP="004462ED">
      <w:pPr>
        <w:autoSpaceDE w:val="0"/>
        <w:autoSpaceDN w:val="0"/>
        <w:adjustRightInd w:val="0"/>
        <w:ind w:left="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1.54</w:t>
      </w:r>
      <w:r>
        <w:rPr>
          <w:rFonts w:ascii="Arial" w:hAnsi="Arial" w:cs="Arial"/>
          <w:b/>
          <w:sz w:val="22"/>
          <w:szCs w:val="22"/>
        </w:rPr>
        <w:tab/>
      </w:r>
      <w:r w:rsidR="001D0452" w:rsidRPr="00080B14">
        <w:rPr>
          <w:rFonts w:ascii="Arial" w:hAnsi="Arial" w:cs="Arial"/>
          <w:b/>
          <w:sz w:val="22"/>
          <w:szCs w:val="22"/>
        </w:rPr>
        <w:t>Swimming pools</w:t>
      </w:r>
    </w:p>
    <w:p w:rsidR="001D0452" w:rsidRPr="009E55EA" w:rsidRDefault="001D0452" w:rsidP="004462ED">
      <w:pPr>
        <w:autoSpaceDE w:val="0"/>
        <w:autoSpaceDN w:val="0"/>
        <w:adjustRightInd w:val="0"/>
        <w:ind w:left="1077" w:hanging="357"/>
        <w:rPr>
          <w:sz w:val="22"/>
          <w:szCs w:val="22"/>
        </w:rPr>
      </w:pPr>
      <w:r w:rsidRPr="009E55EA">
        <w:rPr>
          <w:sz w:val="22"/>
          <w:szCs w:val="22"/>
        </w:rPr>
        <w:t>(1)</w:t>
      </w:r>
      <w:r w:rsidRPr="009E55EA">
        <w:rPr>
          <w:sz w:val="22"/>
          <w:szCs w:val="22"/>
        </w:rPr>
        <w:tab/>
        <w:t>A designated development for a swimming pool on a block if—</w:t>
      </w:r>
    </w:p>
    <w:p w:rsidR="001D0452" w:rsidRPr="009E55EA" w:rsidRDefault="001D0452" w:rsidP="00080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34" w:hanging="357"/>
        <w:rPr>
          <w:rFonts w:ascii="Times New Roman" w:hAnsi="Times New Roman"/>
        </w:rPr>
      </w:pPr>
      <w:r w:rsidRPr="009E55EA">
        <w:rPr>
          <w:rFonts w:ascii="Times New Roman" w:hAnsi="Times New Roman"/>
        </w:rPr>
        <w:t>no part of the pool, or an associated structure is—</w:t>
      </w:r>
    </w:p>
    <w:p w:rsidR="001D0452" w:rsidRPr="005C67FD" w:rsidRDefault="001D0452" w:rsidP="005C67FD">
      <w:pPr>
        <w:pStyle w:val="ListParagraph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40"/>
        <w:ind w:left="1797" w:hanging="357"/>
        <w:rPr>
          <w:rFonts w:ascii="Times New Roman" w:hAnsi="Times New Roman"/>
        </w:rPr>
      </w:pPr>
      <w:r w:rsidRPr="009E55EA">
        <w:rPr>
          <w:rFonts w:ascii="Times New Roman" w:hAnsi="Times New Roman"/>
        </w:rPr>
        <w:t>between a front boundary and a</w:t>
      </w:r>
      <w:r w:rsidR="005C67FD">
        <w:rPr>
          <w:rFonts w:ascii="Times New Roman" w:hAnsi="Times New Roman"/>
        </w:rPr>
        <w:t xml:space="preserve"> building line for the block; …</w:t>
      </w:r>
    </w:p>
    <w:p w:rsidR="001D0452" w:rsidRDefault="001D0452" w:rsidP="00D27650">
      <w:pPr>
        <w:autoSpaceDE w:val="0"/>
        <w:autoSpaceDN w:val="0"/>
        <w:adjustRightInd w:val="0"/>
        <w:spacing w:after="240"/>
        <w:rPr>
          <w:szCs w:val="24"/>
        </w:rPr>
      </w:pPr>
      <w:r w:rsidRPr="001D0452">
        <w:rPr>
          <w:szCs w:val="24"/>
        </w:rPr>
        <w:t xml:space="preserve">Clause 4 of the </w:t>
      </w:r>
      <w:r w:rsidR="00080B14">
        <w:rPr>
          <w:szCs w:val="24"/>
        </w:rPr>
        <w:t>amend</w:t>
      </w:r>
      <w:r w:rsidR="00E7463A">
        <w:rPr>
          <w:szCs w:val="24"/>
        </w:rPr>
        <w:t>ment</w:t>
      </w:r>
      <w:r w:rsidR="00080B14">
        <w:rPr>
          <w:szCs w:val="24"/>
        </w:rPr>
        <w:t xml:space="preserve"> </w:t>
      </w:r>
      <w:r w:rsidR="005C67FD">
        <w:rPr>
          <w:szCs w:val="24"/>
        </w:rPr>
        <w:t>regulation substitute</w:t>
      </w:r>
      <w:r w:rsidRPr="001D0452">
        <w:rPr>
          <w:szCs w:val="24"/>
        </w:rPr>
        <w:t>s section 1.54</w:t>
      </w:r>
      <w:r w:rsidR="00150101">
        <w:rPr>
          <w:szCs w:val="24"/>
        </w:rPr>
        <w:t xml:space="preserve"> (1</w:t>
      </w:r>
      <w:r>
        <w:rPr>
          <w:szCs w:val="24"/>
        </w:rPr>
        <w:t xml:space="preserve">) </w:t>
      </w:r>
      <w:r w:rsidR="00150101">
        <w:rPr>
          <w:szCs w:val="24"/>
        </w:rPr>
        <w:t xml:space="preserve">(a) </w:t>
      </w:r>
      <w:r w:rsidR="005C67FD">
        <w:rPr>
          <w:szCs w:val="24"/>
        </w:rPr>
        <w:t xml:space="preserve">(i) </w:t>
      </w:r>
      <w:r>
        <w:rPr>
          <w:szCs w:val="24"/>
        </w:rPr>
        <w:t>of s</w:t>
      </w:r>
      <w:r w:rsidRPr="001D0452">
        <w:rPr>
          <w:szCs w:val="24"/>
        </w:rPr>
        <w:t xml:space="preserve">chedule 1 </w:t>
      </w:r>
      <w:r w:rsidR="00150101">
        <w:rPr>
          <w:szCs w:val="24"/>
        </w:rPr>
        <w:t xml:space="preserve">of the regulation </w:t>
      </w:r>
      <w:r w:rsidRPr="001D0452">
        <w:rPr>
          <w:szCs w:val="24"/>
        </w:rPr>
        <w:t>to permit courtyard walls to constitute a building line for thi</w:t>
      </w:r>
      <w:r w:rsidR="00150101">
        <w:rPr>
          <w:szCs w:val="24"/>
        </w:rPr>
        <w:t>s section only, thereby clarifying that</w:t>
      </w:r>
      <w:r w:rsidRPr="001D0452">
        <w:rPr>
          <w:szCs w:val="24"/>
        </w:rPr>
        <w:t xml:space="preserve"> swimming po</w:t>
      </w:r>
      <w:r w:rsidR="00150101">
        <w:rPr>
          <w:szCs w:val="24"/>
        </w:rPr>
        <w:t>ols behind courtyard walls are</w:t>
      </w:r>
      <w:r w:rsidRPr="001D0452">
        <w:rPr>
          <w:szCs w:val="24"/>
        </w:rPr>
        <w:t xml:space="preserve"> exempt from the requirement </w:t>
      </w:r>
      <w:r w:rsidR="00D27650">
        <w:rPr>
          <w:szCs w:val="24"/>
        </w:rPr>
        <w:t>to obtain development approval.</w:t>
      </w:r>
    </w:p>
    <w:p w:rsidR="00150101" w:rsidRDefault="00150101" w:rsidP="00D27650">
      <w:pPr>
        <w:autoSpaceDE w:val="0"/>
        <w:autoSpaceDN w:val="0"/>
        <w:adjustRightInd w:val="0"/>
        <w:spacing w:after="240"/>
        <w:rPr>
          <w:szCs w:val="24"/>
        </w:rPr>
      </w:pPr>
      <w:r w:rsidRPr="00150101">
        <w:rPr>
          <w:szCs w:val="24"/>
        </w:rPr>
        <w:t>The amendment regulation does not create a new category of exempt</w:t>
      </w:r>
      <w:r>
        <w:rPr>
          <w:szCs w:val="24"/>
        </w:rPr>
        <w:t xml:space="preserve"> development, rather it clarifies</w:t>
      </w:r>
      <w:r w:rsidRPr="00150101">
        <w:rPr>
          <w:szCs w:val="24"/>
        </w:rPr>
        <w:t xml:space="preserve"> the qualifying criteria to retain existing development rights.</w:t>
      </w:r>
    </w:p>
    <w:p w:rsidR="00150101" w:rsidRPr="001D0452" w:rsidRDefault="00150101" w:rsidP="00150101">
      <w:pPr>
        <w:keepNext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The benefits of the amendment </w:t>
      </w:r>
      <w:r w:rsidRPr="001D0452">
        <w:rPr>
          <w:bCs/>
          <w:color w:val="000000"/>
          <w:szCs w:val="24"/>
        </w:rPr>
        <w:t>regulation include:</w:t>
      </w:r>
    </w:p>
    <w:p w:rsidR="00150101" w:rsidRPr="001D0452" w:rsidRDefault="00150101" w:rsidP="00150101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0452">
        <w:rPr>
          <w:rFonts w:ascii="Times New Roman" w:hAnsi="Times New Roman"/>
          <w:bCs/>
          <w:color w:val="000000"/>
          <w:sz w:val="24"/>
          <w:szCs w:val="24"/>
        </w:rPr>
        <w:t>no unnecessary regulatory burden on members of the public who wish to install a swimming pool in their front yards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50101" w:rsidRPr="001D0452" w:rsidRDefault="00150101" w:rsidP="00150101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1D0452">
        <w:rPr>
          <w:rFonts w:ascii="Times New Roman" w:hAnsi="Times New Roman"/>
          <w:bCs/>
          <w:color w:val="000000"/>
          <w:sz w:val="24"/>
          <w:szCs w:val="24"/>
        </w:rPr>
        <w:t>no unnecessary increase in resource demands for the assessment of swimm</w:t>
      </w:r>
      <w:r>
        <w:rPr>
          <w:rFonts w:ascii="Times New Roman" w:hAnsi="Times New Roman"/>
          <w:bCs/>
          <w:color w:val="000000"/>
          <w:sz w:val="24"/>
          <w:szCs w:val="24"/>
        </w:rPr>
        <w:t>ing pools</w:t>
      </w:r>
      <w:r w:rsidR="0034003E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which are currently development application exempt;</w:t>
      </w:r>
      <w:r w:rsidRPr="001D0452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</w:p>
    <w:p w:rsidR="00150101" w:rsidRPr="001D0452" w:rsidRDefault="00150101" w:rsidP="00150101">
      <w:pPr>
        <w:pStyle w:val="ListParagraph"/>
        <w:numPr>
          <w:ilvl w:val="0"/>
          <w:numId w:val="14"/>
        </w:numPr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1D0452">
        <w:rPr>
          <w:rFonts w:ascii="Times New Roman" w:hAnsi="Times New Roman"/>
          <w:bCs/>
          <w:color w:val="000000"/>
          <w:sz w:val="24"/>
          <w:szCs w:val="24"/>
        </w:rPr>
        <w:t>continuation of current accepted industry practice for assessment and building approval certification of swimming pools behind courtyard walls.</w:t>
      </w:r>
    </w:p>
    <w:p w:rsidR="001D0452" w:rsidRPr="00801426" w:rsidRDefault="00A14C29" w:rsidP="00A14C29">
      <w:pPr>
        <w:keepNext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Human rights</w:t>
      </w:r>
    </w:p>
    <w:p w:rsidR="001D0452" w:rsidRPr="001D0452" w:rsidRDefault="001D0452" w:rsidP="001D0452">
      <w:pPr>
        <w:spacing w:after="240"/>
        <w:rPr>
          <w:bCs/>
          <w:color w:val="000000"/>
          <w:szCs w:val="24"/>
        </w:rPr>
      </w:pPr>
      <w:r w:rsidRPr="001D0452">
        <w:rPr>
          <w:szCs w:val="24"/>
        </w:rPr>
        <w:t xml:space="preserve">The </w:t>
      </w:r>
      <w:r w:rsidRPr="001D0452">
        <w:rPr>
          <w:bCs/>
          <w:color w:val="000000"/>
          <w:szCs w:val="24"/>
        </w:rPr>
        <w:t xml:space="preserve">amendment regulation </w:t>
      </w:r>
      <w:r w:rsidR="00A14C29">
        <w:rPr>
          <w:bCs/>
          <w:color w:val="000000"/>
          <w:szCs w:val="24"/>
        </w:rPr>
        <w:t>does not engage human rights and is merely intended to continue current practice regarding approval of swimming pools behind courtyard walls.</w:t>
      </w:r>
      <w:r w:rsidRPr="001D0452">
        <w:rPr>
          <w:bCs/>
          <w:color w:val="000000"/>
          <w:szCs w:val="24"/>
        </w:rPr>
        <w:t xml:space="preserve"> </w:t>
      </w:r>
    </w:p>
    <w:p w:rsidR="001D0452" w:rsidRPr="001D0452" w:rsidRDefault="00A94DA8" w:rsidP="0063546E">
      <w:pPr>
        <w:keepNext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Outline of p</w:t>
      </w:r>
      <w:r w:rsidR="001D0452" w:rsidRPr="001D0452">
        <w:rPr>
          <w:rFonts w:ascii="Arial" w:hAnsi="Arial" w:cs="Arial"/>
          <w:b/>
          <w:color w:val="000000"/>
          <w:szCs w:val="24"/>
        </w:rPr>
        <w:t>rovisions</w:t>
      </w:r>
    </w:p>
    <w:p w:rsidR="001D0452" w:rsidRPr="001D0452" w:rsidRDefault="001D0452" w:rsidP="0063546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1D0452">
        <w:rPr>
          <w:rFonts w:ascii="Arial" w:hAnsi="Arial" w:cs="Arial"/>
          <w:b/>
          <w:bCs/>
          <w:color w:val="000000"/>
          <w:szCs w:val="24"/>
        </w:rPr>
        <w:t>Clause 1</w:t>
      </w:r>
      <w:r w:rsidRPr="001D0452">
        <w:rPr>
          <w:rFonts w:ascii="Arial" w:hAnsi="Arial" w:cs="Arial"/>
          <w:b/>
          <w:bCs/>
          <w:color w:val="000000"/>
          <w:szCs w:val="24"/>
        </w:rPr>
        <w:tab/>
        <w:t>Name of regulation</w:t>
      </w:r>
    </w:p>
    <w:p w:rsidR="001D0452" w:rsidRPr="001D0452" w:rsidRDefault="001D0452" w:rsidP="001D0452">
      <w:pPr>
        <w:autoSpaceDE w:val="0"/>
        <w:autoSpaceDN w:val="0"/>
        <w:adjustRightInd w:val="0"/>
        <w:spacing w:after="240"/>
        <w:rPr>
          <w:bCs/>
          <w:color w:val="000000"/>
          <w:szCs w:val="24"/>
        </w:rPr>
      </w:pPr>
      <w:r w:rsidRPr="001D0452">
        <w:rPr>
          <w:bCs/>
          <w:color w:val="000000"/>
          <w:szCs w:val="24"/>
        </w:rPr>
        <w:t xml:space="preserve">This clause </w:t>
      </w:r>
      <w:r w:rsidR="0063546E">
        <w:rPr>
          <w:bCs/>
          <w:color w:val="000000"/>
          <w:szCs w:val="24"/>
        </w:rPr>
        <w:t>provides that the name</w:t>
      </w:r>
      <w:r w:rsidRPr="001D0452">
        <w:rPr>
          <w:bCs/>
          <w:color w:val="000000"/>
          <w:szCs w:val="24"/>
        </w:rPr>
        <w:t xml:space="preserve"> </w:t>
      </w:r>
      <w:r w:rsidR="0063546E">
        <w:rPr>
          <w:bCs/>
          <w:color w:val="000000"/>
          <w:szCs w:val="24"/>
        </w:rPr>
        <w:t xml:space="preserve">of </w:t>
      </w:r>
      <w:r w:rsidRPr="001D0452">
        <w:rPr>
          <w:bCs/>
          <w:color w:val="000000"/>
          <w:szCs w:val="24"/>
        </w:rPr>
        <w:t>the</w:t>
      </w:r>
      <w:r w:rsidR="0063546E">
        <w:rPr>
          <w:bCs/>
          <w:color w:val="000000"/>
          <w:szCs w:val="24"/>
        </w:rPr>
        <w:t xml:space="preserve"> regulation i</w:t>
      </w:r>
      <w:r w:rsidRPr="001D0452">
        <w:rPr>
          <w:bCs/>
          <w:color w:val="000000"/>
          <w:szCs w:val="24"/>
        </w:rPr>
        <w:t xml:space="preserve">s the </w:t>
      </w:r>
      <w:r w:rsidRPr="001D0452">
        <w:rPr>
          <w:bCs/>
          <w:i/>
          <w:color w:val="000000"/>
          <w:szCs w:val="24"/>
        </w:rPr>
        <w:t>Planning a</w:t>
      </w:r>
      <w:r w:rsidR="00722110">
        <w:rPr>
          <w:bCs/>
          <w:i/>
          <w:color w:val="000000"/>
          <w:szCs w:val="24"/>
        </w:rPr>
        <w:t xml:space="preserve">nd Development </w:t>
      </w:r>
      <w:r w:rsidRPr="001D0452">
        <w:rPr>
          <w:bCs/>
          <w:i/>
          <w:color w:val="000000"/>
          <w:szCs w:val="24"/>
        </w:rPr>
        <w:t xml:space="preserve">Amendment Regulation </w:t>
      </w:r>
      <w:r>
        <w:rPr>
          <w:bCs/>
          <w:i/>
          <w:color w:val="000000"/>
          <w:szCs w:val="24"/>
        </w:rPr>
        <w:t>2018</w:t>
      </w:r>
      <w:r w:rsidRPr="001D0452">
        <w:rPr>
          <w:bCs/>
          <w:i/>
          <w:color w:val="000000"/>
          <w:szCs w:val="24"/>
        </w:rPr>
        <w:t xml:space="preserve"> (No 1)</w:t>
      </w:r>
      <w:r w:rsidRPr="001D0452">
        <w:rPr>
          <w:bCs/>
          <w:color w:val="000000"/>
          <w:szCs w:val="24"/>
        </w:rPr>
        <w:t>.</w:t>
      </w:r>
    </w:p>
    <w:p w:rsidR="001D0452" w:rsidRPr="001D0452" w:rsidRDefault="001D0452" w:rsidP="0063546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1D0452">
        <w:rPr>
          <w:rFonts w:ascii="Arial" w:hAnsi="Arial" w:cs="Arial"/>
          <w:b/>
          <w:bCs/>
          <w:color w:val="000000"/>
          <w:szCs w:val="24"/>
        </w:rPr>
        <w:t>Clause 2</w:t>
      </w:r>
      <w:r w:rsidRPr="001D0452">
        <w:rPr>
          <w:rFonts w:ascii="Arial" w:hAnsi="Arial" w:cs="Arial"/>
          <w:b/>
          <w:bCs/>
          <w:color w:val="000000"/>
          <w:szCs w:val="24"/>
        </w:rPr>
        <w:tab/>
        <w:t>Commencement</w:t>
      </w:r>
    </w:p>
    <w:p w:rsidR="001D0452" w:rsidRPr="001D0452" w:rsidRDefault="00722110" w:rsidP="001D0452">
      <w:pPr>
        <w:autoSpaceDE w:val="0"/>
        <w:autoSpaceDN w:val="0"/>
        <w:adjustRightInd w:val="0"/>
        <w:spacing w:after="24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This clause provide</w:t>
      </w:r>
      <w:r w:rsidR="001D0452" w:rsidRPr="001D0452">
        <w:rPr>
          <w:bCs/>
          <w:color w:val="000000"/>
          <w:szCs w:val="24"/>
        </w:rPr>
        <w:t xml:space="preserve">s </w:t>
      </w:r>
      <w:r>
        <w:rPr>
          <w:bCs/>
          <w:color w:val="000000"/>
          <w:szCs w:val="24"/>
        </w:rPr>
        <w:t xml:space="preserve">that </w:t>
      </w:r>
      <w:r w:rsidR="001D0452" w:rsidRPr="001D0452">
        <w:rPr>
          <w:bCs/>
          <w:color w:val="000000"/>
          <w:szCs w:val="24"/>
        </w:rPr>
        <w:t>the regul</w:t>
      </w:r>
      <w:r w:rsidR="00A21318">
        <w:rPr>
          <w:bCs/>
          <w:color w:val="000000"/>
          <w:szCs w:val="24"/>
        </w:rPr>
        <w:t>ation commences on the day after its notification day</w:t>
      </w:r>
      <w:r w:rsidR="001D0452" w:rsidRPr="001D0452">
        <w:rPr>
          <w:bCs/>
          <w:color w:val="000000"/>
          <w:szCs w:val="24"/>
        </w:rPr>
        <w:t>.</w:t>
      </w:r>
    </w:p>
    <w:p w:rsidR="001D0452" w:rsidRPr="001D0452" w:rsidRDefault="001D0452" w:rsidP="001D045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1D0452">
        <w:rPr>
          <w:rFonts w:ascii="Arial" w:hAnsi="Arial" w:cs="Arial"/>
          <w:b/>
          <w:bCs/>
          <w:color w:val="000000"/>
          <w:szCs w:val="24"/>
        </w:rPr>
        <w:t>Clause 3</w:t>
      </w:r>
      <w:r w:rsidRPr="001D0452">
        <w:rPr>
          <w:rFonts w:ascii="Arial" w:hAnsi="Arial" w:cs="Arial"/>
          <w:b/>
          <w:bCs/>
          <w:color w:val="000000"/>
          <w:szCs w:val="24"/>
        </w:rPr>
        <w:tab/>
        <w:t>Legislation amended</w:t>
      </w:r>
    </w:p>
    <w:p w:rsidR="001D0452" w:rsidRPr="001D0452" w:rsidRDefault="0063546E" w:rsidP="001D0452">
      <w:pPr>
        <w:autoSpaceDE w:val="0"/>
        <w:autoSpaceDN w:val="0"/>
        <w:adjustRightInd w:val="0"/>
        <w:spacing w:after="240"/>
        <w:rPr>
          <w:bCs/>
          <w:i/>
          <w:color w:val="000000"/>
          <w:szCs w:val="24"/>
        </w:rPr>
      </w:pPr>
      <w:r>
        <w:rPr>
          <w:bCs/>
          <w:color w:val="000000"/>
          <w:szCs w:val="24"/>
        </w:rPr>
        <w:t>This clause provides that</w:t>
      </w:r>
      <w:r w:rsidR="001D0452" w:rsidRPr="001D0452">
        <w:rPr>
          <w:bCs/>
          <w:color w:val="000000"/>
          <w:szCs w:val="24"/>
        </w:rPr>
        <w:t xml:space="preserve"> the regulation amends the </w:t>
      </w:r>
      <w:r w:rsidR="001D0452" w:rsidRPr="001D0452">
        <w:rPr>
          <w:bCs/>
          <w:i/>
          <w:color w:val="000000"/>
          <w:szCs w:val="24"/>
        </w:rPr>
        <w:t>Planning and Development Regulation 2008</w:t>
      </w:r>
      <w:r w:rsidR="001D0452" w:rsidRPr="001D0452">
        <w:rPr>
          <w:bCs/>
          <w:color w:val="000000"/>
          <w:szCs w:val="24"/>
        </w:rPr>
        <w:t xml:space="preserve">. </w:t>
      </w:r>
    </w:p>
    <w:p w:rsidR="001D0452" w:rsidRPr="001D0452" w:rsidRDefault="001D0452" w:rsidP="001D045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1D0452">
        <w:rPr>
          <w:rFonts w:ascii="Arial" w:hAnsi="Arial" w:cs="Arial"/>
          <w:b/>
          <w:bCs/>
          <w:color w:val="000000"/>
          <w:szCs w:val="24"/>
        </w:rPr>
        <w:t>Clause 4</w:t>
      </w:r>
      <w:r w:rsidRPr="001D0452">
        <w:rPr>
          <w:rFonts w:ascii="Arial" w:hAnsi="Arial" w:cs="Arial"/>
          <w:b/>
          <w:bCs/>
          <w:color w:val="000000"/>
          <w:szCs w:val="24"/>
        </w:rPr>
        <w:tab/>
      </w:r>
      <w:r w:rsidR="00A94DA8">
        <w:rPr>
          <w:rFonts w:ascii="Arial" w:hAnsi="Arial" w:cs="Arial"/>
          <w:b/>
          <w:bCs/>
          <w:szCs w:val="24"/>
          <w:lang w:eastAsia="en-AU"/>
        </w:rPr>
        <w:t>Schedule 1, section 1.54 (1</w:t>
      </w:r>
      <w:r w:rsidRPr="001D0452">
        <w:rPr>
          <w:rFonts w:ascii="Arial" w:hAnsi="Arial" w:cs="Arial"/>
          <w:b/>
          <w:bCs/>
          <w:szCs w:val="24"/>
          <w:lang w:eastAsia="en-AU"/>
        </w:rPr>
        <w:t>)</w:t>
      </w:r>
      <w:r w:rsidR="00A94DA8">
        <w:rPr>
          <w:rFonts w:ascii="Arial" w:hAnsi="Arial" w:cs="Arial"/>
          <w:b/>
          <w:bCs/>
          <w:szCs w:val="24"/>
          <w:lang w:eastAsia="en-AU"/>
        </w:rPr>
        <w:t xml:space="preserve"> (a) (i)</w:t>
      </w:r>
    </w:p>
    <w:p w:rsidR="00A21318" w:rsidRDefault="001D0452" w:rsidP="001D0452">
      <w:pPr>
        <w:autoSpaceDE w:val="0"/>
        <w:autoSpaceDN w:val="0"/>
        <w:adjustRightInd w:val="0"/>
        <w:spacing w:after="240"/>
        <w:rPr>
          <w:bCs/>
          <w:color w:val="000000"/>
          <w:szCs w:val="24"/>
        </w:rPr>
      </w:pPr>
      <w:r w:rsidRPr="001D0452">
        <w:rPr>
          <w:bCs/>
          <w:color w:val="000000"/>
          <w:szCs w:val="24"/>
        </w:rPr>
        <w:t xml:space="preserve">This clause </w:t>
      </w:r>
      <w:r w:rsidR="00A94DA8">
        <w:rPr>
          <w:bCs/>
          <w:color w:val="000000"/>
          <w:szCs w:val="24"/>
        </w:rPr>
        <w:t xml:space="preserve">substitutes section 1.54 (1) (a) (i) </w:t>
      </w:r>
      <w:r w:rsidR="00A21318">
        <w:rPr>
          <w:bCs/>
          <w:color w:val="000000"/>
          <w:szCs w:val="24"/>
        </w:rPr>
        <w:t xml:space="preserve">of the regulation.  The intent of clause 4 is </w:t>
      </w:r>
      <w:r w:rsidR="00A94DA8">
        <w:rPr>
          <w:bCs/>
          <w:color w:val="000000"/>
          <w:szCs w:val="24"/>
        </w:rPr>
        <w:t>to provide</w:t>
      </w:r>
      <w:r w:rsidRPr="001D0452">
        <w:rPr>
          <w:bCs/>
          <w:color w:val="000000"/>
          <w:szCs w:val="24"/>
        </w:rPr>
        <w:t xml:space="preserve"> an exemption </w:t>
      </w:r>
      <w:r w:rsidR="00A21318">
        <w:rPr>
          <w:bCs/>
          <w:color w:val="000000"/>
          <w:szCs w:val="24"/>
        </w:rPr>
        <w:t xml:space="preserve">from </w:t>
      </w:r>
      <w:r w:rsidR="00A21318" w:rsidRPr="00A21318">
        <w:rPr>
          <w:bCs/>
          <w:szCs w:val="24"/>
        </w:rPr>
        <w:t xml:space="preserve">development approval for swimming pools constructed between a courtyard wall and a building line of a block, </w:t>
      </w:r>
      <w:r w:rsidR="00A21318" w:rsidRPr="00A21318">
        <w:t xml:space="preserve">so long as no part of the pool (or associated structure) is located between the courtyard wall and the front boundary of the block; that is, the entire pool must be located </w:t>
      </w:r>
      <w:r w:rsidR="00A21318" w:rsidRPr="00A21318">
        <w:rPr>
          <w:i/>
          <w:iCs/>
        </w:rPr>
        <w:t>behind</w:t>
      </w:r>
      <w:r w:rsidR="00A21318" w:rsidRPr="00A21318">
        <w:t xml:space="preserve"> the courtyard wall</w:t>
      </w:r>
      <w:r w:rsidR="00A21318">
        <w:t xml:space="preserve"> for the exemption to apply</w:t>
      </w:r>
      <w:r w:rsidR="00A21318" w:rsidRPr="00A21318">
        <w:t>.</w:t>
      </w:r>
    </w:p>
    <w:sectPr w:rsidR="00A21318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AC" w:rsidRDefault="00C64DAC" w:rsidP="006815C9">
      <w:r>
        <w:separator/>
      </w:r>
    </w:p>
  </w:endnote>
  <w:endnote w:type="continuationSeparator" w:id="0">
    <w:p w:rsidR="00C64DAC" w:rsidRDefault="00C64DAC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3" w:rsidRDefault="00886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7958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91D34" w:rsidRDefault="001D0452" w:rsidP="001D0452">
        <w:pPr>
          <w:pStyle w:val="Footer"/>
          <w:jc w:val="center"/>
          <w:rPr>
            <w:rFonts w:ascii="Times New Roman" w:hAnsi="Times New Roman"/>
            <w:noProof/>
          </w:rPr>
        </w:pPr>
        <w:r w:rsidRPr="001D0452">
          <w:rPr>
            <w:rFonts w:ascii="Times New Roman" w:hAnsi="Times New Roman"/>
          </w:rPr>
          <w:fldChar w:fldCharType="begin"/>
        </w:r>
        <w:r w:rsidRPr="001D0452">
          <w:rPr>
            <w:rFonts w:ascii="Times New Roman" w:hAnsi="Times New Roman"/>
          </w:rPr>
          <w:instrText xml:space="preserve"> PAGE   \* MERGEFORMAT </w:instrText>
        </w:r>
        <w:r w:rsidRPr="001D0452">
          <w:rPr>
            <w:rFonts w:ascii="Times New Roman" w:hAnsi="Times New Roman"/>
          </w:rPr>
          <w:fldChar w:fldCharType="separate"/>
        </w:r>
        <w:r w:rsidR="00326A19">
          <w:rPr>
            <w:rFonts w:ascii="Times New Roman" w:hAnsi="Times New Roman"/>
            <w:noProof/>
          </w:rPr>
          <w:t>1</w:t>
        </w:r>
        <w:r w:rsidRPr="001D0452">
          <w:rPr>
            <w:rFonts w:ascii="Times New Roman" w:hAnsi="Times New Roman"/>
            <w:noProof/>
          </w:rPr>
          <w:fldChar w:fldCharType="end"/>
        </w:r>
      </w:p>
    </w:sdtContent>
  </w:sdt>
  <w:p w:rsidR="00326A19" w:rsidRPr="00326A19" w:rsidRDefault="00326A19" w:rsidP="00326A19">
    <w:pPr>
      <w:pStyle w:val="Footer"/>
      <w:jc w:val="center"/>
      <w:rPr>
        <w:rFonts w:cs="Arial"/>
        <w:sz w:val="14"/>
      </w:rPr>
    </w:pPr>
    <w:r w:rsidRPr="00326A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3" w:rsidRDefault="00886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AC" w:rsidRDefault="00C64DAC" w:rsidP="006815C9">
      <w:r>
        <w:separator/>
      </w:r>
    </w:p>
  </w:footnote>
  <w:footnote w:type="continuationSeparator" w:id="0">
    <w:p w:rsidR="00C64DAC" w:rsidRDefault="00C64DAC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3" w:rsidRDefault="00886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3" w:rsidRDefault="00886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53" w:rsidRDefault="00886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D41522"/>
    <w:multiLevelType w:val="hybridMultilevel"/>
    <w:tmpl w:val="D4D8D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4A24A1"/>
    <w:multiLevelType w:val="hybridMultilevel"/>
    <w:tmpl w:val="F11C8252"/>
    <w:lvl w:ilvl="0" w:tplc="DFE86408">
      <w:start w:val="9"/>
      <w:numFmt w:val="lowerLetter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40" w:hanging="360"/>
      </w:pPr>
    </w:lvl>
    <w:lvl w:ilvl="2" w:tplc="0C09001B" w:tentative="1">
      <w:start w:val="1"/>
      <w:numFmt w:val="lowerRoman"/>
      <w:lvlText w:val="%3."/>
      <w:lvlJc w:val="right"/>
      <w:pPr>
        <w:ind w:left="3660" w:hanging="180"/>
      </w:pPr>
    </w:lvl>
    <w:lvl w:ilvl="3" w:tplc="0C09000F" w:tentative="1">
      <w:start w:val="1"/>
      <w:numFmt w:val="decimal"/>
      <w:lvlText w:val="%4."/>
      <w:lvlJc w:val="left"/>
      <w:pPr>
        <w:ind w:left="4380" w:hanging="360"/>
      </w:pPr>
    </w:lvl>
    <w:lvl w:ilvl="4" w:tplc="0C090019" w:tentative="1">
      <w:start w:val="1"/>
      <w:numFmt w:val="lowerLetter"/>
      <w:lvlText w:val="%5."/>
      <w:lvlJc w:val="left"/>
      <w:pPr>
        <w:ind w:left="5100" w:hanging="360"/>
      </w:pPr>
    </w:lvl>
    <w:lvl w:ilvl="5" w:tplc="0C09001B" w:tentative="1">
      <w:start w:val="1"/>
      <w:numFmt w:val="lowerRoman"/>
      <w:lvlText w:val="%6."/>
      <w:lvlJc w:val="right"/>
      <w:pPr>
        <w:ind w:left="5820" w:hanging="180"/>
      </w:pPr>
    </w:lvl>
    <w:lvl w:ilvl="6" w:tplc="0C09000F" w:tentative="1">
      <w:start w:val="1"/>
      <w:numFmt w:val="decimal"/>
      <w:lvlText w:val="%7."/>
      <w:lvlJc w:val="left"/>
      <w:pPr>
        <w:ind w:left="6540" w:hanging="360"/>
      </w:pPr>
    </w:lvl>
    <w:lvl w:ilvl="7" w:tplc="0C090019" w:tentative="1">
      <w:start w:val="1"/>
      <w:numFmt w:val="lowerLetter"/>
      <w:lvlText w:val="%8."/>
      <w:lvlJc w:val="left"/>
      <w:pPr>
        <w:ind w:left="7260" w:hanging="360"/>
      </w:pPr>
    </w:lvl>
    <w:lvl w:ilvl="8" w:tplc="0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4F390832"/>
    <w:multiLevelType w:val="hybridMultilevel"/>
    <w:tmpl w:val="88C8C594"/>
    <w:lvl w:ilvl="0" w:tplc="CF1619A0">
      <w:start w:val="2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40" w:hanging="360"/>
      </w:pPr>
    </w:lvl>
    <w:lvl w:ilvl="2" w:tplc="0C09001B" w:tentative="1">
      <w:start w:val="1"/>
      <w:numFmt w:val="lowerRoman"/>
      <w:lvlText w:val="%3."/>
      <w:lvlJc w:val="right"/>
      <w:pPr>
        <w:ind w:left="3660" w:hanging="180"/>
      </w:pPr>
    </w:lvl>
    <w:lvl w:ilvl="3" w:tplc="0C09000F" w:tentative="1">
      <w:start w:val="1"/>
      <w:numFmt w:val="decimal"/>
      <w:lvlText w:val="%4."/>
      <w:lvlJc w:val="left"/>
      <w:pPr>
        <w:ind w:left="4380" w:hanging="360"/>
      </w:pPr>
    </w:lvl>
    <w:lvl w:ilvl="4" w:tplc="0C090019" w:tentative="1">
      <w:start w:val="1"/>
      <w:numFmt w:val="lowerLetter"/>
      <w:lvlText w:val="%5."/>
      <w:lvlJc w:val="left"/>
      <w:pPr>
        <w:ind w:left="5100" w:hanging="360"/>
      </w:pPr>
    </w:lvl>
    <w:lvl w:ilvl="5" w:tplc="0C09001B" w:tentative="1">
      <w:start w:val="1"/>
      <w:numFmt w:val="lowerRoman"/>
      <w:lvlText w:val="%6."/>
      <w:lvlJc w:val="right"/>
      <w:pPr>
        <w:ind w:left="5820" w:hanging="180"/>
      </w:pPr>
    </w:lvl>
    <w:lvl w:ilvl="6" w:tplc="0C09000F" w:tentative="1">
      <w:start w:val="1"/>
      <w:numFmt w:val="decimal"/>
      <w:lvlText w:val="%7."/>
      <w:lvlJc w:val="left"/>
      <w:pPr>
        <w:ind w:left="6540" w:hanging="360"/>
      </w:pPr>
    </w:lvl>
    <w:lvl w:ilvl="7" w:tplc="0C090019" w:tentative="1">
      <w:start w:val="1"/>
      <w:numFmt w:val="lowerLetter"/>
      <w:lvlText w:val="%8."/>
      <w:lvlJc w:val="left"/>
      <w:pPr>
        <w:ind w:left="7260" w:hanging="360"/>
      </w:pPr>
    </w:lvl>
    <w:lvl w:ilvl="8" w:tplc="0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55F8433B"/>
    <w:multiLevelType w:val="hybridMultilevel"/>
    <w:tmpl w:val="B156BDEA"/>
    <w:lvl w:ilvl="0" w:tplc="3848912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ED5E2B"/>
    <w:multiLevelType w:val="hybridMultilevel"/>
    <w:tmpl w:val="E8709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1D"/>
    <w:rsid w:val="00040E22"/>
    <w:rsid w:val="00080B14"/>
    <w:rsid w:val="00091D34"/>
    <w:rsid w:val="00150101"/>
    <w:rsid w:val="001D0452"/>
    <w:rsid w:val="0022424C"/>
    <w:rsid w:val="002B2631"/>
    <w:rsid w:val="00326A19"/>
    <w:rsid w:val="0034003E"/>
    <w:rsid w:val="004462ED"/>
    <w:rsid w:val="00465901"/>
    <w:rsid w:val="00546840"/>
    <w:rsid w:val="005C67FD"/>
    <w:rsid w:val="0063546E"/>
    <w:rsid w:val="006815C9"/>
    <w:rsid w:val="006E7046"/>
    <w:rsid w:val="00722110"/>
    <w:rsid w:val="00741300"/>
    <w:rsid w:val="00801426"/>
    <w:rsid w:val="008511EC"/>
    <w:rsid w:val="00886253"/>
    <w:rsid w:val="009E55EA"/>
    <w:rsid w:val="00A14C29"/>
    <w:rsid w:val="00A21318"/>
    <w:rsid w:val="00A24F87"/>
    <w:rsid w:val="00A716A0"/>
    <w:rsid w:val="00A75C89"/>
    <w:rsid w:val="00A94DA8"/>
    <w:rsid w:val="00C1618B"/>
    <w:rsid w:val="00C64DAC"/>
    <w:rsid w:val="00D27650"/>
    <w:rsid w:val="00E7463A"/>
    <w:rsid w:val="00F5371D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1D0452"/>
    <w:pPr>
      <w:ind w:left="720"/>
    </w:pPr>
    <w:rPr>
      <w:rFonts w:ascii="Calibri" w:eastAsia="Calibri" w:hAnsi="Calibri"/>
      <w:sz w:val="22"/>
      <w:szCs w:val="22"/>
      <w:lang w:eastAsia="en-AU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D045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045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4778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2006-03-31T04:28:00Z</cp:lastPrinted>
  <dcterms:created xsi:type="dcterms:W3CDTF">2018-11-21T00:10:00Z</dcterms:created>
  <dcterms:modified xsi:type="dcterms:W3CDTF">2018-11-21T00:10:00Z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A17166098</vt:lpwstr>
  </property>
  <property fmtid="{D5CDD505-2E9C-101B-9397-08002B2CF9AE}" pid="4" name="Objective-Title">
    <vt:lpwstr>Attachment A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2018-10-26T04:58:58Z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2018-11-19T00:52:22Z</vt:filetime>
  </property>
  <property fmtid="{D5CDD505-2E9C-101B-9397-08002B2CF9AE}" pid="10" name="Objective-ModificationStamp">
    <vt:filetime>2018-11-19T00:52:22Z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Policy:18/30000 - 18/</vt:lpwstr>
  </property>
  <property fmtid="{D5CDD505-2E9C-101B-9397-08002B2CF9AE}" pid="13" name="Objective-Parent">
    <vt:lpwstr>18/32224 - Ministerial Information Brief - Agreement to make the Swimming Pools Amendment Regulation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1-2018/32224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977558</vt:lpwstr>
  </property>
  <property fmtid="{D5CDD505-2E9C-101B-9397-08002B2CF9AE}" pid="34" name="JMSREQUIREDCHECKIN">
    <vt:lpwstr/>
  </property>
</Properties>
</file>