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5CC2C" w14:textId="77777777" w:rsidR="003F206C" w:rsidRPr="007D580B" w:rsidRDefault="003F206C" w:rsidP="003F206C">
      <w:pPr>
        <w:spacing w:after="0"/>
        <w:jc w:val="center"/>
        <w:rPr>
          <w:rFonts w:ascii="Arial" w:hAnsi="Arial" w:cs="Arial"/>
          <w:b/>
          <w:bCs/>
          <w:sz w:val="24"/>
          <w:szCs w:val="24"/>
        </w:rPr>
      </w:pPr>
      <w:bookmarkStart w:id="0" w:name="_GoBack"/>
      <w:bookmarkEnd w:id="0"/>
      <w:r w:rsidRPr="007D580B">
        <w:rPr>
          <w:rFonts w:ascii="Arial" w:hAnsi="Arial" w:cs="Arial"/>
          <w:b/>
          <w:bCs/>
          <w:sz w:val="24"/>
          <w:szCs w:val="24"/>
        </w:rPr>
        <w:t>2018</w:t>
      </w:r>
    </w:p>
    <w:p w14:paraId="5196BB27" w14:textId="77777777" w:rsidR="003F206C" w:rsidRPr="007D580B" w:rsidRDefault="003F206C" w:rsidP="003F206C">
      <w:pPr>
        <w:spacing w:after="0"/>
        <w:jc w:val="center"/>
        <w:rPr>
          <w:rFonts w:ascii="Arial" w:hAnsi="Arial" w:cs="Arial"/>
          <w:b/>
          <w:sz w:val="24"/>
          <w:szCs w:val="24"/>
        </w:rPr>
      </w:pPr>
    </w:p>
    <w:p w14:paraId="1E96BB16" w14:textId="77777777" w:rsidR="003F206C" w:rsidRPr="007D580B" w:rsidRDefault="003F206C" w:rsidP="003F206C">
      <w:pPr>
        <w:spacing w:after="0"/>
        <w:jc w:val="center"/>
        <w:rPr>
          <w:rFonts w:ascii="Arial" w:hAnsi="Arial" w:cs="Arial"/>
          <w:b/>
          <w:sz w:val="24"/>
          <w:szCs w:val="24"/>
        </w:rPr>
      </w:pPr>
    </w:p>
    <w:p w14:paraId="1793EE65" w14:textId="77777777" w:rsidR="003F206C" w:rsidRPr="007D580B" w:rsidRDefault="003F206C" w:rsidP="003F206C">
      <w:pPr>
        <w:spacing w:after="0"/>
        <w:jc w:val="center"/>
        <w:rPr>
          <w:rFonts w:ascii="Arial" w:hAnsi="Arial" w:cs="Arial"/>
          <w:b/>
          <w:sz w:val="24"/>
          <w:szCs w:val="24"/>
        </w:rPr>
      </w:pPr>
    </w:p>
    <w:p w14:paraId="212D6366" w14:textId="77777777" w:rsidR="003F206C" w:rsidRDefault="003F206C" w:rsidP="003F206C">
      <w:pPr>
        <w:spacing w:after="0"/>
        <w:jc w:val="center"/>
        <w:rPr>
          <w:rFonts w:ascii="Arial" w:hAnsi="Arial" w:cs="Arial"/>
          <w:b/>
          <w:sz w:val="24"/>
          <w:szCs w:val="24"/>
        </w:rPr>
      </w:pPr>
    </w:p>
    <w:p w14:paraId="48BFD6ED" w14:textId="77777777" w:rsidR="007D580B" w:rsidRPr="007D580B" w:rsidRDefault="007D580B" w:rsidP="003F206C">
      <w:pPr>
        <w:spacing w:after="0"/>
        <w:jc w:val="center"/>
        <w:rPr>
          <w:rFonts w:ascii="Arial" w:hAnsi="Arial" w:cs="Arial"/>
          <w:b/>
          <w:sz w:val="24"/>
          <w:szCs w:val="24"/>
        </w:rPr>
      </w:pPr>
    </w:p>
    <w:p w14:paraId="654AF733" w14:textId="77777777" w:rsidR="003F206C" w:rsidRPr="007D580B" w:rsidRDefault="003F206C" w:rsidP="003F206C">
      <w:pPr>
        <w:spacing w:after="0"/>
        <w:jc w:val="center"/>
        <w:rPr>
          <w:rFonts w:ascii="Arial" w:hAnsi="Arial" w:cs="Arial"/>
          <w:b/>
          <w:bCs/>
          <w:sz w:val="24"/>
          <w:szCs w:val="24"/>
        </w:rPr>
      </w:pPr>
    </w:p>
    <w:p w14:paraId="07FA53BF" w14:textId="77777777" w:rsidR="003F206C" w:rsidRPr="007D580B" w:rsidRDefault="003F206C" w:rsidP="003F206C">
      <w:pPr>
        <w:spacing w:after="0"/>
        <w:jc w:val="center"/>
        <w:rPr>
          <w:rFonts w:ascii="Arial" w:hAnsi="Arial" w:cs="Arial"/>
          <w:b/>
          <w:bCs/>
          <w:sz w:val="24"/>
          <w:szCs w:val="24"/>
        </w:rPr>
      </w:pPr>
    </w:p>
    <w:p w14:paraId="296B6F4D" w14:textId="77777777" w:rsidR="003F206C" w:rsidRPr="007D580B" w:rsidRDefault="003F206C" w:rsidP="003F206C">
      <w:pPr>
        <w:spacing w:after="0"/>
        <w:jc w:val="center"/>
        <w:rPr>
          <w:rFonts w:ascii="Arial" w:hAnsi="Arial" w:cs="Arial"/>
          <w:b/>
          <w:bCs/>
          <w:sz w:val="24"/>
          <w:szCs w:val="24"/>
        </w:rPr>
      </w:pPr>
      <w:r w:rsidRPr="007D580B">
        <w:rPr>
          <w:rFonts w:ascii="Arial" w:hAnsi="Arial" w:cs="Arial"/>
          <w:b/>
          <w:bCs/>
          <w:sz w:val="24"/>
          <w:szCs w:val="24"/>
        </w:rPr>
        <w:t>THE LEGISLATIVE ASSEMBLY FOR THE</w:t>
      </w:r>
    </w:p>
    <w:p w14:paraId="19999732" w14:textId="77777777" w:rsidR="003F206C" w:rsidRPr="007D580B" w:rsidRDefault="003F206C" w:rsidP="003F206C">
      <w:pPr>
        <w:spacing w:after="0"/>
        <w:jc w:val="center"/>
        <w:rPr>
          <w:rFonts w:ascii="Arial" w:hAnsi="Arial" w:cs="Arial"/>
          <w:b/>
          <w:sz w:val="24"/>
          <w:szCs w:val="24"/>
        </w:rPr>
      </w:pPr>
      <w:r w:rsidRPr="007D580B">
        <w:rPr>
          <w:rFonts w:ascii="Arial" w:hAnsi="Arial" w:cs="Arial"/>
          <w:b/>
          <w:bCs/>
          <w:sz w:val="24"/>
          <w:szCs w:val="24"/>
        </w:rPr>
        <w:t>AUSTRALIAN CAPITAL TERRITORY</w:t>
      </w:r>
    </w:p>
    <w:p w14:paraId="344A11D0" w14:textId="77777777" w:rsidR="003F206C" w:rsidRPr="007D580B" w:rsidRDefault="003F206C" w:rsidP="003F206C">
      <w:pPr>
        <w:spacing w:after="0"/>
        <w:jc w:val="center"/>
        <w:rPr>
          <w:rFonts w:ascii="Arial" w:hAnsi="Arial" w:cs="Arial"/>
          <w:b/>
          <w:sz w:val="24"/>
          <w:szCs w:val="24"/>
        </w:rPr>
      </w:pPr>
    </w:p>
    <w:p w14:paraId="189A1854" w14:textId="77777777" w:rsidR="003F206C" w:rsidRPr="007D580B" w:rsidRDefault="003F206C" w:rsidP="003F206C">
      <w:pPr>
        <w:spacing w:after="0"/>
        <w:jc w:val="center"/>
        <w:rPr>
          <w:rFonts w:ascii="Arial" w:hAnsi="Arial" w:cs="Arial"/>
          <w:b/>
          <w:sz w:val="24"/>
          <w:szCs w:val="24"/>
        </w:rPr>
      </w:pPr>
    </w:p>
    <w:p w14:paraId="6AA41818" w14:textId="77777777" w:rsidR="003F206C" w:rsidRPr="007D580B" w:rsidRDefault="003F206C" w:rsidP="003F206C">
      <w:pPr>
        <w:spacing w:after="0"/>
        <w:jc w:val="center"/>
        <w:rPr>
          <w:rFonts w:ascii="Arial" w:hAnsi="Arial" w:cs="Arial"/>
          <w:b/>
          <w:sz w:val="24"/>
          <w:szCs w:val="24"/>
        </w:rPr>
      </w:pPr>
    </w:p>
    <w:p w14:paraId="343D38CC" w14:textId="77777777" w:rsidR="003F206C" w:rsidRPr="007D580B" w:rsidRDefault="003F206C" w:rsidP="003F206C">
      <w:pPr>
        <w:spacing w:after="0"/>
        <w:jc w:val="center"/>
        <w:rPr>
          <w:rFonts w:ascii="Arial" w:hAnsi="Arial" w:cs="Arial"/>
          <w:b/>
          <w:sz w:val="24"/>
          <w:szCs w:val="24"/>
        </w:rPr>
      </w:pPr>
    </w:p>
    <w:p w14:paraId="2BB8A90D" w14:textId="77777777" w:rsidR="003F206C" w:rsidRPr="007D580B" w:rsidRDefault="003F206C" w:rsidP="003F206C">
      <w:pPr>
        <w:spacing w:after="0"/>
        <w:jc w:val="center"/>
        <w:rPr>
          <w:rFonts w:ascii="Arial" w:hAnsi="Arial" w:cs="Arial"/>
          <w:b/>
          <w:sz w:val="24"/>
          <w:szCs w:val="24"/>
        </w:rPr>
      </w:pPr>
    </w:p>
    <w:p w14:paraId="663A2160" w14:textId="77777777" w:rsidR="003F206C" w:rsidRPr="007D580B" w:rsidRDefault="003F206C" w:rsidP="003F206C">
      <w:pPr>
        <w:spacing w:after="0"/>
        <w:jc w:val="center"/>
        <w:rPr>
          <w:rFonts w:ascii="Arial" w:hAnsi="Arial" w:cs="Arial"/>
          <w:b/>
          <w:sz w:val="24"/>
          <w:szCs w:val="24"/>
        </w:rPr>
      </w:pPr>
    </w:p>
    <w:p w14:paraId="5F1F4EEB" w14:textId="77777777" w:rsidR="003F206C" w:rsidRPr="007D580B" w:rsidRDefault="003F206C" w:rsidP="003F206C">
      <w:pPr>
        <w:spacing w:after="0"/>
        <w:jc w:val="center"/>
        <w:rPr>
          <w:rFonts w:ascii="Arial" w:hAnsi="Arial" w:cs="Arial"/>
          <w:b/>
          <w:sz w:val="24"/>
          <w:szCs w:val="24"/>
        </w:rPr>
      </w:pPr>
    </w:p>
    <w:p w14:paraId="4F236E8D" w14:textId="77777777" w:rsidR="003F206C" w:rsidRPr="007D580B" w:rsidRDefault="003F206C" w:rsidP="003F206C">
      <w:pPr>
        <w:spacing w:after="0"/>
        <w:jc w:val="center"/>
        <w:rPr>
          <w:rFonts w:ascii="Arial" w:hAnsi="Arial" w:cs="Arial"/>
          <w:b/>
          <w:sz w:val="24"/>
          <w:szCs w:val="24"/>
        </w:rPr>
      </w:pPr>
    </w:p>
    <w:p w14:paraId="1D55079E" w14:textId="77777777" w:rsidR="003F206C" w:rsidRPr="007D580B" w:rsidRDefault="003F206C" w:rsidP="003F206C">
      <w:pPr>
        <w:spacing w:after="0"/>
        <w:jc w:val="center"/>
        <w:rPr>
          <w:rFonts w:ascii="Arial" w:hAnsi="Arial" w:cs="Arial"/>
          <w:b/>
          <w:sz w:val="24"/>
          <w:szCs w:val="24"/>
        </w:rPr>
      </w:pPr>
    </w:p>
    <w:p w14:paraId="6211FD8E" w14:textId="77777777" w:rsidR="003F206C" w:rsidRPr="007D580B" w:rsidRDefault="003F206C" w:rsidP="003F206C">
      <w:pPr>
        <w:spacing w:after="0"/>
        <w:jc w:val="center"/>
        <w:rPr>
          <w:rFonts w:ascii="Arial" w:hAnsi="Arial" w:cs="Arial"/>
          <w:b/>
          <w:sz w:val="24"/>
          <w:szCs w:val="24"/>
        </w:rPr>
      </w:pPr>
    </w:p>
    <w:p w14:paraId="67392386" w14:textId="77777777" w:rsidR="003F206C" w:rsidRPr="007D580B" w:rsidRDefault="003F206C" w:rsidP="003F206C">
      <w:pPr>
        <w:spacing w:after="0"/>
        <w:jc w:val="center"/>
        <w:rPr>
          <w:rFonts w:ascii="Arial" w:hAnsi="Arial" w:cs="Arial"/>
          <w:b/>
          <w:bCs/>
          <w:sz w:val="24"/>
          <w:szCs w:val="24"/>
        </w:rPr>
      </w:pPr>
      <w:r w:rsidRPr="007D580B">
        <w:rPr>
          <w:rFonts w:ascii="Arial" w:hAnsi="Arial" w:cs="Arial"/>
          <w:b/>
          <w:bCs/>
          <w:sz w:val="24"/>
          <w:szCs w:val="24"/>
        </w:rPr>
        <w:t xml:space="preserve">GAMING </w:t>
      </w:r>
      <w:r w:rsidR="000C506E" w:rsidRPr="007D580B">
        <w:rPr>
          <w:rFonts w:ascii="Arial" w:hAnsi="Arial" w:cs="Arial"/>
          <w:b/>
          <w:bCs/>
          <w:sz w:val="24"/>
          <w:szCs w:val="24"/>
        </w:rPr>
        <w:t>MACHINE (OFFSET AMOUNTS)</w:t>
      </w:r>
      <w:r w:rsidRPr="007D580B">
        <w:rPr>
          <w:rFonts w:ascii="Arial" w:hAnsi="Arial" w:cs="Arial"/>
          <w:b/>
          <w:bCs/>
          <w:sz w:val="24"/>
          <w:szCs w:val="24"/>
        </w:rPr>
        <w:t xml:space="preserve"> </w:t>
      </w:r>
      <w:r w:rsidR="000C506E" w:rsidRPr="007D580B">
        <w:rPr>
          <w:rFonts w:ascii="Arial" w:hAnsi="Arial" w:cs="Arial"/>
          <w:b/>
          <w:bCs/>
          <w:sz w:val="24"/>
          <w:szCs w:val="24"/>
        </w:rPr>
        <w:t>REGULATION</w:t>
      </w:r>
      <w:r w:rsidRPr="007D580B">
        <w:rPr>
          <w:rFonts w:ascii="Arial" w:hAnsi="Arial" w:cs="Arial"/>
          <w:b/>
          <w:bCs/>
          <w:sz w:val="24"/>
          <w:szCs w:val="24"/>
        </w:rPr>
        <w:t xml:space="preserve"> 2018</w:t>
      </w:r>
    </w:p>
    <w:p w14:paraId="1614BDF3" w14:textId="77777777" w:rsidR="003F206C" w:rsidRPr="007D580B" w:rsidRDefault="003F206C" w:rsidP="003F206C">
      <w:pPr>
        <w:spacing w:after="0"/>
        <w:jc w:val="center"/>
        <w:rPr>
          <w:rFonts w:ascii="Arial" w:hAnsi="Arial" w:cs="Arial"/>
          <w:b/>
          <w:bCs/>
          <w:sz w:val="24"/>
          <w:szCs w:val="24"/>
        </w:rPr>
      </w:pPr>
    </w:p>
    <w:p w14:paraId="34C7C6D4" w14:textId="50191392" w:rsidR="003F206C" w:rsidRPr="007D580B" w:rsidRDefault="00305757" w:rsidP="003F206C">
      <w:pPr>
        <w:spacing w:after="0"/>
        <w:jc w:val="center"/>
        <w:rPr>
          <w:rFonts w:ascii="Arial" w:hAnsi="Arial" w:cs="Arial"/>
          <w:b/>
          <w:sz w:val="24"/>
          <w:szCs w:val="24"/>
        </w:rPr>
      </w:pPr>
      <w:r w:rsidRPr="007D580B">
        <w:rPr>
          <w:rFonts w:ascii="Arial" w:hAnsi="Arial" w:cs="Arial"/>
          <w:b/>
          <w:sz w:val="24"/>
          <w:szCs w:val="24"/>
        </w:rPr>
        <w:t>SL2018-</w:t>
      </w:r>
      <w:r w:rsidR="00E874AF">
        <w:rPr>
          <w:rFonts w:ascii="Arial" w:hAnsi="Arial" w:cs="Arial"/>
          <w:b/>
          <w:sz w:val="24"/>
          <w:szCs w:val="24"/>
        </w:rPr>
        <w:t>27</w:t>
      </w:r>
    </w:p>
    <w:p w14:paraId="6F238BA7" w14:textId="77777777" w:rsidR="003F206C" w:rsidRPr="007D580B" w:rsidRDefault="003F206C" w:rsidP="003F206C">
      <w:pPr>
        <w:spacing w:after="0"/>
        <w:jc w:val="center"/>
        <w:rPr>
          <w:rFonts w:ascii="Arial" w:hAnsi="Arial" w:cs="Arial"/>
          <w:b/>
          <w:bCs/>
          <w:sz w:val="24"/>
          <w:szCs w:val="24"/>
        </w:rPr>
      </w:pPr>
    </w:p>
    <w:p w14:paraId="41B1814D" w14:textId="77777777" w:rsidR="003F206C" w:rsidRPr="007D580B" w:rsidRDefault="003F206C" w:rsidP="003F206C">
      <w:pPr>
        <w:spacing w:after="0"/>
        <w:jc w:val="center"/>
        <w:rPr>
          <w:rFonts w:ascii="Arial" w:hAnsi="Arial" w:cs="Arial"/>
          <w:b/>
          <w:sz w:val="24"/>
          <w:szCs w:val="24"/>
        </w:rPr>
      </w:pPr>
      <w:r w:rsidRPr="007D580B">
        <w:rPr>
          <w:rFonts w:ascii="Arial" w:hAnsi="Arial" w:cs="Arial"/>
          <w:b/>
          <w:bCs/>
          <w:sz w:val="24"/>
          <w:szCs w:val="24"/>
        </w:rPr>
        <w:t>EXPLANATORY STATEMENT</w:t>
      </w:r>
    </w:p>
    <w:p w14:paraId="51BA35B9" w14:textId="77777777" w:rsidR="00526662" w:rsidRPr="007D580B" w:rsidRDefault="00526662">
      <w:pPr>
        <w:rPr>
          <w:rFonts w:ascii="Arial" w:hAnsi="Arial" w:cs="Arial"/>
        </w:rPr>
      </w:pPr>
    </w:p>
    <w:p w14:paraId="6FABD05F" w14:textId="77777777" w:rsidR="003F206C" w:rsidRPr="007D580B" w:rsidRDefault="003F206C">
      <w:pPr>
        <w:rPr>
          <w:rFonts w:ascii="Arial" w:hAnsi="Arial" w:cs="Arial"/>
        </w:rPr>
      </w:pPr>
    </w:p>
    <w:p w14:paraId="2D65C85F" w14:textId="77777777" w:rsidR="003F206C" w:rsidRPr="007D580B" w:rsidRDefault="003F206C">
      <w:pPr>
        <w:rPr>
          <w:rFonts w:ascii="Arial" w:hAnsi="Arial" w:cs="Arial"/>
        </w:rPr>
      </w:pPr>
    </w:p>
    <w:p w14:paraId="34C4A1BB" w14:textId="77777777" w:rsidR="003F206C" w:rsidRPr="007D580B" w:rsidRDefault="003F206C">
      <w:pPr>
        <w:rPr>
          <w:rFonts w:ascii="Arial" w:hAnsi="Arial" w:cs="Arial"/>
        </w:rPr>
      </w:pPr>
    </w:p>
    <w:p w14:paraId="767D45C4" w14:textId="77777777" w:rsidR="003F206C" w:rsidRPr="007D580B" w:rsidRDefault="003F206C">
      <w:pPr>
        <w:rPr>
          <w:rFonts w:ascii="Arial" w:hAnsi="Arial" w:cs="Arial"/>
        </w:rPr>
      </w:pPr>
    </w:p>
    <w:p w14:paraId="3EEA714E" w14:textId="77777777" w:rsidR="003F206C" w:rsidRPr="007D580B" w:rsidRDefault="003F206C">
      <w:pPr>
        <w:rPr>
          <w:rFonts w:ascii="Arial" w:hAnsi="Arial" w:cs="Arial"/>
        </w:rPr>
      </w:pPr>
    </w:p>
    <w:p w14:paraId="430995FA" w14:textId="77777777" w:rsidR="003F206C" w:rsidRPr="007D580B" w:rsidRDefault="003F206C">
      <w:pPr>
        <w:rPr>
          <w:rFonts w:ascii="Arial" w:hAnsi="Arial" w:cs="Arial"/>
        </w:rPr>
      </w:pPr>
    </w:p>
    <w:p w14:paraId="61CB6D16" w14:textId="77777777" w:rsidR="003F206C" w:rsidRPr="007D580B" w:rsidRDefault="003F206C">
      <w:pPr>
        <w:rPr>
          <w:rFonts w:ascii="Arial" w:hAnsi="Arial" w:cs="Arial"/>
        </w:rPr>
      </w:pPr>
    </w:p>
    <w:p w14:paraId="5424D9F4" w14:textId="77777777" w:rsidR="003F206C" w:rsidRPr="007D580B" w:rsidRDefault="003F206C" w:rsidP="003F206C">
      <w:pPr>
        <w:pStyle w:val="Heading8"/>
        <w:spacing w:line="276" w:lineRule="auto"/>
        <w:jc w:val="center"/>
        <w:rPr>
          <w:rFonts w:ascii="Arial" w:hAnsi="Arial" w:cs="Arial"/>
          <w:bCs/>
          <w:lang w:val="en-AU"/>
        </w:rPr>
      </w:pPr>
    </w:p>
    <w:p w14:paraId="24CA543D" w14:textId="22B58207" w:rsidR="003F206C" w:rsidRPr="007D580B" w:rsidRDefault="00305757" w:rsidP="003F206C">
      <w:pPr>
        <w:pStyle w:val="Heading8"/>
        <w:spacing w:line="276" w:lineRule="auto"/>
        <w:ind w:right="686"/>
        <w:rPr>
          <w:rFonts w:ascii="Arial" w:hAnsi="Arial" w:cs="Arial"/>
          <w:bCs/>
          <w:lang w:val="en-AU"/>
        </w:rPr>
      </w:pPr>
      <w:r w:rsidRPr="007D580B">
        <w:rPr>
          <w:rFonts w:ascii="Arial" w:hAnsi="Arial" w:cs="Arial"/>
          <w:bCs/>
          <w:lang w:val="en-AU"/>
        </w:rPr>
        <w:t>Circulated</w:t>
      </w:r>
      <w:r w:rsidR="003F206C" w:rsidRPr="007D580B">
        <w:rPr>
          <w:rFonts w:ascii="Arial" w:hAnsi="Arial" w:cs="Arial"/>
          <w:bCs/>
          <w:lang w:val="en-AU"/>
        </w:rPr>
        <w:t xml:space="preserve"> by</w:t>
      </w:r>
      <w:r w:rsidRPr="007D580B">
        <w:rPr>
          <w:rFonts w:ascii="Arial" w:hAnsi="Arial" w:cs="Arial"/>
          <w:bCs/>
          <w:lang w:val="en-AU"/>
        </w:rPr>
        <w:t xml:space="preserve"> the authority of</w:t>
      </w:r>
    </w:p>
    <w:p w14:paraId="010E5F89" w14:textId="77777777" w:rsidR="003F206C" w:rsidRPr="007D580B" w:rsidRDefault="003F206C" w:rsidP="003F206C">
      <w:pPr>
        <w:spacing w:after="0"/>
        <w:ind w:right="686"/>
        <w:jc w:val="right"/>
        <w:rPr>
          <w:rFonts w:ascii="Arial" w:hAnsi="Arial" w:cs="Arial"/>
          <w:b/>
          <w:bCs/>
          <w:sz w:val="24"/>
          <w:szCs w:val="24"/>
        </w:rPr>
      </w:pPr>
      <w:r w:rsidRPr="007D580B">
        <w:rPr>
          <w:rFonts w:ascii="Arial" w:hAnsi="Arial" w:cs="Arial"/>
          <w:b/>
          <w:bCs/>
          <w:sz w:val="24"/>
          <w:szCs w:val="24"/>
        </w:rPr>
        <w:t>Gordon Ramsay MLA</w:t>
      </w:r>
    </w:p>
    <w:p w14:paraId="1F73C72A" w14:textId="77777777" w:rsidR="003F206C" w:rsidRPr="007D580B" w:rsidRDefault="003F206C" w:rsidP="003F206C">
      <w:pPr>
        <w:spacing w:after="0"/>
        <w:ind w:right="686"/>
        <w:jc w:val="right"/>
        <w:rPr>
          <w:rFonts w:ascii="Arial" w:hAnsi="Arial" w:cs="Arial"/>
          <w:b/>
          <w:bCs/>
          <w:sz w:val="24"/>
          <w:szCs w:val="24"/>
        </w:rPr>
      </w:pPr>
      <w:r w:rsidRPr="007D580B">
        <w:rPr>
          <w:rFonts w:ascii="Arial" w:hAnsi="Arial" w:cs="Arial"/>
          <w:b/>
          <w:bCs/>
          <w:sz w:val="24"/>
          <w:szCs w:val="24"/>
        </w:rPr>
        <w:t>Attorney-General</w:t>
      </w:r>
    </w:p>
    <w:p w14:paraId="37AC592C" w14:textId="1F3CDDA1" w:rsidR="007D580B" w:rsidRDefault="007D580B">
      <w:pPr>
        <w:spacing w:after="160" w:line="259" w:lineRule="auto"/>
        <w:rPr>
          <w:rFonts w:ascii="Arial" w:hAnsi="Arial" w:cs="Arial"/>
        </w:rPr>
      </w:pPr>
      <w:r>
        <w:rPr>
          <w:rFonts w:ascii="Arial" w:hAnsi="Arial" w:cs="Arial"/>
        </w:rPr>
        <w:br w:type="page"/>
      </w:r>
    </w:p>
    <w:p w14:paraId="723EDC06" w14:textId="6D9AFE83" w:rsidR="006D17DF" w:rsidRPr="007D580B" w:rsidRDefault="007D580B" w:rsidP="007D580B">
      <w:pPr>
        <w:rPr>
          <w:rFonts w:ascii="Arial" w:hAnsi="Arial" w:cs="Arial"/>
          <w:b/>
          <w:sz w:val="24"/>
          <w:szCs w:val="24"/>
        </w:rPr>
      </w:pPr>
      <w:r>
        <w:rPr>
          <w:rFonts w:ascii="Arial" w:hAnsi="Arial" w:cs="Arial"/>
          <w:b/>
          <w:sz w:val="24"/>
          <w:szCs w:val="24"/>
        </w:rPr>
        <w:lastRenderedPageBreak/>
        <w:t>OVERVIEW</w:t>
      </w:r>
    </w:p>
    <w:p w14:paraId="4FF06D69" w14:textId="5CD51E0E" w:rsidR="00A94CD2" w:rsidRDefault="00A94CD2" w:rsidP="00A94CD2">
      <w:pPr>
        <w:spacing w:after="0"/>
        <w:rPr>
          <w:rFonts w:ascii="Arial" w:hAnsi="Arial" w:cs="Arial"/>
          <w:sz w:val="24"/>
          <w:szCs w:val="24"/>
        </w:rPr>
      </w:pPr>
      <w:r w:rsidRPr="007D580B">
        <w:rPr>
          <w:rFonts w:ascii="Arial" w:hAnsi="Arial" w:cs="Arial"/>
          <w:sz w:val="24"/>
          <w:szCs w:val="24"/>
        </w:rPr>
        <w:t xml:space="preserve">The </w:t>
      </w:r>
      <w:r w:rsidRPr="007D580B">
        <w:rPr>
          <w:rFonts w:ascii="Arial" w:hAnsi="Arial" w:cs="Arial"/>
          <w:i/>
          <w:sz w:val="24"/>
          <w:szCs w:val="24"/>
        </w:rPr>
        <w:t>Gaming Machine Act 2004</w:t>
      </w:r>
      <w:r w:rsidRPr="007D580B">
        <w:rPr>
          <w:rFonts w:ascii="Arial" w:hAnsi="Arial" w:cs="Arial"/>
          <w:sz w:val="24"/>
          <w:szCs w:val="24"/>
        </w:rPr>
        <w:t xml:space="preserve"> (the Gaming Machine Act) and the </w:t>
      </w:r>
      <w:r w:rsidRPr="007D580B">
        <w:rPr>
          <w:rFonts w:ascii="Arial" w:hAnsi="Arial" w:cs="Arial"/>
          <w:i/>
          <w:sz w:val="24"/>
          <w:szCs w:val="24"/>
        </w:rPr>
        <w:t>Gaming Machine Regulation 2004</w:t>
      </w:r>
      <w:r w:rsidRPr="007D580B">
        <w:rPr>
          <w:rFonts w:ascii="Arial" w:hAnsi="Arial" w:cs="Arial"/>
          <w:sz w:val="24"/>
          <w:szCs w:val="24"/>
        </w:rPr>
        <w:t xml:space="preserve"> (the Gaming Machine Regulation) regulate gaming machine operators, venues and gaming machines. For the purposes of the Gaming Machine Act, the </w:t>
      </w:r>
      <w:r w:rsidRPr="007D580B">
        <w:rPr>
          <w:rFonts w:ascii="Arial" w:hAnsi="Arial" w:cs="Arial"/>
          <w:i/>
          <w:sz w:val="24"/>
          <w:szCs w:val="24"/>
        </w:rPr>
        <w:t>Gambling and Racing Control Act 1999</w:t>
      </w:r>
      <w:r w:rsidRPr="007D580B">
        <w:rPr>
          <w:rFonts w:ascii="Arial" w:hAnsi="Arial" w:cs="Arial"/>
          <w:sz w:val="24"/>
          <w:szCs w:val="24"/>
        </w:rPr>
        <w:t xml:space="preserve"> (the Control Act) provides the overarching legislative framework</w:t>
      </w:r>
      <w:r w:rsidR="001144FC">
        <w:rPr>
          <w:rFonts w:ascii="Arial" w:hAnsi="Arial" w:cs="Arial"/>
          <w:sz w:val="24"/>
          <w:szCs w:val="24"/>
        </w:rPr>
        <w:t xml:space="preserve"> for gambling in the Territory.</w:t>
      </w:r>
    </w:p>
    <w:p w14:paraId="55A2344D" w14:textId="77777777" w:rsidR="00A94CD2" w:rsidRPr="007D580B" w:rsidRDefault="00A94CD2" w:rsidP="00A94CD2">
      <w:pPr>
        <w:spacing w:after="0"/>
        <w:rPr>
          <w:rFonts w:ascii="Arial" w:hAnsi="Arial" w:cs="Arial"/>
          <w:sz w:val="24"/>
          <w:szCs w:val="24"/>
        </w:rPr>
      </w:pPr>
    </w:p>
    <w:p w14:paraId="708BBBFA" w14:textId="4A3A5175" w:rsidR="006D17DF" w:rsidRPr="007D580B" w:rsidRDefault="006D17DF" w:rsidP="00DB1759">
      <w:pPr>
        <w:spacing w:after="0"/>
        <w:rPr>
          <w:rFonts w:ascii="Arial" w:hAnsi="Arial" w:cs="Arial"/>
          <w:sz w:val="24"/>
          <w:szCs w:val="24"/>
        </w:rPr>
      </w:pPr>
      <w:r w:rsidRPr="007D580B">
        <w:rPr>
          <w:rFonts w:ascii="Arial" w:hAnsi="Arial" w:cs="Arial"/>
          <w:sz w:val="24"/>
          <w:szCs w:val="24"/>
        </w:rPr>
        <w:t xml:space="preserve">The </w:t>
      </w:r>
      <w:r w:rsidR="00A94CD2">
        <w:rPr>
          <w:rFonts w:ascii="Arial" w:hAnsi="Arial" w:cs="Arial"/>
          <w:sz w:val="24"/>
          <w:szCs w:val="24"/>
        </w:rPr>
        <w:t xml:space="preserve">ACT </w:t>
      </w:r>
      <w:r w:rsidRPr="007D580B">
        <w:rPr>
          <w:rFonts w:ascii="Arial" w:hAnsi="Arial" w:cs="Arial"/>
          <w:sz w:val="24"/>
          <w:szCs w:val="24"/>
        </w:rPr>
        <w:t xml:space="preserve">Government has committed in the </w:t>
      </w:r>
      <w:r w:rsidRPr="007D580B">
        <w:rPr>
          <w:rFonts w:ascii="Arial" w:hAnsi="Arial" w:cs="Arial"/>
          <w:i/>
          <w:sz w:val="24"/>
          <w:szCs w:val="24"/>
        </w:rPr>
        <w:t xml:space="preserve">Parliamentary Agreement </w:t>
      </w:r>
      <w:r w:rsidR="003D35ED" w:rsidRPr="007D580B">
        <w:rPr>
          <w:rFonts w:ascii="Arial" w:hAnsi="Arial" w:cs="Arial"/>
          <w:i/>
          <w:sz w:val="24"/>
          <w:szCs w:val="24"/>
        </w:rPr>
        <w:t>for the 9</w:t>
      </w:r>
      <w:r w:rsidR="003D35ED" w:rsidRPr="007D580B">
        <w:rPr>
          <w:rFonts w:ascii="Arial" w:hAnsi="Arial" w:cs="Arial"/>
          <w:i/>
          <w:sz w:val="24"/>
          <w:szCs w:val="24"/>
          <w:vertAlign w:val="superscript"/>
        </w:rPr>
        <w:t>th</w:t>
      </w:r>
      <w:r w:rsidR="003D35ED" w:rsidRPr="007D580B">
        <w:rPr>
          <w:rFonts w:ascii="Arial" w:hAnsi="Arial" w:cs="Arial"/>
          <w:i/>
          <w:sz w:val="24"/>
          <w:szCs w:val="24"/>
        </w:rPr>
        <w:t xml:space="preserve"> Legislative Assembly </w:t>
      </w:r>
      <w:r w:rsidRPr="007D580B">
        <w:rPr>
          <w:rFonts w:ascii="Arial" w:hAnsi="Arial" w:cs="Arial"/>
          <w:sz w:val="24"/>
          <w:szCs w:val="24"/>
        </w:rPr>
        <w:t xml:space="preserve">to reduce the number of gaming machine ‘licences’ (‘authorisations’ in the Gaming Machine Act) to 4,000 by 1 July 2020, as part of a range of measures intended to reduce gambling harm. </w:t>
      </w:r>
    </w:p>
    <w:p w14:paraId="3BB76905" w14:textId="77777777" w:rsidR="006D17DF" w:rsidRPr="007D580B" w:rsidRDefault="006D17DF" w:rsidP="00DB1759">
      <w:pPr>
        <w:spacing w:after="0"/>
        <w:rPr>
          <w:rFonts w:ascii="Arial" w:hAnsi="Arial" w:cs="Arial"/>
          <w:sz w:val="24"/>
          <w:szCs w:val="24"/>
        </w:rPr>
      </w:pPr>
    </w:p>
    <w:p w14:paraId="5D402B2A" w14:textId="10351612" w:rsidR="00A94CD2" w:rsidRDefault="00A94CD2" w:rsidP="00430287">
      <w:pPr>
        <w:spacing w:after="0"/>
        <w:rPr>
          <w:rFonts w:ascii="Arial" w:hAnsi="Arial" w:cs="Arial"/>
          <w:sz w:val="24"/>
          <w:szCs w:val="24"/>
        </w:rPr>
      </w:pPr>
      <w:r>
        <w:rPr>
          <w:rFonts w:ascii="Arial" w:hAnsi="Arial" w:cs="Arial"/>
          <w:sz w:val="24"/>
          <w:szCs w:val="24"/>
        </w:rPr>
        <w:t>The</w:t>
      </w:r>
      <w:r w:rsidR="00430287" w:rsidRPr="007D580B">
        <w:rPr>
          <w:rFonts w:ascii="Arial" w:hAnsi="Arial" w:cs="Arial"/>
          <w:sz w:val="24"/>
          <w:szCs w:val="24"/>
        </w:rPr>
        <w:t xml:space="preserve"> </w:t>
      </w:r>
      <w:r w:rsidR="00430287" w:rsidRPr="007D580B">
        <w:rPr>
          <w:rFonts w:ascii="Arial" w:hAnsi="Arial" w:cs="Arial"/>
          <w:i/>
          <w:sz w:val="24"/>
          <w:szCs w:val="24"/>
        </w:rPr>
        <w:t>Pathway to 4,000 Gaming Machine Authorisations by 2020</w:t>
      </w:r>
      <w:r>
        <w:rPr>
          <w:rFonts w:ascii="Arial" w:hAnsi="Arial" w:cs="Arial"/>
          <w:sz w:val="24"/>
          <w:szCs w:val="24"/>
        </w:rPr>
        <w:t xml:space="preserve"> announced by the Government includes </w:t>
      </w:r>
      <w:r w:rsidR="00430287" w:rsidRPr="007D580B">
        <w:rPr>
          <w:rFonts w:ascii="Arial" w:hAnsi="Arial" w:cs="Arial"/>
          <w:sz w:val="24"/>
          <w:szCs w:val="24"/>
        </w:rPr>
        <w:t>financial and non-financial incentives for gaming machine licensees that voluntarily surrender gami</w:t>
      </w:r>
      <w:r w:rsidR="007D580B">
        <w:rPr>
          <w:rFonts w:ascii="Arial" w:hAnsi="Arial" w:cs="Arial"/>
          <w:sz w:val="24"/>
          <w:szCs w:val="24"/>
        </w:rPr>
        <w:t>ng machine authorisations by 31 </w:t>
      </w:r>
      <w:r>
        <w:rPr>
          <w:rFonts w:ascii="Arial" w:hAnsi="Arial" w:cs="Arial"/>
          <w:sz w:val="24"/>
          <w:szCs w:val="24"/>
        </w:rPr>
        <w:t>January </w:t>
      </w:r>
      <w:r w:rsidR="00430287" w:rsidRPr="007D580B">
        <w:rPr>
          <w:rFonts w:ascii="Arial" w:hAnsi="Arial" w:cs="Arial"/>
          <w:sz w:val="24"/>
          <w:szCs w:val="24"/>
        </w:rPr>
        <w:t xml:space="preserve">2019. </w:t>
      </w:r>
      <w:r>
        <w:rPr>
          <w:rFonts w:ascii="Arial" w:hAnsi="Arial" w:cs="Arial"/>
          <w:sz w:val="24"/>
          <w:szCs w:val="24"/>
        </w:rPr>
        <w:t xml:space="preserve">The </w:t>
      </w:r>
      <w:r w:rsidRPr="007D580B">
        <w:rPr>
          <w:rFonts w:ascii="Arial" w:hAnsi="Arial" w:cs="Arial"/>
          <w:sz w:val="24"/>
          <w:szCs w:val="24"/>
        </w:rPr>
        <w:t>incentives</w:t>
      </w:r>
      <w:r>
        <w:rPr>
          <w:rFonts w:ascii="Arial" w:hAnsi="Arial" w:cs="Arial"/>
          <w:sz w:val="24"/>
          <w:szCs w:val="24"/>
        </w:rPr>
        <w:t xml:space="preserve"> for voluntary surrender</w:t>
      </w:r>
      <w:r w:rsidRPr="007D580B">
        <w:rPr>
          <w:rFonts w:ascii="Arial" w:hAnsi="Arial" w:cs="Arial"/>
          <w:sz w:val="24"/>
          <w:szCs w:val="24"/>
        </w:rPr>
        <w:t xml:space="preserve"> will be reflected in a voluntary surrend</w:t>
      </w:r>
      <w:r>
        <w:rPr>
          <w:rFonts w:ascii="Arial" w:hAnsi="Arial" w:cs="Arial"/>
          <w:sz w:val="24"/>
          <w:szCs w:val="24"/>
        </w:rPr>
        <w:t>er agreement with the Territory.</w:t>
      </w:r>
    </w:p>
    <w:p w14:paraId="775E4553" w14:textId="77777777" w:rsidR="00A94CD2" w:rsidRDefault="00A94CD2" w:rsidP="00430287">
      <w:pPr>
        <w:spacing w:after="0"/>
        <w:rPr>
          <w:rFonts w:ascii="Arial" w:hAnsi="Arial" w:cs="Arial"/>
          <w:sz w:val="24"/>
          <w:szCs w:val="24"/>
        </w:rPr>
      </w:pPr>
    </w:p>
    <w:p w14:paraId="06FF2AFB" w14:textId="6D5BEE4A" w:rsidR="00430287" w:rsidRPr="007D580B" w:rsidRDefault="00430287" w:rsidP="00430287">
      <w:pPr>
        <w:spacing w:after="0"/>
        <w:rPr>
          <w:rFonts w:ascii="Arial" w:hAnsi="Arial" w:cs="Arial"/>
          <w:sz w:val="24"/>
          <w:szCs w:val="24"/>
        </w:rPr>
      </w:pPr>
      <w:r w:rsidRPr="007D580B">
        <w:rPr>
          <w:rFonts w:ascii="Arial" w:hAnsi="Arial" w:cs="Arial"/>
          <w:sz w:val="24"/>
          <w:szCs w:val="24"/>
        </w:rPr>
        <w:t>One of the financial incentives for clubs that voluntarily surrender authorisations is an offset amount that can be applied against amounts payable to the Territory relating to Lease Variation Charges</w:t>
      </w:r>
      <w:r w:rsidR="00A94CD2">
        <w:rPr>
          <w:rFonts w:ascii="Arial" w:hAnsi="Arial" w:cs="Arial"/>
          <w:sz w:val="24"/>
          <w:szCs w:val="24"/>
        </w:rPr>
        <w:t xml:space="preserve"> (LVC)</w:t>
      </w:r>
      <w:r w:rsidRPr="007D580B">
        <w:rPr>
          <w:rFonts w:ascii="Arial" w:hAnsi="Arial" w:cs="Arial"/>
          <w:sz w:val="24"/>
          <w:szCs w:val="24"/>
        </w:rPr>
        <w:t>, deconcessionalisation payout amounts and other Government land, lease and planning and development fees and charges.</w:t>
      </w:r>
    </w:p>
    <w:p w14:paraId="0620930A" w14:textId="77777777" w:rsidR="00430287" w:rsidRDefault="00430287" w:rsidP="00430287">
      <w:pPr>
        <w:spacing w:after="0"/>
        <w:rPr>
          <w:rFonts w:ascii="Arial" w:hAnsi="Arial" w:cs="Arial"/>
          <w:sz w:val="24"/>
          <w:szCs w:val="24"/>
        </w:rPr>
      </w:pPr>
    </w:p>
    <w:p w14:paraId="2EE12ABE" w14:textId="6A2483A0" w:rsidR="00A216D1" w:rsidRDefault="00A216D1" w:rsidP="00A216D1">
      <w:pPr>
        <w:spacing w:after="0"/>
        <w:rPr>
          <w:rFonts w:ascii="Arial" w:hAnsi="Arial" w:cs="Arial"/>
          <w:sz w:val="24"/>
          <w:szCs w:val="24"/>
        </w:rPr>
      </w:pPr>
      <w:r>
        <w:rPr>
          <w:rFonts w:ascii="Arial" w:hAnsi="Arial" w:cs="Arial"/>
          <w:sz w:val="24"/>
          <w:szCs w:val="24"/>
        </w:rPr>
        <w:t xml:space="preserve">The legislative framework for </w:t>
      </w:r>
      <w:r w:rsidR="001144FC">
        <w:rPr>
          <w:rFonts w:ascii="Arial" w:hAnsi="Arial" w:cs="Arial"/>
          <w:sz w:val="24"/>
          <w:szCs w:val="24"/>
        </w:rPr>
        <w:t xml:space="preserve">the </w:t>
      </w:r>
      <w:r>
        <w:rPr>
          <w:rFonts w:ascii="Arial" w:hAnsi="Arial" w:cs="Arial"/>
          <w:sz w:val="24"/>
          <w:szCs w:val="24"/>
        </w:rPr>
        <w:t xml:space="preserve">voluntary surrender </w:t>
      </w:r>
      <w:r w:rsidR="001144FC">
        <w:rPr>
          <w:rFonts w:ascii="Arial" w:hAnsi="Arial" w:cs="Arial"/>
          <w:sz w:val="24"/>
          <w:szCs w:val="24"/>
        </w:rPr>
        <w:t>of authorisations has been established through</w:t>
      </w:r>
      <w:r>
        <w:rPr>
          <w:rFonts w:ascii="Arial" w:hAnsi="Arial" w:cs="Arial"/>
          <w:sz w:val="24"/>
          <w:szCs w:val="24"/>
        </w:rPr>
        <w:t xml:space="preserve"> amendments to the Gaming Machine Act by the </w:t>
      </w:r>
      <w:r w:rsidRPr="00A94CD2">
        <w:rPr>
          <w:rFonts w:ascii="Arial" w:hAnsi="Arial" w:cs="Arial"/>
          <w:i/>
          <w:sz w:val="24"/>
          <w:szCs w:val="24"/>
        </w:rPr>
        <w:t>G</w:t>
      </w:r>
      <w:r>
        <w:rPr>
          <w:rFonts w:ascii="Arial" w:hAnsi="Arial" w:cs="Arial"/>
          <w:i/>
          <w:sz w:val="24"/>
          <w:szCs w:val="24"/>
        </w:rPr>
        <w:t>aming Legislation Amendment Act </w:t>
      </w:r>
      <w:r w:rsidRPr="00A94CD2">
        <w:rPr>
          <w:rFonts w:ascii="Arial" w:hAnsi="Arial" w:cs="Arial"/>
          <w:i/>
          <w:sz w:val="24"/>
          <w:szCs w:val="24"/>
        </w:rPr>
        <w:t>2018</w:t>
      </w:r>
      <w:r>
        <w:rPr>
          <w:rFonts w:ascii="Arial" w:hAnsi="Arial" w:cs="Arial"/>
          <w:sz w:val="24"/>
          <w:szCs w:val="24"/>
        </w:rPr>
        <w:t>, relevant provisions of which took effect on 11 December 2018.</w:t>
      </w:r>
    </w:p>
    <w:p w14:paraId="70FCD76B" w14:textId="77777777" w:rsidR="00A216D1" w:rsidRDefault="00A216D1" w:rsidP="00430287">
      <w:pPr>
        <w:spacing w:after="0"/>
        <w:rPr>
          <w:rFonts w:ascii="Arial" w:hAnsi="Arial" w:cs="Arial"/>
          <w:sz w:val="24"/>
          <w:szCs w:val="24"/>
        </w:rPr>
      </w:pPr>
    </w:p>
    <w:p w14:paraId="2AB58E6C" w14:textId="2A3F1811" w:rsidR="00430287" w:rsidRPr="007D580B" w:rsidRDefault="00A94CD2" w:rsidP="00430287">
      <w:pPr>
        <w:spacing w:after="0"/>
        <w:rPr>
          <w:rFonts w:ascii="Arial" w:hAnsi="Arial" w:cs="Arial"/>
          <w:sz w:val="24"/>
          <w:szCs w:val="24"/>
        </w:rPr>
      </w:pPr>
      <w:r>
        <w:rPr>
          <w:rFonts w:ascii="Arial" w:hAnsi="Arial" w:cs="Arial"/>
          <w:sz w:val="24"/>
          <w:szCs w:val="24"/>
        </w:rPr>
        <w:t>This Regulation</w:t>
      </w:r>
      <w:r w:rsidR="00A216D1">
        <w:rPr>
          <w:rFonts w:ascii="Arial" w:hAnsi="Arial" w:cs="Arial"/>
          <w:sz w:val="24"/>
          <w:szCs w:val="24"/>
        </w:rPr>
        <w:t>, made under section 10H of the Gaming Machine Act,</w:t>
      </w:r>
      <w:r>
        <w:rPr>
          <w:rFonts w:ascii="Arial" w:hAnsi="Arial" w:cs="Arial"/>
          <w:sz w:val="24"/>
          <w:szCs w:val="24"/>
        </w:rPr>
        <w:t xml:space="preserve"> lists</w:t>
      </w:r>
      <w:r w:rsidR="001144FC">
        <w:rPr>
          <w:rFonts w:ascii="Arial" w:hAnsi="Arial" w:cs="Arial"/>
          <w:sz w:val="24"/>
          <w:szCs w:val="24"/>
        </w:rPr>
        <w:t xml:space="preserve"> the fees, </w:t>
      </w:r>
      <w:r w:rsidR="00430287" w:rsidRPr="007D580B">
        <w:rPr>
          <w:rFonts w:ascii="Arial" w:hAnsi="Arial" w:cs="Arial"/>
          <w:sz w:val="24"/>
          <w:szCs w:val="24"/>
        </w:rPr>
        <w:t xml:space="preserve">charges </w:t>
      </w:r>
      <w:r w:rsidR="001144FC">
        <w:rPr>
          <w:rFonts w:ascii="Arial" w:hAnsi="Arial" w:cs="Arial"/>
          <w:sz w:val="24"/>
          <w:szCs w:val="24"/>
        </w:rPr>
        <w:t xml:space="preserve">and other amounts payable </w:t>
      </w:r>
      <w:r w:rsidR="00430287" w:rsidRPr="007D580B">
        <w:rPr>
          <w:rFonts w:ascii="Arial" w:hAnsi="Arial" w:cs="Arial"/>
          <w:sz w:val="24"/>
          <w:szCs w:val="24"/>
        </w:rPr>
        <w:t xml:space="preserve">that clubs are eligible to use their offset amount ‘credits’ for, up to the amount established under a voluntary surrender agreement, and for a period of seven years ending </w:t>
      </w:r>
      <w:r>
        <w:rPr>
          <w:rFonts w:ascii="Arial" w:hAnsi="Arial" w:cs="Arial"/>
          <w:sz w:val="24"/>
          <w:szCs w:val="24"/>
        </w:rPr>
        <w:t>in</w:t>
      </w:r>
      <w:r w:rsidR="00430287" w:rsidRPr="007D580B">
        <w:rPr>
          <w:rFonts w:ascii="Arial" w:hAnsi="Arial" w:cs="Arial"/>
          <w:sz w:val="24"/>
          <w:szCs w:val="24"/>
        </w:rPr>
        <w:t xml:space="preserve"> 2026.</w:t>
      </w:r>
    </w:p>
    <w:p w14:paraId="771525FE" w14:textId="77777777" w:rsidR="00430287" w:rsidRDefault="00430287" w:rsidP="00DB1759">
      <w:pPr>
        <w:spacing w:after="0"/>
        <w:rPr>
          <w:rFonts w:ascii="Arial" w:hAnsi="Arial" w:cs="Arial"/>
          <w:sz w:val="24"/>
          <w:szCs w:val="24"/>
        </w:rPr>
      </w:pPr>
    </w:p>
    <w:p w14:paraId="54BB1D41" w14:textId="77777777" w:rsidR="001144FC" w:rsidRPr="007D580B" w:rsidRDefault="001144FC" w:rsidP="00DB1759">
      <w:pPr>
        <w:spacing w:after="0"/>
        <w:rPr>
          <w:rFonts w:ascii="Arial" w:hAnsi="Arial" w:cs="Arial"/>
          <w:sz w:val="24"/>
          <w:szCs w:val="24"/>
        </w:rPr>
      </w:pPr>
    </w:p>
    <w:p w14:paraId="015F6B87" w14:textId="77777777" w:rsidR="003F206C" w:rsidRPr="007D580B" w:rsidRDefault="007D3A80">
      <w:pPr>
        <w:rPr>
          <w:rFonts w:ascii="Arial" w:hAnsi="Arial" w:cs="Arial"/>
          <w:b/>
          <w:sz w:val="24"/>
          <w:szCs w:val="24"/>
        </w:rPr>
      </w:pPr>
      <w:r w:rsidRPr="007D580B">
        <w:rPr>
          <w:rFonts w:ascii="Arial" w:hAnsi="Arial" w:cs="Arial"/>
          <w:b/>
          <w:sz w:val="24"/>
          <w:szCs w:val="24"/>
        </w:rPr>
        <w:t>HUMAN RIGHTS IMPLICATIONS</w:t>
      </w:r>
    </w:p>
    <w:p w14:paraId="44ACBD09" w14:textId="33A2679B" w:rsidR="00CE158D" w:rsidRDefault="00D60D4F" w:rsidP="007D3A80">
      <w:pPr>
        <w:spacing w:after="0"/>
        <w:rPr>
          <w:rFonts w:ascii="Arial" w:hAnsi="Arial" w:cs="Arial"/>
          <w:sz w:val="24"/>
          <w:szCs w:val="24"/>
          <w:lang w:eastAsia="en-AU"/>
        </w:rPr>
      </w:pPr>
      <w:r w:rsidRPr="007D580B">
        <w:rPr>
          <w:rFonts w:ascii="Arial" w:hAnsi="Arial" w:cs="Arial"/>
          <w:sz w:val="24"/>
          <w:szCs w:val="24"/>
          <w:lang w:eastAsia="en-AU"/>
        </w:rPr>
        <w:t>The</w:t>
      </w:r>
      <w:r w:rsidR="00CE158D" w:rsidRPr="007D580B">
        <w:rPr>
          <w:rFonts w:ascii="Arial" w:hAnsi="Arial" w:cs="Arial"/>
          <w:sz w:val="24"/>
          <w:szCs w:val="24"/>
          <w:lang w:eastAsia="en-AU"/>
        </w:rPr>
        <w:t xml:space="preserve"> Regulation does not engage any human rights set out in the </w:t>
      </w:r>
      <w:r w:rsidR="00CE158D" w:rsidRPr="007D580B">
        <w:rPr>
          <w:rFonts w:ascii="Arial" w:hAnsi="Arial" w:cs="Arial"/>
          <w:i/>
          <w:sz w:val="24"/>
          <w:szCs w:val="24"/>
          <w:lang w:eastAsia="en-AU"/>
        </w:rPr>
        <w:t>Human Rights Act 2004</w:t>
      </w:r>
      <w:r w:rsidR="00CE158D" w:rsidRPr="007D580B">
        <w:rPr>
          <w:rFonts w:ascii="Arial" w:hAnsi="Arial" w:cs="Arial"/>
          <w:sz w:val="24"/>
          <w:szCs w:val="24"/>
          <w:lang w:eastAsia="en-AU"/>
        </w:rPr>
        <w:t xml:space="preserve"> as the offset amounts are only accessible under a </w:t>
      </w:r>
      <w:r w:rsidR="001144FC" w:rsidRPr="007D580B">
        <w:rPr>
          <w:rFonts w:ascii="Arial" w:hAnsi="Arial" w:cs="Arial"/>
          <w:sz w:val="24"/>
          <w:szCs w:val="24"/>
          <w:lang w:eastAsia="en-AU"/>
        </w:rPr>
        <w:t>voluntary surrender agreement entered into by a gaming machi</w:t>
      </w:r>
      <w:r w:rsidR="00CE158D" w:rsidRPr="007D580B">
        <w:rPr>
          <w:rFonts w:ascii="Arial" w:hAnsi="Arial" w:cs="Arial"/>
          <w:sz w:val="24"/>
          <w:szCs w:val="24"/>
          <w:lang w:eastAsia="en-AU"/>
        </w:rPr>
        <w:t xml:space="preserve">ne licensee and the </w:t>
      </w:r>
      <w:r w:rsidR="001144FC">
        <w:rPr>
          <w:rFonts w:ascii="Arial" w:hAnsi="Arial" w:cs="Arial"/>
          <w:sz w:val="24"/>
          <w:szCs w:val="24"/>
          <w:lang w:eastAsia="en-AU"/>
        </w:rPr>
        <w:t>Territory. A</w:t>
      </w:r>
      <w:r w:rsidR="00CE158D" w:rsidRPr="007D580B">
        <w:rPr>
          <w:rFonts w:ascii="Arial" w:hAnsi="Arial" w:cs="Arial"/>
          <w:sz w:val="24"/>
          <w:szCs w:val="24"/>
          <w:lang w:eastAsia="en-AU"/>
        </w:rPr>
        <w:t xml:space="preserve">s outlined in the Government’s </w:t>
      </w:r>
      <w:r w:rsidR="00CE158D" w:rsidRPr="007D580B">
        <w:rPr>
          <w:rFonts w:ascii="Arial" w:hAnsi="Arial" w:cs="Arial"/>
          <w:i/>
          <w:sz w:val="24"/>
          <w:szCs w:val="24"/>
          <w:lang w:eastAsia="en-AU"/>
        </w:rPr>
        <w:t>Pathway to 4,000 Gaming Machine Authorisations by 2020</w:t>
      </w:r>
      <w:r w:rsidR="00CE158D" w:rsidRPr="007D580B">
        <w:rPr>
          <w:rFonts w:ascii="Arial" w:hAnsi="Arial" w:cs="Arial"/>
          <w:sz w:val="24"/>
          <w:szCs w:val="24"/>
          <w:lang w:eastAsia="en-AU"/>
        </w:rPr>
        <w:t>, eligibility for offset amounts is</w:t>
      </w:r>
      <w:r w:rsidR="001144FC">
        <w:rPr>
          <w:rFonts w:ascii="Arial" w:hAnsi="Arial" w:cs="Arial"/>
          <w:sz w:val="24"/>
          <w:szCs w:val="24"/>
          <w:lang w:eastAsia="en-AU"/>
        </w:rPr>
        <w:t xml:space="preserve"> restricted to gaming machine licensees that are clubs, and a</w:t>
      </w:r>
      <w:r w:rsidR="00CE158D" w:rsidRPr="007D580B">
        <w:rPr>
          <w:rFonts w:ascii="Arial" w:hAnsi="Arial" w:cs="Arial"/>
          <w:sz w:val="24"/>
          <w:szCs w:val="24"/>
          <w:lang w:eastAsia="en-AU"/>
        </w:rPr>
        <w:t>ll club licensees operate within a corporate or incorporated association structure.</w:t>
      </w:r>
    </w:p>
    <w:p w14:paraId="686FD154" w14:textId="16416EAB" w:rsidR="00A216D1" w:rsidRPr="00A216D1" w:rsidRDefault="00A216D1" w:rsidP="00A216D1">
      <w:pPr>
        <w:keepNext/>
        <w:rPr>
          <w:rFonts w:ascii="Arial" w:hAnsi="Arial" w:cs="Arial"/>
          <w:b/>
          <w:sz w:val="24"/>
          <w:szCs w:val="24"/>
        </w:rPr>
      </w:pPr>
      <w:r w:rsidRPr="00A216D1">
        <w:rPr>
          <w:rFonts w:ascii="Arial" w:hAnsi="Arial" w:cs="Arial"/>
          <w:b/>
          <w:sz w:val="24"/>
          <w:szCs w:val="24"/>
        </w:rPr>
        <w:lastRenderedPageBreak/>
        <w:t>REGULATORY IMPACT STATEMENT</w:t>
      </w:r>
    </w:p>
    <w:p w14:paraId="746E9567" w14:textId="77777777" w:rsidR="00A216D1" w:rsidRPr="00A216D1" w:rsidRDefault="00A216D1" w:rsidP="00A216D1">
      <w:pPr>
        <w:spacing w:after="0"/>
        <w:rPr>
          <w:rFonts w:ascii="Arial" w:hAnsi="Arial" w:cs="Arial"/>
          <w:sz w:val="24"/>
          <w:szCs w:val="24"/>
          <w:lang w:eastAsia="en-AU"/>
        </w:rPr>
      </w:pPr>
      <w:r w:rsidRPr="00A216D1">
        <w:rPr>
          <w:rFonts w:ascii="Arial" w:hAnsi="Arial" w:cs="Arial"/>
          <w:sz w:val="24"/>
          <w:szCs w:val="24"/>
          <w:lang w:eastAsia="en-AU"/>
        </w:rPr>
        <w:t xml:space="preserve">Section 34 of the </w:t>
      </w:r>
      <w:r w:rsidRPr="00A216D1">
        <w:rPr>
          <w:rFonts w:ascii="Arial" w:hAnsi="Arial" w:cs="Arial"/>
          <w:i/>
          <w:sz w:val="24"/>
          <w:szCs w:val="24"/>
          <w:lang w:eastAsia="en-AU"/>
        </w:rPr>
        <w:t>Legislation Act 2001</w:t>
      </w:r>
      <w:r w:rsidRPr="00A216D1">
        <w:rPr>
          <w:rFonts w:ascii="Arial" w:hAnsi="Arial" w:cs="Arial"/>
          <w:sz w:val="24"/>
          <w:szCs w:val="24"/>
          <w:lang w:eastAsia="en-AU"/>
        </w:rPr>
        <w:t xml:space="preserve"> requires the preparation of a Regulatory Impact Statement where a subordinate law is likely to impose appreciable costs on the community, or a part of the community.</w:t>
      </w:r>
    </w:p>
    <w:p w14:paraId="6437C8A2" w14:textId="77777777" w:rsidR="00A216D1" w:rsidRPr="00A216D1" w:rsidRDefault="00A216D1" w:rsidP="00A216D1">
      <w:pPr>
        <w:spacing w:after="0"/>
        <w:rPr>
          <w:rFonts w:ascii="Arial" w:hAnsi="Arial" w:cs="Arial"/>
          <w:sz w:val="24"/>
          <w:szCs w:val="24"/>
          <w:lang w:eastAsia="en-AU"/>
        </w:rPr>
      </w:pPr>
    </w:p>
    <w:p w14:paraId="51668767" w14:textId="17A5F52A" w:rsidR="00A216D1" w:rsidRPr="00A216D1" w:rsidRDefault="001144FC" w:rsidP="00A216D1">
      <w:pPr>
        <w:spacing w:after="0"/>
        <w:rPr>
          <w:rFonts w:ascii="Arial" w:hAnsi="Arial" w:cs="Arial"/>
          <w:sz w:val="24"/>
          <w:szCs w:val="24"/>
          <w:lang w:eastAsia="en-AU"/>
        </w:rPr>
      </w:pPr>
      <w:r>
        <w:rPr>
          <w:rFonts w:ascii="Arial" w:hAnsi="Arial" w:cs="Arial"/>
          <w:sz w:val="24"/>
          <w:szCs w:val="24"/>
          <w:lang w:eastAsia="en-AU"/>
        </w:rPr>
        <w:t>Since this</w:t>
      </w:r>
      <w:r w:rsidR="00A216D1" w:rsidRPr="00A216D1">
        <w:rPr>
          <w:rFonts w:ascii="Arial" w:hAnsi="Arial" w:cs="Arial"/>
          <w:sz w:val="24"/>
          <w:szCs w:val="24"/>
          <w:lang w:eastAsia="en-AU"/>
        </w:rPr>
        <w:t xml:space="preserve"> Regulation reduces the costs to clubs of undertaking prescribed land, planning and development activities, a regulatory impact statement has not been prepared</w:t>
      </w:r>
      <w:r w:rsidR="00A216D1">
        <w:rPr>
          <w:rFonts w:ascii="Arial" w:hAnsi="Arial" w:cs="Arial"/>
          <w:sz w:val="24"/>
          <w:szCs w:val="24"/>
          <w:lang w:eastAsia="en-AU"/>
        </w:rPr>
        <w:t xml:space="preserve"> in this instance</w:t>
      </w:r>
      <w:r w:rsidR="00A216D1" w:rsidRPr="00A216D1">
        <w:rPr>
          <w:rFonts w:ascii="Arial" w:hAnsi="Arial" w:cs="Arial"/>
          <w:sz w:val="24"/>
          <w:szCs w:val="24"/>
          <w:lang w:eastAsia="en-AU"/>
        </w:rPr>
        <w:t>.</w:t>
      </w:r>
    </w:p>
    <w:p w14:paraId="5D18F3AE" w14:textId="77777777" w:rsidR="00A216D1" w:rsidRDefault="00A216D1" w:rsidP="00DB1759">
      <w:pPr>
        <w:spacing w:after="0"/>
        <w:rPr>
          <w:rFonts w:ascii="Arial" w:hAnsi="Arial" w:cs="Arial"/>
          <w:sz w:val="24"/>
          <w:szCs w:val="24"/>
        </w:rPr>
      </w:pPr>
    </w:p>
    <w:p w14:paraId="295E2E04" w14:textId="77777777" w:rsidR="001144FC" w:rsidRPr="007D580B" w:rsidRDefault="001144FC" w:rsidP="00DB1759">
      <w:pPr>
        <w:spacing w:after="0"/>
        <w:rPr>
          <w:rFonts w:ascii="Arial" w:hAnsi="Arial" w:cs="Arial"/>
          <w:sz w:val="24"/>
          <w:szCs w:val="24"/>
        </w:rPr>
      </w:pPr>
    </w:p>
    <w:p w14:paraId="7ADF06CD" w14:textId="51E8F4D8" w:rsidR="006A3AD6" w:rsidRPr="007D580B" w:rsidRDefault="00811648" w:rsidP="00A216D1">
      <w:pPr>
        <w:keepNext/>
        <w:spacing w:after="0" w:line="259" w:lineRule="auto"/>
        <w:rPr>
          <w:rFonts w:ascii="Arial" w:hAnsi="Arial" w:cs="Arial"/>
          <w:sz w:val="24"/>
          <w:szCs w:val="24"/>
        </w:rPr>
      </w:pPr>
      <w:r w:rsidRPr="007D580B">
        <w:rPr>
          <w:rFonts w:ascii="Arial" w:hAnsi="Arial" w:cs="Arial"/>
          <w:b/>
          <w:sz w:val="24"/>
          <w:szCs w:val="24"/>
        </w:rPr>
        <w:t>NOTES</w:t>
      </w:r>
      <w:r w:rsidR="007D580B">
        <w:rPr>
          <w:rFonts w:ascii="Arial" w:hAnsi="Arial" w:cs="Arial"/>
          <w:b/>
          <w:sz w:val="24"/>
          <w:szCs w:val="24"/>
        </w:rPr>
        <w:t xml:space="preserve"> ON CLAUSES</w:t>
      </w:r>
    </w:p>
    <w:p w14:paraId="5914CF72" w14:textId="77777777" w:rsidR="00811648" w:rsidRPr="007D580B" w:rsidRDefault="00811648" w:rsidP="006A3AD6">
      <w:pPr>
        <w:keepNext/>
        <w:spacing w:after="0"/>
        <w:rPr>
          <w:rFonts w:ascii="Arial" w:hAnsi="Arial" w:cs="Arial"/>
          <w:sz w:val="24"/>
          <w:szCs w:val="24"/>
        </w:rPr>
      </w:pPr>
    </w:p>
    <w:p w14:paraId="0E6734B0" w14:textId="77777777" w:rsidR="009821DF" w:rsidRPr="007D580B" w:rsidRDefault="00811648" w:rsidP="003D1D9D">
      <w:pPr>
        <w:keepNext/>
        <w:spacing w:after="120"/>
        <w:rPr>
          <w:rFonts w:ascii="Arial" w:hAnsi="Arial" w:cs="Arial"/>
          <w:b/>
          <w:sz w:val="24"/>
          <w:szCs w:val="24"/>
        </w:rPr>
      </w:pPr>
      <w:r w:rsidRPr="007D580B">
        <w:rPr>
          <w:rFonts w:ascii="Arial" w:hAnsi="Arial" w:cs="Arial"/>
          <w:b/>
          <w:sz w:val="24"/>
          <w:szCs w:val="24"/>
        </w:rPr>
        <w:t>Clause 1</w:t>
      </w:r>
      <w:r w:rsidRPr="007D580B">
        <w:rPr>
          <w:rFonts w:ascii="Arial" w:hAnsi="Arial" w:cs="Arial"/>
          <w:b/>
          <w:sz w:val="24"/>
          <w:szCs w:val="24"/>
        </w:rPr>
        <w:tab/>
        <w:t>Name of regulation</w:t>
      </w:r>
    </w:p>
    <w:p w14:paraId="332E2B9B" w14:textId="7C7A7E75" w:rsidR="003D1D9D" w:rsidRPr="007D580B" w:rsidRDefault="001144FC" w:rsidP="003D1D9D">
      <w:pPr>
        <w:spacing w:after="0"/>
        <w:rPr>
          <w:rFonts w:ascii="Arial" w:hAnsi="Arial" w:cs="Arial"/>
          <w:sz w:val="24"/>
          <w:szCs w:val="24"/>
        </w:rPr>
      </w:pPr>
      <w:r>
        <w:rPr>
          <w:rFonts w:ascii="Arial" w:hAnsi="Arial" w:cs="Arial"/>
          <w:sz w:val="24"/>
          <w:szCs w:val="24"/>
        </w:rPr>
        <w:t>Clause 1</w:t>
      </w:r>
      <w:r w:rsidR="003D1D9D" w:rsidRPr="007D580B">
        <w:rPr>
          <w:rFonts w:ascii="Arial" w:hAnsi="Arial" w:cs="Arial"/>
          <w:sz w:val="24"/>
          <w:szCs w:val="24"/>
        </w:rPr>
        <w:t xml:space="preserve"> is a formal provision setting out the name of the Regulation as the </w:t>
      </w:r>
      <w:r w:rsidR="003D1D9D" w:rsidRPr="007D580B">
        <w:rPr>
          <w:rFonts w:ascii="Arial" w:hAnsi="Arial" w:cs="Arial"/>
          <w:i/>
          <w:sz w:val="24"/>
          <w:szCs w:val="24"/>
        </w:rPr>
        <w:t>Gaming Machine (Offset Amounts) Regulation 2018</w:t>
      </w:r>
      <w:r w:rsidR="003D1D9D" w:rsidRPr="007D580B">
        <w:rPr>
          <w:rFonts w:ascii="Arial" w:hAnsi="Arial" w:cs="Arial"/>
          <w:sz w:val="24"/>
          <w:szCs w:val="24"/>
        </w:rPr>
        <w:t>.</w:t>
      </w:r>
    </w:p>
    <w:p w14:paraId="14413004" w14:textId="77777777" w:rsidR="00BB47AC" w:rsidRPr="007D580B" w:rsidRDefault="00BB47AC" w:rsidP="002372BC">
      <w:pPr>
        <w:spacing w:after="0"/>
        <w:rPr>
          <w:rFonts w:ascii="Arial" w:hAnsi="Arial" w:cs="Arial"/>
          <w:sz w:val="24"/>
          <w:szCs w:val="24"/>
        </w:rPr>
      </w:pPr>
    </w:p>
    <w:p w14:paraId="23DBC0C1" w14:textId="77777777" w:rsidR="00BB47AC" w:rsidRPr="007D580B" w:rsidRDefault="00811648" w:rsidP="003D1D9D">
      <w:pPr>
        <w:keepNext/>
        <w:spacing w:after="120"/>
        <w:rPr>
          <w:rFonts w:ascii="Arial" w:hAnsi="Arial" w:cs="Arial"/>
          <w:b/>
          <w:sz w:val="24"/>
          <w:szCs w:val="24"/>
        </w:rPr>
      </w:pPr>
      <w:r w:rsidRPr="007D580B">
        <w:rPr>
          <w:rFonts w:ascii="Arial" w:hAnsi="Arial" w:cs="Arial"/>
          <w:b/>
          <w:sz w:val="24"/>
          <w:szCs w:val="24"/>
        </w:rPr>
        <w:t>Clause</w:t>
      </w:r>
      <w:r w:rsidR="00BB47AC" w:rsidRPr="007D580B">
        <w:rPr>
          <w:rFonts w:ascii="Arial" w:hAnsi="Arial" w:cs="Arial"/>
          <w:b/>
          <w:sz w:val="24"/>
          <w:szCs w:val="24"/>
        </w:rPr>
        <w:t xml:space="preserve"> 2</w:t>
      </w:r>
      <w:r w:rsidRPr="007D580B">
        <w:rPr>
          <w:rFonts w:ascii="Arial" w:hAnsi="Arial" w:cs="Arial"/>
          <w:b/>
          <w:sz w:val="24"/>
          <w:szCs w:val="24"/>
        </w:rPr>
        <w:tab/>
        <w:t>Commencement</w:t>
      </w:r>
    </w:p>
    <w:p w14:paraId="3D6FD697" w14:textId="41068A2A" w:rsidR="00811648" w:rsidRDefault="00811648" w:rsidP="002372BC">
      <w:pPr>
        <w:spacing w:after="0"/>
        <w:rPr>
          <w:rFonts w:ascii="Arial" w:hAnsi="Arial" w:cs="Arial"/>
          <w:sz w:val="24"/>
          <w:szCs w:val="24"/>
        </w:rPr>
      </w:pPr>
      <w:r w:rsidRPr="007D580B">
        <w:rPr>
          <w:rFonts w:ascii="Arial" w:hAnsi="Arial" w:cs="Arial"/>
          <w:sz w:val="24"/>
          <w:szCs w:val="24"/>
        </w:rPr>
        <w:t>Clause</w:t>
      </w:r>
      <w:r w:rsidR="00BB47AC" w:rsidRPr="007D580B">
        <w:rPr>
          <w:rFonts w:ascii="Arial" w:hAnsi="Arial" w:cs="Arial"/>
          <w:sz w:val="24"/>
          <w:szCs w:val="24"/>
        </w:rPr>
        <w:t xml:space="preserve"> 2 provides the commencement date for the Regulation.</w:t>
      </w:r>
      <w:r w:rsidR="001144FC">
        <w:rPr>
          <w:rFonts w:ascii="Arial" w:hAnsi="Arial" w:cs="Arial"/>
          <w:sz w:val="24"/>
          <w:szCs w:val="24"/>
        </w:rPr>
        <w:t xml:space="preserve"> </w:t>
      </w:r>
      <w:r w:rsidRPr="007D580B">
        <w:rPr>
          <w:rFonts w:ascii="Arial" w:hAnsi="Arial" w:cs="Arial"/>
          <w:sz w:val="24"/>
          <w:szCs w:val="24"/>
        </w:rPr>
        <w:t xml:space="preserve">The Regulation is taken to have commenced on the commencement of the </w:t>
      </w:r>
      <w:r w:rsidRPr="007D580B">
        <w:rPr>
          <w:rFonts w:ascii="Arial" w:hAnsi="Arial" w:cs="Arial"/>
          <w:i/>
          <w:sz w:val="24"/>
          <w:szCs w:val="24"/>
        </w:rPr>
        <w:t>Gaming Legislation Amendment Act 2018</w:t>
      </w:r>
      <w:r w:rsidRPr="007D580B">
        <w:rPr>
          <w:rFonts w:ascii="Arial" w:hAnsi="Arial" w:cs="Arial"/>
          <w:sz w:val="24"/>
          <w:szCs w:val="24"/>
        </w:rPr>
        <w:t xml:space="preserve"> (the Amendment Act), section 20.</w:t>
      </w:r>
    </w:p>
    <w:p w14:paraId="068836D3" w14:textId="77777777" w:rsidR="00811648" w:rsidRPr="007D580B" w:rsidRDefault="00811648" w:rsidP="002372BC">
      <w:pPr>
        <w:spacing w:after="0"/>
        <w:rPr>
          <w:rFonts w:ascii="Arial" w:hAnsi="Arial" w:cs="Arial"/>
          <w:sz w:val="24"/>
          <w:szCs w:val="24"/>
        </w:rPr>
      </w:pPr>
    </w:p>
    <w:p w14:paraId="32ABF992" w14:textId="02524F89" w:rsidR="00811648" w:rsidRDefault="00811648" w:rsidP="002372BC">
      <w:pPr>
        <w:spacing w:after="0"/>
        <w:rPr>
          <w:rFonts w:ascii="Arial" w:hAnsi="Arial" w:cs="Arial"/>
          <w:sz w:val="24"/>
          <w:szCs w:val="24"/>
          <w:lang w:eastAsia="en-AU"/>
        </w:rPr>
      </w:pPr>
      <w:r w:rsidRPr="007D580B">
        <w:rPr>
          <w:rFonts w:ascii="Arial" w:hAnsi="Arial" w:cs="Arial"/>
          <w:sz w:val="24"/>
          <w:szCs w:val="24"/>
        </w:rPr>
        <w:t xml:space="preserve">Section 20 of the Amendment Act inserted new part 2A in the </w:t>
      </w:r>
      <w:r w:rsidRPr="007D580B">
        <w:rPr>
          <w:rFonts w:ascii="Arial" w:hAnsi="Arial" w:cs="Arial"/>
          <w:i/>
          <w:sz w:val="24"/>
          <w:szCs w:val="24"/>
        </w:rPr>
        <w:t>Gaming Machine Act 2004</w:t>
      </w:r>
      <w:r w:rsidRPr="007D580B">
        <w:rPr>
          <w:rFonts w:ascii="Arial" w:hAnsi="Arial" w:cs="Arial"/>
          <w:sz w:val="24"/>
          <w:szCs w:val="24"/>
        </w:rPr>
        <w:t>. This new part provides for the reduction in the number of authorisation</w:t>
      </w:r>
      <w:r w:rsidR="001144FC">
        <w:rPr>
          <w:rFonts w:ascii="Arial" w:hAnsi="Arial" w:cs="Arial"/>
          <w:sz w:val="24"/>
          <w:szCs w:val="24"/>
        </w:rPr>
        <w:t>s</w:t>
      </w:r>
      <w:r w:rsidRPr="007D580B">
        <w:rPr>
          <w:rFonts w:ascii="Arial" w:hAnsi="Arial" w:cs="Arial"/>
          <w:sz w:val="24"/>
          <w:szCs w:val="24"/>
        </w:rPr>
        <w:t xml:space="preserve"> in the ACT to 4,000 or fewer by 2020, as set out in the </w:t>
      </w:r>
      <w:r w:rsidRPr="007D580B">
        <w:rPr>
          <w:rFonts w:ascii="Arial" w:hAnsi="Arial" w:cs="Arial"/>
          <w:i/>
          <w:sz w:val="24"/>
          <w:szCs w:val="24"/>
          <w:lang w:eastAsia="en-AU"/>
        </w:rPr>
        <w:t>Pathway to 4,000 Gaming Machine Authorisations by 2020</w:t>
      </w:r>
      <w:r w:rsidRPr="007D580B">
        <w:rPr>
          <w:rFonts w:ascii="Arial" w:hAnsi="Arial" w:cs="Arial"/>
          <w:sz w:val="24"/>
          <w:szCs w:val="24"/>
          <w:lang w:eastAsia="en-AU"/>
        </w:rPr>
        <w:t xml:space="preserve"> document tabled by the Attorney-General in the Legislative Assembly on 23 August 2018.</w:t>
      </w:r>
    </w:p>
    <w:p w14:paraId="5C46ADB6" w14:textId="77777777" w:rsidR="003D1D9D" w:rsidRDefault="003D1D9D" w:rsidP="002372BC">
      <w:pPr>
        <w:spacing w:after="0"/>
        <w:rPr>
          <w:rFonts w:ascii="Arial" w:hAnsi="Arial" w:cs="Arial"/>
          <w:sz w:val="24"/>
          <w:szCs w:val="24"/>
          <w:lang w:eastAsia="en-AU"/>
        </w:rPr>
      </w:pPr>
    </w:p>
    <w:p w14:paraId="0A92235E" w14:textId="232C9BB0" w:rsidR="00811648" w:rsidRDefault="003D1D9D" w:rsidP="002372BC">
      <w:pPr>
        <w:spacing w:after="0"/>
        <w:rPr>
          <w:rFonts w:ascii="Arial" w:hAnsi="Arial" w:cs="Arial"/>
          <w:sz w:val="24"/>
          <w:szCs w:val="24"/>
        </w:rPr>
      </w:pPr>
      <w:r>
        <w:rPr>
          <w:rFonts w:ascii="Arial" w:hAnsi="Arial" w:cs="Arial"/>
          <w:sz w:val="24"/>
          <w:szCs w:val="24"/>
        </w:rPr>
        <w:t xml:space="preserve">Section 20 of the Amendment Act </w:t>
      </w:r>
      <w:r w:rsidRPr="007D580B">
        <w:rPr>
          <w:rFonts w:ascii="Arial" w:hAnsi="Arial" w:cs="Arial"/>
          <w:sz w:val="24"/>
          <w:szCs w:val="24"/>
        </w:rPr>
        <w:t>commenced on 11 December 2018.</w:t>
      </w:r>
    </w:p>
    <w:p w14:paraId="015D8077" w14:textId="77777777" w:rsidR="003D1D9D" w:rsidRPr="007D580B" w:rsidRDefault="003D1D9D" w:rsidP="002372BC">
      <w:pPr>
        <w:spacing w:after="0"/>
        <w:rPr>
          <w:rFonts w:ascii="Arial" w:hAnsi="Arial" w:cs="Arial"/>
          <w:sz w:val="24"/>
          <w:szCs w:val="24"/>
        </w:rPr>
      </w:pPr>
    </w:p>
    <w:p w14:paraId="23639202" w14:textId="07476318" w:rsidR="00811648" w:rsidRPr="007D580B" w:rsidRDefault="00811648" w:rsidP="002372BC">
      <w:pPr>
        <w:spacing w:after="0"/>
        <w:rPr>
          <w:rFonts w:ascii="Arial" w:hAnsi="Arial" w:cs="Arial"/>
          <w:sz w:val="24"/>
          <w:szCs w:val="24"/>
        </w:rPr>
      </w:pPr>
      <w:r w:rsidRPr="007D580B">
        <w:rPr>
          <w:rFonts w:ascii="Arial" w:hAnsi="Arial" w:cs="Arial"/>
          <w:sz w:val="24"/>
          <w:szCs w:val="24"/>
        </w:rPr>
        <w:t>Th</w:t>
      </w:r>
      <w:r w:rsidR="003D1D9D">
        <w:rPr>
          <w:rFonts w:ascii="Arial" w:hAnsi="Arial" w:cs="Arial"/>
          <w:sz w:val="24"/>
          <w:szCs w:val="24"/>
        </w:rPr>
        <w:t xml:space="preserve">e </w:t>
      </w:r>
      <w:r w:rsidRPr="007D580B">
        <w:rPr>
          <w:rFonts w:ascii="Arial" w:hAnsi="Arial" w:cs="Arial"/>
          <w:sz w:val="24"/>
          <w:szCs w:val="24"/>
        </w:rPr>
        <w:t xml:space="preserve">retrospective commencement </w:t>
      </w:r>
      <w:r w:rsidR="003D1D9D">
        <w:rPr>
          <w:rFonts w:ascii="Arial" w:hAnsi="Arial" w:cs="Arial"/>
          <w:sz w:val="24"/>
          <w:szCs w:val="24"/>
        </w:rPr>
        <w:t xml:space="preserve">of this Regulation </w:t>
      </w:r>
      <w:r w:rsidRPr="007D580B">
        <w:rPr>
          <w:rFonts w:ascii="Arial" w:hAnsi="Arial" w:cs="Arial"/>
          <w:sz w:val="24"/>
          <w:szCs w:val="24"/>
        </w:rPr>
        <w:t xml:space="preserve">is non-prejudicial and </w:t>
      </w:r>
      <w:r w:rsidRPr="007D580B">
        <w:rPr>
          <w:rStyle w:val="Calibri12"/>
          <w:rFonts w:ascii="Arial" w:hAnsi="Arial" w:cs="Arial"/>
        </w:rPr>
        <w:t>is necessary to support clubs being able to access the offset amounts from the commencement of the Amendment Act.</w:t>
      </w:r>
    </w:p>
    <w:p w14:paraId="3DE52DCB" w14:textId="77777777" w:rsidR="00BB47AC" w:rsidRPr="007D580B" w:rsidRDefault="00BB47AC" w:rsidP="002372BC">
      <w:pPr>
        <w:spacing w:after="0"/>
        <w:rPr>
          <w:rFonts w:ascii="Arial" w:hAnsi="Arial" w:cs="Arial"/>
          <w:sz w:val="24"/>
          <w:szCs w:val="24"/>
          <w:u w:val="single"/>
        </w:rPr>
      </w:pPr>
    </w:p>
    <w:p w14:paraId="1C1AA123" w14:textId="77777777" w:rsidR="00BB47AC" w:rsidRPr="007D580B" w:rsidRDefault="00811648" w:rsidP="003D1D9D">
      <w:pPr>
        <w:keepNext/>
        <w:spacing w:after="120"/>
        <w:rPr>
          <w:rFonts w:ascii="Arial" w:hAnsi="Arial" w:cs="Arial"/>
          <w:b/>
          <w:sz w:val="24"/>
          <w:szCs w:val="24"/>
        </w:rPr>
      </w:pPr>
      <w:r w:rsidRPr="007D580B">
        <w:rPr>
          <w:rFonts w:ascii="Arial" w:hAnsi="Arial" w:cs="Arial"/>
          <w:b/>
          <w:sz w:val="24"/>
          <w:szCs w:val="24"/>
        </w:rPr>
        <w:t>Clause</w:t>
      </w:r>
      <w:r w:rsidR="00BB47AC" w:rsidRPr="007D580B">
        <w:rPr>
          <w:rFonts w:ascii="Arial" w:hAnsi="Arial" w:cs="Arial"/>
          <w:b/>
          <w:sz w:val="24"/>
          <w:szCs w:val="24"/>
        </w:rPr>
        <w:t xml:space="preserve"> 3</w:t>
      </w:r>
      <w:r w:rsidRPr="007D580B">
        <w:rPr>
          <w:rFonts w:ascii="Arial" w:hAnsi="Arial" w:cs="Arial"/>
          <w:b/>
          <w:sz w:val="24"/>
          <w:szCs w:val="24"/>
        </w:rPr>
        <w:tab/>
        <w:t>Notes</w:t>
      </w:r>
    </w:p>
    <w:p w14:paraId="44A46DC4" w14:textId="368DCD15" w:rsidR="00BB47AC" w:rsidRPr="007D580B" w:rsidRDefault="00811648" w:rsidP="002372BC">
      <w:pPr>
        <w:spacing w:after="0"/>
        <w:rPr>
          <w:rFonts w:ascii="Arial" w:hAnsi="Arial" w:cs="Arial"/>
          <w:sz w:val="24"/>
          <w:szCs w:val="24"/>
        </w:rPr>
      </w:pPr>
      <w:r w:rsidRPr="007D580B">
        <w:rPr>
          <w:rFonts w:ascii="Arial" w:hAnsi="Arial" w:cs="Arial"/>
          <w:sz w:val="24"/>
          <w:szCs w:val="24"/>
        </w:rPr>
        <w:t>Clause</w:t>
      </w:r>
      <w:r w:rsidR="00BB47AC" w:rsidRPr="007D580B">
        <w:rPr>
          <w:rFonts w:ascii="Arial" w:hAnsi="Arial" w:cs="Arial"/>
          <w:sz w:val="24"/>
          <w:szCs w:val="24"/>
        </w:rPr>
        <w:t xml:space="preserve"> 3 provides that notes included within the Regul</w:t>
      </w:r>
      <w:r w:rsidRPr="007D580B">
        <w:rPr>
          <w:rFonts w:ascii="Arial" w:hAnsi="Arial" w:cs="Arial"/>
          <w:sz w:val="24"/>
          <w:szCs w:val="24"/>
        </w:rPr>
        <w:t xml:space="preserve">ation are explanatory and not </w:t>
      </w:r>
      <w:r w:rsidR="00BB47AC" w:rsidRPr="007D580B">
        <w:rPr>
          <w:rFonts w:ascii="Arial" w:hAnsi="Arial" w:cs="Arial"/>
          <w:sz w:val="24"/>
          <w:szCs w:val="24"/>
        </w:rPr>
        <w:t>part of the Regulation.</w:t>
      </w:r>
      <w:r w:rsidR="00836152" w:rsidRPr="00836152">
        <w:t xml:space="preserve"> </w:t>
      </w:r>
      <w:r w:rsidR="00836152" w:rsidRPr="00836152">
        <w:rPr>
          <w:rFonts w:ascii="Arial" w:hAnsi="Arial" w:cs="Arial"/>
          <w:sz w:val="24"/>
          <w:szCs w:val="24"/>
        </w:rPr>
        <w:t>This is a standard clause that explains th</w:t>
      </w:r>
      <w:r w:rsidR="00836152">
        <w:rPr>
          <w:rFonts w:ascii="Arial" w:hAnsi="Arial" w:cs="Arial"/>
          <w:sz w:val="24"/>
          <w:szCs w:val="24"/>
        </w:rPr>
        <w:t>e legal status of notes in the R</w:t>
      </w:r>
      <w:r w:rsidR="00836152" w:rsidRPr="00836152">
        <w:rPr>
          <w:rFonts w:ascii="Arial" w:hAnsi="Arial" w:cs="Arial"/>
          <w:sz w:val="24"/>
          <w:szCs w:val="24"/>
        </w:rPr>
        <w:t xml:space="preserve">egulation, in accordance with section 127 of the </w:t>
      </w:r>
      <w:r w:rsidR="00836152" w:rsidRPr="00836152">
        <w:rPr>
          <w:rFonts w:ascii="Arial" w:hAnsi="Arial" w:cs="Arial"/>
          <w:i/>
          <w:sz w:val="24"/>
          <w:szCs w:val="24"/>
        </w:rPr>
        <w:t>Legislation Act 2001</w:t>
      </w:r>
      <w:r w:rsidR="00836152" w:rsidRPr="00836152">
        <w:rPr>
          <w:rFonts w:ascii="Arial" w:hAnsi="Arial" w:cs="Arial"/>
          <w:sz w:val="24"/>
          <w:szCs w:val="24"/>
        </w:rPr>
        <w:t>.</w:t>
      </w:r>
    </w:p>
    <w:p w14:paraId="7313DEED" w14:textId="77777777" w:rsidR="00BB47AC" w:rsidRPr="007D580B" w:rsidRDefault="00BB47AC" w:rsidP="002372BC">
      <w:pPr>
        <w:spacing w:after="0"/>
        <w:rPr>
          <w:rFonts w:ascii="Arial" w:hAnsi="Arial" w:cs="Arial"/>
          <w:sz w:val="24"/>
          <w:szCs w:val="24"/>
          <w:u w:val="single"/>
        </w:rPr>
      </w:pPr>
    </w:p>
    <w:p w14:paraId="2658247F" w14:textId="038171A1" w:rsidR="00AF44E8" w:rsidRPr="00E514DB" w:rsidRDefault="00811648" w:rsidP="00E514DB">
      <w:pPr>
        <w:keepNext/>
        <w:spacing w:after="120"/>
        <w:ind w:left="1440" w:hanging="1440"/>
        <w:rPr>
          <w:rFonts w:ascii="Arial" w:hAnsi="Arial" w:cs="Arial"/>
          <w:b/>
          <w:sz w:val="24"/>
          <w:szCs w:val="24"/>
        </w:rPr>
      </w:pPr>
      <w:r w:rsidRPr="007D580B">
        <w:rPr>
          <w:rFonts w:ascii="Arial" w:hAnsi="Arial" w:cs="Arial"/>
          <w:b/>
          <w:sz w:val="24"/>
          <w:szCs w:val="24"/>
        </w:rPr>
        <w:t>Clause</w:t>
      </w:r>
      <w:r w:rsidR="00BB47AC" w:rsidRPr="007D580B">
        <w:rPr>
          <w:rFonts w:ascii="Arial" w:hAnsi="Arial" w:cs="Arial"/>
          <w:b/>
          <w:sz w:val="24"/>
          <w:szCs w:val="24"/>
        </w:rPr>
        <w:t xml:space="preserve"> 4</w:t>
      </w:r>
      <w:r w:rsidRPr="007D580B">
        <w:rPr>
          <w:rFonts w:ascii="Arial" w:hAnsi="Arial" w:cs="Arial"/>
          <w:b/>
          <w:sz w:val="24"/>
          <w:szCs w:val="24"/>
        </w:rPr>
        <w:tab/>
        <w:t xml:space="preserve">Offset amounts—Act, s 10H (4), definition of </w:t>
      </w:r>
      <w:r w:rsidRPr="003D1D9D">
        <w:rPr>
          <w:rFonts w:ascii="Arial" w:hAnsi="Arial" w:cs="Arial"/>
          <w:b/>
          <w:sz w:val="24"/>
          <w:szCs w:val="24"/>
        </w:rPr>
        <w:t>offset amount</w:t>
      </w:r>
      <w:r w:rsidRPr="007D580B">
        <w:rPr>
          <w:rFonts w:ascii="Arial" w:hAnsi="Arial" w:cs="Arial"/>
          <w:b/>
          <w:sz w:val="24"/>
          <w:szCs w:val="24"/>
        </w:rPr>
        <w:t>, paragraph (a)</w:t>
      </w:r>
    </w:p>
    <w:p w14:paraId="1E7CEBCA" w14:textId="45F97022" w:rsidR="00713EFE" w:rsidRDefault="00430287" w:rsidP="007B7065">
      <w:pPr>
        <w:spacing w:after="0"/>
        <w:rPr>
          <w:rFonts w:ascii="Arial" w:hAnsi="Arial" w:cs="Arial"/>
          <w:sz w:val="24"/>
          <w:szCs w:val="24"/>
        </w:rPr>
      </w:pPr>
      <w:r w:rsidRPr="007D580B">
        <w:rPr>
          <w:rFonts w:ascii="Arial" w:hAnsi="Arial" w:cs="Arial"/>
          <w:sz w:val="24"/>
          <w:szCs w:val="24"/>
        </w:rPr>
        <w:t>The Regulation operates with the</w:t>
      </w:r>
      <w:r w:rsidR="007B7065">
        <w:rPr>
          <w:rFonts w:ascii="Arial" w:hAnsi="Arial" w:cs="Arial"/>
          <w:sz w:val="24"/>
          <w:szCs w:val="24"/>
        </w:rPr>
        <w:t xml:space="preserve"> Gaming Machine</w:t>
      </w:r>
      <w:r w:rsidRPr="007D580B">
        <w:rPr>
          <w:rFonts w:ascii="Arial" w:hAnsi="Arial" w:cs="Arial"/>
          <w:sz w:val="24"/>
          <w:szCs w:val="24"/>
        </w:rPr>
        <w:t xml:space="preserve"> Act’s provisions and a voluntary surrender agreement to become the source of the entitlement to a deemed payment </w:t>
      </w:r>
      <w:r w:rsidRPr="007D580B">
        <w:rPr>
          <w:rFonts w:ascii="Arial" w:hAnsi="Arial" w:cs="Arial"/>
          <w:sz w:val="24"/>
          <w:szCs w:val="24"/>
        </w:rPr>
        <w:lastRenderedPageBreak/>
        <w:t xml:space="preserve">or partial payment of an amount otherwise owing to the Territory, up to the amount set out in the voluntary surrender agreement. </w:t>
      </w:r>
    </w:p>
    <w:p w14:paraId="4A31FADE" w14:textId="77777777" w:rsidR="007B7065" w:rsidRDefault="007B7065" w:rsidP="007B7065">
      <w:pPr>
        <w:spacing w:after="0"/>
        <w:rPr>
          <w:rFonts w:ascii="Arial" w:hAnsi="Arial" w:cs="Arial"/>
          <w:sz w:val="24"/>
          <w:szCs w:val="24"/>
        </w:rPr>
      </w:pPr>
    </w:p>
    <w:p w14:paraId="6921326E" w14:textId="77777777" w:rsidR="00E514DB" w:rsidRPr="007D580B" w:rsidRDefault="00E514DB" w:rsidP="00E514DB">
      <w:pPr>
        <w:keepNext/>
        <w:spacing w:after="120"/>
        <w:rPr>
          <w:rFonts w:ascii="Arial" w:hAnsi="Arial" w:cs="Arial"/>
          <w:sz w:val="24"/>
          <w:szCs w:val="24"/>
        </w:rPr>
      </w:pPr>
      <w:r>
        <w:rPr>
          <w:rFonts w:ascii="Arial" w:hAnsi="Arial" w:cs="Arial"/>
          <w:sz w:val="24"/>
          <w:szCs w:val="24"/>
        </w:rPr>
        <w:t>S</w:t>
      </w:r>
      <w:r w:rsidRPr="007D580B">
        <w:rPr>
          <w:rFonts w:ascii="Arial" w:hAnsi="Arial" w:cs="Arial"/>
          <w:sz w:val="24"/>
          <w:szCs w:val="24"/>
        </w:rPr>
        <w:t>ection 10H</w:t>
      </w:r>
      <w:r>
        <w:rPr>
          <w:rFonts w:ascii="Arial" w:hAnsi="Arial" w:cs="Arial"/>
          <w:sz w:val="24"/>
          <w:szCs w:val="24"/>
        </w:rPr>
        <w:t xml:space="preserve"> of the Gaming Machine Act applies to a person if the person:</w:t>
      </w:r>
    </w:p>
    <w:p w14:paraId="399891DC" w14:textId="77777777" w:rsidR="00E514DB" w:rsidRPr="007D580B" w:rsidRDefault="00E514DB" w:rsidP="00E514DB">
      <w:pPr>
        <w:pStyle w:val="ListParagraph"/>
        <w:numPr>
          <w:ilvl w:val="0"/>
          <w:numId w:val="20"/>
        </w:numPr>
        <w:spacing w:after="120"/>
        <w:ind w:left="714" w:hanging="357"/>
        <w:rPr>
          <w:rFonts w:ascii="Arial" w:hAnsi="Arial" w:cs="Arial"/>
          <w:sz w:val="24"/>
          <w:szCs w:val="24"/>
        </w:rPr>
      </w:pPr>
      <w:r w:rsidRPr="007D580B">
        <w:rPr>
          <w:rFonts w:ascii="Arial" w:hAnsi="Arial" w:cs="Arial"/>
          <w:sz w:val="24"/>
          <w:szCs w:val="24"/>
        </w:rPr>
        <w:t xml:space="preserve">becomes liable to pay an offset amount to the Territory before 1 April 2026; and </w:t>
      </w:r>
    </w:p>
    <w:p w14:paraId="2D206DFA" w14:textId="77777777" w:rsidR="00E514DB" w:rsidRPr="007D580B" w:rsidRDefault="00E514DB" w:rsidP="00E514DB">
      <w:pPr>
        <w:pStyle w:val="ListParagraph"/>
        <w:numPr>
          <w:ilvl w:val="0"/>
          <w:numId w:val="20"/>
        </w:numPr>
        <w:spacing w:after="120"/>
        <w:ind w:left="714" w:hanging="357"/>
        <w:rPr>
          <w:rFonts w:ascii="Arial" w:hAnsi="Arial" w:cs="Arial"/>
          <w:sz w:val="24"/>
          <w:szCs w:val="24"/>
        </w:rPr>
      </w:pPr>
      <w:r w:rsidRPr="007D580B">
        <w:rPr>
          <w:rFonts w:ascii="Arial" w:hAnsi="Arial" w:cs="Arial"/>
          <w:sz w:val="24"/>
          <w:szCs w:val="24"/>
        </w:rPr>
        <w:t xml:space="preserve">is entitled under a voluntary surrender agreement, to the deemed payment or partial payment of an offset amount; and </w:t>
      </w:r>
    </w:p>
    <w:p w14:paraId="5027ED7B" w14:textId="77777777" w:rsidR="00E514DB" w:rsidRPr="007D580B" w:rsidRDefault="00E514DB" w:rsidP="00E514DB">
      <w:pPr>
        <w:pStyle w:val="ListParagraph"/>
        <w:numPr>
          <w:ilvl w:val="0"/>
          <w:numId w:val="20"/>
        </w:numPr>
        <w:ind w:left="714" w:hanging="357"/>
        <w:rPr>
          <w:rFonts w:ascii="Arial" w:hAnsi="Arial" w:cs="Arial"/>
          <w:sz w:val="24"/>
          <w:szCs w:val="24"/>
        </w:rPr>
      </w:pPr>
      <w:r w:rsidRPr="007D580B">
        <w:rPr>
          <w:rFonts w:ascii="Arial" w:hAnsi="Arial" w:cs="Arial"/>
          <w:sz w:val="24"/>
          <w:szCs w:val="24"/>
        </w:rPr>
        <w:t>claims the entitlement under any process set out in the voluntary surrender agreement before 1 April 2026.</w:t>
      </w:r>
    </w:p>
    <w:p w14:paraId="2F018A3E" w14:textId="77777777" w:rsidR="00E514DB" w:rsidRDefault="00E514DB" w:rsidP="007B7065">
      <w:pPr>
        <w:spacing w:after="0"/>
        <w:rPr>
          <w:rFonts w:ascii="Arial" w:hAnsi="Arial" w:cs="Arial"/>
          <w:sz w:val="24"/>
          <w:szCs w:val="24"/>
        </w:rPr>
      </w:pPr>
    </w:p>
    <w:p w14:paraId="79F3671F" w14:textId="52184E17" w:rsidR="00213F6A" w:rsidRDefault="00AF44E8" w:rsidP="00BA74D0">
      <w:pPr>
        <w:spacing w:after="0"/>
        <w:rPr>
          <w:rFonts w:ascii="Arial" w:hAnsi="Arial" w:cs="Arial"/>
          <w:sz w:val="24"/>
          <w:szCs w:val="24"/>
        </w:rPr>
      </w:pPr>
      <w:r w:rsidRPr="007D580B">
        <w:rPr>
          <w:rFonts w:ascii="Arial" w:hAnsi="Arial" w:cs="Arial"/>
          <w:sz w:val="24"/>
          <w:szCs w:val="24"/>
        </w:rPr>
        <w:t>An offset amount</w:t>
      </w:r>
      <w:r w:rsidR="007B7065">
        <w:rPr>
          <w:rFonts w:ascii="Arial" w:hAnsi="Arial" w:cs="Arial"/>
          <w:sz w:val="24"/>
          <w:szCs w:val="24"/>
        </w:rPr>
        <w:t xml:space="preserve"> is defined in section 10H</w:t>
      </w:r>
      <w:r w:rsidR="00E514DB">
        <w:rPr>
          <w:rFonts w:ascii="Arial" w:hAnsi="Arial" w:cs="Arial"/>
          <w:sz w:val="24"/>
          <w:szCs w:val="24"/>
        </w:rPr>
        <w:t>(4)</w:t>
      </w:r>
      <w:r w:rsidR="007B7065">
        <w:rPr>
          <w:rFonts w:ascii="Arial" w:hAnsi="Arial" w:cs="Arial"/>
          <w:sz w:val="24"/>
          <w:szCs w:val="24"/>
        </w:rPr>
        <w:t xml:space="preserve"> as a</w:t>
      </w:r>
      <w:r w:rsidRPr="007D580B">
        <w:rPr>
          <w:rFonts w:ascii="Arial" w:hAnsi="Arial" w:cs="Arial"/>
          <w:sz w:val="24"/>
          <w:szCs w:val="24"/>
        </w:rPr>
        <w:t xml:space="preserve"> fee, charge or other amount that is prescribed by regulation</w:t>
      </w:r>
      <w:r w:rsidR="007B7065">
        <w:rPr>
          <w:rFonts w:ascii="Arial" w:hAnsi="Arial" w:cs="Arial"/>
          <w:sz w:val="24"/>
          <w:szCs w:val="24"/>
        </w:rPr>
        <w:t xml:space="preserve"> for the purposes of </w:t>
      </w:r>
      <w:r w:rsidR="00213F6A">
        <w:rPr>
          <w:rFonts w:ascii="Arial" w:hAnsi="Arial" w:cs="Arial"/>
          <w:sz w:val="24"/>
          <w:szCs w:val="24"/>
        </w:rPr>
        <w:t xml:space="preserve">that subsection </w:t>
      </w:r>
      <w:r w:rsidR="007B7065">
        <w:rPr>
          <w:rFonts w:ascii="Arial" w:hAnsi="Arial" w:cs="Arial"/>
          <w:sz w:val="24"/>
          <w:szCs w:val="24"/>
        </w:rPr>
        <w:t>and</w:t>
      </w:r>
      <w:r w:rsidRPr="007D580B">
        <w:rPr>
          <w:rFonts w:ascii="Arial" w:hAnsi="Arial" w:cs="Arial"/>
          <w:sz w:val="24"/>
          <w:szCs w:val="24"/>
        </w:rPr>
        <w:t xml:space="preserve"> payable under the</w:t>
      </w:r>
      <w:r w:rsidR="00BA74D0">
        <w:rPr>
          <w:rFonts w:ascii="Arial" w:hAnsi="Arial" w:cs="Arial"/>
          <w:sz w:val="24"/>
          <w:szCs w:val="24"/>
        </w:rPr>
        <w:t xml:space="preserve"> Acts listed in </w:t>
      </w:r>
      <w:r w:rsidR="00E514DB">
        <w:rPr>
          <w:rFonts w:ascii="Arial" w:hAnsi="Arial" w:cs="Arial"/>
          <w:sz w:val="24"/>
          <w:szCs w:val="24"/>
        </w:rPr>
        <w:t xml:space="preserve">that </w:t>
      </w:r>
      <w:r w:rsidR="00213F6A">
        <w:rPr>
          <w:rFonts w:ascii="Arial" w:hAnsi="Arial" w:cs="Arial"/>
          <w:sz w:val="24"/>
          <w:szCs w:val="24"/>
        </w:rPr>
        <w:t>sub</w:t>
      </w:r>
      <w:r w:rsidR="00E514DB">
        <w:rPr>
          <w:rFonts w:ascii="Arial" w:hAnsi="Arial" w:cs="Arial"/>
          <w:sz w:val="24"/>
          <w:szCs w:val="24"/>
        </w:rPr>
        <w:t>section</w:t>
      </w:r>
      <w:r w:rsidR="00BA74D0">
        <w:rPr>
          <w:rFonts w:ascii="Arial" w:hAnsi="Arial" w:cs="Arial"/>
          <w:sz w:val="24"/>
          <w:szCs w:val="24"/>
        </w:rPr>
        <w:t>.</w:t>
      </w:r>
    </w:p>
    <w:p w14:paraId="5A0A241D" w14:textId="77777777" w:rsidR="00213F6A" w:rsidRDefault="00213F6A" w:rsidP="00BA74D0">
      <w:pPr>
        <w:spacing w:after="0"/>
        <w:rPr>
          <w:rFonts w:ascii="Arial" w:hAnsi="Arial" w:cs="Arial"/>
          <w:sz w:val="24"/>
          <w:szCs w:val="24"/>
        </w:rPr>
      </w:pPr>
    </w:p>
    <w:p w14:paraId="0DCFA0B1" w14:textId="09C808E6" w:rsidR="00BA74D0" w:rsidRDefault="00BA74D0" w:rsidP="00BA74D0">
      <w:pPr>
        <w:spacing w:after="0"/>
        <w:rPr>
          <w:rFonts w:ascii="Arial" w:hAnsi="Arial" w:cs="Arial"/>
          <w:sz w:val="24"/>
          <w:szCs w:val="24"/>
        </w:rPr>
      </w:pPr>
      <w:r w:rsidRPr="00BA74D0">
        <w:rPr>
          <w:rFonts w:ascii="Arial" w:hAnsi="Arial" w:cs="Arial"/>
          <w:sz w:val="24"/>
          <w:szCs w:val="24"/>
        </w:rPr>
        <w:t xml:space="preserve">As the offset amounts endure for seven years and it is not possible to forecast changes in the legislative framework for land, planning and development payments, fees and charges across that period, the list of Acts for which offset amounts </w:t>
      </w:r>
      <w:r w:rsidR="001144FC">
        <w:rPr>
          <w:rFonts w:ascii="Arial" w:hAnsi="Arial" w:cs="Arial"/>
          <w:sz w:val="24"/>
          <w:szCs w:val="24"/>
        </w:rPr>
        <w:t>may</w:t>
      </w:r>
      <w:r w:rsidRPr="00BA74D0">
        <w:rPr>
          <w:rFonts w:ascii="Arial" w:hAnsi="Arial" w:cs="Arial"/>
          <w:sz w:val="24"/>
          <w:szCs w:val="24"/>
        </w:rPr>
        <w:t xml:space="preserve"> be prescribed can be expanded by Regulation </w:t>
      </w:r>
      <w:r>
        <w:rPr>
          <w:rFonts w:ascii="Arial" w:hAnsi="Arial" w:cs="Arial"/>
          <w:sz w:val="24"/>
          <w:szCs w:val="24"/>
        </w:rPr>
        <w:t xml:space="preserve">if required in future </w:t>
      </w:r>
      <w:r w:rsidRPr="00BA74D0">
        <w:rPr>
          <w:rFonts w:ascii="Arial" w:hAnsi="Arial" w:cs="Arial"/>
          <w:sz w:val="24"/>
          <w:szCs w:val="24"/>
        </w:rPr>
        <w:t>(</w:t>
      </w:r>
      <w:r>
        <w:rPr>
          <w:rFonts w:ascii="Arial" w:hAnsi="Arial" w:cs="Arial"/>
          <w:sz w:val="24"/>
          <w:szCs w:val="24"/>
        </w:rPr>
        <w:t>section </w:t>
      </w:r>
      <w:r w:rsidRPr="00BA74D0">
        <w:rPr>
          <w:rFonts w:ascii="Arial" w:hAnsi="Arial" w:cs="Arial"/>
          <w:sz w:val="24"/>
          <w:szCs w:val="24"/>
        </w:rPr>
        <w:t>10H(4)</w:t>
      </w:r>
      <w:r>
        <w:rPr>
          <w:rFonts w:ascii="Arial" w:hAnsi="Arial" w:cs="Arial"/>
          <w:sz w:val="24"/>
          <w:szCs w:val="24"/>
        </w:rPr>
        <w:t>(b)(viii))</w:t>
      </w:r>
      <w:r w:rsidRPr="00BA74D0">
        <w:rPr>
          <w:rFonts w:ascii="Arial" w:hAnsi="Arial" w:cs="Arial"/>
          <w:sz w:val="24"/>
          <w:szCs w:val="24"/>
        </w:rPr>
        <w:t>.</w:t>
      </w:r>
    </w:p>
    <w:p w14:paraId="6B99BCC9" w14:textId="77777777" w:rsidR="00AF44E8" w:rsidRPr="007D580B" w:rsidRDefault="00AF44E8" w:rsidP="00AF44E8">
      <w:pPr>
        <w:spacing w:after="0"/>
        <w:rPr>
          <w:rFonts w:ascii="Arial" w:hAnsi="Arial" w:cs="Arial"/>
          <w:sz w:val="24"/>
          <w:szCs w:val="24"/>
        </w:rPr>
      </w:pPr>
    </w:p>
    <w:p w14:paraId="7CBF705D" w14:textId="446D59EC" w:rsidR="00F053BF" w:rsidRPr="007D580B" w:rsidRDefault="00836152" w:rsidP="00BA74D0">
      <w:pPr>
        <w:spacing w:after="120"/>
        <w:rPr>
          <w:rFonts w:ascii="Arial" w:hAnsi="Arial" w:cs="Arial"/>
          <w:sz w:val="24"/>
          <w:szCs w:val="24"/>
        </w:rPr>
      </w:pPr>
      <w:r>
        <w:rPr>
          <w:rFonts w:ascii="Arial" w:hAnsi="Arial" w:cs="Arial"/>
          <w:sz w:val="24"/>
          <w:szCs w:val="24"/>
        </w:rPr>
        <w:t>Clause 4</w:t>
      </w:r>
      <w:r w:rsidR="00BA74D0">
        <w:rPr>
          <w:rFonts w:ascii="Arial" w:hAnsi="Arial" w:cs="Arial"/>
          <w:sz w:val="24"/>
          <w:szCs w:val="24"/>
        </w:rPr>
        <w:t xml:space="preserve"> prescribes the </w:t>
      </w:r>
      <w:r w:rsidR="00F053BF" w:rsidRPr="007D580B">
        <w:rPr>
          <w:rFonts w:ascii="Arial" w:hAnsi="Arial" w:cs="Arial"/>
          <w:sz w:val="24"/>
          <w:szCs w:val="24"/>
        </w:rPr>
        <w:t xml:space="preserve">following fees, charges and other amounts </w:t>
      </w:r>
      <w:r w:rsidR="00BA74D0">
        <w:rPr>
          <w:rFonts w:ascii="Arial" w:hAnsi="Arial" w:cs="Arial"/>
          <w:sz w:val="24"/>
          <w:szCs w:val="24"/>
        </w:rPr>
        <w:t>as offset amounts</w:t>
      </w:r>
      <w:r w:rsidR="00F053BF" w:rsidRPr="007D580B">
        <w:rPr>
          <w:rFonts w:ascii="Arial" w:hAnsi="Arial" w:cs="Arial"/>
          <w:sz w:val="24"/>
          <w:szCs w:val="24"/>
        </w:rPr>
        <w:t>:</w:t>
      </w:r>
    </w:p>
    <w:p w14:paraId="5746AA07" w14:textId="77777777" w:rsidR="00F053BF" w:rsidRPr="007D580B" w:rsidRDefault="00F053BF" w:rsidP="00E514DB">
      <w:pPr>
        <w:pStyle w:val="ListParagraph"/>
        <w:numPr>
          <w:ilvl w:val="0"/>
          <w:numId w:val="28"/>
        </w:numPr>
        <w:spacing w:after="120"/>
        <w:ind w:left="709" w:hanging="425"/>
        <w:rPr>
          <w:rFonts w:ascii="Arial" w:hAnsi="Arial" w:cs="Arial"/>
          <w:sz w:val="24"/>
          <w:szCs w:val="24"/>
        </w:rPr>
      </w:pPr>
      <w:r w:rsidRPr="007D580B">
        <w:rPr>
          <w:rFonts w:ascii="Arial" w:hAnsi="Arial" w:cs="Arial"/>
          <w:sz w:val="24"/>
          <w:szCs w:val="24"/>
        </w:rPr>
        <w:t>a fee determined for a matter under any of the following provisions:</w:t>
      </w:r>
    </w:p>
    <w:p w14:paraId="4CF5AD54" w14:textId="77777777" w:rsidR="00C437DA" w:rsidRPr="007D580B" w:rsidRDefault="00F053BF" w:rsidP="00E514DB">
      <w:pPr>
        <w:pStyle w:val="ListParagraph"/>
        <w:numPr>
          <w:ilvl w:val="0"/>
          <w:numId w:val="30"/>
        </w:numPr>
        <w:spacing w:after="120"/>
        <w:ind w:left="1276" w:hanging="567"/>
        <w:rPr>
          <w:rFonts w:ascii="Arial" w:hAnsi="Arial" w:cs="Arial"/>
          <w:sz w:val="24"/>
          <w:szCs w:val="24"/>
        </w:rPr>
      </w:pPr>
      <w:r w:rsidRPr="007D580B">
        <w:rPr>
          <w:rFonts w:ascii="Arial" w:hAnsi="Arial" w:cs="Arial"/>
          <w:sz w:val="24"/>
          <w:szCs w:val="24"/>
        </w:rPr>
        <w:t xml:space="preserve">the </w:t>
      </w:r>
      <w:r w:rsidRPr="007D580B">
        <w:rPr>
          <w:rFonts w:ascii="Arial" w:hAnsi="Arial" w:cs="Arial"/>
          <w:i/>
          <w:sz w:val="24"/>
          <w:szCs w:val="24"/>
        </w:rPr>
        <w:t>Building Act 2004</w:t>
      </w:r>
      <w:r w:rsidRPr="007D580B">
        <w:rPr>
          <w:rFonts w:ascii="Arial" w:hAnsi="Arial" w:cs="Arial"/>
          <w:sz w:val="24"/>
          <w:szCs w:val="24"/>
        </w:rPr>
        <w:t>, section 150;</w:t>
      </w:r>
    </w:p>
    <w:p w14:paraId="080740BE" w14:textId="77777777" w:rsidR="00F053BF" w:rsidRPr="007D580B" w:rsidRDefault="00F053BF" w:rsidP="00E514DB">
      <w:pPr>
        <w:pStyle w:val="ListParagraph"/>
        <w:numPr>
          <w:ilvl w:val="0"/>
          <w:numId w:val="30"/>
        </w:numPr>
        <w:spacing w:after="120"/>
        <w:ind w:left="1276" w:hanging="567"/>
        <w:rPr>
          <w:rFonts w:ascii="Arial" w:hAnsi="Arial" w:cs="Arial"/>
          <w:sz w:val="24"/>
          <w:szCs w:val="24"/>
        </w:rPr>
      </w:pPr>
      <w:r w:rsidRPr="007D580B">
        <w:rPr>
          <w:rFonts w:ascii="Arial" w:hAnsi="Arial" w:cs="Arial"/>
          <w:sz w:val="24"/>
          <w:szCs w:val="24"/>
        </w:rPr>
        <w:t xml:space="preserve">the </w:t>
      </w:r>
      <w:r w:rsidRPr="007D580B">
        <w:rPr>
          <w:rFonts w:ascii="Arial" w:hAnsi="Arial" w:cs="Arial"/>
          <w:i/>
          <w:sz w:val="24"/>
          <w:szCs w:val="24"/>
        </w:rPr>
        <w:t>Community Title Act 2001</w:t>
      </w:r>
      <w:r w:rsidRPr="007D580B">
        <w:rPr>
          <w:rFonts w:ascii="Arial" w:hAnsi="Arial" w:cs="Arial"/>
          <w:sz w:val="24"/>
          <w:szCs w:val="24"/>
        </w:rPr>
        <w:t>, section 96;</w:t>
      </w:r>
    </w:p>
    <w:p w14:paraId="194B689B" w14:textId="77777777" w:rsidR="00F053BF" w:rsidRPr="007D580B" w:rsidRDefault="00F053BF" w:rsidP="00E514DB">
      <w:pPr>
        <w:pStyle w:val="ListParagraph"/>
        <w:numPr>
          <w:ilvl w:val="0"/>
          <w:numId w:val="30"/>
        </w:numPr>
        <w:spacing w:after="120"/>
        <w:ind w:left="1276" w:hanging="567"/>
        <w:rPr>
          <w:rFonts w:ascii="Arial" w:hAnsi="Arial" w:cs="Arial"/>
          <w:sz w:val="24"/>
          <w:szCs w:val="24"/>
        </w:rPr>
      </w:pPr>
      <w:r w:rsidRPr="007D580B">
        <w:rPr>
          <w:rFonts w:ascii="Arial" w:hAnsi="Arial" w:cs="Arial"/>
          <w:sz w:val="24"/>
          <w:szCs w:val="24"/>
        </w:rPr>
        <w:t xml:space="preserve">the </w:t>
      </w:r>
      <w:r w:rsidRPr="007D580B">
        <w:rPr>
          <w:rFonts w:ascii="Arial" w:hAnsi="Arial" w:cs="Arial"/>
          <w:i/>
          <w:sz w:val="24"/>
          <w:szCs w:val="24"/>
        </w:rPr>
        <w:t>Electricity Safety Act 1971</w:t>
      </w:r>
      <w:r w:rsidRPr="007D580B">
        <w:rPr>
          <w:rFonts w:ascii="Arial" w:hAnsi="Arial" w:cs="Arial"/>
          <w:sz w:val="24"/>
          <w:szCs w:val="24"/>
        </w:rPr>
        <w:t>, section 64;</w:t>
      </w:r>
    </w:p>
    <w:p w14:paraId="7CF8C2E5" w14:textId="77777777" w:rsidR="00F053BF" w:rsidRPr="007D580B" w:rsidRDefault="00F053BF" w:rsidP="00E514DB">
      <w:pPr>
        <w:pStyle w:val="ListParagraph"/>
        <w:numPr>
          <w:ilvl w:val="0"/>
          <w:numId w:val="30"/>
        </w:numPr>
        <w:spacing w:after="120"/>
        <w:ind w:left="1276" w:hanging="567"/>
        <w:rPr>
          <w:rFonts w:ascii="Arial" w:hAnsi="Arial" w:cs="Arial"/>
          <w:sz w:val="24"/>
          <w:szCs w:val="24"/>
        </w:rPr>
      </w:pPr>
      <w:r w:rsidRPr="007D580B">
        <w:rPr>
          <w:rFonts w:ascii="Arial" w:hAnsi="Arial" w:cs="Arial"/>
          <w:sz w:val="24"/>
          <w:szCs w:val="24"/>
        </w:rPr>
        <w:t xml:space="preserve">the </w:t>
      </w:r>
      <w:r w:rsidRPr="007D580B">
        <w:rPr>
          <w:rFonts w:ascii="Arial" w:hAnsi="Arial" w:cs="Arial"/>
          <w:i/>
          <w:sz w:val="24"/>
          <w:szCs w:val="24"/>
        </w:rPr>
        <w:t>Gas Safety Act 2000</w:t>
      </w:r>
      <w:r w:rsidRPr="007D580B">
        <w:rPr>
          <w:rFonts w:ascii="Arial" w:hAnsi="Arial" w:cs="Arial"/>
          <w:sz w:val="24"/>
          <w:szCs w:val="24"/>
        </w:rPr>
        <w:t>, section 67;</w:t>
      </w:r>
    </w:p>
    <w:p w14:paraId="6E59BB0F" w14:textId="77777777" w:rsidR="00F053BF" w:rsidRPr="007D580B" w:rsidRDefault="00F053BF" w:rsidP="00E514DB">
      <w:pPr>
        <w:pStyle w:val="ListParagraph"/>
        <w:numPr>
          <w:ilvl w:val="0"/>
          <w:numId w:val="30"/>
        </w:numPr>
        <w:spacing w:after="120"/>
        <w:ind w:left="1276" w:hanging="567"/>
        <w:rPr>
          <w:rFonts w:ascii="Arial" w:hAnsi="Arial" w:cs="Arial"/>
          <w:sz w:val="24"/>
          <w:szCs w:val="24"/>
        </w:rPr>
      </w:pPr>
      <w:r w:rsidRPr="007D580B">
        <w:rPr>
          <w:rFonts w:ascii="Arial" w:hAnsi="Arial" w:cs="Arial"/>
          <w:sz w:val="24"/>
          <w:szCs w:val="24"/>
        </w:rPr>
        <w:t xml:space="preserve">the </w:t>
      </w:r>
      <w:r w:rsidRPr="007D580B">
        <w:rPr>
          <w:rFonts w:ascii="Arial" w:hAnsi="Arial" w:cs="Arial"/>
          <w:i/>
          <w:sz w:val="24"/>
          <w:szCs w:val="24"/>
        </w:rPr>
        <w:t>Unit Titles Act 2001</w:t>
      </w:r>
      <w:r w:rsidRPr="007D580B">
        <w:rPr>
          <w:rFonts w:ascii="Arial" w:hAnsi="Arial" w:cs="Arial"/>
          <w:sz w:val="24"/>
          <w:szCs w:val="24"/>
        </w:rPr>
        <w:t>, section 179;</w:t>
      </w:r>
    </w:p>
    <w:p w14:paraId="036A0FA3" w14:textId="40009A3C" w:rsidR="00F053BF" w:rsidRPr="007D580B" w:rsidRDefault="00F053BF" w:rsidP="00E514DB">
      <w:pPr>
        <w:pStyle w:val="ListParagraph"/>
        <w:numPr>
          <w:ilvl w:val="0"/>
          <w:numId w:val="30"/>
        </w:numPr>
        <w:ind w:left="1276" w:hanging="567"/>
        <w:rPr>
          <w:rFonts w:ascii="Arial" w:hAnsi="Arial" w:cs="Arial"/>
          <w:sz w:val="24"/>
          <w:szCs w:val="24"/>
        </w:rPr>
      </w:pPr>
      <w:r w:rsidRPr="007D580B">
        <w:rPr>
          <w:rFonts w:ascii="Arial" w:hAnsi="Arial" w:cs="Arial"/>
          <w:sz w:val="24"/>
          <w:szCs w:val="24"/>
        </w:rPr>
        <w:t xml:space="preserve">the </w:t>
      </w:r>
      <w:r w:rsidRPr="007D580B">
        <w:rPr>
          <w:rFonts w:ascii="Arial" w:hAnsi="Arial" w:cs="Arial"/>
          <w:i/>
          <w:sz w:val="24"/>
          <w:szCs w:val="24"/>
        </w:rPr>
        <w:t>Water and Sewerage Act 2000</w:t>
      </w:r>
      <w:r w:rsidR="00E514DB">
        <w:rPr>
          <w:rFonts w:ascii="Arial" w:hAnsi="Arial" w:cs="Arial"/>
          <w:sz w:val="24"/>
          <w:szCs w:val="24"/>
        </w:rPr>
        <w:t>, section 45;</w:t>
      </w:r>
    </w:p>
    <w:p w14:paraId="16E683F5" w14:textId="77777777" w:rsidR="00032DC1" w:rsidRPr="007D580B" w:rsidRDefault="00032DC1" w:rsidP="00836152">
      <w:pPr>
        <w:pStyle w:val="ListParagraph"/>
        <w:spacing w:after="120"/>
        <w:ind w:left="1843"/>
        <w:rPr>
          <w:rFonts w:ascii="Arial" w:hAnsi="Arial" w:cs="Arial"/>
          <w:sz w:val="24"/>
          <w:szCs w:val="24"/>
        </w:rPr>
      </w:pPr>
    </w:p>
    <w:p w14:paraId="24611A22" w14:textId="77777777" w:rsidR="00F053BF" w:rsidRPr="007D580B" w:rsidRDefault="00F053BF" w:rsidP="00E514DB">
      <w:pPr>
        <w:pStyle w:val="ListParagraph"/>
        <w:numPr>
          <w:ilvl w:val="0"/>
          <w:numId w:val="28"/>
        </w:numPr>
        <w:spacing w:after="120"/>
        <w:ind w:left="709" w:hanging="425"/>
        <w:rPr>
          <w:rFonts w:ascii="Arial" w:hAnsi="Arial" w:cs="Arial"/>
          <w:sz w:val="24"/>
          <w:szCs w:val="24"/>
        </w:rPr>
      </w:pPr>
      <w:r w:rsidRPr="007D580B">
        <w:rPr>
          <w:rFonts w:ascii="Arial" w:hAnsi="Arial" w:cs="Arial"/>
          <w:sz w:val="24"/>
          <w:szCs w:val="24"/>
        </w:rPr>
        <w:t xml:space="preserve">a fee determined for a matter under the </w:t>
      </w:r>
      <w:r w:rsidRPr="00E514DB">
        <w:rPr>
          <w:rFonts w:ascii="Arial" w:hAnsi="Arial" w:cs="Arial"/>
          <w:i/>
          <w:sz w:val="24"/>
          <w:szCs w:val="24"/>
        </w:rPr>
        <w:t>Planning and Development Act 2007</w:t>
      </w:r>
      <w:r w:rsidRPr="007D580B">
        <w:rPr>
          <w:rFonts w:ascii="Arial" w:hAnsi="Arial" w:cs="Arial"/>
          <w:sz w:val="24"/>
          <w:szCs w:val="24"/>
        </w:rPr>
        <w:t>, section 424 in relation to any of the following provisions of that Act:</w:t>
      </w:r>
    </w:p>
    <w:p w14:paraId="3C3452CF" w14:textId="77777777" w:rsidR="00C437DA" w:rsidRPr="007D580B" w:rsidRDefault="00C437DA" w:rsidP="00E514DB">
      <w:pPr>
        <w:pStyle w:val="ListParagraph"/>
        <w:numPr>
          <w:ilvl w:val="0"/>
          <w:numId w:val="31"/>
        </w:numPr>
        <w:spacing w:after="120"/>
        <w:ind w:left="1276" w:hanging="567"/>
        <w:rPr>
          <w:rFonts w:ascii="Arial" w:hAnsi="Arial" w:cs="Arial"/>
          <w:sz w:val="24"/>
          <w:szCs w:val="24"/>
        </w:rPr>
      </w:pPr>
      <w:r w:rsidRPr="007D580B">
        <w:rPr>
          <w:rFonts w:ascii="Arial" w:hAnsi="Arial" w:cs="Arial"/>
          <w:sz w:val="24"/>
          <w:szCs w:val="24"/>
        </w:rPr>
        <w:t>part 5.3 (Variations of territory plan other than special variation or technical amendments);</w:t>
      </w:r>
    </w:p>
    <w:p w14:paraId="3E599B7A" w14:textId="77777777" w:rsidR="00C437DA" w:rsidRPr="007D580B" w:rsidRDefault="00C437DA" w:rsidP="00E514DB">
      <w:pPr>
        <w:pStyle w:val="ListParagraph"/>
        <w:numPr>
          <w:ilvl w:val="0"/>
          <w:numId w:val="31"/>
        </w:numPr>
        <w:spacing w:after="120"/>
        <w:ind w:left="1276" w:hanging="567"/>
        <w:rPr>
          <w:rFonts w:ascii="Arial" w:hAnsi="Arial" w:cs="Arial"/>
          <w:sz w:val="24"/>
          <w:szCs w:val="24"/>
        </w:rPr>
      </w:pPr>
      <w:r w:rsidRPr="007D580B">
        <w:rPr>
          <w:rFonts w:ascii="Arial" w:hAnsi="Arial" w:cs="Arial"/>
          <w:sz w:val="24"/>
          <w:szCs w:val="24"/>
        </w:rPr>
        <w:t>part 7.2 (Assessment tracks for development applications);</w:t>
      </w:r>
    </w:p>
    <w:p w14:paraId="0EAE6DB7" w14:textId="77777777" w:rsidR="00C437DA" w:rsidRPr="007D580B" w:rsidRDefault="00C437DA" w:rsidP="00E514DB">
      <w:pPr>
        <w:pStyle w:val="ListParagraph"/>
        <w:numPr>
          <w:ilvl w:val="0"/>
          <w:numId w:val="31"/>
        </w:numPr>
        <w:spacing w:after="120"/>
        <w:ind w:left="1276" w:hanging="567"/>
        <w:rPr>
          <w:rFonts w:ascii="Arial" w:hAnsi="Arial" w:cs="Arial"/>
          <w:sz w:val="24"/>
          <w:szCs w:val="24"/>
        </w:rPr>
      </w:pPr>
      <w:r w:rsidRPr="007D580B">
        <w:rPr>
          <w:rFonts w:ascii="Arial" w:hAnsi="Arial" w:cs="Arial"/>
          <w:sz w:val="24"/>
          <w:szCs w:val="24"/>
        </w:rPr>
        <w:t>part 7.3 (Development applications);</w:t>
      </w:r>
    </w:p>
    <w:p w14:paraId="54B3C984" w14:textId="77777777" w:rsidR="00032DC1" w:rsidRPr="007D580B" w:rsidRDefault="00C437DA" w:rsidP="00E514DB">
      <w:pPr>
        <w:pStyle w:val="ListParagraph"/>
        <w:numPr>
          <w:ilvl w:val="0"/>
          <w:numId w:val="31"/>
        </w:numPr>
        <w:spacing w:after="120"/>
        <w:ind w:left="1276" w:hanging="567"/>
        <w:rPr>
          <w:rFonts w:ascii="Arial" w:hAnsi="Arial" w:cs="Arial"/>
          <w:sz w:val="24"/>
          <w:szCs w:val="24"/>
        </w:rPr>
      </w:pPr>
      <w:r w:rsidRPr="007D580B">
        <w:rPr>
          <w:rFonts w:ascii="Arial" w:hAnsi="Arial" w:cs="Arial"/>
          <w:sz w:val="24"/>
          <w:szCs w:val="24"/>
        </w:rPr>
        <w:t>part 8.2 (Environmental impact statements);</w:t>
      </w:r>
    </w:p>
    <w:p w14:paraId="1046A419" w14:textId="77777777" w:rsidR="00C437DA" w:rsidRPr="007D580B" w:rsidRDefault="00C437DA" w:rsidP="00E514DB">
      <w:pPr>
        <w:pStyle w:val="ListParagraph"/>
        <w:numPr>
          <w:ilvl w:val="0"/>
          <w:numId w:val="31"/>
        </w:numPr>
        <w:spacing w:after="120"/>
        <w:ind w:left="1276" w:hanging="567"/>
        <w:rPr>
          <w:rFonts w:ascii="Arial" w:hAnsi="Arial" w:cs="Arial"/>
          <w:sz w:val="24"/>
          <w:szCs w:val="24"/>
        </w:rPr>
      </w:pPr>
      <w:r w:rsidRPr="007D580B">
        <w:rPr>
          <w:rFonts w:ascii="Arial" w:hAnsi="Arial" w:cs="Arial"/>
          <w:sz w:val="24"/>
          <w:szCs w:val="24"/>
        </w:rPr>
        <w:t>part 8.3 (Inquiry panels);</w:t>
      </w:r>
    </w:p>
    <w:p w14:paraId="01121014" w14:textId="77777777" w:rsidR="00C437DA" w:rsidRPr="007D580B" w:rsidRDefault="00C437DA" w:rsidP="00E514DB">
      <w:pPr>
        <w:pStyle w:val="ListParagraph"/>
        <w:numPr>
          <w:ilvl w:val="0"/>
          <w:numId w:val="31"/>
        </w:numPr>
        <w:spacing w:after="120"/>
        <w:ind w:left="1276" w:hanging="567"/>
        <w:rPr>
          <w:rFonts w:ascii="Arial" w:hAnsi="Arial" w:cs="Arial"/>
          <w:sz w:val="24"/>
          <w:szCs w:val="24"/>
        </w:rPr>
      </w:pPr>
      <w:r w:rsidRPr="007D580B">
        <w:rPr>
          <w:rFonts w:ascii="Arial" w:hAnsi="Arial" w:cs="Arial"/>
          <w:sz w:val="24"/>
          <w:szCs w:val="24"/>
        </w:rPr>
        <w:t>part 9.2 (Grants of leases generally);</w:t>
      </w:r>
    </w:p>
    <w:p w14:paraId="2CFF7D33" w14:textId="77777777" w:rsidR="00C437DA" w:rsidRPr="007D580B" w:rsidRDefault="00C437DA" w:rsidP="00E514DB">
      <w:pPr>
        <w:pStyle w:val="ListParagraph"/>
        <w:numPr>
          <w:ilvl w:val="0"/>
          <w:numId w:val="31"/>
        </w:numPr>
        <w:spacing w:after="120"/>
        <w:ind w:left="1276" w:hanging="567"/>
        <w:rPr>
          <w:rFonts w:ascii="Arial" w:hAnsi="Arial" w:cs="Arial"/>
          <w:sz w:val="24"/>
          <w:szCs w:val="24"/>
        </w:rPr>
      </w:pPr>
      <w:r w:rsidRPr="007D580B">
        <w:rPr>
          <w:rFonts w:ascii="Arial" w:hAnsi="Arial" w:cs="Arial"/>
          <w:sz w:val="24"/>
          <w:szCs w:val="24"/>
        </w:rPr>
        <w:lastRenderedPageBreak/>
        <w:t>part 9.3 (Grants of further leases);</w:t>
      </w:r>
    </w:p>
    <w:p w14:paraId="6072CE44" w14:textId="77777777" w:rsidR="00C437DA" w:rsidRPr="007D580B" w:rsidRDefault="00C437DA" w:rsidP="00E514DB">
      <w:pPr>
        <w:pStyle w:val="ListParagraph"/>
        <w:numPr>
          <w:ilvl w:val="0"/>
          <w:numId w:val="31"/>
        </w:numPr>
        <w:spacing w:after="120"/>
        <w:ind w:left="1276" w:hanging="567"/>
        <w:rPr>
          <w:rFonts w:ascii="Arial" w:hAnsi="Arial" w:cs="Arial"/>
          <w:sz w:val="24"/>
          <w:szCs w:val="24"/>
        </w:rPr>
      </w:pPr>
      <w:r w:rsidRPr="007D580B">
        <w:rPr>
          <w:rFonts w:ascii="Arial" w:hAnsi="Arial" w:cs="Arial"/>
          <w:sz w:val="24"/>
          <w:szCs w:val="24"/>
        </w:rPr>
        <w:t>part 9.4 (Concessional leases);</w:t>
      </w:r>
    </w:p>
    <w:p w14:paraId="2F5FE9A6" w14:textId="77777777" w:rsidR="00C437DA" w:rsidRPr="007D580B" w:rsidRDefault="00C437DA" w:rsidP="00E514DB">
      <w:pPr>
        <w:pStyle w:val="ListParagraph"/>
        <w:numPr>
          <w:ilvl w:val="0"/>
          <w:numId w:val="31"/>
        </w:numPr>
        <w:spacing w:after="120"/>
        <w:ind w:left="1276" w:hanging="567"/>
        <w:rPr>
          <w:rFonts w:ascii="Arial" w:hAnsi="Arial" w:cs="Arial"/>
          <w:sz w:val="24"/>
          <w:szCs w:val="24"/>
        </w:rPr>
      </w:pPr>
      <w:r w:rsidRPr="007D580B">
        <w:rPr>
          <w:rFonts w:ascii="Arial" w:hAnsi="Arial" w:cs="Arial"/>
          <w:sz w:val="24"/>
          <w:szCs w:val="24"/>
        </w:rPr>
        <w:t>part 9.6 (Lease variations);</w:t>
      </w:r>
    </w:p>
    <w:p w14:paraId="0D93467F" w14:textId="232EBB93" w:rsidR="00C437DA" w:rsidRPr="007D580B" w:rsidRDefault="00C437DA" w:rsidP="00E514DB">
      <w:pPr>
        <w:pStyle w:val="ListParagraph"/>
        <w:numPr>
          <w:ilvl w:val="0"/>
          <w:numId w:val="31"/>
        </w:numPr>
        <w:spacing w:after="120"/>
        <w:ind w:left="1276" w:hanging="567"/>
        <w:rPr>
          <w:rFonts w:ascii="Arial" w:hAnsi="Arial" w:cs="Arial"/>
          <w:sz w:val="24"/>
          <w:szCs w:val="24"/>
        </w:rPr>
      </w:pPr>
      <w:r w:rsidRPr="007D580B">
        <w:rPr>
          <w:rFonts w:ascii="Arial" w:hAnsi="Arial" w:cs="Arial"/>
          <w:sz w:val="24"/>
          <w:szCs w:val="24"/>
        </w:rPr>
        <w:t>part 9.9 (Leases—certificates of compliance and building</w:t>
      </w:r>
      <w:r w:rsidR="00E514DB">
        <w:rPr>
          <w:rFonts w:ascii="Arial" w:hAnsi="Arial" w:cs="Arial"/>
          <w:sz w:val="24"/>
          <w:szCs w:val="24"/>
        </w:rPr>
        <w:br/>
      </w:r>
      <w:r w:rsidRPr="007D580B">
        <w:rPr>
          <w:rFonts w:ascii="Arial" w:hAnsi="Arial" w:cs="Arial"/>
          <w:sz w:val="24"/>
          <w:szCs w:val="24"/>
        </w:rPr>
        <w:t>and development provisions);</w:t>
      </w:r>
    </w:p>
    <w:p w14:paraId="66042AA9" w14:textId="77777777" w:rsidR="00C437DA" w:rsidRPr="007D580B" w:rsidRDefault="00C437DA" w:rsidP="00E514DB">
      <w:pPr>
        <w:pStyle w:val="ListParagraph"/>
        <w:numPr>
          <w:ilvl w:val="0"/>
          <w:numId w:val="31"/>
        </w:numPr>
        <w:ind w:left="1276" w:hanging="567"/>
        <w:rPr>
          <w:rFonts w:ascii="Arial" w:hAnsi="Arial" w:cs="Arial"/>
          <w:sz w:val="24"/>
          <w:szCs w:val="24"/>
        </w:rPr>
      </w:pPr>
      <w:r w:rsidRPr="007D580B">
        <w:rPr>
          <w:rFonts w:ascii="Arial" w:hAnsi="Arial" w:cs="Arial"/>
          <w:sz w:val="24"/>
          <w:szCs w:val="24"/>
        </w:rPr>
        <w:t>part 9.11 (Licences for unleased land);</w:t>
      </w:r>
    </w:p>
    <w:p w14:paraId="48E57BE5" w14:textId="77777777" w:rsidR="00032DC1" w:rsidRPr="007D580B" w:rsidRDefault="00032DC1" w:rsidP="00836152">
      <w:pPr>
        <w:pStyle w:val="ListParagraph"/>
        <w:spacing w:after="120"/>
        <w:ind w:left="1418"/>
        <w:rPr>
          <w:rFonts w:ascii="Arial" w:hAnsi="Arial" w:cs="Arial"/>
          <w:sz w:val="24"/>
          <w:szCs w:val="24"/>
        </w:rPr>
      </w:pPr>
    </w:p>
    <w:p w14:paraId="26CEEC9D" w14:textId="77777777" w:rsidR="00F053BF" w:rsidRPr="007D580B" w:rsidRDefault="00F053BF" w:rsidP="001144FC">
      <w:pPr>
        <w:pStyle w:val="ListParagraph"/>
        <w:numPr>
          <w:ilvl w:val="0"/>
          <w:numId w:val="28"/>
        </w:numPr>
        <w:ind w:left="709" w:hanging="425"/>
        <w:rPr>
          <w:rFonts w:ascii="Arial" w:hAnsi="Arial" w:cs="Arial"/>
          <w:sz w:val="24"/>
          <w:szCs w:val="24"/>
        </w:rPr>
      </w:pPr>
      <w:r w:rsidRPr="007D580B">
        <w:rPr>
          <w:rFonts w:ascii="Arial" w:hAnsi="Arial" w:cs="Arial"/>
          <w:sz w:val="24"/>
          <w:szCs w:val="24"/>
        </w:rPr>
        <w:t xml:space="preserve">a payout amount for the discharge of a concessional lease worked out under the </w:t>
      </w:r>
      <w:r w:rsidRPr="00E514DB">
        <w:rPr>
          <w:rFonts w:ascii="Arial" w:hAnsi="Arial" w:cs="Arial"/>
          <w:i/>
          <w:sz w:val="24"/>
          <w:szCs w:val="24"/>
        </w:rPr>
        <w:t>Planning and Development Act 2007</w:t>
      </w:r>
      <w:r w:rsidRPr="007D580B">
        <w:rPr>
          <w:rFonts w:ascii="Arial" w:hAnsi="Arial" w:cs="Arial"/>
          <w:sz w:val="24"/>
          <w:szCs w:val="24"/>
        </w:rPr>
        <w:t>, section 263;</w:t>
      </w:r>
    </w:p>
    <w:p w14:paraId="6B581681" w14:textId="77777777" w:rsidR="00032DC1" w:rsidRPr="007D580B" w:rsidRDefault="00032DC1" w:rsidP="00836152">
      <w:pPr>
        <w:pStyle w:val="ListParagraph"/>
        <w:spacing w:after="120"/>
        <w:ind w:left="1440"/>
        <w:rPr>
          <w:rFonts w:ascii="Arial" w:hAnsi="Arial" w:cs="Arial"/>
          <w:sz w:val="24"/>
          <w:szCs w:val="24"/>
        </w:rPr>
      </w:pPr>
    </w:p>
    <w:p w14:paraId="52DEBB30" w14:textId="3BFB6BC3" w:rsidR="00E514DB" w:rsidRDefault="00032DC1" w:rsidP="00836152">
      <w:pPr>
        <w:pStyle w:val="ListParagraph"/>
        <w:numPr>
          <w:ilvl w:val="0"/>
          <w:numId w:val="28"/>
        </w:numPr>
        <w:spacing w:after="120"/>
        <w:ind w:left="709" w:hanging="425"/>
        <w:rPr>
          <w:rFonts w:ascii="Arial" w:hAnsi="Arial" w:cs="Arial"/>
          <w:sz w:val="24"/>
          <w:szCs w:val="24"/>
        </w:rPr>
      </w:pPr>
      <w:r w:rsidRPr="007D580B">
        <w:rPr>
          <w:rFonts w:ascii="Arial" w:hAnsi="Arial" w:cs="Arial"/>
          <w:sz w:val="24"/>
          <w:szCs w:val="24"/>
        </w:rPr>
        <w:t xml:space="preserve">a lease variation charge for a chargeable variation of a nominal rent lease under the </w:t>
      </w:r>
      <w:r w:rsidRPr="00E514DB">
        <w:rPr>
          <w:rFonts w:ascii="Arial" w:hAnsi="Arial" w:cs="Arial"/>
          <w:i/>
          <w:sz w:val="24"/>
          <w:szCs w:val="24"/>
        </w:rPr>
        <w:t>Planning and Development Act 2007</w:t>
      </w:r>
      <w:r w:rsidRPr="007D580B">
        <w:rPr>
          <w:rFonts w:ascii="Arial" w:hAnsi="Arial" w:cs="Arial"/>
          <w:sz w:val="24"/>
          <w:szCs w:val="24"/>
        </w:rPr>
        <w:t>, section 276C.</w:t>
      </w:r>
    </w:p>
    <w:p w14:paraId="454F24BC" w14:textId="77777777" w:rsidR="00E514DB" w:rsidRPr="00E514DB" w:rsidRDefault="00E514DB" w:rsidP="00E514DB">
      <w:pPr>
        <w:pStyle w:val="ListParagraph"/>
        <w:rPr>
          <w:rFonts w:ascii="Arial" w:hAnsi="Arial" w:cs="Arial"/>
          <w:sz w:val="24"/>
          <w:szCs w:val="24"/>
        </w:rPr>
      </w:pPr>
    </w:p>
    <w:p w14:paraId="7229B69A" w14:textId="0978B53B" w:rsidR="00E514DB" w:rsidRPr="00E514DB" w:rsidRDefault="00E514DB" w:rsidP="00E514DB">
      <w:pPr>
        <w:spacing w:after="120"/>
        <w:rPr>
          <w:rFonts w:ascii="Arial" w:hAnsi="Arial" w:cs="Arial"/>
          <w:sz w:val="24"/>
          <w:szCs w:val="24"/>
        </w:rPr>
      </w:pPr>
      <w:r>
        <w:rPr>
          <w:rFonts w:ascii="Arial" w:hAnsi="Arial" w:cs="Arial"/>
          <w:sz w:val="24"/>
          <w:szCs w:val="24"/>
        </w:rPr>
        <w:t xml:space="preserve">Where the offset amount listed above relates to a fee determined </w:t>
      </w:r>
      <w:r w:rsidR="00213F6A">
        <w:rPr>
          <w:rFonts w:ascii="Arial" w:hAnsi="Arial" w:cs="Arial"/>
          <w:sz w:val="24"/>
          <w:szCs w:val="24"/>
        </w:rPr>
        <w:t xml:space="preserve">for a matter </w:t>
      </w:r>
      <w:r>
        <w:rPr>
          <w:rFonts w:ascii="Arial" w:hAnsi="Arial" w:cs="Arial"/>
          <w:sz w:val="24"/>
          <w:szCs w:val="24"/>
        </w:rPr>
        <w:t>under an Act, the current fee determination may be accessed on the ACT Legislation Register.</w:t>
      </w:r>
    </w:p>
    <w:sectPr w:rsidR="00E514DB" w:rsidRPr="00E514D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5A162" w14:textId="77777777" w:rsidR="00A809BF" w:rsidRDefault="00A809BF" w:rsidP="001174E1">
      <w:pPr>
        <w:spacing w:after="0" w:line="240" w:lineRule="auto"/>
      </w:pPr>
      <w:r>
        <w:separator/>
      </w:r>
    </w:p>
  </w:endnote>
  <w:endnote w:type="continuationSeparator" w:id="0">
    <w:p w14:paraId="4FCF83E0" w14:textId="77777777" w:rsidR="00A809BF" w:rsidRDefault="00A809BF" w:rsidP="00117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4B1E" w14:textId="77777777" w:rsidR="00181A31" w:rsidRDefault="00181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56621019"/>
      <w:docPartObj>
        <w:docPartGallery w:val="Page Numbers (Bottom of Page)"/>
        <w:docPartUnique/>
      </w:docPartObj>
    </w:sdtPr>
    <w:sdtEndPr>
      <w:rPr>
        <w:noProof/>
      </w:rPr>
    </w:sdtEndPr>
    <w:sdtContent>
      <w:p w14:paraId="77F07C48" w14:textId="77777777" w:rsidR="009A1F09" w:rsidRDefault="000C506E" w:rsidP="00A42270">
        <w:pPr>
          <w:pStyle w:val="Footer"/>
          <w:jc w:val="right"/>
          <w:rPr>
            <w:rFonts w:ascii="Arial" w:hAnsi="Arial" w:cs="Arial"/>
            <w:noProof/>
            <w:sz w:val="20"/>
          </w:rPr>
        </w:pPr>
        <w:r w:rsidRPr="00213F6A">
          <w:rPr>
            <w:rFonts w:ascii="Arial" w:hAnsi="Arial" w:cs="Arial"/>
            <w:sz w:val="20"/>
          </w:rPr>
          <w:fldChar w:fldCharType="begin"/>
        </w:r>
        <w:r w:rsidRPr="00213F6A">
          <w:rPr>
            <w:rFonts w:ascii="Arial" w:hAnsi="Arial" w:cs="Arial"/>
            <w:sz w:val="20"/>
          </w:rPr>
          <w:instrText xml:space="preserve"> PAGE   \* MERGEFORMAT </w:instrText>
        </w:r>
        <w:r w:rsidRPr="00213F6A">
          <w:rPr>
            <w:rFonts w:ascii="Arial" w:hAnsi="Arial" w:cs="Arial"/>
            <w:sz w:val="20"/>
          </w:rPr>
          <w:fldChar w:fldCharType="separate"/>
        </w:r>
        <w:r w:rsidR="00181A31">
          <w:rPr>
            <w:rFonts w:ascii="Arial" w:hAnsi="Arial" w:cs="Arial"/>
            <w:noProof/>
            <w:sz w:val="20"/>
          </w:rPr>
          <w:t>5</w:t>
        </w:r>
        <w:r w:rsidRPr="00213F6A">
          <w:rPr>
            <w:rFonts w:ascii="Arial" w:hAnsi="Arial" w:cs="Arial"/>
            <w:noProof/>
            <w:sz w:val="20"/>
          </w:rPr>
          <w:fldChar w:fldCharType="end"/>
        </w:r>
      </w:p>
      <w:p w14:paraId="08D40F18" w14:textId="77777777" w:rsidR="00181A31" w:rsidRDefault="00181A31" w:rsidP="009A1F09">
        <w:pPr>
          <w:pStyle w:val="Footer"/>
          <w:jc w:val="center"/>
          <w:rPr>
            <w:rFonts w:ascii="Arial" w:hAnsi="Arial" w:cs="Arial"/>
            <w:noProof/>
            <w:sz w:val="20"/>
          </w:rPr>
        </w:pPr>
      </w:p>
    </w:sdtContent>
  </w:sdt>
  <w:p w14:paraId="7A44E078" w14:textId="4A53B860" w:rsidR="000C506E" w:rsidRPr="00181A31" w:rsidRDefault="00181A31" w:rsidP="00181A31">
    <w:pPr>
      <w:pStyle w:val="Footer"/>
      <w:jc w:val="center"/>
      <w:rPr>
        <w:rFonts w:ascii="Arial" w:hAnsi="Arial" w:cs="Arial"/>
        <w:noProof/>
        <w:sz w:val="14"/>
      </w:rPr>
    </w:pPr>
    <w:r w:rsidRPr="00181A31">
      <w:rPr>
        <w:rFonts w:ascii="Arial" w:hAnsi="Arial" w:cs="Arial"/>
        <w:noProof/>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9D8E" w14:textId="77777777" w:rsidR="00181A31" w:rsidRDefault="00181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4BBA8" w14:textId="77777777" w:rsidR="00A809BF" w:rsidRDefault="00A809BF" w:rsidP="001174E1">
      <w:pPr>
        <w:spacing w:after="0" w:line="240" w:lineRule="auto"/>
      </w:pPr>
      <w:r>
        <w:separator/>
      </w:r>
    </w:p>
  </w:footnote>
  <w:footnote w:type="continuationSeparator" w:id="0">
    <w:p w14:paraId="5F711335" w14:textId="77777777" w:rsidR="00A809BF" w:rsidRDefault="00A809BF" w:rsidP="00117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5FBE2" w14:textId="77777777" w:rsidR="00181A31" w:rsidRDefault="00181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038C6" w14:textId="77777777" w:rsidR="00181A31" w:rsidRDefault="00181A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F130B" w14:textId="77777777" w:rsidR="00181A31" w:rsidRDefault="00181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8E9"/>
    <w:multiLevelType w:val="hybridMultilevel"/>
    <w:tmpl w:val="3D845CC0"/>
    <w:lvl w:ilvl="0" w:tplc="C30E9E80">
      <w:start w:val="37"/>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72019"/>
    <w:multiLevelType w:val="hybridMultilevel"/>
    <w:tmpl w:val="2CE6D40A"/>
    <w:lvl w:ilvl="0" w:tplc="C30E9E80">
      <w:start w:val="37"/>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B1735C8"/>
    <w:multiLevelType w:val="hybridMultilevel"/>
    <w:tmpl w:val="F7B46F88"/>
    <w:lvl w:ilvl="0" w:tplc="C30E9E80">
      <w:start w:val="37"/>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4D7C89"/>
    <w:multiLevelType w:val="hybridMultilevel"/>
    <w:tmpl w:val="5AFC0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3E4B43"/>
    <w:multiLevelType w:val="hybridMultilevel"/>
    <w:tmpl w:val="0D0E18F0"/>
    <w:lvl w:ilvl="0" w:tplc="C30E9E80">
      <w:start w:val="37"/>
      <w:numFmt w:val="bullet"/>
      <w:lvlText w:val="-"/>
      <w:lvlJc w:val="left"/>
      <w:pPr>
        <w:ind w:left="720" w:hanging="360"/>
      </w:pPr>
      <w:rPr>
        <w:rFonts w:ascii="Calibri" w:eastAsia="Times New Roman"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F4022B"/>
    <w:multiLevelType w:val="hybridMultilevel"/>
    <w:tmpl w:val="9A22B2EE"/>
    <w:lvl w:ilvl="0" w:tplc="653A000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8F2AA2"/>
    <w:multiLevelType w:val="hybridMultilevel"/>
    <w:tmpl w:val="BFEAECF0"/>
    <w:lvl w:ilvl="0" w:tplc="538EC0B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CD42633"/>
    <w:multiLevelType w:val="hybridMultilevel"/>
    <w:tmpl w:val="66CAE996"/>
    <w:lvl w:ilvl="0" w:tplc="CA0822C0">
      <w:start w:val="1"/>
      <w:numFmt w:val="lowerRoman"/>
      <w:lvlText w:val="(%1)"/>
      <w:lvlJc w:val="left"/>
      <w:pPr>
        <w:ind w:left="1286" w:hanging="360"/>
      </w:pPr>
      <w:rPr>
        <w:rFonts w:hint="default"/>
      </w:rPr>
    </w:lvl>
    <w:lvl w:ilvl="1" w:tplc="0C090019">
      <w:start w:val="1"/>
      <w:numFmt w:val="lowerLetter"/>
      <w:lvlText w:val="%2."/>
      <w:lvlJc w:val="left"/>
      <w:pPr>
        <w:ind w:left="2006" w:hanging="360"/>
      </w:pPr>
    </w:lvl>
    <w:lvl w:ilvl="2" w:tplc="0C09001B" w:tentative="1">
      <w:start w:val="1"/>
      <w:numFmt w:val="lowerRoman"/>
      <w:lvlText w:val="%3."/>
      <w:lvlJc w:val="right"/>
      <w:pPr>
        <w:ind w:left="2726" w:hanging="180"/>
      </w:pPr>
    </w:lvl>
    <w:lvl w:ilvl="3" w:tplc="0C09000F" w:tentative="1">
      <w:start w:val="1"/>
      <w:numFmt w:val="decimal"/>
      <w:lvlText w:val="%4."/>
      <w:lvlJc w:val="left"/>
      <w:pPr>
        <w:ind w:left="3446" w:hanging="360"/>
      </w:pPr>
    </w:lvl>
    <w:lvl w:ilvl="4" w:tplc="0C090019" w:tentative="1">
      <w:start w:val="1"/>
      <w:numFmt w:val="lowerLetter"/>
      <w:lvlText w:val="%5."/>
      <w:lvlJc w:val="left"/>
      <w:pPr>
        <w:ind w:left="4166" w:hanging="360"/>
      </w:pPr>
    </w:lvl>
    <w:lvl w:ilvl="5" w:tplc="0C09001B" w:tentative="1">
      <w:start w:val="1"/>
      <w:numFmt w:val="lowerRoman"/>
      <w:lvlText w:val="%6."/>
      <w:lvlJc w:val="right"/>
      <w:pPr>
        <w:ind w:left="4886" w:hanging="180"/>
      </w:pPr>
    </w:lvl>
    <w:lvl w:ilvl="6" w:tplc="0C09000F" w:tentative="1">
      <w:start w:val="1"/>
      <w:numFmt w:val="decimal"/>
      <w:lvlText w:val="%7."/>
      <w:lvlJc w:val="left"/>
      <w:pPr>
        <w:ind w:left="5606" w:hanging="360"/>
      </w:pPr>
    </w:lvl>
    <w:lvl w:ilvl="7" w:tplc="0C090019" w:tentative="1">
      <w:start w:val="1"/>
      <w:numFmt w:val="lowerLetter"/>
      <w:lvlText w:val="%8."/>
      <w:lvlJc w:val="left"/>
      <w:pPr>
        <w:ind w:left="6326" w:hanging="360"/>
      </w:pPr>
    </w:lvl>
    <w:lvl w:ilvl="8" w:tplc="0C09001B" w:tentative="1">
      <w:start w:val="1"/>
      <w:numFmt w:val="lowerRoman"/>
      <w:lvlText w:val="%9."/>
      <w:lvlJc w:val="right"/>
      <w:pPr>
        <w:ind w:left="7046" w:hanging="180"/>
      </w:pPr>
    </w:lvl>
  </w:abstractNum>
  <w:abstractNum w:abstractNumId="8" w15:restartNumberingAfterBreak="0">
    <w:nsid w:val="20272826"/>
    <w:multiLevelType w:val="hybridMultilevel"/>
    <w:tmpl w:val="57DC0D7A"/>
    <w:lvl w:ilvl="0" w:tplc="C30E9E80">
      <w:start w:val="37"/>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A64357"/>
    <w:multiLevelType w:val="hybridMultilevel"/>
    <w:tmpl w:val="5742D254"/>
    <w:lvl w:ilvl="0" w:tplc="54E4FFA2">
      <w:start w:val="16"/>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A58EC"/>
    <w:multiLevelType w:val="hybridMultilevel"/>
    <w:tmpl w:val="56DA6AD8"/>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11" w15:restartNumberingAfterBreak="0">
    <w:nsid w:val="29875C06"/>
    <w:multiLevelType w:val="hybridMultilevel"/>
    <w:tmpl w:val="5E0C6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5872B8"/>
    <w:multiLevelType w:val="hybridMultilevel"/>
    <w:tmpl w:val="443E71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7643E9"/>
    <w:multiLevelType w:val="hybridMultilevel"/>
    <w:tmpl w:val="6888985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FFD13DC"/>
    <w:multiLevelType w:val="hybridMultilevel"/>
    <w:tmpl w:val="1334F5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D970E8"/>
    <w:multiLevelType w:val="hybridMultilevel"/>
    <w:tmpl w:val="97FC2C28"/>
    <w:lvl w:ilvl="0" w:tplc="CA0822C0">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4681D8C"/>
    <w:multiLevelType w:val="hybridMultilevel"/>
    <w:tmpl w:val="8DCAE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B143C4"/>
    <w:multiLevelType w:val="hybridMultilevel"/>
    <w:tmpl w:val="C1DCC23E"/>
    <w:lvl w:ilvl="0" w:tplc="0FA8FF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906E16"/>
    <w:multiLevelType w:val="hybridMultilevel"/>
    <w:tmpl w:val="085C0B28"/>
    <w:lvl w:ilvl="0" w:tplc="4DEE0928">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4E0E54"/>
    <w:multiLevelType w:val="hybridMultilevel"/>
    <w:tmpl w:val="BC72E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C22D10"/>
    <w:multiLevelType w:val="hybridMultilevel"/>
    <w:tmpl w:val="14CA0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0C5A44"/>
    <w:multiLevelType w:val="hybridMultilevel"/>
    <w:tmpl w:val="69069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DE1B1B"/>
    <w:multiLevelType w:val="hybridMultilevel"/>
    <w:tmpl w:val="1D56D23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7524D2"/>
    <w:multiLevelType w:val="hybridMultilevel"/>
    <w:tmpl w:val="BEA2D6D4"/>
    <w:lvl w:ilvl="0" w:tplc="CA0822C0">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0F7400F"/>
    <w:multiLevelType w:val="hybridMultilevel"/>
    <w:tmpl w:val="A6B872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629D7D4D"/>
    <w:multiLevelType w:val="hybridMultilevel"/>
    <w:tmpl w:val="8026BDC2"/>
    <w:lvl w:ilvl="0" w:tplc="C30E9E80">
      <w:start w:val="37"/>
      <w:numFmt w:val="bullet"/>
      <w:lvlText w:val="-"/>
      <w:lvlJc w:val="left"/>
      <w:pPr>
        <w:ind w:left="780" w:hanging="360"/>
      </w:pPr>
      <w:rPr>
        <w:rFonts w:ascii="Calibri" w:eastAsia="Times New Roman" w:hAnsi="Calibri" w:cs="Calibri"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639C34CE"/>
    <w:multiLevelType w:val="hybridMultilevel"/>
    <w:tmpl w:val="DBB08D26"/>
    <w:lvl w:ilvl="0" w:tplc="C30E9E80">
      <w:start w:val="37"/>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2057A84"/>
    <w:multiLevelType w:val="hybridMultilevel"/>
    <w:tmpl w:val="C05C0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54116E"/>
    <w:multiLevelType w:val="hybridMultilevel"/>
    <w:tmpl w:val="A79240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A3636A8"/>
    <w:multiLevelType w:val="hybridMultilevel"/>
    <w:tmpl w:val="09D45FDE"/>
    <w:lvl w:ilvl="0" w:tplc="C30E9E80">
      <w:start w:val="37"/>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491FF6"/>
    <w:multiLevelType w:val="hybridMultilevel"/>
    <w:tmpl w:val="CB38BE50"/>
    <w:lvl w:ilvl="0" w:tplc="83D4C42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7"/>
  </w:num>
  <w:num w:numId="3">
    <w:abstractNumId w:val="22"/>
  </w:num>
  <w:num w:numId="4">
    <w:abstractNumId w:val="0"/>
  </w:num>
  <w:num w:numId="5">
    <w:abstractNumId w:val="5"/>
  </w:num>
  <w:num w:numId="6">
    <w:abstractNumId w:val="28"/>
  </w:num>
  <w:num w:numId="7">
    <w:abstractNumId w:val="1"/>
  </w:num>
  <w:num w:numId="8">
    <w:abstractNumId w:val="24"/>
  </w:num>
  <w:num w:numId="9">
    <w:abstractNumId w:val="9"/>
  </w:num>
  <w:num w:numId="10">
    <w:abstractNumId w:val="26"/>
  </w:num>
  <w:num w:numId="11">
    <w:abstractNumId w:val="17"/>
  </w:num>
  <w:num w:numId="12">
    <w:abstractNumId w:val="19"/>
  </w:num>
  <w:num w:numId="13">
    <w:abstractNumId w:val="16"/>
  </w:num>
  <w:num w:numId="14">
    <w:abstractNumId w:val="11"/>
  </w:num>
  <w:num w:numId="15">
    <w:abstractNumId w:val="14"/>
  </w:num>
  <w:num w:numId="16">
    <w:abstractNumId w:val="2"/>
  </w:num>
  <w:num w:numId="17">
    <w:abstractNumId w:val="25"/>
  </w:num>
  <w:num w:numId="18">
    <w:abstractNumId w:val="10"/>
  </w:num>
  <w:num w:numId="19">
    <w:abstractNumId w:val="4"/>
  </w:num>
  <w:num w:numId="20">
    <w:abstractNumId w:val="3"/>
  </w:num>
  <w:num w:numId="21">
    <w:abstractNumId w:val="15"/>
  </w:num>
  <w:num w:numId="22">
    <w:abstractNumId w:val="23"/>
  </w:num>
  <w:num w:numId="23">
    <w:abstractNumId w:val="7"/>
  </w:num>
  <w:num w:numId="24">
    <w:abstractNumId w:val="20"/>
  </w:num>
  <w:num w:numId="25">
    <w:abstractNumId w:val="29"/>
  </w:num>
  <w:num w:numId="26">
    <w:abstractNumId w:val="8"/>
  </w:num>
  <w:num w:numId="27">
    <w:abstractNumId w:val="13"/>
  </w:num>
  <w:num w:numId="28">
    <w:abstractNumId w:val="6"/>
  </w:num>
  <w:num w:numId="29">
    <w:abstractNumId w:val="12"/>
  </w:num>
  <w:num w:numId="30">
    <w:abstractNumId w:val="1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6C"/>
    <w:rsid w:val="0003092C"/>
    <w:rsid w:val="00032DC1"/>
    <w:rsid w:val="00043CE3"/>
    <w:rsid w:val="000555FA"/>
    <w:rsid w:val="00064BE1"/>
    <w:rsid w:val="000713BC"/>
    <w:rsid w:val="00077663"/>
    <w:rsid w:val="000851D9"/>
    <w:rsid w:val="00092B32"/>
    <w:rsid w:val="00093CF4"/>
    <w:rsid w:val="00093F3F"/>
    <w:rsid w:val="000C0EB3"/>
    <w:rsid w:val="000C47E8"/>
    <w:rsid w:val="000C506E"/>
    <w:rsid w:val="000C6A68"/>
    <w:rsid w:val="000D150D"/>
    <w:rsid w:val="000E06DC"/>
    <w:rsid w:val="000E20B2"/>
    <w:rsid w:val="000E2360"/>
    <w:rsid w:val="000E649E"/>
    <w:rsid w:val="000F1747"/>
    <w:rsid w:val="001005B7"/>
    <w:rsid w:val="00107325"/>
    <w:rsid w:val="001144FC"/>
    <w:rsid w:val="00116FB6"/>
    <w:rsid w:val="001174E1"/>
    <w:rsid w:val="00120679"/>
    <w:rsid w:val="00123655"/>
    <w:rsid w:val="001366D7"/>
    <w:rsid w:val="001411EC"/>
    <w:rsid w:val="001422B3"/>
    <w:rsid w:val="00147A86"/>
    <w:rsid w:val="00162A28"/>
    <w:rsid w:val="00163759"/>
    <w:rsid w:val="00164530"/>
    <w:rsid w:val="001674CF"/>
    <w:rsid w:val="00174CC2"/>
    <w:rsid w:val="001776E2"/>
    <w:rsid w:val="001813DE"/>
    <w:rsid w:val="00181A31"/>
    <w:rsid w:val="00190FC6"/>
    <w:rsid w:val="00192E64"/>
    <w:rsid w:val="00193BE1"/>
    <w:rsid w:val="00193D78"/>
    <w:rsid w:val="001B402B"/>
    <w:rsid w:val="001C4771"/>
    <w:rsid w:val="001D0222"/>
    <w:rsid w:val="001E537A"/>
    <w:rsid w:val="001E7653"/>
    <w:rsid w:val="001F0A2B"/>
    <w:rsid w:val="00213F6A"/>
    <w:rsid w:val="00221679"/>
    <w:rsid w:val="00221C3C"/>
    <w:rsid w:val="00224064"/>
    <w:rsid w:val="002372BC"/>
    <w:rsid w:val="00241679"/>
    <w:rsid w:val="00253649"/>
    <w:rsid w:val="00263DAB"/>
    <w:rsid w:val="00264B2B"/>
    <w:rsid w:val="00266357"/>
    <w:rsid w:val="00273AFC"/>
    <w:rsid w:val="002832BF"/>
    <w:rsid w:val="00293480"/>
    <w:rsid w:val="00294DEA"/>
    <w:rsid w:val="00295BB7"/>
    <w:rsid w:val="002B0DB5"/>
    <w:rsid w:val="002D28FA"/>
    <w:rsid w:val="002D4CE2"/>
    <w:rsid w:val="002E45B1"/>
    <w:rsid w:val="002F3D32"/>
    <w:rsid w:val="00303256"/>
    <w:rsid w:val="00305757"/>
    <w:rsid w:val="00310442"/>
    <w:rsid w:val="00310F32"/>
    <w:rsid w:val="0031187C"/>
    <w:rsid w:val="00315DF7"/>
    <w:rsid w:val="00320EEB"/>
    <w:rsid w:val="00322109"/>
    <w:rsid w:val="00336918"/>
    <w:rsid w:val="0034494F"/>
    <w:rsid w:val="00347741"/>
    <w:rsid w:val="00352509"/>
    <w:rsid w:val="00362E3C"/>
    <w:rsid w:val="0036330D"/>
    <w:rsid w:val="0037422D"/>
    <w:rsid w:val="00386CE9"/>
    <w:rsid w:val="00390A38"/>
    <w:rsid w:val="003A1159"/>
    <w:rsid w:val="003B0EE4"/>
    <w:rsid w:val="003B38E6"/>
    <w:rsid w:val="003B6E56"/>
    <w:rsid w:val="003D1D9D"/>
    <w:rsid w:val="003D35ED"/>
    <w:rsid w:val="003D5FA4"/>
    <w:rsid w:val="003E3ED9"/>
    <w:rsid w:val="003F206C"/>
    <w:rsid w:val="0040234D"/>
    <w:rsid w:val="004107D1"/>
    <w:rsid w:val="00417218"/>
    <w:rsid w:val="00417ACF"/>
    <w:rsid w:val="00430287"/>
    <w:rsid w:val="0043277B"/>
    <w:rsid w:val="00436550"/>
    <w:rsid w:val="00450BD8"/>
    <w:rsid w:val="00474873"/>
    <w:rsid w:val="00474ADA"/>
    <w:rsid w:val="0048260E"/>
    <w:rsid w:val="00485CEF"/>
    <w:rsid w:val="0049208F"/>
    <w:rsid w:val="004A0B35"/>
    <w:rsid w:val="004A19B0"/>
    <w:rsid w:val="004A3019"/>
    <w:rsid w:val="004A6855"/>
    <w:rsid w:val="004C16CA"/>
    <w:rsid w:val="004C1F6F"/>
    <w:rsid w:val="004C4E12"/>
    <w:rsid w:val="004D452F"/>
    <w:rsid w:val="004D69A2"/>
    <w:rsid w:val="004F6CC2"/>
    <w:rsid w:val="005134E5"/>
    <w:rsid w:val="005154C4"/>
    <w:rsid w:val="00526662"/>
    <w:rsid w:val="0053269B"/>
    <w:rsid w:val="005376EF"/>
    <w:rsid w:val="00544413"/>
    <w:rsid w:val="00544472"/>
    <w:rsid w:val="005553A6"/>
    <w:rsid w:val="0055595B"/>
    <w:rsid w:val="00555A6E"/>
    <w:rsid w:val="00560E97"/>
    <w:rsid w:val="00566C88"/>
    <w:rsid w:val="00570A09"/>
    <w:rsid w:val="0057187D"/>
    <w:rsid w:val="0057346D"/>
    <w:rsid w:val="005771F4"/>
    <w:rsid w:val="005935AC"/>
    <w:rsid w:val="005A067E"/>
    <w:rsid w:val="005A38B0"/>
    <w:rsid w:val="005A67DE"/>
    <w:rsid w:val="005A77CA"/>
    <w:rsid w:val="005B7E21"/>
    <w:rsid w:val="005C0EB7"/>
    <w:rsid w:val="005C2641"/>
    <w:rsid w:val="005C4BD7"/>
    <w:rsid w:val="005C6627"/>
    <w:rsid w:val="005D0624"/>
    <w:rsid w:val="005D6D90"/>
    <w:rsid w:val="00606937"/>
    <w:rsid w:val="006136D1"/>
    <w:rsid w:val="00625411"/>
    <w:rsid w:val="00632072"/>
    <w:rsid w:val="0065420A"/>
    <w:rsid w:val="00670164"/>
    <w:rsid w:val="00682318"/>
    <w:rsid w:val="00687976"/>
    <w:rsid w:val="00694F8D"/>
    <w:rsid w:val="006A2447"/>
    <w:rsid w:val="006A3865"/>
    <w:rsid w:val="006A3AD6"/>
    <w:rsid w:val="006A3D6D"/>
    <w:rsid w:val="006B3076"/>
    <w:rsid w:val="006B3554"/>
    <w:rsid w:val="006B40CA"/>
    <w:rsid w:val="006D17DF"/>
    <w:rsid w:val="006D239C"/>
    <w:rsid w:val="006D596E"/>
    <w:rsid w:val="006E09DA"/>
    <w:rsid w:val="006E1A19"/>
    <w:rsid w:val="006E35F5"/>
    <w:rsid w:val="006F6376"/>
    <w:rsid w:val="00713EFE"/>
    <w:rsid w:val="0071730B"/>
    <w:rsid w:val="00724347"/>
    <w:rsid w:val="00726BEE"/>
    <w:rsid w:val="00727EB8"/>
    <w:rsid w:val="00733CBC"/>
    <w:rsid w:val="007406BB"/>
    <w:rsid w:val="00743D2B"/>
    <w:rsid w:val="007446C6"/>
    <w:rsid w:val="00744D2D"/>
    <w:rsid w:val="00766985"/>
    <w:rsid w:val="007671D4"/>
    <w:rsid w:val="00767745"/>
    <w:rsid w:val="00770546"/>
    <w:rsid w:val="00773787"/>
    <w:rsid w:val="00790416"/>
    <w:rsid w:val="007955C2"/>
    <w:rsid w:val="00796D03"/>
    <w:rsid w:val="007A2139"/>
    <w:rsid w:val="007A302B"/>
    <w:rsid w:val="007B5A1C"/>
    <w:rsid w:val="007B7065"/>
    <w:rsid w:val="007C0124"/>
    <w:rsid w:val="007C1F7F"/>
    <w:rsid w:val="007C468F"/>
    <w:rsid w:val="007D056B"/>
    <w:rsid w:val="007D3A80"/>
    <w:rsid w:val="007D557A"/>
    <w:rsid w:val="007D580B"/>
    <w:rsid w:val="007E3FAF"/>
    <w:rsid w:val="007F63C7"/>
    <w:rsid w:val="007F742F"/>
    <w:rsid w:val="007F78E7"/>
    <w:rsid w:val="008066C7"/>
    <w:rsid w:val="00806A6C"/>
    <w:rsid w:val="00811648"/>
    <w:rsid w:val="0081455C"/>
    <w:rsid w:val="00825858"/>
    <w:rsid w:val="008315E8"/>
    <w:rsid w:val="00836152"/>
    <w:rsid w:val="00845141"/>
    <w:rsid w:val="0085421D"/>
    <w:rsid w:val="0086451D"/>
    <w:rsid w:val="00874D84"/>
    <w:rsid w:val="008802F0"/>
    <w:rsid w:val="0088156F"/>
    <w:rsid w:val="00881D6F"/>
    <w:rsid w:val="008957E0"/>
    <w:rsid w:val="008A0E21"/>
    <w:rsid w:val="008A3325"/>
    <w:rsid w:val="008B16E6"/>
    <w:rsid w:val="008B18EE"/>
    <w:rsid w:val="008B2AEB"/>
    <w:rsid w:val="008B4673"/>
    <w:rsid w:val="008E14DB"/>
    <w:rsid w:val="008E2B95"/>
    <w:rsid w:val="008F1A27"/>
    <w:rsid w:val="008F69C6"/>
    <w:rsid w:val="00902233"/>
    <w:rsid w:val="00905406"/>
    <w:rsid w:val="00921546"/>
    <w:rsid w:val="00940D85"/>
    <w:rsid w:val="00951F0F"/>
    <w:rsid w:val="00952A7A"/>
    <w:rsid w:val="00960C8A"/>
    <w:rsid w:val="00960FFC"/>
    <w:rsid w:val="0096568C"/>
    <w:rsid w:val="00976C7F"/>
    <w:rsid w:val="009775FC"/>
    <w:rsid w:val="009821DF"/>
    <w:rsid w:val="00995EDE"/>
    <w:rsid w:val="009A1F09"/>
    <w:rsid w:val="009B4D8E"/>
    <w:rsid w:val="009B51E3"/>
    <w:rsid w:val="009B7384"/>
    <w:rsid w:val="009C0705"/>
    <w:rsid w:val="009C27BA"/>
    <w:rsid w:val="009C598D"/>
    <w:rsid w:val="009D223F"/>
    <w:rsid w:val="009D456B"/>
    <w:rsid w:val="009D6ABC"/>
    <w:rsid w:val="009E448A"/>
    <w:rsid w:val="009F02DF"/>
    <w:rsid w:val="009F1136"/>
    <w:rsid w:val="009F2980"/>
    <w:rsid w:val="009F7F9C"/>
    <w:rsid w:val="00A01695"/>
    <w:rsid w:val="00A05DE3"/>
    <w:rsid w:val="00A11A50"/>
    <w:rsid w:val="00A129D7"/>
    <w:rsid w:val="00A16CE1"/>
    <w:rsid w:val="00A216D1"/>
    <w:rsid w:val="00A233A5"/>
    <w:rsid w:val="00A23608"/>
    <w:rsid w:val="00A31DE4"/>
    <w:rsid w:val="00A32D40"/>
    <w:rsid w:val="00A42270"/>
    <w:rsid w:val="00A465FA"/>
    <w:rsid w:val="00A46B85"/>
    <w:rsid w:val="00A500F4"/>
    <w:rsid w:val="00A631AB"/>
    <w:rsid w:val="00A668AA"/>
    <w:rsid w:val="00A671AF"/>
    <w:rsid w:val="00A70627"/>
    <w:rsid w:val="00A74C52"/>
    <w:rsid w:val="00A75F62"/>
    <w:rsid w:val="00A809BF"/>
    <w:rsid w:val="00A87A17"/>
    <w:rsid w:val="00A94CD2"/>
    <w:rsid w:val="00AA0B95"/>
    <w:rsid w:val="00AB0CA7"/>
    <w:rsid w:val="00AB0DF4"/>
    <w:rsid w:val="00AB4BEF"/>
    <w:rsid w:val="00AC4C4B"/>
    <w:rsid w:val="00AD0009"/>
    <w:rsid w:val="00AD1DEB"/>
    <w:rsid w:val="00AE0FDD"/>
    <w:rsid w:val="00AE2A27"/>
    <w:rsid w:val="00AE5544"/>
    <w:rsid w:val="00AF44E8"/>
    <w:rsid w:val="00AF5C70"/>
    <w:rsid w:val="00B00E88"/>
    <w:rsid w:val="00B01807"/>
    <w:rsid w:val="00B02CFE"/>
    <w:rsid w:val="00B04090"/>
    <w:rsid w:val="00B20694"/>
    <w:rsid w:val="00B22558"/>
    <w:rsid w:val="00B244CE"/>
    <w:rsid w:val="00B35B0B"/>
    <w:rsid w:val="00B40083"/>
    <w:rsid w:val="00B42DC4"/>
    <w:rsid w:val="00B43122"/>
    <w:rsid w:val="00B517BB"/>
    <w:rsid w:val="00B55B80"/>
    <w:rsid w:val="00B568CA"/>
    <w:rsid w:val="00B61FB9"/>
    <w:rsid w:val="00B676E1"/>
    <w:rsid w:val="00B71EDC"/>
    <w:rsid w:val="00B74617"/>
    <w:rsid w:val="00B856B9"/>
    <w:rsid w:val="00B864F6"/>
    <w:rsid w:val="00BA1D8A"/>
    <w:rsid w:val="00BA2B7F"/>
    <w:rsid w:val="00BA6765"/>
    <w:rsid w:val="00BA6808"/>
    <w:rsid w:val="00BA74D0"/>
    <w:rsid w:val="00BB2D79"/>
    <w:rsid w:val="00BB47AC"/>
    <w:rsid w:val="00BC1387"/>
    <w:rsid w:val="00BC1F9A"/>
    <w:rsid w:val="00BC4151"/>
    <w:rsid w:val="00BE353C"/>
    <w:rsid w:val="00BF053B"/>
    <w:rsid w:val="00BF5596"/>
    <w:rsid w:val="00C03623"/>
    <w:rsid w:val="00C31FD7"/>
    <w:rsid w:val="00C40D5B"/>
    <w:rsid w:val="00C40F1A"/>
    <w:rsid w:val="00C437DA"/>
    <w:rsid w:val="00C55C08"/>
    <w:rsid w:val="00C81B36"/>
    <w:rsid w:val="00C90669"/>
    <w:rsid w:val="00C97D40"/>
    <w:rsid w:val="00CA6E6A"/>
    <w:rsid w:val="00CB1E65"/>
    <w:rsid w:val="00CB3AC7"/>
    <w:rsid w:val="00CC0A7C"/>
    <w:rsid w:val="00CE158D"/>
    <w:rsid w:val="00CE5BB3"/>
    <w:rsid w:val="00CF2ABA"/>
    <w:rsid w:val="00D35AAB"/>
    <w:rsid w:val="00D37185"/>
    <w:rsid w:val="00D54CDE"/>
    <w:rsid w:val="00D60D4F"/>
    <w:rsid w:val="00D611BC"/>
    <w:rsid w:val="00D92FE8"/>
    <w:rsid w:val="00DA2961"/>
    <w:rsid w:val="00DB1759"/>
    <w:rsid w:val="00DB79F2"/>
    <w:rsid w:val="00DC51A3"/>
    <w:rsid w:val="00DC7A63"/>
    <w:rsid w:val="00DD6070"/>
    <w:rsid w:val="00DF292A"/>
    <w:rsid w:val="00DF29BC"/>
    <w:rsid w:val="00E04DB3"/>
    <w:rsid w:val="00E31DDB"/>
    <w:rsid w:val="00E36BE1"/>
    <w:rsid w:val="00E419F0"/>
    <w:rsid w:val="00E43559"/>
    <w:rsid w:val="00E514DB"/>
    <w:rsid w:val="00E576B3"/>
    <w:rsid w:val="00E60378"/>
    <w:rsid w:val="00E614ED"/>
    <w:rsid w:val="00E636FC"/>
    <w:rsid w:val="00E713ED"/>
    <w:rsid w:val="00E72175"/>
    <w:rsid w:val="00E874AF"/>
    <w:rsid w:val="00EA1417"/>
    <w:rsid w:val="00EA495D"/>
    <w:rsid w:val="00EA61AA"/>
    <w:rsid w:val="00EB1892"/>
    <w:rsid w:val="00EB6E8A"/>
    <w:rsid w:val="00EB779E"/>
    <w:rsid w:val="00EC43E8"/>
    <w:rsid w:val="00EE16DB"/>
    <w:rsid w:val="00EF70B5"/>
    <w:rsid w:val="00F053BF"/>
    <w:rsid w:val="00F23760"/>
    <w:rsid w:val="00F35F58"/>
    <w:rsid w:val="00F452C4"/>
    <w:rsid w:val="00F50738"/>
    <w:rsid w:val="00F519B3"/>
    <w:rsid w:val="00F529BE"/>
    <w:rsid w:val="00F565BC"/>
    <w:rsid w:val="00F63299"/>
    <w:rsid w:val="00F65A0D"/>
    <w:rsid w:val="00F66368"/>
    <w:rsid w:val="00F91950"/>
    <w:rsid w:val="00FA08A5"/>
    <w:rsid w:val="00FA37BB"/>
    <w:rsid w:val="00FA3BFE"/>
    <w:rsid w:val="00FD29A0"/>
    <w:rsid w:val="00FD7BBD"/>
    <w:rsid w:val="00FD7BE2"/>
    <w:rsid w:val="00FE4935"/>
    <w:rsid w:val="00FE4E88"/>
    <w:rsid w:val="00FE6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B04CA8"/>
  <w15:chartTrackingRefBased/>
  <w15:docId w15:val="{9A6F565A-EAE4-4484-B99C-19E0FEF3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06C"/>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8361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9"/>
    <w:qFormat/>
    <w:rsid w:val="003F206C"/>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3F206C"/>
    <w:rPr>
      <w:rFonts w:ascii="Times New Roman" w:eastAsia="Times New Roman" w:hAnsi="Times New Roman" w:cs="Times New Roman"/>
      <w:b/>
      <w:sz w:val="24"/>
      <w:szCs w:val="24"/>
      <w:lang w:val="en-US"/>
    </w:rPr>
  </w:style>
  <w:style w:type="paragraph" w:styleId="BalloonText">
    <w:name w:val="Balloon Text"/>
    <w:basedOn w:val="Normal"/>
    <w:link w:val="BalloonTextChar"/>
    <w:uiPriority w:val="99"/>
    <w:semiHidden/>
    <w:unhideWhenUsed/>
    <w:rsid w:val="0016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4CF"/>
    <w:rPr>
      <w:rFonts w:ascii="Segoe UI" w:eastAsia="Times New Roman" w:hAnsi="Segoe UI" w:cs="Segoe UI"/>
      <w:sz w:val="18"/>
      <w:szCs w:val="18"/>
    </w:rPr>
  </w:style>
  <w:style w:type="paragraph" w:styleId="ListParagraph">
    <w:name w:val="List Paragraph"/>
    <w:aliases w:val="List Paragraph1,List Paragraph11,Recommendation,Bullet point,L"/>
    <w:basedOn w:val="Normal"/>
    <w:link w:val="ListParagraphChar"/>
    <w:uiPriority w:val="34"/>
    <w:qFormat/>
    <w:rsid w:val="008B4673"/>
    <w:pPr>
      <w:spacing w:after="0" w:line="240" w:lineRule="auto"/>
      <w:ind w:left="720"/>
    </w:pPr>
    <w:rPr>
      <w:rFonts w:cs="Calibri"/>
      <w:lang w:eastAsia="en-AU"/>
    </w:rPr>
  </w:style>
  <w:style w:type="character" w:customStyle="1" w:styleId="ListParagraphChar">
    <w:name w:val="List Paragraph Char"/>
    <w:aliases w:val="List Paragraph1 Char,List Paragraph11 Char,Recommendation Char,Bullet point Char,L Char"/>
    <w:basedOn w:val="DefaultParagraphFont"/>
    <w:link w:val="ListParagraph"/>
    <w:uiPriority w:val="34"/>
    <w:locked/>
    <w:rsid w:val="008B4673"/>
    <w:rPr>
      <w:rFonts w:ascii="Calibri" w:eastAsia="Times New Roman" w:hAnsi="Calibri" w:cs="Calibri"/>
      <w:lang w:eastAsia="en-AU"/>
    </w:rPr>
  </w:style>
  <w:style w:type="paragraph" w:styleId="NoSpacing">
    <w:name w:val="No Spacing"/>
    <w:uiPriority w:val="1"/>
    <w:qFormat/>
    <w:rsid w:val="00DB1759"/>
    <w:pPr>
      <w:spacing w:after="0" w:line="240" w:lineRule="auto"/>
    </w:pPr>
    <w:rPr>
      <w:rFonts w:ascii="Calibri" w:eastAsia="Times New Roman" w:hAnsi="Calibri" w:cs="Times New Roman"/>
    </w:rPr>
  </w:style>
  <w:style w:type="character" w:customStyle="1" w:styleId="Calibri12">
    <w:name w:val="Calibri 12"/>
    <w:uiPriority w:val="1"/>
    <w:qFormat/>
    <w:rsid w:val="00DB1759"/>
    <w:rPr>
      <w:rFonts w:ascii="Calibri" w:hAnsi="Calibri"/>
      <w:sz w:val="24"/>
    </w:rPr>
  </w:style>
  <w:style w:type="paragraph" w:styleId="Header">
    <w:name w:val="header"/>
    <w:basedOn w:val="Normal"/>
    <w:link w:val="HeaderChar"/>
    <w:uiPriority w:val="99"/>
    <w:rsid w:val="00DB1759"/>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rsid w:val="00DB1759"/>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117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4E1"/>
    <w:rPr>
      <w:rFonts w:ascii="Calibri" w:eastAsia="Times New Roman" w:hAnsi="Calibri" w:cs="Times New Roman"/>
    </w:rPr>
  </w:style>
  <w:style w:type="paragraph" w:styleId="PlainText">
    <w:name w:val="Plain Text"/>
    <w:basedOn w:val="Normal"/>
    <w:link w:val="PlainTextChar"/>
    <w:uiPriority w:val="99"/>
    <w:semiHidden/>
    <w:unhideWhenUsed/>
    <w:rsid w:val="005154C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154C4"/>
    <w:rPr>
      <w:rFonts w:ascii="Calibri" w:hAnsi="Calibri"/>
      <w:szCs w:val="21"/>
    </w:rPr>
  </w:style>
  <w:style w:type="paragraph" w:styleId="FootnoteText">
    <w:name w:val="footnote text"/>
    <w:basedOn w:val="Normal"/>
    <w:link w:val="FootnoteTextChar"/>
    <w:uiPriority w:val="99"/>
    <w:rsid w:val="007D3A80"/>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7D3A80"/>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7D3A80"/>
    <w:rPr>
      <w:rFonts w:cs="Times New Roman"/>
      <w:vertAlign w:val="superscript"/>
    </w:rPr>
  </w:style>
  <w:style w:type="character" w:styleId="Hyperlink">
    <w:name w:val="Hyperlink"/>
    <w:basedOn w:val="DefaultParagraphFont"/>
    <w:uiPriority w:val="99"/>
    <w:semiHidden/>
    <w:rsid w:val="007D3A80"/>
    <w:rPr>
      <w:rFonts w:cs="Times New Roman"/>
      <w:color w:val="0000FF"/>
      <w:u w:val="single"/>
    </w:rPr>
  </w:style>
  <w:style w:type="character" w:styleId="CommentReference">
    <w:name w:val="annotation reference"/>
    <w:basedOn w:val="DefaultParagraphFont"/>
    <w:uiPriority w:val="99"/>
    <w:semiHidden/>
    <w:unhideWhenUsed/>
    <w:rsid w:val="00F053BF"/>
    <w:rPr>
      <w:sz w:val="16"/>
      <w:szCs w:val="16"/>
    </w:rPr>
  </w:style>
  <w:style w:type="paragraph" w:styleId="CommentText">
    <w:name w:val="annotation text"/>
    <w:basedOn w:val="Normal"/>
    <w:link w:val="CommentTextChar"/>
    <w:uiPriority w:val="99"/>
    <w:semiHidden/>
    <w:unhideWhenUsed/>
    <w:rsid w:val="00F053BF"/>
    <w:pPr>
      <w:spacing w:line="240" w:lineRule="auto"/>
    </w:pPr>
    <w:rPr>
      <w:sz w:val="20"/>
      <w:szCs w:val="20"/>
    </w:rPr>
  </w:style>
  <w:style w:type="character" w:customStyle="1" w:styleId="CommentTextChar">
    <w:name w:val="Comment Text Char"/>
    <w:basedOn w:val="DefaultParagraphFont"/>
    <w:link w:val="CommentText"/>
    <w:uiPriority w:val="99"/>
    <w:semiHidden/>
    <w:rsid w:val="00F053B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53BF"/>
    <w:rPr>
      <w:b/>
      <w:bCs/>
    </w:rPr>
  </w:style>
  <w:style w:type="character" w:customStyle="1" w:styleId="CommentSubjectChar">
    <w:name w:val="Comment Subject Char"/>
    <w:basedOn w:val="CommentTextChar"/>
    <w:link w:val="CommentSubject"/>
    <w:uiPriority w:val="99"/>
    <w:semiHidden/>
    <w:rsid w:val="00F053BF"/>
    <w:rPr>
      <w:rFonts w:ascii="Calibri" w:eastAsia="Times New Roman" w:hAnsi="Calibri" w:cs="Times New Roman"/>
      <w:b/>
      <w:bCs/>
      <w:sz w:val="20"/>
      <w:szCs w:val="20"/>
    </w:rPr>
  </w:style>
  <w:style w:type="paragraph" w:customStyle="1" w:styleId="Default">
    <w:name w:val="Default"/>
    <w:rsid w:val="00F053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83615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5171">
      <w:bodyDiv w:val="1"/>
      <w:marLeft w:val="0"/>
      <w:marRight w:val="0"/>
      <w:marTop w:val="0"/>
      <w:marBottom w:val="0"/>
      <w:divBdr>
        <w:top w:val="none" w:sz="0" w:space="0" w:color="auto"/>
        <w:left w:val="none" w:sz="0" w:space="0" w:color="auto"/>
        <w:bottom w:val="none" w:sz="0" w:space="0" w:color="auto"/>
        <w:right w:val="none" w:sz="0" w:space="0" w:color="auto"/>
      </w:divBdr>
    </w:div>
    <w:div w:id="919480882">
      <w:bodyDiv w:val="1"/>
      <w:marLeft w:val="0"/>
      <w:marRight w:val="0"/>
      <w:marTop w:val="0"/>
      <w:marBottom w:val="0"/>
      <w:divBdr>
        <w:top w:val="none" w:sz="0" w:space="0" w:color="auto"/>
        <w:left w:val="none" w:sz="0" w:space="0" w:color="auto"/>
        <w:bottom w:val="none" w:sz="0" w:space="0" w:color="auto"/>
        <w:right w:val="none" w:sz="0" w:space="0" w:color="auto"/>
      </w:divBdr>
    </w:div>
    <w:div w:id="20110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1133</Words>
  <Characters>6067</Characters>
  <Application>Microsoft Office Word</Application>
  <DocSecurity>0</DocSecurity>
  <Lines>178</Lines>
  <Paragraphs>62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2018-10-19T03:08:00Z</cp:lastPrinted>
  <dcterms:created xsi:type="dcterms:W3CDTF">2018-12-18T22:52:00Z</dcterms:created>
  <dcterms:modified xsi:type="dcterms:W3CDTF">2018-12-18T22:52:00Z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993753</vt:lpwstr>
  </property>
  <property fmtid="{D5CDD505-2E9C-101B-9397-08002B2CF9AE}" pid="4" name="JMSREQUIREDCHECKIN">
    <vt:lpwstr/>
  </property>
</Properties>
</file>