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DE" w:rsidRDefault="009018DE" w:rsidP="009018DE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9018DE" w:rsidRDefault="009018DE" w:rsidP="009018DE">
      <w:pPr>
        <w:pStyle w:val="Billname"/>
        <w:spacing w:before="700"/>
      </w:pPr>
      <w:r>
        <w:t>Road Transport (General) Exclusion of Road Transport Legislation (Light Rail) Declaration 2018 (No 1)</w:t>
      </w:r>
    </w:p>
    <w:p w:rsidR="009018DE" w:rsidRDefault="009018DE" w:rsidP="009018D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2018-</w:t>
      </w:r>
      <w:r w:rsidR="00517F59">
        <w:rPr>
          <w:rFonts w:ascii="Arial" w:hAnsi="Arial" w:cs="Arial"/>
          <w:b/>
          <w:bCs/>
          <w:iCs/>
        </w:rPr>
        <w:t>303</w:t>
      </w:r>
    </w:p>
    <w:p w:rsidR="009018DE" w:rsidRDefault="009018DE" w:rsidP="009018DE">
      <w:pPr>
        <w:pStyle w:val="madeunder"/>
        <w:spacing w:before="300" w:after="0"/>
      </w:pPr>
      <w:r>
        <w:t xml:space="preserve">made under the  </w:t>
      </w:r>
    </w:p>
    <w:p w:rsidR="009018DE" w:rsidRDefault="009018DE" w:rsidP="009018DE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13 (Power to exclude vehicles, persons or animals from road transport legislation)</w:t>
      </w:r>
    </w:p>
    <w:p w:rsidR="00EB53D0" w:rsidRPr="00AC1698" w:rsidRDefault="00EB53D0" w:rsidP="00EB53D0">
      <w:pPr>
        <w:pStyle w:val="Heading3"/>
        <w:ind w:right="567"/>
      </w:pPr>
      <w:r w:rsidRPr="00AC1698">
        <w:t>EXPLANATORY STATEMENT</w:t>
      </w:r>
    </w:p>
    <w:p w:rsidR="00EB53D0" w:rsidRPr="00AC1698" w:rsidRDefault="00EB53D0" w:rsidP="00EB53D0">
      <w:pPr>
        <w:pStyle w:val="N-line3"/>
        <w:pBdr>
          <w:bottom w:val="none" w:sz="0" w:space="0" w:color="auto"/>
        </w:pBdr>
      </w:pPr>
    </w:p>
    <w:p w:rsidR="00EB53D0" w:rsidRPr="00AC1698" w:rsidRDefault="00EB53D0" w:rsidP="00EB53D0">
      <w:pPr>
        <w:pStyle w:val="N-line3"/>
        <w:pBdr>
          <w:top w:val="single" w:sz="12" w:space="1" w:color="auto"/>
          <w:bottom w:val="none" w:sz="0" w:space="0" w:color="auto"/>
        </w:pBdr>
      </w:pPr>
    </w:p>
    <w:p w:rsidR="008B414A" w:rsidRPr="008B414A" w:rsidRDefault="008B414A" w:rsidP="00DA5E07">
      <w:pPr>
        <w:rPr>
          <w:b/>
          <w:sz w:val="28"/>
          <w:szCs w:val="28"/>
        </w:rPr>
      </w:pPr>
      <w:r w:rsidRPr="008B414A">
        <w:rPr>
          <w:b/>
          <w:sz w:val="28"/>
          <w:szCs w:val="28"/>
        </w:rPr>
        <w:t>Overview</w:t>
      </w:r>
    </w:p>
    <w:p w:rsidR="008B414A" w:rsidRDefault="00DA5E07" w:rsidP="008B414A">
      <w:pPr>
        <w:spacing w:before="120" w:after="120"/>
      </w:pPr>
      <w:r>
        <w:t xml:space="preserve">Section 13 </w:t>
      </w:r>
      <w:r w:rsidR="008B414A">
        <w:t xml:space="preserve">(1) </w:t>
      </w:r>
      <w:r>
        <w:t xml:space="preserve">of the </w:t>
      </w:r>
      <w:r w:rsidRPr="008B414A">
        <w:rPr>
          <w:i/>
        </w:rPr>
        <w:t>Road Transport (General) Act 1999</w:t>
      </w:r>
      <w:r w:rsidRPr="008B414A">
        <w:t xml:space="preserve"> </w:t>
      </w:r>
      <w:r w:rsidR="008B414A">
        <w:t xml:space="preserve">allows the Minister to declare that the road transport legislation, or a provision of the road transport legislation, does not apply to a vehicle, person or animal in a place or circumstance stated in the declaration. Under subsection 13 (3) of the </w:t>
      </w:r>
      <w:r w:rsidR="008B414A">
        <w:rPr>
          <w:i/>
        </w:rPr>
        <w:t>Road Transport (General) Act 1999</w:t>
      </w:r>
      <w:r w:rsidR="008B414A">
        <w:t>, a declaration under section 13</w:t>
      </w:r>
      <w:r w:rsidR="000162EA">
        <w:t> </w:t>
      </w:r>
      <w:r w:rsidR="008B414A">
        <w:t>(1) is a disallowable instrument.</w:t>
      </w:r>
    </w:p>
    <w:p w:rsidR="008B414A" w:rsidRDefault="008B414A" w:rsidP="008B414A">
      <w:pPr>
        <w:spacing w:before="120" w:after="120"/>
      </w:pPr>
      <w:r>
        <w:t xml:space="preserve">This instrument declares that vehicles undertaking rail maintenance activities are exempt from certain offences in the </w:t>
      </w:r>
      <w:r>
        <w:rPr>
          <w:i/>
        </w:rPr>
        <w:t>Road Transport (Road Rules) Regulation 2017</w:t>
      </w:r>
      <w:r>
        <w:t>.</w:t>
      </w:r>
    </w:p>
    <w:p w:rsidR="00116046" w:rsidRPr="00CA4A76" w:rsidRDefault="00116046" w:rsidP="00116046">
      <w:pPr>
        <w:pStyle w:val="BodyText"/>
        <w:spacing w:before="240"/>
      </w:pPr>
      <w:r w:rsidRPr="00AC1698">
        <w:t>A regulatory impact statement is not required as this instrument does not impose appreciable costs on the community or a part of the community (see s</w:t>
      </w:r>
      <w:r>
        <w:t>ection</w:t>
      </w:r>
      <w:r w:rsidRPr="00AC1698">
        <w:t xml:space="preserve"> 34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 2001</w:t>
      </w:r>
      <w:r w:rsidRPr="00AC1698">
        <w:t xml:space="preserve">). </w:t>
      </w:r>
      <w:r>
        <w:t xml:space="preserve">Exempting designated vehicles on a tramway or tram lane from the application of offence provisions </w:t>
      </w:r>
      <w:r w:rsidRPr="00AC1698">
        <w:t>does not operate to the disadvantage of anyone by adversely affecting their rights or imposing liabilities on the person (see s</w:t>
      </w:r>
      <w:r>
        <w:t>ection</w:t>
      </w:r>
      <w:r w:rsidRPr="00AC1698">
        <w:t xml:space="preserve"> 36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</w:t>
      </w:r>
      <w:r>
        <w:rPr>
          <w:i/>
        </w:rPr>
        <w:t xml:space="preserve"> 2001</w:t>
      </w:r>
      <w:r w:rsidRPr="00AC1698">
        <w:t>).</w:t>
      </w:r>
    </w:p>
    <w:p w:rsidR="008B414A" w:rsidRPr="008E3865" w:rsidRDefault="008B414A" w:rsidP="008B414A">
      <w:pPr>
        <w:spacing w:before="120" w:after="120"/>
        <w:rPr>
          <w:b/>
          <w:sz w:val="28"/>
          <w:szCs w:val="28"/>
        </w:rPr>
      </w:pPr>
      <w:r w:rsidRPr="008E3865">
        <w:rPr>
          <w:b/>
          <w:sz w:val="28"/>
          <w:szCs w:val="28"/>
        </w:rPr>
        <w:t xml:space="preserve">Clause notes </w:t>
      </w:r>
    </w:p>
    <w:p w:rsidR="008B414A" w:rsidRDefault="008B414A" w:rsidP="008B414A">
      <w:pPr>
        <w:spacing w:before="120" w:after="120"/>
      </w:pPr>
      <w:r>
        <w:t>Clauses 1 and 2 are formal provisions that deal with the name and commencement of the instrument.</w:t>
      </w:r>
    </w:p>
    <w:p w:rsidR="008B414A" w:rsidRDefault="008B414A" w:rsidP="008B414A">
      <w:pPr>
        <w:spacing w:before="120" w:after="120"/>
      </w:pPr>
      <w:r>
        <w:t xml:space="preserve">Clause 3 declares that sections 155, 155A and 187 (3) of the </w:t>
      </w:r>
      <w:r>
        <w:rPr>
          <w:i/>
        </w:rPr>
        <w:t xml:space="preserve">Road Transport (Road Rules) Regulation 2017 </w:t>
      </w:r>
      <w:r>
        <w:t>will not apply to a driver of a designated vehicle on a tramway or tram lane where the designated vehicle is on the tramway or tram lane for a specified purpose. A specified purpose is limited to a rail maintenance activity, for example, rail sweeping activities, track repairs.</w:t>
      </w:r>
    </w:p>
    <w:p w:rsidR="008B414A" w:rsidRPr="00401E0F" w:rsidRDefault="008B414A" w:rsidP="008B414A">
      <w:pPr>
        <w:spacing w:before="120" w:after="120"/>
      </w:pPr>
      <w:r w:rsidRPr="00401E0F">
        <w:t xml:space="preserve">Section 155 of the </w:t>
      </w:r>
      <w:r w:rsidRPr="00401E0F">
        <w:rPr>
          <w:i/>
        </w:rPr>
        <w:t>Road Transport (Road Rules) Regulation 2017</w:t>
      </w:r>
      <w:r w:rsidRPr="00401E0F">
        <w:t xml:space="preserve"> provides that a driver (except the driver of a tram, tram recovery vehicle or public bus) must not drive in a tram lane, unless the driver is permitted to drive in the tram lane.</w:t>
      </w:r>
    </w:p>
    <w:p w:rsidR="008B414A" w:rsidRPr="00DA5E07" w:rsidRDefault="008B414A" w:rsidP="008B414A">
      <w:pPr>
        <w:spacing w:before="120" w:after="120"/>
      </w:pPr>
      <w:r w:rsidRPr="00401E0F">
        <w:lastRenderedPageBreak/>
        <w:t xml:space="preserve">Section 155A of the </w:t>
      </w:r>
      <w:r w:rsidRPr="00401E0F">
        <w:rPr>
          <w:i/>
        </w:rPr>
        <w:t>Road Transport (Road Rules) Regulation 2017</w:t>
      </w:r>
      <w:r w:rsidRPr="00401E0F">
        <w:t xml:space="preserve"> provides that a driver (except the driver of a tram, tram recovery vehicle or public bus) must not drive in a tram lane, unless the driver is permitted to drive in the tram lane.</w:t>
      </w:r>
    </w:p>
    <w:p w:rsidR="008B414A" w:rsidRDefault="008B414A" w:rsidP="008B414A">
      <w:pPr>
        <w:spacing w:before="120" w:after="120"/>
      </w:pPr>
      <w:r>
        <w:t xml:space="preserve">Section 187 (3) of the </w:t>
      </w:r>
      <w:r w:rsidRPr="008B414A">
        <w:rPr>
          <w:i/>
        </w:rPr>
        <w:t>Road Transport (Road Rules) Regulation 2017</w:t>
      </w:r>
      <w:r w:rsidRPr="008B414A">
        <w:t xml:space="preserve"> </w:t>
      </w:r>
      <w:r>
        <w:t xml:space="preserve">provides that a driver (except the driver of a tram, tram recovery vehicle or a public bus) must not stop in a tram land, a tramway or on tram tracks. </w:t>
      </w:r>
    </w:p>
    <w:p w:rsidR="008B414A" w:rsidRDefault="008B414A" w:rsidP="008B414A">
      <w:pPr>
        <w:spacing w:before="120" w:after="120"/>
      </w:pPr>
      <w:r>
        <w:t>Clause 4 sets out the definitions used in the instrument.</w:t>
      </w:r>
    </w:p>
    <w:p w:rsidR="008B414A" w:rsidRPr="008E3865" w:rsidRDefault="008B414A" w:rsidP="008B414A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Human rights</w:t>
      </w:r>
      <w:r w:rsidRPr="008E3865">
        <w:rPr>
          <w:b/>
          <w:sz w:val="28"/>
          <w:szCs w:val="28"/>
        </w:rPr>
        <w:t xml:space="preserve"> implications</w:t>
      </w:r>
    </w:p>
    <w:p w:rsidR="008B414A" w:rsidRDefault="008B414A" w:rsidP="008B414A">
      <w:pPr>
        <w:spacing w:before="120" w:after="120"/>
      </w:pPr>
      <w:r>
        <w:t>There are no human rights implications arising from this instrument.</w:t>
      </w:r>
    </w:p>
    <w:p w:rsidR="008B414A" w:rsidRPr="008E3865" w:rsidRDefault="008B414A" w:rsidP="008B414A">
      <w:pPr>
        <w:spacing w:before="120" w:after="120"/>
        <w:rPr>
          <w:b/>
          <w:sz w:val="28"/>
          <w:szCs w:val="28"/>
        </w:rPr>
      </w:pPr>
      <w:r w:rsidRPr="008E3865">
        <w:rPr>
          <w:b/>
          <w:sz w:val="28"/>
          <w:szCs w:val="28"/>
        </w:rPr>
        <w:t>Climate change implications</w:t>
      </w:r>
    </w:p>
    <w:p w:rsidR="00DA5E07" w:rsidRPr="00DA5E07" w:rsidRDefault="008B414A" w:rsidP="008B414A">
      <w:pPr>
        <w:spacing w:before="120" w:after="120"/>
      </w:pPr>
      <w:r>
        <w:t>There are no climate change implications arising from this instrument.</w:t>
      </w:r>
    </w:p>
    <w:p w:rsidR="00DA5E07" w:rsidRPr="00DA5E07" w:rsidRDefault="00DA5E07" w:rsidP="008B414A">
      <w:pPr>
        <w:spacing w:before="120" w:after="120"/>
      </w:pPr>
    </w:p>
    <w:sectPr w:rsidR="00DA5E07" w:rsidRPr="00DA5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DC" w:rsidRDefault="00035CDC" w:rsidP="00035CDC">
      <w:r>
        <w:separator/>
      </w:r>
    </w:p>
  </w:endnote>
  <w:endnote w:type="continuationSeparator" w:id="0">
    <w:p w:rsidR="00035CDC" w:rsidRDefault="00035CDC" w:rsidP="0003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DC" w:rsidRDefault="00035C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DC" w:rsidRPr="00035CDC" w:rsidRDefault="00035CDC" w:rsidP="00035CDC">
    <w:pPr>
      <w:pStyle w:val="Footer"/>
      <w:jc w:val="center"/>
      <w:rPr>
        <w:rFonts w:ascii="Arial" w:hAnsi="Arial" w:cs="Arial"/>
        <w:sz w:val="14"/>
      </w:rPr>
    </w:pPr>
    <w:r w:rsidRPr="00035CD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DC" w:rsidRDefault="00035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DC" w:rsidRDefault="00035CDC" w:rsidP="00035CDC">
      <w:r>
        <w:separator/>
      </w:r>
    </w:p>
  </w:footnote>
  <w:footnote w:type="continuationSeparator" w:id="0">
    <w:p w:rsidR="00035CDC" w:rsidRDefault="00035CDC" w:rsidP="0003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DC" w:rsidRDefault="00035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DC" w:rsidRDefault="00035C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DC" w:rsidRDefault="00035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E6E95"/>
    <w:multiLevelType w:val="hybridMultilevel"/>
    <w:tmpl w:val="519EAEF2"/>
    <w:lvl w:ilvl="0" w:tplc="8236B8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DE"/>
    <w:rsid w:val="000162EA"/>
    <w:rsid w:val="00031143"/>
    <w:rsid w:val="00035CDC"/>
    <w:rsid w:val="00116046"/>
    <w:rsid w:val="001313A7"/>
    <w:rsid w:val="001B7A1F"/>
    <w:rsid w:val="00401E0F"/>
    <w:rsid w:val="00517F59"/>
    <w:rsid w:val="005422CD"/>
    <w:rsid w:val="00573AF5"/>
    <w:rsid w:val="005972F7"/>
    <w:rsid w:val="007E03D3"/>
    <w:rsid w:val="008B1AFF"/>
    <w:rsid w:val="008B414A"/>
    <w:rsid w:val="009018DE"/>
    <w:rsid w:val="00B72516"/>
    <w:rsid w:val="00DA5E07"/>
    <w:rsid w:val="00E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94E43-745E-4705-961D-6AF9A55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EB53D0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018D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9018DE"/>
    <w:pPr>
      <w:spacing w:before="180" w:after="60"/>
      <w:jc w:val="both"/>
    </w:pPr>
  </w:style>
  <w:style w:type="paragraph" w:customStyle="1" w:styleId="CoverActName">
    <w:name w:val="CoverActName"/>
    <w:basedOn w:val="Normal"/>
    <w:rsid w:val="009018D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customStyle="1" w:styleId="Heading3Char">
    <w:name w:val="Heading 3 Char"/>
    <w:basedOn w:val="DefaultParagraphFont"/>
    <w:link w:val="Heading3"/>
    <w:rsid w:val="00EB53D0"/>
    <w:rPr>
      <w:rFonts w:ascii="Arial" w:eastAsia="Times New Roman" w:hAnsi="Arial" w:cs="Arial"/>
      <w:b/>
      <w:bCs/>
      <w:sz w:val="28"/>
      <w:szCs w:val="28"/>
    </w:rPr>
  </w:style>
  <w:style w:type="paragraph" w:customStyle="1" w:styleId="N-line3">
    <w:name w:val="N-line3"/>
    <w:basedOn w:val="Normal"/>
    <w:next w:val="Normal"/>
    <w:rsid w:val="00EB53D0"/>
    <w:pPr>
      <w:pBdr>
        <w:bottom w:val="single" w:sz="12" w:space="1" w:color="auto"/>
      </w:pBdr>
      <w:jc w:val="both"/>
    </w:pPr>
  </w:style>
  <w:style w:type="paragraph" w:styleId="BodyText">
    <w:name w:val="Body Text"/>
    <w:basedOn w:val="Normal"/>
    <w:link w:val="BodyTextChar"/>
    <w:uiPriority w:val="99"/>
    <w:rsid w:val="00DA5E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5E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11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1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1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14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5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C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5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C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2353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Sarah-Anne</dc:creator>
  <cp:keywords/>
  <dc:description/>
  <cp:lastModifiedBy>PCODCS</cp:lastModifiedBy>
  <cp:revision>4</cp:revision>
  <dcterms:created xsi:type="dcterms:W3CDTF">2018-12-21T02:22:00Z</dcterms:created>
  <dcterms:modified xsi:type="dcterms:W3CDTF">2018-12-21T02:22:00Z</dcterms:modified>
</cp:coreProperties>
</file>