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3FB" w:rsidRPr="001C13FB" w:rsidRDefault="001C13FB" w:rsidP="001C13FB">
      <w:pPr>
        <w:tabs>
          <w:tab w:val="clear" w:pos="567"/>
          <w:tab w:val="clear" w:pos="1134"/>
          <w:tab w:val="clear" w:pos="1701"/>
        </w:tabs>
        <w:spacing w:before="120"/>
        <w:jc w:val="left"/>
        <w:rPr>
          <w:rFonts w:cs="Arial"/>
          <w:sz w:val="24"/>
          <w:szCs w:val="20"/>
          <w:lang w:val="en-AU"/>
        </w:rPr>
      </w:pPr>
      <w:bookmarkStart w:id="0" w:name="_Toc44738651"/>
      <w:bookmarkStart w:id="1" w:name="_GoBack"/>
      <w:bookmarkEnd w:id="1"/>
      <w:r w:rsidRPr="001C13FB">
        <w:rPr>
          <w:rFonts w:cs="Arial"/>
          <w:sz w:val="24"/>
          <w:szCs w:val="20"/>
          <w:lang w:val="en-AU"/>
        </w:rPr>
        <w:t>Australian Capital Territory</w:t>
      </w:r>
    </w:p>
    <w:p w:rsidR="001C13FB" w:rsidRPr="001C13FB" w:rsidRDefault="00D0433D" w:rsidP="001C13FB">
      <w:pPr>
        <w:tabs>
          <w:tab w:val="clear" w:pos="567"/>
          <w:tab w:val="clear" w:pos="1134"/>
          <w:tab w:val="clear" w:pos="1701"/>
          <w:tab w:val="left" w:pos="2400"/>
          <w:tab w:val="left" w:pos="2880"/>
        </w:tabs>
        <w:spacing w:before="700" w:after="100"/>
        <w:jc w:val="left"/>
        <w:rPr>
          <w:b/>
          <w:sz w:val="40"/>
          <w:szCs w:val="20"/>
          <w:lang w:val="en-AU"/>
        </w:rPr>
      </w:pPr>
      <w:r>
        <w:rPr>
          <w:b/>
          <w:sz w:val="40"/>
          <w:szCs w:val="20"/>
          <w:lang w:val="en-AU"/>
        </w:rPr>
        <w:t>Gaming Machine</w:t>
      </w:r>
      <w:r w:rsidR="001C13FB" w:rsidRPr="001C13FB">
        <w:rPr>
          <w:b/>
          <w:sz w:val="40"/>
          <w:szCs w:val="20"/>
          <w:lang w:val="en-AU"/>
        </w:rPr>
        <w:t xml:space="preserve"> (</w:t>
      </w:r>
      <w:r w:rsidR="00845643">
        <w:rPr>
          <w:b/>
          <w:sz w:val="40"/>
          <w:szCs w:val="20"/>
          <w:lang w:val="en-AU"/>
        </w:rPr>
        <w:t>Determination of Surrender Obligations</w:t>
      </w:r>
      <w:r w:rsidR="001C13FB" w:rsidRPr="001C13FB">
        <w:rPr>
          <w:b/>
          <w:sz w:val="40"/>
          <w:szCs w:val="20"/>
          <w:lang w:val="en-AU"/>
        </w:rPr>
        <w:t xml:space="preserve">) Guidelines </w:t>
      </w:r>
      <w:r w:rsidR="00182736" w:rsidRPr="001C13FB">
        <w:rPr>
          <w:b/>
          <w:sz w:val="40"/>
          <w:szCs w:val="20"/>
          <w:lang w:val="en-AU"/>
        </w:rPr>
        <w:t>201</w:t>
      </w:r>
      <w:r>
        <w:rPr>
          <w:b/>
          <w:sz w:val="40"/>
          <w:szCs w:val="20"/>
          <w:lang w:val="en-AU"/>
        </w:rPr>
        <w:t>9</w:t>
      </w:r>
    </w:p>
    <w:p w:rsidR="001C13FB" w:rsidRPr="001C13FB" w:rsidRDefault="00D0433D" w:rsidP="001C13FB">
      <w:pPr>
        <w:tabs>
          <w:tab w:val="clear" w:pos="567"/>
          <w:tab w:val="clear" w:pos="1134"/>
          <w:tab w:val="clear" w:pos="1701"/>
        </w:tabs>
        <w:spacing w:before="340"/>
        <w:jc w:val="left"/>
        <w:rPr>
          <w:rFonts w:cs="Arial"/>
          <w:b/>
          <w:bCs/>
          <w:sz w:val="24"/>
          <w:szCs w:val="20"/>
          <w:lang w:val="en-AU"/>
        </w:rPr>
      </w:pPr>
      <w:r>
        <w:rPr>
          <w:rFonts w:cs="Arial"/>
          <w:b/>
          <w:bCs/>
          <w:sz w:val="24"/>
          <w:szCs w:val="20"/>
          <w:lang w:val="en-AU"/>
        </w:rPr>
        <w:t>Disallowable</w:t>
      </w:r>
      <w:r w:rsidR="001C13FB" w:rsidRPr="001C13FB">
        <w:rPr>
          <w:rFonts w:cs="Arial"/>
          <w:b/>
          <w:bCs/>
          <w:sz w:val="24"/>
          <w:szCs w:val="20"/>
          <w:lang w:val="en-AU"/>
        </w:rPr>
        <w:t xml:space="preserve"> instrument </w:t>
      </w:r>
      <w:r>
        <w:rPr>
          <w:rFonts w:cs="Arial"/>
          <w:b/>
          <w:bCs/>
          <w:sz w:val="24"/>
          <w:szCs w:val="20"/>
          <w:lang w:val="en-AU"/>
        </w:rPr>
        <w:t>D</w:t>
      </w:r>
      <w:r w:rsidR="001C13FB" w:rsidRPr="001C13FB">
        <w:rPr>
          <w:rFonts w:cs="Arial"/>
          <w:b/>
          <w:bCs/>
          <w:sz w:val="24"/>
          <w:szCs w:val="20"/>
          <w:lang w:val="en-AU"/>
        </w:rPr>
        <w:t>I201</w:t>
      </w:r>
      <w:r>
        <w:rPr>
          <w:rFonts w:cs="Arial"/>
          <w:b/>
          <w:bCs/>
          <w:sz w:val="24"/>
          <w:szCs w:val="20"/>
          <w:lang w:val="en-AU"/>
        </w:rPr>
        <w:t>9</w:t>
      </w:r>
      <w:r w:rsidR="001C13FB" w:rsidRPr="001C13FB">
        <w:rPr>
          <w:rFonts w:cs="Arial"/>
          <w:b/>
          <w:bCs/>
          <w:sz w:val="24"/>
          <w:szCs w:val="20"/>
          <w:lang w:val="en-AU"/>
        </w:rPr>
        <w:t>–</w:t>
      </w:r>
      <w:r w:rsidR="00807047">
        <w:rPr>
          <w:rFonts w:cs="Arial"/>
          <w:b/>
          <w:bCs/>
          <w:sz w:val="24"/>
          <w:szCs w:val="20"/>
          <w:lang w:val="en-AU"/>
        </w:rPr>
        <w:t>21</w:t>
      </w:r>
    </w:p>
    <w:p w:rsidR="001C13FB" w:rsidRPr="001C13FB" w:rsidRDefault="00FA2F9A" w:rsidP="001C13FB">
      <w:pPr>
        <w:tabs>
          <w:tab w:val="clear" w:pos="567"/>
          <w:tab w:val="clear" w:pos="1134"/>
          <w:tab w:val="clear" w:pos="1701"/>
        </w:tabs>
        <w:spacing w:before="300"/>
        <w:rPr>
          <w:rFonts w:ascii="Times New Roman" w:hAnsi="Times New Roman"/>
          <w:sz w:val="24"/>
          <w:szCs w:val="20"/>
          <w:lang w:val="en-AU"/>
        </w:rPr>
      </w:pPr>
      <w:r>
        <w:rPr>
          <w:rFonts w:ascii="Times New Roman" w:hAnsi="Times New Roman"/>
          <w:sz w:val="24"/>
          <w:szCs w:val="20"/>
          <w:lang w:val="en-AU"/>
        </w:rPr>
        <w:t xml:space="preserve">made under the </w:t>
      </w:r>
    </w:p>
    <w:p w:rsidR="001C13FB" w:rsidRDefault="00D0433D" w:rsidP="001C13FB">
      <w:pPr>
        <w:tabs>
          <w:tab w:val="clear" w:pos="567"/>
          <w:tab w:val="clear" w:pos="1134"/>
          <w:tab w:val="clear" w:pos="1701"/>
          <w:tab w:val="left" w:pos="2600"/>
        </w:tabs>
        <w:spacing w:before="320"/>
        <w:rPr>
          <w:rFonts w:cs="Arial"/>
          <w:b/>
          <w:sz w:val="20"/>
          <w:szCs w:val="20"/>
          <w:lang w:val="en-AU"/>
        </w:rPr>
      </w:pPr>
      <w:r w:rsidRPr="00845643">
        <w:rPr>
          <w:rFonts w:cs="Arial"/>
          <w:b/>
          <w:sz w:val="20"/>
          <w:szCs w:val="20"/>
          <w:lang w:val="en-AU"/>
        </w:rPr>
        <w:t>Gaming Machine</w:t>
      </w:r>
      <w:r w:rsidR="001C13FB" w:rsidRPr="00845643">
        <w:rPr>
          <w:rFonts w:cs="Arial"/>
          <w:b/>
          <w:sz w:val="20"/>
          <w:szCs w:val="20"/>
          <w:lang w:val="en-AU"/>
        </w:rPr>
        <w:t xml:space="preserve"> Act 20</w:t>
      </w:r>
      <w:r w:rsidRPr="00845643">
        <w:rPr>
          <w:rFonts w:cs="Arial"/>
          <w:b/>
          <w:sz w:val="20"/>
          <w:szCs w:val="20"/>
          <w:lang w:val="en-AU"/>
        </w:rPr>
        <w:t>04</w:t>
      </w:r>
      <w:r w:rsidR="001C13FB" w:rsidRPr="00845643">
        <w:rPr>
          <w:rFonts w:cs="Arial"/>
          <w:b/>
          <w:sz w:val="20"/>
          <w:szCs w:val="20"/>
          <w:lang w:val="en-AU"/>
        </w:rPr>
        <w:t xml:space="preserve">, </w:t>
      </w:r>
      <w:r w:rsidRPr="00845643">
        <w:rPr>
          <w:rFonts w:cs="Arial"/>
          <w:b/>
          <w:sz w:val="20"/>
          <w:szCs w:val="20"/>
          <w:lang w:val="en-AU"/>
        </w:rPr>
        <w:t>sec</w:t>
      </w:r>
      <w:r>
        <w:rPr>
          <w:rFonts w:cs="Arial"/>
          <w:b/>
          <w:sz w:val="20"/>
          <w:szCs w:val="20"/>
          <w:lang w:val="en-AU"/>
        </w:rPr>
        <w:t xml:space="preserve">tion </w:t>
      </w:r>
      <w:r w:rsidR="00845643">
        <w:rPr>
          <w:rFonts w:cs="Arial"/>
          <w:b/>
          <w:sz w:val="20"/>
          <w:szCs w:val="20"/>
          <w:lang w:val="en-AU"/>
        </w:rPr>
        <w:t>10K</w:t>
      </w:r>
      <w:r>
        <w:rPr>
          <w:rFonts w:cs="Arial"/>
          <w:b/>
          <w:sz w:val="20"/>
          <w:szCs w:val="20"/>
          <w:lang w:val="en-AU"/>
        </w:rPr>
        <w:t xml:space="preserve"> </w:t>
      </w:r>
      <w:r w:rsidR="001C13FB" w:rsidRPr="001C13FB">
        <w:rPr>
          <w:rFonts w:cs="Arial"/>
          <w:b/>
          <w:sz w:val="20"/>
          <w:szCs w:val="20"/>
          <w:lang w:val="en-AU"/>
        </w:rPr>
        <w:t>(</w:t>
      </w:r>
      <w:r>
        <w:rPr>
          <w:rFonts w:cs="Arial"/>
          <w:b/>
          <w:sz w:val="20"/>
          <w:szCs w:val="20"/>
          <w:lang w:val="en-AU"/>
        </w:rPr>
        <w:t>Guidelines for determination</w:t>
      </w:r>
      <w:r w:rsidR="001C13FB" w:rsidRPr="001C13FB">
        <w:rPr>
          <w:rFonts w:cs="Arial"/>
          <w:b/>
          <w:sz w:val="20"/>
          <w:szCs w:val="20"/>
          <w:lang w:val="en-AU"/>
        </w:rPr>
        <w:t>)</w:t>
      </w:r>
    </w:p>
    <w:p w:rsidR="00FA2F9A" w:rsidRPr="00FA2F9A" w:rsidRDefault="00FA2F9A" w:rsidP="001C13FB">
      <w:pPr>
        <w:tabs>
          <w:tab w:val="clear" w:pos="567"/>
          <w:tab w:val="clear" w:pos="1134"/>
          <w:tab w:val="clear" w:pos="1701"/>
          <w:tab w:val="left" w:pos="2600"/>
        </w:tabs>
        <w:spacing w:before="320"/>
        <w:rPr>
          <w:rFonts w:cs="Arial"/>
          <w:b/>
          <w:sz w:val="28"/>
          <w:szCs w:val="20"/>
          <w:lang w:val="en-AU"/>
        </w:rPr>
      </w:pPr>
      <w:r w:rsidRPr="00FA2F9A">
        <w:rPr>
          <w:rFonts w:cs="Arial"/>
          <w:b/>
          <w:sz w:val="28"/>
          <w:szCs w:val="20"/>
          <w:lang w:val="en-AU"/>
        </w:rPr>
        <w:t>EXPLANATORY STATEMENT</w:t>
      </w:r>
    </w:p>
    <w:p w:rsidR="001C13FB" w:rsidRPr="001C13FB" w:rsidRDefault="001C13FB" w:rsidP="001C13FB">
      <w:pPr>
        <w:tabs>
          <w:tab w:val="clear" w:pos="567"/>
          <w:tab w:val="clear" w:pos="1134"/>
          <w:tab w:val="clear" w:pos="1701"/>
        </w:tabs>
        <w:spacing w:before="60"/>
        <w:rPr>
          <w:rFonts w:ascii="Times New Roman" w:hAnsi="Times New Roman"/>
          <w:sz w:val="24"/>
          <w:szCs w:val="20"/>
          <w:lang w:val="en-AU"/>
        </w:rPr>
      </w:pPr>
    </w:p>
    <w:p w:rsidR="001C13FB" w:rsidRPr="001C13FB" w:rsidRDefault="001C13FB" w:rsidP="001C13FB">
      <w:pPr>
        <w:pBdr>
          <w:top w:val="single" w:sz="12" w:space="1" w:color="auto"/>
        </w:pBdr>
        <w:tabs>
          <w:tab w:val="clear" w:pos="567"/>
          <w:tab w:val="clear" w:pos="1134"/>
          <w:tab w:val="clear" w:pos="1701"/>
        </w:tabs>
        <w:rPr>
          <w:rFonts w:ascii="Times New Roman" w:hAnsi="Times New Roman"/>
          <w:sz w:val="24"/>
          <w:szCs w:val="20"/>
          <w:lang w:val="en-AU"/>
        </w:rPr>
      </w:pPr>
    </w:p>
    <w:bookmarkEnd w:id="0"/>
    <w:p w:rsidR="00FA2F9A" w:rsidRPr="001C625E" w:rsidRDefault="00FA2F9A" w:rsidP="00FA2F9A">
      <w:pPr>
        <w:pStyle w:val="BodyText3"/>
        <w:tabs>
          <w:tab w:val="left" w:pos="2268"/>
        </w:tabs>
        <w:rPr>
          <w:rFonts w:asciiTheme="minorHAnsi" w:hAnsiTheme="minorHAnsi"/>
          <w:b/>
          <w:color w:val="000000" w:themeColor="text1"/>
          <w:sz w:val="24"/>
          <w:szCs w:val="22"/>
          <w:u w:val="single"/>
          <w:lang w:val="en-AU"/>
        </w:rPr>
      </w:pPr>
      <w:r w:rsidRPr="001C625E">
        <w:rPr>
          <w:rFonts w:asciiTheme="minorHAnsi" w:hAnsiTheme="minorHAnsi"/>
          <w:b/>
          <w:color w:val="000000" w:themeColor="text1"/>
          <w:sz w:val="24"/>
          <w:szCs w:val="22"/>
          <w:u w:val="single"/>
          <w:lang w:val="en-AU"/>
        </w:rPr>
        <w:t>INTRODUCTION</w:t>
      </w:r>
    </w:p>
    <w:p w:rsidR="00FA2F9A" w:rsidRPr="001C625E" w:rsidRDefault="00FA2F9A" w:rsidP="00FA2F9A">
      <w:pPr>
        <w:pStyle w:val="BodyText3"/>
        <w:tabs>
          <w:tab w:val="left" w:pos="2268"/>
        </w:tabs>
        <w:rPr>
          <w:rFonts w:asciiTheme="minorHAnsi" w:hAnsiTheme="minorHAnsi"/>
          <w:color w:val="000000" w:themeColor="text1"/>
          <w:sz w:val="24"/>
          <w:szCs w:val="22"/>
          <w:lang w:val="en-AU"/>
        </w:rPr>
      </w:pPr>
    </w:p>
    <w:p w:rsidR="00FA2F9A" w:rsidRPr="001C625E" w:rsidRDefault="00FA2F9A" w:rsidP="00FA2F9A">
      <w:pPr>
        <w:rPr>
          <w:rFonts w:asciiTheme="minorHAnsi" w:hAnsiTheme="minorHAnsi"/>
          <w:sz w:val="24"/>
        </w:rPr>
      </w:pPr>
      <w:r w:rsidRPr="001C625E">
        <w:rPr>
          <w:rFonts w:asciiTheme="minorHAnsi" w:hAnsiTheme="minorHAnsi"/>
          <w:sz w:val="24"/>
        </w:rPr>
        <w:t xml:space="preserve">The </w:t>
      </w:r>
      <w:r w:rsidRPr="001C625E">
        <w:rPr>
          <w:rFonts w:asciiTheme="minorHAnsi" w:hAnsiTheme="minorHAnsi"/>
          <w:i/>
          <w:sz w:val="24"/>
        </w:rPr>
        <w:t xml:space="preserve">Pathway to 4,000 Gaming Machine Authorisations by 2020 </w:t>
      </w:r>
      <w:r w:rsidRPr="001C625E">
        <w:rPr>
          <w:rFonts w:asciiTheme="minorHAnsi" w:hAnsiTheme="minorHAnsi"/>
          <w:sz w:val="24"/>
        </w:rPr>
        <w:t>(Pathway) was tabled in the Legislative Assembly on 23 August 2018. The Pathway sets out the steps to achieve the Government’s commitment to reduce the number of gaming machine authorisati</w:t>
      </w:r>
      <w:r w:rsidR="00F86FF8" w:rsidRPr="001C625E">
        <w:rPr>
          <w:rFonts w:asciiTheme="minorHAnsi" w:hAnsiTheme="minorHAnsi"/>
          <w:sz w:val="24"/>
        </w:rPr>
        <w:t>ons in the ACT to 4,000 by 2020.</w:t>
      </w:r>
    </w:p>
    <w:p w:rsidR="00FA2F9A" w:rsidRPr="001C625E" w:rsidRDefault="00FA2F9A" w:rsidP="00FA2F9A">
      <w:pPr>
        <w:rPr>
          <w:rFonts w:asciiTheme="minorHAnsi" w:hAnsiTheme="minorHAnsi"/>
          <w:sz w:val="24"/>
        </w:rPr>
      </w:pPr>
    </w:p>
    <w:p w:rsidR="00FA2F9A" w:rsidRPr="001C625E" w:rsidRDefault="00FA2F9A" w:rsidP="00FA2F9A">
      <w:pPr>
        <w:rPr>
          <w:rFonts w:asciiTheme="minorHAnsi" w:hAnsiTheme="minorHAnsi"/>
          <w:sz w:val="24"/>
        </w:rPr>
      </w:pPr>
      <w:r w:rsidRPr="001C625E">
        <w:rPr>
          <w:rFonts w:asciiTheme="minorHAnsi" w:hAnsiTheme="minorHAnsi"/>
          <w:sz w:val="24"/>
        </w:rPr>
        <w:t>The Pathway outlined incentives for gaming machine licensees for the voluntary surrender of gaming machine authorisations in advance of the compulsory surrender of authorisations in April 2019 and April 2020, and for a range of club industry diversification support measures to assist the industry in diversifying income streams away from gaming machine revenue.</w:t>
      </w:r>
    </w:p>
    <w:p w:rsidR="00F86FF8" w:rsidRPr="001C625E" w:rsidRDefault="00F86FF8" w:rsidP="00FA2F9A">
      <w:pPr>
        <w:rPr>
          <w:rFonts w:asciiTheme="minorHAnsi" w:hAnsiTheme="minorHAnsi"/>
          <w:sz w:val="24"/>
        </w:rPr>
      </w:pPr>
    </w:p>
    <w:p w:rsidR="00F86FF8" w:rsidRPr="001C625E" w:rsidRDefault="00F86FF8" w:rsidP="00FA2F9A">
      <w:pPr>
        <w:rPr>
          <w:rFonts w:asciiTheme="minorHAnsi" w:hAnsiTheme="minorHAnsi"/>
          <w:sz w:val="24"/>
        </w:rPr>
      </w:pPr>
      <w:r w:rsidRPr="001C625E">
        <w:rPr>
          <w:rFonts w:asciiTheme="minorHAnsi" w:hAnsiTheme="minorHAnsi"/>
          <w:sz w:val="24"/>
        </w:rPr>
        <w:t xml:space="preserve">The </w:t>
      </w:r>
      <w:r w:rsidRPr="001C625E">
        <w:rPr>
          <w:rFonts w:asciiTheme="minorHAnsi" w:hAnsiTheme="minorHAnsi"/>
          <w:i/>
          <w:sz w:val="24"/>
        </w:rPr>
        <w:t>Gaming Legislation Amendment Act 2018</w:t>
      </w:r>
      <w:r w:rsidRPr="001C625E">
        <w:rPr>
          <w:rFonts w:asciiTheme="minorHAnsi" w:hAnsiTheme="minorHAnsi"/>
          <w:sz w:val="24"/>
        </w:rPr>
        <w:t xml:space="preserve"> inserted, among other amendments, new part 2A of the </w:t>
      </w:r>
      <w:r w:rsidRPr="001C625E">
        <w:rPr>
          <w:rFonts w:asciiTheme="minorHAnsi" w:hAnsiTheme="minorHAnsi"/>
          <w:i/>
          <w:sz w:val="24"/>
        </w:rPr>
        <w:t>Gaming Machine Act 2004</w:t>
      </w:r>
      <w:r w:rsidRPr="001C625E">
        <w:rPr>
          <w:rFonts w:asciiTheme="minorHAnsi" w:hAnsiTheme="minorHAnsi"/>
          <w:sz w:val="24"/>
        </w:rPr>
        <w:t xml:space="preserve"> </w:t>
      </w:r>
      <w:r w:rsidR="008B62AE" w:rsidRPr="001C625E">
        <w:rPr>
          <w:rFonts w:asciiTheme="minorHAnsi" w:hAnsiTheme="minorHAnsi"/>
          <w:sz w:val="24"/>
        </w:rPr>
        <w:t xml:space="preserve">(the Act) </w:t>
      </w:r>
      <w:r w:rsidR="00845643">
        <w:rPr>
          <w:rFonts w:asciiTheme="minorHAnsi" w:hAnsiTheme="minorHAnsi"/>
          <w:sz w:val="24"/>
        </w:rPr>
        <w:t>as part of</w:t>
      </w:r>
      <w:r w:rsidRPr="001C625E">
        <w:rPr>
          <w:rFonts w:asciiTheme="minorHAnsi" w:hAnsiTheme="minorHAnsi"/>
          <w:sz w:val="24"/>
        </w:rPr>
        <w:t xml:space="preserve"> the i</w:t>
      </w:r>
      <w:r w:rsidR="00845643">
        <w:rPr>
          <w:rFonts w:asciiTheme="minorHAnsi" w:hAnsiTheme="minorHAnsi"/>
          <w:sz w:val="24"/>
        </w:rPr>
        <w:t>mplementation of the Pathway. Part 2A</w:t>
      </w:r>
      <w:r w:rsidRPr="001C625E">
        <w:rPr>
          <w:rFonts w:asciiTheme="minorHAnsi" w:hAnsiTheme="minorHAnsi"/>
          <w:sz w:val="24"/>
        </w:rPr>
        <w:t xml:space="preserve"> provides for reducing the cap on the number of authorisations in the ACT to 4,000 or fewer, including through voluntary and compulsory surrender </w:t>
      </w:r>
      <w:r w:rsidR="00845643">
        <w:rPr>
          <w:rFonts w:asciiTheme="minorHAnsi" w:hAnsiTheme="minorHAnsi"/>
          <w:sz w:val="24"/>
        </w:rPr>
        <w:t>of authorisations</w:t>
      </w:r>
      <w:r w:rsidRPr="001C625E">
        <w:rPr>
          <w:rFonts w:asciiTheme="minorHAnsi" w:hAnsiTheme="minorHAnsi"/>
          <w:sz w:val="24"/>
        </w:rPr>
        <w:t>.</w:t>
      </w:r>
    </w:p>
    <w:p w:rsidR="00F86FF8" w:rsidRPr="001C625E" w:rsidRDefault="00F86FF8" w:rsidP="00FA2F9A">
      <w:pPr>
        <w:rPr>
          <w:rFonts w:asciiTheme="minorHAnsi" w:hAnsiTheme="minorHAnsi"/>
          <w:sz w:val="24"/>
        </w:rPr>
      </w:pPr>
    </w:p>
    <w:p w:rsidR="008B62AE" w:rsidRPr="001C625E" w:rsidRDefault="00F86FF8" w:rsidP="008B62AE">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sz w:val="24"/>
        </w:rPr>
        <w:t>Division 2A.3 of</w:t>
      </w:r>
      <w:r w:rsidR="006771F4" w:rsidRPr="001C625E">
        <w:rPr>
          <w:rFonts w:asciiTheme="minorHAnsi" w:hAnsiTheme="minorHAnsi"/>
          <w:sz w:val="24"/>
        </w:rPr>
        <w:t xml:space="preserve"> the Act provides for the compulsory surrender of authorisations where the cap on authorisations (the number of authorisations for electronic gaming for all authorised premises in the ACT) is above 4,000.</w:t>
      </w:r>
    </w:p>
    <w:p w:rsidR="008B62AE" w:rsidRPr="001C625E" w:rsidRDefault="008B62AE" w:rsidP="008B62AE">
      <w:pPr>
        <w:pStyle w:val="BodyText3"/>
        <w:tabs>
          <w:tab w:val="left" w:pos="2268"/>
        </w:tabs>
        <w:rPr>
          <w:rFonts w:asciiTheme="minorHAnsi" w:hAnsiTheme="minorHAnsi"/>
          <w:color w:val="000000" w:themeColor="text1"/>
          <w:sz w:val="24"/>
          <w:szCs w:val="22"/>
          <w:lang w:val="en-AU"/>
        </w:rPr>
      </w:pPr>
    </w:p>
    <w:p w:rsidR="006771F4" w:rsidRDefault="006771F4" w:rsidP="006771F4">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Section 10J of the Act provides that the Minister</w:t>
      </w:r>
      <w:r w:rsidR="00655CED">
        <w:rPr>
          <w:rFonts w:asciiTheme="minorHAnsi" w:hAnsiTheme="minorHAnsi"/>
          <w:color w:val="000000" w:themeColor="text1"/>
          <w:sz w:val="24"/>
          <w:szCs w:val="22"/>
          <w:lang w:val="en-AU"/>
        </w:rPr>
        <w:t xml:space="preserve"> </w:t>
      </w:r>
      <w:r w:rsidR="00655CED" w:rsidRPr="001C625E">
        <w:rPr>
          <w:rFonts w:asciiTheme="minorHAnsi" w:hAnsiTheme="minorHAnsi"/>
          <w:color w:val="000000" w:themeColor="text1"/>
          <w:sz w:val="24"/>
          <w:szCs w:val="22"/>
          <w:lang w:val="en-AU"/>
        </w:rPr>
        <w:t xml:space="preserve">(the Attorney-General) </w:t>
      </w:r>
      <w:r w:rsidRPr="001C625E">
        <w:rPr>
          <w:rFonts w:asciiTheme="minorHAnsi" w:hAnsiTheme="minorHAnsi"/>
          <w:color w:val="000000" w:themeColor="text1"/>
          <w:sz w:val="24"/>
          <w:szCs w:val="22"/>
          <w:lang w:val="en-AU"/>
        </w:rPr>
        <w:t xml:space="preserve">must determine the surrender obligation of each licensee for each compulsory surrender day. Under section 10I, licensees that held 19 or fewer authorisation for gaming machines on the census day </w:t>
      </w:r>
      <w:r w:rsidR="00845643">
        <w:rPr>
          <w:rFonts w:asciiTheme="minorHAnsi" w:hAnsiTheme="minorHAnsi"/>
          <w:color w:val="000000" w:themeColor="text1"/>
          <w:sz w:val="24"/>
          <w:szCs w:val="22"/>
          <w:lang w:val="en-AU"/>
        </w:rPr>
        <w:t>(23 </w:t>
      </w:r>
      <w:r w:rsidR="001C625E" w:rsidRPr="001C625E">
        <w:rPr>
          <w:rFonts w:asciiTheme="minorHAnsi" w:hAnsiTheme="minorHAnsi"/>
          <w:color w:val="000000" w:themeColor="text1"/>
          <w:sz w:val="24"/>
          <w:szCs w:val="22"/>
          <w:lang w:val="en-AU"/>
        </w:rPr>
        <w:t>August 2018 – when the Pathway document was tabled in the Legislative Assembly)</w:t>
      </w:r>
      <w:r w:rsidRPr="001C625E">
        <w:rPr>
          <w:rFonts w:asciiTheme="minorHAnsi" w:hAnsiTheme="minorHAnsi"/>
          <w:color w:val="000000" w:themeColor="text1"/>
          <w:sz w:val="24"/>
          <w:szCs w:val="22"/>
          <w:lang w:val="en-AU"/>
        </w:rPr>
        <w:t xml:space="preserve"> are not </w:t>
      </w:r>
      <w:r w:rsidR="001C625E" w:rsidRPr="001C625E">
        <w:rPr>
          <w:rFonts w:asciiTheme="minorHAnsi" w:hAnsiTheme="minorHAnsi"/>
          <w:color w:val="000000" w:themeColor="text1"/>
          <w:sz w:val="24"/>
          <w:szCs w:val="22"/>
          <w:lang w:val="en-AU"/>
        </w:rPr>
        <w:t>subject to compulsory surrender. This exemption includes a number of small</w:t>
      </w:r>
      <w:r w:rsidR="00845643">
        <w:rPr>
          <w:rFonts w:asciiTheme="minorHAnsi" w:hAnsiTheme="minorHAnsi"/>
          <w:color w:val="000000" w:themeColor="text1"/>
          <w:sz w:val="24"/>
          <w:szCs w:val="22"/>
          <w:lang w:val="en-AU"/>
        </w:rPr>
        <w:t>er</w:t>
      </w:r>
      <w:r w:rsidR="001C625E" w:rsidRPr="001C625E">
        <w:rPr>
          <w:rFonts w:asciiTheme="minorHAnsi" w:hAnsiTheme="minorHAnsi"/>
          <w:color w:val="000000" w:themeColor="text1"/>
          <w:sz w:val="24"/>
          <w:szCs w:val="22"/>
          <w:lang w:val="en-AU"/>
        </w:rPr>
        <w:t xml:space="preserve"> clubs and all hotel licensees.</w:t>
      </w:r>
    </w:p>
    <w:p w:rsidR="006771F4" w:rsidRPr="001C625E" w:rsidRDefault="006771F4" w:rsidP="006771F4">
      <w:pPr>
        <w:pStyle w:val="BodyText3"/>
        <w:tabs>
          <w:tab w:val="left" w:pos="2268"/>
        </w:tabs>
        <w:rPr>
          <w:rFonts w:asciiTheme="minorHAnsi" w:hAnsiTheme="minorHAnsi"/>
          <w:color w:val="000000" w:themeColor="text1"/>
          <w:sz w:val="24"/>
          <w:szCs w:val="22"/>
          <w:lang w:val="en-AU"/>
        </w:rPr>
      </w:pPr>
    </w:p>
    <w:p w:rsidR="00F86FF8" w:rsidRPr="001C625E" w:rsidRDefault="00F86FF8" w:rsidP="00F86FF8">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 xml:space="preserve">Section 10K of the </w:t>
      </w:r>
      <w:r w:rsidR="008B62AE" w:rsidRPr="001C625E">
        <w:rPr>
          <w:rFonts w:asciiTheme="minorHAnsi" w:hAnsiTheme="minorHAnsi"/>
          <w:color w:val="000000" w:themeColor="text1"/>
          <w:sz w:val="24"/>
          <w:szCs w:val="22"/>
          <w:lang w:val="en-AU"/>
        </w:rPr>
        <w:t>Act</w:t>
      </w:r>
      <w:r w:rsidRPr="001C625E">
        <w:rPr>
          <w:rFonts w:asciiTheme="minorHAnsi" w:hAnsiTheme="minorHAnsi"/>
          <w:color w:val="000000" w:themeColor="text1"/>
          <w:sz w:val="24"/>
          <w:szCs w:val="22"/>
          <w:lang w:val="en-AU"/>
        </w:rPr>
        <w:t xml:space="preserve"> provides that the Minister may make guidelines for the determination of surrender obligations under section 10J.</w:t>
      </w:r>
    </w:p>
    <w:p w:rsidR="00FA2F9A" w:rsidRPr="001C625E" w:rsidRDefault="00FA2F9A" w:rsidP="008B62AE">
      <w:pPr>
        <w:pStyle w:val="BodyText3"/>
        <w:keepNext/>
        <w:tabs>
          <w:tab w:val="left" w:pos="2268"/>
        </w:tabs>
        <w:rPr>
          <w:rFonts w:asciiTheme="minorHAnsi" w:hAnsiTheme="minorHAnsi"/>
          <w:b/>
          <w:color w:val="000000" w:themeColor="text1"/>
          <w:sz w:val="24"/>
          <w:szCs w:val="22"/>
          <w:u w:val="single"/>
          <w:lang w:val="en-AU"/>
        </w:rPr>
      </w:pPr>
      <w:r w:rsidRPr="001C625E">
        <w:rPr>
          <w:rFonts w:asciiTheme="minorHAnsi" w:hAnsiTheme="minorHAnsi"/>
          <w:b/>
          <w:color w:val="000000" w:themeColor="text1"/>
          <w:sz w:val="24"/>
          <w:szCs w:val="22"/>
          <w:u w:val="single"/>
          <w:lang w:val="en-AU"/>
        </w:rPr>
        <w:lastRenderedPageBreak/>
        <w:t>BACKGROUND</w:t>
      </w:r>
    </w:p>
    <w:p w:rsidR="00FA2F9A" w:rsidRPr="001C625E" w:rsidRDefault="00FA2F9A" w:rsidP="008B62AE">
      <w:pPr>
        <w:pStyle w:val="BodyText3"/>
        <w:keepNext/>
        <w:tabs>
          <w:tab w:val="left" w:pos="2268"/>
        </w:tabs>
        <w:rPr>
          <w:rFonts w:asciiTheme="minorHAnsi" w:hAnsiTheme="minorHAnsi"/>
          <w:color w:val="000000" w:themeColor="text1"/>
          <w:sz w:val="24"/>
          <w:szCs w:val="22"/>
          <w:lang w:val="en-AU"/>
        </w:rPr>
      </w:pPr>
    </w:p>
    <w:p w:rsidR="008B62AE" w:rsidRPr="001C625E" w:rsidRDefault="008B62AE" w:rsidP="008B62AE">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Section 10 of the Act provides that there are two compulsory surrender days. The first compulsory surrender day is 1 April 2019 and the second compulsory surrender day is 30 April 2020.</w:t>
      </w:r>
    </w:p>
    <w:p w:rsidR="008B62AE" w:rsidRPr="001C625E" w:rsidRDefault="008B62AE" w:rsidP="008B62AE">
      <w:pPr>
        <w:rPr>
          <w:rFonts w:asciiTheme="minorHAnsi" w:hAnsiTheme="minorHAnsi"/>
          <w:sz w:val="24"/>
        </w:rPr>
      </w:pPr>
    </w:p>
    <w:p w:rsidR="00FA2F9A" w:rsidRPr="001C625E" w:rsidRDefault="008B62AE" w:rsidP="00FA2F9A">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As indicated above, s</w:t>
      </w:r>
      <w:r w:rsidR="00FA2F9A" w:rsidRPr="001C625E">
        <w:rPr>
          <w:rFonts w:asciiTheme="minorHAnsi" w:hAnsiTheme="minorHAnsi"/>
          <w:color w:val="000000" w:themeColor="text1"/>
          <w:sz w:val="24"/>
          <w:szCs w:val="22"/>
          <w:lang w:val="en-AU"/>
        </w:rPr>
        <w:t>ection 10J of the Act provides that the Minister must determine the surrender obligation of each licensee for each compulsory surrender day.</w:t>
      </w:r>
    </w:p>
    <w:p w:rsidR="00FA2F9A" w:rsidRPr="001C625E" w:rsidRDefault="00FA2F9A" w:rsidP="00FA2F9A">
      <w:pPr>
        <w:pStyle w:val="BodyText3"/>
        <w:tabs>
          <w:tab w:val="left" w:pos="2268"/>
        </w:tabs>
        <w:rPr>
          <w:rFonts w:asciiTheme="minorHAnsi" w:hAnsiTheme="minorHAnsi"/>
          <w:color w:val="000000" w:themeColor="text1"/>
          <w:sz w:val="24"/>
          <w:szCs w:val="22"/>
          <w:lang w:val="en-AU"/>
        </w:rPr>
      </w:pPr>
    </w:p>
    <w:p w:rsidR="00FA2F9A" w:rsidRPr="001C625E" w:rsidRDefault="00FA2F9A" w:rsidP="00FA2F9A">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Section 10J(2) provides that the total of the surrender obligations for a licensee for both compulsory surrender days must not exceed 20% of the authorisations held by the licensee in relation to the authorised premises on the census day.</w:t>
      </w:r>
    </w:p>
    <w:p w:rsidR="00FA2F9A" w:rsidRPr="001C625E" w:rsidRDefault="00FA2F9A" w:rsidP="00FA2F9A">
      <w:pPr>
        <w:pStyle w:val="BodyText3"/>
        <w:tabs>
          <w:tab w:val="left" w:pos="2268"/>
        </w:tabs>
        <w:rPr>
          <w:rFonts w:asciiTheme="minorHAnsi" w:hAnsiTheme="minorHAnsi"/>
          <w:color w:val="000000" w:themeColor="text1"/>
          <w:sz w:val="24"/>
          <w:szCs w:val="22"/>
          <w:lang w:val="en-AU"/>
        </w:rPr>
      </w:pPr>
    </w:p>
    <w:p w:rsidR="00FA2F9A" w:rsidRPr="001C625E" w:rsidRDefault="00FA2F9A" w:rsidP="00FA2F9A">
      <w:pPr>
        <w:pStyle w:val="BodyText3"/>
        <w:tabs>
          <w:tab w:val="left" w:pos="2268"/>
        </w:tabs>
        <w:rPr>
          <w:rFonts w:asciiTheme="minorHAnsi" w:hAnsiTheme="minorHAnsi"/>
          <w:color w:val="000000" w:themeColor="text1"/>
          <w:sz w:val="24"/>
          <w:szCs w:val="22"/>
          <w:lang w:val="en-AU"/>
        </w:rPr>
      </w:pPr>
      <w:r w:rsidRPr="001C625E">
        <w:rPr>
          <w:rFonts w:asciiTheme="minorHAnsi" w:hAnsiTheme="minorHAnsi"/>
          <w:color w:val="000000" w:themeColor="text1"/>
          <w:sz w:val="24"/>
          <w:szCs w:val="22"/>
          <w:lang w:val="en-AU"/>
        </w:rPr>
        <w:t>Section 10J(3) sets out a number of principles that the Minister must consider when determining a surrender obligation.</w:t>
      </w:r>
      <w:r w:rsidR="001C625E" w:rsidRPr="001C625E">
        <w:rPr>
          <w:rFonts w:asciiTheme="minorHAnsi" w:hAnsiTheme="minorHAnsi"/>
          <w:color w:val="000000" w:themeColor="text1"/>
          <w:sz w:val="24"/>
          <w:szCs w:val="22"/>
          <w:lang w:val="en-AU"/>
        </w:rPr>
        <w:t xml:space="preserve"> </w:t>
      </w:r>
      <w:r w:rsidRPr="001C625E">
        <w:rPr>
          <w:rFonts w:asciiTheme="minorHAnsi" w:hAnsiTheme="minorHAnsi"/>
          <w:color w:val="000000" w:themeColor="text1"/>
          <w:sz w:val="24"/>
          <w:szCs w:val="22"/>
          <w:lang w:val="en-AU"/>
        </w:rPr>
        <w:t>The relevant provisions are as follows:</w:t>
      </w:r>
    </w:p>
    <w:p w:rsidR="00FA2F9A" w:rsidRPr="001C625E" w:rsidRDefault="001C625E" w:rsidP="001C625E">
      <w:pPr>
        <w:pStyle w:val="Amain"/>
        <w:tabs>
          <w:tab w:val="clear" w:pos="900"/>
          <w:tab w:val="clear" w:pos="1100"/>
          <w:tab w:val="left" w:pos="567"/>
        </w:tabs>
        <w:rPr>
          <w:rFonts w:asciiTheme="minorHAnsi" w:hAnsiTheme="minorHAnsi"/>
        </w:rPr>
      </w:pPr>
      <w:r w:rsidRPr="001C625E">
        <w:rPr>
          <w:rFonts w:asciiTheme="minorHAnsi" w:hAnsiTheme="minorHAnsi"/>
        </w:rPr>
        <w:tab/>
      </w:r>
      <w:r w:rsidR="00FA2F9A" w:rsidRPr="001C625E">
        <w:rPr>
          <w:rFonts w:asciiTheme="minorHAnsi" w:hAnsiTheme="minorHAnsi"/>
        </w:rPr>
        <w:t>(3</w:t>
      </w:r>
      <w:r w:rsidR="00845643">
        <w:rPr>
          <w:rFonts w:asciiTheme="minorHAnsi" w:hAnsiTheme="minorHAnsi"/>
        </w:rPr>
        <w:t>)</w:t>
      </w:r>
      <w:r w:rsidR="00845643">
        <w:rPr>
          <w:rFonts w:asciiTheme="minorHAnsi" w:hAnsiTheme="minorHAnsi"/>
        </w:rPr>
        <w:tab/>
      </w:r>
      <w:r w:rsidR="00FA2F9A" w:rsidRPr="001C625E">
        <w:rPr>
          <w:rFonts w:asciiTheme="minorHAnsi" w:hAnsiTheme="minorHAnsi"/>
        </w:rPr>
        <w:t>In determining a surrender obligation, the Minister must, as far as practicable—</w:t>
      </w:r>
    </w:p>
    <w:p w:rsidR="00FA2F9A" w:rsidRPr="001C625E" w:rsidRDefault="00FA2F9A" w:rsidP="00FA2F9A">
      <w:pPr>
        <w:pStyle w:val="Apara"/>
        <w:rPr>
          <w:rFonts w:asciiTheme="minorHAnsi" w:hAnsiTheme="minorHAnsi"/>
        </w:rPr>
      </w:pPr>
      <w:r w:rsidRPr="001C625E">
        <w:rPr>
          <w:rFonts w:asciiTheme="minorHAnsi" w:hAnsiTheme="minorHAnsi"/>
        </w:rPr>
        <w:tab/>
        <w:t>(a)</w:t>
      </w:r>
      <w:r w:rsidRPr="001C625E">
        <w:rPr>
          <w:rFonts w:asciiTheme="minorHAnsi" w:hAnsiTheme="minorHAnsi"/>
        </w:rPr>
        <w:tab/>
        <w:t>ensure that the cap on authorisations in the ACT will reach the target of</w:t>
      </w:r>
      <w:r w:rsidRPr="001C625E">
        <w:rPr>
          <w:rFonts w:asciiTheme="minorHAnsi" w:hAnsiTheme="minorHAnsi"/>
          <w:color w:val="000000"/>
        </w:rPr>
        <w:t xml:space="preserve"> 4 000 authorisations by the second compulsory surrender day; and</w:t>
      </w:r>
    </w:p>
    <w:p w:rsidR="00FA2F9A" w:rsidRPr="001C625E" w:rsidRDefault="00FA2F9A" w:rsidP="00FA2F9A">
      <w:pPr>
        <w:pStyle w:val="Apara"/>
        <w:rPr>
          <w:rFonts w:asciiTheme="minorHAnsi" w:hAnsiTheme="minorHAnsi"/>
        </w:rPr>
      </w:pPr>
      <w:r w:rsidRPr="001C625E">
        <w:rPr>
          <w:rFonts w:asciiTheme="minorHAnsi" w:hAnsiTheme="minorHAnsi"/>
        </w:rPr>
        <w:tab/>
        <w:t>(b)</w:t>
      </w:r>
      <w:r w:rsidRPr="001C625E">
        <w:rPr>
          <w:rFonts w:asciiTheme="minorHAnsi" w:hAnsiTheme="minorHAnsi"/>
        </w:rPr>
        <w:tab/>
        <w:t>subject to subsection (6), determine the surrender obligation of a licensee in proportion to the number of authorisations held by the licensee under the authorisation certificate for the authorised premises on the census day; and</w:t>
      </w:r>
    </w:p>
    <w:p w:rsidR="00FA2F9A" w:rsidRPr="001C625E" w:rsidRDefault="00FA2F9A" w:rsidP="00FA2F9A">
      <w:pPr>
        <w:pStyle w:val="Apara"/>
        <w:rPr>
          <w:rFonts w:asciiTheme="minorHAnsi" w:hAnsiTheme="minorHAnsi"/>
        </w:rPr>
      </w:pPr>
      <w:r w:rsidRPr="001C625E">
        <w:rPr>
          <w:rFonts w:asciiTheme="minorHAnsi" w:hAnsiTheme="minorHAnsi"/>
        </w:rPr>
        <w:tab/>
        <w:t>(c)</w:t>
      </w:r>
      <w:r w:rsidRPr="001C625E">
        <w:rPr>
          <w:rFonts w:asciiTheme="minorHAnsi" w:hAnsiTheme="minorHAnsi"/>
        </w:rPr>
        <w:tab/>
        <w:t>reduce a licensee’s surrender obligation by taking into account the number of authorisations surrendered by the licensee in relation to the authorised premises under section 37F during the period beginning on the census day and ending on the day before a determination is made; and</w:t>
      </w:r>
    </w:p>
    <w:p w:rsidR="00FA2F9A" w:rsidRPr="001C625E" w:rsidRDefault="00FA2F9A" w:rsidP="00FA2F9A">
      <w:pPr>
        <w:pStyle w:val="Apara"/>
        <w:rPr>
          <w:rFonts w:asciiTheme="minorHAnsi" w:hAnsiTheme="minorHAnsi"/>
        </w:rPr>
      </w:pPr>
      <w:r w:rsidRPr="001C625E">
        <w:rPr>
          <w:rFonts w:asciiTheme="minorHAnsi" w:hAnsiTheme="minorHAnsi"/>
        </w:rPr>
        <w:tab/>
        <w:t>(d)</w:t>
      </w:r>
      <w:r w:rsidRPr="001C625E">
        <w:rPr>
          <w:rFonts w:asciiTheme="minorHAnsi" w:hAnsiTheme="minorHAnsi"/>
        </w:rPr>
        <w:tab/>
        <w:t>if the surrender obligation is for a licensee that is a disposing licensee under section 127F (1)—reduce the licensee’s surrender obligation by taking into account the number of authorisations from the authorised premises that were forfeited by the acquiring licensee under section 127F (4) during the period beginning on the census day and ending on the day before the determination; and</w:t>
      </w:r>
    </w:p>
    <w:p w:rsidR="00FA2F9A" w:rsidRPr="001C625E" w:rsidRDefault="00FA2F9A" w:rsidP="00FA2F9A">
      <w:pPr>
        <w:pStyle w:val="Apara"/>
        <w:rPr>
          <w:rFonts w:asciiTheme="minorHAnsi" w:hAnsiTheme="minorHAnsi"/>
          <w:color w:val="000000"/>
        </w:rPr>
      </w:pPr>
      <w:r w:rsidRPr="001C625E">
        <w:rPr>
          <w:rFonts w:asciiTheme="minorHAnsi" w:hAnsiTheme="minorHAnsi"/>
          <w:color w:val="000000"/>
        </w:rPr>
        <w:tab/>
        <w:t>(e)</w:t>
      </w:r>
      <w:r w:rsidRPr="001C625E">
        <w:rPr>
          <w:rFonts w:asciiTheme="minorHAnsi" w:hAnsiTheme="minorHAnsi"/>
          <w:color w:val="000000"/>
        </w:rPr>
        <w:tab/>
        <w:t>reduce a licensee’s surrender obligation by taking into account the number of the licensee’s surrendered authorisations under section 10D—</w:t>
      </w:r>
    </w:p>
    <w:p w:rsidR="00FA2F9A" w:rsidRPr="001C625E" w:rsidRDefault="00FA2F9A" w:rsidP="00FA2F9A">
      <w:pPr>
        <w:pStyle w:val="Asubpara"/>
        <w:rPr>
          <w:rFonts w:asciiTheme="minorHAnsi" w:hAnsiTheme="minorHAnsi"/>
        </w:rPr>
      </w:pPr>
      <w:r w:rsidRPr="001C625E">
        <w:rPr>
          <w:rFonts w:asciiTheme="minorHAnsi" w:hAnsiTheme="minorHAnsi"/>
          <w:color w:val="000000"/>
        </w:rPr>
        <w:tab/>
        <w:t>(i)</w:t>
      </w:r>
      <w:r w:rsidRPr="001C625E">
        <w:rPr>
          <w:rFonts w:asciiTheme="minorHAnsi" w:hAnsiTheme="minorHAnsi"/>
          <w:color w:val="000000"/>
        </w:rPr>
        <w:tab/>
        <w:t xml:space="preserve">for the authorised premises; or </w:t>
      </w:r>
    </w:p>
    <w:p w:rsidR="00FA2F9A" w:rsidRPr="001C625E" w:rsidRDefault="00FA2F9A" w:rsidP="00FA2F9A">
      <w:pPr>
        <w:pStyle w:val="Asubpara"/>
        <w:rPr>
          <w:rFonts w:asciiTheme="minorHAnsi" w:hAnsiTheme="minorHAnsi"/>
        </w:rPr>
      </w:pPr>
      <w:r w:rsidRPr="001C625E">
        <w:rPr>
          <w:rFonts w:asciiTheme="minorHAnsi" w:hAnsiTheme="minorHAnsi"/>
        </w:rPr>
        <w:tab/>
        <w:t>(ii)</w:t>
      </w:r>
      <w:r w:rsidRPr="001C625E">
        <w:rPr>
          <w:rFonts w:asciiTheme="minorHAnsi" w:hAnsiTheme="minorHAnsi"/>
        </w:rPr>
        <w:tab/>
        <w:t>if the licensee nominates other authorised premises of the licensee under section 10B (3)—for the nominated premises; and</w:t>
      </w:r>
    </w:p>
    <w:p w:rsidR="00FA2F9A" w:rsidRPr="001C625E" w:rsidRDefault="00FA2F9A" w:rsidP="00FA2F9A">
      <w:pPr>
        <w:pStyle w:val="Apara"/>
        <w:rPr>
          <w:rFonts w:asciiTheme="minorHAnsi" w:hAnsiTheme="minorHAnsi"/>
        </w:rPr>
      </w:pPr>
      <w:r w:rsidRPr="001C625E">
        <w:rPr>
          <w:rFonts w:asciiTheme="minorHAnsi" w:hAnsiTheme="minorHAnsi"/>
          <w:color w:val="000000"/>
        </w:rPr>
        <w:tab/>
        <w:t>(f)</w:t>
      </w:r>
      <w:r w:rsidRPr="001C625E">
        <w:rPr>
          <w:rFonts w:asciiTheme="minorHAnsi" w:hAnsiTheme="minorHAnsi"/>
          <w:color w:val="000000"/>
        </w:rPr>
        <w:tab/>
        <w:t>apply any guidelines made under section 10K.</w:t>
      </w:r>
    </w:p>
    <w:p w:rsidR="00FA2F9A" w:rsidRPr="001C625E" w:rsidRDefault="00FA2F9A" w:rsidP="00FA2F9A">
      <w:pPr>
        <w:pStyle w:val="Amain"/>
        <w:rPr>
          <w:rFonts w:asciiTheme="minorHAnsi" w:hAnsiTheme="minorHAnsi"/>
          <w:color w:val="000000"/>
        </w:rPr>
      </w:pPr>
      <w:r w:rsidRPr="001C625E">
        <w:rPr>
          <w:rFonts w:asciiTheme="minorHAnsi" w:hAnsiTheme="minorHAnsi"/>
          <w:color w:val="000000"/>
        </w:rPr>
        <w:tab/>
      </w:r>
    </w:p>
    <w:p w:rsidR="00FA2F9A" w:rsidRPr="001C625E" w:rsidRDefault="00FA2F9A" w:rsidP="00FA2F9A">
      <w:pPr>
        <w:pStyle w:val="Amain"/>
        <w:rPr>
          <w:rFonts w:asciiTheme="minorHAnsi" w:hAnsiTheme="minorHAnsi"/>
          <w:color w:val="000000"/>
        </w:rPr>
      </w:pPr>
      <w:r w:rsidRPr="001C625E">
        <w:rPr>
          <w:rFonts w:asciiTheme="minorHAnsi" w:hAnsiTheme="minorHAnsi"/>
          <w:color w:val="000000"/>
        </w:rPr>
        <w:t>Also of relevance, sections 10J(4) to (6)</w:t>
      </w:r>
      <w:r w:rsidR="001C625E" w:rsidRPr="001C625E">
        <w:rPr>
          <w:rFonts w:asciiTheme="minorHAnsi" w:hAnsiTheme="minorHAnsi"/>
          <w:color w:val="000000"/>
        </w:rPr>
        <w:t xml:space="preserve"> of the Act</w:t>
      </w:r>
      <w:r w:rsidRPr="001C625E">
        <w:rPr>
          <w:rFonts w:asciiTheme="minorHAnsi" w:hAnsiTheme="minorHAnsi"/>
          <w:color w:val="000000"/>
        </w:rPr>
        <w:t xml:space="preserve"> provide:</w:t>
      </w:r>
    </w:p>
    <w:p w:rsidR="00FA2F9A" w:rsidRPr="001C625E" w:rsidRDefault="00FA2F9A" w:rsidP="00FA2F9A">
      <w:pPr>
        <w:pStyle w:val="Amain"/>
        <w:rPr>
          <w:rFonts w:asciiTheme="minorHAnsi" w:hAnsiTheme="minorHAnsi"/>
        </w:rPr>
      </w:pPr>
      <w:r w:rsidRPr="001C625E">
        <w:rPr>
          <w:rFonts w:asciiTheme="minorHAnsi" w:hAnsiTheme="minorHAnsi"/>
          <w:color w:val="000000"/>
        </w:rPr>
        <w:tab/>
        <w:t>(4)</w:t>
      </w:r>
      <w:r w:rsidRPr="001C625E">
        <w:rPr>
          <w:rFonts w:asciiTheme="minorHAnsi" w:hAnsiTheme="minorHAnsi"/>
          <w:color w:val="000000"/>
        </w:rPr>
        <w:tab/>
        <w:t>Any authorisations taken into account under subsections (3) (c) and (d) in a determination for the first compulsory surrender day must not be taken into account to reduce a surrender obligation in a determination for the second compulsory surrender day.</w:t>
      </w:r>
    </w:p>
    <w:p w:rsidR="00FA2F9A" w:rsidRPr="001C625E" w:rsidRDefault="00FA2F9A" w:rsidP="00FA2F9A">
      <w:pPr>
        <w:pStyle w:val="Amain"/>
        <w:rPr>
          <w:rFonts w:asciiTheme="minorHAnsi" w:hAnsiTheme="minorHAnsi"/>
        </w:rPr>
      </w:pPr>
      <w:r w:rsidRPr="001C625E">
        <w:rPr>
          <w:rFonts w:asciiTheme="minorHAnsi" w:hAnsiTheme="minorHAnsi"/>
        </w:rPr>
        <w:lastRenderedPageBreak/>
        <w:tab/>
        <w:t>(5)</w:t>
      </w:r>
      <w:r w:rsidRPr="001C625E">
        <w:rPr>
          <w:rFonts w:asciiTheme="minorHAnsi" w:hAnsiTheme="minorHAnsi"/>
        </w:rPr>
        <w:tab/>
        <w:t>Any authorisations taken into account in relation to subsection (3) (e) must, as far as practicable, be evenly distributed between the determinations for the first compulsory surrender day and the second compulsory surrender day.</w:t>
      </w:r>
    </w:p>
    <w:p w:rsidR="00FA2F9A" w:rsidRPr="001C625E" w:rsidRDefault="00FA2F9A" w:rsidP="00FA2F9A">
      <w:pPr>
        <w:pStyle w:val="Amain"/>
        <w:rPr>
          <w:rFonts w:asciiTheme="minorHAnsi" w:hAnsiTheme="minorHAnsi"/>
        </w:rPr>
      </w:pPr>
      <w:r w:rsidRPr="001C625E">
        <w:rPr>
          <w:rFonts w:asciiTheme="minorHAnsi" w:hAnsiTheme="minorHAnsi"/>
        </w:rPr>
        <w:tab/>
        <w:t>(6)</w:t>
      </w:r>
      <w:r w:rsidRPr="001C625E">
        <w:rPr>
          <w:rFonts w:asciiTheme="minorHAnsi" w:hAnsiTheme="minorHAnsi"/>
        </w:rPr>
        <w:tab/>
        <w:t>The Minister must—</w:t>
      </w:r>
    </w:p>
    <w:p w:rsidR="00FA2F9A" w:rsidRPr="001C625E" w:rsidRDefault="00FA2F9A" w:rsidP="00FA2F9A">
      <w:pPr>
        <w:pStyle w:val="Apara"/>
        <w:rPr>
          <w:rFonts w:asciiTheme="minorHAnsi" w:hAnsiTheme="minorHAnsi"/>
        </w:rPr>
      </w:pPr>
      <w:r w:rsidRPr="001C625E">
        <w:rPr>
          <w:rFonts w:asciiTheme="minorHAnsi" w:hAnsiTheme="minorHAnsi"/>
          <w:color w:val="000000"/>
        </w:rPr>
        <w:tab/>
        <w:t>(a)</w:t>
      </w:r>
      <w:r w:rsidRPr="001C625E">
        <w:rPr>
          <w:rFonts w:asciiTheme="minorHAnsi" w:hAnsiTheme="minorHAnsi"/>
          <w:color w:val="000000"/>
        </w:rPr>
        <w:tab/>
        <w:t>round a surrender obligation to the nearest whole number; and</w:t>
      </w:r>
    </w:p>
    <w:p w:rsidR="00FA2F9A" w:rsidRPr="001C625E" w:rsidRDefault="00FA2F9A" w:rsidP="00FA2F9A">
      <w:pPr>
        <w:pStyle w:val="Apara"/>
        <w:rPr>
          <w:rFonts w:asciiTheme="minorHAnsi" w:hAnsiTheme="minorHAnsi"/>
        </w:rPr>
      </w:pPr>
      <w:r w:rsidRPr="001C625E">
        <w:rPr>
          <w:rFonts w:asciiTheme="minorHAnsi" w:hAnsiTheme="minorHAnsi"/>
        </w:rPr>
        <w:tab/>
        <w:t>(b)</w:t>
      </w:r>
      <w:r w:rsidRPr="001C625E">
        <w:rPr>
          <w:rFonts w:asciiTheme="minorHAnsi" w:hAnsiTheme="minorHAnsi"/>
        </w:rPr>
        <w:tab/>
        <w:t>starting with the licensee that holds the greatest number of authorisations and working down to the licensee that holds the fewest authorisations, adjust the surrender obligations of the licensees to add additional surrenders of authorisations that are necessary to ensure the cap on authorisations reaches the target of 4 000 authorisations under subsection (3) (a).</w:t>
      </w:r>
    </w:p>
    <w:p w:rsidR="00205BD9" w:rsidRDefault="00205BD9" w:rsidP="001C13FB">
      <w:pPr>
        <w:tabs>
          <w:tab w:val="clear" w:pos="567"/>
          <w:tab w:val="clear" w:pos="1134"/>
          <w:tab w:val="clear" w:pos="1701"/>
          <w:tab w:val="left" w:pos="4320"/>
        </w:tabs>
        <w:jc w:val="left"/>
        <w:rPr>
          <w:rFonts w:asciiTheme="minorHAnsi" w:hAnsiTheme="minorHAnsi"/>
          <w:sz w:val="24"/>
          <w:szCs w:val="20"/>
          <w:lang w:val="en-AU"/>
        </w:rPr>
      </w:pPr>
    </w:p>
    <w:p w:rsidR="001C625E" w:rsidRPr="001C625E" w:rsidRDefault="001C625E" w:rsidP="001C13FB">
      <w:pPr>
        <w:tabs>
          <w:tab w:val="clear" w:pos="567"/>
          <w:tab w:val="clear" w:pos="1134"/>
          <w:tab w:val="clear" w:pos="1701"/>
          <w:tab w:val="left" w:pos="4320"/>
        </w:tabs>
        <w:jc w:val="left"/>
        <w:rPr>
          <w:rFonts w:asciiTheme="minorHAnsi" w:hAnsiTheme="minorHAnsi"/>
          <w:b/>
          <w:sz w:val="24"/>
          <w:szCs w:val="20"/>
          <w:u w:val="single"/>
          <w:lang w:val="en-AU"/>
        </w:rPr>
      </w:pPr>
      <w:r w:rsidRPr="001C625E">
        <w:rPr>
          <w:rFonts w:asciiTheme="minorHAnsi" w:hAnsiTheme="minorHAnsi"/>
          <w:b/>
          <w:sz w:val="24"/>
          <w:szCs w:val="20"/>
          <w:u w:val="single"/>
          <w:lang w:val="en-AU"/>
        </w:rPr>
        <w:t>GUIDELINES</w:t>
      </w:r>
    </w:p>
    <w:p w:rsidR="001C625E" w:rsidRPr="00655CED" w:rsidRDefault="001C625E" w:rsidP="00655CED">
      <w:pPr>
        <w:pStyle w:val="BodyText3"/>
        <w:tabs>
          <w:tab w:val="left" w:pos="2268"/>
        </w:tabs>
        <w:rPr>
          <w:rFonts w:asciiTheme="minorHAnsi" w:hAnsiTheme="minorHAnsi"/>
          <w:color w:val="000000" w:themeColor="text1"/>
          <w:sz w:val="24"/>
          <w:szCs w:val="22"/>
          <w:lang w:val="en-AU"/>
        </w:rPr>
      </w:pPr>
    </w:p>
    <w:p w:rsidR="00655CED" w:rsidRPr="001C625E" w:rsidRDefault="00655CED"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Section 10J(3)(f) of the Act provides that the Minister must, as far as practicable, apply any guidelines made under section 10K when determining a surrender obligation.</w:t>
      </w:r>
    </w:p>
    <w:p w:rsidR="00655CED" w:rsidRPr="00655CED" w:rsidRDefault="00655CED" w:rsidP="00655CED">
      <w:pPr>
        <w:pStyle w:val="BodyText3"/>
        <w:tabs>
          <w:tab w:val="left" w:pos="2268"/>
        </w:tabs>
        <w:rPr>
          <w:rFonts w:asciiTheme="minorHAnsi" w:hAnsiTheme="minorHAnsi"/>
          <w:color w:val="000000" w:themeColor="text1"/>
          <w:sz w:val="24"/>
          <w:szCs w:val="22"/>
          <w:lang w:val="en-AU"/>
        </w:rPr>
      </w:pPr>
    </w:p>
    <w:p w:rsidR="00E5190D" w:rsidRDefault="001C625E" w:rsidP="00655CED">
      <w:pPr>
        <w:pStyle w:val="BodyText3"/>
        <w:tabs>
          <w:tab w:val="left" w:pos="2268"/>
        </w:tabs>
        <w:rPr>
          <w:rFonts w:asciiTheme="minorHAnsi" w:hAnsiTheme="minorHAnsi"/>
          <w:color w:val="000000" w:themeColor="text1"/>
          <w:sz w:val="24"/>
          <w:szCs w:val="22"/>
          <w:lang w:val="en-AU"/>
        </w:rPr>
      </w:pPr>
      <w:r w:rsidRPr="00655CED">
        <w:rPr>
          <w:rFonts w:asciiTheme="minorHAnsi" w:hAnsiTheme="minorHAnsi"/>
          <w:color w:val="000000" w:themeColor="text1"/>
          <w:sz w:val="24"/>
          <w:szCs w:val="22"/>
          <w:lang w:val="en-AU"/>
        </w:rPr>
        <w:t xml:space="preserve">The </w:t>
      </w:r>
      <w:r w:rsidRPr="00655CED">
        <w:rPr>
          <w:rFonts w:asciiTheme="minorHAnsi" w:hAnsiTheme="minorHAnsi"/>
          <w:i/>
          <w:color w:val="000000" w:themeColor="text1"/>
          <w:sz w:val="24"/>
          <w:szCs w:val="22"/>
          <w:lang w:val="en-AU"/>
        </w:rPr>
        <w:t>Gaming Machine (</w:t>
      </w:r>
      <w:r w:rsidR="00845643">
        <w:rPr>
          <w:rFonts w:asciiTheme="minorHAnsi" w:hAnsiTheme="minorHAnsi"/>
          <w:i/>
          <w:color w:val="000000" w:themeColor="text1"/>
          <w:sz w:val="24"/>
          <w:szCs w:val="22"/>
          <w:lang w:val="en-AU"/>
        </w:rPr>
        <w:t>Determination of</w:t>
      </w:r>
      <w:r w:rsidRPr="00655CED">
        <w:rPr>
          <w:rFonts w:asciiTheme="minorHAnsi" w:hAnsiTheme="minorHAnsi"/>
          <w:i/>
          <w:color w:val="000000" w:themeColor="text1"/>
          <w:sz w:val="24"/>
          <w:szCs w:val="22"/>
          <w:lang w:val="en-AU"/>
        </w:rPr>
        <w:t xml:space="preserve"> Surrender Ob</w:t>
      </w:r>
      <w:r w:rsidR="00845643">
        <w:rPr>
          <w:rFonts w:asciiTheme="minorHAnsi" w:hAnsiTheme="minorHAnsi"/>
          <w:i/>
          <w:color w:val="000000" w:themeColor="text1"/>
          <w:sz w:val="24"/>
          <w:szCs w:val="22"/>
          <w:lang w:val="en-AU"/>
        </w:rPr>
        <w:t>ligations) Guidelines 2019</w:t>
      </w:r>
      <w:r w:rsidRPr="00655CED">
        <w:rPr>
          <w:rFonts w:asciiTheme="minorHAnsi" w:hAnsiTheme="minorHAnsi"/>
          <w:color w:val="000000" w:themeColor="text1"/>
          <w:sz w:val="24"/>
          <w:szCs w:val="22"/>
          <w:lang w:val="en-AU"/>
        </w:rPr>
        <w:t xml:space="preserve"> set out additional principles that the Attorney-General must apply, as far as practicable, in makin</w:t>
      </w:r>
      <w:r w:rsidR="00845643">
        <w:rPr>
          <w:rFonts w:asciiTheme="minorHAnsi" w:hAnsiTheme="minorHAnsi"/>
          <w:color w:val="000000" w:themeColor="text1"/>
          <w:sz w:val="24"/>
          <w:szCs w:val="22"/>
          <w:lang w:val="en-AU"/>
        </w:rPr>
        <w:t xml:space="preserve">g a </w:t>
      </w:r>
      <w:r w:rsidRPr="00655CED">
        <w:rPr>
          <w:rFonts w:asciiTheme="minorHAnsi" w:hAnsiTheme="minorHAnsi"/>
          <w:color w:val="000000" w:themeColor="text1"/>
          <w:sz w:val="24"/>
          <w:szCs w:val="22"/>
          <w:lang w:val="en-AU"/>
        </w:rPr>
        <w:t>determination under section 10J.</w:t>
      </w:r>
    </w:p>
    <w:p w:rsidR="00CD16B6" w:rsidRDefault="00CD16B6" w:rsidP="00655CED">
      <w:pPr>
        <w:pStyle w:val="BodyText3"/>
        <w:tabs>
          <w:tab w:val="left" w:pos="2268"/>
        </w:tabs>
        <w:rPr>
          <w:rFonts w:asciiTheme="minorHAnsi" w:hAnsiTheme="minorHAnsi"/>
          <w:color w:val="000000" w:themeColor="text1"/>
          <w:sz w:val="24"/>
          <w:szCs w:val="22"/>
          <w:lang w:val="en-AU"/>
        </w:rPr>
      </w:pPr>
    </w:p>
    <w:p w:rsidR="00CD16B6" w:rsidRDefault="00C6709C"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S</w:t>
      </w:r>
      <w:r w:rsidR="007E00EE">
        <w:rPr>
          <w:rFonts w:asciiTheme="minorHAnsi" w:hAnsiTheme="minorHAnsi"/>
          <w:color w:val="000000" w:themeColor="text1"/>
          <w:sz w:val="24"/>
          <w:szCs w:val="22"/>
          <w:lang w:val="en-AU"/>
        </w:rPr>
        <w:t xml:space="preserve">ection 10J(3)(e) </w:t>
      </w:r>
      <w:r>
        <w:rPr>
          <w:rFonts w:asciiTheme="minorHAnsi" w:hAnsiTheme="minorHAnsi"/>
          <w:color w:val="000000" w:themeColor="text1"/>
          <w:sz w:val="24"/>
          <w:szCs w:val="22"/>
          <w:lang w:val="en-AU"/>
        </w:rPr>
        <w:t xml:space="preserve">of the Act </w:t>
      </w:r>
      <w:r w:rsidR="007E00EE">
        <w:rPr>
          <w:rFonts w:asciiTheme="minorHAnsi" w:hAnsiTheme="minorHAnsi"/>
          <w:color w:val="000000" w:themeColor="text1"/>
          <w:sz w:val="24"/>
          <w:szCs w:val="22"/>
          <w:lang w:val="en-AU"/>
        </w:rPr>
        <w:t xml:space="preserve">provides that surrendered authorisations can be counted to reduce the surrender obligation of another of the licensee’s authorised premises. </w:t>
      </w:r>
      <w:r w:rsidR="00CD16B6">
        <w:rPr>
          <w:rFonts w:asciiTheme="minorHAnsi" w:hAnsiTheme="minorHAnsi"/>
          <w:color w:val="000000" w:themeColor="text1"/>
          <w:sz w:val="24"/>
          <w:szCs w:val="22"/>
          <w:lang w:val="en-AU"/>
        </w:rPr>
        <w:t>Guideline</w:t>
      </w:r>
      <w:r w:rsidR="007E00EE">
        <w:rPr>
          <w:rFonts w:asciiTheme="minorHAnsi" w:hAnsiTheme="minorHAnsi"/>
          <w:color w:val="000000" w:themeColor="text1"/>
          <w:sz w:val="24"/>
          <w:szCs w:val="22"/>
          <w:lang w:val="en-AU"/>
        </w:rPr>
        <w:t>s</w:t>
      </w:r>
      <w:r>
        <w:rPr>
          <w:rFonts w:asciiTheme="minorHAnsi" w:hAnsiTheme="minorHAnsi"/>
          <w:color w:val="000000" w:themeColor="text1"/>
          <w:sz w:val="24"/>
          <w:szCs w:val="22"/>
          <w:lang w:val="en-AU"/>
        </w:rPr>
        <w:t> </w:t>
      </w:r>
      <w:r w:rsidR="00351DB8">
        <w:rPr>
          <w:rFonts w:asciiTheme="minorHAnsi" w:hAnsiTheme="minorHAnsi"/>
          <w:color w:val="000000" w:themeColor="text1"/>
          <w:sz w:val="24"/>
          <w:szCs w:val="22"/>
          <w:lang w:val="en-AU"/>
        </w:rPr>
        <w:t>(</w:t>
      </w:r>
      <w:r w:rsidR="00CD16B6">
        <w:rPr>
          <w:rFonts w:asciiTheme="minorHAnsi" w:hAnsiTheme="minorHAnsi"/>
          <w:color w:val="000000" w:themeColor="text1"/>
          <w:sz w:val="24"/>
          <w:szCs w:val="22"/>
          <w:lang w:val="en-AU"/>
        </w:rPr>
        <w:t xml:space="preserve">i) </w:t>
      </w:r>
      <w:r w:rsidR="007E00EE">
        <w:rPr>
          <w:rFonts w:asciiTheme="minorHAnsi" w:hAnsiTheme="minorHAnsi"/>
          <w:color w:val="000000" w:themeColor="text1"/>
          <w:sz w:val="24"/>
          <w:szCs w:val="22"/>
          <w:lang w:val="en-AU"/>
        </w:rPr>
        <w:t>and (ii) provide this same flexibility in relation to authorisations surrendered under section 37F or forfeited under section 127F</w:t>
      </w:r>
      <w:r>
        <w:rPr>
          <w:rFonts w:asciiTheme="minorHAnsi" w:hAnsiTheme="minorHAnsi"/>
          <w:color w:val="000000" w:themeColor="text1"/>
          <w:sz w:val="24"/>
          <w:szCs w:val="22"/>
          <w:lang w:val="en-AU"/>
        </w:rPr>
        <w:t xml:space="preserve"> (and counted against a disposing licensee’s obligation)</w:t>
      </w:r>
      <w:r w:rsidR="007E00EE">
        <w:rPr>
          <w:rFonts w:asciiTheme="minorHAnsi" w:hAnsiTheme="minorHAnsi"/>
          <w:color w:val="000000" w:themeColor="text1"/>
          <w:sz w:val="24"/>
          <w:szCs w:val="22"/>
          <w:lang w:val="en-AU"/>
        </w:rPr>
        <w:t>. In both in</w:t>
      </w:r>
      <w:r>
        <w:rPr>
          <w:rFonts w:asciiTheme="minorHAnsi" w:hAnsiTheme="minorHAnsi"/>
          <w:color w:val="000000" w:themeColor="text1"/>
          <w:sz w:val="24"/>
          <w:szCs w:val="22"/>
          <w:lang w:val="en-AU"/>
        </w:rPr>
        <w:t>stances, the Guidelines provide</w:t>
      </w:r>
      <w:r w:rsidR="007E00EE">
        <w:rPr>
          <w:rFonts w:asciiTheme="minorHAnsi" w:hAnsiTheme="minorHAnsi"/>
          <w:color w:val="000000" w:themeColor="text1"/>
          <w:sz w:val="24"/>
          <w:szCs w:val="22"/>
          <w:lang w:val="en-AU"/>
        </w:rPr>
        <w:t xml:space="preserve"> that </w:t>
      </w:r>
      <w:r w:rsidR="00CD16B6">
        <w:rPr>
          <w:rFonts w:asciiTheme="minorHAnsi" w:hAnsiTheme="minorHAnsi"/>
          <w:color w:val="000000" w:themeColor="text1"/>
          <w:sz w:val="24"/>
          <w:szCs w:val="22"/>
          <w:lang w:val="en-AU"/>
        </w:rPr>
        <w:t>the Minister must only count a surrender</w:t>
      </w:r>
      <w:r w:rsidR="007E00EE">
        <w:rPr>
          <w:rFonts w:asciiTheme="minorHAnsi" w:hAnsiTheme="minorHAnsi"/>
          <w:color w:val="000000" w:themeColor="text1"/>
          <w:sz w:val="24"/>
          <w:szCs w:val="22"/>
          <w:lang w:val="en-AU"/>
        </w:rPr>
        <w:t xml:space="preserve">ed authorisation once </w:t>
      </w:r>
      <w:r w:rsidR="00CD16B6">
        <w:rPr>
          <w:rFonts w:asciiTheme="minorHAnsi" w:hAnsiTheme="minorHAnsi"/>
          <w:color w:val="000000" w:themeColor="text1"/>
          <w:sz w:val="24"/>
          <w:szCs w:val="22"/>
          <w:lang w:val="en-AU"/>
        </w:rPr>
        <w:t>when determining a surrender obligation.</w:t>
      </w:r>
    </w:p>
    <w:p w:rsidR="00CD16B6" w:rsidRDefault="00CD16B6" w:rsidP="00655CED">
      <w:pPr>
        <w:pStyle w:val="BodyText3"/>
        <w:tabs>
          <w:tab w:val="left" w:pos="2268"/>
        </w:tabs>
        <w:rPr>
          <w:rFonts w:asciiTheme="minorHAnsi" w:hAnsiTheme="minorHAnsi"/>
          <w:color w:val="000000" w:themeColor="text1"/>
          <w:sz w:val="24"/>
          <w:szCs w:val="22"/>
          <w:lang w:val="en-AU"/>
        </w:rPr>
      </w:pPr>
    </w:p>
    <w:p w:rsidR="00351DB8" w:rsidRDefault="00351DB8"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Guideline (iii) sets out that if </w:t>
      </w:r>
      <w:r w:rsidR="007E00EE">
        <w:rPr>
          <w:rFonts w:asciiTheme="minorHAnsi" w:hAnsiTheme="minorHAnsi"/>
          <w:color w:val="000000" w:themeColor="text1"/>
          <w:sz w:val="24"/>
          <w:szCs w:val="22"/>
          <w:lang w:val="en-AU"/>
        </w:rPr>
        <w:t>the combined</w:t>
      </w:r>
      <w:r>
        <w:rPr>
          <w:rFonts w:asciiTheme="minorHAnsi" w:hAnsiTheme="minorHAnsi"/>
          <w:color w:val="000000" w:themeColor="text1"/>
          <w:sz w:val="24"/>
          <w:szCs w:val="22"/>
          <w:lang w:val="en-AU"/>
        </w:rPr>
        <w:t xml:space="preserve"> surrender obligation</w:t>
      </w:r>
      <w:r w:rsidR="007E00EE">
        <w:rPr>
          <w:rFonts w:asciiTheme="minorHAnsi" w:hAnsiTheme="minorHAnsi"/>
          <w:color w:val="000000" w:themeColor="text1"/>
          <w:sz w:val="24"/>
          <w:szCs w:val="22"/>
          <w:lang w:val="en-AU"/>
        </w:rPr>
        <w:t>s</w:t>
      </w:r>
      <w:r>
        <w:rPr>
          <w:rFonts w:asciiTheme="minorHAnsi" w:hAnsiTheme="minorHAnsi"/>
          <w:color w:val="000000" w:themeColor="text1"/>
          <w:sz w:val="24"/>
          <w:szCs w:val="22"/>
          <w:lang w:val="en-AU"/>
        </w:rPr>
        <w:t xml:space="preserve"> for both compulsory surrender days </w:t>
      </w:r>
      <w:r w:rsidR="007E00EE">
        <w:rPr>
          <w:rFonts w:asciiTheme="minorHAnsi" w:hAnsiTheme="minorHAnsi"/>
          <w:color w:val="000000" w:themeColor="text1"/>
          <w:sz w:val="24"/>
          <w:szCs w:val="22"/>
          <w:lang w:val="en-AU"/>
        </w:rPr>
        <w:t xml:space="preserve">for an authorised premises </w:t>
      </w:r>
      <w:r>
        <w:rPr>
          <w:rFonts w:asciiTheme="minorHAnsi" w:hAnsiTheme="minorHAnsi"/>
          <w:color w:val="000000" w:themeColor="text1"/>
          <w:sz w:val="24"/>
          <w:szCs w:val="22"/>
          <w:lang w:val="en-AU"/>
        </w:rPr>
        <w:t>is an uneven number</w:t>
      </w:r>
      <w:r w:rsidR="007E00EE">
        <w:rPr>
          <w:rFonts w:asciiTheme="minorHAnsi" w:hAnsiTheme="minorHAnsi"/>
          <w:color w:val="000000" w:themeColor="text1"/>
          <w:sz w:val="24"/>
          <w:szCs w:val="22"/>
          <w:lang w:val="en-AU"/>
        </w:rPr>
        <w:t>,</w:t>
      </w:r>
      <w:r>
        <w:rPr>
          <w:rFonts w:asciiTheme="minorHAnsi" w:hAnsiTheme="minorHAnsi"/>
          <w:color w:val="000000" w:themeColor="text1"/>
          <w:sz w:val="24"/>
          <w:szCs w:val="22"/>
          <w:lang w:val="en-AU"/>
        </w:rPr>
        <w:t xml:space="preserve"> the Minister should determine that the higher number is</w:t>
      </w:r>
      <w:r w:rsidRPr="00351DB8">
        <w:rPr>
          <w:rFonts w:asciiTheme="minorHAnsi" w:hAnsiTheme="minorHAnsi"/>
          <w:color w:val="000000" w:themeColor="text1"/>
          <w:sz w:val="24"/>
          <w:szCs w:val="22"/>
          <w:lang w:val="en-AU"/>
        </w:rPr>
        <w:t xml:space="preserve"> surrendered on the first compulsory surrender day</w:t>
      </w:r>
      <w:r>
        <w:rPr>
          <w:rFonts w:asciiTheme="minorHAnsi" w:hAnsiTheme="minorHAnsi"/>
          <w:color w:val="000000" w:themeColor="text1"/>
          <w:sz w:val="24"/>
          <w:szCs w:val="22"/>
          <w:lang w:val="en-AU"/>
        </w:rPr>
        <w:t>.</w:t>
      </w:r>
    </w:p>
    <w:p w:rsidR="00351DB8" w:rsidRDefault="00351DB8" w:rsidP="00655CED">
      <w:pPr>
        <w:pStyle w:val="BodyText3"/>
        <w:tabs>
          <w:tab w:val="left" w:pos="2268"/>
        </w:tabs>
        <w:rPr>
          <w:rFonts w:asciiTheme="minorHAnsi" w:hAnsiTheme="minorHAnsi"/>
          <w:color w:val="000000" w:themeColor="text1"/>
          <w:sz w:val="24"/>
          <w:szCs w:val="22"/>
          <w:lang w:val="en-AU"/>
        </w:rPr>
      </w:pPr>
    </w:p>
    <w:p w:rsidR="00351DB8" w:rsidRDefault="00351DB8"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Guideline (iv) sets out that the</w:t>
      </w:r>
      <w:r w:rsidR="00FD427F">
        <w:rPr>
          <w:rFonts w:asciiTheme="minorHAnsi" w:hAnsiTheme="minorHAnsi"/>
          <w:color w:val="000000" w:themeColor="text1"/>
          <w:sz w:val="24"/>
          <w:szCs w:val="22"/>
          <w:lang w:val="en-AU"/>
        </w:rPr>
        <w:t xml:space="preserve"> Minister should apply the </w:t>
      </w:r>
      <w:r>
        <w:rPr>
          <w:rFonts w:asciiTheme="minorHAnsi" w:hAnsiTheme="minorHAnsi"/>
          <w:color w:val="000000" w:themeColor="text1"/>
          <w:sz w:val="24"/>
          <w:szCs w:val="22"/>
          <w:lang w:val="en-AU"/>
        </w:rPr>
        <w:t xml:space="preserve">upwards balancing adjustment allowed for under </w:t>
      </w:r>
      <w:r w:rsidRPr="00351DB8">
        <w:rPr>
          <w:rFonts w:asciiTheme="minorHAnsi" w:hAnsiTheme="minorHAnsi"/>
          <w:color w:val="000000" w:themeColor="text1"/>
          <w:sz w:val="24"/>
          <w:szCs w:val="22"/>
          <w:lang w:val="en-AU"/>
        </w:rPr>
        <w:t>section 10J(6)(b)</w:t>
      </w:r>
      <w:r>
        <w:rPr>
          <w:rFonts w:asciiTheme="minorHAnsi" w:hAnsiTheme="minorHAnsi"/>
          <w:color w:val="000000" w:themeColor="text1"/>
          <w:sz w:val="24"/>
          <w:szCs w:val="22"/>
          <w:lang w:val="en-AU"/>
        </w:rPr>
        <w:t xml:space="preserve"> on the second compulsory surrender day. </w:t>
      </w:r>
    </w:p>
    <w:p w:rsidR="00351DB8" w:rsidRDefault="00351DB8" w:rsidP="00655CED">
      <w:pPr>
        <w:pStyle w:val="BodyText3"/>
        <w:tabs>
          <w:tab w:val="left" w:pos="2268"/>
        </w:tabs>
        <w:rPr>
          <w:rFonts w:asciiTheme="minorHAnsi" w:hAnsiTheme="minorHAnsi"/>
          <w:color w:val="000000" w:themeColor="text1"/>
          <w:sz w:val="24"/>
          <w:szCs w:val="22"/>
          <w:lang w:val="en-AU"/>
        </w:rPr>
      </w:pPr>
    </w:p>
    <w:p w:rsidR="00351DB8" w:rsidRDefault="00351DB8"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Guideline (v) </w:t>
      </w:r>
      <w:r w:rsidR="00C6709C">
        <w:rPr>
          <w:rFonts w:asciiTheme="minorHAnsi" w:hAnsiTheme="minorHAnsi"/>
          <w:color w:val="000000" w:themeColor="text1"/>
          <w:sz w:val="24"/>
          <w:szCs w:val="22"/>
          <w:lang w:val="en-AU"/>
        </w:rPr>
        <w:t xml:space="preserve">provides further detail about how the upwards balancing adjustment is to be applied. It </w:t>
      </w:r>
      <w:r>
        <w:rPr>
          <w:rFonts w:asciiTheme="minorHAnsi" w:hAnsiTheme="minorHAnsi"/>
          <w:color w:val="000000" w:themeColor="text1"/>
          <w:sz w:val="24"/>
          <w:szCs w:val="22"/>
          <w:lang w:val="en-AU"/>
        </w:rPr>
        <w:t>sets out that</w:t>
      </w:r>
      <w:r w:rsidR="00AA43F9">
        <w:rPr>
          <w:rFonts w:asciiTheme="minorHAnsi" w:hAnsiTheme="minorHAnsi"/>
          <w:color w:val="000000" w:themeColor="text1"/>
          <w:sz w:val="24"/>
          <w:szCs w:val="22"/>
          <w:lang w:val="en-AU"/>
        </w:rPr>
        <w:t xml:space="preserve"> if the upwards balancing adjustment allowed for under </w:t>
      </w:r>
      <w:r w:rsidR="007E00EE">
        <w:rPr>
          <w:rFonts w:asciiTheme="minorHAnsi" w:hAnsiTheme="minorHAnsi"/>
          <w:color w:val="000000" w:themeColor="text1"/>
          <w:sz w:val="24"/>
          <w:szCs w:val="22"/>
          <w:lang w:val="en-AU"/>
        </w:rPr>
        <w:t>section </w:t>
      </w:r>
      <w:r w:rsidR="00AA43F9">
        <w:rPr>
          <w:rFonts w:asciiTheme="minorHAnsi" w:hAnsiTheme="minorHAnsi"/>
          <w:color w:val="000000" w:themeColor="text1"/>
          <w:sz w:val="24"/>
          <w:szCs w:val="22"/>
          <w:lang w:val="en-AU"/>
        </w:rPr>
        <w:t xml:space="preserve">10J(6)(b) is required, </w:t>
      </w:r>
      <w:r>
        <w:rPr>
          <w:rFonts w:asciiTheme="minorHAnsi" w:hAnsiTheme="minorHAnsi"/>
          <w:color w:val="000000" w:themeColor="text1"/>
          <w:sz w:val="24"/>
          <w:szCs w:val="22"/>
          <w:lang w:val="en-AU"/>
        </w:rPr>
        <w:t xml:space="preserve">the </w:t>
      </w:r>
      <w:r w:rsidR="00FD427F">
        <w:rPr>
          <w:rFonts w:asciiTheme="minorHAnsi" w:hAnsiTheme="minorHAnsi"/>
          <w:color w:val="000000" w:themeColor="text1"/>
          <w:sz w:val="24"/>
          <w:szCs w:val="22"/>
          <w:lang w:val="en-AU"/>
        </w:rPr>
        <w:t xml:space="preserve">Minister </w:t>
      </w:r>
      <w:r w:rsidR="00AA43F9">
        <w:rPr>
          <w:rFonts w:asciiTheme="minorHAnsi" w:hAnsiTheme="minorHAnsi"/>
          <w:color w:val="000000" w:themeColor="text1"/>
          <w:sz w:val="24"/>
          <w:szCs w:val="22"/>
          <w:lang w:val="en-AU"/>
        </w:rPr>
        <w:t>should</w:t>
      </w:r>
      <w:r w:rsidR="00FD427F">
        <w:rPr>
          <w:rFonts w:asciiTheme="minorHAnsi" w:hAnsiTheme="minorHAnsi"/>
          <w:color w:val="000000" w:themeColor="text1"/>
          <w:sz w:val="24"/>
          <w:szCs w:val="22"/>
          <w:lang w:val="en-AU"/>
        </w:rPr>
        <w:t xml:space="preserve"> apply </w:t>
      </w:r>
      <w:r w:rsidR="007E00EE">
        <w:rPr>
          <w:rFonts w:asciiTheme="minorHAnsi" w:hAnsiTheme="minorHAnsi"/>
          <w:color w:val="000000" w:themeColor="text1"/>
          <w:sz w:val="24"/>
          <w:szCs w:val="22"/>
          <w:lang w:val="en-AU"/>
        </w:rPr>
        <w:t xml:space="preserve">the adjustment </w:t>
      </w:r>
      <w:r w:rsidRPr="00351DB8">
        <w:rPr>
          <w:rFonts w:asciiTheme="minorHAnsi" w:hAnsiTheme="minorHAnsi"/>
          <w:color w:val="000000" w:themeColor="text1"/>
          <w:sz w:val="24"/>
          <w:szCs w:val="22"/>
          <w:lang w:val="en-AU"/>
        </w:rPr>
        <w:t>to the surrender obligation of the licensee’s authorised premises with the highest remaining surrender obligation</w:t>
      </w:r>
      <w:r w:rsidR="00AA43F9">
        <w:rPr>
          <w:rFonts w:asciiTheme="minorHAnsi" w:hAnsiTheme="minorHAnsi"/>
          <w:color w:val="000000" w:themeColor="text1"/>
          <w:sz w:val="24"/>
          <w:szCs w:val="22"/>
          <w:lang w:val="en-AU"/>
        </w:rPr>
        <w:t>. W</w:t>
      </w:r>
      <w:r w:rsidRPr="00351DB8">
        <w:rPr>
          <w:rFonts w:asciiTheme="minorHAnsi" w:hAnsiTheme="minorHAnsi"/>
          <w:color w:val="000000" w:themeColor="text1"/>
          <w:sz w:val="24"/>
          <w:szCs w:val="22"/>
          <w:lang w:val="en-AU"/>
        </w:rPr>
        <w:t xml:space="preserve">here the licensee has two or more authorised premises with the same remaining surrender obligation, </w:t>
      </w:r>
      <w:r w:rsidR="00AA43F9">
        <w:rPr>
          <w:rFonts w:asciiTheme="minorHAnsi" w:hAnsiTheme="minorHAnsi"/>
          <w:color w:val="000000" w:themeColor="text1"/>
          <w:sz w:val="24"/>
          <w:szCs w:val="22"/>
          <w:lang w:val="en-AU"/>
        </w:rPr>
        <w:t xml:space="preserve">the Minister should add the adjustment </w:t>
      </w:r>
      <w:r w:rsidRPr="00351DB8">
        <w:rPr>
          <w:rFonts w:asciiTheme="minorHAnsi" w:hAnsiTheme="minorHAnsi"/>
          <w:color w:val="000000" w:themeColor="text1"/>
          <w:sz w:val="24"/>
          <w:szCs w:val="22"/>
          <w:lang w:val="en-AU"/>
        </w:rPr>
        <w:t>to the surrender obligation of the authorised premises holding the greatest number of authorisations on the day before the determination is made</w:t>
      </w:r>
      <w:r w:rsidR="00FD427F">
        <w:rPr>
          <w:rFonts w:asciiTheme="minorHAnsi" w:hAnsiTheme="minorHAnsi"/>
          <w:color w:val="000000" w:themeColor="text1"/>
          <w:sz w:val="24"/>
          <w:szCs w:val="22"/>
          <w:lang w:val="en-AU"/>
        </w:rPr>
        <w:t>.</w:t>
      </w:r>
    </w:p>
    <w:p w:rsidR="00FD427F" w:rsidRDefault="00FD427F" w:rsidP="00655CED">
      <w:pPr>
        <w:pStyle w:val="BodyText3"/>
        <w:tabs>
          <w:tab w:val="left" w:pos="2268"/>
        </w:tabs>
        <w:rPr>
          <w:rFonts w:asciiTheme="minorHAnsi" w:hAnsiTheme="minorHAnsi"/>
          <w:color w:val="000000" w:themeColor="text1"/>
          <w:sz w:val="24"/>
          <w:szCs w:val="22"/>
          <w:lang w:val="en-AU"/>
        </w:rPr>
      </w:pPr>
    </w:p>
    <w:p w:rsidR="00FD427F" w:rsidRDefault="00FD427F"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 xml:space="preserve">Guideline (vi) </w:t>
      </w:r>
      <w:r w:rsidR="007E00EE">
        <w:rPr>
          <w:rFonts w:asciiTheme="minorHAnsi" w:hAnsiTheme="minorHAnsi"/>
          <w:color w:val="000000" w:themeColor="text1"/>
          <w:sz w:val="24"/>
          <w:szCs w:val="22"/>
          <w:lang w:val="en-AU"/>
        </w:rPr>
        <w:t xml:space="preserve">is similar to the upwards balancing adjustment allowed for under section 10J(6)(b), except that it addresses the situation where the working out of the surrender obligations would </w:t>
      </w:r>
      <w:r w:rsidRPr="00FD427F">
        <w:rPr>
          <w:rFonts w:asciiTheme="minorHAnsi" w:hAnsiTheme="minorHAnsi"/>
          <w:color w:val="000000" w:themeColor="text1"/>
          <w:sz w:val="24"/>
          <w:szCs w:val="22"/>
          <w:lang w:val="en-AU"/>
        </w:rPr>
        <w:t>result in the number of authorisations reaching fewer than 4</w:t>
      </w:r>
      <w:r w:rsidR="007E00EE">
        <w:rPr>
          <w:rFonts w:asciiTheme="minorHAnsi" w:hAnsiTheme="minorHAnsi"/>
          <w:color w:val="000000" w:themeColor="text1"/>
          <w:sz w:val="24"/>
          <w:szCs w:val="22"/>
          <w:lang w:val="en-AU"/>
        </w:rPr>
        <w:t> </w:t>
      </w:r>
      <w:r w:rsidRPr="00FD427F">
        <w:rPr>
          <w:rFonts w:asciiTheme="minorHAnsi" w:hAnsiTheme="minorHAnsi"/>
          <w:color w:val="000000" w:themeColor="text1"/>
          <w:sz w:val="24"/>
          <w:szCs w:val="22"/>
          <w:lang w:val="en-AU"/>
        </w:rPr>
        <w:t>000</w:t>
      </w:r>
      <w:r>
        <w:rPr>
          <w:rFonts w:asciiTheme="minorHAnsi" w:hAnsiTheme="minorHAnsi"/>
          <w:color w:val="000000" w:themeColor="text1"/>
          <w:sz w:val="24"/>
          <w:szCs w:val="22"/>
          <w:lang w:val="en-AU"/>
        </w:rPr>
        <w:t xml:space="preserve"> </w:t>
      </w:r>
      <w:r w:rsidR="007E00EE">
        <w:rPr>
          <w:rFonts w:asciiTheme="minorHAnsi" w:hAnsiTheme="minorHAnsi"/>
          <w:color w:val="000000" w:themeColor="text1"/>
          <w:sz w:val="24"/>
          <w:szCs w:val="22"/>
          <w:lang w:val="en-AU"/>
        </w:rPr>
        <w:t>on</w:t>
      </w:r>
      <w:r>
        <w:rPr>
          <w:rFonts w:asciiTheme="minorHAnsi" w:hAnsiTheme="minorHAnsi"/>
          <w:color w:val="000000" w:themeColor="text1"/>
          <w:sz w:val="24"/>
          <w:szCs w:val="22"/>
          <w:lang w:val="en-AU"/>
        </w:rPr>
        <w:t xml:space="preserve"> the second compulsory surrender day. </w:t>
      </w:r>
      <w:r w:rsidR="007E00EE">
        <w:rPr>
          <w:rFonts w:asciiTheme="minorHAnsi" w:hAnsiTheme="minorHAnsi"/>
          <w:color w:val="000000" w:themeColor="text1"/>
          <w:sz w:val="24"/>
          <w:szCs w:val="22"/>
          <w:lang w:val="en-AU"/>
        </w:rPr>
        <w:t xml:space="preserve">This Guideline provides for a downwards balancing adjustment, </w:t>
      </w:r>
      <w:r w:rsidR="00C6709C">
        <w:rPr>
          <w:rFonts w:asciiTheme="minorHAnsi" w:hAnsiTheme="minorHAnsi"/>
          <w:color w:val="000000" w:themeColor="text1"/>
          <w:sz w:val="24"/>
          <w:szCs w:val="22"/>
          <w:lang w:val="en-AU"/>
        </w:rPr>
        <w:t>starting with the licensee that holds the fewest number of authorisations.</w:t>
      </w:r>
    </w:p>
    <w:p w:rsidR="00FD427F" w:rsidRDefault="00FD427F" w:rsidP="00655CED">
      <w:pPr>
        <w:pStyle w:val="BodyText3"/>
        <w:tabs>
          <w:tab w:val="left" w:pos="2268"/>
        </w:tabs>
        <w:rPr>
          <w:rFonts w:asciiTheme="minorHAnsi" w:hAnsiTheme="minorHAnsi"/>
          <w:color w:val="000000" w:themeColor="text1"/>
          <w:sz w:val="24"/>
          <w:szCs w:val="22"/>
          <w:lang w:val="en-AU"/>
        </w:rPr>
      </w:pPr>
    </w:p>
    <w:p w:rsidR="00FD427F" w:rsidRPr="00655CED" w:rsidRDefault="00FD427F" w:rsidP="00655CED">
      <w:pPr>
        <w:pStyle w:val="BodyText3"/>
        <w:tabs>
          <w:tab w:val="left" w:pos="2268"/>
        </w:tabs>
        <w:rPr>
          <w:rFonts w:asciiTheme="minorHAnsi" w:hAnsiTheme="minorHAnsi"/>
          <w:color w:val="000000" w:themeColor="text1"/>
          <w:sz w:val="24"/>
          <w:szCs w:val="22"/>
          <w:lang w:val="en-AU"/>
        </w:rPr>
      </w:pPr>
      <w:r>
        <w:rPr>
          <w:rFonts w:asciiTheme="minorHAnsi" w:hAnsiTheme="minorHAnsi"/>
          <w:color w:val="000000" w:themeColor="text1"/>
          <w:sz w:val="24"/>
          <w:szCs w:val="22"/>
          <w:lang w:val="en-AU"/>
        </w:rPr>
        <w:t>Guideline (vii)</w:t>
      </w:r>
      <w:r w:rsidR="00C6709C">
        <w:rPr>
          <w:rFonts w:asciiTheme="minorHAnsi" w:hAnsiTheme="minorHAnsi"/>
          <w:color w:val="000000" w:themeColor="text1"/>
          <w:sz w:val="24"/>
          <w:szCs w:val="22"/>
          <w:lang w:val="en-AU"/>
        </w:rPr>
        <w:t xml:space="preserve"> provides further detail about how the downwards balancing adjustment is to be applied. It</w:t>
      </w:r>
      <w:r>
        <w:rPr>
          <w:rFonts w:asciiTheme="minorHAnsi" w:hAnsiTheme="minorHAnsi"/>
          <w:color w:val="000000" w:themeColor="text1"/>
          <w:sz w:val="24"/>
          <w:szCs w:val="22"/>
          <w:lang w:val="en-AU"/>
        </w:rPr>
        <w:t xml:space="preserve"> </w:t>
      </w:r>
      <w:r w:rsidR="00AA43F9">
        <w:rPr>
          <w:rFonts w:asciiTheme="minorHAnsi" w:hAnsiTheme="minorHAnsi"/>
          <w:color w:val="000000" w:themeColor="text1"/>
          <w:sz w:val="24"/>
          <w:szCs w:val="22"/>
          <w:lang w:val="en-AU"/>
        </w:rPr>
        <w:t xml:space="preserve">sets out that, </w:t>
      </w:r>
      <w:r w:rsidRPr="00FD427F">
        <w:rPr>
          <w:rFonts w:asciiTheme="minorHAnsi" w:hAnsiTheme="minorHAnsi"/>
          <w:color w:val="000000" w:themeColor="text1"/>
          <w:sz w:val="24"/>
          <w:szCs w:val="22"/>
          <w:lang w:val="en-AU"/>
        </w:rPr>
        <w:t>if under</w:t>
      </w:r>
      <w:r>
        <w:rPr>
          <w:rFonts w:asciiTheme="minorHAnsi" w:hAnsiTheme="minorHAnsi"/>
          <w:color w:val="000000" w:themeColor="text1"/>
          <w:sz w:val="24"/>
          <w:szCs w:val="22"/>
          <w:lang w:val="en-AU"/>
        </w:rPr>
        <w:t xml:space="preserve"> Guideline</w:t>
      </w:r>
      <w:r w:rsidRPr="00FD427F">
        <w:rPr>
          <w:rFonts w:asciiTheme="minorHAnsi" w:hAnsiTheme="minorHAnsi"/>
          <w:color w:val="000000" w:themeColor="text1"/>
          <w:sz w:val="24"/>
          <w:szCs w:val="22"/>
          <w:lang w:val="en-AU"/>
        </w:rPr>
        <w:t xml:space="preserve"> (vi) any authorisations are subtracted, they must be subtracted from the surrender obligation of the licensee’s authorised premises with the lowest remaining surrender obligation or, where the licensee has two or more authorised premises with the same remaining surrender obligation, must be subtracted from the surrender obligation of the authorised premises holding the fewest number of authorisations on the day before the determination is made</w:t>
      </w:r>
    </w:p>
    <w:p w:rsidR="00E5190D" w:rsidRPr="00655CED" w:rsidRDefault="00E5190D" w:rsidP="00655CED">
      <w:pPr>
        <w:pStyle w:val="BodyText3"/>
        <w:tabs>
          <w:tab w:val="left" w:pos="2268"/>
        </w:tabs>
        <w:rPr>
          <w:rFonts w:asciiTheme="minorHAnsi" w:hAnsiTheme="minorHAnsi"/>
          <w:color w:val="000000" w:themeColor="text1"/>
          <w:sz w:val="24"/>
          <w:szCs w:val="22"/>
          <w:lang w:val="en-AU"/>
        </w:rPr>
      </w:pPr>
    </w:p>
    <w:p w:rsidR="00E5190D" w:rsidRPr="00655CED" w:rsidRDefault="00E5190D" w:rsidP="00655CED">
      <w:pPr>
        <w:pStyle w:val="BodyText3"/>
        <w:tabs>
          <w:tab w:val="left" w:pos="2268"/>
        </w:tabs>
        <w:rPr>
          <w:rFonts w:asciiTheme="minorHAnsi" w:hAnsiTheme="minorHAnsi"/>
          <w:color w:val="000000" w:themeColor="text1"/>
          <w:sz w:val="24"/>
          <w:szCs w:val="22"/>
          <w:lang w:val="en-AU"/>
        </w:rPr>
      </w:pPr>
      <w:r w:rsidRPr="00655CED">
        <w:rPr>
          <w:rFonts w:asciiTheme="minorHAnsi" w:hAnsiTheme="minorHAnsi"/>
          <w:color w:val="000000" w:themeColor="text1"/>
          <w:sz w:val="24"/>
          <w:szCs w:val="22"/>
          <w:lang w:val="en-AU"/>
        </w:rPr>
        <w:t>The Guidelines must be read in conjunction with the Act and any determination made under section 10J.</w:t>
      </w:r>
    </w:p>
    <w:p w:rsidR="001C625E" w:rsidRPr="00655CED" w:rsidRDefault="001C625E" w:rsidP="00655CED">
      <w:pPr>
        <w:pStyle w:val="BodyText3"/>
        <w:tabs>
          <w:tab w:val="left" w:pos="2268"/>
        </w:tabs>
        <w:rPr>
          <w:rFonts w:asciiTheme="minorHAnsi" w:hAnsiTheme="minorHAnsi"/>
          <w:color w:val="000000" w:themeColor="text1"/>
          <w:sz w:val="24"/>
          <w:szCs w:val="22"/>
          <w:lang w:val="en-AU"/>
        </w:rPr>
      </w:pPr>
    </w:p>
    <w:p w:rsidR="001C625E" w:rsidRPr="00655CED" w:rsidRDefault="001C625E" w:rsidP="00655CED">
      <w:pPr>
        <w:tabs>
          <w:tab w:val="clear" w:pos="567"/>
          <w:tab w:val="clear" w:pos="1134"/>
          <w:tab w:val="clear" w:pos="1701"/>
          <w:tab w:val="left" w:pos="4320"/>
        </w:tabs>
        <w:jc w:val="left"/>
        <w:rPr>
          <w:rFonts w:asciiTheme="minorHAnsi" w:hAnsiTheme="minorHAnsi"/>
          <w:b/>
          <w:sz w:val="24"/>
          <w:szCs w:val="20"/>
          <w:u w:val="single"/>
          <w:lang w:val="en-AU"/>
        </w:rPr>
      </w:pPr>
      <w:r w:rsidRPr="00655CED">
        <w:rPr>
          <w:rFonts w:asciiTheme="minorHAnsi" w:hAnsiTheme="minorHAnsi"/>
          <w:b/>
          <w:sz w:val="24"/>
          <w:szCs w:val="20"/>
          <w:u w:val="single"/>
          <w:lang w:val="en-AU"/>
        </w:rPr>
        <w:t>COMMENCEMENT</w:t>
      </w:r>
    </w:p>
    <w:p w:rsidR="001C625E" w:rsidRPr="00655CED" w:rsidRDefault="001C625E" w:rsidP="00655CED">
      <w:pPr>
        <w:pStyle w:val="BodyText3"/>
        <w:tabs>
          <w:tab w:val="left" w:pos="2268"/>
        </w:tabs>
        <w:rPr>
          <w:rFonts w:asciiTheme="minorHAnsi" w:hAnsiTheme="minorHAnsi"/>
          <w:color w:val="000000" w:themeColor="text1"/>
          <w:sz w:val="24"/>
          <w:szCs w:val="22"/>
          <w:lang w:val="en-AU"/>
        </w:rPr>
      </w:pPr>
    </w:p>
    <w:p w:rsidR="00FA2F9A" w:rsidRPr="00655CED" w:rsidRDefault="00FA2F9A" w:rsidP="00655CED">
      <w:pPr>
        <w:pStyle w:val="BodyText3"/>
        <w:tabs>
          <w:tab w:val="left" w:pos="2268"/>
        </w:tabs>
        <w:rPr>
          <w:rFonts w:asciiTheme="minorHAnsi" w:hAnsiTheme="minorHAnsi"/>
          <w:color w:val="000000" w:themeColor="text1"/>
          <w:sz w:val="24"/>
          <w:szCs w:val="22"/>
          <w:lang w:val="en-AU"/>
        </w:rPr>
      </w:pPr>
      <w:r w:rsidRPr="00655CED">
        <w:rPr>
          <w:rFonts w:asciiTheme="minorHAnsi" w:hAnsiTheme="minorHAnsi"/>
          <w:color w:val="000000" w:themeColor="text1"/>
          <w:sz w:val="24"/>
          <w:szCs w:val="22"/>
          <w:lang w:val="en-AU"/>
        </w:rPr>
        <w:t xml:space="preserve">The </w:t>
      </w:r>
      <w:r w:rsidR="00E5190D" w:rsidRPr="00655CED">
        <w:rPr>
          <w:rFonts w:asciiTheme="minorHAnsi" w:hAnsiTheme="minorHAnsi"/>
          <w:color w:val="000000" w:themeColor="text1"/>
          <w:sz w:val="24"/>
          <w:szCs w:val="22"/>
          <w:lang w:val="en-AU"/>
        </w:rPr>
        <w:t>G</w:t>
      </w:r>
      <w:r w:rsidRPr="00655CED">
        <w:rPr>
          <w:rFonts w:asciiTheme="minorHAnsi" w:hAnsiTheme="minorHAnsi"/>
          <w:color w:val="000000" w:themeColor="text1"/>
          <w:sz w:val="24"/>
          <w:szCs w:val="22"/>
          <w:lang w:val="en-AU"/>
        </w:rPr>
        <w:t xml:space="preserve">uidelines </w:t>
      </w:r>
      <w:r w:rsidR="00F86FF8" w:rsidRPr="00655CED">
        <w:rPr>
          <w:rFonts w:asciiTheme="minorHAnsi" w:hAnsiTheme="minorHAnsi"/>
          <w:color w:val="000000" w:themeColor="text1"/>
          <w:sz w:val="24"/>
          <w:szCs w:val="22"/>
          <w:lang w:val="en-AU"/>
        </w:rPr>
        <w:t>commence on 4 March 2019</w:t>
      </w:r>
      <w:r w:rsidRPr="00655CED">
        <w:rPr>
          <w:rFonts w:asciiTheme="minorHAnsi" w:hAnsiTheme="minorHAnsi"/>
          <w:color w:val="000000" w:themeColor="text1"/>
          <w:sz w:val="24"/>
          <w:szCs w:val="22"/>
          <w:lang w:val="en-AU"/>
        </w:rPr>
        <w:t>.</w:t>
      </w:r>
    </w:p>
    <w:p w:rsidR="00A713FD" w:rsidRPr="00655CED" w:rsidRDefault="00A713FD" w:rsidP="00655CED">
      <w:pPr>
        <w:pStyle w:val="BodyText3"/>
        <w:tabs>
          <w:tab w:val="left" w:pos="2268"/>
        </w:tabs>
        <w:rPr>
          <w:rFonts w:asciiTheme="minorHAnsi" w:hAnsiTheme="minorHAnsi"/>
          <w:color w:val="000000" w:themeColor="text1"/>
          <w:sz w:val="24"/>
          <w:szCs w:val="22"/>
          <w:lang w:val="en-AU"/>
        </w:rPr>
      </w:pPr>
    </w:p>
    <w:sectPr w:rsidR="00A713FD" w:rsidRPr="00655CED" w:rsidSect="00D3262A">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397"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C19" w:rsidRDefault="00642C19">
      <w:r>
        <w:separator/>
      </w:r>
    </w:p>
  </w:endnote>
  <w:endnote w:type="continuationSeparator" w:id="0">
    <w:p w:rsidR="00642C19" w:rsidRDefault="0064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60B" w:rsidRDefault="00D43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42145468"/>
      <w:docPartObj>
        <w:docPartGallery w:val="Page Numbers (Bottom of Page)"/>
        <w:docPartUnique/>
      </w:docPartObj>
    </w:sdtPr>
    <w:sdtEndPr>
      <w:rPr>
        <w:noProof/>
      </w:rPr>
    </w:sdtEndPr>
    <w:sdtContent>
      <w:p w:rsidR="003C3D25" w:rsidRPr="003C3D25" w:rsidRDefault="003C3D25" w:rsidP="003C3D25">
        <w:pPr>
          <w:jc w:val="right"/>
          <w:rPr>
            <w:rFonts w:asciiTheme="minorHAnsi" w:hAnsiTheme="minorHAnsi"/>
            <w:sz w:val="20"/>
            <w:szCs w:val="20"/>
          </w:rPr>
        </w:pPr>
        <w:r w:rsidRPr="003C3D25">
          <w:rPr>
            <w:rFonts w:asciiTheme="minorHAnsi" w:hAnsiTheme="minorHAnsi"/>
            <w:sz w:val="20"/>
            <w:szCs w:val="20"/>
          </w:rPr>
          <w:fldChar w:fldCharType="begin"/>
        </w:r>
        <w:r w:rsidRPr="003C3D25">
          <w:rPr>
            <w:rFonts w:asciiTheme="minorHAnsi" w:hAnsiTheme="minorHAnsi"/>
            <w:sz w:val="20"/>
            <w:szCs w:val="20"/>
          </w:rPr>
          <w:instrText xml:space="preserve"> PAGE   \* MERGEFORMAT </w:instrText>
        </w:r>
        <w:r w:rsidRPr="003C3D25">
          <w:rPr>
            <w:rFonts w:asciiTheme="minorHAnsi" w:hAnsiTheme="minorHAnsi"/>
            <w:sz w:val="20"/>
            <w:szCs w:val="20"/>
          </w:rPr>
          <w:fldChar w:fldCharType="separate"/>
        </w:r>
        <w:r w:rsidR="00D4360B">
          <w:rPr>
            <w:rFonts w:asciiTheme="minorHAnsi" w:hAnsiTheme="minorHAnsi"/>
            <w:noProof/>
            <w:sz w:val="20"/>
            <w:szCs w:val="20"/>
          </w:rPr>
          <w:t>4</w:t>
        </w:r>
        <w:r w:rsidRPr="003C3D25">
          <w:rPr>
            <w:rFonts w:asciiTheme="minorHAnsi" w:hAnsiTheme="minorHAnsi"/>
            <w:noProof/>
            <w:sz w:val="20"/>
            <w:szCs w:val="20"/>
          </w:rPr>
          <w:fldChar w:fldCharType="end"/>
        </w:r>
      </w:p>
    </w:sdtContent>
  </w:sdt>
  <w:p w:rsidR="003C3D25" w:rsidRPr="00D4360B" w:rsidRDefault="00D4360B" w:rsidP="00D4360B">
    <w:pPr>
      <w:pStyle w:val="Footer"/>
      <w:jc w:val="center"/>
      <w:rPr>
        <w:color w:val="auto"/>
        <w:sz w:val="14"/>
      </w:rPr>
    </w:pPr>
    <w:r w:rsidRPr="00D4360B">
      <w:rPr>
        <w:color w:val="auto"/>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F5" w:rsidRPr="001C13FB" w:rsidRDefault="00F441F5" w:rsidP="001C13FB">
    <w:pPr>
      <w:pStyle w:val="Footer"/>
      <w:jc w:val="right"/>
      <w:rPr>
        <w:rFonts w:asciiTheme="minorHAnsi" w:hAnsiTheme="minorHAnsi"/>
        <w:sz w:val="22"/>
        <w:szCs w:val="22"/>
      </w:rPr>
    </w:pPr>
    <w:r w:rsidRPr="001C13FB">
      <w:rPr>
        <w:rFonts w:asciiTheme="minorHAnsi" w:hAnsiTheme="minorHAnsi"/>
        <w:sz w:val="22"/>
        <w:szCs w:val="22"/>
      </w:rPr>
      <w:t>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C19" w:rsidRDefault="00642C19">
      <w:r>
        <w:separator/>
      </w:r>
    </w:p>
  </w:footnote>
  <w:footnote w:type="continuationSeparator" w:id="0">
    <w:p w:rsidR="00642C19" w:rsidRDefault="00642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60B" w:rsidRDefault="00D43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60B" w:rsidRDefault="00D43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F5" w:rsidRDefault="00F441F5">
    <w:pPr>
      <w:pStyle w:val="Header"/>
    </w:pPr>
    <w:r w:rsidRPr="001C13FB">
      <w:rPr>
        <w:b/>
      </w:rPr>
      <w:t>T</w:t>
    </w:r>
    <w:r>
      <w:rPr>
        <w:b/>
      </w:rPr>
      <w:t xml:space="preserve">HIS IS PAGE </w:t>
    </w:r>
    <w:r w:rsidRPr="001C13FB">
      <w:rPr>
        <w:b/>
      </w:rPr>
      <w:fldChar w:fldCharType="begin"/>
    </w:r>
    <w:r w:rsidRPr="001C13FB">
      <w:rPr>
        <w:b/>
      </w:rPr>
      <w:instrText xml:space="preserve"> PAGE   \* MERGEFORMAT </w:instrText>
    </w:r>
    <w:r w:rsidRPr="001C13FB">
      <w:rPr>
        <w:b/>
      </w:rPr>
      <w:fldChar w:fldCharType="separate"/>
    </w:r>
    <w:r>
      <w:rPr>
        <w:b/>
        <w:noProof/>
      </w:rPr>
      <w:t>1</w:t>
    </w:r>
    <w:r w:rsidRPr="001C13FB">
      <w:rPr>
        <w:b/>
      </w:rPr>
      <w:fldChar w:fldCharType="end"/>
    </w:r>
    <w:r w:rsidRPr="001C13FB">
      <w:rPr>
        <w:b/>
      </w:rPr>
      <w:t xml:space="preserve"> </w:t>
    </w:r>
    <w:r>
      <w:rPr>
        <w:b/>
      </w:rPr>
      <w:t xml:space="preserve">OF </w:t>
    </w:r>
    <w:r w:rsidRPr="00D0433D">
      <w:rPr>
        <w:b/>
        <w:highlight w:val="yellow"/>
      </w:rPr>
      <w:t>xx</w:t>
    </w:r>
    <w:r w:rsidRPr="001C13FB">
      <w:rPr>
        <w:b/>
      </w:rPr>
      <w:t xml:space="preserve"> PAGES TO THE SCHEDULE TO THE </w:t>
    </w:r>
    <w:r>
      <w:rPr>
        <w:b/>
      </w:rPr>
      <w:t>GAMING MACHINE (COMPULSORY SURRENDER OBLIGATIONS) GUIDELINES 2019 (No 1</w:t>
    </w:r>
    <w:r w:rsidRPr="001C13FB">
      <w:rPr>
        <w:b/>
      </w:rPr>
      <w:t>) MADE</w:t>
    </w:r>
    <w:r>
      <w:rPr>
        <w:b/>
      </w:rPr>
      <w:t xml:space="preserve"> UNDER THE </w:t>
    </w:r>
    <w:r w:rsidRPr="00D0433D">
      <w:rPr>
        <w:b/>
        <w:i/>
      </w:rPr>
      <w:t>GAMING MACHINE ACT 2004</w:t>
    </w:r>
    <w:r w:rsidRPr="001C13FB">
      <w:rPr>
        <w:b/>
      </w:rPr>
      <w:t>.</w:t>
    </w:r>
  </w:p>
  <w:p w:rsidR="00F441F5" w:rsidRPr="001C13FB" w:rsidRDefault="00F441F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1F71610"/>
    <w:multiLevelType w:val="hybridMultilevel"/>
    <w:tmpl w:val="54B043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35B654D"/>
    <w:multiLevelType w:val="hybridMultilevel"/>
    <w:tmpl w:val="EAAC83C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07492F3A"/>
    <w:multiLevelType w:val="hybridMultilevel"/>
    <w:tmpl w:val="E22654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87B195F"/>
    <w:multiLevelType w:val="hybridMultilevel"/>
    <w:tmpl w:val="0BA05998"/>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5" w15:restartNumberingAfterBreak="0">
    <w:nsid w:val="08D217C0"/>
    <w:multiLevelType w:val="hybridMultilevel"/>
    <w:tmpl w:val="0A0E29B6"/>
    <w:lvl w:ilvl="0" w:tplc="AC327A0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0C6E1435"/>
    <w:multiLevelType w:val="hybridMultilevel"/>
    <w:tmpl w:val="DD68A3B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C721FFD"/>
    <w:multiLevelType w:val="multilevel"/>
    <w:tmpl w:val="AA0C116A"/>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0D3971DB"/>
    <w:multiLevelType w:val="hybridMultilevel"/>
    <w:tmpl w:val="FFF282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B43224"/>
    <w:multiLevelType w:val="hybridMultilevel"/>
    <w:tmpl w:val="27F2F4DA"/>
    <w:lvl w:ilvl="0" w:tplc="F10E35B0">
      <w:start w:val="2"/>
      <w:numFmt w:val="bullet"/>
      <w:lvlText w:val="-"/>
      <w:lvlJc w:val="left"/>
      <w:pPr>
        <w:ind w:left="1639" w:hanging="360"/>
      </w:pPr>
      <w:rPr>
        <w:rFonts w:ascii="Arial" w:eastAsia="Times New Roman" w:hAnsi="Arial" w:hint="default"/>
      </w:rPr>
    </w:lvl>
    <w:lvl w:ilvl="1" w:tplc="0C090003" w:tentative="1">
      <w:start w:val="1"/>
      <w:numFmt w:val="bullet"/>
      <w:lvlText w:val="o"/>
      <w:lvlJc w:val="left"/>
      <w:pPr>
        <w:ind w:left="2359" w:hanging="360"/>
      </w:pPr>
      <w:rPr>
        <w:rFonts w:ascii="Courier New" w:hAnsi="Courier New" w:hint="default"/>
      </w:rPr>
    </w:lvl>
    <w:lvl w:ilvl="2" w:tplc="0C090005" w:tentative="1">
      <w:start w:val="1"/>
      <w:numFmt w:val="bullet"/>
      <w:lvlText w:val=""/>
      <w:lvlJc w:val="left"/>
      <w:pPr>
        <w:ind w:left="3079" w:hanging="360"/>
      </w:pPr>
      <w:rPr>
        <w:rFonts w:ascii="Wingdings" w:hAnsi="Wingdings" w:hint="default"/>
      </w:rPr>
    </w:lvl>
    <w:lvl w:ilvl="3" w:tplc="0C090001" w:tentative="1">
      <w:start w:val="1"/>
      <w:numFmt w:val="bullet"/>
      <w:lvlText w:val=""/>
      <w:lvlJc w:val="left"/>
      <w:pPr>
        <w:ind w:left="3799" w:hanging="360"/>
      </w:pPr>
      <w:rPr>
        <w:rFonts w:ascii="Symbol" w:hAnsi="Symbol" w:hint="default"/>
      </w:rPr>
    </w:lvl>
    <w:lvl w:ilvl="4" w:tplc="0C090003" w:tentative="1">
      <w:start w:val="1"/>
      <w:numFmt w:val="bullet"/>
      <w:lvlText w:val="o"/>
      <w:lvlJc w:val="left"/>
      <w:pPr>
        <w:ind w:left="4519" w:hanging="360"/>
      </w:pPr>
      <w:rPr>
        <w:rFonts w:ascii="Courier New" w:hAnsi="Courier New" w:hint="default"/>
      </w:rPr>
    </w:lvl>
    <w:lvl w:ilvl="5" w:tplc="0C090005" w:tentative="1">
      <w:start w:val="1"/>
      <w:numFmt w:val="bullet"/>
      <w:lvlText w:val=""/>
      <w:lvlJc w:val="left"/>
      <w:pPr>
        <w:ind w:left="5239" w:hanging="360"/>
      </w:pPr>
      <w:rPr>
        <w:rFonts w:ascii="Wingdings" w:hAnsi="Wingdings" w:hint="default"/>
      </w:rPr>
    </w:lvl>
    <w:lvl w:ilvl="6" w:tplc="0C090001" w:tentative="1">
      <w:start w:val="1"/>
      <w:numFmt w:val="bullet"/>
      <w:lvlText w:val=""/>
      <w:lvlJc w:val="left"/>
      <w:pPr>
        <w:ind w:left="5959" w:hanging="360"/>
      </w:pPr>
      <w:rPr>
        <w:rFonts w:ascii="Symbol" w:hAnsi="Symbol" w:hint="default"/>
      </w:rPr>
    </w:lvl>
    <w:lvl w:ilvl="7" w:tplc="0C090003" w:tentative="1">
      <w:start w:val="1"/>
      <w:numFmt w:val="bullet"/>
      <w:lvlText w:val="o"/>
      <w:lvlJc w:val="left"/>
      <w:pPr>
        <w:ind w:left="6679" w:hanging="360"/>
      </w:pPr>
      <w:rPr>
        <w:rFonts w:ascii="Courier New" w:hAnsi="Courier New" w:hint="default"/>
      </w:rPr>
    </w:lvl>
    <w:lvl w:ilvl="8" w:tplc="0C090005" w:tentative="1">
      <w:start w:val="1"/>
      <w:numFmt w:val="bullet"/>
      <w:lvlText w:val=""/>
      <w:lvlJc w:val="left"/>
      <w:pPr>
        <w:ind w:left="7399" w:hanging="360"/>
      </w:pPr>
      <w:rPr>
        <w:rFonts w:ascii="Wingdings" w:hAnsi="Wingdings" w:hint="default"/>
      </w:rPr>
    </w:lvl>
  </w:abstractNum>
  <w:abstractNum w:abstractNumId="10" w15:restartNumberingAfterBreak="0">
    <w:nsid w:val="1ABE1B0C"/>
    <w:multiLevelType w:val="hybridMultilevel"/>
    <w:tmpl w:val="19984168"/>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1" w15:restartNumberingAfterBreak="0">
    <w:nsid w:val="1C592798"/>
    <w:multiLevelType w:val="hybridMultilevel"/>
    <w:tmpl w:val="398889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20EF2E86"/>
    <w:multiLevelType w:val="hybridMultilevel"/>
    <w:tmpl w:val="F1365BFE"/>
    <w:lvl w:ilvl="0" w:tplc="0C090001">
      <w:start w:val="1"/>
      <w:numFmt w:val="bullet"/>
      <w:lvlText w:val=""/>
      <w:lvlJc w:val="left"/>
      <w:pPr>
        <w:ind w:left="1212" w:hanging="360"/>
      </w:pPr>
      <w:rPr>
        <w:rFonts w:ascii="Symbol" w:hAnsi="Symbol" w:hint="default"/>
      </w:rPr>
    </w:lvl>
    <w:lvl w:ilvl="1" w:tplc="0C090003">
      <w:start w:val="1"/>
      <w:numFmt w:val="bullet"/>
      <w:lvlText w:val="o"/>
      <w:lvlJc w:val="left"/>
      <w:pPr>
        <w:ind w:left="1932" w:hanging="360"/>
      </w:pPr>
      <w:rPr>
        <w:rFonts w:ascii="Courier New" w:hAnsi="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3" w15:restartNumberingAfterBreak="0">
    <w:nsid w:val="24922213"/>
    <w:multiLevelType w:val="hybridMultilevel"/>
    <w:tmpl w:val="E50E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135B58"/>
    <w:multiLevelType w:val="hybridMultilevel"/>
    <w:tmpl w:val="15DE52D0"/>
    <w:lvl w:ilvl="0" w:tplc="0C09000F">
      <w:start w:val="1"/>
      <w:numFmt w:val="decimal"/>
      <w:lvlText w:val="%1."/>
      <w:lvlJc w:val="left"/>
      <w:pPr>
        <w:ind w:left="1287" w:hanging="360"/>
      </w:pPr>
      <w:rPr>
        <w:rFonts w:cs="Times New Roman"/>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5" w15:restartNumberingAfterBreak="0">
    <w:nsid w:val="47444855"/>
    <w:multiLevelType w:val="hybridMultilevel"/>
    <w:tmpl w:val="42F4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1A7BF3"/>
    <w:multiLevelType w:val="hybridMultilevel"/>
    <w:tmpl w:val="BED48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4B5552C3"/>
    <w:multiLevelType w:val="hybridMultilevel"/>
    <w:tmpl w:val="9F424AC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B7D4024"/>
    <w:multiLevelType w:val="hybridMultilevel"/>
    <w:tmpl w:val="C51666B0"/>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4CF643A8"/>
    <w:multiLevelType w:val="hybridMultilevel"/>
    <w:tmpl w:val="9EF6C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A0B54"/>
    <w:multiLevelType w:val="hybridMultilevel"/>
    <w:tmpl w:val="0A0E29B6"/>
    <w:lvl w:ilvl="0" w:tplc="AC327A0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56070048"/>
    <w:multiLevelType w:val="hybridMultilevel"/>
    <w:tmpl w:val="E350FA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745BA1"/>
    <w:multiLevelType w:val="hybridMultilevel"/>
    <w:tmpl w:val="E6B64FBC"/>
    <w:lvl w:ilvl="0" w:tplc="0C090001">
      <w:start w:val="1"/>
      <w:numFmt w:val="bullet"/>
      <w:lvlText w:val=""/>
      <w:lvlJc w:val="left"/>
      <w:pPr>
        <w:ind w:left="1861" w:hanging="360"/>
      </w:pPr>
      <w:rPr>
        <w:rFonts w:ascii="Symbol" w:hAnsi="Symbol" w:hint="default"/>
      </w:rPr>
    </w:lvl>
    <w:lvl w:ilvl="1" w:tplc="0C090003" w:tentative="1">
      <w:start w:val="1"/>
      <w:numFmt w:val="bullet"/>
      <w:lvlText w:val="o"/>
      <w:lvlJc w:val="left"/>
      <w:pPr>
        <w:ind w:left="2581" w:hanging="360"/>
      </w:pPr>
      <w:rPr>
        <w:rFonts w:ascii="Courier New" w:hAnsi="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23" w15:restartNumberingAfterBreak="0">
    <w:nsid w:val="5B0512DD"/>
    <w:multiLevelType w:val="hybridMultilevel"/>
    <w:tmpl w:val="A4EA26C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7708D8"/>
    <w:multiLevelType w:val="hybridMultilevel"/>
    <w:tmpl w:val="CA7A42D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61F549C8"/>
    <w:multiLevelType w:val="multilevel"/>
    <w:tmpl w:val="5EF41AC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6" w15:restartNumberingAfterBreak="0">
    <w:nsid w:val="6571786C"/>
    <w:multiLevelType w:val="hybridMultilevel"/>
    <w:tmpl w:val="2E9EC3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7"/>
  </w:num>
  <w:num w:numId="2">
    <w:abstractNumId w:val="25"/>
  </w:num>
  <w:num w:numId="3">
    <w:abstractNumId w:val="0"/>
  </w:num>
  <w:num w:numId="4">
    <w:abstractNumId w:val="4"/>
  </w:num>
  <w:num w:numId="5">
    <w:abstractNumId w:val="12"/>
  </w:num>
  <w:num w:numId="6">
    <w:abstractNumId w:val="23"/>
  </w:num>
  <w:num w:numId="7">
    <w:abstractNumId w:val="22"/>
  </w:num>
  <w:num w:numId="8">
    <w:abstractNumId w:val="1"/>
  </w:num>
  <w:num w:numId="9">
    <w:abstractNumId w:val="21"/>
  </w:num>
  <w:num w:numId="10">
    <w:abstractNumId w:val="3"/>
  </w:num>
  <w:num w:numId="11">
    <w:abstractNumId w:val="9"/>
  </w:num>
  <w:num w:numId="12">
    <w:abstractNumId w:val="2"/>
  </w:num>
  <w:num w:numId="13">
    <w:abstractNumId w:val="6"/>
  </w:num>
  <w:num w:numId="14">
    <w:abstractNumId w:val="13"/>
  </w:num>
  <w:num w:numId="15">
    <w:abstractNumId w:val="10"/>
  </w:num>
  <w:num w:numId="16">
    <w:abstractNumId w:val="8"/>
  </w:num>
  <w:num w:numId="17">
    <w:abstractNumId w:val="16"/>
  </w:num>
  <w:num w:numId="18">
    <w:abstractNumId w:val="11"/>
  </w:num>
  <w:num w:numId="19">
    <w:abstractNumId w:val="26"/>
  </w:num>
  <w:num w:numId="20">
    <w:abstractNumId w:val="19"/>
  </w:num>
  <w:num w:numId="21">
    <w:abstractNumId w:val="15"/>
  </w:num>
  <w:num w:numId="22">
    <w:abstractNumId w:val="17"/>
  </w:num>
  <w:num w:numId="23">
    <w:abstractNumId w:val="24"/>
  </w:num>
  <w:num w:numId="24">
    <w:abstractNumId w:val="18"/>
  </w:num>
  <w:num w:numId="25">
    <w:abstractNumId w:val="14"/>
  </w:num>
  <w:num w:numId="26">
    <w:abstractNumId w:val="5"/>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25"/>
    <w:rsid w:val="00000EFF"/>
    <w:rsid w:val="00001A59"/>
    <w:rsid w:val="00003027"/>
    <w:rsid w:val="0000479F"/>
    <w:rsid w:val="00004913"/>
    <w:rsid w:val="00010EDE"/>
    <w:rsid w:val="00013218"/>
    <w:rsid w:val="00016524"/>
    <w:rsid w:val="000220AF"/>
    <w:rsid w:val="000247A8"/>
    <w:rsid w:val="000261AF"/>
    <w:rsid w:val="00032948"/>
    <w:rsid w:val="00041020"/>
    <w:rsid w:val="00043115"/>
    <w:rsid w:val="0006052A"/>
    <w:rsid w:val="00061D01"/>
    <w:rsid w:val="00073928"/>
    <w:rsid w:val="00073D03"/>
    <w:rsid w:val="00083357"/>
    <w:rsid w:val="00086140"/>
    <w:rsid w:val="00091D71"/>
    <w:rsid w:val="00096391"/>
    <w:rsid w:val="000A1E33"/>
    <w:rsid w:val="000A5541"/>
    <w:rsid w:val="000A6F32"/>
    <w:rsid w:val="000B27F8"/>
    <w:rsid w:val="000B2E0B"/>
    <w:rsid w:val="000B3337"/>
    <w:rsid w:val="000B3C17"/>
    <w:rsid w:val="000B42AF"/>
    <w:rsid w:val="000B7F81"/>
    <w:rsid w:val="000C0C53"/>
    <w:rsid w:val="000C203A"/>
    <w:rsid w:val="000C3D7F"/>
    <w:rsid w:val="000C7438"/>
    <w:rsid w:val="000C7A4A"/>
    <w:rsid w:val="000D0419"/>
    <w:rsid w:val="000D2680"/>
    <w:rsid w:val="000D2B46"/>
    <w:rsid w:val="000E3F95"/>
    <w:rsid w:val="000E4C11"/>
    <w:rsid w:val="000E5708"/>
    <w:rsid w:val="000F524F"/>
    <w:rsid w:val="0010325D"/>
    <w:rsid w:val="001038EB"/>
    <w:rsid w:val="00106A9F"/>
    <w:rsid w:val="001263A0"/>
    <w:rsid w:val="00126E9E"/>
    <w:rsid w:val="001279DA"/>
    <w:rsid w:val="00127D02"/>
    <w:rsid w:val="00127E0A"/>
    <w:rsid w:val="00132E43"/>
    <w:rsid w:val="001348EE"/>
    <w:rsid w:val="00135189"/>
    <w:rsid w:val="00140126"/>
    <w:rsid w:val="0014014A"/>
    <w:rsid w:val="001410EC"/>
    <w:rsid w:val="001603EE"/>
    <w:rsid w:val="00160B0B"/>
    <w:rsid w:val="0016169B"/>
    <w:rsid w:val="001625E4"/>
    <w:rsid w:val="00165CAA"/>
    <w:rsid w:val="00170017"/>
    <w:rsid w:val="001724A0"/>
    <w:rsid w:val="0017328F"/>
    <w:rsid w:val="00176229"/>
    <w:rsid w:val="001825EB"/>
    <w:rsid w:val="00182736"/>
    <w:rsid w:val="00183973"/>
    <w:rsid w:val="001846CD"/>
    <w:rsid w:val="00185420"/>
    <w:rsid w:val="001902DF"/>
    <w:rsid w:val="00192069"/>
    <w:rsid w:val="001957B3"/>
    <w:rsid w:val="001A1311"/>
    <w:rsid w:val="001A328A"/>
    <w:rsid w:val="001A366C"/>
    <w:rsid w:val="001A6BBC"/>
    <w:rsid w:val="001A6DD8"/>
    <w:rsid w:val="001A6EBD"/>
    <w:rsid w:val="001B2A7C"/>
    <w:rsid w:val="001B4A1B"/>
    <w:rsid w:val="001C13FB"/>
    <w:rsid w:val="001C2A11"/>
    <w:rsid w:val="001C3A35"/>
    <w:rsid w:val="001C4606"/>
    <w:rsid w:val="001C625E"/>
    <w:rsid w:val="001C6CD1"/>
    <w:rsid w:val="001C7E53"/>
    <w:rsid w:val="001D3C0F"/>
    <w:rsid w:val="001D47BA"/>
    <w:rsid w:val="001D4BFB"/>
    <w:rsid w:val="001E316E"/>
    <w:rsid w:val="001E5F12"/>
    <w:rsid w:val="001E649F"/>
    <w:rsid w:val="001E6E61"/>
    <w:rsid w:val="001F73BF"/>
    <w:rsid w:val="00205468"/>
    <w:rsid w:val="00205BD9"/>
    <w:rsid w:val="00206D50"/>
    <w:rsid w:val="00212634"/>
    <w:rsid w:val="00225931"/>
    <w:rsid w:val="002275F3"/>
    <w:rsid w:val="00232F99"/>
    <w:rsid w:val="00236F77"/>
    <w:rsid w:val="00242734"/>
    <w:rsid w:val="0024672C"/>
    <w:rsid w:val="00252B45"/>
    <w:rsid w:val="00254F75"/>
    <w:rsid w:val="002653F4"/>
    <w:rsid w:val="00267364"/>
    <w:rsid w:val="00270C7D"/>
    <w:rsid w:val="0028275C"/>
    <w:rsid w:val="002838F6"/>
    <w:rsid w:val="00286A68"/>
    <w:rsid w:val="00286D31"/>
    <w:rsid w:val="00291169"/>
    <w:rsid w:val="00291DDB"/>
    <w:rsid w:val="002935A2"/>
    <w:rsid w:val="00297191"/>
    <w:rsid w:val="002A0ABC"/>
    <w:rsid w:val="002A0CF6"/>
    <w:rsid w:val="002A206A"/>
    <w:rsid w:val="002A3D3E"/>
    <w:rsid w:val="002A4470"/>
    <w:rsid w:val="002B2030"/>
    <w:rsid w:val="002B36A8"/>
    <w:rsid w:val="002B4045"/>
    <w:rsid w:val="002B4D89"/>
    <w:rsid w:val="002D00FD"/>
    <w:rsid w:val="002D102C"/>
    <w:rsid w:val="002D1101"/>
    <w:rsid w:val="002D1B72"/>
    <w:rsid w:val="002D4B25"/>
    <w:rsid w:val="002D5A0D"/>
    <w:rsid w:val="002E3F80"/>
    <w:rsid w:val="002E6054"/>
    <w:rsid w:val="002F1A53"/>
    <w:rsid w:val="002F4F9B"/>
    <w:rsid w:val="00316EF7"/>
    <w:rsid w:val="00323295"/>
    <w:rsid w:val="00327E81"/>
    <w:rsid w:val="00334633"/>
    <w:rsid w:val="0034126D"/>
    <w:rsid w:val="00341BCF"/>
    <w:rsid w:val="00346C9D"/>
    <w:rsid w:val="00350895"/>
    <w:rsid w:val="00351DB8"/>
    <w:rsid w:val="003534B8"/>
    <w:rsid w:val="003536B2"/>
    <w:rsid w:val="003604C4"/>
    <w:rsid w:val="00361379"/>
    <w:rsid w:val="00364E93"/>
    <w:rsid w:val="00365A2A"/>
    <w:rsid w:val="00365FDE"/>
    <w:rsid w:val="00373231"/>
    <w:rsid w:val="00373C2F"/>
    <w:rsid w:val="00374FF0"/>
    <w:rsid w:val="00375CAA"/>
    <w:rsid w:val="003762A5"/>
    <w:rsid w:val="0037666B"/>
    <w:rsid w:val="003771BD"/>
    <w:rsid w:val="0037794A"/>
    <w:rsid w:val="00380FF2"/>
    <w:rsid w:val="00383A78"/>
    <w:rsid w:val="00384D2F"/>
    <w:rsid w:val="003852AE"/>
    <w:rsid w:val="00385957"/>
    <w:rsid w:val="00385F3A"/>
    <w:rsid w:val="00394007"/>
    <w:rsid w:val="003960BB"/>
    <w:rsid w:val="003A39E8"/>
    <w:rsid w:val="003A6883"/>
    <w:rsid w:val="003A77E1"/>
    <w:rsid w:val="003A79BF"/>
    <w:rsid w:val="003B0FEB"/>
    <w:rsid w:val="003B1F84"/>
    <w:rsid w:val="003B247A"/>
    <w:rsid w:val="003B772D"/>
    <w:rsid w:val="003B7DF6"/>
    <w:rsid w:val="003C0B01"/>
    <w:rsid w:val="003C3D25"/>
    <w:rsid w:val="003C499E"/>
    <w:rsid w:val="003C55FD"/>
    <w:rsid w:val="003C617B"/>
    <w:rsid w:val="003D1DE5"/>
    <w:rsid w:val="003D360D"/>
    <w:rsid w:val="003D3896"/>
    <w:rsid w:val="003F1FC1"/>
    <w:rsid w:val="003F28BF"/>
    <w:rsid w:val="003F5C3E"/>
    <w:rsid w:val="003F786E"/>
    <w:rsid w:val="00401D0A"/>
    <w:rsid w:val="00404D16"/>
    <w:rsid w:val="00405A12"/>
    <w:rsid w:val="004114F2"/>
    <w:rsid w:val="004205D6"/>
    <w:rsid w:val="00424E96"/>
    <w:rsid w:val="00430622"/>
    <w:rsid w:val="00434421"/>
    <w:rsid w:val="004348B8"/>
    <w:rsid w:val="004460A9"/>
    <w:rsid w:val="00452ADC"/>
    <w:rsid w:val="0045542C"/>
    <w:rsid w:val="004555BE"/>
    <w:rsid w:val="0046061A"/>
    <w:rsid w:val="004617A8"/>
    <w:rsid w:val="00462A54"/>
    <w:rsid w:val="004649ED"/>
    <w:rsid w:val="00467A40"/>
    <w:rsid w:val="00470672"/>
    <w:rsid w:val="00475B38"/>
    <w:rsid w:val="00482BAF"/>
    <w:rsid w:val="00486D1B"/>
    <w:rsid w:val="00493467"/>
    <w:rsid w:val="004A0734"/>
    <w:rsid w:val="004A1D13"/>
    <w:rsid w:val="004A6BA5"/>
    <w:rsid w:val="004B0DAA"/>
    <w:rsid w:val="004B2310"/>
    <w:rsid w:val="004B4E9F"/>
    <w:rsid w:val="004B6534"/>
    <w:rsid w:val="004C0120"/>
    <w:rsid w:val="004C03F6"/>
    <w:rsid w:val="004C046C"/>
    <w:rsid w:val="004C161A"/>
    <w:rsid w:val="004C30E0"/>
    <w:rsid w:val="004C3BC8"/>
    <w:rsid w:val="004C49A6"/>
    <w:rsid w:val="004C5249"/>
    <w:rsid w:val="004C5D3B"/>
    <w:rsid w:val="004D1EBB"/>
    <w:rsid w:val="004D273F"/>
    <w:rsid w:val="004D3592"/>
    <w:rsid w:val="004D4EBD"/>
    <w:rsid w:val="004D674B"/>
    <w:rsid w:val="004D7D0A"/>
    <w:rsid w:val="004E47E5"/>
    <w:rsid w:val="004E54D9"/>
    <w:rsid w:val="004E5F9C"/>
    <w:rsid w:val="004E65D7"/>
    <w:rsid w:val="004F2252"/>
    <w:rsid w:val="004F5E22"/>
    <w:rsid w:val="004F6113"/>
    <w:rsid w:val="0050006D"/>
    <w:rsid w:val="005004F2"/>
    <w:rsid w:val="00501B3C"/>
    <w:rsid w:val="00502D7D"/>
    <w:rsid w:val="00502F50"/>
    <w:rsid w:val="00507564"/>
    <w:rsid w:val="005076F4"/>
    <w:rsid w:val="005111D6"/>
    <w:rsid w:val="00511AC6"/>
    <w:rsid w:val="0051483F"/>
    <w:rsid w:val="005161FB"/>
    <w:rsid w:val="0051690F"/>
    <w:rsid w:val="00523A1F"/>
    <w:rsid w:val="00525466"/>
    <w:rsid w:val="005363AD"/>
    <w:rsid w:val="00540A65"/>
    <w:rsid w:val="00540DA8"/>
    <w:rsid w:val="005420C8"/>
    <w:rsid w:val="00542869"/>
    <w:rsid w:val="00543845"/>
    <w:rsid w:val="00543A3C"/>
    <w:rsid w:val="0055075F"/>
    <w:rsid w:val="00554547"/>
    <w:rsid w:val="005564FB"/>
    <w:rsid w:val="00556812"/>
    <w:rsid w:val="00557FD8"/>
    <w:rsid w:val="00564114"/>
    <w:rsid w:val="00565426"/>
    <w:rsid w:val="00571FAE"/>
    <w:rsid w:val="0057239E"/>
    <w:rsid w:val="00574394"/>
    <w:rsid w:val="00575344"/>
    <w:rsid w:val="00581063"/>
    <w:rsid w:val="00582B6D"/>
    <w:rsid w:val="0058328B"/>
    <w:rsid w:val="0059562C"/>
    <w:rsid w:val="00595C11"/>
    <w:rsid w:val="005970A3"/>
    <w:rsid w:val="005A3FB4"/>
    <w:rsid w:val="005B0F3A"/>
    <w:rsid w:val="005B1613"/>
    <w:rsid w:val="005B3C02"/>
    <w:rsid w:val="005B4DAC"/>
    <w:rsid w:val="005C5955"/>
    <w:rsid w:val="005C7816"/>
    <w:rsid w:val="005D0239"/>
    <w:rsid w:val="005D5468"/>
    <w:rsid w:val="005D6E97"/>
    <w:rsid w:val="005E1300"/>
    <w:rsid w:val="005F1328"/>
    <w:rsid w:val="005F2376"/>
    <w:rsid w:val="005F366B"/>
    <w:rsid w:val="005F36BF"/>
    <w:rsid w:val="005F67AA"/>
    <w:rsid w:val="005F6BEB"/>
    <w:rsid w:val="006008E8"/>
    <w:rsid w:val="00606BA9"/>
    <w:rsid w:val="0060763B"/>
    <w:rsid w:val="006101FA"/>
    <w:rsid w:val="00613CB6"/>
    <w:rsid w:val="00614D26"/>
    <w:rsid w:val="006161B5"/>
    <w:rsid w:val="0061797C"/>
    <w:rsid w:val="0062145D"/>
    <w:rsid w:val="00625B1F"/>
    <w:rsid w:val="006262F9"/>
    <w:rsid w:val="00626F79"/>
    <w:rsid w:val="00630783"/>
    <w:rsid w:val="00633015"/>
    <w:rsid w:val="00642C19"/>
    <w:rsid w:val="00644280"/>
    <w:rsid w:val="00645803"/>
    <w:rsid w:val="00645D4B"/>
    <w:rsid w:val="0065052D"/>
    <w:rsid w:val="00653D1F"/>
    <w:rsid w:val="006553E9"/>
    <w:rsid w:val="00655CED"/>
    <w:rsid w:val="006563B0"/>
    <w:rsid w:val="00660659"/>
    <w:rsid w:val="00661F30"/>
    <w:rsid w:val="00664D7D"/>
    <w:rsid w:val="00666740"/>
    <w:rsid w:val="006670D2"/>
    <w:rsid w:val="00675DF0"/>
    <w:rsid w:val="00676D51"/>
    <w:rsid w:val="006771F4"/>
    <w:rsid w:val="00680584"/>
    <w:rsid w:val="00691B2F"/>
    <w:rsid w:val="00692334"/>
    <w:rsid w:val="006A47D3"/>
    <w:rsid w:val="006A5526"/>
    <w:rsid w:val="006B18BD"/>
    <w:rsid w:val="006C0296"/>
    <w:rsid w:val="006C2414"/>
    <w:rsid w:val="006C2D1E"/>
    <w:rsid w:val="006C3056"/>
    <w:rsid w:val="006C48DD"/>
    <w:rsid w:val="006C4FB0"/>
    <w:rsid w:val="006C7392"/>
    <w:rsid w:val="006D02FE"/>
    <w:rsid w:val="006D3541"/>
    <w:rsid w:val="006D4B06"/>
    <w:rsid w:val="006E344A"/>
    <w:rsid w:val="006E64B2"/>
    <w:rsid w:val="006E6E3C"/>
    <w:rsid w:val="006F20C4"/>
    <w:rsid w:val="006F2A22"/>
    <w:rsid w:val="006F3892"/>
    <w:rsid w:val="006F7F00"/>
    <w:rsid w:val="00702258"/>
    <w:rsid w:val="00704225"/>
    <w:rsid w:val="00704ACB"/>
    <w:rsid w:val="0071007E"/>
    <w:rsid w:val="007127C5"/>
    <w:rsid w:val="00713CC0"/>
    <w:rsid w:val="00713F06"/>
    <w:rsid w:val="00714284"/>
    <w:rsid w:val="00714A10"/>
    <w:rsid w:val="007156D8"/>
    <w:rsid w:val="00716E75"/>
    <w:rsid w:val="007170C6"/>
    <w:rsid w:val="007242AE"/>
    <w:rsid w:val="00724429"/>
    <w:rsid w:val="00726FEF"/>
    <w:rsid w:val="00733ADC"/>
    <w:rsid w:val="007346EC"/>
    <w:rsid w:val="00735B47"/>
    <w:rsid w:val="0073791D"/>
    <w:rsid w:val="00740025"/>
    <w:rsid w:val="0074376B"/>
    <w:rsid w:val="00744C19"/>
    <w:rsid w:val="007459BD"/>
    <w:rsid w:val="007541E1"/>
    <w:rsid w:val="00760BAA"/>
    <w:rsid w:val="007639E5"/>
    <w:rsid w:val="007673D1"/>
    <w:rsid w:val="00770247"/>
    <w:rsid w:val="007743ED"/>
    <w:rsid w:val="00777089"/>
    <w:rsid w:val="007834F1"/>
    <w:rsid w:val="007836B6"/>
    <w:rsid w:val="007845CB"/>
    <w:rsid w:val="00784EB1"/>
    <w:rsid w:val="0079483B"/>
    <w:rsid w:val="007A209A"/>
    <w:rsid w:val="007A2B8D"/>
    <w:rsid w:val="007A36DD"/>
    <w:rsid w:val="007A5948"/>
    <w:rsid w:val="007A6B3D"/>
    <w:rsid w:val="007A70F6"/>
    <w:rsid w:val="007A7C7E"/>
    <w:rsid w:val="007A7E40"/>
    <w:rsid w:val="007B5DAA"/>
    <w:rsid w:val="007C083A"/>
    <w:rsid w:val="007C0C24"/>
    <w:rsid w:val="007C0CCD"/>
    <w:rsid w:val="007C1250"/>
    <w:rsid w:val="007C3D94"/>
    <w:rsid w:val="007C3F81"/>
    <w:rsid w:val="007C4E20"/>
    <w:rsid w:val="007C5B64"/>
    <w:rsid w:val="007C6CA2"/>
    <w:rsid w:val="007C71FB"/>
    <w:rsid w:val="007D36D7"/>
    <w:rsid w:val="007D3E53"/>
    <w:rsid w:val="007D4DB0"/>
    <w:rsid w:val="007D4E37"/>
    <w:rsid w:val="007D7ECD"/>
    <w:rsid w:val="007E00EE"/>
    <w:rsid w:val="007E07B7"/>
    <w:rsid w:val="007E1250"/>
    <w:rsid w:val="007E1796"/>
    <w:rsid w:val="007F0512"/>
    <w:rsid w:val="007F0E1C"/>
    <w:rsid w:val="007F21BE"/>
    <w:rsid w:val="007F28E4"/>
    <w:rsid w:val="007F2E9B"/>
    <w:rsid w:val="007F3454"/>
    <w:rsid w:val="007F68BE"/>
    <w:rsid w:val="00807047"/>
    <w:rsid w:val="00811C3A"/>
    <w:rsid w:val="008241DB"/>
    <w:rsid w:val="0082509D"/>
    <w:rsid w:val="008301ED"/>
    <w:rsid w:val="00831DC7"/>
    <w:rsid w:val="00832BD8"/>
    <w:rsid w:val="008336AF"/>
    <w:rsid w:val="00833962"/>
    <w:rsid w:val="0083595B"/>
    <w:rsid w:val="00835A48"/>
    <w:rsid w:val="0084222F"/>
    <w:rsid w:val="00844909"/>
    <w:rsid w:val="00845643"/>
    <w:rsid w:val="00846400"/>
    <w:rsid w:val="00850AF6"/>
    <w:rsid w:val="00853070"/>
    <w:rsid w:val="008530E8"/>
    <w:rsid w:val="0085569A"/>
    <w:rsid w:val="00855A05"/>
    <w:rsid w:val="00857E4A"/>
    <w:rsid w:val="008641A4"/>
    <w:rsid w:val="00867299"/>
    <w:rsid w:val="008740E9"/>
    <w:rsid w:val="00880AA6"/>
    <w:rsid w:val="00883E58"/>
    <w:rsid w:val="0088554C"/>
    <w:rsid w:val="0088682D"/>
    <w:rsid w:val="0089186D"/>
    <w:rsid w:val="0089275D"/>
    <w:rsid w:val="00895A15"/>
    <w:rsid w:val="00896BF1"/>
    <w:rsid w:val="008A20E5"/>
    <w:rsid w:val="008A47ED"/>
    <w:rsid w:val="008A5CE5"/>
    <w:rsid w:val="008B62AE"/>
    <w:rsid w:val="008B758A"/>
    <w:rsid w:val="008C78EC"/>
    <w:rsid w:val="008D2BB9"/>
    <w:rsid w:val="008D5EAD"/>
    <w:rsid w:val="008E39ED"/>
    <w:rsid w:val="008E63F0"/>
    <w:rsid w:val="008E7821"/>
    <w:rsid w:val="008F0919"/>
    <w:rsid w:val="008F6156"/>
    <w:rsid w:val="00900361"/>
    <w:rsid w:val="00900652"/>
    <w:rsid w:val="00900984"/>
    <w:rsid w:val="0090200E"/>
    <w:rsid w:val="00902B30"/>
    <w:rsid w:val="00903A0A"/>
    <w:rsid w:val="00904572"/>
    <w:rsid w:val="00907B2A"/>
    <w:rsid w:val="00910CAD"/>
    <w:rsid w:val="00911641"/>
    <w:rsid w:val="00916319"/>
    <w:rsid w:val="00917A7F"/>
    <w:rsid w:val="00921A2A"/>
    <w:rsid w:val="0092319E"/>
    <w:rsid w:val="00926C39"/>
    <w:rsid w:val="00927BB8"/>
    <w:rsid w:val="00933F95"/>
    <w:rsid w:val="00935D8D"/>
    <w:rsid w:val="009374C5"/>
    <w:rsid w:val="00941377"/>
    <w:rsid w:val="00941968"/>
    <w:rsid w:val="009439E5"/>
    <w:rsid w:val="0094526C"/>
    <w:rsid w:val="00946235"/>
    <w:rsid w:val="00947A83"/>
    <w:rsid w:val="00951507"/>
    <w:rsid w:val="00956F1D"/>
    <w:rsid w:val="00962763"/>
    <w:rsid w:val="00962BCE"/>
    <w:rsid w:val="00964205"/>
    <w:rsid w:val="00966E91"/>
    <w:rsid w:val="00970C40"/>
    <w:rsid w:val="00972D20"/>
    <w:rsid w:val="009745D6"/>
    <w:rsid w:val="009761F5"/>
    <w:rsid w:val="00980587"/>
    <w:rsid w:val="00980706"/>
    <w:rsid w:val="00980D5E"/>
    <w:rsid w:val="009821F7"/>
    <w:rsid w:val="00984A7A"/>
    <w:rsid w:val="00986DFD"/>
    <w:rsid w:val="009872C9"/>
    <w:rsid w:val="00996457"/>
    <w:rsid w:val="009A0F12"/>
    <w:rsid w:val="009A4EED"/>
    <w:rsid w:val="009B27A4"/>
    <w:rsid w:val="009B3C45"/>
    <w:rsid w:val="009B460F"/>
    <w:rsid w:val="009B73F0"/>
    <w:rsid w:val="009B7F6C"/>
    <w:rsid w:val="009C5616"/>
    <w:rsid w:val="009D5515"/>
    <w:rsid w:val="009D55D3"/>
    <w:rsid w:val="009D5E9A"/>
    <w:rsid w:val="009E1192"/>
    <w:rsid w:val="009E3132"/>
    <w:rsid w:val="009E7E7A"/>
    <w:rsid w:val="009F096F"/>
    <w:rsid w:val="00A05048"/>
    <w:rsid w:val="00A0556F"/>
    <w:rsid w:val="00A1585E"/>
    <w:rsid w:val="00A20D1C"/>
    <w:rsid w:val="00A20F28"/>
    <w:rsid w:val="00A237C4"/>
    <w:rsid w:val="00A25069"/>
    <w:rsid w:val="00A26CA0"/>
    <w:rsid w:val="00A34BFE"/>
    <w:rsid w:val="00A35C2E"/>
    <w:rsid w:val="00A36294"/>
    <w:rsid w:val="00A36778"/>
    <w:rsid w:val="00A41051"/>
    <w:rsid w:val="00A429CD"/>
    <w:rsid w:val="00A47B67"/>
    <w:rsid w:val="00A50DA8"/>
    <w:rsid w:val="00A55E73"/>
    <w:rsid w:val="00A56DD7"/>
    <w:rsid w:val="00A57777"/>
    <w:rsid w:val="00A612AD"/>
    <w:rsid w:val="00A62268"/>
    <w:rsid w:val="00A662E7"/>
    <w:rsid w:val="00A66B56"/>
    <w:rsid w:val="00A67860"/>
    <w:rsid w:val="00A713FD"/>
    <w:rsid w:val="00A72DA8"/>
    <w:rsid w:val="00A73D8C"/>
    <w:rsid w:val="00A76EEC"/>
    <w:rsid w:val="00A81476"/>
    <w:rsid w:val="00A81A38"/>
    <w:rsid w:val="00A86E83"/>
    <w:rsid w:val="00A90A23"/>
    <w:rsid w:val="00A97178"/>
    <w:rsid w:val="00AA0EAE"/>
    <w:rsid w:val="00AA131F"/>
    <w:rsid w:val="00AA43F9"/>
    <w:rsid w:val="00AA4639"/>
    <w:rsid w:val="00AB0AF4"/>
    <w:rsid w:val="00AB1F39"/>
    <w:rsid w:val="00AB3226"/>
    <w:rsid w:val="00AB4B7A"/>
    <w:rsid w:val="00AB5EE3"/>
    <w:rsid w:val="00AC28FF"/>
    <w:rsid w:val="00AC5A43"/>
    <w:rsid w:val="00AC759F"/>
    <w:rsid w:val="00AD0918"/>
    <w:rsid w:val="00AE0087"/>
    <w:rsid w:val="00AE33C8"/>
    <w:rsid w:val="00AE4C66"/>
    <w:rsid w:val="00AF2C14"/>
    <w:rsid w:val="00AF3321"/>
    <w:rsid w:val="00AF7C57"/>
    <w:rsid w:val="00B01AEE"/>
    <w:rsid w:val="00B04624"/>
    <w:rsid w:val="00B074B2"/>
    <w:rsid w:val="00B11448"/>
    <w:rsid w:val="00B13087"/>
    <w:rsid w:val="00B14276"/>
    <w:rsid w:val="00B151DD"/>
    <w:rsid w:val="00B202D1"/>
    <w:rsid w:val="00B27397"/>
    <w:rsid w:val="00B3006D"/>
    <w:rsid w:val="00B309D6"/>
    <w:rsid w:val="00B421B3"/>
    <w:rsid w:val="00B42959"/>
    <w:rsid w:val="00B4458A"/>
    <w:rsid w:val="00B453B4"/>
    <w:rsid w:val="00B478A5"/>
    <w:rsid w:val="00B53EB5"/>
    <w:rsid w:val="00B54FFD"/>
    <w:rsid w:val="00B56C6E"/>
    <w:rsid w:val="00B61244"/>
    <w:rsid w:val="00B61687"/>
    <w:rsid w:val="00B643D1"/>
    <w:rsid w:val="00B6458F"/>
    <w:rsid w:val="00B64EF1"/>
    <w:rsid w:val="00B710D9"/>
    <w:rsid w:val="00B715BB"/>
    <w:rsid w:val="00B73868"/>
    <w:rsid w:val="00B80C2A"/>
    <w:rsid w:val="00B82ABF"/>
    <w:rsid w:val="00B85ECA"/>
    <w:rsid w:val="00B876B8"/>
    <w:rsid w:val="00B932EA"/>
    <w:rsid w:val="00B9530B"/>
    <w:rsid w:val="00B9696C"/>
    <w:rsid w:val="00BA11A4"/>
    <w:rsid w:val="00BA1BD5"/>
    <w:rsid w:val="00BA2A49"/>
    <w:rsid w:val="00BA3420"/>
    <w:rsid w:val="00BA68FF"/>
    <w:rsid w:val="00BA6AF4"/>
    <w:rsid w:val="00BB1F17"/>
    <w:rsid w:val="00BB2A78"/>
    <w:rsid w:val="00BB509C"/>
    <w:rsid w:val="00BB6FCC"/>
    <w:rsid w:val="00BC0A84"/>
    <w:rsid w:val="00BC3B98"/>
    <w:rsid w:val="00BC523C"/>
    <w:rsid w:val="00BD2A2B"/>
    <w:rsid w:val="00BD3A14"/>
    <w:rsid w:val="00BD4301"/>
    <w:rsid w:val="00BD7A38"/>
    <w:rsid w:val="00BE37AA"/>
    <w:rsid w:val="00BF0174"/>
    <w:rsid w:val="00BF0842"/>
    <w:rsid w:val="00BF3452"/>
    <w:rsid w:val="00BF49AD"/>
    <w:rsid w:val="00BF6A2F"/>
    <w:rsid w:val="00BF703E"/>
    <w:rsid w:val="00C02B82"/>
    <w:rsid w:val="00C0319F"/>
    <w:rsid w:val="00C0449D"/>
    <w:rsid w:val="00C123CC"/>
    <w:rsid w:val="00C12B70"/>
    <w:rsid w:val="00C13A54"/>
    <w:rsid w:val="00C13E55"/>
    <w:rsid w:val="00C2229E"/>
    <w:rsid w:val="00C24B4E"/>
    <w:rsid w:val="00C24B54"/>
    <w:rsid w:val="00C267BD"/>
    <w:rsid w:val="00C3224E"/>
    <w:rsid w:val="00C42252"/>
    <w:rsid w:val="00C4736D"/>
    <w:rsid w:val="00C525A1"/>
    <w:rsid w:val="00C55454"/>
    <w:rsid w:val="00C55C64"/>
    <w:rsid w:val="00C61A60"/>
    <w:rsid w:val="00C63FD3"/>
    <w:rsid w:val="00C6527F"/>
    <w:rsid w:val="00C66033"/>
    <w:rsid w:val="00C6684E"/>
    <w:rsid w:val="00C6709C"/>
    <w:rsid w:val="00C67B9F"/>
    <w:rsid w:val="00C72A2E"/>
    <w:rsid w:val="00C731F9"/>
    <w:rsid w:val="00C73436"/>
    <w:rsid w:val="00C7451F"/>
    <w:rsid w:val="00C82E1B"/>
    <w:rsid w:val="00C86426"/>
    <w:rsid w:val="00C8676B"/>
    <w:rsid w:val="00C87683"/>
    <w:rsid w:val="00C9123A"/>
    <w:rsid w:val="00C9322B"/>
    <w:rsid w:val="00C96B09"/>
    <w:rsid w:val="00CA4128"/>
    <w:rsid w:val="00CA4A9E"/>
    <w:rsid w:val="00CB08A8"/>
    <w:rsid w:val="00CB50AE"/>
    <w:rsid w:val="00CB5B70"/>
    <w:rsid w:val="00CB70BD"/>
    <w:rsid w:val="00CB7B3A"/>
    <w:rsid w:val="00CC24A4"/>
    <w:rsid w:val="00CC3BCC"/>
    <w:rsid w:val="00CC48BF"/>
    <w:rsid w:val="00CC7AF5"/>
    <w:rsid w:val="00CD16B6"/>
    <w:rsid w:val="00CD4C1B"/>
    <w:rsid w:val="00CD7A71"/>
    <w:rsid w:val="00CE53EB"/>
    <w:rsid w:val="00CE6CA7"/>
    <w:rsid w:val="00CF25F8"/>
    <w:rsid w:val="00CF47E2"/>
    <w:rsid w:val="00CF7BB5"/>
    <w:rsid w:val="00D0091C"/>
    <w:rsid w:val="00D0433D"/>
    <w:rsid w:val="00D151CE"/>
    <w:rsid w:val="00D20A0D"/>
    <w:rsid w:val="00D27786"/>
    <w:rsid w:val="00D3262A"/>
    <w:rsid w:val="00D36CE3"/>
    <w:rsid w:val="00D40373"/>
    <w:rsid w:val="00D4133A"/>
    <w:rsid w:val="00D4360B"/>
    <w:rsid w:val="00D43F03"/>
    <w:rsid w:val="00D44D23"/>
    <w:rsid w:val="00D51142"/>
    <w:rsid w:val="00D5222D"/>
    <w:rsid w:val="00D53129"/>
    <w:rsid w:val="00D5545F"/>
    <w:rsid w:val="00D64ABB"/>
    <w:rsid w:val="00D67646"/>
    <w:rsid w:val="00D7082F"/>
    <w:rsid w:val="00D716B4"/>
    <w:rsid w:val="00D7223E"/>
    <w:rsid w:val="00D74607"/>
    <w:rsid w:val="00D77E48"/>
    <w:rsid w:val="00D83C49"/>
    <w:rsid w:val="00D84B44"/>
    <w:rsid w:val="00D95B31"/>
    <w:rsid w:val="00DA0DD7"/>
    <w:rsid w:val="00DA1BA5"/>
    <w:rsid w:val="00DA4631"/>
    <w:rsid w:val="00DA76FA"/>
    <w:rsid w:val="00DB085F"/>
    <w:rsid w:val="00DB45B6"/>
    <w:rsid w:val="00DB70E1"/>
    <w:rsid w:val="00DB768D"/>
    <w:rsid w:val="00DC206D"/>
    <w:rsid w:val="00DC2086"/>
    <w:rsid w:val="00DD0E01"/>
    <w:rsid w:val="00DD294B"/>
    <w:rsid w:val="00DD3562"/>
    <w:rsid w:val="00DD6D26"/>
    <w:rsid w:val="00DE21D0"/>
    <w:rsid w:val="00DF1EF0"/>
    <w:rsid w:val="00DF688F"/>
    <w:rsid w:val="00DF7F88"/>
    <w:rsid w:val="00E0029D"/>
    <w:rsid w:val="00E0165A"/>
    <w:rsid w:val="00E0335B"/>
    <w:rsid w:val="00E058E8"/>
    <w:rsid w:val="00E1203D"/>
    <w:rsid w:val="00E12D7F"/>
    <w:rsid w:val="00E13C9E"/>
    <w:rsid w:val="00E149AF"/>
    <w:rsid w:val="00E30E4F"/>
    <w:rsid w:val="00E31151"/>
    <w:rsid w:val="00E311F7"/>
    <w:rsid w:val="00E336D4"/>
    <w:rsid w:val="00E337DC"/>
    <w:rsid w:val="00E36247"/>
    <w:rsid w:val="00E4162F"/>
    <w:rsid w:val="00E428C1"/>
    <w:rsid w:val="00E43512"/>
    <w:rsid w:val="00E472AA"/>
    <w:rsid w:val="00E50906"/>
    <w:rsid w:val="00E5190D"/>
    <w:rsid w:val="00E5194B"/>
    <w:rsid w:val="00E53B50"/>
    <w:rsid w:val="00E600BE"/>
    <w:rsid w:val="00E60550"/>
    <w:rsid w:val="00E61356"/>
    <w:rsid w:val="00E61F60"/>
    <w:rsid w:val="00E64FD1"/>
    <w:rsid w:val="00E666C3"/>
    <w:rsid w:val="00E67503"/>
    <w:rsid w:val="00E67ABD"/>
    <w:rsid w:val="00E74E65"/>
    <w:rsid w:val="00E7598F"/>
    <w:rsid w:val="00E768E5"/>
    <w:rsid w:val="00E76A94"/>
    <w:rsid w:val="00E80987"/>
    <w:rsid w:val="00E81237"/>
    <w:rsid w:val="00E8385B"/>
    <w:rsid w:val="00E92DBC"/>
    <w:rsid w:val="00E93878"/>
    <w:rsid w:val="00E97A87"/>
    <w:rsid w:val="00EA2434"/>
    <w:rsid w:val="00EA3E26"/>
    <w:rsid w:val="00EA7E6A"/>
    <w:rsid w:val="00EB1622"/>
    <w:rsid w:val="00EB1712"/>
    <w:rsid w:val="00EC0AC5"/>
    <w:rsid w:val="00EC2BB1"/>
    <w:rsid w:val="00EC57E9"/>
    <w:rsid w:val="00EC6891"/>
    <w:rsid w:val="00ED1789"/>
    <w:rsid w:val="00EE03CD"/>
    <w:rsid w:val="00EE04C9"/>
    <w:rsid w:val="00EE49AA"/>
    <w:rsid w:val="00EE7575"/>
    <w:rsid w:val="00EF08FE"/>
    <w:rsid w:val="00EF11D9"/>
    <w:rsid w:val="00F03242"/>
    <w:rsid w:val="00F073B4"/>
    <w:rsid w:val="00F07AA2"/>
    <w:rsid w:val="00F162A4"/>
    <w:rsid w:val="00F24CAD"/>
    <w:rsid w:val="00F33547"/>
    <w:rsid w:val="00F33706"/>
    <w:rsid w:val="00F36842"/>
    <w:rsid w:val="00F3778C"/>
    <w:rsid w:val="00F37F58"/>
    <w:rsid w:val="00F40FA5"/>
    <w:rsid w:val="00F441F5"/>
    <w:rsid w:val="00F44D33"/>
    <w:rsid w:val="00F45F26"/>
    <w:rsid w:val="00F46944"/>
    <w:rsid w:val="00F46AD8"/>
    <w:rsid w:val="00F51472"/>
    <w:rsid w:val="00F5174A"/>
    <w:rsid w:val="00F53CC3"/>
    <w:rsid w:val="00F55D70"/>
    <w:rsid w:val="00F55F84"/>
    <w:rsid w:val="00F61EA9"/>
    <w:rsid w:val="00F71BAA"/>
    <w:rsid w:val="00F74081"/>
    <w:rsid w:val="00F77C17"/>
    <w:rsid w:val="00F83CDA"/>
    <w:rsid w:val="00F85EE6"/>
    <w:rsid w:val="00F86556"/>
    <w:rsid w:val="00F86FF8"/>
    <w:rsid w:val="00F90F2C"/>
    <w:rsid w:val="00F9269A"/>
    <w:rsid w:val="00F9345E"/>
    <w:rsid w:val="00F95BCD"/>
    <w:rsid w:val="00FA2F9A"/>
    <w:rsid w:val="00FA4532"/>
    <w:rsid w:val="00FA52DD"/>
    <w:rsid w:val="00FB7194"/>
    <w:rsid w:val="00FC315C"/>
    <w:rsid w:val="00FC5394"/>
    <w:rsid w:val="00FC5840"/>
    <w:rsid w:val="00FD23F9"/>
    <w:rsid w:val="00FD3305"/>
    <w:rsid w:val="00FD427F"/>
    <w:rsid w:val="00FD73A5"/>
    <w:rsid w:val="00FE2AF8"/>
    <w:rsid w:val="00FE5635"/>
    <w:rsid w:val="00FF2213"/>
    <w:rsid w:val="00FF3B3D"/>
    <w:rsid w:val="00FF4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1B835102-07DE-4B4C-9A9C-788396C6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footer" w:semiHidden="1" w:uiPriority="99" w:unhideWhenUsed="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B6"/>
    <w:pPr>
      <w:tabs>
        <w:tab w:val="left" w:pos="567"/>
        <w:tab w:val="left" w:pos="1134"/>
        <w:tab w:val="left" w:pos="1701"/>
      </w:tabs>
      <w:jc w:val="both"/>
    </w:pPr>
    <w:rPr>
      <w:rFonts w:ascii="Arial" w:hAnsi="Arial"/>
      <w:sz w:val="22"/>
      <w:szCs w:val="24"/>
      <w:lang w:val="en-US" w:eastAsia="en-US"/>
    </w:rPr>
  </w:style>
  <w:style w:type="paragraph" w:styleId="Heading1">
    <w:name w:val="heading 1"/>
    <w:basedOn w:val="Normal"/>
    <w:next w:val="Normal"/>
    <w:link w:val="Heading1Char"/>
    <w:uiPriority w:val="9"/>
    <w:qFormat/>
    <w:rsid w:val="007836B6"/>
    <w:pPr>
      <w:keepNext/>
      <w:outlineLvl w:val="0"/>
    </w:pPr>
    <w:rPr>
      <w:rFonts w:cs="Arial"/>
      <w:b/>
      <w:bCs/>
      <w:caps/>
      <w:kern w:val="32"/>
      <w:szCs w:val="32"/>
    </w:rPr>
  </w:style>
  <w:style w:type="paragraph" w:styleId="Heading2">
    <w:name w:val="heading 2"/>
    <w:basedOn w:val="Normal"/>
    <w:next w:val="Normal"/>
    <w:link w:val="Heading2Char"/>
    <w:semiHidden/>
    <w:unhideWhenUsed/>
    <w:qFormat/>
    <w:rsid w:val="00EC2B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2BB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BodyText3">
    <w:name w:val="Body Text 3"/>
    <w:basedOn w:val="Normal"/>
    <w:link w:val="BodyText3Char"/>
    <w:uiPriority w:val="99"/>
    <w:rsid w:val="007836B6"/>
    <w:pPr>
      <w:ind w:right="28"/>
    </w:pPr>
    <w:rPr>
      <w:szCs w:val="20"/>
    </w:r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styleId="BodyTextIndent">
    <w:name w:val="Body Text Indent"/>
    <w:basedOn w:val="Normal"/>
    <w:link w:val="BodyTextIndentChar"/>
    <w:uiPriority w:val="99"/>
    <w:rsid w:val="007836B6"/>
    <w:pPr>
      <w:ind w:left="720"/>
    </w:pPr>
    <w:rPr>
      <w:rFonts w:ascii="Garamond" w:hAnsi="Garamond"/>
      <w:lang w:val="en-AU"/>
    </w:r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lang w:val="en-US" w:eastAsia="en-US"/>
    </w:rPr>
  </w:style>
  <w:style w:type="paragraph" w:styleId="Header">
    <w:name w:val="header"/>
    <w:basedOn w:val="Normal"/>
    <w:link w:val="HeaderChar"/>
    <w:uiPriority w:val="99"/>
    <w:rsid w:val="007836B6"/>
    <w:pPr>
      <w:tabs>
        <w:tab w:val="center" w:pos="4320"/>
        <w:tab w:val="right" w:pos="8640"/>
      </w:tabs>
    </w:pPr>
    <w:rPr>
      <w:lang w:val="en-AU"/>
    </w:rPr>
  </w:style>
  <w:style w:type="character" w:customStyle="1" w:styleId="HeaderChar">
    <w:name w:val="Header Char"/>
    <w:basedOn w:val="DefaultParagraphFont"/>
    <w:link w:val="Header"/>
    <w:uiPriority w:val="99"/>
    <w:locked/>
    <w:rsid w:val="001C13FB"/>
    <w:rPr>
      <w:rFonts w:ascii="Arial" w:hAnsi="Arial" w:cs="Times New Roman"/>
      <w:sz w:val="24"/>
      <w:szCs w:val="24"/>
      <w:lang w:val="x-none" w:eastAsia="en-US"/>
    </w:rPr>
  </w:style>
  <w:style w:type="paragraph" w:styleId="BodyTextIndent3">
    <w:name w:val="Body Text Indent 3"/>
    <w:basedOn w:val="Normal"/>
    <w:link w:val="BodyTextIndent3Char"/>
    <w:uiPriority w:val="99"/>
    <w:rsid w:val="007836B6"/>
    <w:pPr>
      <w:ind w:left="720"/>
    </w:pPr>
    <w:rPr>
      <w:rFonts w:ascii="Garamond" w:hAnsi="Garamond"/>
      <w:lang w:val="en-AU"/>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lang w:val="en-US" w:eastAsia="en-US"/>
    </w:rPr>
  </w:style>
  <w:style w:type="character" w:customStyle="1" w:styleId="DocHead">
    <w:name w:val="Doc/Head"/>
    <w:basedOn w:val="DefaultParagraphFont"/>
    <w:rsid w:val="007836B6"/>
    <w:rPr>
      <w:rFonts w:ascii="Courier" w:hAnsi="Courier" w:cs="Times New Roman"/>
      <w:sz w:val="24"/>
      <w:lang w:val="en-US" w:eastAsia="x-none"/>
    </w:rPr>
  </w:style>
  <w:style w:type="paragraph" w:styleId="Footer">
    <w:name w:val="footer"/>
    <w:basedOn w:val="Normal"/>
    <w:link w:val="FooterChar"/>
    <w:uiPriority w:val="99"/>
    <w:rsid w:val="007836B6"/>
    <w:pPr>
      <w:tabs>
        <w:tab w:val="left" w:pos="3780"/>
        <w:tab w:val="right" w:pos="9000"/>
      </w:tabs>
    </w:pPr>
    <w:rPr>
      <w:rFonts w:cs="Arial"/>
      <w:bCs/>
      <w:color w:val="000080"/>
      <w:sz w:val="16"/>
    </w:rPr>
  </w:style>
  <w:style w:type="character" w:customStyle="1" w:styleId="FooterChar">
    <w:name w:val="Footer Char"/>
    <w:basedOn w:val="DefaultParagraphFont"/>
    <w:link w:val="Footer"/>
    <w:uiPriority w:val="99"/>
    <w:locked/>
    <w:rsid w:val="00972D20"/>
    <w:rPr>
      <w:rFonts w:ascii="Arial" w:hAnsi="Arial" w:cs="Arial"/>
      <w:bCs/>
      <w:color w:val="000080"/>
      <w:sz w:val="24"/>
      <w:szCs w:val="24"/>
      <w:lang w:val="en-US" w:eastAsia="en-US"/>
    </w:rPr>
  </w:style>
  <w:style w:type="character" w:styleId="PageNumber">
    <w:name w:val="page number"/>
    <w:basedOn w:val="DefaultParagraphFont"/>
    <w:uiPriority w:val="99"/>
    <w:rsid w:val="007836B6"/>
    <w:rPr>
      <w:rFonts w:cs="Times New Roman"/>
    </w:rPr>
  </w:style>
  <w:style w:type="paragraph" w:styleId="BodyText">
    <w:name w:val="Body Text"/>
    <w:basedOn w:val="Normal"/>
    <w:link w:val="BodyTextChar"/>
    <w:uiPriority w:val="99"/>
    <w:rsid w:val="007836B6"/>
    <w:pPr>
      <w:ind w:right="28"/>
    </w:pPr>
  </w:style>
  <w:style w:type="character" w:customStyle="1" w:styleId="BodyTextChar">
    <w:name w:val="Body Text Char"/>
    <w:basedOn w:val="DefaultParagraphFont"/>
    <w:link w:val="BodyText"/>
    <w:uiPriority w:val="99"/>
    <w:semiHidden/>
    <w:locked/>
    <w:rPr>
      <w:rFonts w:ascii="Arial" w:hAnsi="Arial" w:cs="Times New Roman"/>
      <w:sz w:val="24"/>
      <w:szCs w:val="24"/>
      <w:lang w:val="en-US" w:eastAsia="en-US"/>
    </w:rPr>
  </w:style>
  <w:style w:type="paragraph" w:customStyle="1" w:styleId="Header1">
    <w:name w:val="Header 1"/>
    <w:basedOn w:val="Header"/>
    <w:rsid w:val="007836B6"/>
    <w:pPr>
      <w:tabs>
        <w:tab w:val="clear" w:pos="4320"/>
        <w:tab w:val="clear" w:pos="8640"/>
        <w:tab w:val="right" w:leader="underscore" w:pos="9072"/>
      </w:tabs>
    </w:pPr>
    <w:rPr>
      <w:b/>
      <w:caps/>
      <w:color w:val="000080"/>
    </w:rPr>
  </w:style>
  <w:style w:type="paragraph" w:customStyle="1" w:styleId="Footer1">
    <w:name w:val="Footer 1"/>
    <w:basedOn w:val="Footer"/>
    <w:rsid w:val="007836B6"/>
    <w:pPr>
      <w:tabs>
        <w:tab w:val="clear" w:pos="3780"/>
        <w:tab w:val="clear" w:pos="9000"/>
        <w:tab w:val="right" w:leader="underscore" w:pos="9072"/>
      </w:tabs>
    </w:pPr>
    <w:rPr>
      <w:b/>
      <w:sz w:val="20"/>
    </w:rPr>
  </w:style>
  <w:style w:type="paragraph" w:customStyle="1" w:styleId="PageNumber1">
    <w:name w:val="Page Number 1"/>
    <w:basedOn w:val="Footer"/>
    <w:rsid w:val="007836B6"/>
    <w:pPr>
      <w:tabs>
        <w:tab w:val="clear" w:pos="567"/>
        <w:tab w:val="clear" w:pos="1134"/>
        <w:tab w:val="clear" w:pos="1701"/>
        <w:tab w:val="clear" w:pos="3780"/>
      </w:tabs>
      <w:spacing w:before="60"/>
    </w:pPr>
    <w:rPr>
      <w:bCs w:val="0"/>
      <w:sz w:val="20"/>
    </w:rPr>
  </w:style>
  <w:style w:type="paragraph" w:customStyle="1" w:styleId="Header2">
    <w:name w:val="Header 2"/>
    <w:basedOn w:val="Header1"/>
    <w:qFormat/>
    <w:rsid w:val="007845CB"/>
    <w:pPr>
      <w:tabs>
        <w:tab w:val="clear" w:pos="9072"/>
      </w:tabs>
      <w:jc w:val="left"/>
    </w:pPr>
    <w:rPr>
      <w:rFonts w:ascii="Calibri" w:hAnsi="Calibri"/>
      <w:caps w:val="0"/>
      <w:color w:val="000000" w:themeColor="text1"/>
    </w:rPr>
  </w:style>
  <w:style w:type="paragraph" w:styleId="ListParagraph">
    <w:name w:val="List Paragraph"/>
    <w:basedOn w:val="Normal"/>
    <w:uiPriority w:val="34"/>
    <w:qFormat/>
    <w:rsid w:val="001E649F"/>
    <w:pPr>
      <w:ind w:left="720"/>
    </w:pPr>
  </w:style>
  <w:style w:type="table" w:styleId="TableGrid">
    <w:name w:val="Table Grid"/>
    <w:basedOn w:val="TableNormal"/>
    <w:uiPriority w:val="39"/>
    <w:rsid w:val="00DA76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5F6BEB"/>
    <w:rPr>
      <w:sz w:val="20"/>
      <w:szCs w:val="20"/>
    </w:rPr>
  </w:style>
  <w:style w:type="character" w:customStyle="1" w:styleId="FootnoteTextChar">
    <w:name w:val="Footnote Text Char"/>
    <w:basedOn w:val="DefaultParagraphFont"/>
    <w:link w:val="FootnoteText"/>
    <w:uiPriority w:val="99"/>
    <w:locked/>
    <w:rsid w:val="005F6BEB"/>
    <w:rPr>
      <w:rFonts w:ascii="Arial" w:hAnsi="Arial" w:cs="Times New Roman"/>
      <w:lang w:val="en-US" w:eastAsia="en-US"/>
    </w:rPr>
  </w:style>
  <w:style w:type="character" w:styleId="FootnoteReference">
    <w:name w:val="footnote reference"/>
    <w:basedOn w:val="DefaultParagraphFont"/>
    <w:uiPriority w:val="99"/>
    <w:rsid w:val="005F6BEB"/>
    <w:rPr>
      <w:rFonts w:cs="Times New Roman"/>
      <w:vertAlign w:val="superscript"/>
    </w:rPr>
  </w:style>
  <w:style w:type="paragraph" w:styleId="BalloonText">
    <w:name w:val="Balloon Text"/>
    <w:basedOn w:val="Normal"/>
    <w:link w:val="BalloonTextChar"/>
    <w:uiPriority w:val="99"/>
    <w:rsid w:val="00972D20"/>
    <w:rPr>
      <w:rFonts w:ascii="Tahoma" w:hAnsi="Tahoma" w:cs="Tahoma"/>
      <w:sz w:val="16"/>
      <w:szCs w:val="16"/>
    </w:rPr>
  </w:style>
  <w:style w:type="character" w:customStyle="1" w:styleId="BalloonTextChar">
    <w:name w:val="Balloon Text Char"/>
    <w:basedOn w:val="DefaultParagraphFont"/>
    <w:link w:val="BalloonText"/>
    <w:uiPriority w:val="99"/>
    <w:locked/>
    <w:rsid w:val="00972D20"/>
    <w:rPr>
      <w:rFonts w:ascii="Tahoma" w:hAnsi="Tahoma" w:cs="Tahoma"/>
      <w:sz w:val="16"/>
      <w:szCs w:val="16"/>
      <w:lang w:val="en-US" w:eastAsia="en-US"/>
    </w:rPr>
  </w:style>
  <w:style w:type="paragraph" w:customStyle="1" w:styleId="Bullet">
    <w:name w:val="Bullet"/>
    <w:qFormat/>
    <w:rsid w:val="00980706"/>
    <w:pPr>
      <w:numPr>
        <w:numId w:val="3"/>
      </w:numPr>
      <w:spacing w:after="120"/>
      <w:contextualSpacing/>
    </w:pPr>
    <w:rPr>
      <w:rFonts w:ascii="Arial" w:hAnsi="Arial"/>
      <w:sz w:val="22"/>
      <w:lang w:eastAsia="en-US"/>
    </w:rPr>
  </w:style>
  <w:style w:type="character" w:styleId="CommentReference">
    <w:name w:val="annotation reference"/>
    <w:basedOn w:val="DefaultParagraphFont"/>
    <w:uiPriority w:val="99"/>
    <w:rsid w:val="002D102C"/>
    <w:rPr>
      <w:rFonts w:cs="Times New Roman"/>
      <w:sz w:val="16"/>
      <w:szCs w:val="16"/>
    </w:rPr>
  </w:style>
  <w:style w:type="paragraph" w:styleId="CommentText">
    <w:name w:val="annotation text"/>
    <w:basedOn w:val="Normal"/>
    <w:link w:val="CommentTextChar"/>
    <w:uiPriority w:val="99"/>
    <w:rsid w:val="002D102C"/>
    <w:rPr>
      <w:sz w:val="20"/>
      <w:szCs w:val="20"/>
    </w:rPr>
  </w:style>
  <w:style w:type="character" w:customStyle="1" w:styleId="CommentTextChar">
    <w:name w:val="Comment Text Char"/>
    <w:basedOn w:val="DefaultParagraphFont"/>
    <w:link w:val="CommentText"/>
    <w:uiPriority w:val="99"/>
    <w:locked/>
    <w:rsid w:val="002D102C"/>
    <w:rPr>
      <w:rFonts w:ascii="Arial" w:hAnsi="Arial" w:cs="Times New Roman"/>
      <w:lang w:val="en-US" w:eastAsia="en-US"/>
    </w:rPr>
  </w:style>
  <w:style w:type="paragraph" w:styleId="CommentSubject">
    <w:name w:val="annotation subject"/>
    <w:basedOn w:val="CommentText"/>
    <w:next w:val="CommentText"/>
    <w:link w:val="CommentSubjectChar"/>
    <w:uiPriority w:val="99"/>
    <w:rsid w:val="002D102C"/>
    <w:rPr>
      <w:b/>
      <w:bCs/>
    </w:rPr>
  </w:style>
  <w:style w:type="character" w:customStyle="1" w:styleId="CommentSubjectChar">
    <w:name w:val="Comment Subject Char"/>
    <w:basedOn w:val="CommentTextChar"/>
    <w:link w:val="CommentSubject"/>
    <w:uiPriority w:val="99"/>
    <w:locked/>
    <w:rsid w:val="002D102C"/>
    <w:rPr>
      <w:rFonts w:ascii="Arial" w:hAnsi="Arial" w:cs="Times New Roman"/>
      <w:b/>
      <w:bCs/>
      <w:lang w:val="en-US" w:eastAsia="en-US"/>
    </w:rPr>
  </w:style>
  <w:style w:type="paragraph" w:customStyle="1" w:styleId="ExecutiveSummaryText">
    <w:name w:val="Executive Summary Text"/>
    <w:qFormat/>
    <w:rsid w:val="00895A15"/>
    <w:pPr>
      <w:keepLines/>
      <w:spacing w:after="120"/>
    </w:pPr>
    <w:rPr>
      <w:rFonts w:ascii="Arial" w:hAnsi="Arial"/>
      <w:sz w:val="22"/>
      <w:szCs w:val="24"/>
      <w:lang w:eastAsia="en-US"/>
    </w:rPr>
  </w:style>
  <w:style w:type="paragraph" w:customStyle="1" w:styleId="Apara">
    <w:name w:val="A para"/>
    <w:basedOn w:val="Normal"/>
    <w:link w:val="AparaChar"/>
    <w:rsid w:val="003F5C3E"/>
    <w:pPr>
      <w:tabs>
        <w:tab w:val="clear" w:pos="567"/>
        <w:tab w:val="clear" w:pos="1134"/>
        <w:tab w:val="clear" w:pos="1701"/>
        <w:tab w:val="right" w:pos="1400"/>
        <w:tab w:val="left" w:pos="1600"/>
      </w:tabs>
      <w:spacing w:before="140"/>
      <w:ind w:left="1600" w:hanging="1600"/>
      <w:outlineLvl w:val="6"/>
    </w:pPr>
    <w:rPr>
      <w:rFonts w:ascii="Times New Roman" w:hAnsi="Times New Roman"/>
      <w:sz w:val="24"/>
      <w:szCs w:val="20"/>
      <w:lang w:val="en-AU"/>
    </w:rPr>
  </w:style>
  <w:style w:type="paragraph" w:customStyle="1" w:styleId="Amain">
    <w:name w:val="A main"/>
    <w:basedOn w:val="Normal"/>
    <w:rsid w:val="00E7598F"/>
    <w:pPr>
      <w:tabs>
        <w:tab w:val="clear" w:pos="567"/>
        <w:tab w:val="clear" w:pos="1134"/>
        <w:tab w:val="clear" w:pos="1701"/>
        <w:tab w:val="right" w:pos="900"/>
        <w:tab w:val="left" w:pos="1100"/>
      </w:tabs>
      <w:spacing w:before="140"/>
      <w:ind w:left="1100" w:hanging="1100"/>
      <w:outlineLvl w:val="5"/>
    </w:pPr>
    <w:rPr>
      <w:rFonts w:ascii="Times New Roman" w:hAnsi="Times New Roman"/>
      <w:sz w:val="24"/>
      <w:szCs w:val="20"/>
      <w:lang w:val="en-AU"/>
    </w:rPr>
  </w:style>
  <w:style w:type="character" w:customStyle="1" w:styleId="AparaChar">
    <w:name w:val="A para Char"/>
    <w:basedOn w:val="DefaultParagraphFont"/>
    <w:link w:val="Apara"/>
    <w:locked/>
    <w:rsid w:val="00E7598F"/>
    <w:rPr>
      <w:sz w:val="24"/>
      <w:lang w:eastAsia="en-US"/>
    </w:rPr>
  </w:style>
  <w:style w:type="paragraph" w:customStyle="1" w:styleId="Asubpara">
    <w:name w:val="A subpara"/>
    <w:basedOn w:val="Normal"/>
    <w:rsid w:val="00E7598F"/>
    <w:pPr>
      <w:tabs>
        <w:tab w:val="clear" w:pos="567"/>
        <w:tab w:val="clear" w:pos="1134"/>
        <w:tab w:val="clear" w:pos="1701"/>
        <w:tab w:val="right" w:pos="1900"/>
        <w:tab w:val="left" w:pos="2100"/>
      </w:tabs>
      <w:spacing w:before="140"/>
      <w:ind w:left="2100" w:hanging="2100"/>
      <w:outlineLvl w:val="7"/>
    </w:pPr>
    <w:rPr>
      <w:rFonts w:ascii="Times New Roman" w:hAnsi="Times New Roman"/>
      <w:sz w:val="24"/>
      <w:szCs w:val="20"/>
      <w:lang w:val="en-AU"/>
    </w:rPr>
  </w:style>
  <w:style w:type="character" w:customStyle="1" w:styleId="highlight">
    <w:name w:val="highlight"/>
    <w:basedOn w:val="DefaultParagraphFont"/>
    <w:rsid w:val="0073791D"/>
  </w:style>
  <w:style w:type="character" w:customStyle="1" w:styleId="Heading2Char">
    <w:name w:val="Heading 2 Char"/>
    <w:basedOn w:val="DefaultParagraphFont"/>
    <w:link w:val="Heading2"/>
    <w:uiPriority w:val="9"/>
    <w:rsid w:val="00EC2BB1"/>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EC2BB1"/>
    <w:rPr>
      <w:rFonts w:asciiTheme="majorHAnsi" w:eastAsiaTheme="majorEastAsia" w:hAnsiTheme="majorHAnsi" w:cstheme="majorBidi"/>
      <w:color w:val="243F60" w:themeColor="accent1" w:themeShade="7F"/>
      <w:sz w:val="24"/>
      <w:szCs w:val="24"/>
      <w:lang w:val="en-US" w:eastAsia="en-US"/>
    </w:rPr>
  </w:style>
  <w:style w:type="table" w:styleId="GridTable2">
    <w:name w:val="Grid Table 2"/>
    <w:basedOn w:val="TableNormal"/>
    <w:uiPriority w:val="47"/>
    <w:rsid w:val="00A713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8639">
      <w:bodyDiv w:val="1"/>
      <w:marLeft w:val="0"/>
      <w:marRight w:val="0"/>
      <w:marTop w:val="0"/>
      <w:marBottom w:val="0"/>
      <w:divBdr>
        <w:top w:val="none" w:sz="0" w:space="0" w:color="auto"/>
        <w:left w:val="none" w:sz="0" w:space="0" w:color="auto"/>
        <w:bottom w:val="none" w:sz="0" w:space="0" w:color="auto"/>
        <w:right w:val="none" w:sz="0" w:space="0" w:color="auto"/>
      </w:divBdr>
    </w:div>
    <w:div w:id="849032269">
      <w:bodyDiv w:val="1"/>
      <w:marLeft w:val="0"/>
      <w:marRight w:val="0"/>
      <w:marTop w:val="0"/>
      <w:marBottom w:val="0"/>
      <w:divBdr>
        <w:top w:val="none" w:sz="0" w:space="0" w:color="auto"/>
        <w:left w:val="none" w:sz="0" w:space="0" w:color="auto"/>
        <w:bottom w:val="none" w:sz="0" w:space="0" w:color="auto"/>
        <w:right w:val="none" w:sz="0" w:space="0" w:color="auto"/>
      </w:divBdr>
      <w:divsChild>
        <w:div w:id="1776948356">
          <w:marLeft w:val="0"/>
          <w:marRight w:val="0"/>
          <w:marTop w:val="0"/>
          <w:marBottom w:val="0"/>
          <w:divBdr>
            <w:top w:val="none" w:sz="0" w:space="0" w:color="auto"/>
            <w:left w:val="none" w:sz="0" w:space="0" w:color="auto"/>
            <w:bottom w:val="none" w:sz="0" w:space="0" w:color="auto"/>
            <w:right w:val="none" w:sz="0" w:space="0" w:color="auto"/>
          </w:divBdr>
        </w:div>
        <w:div w:id="204370695">
          <w:marLeft w:val="0"/>
          <w:marRight w:val="0"/>
          <w:marTop w:val="0"/>
          <w:marBottom w:val="0"/>
          <w:divBdr>
            <w:top w:val="none" w:sz="0" w:space="0" w:color="auto"/>
            <w:left w:val="none" w:sz="0" w:space="0" w:color="auto"/>
            <w:bottom w:val="none" w:sz="0" w:space="0" w:color="auto"/>
            <w:right w:val="none" w:sz="0" w:space="0" w:color="auto"/>
          </w:divBdr>
        </w:div>
        <w:div w:id="94712169">
          <w:marLeft w:val="0"/>
          <w:marRight w:val="0"/>
          <w:marTop w:val="0"/>
          <w:marBottom w:val="0"/>
          <w:divBdr>
            <w:top w:val="none" w:sz="0" w:space="0" w:color="auto"/>
            <w:left w:val="none" w:sz="0" w:space="0" w:color="auto"/>
            <w:bottom w:val="none" w:sz="0" w:space="0" w:color="auto"/>
            <w:right w:val="none" w:sz="0" w:space="0" w:color="auto"/>
          </w:divBdr>
        </w:div>
      </w:divsChild>
    </w:div>
    <w:div w:id="863325845">
      <w:bodyDiv w:val="1"/>
      <w:marLeft w:val="0"/>
      <w:marRight w:val="0"/>
      <w:marTop w:val="0"/>
      <w:marBottom w:val="0"/>
      <w:divBdr>
        <w:top w:val="none" w:sz="0" w:space="0" w:color="auto"/>
        <w:left w:val="none" w:sz="0" w:space="0" w:color="auto"/>
        <w:bottom w:val="none" w:sz="0" w:space="0" w:color="auto"/>
        <w:right w:val="none" w:sz="0" w:space="0" w:color="auto"/>
      </w:divBdr>
      <w:divsChild>
        <w:div w:id="503128282">
          <w:marLeft w:val="0"/>
          <w:marRight w:val="0"/>
          <w:marTop w:val="0"/>
          <w:marBottom w:val="0"/>
          <w:divBdr>
            <w:top w:val="none" w:sz="0" w:space="0" w:color="auto"/>
            <w:left w:val="none" w:sz="0" w:space="0" w:color="auto"/>
            <w:bottom w:val="none" w:sz="0" w:space="0" w:color="auto"/>
            <w:right w:val="none" w:sz="0" w:space="0" w:color="auto"/>
          </w:divBdr>
        </w:div>
        <w:div w:id="1305697001">
          <w:marLeft w:val="0"/>
          <w:marRight w:val="0"/>
          <w:marTop w:val="0"/>
          <w:marBottom w:val="0"/>
          <w:divBdr>
            <w:top w:val="none" w:sz="0" w:space="0" w:color="auto"/>
            <w:left w:val="none" w:sz="0" w:space="0" w:color="auto"/>
            <w:bottom w:val="none" w:sz="0" w:space="0" w:color="auto"/>
            <w:right w:val="none" w:sz="0" w:space="0" w:color="auto"/>
          </w:divBdr>
        </w:div>
        <w:div w:id="1321539925">
          <w:marLeft w:val="0"/>
          <w:marRight w:val="0"/>
          <w:marTop w:val="0"/>
          <w:marBottom w:val="0"/>
          <w:divBdr>
            <w:top w:val="none" w:sz="0" w:space="0" w:color="auto"/>
            <w:left w:val="none" w:sz="0" w:space="0" w:color="auto"/>
            <w:bottom w:val="none" w:sz="0" w:space="0" w:color="auto"/>
            <w:right w:val="none" w:sz="0" w:space="0" w:color="auto"/>
          </w:divBdr>
        </w:div>
        <w:div w:id="1326662935">
          <w:marLeft w:val="0"/>
          <w:marRight w:val="0"/>
          <w:marTop w:val="0"/>
          <w:marBottom w:val="0"/>
          <w:divBdr>
            <w:top w:val="none" w:sz="0" w:space="0" w:color="auto"/>
            <w:left w:val="none" w:sz="0" w:space="0" w:color="auto"/>
            <w:bottom w:val="none" w:sz="0" w:space="0" w:color="auto"/>
            <w:right w:val="none" w:sz="0" w:space="0" w:color="auto"/>
          </w:divBdr>
        </w:div>
        <w:div w:id="776608641">
          <w:marLeft w:val="0"/>
          <w:marRight w:val="0"/>
          <w:marTop w:val="0"/>
          <w:marBottom w:val="0"/>
          <w:divBdr>
            <w:top w:val="none" w:sz="0" w:space="0" w:color="auto"/>
            <w:left w:val="none" w:sz="0" w:space="0" w:color="auto"/>
            <w:bottom w:val="none" w:sz="0" w:space="0" w:color="auto"/>
            <w:right w:val="none" w:sz="0" w:space="0" w:color="auto"/>
          </w:divBdr>
        </w:div>
        <w:div w:id="747076680">
          <w:marLeft w:val="0"/>
          <w:marRight w:val="0"/>
          <w:marTop w:val="0"/>
          <w:marBottom w:val="0"/>
          <w:divBdr>
            <w:top w:val="none" w:sz="0" w:space="0" w:color="auto"/>
            <w:left w:val="none" w:sz="0" w:space="0" w:color="auto"/>
            <w:bottom w:val="none" w:sz="0" w:space="0" w:color="auto"/>
            <w:right w:val="none" w:sz="0" w:space="0" w:color="auto"/>
          </w:divBdr>
        </w:div>
        <w:div w:id="298651585">
          <w:marLeft w:val="0"/>
          <w:marRight w:val="0"/>
          <w:marTop w:val="0"/>
          <w:marBottom w:val="0"/>
          <w:divBdr>
            <w:top w:val="none" w:sz="0" w:space="0" w:color="auto"/>
            <w:left w:val="none" w:sz="0" w:space="0" w:color="auto"/>
            <w:bottom w:val="none" w:sz="0" w:space="0" w:color="auto"/>
            <w:right w:val="none" w:sz="0" w:space="0" w:color="auto"/>
          </w:divBdr>
        </w:div>
        <w:div w:id="1951861402">
          <w:marLeft w:val="0"/>
          <w:marRight w:val="0"/>
          <w:marTop w:val="0"/>
          <w:marBottom w:val="0"/>
          <w:divBdr>
            <w:top w:val="none" w:sz="0" w:space="0" w:color="auto"/>
            <w:left w:val="none" w:sz="0" w:space="0" w:color="auto"/>
            <w:bottom w:val="none" w:sz="0" w:space="0" w:color="auto"/>
            <w:right w:val="none" w:sz="0" w:space="0" w:color="auto"/>
          </w:divBdr>
        </w:div>
      </w:divsChild>
    </w:div>
    <w:div w:id="1286814179">
      <w:bodyDiv w:val="1"/>
      <w:marLeft w:val="0"/>
      <w:marRight w:val="0"/>
      <w:marTop w:val="0"/>
      <w:marBottom w:val="0"/>
      <w:divBdr>
        <w:top w:val="none" w:sz="0" w:space="0" w:color="auto"/>
        <w:left w:val="none" w:sz="0" w:space="0" w:color="auto"/>
        <w:bottom w:val="none" w:sz="0" w:space="0" w:color="auto"/>
        <w:right w:val="none" w:sz="0" w:space="0" w:color="auto"/>
      </w:divBdr>
      <w:divsChild>
        <w:div w:id="1408501630">
          <w:marLeft w:val="0"/>
          <w:marRight w:val="0"/>
          <w:marTop w:val="0"/>
          <w:marBottom w:val="0"/>
          <w:divBdr>
            <w:top w:val="none" w:sz="0" w:space="0" w:color="auto"/>
            <w:left w:val="none" w:sz="0" w:space="0" w:color="auto"/>
            <w:bottom w:val="none" w:sz="0" w:space="0" w:color="auto"/>
            <w:right w:val="none" w:sz="0" w:space="0" w:color="auto"/>
          </w:divBdr>
        </w:div>
        <w:div w:id="103119918">
          <w:marLeft w:val="0"/>
          <w:marRight w:val="0"/>
          <w:marTop w:val="0"/>
          <w:marBottom w:val="0"/>
          <w:divBdr>
            <w:top w:val="none" w:sz="0" w:space="0" w:color="auto"/>
            <w:left w:val="none" w:sz="0" w:space="0" w:color="auto"/>
            <w:bottom w:val="none" w:sz="0" w:space="0" w:color="auto"/>
            <w:right w:val="none" w:sz="0" w:space="0" w:color="auto"/>
          </w:divBdr>
        </w:div>
        <w:div w:id="683359982">
          <w:marLeft w:val="0"/>
          <w:marRight w:val="0"/>
          <w:marTop w:val="0"/>
          <w:marBottom w:val="0"/>
          <w:divBdr>
            <w:top w:val="none" w:sz="0" w:space="0" w:color="auto"/>
            <w:left w:val="none" w:sz="0" w:space="0" w:color="auto"/>
            <w:bottom w:val="none" w:sz="0" w:space="0" w:color="auto"/>
            <w:right w:val="none" w:sz="0" w:space="0" w:color="auto"/>
          </w:divBdr>
        </w:div>
        <w:div w:id="1359887571">
          <w:marLeft w:val="0"/>
          <w:marRight w:val="0"/>
          <w:marTop w:val="0"/>
          <w:marBottom w:val="0"/>
          <w:divBdr>
            <w:top w:val="none" w:sz="0" w:space="0" w:color="auto"/>
            <w:left w:val="none" w:sz="0" w:space="0" w:color="auto"/>
            <w:bottom w:val="none" w:sz="0" w:space="0" w:color="auto"/>
            <w:right w:val="none" w:sz="0" w:space="0" w:color="auto"/>
          </w:divBdr>
        </w:div>
        <w:div w:id="2117484401">
          <w:marLeft w:val="0"/>
          <w:marRight w:val="0"/>
          <w:marTop w:val="0"/>
          <w:marBottom w:val="0"/>
          <w:divBdr>
            <w:top w:val="none" w:sz="0" w:space="0" w:color="auto"/>
            <w:left w:val="none" w:sz="0" w:space="0" w:color="auto"/>
            <w:bottom w:val="none" w:sz="0" w:space="0" w:color="auto"/>
            <w:right w:val="none" w:sz="0" w:space="0" w:color="auto"/>
          </w:divBdr>
        </w:div>
        <w:div w:id="1999453619">
          <w:marLeft w:val="0"/>
          <w:marRight w:val="0"/>
          <w:marTop w:val="0"/>
          <w:marBottom w:val="0"/>
          <w:divBdr>
            <w:top w:val="none" w:sz="0" w:space="0" w:color="auto"/>
            <w:left w:val="none" w:sz="0" w:space="0" w:color="auto"/>
            <w:bottom w:val="none" w:sz="0" w:space="0" w:color="auto"/>
            <w:right w:val="none" w:sz="0" w:space="0" w:color="auto"/>
          </w:divBdr>
        </w:div>
        <w:div w:id="652831194">
          <w:marLeft w:val="0"/>
          <w:marRight w:val="0"/>
          <w:marTop w:val="0"/>
          <w:marBottom w:val="0"/>
          <w:divBdr>
            <w:top w:val="none" w:sz="0" w:space="0" w:color="auto"/>
            <w:left w:val="none" w:sz="0" w:space="0" w:color="auto"/>
            <w:bottom w:val="none" w:sz="0" w:space="0" w:color="auto"/>
            <w:right w:val="none" w:sz="0" w:space="0" w:color="auto"/>
          </w:divBdr>
        </w:div>
        <w:div w:id="74596753">
          <w:marLeft w:val="0"/>
          <w:marRight w:val="0"/>
          <w:marTop w:val="0"/>
          <w:marBottom w:val="0"/>
          <w:divBdr>
            <w:top w:val="none" w:sz="0" w:space="0" w:color="auto"/>
            <w:left w:val="none" w:sz="0" w:space="0" w:color="auto"/>
            <w:bottom w:val="none" w:sz="0" w:space="0" w:color="auto"/>
            <w:right w:val="none" w:sz="0" w:space="0" w:color="auto"/>
          </w:divBdr>
        </w:div>
        <w:div w:id="2026248822">
          <w:marLeft w:val="0"/>
          <w:marRight w:val="0"/>
          <w:marTop w:val="0"/>
          <w:marBottom w:val="0"/>
          <w:divBdr>
            <w:top w:val="none" w:sz="0" w:space="0" w:color="auto"/>
            <w:left w:val="none" w:sz="0" w:space="0" w:color="auto"/>
            <w:bottom w:val="none" w:sz="0" w:space="0" w:color="auto"/>
            <w:right w:val="none" w:sz="0" w:space="0" w:color="auto"/>
          </w:divBdr>
        </w:div>
        <w:div w:id="1066999582">
          <w:marLeft w:val="0"/>
          <w:marRight w:val="0"/>
          <w:marTop w:val="0"/>
          <w:marBottom w:val="0"/>
          <w:divBdr>
            <w:top w:val="none" w:sz="0" w:space="0" w:color="auto"/>
            <w:left w:val="none" w:sz="0" w:space="0" w:color="auto"/>
            <w:bottom w:val="none" w:sz="0" w:space="0" w:color="auto"/>
            <w:right w:val="none" w:sz="0" w:space="0" w:color="auto"/>
          </w:divBdr>
        </w:div>
        <w:div w:id="1500775212">
          <w:marLeft w:val="0"/>
          <w:marRight w:val="0"/>
          <w:marTop w:val="0"/>
          <w:marBottom w:val="0"/>
          <w:divBdr>
            <w:top w:val="none" w:sz="0" w:space="0" w:color="auto"/>
            <w:left w:val="none" w:sz="0" w:space="0" w:color="auto"/>
            <w:bottom w:val="none" w:sz="0" w:space="0" w:color="auto"/>
            <w:right w:val="none" w:sz="0" w:space="0" w:color="auto"/>
          </w:divBdr>
        </w:div>
        <w:div w:id="872040412">
          <w:marLeft w:val="0"/>
          <w:marRight w:val="0"/>
          <w:marTop w:val="0"/>
          <w:marBottom w:val="0"/>
          <w:divBdr>
            <w:top w:val="none" w:sz="0" w:space="0" w:color="auto"/>
            <w:left w:val="none" w:sz="0" w:space="0" w:color="auto"/>
            <w:bottom w:val="none" w:sz="0" w:space="0" w:color="auto"/>
            <w:right w:val="none" w:sz="0" w:space="0" w:color="auto"/>
          </w:divBdr>
        </w:div>
        <w:div w:id="1701660622">
          <w:marLeft w:val="0"/>
          <w:marRight w:val="0"/>
          <w:marTop w:val="0"/>
          <w:marBottom w:val="0"/>
          <w:divBdr>
            <w:top w:val="none" w:sz="0" w:space="0" w:color="auto"/>
            <w:left w:val="none" w:sz="0" w:space="0" w:color="auto"/>
            <w:bottom w:val="none" w:sz="0" w:space="0" w:color="auto"/>
            <w:right w:val="none" w:sz="0" w:space="0" w:color="auto"/>
          </w:divBdr>
        </w:div>
        <w:div w:id="1202093721">
          <w:marLeft w:val="0"/>
          <w:marRight w:val="0"/>
          <w:marTop w:val="0"/>
          <w:marBottom w:val="0"/>
          <w:divBdr>
            <w:top w:val="none" w:sz="0" w:space="0" w:color="auto"/>
            <w:left w:val="none" w:sz="0" w:space="0" w:color="auto"/>
            <w:bottom w:val="none" w:sz="0" w:space="0" w:color="auto"/>
            <w:right w:val="none" w:sz="0" w:space="0" w:color="auto"/>
          </w:divBdr>
        </w:div>
        <w:div w:id="1916893077">
          <w:marLeft w:val="0"/>
          <w:marRight w:val="0"/>
          <w:marTop w:val="0"/>
          <w:marBottom w:val="0"/>
          <w:divBdr>
            <w:top w:val="none" w:sz="0" w:space="0" w:color="auto"/>
            <w:left w:val="none" w:sz="0" w:space="0" w:color="auto"/>
            <w:bottom w:val="none" w:sz="0" w:space="0" w:color="auto"/>
            <w:right w:val="none" w:sz="0" w:space="0" w:color="auto"/>
          </w:divBdr>
        </w:div>
        <w:div w:id="1193959751">
          <w:marLeft w:val="0"/>
          <w:marRight w:val="0"/>
          <w:marTop w:val="0"/>
          <w:marBottom w:val="0"/>
          <w:divBdr>
            <w:top w:val="none" w:sz="0" w:space="0" w:color="auto"/>
            <w:left w:val="none" w:sz="0" w:space="0" w:color="auto"/>
            <w:bottom w:val="none" w:sz="0" w:space="0" w:color="auto"/>
            <w:right w:val="none" w:sz="0" w:space="0" w:color="auto"/>
          </w:divBdr>
        </w:div>
        <w:div w:id="2122602937">
          <w:marLeft w:val="0"/>
          <w:marRight w:val="0"/>
          <w:marTop w:val="0"/>
          <w:marBottom w:val="0"/>
          <w:divBdr>
            <w:top w:val="none" w:sz="0" w:space="0" w:color="auto"/>
            <w:left w:val="none" w:sz="0" w:space="0" w:color="auto"/>
            <w:bottom w:val="none" w:sz="0" w:space="0" w:color="auto"/>
            <w:right w:val="none" w:sz="0" w:space="0" w:color="auto"/>
          </w:divBdr>
        </w:div>
        <w:div w:id="991522164">
          <w:marLeft w:val="0"/>
          <w:marRight w:val="0"/>
          <w:marTop w:val="0"/>
          <w:marBottom w:val="0"/>
          <w:divBdr>
            <w:top w:val="none" w:sz="0" w:space="0" w:color="auto"/>
            <w:left w:val="none" w:sz="0" w:space="0" w:color="auto"/>
            <w:bottom w:val="none" w:sz="0" w:space="0" w:color="auto"/>
            <w:right w:val="none" w:sz="0" w:space="0" w:color="auto"/>
          </w:divBdr>
        </w:div>
        <w:div w:id="763651968">
          <w:marLeft w:val="0"/>
          <w:marRight w:val="0"/>
          <w:marTop w:val="0"/>
          <w:marBottom w:val="0"/>
          <w:divBdr>
            <w:top w:val="none" w:sz="0" w:space="0" w:color="auto"/>
            <w:left w:val="none" w:sz="0" w:space="0" w:color="auto"/>
            <w:bottom w:val="none" w:sz="0" w:space="0" w:color="auto"/>
            <w:right w:val="none" w:sz="0" w:space="0" w:color="auto"/>
          </w:divBdr>
        </w:div>
        <w:div w:id="1356688163">
          <w:marLeft w:val="0"/>
          <w:marRight w:val="0"/>
          <w:marTop w:val="0"/>
          <w:marBottom w:val="0"/>
          <w:divBdr>
            <w:top w:val="none" w:sz="0" w:space="0" w:color="auto"/>
            <w:left w:val="none" w:sz="0" w:space="0" w:color="auto"/>
            <w:bottom w:val="none" w:sz="0" w:space="0" w:color="auto"/>
            <w:right w:val="none" w:sz="0" w:space="0" w:color="auto"/>
          </w:divBdr>
        </w:div>
        <w:div w:id="1082995931">
          <w:marLeft w:val="0"/>
          <w:marRight w:val="0"/>
          <w:marTop w:val="0"/>
          <w:marBottom w:val="0"/>
          <w:divBdr>
            <w:top w:val="none" w:sz="0" w:space="0" w:color="auto"/>
            <w:left w:val="none" w:sz="0" w:space="0" w:color="auto"/>
            <w:bottom w:val="none" w:sz="0" w:space="0" w:color="auto"/>
            <w:right w:val="none" w:sz="0" w:space="0" w:color="auto"/>
          </w:divBdr>
        </w:div>
        <w:div w:id="1373924586">
          <w:marLeft w:val="0"/>
          <w:marRight w:val="0"/>
          <w:marTop w:val="0"/>
          <w:marBottom w:val="0"/>
          <w:divBdr>
            <w:top w:val="none" w:sz="0" w:space="0" w:color="auto"/>
            <w:left w:val="none" w:sz="0" w:space="0" w:color="auto"/>
            <w:bottom w:val="none" w:sz="0" w:space="0" w:color="auto"/>
            <w:right w:val="none" w:sz="0" w:space="0" w:color="auto"/>
          </w:divBdr>
        </w:div>
        <w:div w:id="2067755045">
          <w:marLeft w:val="0"/>
          <w:marRight w:val="0"/>
          <w:marTop w:val="0"/>
          <w:marBottom w:val="0"/>
          <w:divBdr>
            <w:top w:val="none" w:sz="0" w:space="0" w:color="auto"/>
            <w:left w:val="none" w:sz="0" w:space="0" w:color="auto"/>
            <w:bottom w:val="none" w:sz="0" w:space="0" w:color="auto"/>
            <w:right w:val="none" w:sz="0" w:space="0" w:color="auto"/>
          </w:divBdr>
        </w:div>
        <w:div w:id="1776054261">
          <w:marLeft w:val="0"/>
          <w:marRight w:val="0"/>
          <w:marTop w:val="0"/>
          <w:marBottom w:val="0"/>
          <w:divBdr>
            <w:top w:val="none" w:sz="0" w:space="0" w:color="auto"/>
            <w:left w:val="none" w:sz="0" w:space="0" w:color="auto"/>
            <w:bottom w:val="none" w:sz="0" w:space="0" w:color="auto"/>
            <w:right w:val="none" w:sz="0" w:space="0" w:color="auto"/>
          </w:divBdr>
        </w:div>
        <w:div w:id="1013920620">
          <w:marLeft w:val="0"/>
          <w:marRight w:val="0"/>
          <w:marTop w:val="0"/>
          <w:marBottom w:val="0"/>
          <w:divBdr>
            <w:top w:val="none" w:sz="0" w:space="0" w:color="auto"/>
            <w:left w:val="none" w:sz="0" w:space="0" w:color="auto"/>
            <w:bottom w:val="none" w:sz="0" w:space="0" w:color="auto"/>
            <w:right w:val="none" w:sz="0" w:space="0" w:color="auto"/>
          </w:divBdr>
        </w:div>
        <w:div w:id="1212308719">
          <w:marLeft w:val="0"/>
          <w:marRight w:val="0"/>
          <w:marTop w:val="0"/>
          <w:marBottom w:val="0"/>
          <w:divBdr>
            <w:top w:val="none" w:sz="0" w:space="0" w:color="auto"/>
            <w:left w:val="none" w:sz="0" w:space="0" w:color="auto"/>
            <w:bottom w:val="none" w:sz="0" w:space="0" w:color="auto"/>
            <w:right w:val="none" w:sz="0" w:space="0" w:color="auto"/>
          </w:divBdr>
        </w:div>
        <w:div w:id="1852453234">
          <w:marLeft w:val="0"/>
          <w:marRight w:val="0"/>
          <w:marTop w:val="0"/>
          <w:marBottom w:val="0"/>
          <w:divBdr>
            <w:top w:val="none" w:sz="0" w:space="0" w:color="auto"/>
            <w:left w:val="none" w:sz="0" w:space="0" w:color="auto"/>
            <w:bottom w:val="none" w:sz="0" w:space="0" w:color="auto"/>
            <w:right w:val="none" w:sz="0" w:space="0" w:color="auto"/>
          </w:divBdr>
        </w:div>
        <w:div w:id="92944667">
          <w:marLeft w:val="0"/>
          <w:marRight w:val="0"/>
          <w:marTop w:val="0"/>
          <w:marBottom w:val="0"/>
          <w:divBdr>
            <w:top w:val="none" w:sz="0" w:space="0" w:color="auto"/>
            <w:left w:val="none" w:sz="0" w:space="0" w:color="auto"/>
            <w:bottom w:val="none" w:sz="0" w:space="0" w:color="auto"/>
            <w:right w:val="none" w:sz="0" w:space="0" w:color="auto"/>
          </w:divBdr>
        </w:div>
        <w:div w:id="1276864506">
          <w:marLeft w:val="0"/>
          <w:marRight w:val="0"/>
          <w:marTop w:val="0"/>
          <w:marBottom w:val="0"/>
          <w:divBdr>
            <w:top w:val="none" w:sz="0" w:space="0" w:color="auto"/>
            <w:left w:val="none" w:sz="0" w:space="0" w:color="auto"/>
            <w:bottom w:val="none" w:sz="0" w:space="0" w:color="auto"/>
            <w:right w:val="none" w:sz="0" w:space="0" w:color="auto"/>
          </w:divBdr>
        </w:div>
        <w:div w:id="354232159">
          <w:marLeft w:val="0"/>
          <w:marRight w:val="0"/>
          <w:marTop w:val="0"/>
          <w:marBottom w:val="0"/>
          <w:divBdr>
            <w:top w:val="none" w:sz="0" w:space="0" w:color="auto"/>
            <w:left w:val="none" w:sz="0" w:space="0" w:color="auto"/>
            <w:bottom w:val="none" w:sz="0" w:space="0" w:color="auto"/>
            <w:right w:val="none" w:sz="0" w:space="0" w:color="auto"/>
          </w:divBdr>
        </w:div>
        <w:div w:id="2023555576">
          <w:marLeft w:val="0"/>
          <w:marRight w:val="0"/>
          <w:marTop w:val="0"/>
          <w:marBottom w:val="0"/>
          <w:divBdr>
            <w:top w:val="none" w:sz="0" w:space="0" w:color="auto"/>
            <w:left w:val="none" w:sz="0" w:space="0" w:color="auto"/>
            <w:bottom w:val="none" w:sz="0" w:space="0" w:color="auto"/>
            <w:right w:val="none" w:sz="0" w:space="0" w:color="auto"/>
          </w:divBdr>
        </w:div>
        <w:div w:id="404769706">
          <w:marLeft w:val="0"/>
          <w:marRight w:val="0"/>
          <w:marTop w:val="0"/>
          <w:marBottom w:val="0"/>
          <w:divBdr>
            <w:top w:val="none" w:sz="0" w:space="0" w:color="auto"/>
            <w:left w:val="none" w:sz="0" w:space="0" w:color="auto"/>
            <w:bottom w:val="none" w:sz="0" w:space="0" w:color="auto"/>
            <w:right w:val="none" w:sz="0" w:space="0" w:color="auto"/>
          </w:divBdr>
        </w:div>
        <w:div w:id="1255943244">
          <w:marLeft w:val="0"/>
          <w:marRight w:val="0"/>
          <w:marTop w:val="0"/>
          <w:marBottom w:val="0"/>
          <w:divBdr>
            <w:top w:val="none" w:sz="0" w:space="0" w:color="auto"/>
            <w:left w:val="none" w:sz="0" w:space="0" w:color="auto"/>
            <w:bottom w:val="none" w:sz="0" w:space="0" w:color="auto"/>
            <w:right w:val="none" w:sz="0" w:space="0" w:color="auto"/>
          </w:divBdr>
        </w:div>
        <w:div w:id="1899586383">
          <w:marLeft w:val="0"/>
          <w:marRight w:val="0"/>
          <w:marTop w:val="0"/>
          <w:marBottom w:val="0"/>
          <w:divBdr>
            <w:top w:val="none" w:sz="0" w:space="0" w:color="auto"/>
            <w:left w:val="none" w:sz="0" w:space="0" w:color="auto"/>
            <w:bottom w:val="none" w:sz="0" w:space="0" w:color="auto"/>
            <w:right w:val="none" w:sz="0" w:space="0" w:color="auto"/>
          </w:divBdr>
        </w:div>
        <w:div w:id="2116557129">
          <w:marLeft w:val="0"/>
          <w:marRight w:val="0"/>
          <w:marTop w:val="0"/>
          <w:marBottom w:val="0"/>
          <w:divBdr>
            <w:top w:val="none" w:sz="0" w:space="0" w:color="auto"/>
            <w:left w:val="none" w:sz="0" w:space="0" w:color="auto"/>
            <w:bottom w:val="none" w:sz="0" w:space="0" w:color="auto"/>
            <w:right w:val="none" w:sz="0" w:space="0" w:color="auto"/>
          </w:divBdr>
        </w:div>
        <w:div w:id="103965904">
          <w:marLeft w:val="0"/>
          <w:marRight w:val="0"/>
          <w:marTop w:val="0"/>
          <w:marBottom w:val="0"/>
          <w:divBdr>
            <w:top w:val="none" w:sz="0" w:space="0" w:color="auto"/>
            <w:left w:val="none" w:sz="0" w:space="0" w:color="auto"/>
            <w:bottom w:val="none" w:sz="0" w:space="0" w:color="auto"/>
            <w:right w:val="none" w:sz="0" w:space="0" w:color="auto"/>
          </w:divBdr>
        </w:div>
        <w:div w:id="897976851">
          <w:marLeft w:val="0"/>
          <w:marRight w:val="0"/>
          <w:marTop w:val="0"/>
          <w:marBottom w:val="0"/>
          <w:divBdr>
            <w:top w:val="none" w:sz="0" w:space="0" w:color="auto"/>
            <w:left w:val="none" w:sz="0" w:space="0" w:color="auto"/>
            <w:bottom w:val="none" w:sz="0" w:space="0" w:color="auto"/>
            <w:right w:val="none" w:sz="0" w:space="0" w:color="auto"/>
          </w:divBdr>
        </w:div>
        <w:div w:id="2091613091">
          <w:marLeft w:val="0"/>
          <w:marRight w:val="0"/>
          <w:marTop w:val="0"/>
          <w:marBottom w:val="0"/>
          <w:divBdr>
            <w:top w:val="none" w:sz="0" w:space="0" w:color="auto"/>
            <w:left w:val="none" w:sz="0" w:space="0" w:color="auto"/>
            <w:bottom w:val="none" w:sz="0" w:space="0" w:color="auto"/>
            <w:right w:val="none" w:sz="0" w:space="0" w:color="auto"/>
          </w:divBdr>
        </w:div>
        <w:div w:id="1326206272">
          <w:marLeft w:val="0"/>
          <w:marRight w:val="0"/>
          <w:marTop w:val="0"/>
          <w:marBottom w:val="0"/>
          <w:divBdr>
            <w:top w:val="none" w:sz="0" w:space="0" w:color="auto"/>
            <w:left w:val="none" w:sz="0" w:space="0" w:color="auto"/>
            <w:bottom w:val="none" w:sz="0" w:space="0" w:color="auto"/>
            <w:right w:val="none" w:sz="0" w:space="0" w:color="auto"/>
          </w:divBdr>
        </w:div>
        <w:div w:id="704793107">
          <w:marLeft w:val="0"/>
          <w:marRight w:val="0"/>
          <w:marTop w:val="0"/>
          <w:marBottom w:val="0"/>
          <w:divBdr>
            <w:top w:val="none" w:sz="0" w:space="0" w:color="auto"/>
            <w:left w:val="none" w:sz="0" w:space="0" w:color="auto"/>
            <w:bottom w:val="none" w:sz="0" w:space="0" w:color="auto"/>
            <w:right w:val="none" w:sz="0" w:space="0" w:color="auto"/>
          </w:divBdr>
        </w:div>
        <w:div w:id="1499426046">
          <w:marLeft w:val="0"/>
          <w:marRight w:val="0"/>
          <w:marTop w:val="0"/>
          <w:marBottom w:val="0"/>
          <w:divBdr>
            <w:top w:val="none" w:sz="0" w:space="0" w:color="auto"/>
            <w:left w:val="none" w:sz="0" w:space="0" w:color="auto"/>
            <w:bottom w:val="none" w:sz="0" w:space="0" w:color="auto"/>
            <w:right w:val="none" w:sz="0" w:space="0" w:color="auto"/>
          </w:divBdr>
        </w:div>
        <w:div w:id="128666025">
          <w:marLeft w:val="0"/>
          <w:marRight w:val="0"/>
          <w:marTop w:val="0"/>
          <w:marBottom w:val="0"/>
          <w:divBdr>
            <w:top w:val="none" w:sz="0" w:space="0" w:color="auto"/>
            <w:left w:val="none" w:sz="0" w:space="0" w:color="auto"/>
            <w:bottom w:val="none" w:sz="0" w:space="0" w:color="auto"/>
            <w:right w:val="none" w:sz="0" w:space="0" w:color="auto"/>
          </w:divBdr>
        </w:div>
        <w:div w:id="8339070">
          <w:marLeft w:val="0"/>
          <w:marRight w:val="0"/>
          <w:marTop w:val="0"/>
          <w:marBottom w:val="0"/>
          <w:divBdr>
            <w:top w:val="none" w:sz="0" w:space="0" w:color="auto"/>
            <w:left w:val="none" w:sz="0" w:space="0" w:color="auto"/>
            <w:bottom w:val="none" w:sz="0" w:space="0" w:color="auto"/>
            <w:right w:val="none" w:sz="0" w:space="0" w:color="auto"/>
          </w:divBdr>
        </w:div>
        <w:div w:id="342785058">
          <w:marLeft w:val="0"/>
          <w:marRight w:val="0"/>
          <w:marTop w:val="0"/>
          <w:marBottom w:val="0"/>
          <w:divBdr>
            <w:top w:val="none" w:sz="0" w:space="0" w:color="auto"/>
            <w:left w:val="none" w:sz="0" w:space="0" w:color="auto"/>
            <w:bottom w:val="none" w:sz="0" w:space="0" w:color="auto"/>
            <w:right w:val="none" w:sz="0" w:space="0" w:color="auto"/>
          </w:divBdr>
        </w:div>
        <w:div w:id="1373579878">
          <w:marLeft w:val="0"/>
          <w:marRight w:val="0"/>
          <w:marTop w:val="0"/>
          <w:marBottom w:val="0"/>
          <w:divBdr>
            <w:top w:val="none" w:sz="0" w:space="0" w:color="auto"/>
            <w:left w:val="none" w:sz="0" w:space="0" w:color="auto"/>
            <w:bottom w:val="none" w:sz="0" w:space="0" w:color="auto"/>
            <w:right w:val="none" w:sz="0" w:space="0" w:color="auto"/>
          </w:divBdr>
        </w:div>
        <w:div w:id="715009864">
          <w:marLeft w:val="0"/>
          <w:marRight w:val="0"/>
          <w:marTop w:val="0"/>
          <w:marBottom w:val="0"/>
          <w:divBdr>
            <w:top w:val="none" w:sz="0" w:space="0" w:color="auto"/>
            <w:left w:val="none" w:sz="0" w:space="0" w:color="auto"/>
            <w:bottom w:val="none" w:sz="0" w:space="0" w:color="auto"/>
            <w:right w:val="none" w:sz="0" w:space="0" w:color="auto"/>
          </w:divBdr>
        </w:div>
        <w:div w:id="2052806480">
          <w:marLeft w:val="0"/>
          <w:marRight w:val="0"/>
          <w:marTop w:val="0"/>
          <w:marBottom w:val="0"/>
          <w:divBdr>
            <w:top w:val="none" w:sz="0" w:space="0" w:color="auto"/>
            <w:left w:val="none" w:sz="0" w:space="0" w:color="auto"/>
            <w:bottom w:val="none" w:sz="0" w:space="0" w:color="auto"/>
            <w:right w:val="none" w:sz="0" w:space="0" w:color="auto"/>
          </w:divBdr>
        </w:div>
        <w:div w:id="1170870601">
          <w:marLeft w:val="0"/>
          <w:marRight w:val="0"/>
          <w:marTop w:val="0"/>
          <w:marBottom w:val="0"/>
          <w:divBdr>
            <w:top w:val="none" w:sz="0" w:space="0" w:color="auto"/>
            <w:left w:val="none" w:sz="0" w:space="0" w:color="auto"/>
            <w:bottom w:val="none" w:sz="0" w:space="0" w:color="auto"/>
            <w:right w:val="none" w:sz="0" w:space="0" w:color="auto"/>
          </w:divBdr>
        </w:div>
        <w:div w:id="431825835">
          <w:marLeft w:val="0"/>
          <w:marRight w:val="0"/>
          <w:marTop w:val="0"/>
          <w:marBottom w:val="0"/>
          <w:divBdr>
            <w:top w:val="none" w:sz="0" w:space="0" w:color="auto"/>
            <w:left w:val="none" w:sz="0" w:space="0" w:color="auto"/>
            <w:bottom w:val="none" w:sz="0" w:space="0" w:color="auto"/>
            <w:right w:val="none" w:sz="0" w:space="0" w:color="auto"/>
          </w:divBdr>
        </w:div>
        <w:div w:id="2019115633">
          <w:marLeft w:val="0"/>
          <w:marRight w:val="0"/>
          <w:marTop w:val="0"/>
          <w:marBottom w:val="0"/>
          <w:divBdr>
            <w:top w:val="none" w:sz="0" w:space="0" w:color="auto"/>
            <w:left w:val="none" w:sz="0" w:space="0" w:color="auto"/>
            <w:bottom w:val="none" w:sz="0" w:space="0" w:color="auto"/>
            <w:right w:val="none" w:sz="0" w:space="0" w:color="auto"/>
          </w:divBdr>
        </w:div>
        <w:div w:id="2053534207">
          <w:marLeft w:val="0"/>
          <w:marRight w:val="0"/>
          <w:marTop w:val="0"/>
          <w:marBottom w:val="0"/>
          <w:divBdr>
            <w:top w:val="none" w:sz="0" w:space="0" w:color="auto"/>
            <w:left w:val="none" w:sz="0" w:space="0" w:color="auto"/>
            <w:bottom w:val="none" w:sz="0" w:space="0" w:color="auto"/>
            <w:right w:val="none" w:sz="0" w:space="0" w:color="auto"/>
          </w:divBdr>
        </w:div>
        <w:div w:id="1775595413">
          <w:marLeft w:val="0"/>
          <w:marRight w:val="0"/>
          <w:marTop w:val="0"/>
          <w:marBottom w:val="0"/>
          <w:divBdr>
            <w:top w:val="none" w:sz="0" w:space="0" w:color="auto"/>
            <w:left w:val="none" w:sz="0" w:space="0" w:color="auto"/>
            <w:bottom w:val="none" w:sz="0" w:space="0" w:color="auto"/>
            <w:right w:val="none" w:sz="0" w:space="0" w:color="auto"/>
          </w:divBdr>
        </w:div>
        <w:div w:id="1613702575">
          <w:marLeft w:val="0"/>
          <w:marRight w:val="0"/>
          <w:marTop w:val="0"/>
          <w:marBottom w:val="0"/>
          <w:divBdr>
            <w:top w:val="none" w:sz="0" w:space="0" w:color="auto"/>
            <w:left w:val="none" w:sz="0" w:space="0" w:color="auto"/>
            <w:bottom w:val="none" w:sz="0" w:space="0" w:color="auto"/>
            <w:right w:val="none" w:sz="0" w:space="0" w:color="auto"/>
          </w:divBdr>
        </w:div>
        <w:div w:id="813255095">
          <w:marLeft w:val="0"/>
          <w:marRight w:val="0"/>
          <w:marTop w:val="0"/>
          <w:marBottom w:val="0"/>
          <w:divBdr>
            <w:top w:val="none" w:sz="0" w:space="0" w:color="auto"/>
            <w:left w:val="none" w:sz="0" w:space="0" w:color="auto"/>
            <w:bottom w:val="none" w:sz="0" w:space="0" w:color="auto"/>
            <w:right w:val="none" w:sz="0" w:space="0" w:color="auto"/>
          </w:divBdr>
        </w:div>
        <w:div w:id="24251984">
          <w:marLeft w:val="0"/>
          <w:marRight w:val="0"/>
          <w:marTop w:val="0"/>
          <w:marBottom w:val="0"/>
          <w:divBdr>
            <w:top w:val="none" w:sz="0" w:space="0" w:color="auto"/>
            <w:left w:val="none" w:sz="0" w:space="0" w:color="auto"/>
            <w:bottom w:val="none" w:sz="0" w:space="0" w:color="auto"/>
            <w:right w:val="none" w:sz="0" w:space="0" w:color="auto"/>
          </w:divBdr>
        </w:div>
        <w:div w:id="660692395">
          <w:marLeft w:val="0"/>
          <w:marRight w:val="0"/>
          <w:marTop w:val="0"/>
          <w:marBottom w:val="0"/>
          <w:divBdr>
            <w:top w:val="none" w:sz="0" w:space="0" w:color="auto"/>
            <w:left w:val="none" w:sz="0" w:space="0" w:color="auto"/>
            <w:bottom w:val="none" w:sz="0" w:space="0" w:color="auto"/>
            <w:right w:val="none" w:sz="0" w:space="0" w:color="auto"/>
          </w:divBdr>
        </w:div>
        <w:div w:id="232012225">
          <w:marLeft w:val="0"/>
          <w:marRight w:val="0"/>
          <w:marTop w:val="0"/>
          <w:marBottom w:val="0"/>
          <w:divBdr>
            <w:top w:val="none" w:sz="0" w:space="0" w:color="auto"/>
            <w:left w:val="none" w:sz="0" w:space="0" w:color="auto"/>
            <w:bottom w:val="none" w:sz="0" w:space="0" w:color="auto"/>
            <w:right w:val="none" w:sz="0" w:space="0" w:color="auto"/>
          </w:divBdr>
        </w:div>
        <w:div w:id="957368573">
          <w:marLeft w:val="0"/>
          <w:marRight w:val="0"/>
          <w:marTop w:val="0"/>
          <w:marBottom w:val="0"/>
          <w:divBdr>
            <w:top w:val="none" w:sz="0" w:space="0" w:color="auto"/>
            <w:left w:val="none" w:sz="0" w:space="0" w:color="auto"/>
            <w:bottom w:val="none" w:sz="0" w:space="0" w:color="auto"/>
            <w:right w:val="none" w:sz="0" w:space="0" w:color="auto"/>
          </w:divBdr>
        </w:div>
        <w:div w:id="878316628">
          <w:marLeft w:val="0"/>
          <w:marRight w:val="0"/>
          <w:marTop w:val="0"/>
          <w:marBottom w:val="0"/>
          <w:divBdr>
            <w:top w:val="none" w:sz="0" w:space="0" w:color="auto"/>
            <w:left w:val="none" w:sz="0" w:space="0" w:color="auto"/>
            <w:bottom w:val="none" w:sz="0" w:space="0" w:color="auto"/>
            <w:right w:val="none" w:sz="0" w:space="0" w:color="auto"/>
          </w:divBdr>
        </w:div>
        <w:div w:id="249244679">
          <w:marLeft w:val="0"/>
          <w:marRight w:val="0"/>
          <w:marTop w:val="0"/>
          <w:marBottom w:val="0"/>
          <w:divBdr>
            <w:top w:val="none" w:sz="0" w:space="0" w:color="auto"/>
            <w:left w:val="none" w:sz="0" w:space="0" w:color="auto"/>
            <w:bottom w:val="none" w:sz="0" w:space="0" w:color="auto"/>
            <w:right w:val="none" w:sz="0" w:space="0" w:color="auto"/>
          </w:divBdr>
        </w:div>
        <w:div w:id="385449895">
          <w:marLeft w:val="0"/>
          <w:marRight w:val="0"/>
          <w:marTop w:val="0"/>
          <w:marBottom w:val="0"/>
          <w:divBdr>
            <w:top w:val="none" w:sz="0" w:space="0" w:color="auto"/>
            <w:left w:val="none" w:sz="0" w:space="0" w:color="auto"/>
            <w:bottom w:val="none" w:sz="0" w:space="0" w:color="auto"/>
            <w:right w:val="none" w:sz="0" w:space="0" w:color="auto"/>
          </w:divBdr>
        </w:div>
        <w:div w:id="1511599377">
          <w:marLeft w:val="0"/>
          <w:marRight w:val="0"/>
          <w:marTop w:val="0"/>
          <w:marBottom w:val="0"/>
          <w:divBdr>
            <w:top w:val="none" w:sz="0" w:space="0" w:color="auto"/>
            <w:left w:val="none" w:sz="0" w:space="0" w:color="auto"/>
            <w:bottom w:val="none" w:sz="0" w:space="0" w:color="auto"/>
            <w:right w:val="none" w:sz="0" w:space="0" w:color="auto"/>
          </w:divBdr>
        </w:div>
        <w:div w:id="1996183039">
          <w:marLeft w:val="0"/>
          <w:marRight w:val="0"/>
          <w:marTop w:val="0"/>
          <w:marBottom w:val="0"/>
          <w:divBdr>
            <w:top w:val="none" w:sz="0" w:space="0" w:color="auto"/>
            <w:left w:val="none" w:sz="0" w:space="0" w:color="auto"/>
            <w:bottom w:val="none" w:sz="0" w:space="0" w:color="auto"/>
            <w:right w:val="none" w:sz="0" w:space="0" w:color="auto"/>
          </w:divBdr>
        </w:div>
        <w:div w:id="1043481255">
          <w:marLeft w:val="0"/>
          <w:marRight w:val="0"/>
          <w:marTop w:val="0"/>
          <w:marBottom w:val="0"/>
          <w:divBdr>
            <w:top w:val="none" w:sz="0" w:space="0" w:color="auto"/>
            <w:left w:val="none" w:sz="0" w:space="0" w:color="auto"/>
            <w:bottom w:val="none" w:sz="0" w:space="0" w:color="auto"/>
            <w:right w:val="none" w:sz="0" w:space="0" w:color="auto"/>
          </w:divBdr>
        </w:div>
        <w:div w:id="456220634">
          <w:marLeft w:val="0"/>
          <w:marRight w:val="0"/>
          <w:marTop w:val="0"/>
          <w:marBottom w:val="0"/>
          <w:divBdr>
            <w:top w:val="none" w:sz="0" w:space="0" w:color="auto"/>
            <w:left w:val="none" w:sz="0" w:space="0" w:color="auto"/>
            <w:bottom w:val="none" w:sz="0" w:space="0" w:color="auto"/>
            <w:right w:val="none" w:sz="0" w:space="0" w:color="auto"/>
          </w:divBdr>
        </w:div>
        <w:div w:id="1082416135">
          <w:marLeft w:val="0"/>
          <w:marRight w:val="0"/>
          <w:marTop w:val="0"/>
          <w:marBottom w:val="0"/>
          <w:divBdr>
            <w:top w:val="none" w:sz="0" w:space="0" w:color="auto"/>
            <w:left w:val="none" w:sz="0" w:space="0" w:color="auto"/>
            <w:bottom w:val="none" w:sz="0" w:space="0" w:color="auto"/>
            <w:right w:val="none" w:sz="0" w:space="0" w:color="auto"/>
          </w:divBdr>
        </w:div>
        <w:div w:id="262345153">
          <w:marLeft w:val="0"/>
          <w:marRight w:val="0"/>
          <w:marTop w:val="0"/>
          <w:marBottom w:val="0"/>
          <w:divBdr>
            <w:top w:val="none" w:sz="0" w:space="0" w:color="auto"/>
            <w:left w:val="none" w:sz="0" w:space="0" w:color="auto"/>
            <w:bottom w:val="none" w:sz="0" w:space="0" w:color="auto"/>
            <w:right w:val="none" w:sz="0" w:space="0" w:color="auto"/>
          </w:divBdr>
        </w:div>
        <w:div w:id="897278631">
          <w:marLeft w:val="0"/>
          <w:marRight w:val="0"/>
          <w:marTop w:val="0"/>
          <w:marBottom w:val="0"/>
          <w:divBdr>
            <w:top w:val="none" w:sz="0" w:space="0" w:color="auto"/>
            <w:left w:val="none" w:sz="0" w:space="0" w:color="auto"/>
            <w:bottom w:val="none" w:sz="0" w:space="0" w:color="auto"/>
            <w:right w:val="none" w:sz="0" w:space="0" w:color="auto"/>
          </w:divBdr>
        </w:div>
        <w:div w:id="1404916617">
          <w:marLeft w:val="0"/>
          <w:marRight w:val="0"/>
          <w:marTop w:val="0"/>
          <w:marBottom w:val="0"/>
          <w:divBdr>
            <w:top w:val="none" w:sz="0" w:space="0" w:color="auto"/>
            <w:left w:val="none" w:sz="0" w:space="0" w:color="auto"/>
            <w:bottom w:val="none" w:sz="0" w:space="0" w:color="auto"/>
            <w:right w:val="none" w:sz="0" w:space="0" w:color="auto"/>
          </w:divBdr>
        </w:div>
        <w:div w:id="1329289165">
          <w:marLeft w:val="0"/>
          <w:marRight w:val="0"/>
          <w:marTop w:val="0"/>
          <w:marBottom w:val="0"/>
          <w:divBdr>
            <w:top w:val="none" w:sz="0" w:space="0" w:color="auto"/>
            <w:left w:val="none" w:sz="0" w:space="0" w:color="auto"/>
            <w:bottom w:val="none" w:sz="0" w:space="0" w:color="auto"/>
            <w:right w:val="none" w:sz="0" w:space="0" w:color="auto"/>
          </w:divBdr>
        </w:div>
        <w:div w:id="1915704398">
          <w:marLeft w:val="0"/>
          <w:marRight w:val="0"/>
          <w:marTop w:val="0"/>
          <w:marBottom w:val="0"/>
          <w:divBdr>
            <w:top w:val="none" w:sz="0" w:space="0" w:color="auto"/>
            <w:left w:val="none" w:sz="0" w:space="0" w:color="auto"/>
            <w:bottom w:val="none" w:sz="0" w:space="0" w:color="auto"/>
            <w:right w:val="none" w:sz="0" w:space="0" w:color="auto"/>
          </w:divBdr>
        </w:div>
        <w:div w:id="1517038354">
          <w:marLeft w:val="0"/>
          <w:marRight w:val="0"/>
          <w:marTop w:val="0"/>
          <w:marBottom w:val="0"/>
          <w:divBdr>
            <w:top w:val="none" w:sz="0" w:space="0" w:color="auto"/>
            <w:left w:val="none" w:sz="0" w:space="0" w:color="auto"/>
            <w:bottom w:val="none" w:sz="0" w:space="0" w:color="auto"/>
            <w:right w:val="none" w:sz="0" w:space="0" w:color="auto"/>
          </w:divBdr>
        </w:div>
        <w:div w:id="1867597312">
          <w:marLeft w:val="0"/>
          <w:marRight w:val="0"/>
          <w:marTop w:val="0"/>
          <w:marBottom w:val="0"/>
          <w:divBdr>
            <w:top w:val="none" w:sz="0" w:space="0" w:color="auto"/>
            <w:left w:val="none" w:sz="0" w:space="0" w:color="auto"/>
            <w:bottom w:val="none" w:sz="0" w:space="0" w:color="auto"/>
            <w:right w:val="none" w:sz="0" w:space="0" w:color="auto"/>
          </w:divBdr>
        </w:div>
        <w:div w:id="2141680100">
          <w:marLeft w:val="0"/>
          <w:marRight w:val="0"/>
          <w:marTop w:val="0"/>
          <w:marBottom w:val="0"/>
          <w:divBdr>
            <w:top w:val="none" w:sz="0" w:space="0" w:color="auto"/>
            <w:left w:val="none" w:sz="0" w:space="0" w:color="auto"/>
            <w:bottom w:val="none" w:sz="0" w:space="0" w:color="auto"/>
            <w:right w:val="none" w:sz="0" w:space="0" w:color="auto"/>
          </w:divBdr>
        </w:div>
        <w:div w:id="1599753053">
          <w:marLeft w:val="0"/>
          <w:marRight w:val="0"/>
          <w:marTop w:val="0"/>
          <w:marBottom w:val="0"/>
          <w:divBdr>
            <w:top w:val="none" w:sz="0" w:space="0" w:color="auto"/>
            <w:left w:val="none" w:sz="0" w:space="0" w:color="auto"/>
            <w:bottom w:val="none" w:sz="0" w:space="0" w:color="auto"/>
            <w:right w:val="none" w:sz="0" w:space="0" w:color="auto"/>
          </w:divBdr>
        </w:div>
        <w:div w:id="1124694176">
          <w:marLeft w:val="0"/>
          <w:marRight w:val="0"/>
          <w:marTop w:val="0"/>
          <w:marBottom w:val="0"/>
          <w:divBdr>
            <w:top w:val="none" w:sz="0" w:space="0" w:color="auto"/>
            <w:left w:val="none" w:sz="0" w:space="0" w:color="auto"/>
            <w:bottom w:val="none" w:sz="0" w:space="0" w:color="auto"/>
            <w:right w:val="none" w:sz="0" w:space="0" w:color="auto"/>
          </w:divBdr>
        </w:div>
        <w:div w:id="859201519">
          <w:marLeft w:val="0"/>
          <w:marRight w:val="0"/>
          <w:marTop w:val="0"/>
          <w:marBottom w:val="0"/>
          <w:divBdr>
            <w:top w:val="none" w:sz="0" w:space="0" w:color="auto"/>
            <w:left w:val="none" w:sz="0" w:space="0" w:color="auto"/>
            <w:bottom w:val="none" w:sz="0" w:space="0" w:color="auto"/>
            <w:right w:val="none" w:sz="0" w:space="0" w:color="auto"/>
          </w:divBdr>
        </w:div>
        <w:div w:id="101070776">
          <w:marLeft w:val="0"/>
          <w:marRight w:val="0"/>
          <w:marTop w:val="0"/>
          <w:marBottom w:val="0"/>
          <w:divBdr>
            <w:top w:val="none" w:sz="0" w:space="0" w:color="auto"/>
            <w:left w:val="none" w:sz="0" w:space="0" w:color="auto"/>
            <w:bottom w:val="none" w:sz="0" w:space="0" w:color="auto"/>
            <w:right w:val="none" w:sz="0" w:space="0" w:color="auto"/>
          </w:divBdr>
        </w:div>
        <w:div w:id="755368964">
          <w:marLeft w:val="0"/>
          <w:marRight w:val="0"/>
          <w:marTop w:val="0"/>
          <w:marBottom w:val="0"/>
          <w:divBdr>
            <w:top w:val="none" w:sz="0" w:space="0" w:color="auto"/>
            <w:left w:val="none" w:sz="0" w:space="0" w:color="auto"/>
            <w:bottom w:val="none" w:sz="0" w:space="0" w:color="auto"/>
            <w:right w:val="none" w:sz="0" w:space="0" w:color="auto"/>
          </w:divBdr>
        </w:div>
        <w:div w:id="184565554">
          <w:marLeft w:val="0"/>
          <w:marRight w:val="0"/>
          <w:marTop w:val="0"/>
          <w:marBottom w:val="0"/>
          <w:divBdr>
            <w:top w:val="none" w:sz="0" w:space="0" w:color="auto"/>
            <w:left w:val="none" w:sz="0" w:space="0" w:color="auto"/>
            <w:bottom w:val="none" w:sz="0" w:space="0" w:color="auto"/>
            <w:right w:val="none" w:sz="0" w:space="0" w:color="auto"/>
          </w:divBdr>
        </w:div>
        <w:div w:id="2089887995">
          <w:marLeft w:val="0"/>
          <w:marRight w:val="0"/>
          <w:marTop w:val="0"/>
          <w:marBottom w:val="0"/>
          <w:divBdr>
            <w:top w:val="none" w:sz="0" w:space="0" w:color="auto"/>
            <w:left w:val="none" w:sz="0" w:space="0" w:color="auto"/>
            <w:bottom w:val="none" w:sz="0" w:space="0" w:color="auto"/>
            <w:right w:val="none" w:sz="0" w:space="0" w:color="auto"/>
          </w:divBdr>
        </w:div>
        <w:div w:id="718868407">
          <w:marLeft w:val="0"/>
          <w:marRight w:val="0"/>
          <w:marTop w:val="0"/>
          <w:marBottom w:val="0"/>
          <w:divBdr>
            <w:top w:val="none" w:sz="0" w:space="0" w:color="auto"/>
            <w:left w:val="none" w:sz="0" w:space="0" w:color="auto"/>
            <w:bottom w:val="none" w:sz="0" w:space="0" w:color="auto"/>
            <w:right w:val="none" w:sz="0" w:space="0" w:color="auto"/>
          </w:divBdr>
        </w:div>
        <w:div w:id="1653635046">
          <w:marLeft w:val="0"/>
          <w:marRight w:val="0"/>
          <w:marTop w:val="0"/>
          <w:marBottom w:val="0"/>
          <w:divBdr>
            <w:top w:val="none" w:sz="0" w:space="0" w:color="auto"/>
            <w:left w:val="none" w:sz="0" w:space="0" w:color="auto"/>
            <w:bottom w:val="none" w:sz="0" w:space="0" w:color="auto"/>
            <w:right w:val="none" w:sz="0" w:space="0" w:color="auto"/>
          </w:divBdr>
        </w:div>
      </w:divsChild>
    </w:div>
    <w:div w:id="1467628412">
      <w:bodyDiv w:val="1"/>
      <w:marLeft w:val="0"/>
      <w:marRight w:val="0"/>
      <w:marTop w:val="0"/>
      <w:marBottom w:val="0"/>
      <w:divBdr>
        <w:top w:val="none" w:sz="0" w:space="0" w:color="auto"/>
        <w:left w:val="none" w:sz="0" w:space="0" w:color="auto"/>
        <w:bottom w:val="none" w:sz="0" w:space="0" w:color="auto"/>
        <w:right w:val="none" w:sz="0" w:space="0" w:color="auto"/>
      </w:divBdr>
      <w:divsChild>
        <w:div w:id="1303998328">
          <w:marLeft w:val="0"/>
          <w:marRight w:val="0"/>
          <w:marTop w:val="0"/>
          <w:marBottom w:val="0"/>
          <w:divBdr>
            <w:top w:val="none" w:sz="0" w:space="0" w:color="auto"/>
            <w:left w:val="none" w:sz="0" w:space="0" w:color="auto"/>
            <w:bottom w:val="none" w:sz="0" w:space="0" w:color="auto"/>
            <w:right w:val="none" w:sz="0" w:space="0" w:color="auto"/>
          </w:divBdr>
        </w:div>
        <w:div w:id="1989288592">
          <w:marLeft w:val="0"/>
          <w:marRight w:val="0"/>
          <w:marTop w:val="0"/>
          <w:marBottom w:val="0"/>
          <w:divBdr>
            <w:top w:val="none" w:sz="0" w:space="0" w:color="auto"/>
            <w:left w:val="none" w:sz="0" w:space="0" w:color="auto"/>
            <w:bottom w:val="none" w:sz="0" w:space="0" w:color="auto"/>
            <w:right w:val="none" w:sz="0" w:space="0" w:color="auto"/>
          </w:divBdr>
        </w:div>
        <w:div w:id="1843812846">
          <w:marLeft w:val="0"/>
          <w:marRight w:val="0"/>
          <w:marTop w:val="0"/>
          <w:marBottom w:val="0"/>
          <w:divBdr>
            <w:top w:val="none" w:sz="0" w:space="0" w:color="auto"/>
            <w:left w:val="none" w:sz="0" w:space="0" w:color="auto"/>
            <w:bottom w:val="none" w:sz="0" w:space="0" w:color="auto"/>
            <w:right w:val="none" w:sz="0" w:space="0" w:color="auto"/>
          </w:divBdr>
        </w:div>
        <w:div w:id="606810852">
          <w:marLeft w:val="0"/>
          <w:marRight w:val="0"/>
          <w:marTop w:val="0"/>
          <w:marBottom w:val="0"/>
          <w:divBdr>
            <w:top w:val="none" w:sz="0" w:space="0" w:color="auto"/>
            <w:left w:val="none" w:sz="0" w:space="0" w:color="auto"/>
            <w:bottom w:val="none" w:sz="0" w:space="0" w:color="auto"/>
            <w:right w:val="none" w:sz="0" w:space="0" w:color="auto"/>
          </w:divBdr>
        </w:div>
        <w:div w:id="1962413626">
          <w:marLeft w:val="0"/>
          <w:marRight w:val="0"/>
          <w:marTop w:val="0"/>
          <w:marBottom w:val="0"/>
          <w:divBdr>
            <w:top w:val="none" w:sz="0" w:space="0" w:color="auto"/>
            <w:left w:val="none" w:sz="0" w:space="0" w:color="auto"/>
            <w:bottom w:val="none" w:sz="0" w:space="0" w:color="auto"/>
            <w:right w:val="none" w:sz="0" w:space="0" w:color="auto"/>
          </w:divBdr>
        </w:div>
      </w:divsChild>
    </w:div>
    <w:div w:id="1580943663">
      <w:marLeft w:val="0"/>
      <w:marRight w:val="0"/>
      <w:marTop w:val="0"/>
      <w:marBottom w:val="0"/>
      <w:divBdr>
        <w:top w:val="none" w:sz="0" w:space="0" w:color="auto"/>
        <w:left w:val="none" w:sz="0" w:space="0" w:color="auto"/>
        <w:bottom w:val="none" w:sz="0" w:space="0" w:color="auto"/>
        <w:right w:val="none" w:sz="0" w:space="0" w:color="auto"/>
      </w:divBdr>
    </w:div>
    <w:div w:id="1580943664">
      <w:marLeft w:val="0"/>
      <w:marRight w:val="0"/>
      <w:marTop w:val="0"/>
      <w:marBottom w:val="0"/>
      <w:divBdr>
        <w:top w:val="none" w:sz="0" w:space="0" w:color="auto"/>
        <w:left w:val="none" w:sz="0" w:space="0" w:color="auto"/>
        <w:bottom w:val="none" w:sz="0" w:space="0" w:color="auto"/>
        <w:right w:val="none" w:sz="0" w:space="0" w:color="auto"/>
      </w:divBdr>
    </w:div>
    <w:div w:id="1580943665">
      <w:marLeft w:val="0"/>
      <w:marRight w:val="0"/>
      <w:marTop w:val="0"/>
      <w:marBottom w:val="0"/>
      <w:divBdr>
        <w:top w:val="none" w:sz="0" w:space="0" w:color="auto"/>
        <w:left w:val="none" w:sz="0" w:space="0" w:color="auto"/>
        <w:bottom w:val="none" w:sz="0" w:space="0" w:color="auto"/>
        <w:right w:val="none" w:sz="0" w:space="0" w:color="auto"/>
      </w:divBdr>
    </w:div>
    <w:div w:id="1580943666">
      <w:marLeft w:val="0"/>
      <w:marRight w:val="0"/>
      <w:marTop w:val="0"/>
      <w:marBottom w:val="0"/>
      <w:divBdr>
        <w:top w:val="none" w:sz="0" w:space="0" w:color="auto"/>
        <w:left w:val="none" w:sz="0" w:space="0" w:color="auto"/>
        <w:bottom w:val="none" w:sz="0" w:space="0" w:color="auto"/>
        <w:right w:val="none" w:sz="0" w:space="0" w:color="auto"/>
      </w:divBdr>
    </w:div>
    <w:div w:id="1580943667">
      <w:marLeft w:val="0"/>
      <w:marRight w:val="0"/>
      <w:marTop w:val="0"/>
      <w:marBottom w:val="0"/>
      <w:divBdr>
        <w:top w:val="none" w:sz="0" w:space="0" w:color="auto"/>
        <w:left w:val="none" w:sz="0" w:space="0" w:color="auto"/>
        <w:bottom w:val="none" w:sz="0" w:space="0" w:color="auto"/>
        <w:right w:val="none" w:sz="0" w:space="0" w:color="auto"/>
      </w:divBdr>
    </w:div>
    <w:div w:id="1658995386">
      <w:bodyDiv w:val="1"/>
      <w:marLeft w:val="0"/>
      <w:marRight w:val="0"/>
      <w:marTop w:val="0"/>
      <w:marBottom w:val="0"/>
      <w:divBdr>
        <w:top w:val="none" w:sz="0" w:space="0" w:color="auto"/>
        <w:left w:val="none" w:sz="0" w:space="0" w:color="auto"/>
        <w:bottom w:val="none" w:sz="0" w:space="0" w:color="auto"/>
        <w:right w:val="none" w:sz="0" w:space="0" w:color="auto"/>
      </w:divBdr>
      <w:divsChild>
        <w:div w:id="197860081">
          <w:marLeft w:val="0"/>
          <w:marRight w:val="0"/>
          <w:marTop w:val="0"/>
          <w:marBottom w:val="0"/>
          <w:divBdr>
            <w:top w:val="none" w:sz="0" w:space="0" w:color="auto"/>
            <w:left w:val="none" w:sz="0" w:space="0" w:color="auto"/>
            <w:bottom w:val="none" w:sz="0" w:space="0" w:color="auto"/>
            <w:right w:val="none" w:sz="0" w:space="0" w:color="auto"/>
          </w:divBdr>
        </w:div>
        <w:div w:id="741607287">
          <w:marLeft w:val="0"/>
          <w:marRight w:val="0"/>
          <w:marTop w:val="0"/>
          <w:marBottom w:val="0"/>
          <w:divBdr>
            <w:top w:val="none" w:sz="0" w:space="0" w:color="auto"/>
            <w:left w:val="none" w:sz="0" w:space="0" w:color="auto"/>
            <w:bottom w:val="none" w:sz="0" w:space="0" w:color="auto"/>
            <w:right w:val="none" w:sz="0" w:space="0" w:color="auto"/>
          </w:divBdr>
        </w:div>
        <w:div w:id="1515878179">
          <w:marLeft w:val="0"/>
          <w:marRight w:val="0"/>
          <w:marTop w:val="0"/>
          <w:marBottom w:val="0"/>
          <w:divBdr>
            <w:top w:val="none" w:sz="0" w:space="0" w:color="auto"/>
            <w:left w:val="none" w:sz="0" w:space="0" w:color="auto"/>
            <w:bottom w:val="none" w:sz="0" w:space="0" w:color="auto"/>
            <w:right w:val="none" w:sz="0" w:space="0" w:color="auto"/>
          </w:divBdr>
        </w:div>
        <w:div w:id="564725493">
          <w:marLeft w:val="0"/>
          <w:marRight w:val="0"/>
          <w:marTop w:val="0"/>
          <w:marBottom w:val="0"/>
          <w:divBdr>
            <w:top w:val="none" w:sz="0" w:space="0" w:color="auto"/>
            <w:left w:val="none" w:sz="0" w:space="0" w:color="auto"/>
            <w:bottom w:val="none" w:sz="0" w:space="0" w:color="auto"/>
            <w:right w:val="none" w:sz="0" w:space="0" w:color="auto"/>
          </w:divBdr>
        </w:div>
      </w:divsChild>
    </w:div>
    <w:div w:id="2042898730">
      <w:bodyDiv w:val="1"/>
      <w:marLeft w:val="0"/>
      <w:marRight w:val="0"/>
      <w:marTop w:val="0"/>
      <w:marBottom w:val="0"/>
      <w:divBdr>
        <w:top w:val="none" w:sz="0" w:space="0" w:color="auto"/>
        <w:left w:val="none" w:sz="0" w:space="0" w:color="auto"/>
        <w:bottom w:val="none" w:sz="0" w:space="0" w:color="auto"/>
        <w:right w:val="none" w:sz="0" w:space="0" w:color="auto"/>
      </w:divBdr>
      <w:divsChild>
        <w:div w:id="551043093">
          <w:marLeft w:val="0"/>
          <w:marRight w:val="0"/>
          <w:marTop w:val="0"/>
          <w:marBottom w:val="0"/>
          <w:divBdr>
            <w:top w:val="none" w:sz="0" w:space="0" w:color="auto"/>
            <w:left w:val="none" w:sz="0" w:space="0" w:color="auto"/>
            <w:bottom w:val="none" w:sz="0" w:space="0" w:color="auto"/>
            <w:right w:val="none" w:sz="0" w:space="0" w:color="auto"/>
          </w:divBdr>
        </w:div>
        <w:div w:id="2113429841">
          <w:marLeft w:val="0"/>
          <w:marRight w:val="0"/>
          <w:marTop w:val="0"/>
          <w:marBottom w:val="0"/>
          <w:divBdr>
            <w:top w:val="none" w:sz="0" w:space="0" w:color="auto"/>
            <w:left w:val="none" w:sz="0" w:space="0" w:color="auto"/>
            <w:bottom w:val="none" w:sz="0" w:space="0" w:color="auto"/>
            <w:right w:val="none" w:sz="0" w:space="0" w:color="auto"/>
          </w:divBdr>
        </w:div>
        <w:div w:id="2008052765">
          <w:marLeft w:val="0"/>
          <w:marRight w:val="0"/>
          <w:marTop w:val="0"/>
          <w:marBottom w:val="0"/>
          <w:divBdr>
            <w:top w:val="none" w:sz="0" w:space="0" w:color="auto"/>
            <w:left w:val="none" w:sz="0" w:space="0" w:color="auto"/>
            <w:bottom w:val="none" w:sz="0" w:space="0" w:color="auto"/>
            <w:right w:val="none" w:sz="0" w:space="0" w:color="auto"/>
          </w:divBdr>
        </w:div>
        <w:div w:id="738864452">
          <w:marLeft w:val="0"/>
          <w:marRight w:val="0"/>
          <w:marTop w:val="0"/>
          <w:marBottom w:val="0"/>
          <w:divBdr>
            <w:top w:val="none" w:sz="0" w:space="0" w:color="auto"/>
            <w:left w:val="none" w:sz="0" w:space="0" w:color="auto"/>
            <w:bottom w:val="none" w:sz="0" w:space="0" w:color="auto"/>
            <w:right w:val="none" w:sz="0" w:space="0" w:color="auto"/>
          </w:divBdr>
        </w:div>
        <w:div w:id="800459970">
          <w:marLeft w:val="0"/>
          <w:marRight w:val="0"/>
          <w:marTop w:val="0"/>
          <w:marBottom w:val="0"/>
          <w:divBdr>
            <w:top w:val="none" w:sz="0" w:space="0" w:color="auto"/>
            <w:left w:val="none" w:sz="0" w:space="0" w:color="auto"/>
            <w:bottom w:val="none" w:sz="0" w:space="0" w:color="auto"/>
            <w:right w:val="none" w:sz="0" w:space="0" w:color="auto"/>
          </w:divBdr>
        </w:div>
        <w:div w:id="1801917135">
          <w:marLeft w:val="0"/>
          <w:marRight w:val="0"/>
          <w:marTop w:val="0"/>
          <w:marBottom w:val="0"/>
          <w:divBdr>
            <w:top w:val="none" w:sz="0" w:space="0" w:color="auto"/>
            <w:left w:val="none" w:sz="0" w:space="0" w:color="auto"/>
            <w:bottom w:val="none" w:sz="0" w:space="0" w:color="auto"/>
            <w:right w:val="none" w:sz="0" w:space="0" w:color="auto"/>
          </w:divBdr>
        </w:div>
        <w:div w:id="38957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72FD-8408-46C6-A842-3D1ABF9B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7209</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SRS Fees and Charges Guidelines</vt:lpstr>
    </vt:vector>
  </TitlesOfParts>
  <Company>SRS</Company>
  <LinksUpToDate>false</LinksUpToDate>
  <CharactersWithSpaces>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SRS Fees and Charges Guidelines</dc:title>
  <dc:subject/>
  <dc:creator>ACT Government</dc:creator>
  <cp:keywords>2</cp:keywords>
  <dc:description/>
  <cp:lastModifiedBy>PCODCS</cp:lastModifiedBy>
  <cp:revision>4</cp:revision>
  <cp:lastPrinted>2019-02-28T06:15:00Z</cp:lastPrinted>
  <dcterms:created xsi:type="dcterms:W3CDTF">2019-03-05T22:12:00Z</dcterms:created>
  <dcterms:modified xsi:type="dcterms:W3CDTF">2019-03-05T22:12:00Z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910879</vt:lpwstr>
  </property>
  <property fmtid="{D5CDD505-2E9C-101B-9397-08002B2CF9AE}" pid="3" name="CHECKEDOUTFROMJMS">
    <vt:lpwstr/>
  </property>
  <property fmtid="{D5CDD505-2E9C-101B-9397-08002B2CF9AE}" pid="4" name="JMSREQUIREDCHECKIN">
    <vt:lpwstr/>
  </property>
</Properties>
</file>