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F0D54" w:rsidRPr="00C23D3D" w:rsidRDefault="00AF0D54" w:rsidP="000055AE">
      <w:pPr>
        <w:spacing w:after="0"/>
        <w:rPr>
          <w:rFonts w:asciiTheme="minorHAnsi" w:hAnsiTheme="minorHAnsi"/>
          <w:b/>
          <w:bCs/>
          <w:szCs w:val="24"/>
        </w:rPr>
      </w:pPr>
      <w:bookmarkStart w:id="0" w:name="_GoBack"/>
      <w:bookmarkEnd w:id="0"/>
    </w:p>
    <w:p w:rsidR="00AF0D54" w:rsidRPr="00C23D3D" w:rsidRDefault="00AF0D54" w:rsidP="000055AE">
      <w:pPr>
        <w:autoSpaceDE w:val="0"/>
        <w:autoSpaceDN w:val="0"/>
        <w:adjustRightInd w:val="0"/>
        <w:spacing w:before="240" w:after="120"/>
        <w:jc w:val="center"/>
        <w:rPr>
          <w:rFonts w:asciiTheme="minorHAnsi" w:hAnsiTheme="minorHAnsi"/>
          <w:b/>
          <w:bCs/>
          <w:szCs w:val="24"/>
        </w:rPr>
      </w:pPr>
    </w:p>
    <w:p w:rsidR="0030585F" w:rsidRPr="00C23D3D" w:rsidRDefault="0030585F" w:rsidP="000055AE">
      <w:pPr>
        <w:autoSpaceDE w:val="0"/>
        <w:autoSpaceDN w:val="0"/>
        <w:adjustRightInd w:val="0"/>
        <w:spacing w:before="240" w:after="120"/>
        <w:jc w:val="center"/>
        <w:rPr>
          <w:rFonts w:asciiTheme="minorHAnsi" w:hAnsiTheme="minorHAnsi"/>
          <w:b/>
          <w:bCs/>
          <w:szCs w:val="24"/>
        </w:rPr>
      </w:pPr>
      <w:r w:rsidRPr="00C23D3D">
        <w:rPr>
          <w:rFonts w:asciiTheme="minorHAnsi" w:hAnsiTheme="minorHAnsi"/>
          <w:b/>
          <w:bCs/>
          <w:szCs w:val="24"/>
        </w:rPr>
        <w:t>201</w:t>
      </w:r>
      <w:r w:rsidR="00F40626" w:rsidRPr="00C23D3D">
        <w:rPr>
          <w:rFonts w:asciiTheme="minorHAnsi" w:hAnsiTheme="minorHAnsi"/>
          <w:b/>
          <w:bCs/>
          <w:szCs w:val="24"/>
        </w:rPr>
        <w:t>9</w:t>
      </w:r>
    </w:p>
    <w:p w:rsidR="0030585F" w:rsidRPr="00C23D3D" w:rsidRDefault="0030585F" w:rsidP="000055AE">
      <w:pPr>
        <w:autoSpaceDE w:val="0"/>
        <w:autoSpaceDN w:val="0"/>
        <w:adjustRightInd w:val="0"/>
        <w:spacing w:before="240" w:after="120"/>
        <w:jc w:val="center"/>
        <w:rPr>
          <w:rFonts w:asciiTheme="minorHAnsi" w:hAnsiTheme="minorHAnsi"/>
          <w:b/>
          <w:bCs/>
          <w:szCs w:val="24"/>
        </w:rPr>
      </w:pPr>
    </w:p>
    <w:p w:rsidR="0030585F" w:rsidRPr="00C23D3D" w:rsidRDefault="0030585F" w:rsidP="000055AE">
      <w:pPr>
        <w:autoSpaceDE w:val="0"/>
        <w:autoSpaceDN w:val="0"/>
        <w:adjustRightInd w:val="0"/>
        <w:spacing w:before="240" w:after="120"/>
        <w:rPr>
          <w:rFonts w:asciiTheme="minorHAnsi" w:hAnsiTheme="minorHAnsi"/>
          <w:b/>
          <w:bCs/>
          <w:szCs w:val="24"/>
        </w:rPr>
      </w:pPr>
    </w:p>
    <w:p w:rsidR="00EE32FF" w:rsidRPr="00C23D3D" w:rsidRDefault="00EE32FF" w:rsidP="000055AE">
      <w:pPr>
        <w:autoSpaceDE w:val="0"/>
        <w:autoSpaceDN w:val="0"/>
        <w:adjustRightInd w:val="0"/>
        <w:spacing w:before="240" w:after="120"/>
        <w:rPr>
          <w:rFonts w:asciiTheme="minorHAnsi" w:hAnsiTheme="minorHAnsi"/>
          <w:b/>
          <w:bCs/>
          <w:szCs w:val="24"/>
        </w:rPr>
      </w:pPr>
    </w:p>
    <w:p w:rsidR="0030585F" w:rsidRPr="00C23D3D" w:rsidRDefault="003D2223" w:rsidP="000055AE">
      <w:pPr>
        <w:autoSpaceDE w:val="0"/>
        <w:autoSpaceDN w:val="0"/>
        <w:adjustRightInd w:val="0"/>
        <w:spacing w:before="240" w:after="120"/>
        <w:jc w:val="center"/>
        <w:rPr>
          <w:rFonts w:asciiTheme="minorHAnsi" w:hAnsiTheme="minorHAnsi"/>
          <w:b/>
          <w:bCs/>
          <w:szCs w:val="24"/>
        </w:rPr>
      </w:pPr>
      <w:r w:rsidRPr="00C23D3D">
        <w:rPr>
          <w:rFonts w:asciiTheme="minorHAnsi" w:hAnsiTheme="minorHAnsi"/>
          <w:b/>
          <w:bCs/>
          <w:szCs w:val="24"/>
        </w:rPr>
        <w:t xml:space="preserve">THE </w:t>
      </w:r>
      <w:r w:rsidR="0030585F" w:rsidRPr="00C23D3D">
        <w:rPr>
          <w:rFonts w:asciiTheme="minorHAnsi" w:hAnsiTheme="minorHAnsi"/>
          <w:b/>
          <w:bCs/>
          <w:szCs w:val="24"/>
        </w:rPr>
        <w:t>LEGISLATIVE ASSEMBLY FOR THE</w:t>
      </w:r>
    </w:p>
    <w:p w:rsidR="0030585F" w:rsidRPr="00C23D3D" w:rsidRDefault="0030585F" w:rsidP="000055AE">
      <w:pPr>
        <w:autoSpaceDE w:val="0"/>
        <w:autoSpaceDN w:val="0"/>
        <w:adjustRightInd w:val="0"/>
        <w:spacing w:before="240" w:after="120"/>
        <w:jc w:val="center"/>
        <w:rPr>
          <w:rFonts w:asciiTheme="minorHAnsi" w:hAnsiTheme="minorHAnsi"/>
          <w:b/>
          <w:bCs/>
          <w:szCs w:val="24"/>
        </w:rPr>
      </w:pPr>
      <w:r w:rsidRPr="00C23D3D">
        <w:rPr>
          <w:rFonts w:asciiTheme="minorHAnsi" w:hAnsiTheme="minorHAnsi"/>
          <w:b/>
          <w:bCs/>
          <w:szCs w:val="24"/>
        </w:rPr>
        <w:t>AUSTRALIAN CAPITAL TERRITORY</w:t>
      </w:r>
    </w:p>
    <w:p w:rsidR="0030585F" w:rsidRPr="00C23D3D" w:rsidRDefault="0030585F" w:rsidP="000055AE">
      <w:pPr>
        <w:autoSpaceDE w:val="0"/>
        <w:autoSpaceDN w:val="0"/>
        <w:adjustRightInd w:val="0"/>
        <w:spacing w:before="240" w:after="120"/>
        <w:rPr>
          <w:rFonts w:asciiTheme="minorHAnsi" w:hAnsiTheme="minorHAnsi"/>
          <w:b/>
          <w:bCs/>
          <w:szCs w:val="24"/>
        </w:rPr>
      </w:pPr>
    </w:p>
    <w:p w:rsidR="0030585F" w:rsidRPr="00C23D3D" w:rsidRDefault="0030585F" w:rsidP="000055AE">
      <w:pPr>
        <w:autoSpaceDE w:val="0"/>
        <w:autoSpaceDN w:val="0"/>
        <w:adjustRightInd w:val="0"/>
        <w:spacing w:before="240" w:after="120"/>
        <w:jc w:val="center"/>
        <w:rPr>
          <w:rFonts w:asciiTheme="minorHAnsi" w:hAnsiTheme="minorHAnsi"/>
          <w:b/>
          <w:bCs/>
          <w:szCs w:val="24"/>
        </w:rPr>
      </w:pPr>
    </w:p>
    <w:p w:rsidR="003D2223" w:rsidRPr="00C23D3D" w:rsidRDefault="003D2223" w:rsidP="000055AE">
      <w:pPr>
        <w:spacing w:after="0"/>
        <w:jc w:val="center"/>
        <w:rPr>
          <w:rFonts w:asciiTheme="minorHAnsi" w:hAnsiTheme="minorHAnsi"/>
          <w:b/>
          <w:bCs/>
          <w:szCs w:val="24"/>
        </w:rPr>
      </w:pPr>
      <w:r w:rsidRPr="00C23D3D">
        <w:rPr>
          <w:rFonts w:asciiTheme="minorHAnsi" w:hAnsiTheme="minorHAnsi"/>
          <w:b/>
          <w:bCs/>
          <w:szCs w:val="24"/>
        </w:rPr>
        <w:t>GAMING LEGISLATION AMENDMENT BILL 2019</w:t>
      </w:r>
    </w:p>
    <w:p w:rsidR="0030585F" w:rsidRPr="00C23D3D" w:rsidRDefault="0030585F" w:rsidP="000055AE">
      <w:pPr>
        <w:autoSpaceDE w:val="0"/>
        <w:autoSpaceDN w:val="0"/>
        <w:adjustRightInd w:val="0"/>
        <w:spacing w:before="240" w:after="120"/>
        <w:rPr>
          <w:rFonts w:asciiTheme="minorHAnsi" w:hAnsiTheme="minorHAnsi"/>
          <w:b/>
          <w:bCs/>
          <w:szCs w:val="24"/>
        </w:rPr>
      </w:pPr>
    </w:p>
    <w:p w:rsidR="00EE32FF" w:rsidRPr="00C23D3D" w:rsidRDefault="00EE32FF" w:rsidP="000055AE">
      <w:pPr>
        <w:autoSpaceDE w:val="0"/>
        <w:autoSpaceDN w:val="0"/>
        <w:adjustRightInd w:val="0"/>
        <w:spacing w:before="240" w:after="120"/>
        <w:rPr>
          <w:rFonts w:asciiTheme="minorHAnsi" w:hAnsiTheme="minorHAnsi"/>
          <w:b/>
          <w:bCs/>
          <w:szCs w:val="24"/>
        </w:rPr>
      </w:pPr>
    </w:p>
    <w:p w:rsidR="0030585F" w:rsidRPr="00C23D3D" w:rsidRDefault="0030585F" w:rsidP="000055AE">
      <w:pPr>
        <w:autoSpaceDE w:val="0"/>
        <w:autoSpaceDN w:val="0"/>
        <w:adjustRightInd w:val="0"/>
        <w:spacing w:before="240" w:after="120"/>
        <w:jc w:val="center"/>
        <w:rPr>
          <w:rFonts w:asciiTheme="minorHAnsi" w:hAnsiTheme="minorHAnsi"/>
          <w:b/>
          <w:bCs/>
          <w:szCs w:val="24"/>
        </w:rPr>
      </w:pPr>
      <w:r w:rsidRPr="00C23D3D">
        <w:rPr>
          <w:rFonts w:asciiTheme="minorHAnsi" w:hAnsiTheme="minorHAnsi"/>
          <w:b/>
          <w:bCs/>
          <w:szCs w:val="24"/>
        </w:rPr>
        <w:t>EXPLANATORY STATEMENT</w:t>
      </w:r>
    </w:p>
    <w:p w:rsidR="0030585F" w:rsidRPr="00C23D3D" w:rsidRDefault="0030585F" w:rsidP="000055AE">
      <w:pPr>
        <w:autoSpaceDE w:val="0"/>
        <w:autoSpaceDN w:val="0"/>
        <w:adjustRightInd w:val="0"/>
        <w:spacing w:before="240" w:after="120"/>
        <w:rPr>
          <w:rFonts w:asciiTheme="minorHAnsi" w:hAnsiTheme="minorHAnsi"/>
          <w:b/>
          <w:bCs/>
          <w:szCs w:val="24"/>
        </w:rPr>
      </w:pPr>
    </w:p>
    <w:p w:rsidR="007B7934" w:rsidRPr="00C23D3D" w:rsidRDefault="007B7934" w:rsidP="000055AE">
      <w:pPr>
        <w:autoSpaceDE w:val="0"/>
        <w:autoSpaceDN w:val="0"/>
        <w:adjustRightInd w:val="0"/>
        <w:spacing w:before="240" w:after="120"/>
        <w:rPr>
          <w:rFonts w:asciiTheme="minorHAnsi" w:hAnsiTheme="minorHAnsi"/>
          <w:b/>
          <w:bCs/>
          <w:szCs w:val="24"/>
        </w:rPr>
      </w:pPr>
    </w:p>
    <w:p w:rsidR="0030585F" w:rsidRPr="00C23D3D" w:rsidRDefault="0030585F" w:rsidP="000055AE">
      <w:pPr>
        <w:autoSpaceDE w:val="0"/>
        <w:autoSpaceDN w:val="0"/>
        <w:adjustRightInd w:val="0"/>
        <w:spacing w:before="240" w:after="120"/>
        <w:rPr>
          <w:rFonts w:asciiTheme="minorHAnsi" w:hAnsiTheme="minorHAnsi"/>
          <w:b/>
          <w:bCs/>
          <w:szCs w:val="24"/>
        </w:rPr>
      </w:pPr>
    </w:p>
    <w:p w:rsidR="00852B37" w:rsidRPr="00C23D3D" w:rsidRDefault="00852B37" w:rsidP="000055AE">
      <w:pPr>
        <w:autoSpaceDE w:val="0"/>
        <w:autoSpaceDN w:val="0"/>
        <w:adjustRightInd w:val="0"/>
        <w:spacing w:before="240" w:after="120"/>
        <w:rPr>
          <w:rFonts w:asciiTheme="minorHAnsi" w:hAnsiTheme="minorHAnsi"/>
          <w:b/>
          <w:bCs/>
          <w:szCs w:val="24"/>
        </w:rPr>
      </w:pPr>
    </w:p>
    <w:p w:rsidR="00EE32FF" w:rsidRPr="00C23D3D" w:rsidRDefault="00EE32FF" w:rsidP="000055AE">
      <w:pPr>
        <w:autoSpaceDE w:val="0"/>
        <w:autoSpaceDN w:val="0"/>
        <w:adjustRightInd w:val="0"/>
        <w:spacing w:before="240" w:after="120"/>
        <w:rPr>
          <w:rFonts w:asciiTheme="minorHAnsi" w:hAnsiTheme="minorHAnsi"/>
          <w:b/>
          <w:bCs/>
          <w:szCs w:val="24"/>
        </w:rPr>
      </w:pPr>
    </w:p>
    <w:p w:rsidR="0030585F" w:rsidRPr="00C23D3D" w:rsidRDefault="0030585F" w:rsidP="000055AE">
      <w:pPr>
        <w:autoSpaceDE w:val="0"/>
        <w:autoSpaceDN w:val="0"/>
        <w:adjustRightInd w:val="0"/>
        <w:spacing w:before="240" w:after="120"/>
        <w:rPr>
          <w:rFonts w:asciiTheme="minorHAnsi" w:hAnsiTheme="minorHAnsi"/>
          <w:b/>
          <w:bCs/>
          <w:szCs w:val="24"/>
        </w:rPr>
      </w:pPr>
    </w:p>
    <w:p w:rsidR="0030585F" w:rsidRPr="00C23D3D" w:rsidRDefault="0030585F" w:rsidP="000055AE">
      <w:pPr>
        <w:autoSpaceDE w:val="0"/>
        <w:autoSpaceDN w:val="0"/>
        <w:adjustRightInd w:val="0"/>
        <w:spacing w:before="240" w:after="120"/>
        <w:rPr>
          <w:rFonts w:asciiTheme="minorHAnsi" w:hAnsiTheme="minorHAnsi"/>
          <w:b/>
          <w:bCs/>
          <w:szCs w:val="24"/>
        </w:rPr>
      </w:pPr>
    </w:p>
    <w:p w:rsidR="0030585F" w:rsidRPr="00C23D3D" w:rsidRDefault="0030585F" w:rsidP="000055AE">
      <w:pPr>
        <w:autoSpaceDE w:val="0"/>
        <w:autoSpaceDN w:val="0"/>
        <w:adjustRightInd w:val="0"/>
        <w:spacing w:after="0"/>
        <w:jc w:val="right"/>
        <w:rPr>
          <w:rFonts w:asciiTheme="minorHAnsi" w:hAnsiTheme="minorHAnsi"/>
          <w:szCs w:val="24"/>
        </w:rPr>
      </w:pPr>
      <w:r w:rsidRPr="00C23D3D">
        <w:rPr>
          <w:rFonts w:asciiTheme="minorHAnsi" w:hAnsiTheme="minorHAnsi"/>
          <w:szCs w:val="24"/>
        </w:rPr>
        <w:t>Presented by</w:t>
      </w:r>
    </w:p>
    <w:p w:rsidR="0030585F" w:rsidRPr="00C23D3D" w:rsidRDefault="003D2223" w:rsidP="000055AE">
      <w:pPr>
        <w:autoSpaceDE w:val="0"/>
        <w:autoSpaceDN w:val="0"/>
        <w:adjustRightInd w:val="0"/>
        <w:spacing w:after="0"/>
        <w:jc w:val="right"/>
        <w:rPr>
          <w:rFonts w:asciiTheme="minorHAnsi" w:hAnsiTheme="minorHAnsi"/>
          <w:szCs w:val="24"/>
        </w:rPr>
      </w:pPr>
      <w:r w:rsidRPr="00C23D3D">
        <w:rPr>
          <w:rFonts w:asciiTheme="minorHAnsi" w:hAnsiTheme="minorHAnsi"/>
          <w:szCs w:val="24"/>
        </w:rPr>
        <w:t>Gordon Ramsay</w:t>
      </w:r>
      <w:r w:rsidR="0030585F" w:rsidRPr="00C23D3D">
        <w:rPr>
          <w:rFonts w:asciiTheme="minorHAnsi" w:hAnsiTheme="minorHAnsi"/>
          <w:szCs w:val="24"/>
        </w:rPr>
        <w:t xml:space="preserve"> MLA</w:t>
      </w:r>
    </w:p>
    <w:p w:rsidR="0030585F" w:rsidRPr="00C23D3D" w:rsidRDefault="00124FB7" w:rsidP="000055AE">
      <w:pPr>
        <w:spacing w:after="0"/>
        <w:jc w:val="right"/>
        <w:rPr>
          <w:rFonts w:asciiTheme="minorHAnsi" w:hAnsiTheme="minorHAnsi"/>
          <w:szCs w:val="24"/>
        </w:rPr>
      </w:pPr>
      <w:sdt>
        <w:sdtPr>
          <w:rPr>
            <w:rFonts w:asciiTheme="minorHAnsi" w:hAnsiTheme="minorHAnsi"/>
          </w:rPr>
          <w:alias w:val="Choose a Portfolio"/>
          <w:tag w:val="Add all relevant portolios"/>
          <w:id w:val="1774983834"/>
          <w:placeholder>
            <w:docPart w:val="00B9A0C17B184C95AECDD0A0A9672F40"/>
          </w:placeholder>
          <w:comboBox>
            <w:listItem w:value="Choose portfolio:"/>
            <w:listItem w:displayText="Attorney-General" w:value="Attorney-General"/>
            <w:listItem w:displayText="Minister for Police and Emergency Services" w:value="Minister for Police and Emergency Services"/>
            <w:listItem w:displayText="Minister for Justice, Consumer Affairs and Road Safety" w:value="Minister for Justice, Consumer Affairs and Road Safety"/>
            <w:listItem w:displayText="Minister for Corrections and Justice Health" w:value="Minister for Corrections and Justice Health"/>
            <w:listItem w:displayText="Chief Minister" w:value="Chief Minister"/>
            <w:listItem w:displayText="Treasurer" w:value="Treasurer"/>
            <w:listItem w:displayText="Minister for Social Inclusion &amp; Equality" w:value="Minister for Social Inclusion &amp; Equality"/>
            <w:listItem w:displayText="Minister for Tourism &amp; Special Events" w:value="Minister for Tourism &amp; Special Events"/>
            <w:listItem w:displayText="Minister for Trade, Industry &amp; Investment" w:value="Minister for Trade, Industry &amp; Investment"/>
            <w:listItem w:displayText="Minister for Education and Early Childhood Development" w:value="Minister for Education and Early Childhood Development"/>
            <w:listItem w:displayText="Minister for Housing and Suburban Development" w:value="Minister for Housing and Suburban Development"/>
            <w:listItem w:displayText="Minister for the Prevention of Domestic and Family Violence" w:value="Minister for the Prevention of Domestic and Family Violence"/>
            <w:listItem w:displayText="Minister for Sport and Recreation" w:value="Minister for Sport and Recreation"/>
            <w:listItem w:displayText="Minister for Women" w:value="Minister for Women"/>
            <w:listItem w:displayText="Minister for Health and Wellbeing" w:value="Minister for Health and Wellbeing"/>
            <w:listItem w:displayText="Minister for Higher Education" w:value="Minister for Higher Education"/>
            <w:listItem w:displayText="Minister for Medical and Health Research" w:value="Minister for Medical and Health Research"/>
            <w:listItem w:displayText="Minister for Transport" w:value="Minister for Transport"/>
            <w:listItem w:displayText="Minister for Vocational Education and Skills" w:value="Minister for Vocational Education and Skills"/>
            <w:listItem w:displayText="Minister for the Environment and Heritage" w:value="Minister for the Environment and Heritage"/>
            <w:listItem w:displayText="Minister for Planning and Land Management" w:value="Minister for Planning and Land Management"/>
            <w:listItem w:displayText="Minister assisting the Chief Minister on Advanced Technology and Space Industries" w:value="Minister assisting the Chief Minister on Advanced Technology and Space Industries"/>
            <w:listItem w:displayText="Manager of Government Business" w:value="Manager of Government Business"/>
            <w:listItem w:displayText="Minister for the Arts and Cultural Events" w:value="Minister for the Arts and Cultural Events"/>
            <w:listItem w:displayText="Minister for Building Quality Improvement" w:value="Minister for Building Quality Improvement"/>
            <w:listItem w:displayText="Minister for Business and Regulatory Services" w:value="Minister for Business and Regulatory Services"/>
            <w:listItem w:displayText="Minister for Seniors and Veterans" w:value="Minister for Seniors and Veterans"/>
            <w:listItem w:displayText="Minister for Climate Change and Sustainability" w:value="Minister for Climate Change and Sustainability"/>
            <w:listItem w:displayText="Minister for Mental Health" w:value="Minister for Mental Health"/>
            <w:listItem w:displayText="Minister for Aboriginal and Torres Strait Islander Affairs" w:value="Minister for Aboriginal and Torres Strait Islander Affairs"/>
            <w:listItem w:displayText="Minister for Disability" w:value="Minister for Disability"/>
            <w:listItem w:displayText="Minister for Children, Youth and Families" w:value="Minister for Children, Youth and Families"/>
            <w:listItem w:displayText="Minister for Employment and Workplace Safety" w:value="Minister for Employment and Workplace Safety"/>
            <w:listItem w:displayText="Minister for Government Services and Procurement" w:value="Minister for Government Services and Procurement"/>
            <w:listItem w:displayText="Minister for Urban Renewal" w:value="Minister for Urban Renewal"/>
            <w:listItem w:displayText="Minister for City Services" w:value="Minister for City Services"/>
            <w:listItem w:displayText="Minister for Community Services and Facilities" w:value="Minister for Community Services and Facilities"/>
            <w:listItem w:displayText="Minister for Multicultural Affairs" w:value="Minister for Multicultural Affairs"/>
            <w:listItem w:displayText="Minister for Roads" w:value="Minister for Roads"/>
          </w:comboBox>
        </w:sdtPr>
        <w:sdtEndPr/>
        <w:sdtContent>
          <w:r w:rsidR="003D2223" w:rsidRPr="00C23D3D">
            <w:rPr>
              <w:rFonts w:asciiTheme="minorHAnsi" w:hAnsiTheme="minorHAnsi"/>
            </w:rPr>
            <w:t>Attorney-General</w:t>
          </w:r>
        </w:sdtContent>
      </w:sdt>
    </w:p>
    <w:p w:rsidR="00EE32FF" w:rsidRPr="00C23D3D" w:rsidRDefault="009428EA" w:rsidP="000055AE">
      <w:pPr>
        <w:spacing w:after="120"/>
        <w:jc w:val="center"/>
        <w:rPr>
          <w:rFonts w:asciiTheme="minorHAnsi" w:hAnsiTheme="minorHAnsi"/>
          <w:b/>
          <w:bCs/>
          <w:szCs w:val="24"/>
        </w:rPr>
        <w:sectPr w:rsidR="00EE32FF" w:rsidRPr="00C23D3D" w:rsidSect="006B28D6">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pgNumType w:start="0"/>
          <w:cols w:space="708"/>
          <w:titlePg/>
          <w:docGrid w:linePitch="360"/>
        </w:sectPr>
      </w:pPr>
      <w:r w:rsidRPr="00C23D3D">
        <w:rPr>
          <w:rFonts w:asciiTheme="minorHAnsi" w:hAnsiTheme="minorHAnsi"/>
          <w:b/>
          <w:bCs/>
          <w:szCs w:val="24"/>
        </w:rPr>
        <w:br w:type="page"/>
      </w:r>
    </w:p>
    <w:p w:rsidR="003D2223" w:rsidRPr="00C23D3D" w:rsidRDefault="003D2223" w:rsidP="000055AE">
      <w:pPr>
        <w:jc w:val="center"/>
        <w:rPr>
          <w:rFonts w:asciiTheme="minorHAnsi" w:hAnsiTheme="minorHAnsi"/>
          <w:b/>
          <w:szCs w:val="24"/>
          <w:u w:val="single"/>
        </w:rPr>
      </w:pPr>
      <w:r w:rsidRPr="00C23D3D">
        <w:rPr>
          <w:rFonts w:asciiTheme="minorHAnsi" w:hAnsiTheme="minorHAnsi"/>
          <w:b/>
          <w:szCs w:val="24"/>
          <w:u w:val="single"/>
        </w:rPr>
        <w:lastRenderedPageBreak/>
        <w:t>GAMING LEGISLATION AMENDMENT BILL 2019</w:t>
      </w:r>
    </w:p>
    <w:p w:rsidR="003D2223" w:rsidRPr="00C23D3D" w:rsidRDefault="003D2223" w:rsidP="000055AE">
      <w:pPr>
        <w:rPr>
          <w:rFonts w:asciiTheme="minorHAnsi" w:hAnsiTheme="minorHAnsi"/>
          <w:b/>
          <w:szCs w:val="24"/>
        </w:rPr>
      </w:pPr>
      <w:r w:rsidRPr="00C23D3D">
        <w:rPr>
          <w:rFonts w:asciiTheme="minorHAnsi" w:hAnsiTheme="minorHAnsi"/>
          <w:b/>
          <w:szCs w:val="24"/>
        </w:rPr>
        <w:t>INTRODUCTION</w:t>
      </w:r>
    </w:p>
    <w:p w:rsidR="003D2223" w:rsidRPr="00C23D3D" w:rsidRDefault="003D2223" w:rsidP="000055AE">
      <w:pPr>
        <w:spacing w:after="0"/>
        <w:rPr>
          <w:rFonts w:asciiTheme="minorHAnsi" w:hAnsiTheme="minorHAnsi" w:cs="Arial"/>
          <w:szCs w:val="24"/>
        </w:rPr>
      </w:pPr>
      <w:r w:rsidRPr="00C23D3D">
        <w:rPr>
          <w:rFonts w:asciiTheme="minorHAnsi" w:hAnsiTheme="minorHAnsi" w:cs="Arial"/>
          <w:szCs w:val="24"/>
        </w:rPr>
        <w:t xml:space="preserve">This explanatory statement relates to the Gaming Legislation Amendment Bill 2019 (the Amendment Bill) as presented to the ACT Legislative Assembly. It has been prepared in order to assist the reader of the Amendment Bill and to help inform debate on it. It does not form part of the Amendment Bill and has not been endorsed by the Assembly. The Statement must be read in conjunction with the Amendment Bill. It is not, and is not meant to be, a comprehensive description of the Amendment Bill. What is said about a provision is not to be taken as an authoritative guide to the meaning of a provision, this being a task for the courts. </w:t>
      </w:r>
    </w:p>
    <w:p w:rsidR="003D2223" w:rsidRPr="00C23D3D" w:rsidRDefault="003D2223" w:rsidP="000055AE">
      <w:pPr>
        <w:spacing w:after="0"/>
        <w:rPr>
          <w:rFonts w:asciiTheme="minorHAnsi" w:hAnsiTheme="minorHAnsi" w:cs="Arial"/>
          <w:szCs w:val="24"/>
        </w:rPr>
      </w:pPr>
    </w:p>
    <w:p w:rsidR="003D2223" w:rsidRPr="00C23D3D" w:rsidRDefault="003D2223" w:rsidP="000055AE">
      <w:pPr>
        <w:spacing w:after="0"/>
        <w:rPr>
          <w:rFonts w:asciiTheme="minorHAnsi" w:hAnsiTheme="minorHAnsi" w:cs="Arial"/>
          <w:szCs w:val="24"/>
        </w:rPr>
      </w:pPr>
      <w:r w:rsidRPr="00C23D3D">
        <w:rPr>
          <w:rFonts w:asciiTheme="minorHAnsi" w:hAnsiTheme="minorHAnsi" w:cs="Arial"/>
          <w:szCs w:val="24"/>
        </w:rPr>
        <w:t xml:space="preserve">The </w:t>
      </w:r>
      <w:r w:rsidRPr="00C23D3D">
        <w:rPr>
          <w:rFonts w:asciiTheme="minorHAnsi" w:hAnsiTheme="minorHAnsi" w:cs="Arial"/>
          <w:i/>
          <w:szCs w:val="24"/>
        </w:rPr>
        <w:t>Gaming Machine Act 2004</w:t>
      </w:r>
      <w:r w:rsidRPr="00C23D3D">
        <w:rPr>
          <w:rFonts w:asciiTheme="minorHAnsi" w:hAnsiTheme="minorHAnsi" w:cs="Arial"/>
          <w:szCs w:val="24"/>
        </w:rPr>
        <w:t xml:space="preserve"> (the Gaming Machine Act) and the </w:t>
      </w:r>
      <w:r w:rsidRPr="00C23D3D">
        <w:rPr>
          <w:rFonts w:asciiTheme="minorHAnsi" w:hAnsiTheme="minorHAnsi" w:cs="Arial"/>
          <w:i/>
          <w:szCs w:val="24"/>
        </w:rPr>
        <w:t>Gaming Machine Regulation 2004</w:t>
      </w:r>
      <w:r w:rsidRPr="00C23D3D">
        <w:rPr>
          <w:rFonts w:asciiTheme="minorHAnsi" w:hAnsiTheme="minorHAnsi" w:cs="Arial"/>
          <w:szCs w:val="24"/>
        </w:rPr>
        <w:t xml:space="preserve"> (the Gaming Machine Regulation) regulate the licensing of gaming machine operators, venues and gaming machines. For the purposes of the Gaming Machine Act, the </w:t>
      </w:r>
      <w:r w:rsidRPr="00C23D3D">
        <w:rPr>
          <w:rFonts w:asciiTheme="minorHAnsi" w:hAnsiTheme="minorHAnsi" w:cs="Arial"/>
          <w:i/>
          <w:szCs w:val="24"/>
        </w:rPr>
        <w:t>Gambling and Racing Control Act 1999</w:t>
      </w:r>
      <w:r w:rsidRPr="00C23D3D">
        <w:rPr>
          <w:rFonts w:asciiTheme="minorHAnsi" w:hAnsiTheme="minorHAnsi" w:cs="Arial"/>
          <w:szCs w:val="24"/>
        </w:rPr>
        <w:t xml:space="preserve"> (the Control Act) provides the overarching legislative framework for gambling in the Territory. </w:t>
      </w:r>
    </w:p>
    <w:p w:rsidR="003D2223" w:rsidRPr="00C23D3D" w:rsidRDefault="003D2223" w:rsidP="000055AE">
      <w:pPr>
        <w:spacing w:after="0"/>
        <w:rPr>
          <w:rFonts w:asciiTheme="minorHAnsi" w:hAnsiTheme="minorHAnsi" w:cs="Arial"/>
          <w:szCs w:val="24"/>
        </w:rPr>
      </w:pPr>
    </w:p>
    <w:p w:rsidR="003D2223" w:rsidRPr="00C23D3D" w:rsidRDefault="003D2223" w:rsidP="000055AE">
      <w:pPr>
        <w:spacing w:after="0"/>
        <w:rPr>
          <w:rFonts w:asciiTheme="minorHAnsi" w:hAnsiTheme="minorHAnsi" w:cs="Arial"/>
          <w:szCs w:val="24"/>
        </w:rPr>
      </w:pPr>
      <w:r w:rsidRPr="00C23D3D">
        <w:rPr>
          <w:rFonts w:asciiTheme="minorHAnsi" w:hAnsiTheme="minorHAnsi" w:cs="Arial"/>
          <w:szCs w:val="24"/>
        </w:rPr>
        <w:t>The Control Act establishes the ACT Gambling and Racing Commission (the Commission) with a governing board. The Commission has responsibility for administration of gaming laws and control, supervision and regulation of gaming in the Territory. The Control Act provides for a regulation to prescribe codes of practice in relation to gaming laws.</w:t>
      </w:r>
    </w:p>
    <w:p w:rsidR="003D2223" w:rsidRPr="00C23D3D" w:rsidRDefault="003D2223" w:rsidP="000055AE">
      <w:pPr>
        <w:spacing w:after="0"/>
        <w:rPr>
          <w:rFonts w:asciiTheme="minorHAnsi" w:hAnsiTheme="minorHAnsi" w:cs="Arial"/>
          <w:szCs w:val="24"/>
        </w:rPr>
      </w:pPr>
    </w:p>
    <w:p w:rsidR="003D2223" w:rsidRPr="00C23D3D" w:rsidRDefault="003D2223" w:rsidP="000055AE">
      <w:pPr>
        <w:spacing w:after="0"/>
        <w:rPr>
          <w:rFonts w:asciiTheme="minorHAnsi" w:hAnsiTheme="minorHAnsi" w:cs="Arial"/>
          <w:szCs w:val="24"/>
        </w:rPr>
      </w:pPr>
      <w:r w:rsidRPr="00C23D3D">
        <w:rPr>
          <w:rFonts w:asciiTheme="minorHAnsi" w:hAnsiTheme="minorHAnsi" w:cs="Arial"/>
          <w:szCs w:val="24"/>
        </w:rPr>
        <w:t xml:space="preserve">The </w:t>
      </w:r>
      <w:r w:rsidRPr="00C23D3D">
        <w:rPr>
          <w:rFonts w:asciiTheme="minorHAnsi" w:hAnsiTheme="minorHAnsi" w:cs="Arial"/>
          <w:i/>
          <w:szCs w:val="24"/>
        </w:rPr>
        <w:t>Gambling and Racing Control (Code of Practice) Regulation 2002</w:t>
      </w:r>
      <w:r w:rsidRPr="00C23D3D">
        <w:rPr>
          <w:rFonts w:asciiTheme="minorHAnsi" w:hAnsiTheme="minorHAnsi" w:cs="Arial"/>
          <w:szCs w:val="24"/>
        </w:rPr>
        <w:t xml:space="preserve"> </w:t>
      </w:r>
      <w:r w:rsidR="00771555" w:rsidRPr="00C23D3D">
        <w:rPr>
          <w:rFonts w:asciiTheme="minorHAnsi" w:hAnsiTheme="minorHAnsi" w:cs="Arial"/>
          <w:szCs w:val="24"/>
        </w:rPr>
        <w:t>has been</w:t>
      </w:r>
      <w:r w:rsidRPr="00C23D3D">
        <w:rPr>
          <w:rFonts w:asciiTheme="minorHAnsi" w:hAnsiTheme="minorHAnsi" w:cs="Arial"/>
          <w:szCs w:val="24"/>
        </w:rPr>
        <w:t xml:space="preserve"> made under section 18 of the Control Act.</w:t>
      </w:r>
    </w:p>
    <w:p w:rsidR="003D2223" w:rsidRPr="00C23D3D" w:rsidRDefault="003D2223" w:rsidP="000055AE">
      <w:pPr>
        <w:spacing w:after="0"/>
        <w:rPr>
          <w:rFonts w:asciiTheme="minorHAnsi" w:hAnsiTheme="minorHAnsi" w:cs="Arial"/>
          <w:szCs w:val="24"/>
        </w:rPr>
      </w:pPr>
    </w:p>
    <w:p w:rsidR="003D2223" w:rsidRPr="00C23D3D" w:rsidRDefault="003D2223" w:rsidP="000055AE">
      <w:pPr>
        <w:rPr>
          <w:rFonts w:asciiTheme="minorHAnsi" w:hAnsiTheme="minorHAnsi"/>
          <w:b/>
          <w:szCs w:val="24"/>
        </w:rPr>
      </w:pPr>
      <w:r w:rsidRPr="00C23D3D">
        <w:rPr>
          <w:rFonts w:asciiTheme="minorHAnsi" w:hAnsiTheme="minorHAnsi"/>
          <w:b/>
          <w:szCs w:val="24"/>
        </w:rPr>
        <w:t>BACKGROUND</w:t>
      </w:r>
    </w:p>
    <w:p w:rsidR="003D2223" w:rsidRPr="00C23D3D" w:rsidRDefault="003D2223" w:rsidP="000055AE">
      <w:pPr>
        <w:spacing w:after="0"/>
        <w:rPr>
          <w:rFonts w:asciiTheme="minorHAnsi" w:hAnsiTheme="minorHAnsi"/>
          <w:szCs w:val="24"/>
        </w:rPr>
      </w:pPr>
      <w:r w:rsidRPr="00C23D3D">
        <w:rPr>
          <w:rFonts w:asciiTheme="minorHAnsi" w:hAnsiTheme="minorHAnsi"/>
          <w:szCs w:val="24"/>
        </w:rPr>
        <w:t xml:space="preserve">The Government committed in the </w:t>
      </w:r>
      <w:r w:rsidRPr="00C23D3D">
        <w:rPr>
          <w:rFonts w:asciiTheme="minorHAnsi" w:hAnsiTheme="minorHAnsi"/>
          <w:i/>
          <w:szCs w:val="24"/>
        </w:rPr>
        <w:t>Parliamentary Agreement for the 9</w:t>
      </w:r>
      <w:r w:rsidRPr="00C23D3D">
        <w:rPr>
          <w:rFonts w:asciiTheme="minorHAnsi" w:hAnsiTheme="minorHAnsi"/>
          <w:i/>
          <w:szCs w:val="24"/>
          <w:vertAlign w:val="superscript"/>
        </w:rPr>
        <w:t>th</w:t>
      </w:r>
      <w:r w:rsidRPr="00C23D3D">
        <w:rPr>
          <w:rFonts w:asciiTheme="minorHAnsi" w:hAnsiTheme="minorHAnsi"/>
          <w:i/>
          <w:szCs w:val="24"/>
        </w:rPr>
        <w:t xml:space="preserve"> Legislative Assembly </w:t>
      </w:r>
      <w:r w:rsidRPr="00C23D3D">
        <w:rPr>
          <w:rFonts w:asciiTheme="minorHAnsi" w:hAnsiTheme="minorHAnsi"/>
          <w:szCs w:val="24"/>
        </w:rPr>
        <w:t xml:space="preserve">to reduce the number of gaming machine ‘licences’ </w:t>
      </w:r>
      <w:r w:rsidRPr="00C23D3D">
        <w:rPr>
          <w:rFonts w:asciiTheme="minorHAnsi" w:hAnsiTheme="minorHAnsi" w:cs="Arial"/>
          <w:szCs w:val="24"/>
        </w:rPr>
        <w:t xml:space="preserve">(‘authorisations’ in the Gaming Machine Act) </w:t>
      </w:r>
      <w:r w:rsidRPr="00C23D3D">
        <w:rPr>
          <w:rFonts w:asciiTheme="minorHAnsi" w:hAnsiTheme="minorHAnsi"/>
          <w:szCs w:val="24"/>
        </w:rPr>
        <w:t xml:space="preserve">to 4,000 by 1 July 2020, as part of a range of measures intended to </w:t>
      </w:r>
      <w:r w:rsidR="00605EE3" w:rsidRPr="00C23D3D">
        <w:rPr>
          <w:rFonts w:asciiTheme="minorHAnsi" w:hAnsiTheme="minorHAnsi"/>
          <w:szCs w:val="24"/>
        </w:rPr>
        <w:t>reduce gambling harm.</w:t>
      </w:r>
    </w:p>
    <w:p w:rsidR="00605EE3" w:rsidRPr="00C23D3D" w:rsidRDefault="00605EE3" w:rsidP="000055AE">
      <w:pPr>
        <w:spacing w:after="0"/>
        <w:rPr>
          <w:rFonts w:asciiTheme="minorHAnsi" w:hAnsiTheme="minorHAnsi"/>
          <w:szCs w:val="24"/>
        </w:rPr>
      </w:pPr>
    </w:p>
    <w:p w:rsidR="003D2223" w:rsidRPr="00C23D3D" w:rsidRDefault="003D2223" w:rsidP="000055AE">
      <w:pPr>
        <w:spacing w:after="0"/>
        <w:rPr>
          <w:rFonts w:asciiTheme="minorHAnsi" w:hAnsiTheme="minorHAnsi"/>
          <w:szCs w:val="24"/>
        </w:rPr>
      </w:pPr>
      <w:r w:rsidRPr="00C23D3D">
        <w:rPr>
          <w:rFonts w:asciiTheme="minorHAnsi" w:hAnsiTheme="minorHAnsi" w:cs="Arial"/>
          <w:szCs w:val="24"/>
        </w:rPr>
        <w:t xml:space="preserve">In August 2018, the Attorney-General tabled the Government’s </w:t>
      </w:r>
      <w:r w:rsidRPr="00C23D3D">
        <w:rPr>
          <w:rFonts w:asciiTheme="minorHAnsi" w:hAnsiTheme="minorHAnsi" w:cs="Arial"/>
          <w:i/>
          <w:szCs w:val="24"/>
        </w:rPr>
        <w:t>Pathway to 4,000 Gaming Machine Authorisations by 2020</w:t>
      </w:r>
      <w:r w:rsidRPr="00C23D3D">
        <w:rPr>
          <w:rFonts w:asciiTheme="minorHAnsi" w:hAnsiTheme="minorHAnsi" w:cs="Arial"/>
          <w:szCs w:val="24"/>
        </w:rPr>
        <w:t xml:space="preserve">. This Pathway responded to the findings and recommendations of the </w:t>
      </w:r>
      <w:r w:rsidRPr="00C23D3D">
        <w:rPr>
          <w:rFonts w:asciiTheme="minorHAnsi" w:hAnsiTheme="minorHAnsi" w:cs="Arial"/>
          <w:i/>
          <w:szCs w:val="24"/>
        </w:rPr>
        <w:t>Club Industry Diversification Support Analysis</w:t>
      </w:r>
      <w:r w:rsidR="00F531EB">
        <w:rPr>
          <w:rFonts w:asciiTheme="minorHAnsi" w:hAnsiTheme="minorHAnsi" w:cs="Arial"/>
          <w:i/>
          <w:szCs w:val="24"/>
        </w:rPr>
        <w:t xml:space="preserve"> Report</w:t>
      </w:r>
      <w:r w:rsidRPr="00C23D3D">
        <w:rPr>
          <w:rFonts w:asciiTheme="minorHAnsi" w:hAnsiTheme="minorHAnsi" w:cs="Arial"/>
          <w:szCs w:val="24"/>
        </w:rPr>
        <w:t xml:space="preserve">, which was undertaken by Mr </w:t>
      </w:r>
      <w:r w:rsidRPr="00C23D3D">
        <w:rPr>
          <w:rFonts w:asciiTheme="minorHAnsi" w:hAnsiTheme="minorHAnsi"/>
          <w:szCs w:val="24"/>
        </w:rPr>
        <w:t>Neville Stevens AO.</w:t>
      </w:r>
    </w:p>
    <w:p w:rsidR="003D2223" w:rsidRPr="00C23D3D" w:rsidRDefault="003D2223" w:rsidP="000055AE">
      <w:pPr>
        <w:spacing w:after="0"/>
        <w:rPr>
          <w:rFonts w:asciiTheme="minorHAnsi" w:hAnsiTheme="minorHAnsi" w:cs="Arial"/>
          <w:szCs w:val="24"/>
        </w:rPr>
      </w:pPr>
    </w:p>
    <w:p w:rsidR="003D2223" w:rsidRPr="00C23D3D" w:rsidRDefault="003D2223" w:rsidP="000055AE">
      <w:pPr>
        <w:spacing w:after="0"/>
        <w:rPr>
          <w:rFonts w:asciiTheme="minorHAnsi" w:hAnsiTheme="minorHAnsi" w:cs="Arial"/>
          <w:szCs w:val="24"/>
        </w:rPr>
      </w:pPr>
      <w:r w:rsidRPr="00C23D3D">
        <w:rPr>
          <w:rFonts w:asciiTheme="minorHAnsi" w:hAnsiTheme="minorHAnsi" w:cs="Arial"/>
          <w:szCs w:val="24"/>
        </w:rPr>
        <w:t xml:space="preserve">Recommendation 4 of the </w:t>
      </w:r>
      <w:r w:rsidR="00F531EB">
        <w:rPr>
          <w:rFonts w:asciiTheme="minorHAnsi" w:hAnsiTheme="minorHAnsi" w:cs="Arial"/>
          <w:szCs w:val="24"/>
        </w:rPr>
        <w:t>Report</w:t>
      </w:r>
      <w:r w:rsidRPr="00C23D3D">
        <w:rPr>
          <w:rFonts w:asciiTheme="minorHAnsi" w:hAnsiTheme="minorHAnsi" w:cs="Arial"/>
          <w:szCs w:val="24"/>
        </w:rPr>
        <w:t xml:space="preserve"> </w:t>
      </w:r>
      <w:r w:rsidR="000E5FE4" w:rsidRPr="00C23D3D">
        <w:rPr>
          <w:rFonts w:asciiTheme="minorHAnsi" w:hAnsiTheme="minorHAnsi" w:cs="Arial"/>
          <w:szCs w:val="24"/>
        </w:rPr>
        <w:t>was about</w:t>
      </w:r>
      <w:r w:rsidRPr="00C23D3D">
        <w:rPr>
          <w:rFonts w:asciiTheme="minorHAnsi" w:hAnsiTheme="minorHAnsi" w:cs="Arial"/>
          <w:szCs w:val="24"/>
        </w:rPr>
        <w:t xml:space="preserve"> the establishment of a Diversification Support Fund (the Fund) financed by a contribution from industry per gaming machine authorisation held. The Fund is intended to provide both an incentive not to retain unused authorisations </w:t>
      </w:r>
      <w:r w:rsidRPr="00C23D3D">
        <w:rPr>
          <w:rFonts w:asciiTheme="minorHAnsi" w:hAnsiTheme="minorHAnsi" w:cs="Arial"/>
          <w:szCs w:val="24"/>
        </w:rPr>
        <w:lastRenderedPageBreak/>
        <w:t xml:space="preserve">(through its contribution model) and to provide ongoing funding to assist clubs to improve their operations and to develop </w:t>
      </w:r>
      <w:r w:rsidR="002C6FD1">
        <w:rPr>
          <w:rFonts w:asciiTheme="minorHAnsi" w:hAnsiTheme="minorHAnsi" w:cs="Arial"/>
          <w:szCs w:val="24"/>
        </w:rPr>
        <w:t xml:space="preserve">and implement </w:t>
      </w:r>
      <w:r w:rsidRPr="00C23D3D">
        <w:rPr>
          <w:rFonts w:asciiTheme="minorHAnsi" w:hAnsiTheme="minorHAnsi" w:cs="Arial"/>
          <w:szCs w:val="24"/>
        </w:rPr>
        <w:t>diversification strategies.</w:t>
      </w:r>
    </w:p>
    <w:p w:rsidR="003D2223" w:rsidRPr="00C23D3D" w:rsidRDefault="003D2223" w:rsidP="000055AE">
      <w:pPr>
        <w:spacing w:after="0"/>
        <w:rPr>
          <w:rFonts w:asciiTheme="minorHAnsi" w:hAnsiTheme="minorHAnsi" w:cs="Arial"/>
          <w:szCs w:val="24"/>
        </w:rPr>
      </w:pPr>
    </w:p>
    <w:p w:rsidR="003D2223" w:rsidRPr="00C23D3D" w:rsidRDefault="003D2223" w:rsidP="000055AE">
      <w:pPr>
        <w:spacing w:after="0"/>
        <w:rPr>
          <w:rFonts w:asciiTheme="minorHAnsi" w:hAnsiTheme="minorHAnsi" w:cs="Arial"/>
          <w:szCs w:val="24"/>
        </w:rPr>
      </w:pPr>
      <w:r w:rsidRPr="00C23D3D">
        <w:rPr>
          <w:rFonts w:asciiTheme="minorHAnsi" w:hAnsiTheme="minorHAnsi" w:cs="Arial"/>
          <w:szCs w:val="24"/>
        </w:rPr>
        <w:t>The Government agreed to this recommendation and will match industry funding for the first three years of the Fund’s operation (from 2019-20).</w:t>
      </w:r>
    </w:p>
    <w:p w:rsidR="003D2223" w:rsidRPr="00C23D3D" w:rsidRDefault="003D2223" w:rsidP="000055AE">
      <w:pPr>
        <w:spacing w:after="0"/>
        <w:rPr>
          <w:rFonts w:asciiTheme="minorHAnsi" w:hAnsiTheme="minorHAnsi" w:cs="Arial"/>
          <w:szCs w:val="24"/>
        </w:rPr>
      </w:pPr>
    </w:p>
    <w:p w:rsidR="003D2223" w:rsidRPr="00C23D3D" w:rsidRDefault="003D2223" w:rsidP="000055AE">
      <w:pPr>
        <w:spacing w:after="0"/>
        <w:rPr>
          <w:rFonts w:asciiTheme="minorHAnsi" w:hAnsiTheme="minorHAnsi" w:cs="Arial"/>
          <w:szCs w:val="24"/>
        </w:rPr>
      </w:pPr>
      <w:r w:rsidRPr="00C23D3D">
        <w:rPr>
          <w:rFonts w:asciiTheme="minorHAnsi" w:hAnsiTheme="minorHAnsi" w:cs="Arial"/>
          <w:szCs w:val="24"/>
        </w:rPr>
        <w:t xml:space="preserve">Recommendation 5 of the </w:t>
      </w:r>
      <w:r w:rsidR="00F531EB">
        <w:rPr>
          <w:rFonts w:asciiTheme="minorHAnsi" w:hAnsiTheme="minorHAnsi" w:cs="Arial"/>
          <w:szCs w:val="24"/>
        </w:rPr>
        <w:t>Report</w:t>
      </w:r>
      <w:r w:rsidRPr="00C23D3D">
        <w:rPr>
          <w:rFonts w:asciiTheme="minorHAnsi" w:hAnsiTheme="minorHAnsi" w:cs="Arial"/>
          <w:szCs w:val="24"/>
        </w:rPr>
        <w:t xml:space="preserve"> proposed that the Government man</w:t>
      </w:r>
      <w:r w:rsidR="000E5FE4" w:rsidRPr="00C23D3D">
        <w:rPr>
          <w:rFonts w:asciiTheme="minorHAnsi" w:hAnsiTheme="minorHAnsi" w:cs="Arial"/>
          <w:szCs w:val="24"/>
        </w:rPr>
        <w:t>date training for club director</w:t>
      </w:r>
      <w:r w:rsidRPr="00C23D3D">
        <w:rPr>
          <w:rFonts w:asciiTheme="minorHAnsi" w:hAnsiTheme="minorHAnsi" w:cs="Arial"/>
          <w:szCs w:val="24"/>
        </w:rPr>
        <w:t>s within 12 months of their appointment. The training program is to cover board member responsibilities, management collaboration and finance for club board, together with training on harm minimisation and the role of boards in overseeing the provision of re</w:t>
      </w:r>
      <w:r w:rsidR="00F31284">
        <w:rPr>
          <w:rFonts w:asciiTheme="minorHAnsi" w:hAnsiTheme="minorHAnsi" w:cs="Arial"/>
          <w:szCs w:val="24"/>
        </w:rPr>
        <w:t>sponsible gambling services. The report</w:t>
      </w:r>
      <w:r w:rsidR="000E5FE4" w:rsidRPr="00C23D3D">
        <w:rPr>
          <w:rFonts w:asciiTheme="minorHAnsi" w:hAnsiTheme="minorHAnsi" w:cs="Arial"/>
          <w:szCs w:val="24"/>
        </w:rPr>
        <w:t xml:space="preserve"> </w:t>
      </w:r>
      <w:r w:rsidRPr="00C23D3D">
        <w:rPr>
          <w:rFonts w:asciiTheme="minorHAnsi" w:hAnsiTheme="minorHAnsi" w:cs="Arial"/>
          <w:szCs w:val="24"/>
        </w:rPr>
        <w:t>recommended that the cost of mandatory training be met from the Fund. This recommendation was also agreed by Government.</w:t>
      </w:r>
    </w:p>
    <w:p w:rsidR="00C4385A" w:rsidRPr="00C23D3D" w:rsidRDefault="00C4385A" w:rsidP="000055AE">
      <w:pPr>
        <w:spacing w:after="0"/>
        <w:rPr>
          <w:rFonts w:asciiTheme="minorHAnsi" w:hAnsiTheme="minorHAnsi" w:cs="Arial"/>
          <w:szCs w:val="24"/>
        </w:rPr>
      </w:pPr>
    </w:p>
    <w:p w:rsidR="003D2223" w:rsidRPr="00C23D3D" w:rsidRDefault="003D2223" w:rsidP="000055AE">
      <w:pPr>
        <w:rPr>
          <w:rFonts w:asciiTheme="minorHAnsi" w:hAnsiTheme="minorHAnsi"/>
          <w:b/>
          <w:szCs w:val="24"/>
        </w:rPr>
      </w:pPr>
      <w:r w:rsidRPr="00C23D3D">
        <w:rPr>
          <w:rFonts w:asciiTheme="minorHAnsi" w:hAnsiTheme="minorHAnsi"/>
          <w:b/>
          <w:szCs w:val="24"/>
        </w:rPr>
        <w:t>OVERVIEW OF THE AMENDMENT BILL</w:t>
      </w:r>
    </w:p>
    <w:p w:rsidR="00C4385A" w:rsidRPr="00C23D3D" w:rsidRDefault="003D2223" w:rsidP="000055AE">
      <w:pPr>
        <w:spacing w:after="0"/>
        <w:rPr>
          <w:rFonts w:asciiTheme="minorHAnsi" w:hAnsiTheme="minorHAnsi"/>
          <w:szCs w:val="24"/>
        </w:rPr>
      </w:pPr>
      <w:r w:rsidRPr="00C23D3D">
        <w:rPr>
          <w:rFonts w:asciiTheme="minorHAnsi" w:hAnsiTheme="minorHAnsi"/>
          <w:szCs w:val="24"/>
        </w:rPr>
        <w:t xml:space="preserve">The Amendment Bill amends the </w:t>
      </w:r>
      <w:r w:rsidR="000E5FE4" w:rsidRPr="00C23D3D">
        <w:rPr>
          <w:rFonts w:asciiTheme="minorHAnsi" w:hAnsiTheme="minorHAnsi"/>
          <w:szCs w:val="24"/>
        </w:rPr>
        <w:t>Gambling and Racing Control Act and</w:t>
      </w:r>
      <w:r w:rsidRPr="00C23D3D">
        <w:rPr>
          <w:rFonts w:asciiTheme="minorHAnsi" w:hAnsiTheme="minorHAnsi"/>
          <w:szCs w:val="24"/>
        </w:rPr>
        <w:t xml:space="preserve"> the Gaming Machine </w:t>
      </w:r>
      <w:r w:rsidR="000E5FE4" w:rsidRPr="00C23D3D">
        <w:rPr>
          <w:rFonts w:asciiTheme="minorHAnsi" w:hAnsiTheme="minorHAnsi"/>
          <w:szCs w:val="24"/>
        </w:rPr>
        <w:t>Act</w:t>
      </w:r>
      <w:r w:rsidRPr="00C23D3D">
        <w:rPr>
          <w:rFonts w:asciiTheme="minorHAnsi" w:hAnsiTheme="minorHAnsi"/>
          <w:szCs w:val="24"/>
        </w:rPr>
        <w:t xml:space="preserve"> to establish the Diversification and Sustainability Support Fund. The amendments provide for governance arrangements and require industry contributions to the Fund based on the number of gaming machine authorisations held. The Amendment Bill also </w:t>
      </w:r>
      <w:r w:rsidR="000E5FE4" w:rsidRPr="00C23D3D">
        <w:rPr>
          <w:rFonts w:asciiTheme="minorHAnsi" w:hAnsiTheme="minorHAnsi"/>
          <w:szCs w:val="24"/>
        </w:rPr>
        <w:t>provides the framework for</w:t>
      </w:r>
      <w:r w:rsidRPr="00C23D3D">
        <w:rPr>
          <w:rFonts w:asciiTheme="minorHAnsi" w:hAnsiTheme="minorHAnsi"/>
          <w:szCs w:val="24"/>
        </w:rPr>
        <w:t xml:space="preserve"> mandatory training requirements for club </w:t>
      </w:r>
      <w:r w:rsidR="000E5FE4" w:rsidRPr="00C23D3D">
        <w:rPr>
          <w:rFonts w:asciiTheme="minorHAnsi" w:hAnsiTheme="minorHAnsi"/>
          <w:szCs w:val="24"/>
        </w:rPr>
        <w:t xml:space="preserve">boards, </w:t>
      </w:r>
      <w:r w:rsidRPr="00C23D3D">
        <w:rPr>
          <w:rFonts w:asciiTheme="minorHAnsi" w:hAnsiTheme="minorHAnsi"/>
          <w:szCs w:val="24"/>
        </w:rPr>
        <w:t>executives</w:t>
      </w:r>
      <w:r w:rsidR="000E5FE4" w:rsidRPr="00C23D3D">
        <w:rPr>
          <w:rFonts w:asciiTheme="minorHAnsi" w:hAnsiTheme="minorHAnsi"/>
          <w:szCs w:val="24"/>
        </w:rPr>
        <w:t xml:space="preserve"> and staff</w:t>
      </w:r>
      <w:r w:rsidRPr="00C23D3D">
        <w:rPr>
          <w:rFonts w:asciiTheme="minorHAnsi" w:hAnsiTheme="minorHAnsi"/>
          <w:szCs w:val="24"/>
        </w:rPr>
        <w:t>.</w:t>
      </w:r>
    </w:p>
    <w:p w:rsidR="00C4385A" w:rsidRPr="00C23D3D" w:rsidRDefault="00C4385A" w:rsidP="000055AE">
      <w:pPr>
        <w:spacing w:after="0"/>
        <w:rPr>
          <w:rFonts w:asciiTheme="minorHAnsi" w:hAnsiTheme="minorHAnsi"/>
          <w:szCs w:val="24"/>
        </w:rPr>
      </w:pPr>
    </w:p>
    <w:p w:rsidR="00C4385A" w:rsidRPr="00C23D3D" w:rsidRDefault="00C4385A" w:rsidP="000055AE">
      <w:pPr>
        <w:spacing w:after="0"/>
        <w:rPr>
          <w:rFonts w:asciiTheme="minorHAnsi" w:hAnsiTheme="minorHAnsi" w:cs="Arial"/>
          <w:szCs w:val="24"/>
        </w:rPr>
      </w:pPr>
      <w:r w:rsidRPr="00C23D3D">
        <w:rPr>
          <w:rFonts w:asciiTheme="minorHAnsi" w:hAnsiTheme="minorHAnsi"/>
          <w:szCs w:val="24"/>
        </w:rPr>
        <w:t>The Amendment Bill also includes a small number of minor policy and technical amendments</w:t>
      </w:r>
      <w:r w:rsidR="00052191" w:rsidRPr="00C23D3D">
        <w:rPr>
          <w:rFonts w:asciiTheme="minorHAnsi" w:hAnsiTheme="minorHAnsi"/>
          <w:szCs w:val="24"/>
        </w:rPr>
        <w:t xml:space="preserve"> that</w:t>
      </w:r>
      <w:r w:rsidRPr="00C23D3D">
        <w:rPr>
          <w:rFonts w:asciiTheme="minorHAnsi" w:hAnsiTheme="minorHAnsi"/>
          <w:szCs w:val="24"/>
        </w:rPr>
        <w:t xml:space="preserve"> are required to </w:t>
      </w:r>
      <w:proofErr w:type="spellStart"/>
      <w:r w:rsidRPr="00C23D3D">
        <w:rPr>
          <w:rFonts w:asciiTheme="minorHAnsi" w:hAnsiTheme="minorHAnsi"/>
          <w:szCs w:val="24"/>
        </w:rPr>
        <w:t>uncommenced</w:t>
      </w:r>
      <w:proofErr w:type="spellEnd"/>
      <w:r w:rsidRPr="00C23D3D">
        <w:rPr>
          <w:rFonts w:asciiTheme="minorHAnsi" w:hAnsiTheme="minorHAnsi"/>
          <w:szCs w:val="24"/>
        </w:rPr>
        <w:t xml:space="preserve"> provisions that are part of the reforms to the community contribution scheme, or to the Gaming Machine Act more generally, to ensure clarity and </w:t>
      </w:r>
      <w:r w:rsidR="000E5FE4" w:rsidRPr="00C23D3D">
        <w:rPr>
          <w:rFonts w:asciiTheme="minorHAnsi" w:hAnsiTheme="minorHAnsi"/>
          <w:szCs w:val="24"/>
        </w:rPr>
        <w:t xml:space="preserve">to </w:t>
      </w:r>
      <w:r w:rsidRPr="00C23D3D">
        <w:rPr>
          <w:rFonts w:asciiTheme="minorHAnsi" w:hAnsiTheme="minorHAnsi"/>
          <w:szCs w:val="24"/>
        </w:rPr>
        <w:t xml:space="preserve">improve the </w:t>
      </w:r>
      <w:r w:rsidR="00F31284">
        <w:rPr>
          <w:rFonts w:asciiTheme="minorHAnsi" w:hAnsiTheme="minorHAnsi"/>
          <w:szCs w:val="24"/>
        </w:rPr>
        <w:t>operation</w:t>
      </w:r>
      <w:r w:rsidRPr="00C23D3D">
        <w:rPr>
          <w:rFonts w:asciiTheme="minorHAnsi" w:hAnsiTheme="minorHAnsi"/>
          <w:szCs w:val="24"/>
        </w:rPr>
        <w:t xml:space="preserve"> of the provisions.</w:t>
      </w:r>
    </w:p>
    <w:p w:rsidR="00C4385A" w:rsidRPr="00C23D3D" w:rsidRDefault="00C4385A" w:rsidP="000055AE">
      <w:pPr>
        <w:spacing w:after="0"/>
        <w:rPr>
          <w:rFonts w:asciiTheme="minorHAnsi" w:hAnsiTheme="minorHAnsi"/>
          <w:szCs w:val="24"/>
        </w:rPr>
      </w:pPr>
    </w:p>
    <w:p w:rsidR="00C4385A" w:rsidRPr="00C23D3D" w:rsidRDefault="00C4385A" w:rsidP="000055AE">
      <w:pPr>
        <w:spacing w:after="0"/>
        <w:rPr>
          <w:rFonts w:asciiTheme="minorHAnsi" w:hAnsiTheme="minorHAnsi"/>
          <w:szCs w:val="24"/>
        </w:rPr>
      </w:pPr>
      <w:r w:rsidRPr="00C23D3D">
        <w:rPr>
          <w:rFonts w:asciiTheme="minorHAnsi" w:hAnsiTheme="minorHAnsi" w:cs="Calibri"/>
          <w:szCs w:val="24"/>
          <w:lang w:eastAsia="en-AU"/>
        </w:rPr>
        <w:t>The Amendment Bill amends the following legislation:</w:t>
      </w:r>
    </w:p>
    <w:p w:rsidR="00C4385A" w:rsidRPr="00C23D3D" w:rsidRDefault="00C4385A" w:rsidP="000055AE">
      <w:pPr>
        <w:pStyle w:val="ListParagraph"/>
        <w:numPr>
          <w:ilvl w:val="0"/>
          <w:numId w:val="25"/>
        </w:numPr>
        <w:spacing w:after="0"/>
        <w:rPr>
          <w:rFonts w:asciiTheme="minorHAnsi" w:hAnsiTheme="minorHAnsi" w:cs="Arial"/>
          <w:i/>
          <w:sz w:val="24"/>
          <w:szCs w:val="24"/>
        </w:rPr>
      </w:pPr>
      <w:r w:rsidRPr="00C23D3D">
        <w:rPr>
          <w:rFonts w:asciiTheme="minorHAnsi" w:hAnsiTheme="minorHAnsi" w:cs="Arial"/>
          <w:i/>
          <w:sz w:val="24"/>
          <w:szCs w:val="24"/>
        </w:rPr>
        <w:t>Gambling and Racing Control Act 1999</w:t>
      </w:r>
    </w:p>
    <w:p w:rsidR="00C4385A" w:rsidRPr="00C23D3D" w:rsidRDefault="00C4385A" w:rsidP="000055AE">
      <w:pPr>
        <w:pStyle w:val="ListParagraph"/>
        <w:numPr>
          <w:ilvl w:val="0"/>
          <w:numId w:val="25"/>
        </w:numPr>
        <w:spacing w:after="0"/>
        <w:rPr>
          <w:rFonts w:asciiTheme="minorHAnsi" w:hAnsiTheme="minorHAnsi" w:cs="Arial"/>
          <w:i/>
          <w:sz w:val="24"/>
          <w:szCs w:val="24"/>
        </w:rPr>
      </w:pPr>
      <w:r w:rsidRPr="00C23D3D">
        <w:rPr>
          <w:rFonts w:asciiTheme="minorHAnsi" w:hAnsiTheme="minorHAnsi" w:cs="Arial"/>
          <w:i/>
          <w:sz w:val="24"/>
          <w:szCs w:val="24"/>
        </w:rPr>
        <w:t>Gaming Machine Act 2004</w:t>
      </w:r>
    </w:p>
    <w:p w:rsidR="00C4385A" w:rsidRPr="00C23D3D" w:rsidRDefault="00C4385A" w:rsidP="000055AE">
      <w:pPr>
        <w:spacing w:after="0"/>
        <w:rPr>
          <w:rFonts w:asciiTheme="minorHAnsi" w:hAnsiTheme="minorHAnsi"/>
          <w:szCs w:val="24"/>
        </w:rPr>
      </w:pPr>
    </w:p>
    <w:p w:rsidR="00C4385A" w:rsidRPr="00C23D3D" w:rsidRDefault="00C4385A" w:rsidP="000055AE">
      <w:pPr>
        <w:rPr>
          <w:rFonts w:asciiTheme="minorHAnsi" w:hAnsiTheme="minorHAnsi"/>
          <w:b/>
          <w:szCs w:val="24"/>
        </w:rPr>
      </w:pPr>
      <w:r w:rsidRPr="00C23D3D">
        <w:rPr>
          <w:rFonts w:asciiTheme="minorHAnsi" w:hAnsiTheme="minorHAnsi"/>
          <w:b/>
          <w:szCs w:val="24"/>
        </w:rPr>
        <w:t>HUMAN RIGHTS IMPLICATIONS</w:t>
      </w:r>
    </w:p>
    <w:p w:rsidR="007D164C" w:rsidRPr="00F31284" w:rsidRDefault="00C4385A" w:rsidP="000055AE">
      <w:pPr>
        <w:spacing w:after="0"/>
        <w:rPr>
          <w:rFonts w:asciiTheme="minorHAnsi" w:hAnsiTheme="minorHAnsi"/>
          <w:szCs w:val="24"/>
        </w:rPr>
      </w:pPr>
      <w:r w:rsidRPr="00F31284">
        <w:rPr>
          <w:rFonts w:asciiTheme="minorHAnsi" w:hAnsiTheme="minorHAnsi"/>
          <w:szCs w:val="24"/>
        </w:rPr>
        <w:t xml:space="preserve">During the Amendment Bill’s development due regard was given to its compatibility with human rights as set out in the </w:t>
      </w:r>
      <w:r w:rsidRPr="00F31284">
        <w:rPr>
          <w:rFonts w:asciiTheme="minorHAnsi" w:hAnsiTheme="minorHAnsi"/>
          <w:i/>
          <w:iCs/>
          <w:szCs w:val="24"/>
        </w:rPr>
        <w:t>Human Rights Act 2004</w:t>
      </w:r>
      <w:r w:rsidR="000403F9">
        <w:rPr>
          <w:rFonts w:asciiTheme="minorHAnsi" w:hAnsiTheme="minorHAnsi"/>
          <w:iCs/>
          <w:szCs w:val="24"/>
        </w:rPr>
        <w:t xml:space="preserve"> (HRA)</w:t>
      </w:r>
      <w:r w:rsidRPr="00F31284">
        <w:rPr>
          <w:rFonts w:asciiTheme="minorHAnsi" w:hAnsiTheme="minorHAnsi"/>
          <w:szCs w:val="24"/>
        </w:rPr>
        <w:t xml:space="preserve">. </w:t>
      </w:r>
    </w:p>
    <w:p w:rsidR="007D164C" w:rsidRPr="00F31284" w:rsidRDefault="007D164C" w:rsidP="000055AE">
      <w:pPr>
        <w:spacing w:after="0"/>
        <w:rPr>
          <w:rFonts w:asciiTheme="minorHAnsi" w:hAnsiTheme="minorHAnsi"/>
          <w:szCs w:val="24"/>
        </w:rPr>
      </w:pPr>
    </w:p>
    <w:p w:rsidR="00C4385A" w:rsidRPr="00F31284" w:rsidRDefault="00C4385A" w:rsidP="000055AE">
      <w:pPr>
        <w:spacing w:after="0"/>
        <w:rPr>
          <w:rFonts w:asciiTheme="minorHAnsi" w:hAnsiTheme="minorHAnsi"/>
          <w:szCs w:val="24"/>
        </w:rPr>
      </w:pPr>
      <w:r w:rsidRPr="00F31284">
        <w:rPr>
          <w:rFonts w:asciiTheme="minorHAnsi" w:hAnsiTheme="minorHAnsi"/>
          <w:szCs w:val="24"/>
        </w:rPr>
        <w:t xml:space="preserve">The measures introduced in the Amendment Bill </w:t>
      </w:r>
      <w:r w:rsidR="00197CD1" w:rsidRPr="00F31284">
        <w:rPr>
          <w:rFonts w:asciiTheme="minorHAnsi" w:hAnsiTheme="minorHAnsi"/>
          <w:szCs w:val="24"/>
        </w:rPr>
        <w:t>will support clubs in reducing their reliance on gaming machine revenue and diversifying their income streams</w:t>
      </w:r>
      <w:r w:rsidRPr="00F31284">
        <w:rPr>
          <w:rFonts w:asciiTheme="minorHAnsi" w:hAnsiTheme="minorHAnsi"/>
          <w:szCs w:val="24"/>
        </w:rPr>
        <w:t>, which is intended to reduce gambling harm.</w:t>
      </w:r>
      <w:r w:rsidR="00197CD1" w:rsidRPr="00F31284">
        <w:rPr>
          <w:rFonts w:asciiTheme="minorHAnsi" w:hAnsiTheme="minorHAnsi"/>
          <w:szCs w:val="24"/>
        </w:rPr>
        <w:t xml:space="preserve"> The measures will also support the sustainability of clubs, which is intended to ensure that services and facilities provided by clubs continue to be available. A number of provisions support the implementation of the </w:t>
      </w:r>
      <w:r w:rsidRPr="00F31284">
        <w:rPr>
          <w:rFonts w:asciiTheme="minorHAnsi" w:hAnsiTheme="minorHAnsi"/>
          <w:szCs w:val="24"/>
        </w:rPr>
        <w:t>reforms to the community contributions scheme</w:t>
      </w:r>
      <w:r w:rsidR="00197CD1" w:rsidRPr="00F31284">
        <w:rPr>
          <w:rFonts w:asciiTheme="minorHAnsi" w:hAnsiTheme="minorHAnsi"/>
          <w:szCs w:val="24"/>
        </w:rPr>
        <w:t>, which</w:t>
      </w:r>
      <w:r w:rsidRPr="00F31284">
        <w:rPr>
          <w:rFonts w:asciiTheme="minorHAnsi" w:hAnsiTheme="minorHAnsi"/>
          <w:szCs w:val="24"/>
        </w:rPr>
        <w:t xml:space="preserve"> will improve the direct benefit of the scheme to the </w:t>
      </w:r>
      <w:r w:rsidRPr="00F31284">
        <w:rPr>
          <w:rFonts w:asciiTheme="minorHAnsi" w:hAnsiTheme="minorHAnsi"/>
          <w:szCs w:val="24"/>
        </w:rPr>
        <w:lastRenderedPageBreak/>
        <w:t>community. These measures may be seen</w:t>
      </w:r>
      <w:r w:rsidR="00491F74" w:rsidRPr="00F31284">
        <w:rPr>
          <w:rFonts w:asciiTheme="minorHAnsi" w:hAnsiTheme="minorHAnsi"/>
          <w:szCs w:val="24"/>
        </w:rPr>
        <w:t>, to some extent,</w:t>
      </w:r>
      <w:r w:rsidRPr="00F31284">
        <w:rPr>
          <w:rFonts w:asciiTheme="minorHAnsi" w:hAnsiTheme="minorHAnsi"/>
          <w:szCs w:val="24"/>
        </w:rPr>
        <w:t xml:space="preserve"> as positively engaging the protection of the family and children (section 11).</w:t>
      </w:r>
    </w:p>
    <w:p w:rsidR="007D164C" w:rsidRPr="00F31284" w:rsidRDefault="007D164C" w:rsidP="000055AE">
      <w:pPr>
        <w:spacing w:after="0"/>
        <w:rPr>
          <w:rFonts w:asciiTheme="minorHAnsi" w:hAnsiTheme="minorHAnsi"/>
          <w:szCs w:val="24"/>
        </w:rPr>
      </w:pPr>
    </w:p>
    <w:p w:rsidR="00C4385A" w:rsidRPr="00F31284" w:rsidRDefault="00197CD1" w:rsidP="000055AE">
      <w:pPr>
        <w:autoSpaceDE w:val="0"/>
        <w:autoSpaceDN w:val="0"/>
        <w:adjustRightInd w:val="0"/>
        <w:spacing w:after="0"/>
        <w:rPr>
          <w:rFonts w:asciiTheme="minorHAnsi" w:hAnsiTheme="minorHAnsi" w:cs="Calibri"/>
          <w:szCs w:val="24"/>
          <w:lang w:eastAsia="en-AU"/>
        </w:rPr>
      </w:pPr>
      <w:r w:rsidRPr="00F31284">
        <w:rPr>
          <w:rFonts w:asciiTheme="minorHAnsi" w:hAnsiTheme="minorHAnsi" w:cs="Calibri"/>
          <w:szCs w:val="24"/>
          <w:lang w:eastAsia="en-AU"/>
        </w:rPr>
        <w:t>The provision in clause 6</w:t>
      </w:r>
      <w:r w:rsidR="00C4385A" w:rsidRPr="00F31284">
        <w:rPr>
          <w:rFonts w:asciiTheme="minorHAnsi" w:hAnsiTheme="minorHAnsi" w:cs="Calibri"/>
          <w:szCs w:val="24"/>
          <w:lang w:eastAsia="en-AU"/>
        </w:rPr>
        <w:t xml:space="preserve"> of the Amendment Bill that allow</w:t>
      </w:r>
      <w:r w:rsidRPr="00F31284">
        <w:rPr>
          <w:rFonts w:asciiTheme="minorHAnsi" w:hAnsiTheme="minorHAnsi" w:cs="Calibri"/>
          <w:szCs w:val="24"/>
          <w:lang w:eastAsia="en-AU"/>
        </w:rPr>
        <w:t>s</w:t>
      </w:r>
      <w:r w:rsidR="00C4385A" w:rsidRPr="00F31284">
        <w:rPr>
          <w:rFonts w:asciiTheme="minorHAnsi" w:hAnsiTheme="minorHAnsi" w:cs="Calibri"/>
          <w:szCs w:val="24"/>
          <w:lang w:eastAsia="en-AU"/>
        </w:rPr>
        <w:t xml:space="preserve"> for </w:t>
      </w:r>
      <w:r w:rsidRPr="00F31284">
        <w:rPr>
          <w:rFonts w:asciiTheme="minorHAnsi" w:hAnsiTheme="minorHAnsi" w:cs="Calibri"/>
          <w:szCs w:val="24"/>
          <w:lang w:eastAsia="en-AU"/>
        </w:rPr>
        <w:t xml:space="preserve">a code of practice made under section 18(1) of the Control Act to provide for the protection of privacy may be seen as positively engaging </w:t>
      </w:r>
      <w:r w:rsidR="00C4385A" w:rsidRPr="00F31284">
        <w:rPr>
          <w:rFonts w:asciiTheme="minorHAnsi" w:hAnsiTheme="minorHAnsi" w:cs="Calibri"/>
          <w:szCs w:val="24"/>
          <w:lang w:eastAsia="en-AU"/>
        </w:rPr>
        <w:t>the right to privacy and reputation (section 12 HRA).</w:t>
      </w:r>
    </w:p>
    <w:p w:rsidR="00C4385A" w:rsidRPr="00F31284" w:rsidRDefault="00C4385A" w:rsidP="000055AE">
      <w:pPr>
        <w:tabs>
          <w:tab w:val="left" w:pos="1515"/>
        </w:tabs>
        <w:autoSpaceDE w:val="0"/>
        <w:autoSpaceDN w:val="0"/>
        <w:adjustRightInd w:val="0"/>
        <w:spacing w:after="0"/>
        <w:rPr>
          <w:rFonts w:asciiTheme="minorHAnsi" w:hAnsiTheme="minorHAnsi" w:cs="Calibri"/>
          <w:szCs w:val="24"/>
          <w:lang w:eastAsia="en-AU"/>
        </w:rPr>
      </w:pPr>
    </w:p>
    <w:p w:rsidR="007D164C" w:rsidRPr="00F31284" w:rsidRDefault="007D164C" w:rsidP="000055AE">
      <w:pPr>
        <w:autoSpaceDE w:val="0"/>
        <w:autoSpaceDN w:val="0"/>
        <w:adjustRightInd w:val="0"/>
        <w:spacing w:after="0"/>
        <w:rPr>
          <w:rFonts w:asciiTheme="minorHAnsi" w:hAnsiTheme="minorHAnsi" w:cs="Calibri"/>
          <w:szCs w:val="24"/>
          <w:lang w:eastAsia="en-AU"/>
        </w:rPr>
      </w:pPr>
      <w:r w:rsidRPr="00F31284">
        <w:rPr>
          <w:rFonts w:asciiTheme="minorHAnsi" w:hAnsiTheme="minorHAnsi" w:cs="Calibri"/>
          <w:szCs w:val="24"/>
          <w:lang w:eastAsia="en-AU"/>
        </w:rPr>
        <w:t xml:space="preserve">New </w:t>
      </w:r>
      <w:r w:rsidR="00B14F41" w:rsidRPr="00F31284">
        <w:rPr>
          <w:rFonts w:asciiTheme="minorHAnsi" w:hAnsiTheme="minorHAnsi" w:cs="Calibri"/>
          <w:szCs w:val="24"/>
          <w:lang w:eastAsia="en-AU"/>
        </w:rPr>
        <w:t>subdivision 11.3.3 within clause 22 of the Amendment</w:t>
      </w:r>
      <w:r w:rsidRPr="00F31284">
        <w:rPr>
          <w:rFonts w:asciiTheme="minorHAnsi" w:hAnsiTheme="minorHAnsi" w:cs="Calibri"/>
          <w:szCs w:val="24"/>
          <w:lang w:eastAsia="en-AU"/>
        </w:rPr>
        <w:t xml:space="preserve"> Bill, which restrict e</w:t>
      </w:r>
      <w:r w:rsidR="00B14F41" w:rsidRPr="00F31284">
        <w:rPr>
          <w:rFonts w:asciiTheme="minorHAnsi" w:hAnsiTheme="minorHAnsi" w:cs="Calibri"/>
          <w:szCs w:val="24"/>
          <w:lang w:eastAsia="en-AU"/>
        </w:rPr>
        <w:t xml:space="preserve">ligibility for appointment to the advisory board of the diversification and sustainability support fund </w:t>
      </w:r>
      <w:r w:rsidRPr="00F31284">
        <w:rPr>
          <w:rFonts w:asciiTheme="minorHAnsi" w:hAnsiTheme="minorHAnsi" w:cs="Calibri"/>
          <w:szCs w:val="24"/>
          <w:lang w:eastAsia="en-AU"/>
        </w:rPr>
        <w:t xml:space="preserve">and require the disclosure of </w:t>
      </w:r>
      <w:r w:rsidR="00B14F41" w:rsidRPr="00F31284">
        <w:rPr>
          <w:rFonts w:asciiTheme="minorHAnsi" w:hAnsiTheme="minorHAnsi" w:cs="Calibri"/>
          <w:szCs w:val="24"/>
          <w:lang w:eastAsia="en-AU"/>
        </w:rPr>
        <w:t>advisory board</w:t>
      </w:r>
      <w:r w:rsidRPr="00F31284">
        <w:rPr>
          <w:rFonts w:asciiTheme="minorHAnsi" w:hAnsiTheme="minorHAnsi" w:cs="Calibri"/>
          <w:szCs w:val="24"/>
          <w:lang w:eastAsia="en-AU"/>
        </w:rPr>
        <w:t xml:space="preserve"> members’ interests</w:t>
      </w:r>
      <w:r w:rsidR="000403F9">
        <w:rPr>
          <w:rFonts w:asciiTheme="minorHAnsi" w:hAnsiTheme="minorHAnsi" w:cs="Calibri"/>
          <w:szCs w:val="24"/>
          <w:lang w:eastAsia="en-AU"/>
        </w:rPr>
        <w:t xml:space="preserve"> and associations</w:t>
      </w:r>
      <w:r w:rsidRPr="00F31284">
        <w:rPr>
          <w:rFonts w:asciiTheme="minorHAnsi" w:hAnsiTheme="minorHAnsi" w:cs="Calibri"/>
          <w:szCs w:val="24"/>
          <w:lang w:eastAsia="en-AU"/>
        </w:rPr>
        <w:t xml:space="preserve">, </w:t>
      </w:r>
      <w:r w:rsidR="00B14F41" w:rsidRPr="00F31284">
        <w:rPr>
          <w:rFonts w:asciiTheme="minorHAnsi" w:hAnsiTheme="minorHAnsi" w:cs="Calibri"/>
          <w:szCs w:val="24"/>
          <w:lang w:eastAsia="en-AU"/>
        </w:rPr>
        <w:t>may be seen as limiting</w:t>
      </w:r>
      <w:r w:rsidRPr="00F31284">
        <w:rPr>
          <w:rFonts w:asciiTheme="minorHAnsi" w:hAnsiTheme="minorHAnsi" w:cs="Calibri"/>
          <w:szCs w:val="24"/>
          <w:lang w:eastAsia="en-AU"/>
        </w:rPr>
        <w:t xml:space="preserve"> the right to privacy and reputation (section 12 HRA)</w:t>
      </w:r>
      <w:r w:rsidR="000403F9">
        <w:rPr>
          <w:rFonts w:asciiTheme="minorHAnsi" w:hAnsiTheme="minorHAnsi" w:cs="Calibri"/>
          <w:szCs w:val="24"/>
          <w:lang w:eastAsia="en-AU"/>
        </w:rPr>
        <w:t xml:space="preserve"> and the right to peaceful assembly and freedom of association (section 15(2) HRA)</w:t>
      </w:r>
      <w:r w:rsidRPr="00F31284">
        <w:rPr>
          <w:rFonts w:asciiTheme="minorHAnsi" w:hAnsiTheme="minorHAnsi" w:cs="Calibri"/>
          <w:szCs w:val="24"/>
          <w:lang w:eastAsia="en-AU"/>
        </w:rPr>
        <w:t>.</w:t>
      </w:r>
      <w:r w:rsidR="00B14F41" w:rsidRPr="00F31284">
        <w:rPr>
          <w:rFonts w:asciiTheme="minorHAnsi" w:hAnsiTheme="minorHAnsi" w:cs="Calibri"/>
          <w:szCs w:val="24"/>
          <w:lang w:eastAsia="en-AU"/>
        </w:rPr>
        <w:t xml:space="preserve"> In addition, it is expected that individual applicants to the fund would be required to disclose some personal </w:t>
      </w:r>
      <w:r w:rsidR="000055AE">
        <w:rPr>
          <w:rFonts w:asciiTheme="minorHAnsi" w:hAnsiTheme="minorHAnsi" w:cs="Calibri"/>
          <w:szCs w:val="24"/>
          <w:lang w:eastAsia="en-AU"/>
        </w:rPr>
        <w:t xml:space="preserve">and financial </w:t>
      </w:r>
      <w:r w:rsidR="00B14F41" w:rsidRPr="00F31284">
        <w:rPr>
          <w:rFonts w:asciiTheme="minorHAnsi" w:hAnsiTheme="minorHAnsi" w:cs="Calibri"/>
          <w:szCs w:val="24"/>
          <w:lang w:eastAsia="en-AU"/>
        </w:rPr>
        <w:t>information in order</w:t>
      </w:r>
      <w:r w:rsidR="000055AE">
        <w:rPr>
          <w:rFonts w:asciiTheme="minorHAnsi" w:hAnsiTheme="minorHAnsi" w:cs="Calibri"/>
          <w:szCs w:val="24"/>
          <w:lang w:eastAsia="en-AU"/>
        </w:rPr>
        <w:t xml:space="preserve"> for the advisory board</w:t>
      </w:r>
      <w:r w:rsidR="00B14F41" w:rsidRPr="00F31284">
        <w:rPr>
          <w:rFonts w:asciiTheme="minorHAnsi" w:hAnsiTheme="minorHAnsi" w:cs="Calibri"/>
          <w:szCs w:val="24"/>
          <w:lang w:eastAsia="en-AU"/>
        </w:rPr>
        <w:t xml:space="preserve"> to assess their applications. This requirement may arise under </w:t>
      </w:r>
      <w:r w:rsidR="000055AE">
        <w:rPr>
          <w:rFonts w:asciiTheme="minorHAnsi" w:hAnsiTheme="minorHAnsi" w:cs="Calibri"/>
          <w:szCs w:val="24"/>
          <w:lang w:eastAsia="en-AU"/>
        </w:rPr>
        <w:t xml:space="preserve">guidelines made under </w:t>
      </w:r>
      <w:r w:rsidR="00B14F41" w:rsidRPr="00F31284">
        <w:rPr>
          <w:rFonts w:asciiTheme="minorHAnsi" w:hAnsiTheme="minorHAnsi" w:cs="Calibri"/>
          <w:szCs w:val="24"/>
          <w:lang w:eastAsia="en-AU"/>
        </w:rPr>
        <w:t>new section 163J inserted by clause 22.</w:t>
      </w:r>
    </w:p>
    <w:p w:rsidR="00B14F41" w:rsidRPr="00F31284" w:rsidRDefault="00B14F41" w:rsidP="000055AE">
      <w:pPr>
        <w:autoSpaceDE w:val="0"/>
        <w:autoSpaceDN w:val="0"/>
        <w:adjustRightInd w:val="0"/>
        <w:spacing w:after="0"/>
        <w:rPr>
          <w:rFonts w:asciiTheme="minorHAnsi" w:hAnsiTheme="minorHAnsi" w:cs="Calibri"/>
          <w:szCs w:val="24"/>
          <w:lang w:eastAsia="en-AU"/>
        </w:rPr>
      </w:pPr>
    </w:p>
    <w:p w:rsidR="00B14F41" w:rsidRPr="00F31284" w:rsidRDefault="00B14F41" w:rsidP="000055AE">
      <w:pPr>
        <w:autoSpaceDE w:val="0"/>
        <w:autoSpaceDN w:val="0"/>
        <w:adjustRightInd w:val="0"/>
        <w:spacing w:after="0"/>
        <w:rPr>
          <w:rFonts w:asciiTheme="minorHAnsi" w:hAnsiTheme="minorHAnsi" w:cs="Calibri"/>
          <w:szCs w:val="24"/>
          <w:lang w:eastAsia="en-AU"/>
        </w:rPr>
      </w:pPr>
      <w:r w:rsidRPr="00F31284">
        <w:rPr>
          <w:rFonts w:asciiTheme="minorHAnsi" w:hAnsiTheme="minorHAnsi" w:cs="Calibri"/>
          <w:szCs w:val="24"/>
          <w:lang w:eastAsia="en-AU"/>
        </w:rPr>
        <w:t xml:space="preserve">An assessment of the Bill against section 28 of the </w:t>
      </w:r>
      <w:r w:rsidRPr="00F31284">
        <w:rPr>
          <w:rFonts w:asciiTheme="minorHAnsi" w:hAnsiTheme="minorHAnsi" w:cs="Calibri-Italic"/>
          <w:iCs/>
          <w:szCs w:val="24"/>
          <w:lang w:eastAsia="en-AU"/>
        </w:rPr>
        <w:t xml:space="preserve">HRA </w:t>
      </w:r>
      <w:r w:rsidRPr="00F31284">
        <w:rPr>
          <w:rFonts w:asciiTheme="minorHAnsi" w:hAnsiTheme="minorHAnsi" w:cs="Calibri"/>
          <w:szCs w:val="24"/>
          <w:lang w:eastAsia="en-AU"/>
        </w:rPr>
        <w:t>is provided below.</w:t>
      </w:r>
    </w:p>
    <w:p w:rsidR="007D164C" w:rsidRPr="00F31284" w:rsidRDefault="007D164C" w:rsidP="000055AE">
      <w:pPr>
        <w:tabs>
          <w:tab w:val="left" w:pos="1515"/>
        </w:tabs>
        <w:autoSpaceDE w:val="0"/>
        <w:autoSpaceDN w:val="0"/>
        <w:adjustRightInd w:val="0"/>
        <w:spacing w:after="0"/>
        <w:rPr>
          <w:rFonts w:asciiTheme="minorHAnsi" w:hAnsiTheme="minorHAnsi" w:cs="Calibri"/>
          <w:szCs w:val="24"/>
          <w:lang w:eastAsia="en-AU"/>
        </w:rPr>
      </w:pPr>
    </w:p>
    <w:p w:rsidR="00C4385A" w:rsidRPr="00F31284" w:rsidRDefault="00C4385A" w:rsidP="000055AE">
      <w:pPr>
        <w:autoSpaceDE w:val="0"/>
        <w:autoSpaceDN w:val="0"/>
        <w:adjustRightInd w:val="0"/>
        <w:spacing w:after="0"/>
        <w:rPr>
          <w:rFonts w:asciiTheme="minorHAnsi" w:hAnsiTheme="minorHAnsi" w:cs="Calibri"/>
          <w:szCs w:val="24"/>
          <w:lang w:eastAsia="en-AU"/>
        </w:rPr>
      </w:pPr>
      <w:r w:rsidRPr="00F31284">
        <w:rPr>
          <w:rFonts w:asciiTheme="minorHAnsi" w:hAnsiTheme="minorHAnsi" w:cs="Calibri"/>
          <w:szCs w:val="24"/>
          <w:lang w:eastAsia="en-AU"/>
        </w:rPr>
        <w:t xml:space="preserve">A Compatibility Statement under the </w:t>
      </w:r>
      <w:r w:rsidRPr="00F31284">
        <w:rPr>
          <w:rFonts w:asciiTheme="minorHAnsi" w:hAnsiTheme="minorHAnsi" w:cs="Calibri-Italic"/>
          <w:iCs/>
          <w:szCs w:val="24"/>
          <w:lang w:eastAsia="en-AU"/>
        </w:rPr>
        <w:t>HRA</w:t>
      </w:r>
      <w:r w:rsidRPr="00F31284">
        <w:rPr>
          <w:rFonts w:asciiTheme="minorHAnsi" w:hAnsiTheme="minorHAnsi" w:cs="Calibri-Italic"/>
          <w:i/>
          <w:iCs/>
          <w:szCs w:val="24"/>
          <w:lang w:eastAsia="en-AU"/>
        </w:rPr>
        <w:t xml:space="preserve"> </w:t>
      </w:r>
      <w:r w:rsidRPr="00F31284">
        <w:rPr>
          <w:rFonts w:asciiTheme="minorHAnsi" w:hAnsiTheme="minorHAnsi" w:cs="Calibri"/>
          <w:szCs w:val="24"/>
          <w:lang w:eastAsia="en-AU"/>
        </w:rPr>
        <w:t>has been issued for the Bill by the Attorney</w:t>
      </w:r>
      <w:r w:rsidRPr="00F31284">
        <w:rPr>
          <w:rFonts w:asciiTheme="minorHAnsi" w:hAnsiTheme="minorHAnsi" w:cs="Calibri"/>
          <w:szCs w:val="24"/>
          <w:lang w:eastAsia="en-AU"/>
        </w:rPr>
        <w:noBreakHyphen/>
        <w:t>General.</w:t>
      </w:r>
    </w:p>
    <w:p w:rsidR="00C4385A" w:rsidRPr="00F31284" w:rsidRDefault="00C4385A" w:rsidP="000055AE">
      <w:pPr>
        <w:pStyle w:val="ListParagraph"/>
        <w:autoSpaceDE w:val="0"/>
        <w:autoSpaceDN w:val="0"/>
        <w:adjustRightInd w:val="0"/>
        <w:spacing w:after="0"/>
        <w:rPr>
          <w:rFonts w:asciiTheme="minorHAnsi" w:hAnsiTheme="minorHAnsi" w:cs="BookAntiqua"/>
          <w:sz w:val="24"/>
          <w:szCs w:val="24"/>
        </w:rPr>
      </w:pPr>
    </w:p>
    <w:p w:rsidR="00B14F41" w:rsidRPr="00C23D3D" w:rsidRDefault="00B14F41" w:rsidP="000055AE">
      <w:pPr>
        <w:keepNext/>
        <w:autoSpaceDE w:val="0"/>
        <w:autoSpaceDN w:val="0"/>
        <w:adjustRightInd w:val="0"/>
        <w:spacing w:after="0"/>
        <w:rPr>
          <w:rFonts w:asciiTheme="minorHAnsi" w:hAnsiTheme="minorHAnsi" w:cs="Calibri"/>
          <w:szCs w:val="24"/>
          <w:u w:val="single"/>
          <w:lang w:eastAsia="en-AU"/>
        </w:rPr>
      </w:pPr>
      <w:r w:rsidRPr="00C23D3D">
        <w:rPr>
          <w:rFonts w:asciiTheme="minorHAnsi" w:hAnsiTheme="minorHAnsi" w:cs="Calibri"/>
          <w:szCs w:val="24"/>
          <w:u w:val="single"/>
          <w:lang w:eastAsia="en-AU"/>
        </w:rPr>
        <w:t>Section 28 Human Rights Act Assessment</w:t>
      </w:r>
    </w:p>
    <w:p w:rsidR="00B14F41" w:rsidRPr="00C23D3D" w:rsidRDefault="00B14F41" w:rsidP="000055AE">
      <w:pPr>
        <w:autoSpaceDE w:val="0"/>
        <w:autoSpaceDN w:val="0"/>
        <w:adjustRightInd w:val="0"/>
        <w:spacing w:after="0"/>
        <w:rPr>
          <w:rFonts w:asciiTheme="minorHAnsi" w:hAnsiTheme="minorHAnsi" w:cs="Calibri"/>
          <w:szCs w:val="24"/>
          <w:lang w:eastAsia="en-AU"/>
        </w:rPr>
      </w:pPr>
      <w:r w:rsidRPr="00C23D3D">
        <w:rPr>
          <w:rFonts w:asciiTheme="minorHAnsi" w:hAnsiTheme="minorHAnsi" w:cs="Calibri"/>
          <w:szCs w:val="24"/>
          <w:lang w:eastAsia="en-AU"/>
        </w:rPr>
        <w:t xml:space="preserve">Section 28 of the </w:t>
      </w:r>
      <w:r w:rsidRPr="00C23D3D">
        <w:rPr>
          <w:rFonts w:asciiTheme="minorHAnsi" w:hAnsiTheme="minorHAnsi" w:cs="Calibri-Italic"/>
          <w:iCs/>
          <w:szCs w:val="24"/>
          <w:lang w:eastAsia="en-AU"/>
        </w:rPr>
        <w:t>HRA</w:t>
      </w:r>
      <w:r w:rsidRPr="00C23D3D">
        <w:rPr>
          <w:rFonts w:asciiTheme="minorHAnsi" w:hAnsiTheme="minorHAnsi" w:cs="Calibri-Italic"/>
          <w:i/>
          <w:iCs/>
          <w:szCs w:val="24"/>
          <w:lang w:eastAsia="en-AU"/>
        </w:rPr>
        <w:t xml:space="preserve"> </w:t>
      </w:r>
      <w:r w:rsidRPr="00C23D3D">
        <w:rPr>
          <w:rFonts w:asciiTheme="minorHAnsi" w:hAnsiTheme="minorHAnsi" w:cs="Calibri"/>
          <w:szCs w:val="24"/>
          <w:lang w:eastAsia="en-AU"/>
        </w:rPr>
        <w:t>provides that human rights are subject only to reasonable limits set by laws that can be</w:t>
      </w:r>
      <w:r w:rsidRPr="00C23D3D">
        <w:rPr>
          <w:rFonts w:asciiTheme="minorHAnsi" w:hAnsiTheme="minorHAnsi" w:cs="Calibri-Italic"/>
          <w:i/>
          <w:iCs/>
          <w:szCs w:val="24"/>
          <w:lang w:eastAsia="en-AU"/>
        </w:rPr>
        <w:t xml:space="preserve"> </w:t>
      </w:r>
      <w:r w:rsidRPr="00C23D3D">
        <w:rPr>
          <w:rFonts w:asciiTheme="minorHAnsi" w:hAnsiTheme="minorHAnsi" w:cs="Calibri"/>
          <w:szCs w:val="24"/>
          <w:lang w:eastAsia="en-AU"/>
        </w:rPr>
        <w:t xml:space="preserve">demonstrably justified in a free and democratic society. Section 28(2) of the </w:t>
      </w:r>
      <w:r w:rsidRPr="00C23D3D">
        <w:rPr>
          <w:rFonts w:asciiTheme="minorHAnsi" w:hAnsiTheme="minorHAnsi" w:cs="Calibri-Italic"/>
          <w:iCs/>
          <w:szCs w:val="24"/>
          <w:lang w:eastAsia="en-AU"/>
        </w:rPr>
        <w:t xml:space="preserve">HRA </w:t>
      </w:r>
      <w:r w:rsidRPr="00C23D3D">
        <w:rPr>
          <w:rFonts w:asciiTheme="minorHAnsi" w:hAnsiTheme="minorHAnsi" w:cs="Calibri"/>
          <w:szCs w:val="24"/>
          <w:lang w:eastAsia="en-AU"/>
        </w:rPr>
        <w:t>provides that in deciding whether a limit on a human right is reasonable, all relevant factors must be considered, including:</w:t>
      </w:r>
    </w:p>
    <w:p w:rsidR="00B14F41" w:rsidRPr="00C23D3D" w:rsidRDefault="00B14F41" w:rsidP="000055AE">
      <w:pPr>
        <w:pStyle w:val="ListParagraph"/>
        <w:numPr>
          <w:ilvl w:val="0"/>
          <w:numId w:val="26"/>
        </w:numPr>
        <w:autoSpaceDE w:val="0"/>
        <w:autoSpaceDN w:val="0"/>
        <w:adjustRightInd w:val="0"/>
        <w:spacing w:after="0"/>
        <w:ind w:left="714" w:hanging="357"/>
        <w:rPr>
          <w:rFonts w:asciiTheme="minorHAnsi" w:hAnsiTheme="minorHAnsi"/>
          <w:sz w:val="24"/>
          <w:szCs w:val="24"/>
        </w:rPr>
      </w:pPr>
      <w:r w:rsidRPr="00C23D3D">
        <w:rPr>
          <w:rFonts w:asciiTheme="minorHAnsi" w:hAnsiTheme="minorHAnsi"/>
          <w:sz w:val="24"/>
          <w:szCs w:val="24"/>
        </w:rPr>
        <w:t>the nature of the right affected;</w:t>
      </w:r>
    </w:p>
    <w:p w:rsidR="00B14F41" w:rsidRPr="00C23D3D" w:rsidRDefault="00B14F41" w:rsidP="000055AE">
      <w:pPr>
        <w:pStyle w:val="ListParagraph"/>
        <w:numPr>
          <w:ilvl w:val="0"/>
          <w:numId w:val="26"/>
        </w:numPr>
        <w:autoSpaceDE w:val="0"/>
        <w:autoSpaceDN w:val="0"/>
        <w:adjustRightInd w:val="0"/>
        <w:spacing w:after="0"/>
        <w:ind w:left="714" w:hanging="357"/>
        <w:rPr>
          <w:rFonts w:asciiTheme="minorHAnsi" w:hAnsiTheme="minorHAnsi"/>
          <w:sz w:val="24"/>
          <w:szCs w:val="24"/>
        </w:rPr>
      </w:pPr>
      <w:r w:rsidRPr="00C23D3D">
        <w:rPr>
          <w:rFonts w:asciiTheme="minorHAnsi" w:hAnsiTheme="minorHAnsi"/>
          <w:sz w:val="24"/>
          <w:szCs w:val="24"/>
        </w:rPr>
        <w:t>the importance of the purpose of the limitation;</w:t>
      </w:r>
    </w:p>
    <w:p w:rsidR="00B14F41" w:rsidRPr="00C23D3D" w:rsidRDefault="00B14F41" w:rsidP="000055AE">
      <w:pPr>
        <w:pStyle w:val="ListParagraph"/>
        <w:numPr>
          <w:ilvl w:val="0"/>
          <w:numId w:val="26"/>
        </w:numPr>
        <w:autoSpaceDE w:val="0"/>
        <w:autoSpaceDN w:val="0"/>
        <w:adjustRightInd w:val="0"/>
        <w:spacing w:after="0"/>
        <w:ind w:left="714" w:hanging="357"/>
        <w:rPr>
          <w:rFonts w:asciiTheme="minorHAnsi" w:hAnsiTheme="minorHAnsi"/>
          <w:sz w:val="24"/>
          <w:szCs w:val="24"/>
        </w:rPr>
      </w:pPr>
      <w:r w:rsidRPr="00C23D3D">
        <w:rPr>
          <w:rFonts w:asciiTheme="minorHAnsi" w:hAnsiTheme="minorHAnsi"/>
          <w:sz w:val="24"/>
          <w:szCs w:val="24"/>
        </w:rPr>
        <w:t>the nature and extent of the limitation;</w:t>
      </w:r>
    </w:p>
    <w:p w:rsidR="00B14F41" w:rsidRPr="00C23D3D" w:rsidRDefault="00B14F41" w:rsidP="000055AE">
      <w:pPr>
        <w:pStyle w:val="ListParagraph"/>
        <w:numPr>
          <w:ilvl w:val="0"/>
          <w:numId w:val="26"/>
        </w:numPr>
        <w:autoSpaceDE w:val="0"/>
        <w:autoSpaceDN w:val="0"/>
        <w:adjustRightInd w:val="0"/>
        <w:spacing w:after="0"/>
        <w:ind w:left="714" w:hanging="357"/>
        <w:rPr>
          <w:rFonts w:asciiTheme="minorHAnsi" w:hAnsiTheme="minorHAnsi"/>
          <w:sz w:val="24"/>
          <w:szCs w:val="24"/>
        </w:rPr>
      </w:pPr>
      <w:r w:rsidRPr="00C23D3D">
        <w:rPr>
          <w:rFonts w:asciiTheme="minorHAnsi" w:hAnsiTheme="minorHAnsi"/>
          <w:sz w:val="24"/>
          <w:szCs w:val="24"/>
        </w:rPr>
        <w:t>the relationship between the limitation and its purpose; and</w:t>
      </w:r>
    </w:p>
    <w:p w:rsidR="00B14F41" w:rsidRPr="00C23D3D" w:rsidRDefault="00B14F41" w:rsidP="000055AE">
      <w:pPr>
        <w:pStyle w:val="ListParagraph"/>
        <w:numPr>
          <w:ilvl w:val="0"/>
          <w:numId w:val="26"/>
        </w:numPr>
        <w:autoSpaceDE w:val="0"/>
        <w:autoSpaceDN w:val="0"/>
        <w:adjustRightInd w:val="0"/>
        <w:spacing w:after="0"/>
        <w:ind w:left="714" w:hanging="357"/>
        <w:rPr>
          <w:rFonts w:asciiTheme="minorHAnsi" w:hAnsiTheme="minorHAnsi"/>
          <w:sz w:val="24"/>
          <w:szCs w:val="24"/>
        </w:rPr>
      </w:pPr>
      <w:r w:rsidRPr="00C23D3D">
        <w:rPr>
          <w:rFonts w:asciiTheme="minorHAnsi" w:hAnsiTheme="minorHAnsi"/>
          <w:sz w:val="24"/>
          <w:szCs w:val="24"/>
        </w:rPr>
        <w:t>any less restrictive means reasonably available to achieve the purpose the limitation seeks to achieve.</w:t>
      </w:r>
    </w:p>
    <w:p w:rsidR="00B14F41" w:rsidRPr="00C23D3D" w:rsidRDefault="00B14F41" w:rsidP="000055AE">
      <w:pPr>
        <w:spacing w:after="0"/>
        <w:rPr>
          <w:rFonts w:asciiTheme="minorHAnsi" w:hAnsiTheme="minorHAnsi" w:cs="Calibri"/>
          <w:szCs w:val="24"/>
          <w:lang w:eastAsia="en-AU"/>
        </w:rPr>
      </w:pPr>
    </w:p>
    <w:p w:rsidR="00B14F41" w:rsidRPr="00C23D3D" w:rsidRDefault="00B14F41" w:rsidP="000055AE">
      <w:pPr>
        <w:autoSpaceDE w:val="0"/>
        <w:autoSpaceDN w:val="0"/>
        <w:adjustRightInd w:val="0"/>
        <w:spacing w:after="0"/>
        <w:rPr>
          <w:rFonts w:asciiTheme="minorHAnsi" w:hAnsiTheme="minorHAnsi" w:cs="Calibri-Bold"/>
          <w:b/>
          <w:bCs/>
          <w:szCs w:val="24"/>
          <w:lang w:eastAsia="en-AU"/>
        </w:rPr>
      </w:pPr>
      <w:r w:rsidRPr="00C23D3D">
        <w:rPr>
          <w:rFonts w:asciiTheme="minorHAnsi" w:hAnsiTheme="minorHAnsi" w:cs="Calibri-Bold"/>
          <w:b/>
          <w:bCs/>
          <w:szCs w:val="24"/>
          <w:lang w:eastAsia="en-AU"/>
        </w:rPr>
        <w:t>Right to privacy and reputation, section 12</w:t>
      </w:r>
      <w:r w:rsidR="002F7CAD">
        <w:rPr>
          <w:rFonts w:asciiTheme="minorHAnsi" w:hAnsiTheme="minorHAnsi" w:cs="Calibri-Bold"/>
          <w:b/>
          <w:bCs/>
          <w:szCs w:val="24"/>
          <w:lang w:eastAsia="en-AU"/>
        </w:rPr>
        <w:t xml:space="preserve"> and right to peaceful assembly and freedom of association, section 15(2) </w:t>
      </w:r>
      <w:r w:rsidRPr="00C23D3D">
        <w:rPr>
          <w:rFonts w:asciiTheme="minorHAnsi" w:hAnsiTheme="minorHAnsi" w:cs="Calibri-Bold"/>
          <w:b/>
          <w:bCs/>
          <w:szCs w:val="24"/>
          <w:lang w:eastAsia="en-AU"/>
        </w:rPr>
        <w:t>– Advisory board members’ eligibility for appointment and disclosure of interests</w:t>
      </w:r>
    </w:p>
    <w:p w:rsidR="00B14F41" w:rsidRPr="00C23D3D" w:rsidRDefault="00B14F41" w:rsidP="000055AE">
      <w:pPr>
        <w:spacing w:after="0"/>
        <w:rPr>
          <w:rFonts w:asciiTheme="minorHAnsi" w:hAnsiTheme="minorHAnsi" w:cs="Calibri"/>
          <w:szCs w:val="24"/>
          <w:lang w:eastAsia="en-AU"/>
        </w:rPr>
      </w:pPr>
      <w:r w:rsidRPr="00C23D3D">
        <w:rPr>
          <w:rFonts w:asciiTheme="minorHAnsi" w:hAnsiTheme="minorHAnsi" w:cs="Calibri-Italic"/>
          <w:i/>
          <w:iCs/>
          <w:szCs w:val="24"/>
          <w:lang w:eastAsia="en-AU"/>
        </w:rPr>
        <w:t>The nature of the right affected</w:t>
      </w:r>
    </w:p>
    <w:p w:rsidR="00B14F41" w:rsidRPr="00C23D3D" w:rsidRDefault="00B14F41" w:rsidP="000055AE">
      <w:pPr>
        <w:spacing w:after="0"/>
        <w:rPr>
          <w:rFonts w:asciiTheme="minorHAnsi" w:hAnsiTheme="minorHAnsi"/>
          <w:szCs w:val="24"/>
        </w:rPr>
      </w:pPr>
      <w:r w:rsidRPr="00C23D3D">
        <w:rPr>
          <w:rFonts w:asciiTheme="minorHAnsi" w:hAnsiTheme="minorHAnsi"/>
          <w:szCs w:val="24"/>
        </w:rPr>
        <w:t xml:space="preserve">Section 12 (Privacy and reputation) of the </w:t>
      </w:r>
      <w:r w:rsidRPr="00C23D3D">
        <w:rPr>
          <w:rFonts w:asciiTheme="minorHAnsi" w:hAnsiTheme="minorHAnsi"/>
          <w:i/>
          <w:szCs w:val="24"/>
        </w:rPr>
        <w:t>Human Rights Act 2004</w:t>
      </w:r>
      <w:r w:rsidRPr="00C23D3D">
        <w:rPr>
          <w:rFonts w:asciiTheme="minorHAnsi" w:hAnsiTheme="minorHAnsi"/>
          <w:szCs w:val="24"/>
        </w:rPr>
        <w:t xml:space="preserve"> provides that everyone has the right not to have his or her privacy, family, or home or correspondence interfered with unlawfully or arbitrarily, and not to have his or her reputation unlawfully attacked.</w:t>
      </w:r>
      <w:r w:rsidR="002F7CAD">
        <w:rPr>
          <w:rFonts w:asciiTheme="minorHAnsi" w:hAnsiTheme="minorHAnsi"/>
          <w:szCs w:val="24"/>
        </w:rPr>
        <w:t xml:space="preserve"> </w:t>
      </w:r>
      <w:r w:rsidR="002F7CAD">
        <w:rPr>
          <w:rFonts w:asciiTheme="minorHAnsi" w:hAnsiTheme="minorHAnsi"/>
          <w:szCs w:val="24"/>
        </w:rPr>
        <w:lastRenderedPageBreak/>
        <w:t>Section 15(2) of the Human Rights Act provides that everyone has the right to freedom of association.</w:t>
      </w:r>
    </w:p>
    <w:p w:rsidR="00B14F41" w:rsidRPr="00C23D3D" w:rsidRDefault="00B14F41" w:rsidP="000055AE">
      <w:pPr>
        <w:spacing w:after="0"/>
        <w:rPr>
          <w:rFonts w:asciiTheme="minorHAnsi" w:hAnsiTheme="minorHAnsi" w:cs="Calibri"/>
          <w:szCs w:val="24"/>
          <w:lang w:eastAsia="en-AU"/>
        </w:rPr>
      </w:pPr>
    </w:p>
    <w:p w:rsidR="00B14F41" w:rsidRPr="00C23D3D" w:rsidRDefault="00B14F41" w:rsidP="000055AE">
      <w:pPr>
        <w:spacing w:after="0"/>
        <w:rPr>
          <w:rFonts w:asciiTheme="minorHAnsi" w:hAnsiTheme="minorHAnsi"/>
          <w:color w:val="000000"/>
          <w:szCs w:val="24"/>
        </w:rPr>
      </w:pPr>
      <w:r w:rsidRPr="00C23D3D">
        <w:rPr>
          <w:rFonts w:asciiTheme="minorHAnsi" w:hAnsiTheme="minorHAnsi" w:cs="Calibri"/>
          <w:szCs w:val="24"/>
          <w:lang w:eastAsia="en-AU"/>
        </w:rPr>
        <w:t xml:space="preserve">Clause 22 of the Bill will insert new subdivision 11.3.3 in the Gaming Machine Act, which provides for an advisory board for the diversification and sustainability support fund. The advisory board’s function is to </w:t>
      </w:r>
      <w:r w:rsidRPr="00C23D3D">
        <w:rPr>
          <w:rFonts w:asciiTheme="minorHAnsi" w:hAnsiTheme="minorHAnsi"/>
          <w:color w:val="000000"/>
          <w:szCs w:val="24"/>
        </w:rPr>
        <w:t>advise the Minister on matters concerning the diversification and sustainability support fund, and to make recommendations about payments to be made from the fund.</w:t>
      </w:r>
    </w:p>
    <w:p w:rsidR="00B14F41" w:rsidRPr="00C23D3D" w:rsidRDefault="00B14F41" w:rsidP="000055AE">
      <w:pPr>
        <w:spacing w:after="0"/>
        <w:rPr>
          <w:rFonts w:asciiTheme="minorHAnsi" w:hAnsiTheme="minorHAnsi"/>
          <w:szCs w:val="24"/>
        </w:rPr>
      </w:pPr>
    </w:p>
    <w:p w:rsidR="00B14F41" w:rsidRPr="00C23D3D" w:rsidRDefault="00B14F41" w:rsidP="000055AE">
      <w:pPr>
        <w:spacing w:after="0"/>
        <w:rPr>
          <w:rFonts w:asciiTheme="minorHAnsi" w:hAnsiTheme="minorHAnsi"/>
          <w:szCs w:val="24"/>
        </w:rPr>
      </w:pPr>
      <w:r w:rsidRPr="00C23D3D">
        <w:rPr>
          <w:rFonts w:asciiTheme="minorHAnsi" w:hAnsiTheme="minorHAnsi"/>
          <w:szCs w:val="24"/>
        </w:rPr>
        <w:t xml:space="preserve">New section 163N(1) inserted by clause 22 </w:t>
      </w:r>
      <w:r w:rsidR="001B11CF" w:rsidRPr="00C23D3D">
        <w:rPr>
          <w:rFonts w:asciiTheme="minorHAnsi" w:hAnsiTheme="minorHAnsi"/>
          <w:szCs w:val="24"/>
        </w:rPr>
        <w:t xml:space="preserve">of the Amendment Bill </w:t>
      </w:r>
      <w:r w:rsidRPr="00C23D3D">
        <w:rPr>
          <w:rFonts w:asciiTheme="minorHAnsi" w:hAnsiTheme="minorHAnsi"/>
          <w:szCs w:val="24"/>
        </w:rPr>
        <w:t>establishes when a person is ineligible to be, or to remain, appointed to the advisory board. The Minister must not appoint a person, or must end an appointment of a person, to the advisory board if:</w:t>
      </w:r>
    </w:p>
    <w:p w:rsidR="00B14F41" w:rsidRPr="00C23D3D" w:rsidRDefault="00B14F41" w:rsidP="000055AE">
      <w:pPr>
        <w:pStyle w:val="ListParagraph"/>
        <w:numPr>
          <w:ilvl w:val="0"/>
          <w:numId w:val="32"/>
        </w:numPr>
        <w:spacing w:after="0"/>
        <w:rPr>
          <w:rFonts w:asciiTheme="minorHAnsi" w:hAnsiTheme="minorHAnsi"/>
          <w:sz w:val="24"/>
          <w:szCs w:val="24"/>
        </w:rPr>
      </w:pPr>
      <w:r w:rsidRPr="00C23D3D">
        <w:rPr>
          <w:rFonts w:asciiTheme="minorHAnsi" w:hAnsiTheme="minorHAnsi"/>
          <w:sz w:val="24"/>
          <w:szCs w:val="24"/>
        </w:rPr>
        <w:t>the person, or the person’s domestic partner, is an influential person for a club licensee (see section 8 of the Gaming Machine Act for the definition of influential person);</w:t>
      </w:r>
    </w:p>
    <w:p w:rsidR="00B14F41" w:rsidRPr="00C23D3D" w:rsidRDefault="00B14F41" w:rsidP="000055AE">
      <w:pPr>
        <w:pStyle w:val="ListParagraph"/>
        <w:numPr>
          <w:ilvl w:val="0"/>
          <w:numId w:val="32"/>
        </w:numPr>
        <w:spacing w:after="0"/>
        <w:rPr>
          <w:rFonts w:asciiTheme="minorHAnsi" w:hAnsiTheme="minorHAnsi"/>
          <w:sz w:val="24"/>
          <w:szCs w:val="24"/>
        </w:rPr>
      </w:pPr>
      <w:r w:rsidRPr="00C23D3D">
        <w:rPr>
          <w:rFonts w:asciiTheme="minorHAnsi" w:hAnsiTheme="minorHAnsi"/>
          <w:sz w:val="24"/>
          <w:szCs w:val="24"/>
        </w:rPr>
        <w:t>the person is an employee, representative or board member of an industry association for clubs;</w:t>
      </w:r>
    </w:p>
    <w:p w:rsidR="00B14F41" w:rsidRPr="00C23D3D" w:rsidRDefault="00B14F41" w:rsidP="000055AE">
      <w:pPr>
        <w:pStyle w:val="ListParagraph"/>
        <w:numPr>
          <w:ilvl w:val="0"/>
          <w:numId w:val="32"/>
        </w:numPr>
        <w:spacing w:after="0"/>
        <w:rPr>
          <w:rFonts w:asciiTheme="minorHAnsi" w:hAnsiTheme="minorHAnsi"/>
          <w:sz w:val="24"/>
          <w:szCs w:val="24"/>
        </w:rPr>
      </w:pPr>
      <w:r w:rsidRPr="00C23D3D">
        <w:rPr>
          <w:rFonts w:asciiTheme="minorHAnsi" w:hAnsiTheme="minorHAnsi"/>
          <w:sz w:val="24"/>
          <w:szCs w:val="24"/>
        </w:rPr>
        <w:t>the person has been convicted, or found guilty, of an offence against a gaming law;</w:t>
      </w:r>
    </w:p>
    <w:p w:rsidR="00B14F41" w:rsidRPr="00C23D3D" w:rsidRDefault="00B14F41" w:rsidP="000055AE">
      <w:pPr>
        <w:pStyle w:val="ListParagraph"/>
        <w:numPr>
          <w:ilvl w:val="0"/>
          <w:numId w:val="32"/>
        </w:numPr>
        <w:spacing w:after="0"/>
        <w:rPr>
          <w:rFonts w:asciiTheme="minorHAnsi" w:hAnsiTheme="minorHAnsi"/>
          <w:sz w:val="24"/>
          <w:szCs w:val="24"/>
        </w:rPr>
      </w:pPr>
      <w:r w:rsidRPr="00C23D3D">
        <w:rPr>
          <w:rFonts w:asciiTheme="minorHAnsi" w:hAnsiTheme="minorHAnsi"/>
          <w:sz w:val="24"/>
          <w:szCs w:val="24"/>
        </w:rPr>
        <w:t>within the last five years the person has been convicted or found guilty of certain offences; or</w:t>
      </w:r>
    </w:p>
    <w:p w:rsidR="00B14F41" w:rsidRPr="00C23D3D" w:rsidRDefault="00B14F41" w:rsidP="000055AE">
      <w:pPr>
        <w:pStyle w:val="ListParagraph"/>
        <w:numPr>
          <w:ilvl w:val="0"/>
          <w:numId w:val="32"/>
        </w:numPr>
        <w:spacing w:after="0"/>
        <w:rPr>
          <w:rFonts w:asciiTheme="minorHAnsi" w:hAnsiTheme="minorHAnsi"/>
          <w:sz w:val="24"/>
          <w:szCs w:val="24"/>
        </w:rPr>
      </w:pPr>
      <w:r w:rsidRPr="00C23D3D">
        <w:rPr>
          <w:rFonts w:asciiTheme="minorHAnsi" w:hAnsiTheme="minorHAnsi"/>
          <w:sz w:val="24"/>
          <w:szCs w:val="24"/>
        </w:rPr>
        <w:t>the Minister considers that the person is unlikely to be able to exercise the functions of a member of the advisory board because of the person’s business association, financial association or close personal association with another person.</w:t>
      </w:r>
    </w:p>
    <w:p w:rsidR="00B14F41" w:rsidRPr="00C23D3D" w:rsidRDefault="00B14F41" w:rsidP="000055AE">
      <w:pPr>
        <w:spacing w:after="0"/>
        <w:rPr>
          <w:rFonts w:asciiTheme="minorHAnsi" w:hAnsiTheme="minorHAnsi"/>
          <w:szCs w:val="24"/>
        </w:rPr>
      </w:pPr>
    </w:p>
    <w:p w:rsidR="00B14F41" w:rsidRPr="00C23D3D" w:rsidRDefault="001B11CF" w:rsidP="000055AE">
      <w:pPr>
        <w:spacing w:after="0"/>
        <w:rPr>
          <w:rFonts w:asciiTheme="minorHAnsi" w:hAnsiTheme="minorHAnsi"/>
          <w:szCs w:val="24"/>
        </w:rPr>
      </w:pPr>
      <w:r w:rsidRPr="00C23D3D">
        <w:rPr>
          <w:rFonts w:asciiTheme="minorHAnsi" w:hAnsiTheme="minorHAnsi"/>
          <w:szCs w:val="24"/>
        </w:rPr>
        <w:t>Clause 22, n</w:t>
      </w:r>
      <w:r w:rsidR="00B14F41" w:rsidRPr="00C23D3D">
        <w:rPr>
          <w:rFonts w:asciiTheme="minorHAnsi" w:hAnsiTheme="minorHAnsi"/>
          <w:szCs w:val="24"/>
        </w:rPr>
        <w:t>ew section 163N(2) sets out circumstances in which an advisory board member’s appointment may be ended. These circumstances include where the person has:</w:t>
      </w:r>
    </w:p>
    <w:p w:rsidR="00B14F41" w:rsidRPr="00C23D3D" w:rsidRDefault="00B14F41" w:rsidP="000055AE">
      <w:pPr>
        <w:pStyle w:val="ListParagraph"/>
        <w:numPr>
          <w:ilvl w:val="0"/>
          <w:numId w:val="32"/>
        </w:numPr>
        <w:spacing w:after="0"/>
        <w:rPr>
          <w:rFonts w:asciiTheme="minorHAnsi" w:hAnsiTheme="minorHAnsi"/>
          <w:sz w:val="24"/>
          <w:szCs w:val="24"/>
        </w:rPr>
      </w:pPr>
      <w:r w:rsidRPr="00C23D3D">
        <w:rPr>
          <w:rFonts w:asciiTheme="minorHAnsi" w:hAnsiTheme="minorHAnsi"/>
          <w:sz w:val="24"/>
          <w:szCs w:val="24"/>
        </w:rPr>
        <w:t>contravened a Territory law;</w:t>
      </w:r>
    </w:p>
    <w:p w:rsidR="00B14F41" w:rsidRPr="00C23D3D" w:rsidRDefault="00B14F41" w:rsidP="000055AE">
      <w:pPr>
        <w:pStyle w:val="ListParagraph"/>
        <w:numPr>
          <w:ilvl w:val="0"/>
          <w:numId w:val="32"/>
        </w:numPr>
        <w:spacing w:after="0"/>
        <w:rPr>
          <w:rFonts w:asciiTheme="minorHAnsi" w:hAnsiTheme="minorHAnsi"/>
          <w:sz w:val="24"/>
          <w:szCs w:val="24"/>
        </w:rPr>
      </w:pPr>
      <w:r w:rsidRPr="00C23D3D">
        <w:rPr>
          <w:rFonts w:asciiTheme="minorHAnsi" w:hAnsiTheme="minorHAnsi"/>
          <w:sz w:val="24"/>
          <w:szCs w:val="24"/>
        </w:rPr>
        <w:t>failed to take all reasonable steps where a conflict of interest may arise during the exercise of the person’s functions as a member of the advisory board;</w:t>
      </w:r>
    </w:p>
    <w:p w:rsidR="00B14F41" w:rsidRPr="00C23D3D" w:rsidRDefault="00B14F41" w:rsidP="000055AE">
      <w:pPr>
        <w:pStyle w:val="ListParagraph"/>
        <w:numPr>
          <w:ilvl w:val="0"/>
          <w:numId w:val="32"/>
        </w:numPr>
        <w:spacing w:after="0"/>
        <w:rPr>
          <w:rFonts w:asciiTheme="minorHAnsi" w:hAnsiTheme="minorHAnsi"/>
          <w:sz w:val="24"/>
          <w:szCs w:val="24"/>
        </w:rPr>
      </w:pPr>
      <w:r w:rsidRPr="00C23D3D">
        <w:rPr>
          <w:rFonts w:asciiTheme="minorHAnsi" w:hAnsiTheme="minorHAnsi"/>
          <w:sz w:val="24"/>
          <w:szCs w:val="24"/>
        </w:rPr>
        <w:t>is bankrupt or personally insolvent;</w:t>
      </w:r>
    </w:p>
    <w:p w:rsidR="00B14F41" w:rsidRPr="00C23D3D" w:rsidRDefault="00B14F41" w:rsidP="000055AE">
      <w:pPr>
        <w:pStyle w:val="ListParagraph"/>
        <w:numPr>
          <w:ilvl w:val="0"/>
          <w:numId w:val="32"/>
        </w:numPr>
        <w:spacing w:after="0"/>
        <w:rPr>
          <w:rFonts w:asciiTheme="minorHAnsi" w:hAnsiTheme="minorHAnsi"/>
          <w:sz w:val="24"/>
          <w:szCs w:val="24"/>
        </w:rPr>
      </w:pPr>
      <w:r w:rsidRPr="00C23D3D">
        <w:rPr>
          <w:rFonts w:asciiTheme="minorHAnsi" w:hAnsiTheme="minorHAnsi"/>
          <w:sz w:val="24"/>
          <w:szCs w:val="24"/>
        </w:rPr>
        <w:t>is absent from three consecutive meetings of the board, otherwise than on approved leave;</w:t>
      </w:r>
    </w:p>
    <w:p w:rsidR="00B14F41" w:rsidRPr="00C23D3D" w:rsidRDefault="00B14F41" w:rsidP="000055AE">
      <w:pPr>
        <w:pStyle w:val="ListParagraph"/>
        <w:numPr>
          <w:ilvl w:val="0"/>
          <w:numId w:val="32"/>
        </w:numPr>
        <w:spacing w:after="0"/>
        <w:rPr>
          <w:rFonts w:asciiTheme="minorHAnsi" w:hAnsiTheme="minorHAnsi"/>
          <w:sz w:val="24"/>
          <w:szCs w:val="24"/>
        </w:rPr>
      </w:pPr>
      <w:r w:rsidRPr="00C23D3D">
        <w:rPr>
          <w:rFonts w:asciiTheme="minorHAnsi" w:hAnsiTheme="minorHAnsi"/>
          <w:sz w:val="24"/>
          <w:szCs w:val="24"/>
        </w:rPr>
        <w:t>is affected by physical or mental incapacity that substantially affects the person’s ability to exercise the functions of a member of the advisory board.</w:t>
      </w:r>
    </w:p>
    <w:p w:rsidR="00B14F41" w:rsidRPr="00C23D3D" w:rsidRDefault="00B14F41" w:rsidP="000055AE">
      <w:pPr>
        <w:spacing w:after="0"/>
        <w:rPr>
          <w:rFonts w:asciiTheme="minorHAnsi" w:hAnsiTheme="minorHAnsi"/>
          <w:szCs w:val="24"/>
        </w:rPr>
      </w:pPr>
    </w:p>
    <w:p w:rsidR="00B14F41" w:rsidRPr="00C23D3D" w:rsidRDefault="001B11CF" w:rsidP="000055AE">
      <w:pPr>
        <w:spacing w:after="0"/>
        <w:rPr>
          <w:rFonts w:asciiTheme="minorHAnsi" w:hAnsiTheme="minorHAnsi"/>
          <w:szCs w:val="24"/>
        </w:rPr>
      </w:pPr>
      <w:r w:rsidRPr="00C23D3D">
        <w:rPr>
          <w:rFonts w:asciiTheme="minorHAnsi" w:hAnsiTheme="minorHAnsi"/>
          <w:szCs w:val="24"/>
        </w:rPr>
        <w:t>Clause 22, n</w:t>
      </w:r>
      <w:r w:rsidR="00B14F41" w:rsidRPr="00C23D3D">
        <w:rPr>
          <w:rFonts w:asciiTheme="minorHAnsi" w:hAnsiTheme="minorHAnsi"/>
          <w:szCs w:val="24"/>
        </w:rPr>
        <w:t>ew section 163N(3) provides the definition of the term ‘association’ for the section. In this instance, an association of a person with another person does not include the person’s membership of a club unless the person is involved in managing or running the club. This provision ensures that a person who holds a club membership but is not involved in club decision-making remains eligible for appointment to the advisory board.</w:t>
      </w:r>
    </w:p>
    <w:p w:rsidR="001B11CF" w:rsidRPr="00C23D3D" w:rsidRDefault="001B11CF" w:rsidP="000055AE">
      <w:pPr>
        <w:spacing w:after="0"/>
        <w:rPr>
          <w:rFonts w:asciiTheme="minorHAnsi" w:hAnsiTheme="minorHAnsi"/>
          <w:szCs w:val="24"/>
        </w:rPr>
      </w:pPr>
    </w:p>
    <w:p w:rsidR="00B14F41" w:rsidRPr="00C23D3D" w:rsidRDefault="001B11CF" w:rsidP="000055AE">
      <w:pPr>
        <w:spacing w:after="0"/>
        <w:rPr>
          <w:rFonts w:asciiTheme="minorHAnsi" w:hAnsiTheme="minorHAnsi"/>
          <w:color w:val="000000"/>
          <w:szCs w:val="24"/>
          <w:lang w:eastAsia="en-AU"/>
        </w:rPr>
      </w:pPr>
      <w:r w:rsidRPr="00C23D3D">
        <w:rPr>
          <w:rFonts w:asciiTheme="minorHAnsi" w:hAnsiTheme="minorHAnsi"/>
          <w:color w:val="000000"/>
          <w:szCs w:val="24"/>
          <w:lang w:eastAsia="en-AU"/>
        </w:rPr>
        <w:lastRenderedPageBreak/>
        <w:t>Clause 22</w:t>
      </w:r>
      <w:r w:rsidR="00B14F41" w:rsidRPr="00C23D3D">
        <w:rPr>
          <w:rFonts w:asciiTheme="minorHAnsi" w:hAnsiTheme="minorHAnsi"/>
          <w:color w:val="000000"/>
          <w:szCs w:val="24"/>
          <w:lang w:eastAsia="en-AU"/>
        </w:rPr>
        <w:t xml:space="preserve">, new section </w:t>
      </w:r>
      <w:r w:rsidRPr="00C23D3D">
        <w:rPr>
          <w:rFonts w:asciiTheme="minorHAnsi" w:hAnsiTheme="minorHAnsi"/>
          <w:color w:val="000000"/>
          <w:szCs w:val="24"/>
          <w:lang w:eastAsia="en-AU"/>
        </w:rPr>
        <w:t xml:space="preserve">163P </w:t>
      </w:r>
      <w:r w:rsidR="00B14F41" w:rsidRPr="00C23D3D">
        <w:rPr>
          <w:rFonts w:asciiTheme="minorHAnsi" w:hAnsiTheme="minorHAnsi"/>
          <w:color w:val="000000"/>
          <w:szCs w:val="24"/>
          <w:lang w:eastAsia="en-AU"/>
        </w:rPr>
        <w:t xml:space="preserve">provides for the disclosure of interests by </w:t>
      </w:r>
      <w:r w:rsidRPr="00C23D3D">
        <w:rPr>
          <w:rFonts w:asciiTheme="minorHAnsi" w:hAnsiTheme="minorHAnsi"/>
          <w:color w:val="000000"/>
          <w:szCs w:val="24"/>
          <w:lang w:eastAsia="en-AU"/>
        </w:rPr>
        <w:t>advisory board</w:t>
      </w:r>
      <w:r w:rsidR="00B14F41" w:rsidRPr="00C23D3D">
        <w:rPr>
          <w:rFonts w:asciiTheme="minorHAnsi" w:hAnsiTheme="minorHAnsi"/>
          <w:color w:val="000000"/>
          <w:szCs w:val="24"/>
          <w:lang w:eastAsia="en-AU"/>
        </w:rPr>
        <w:t xml:space="preserve"> members, including in relation to financial and personal interests.</w:t>
      </w:r>
    </w:p>
    <w:p w:rsidR="00B14F41" w:rsidRPr="00C23D3D" w:rsidRDefault="00B14F41" w:rsidP="000055AE">
      <w:pPr>
        <w:spacing w:after="0"/>
        <w:rPr>
          <w:rFonts w:asciiTheme="minorHAnsi" w:hAnsiTheme="minorHAnsi"/>
          <w:color w:val="000000"/>
          <w:szCs w:val="24"/>
          <w:lang w:eastAsia="en-AU"/>
        </w:rPr>
      </w:pPr>
    </w:p>
    <w:p w:rsidR="00B14F41" w:rsidRPr="00C23D3D" w:rsidRDefault="001B11CF" w:rsidP="000055AE">
      <w:pPr>
        <w:spacing w:after="0"/>
        <w:rPr>
          <w:rFonts w:asciiTheme="minorHAnsi" w:hAnsiTheme="minorHAnsi"/>
          <w:szCs w:val="24"/>
        </w:rPr>
      </w:pPr>
      <w:r w:rsidRPr="00C23D3D">
        <w:rPr>
          <w:rFonts w:asciiTheme="minorHAnsi" w:hAnsiTheme="minorHAnsi"/>
          <w:szCs w:val="24"/>
        </w:rPr>
        <w:t xml:space="preserve">In order for a person to be an advisory board </w:t>
      </w:r>
      <w:r w:rsidR="00B14F41" w:rsidRPr="00C23D3D">
        <w:rPr>
          <w:rFonts w:asciiTheme="minorHAnsi" w:hAnsiTheme="minorHAnsi"/>
          <w:szCs w:val="24"/>
        </w:rPr>
        <w:t xml:space="preserve">member, </w:t>
      </w:r>
      <w:r w:rsidR="002F7CAD">
        <w:rPr>
          <w:rFonts w:asciiTheme="minorHAnsi" w:hAnsiTheme="minorHAnsi"/>
          <w:szCs w:val="24"/>
        </w:rPr>
        <w:t>a person</w:t>
      </w:r>
      <w:r w:rsidR="00B14F41" w:rsidRPr="00C23D3D">
        <w:rPr>
          <w:rFonts w:asciiTheme="minorHAnsi" w:hAnsiTheme="minorHAnsi"/>
          <w:szCs w:val="24"/>
        </w:rPr>
        <w:t xml:space="preserve"> may need to disclose information about their current interests and associations, their partner’s business interests and their criminal history. These requirements engage the right to privacy and reputation</w:t>
      </w:r>
      <w:r w:rsidR="002F7CAD">
        <w:rPr>
          <w:rFonts w:asciiTheme="minorHAnsi" w:hAnsiTheme="minorHAnsi"/>
          <w:szCs w:val="24"/>
        </w:rPr>
        <w:t xml:space="preserve"> and the right to freedom of association</w:t>
      </w:r>
      <w:r w:rsidR="00B14F41" w:rsidRPr="00C23D3D">
        <w:rPr>
          <w:rFonts w:asciiTheme="minorHAnsi" w:hAnsiTheme="minorHAnsi"/>
          <w:szCs w:val="24"/>
        </w:rPr>
        <w:t>.</w:t>
      </w:r>
    </w:p>
    <w:p w:rsidR="00B14F41" w:rsidRPr="00C23D3D" w:rsidRDefault="00B14F41" w:rsidP="000055AE">
      <w:pPr>
        <w:spacing w:after="0"/>
        <w:rPr>
          <w:rFonts w:asciiTheme="minorHAnsi" w:hAnsiTheme="minorHAnsi"/>
          <w:szCs w:val="24"/>
        </w:rPr>
      </w:pPr>
    </w:p>
    <w:p w:rsidR="00B14F41" w:rsidRPr="00C23D3D" w:rsidRDefault="00B14F41" w:rsidP="000055AE">
      <w:pPr>
        <w:keepNext/>
        <w:autoSpaceDE w:val="0"/>
        <w:autoSpaceDN w:val="0"/>
        <w:adjustRightInd w:val="0"/>
        <w:spacing w:after="0"/>
        <w:rPr>
          <w:rFonts w:asciiTheme="minorHAnsi" w:hAnsiTheme="minorHAnsi" w:cs="Calibri-Italic"/>
          <w:i/>
          <w:iCs/>
          <w:szCs w:val="24"/>
          <w:lang w:eastAsia="en-AU"/>
        </w:rPr>
      </w:pPr>
      <w:r w:rsidRPr="00C23D3D">
        <w:rPr>
          <w:rFonts w:asciiTheme="minorHAnsi" w:hAnsiTheme="minorHAnsi" w:cs="Calibri-Italic"/>
          <w:i/>
          <w:iCs/>
          <w:szCs w:val="24"/>
          <w:lang w:eastAsia="en-AU"/>
        </w:rPr>
        <w:t>The importance of the purpose of the limitation</w:t>
      </w:r>
    </w:p>
    <w:p w:rsidR="001B11CF" w:rsidRPr="00C23D3D" w:rsidRDefault="001B11CF" w:rsidP="000055AE">
      <w:pPr>
        <w:spacing w:after="0"/>
        <w:rPr>
          <w:rFonts w:asciiTheme="minorHAnsi" w:hAnsiTheme="minorHAnsi"/>
          <w:szCs w:val="24"/>
        </w:rPr>
      </w:pPr>
      <w:r w:rsidRPr="00C23D3D">
        <w:rPr>
          <w:rFonts w:asciiTheme="minorHAnsi" w:hAnsiTheme="minorHAnsi"/>
          <w:szCs w:val="24"/>
        </w:rPr>
        <w:t xml:space="preserve">The fund will be responsible for making recommendations to the Minister about payments from the diversification and sustainability support fund. </w:t>
      </w:r>
    </w:p>
    <w:p w:rsidR="00B14F41" w:rsidRPr="00C23D3D" w:rsidRDefault="00B14F41" w:rsidP="000055AE">
      <w:pPr>
        <w:spacing w:after="0"/>
        <w:rPr>
          <w:rFonts w:asciiTheme="minorHAnsi" w:hAnsiTheme="minorHAnsi"/>
          <w:szCs w:val="24"/>
        </w:rPr>
      </w:pPr>
    </w:p>
    <w:p w:rsidR="00B14F41" w:rsidRPr="00C23D3D" w:rsidRDefault="001B11CF" w:rsidP="000055AE">
      <w:pPr>
        <w:spacing w:after="0"/>
        <w:rPr>
          <w:rFonts w:asciiTheme="minorHAnsi" w:hAnsiTheme="minorHAnsi"/>
          <w:szCs w:val="24"/>
        </w:rPr>
      </w:pPr>
      <w:r w:rsidRPr="00C23D3D">
        <w:rPr>
          <w:rFonts w:asciiTheme="minorHAnsi" w:hAnsiTheme="minorHAnsi"/>
          <w:szCs w:val="24"/>
        </w:rPr>
        <w:t xml:space="preserve">While an advisory board’s power </w:t>
      </w:r>
      <w:r w:rsidR="00B14F41" w:rsidRPr="00C23D3D">
        <w:rPr>
          <w:rFonts w:asciiTheme="minorHAnsi" w:hAnsiTheme="minorHAnsi"/>
          <w:szCs w:val="24"/>
        </w:rPr>
        <w:t xml:space="preserve">is restricted to making a recommendation to the Minister about </w:t>
      </w:r>
      <w:r w:rsidRPr="00C23D3D">
        <w:rPr>
          <w:rFonts w:asciiTheme="minorHAnsi" w:hAnsiTheme="minorHAnsi"/>
          <w:szCs w:val="24"/>
        </w:rPr>
        <w:t>fund payments</w:t>
      </w:r>
      <w:r w:rsidR="00B14F41" w:rsidRPr="00C23D3D">
        <w:rPr>
          <w:rFonts w:asciiTheme="minorHAnsi" w:hAnsiTheme="minorHAnsi"/>
          <w:szCs w:val="24"/>
        </w:rPr>
        <w:t>, it is important that such a recommendation be as independent and impartial as possible, and that the community can be confident that it has not been improperly influenced.</w:t>
      </w:r>
    </w:p>
    <w:p w:rsidR="00B14F41" w:rsidRPr="00C23D3D" w:rsidRDefault="00B14F41" w:rsidP="000055AE">
      <w:pPr>
        <w:spacing w:after="0"/>
        <w:rPr>
          <w:rFonts w:asciiTheme="minorHAnsi" w:hAnsiTheme="minorHAnsi"/>
          <w:szCs w:val="24"/>
        </w:rPr>
      </w:pPr>
    </w:p>
    <w:p w:rsidR="00B14F41" w:rsidRPr="00C23D3D" w:rsidRDefault="002F7CAD" w:rsidP="000055AE">
      <w:pPr>
        <w:spacing w:after="0"/>
        <w:rPr>
          <w:rFonts w:asciiTheme="minorHAnsi" w:hAnsiTheme="minorHAnsi"/>
          <w:szCs w:val="24"/>
        </w:rPr>
      </w:pPr>
      <w:r>
        <w:rPr>
          <w:rFonts w:asciiTheme="minorHAnsi" w:hAnsiTheme="minorHAnsi"/>
          <w:szCs w:val="24"/>
        </w:rPr>
        <w:t xml:space="preserve">Advisory board members’ association and </w:t>
      </w:r>
      <w:r w:rsidR="00B14F41" w:rsidRPr="00C23D3D">
        <w:rPr>
          <w:rFonts w:asciiTheme="minorHAnsi" w:hAnsiTheme="minorHAnsi"/>
          <w:szCs w:val="24"/>
        </w:rPr>
        <w:t xml:space="preserve">personal information, including criminal history, is considered necessary and reasonable to ensure the integrity of </w:t>
      </w:r>
      <w:r w:rsidR="001B11CF" w:rsidRPr="00C23D3D">
        <w:rPr>
          <w:rFonts w:asciiTheme="minorHAnsi" w:hAnsiTheme="minorHAnsi"/>
          <w:szCs w:val="24"/>
        </w:rPr>
        <w:t>the fund</w:t>
      </w:r>
      <w:r>
        <w:rPr>
          <w:rFonts w:asciiTheme="minorHAnsi" w:hAnsiTheme="minorHAnsi"/>
          <w:szCs w:val="24"/>
        </w:rPr>
        <w:t>.</w:t>
      </w:r>
    </w:p>
    <w:p w:rsidR="00B14F41" w:rsidRPr="00C23D3D" w:rsidRDefault="00B14F41" w:rsidP="000055AE">
      <w:pPr>
        <w:spacing w:after="0"/>
        <w:rPr>
          <w:rFonts w:asciiTheme="minorHAnsi" w:hAnsiTheme="minorHAnsi"/>
          <w:szCs w:val="24"/>
        </w:rPr>
      </w:pPr>
    </w:p>
    <w:p w:rsidR="00B14F41" w:rsidRPr="00C23D3D" w:rsidRDefault="00B14F41" w:rsidP="000055AE">
      <w:pPr>
        <w:keepNext/>
        <w:spacing w:after="0"/>
        <w:rPr>
          <w:rFonts w:asciiTheme="minorHAnsi" w:hAnsiTheme="minorHAnsi" w:cs="Calibri"/>
          <w:szCs w:val="24"/>
          <w:lang w:eastAsia="en-AU"/>
        </w:rPr>
      </w:pPr>
      <w:r w:rsidRPr="00C23D3D">
        <w:rPr>
          <w:rFonts w:asciiTheme="minorHAnsi" w:hAnsiTheme="minorHAnsi" w:cs="Calibri-Italic"/>
          <w:i/>
          <w:iCs/>
          <w:szCs w:val="24"/>
          <w:lang w:eastAsia="en-AU"/>
        </w:rPr>
        <w:t>The nature and extent of the limitation</w:t>
      </w:r>
    </w:p>
    <w:p w:rsidR="00B14F41" w:rsidRPr="00C23D3D" w:rsidRDefault="002F2BFC" w:rsidP="000055AE">
      <w:pPr>
        <w:spacing w:after="0"/>
        <w:rPr>
          <w:rFonts w:asciiTheme="minorHAnsi" w:hAnsiTheme="minorHAnsi"/>
          <w:szCs w:val="24"/>
        </w:rPr>
      </w:pPr>
      <w:r>
        <w:rPr>
          <w:rFonts w:asciiTheme="minorHAnsi" w:hAnsiTheme="minorHAnsi"/>
          <w:szCs w:val="24"/>
        </w:rPr>
        <w:t>Limitations on advisory board members’ associations and t</w:t>
      </w:r>
      <w:r w:rsidR="00B14F41" w:rsidRPr="00C23D3D">
        <w:rPr>
          <w:rFonts w:asciiTheme="minorHAnsi" w:hAnsiTheme="minorHAnsi"/>
          <w:szCs w:val="24"/>
        </w:rPr>
        <w:t xml:space="preserve">he disclosure of </w:t>
      </w:r>
      <w:r w:rsidR="001B11CF" w:rsidRPr="00C23D3D">
        <w:rPr>
          <w:rFonts w:asciiTheme="minorHAnsi" w:hAnsiTheme="minorHAnsi"/>
          <w:szCs w:val="24"/>
        </w:rPr>
        <w:t>advisory board</w:t>
      </w:r>
      <w:r w:rsidR="00B14F41" w:rsidRPr="00C23D3D">
        <w:rPr>
          <w:rFonts w:asciiTheme="minorHAnsi" w:hAnsiTheme="minorHAnsi"/>
          <w:szCs w:val="24"/>
        </w:rPr>
        <w:t xml:space="preserve"> members’ interests </w:t>
      </w:r>
      <w:r>
        <w:rPr>
          <w:rFonts w:asciiTheme="minorHAnsi" w:hAnsiTheme="minorHAnsi"/>
          <w:szCs w:val="24"/>
        </w:rPr>
        <w:t>are applied only</w:t>
      </w:r>
      <w:r w:rsidR="001B11CF" w:rsidRPr="00C23D3D">
        <w:rPr>
          <w:rFonts w:asciiTheme="minorHAnsi" w:hAnsiTheme="minorHAnsi"/>
          <w:szCs w:val="24"/>
        </w:rPr>
        <w:t xml:space="preserve"> in connection with </w:t>
      </w:r>
      <w:r>
        <w:rPr>
          <w:rFonts w:asciiTheme="minorHAnsi" w:hAnsiTheme="minorHAnsi"/>
          <w:szCs w:val="24"/>
        </w:rPr>
        <w:t>appointment to the advisory board of the</w:t>
      </w:r>
      <w:r w:rsidR="001B11CF" w:rsidRPr="00C23D3D">
        <w:rPr>
          <w:rFonts w:asciiTheme="minorHAnsi" w:hAnsiTheme="minorHAnsi"/>
          <w:szCs w:val="24"/>
        </w:rPr>
        <w:t xml:space="preserve"> diversification and sustainability support fund</w:t>
      </w:r>
      <w:r w:rsidR="00B14F41" w:rsidRPr="00C23D3D">
        <w:rPr>
          <w:rFonts w:asciiTheme="minorHAnsi" w:hAnsiTheme="minorHAnsi"/>
          <w:szCs w:val="24"/>
        </w:rPr>
        <w:t xml:space="preserve">. As a result, it is </w:t>
      </w:r>
      <w:r>
        <w:rPr>
          <w:rFonts w:asciiTheme="minorHAnsi" w:hAnsiTheme="minorHAnsi"/>
          <w:szCs w:val="24"/>
        </w:rPr>
        <w:t xml:space="preserve">associations and </w:t>
      </w:r>
      <w:r w:rsidR="00B14F41" w:rsidRPr="00C23D3D">
        <w:rPr>
          <w:rFonts w:asciiTheme="minorHAnsi" w:hAnsiTheme="minorHAnsi"/>
          <w:szCs w:val="24"/>
        </w:rPr>
        <w:t>informati</w:t>
      </w:r>
      <w:r w:rsidR="001B11CF" w:rsidRPr="00C23D3D">
        <w:rPr>
          <w:rFonts w:asciiTheme="minorHAnsi" w:hAnsiTheme="minorHAnsi"/>
          <w:szCs w:val="24"/>
        </w:rPr>
        <w:t xml:space="preserve">on relevant to appointment as an advisory board </w:t>
      </w:r>
      <w:r>
        <w:rPr>
          <w:rFonts w:asciiTheme="minorHAnsi" w:hAnsiTheme="minorHAnsi"/>
          <w:szCs w:val="24"/>
        </w:rPr>
        <w:t>member that are</w:t>
      </w:r>
      <w:r w:rsidR="00B14F41" w:rsidRPr="00C23D3D">
        <w:rPr>
          <w:rFonts w:asciiTheme="minorHAnsi" w:hAnsiTheme="minorHAnsi"/>
          <w:szCs w:val="24"/>
        </w:rPr>
        <w:t xml:space="preserve"> captured by the requirement.</w:t>
      </w:r>
    </w:p>
    <w:p w:rsidR="002F2BFC" w:rsidRDefault="002F2BFC" w:rsidP="000055AE">
      <w:pPr>
        <w:spacing w:after="0"/>
        <w:rPr>
          <w:rFonts w:asciiTheme="minorHAnsi" w:hAnsiTheme="minorHAnsi"/>
          <w:szCs w:val="24"/>
        </w:rPr>
      </w:pPr>
    </w:p>
    <w:p w:rsidR="002F2BFC" w:rsidRDefault="002F2BFC" w:rsidP="000055AE">
      <w:pPr>
        <w:spacing w:after="0"/>
        <w:rPr>
          <w:rFonts w:asciiTheme="minorHAnsi" w:hAnsiTheme="minorHAnsi"/>
          <w:szCs w:val="24"/>
        </w:rPr>
      </w:pPr>
      <w:r>
        <w:rPr>
          <w:rFonts w:asciiTheme="minorHAnsi" w:hAnsiTheme="minorHAnsi"/>
          <w:szCs w:val="24"/>
        </w:rPr>
        <w:t>The advisory board will be responsible for making recommendations about the distribution of over $2 million in funding each year (for the first three years of the fund’s operation) and it is imperative that these recommendations are, and are seen to be, fair and impartial.</w:t>
      </w:r>
    </w:p>
    <w:p w:rsidR="002F2BFC" w:rsidRDefault="002F2BFC" w:rsidP="000055AE">
      <w:pPr>
        <w:spacing w:after="0"/>
        <w:rPr>
          <w:rFonts w:asciiTheme="minorHAnsi" w:hAnsiTheme="minorHAnsi"/>
          <w:szCs w:val="24"/>
        </w:rPr>
      </w:pPr>
    </w:p>
    <w:p w:rsidR="002F2BFC" w:rsidRDefault="002F2BFC" w:rsidP="000055AE">
      <w:pPr>
        <w:spacing w:after="0"/>
        <w:rPr>
          <w:rFonts w:asciiTheme="minorHAnsi" w:hAnsiTheme="minorHAnsi"/>
          <w:szCs w:val="24"/>
        </w:rPr>
      </w:pPr>
      <w:r>
        <w:rPr>
          <w:rFonts w:asciiTheme="minorHAnsi" w:hAnsiTheme="minorHAnsi"/>
          <w:szCs w:val="24"/>
        </w:rPr>
        <w:t>The limits on advisory board members’ associations are restricted to those that are relevant to their membership of the board and capacity to carry out its functions.</w:t>
      </w:r>
    </w:p>
    <w:p w:rsidR="002F2BFC" w:rsidRPr="00C23D3D" w:rsidRDefault="002F2BFC" w:rsidP="000055AE">
      <w:pPr>
        <w:spacing w:after="0"/>
        <w:rPr>
          <w:rFonts w:asciiTheme="minorHAnsi" w:hAnsiTheme="minorHAnsi"/>
          <w:szCs w:val="24"/>
        </w:rPr>
      </w:pPr>
    </w:p>
    <w:p w:rsidR="00B14F41" w:rsidRPr="00C23D3D" w:rsidRDefault="00B14F41" w:rsidP="000055AE">
      <w:pPr>
        <w:spacing w:after="0"/>
        <w:rPr>
          <w:rFonts w:asciiTheme="minorHAnsi" w:hAnsiTheme="minorHAnsi"/>
          <w:szCs w:val="24"/>
        </w:rPr>
      </w:pPr>
      <w:r w:rsidRPr="00C23D3D">
        <w:rPr>
          <w:rFonts w:asciiTheme="minorHAnsi" w:hAnsiTheme="minorHAnsi"/>
          <w:szCs w:val="24"/>
        </w:rPr>
        <w:t xml:space="preserve">Strong safeguards are in place for the handling, confidentiality, and permitted disclosures of information acquired by a person under a gaming law under Division 4.4 (Secrecy) of the Gambling and Racing Control Act. Unauthorised disclosure is an offence, with a maximum penalty of 50 penalty units, imprisonment for 6 months or both. In addition, </w:t>
      </w:r>
      <w:r w:rsidR="001B11CF" w:rsidRPr="00C23D3D">
        <w:rPr>
          <w:rFonts w:asciiTheme="minorHAnsi" w:hAnsiTheme="minorHAnsi"/>
          <w:szCs w:val="24"/>
        </w:rPr>
        <w:t xml:space="preserve">the advisory board </w:t>
      </w:r>
      <w:r w:rsidRPr="00C23D3D">
        <w:rPr>
          <w:rFonts w:asciiTheme="minorHAnsi" w:hAnsiTheme="minorHAnsi"/>
          <w:szCs w:val="24"/>
        </w:rPr>
        <w:t xml:space="preserve">will need to comply with the Territory Privacy Principles under the </w:t>
      </w:r>
      <w:r w:rsidRPr="00C23D3D">
        <w:rPr>
          <w:rFonts w:asciiTheme="minorHAnsi" w:hAnsiTheme="minorHAnsi"/>
          <w:i/>
          <w:szCs w:val="24"/>
        </w:rPr>
        <w:t>Information Privacy Act 2014</w:t>
      </w:r>
      <w:r w:rsidRPr="00C23D3D">
        <w:rPr>
          <w:rFonts w:asciiTheme="minorHAnsi" w:hAnsiTheme="minorHAnsi"/>
          <w:szCs w:val="24"/>
        </w:rPr>
        <w:t xml:space="preserve"> in relation to any personal information obtained.</w:t>
      </w:r>
    </w:p>
    <w:p w:rsidR="00B14F41" w:rsidRPr="00C23D3D" w:rsidRDefault="00B14F41" w:rsidP="000055AE">
      <w:pPr>
        <w:spacing w:after="0"/>
        <w:rPr>
          <w:rFonts w:asciiTheme="minorHAnsi" w:hAnsiTheme="minorHAnsi"/>
          <w:szCs w:val="24"/>
        </w:rPr>
      </w:pPr>
    </w:p>
    <w:p w:rsidR="00B14F41" w:rsidRPr="00C23D3D" w:rsidRDefault="00B14F41" w:rsidP="000055AE">
      <w:pPr>
        <w:keepNext/>
        <w:autoSpaceDE w:val="0"/>
        <w:autoSpaceDN w:val="0"/>
        <w:adjustRightInd w:val="0"/>
        <w:spacing w:after="0"/>
        <w:rPr>
          <w:rFonts w:asciiTheme="minorHAnsi" w:hAnsiTheme="minorHAnsi" w:cs="Calibri-Italic"/>
          <w:i/>
          <w:iCs/>
          <w:szCs w:val="24"/>
          <w:lang w:eastAsia="en-AU"/>
        </w:rPr>
      </w:pPr>
      <w:r w:rsidRPr="00C23D3D">
        <w:rPr>
          <w:rFonts w:asciiTheme="minorHAnsi" w:hAnsiTheme="minorHAnsi" w:cs="Calibri-Italic"/>
          <w:i/>
          <w:iCs/>
          <w:szCs w:val="24"/>
          <w:lang w:eastAsia="en-AU"/>
        </w:rPr>
        <w:lastRenderedPageBreak/>
        <w:t>The relationship between the limitation and its purpose</w:t>
      </w:r>
    </w:p>
    <w:p w:rsidR="002F2BFC" w:rsidRDefault="002F2BFC" w:rsidP="000055AE">
      <w:pPr>
        <w:spacing w:after="0"/>
        <w:rPr>
          <w:rFonts w:asciiTheme="minorHAnsi" w:hAnsiTheme="minorHAnsi"/>
          <w:szCs w:val="24"/>
        </w:rPr>
      </w:pPr>
      <w:r>
        <w:rPr>
          <w:rFonts w:asciiTheme="minorHAnsi" w:hAnsiTheme="minorHAnsi"/>
          <w:szCs w:val="24"/>
        </w:rPr>
        <w:t>It is important to ensure that advisory board members do not have associations that would conflict with the proper exercise of their functions.</w:t>
      </w:r>
    </w:p>
    <w:p w:rsidR="002F2BFC" w:rsidRDefault="002F2BFC" w:rsidP="000055AE">
      <w:pPr>
        <w:spacing w:after="0"/>
        <w:rPr>
          <w:rFonts w:asciiTheme="minorHAnsi" w:hAnsiTheme="minorHAnsi"/>
          <w:szCs w:val="24"/>
        </w:rPr>
      </w:pPr>
    </w:p>
    <w:p w:rsidR="002F2BFC" w:rsidRDefault="00B14F41" w:rsidP="000055AE">
      <w:pPr>
        <w:spacing w:after="0"/>
        <w:rPr>
          <w:rFonts w:asciiTheme="minorHAnsi" w:hAnsiTheme="minorHAnsi"/>
          <w:szCs w:val="24"/>
        </w:rPr>
      </w:pPr>
      <w:r w:rsidRPr="00C23D3D">
        <w:rPr>
          <w:rFonts w:asciiTheme="minorHAnsi" w:hAnsiTheme="minorHAnsi"/>
          <w:szCs w:val="24"/>
        </w:rPr>
        <w:t xml:space="preserve">The provision of personal and financial information and the disclosure of interests is an essential part of determining whether a person is suitable for appointment to, or ongoing involvement in, </w:t>
      </w:r>
      <w:r w:rsidR="001B11CF" w:rsidRPr="00C23D3D">
        <w:rPr>
          <w:rFonts w:asciiTheme="minorHAnsi" w:hAnsiTheme="minorHAnsi"/>
          <w:szCs w:val="24"/>
        </w:rPr>
        <w:t>the advisory board for the fund</w:t>
      </w:r>
      <w:r w:rsidRPr="00C23D3D">
        <w:rPr>
          <w:rFonts w:asciiTheme="minorHAnsi" w:hAnsiTheme="minorHAnsi"/>
          <w:szCs w:val="24"/>
        </w:rPr>
        <w:t xml:space="preserve">. </w:t>
      </w:r>
    </w:p>
    <w:p w:rsidR="002F2BFC" w:rsidRDefault="002F2BFC" w:rsidP="000055AE">
      <w:pPr>
        <w:spacing w:after="0"/>
        <w:rPr>
          <w:rFonts w:asciiTheme="minorHAnsi" w:hAnsiTheme="minorHAnsi"/>
          <w:szCs w:val="24"/>
        </w:rPr>
      </w:pPr>
    </w:p>
    <w:p w:rsidR="00B14F41" w:rsidRDefault="00B14F41" w:rsidP="000055AE">
      <w:pPr>
        <w:spacing w:after="0"/>
        <w:rPr>
          <w:rFonts w:asciiTheme="minorHAnsi" w:hAnsiTheme="minorHAnsi"/>
          <w:szCs w:val="24"/>
        </w:rPr>
      </w:pPr>
      <w:r w:rsidRPr="00C23D3D">
        <w:rPr>
          <w:rFonts w:asciiTheme="minorHAnsi" w:hAnsiTheme="minorHAnsi"/>
          <w:szCs w:val="24"/>
        </w:rPr>
        <w:t xml:space="preserve">Due consideration was given to the appropriateness of restrictions on </w:t>
      </w:r>
      <w:r w:rsidR="001B11CF" w:rsidRPr="00C23D3D">
        <w:rPr>
          <w:rFonts w:asciiTheme="minorHAnsi" w:hAnsiTheme="minorHAnsi"/>
          <w:szCs w:val="24"/>
        </w:rPr>
        <w:t>advisory board</w:t>
      </w:r>
      <w:r w:rsidRPr="00C23D3D">
        <w:rPr>
          <w:rFonts w:asciiTheme="minorHAnsi" w:hAnsiTheme="minorHAnsi"/>
          <w:szCs w:val="24"/>
        </w:rPr>
        <w:t xml:space="preserve"> membership, however, in the interest of integrity, it is considered that </w:t>
      </w:r>
      <w:r w:rsidR="002F2BFC">
        <w:rPr>
          <w:rFonts w:asciiTheme="minorHAnsi" w:hAnsiTheme="minorHAnsi"/>
          <w:szCs w:val="24"/>
        </w:rPr>
        <w:t xml:space="preserve">these limitations are </w:t>
      </w:r>
      <w:r w:rsidRPr="00C23D3D">
        <w:rPr>
          <w:rFonts w:asciiTheme="minorHAnsi" w:hAnsiTheme="minorHAnsi"/>
          <w:szCs w:val="24"/>
        </w:rPr>
        <w:t>necessary to assi</w:t>
      </w:r>
      <w:r w:rsidR="001B11CF" w:rsidRPr="00C23D3D">
        <w:rPr>
          <w:rFonts w:asciiTheme="minorHAnsi" w:hAnsiTheme="minorHAnsi"/>
          <w:szCs w:val="24"/>
        </w:rPr>
        <w:t xml:space="preserve">st the Minister in appointing an advisory board </w:t>
      </w:r>
      <w:r w:rsidRPr="00C23D3D">
        <w:rPr>
          <w:rFonts w:asciiTheme="minorHAnsi" w:hAnsiTheme="minorHAnsi"/>
          <w:szCs w:val="24"/>
        </w:rPr>
        <w:t xml:space="preserve">that can provide an independent, impartial recommendation </w:t>
      </w:r>
      <w:r w:rsidR="001B11CF" w:rsidRPr="00C23D3D">
        <w:rPr>
          <w:rFonts w:asciiTheme="minorHAnsi" w:hAnsiTheme="minorHAnsi"/>
          <w:szCs w:val="24"/>
        </w:rPr>
        <w:t>about fund payments</w:t>
      </w:r>
      <w:r w:rsidRPr="00C23D3D">
        <w:rPr>
          <w:rFonts w:asciiTheme="minorHAnsi" w:hAnsiTheme="minorHAnsi"/>
          <w:szCs w:val="24"/>
        </w:rPr>
        <w:t>.</w:t>
      </w:r>
    </w:p>
    <w:p w:rsidR="002F2BFC" w:rsidRPr="00C23D3D" w:rsidRDefault="002F2BFC" w:rsidP="000055AE">
      <w:pPr>
        <w:spacing w:after="0"/>
        <w:rPr>
          <w:rFonts w:asciiTheme="minorHAnsi" w:hAnsiTheme="minorHAnsi"/>
          <w:szCs w:val="24"/>
        </w:rPr>
      </w:pPr>
    </w:p>
    <w:p w:rsidR="00B14F41" w:rsidRPr="00C23D3D" w:rsidRDefault="00B14F41" w:rsidP="000055AE">
      <w:pPr>
        <w:autoSpaceDE w:val="0"/>
        <w:autoSpaceDN w:val="0"/>
        <w:adjustRightInd w:val="0"/>
        <w:spacing w:after="0"/>
        <w:rPr>
          <w:rFonts w:asciiTheme="minorHAnsi" w:hAnsiTheme="minorHAnsi" w:cs="Calibri-Italic"/>
          <w:i/>
          <w:iCs/>
          <w:szCs w:val="24"/>
          <w:lang w:eastAsia="en-AU"/>
        </w:rPr>
      </w:pPr>
      <w:r w:rsidRPr="00C23D3D">
        <w:rPr>
          <w:rFonts w:asciiTheme="minorHAnsi" w:hAnsiTheme="minorHAnsi" w:cs="Calibri-Italic"/>
          <w:i/>
          <w:iCs/>
          <w:szCs w:val="24"/>
          <w:lang w:eastAsia="en-AU"/>
        </w:rPr>
        <w:t>Less restrictive means reasonably available to achieve the purpose</w:t>
      </w:r>
    </w:p>
    <w:p w:rsidR="00B14F41" w:rsidRPr="00C23D3D" w:rsidRDefault="00B14F41" w:rsidP="000055AE">
      <w:pPr>
        <w:spacing w:after="0"/>
        <w:rPr>
          <w:rFonts w:asciiTheme="minorHAnsi" w:hAnsiTheme="minorHAnsi"/>
          <w:szCs w:val="24"/>
        </w:rPr>
      </w:pPr>
      <w:r w:rsidRPr="00C23D3D">
        <w:rPr>
          <w:rFonts w:asciiTheme="minorHAnsi" w:hAnsiTheme="minorHAnsi" w:cs="Calibri"/>
          <w:szCs w:val="24"/>
          <w:lang w:eastAsia="en-AU"/>
        </w:rPr>
        <w:t xml:space="preserve">In developing the legislation an assessment was made as to whether any less restrictive means were available to achieve the purpose of the provisions. There is no less restrictive means reasonably available as the provision of </w:t>
      </w:r>
      <w:r w:rsidR="001B11CF" w:rsidRPr="00C23D3D">
        <w:rPr>
          <w:rFonts w:asciiTheme="minorHAnsi" w:hAnsiTheme="minorHAnsi" w:cs="Calibri"/>
          <w:szCs w:val="24"/>
          <w:lang w:eastAsia="en-AU"/>
        </w:rPr>
        <w:t>advisory board</w:t>
      </w:r>
      <w:r w:rsidRPr="00C23D3D">
        <w:rPr>
          <w:rFonts w:asciiTheme="minorHAnsi" w:hAnsiTheme="minorHAnsi" w:cs="Calibri"/>
          <w:szCs w:val="24"/>
          <w:lang w:eastAsia="en-AU"/>
        </w:rPr>
        <w:t xml:space="preserve"> members’ information is an important part of determining the suitability of persons for appointment to, and ongoing involvement in, the </w:t>
      </w:r>
      <w:r w:rsidR="001B11CF" w:rsidRPr="00C23D3D">
        <w:rPr>
          <w:rFonts w:asciiTheme="minorHAnsi" w:hAnsiTheme="minorHAnsi" w:cs="Calibri"/>
          <w:szCs w:val="24"/>
          <w:lang w:eastAsia="en-AU"/>
        </w:rPr>
        <w:t>advisory board</w:t>
      </w:r>
      <w:r w:rsidRPr="00C23D3D">
        <w:rPr>
          <w:rFonts w:asciiTheme="minorHAnsi" w:hAnsiTheme="minorHAnsi" w:cs="Calibri"/>
          <w:szCs w:val="24"/>
          <w:lang w:eastAsia="en-AU"/>
        </w:rPr>
        <w:t xml:space="preserve">. </w:t>
      </w:r>
      <w:r w:rsidR="002F2BFC">
        <w:rPr>
          <w:rFonts w:asciiTheme="minorHAnsi" w:hAnsiTheme="minorHAnsi" w:cs="Calibri"/>
          <w:szCs w:val="24"/>
          <w:lang w:eastAsia="en-AU"/>
        </w:rPr>
        <w:t>Similarly, community and industry confidence in the advisory board’s recommendations would be affected if relevant associations of board members were not considered in making an appointment.</w:t>
      </w:r>
    </w:p>
    <w:p w:rsidR="00B14F41" w:rsidRPr="00C23D3D" w:rsidRDefault="00B14F41" w:rsidP="000055AE">
      <w:pPr>
        <w:autoSpaceDE w:val="0"/>
        <w:autoSpaceDN w:val="0"/>
        <w:adjustRightInd w:val="0"/>
        <w:spacing w:after="0"/>
        <w:rPr>
          <w:rFonts w:asciiTheme="minorHAnsi" w:hAnsiTheme="minorHAnsi" w:cs="Calibri"/>
          <w:szCs w:val="24"/>
          <w:lang w:eastAsia="en-AU"/>
        </w:rPr>
      </w:pPr>
    </w:p>
    <w:p w:rsidR="00B14F41" w:rsidRPr="00C23D3D" w:rsidRDefault="00B14F41" w:rsidP="000055AE">
      <w:pPr>
        <w:spacing w:after="0"/>
        <w:rPr>
          <w:rFonts w:asciiTheme="minorHAnsi" w:hAnsiTheme="minorHAnsi"/>
          <w:szCs w:val="24"/>
        </w:rPr>
      </w:pPr>
      <w:r w:rsidRPr="00C23D3D">
        <w:rPr>
          <w:rFonts w:asciiTheme="minorHAnsi" w:hAnsiTheme="minorHAnsi"/>
          <w:szCs w:val="24"/>
        </w:rPr>
        <w:t xml:space="preserve">It is important to note also that there is no compulsion on a person to seek or accept appointment to </w:t>
      </w:r>
      <w:r w:rsidR="005E322B" w:rsidRPr="00C23D3D">
        <w:rPr>
          <w:rFonts w:asciiTheme="minorHAnsi" w:hAnsiTheme="minorHAnsi"/>
          <w:szCs w:val="24"/>
        </w:rPr>
        <w:t>the advisory board</w:t>
      </w:r>
      <w:r w:rsidRPr="00C23D3D">
        <w:rPr>
          <w:rFonts w:asciiTheme="minorHAnsi" w:hAnsiTheme="minorHAnsi"/>
          <w:szCs w:val="24"/>
        </w:rPr>
        <w:t>.</w:t>
      </w:r>
    </w:p>
    <w:p w:rsidR="00B14F41" w:rsidRPr="00C23D3D" w:rsidRDefault="00B14F41" w:rsidP="000055AE">
      <w:pPr>
        <w:spacing w:after="0"/>
        <w:rPr>
          <w:rFonts w:asciiTheme="minorHAnsi" w:hAnsiTheme="minorHAnsi"/>
          <w:szCs w:val="24"/>
        </w:rPr>
      </w:pPr>
    </w:p>
    <w:p w:rsidR="00B14F41" w:rsidRPr="00C23D3D" w:rsidRDefault="00B14F41" w:rsidP="000055AE">
      <w:pPr>
        <w:spacing w:after="0"/>
        <w:rPr>
          <w:rFonts w:asciiTheme="minorHAnsi" w:hAnsiTheme="minorHAnsi"/>
          <w:szCs w:val="24"/>
        </w:rPr>
      </w:pPr>
      <w:r w:rsidRPr="00C23D3D">
        <w:rPr>
          <w:rFonts w:asciiTheme="minorHAnsi" w:hAnsiTheme="minorHAnsi"/>
          <w:szCs w:val="24"/>
        </w:rPr>
        <w:t xml:space="preserve">To the extent that </w:t>
      </w:r>
      <w:r w:rsidR="0043257E">
        <w:rPr>
          <w:rFonts w:asciiTheme="minorHAnsi" w:hAnsiTheme="minorHAnsi"/>
          <w:szCs w:val="24"/>
        </w:rPr>
        <w:t>advisory board membership eligibility and information disclosure requirements engage</w:t>
      </w:r>
      <w:r w:rsidRPr="00C23D3D">
        <w:rPr>
          <w:rFonts w:asciiTheme="minorHAnsi" w:hAnsiTheme="minorHAnsi"/>
          <w:szCs w:val="24"/>
        </w:rPr>
        <w:t xml:space="preserve"> a person’s </w:t>
      </w:r>
      <w:r w:rsidR="0043257E">
        <w:rPr>
          <w:rFonts w:asciiTheme="minorHAnsi" w:hAnsiTheme="minorHAnsi"/>
          <w:szCs w:val="24"/>
        </w:rPr>
        <w:t xml:space="preserve">right to freedom of association and </w:t>
      </w:r>
      <w:r w:rsidRPr="00C23D3D">
        <w:rPr>
          <w:rFonts w:asciiTheme="minorHAnsi" w:hAnsiTheme="minorHAnsi"/>
          <w:szCs w:val="24"/>
        </w:rPr>
        <w:t xml:space="preserve">right to privacy and reputation, it is likely to be reasonable and demonstrably justified in a free and democratic society. It is important that the Minister is aware of </w:t>
      </w:r>
      <w:r w:rsidR="005E322B" w:rsidRPr="00C23D3D">
        <w:rPr>
          <w:rFonts w:asciiTheme="minorHAnsi" w:hAnsiTheme="minorHAnsi"/>
          <w:szCs w:val="24"/>
        </w:rPr>
        <w:t>advisory board</w:t>
      </w:r>
      <w:r w:rsidRPr="00C23D3D">
        <w:rPr>
          <w:rFonts w:asciiTheme="minorHAnsi" w:hAnsiTheme="minorHAnsi"/>
          <w:szCs w:val="24"/>
        </w:rPr>
        <w:t xml:space="preserve"> members’ interests, associations and criminal history to uphold the integrity of </w:t>
      </w:r>
      <w:r w:rsidR="005E322B" w:rsidRPr="00C23D3D">
        <w:rPr>
          <w:rFonts w:asciiTheme="minorHAnsi" w:hAnsiTheme="minorHAnsi"/>
          <w:szCs w:val="24"/>
        </w:rPr>
        <w:t>decisions about payments made from the diversification and sustainability support fund</w:t>
      </w:r>
      <w:r w:rsidRPr="00C23D3D">
        <w:rPr>
          <w:rFonts w:asciiTheme="minorHAnsi" w:hAnsiTheme="minorHAnsi"/>
          <w:szCs w:val="24"/>
        </w:rPr>
        <w:t>. Existing restrictions on the use and disclosure of information obtained under a gaming law operate to mitigate the human rights impacts.</w:t>
      </w:r>
    </w:p>
    <w:p w:rsidR="005E322B" w:rsidRPr="00C23D3D" w:rsidRDefault="005E322B" w:rsidP="000055AE">
      <w:pPr>
        <w:spacing w:after="0"/>
        <w:rPr>
          <w:rFonts w:asciiTheme="minorHAnsi" w:hAnsiTheme="minorHAnsi"/>
          <w:szCs w:val="24"/>
        </w:rPr>
      </w:pPr>
    </w:p>
    <w:p w:rsidR="00C23D3D" w:rsidRPr="00C23D3D" w:rsidRDefault="00C23D3D" w:rsidP="000055AE">
      <w:pPr>
        <w:autoSpaceDE w:val="0"/>
        <w:autoSpaceDN w:val="0"/>
        <w:adjustRightInd w:val="0"/>
        <w:spacing w:after="0"/>
        <w:rPr>
          <w:rFonts w:asciiTheme="minorHAnsi" w:hAnsiTheme="minorHAnsi" w:cs="Calibri-Bold"/>
          <w:b/>
          <w:bCs/>
          <w:szCs w:val="24"/>
          <w:lang w:eastAsia="en-AU"/>
        </w:rPr>
      </w:pPr>
      <w:r w:rsidRPr="00C23D3D">
        <w:rPr>
          <w:rFonts w:asciiTheme="minorHAnsi" w:hAnsiTheme="minorHAnsi" w:cs="Calibri-Bold"/>
          <w:b/>
          <w:bCs/>
          <w:szCs w:val="24"/>
          <w:lang w:eastAsia="en-AU"/>
        </w:rPr>
        <w:t xml:space="preserve">Right to privacy and reputation, section 12 – </w:t>
      </w:r>
      <w:r w:rsidR="00664296">
        <w:rPr>
          <w:rFonts w:asciiTheme="minorHAnsi" w:hAnsiTheme="minorHAnsi" w:cs="Calibri-Bold"/>
          <w:b/>
          <w:bCs/>
          <w:szCs w:val="24"/>
          <w:lang w:eastAsia="en-AU"/>
        </w:rPr>
        <w:t>Individual applications for payments from the diversification and sustainability support fund</w:t>
      </w:r>
    </w:p>
    <w:p w:rsidR="00C23D3D" w:rsidRPr="00C23D3D" w:rsidRDefault="00C23D3D" w:rsidP="000055AE">
      <w:pPr>
        <w:spacing w:after="0"/>
        <w:rPr>
          <w:rFonts w:asciiTheme="minorHAnsi" w:hAnsiTheme="minorHAnsi" w:cs="Calibri"/>
          <w:szCs w:val="24"/>
          <w:lang w:eastAsia="en-AU"/>
        </w:rPr>
      </w:pPr>
      <w:r w:rsidRPr="00C23D3D">
        <w:rPr>
          <w:rFonts w:asciiTheme="minorHAnsi" w:hAnsiTheme="minorHAnsi" w:cs="Calibri-Italic"/>
          <w:i/>
          <w:iCs/>
          <w:szCs w:val="24"/>
          <w:lang w:eastAsia="en-AU"/>
        </w:rPr>
        <w:t>The nature of the right affected</w:t>
      </w:r>
    </w:p>
    <w:p w:rsidR="00C23D3D" w:rsidRPr="00C23D3D" w:rsidRDefault="00C23D3D" w:rsidP="000055AE">
      <w:pPr>
        <w:spacing w:after="0"/>
        <w:rPr>
          <w:rFonts w:asciiTheme="minorHAnsi" w:hAnsiTheme="minorHAnsi"/>
          <w:szCs w:val="24"/>
        </w:rPr>
      </w:pPr>
      <w:r w:rsidRPr="00C23D3D">
        <w:rPr>
          <w:rFonts w:asciiTheme="minorHAnsi" w:hAnsiTheme="minorHAnsi"/>
          <w:szCs w:val="24"/>
        </w:rPr>
        <w:t xml:space="preserve">Section 12 (Privacy and reputation) of the </w:t>
      </w:r>
      <w:r w:rsidRPr="00C23D3D">
        <w:rPr>
          <w:rFonts w:asciiTheme="minorHAnsi" w:hAnsiTheme="minorHAnsi"/>
          <w:i/>
          <w:szCs w:val="24"/>
        </w:rPr>
        <w:t>Human Rights Act 2004</w:t>
      </w:r>
      <w:r w:rsidRPr="00C23D3D">
        <w:rPr>
          <w:rFonts w:asciiTheme="minorHAnsi" w:hAnsiTheme="minorHAnsi"/>
          <w:szCs w:val="24"/>
        </w:rPr>
        <w:t xml:space="preserve"> provides that everyone has the right not to have his or her privacy, family, or home or correspondence interfered with unlawfully or arbitrarily, and not to have his or her reputation unlawfully attacked.</w:t>
      </w:r>
    </w:p>
    <w:p w:rsidR="00C23D3D" w:rsidRPr="00C23D3D" w:rsidRDefault="00C23D3D" w:rsidP="000055AE">
      <w:pPr>
        <w:spacing w:after="0"/>
        <w:rPr>
          <w:rFonts w:asciiTheme="minorHAnsi" w:hAnsiTheme="minorHAnsi" w:cs="Calibri"/>
          <w:szCs w:val="24"/>
          <w:lang w:eastAsia="en-AU"/>
        </w:rPr>
      </w:pPr>
    </w:p>
    <w:p w:rsidR="00C23D3D" w:rsidRDefault="00C23D3D" w:rsidP="000055AE">
      <w:pPr>
        <w:spacing w:after="0"/>
        <w:rPr>
          <w:rFonts w:asciiTheme="minorHAnsi" w:hAnsiTheme="minorHAnsi" w:cs="Calibri"/>
          <w:szCs w:val="24"/>
          <w:lang w:eastAsia="en-AU"/>
        </w:rPr>
      </w:pPr>
      <w:r>
        <w:rPr>
          <w:rFonts w:asciiTheme="minorHAnsi" w:hAnsiTheme="minorHAnsi" w:cs="Calibri"/>
          <w:szCs w:val="24"/>
          <w:lang w:eastAsia="en-AU"/>
        </w:rPr>
        <w:lastRenderedPageBreak/>
        <w:t>Clause 22</w:t>
      </w:r>
      <w:r w:rsidRPr="00C23D3D">
        <w:rPr>
          <w:rFonts w:asciiTheme="minorHAnsi" w:hAnsiTheme="minorHAnsi" w:cs="Calibri"/>
          <w:szCs w:val="24"/>
          <w:lang w:eastAsia="en-AU"/>
        </w:rPr>
        <w:t xml:space="preserve"> of the</w:t>
      </w:r>
      <w:r>
        <w:rPr>
          <w:rFonts w:asciiTheme="minorHAnsi" w:hAnsiTheme="minorHAnsi" w:cs="Calibri"/>
          <w:szCs w:val="24"/>
          <w:lang w:eastAsia="en-AU"/>
        </w:rPr>
        <w:t xml:space="preserve"> Amendment</w:t>
      </w:r>
      <w:r w:rsidRPr="00C23D3D">
        <w:rPr>
          <w:rFonts w:asciiTheme="minorHAnsi" w:hAnsiTheme="minorHAnsi" w:cs="Calibri"/>
          <w:szCs w:val="24"/>
          <w:lang w:eastAsia="en-AU"/>
        </w:rPr>
        <w:t xml:space="preserve"> Bill will insert new </w:t>
      </w:r>
      <w:r>
        <w:rPr>
          <w:rFonts w:asciiTheme="minorHAnsi" w:hAnsiTheme="minorHAnsi" w:cs="Calibri"/>
          <w:szCs w:val="24"/>
          <w:lang w:eastAsia="en-AU"/>
        </w:rPr>
        <w:t>division 11.3 in the Gaming Machine Act, which provides for the diversification and sustainability support fund.</w:t>
      </w:r>
    </w:p>
    <w:p w:rsidR="00C23D3D" w:rsidRDefault="00C23D3D" w:rsidP="000055AE">
      <w:pPr>
        <w:spacing w:after="0"/>
        <w:rPr>
          <w:rFonts w:asciiTheme="minorHAnsi" w:hAnsiTheme="minorHAnsi" w:cs="Calibri"/>
          <w:szCs w:val="24"/>
          <w:lang w:eastAsia="en-AU"/>
        </w:rPr>
      </w:pPr>
    </w:p>
    <w:p w:rsidR="00C23D3D" w:rsidRDefault="00C23D3D" w:rsidP="000055AE">
      <w:pPr>
        <w:spacing w:after="0"/>
        <w:rPr>
          <w:rFonts w:asciiTheme="minorHAnsi" w:hAnsiTheme="minorHAnsi" w:cs="Calibri"/>
          <w:szCs w:val="24"/>
          <w:lang w:eastAsia="en-AU"/>
        </w:rPr>
      </w:pPr>
      <w:r>
        <w:rPr>
          <w:rFonts w:asciiTheme="minorHAnsi" w:hAnsiTheme="minorHAnsi" w:cs="Calibri"/>
          <w:szCs w:val="24"/>
          <w:lang w:eastAsia="en-AU"/>
        </w:rPr>
        <w:t xml:space="preserve">The advisory board established under clause 22, new section 163K will make recommendations to the Minister about payments to be made from the fund. </w:t>
      </w:r>
    </w:p>
    <w:p w:rsidR="00C23D3D" w:rsidRDefault="00C23D3D" w:rsidP="000055AE">
      <w:pPr>
        <w:spacing w:after="0"/>
        <w:rPr>
          <w:rFonts w:asciiTheme="minorHAnsi" w:hAnsiTheme="minorHAnsi" w:cs="Calibri"/>
          <w:szCs w:val="24"/>
          <w:lang w:eastAsia="en-AU"/>
        </w:rPr>
      </w:pPr>
    </w:p>
    <w:p w:rsidR="00C23D3D" w:rsidRDefault="00C23D3D" w:rsidP="000055AE">
      <w:pPr>
        <w:spacing w:after="0"/>
        <w:rPr>
          <w:rFonts w:asciiTheme="minorHAnsi" w:hAnsiTheme="minorHAnsi" w:cs="Calibri"/>
          <w:szCs w:val="24"/>
          <w:lang w:eastAsia="en-AU"/>
        </w:rPr>
      </w:pPr>
      <w:r>
        <w:rPr>
          <w:rFonts w:asciiTheme="minorHAnsi" w:hAnsiTheme="minorHAnsi" w:cs="Calibri"/>
          <w:szCs w:val="24"/>
          <w:lang w:eastAsia="en-AU"/>
        </w:rPr>
        <w:t>New section 163J provides that the Minister may make guidelines for applications from entities seeking payments from the fund. The guidelines are a notifiable instrument under new section 163J(3).</w:t>
      </w:r>
    </w:p>
    <w:p w:rsidR="00C23D3D" w:rsidRDefault="00C23D3D" w:rsidP="000055AE">
      <w:pPr>
        <w:spacing w:after="0"/>
        <w:rPr>
          <w:rFonts w:asciiTheme="minorHAnsi" w:hAnsiTheme="minorHAnsi" w:cs="Calibri"/>
          <w:szCs w:val="24"/>
          <w:lang w:eastAsia="en-AU"/>
        </w:rPr>
      </w:pPr>
    </w:p>
    <w:p w:rsidR="00EA5229" w:rsidRDefault="00C23D3D" w:rsidP="000055AE">
      <w:pPr>
        <w:spacing w:after="0"/>
        <w:rPr>
          <w:rFonts w:asciiTheme="minorHAnsi" w:hAnsiTheme="minorHAnsi" w:cs="Calibri"/>
          <w:szCs w:val="24"/>
          <w:lang w:eastAsia="en-AU"/>
        </w:rPr>
      </w:pPr>
      <w:r>
        <w:rPr>
          <w:rFonts w:asciiTheme="minorHAnsi" w:hAnsiTheme="minorHAnsi" w:cs="Calibri"/>
          <w:szCs w:val="24"/>
          <w:lang w:eastAsia="en-AU"/>
        </w:rPr>
        <w:t xml:space="preserve">The majority of applications to the fund are expected to come from club licensees, which are all bodies corporate in accordance with the definition of a club under the Gaming Machine Act. </w:t>
      </w:r>
    </w:p>
    <w:p w:rsidR="00EA5229" w:rsidRDefault="00EA5229" w:rsidP="000055AE">
      <w:pPr>
        <w:spacing w:after="0"/>
        <w:rPr>
          <w:rFonts w:asciiTheme="minorHAnsi" w:hAnsiTheme="minorHAnsi" w:cs="Calibri"/>
          <w:szCs w:val="24"/>
          <w:lang w:eastAsia="en-AU"/>
        </w:rPr>
      </w:pPr>
    </w:p>
    <w:p w:rsidR="00C23D3D" w:rsidRDefault="00C23D3D" w:rsidP="000055AE">
      <w:pPr>
        <w:spacing w:after="0"/>
        <w:rPr>
          <w:rFonts w:asciiTheme="minorHAnsi" w:hAnsiTheme="minorHAnsi" w:cs="Calibri"/>
          <w:szCs w:val="24"/>
          <w:lang w:eastAsia="en-AU"/>
        </w:rPr>
      </w:pPr>
      <w:r>
        <w:rPr>
          <w:rFonts w:asciiTheme="minorHAnsi" w:hAnsiTheme="minorHAnsi" w:cs="Calibri"/>
          <w:szCs w:val="24"/>
          <w:lang w:eastAsia="en-AU"/>
        </w:rPr>
        <w:t xml:space="preserve">It is possible, however, that an individual applicant may seek payments from the fund. For example, an individual staff member </w:t>
      </w:r>
      <w:r w:rsidR="00EA5229">
        <w:rPr>
          <w:rFonts w:asciiTheme="minorHAnsi" w:hAnsiTheme="minorHAnsi" w:cs="Calibri"/>
          <w:szCs w:val="24"/>
          <w:lang w:eastAsia="en-AU"/>
        </w:rPr>
        <w:t>might seek</w:t>
      </w:r>
      <w:r>
        <w:rPr>
          <w:rFonts w:asciiTheme="minorHAnsi" w:hAnsiTheme="minorHAnsi" w:cs="Calibri"/>
          <w:szCs w:val="24"/>
          <w:lang w:eastAsia="en-AU"/>
        </w:rPr>
        <w:t xml:space="preserve"> support for retraining where a club has diversified away from gaming machine revenue. </w:t>
      </w:r>
      <w:r w:rsidR="00EA5229">
        <w:rPr>
          <w:rFonts w:asciiTheme="minorHAnsi" w:hAnsiTheme="minorHAnsi" w:cs="Calibri"/>
          <w:szCs w:val="24"/>
          <w:lang w:eastAsia="en-AU"/>
        </w:rPr>
        <w:t xml:space="preserve">Such an application would not be precluded by the use of the term </w:t>
      </w:r>
      <w:r>
        <w:rPr>
          <w:rFonts w:asciiTheme="minorHAnsi" w:hAnsiTheme="minorHAnsi" w:cs="Calibri"/>
          <w:szCs w:val="24"/>
          <w:lang w:eastAsia="en-AU"/>
        </w:rPr>
        <w:t>‘</w:t>
      </w:r>
      <w:r w:rsidR="00EA5229">
        <w:rPr>
          <w:rFonts w:asciiTheme="minorHAnsi" w:hAnsiTheme="minorHAnsi" w:cs="Calibri"/>
          <w:szCs w:val="24"/>
          <w:lang w:eastAsia="en-AU"/>
        </w:rPr>
        <w:t>e</w:t>
      </w:r>
      <w:r>
        <w:rPr>
          <w:rFonts w:asciiTheme="minorHAnsi" w:hAnsiTheme="minorHAnsi" w:cs="Calibri"/>
          <w:szCs w:val="24"/>
          <w:lang w:eastAsia="en-AU"/>
        </w:rPr>
        <w:t>ntities’ in new section 163</w:t>
      </w:r>
      <w:r w:rsidR="00412C5E">
        <w:rPr>
          <w:rFonts w:asciiTheme="minorHAnsi" w:hAnsiTheme="minorHAnsi" w:cs="Calibri"/>
          <w:szCs w:val="24"/>
          <w:lang w:eastAsia="en-AU"/>
        </w:rPr>
        <w:t>J</w:t>
      </w:r>
      <w:r w:rsidR="00EA5229">
        <w:rPr>
          <w:rFonts w:asciiTheme="minorHAnsi" w:hAnsiTheme="minorHAnsi" w:cs="Calibri"/>
          <w:szCs w:val="24"/>
          <w:lang w:eastAsia="en-AU"/>
        </w:rPr>
        <w:t>, as it</w:t>
      </w:r>
      <w:r>
        <w:rPr>
          <w:rFonts w:asciiTheme="minorHAnsi" w:hAnsiTheme="minorHAnsi" w:cs="Calibri"/>
          <w:szCs w:val="24"/>
          <w:lang w:eastAsia="en-AU"/>
        </w:rPr>
        <w:t xml:space="preserve"> includes a person under the definition of this term in the </w:t>
      </w:r>
      <w:r w:rsidRPr="00C23D3D">
        <w:rPr>
          <w:rFonts w:asciiTheme="minorHAnsi" w:hAnsiTheme="minorHAnsi" w:cs="Calibri"/>
          <w:i/>
          <w:szCs w:val="24"/>
          <w:lang w:eastAsia="en-AU"/>
        </w:rPr>
        <w:t>Legislation Act 2001</w:t>
      </w:r>
      <w:r>
        <w:rPr>
          <w:rFonts w:asciiTheme="minorHAnsi" w:hAnsiTheme="minorHAnsi" w:cs="Calibri"/>
          <w:szCs w:val="24"/>
          <w:lang w:eastAsia="en-AU"/>
        </w:rPr>
        <w:t>.</w:t>
      </w:r>
      <w:r w:rsidR="00EA5229">
        <w:rPr>
          <w:rFonts w:asciiTheme="minorHAnsi" w:hAnsiTheme="minorHAnsi" w:cs="Calibri"/>
          <w:szCs w:val="24"/>
          <w:lang w:eastAsia="en-AU"/>
        </w:rPr>
        <w:t xml:space="preserve"> The purposes of the fund in section 163F specifically include training and skills development for club workers, executives and members of club management committees and boards.</w:t>
      </w:r>
    </w:p>
    <w:p w:rsidR="00C23D3D" w:rsidRDefault="00C23D3D" w:rsidP="000055AE">
      <w:pPr>
        <w:spacing w:after="0"/>
        <w:rPr>
          <w:rFonts w:asciiTheme="minorHAnsi" w:hAnsiTheme="minorHAnsi"/>
          <w:szCs w:val="24"/>
        </w:rPr>
      </w:pPr>
    </w:p>
    <w:p w:rsidR="00EA5229" w:rsidRDefault="00EA5229" w:rsidP="000055AE">
      <w:pPr>
        <w:spacing w:after="0"/>
        <w:rPr>
          <w:rFonts w:asciiTheme="minorHAnsi" w:hAnsiTheme="minorHAnsi"/>
          <w:szCs w:val="24"/>
        </w:rPr>
      </w:pPr>
      <w:r>
        <w:rPr>
          <w:rFonts w:asciiTheme="minorHAnsi" w:hAnsiTheme="minorHAnsi"/>
          <w:szCs w:val="24"/>
        </w:rPr>
        <w:t>For the advisory board to be able to consider the merits of an individual application, it is anticipated that the person would need to disclose some personal and financial information relevant to their application. The guidelines to be made under new section 163J of clause 22 may set out requirements for this information.</w:t>
      </w:r>
    </w:p>
    <w:p w:rsidR="00EA5229" w:rsidRDefault="00EA5229" w:rsidP="000055AE">
      <w:pPr>
        <w:spacing w:after="0"/>
        <w:rPr>
          <w:rFonts w:asciiTheme="minorHAnsi" w:hAnsiTheme="minorHAnsi"/>
          <w:szCs w:val="24"/>
        </w:rPr>
      </w:pPr>
    </w:p>
    <w:p w:rsidR="00C23D3D" w:rsidRPr="00C23D3D" w:rsidRDefault="00EA5229" w:rsidP="000055AE">
      <w:pPr>
        <w:spacing w:after="0"/>
        <w:rPr>
          <w:rFonts w:asciiTheme="minorHAnsi" w:hAnsiTheme="minorHAnsi"/>
          <w:szCs w:val="24"/>
        </w:rPr>
      </w:pPr>
      <w:r>
        <w:rPr>
          <w:rFonts w:asciiTheme="minorHAnsi" w:hAnsiTheme="minorHAnsi"/>
          <w:szCs w:val="24"/>
        </w:rPr>
        <w:t>The information required to be disclosed would be limited to that necessary to make a recommendation to the Minister about payments from the fund.</w:t>
      </w:r>
    </w:p>
    <w:p w:rsidR="00C23D3D" w:rsidRPr="00C23D3D" w:rsidRDefault="00C23D3D" w:rsidP="000055AE">
      <w:pPr>
        <w:spacing w:after="0"/>
        <w:rPr>
          <w:rFonts w:asciiTheme="minorHAnsi" w:hAnsiTheme="minorHAnsi"/>
          <w:szCs w:val="24"/>
        </w:rPr>
      </w:pPr>
    </w:p>
    <w:p w:rsidR="00C23D3D" w:rsidRPr="00C23D3D" w:rsidRDefault="00C23D3D" w:rsidP="000055AE">
      <w:pPr>
        <w:keepNext/>
        <w:autoSpaceDE w:val="0"/>
        <w:autoSpaceDN w:val="0"/>
        <w:adjustRightInd w:val="0"/>
        <w:spacing w:after="0"/>
        <w:rPr>
          <w:rFonts w:asciiTheme="minorHAnsi" w:hAnsiTheme="minorHAnsi" w:cs="Calibri-Italic"/>
          <w:i/>
          <w:iCs/>
          <w:szCs w:val="24"/>
          <w:lang w:eastAsia="en-AU"/>
        </w:rPr>
      </w:pPr>
      <w:r w:rsidRPr="00C23D3D">
        <w:rPr>
          <w:rFonts w:asciiTheme="minorHAnsi" w:hAnsiTheme="minorHAnsi" w:cs="Calibri-Italic"/>
          <w:i/>
          <w:iCs/>
          <w:szCs w:val="24"/>
          <w:lang w:eastAsia="en-AU"/>
        </w:rPr>
        <w:t>The importance of the purpose of the limitation</w:t>
      </w:r>
    </w:p>
    <w:p w:rsidR="00C23D3D" w:rsidRPr="00C23D3D" w:rsidRDefault="00C23D3D" w:rsidP="000055AE">
      <w:pPr>
        <w:spacing w:after="0"/>
        <w:rPr>
          <w:rFonts w:asciiTheme="minorHAnsi" w:hAnsiTheme="minorHAnsi"/>
          <w:szCs w:val="24"/>
        </w:rPr>
      </w:pPr>
      <w:r w:rsidRPr="00C23D3D">
        <w:rPr>
          <w:rFonts w:asciiTheme="minorHAnsi" w:hAnsiTheme="minorHAnsi"/>
          <w:szCs w:val="24"/>
        </w:rPr>
        <w:t>The provision of personal and financial information of an individual</w:t>
      </w:r>
      <w:r w:rsidR="00EA5229">
        <w:rPr>
          <w:rFonts w:asciiTheme="minorHAnsi" w:hAnsiTheme="minorHAnsi"/>
          <w:szCs w:val="24"/>
        </w:rPr>
        <w:t xml:space="preserve"> </w:t>
      </w:r>
      <w:r w:rsidRPr="00C23D3D">
        <w:rPr>
          <w:rFonts w:asciiTheme="minorHAnsi" w:hAnsiTheme="minorHAnsi"/>
          <w:szCs w:val="24"/>
        </w:rPr>
        <w:t xml:space="preserve">engages the right to privacy and reputation. </w:t>
      </w:r>
    </w:p>
    <w:p w:rsidR="00C23D3D" w:rsidRPr="00C23D3D" w:rsidRDefault="00C23D3D" w:rsidP="000055AE">
      <w:pPr>
        <w:spacing w:after="0"/>
        <w:rPr>
          <w:rFonts w:asciiTheme="minorHAnsi" w:hAnsiTheme="minorHAnsi"/>
          <w:szCs w:val="24"/>
        </w:rPr>
      </w:pPr>
    </w:p>
    <w:p w:rsidR="00EA5229" w:rsidRDefault="00EA5229" w:rsidP="000055AE">
      <w:pPr>
        <w:spacing w:after="0"/>
        <w:rPr>
          <w:rFonts w:asciiTheme="minorHAnsi" w:hAnsiTheme="minorHAnsi"/>
          <w:szCs w:val="24"/>
        </w:rPr>
      </w:pPr>
      <w:r>
        <w:rPr>
          <w:rFonts w:asciiTheme="minorHAnsi" w:hAnsiTheme="minorHAnsi"/>
          <w:szCs w:val="24"/>
        </w:rPr>
        <w:t xml:space="preserve">Without </w:t>
      </w:r>
      <w:r w:rsidR="005C2A9F">
        <w:rPr>
          <w:rFonts w:asciiTheme="minorHAnsi" w:hAnsiTheme="minorHAnsi"/>
          <w:szCs w:val="24"/>
        </w:rPr>
        <w:t>the provision of relevant personal and financial</w:t>
      </w:r>
      <w:r>
        <w:rPr>
          <w:rFonts w:asciiTheme="minorHAnsi" w:hAnsiTheme="minorHAnsi"/>
          <w:szCs w:val="24"/>
        </w:rPr>
        <w:t xml:space="preserve"> information, the advisory board would not be able to consider an individual application for payments from the fund. </w:t>
      </w:r>
    </w:p>
    <w:p w:rsidR="00EA5229" w:rsidRDefault="00EA5229" w:rsidP="000055AE">
      <w:pPr>
        <w:spacing w:after="0"/>
        <w:rPr>
          <w:rFonts w:asciiTheme="minorHAnsi" w:hAnsiTheme="minorHAnsi"/>
          <w:szCs w:val="24"/>
        </w:rPr>
      </w:pPr>
    </w:p>
    <w:p w:rsidR="00EA5229" w:rsidRDefault="00EA5229" w:rsidP="000055AE">
      <w:pPr>
        <w:spacing w:after="0"/>
        <w:rPr>
          <w:rFonts w:asciiTheme="minorHAnsi" w:hAnsiTheme="minorHAnsi"/>
          <w:szCs w:val="24"/>
        </w:rPr>
      </w:pPr>
      <w:r>
        <w:rPr>
          <w:rFonts w:asciiTheme="minorHAnsi" w:hAnsiTheme="minorHAnsi"/>
          <w:szCs w:val="24"/>
        </w:rPr>
        <w:t>While fund recipients could have been limited to bodies corporate only to avoid engaging the right to privacy and reputation of individuals, this may have unnecessarily limited the purposes to which funding can be applied.</w:t>
      </w:r>
    </w:p>
    <w:p w:rsidR="005C2A9F" w:rsidRDefault="005C2A9F" w:rsidP="000055AE">
      <w:pPr>
        <w:spacing w:after="0"/>
        <w:rPr>
          <w:rFonts w:asciiTheme="minorHAnsi" w:hAnsiTheme="minorHAnsi"/>
          <w:szCs w:val="24"/>
        </w:rPr>
      </w:pPr>
    </w:p>
    <w:p w:rsidR="00C23D3D" w:rsidRPr="00C23D3D" w:rsidRDefault="00C23D3D" w:rsidP="000055AE">
      <w:pPr>
        <w:spacing w:after="0"/>
        <w:rPr>
          <w:rFonts w:asciiTheme="minorHAnsi" w:hAnsiTheme="minorHAnsi"/>
          <w:szCs w:val="24"/>
        </w:rPr>
      </w:pPr>
      <w:r w:rsidRPr="00C23D3D">
        <w:rPr>
          <w:rFonts w:asciiTheme="minorHAnsi" w:hAnsiTheme="minorHAnsi"/>
          <w:szCs w:val="24"/>
        </w:rPr>
        <w:lastRenderedPageBreak/>
        <w:t xml:space="preserve">The ability for the </w:t>
      </w:r>
      <w:r w:rsidR="005C2A9F">
        <w:rPr>
          <w:rFonts w:asciiTheme="minorHAnsi" w:hAnsiTheme="minorHAnsi"/>
          <w:szCs w:val="24"/>
        </w:rPr>
        <w:t>advisory board</w:t>
      </w:r>
      <w:r w:rsidRPr="00C23D3D">
        <w:rPr>
          <w:rFonts w:asciiTheme="minorHAnsi" w:hAnsiTheme="minorHAnsi"/>
          <w:szCs w:val="24"/>
        </w:rPr>
        <w:t xml:space="preserve"> to receive i</w:t>
      </w:r>
      <w:r w:rsidR="005C2A9F">
        <w:rPr>
          <w:rFonts w:asciiTheme="minorHAnsi" w:hAnsiTheme="minorHAnsi"/>
          <w:szCs w:val="24"/>
        </w:rPr>
        <w:t>nformation about individual applications</w:t>
      </w:r>
      <w:r w:rsidRPr="00C23D3D">
        <w:rPr>
          <w:rFonts w:asciiTheme="minorHAnsi" w:hAnsiTheme="minorHAnsi"/>
          <w:szCs w:val="24"/>
        </w:rPr>
        <w:t xml:space="preserve"> is critical to the </w:t>
      </w:r>
      <w:r w:rsidR="005C2A9F">
        <w:rPr>
          <w:rFonts w:asciiTheme="minorHAnsi" w:hAnsiTheme="minorHAnsi"/>
          <w:szCs w:val="24"/>
        </w:rPr>
        <w:t>advisory board’s</w:t>
      </w:r>
      <w:r w:rsidRPr="00C23D3D">
        <w:rPr>
          <w:rFonts w:asciiTheme="minorHAnsi" w:hAnsiTheme="minorHAnsi"/>
          <w:szCs w:val="24"/>
        </w:rPr>
        <w:t xml:space="preserve"> ability to perform its function of making a recommendation to the Minister</w:t>
      </w:r>
      <w:r w:rsidR="005C2A9F">
        <w:rPr>
          <w:rFonts w:asciiTheme="minorHAnsi" w:hAnsiTheme="minorHAnsi"/>
          <w:szCs w:val="24"/>
        </w:rPr>
        <w:t xml:space="preserve"> about payments from the fund</w:t>
      </w:r>
      <w:r w:rsidRPr="00C23D3D">
        <w:rPr>
          <w:rFonts w:asciiTheme="minorHAnsi" w:hAnsiTheme="minorHAnsi"/>
          <w:szCs w:val="24"/>
        </w:rPr>
        <w:t>.</w:t>
      </w:r>
    </w:p>
    <w:p w:rsidR="00C23D3D" w:rsidRPr="00C23D3D" w:rsidRDefault="00C23D3D" w:rsidP="000055AE">
      <w:pPr>
        <w:spacing w:after="0"/>
        <w:rPr>
          <w:rFonts w:asciiTheme="minorHAnsi" w:hAnsiTheme="minorHAnsi"/>
          <w:szCs w:val="24"/>
        </w:rPr>
      </w:pPr>
    </w:p>
    <w:p w:rsidR="00C23D3D" w:rsidRPr="00C23D3D" w:rsidRDefault="00C23D3D" w:rsidP="000055AE">
      <w:pPr>
        <w:keepNext/>
        <w:spacing w:after="0"/>
        <w:rPr>
          <w:rFonts w:asciiTheme="minorHAnsi" w:hAnsiTheme="minorHAnsi" w:cs="Calibri"/>
          <w:szCs w:val="24"/>
          <w:lang w:eastAsia="en-AU"/>
        </w:rPr>
      </w:pPr>
      <w:r w:rsidRPr="00C23D3D">
        <w:rPr>
          <w:rFonts w:asciiTheme="minorHAnsi" w:hAnsiTheme="minorHAnsi" w:cs="Calibri-Italic"/>
          <w:i/>
          <w:iCs/>
          <w:szCs w:val="24"/>
          <w:lang w:eastAsia="en-AU"/>
        </w:rPr>
        <w:t>The nature and extent of the limitation</w:t>
      </w:r>
    </w:p>
    <w:p w:rsidR="00C23D3D" w:rsidRPr="00C23D3D" w:rsidRDefault="005C2A9F" w:rsidP="000055AE">
      <w:pPr>
        <w:spacing w:after="0"/>
        <w:rPr>
          <w:rFonts w:asciiTheme="minorHAnsi" w:hAnsiTheme="minorHAnsi"/>
          <w:szCs w:val="24"/>
        </w:rPr>
      </w:pPr>
      <w:r>
        <w:rPr>
          <w:rFonts w:asciiTheme="minorHAnsi" w:hAnsiTheme="minorHAnsi"/>
          <w:szCs w:val="24"/>
        </w:rPr>
        <w:t>Individuals can choose whether they wish to make an application to the diversification and sustainability support fund.</w:t>
      </w:r>
    </w:p>
    <w:p w:rsidR="00C23D3D" w:rsidRPr="00C23D3D" w:rsidRDefault="00C23D3D" w:rsidP="000055AE">
      <w:pPr>
        <w:spacing w:after="0"/>
        <w:rPr>
          <w:rFonts w:asciiTheme="minorHAnsi" w:hAnsiTheme="minorHAnsi"/>
          <w:szCs w:val="24"/>
        </w:rPr>
      </w:pPr>
    </w:p>
    <w:p w:rsidR="00C23D3D" w:rsidRPr="00C23D3D" w:rsidRDefault="005C2A9F" w:rsidP="000055AE">
      <w:pPr>
        <w:spacing w:after="0"/>
        <w:rPr>
          <w:rFonts w:asciiTheme="minorHAnsi" w:hAnsiTheme="minorHAnsi"/>
          <w:szCs w:val="24"/>
        </w:rPr>
      </w:pPr>
      <w:r>
        <w:rPr>
          <w:rFonts w:asciiTheme="minorHAnsi" w:hAnsiTheme="minorHAnsi"/>
          <w:szCs w:val="24"/>
        </w:rPr>
        <w:t xml:space="preserve">To the extent that an application includes personal and financial information about an individual, an advisory board member who </w:t>
      </w:r>
      <w:r w:rsidR="00C23D3D" w:rsidRPr="00C23D3D">
        <w:rPr>
          <w:rFonts w:asciiTheme="minorHAnsi" w:hAnsiTheme="minorHAnsi"/>
          <w:szCs w:val="24"/>
        </w:rPr>
        <w:t>acquire</w:t>
      </w:r>
      <w:r>
        <w:rPr>
          <w:rFonts w:asciiTheme="minorHAnsi" w:hAnsiTheme="minorHAnsi"/>
          <w:szCs w:val="24"/>
        </w:rPr>
        <w:t>s</w:t>
      </w:r>
      <w:r w:rsidR="00C23D3D" w:rsidRPr="00C23D3D">
        <w:rPr>
          <w:rFonts w:asciiTheme="minorHAnsi" w:hAnsiTheme="minorHAnsi"/>
          <w:szCs w:val="24"/>
        </w:rPr>
        <w:t xml:space="preserve"> confidential documents or information under the </w:t>
      </w:r>
      <w:r>
        <w:rPr>
          <w:rFonts w:asciiTheme="minorHAnsi" w:hAnsiTheme="minorHAnsi"/>
          <w:szCs w:val="24"/>
        </w:rPr>
        <w:t>Gaming Machine Act is considered to be</w:t>
      </w:r>
      <w:r w:rsidR="00C23D3D" w:rsidRPr="00C23D3D">
        <w:rPr>
          <w:rFonts w:asciiTheme="minorHAnsi" w:hAnsiTheme="minorHAnsi"/>
          <w:szCs w:val="24"/>
        </w:rPr>
        <w:t xml:space="preserve"> a gaming officer for the purposes of the Control Act, division 4.4 (Secrecy). Under this division, unauthorised disclosure of confidential information is an offence, with a maximum penalty of 50 penalty units, imprisonment for 6 months or both.</w:t>
      </w:r>
    </w:p>
    <w:p w:rsidR="00C23D3D" w:rsidRPr="00C23D3D" w:rsidRDefault="00C23D3D" w:rsidP="000055AE">
      <w:pPr>
        <w:spacing w:after="0"/>
        <w:rPr>
          <w:rFonts w:asciiTheme="minorHAnsi" w:hAnsiTheme="minorHAnsi"/>
          <w:szCs w:val="24"/>
        </w:rPr>
      </w:pPr>
    </w:p>
    <w:p w:rsidR="005C2A9F" w:rsidRDefault="005C2A9F" w:rsidP="000055AE">
      <w:pPr>
        <w:spacing w:after="0"/>
        <w:rPr>
          <w:rFonts w:asciiTheme="minorHAnsi" w:hAnsiTheme="minorHAnsi"/>
          <w:szCs w:val="24"/>
        </w:rPr>
      </w:pPr>
      <w:r>
        <w:rPr>
          <w:rFonts w:asciiTheme="minorHAnsi" w:hAnsiTheme="minorHAnsi"/>
          <w:szCs w:val="24"/>
        </w:rPr>
        <w:t xml:space="preserve">Clause 10 of the Amendment Bill </w:t>
      </w:r>
      <w:r w:rsidRPr="00C23D3D">
        <w:rPr>
          <w:rFonts w:asciiTheme="minorHAnsi" w:hAnsiTheme="minorHAnsi"/>
          <w:szCs w:val="24"/>
        </w:rPr>
        <w:t xml:space="preserve">expands the permitted disclosures under section 37 of the Control Act to include public servants, but only for the purpose of administering the diversification and sustainability support fund (division 11.3 of the Act). The term ‘public servant’ is defined in the Dictionary of the </w:t>
      </w:r>
      <w:r w:rsidRPr="005C2A9F">
        <w:rPr>
          <w:rFonts w:asciiTheme="minorHAnsi" w:hAnsiTheme="minorHAnsi"/>
          <w:i/>
          <w:szCs w:val="24"/>
        </w:rPr>
        <w:t>Legislation Act 2001</w:t>
      </w:r>
      <w:r w:rsidRPr="00C23D3D">
        <w:rPr>
          <w:rFonts w:asciiTheme="minorHAnsi" w:hAnsiTheme="minorHAnsi"/>
          <w:szCs w:val="24"/>
        </w:rPr>
        <w:t xml:space="preserve"> and it is limited to a person employed in the ACT Public Service.</w:t>
      </w:r>
    </w:p>
    <w:p w:rsidR="005C2A9F" w:rsidRDefault="005C2A9F" w:rsidP="000055AE">
      <w:pPr>
        <w:spacing w:after="0"/>
        <w:rPr>
          <w:rFonts w:asciiTheme="minorHAnsi" w:hAnsiTheme="minorHAnsi"/>
          <w:szCs w:val="24"/>
        </w:rPr>
      </w:pPr>
    </w:p>
    <w:p w:rsidR="005C2A9F" w:rsidRDefault="005C2A9F" w:rsidP="000055AE">
      <w:pPr>
        <w:spacing w:after="0"/>
        <w:rPr>
          <w:rFonts w:asciiTheme="minorHAnsi" w:hAnsiTheme="minorHAnsi"/>
          <w:szCs w:val="24"/>
        </w:rPr>
      </w:pPr>
      <w:r>
        <w:rPr>
          <w:rFonts w:asciiTheme="minorHAnsi" w:hAnsiTheme="minorHAnsi"/>
          <w:szCs w:val="24"/>
        </w:rPr>
        <w:t xml:space="preserve">In addition, advisory board members will need to comply with the </w:t>
      </w:r>
      <w:r w:rsidRPr="00C23D3D">
        <w:rPr>
          <w:rFonts w:asciiTheme="minorHAnsi" w:hAnsiTheme="minorHAnsi"/>
          <w:szCs w:val="24"/>
        </w:rPr>
        <w:t xml:space="preserve">Territory Privacy Principles set out in Schedule 1 of the </w:t>
      </w:r>
      <w:r w:rsidRPr="005C2A9F">
        <w:rPr>
          <w:rFonts w:asciiTheme="minorHAnsi" w:hAnsiTheme="minorHAnsi"/>
          <w:i/>
          <w:szCs w:val="24"/>
        </w:rPr>
        <w:t>Information Privacy Act 2014</w:t>
      </w:r>
      <w:r w:rsidRPr="00C23D3D">
        <w:rPr>
          <w:rFonts w:asciiTheme="minorHAnsi" w:hAnsiTheme="minorHAnsi"/>
          <w:szCs w:val="24"/>
        </w:rPr>
        <w:t>.</w:t>
      </w:r>
    </w:p>
    <w:p w:rsidR="005C2A9F" w:rsidRPr="00C23D3D" w:rsidRDefault="005C2A9F" w:rsidP="000055AE">
      <w:pPr>
        <w:spacing w:after="0"/>
        <w:rPr>
          <w:rFonts w:asciiTheme="minorHAnsi" w:hAnsiTheme="minorHAnsi"/>
          <w:szCs w:val="24"/>
        </w:rPr>
      </w:pPr>
    </w:p>
    <w:p w:rsidR="00664296" w:rsidRDefault="00664296" w:rsidP="000055AE">
      <w:pPr>
        <w:spacing w:after="0"/>
        <w:rPr>
          <w:rFonts w:asciiTheme="minorHAnsi" w:hAnsiTheme="minorHAnsi"/>
          <w:szCs w:val="24"/>
        </w:rPr>
      </w:pPr>
      <w:r w:rsidRPr="00C23D3D">
        <w:rPr>
          <w:rFonts w:asciiTheme="minorHAnsi" w:hAnsiTheme="minorHAnsi"/>
          <w:szCs w:val="24"/>
        </w:rPr>
        <w:t xml:space="preserve">As part of their applications to the diversification and sustainability support fund, it is anticipated that clubs may provide sensitive information about their business operations and future plans. </w:t>
      </w:r>
      <w:r>
        <w:rPr>
          <w:rFonts w:asciiTheme="minorHAnsi" w:hAnsiTheme="minorHAnsi"/>
          <w:szCs w:val="24"/>
        </w:rPr>
        <w:t>As noted above, club licensees are all bodies corporate and therefore the provision of this information does not engage the right to privacy.</w:t>
      </w:r>
    </w:p>
    <w:p w:rsidR="00C23D3D" w:rsidRPr="00C23D3D" w:rsidRDefault="00C23D3D" w:rsidP="000055AE">
      <w:pPr>
        <w:spacing w:after="0"/>
        <w:rPr>
          <w:rFonts w:asciiTheme="minorHAnsi" w:hAnsiTheme="minorHAnsi"/>
          <w:szCs w:val="24"/>
        </w:rPr>
      </w:pPr>
    </w:p>
    <w:p w:rsidR="00C23D3D" w:rsidRPr="00C23D3D" w:rsidRDefault="00C23D3D" w:rsidP="000055AE">
      <w:pPr>
        <w:keepNext/>
        <w:autoSpaceDE w:val="0"/>
        <w:autoSpaceDN w:val="0"/>
        <w:adjustRightInd w:val="0"/>
        <w:spacing w:after="0"/>
        <w:rPr>
          <w:rFonts w:asciiTheme="minorHAnsi" w:hAnsiTheme="minorHAnsi" w:cs="Calibri-Italic"/>
          <w:i/>
          <w:iCs/>
          <w:szCs w:val="24"/>
          <w:lang w:eastAsia="en-AU"/>
        </w:rPr>
      </w:pPr>
      <w:r w:rsidRPr="00C23D3D">
        <w:rPr>
          <w:rFonts w:asciiTheme="minorHAnsi" w:hAnsiTheme="minorHAnsi" w:cs="Calibri-Italic"/>
          <w:i/>
          <w:iCs/>
          <w:szCs w:val="24"/>
          <w:lang w:eastAsia="en-AU"/>
        </w:rPr>
        <w:t>The relationship between the limitation and its purpose</w:t>
      </w:r>
    </w:p>
    <w:p w:rsidR="00C23D3D" w:rsidRPr="00C23D3D" w:rsidRDefault="00C23D3D" w:rsidP="000055AE">
      <w:pPr>
        <w:spacing w:after="0"/>
        <w:rPr>
          <w:rFonts w:asciiTheme="minorHAnsi" w:hAnsiTheme="minorHAnsi"/>
          <w:szCs w:val="24"/>
        </w:rPr>
      </w:pPr>
      <w:r w:rsidRPr="00C23D3D">
        <w:rPr>
          <w:rFonts w:asciiTheme="minorHAnsi" w:hAnsiTheme="minorHAnsi"/>
          <w:szCs w:val="24"/>
        </w:rPr>
        <w:t>Careful consideration was give</w:t>
      </w:r>
      <w:r w:rsidR="00664296">
        <w:rPr>
          <w:rFonts w:asciiTheme="minorHAnsi" w:hAnsiTheme="minorHAnsi"/>
          <w:szCs w:val="24"/>
        </w:rPr>
        <w:t>n to the nature and function of the advisory board and the appropriate powers for the board. A key</w:t>
      </w:r>
      <w:r w:rsidRPr="00C23D3D">
        <w:rPr>
          <w:rFonts w:asciiTheme="minorHAnsi" w:hAnsiTheme="minorHAnsi"/>
          <w:szCs w:val="24"/>
        </w:rPr>
        <w:t xml:space="preserve"> </w:t>
      </w:r>
      <w:r w:rsidR="00664296">
        <w:rPr>
          <w:rFonts w:asciiTheme="minorHAnsi" w:hAnsiTheme="minorHAnsi"/>
          <w:szCs w:val="24"/>
        </w:rPr>
        <w:t>function of the advisory board</w:t>
      </w:r>
      <w:r w:rsidRPr="00C23D3D">
        <w:rPr>
          <w:rFonts w:asciiTheme="minorHAnsi" w:hAnsiTheme="minorHAnsi"/>
          <w:szCs w:val="24"/>
        </w:rPr>
        <w:t xml:space="preserve"> is to provide </w:t>
      </w:r>
      <w:r w:rsidR="00664296">
        <w:rPr>
          <w:rFonts w:asciiTheme="minorHAnsi" w:hAnsiTheme="minorHAnsi"/>
          <w:szCs w:val="24"/>
        </w:rPr>
        <w:t xml:space="preserve">a recommendation </w:t>
      </w:r>
      <w:r w:rsidRPr="00C23D3D">
        <w:rPr>
          <w:rFonts w:asciiTheme="minorHAnsi" w:hAnsiTheme="minorHAnsi"/>
          <w:szCs w:val="24"/>
        </w:rPr>
        <w:t xml:space="preserve">to the Minister about </w:t>
      </w:r>
      <w:r w:rsidR="00664296">
        <w:rPr>
          <w:rFonts w:asciiTheme="minorHAnsi" w:hAnsiTheme="minorHAnsi"/>
          <w:szCs w:val="24"/>
        </w:rPr>
        <w:t>payments to be made from the diversification and sustainability support fund.</w:t>
      </w:r>
      <w:r w:rsidRPr="00C23D3D">
        <w:rPr>
          <w:rFonts w:asciiTheme="minorHAnsi" w:hAnsiTheme="minorHAnsi"/>
          <w:szCs w:val="24"/>
        </w:rPr>
        <w:t xml:space="preserve"> The provision of information to the </w:t>
      </w:r>
      <w:r w:rsidR="00664296">
        <w:rPr>
          <w:rFonts w:asciiTheme="minorHAnsi" w:hAnsiTheme="minorHAnsi"/>
          <w:szCs w:val="24"/>
        </w:rPr>
        <w:t>advisory board</w:t>
      </w:r>
      <w:r w:rsidRPr="00C23D3D">
        <w:rPr>
          <w:rFonts w:asciiTheme="minorHAnsi" w:hAnsiTheme="minorHAnsi"/>
          <w:szCs w:val="24"/>
        </w:rPr>
        <w:t xml:space="preserve"> is essential to </w:t>
      </w:r>
      <w:r w:rsidR="00664296">
        <w:rPr>
          <w:rFonts w:asciiTheme="minorHAnsi" w:hAnsiTheme="minorHAnsi"/>
          <w:szCs w:val="24"/>
        </w:rPr>
        <w:t>it</w:t>
      </w:r>
      <w:r w:rsidRPr="00C23D3D">
        <w:rPr>
          <w:rFonts w:asciiTheme="minorHAnsi" w:hAnsiTheme="minorHAnsi"/>
          <w:szCs w:val="24"/>
        </w:rPr>
        <w:t xml:space="preserve"> being able to </w:t>
      </w:r>
      <w:r w:rsidR="00664296">
        <w:rPr>
          <w:rFonts w:asciiTheme="minorHAnsi" w:hAnsiTheme="minorHAnsi"/>
          <w:szCs w:val="24"/>
        </w:rPr>
        <w:t xml:space="preserve">consider applications and </w:t>
      </w:r>
      <w:r w:rsidRPr="00C23D3D">
        <w:rPr>
          <w:rFonts w:asciiTheme="minorHAnsi" w:hAnsiTheme="minorHAnsi"/>
          <w:szCs w:val="24"/>
        </w:rPr>
        <w:t>perform its statutory function.</w:t>
      </w:r>
    </w:p>
    <w:p w:rsidR="00C23D3D" w:rsidRPr="00C23D3D" w:rsidRDefault="00C23D3D" w:rsidP="000055AE">
      <w:pPr>
        <w:spacing w:after="0"/>
        <w:rPr>
          <w:rFonts w:asciiTheme="minorHAnsi" w:hAnsiTheme="minorHAnsi"/>
          <w:szCs w:val="24"/>
        </w:rPr>
      </w:pPr>
    </w:p>
    <w:p w:rsidR="00C23D3D" w:rsidRPr="00C23D3D" w:rsidRDefault="00C23D3D" w:rsidP="000055AE">
      <w:pPr>
        <w:autoSpaceDE w:val="0"/>
        <w:autoSpaceDN w:val="0"/>
        <w:adjustRightInd w:val="0"/>
        <w:spacing w:after="0"/>
        <w:rPr>
          <w:rFonts w:asciiTheme="minorHAnsi" w:hAnsiTheme="minorHAnsi" w:cs="Calibri-Italic"/>
          <w:i/>
          <w:iCs/>
          <w:szCs w:val="24"/>
          <w:lang w:eastAsia="en-AU"/>
        </w:rPr>
      </w:pPr>
      <w:r w:rsidRPr="00C23D3D">
        <w:rPr>
          <w:rFonts w:asciiTheme="minorHAnsi" w:hAnsiTheme="minorHAnsi" w:cs="Calibri-Italic"/>
          <w:i/>
          <w:iCs/>
          <w:szCs w:val="24"/>
          <w:lang w:eastAsia="en-AU"/>
        </w:rPr>
        <w:t>Less restrictive means reasonably available to achieve the purpose</w:t>
      </w:r>
    </w:p>
    <w:p w:rsidR="00C23D3D" w:rsidRPr="00C23D3D" w:rsidRDefault="00C23D3D" w:rsidP="000055AE">
      <w:pPr>
        <w:spacing w:after="0"/>
        <w:rPr>
          <w:rFonts w:asciiTheme="minorHAnsi" w:hAnsiTheme="minorHAnsi"/>
          <w:szCs w:val="24"/>
        </w:rPr>
      </w:pPr>
      <w:r w:rsidRPr="00C23D3D">
        <w:rPr>
          <w:rFonts w:asciiTheme="minorHAnsi" w:hAnsiTheme="minorHAnsi" w:cs="Calibri"/>
          <w:szCs w:val="24"/>
          <w:lang w:eastAsia="en-AU"/>
        </w:rPr>
        <w:t xml:space="preserve">In developing the Bill an assessment was made as to whether any less restrictive means were available to achieve </w:t>
      </w:r>
      <w:r w:rsidR="00664296">
        <w:rPr>
          <w:rFonts w:asciiTheme="minorHAnsi" w:hAnsiTheme="minorHAnsi" w:cs="Calibri"/>
          <w:szCs w:val="24"/>
          <w:lang w:eastAsia="en-AU"/>
        </w:rPr>
        <w:t>the purpose</w:t>
      </w:r>
      <w:r w:rsidRPr="00C23D3D">
        <w:rPr>
          <w:rFonts w:asciiTheme="minorHAnsi" w:hAnsiTheme="minorHAnsi" w:cs="Calibri"/>
          <w:szCs w:val="24"/>
          <w:lang w:eastAsia="en-AU"/>
        </w:rPr>
        <w:t>. There is no less restricti</w:t>
      </w:r>
      <w:r w:rsidR="00664296">
        <w:rPr>
          <w:rFonts w:asciiTheme="minorHAnsi" w:hAnsiTheme="minorHAnsi" w:cs="Calibri"/>
          <w:szCs w:val="24"/>
          <w:lang w:eastAsia="en-AU"/>
        </w:rPr>
        <w:t xml:space="preserve">ve means reasonably available since relevant personal and financial information about an individual is a critical </w:t>
      </w:r>
      <w:r w:rsidRPr="00C23D3D">
        <w:rPr>
          <w:rFonts w:asciiTheme="minorHAnsi" w:hAnsiTheme="minorHAnsi" w:cs="Calibri"/>
          <w:szCs w:val="24"/>
          <w:lang w:eastAsia="en-AU"/>
        </w:rPr>
        <w:t>element in forming a recommendation to the Minister</w:t>
      </w:r>
      <w:r w:rsidR="00664296">
        <w:rPr>
          <w:rFonts w:asciiTheme="minorHAnsi" w:hAnsiTheme="minorHAnsi" w:cs="Calibri"/>
          <w:szCs w:val="24"/>
          <w:lang w:eastAsia="en-AU"/>
        </w:rPr>
        <w:t xml:space="preserve"> about payments to be made from the </w:t>
      </w:r>
      <w:r w:rsidR="00664296">
        <w:rPr>
          <w:rFonts w:asciiTheme="minorHAnsi" w:hAnsiTheme="minorHAnsi" w:cs="Calibri"/>
          <w:szCs w:val="24"/>
          <w:lang w:eastAsia="en-AU"/>
        </w:rPr>
        <w:lastRenderedPageBreak/>
        <w:t>fund</w:t>
      </w:r>
      <w:r w:rsidRPr="00C23D3D">
        <w:rPr>
          <w:rFonts w:asciiTheme="minorHAnsi" w:hAnsiTheme="minorHAnsi" w:cs="Calibri"/>
          <w:szCs w:val="24"/>
          <w:lang w:eastAsia="en-AU"/>
        </w:rPr>
        <w:t xml:space="preserve">. </w:t>
      </w:r>
      <w:r w:rsidR="00983E17">
        <w:rPr>
          <w:rFonts w:asciiTheme="minorHAnsi" w:hAnsiTheme="minorHAnsi" w:cs="Calibri"/>
          <w:szCs w:val="24"/>
          <w:lang w:eastAsia="en-AU"/>
        </w:rPr>
        <w:t>As noted above, there is no requirement on an individual to make an application or provide any information to the advisory board except in the context of an application for funding.</w:t>
      </w:r>
    </w:p>
    <w:p w:rsidR="00C23D3D" w:rsidRPr="00C23D3D" w:rsidRDefault="00C23D3D" w:rsidP="000055AE">
      <w:pPr>
        <w:autoSpaceDE w:val="0"/>
        <w:autoSpaceDN w:val="0"/>
        <w:adjustRightInd w:val="0"/>
        <w:spacing w:after="0"/>
        <w:rPr>
          <w:rFonts w:asciiTheme="minorHAnsi" w:hAnsiTheme="minorHAnsi"/>
          <w:szCs w:val="24"/>
        </w:rPr>
      </w:pPr>
    </w:p>
    <w:p w:rsidR="00C23D3D" w:rsidRPr="00C23D3D" w:rsidRDefault="00C23D3D" w:rsidP="000055AE">
      <w:pPr>
        <w:spacing w:after="0"/>
        <w:rPr>
          <w:rFonts w:asciiTheme="minorHAnsi" w:hAnsiTheme="minorHAnsi"/>
          <w:szCs w:val="24"/>
        </w:rPr>
      </w:pPr>
      <w:r w:rsidRPr="00C23D3D">
        <w:rPr>
          <w:rFonts w:asciiTheme="minorHAnsi" w:hAnsiTheme="minorHAnsi"/>
          <w:szCs w:val="24"/>
        </w:rPr>
        <w:t xml:space="preserve">It will not be possible for the </w:t>
      </w:r>
      <w:r w:rsidR="00664296">
        <w:rPr>
          <w:rFonts w:asciiTheme="minorHAnsi" w:hAnsiTheme="minorHAnsi"/>
          <w:szCs w:val="24"/>
        </w:rPr>
        <w:t>advisory board</w:t>
      </w:r>
      <w:r w:rsidRPr="00C23D3D">
        <w:rPr>
          <w:rFonts w:asciiTheme="minorHAnsi" w:hAnsiTheme="minorHAnsi"/>
          <w:szCs w:val="24"/>
        </w:rPr>
        <w:t xml:space="preserve"> to properly carry out its appointed statutory function without access to relevant information. When provided with </w:t>
      </w:r>
      <w:r w:rsidR="00983E17">
        <w:rPr>
          <w:rFonts w:asciiTheme="minorHAnsi" w:hAnsiTheme="minorHAnsi"/>
          <w:szCs w:val="24"/>
        </w:rPr>
        <w:t>such information, advisory board</w:t>
      </w:r>
      <w:r w:rsidRPr="00C23D3D">
        <w:rPr>
          <w:rFonts w:asciiTheme="minorHAnsi" w:hAnsiTheme="minorHAnsi"/>
          <w:szCs w:val="24"/>
        </w:rPr>
        <w:t xml:space="preserve"> members are bound by existing restrictions on the use and disclosure of information obtained under a gaming law, including the secrecy provisions under the Control Act and the Territory Privacy Principles.</w:t>
      </w:r>
    </w:p>
    <w:p w:rsidR="00C23D3D" w:rsidRPr="00C23D3D" w:rsidRDefault="00C23D3D" w:rsidP="000055AE">
      <w:pPr>
        <w:spacing w:after="0"/>
        <w:rPr>
          <w:rFonts w:asciiTheme="minorHAnsi" w:hAnsiTheme="minorHAnsi"/>
          <w:szCs w:val="24"/>
        </w:rPr>
      </w:pPr>
    </w:p>
    <w:p w:rsidR="00C23D3D" w:rsidRPr="00C23D3D" w:rsidRDefault="00C23D3D" w:rsidP="000055AE">
      <w:pPr>
        <w:spacing w:after="0"/>
        <w:rPr>
          <w:rFonts w:asciiTheme="minorHAnsi" w:hAnsiTheme="minorHAnsi"/>
          <w:szCs w:val="24"/>
        </w:rPr>
      </w:pPr>
      <w:r w:rsidRPr="00C23D3D">
        <w:rPr>
          <w:rFonts w:asciiTheme="minorHAnsi" w:hAnsiTheme="minorHAnsi"/>
          <w:szCs w:val="24"/>
        </w:rPr>
        <w:t>To the extent that the requirement to</w:t>
      </w:r>
      <w:r w:rsidR="00983E17">
        <w:rPr>
          <w:rFonts w:asciiTheme="minorHAnsi" w:hAnsiTheme="minorHAnsi"/>
          <w:szCs w:val="24"/>
        </w:rPr>
        <w:t xml:space="preserve"> provide an individual’s personal and financial</w:t>
      </w:r>
      <w:r w:rsidRPr="00C23D3D">
        <w:rPr>
          <w:rFonts w:asciiTheme="minorHAnsi" w:hAnsiTheme="minorHAnsi"/>
          <w:szCs w:val="24"/>
        </w:rPr>
        <w:t xml:space="preserve"> information </w:t>
      </w:r>
      <w:r w:rsidR="00983E17">
        <w:rPr>
          <w:rFonts w:asciiTheme="minorHAnsi" w:hAnsiTheme="minorHAnsi"/>
          <w:szCs w:val="24"/>
        </w:rPr>
        <w:t xml:space="preserve">to the advisory board for the diversification and sustainability support fund </w:t>
      </w:r>
      <w:r w:rsidRPr="00C23D3D">
        <w:rPr>
          <w:rFonts w:asciiTheme="minorHAnsi" w:hAnsiTheme="minorHAnsi"/>
          <w:szCs w:val="24"/>
        </w:rPr>
        <w:t>engages a person’s right to privacy and reputation, it is likely to be reasonable and demonstrably justified in</w:t>
      </w:r>
      <w:r w:rsidR="00983E17">
        <w:rPr>
          <w:rFonts w:asciiTheme="minorHAnsi" w:hAnsiTheme="minorHAnsi"/>
          <w:szCs w:val="24"/>
        </w:rPr>
        <w:t xml:space="preserve"> a free and democratic society.</w:t>
      </w:r>
    </w:p>
    <w:p w:rsidR="005E322B" w:rsidRPr="00C23D3D" w:rsidRDefault="005E322B" w:rsidP="000055AE">
      <w:pPr>
        <w:spacing w:after="0"/>
        <w:rPr>
          <w:rFonts w:asciiTheme="minorHAnsi" w:hAnsiTheme="minorHAnsi"/>
          <w:szCs w:val="24"/>
        </w:rPr>
      </w:pPr>
    </w:p>
    <w:p w:rsidR="005E322B" w:rsidRPr="00C23D3D" w:rsidRDefault="005E322B" w:rsidP="000055AE">
      <w:pPr>
        <w:spacing w:after="0"/>
        <w:rPr>
          <w:rFonts w:asciiTheme="minorHAnsi" w:hAnsiTheme="minorHAnsi"/>
          <w:szCs w:val="24"/>
          <w:u w:val="single"/>
        </w:rPr>
      </w:pPr>
      <w:r w:rsidRPr="00C23D3D">
        <w:rPr>
          <w:rFonts w:asciiTheme="minorHAnsi" w:hAnsiTheme="minorHAnsi"/>
          <w:szCs w:val="24"/>
          <w:u w:val="single"/>
        </w:rPr>
        <w:t>Revenue/Cost Implications</w:t>
      </w:r>
    </w:p>
    <w:p w:rsidR="005E322B" w:rsidRPr="00C23D3D" w:rsidRDefault="005E322B" w:rsidP="000055AE">
      <w:pPr>
        <w:spacing w:after="0"/>
        <w:rPr>
          <w:rFonts w:asciiTheme="minorHAnsi" w:hAnsiTheme="minorHAnsi" w:cs="Arial"/>
          <w:szCs w:val="24"/>
        </w:rPr>
      </w:pPr>
      <w:r w:rsidRPr="00C23D3D">
        <w:rPr>
          <w:rFonts w:asciiTheme="minorHAnsi" w:hAnsiTheme="minorHAnsi" w:cs="Arial"/>
          <w:szCs w:val="24"/>
        </w:rPr>
        <w:t>The diversification and sustainability support fund will be funded by industry contributions, matched by Government contributions in the first three years of the fund’s operation. The formula for fund contributions is set out in clause 22 of the Amendment Bill, new section 163H.</w:t>
      </w:r>
    </w:p>
    <w:p w:rsidR="005E322B" w:rsidRPr="00C23D3D" w:rsidRDefault="005E322B" w:rsidP="000055AE">
      <w:pPr>
        <w:spacing w:after="0"/>
        <w:rPr>
          <w:rFonts w:asciiTheme="minorHAnsi" w:hAnsiTheme="minorHAnsi" w:cs="Arial"/>
          <w:szCs w:val="24"/>
        </w:rPr>
      </w:pPr>
    </w:p>
    <w:p w:rsidR="005E322B" w:rsidRPr="00C23D3D" w:rsidRDefault="005E322B" w:rsidP="000055AE">
      <w:pPr>
        <w:spacing w:after="0"/>
        <w:rPr>
          <w:rFonts w:asciiTheme="minorHAnsi" w:hAnsiTheme="minorHAnsi" w:cs="Arial"/>
          <w:szCs w:val="24"/>
        </w:rPr>
      </w:pPr>
      <w:r w:rsidRPr="00C23D3D">
        <w:rPr>
          <w:rFonts w:asciiTheme="minorHAnsi" w:hAnsiTheme="minorHAnsi" w:cs="Arial"/>
          <w:szCs w:val="24"/>
        </w:rPr>
        <w:t>Other than administrative costs associated with the fund, there are no other cost implications arising from this Amendment Bill. Resourcing within the Justice and Community Safety Directorate and Chief Minister, Treasury and Economic Development Directorate will support the administration of the fund. Fund monies will not be directed towards these costs.</w:t>
      </w:r>
    </w:p>
    <w:p w:rsidR="005E322B" w:rsidRPr="00C23D3D" w:rsidRDefault="005E322B" w:rsidP="000055AE">
      <w:pPr>
        <w:spacing w:after="0"/>
        <w:rPr>
          <w:rFonts w:asciiTheme="minorHAnsi" w:hAnsiTheme="minorHAnsi" w:cs="Arial"/>
          <w:szCs w:val="24"/>
        </w:rPr>
      </w:pPr>
    </w:p>
    <w:p w:rsidR="003D2223" w:rsidRPr="00C23D3D" w:rsidRDefault="003D2223" w:rsidP="000055AE">
      <w:pPr>
        <w:spacing w:after="0"/>
        <w:rPr>
          <w:rFonts w:asciiTheme="minorHAnsi" w:hAnsiTheme="minorHAnsi"/>
          <w:b/>
          <w:bCs/>
          <w:sz w:val="28"/>
          <w:szCs w:val="28"/>
          <w:lang w:eastAsia="en-AU"/>
        </w:rPr>
      </w:pPr>
      <w:r w:rsidRPr="00C23D3D">
        <w:rPr>
          <w:rFonts w:asciiTheme="minorHAnsi" w:hAnsiTheme="minorHAnsi"/>
          <w:b/>
          <w:bCs/>
          <w:sz w:val="28"/>
          <w:szCs w:val="28"/>
          <w:lang w:eastAsia="en-AU"/>
        </w:rPr>
        <w:br w:type="page"/>
      </w:r>
    </w:p>
    <w:p w:rsidR="00FF2094" w:rsidRPr="00C23D3D" w:rsidRDefault="00FF2094" w:rsidP="000055AE">
      <w:pPr>
        <w:spacing w:after="0"/>
        <w:rPr>
          <w:rFonts w:asciiTheme="minorHAnsi" w:hAnsiTheme="minorHAnsi"/>
          <w:szCs w:val="24"/>
          <w:u w:val="single"/>
        </w:rPr>
      </w:pPr>
      <w:bookmarkStart w:id="1" w:name="_Preamble"/>
      <w:bookmarkEnd w:id="1"/>
      <w:r w:rsidRPr="00C23D3D">
        <w:rPr>
          <w:rFonts w:asciiTheme="minorHAnsi" w:hAnsiTheme="minorHAnsi"/>
          <w:b/>
          <w:szCs w:val="24"/>
        </w:rPr>
        <w:lastRenderedPageBreak/>
        <w:t>CLAUSE NOTES</w:t>
      </w:r>
    </w:p>
    <w:p w:rsidR="00FF2094" w:rsidRPr="00C23D3D" w:rsidRDefault="00FF2094" w:rsidP="000055AE">
      <w:pPr>
        <w:spacing w:after="0"/>
        <w:rPr>
          <w:rFonts w:asciiTheme="minorHAnsi" w:hAnsiTheme="minorHAnsi"/>
          <w:b/>
          <w:szCs w:val="24"/>
          <w:u w:val="single"/>
        </w:rPr>
      </w:pPr>
    </w:p>
    <w:p w:rsidR="00C4385A" w:rsidRPr="00C23D3D" w:rsidRDefault="00C4385A" w:rsidP="000055AE">
      <w:pPr>
        <w:spacing w:after="0"/>
        <w:rPr>
          <w:rFonts w:asciiTheme="minorHAnsi" w:hAnsiTheme="minorHAnsi"/>
          <w:b/>
          <w:szCs w:val="24"/>
          <w:u w:val="single"/>
        </w:rPr>
      </w:pPr>
      <w:r w:rsidRPr="00C23D3D">
        <w:rPr>
          <w:rFonts w:asciiTheme="minorHAnsi" w:hAnsiTheme="minorHAnsi"/>
          <w:b/>
          <w:szCs w:val="24"/>
          <w:u w:val="single"/>
        </w:rPr>
        <w:t>PART 1</w:t>
      </w:r>
      <w:r w:rsidR="00FF2094" w:rsidRPr="00C23D3D">
        <w:rPr>
          <w:rFonts w:asciiTheme="minorHAnsi" w:hAnsiTheme="minorHAnsi"/>
          <w:b/>
          <w:szCs w:val="24"/>
          <w:u w:val="single"/>
        </w:rPr>
        <w:t xml:space="preserve"> - </w:t>
      </w:r>
      <w:r w:rsidRPr="00C23D3D">
        <w:rPr>
          <w:rFonts w:asciiTheme="minorHAnsi" w:hAnsiTheme="minorHAnsi"/>
          <w:b/>
          <w:szCs w:val="24"/>
          <w:u w:val="single"/>
        </w:rPr>
        <w:t>PRELIMINARY</w:t>
      </w:r>
    </w:p>
    <w:p w:rsidR="00FF2094" w:rsidRPr="00C23D3D" w:rsidRDefault="00FF2094" w:rsidP="000055AE">
      <w:pPr>
        <w:pStyle w:val="Heading4"/>
        <w:spacing w:before="0" w:after="0"/>
        <w:rPr>
          <w:rFonts w:asciiTheme="minorHAnsi" w:hAnsiTheme="minorHAnsi"/>
        </w:rPr>
      </w:pPr>
    </w:p>
    <w:p w:rsidR="00702566" w:rsidRPr="00C23D3D" w:rsidRDefault="00C71A66" w:rsidP="000055AE">
      <w:pPr>
        <w:pStyle w:val="Heading4"/>
        <w:spacing w:before="0" w:after="0"/>
        <w:rPr>
          <w:rFonts w:asciiTheme="minorHAnsi" w:hAnsiTheme="minorHAnsi"/>
          <w:bCs/>
          <w:lang w:eastAsia="en-AU"/>
        </w:rPr>
      </w:pPr>
      <w:r w:rsidRPr="00C23D3D">
        <w:rPr>
          <w:rFonts w:asciiTheme="minorHAnsi" w:hAnsiTheme="minorHAnsi"/>
        </w:rPr>
        <w:t xml:space="preserve">Clause </w:t>
      </w:r>
      <w:r w:rsidR="000055AE">
        <w:rPr>
          <w:rFonts w:asciiTheme="minorHAnsi" w:hAnsiTheme="minorHAnsi"/>
        </w:rPr>
        <w:t>1</w:t>
      </w:r>
      <w:r w:rsidR="00C4385A" w:rsidRPr="00C23D3D">
        <w:rPr>
          <w:rFonts w:asciiTheme="minorHAnsi" w:hAnsiTheme="minorHAnsi"/>
          <w:bCs/>
          <w:lang w:eastAsia="en-AU"/>
        </w:rPr>
        <w:tab/>
      </w:r>
      <w:r w:rsidR="00702566" w:rsidRPr="00C23D3D">
        <w:rPr>
          <w:rFonts w:asciiTheme="minorHAnsi" w:hAnsiTheme="minorHAnsi"/>
          <w:bCs/>
          <w:lang w:eastAsia="en-AU"/>
        </w:rPr>
        <w:t>Name of Act</w:t>
      </w:r>
    </w:p>
    <w:p w:rsidR="00702566" w:rsidRPr="00C23D3D" w:rsidRDefault="00C4385A" w:rsidP="000055AE">
      <w:pPr>
        <w:spacing w:after="0"/>
        <w:rPr>
          <w:rFonts w:asciiTheme="minorHAnsi" w:hAnsiTheme="minorHAnsi"/>
          <w:szCs w:val="24"/>
        </w:rPr>
      </w:pPr>
      <w:r w:rsidRPr="00C23D3D">
        <w:rPr>
          <w:rFonts w:asciiTheme="minorHAnsi" w:hAnsiTheme="minorHAnsi"/>
          <w:szCs w:val="24"/>
        </w:rPr>
        <w:t xml:space="preserve">This clause is a formal provision setting out the name of the Act as the </w:t>
      </w:r>
      <w:r w:rsidRPr="00C23D3D">
        <w:rPr>
          <w:rFonts w:asciiTheme="minorHAnsi" w:hAnsiTheme="minorHAnsi"/>
          <w:i/>
          <w:szCs w:val="24"/>
        </w:rPr>
        <w:t>Gamin</w:t>
      </w:r>
      <w:r w:rsidR="000E5FE4" w:rsidRPr="00C23D3D">
        <w:rPr>
          <w:rFonts w:asciiTheme="minorHAnsi" w:hAnsiTheme="minorHAnsi"/>
          <w:i/>
          <w:szCs w:val="24"/>
        </w:rPr>
        <w:t>g Legislation Amendment Act 2019</w:t>
      </w:r>
      <w:r w:rsidRPr="00C23D3D">
        <w:rPr>
          <w:rFonts w:asciiTheme="minorHAnsi" w:hAnsiTheme="minorHAnsi"/>
          <w:szCs w:val="24"/>
        </w:rPr>
        <w:t xml:space="preserve"> (the Amendment Act).</w:t>
      </w:r>
    </w:p>
    <w:p w:rsidR="00FF2094" w:rsidRPr="00C23D3D" w:rsidRDefault="00FF2094" w:rsidP="000055AE">
      <w:pPr>
        <w:pStyle w:val="Heading4"/>
        <w:keepNext w:val="0"/>
        <w:spacing w:before="0" w:after="0"/>
        <w:rPr>
          <w:rFonts w:asciiTheme="minorHAnsi" w:hAnsiTheme="minorHAnsi"/>
        </w:rPr>
      </w:pPr>
    </w:p>
    <w:p w:rsidR="00702566" w:rsidRPr="00C23D3D" w:rsidRDefault="00C71A66" w:rsidP="000055AE">
      <w:pPr>
        <w:pStyle w:val="Heading4"/>
        <w:spacing w:before="0" w:after="0"/>
        <w:rPr>
          <w:rFonts w:asciiTheme="minorHAnsi" w:hAnsiTheme="minorHAnsi"/>
          <w:bCs/>
          <w:lang w:eastAsia="en-AU"/>
        </w:rPr>
      </w:pPr>
      <w:r w:rsidRPr="00C23D3D">
        <w:rPr>
          <w:rFonts w:asciiTheme="minorHAnsi" w:hAnsiTheme="minorHAnsi"/>
        </w:rPr>
        <w:t xml:space="preserve">Clause </w:t>
      </w:r>
      <w:r w:rsidR="000055AE">
        <w:rPr>
          <w:rFonts w:asciiTheme="minorHAnsi" w:hAnsiTheme="minorHAnsi"/>
        </w:rPr>
        <w:t>2</w:t>
      </w:r>
      <w:r w:rsidR="00C4385A" w:rsidRPr="00C23D3D">
        <w:rPr>
          <w:rFonts w:asciiTheme="minorHAnsi" w:hAnsiTheme="minorHAnsi"/>
          <w:bCs/>
          <w:lang w:eastAsia="en-AU"/>
        </w:rPr>
        <w:tab/>
      </w:r>
      <w:r w:rsidR="00702566" w:rsidRPr="00C23D3D">
        <w:rPr>
          <w:rFonts w:asciiTheme="minorHAnsi" w:hAnsiTheme="minorHAnsi"/>
          <w:bCs/>
          <w:lang w:eastAsia="en-AU"/>
        </w:rPr>
        <w:t>Commencement</w:t>
      </w:r>
    </w:p>
    <w:p w:rsidR="00C4385A" w:rsidRPr="00C23D3D" w:rsidRDefault="00C4385A" w:rsidP="000055AE">
      <w:pPr>
        <w:spacing w:after="0"/>
        <w:rPr>
          <w:rFonts w:asciiTheme="minorHAnsi" w:hAnsiTheme="minorHAnsi"/>
          <w:szCs w:val="24"/>
        </w:rPr>
      </w:pPr>
      <w:r w:rsidRPr="00C23D3D">
        <w:rPr>
          <w:rFonts w:asciiTheme="minorHAnsi" w:hAnsiTheme="minorHAnsi"/>
          <w:szCs w:val="24"/>
        </w:rPr>
        <w:t xml:space="preserve">Clause 2 provides </w:t>
      </w:r>
      <w:r w:rsidR="006051C0" w:rsidRPr="00C23D3D">
        <w:rPr>
          <w:rFonts w:asciiTheme="minorHAnsi" w:hAnsiTheme="minorHAnsi"/>
          <w:szCs w:val="24"/>
        </w:rPr>
        <w:t xml:space="preserve">that the </w:t>
      </w:r>
      <w:r w:rsidRPr="00C23D3D">
        <w:rPr>
          <w:rFonts w:asciiTheme="minorHAnsi" w:hAnsiTheme="minorHAnsi"/>
          <w:szCs w:val="24"/>
        </w:rPr>
        <w:t>Amendment Act</w:t>
      </w:r>
      <w:r w:rsidR="006051C0" w:rsidRPr="00C23D3D">
        <w:rPr>
          <w:rFonts w:asciiTheme="minorHAnsi" w:hAnsiTheme="minorHAnsi"/>
          <w:szCs w:val="24"/>
        </w:rPr>
        <w:t xml:space="preserve"> commences </w:t>
      </w:r>
      <w:r w:rsidR="001515BC" w:rsidRPr="00C23D3D">
        <w:rPr>
          <w:rFonts w:asciiTheme="minorHAnsi" w:hAnsiTheme="minorHAnsi"/>
          <w:szCs w:val="24"/>
        </w:rPr>
        <w:t xml:space="preserve">immediately after the commencement of section 72 of the </w:t>
      </w:r>
      <w:r w:rsidR="001515BC" w:rsidRPr="00C23D3D">
        <w:rPr>
          <w:rFonts w:asciiTheme="minorHAnsi" w:hAnsiTheme="minorHAnsi"/>
          <w:i/>
          <w:szCs w:val="24"/>
        </w:rPr>
        <w:t>Gaming Legislation Amendment Act 201</w:t>
      </w:r>
      <w:r w:rsidR="001515BC" w:rsidRPr="00C23D3D">
        <w:rPr>
          <w:rFonts w:asciiTheme="minorHAnsi" w:hAnsiTheme="minorHAnsi"/>
          <w:szCs w:val="24"/>
        </w:rPr>
        <w:t xml:space="preserve">8. Section 72 is scheduled to commence </w:t>
      </w:r>
      <w:r w:rsidR="006051C0" w:rsidRPr="00C23D3D">
        <w:rPr>
          <w:rFonts w:asciiTheme="minorHAnsi" w:hAnsiTheme="minorHAnsi"/>
          <w:szCs w:val="24"/>
        </w:rPr>
        <w:t>on 1 July 2019</w:t>
      </w:r>
      <w:r w:rsidRPr="00C23D3D">
        <w:rPr>
          <w:rFonts w:asciiTheme="minorHAnsi" w:hAnsiTheme="minorHAnsi"/>
          <w:szCs w:val="24"/>
        </w:rPr>
        <w:t>.</w:t>
      </w:r>
    </w:p>
    <w:p w:rsidR="00FF2094" w:rsidRPr="00C23D3D" w:rsidRDefault="00FF2094" w:rsidP="000055AE">
      <w:pPr>
        <w:spacing w:after="0"/>
        <w:rPr>
          <w:rFonts w:asciiTheme="minorHAnsi" w:hAnsiTheme="minorHAnsi"/>
          <w:szCs w:val="24"/>
        </w:rPr>
      </w:pPr>
    </w:p>
    <w:p w:rsidR="00C87B10" w:rsidRPr="00C23D3D" w:rsidRDefault="00C87B10" w:rsidP="000055AE">
      <w:pPr>
        <w:pStyle w:val="Heading4"/>
        <w:spacing w:before="0" w:after="0"/>
        <w:rPr>
          <w:rFonts w:asciiTheme="minorHAnsi" w:hAnsiTheme="minorHAnsi"/>
          <w:bCs/>
          <w:lang w:eastAsia="en-AU"/>
        </w:rPr>
      </w:pPr>
      <w:r w:rsidRPr="00C23D3D">
        <w:rPr>
          <w:rFonts w:asciiTheme="minorHAnsi" w:hAnsiTheme="minorHAnsi"/>
        </w:rPr>
        <w:t xml:space="preserve">Clause </w:t>
      </w:r>
      <w:r w:rsidR="000055AE">
        <w:rPr>
          <w:rFonts w:asciiTheme="minorHAnsi" w:hAnsiTheme="minorHAnsi"/>
          <w:noProof/>
        </w:rPr>
        <w:t>3</w:t>
      </w:r>
      <w:r w:rsidR="00C4385A" w:rsidRPr="00C23D3D">
        <w:rPr>
          <w:rFonts w:asciiTheme="minorHAnsi" w:hAnsiTheme="minorHAnsi"/>
          <w:bCs/>
          <w:lang w:eastAsia="en-AU"/>
        </w:rPr>
        <w:tab/>
      </w:r>
      <w:r w:rsidRPr="00C23D3D">
        <w:rPr>
          <w:rFonts w:asciiTheme="minorHAnsi" w:hAnsiTheme="minorHAnsi"/>
          <w:bCs/>
          <w:lang w:eastAsia="en-AU"/>
        </w:rPr>
        <w:t xml:space="preserve">Legislation </w:t>
      </w:r>
      <w:r w:rsidR="00771555" w:rsidRPr="00C23D3D">
        <w:rPr>
          <w:rFonts w:asciiTheme="minorHAnsi" w:hAnsiTheme="minorHAnsi"/>
          <w:bCs/>
          <w:lang w:eastAsia="en-AU"/>
        </w:rPr>
        <w:t>a</w:t>
      </w:r>
      <w:r w:rsidRPr="00C23D3D">
        <w:rPr>
          <w:rFonts w:asciiTheme="minorHAnsi" w:hAnsiTheme="minorHAnsi"/>
          <w:bCs/>
          <w:lang w:eastAsia="en-AU"/>
        </w:rPr>
        <w:t>mended</w:t>
      </w:r>
    </w:p>
    <w:p w:rsidR="00C4385A" w:rsidRPr="00C23D3D" w:rsidRDefault="00C87B10" w:rsidP="000055AE">
      <w:pPr>
        <w:spacing w:after="0"/>
        <w:rPr>
          <w:rFonts w:asciiTheme="minorHAnsi" w:hAnsiTheme="minorHAnsi"/>
          <w:szCs w:val="24"/>
        </w:rPr>
      </w:pPr>
      <w:r w:rsidRPr="00C23D3D">
        <w:rPr>
          <w:rFonts w:asciiTheme="minorHAnsi" w:hAnsiTheme="minorHAnsi"/>
          <w:szCs w:val="24"/>
        </w:rPr>
        <w:t xml:space="preserve">This clause </w:t>
      </w:r>
      <w:r w:rsidR="00442BD2" w:rsidRPr="00C23D3D">
        <w:rPr>
          <w:rFonts w:asciiTheme="minorHAnsi" w:hAnsiTheme="minorHAnsi"/>
          <w:szCs w:val="24"/>
        </w:rPr>
        <w:t>lists</w:t>
      </w:r>
      <w:r w:rsidR="00C4385A" w:rsidRPr="00C23D3D">
        <w:rPr>
          <w:rFonts w:asciiTheme="minorHAnsi" w:hAnsiTheme="minorHAnsi"/>
          <w:szCs w:val="24"/>
        </w:rPr>
        <w:t xml:space="preserve"> the legislation amended by the Amendment Bill. The </w:t>
      </w:r>
      <w:r w:rsidR="00442BD2" w:rsidRPr="00C23D3D">
        <w:rPr>
          <w:rFonts w:asciiTheme="minorHAnsi" w:hAnsiTheme="minorHAnsi"/>
          <w:szCs w:val="24"/>
        </w:rPr>
        <w:t>Bill will amend the</w:t>
      </w:r>
      <w:r w:rsidR="00C4385A" w:rsidRPr="00C23D3D">
        <w:rPr>
          <w:rFonts w:asciiTheme="minorHAnsi" w:hAnsiTheme="minorHAnsi"/>
          <w:szCs w:val="24"/>
        </w:rPr>
        <w:t>:</w:t>
      </w:r>
    </w:p>
    <w:p w:rsidR="00C4385A" w:rsidRPr="00C23D3D" w:rsidRDefault="00C4385A" w:rsidP="000055AE">
      <w:pPr>
        <w:pStyle w:val="ListParagraph"/>
        <w:numPr>
          <w:ilvl w:val="0"/>
          <w:numId w:val="25"/>
        </w:numPr>
        <w:spacing w:after="0"/>
        <w:rPr>
          <w:rFonts w:asciiTheme="minorHAnsi" w:hAnsiTheme="minorHAnsi" w:cs="Arial"/>
          <w:i/>
          <w:sz w:val="24"/>
          <w:szCs w:val="24"/>
        </w:rPr>
      </w:pPr>
      <w:r w:rsidRPr="00C23D3D">
        <w:rPr>
          <w:rFonts w:asciiTheme="minorHAnsi" w:hAnsiTheme="minorHAnsi" w:cs="Arial"/>
          <w:i/>
          <w:sz w:val="24"/>
          <w:szCs w:val="24"/>
        </w:rPr>
        <w:t>Gambling and Racing Control Act 1999</w:t>
      </w:r>
    </w:p>
    <w:p w:rsidR="00C4385A" w:rsidRPr="00C23D3D" w:rsidRDefault="00C4385A" w:rsidP="000055AE">
      <w:pPr>
        <w:pStyle w:val="ListParagraph"/>
        <w:numPr>
          <w:ilvl w:val="0"/>
          <w:numId w:val="25"/>
        </w:numPr>
        <w:spacing w:after="0"/>
        <w:rPr>
          <w:rFonts w:asciiTheme="minorHAnsi" w:hAnsiTheme="minorHAnsi" w:cs="Arial"/>
          <w:i/>
          <w:sz w:val="24"/>
          <w:szCs w:val="24"/>
        </w:rPr>
      </w:pPr>
      <w:r w:rsidRPr="00C23D3D">
        <w:rPr>
          <w:rFonts w:asciiTheme="minorHAnsi" w:hAnsiTheme="minorHAnsi" w:cs="Arial"/>
          <w:i/>
          <w:sz w:val="24"/>
          <w:szCs w:val="24"/>
        </w:rPr>
        <w:t>Gaming Machine Act 2004</w:t>
      </w:r>
      <w:r w:rsidR="006051C0" w:rsidRPr="00C23D3D">
        <w:rPr>
          <w:rFonts w:asciiTheme="minorHAnsi" w:hAnsiTheme="minorHAnsi" w:cs="Arial"/>
          <w:i/>
          <w:sz w:val="24"/>
          <w:szCs w:val="24"/>
        </w:rPr>
        <w:t>.</w:t>
      </w:r>
    </w:p>
    <w:p w:rsidR="000E5FE4" w:rsidRPr="00C23D3D" w:rsidRDefault="000E5FE4" w:rsidP="000055AE">
      <w:pPr>
        <w:spacing w:after="0"/>
        <w:rPr>
          <w:rFonts w:asciiTheme="minorHAnsi" w:hAnsiTheme="minorHAnsi" w:cs="Arial"/>
          <w:i/>
          <w:szCs w:val="24"/>
        </w:rPr>
      </w:pPr>
    </w:p>
    <w:p w:rsidR="007B6680" w:rsidRPr="00C23D3D" w:rsidRDefault="007B6680" w:rsidP="000055AE">
      <w:pPr>
        <w:spacing w:after="0"/>
        <w:rPr>
          <w:rFonts w:asciiTheme="minorHAnsi" w:hAnsiTheme="minorHAnsi"/>
          <w:b/>
          <w:szCs w:val="24"/>
          <w:u w:val="single"/>
        </w:rPr>
      </w:pPr>
      <w:r w:rsidRPr="00C23D3D">
        <w:rPr>
          <w:rFonts w:asciiTheme="minorHAnsi" w:hAnsiTheme="minorHAnsi"/>
          <w:b/>
          <w:szCs w:val="24"/>
          <w:u w:val="single"/>
        </w:rPr>
        <w:t>PART 2</w:t>
      </w:r>
      <w:r w:rsidRPr="00C23D3D">
        <w:rPr>
          <w:rFonts w:asciiTheme="minorHAnsi" w:hAnsiTheme="minorHAnsi"/>
          <w:b/>
          <w:szCs w:val="24"/>
          <w:u w:val="single"/>
        </w:rPr>
        <w:tab/>
      </w:r>
      <w:r w:rsidR="00FF2094" w:rsidRPr="00C23D3D">
        <w:rPr>
          <w:rFonts w:asciiTheme="minorHAnsi" w:hAnsiTheme="minorHAnsi"/>
          <w:b/>
          <w:szCs w:val="24"/>
          <w:u w:val="single"/>
        </w:rPr>
        <w:t xml:space="preserve"> - </w:t>
      </w:r>
      <w:r w:rsidRPr="00C23D3D">
        <w:rPr>
          <w:rFonts w:asciiTheme="minorHAnsi" w:hAnsiTheme="minorHAnsi"/>
          <w:b/>
          <w:szCs w:val="24"/>
          <w:u w:val="single"/>
        </w:rPr>
        <w:t>GAMBLING AND RACING CONTROL ACT 1999</w:t>
      </w:r>
    </w:p>
    <w:p w:rsidR="00FF2094" w:rsidRPr="00C23D3D" w:rsidRDefault="00FF2094" w:rsidP="000055AE">
      <w:pPr>
        <w:pStyle w:val="Heading4"/>
        <w:spacing w:before="0" w:after="0"/>
        <w:ind w:left="1440" w:hanging="1440"/>
        <w:rPr>
          <w:rFonts w:asciiTheme="minorHAnsi" w:hAnsiTheme="minorHAnsi"/>
        </w:rPr>
      </w:pPr>
    </w:p>
    <w:p w:rsidR="00C4385A" w:rsidRPr="00C23D3D" w:rsidRDefault="00AC5B87" w:rsidP="000055AE">
      <w:pPr>
        <w:pStyle w:val="Heading4"/>
        <w:spacing w:before="0" w:after="0"/>
        <w:ind w:left="1440" w:hanging="1440"/>
        <w:rPr>
          <w:rFonts w:asciiTheme="minorHAnsi" w:hAnsiTheme="minorHAnsi"/>
          <w:lang w:eastAsia="en-AU"/>
        </w:rPr>
      </w:pPr>
      <w:r w:rsidRPr="00C23D3D">
        <w:rPr>
          <w:rFonts w:asciiTheme="minorHAnsi" w:hAnsiTheme="minorHAnsi"/>
        </w:rPr>
        <w:t xml:space="preserve">Clause </w:t>
      </w:r>
      <w:r w:rsidR="000055AE">
        <w:rPr>
          <w:rFonts w:asciiTheme="minorHAnsi" w:hAnsiTheme="minorHAnsi"/>
        </w:rPr>
        <w:t>4</w:t>
      </w:r>
      <w:r w:rsidR="00C4385A" w:rsidRPr="00C23D3D">
        <w:rPr>
          <w:rFonts w:asciiTheme="minorHAnsi" w:hAnsiTheme="minorHAnsi"/>
          <w:lang w:eastAsia="en-AU"/>
        </w:rPr>
        <w:tab/>
        <w:t>Co</w:t>
      </w:r>
      <w:r w:rsidR="00B42C15" w:rsidRPr="00C23D3D">
        <w:rPr>
          <w:rFonts w:asciiTheme="minorHAnsi" w:hAnsiTheme="minorHAnsi"/>
          <w:lang w:eastAsia="en-AU"/>
        </w:rPr>
        <w:t>de of p</w:t>
      </w:r>
      <w:r w:rsidR="006051C0" w:rsidRPr="00C23D3D">
        <w:rPr>
          <w:rFonts w:asciiTheme="minorHAnsi" w:hAnsiTheme="minorHAnsi"/>
          <w:lang w:eastAsia="en-AU"/>
        </w:rPr>
        <w:t>ractice</w:t>
      </w:r>
      <w:r w:rsidR="006051C0" w:rsidRPr="00C23D3D">
        <w:rPr>
          <w:rFonts w:asciiTheme="minorHAnsi" w:hAnsiTheme="minorHAnsi"/>
          <w:lang w:eastAsia="en-AU"/>
        </w:rPr>
        <w:br/>
        <w:t>S</w:t>
      </w:r>
      <w:r w:rsidR="004C540B" w:rsidRPr="00C23D3D">
        <w:rPr>
          <w:rFonts w:asciiTheme="minorHAnsi" w:hAnsiTheme="minorHAnsi"/>
          <w:lang w:eastAsia="en-AU"/>
        </w:rPr>
        <w:t>ection 18 (1</w:t>
      </w:r>
      <w:r w:rsidR="006051C0" w:rsidRPr="00C23D3D">
        <w:rPr>
          <w:rFonts w:asciiTheme="minorHAnsi" w:hAnsiTheme="minorHAnsi"/>
          <w:lang w:eastAsia="en-AU"/>
        </w:rPr>
        <w:t>)</w:t>
      </w:r>
    </w:p>
    <w:p w:rsidR="006051C0" w:rsidRPr="00C23D3D" w:rsidRDefault="006051C0" w:rsidP="000055AE">
      <w:pPr>
        <w:spacing w:after="0"/>
        <w:rPr>
          <w:rFonts w:asciiTheme="minorHAnsi" w:hAnsiTheme="minorHAnsi"/>
          <w:szCs w:val="24"/>
        </w:rPr>
      </w:pPr>
      <w:r w:rsidRPr="00C23D3D">
        <w:rPr>
          <w:rFonts w:asciiTheme="minorHAnsi" w:hAnsiTheme="minorHAnsi"/>
          <w:szCs w:val="24"/>
        </w:rPr>
        <w:t>Section 18(1) of the Control Act provides a regulation-making power for codes of practice under the Act.</w:t>
      </w:r>
    </w:p>
    <w:p w:rsidR="006051C0" w:rsidRPr="00C23D3D" w:rsidRDefault="006051C0" w:rsidP="000055AE">
      <w:pPr>
        <w:spacing w:after="0"/>
        <w:rPr>
          <w:rFonts w:asciiTheme="minorHAnsi" w:hAnsiTheme="minorHAnsi"/>
          <w:szCs w:val="24"/>
        </w:rPr>
      </w:pPr>
    </w:p>
    <w:p w:rsidR="006051C0" w:rsidRPr="00C23D3D" w:rsidRDefault="00A862B6" w:rsidP="000055AE">
      <w:pPr>
        <w:spacing w:after="0"/>
        <w:rPr>
          <w:rFonts w:asciiTheme="minorHAnsi" w:hAnsiTheme="minorHAnsi"/>
          <w:szCs w:val="24"/>
        </w:rPr>
      </w:pPr>
      <w:r w:rsidRPr="00C23D3D">
        <w:rPr>
          <w:rFonts w:asciiTheme="minorHAnsi" w:hAnsiTheme="minorHAnsi"/>
          <w:szCs w:val="24"/>
        </w:rPr>
        <w:t>As currently drafted, section 18(1) provides that a regulation may prescribe 1 or more codes of practice to apply to specified classes of people who are licensed or otherwise authorised to do things under a gaming law.</w:t>
      </w:r>
    </w:p>
    <w:p w:rsidR="006051C0" w:rsidRPr="00C23D3D" w:rsidRDefault="006051C0" w:rsidP="000055AE">
      <w:pPr>
        <w:spacing w:after="0"/>
        <w:rPr>
          <w:rFonts w:asciiTheme="minorHAnsi" w:hAnsiTheme="minorHAnsi"/>
          <w:szCs w:val="24"/>
        </w:rPr>
      </w:pPr>
    </w:p>
    <w:p w:rsidR="00865A68" w:rsidRPr="00C23D3D" w:rsidRDefault="00A862B6" w:rsidP="000055AE">
      <w:pPr>
        <w:spacing w:after="0"/>
        <w:rPr>
          <w:rFonts w:asciiTheme="minorHAnsi" w:hAnsiTheme="minorHAnsi"/>
          <w:szCs w:val="24"/>
        </w:rPr>
      </w:pPr>
      <w:r w:rsidRPr="00C23D3D">
        <w:rPr>
          <w:rFonts w:asciiTheme="minorHAnsi" w:hAnsiTheme="minorHAnsi"/>
          <w:szCs w:val="24"/>
        </w:rPr>
        <w:t>C</w:t>
      </w:r>
      <w:r w:rsidR="006051C0" w:rsidRPr="00C23D3D">
        <w:rPr>
          <w:rFonts w:asciiTheme="minorHAnsi" w:hAnsiTheme="minorHAnsi"/>
          <w:szCs w:val="24"/>
        </w:rPr>
        <w:t xml:space="preserve">lause 4 amends the existing power to make it clear that codes of practice made under the Control Act may apply </w:t>
      </w:r>
      <w:r w:rsidR="00865A68" w:rsidRPr="00C23D3D">
        <w:rPr>
          <w:rFonts w:asciiTheme="minorHAnsi" w:hAnsiTheme="minorHAnsi"/>
          <w:szCs w:val="24"/>
        </w:rPr>
        <w:t>in relation to:</w:t>
      </w:r>
    </w:p>
    <w:p w:rsidR="00865A68" w:rsidRPr="00C23D3D" w:rsidRDefault="00A862B6" w:rsidP="000055AE">
      <w:pPr>
        <w:pStyle w:val="BodyText"/>
        <w:numPr>
          <w:ilvl w:val="0"/>
          <w:numId w:val="33"/>
        </w:numPr>
        <w:spacing w:before="0" w:after="0"/>
        <w:rPr>
          <w:rFonts w:asciiTheme="minorHAnsi" w:hAnsiTheme="minorHAnsi"/>
        </w:rPr>
      </w:pPr>
      <w:r w:rsidRPr="00C23D3D">
        <w:rPr>
          <w:rFonts w:asciiTheme="minorHAnsi" w:hAnsiTheme="minorHAnsi"/>
        </w:rPr>
        <w:t>a person who is licensed</w:t>
      </w:r>
      <w:r w:rsidR="006051C0" w:rsidRPr="00C23D3D">
        <w:rPr>
          <w:rFonts w:asciiTheme="minorHAnsi" w:hAnsiTheme="minorHAnsi"/>
        </w:rPr>
        <w:t xml:space="preserve"> or </w:t>
      </w:r>
      <w:r w:rsidRPr="00C23D3D">
        <w:rPr>
          <w:rFonts w:asciiTheme="minorHAnsi" w:hAnsiTheme="minorHAnsi"/>
        </w:rPr>
        <w:t>has</w:t>
      </w:r>
      <w:r w:rsidR="00865A68" w:rsidRPr="00C23D3D">
        <w:rPr>
          <w:rFonts w:asciiTheme="minorHAnsi" w:hAnsiTheme="minorHAnsi"/>
        </w:rPr>
        <w:t xml:space="preserve"> a function under a gaming law;</w:t>
      </w:r>
    </w:p>
    <w:p w:rsidR="00865A68" w:rsidRPr="00C23D3D" w:rsidRDefault="006051C0" w:rsidP="000055AE">
      <w:pPr>
        <w:pStyle w:val="BodyText"/>
        <w:numPr>
          <w:ilvl w:val="0"/>
          <w:numId w:val="33"/>
        </w:numPr>
        <w:spacing w:before="0" w:after="0"/>
        <w:rPr>
          <w:rFonts w:asciiTheme="minorHAnsi" w:hAnsiTheme="minorHAnsi"/>
        </w:rPr>
      </w:pPr>
      <w:r w:rsidRPr="00C23D3D">
        <w:rPr>
          <w:rFonts w:asciiTheme="minorHAnsi" w:hAnsiTheme="minorHAnsi"/>
        </w:rPr>
        <w:t>a licensee’s executive or members of a licensee’</w:t>
      </w:r>
      <w:r w:rsidR="00865A68" w:rsidRPr="00C23D3D">
        <w:rPr>
          <w:rFonts w:asciiTheme="minorHAnsi" w:hAnsiTheme="minorHAnsi"/>
        </w:rPr>
        <w:t>s board or management committee;</w:t>
      </w:r>
      <w:r w:rsidRPr="00C23D3D">
        <w:rPr>
          <w:rFonts w:asciiTheme="minorHAnsi" w:hAnsiTheme="minorHAnsi"/>
        </w:rPr>
        <w:t xml:space="preserve"> or </w:t>
      </w:r>
    </w:p>
    <w:p w:rsidR="00AC5B87" w:rsidRPr="00C23D3D" w:rsidRDefault="00865A68" w:rsidP="000055AE">
      <w:pPr>
        <w:pStyle w:val="BodyText"/>
        <w:numPr>
          <w:ilvl w:val="0"/>
          <w:numId w:val="33"/>
        </w:numPr>
        <w:spacing w:before="0" w:after="0"/>
        <w:rPr>
          <w:rFonts w:asciiTheme="minorHAnsi" w:hAnsiTheme="minorHAnsi"/>
        </w:rPr>
      </w:pPr>
      <w:r w:rsidRPr="00C23D3D">
        <w:rPr>
          <w:rFonts w:asciiTheme="minorHAnsi" w:hAnsiTheme="minorHAnsi"/>
        </w:rPr>
        <w:t xml:space="preserve">a licensee’s premises or </w:t>
      </w:r>
      <w:r w:rsidR="006051C0" w:rsidRPr="00C23D3D">
        <w:rPr>
          <w:rFonts w:asciiTheme="minorHAnsi" w:hAnsiTheme="minorHAnsi"/>
        </w:rPr>
        <w:t>a worker at a licensee’s premises.</w:t>
      </w:r>
    </w:p>
    <w:p w:rsidR="004420A7" w:rsidRPr="00C23D3D" w:rsidRDefault="004420A7" w:rsidP="000055AE">
      <w:pPr>
        <w:spacing w:after="0"/>
        <w:rPr>
          <w:rFonts w:asciiTheme="minorHAnsi" w:hAnsiTheme="minorHAnsi"/>
          <w:szCs w:val="24"/>
        </w:rPr>
      </w:pPr>
    </w:p>
    <w:p w:rsidR="004420A7" w:rsidRPr="00C23D3D" w:rsidRDefault="004420A7" w:rsidP="000055AE">
      <w:pPr>
        <w:spacing w:after="0"/>
        <w:rPr>
          <w:rFonts w:asciiTheme="minorHAnsi" w:hAnsiTheme="minorHAnsi"/>
          <w:szCs w:val="24"/>
        </w:rPr>
      </w:pPr>
      <w:r w:rsidRPr="00C23D3D">
        <w:rPr>
          <w:rFonts w:asciiTheme="minorHAnsi" w:hAnsiTheme="minorHAnsi"/>
          <w:szCs w:val="24"/>
        </w:rPr>
        <w:t xml:space="preserve">The ACT has committed to implement the National Consumer Protection Framework for online </w:t>
      </w:r>
      <w:r w:rsidR="00865A68" w:rsidRPr="00C23D3D">
        <w:rPr>
          <w:rFonts w:asciiTheme="minorHAnsi" w:hAnsiTheme="minorHAnsi"/>
          <w:szCs w:val="24"/>
        </w:rPr>
        <w:t>wagering</w:t>
      </w:r>
      <w:r w:rsidRPr="00C23D3D">
        <w:rPr>
          <w:rFonts w:asciiTheme="minorHAnsi" w:hAnsiTheme="minorHAnsi"/>
          <w:szCs w:val="24"/>
        </w:rPr>
        <w:t>.</w:t>
      </w:r>
      <w:r w:rsidR="00865A68" w:rsidRPr="00C23D3D">
        <w:rPr>
          <w:rFonts w:asciiTheme="minorHAnsi" w:hAnsiTheme="minorHAnsi"/>
          <w:szCs w:val="24"/>
        </w:rPr>
        <w:t xml:space="preserve"> The measures within the Framework will be implemented through a combination of Commonwealth, and State and Territory regulatory changes. As a result, c</w:t>
      </w:r>
      <w:r w:rsidRPr="00C23D3D">
        <w:rPr>
          <w:rFonts w:asciiTheme="minorHAnsi" w:hAnsiTheme="minorHAnsi"/>
          <w:szCs w:val="24"/>
        </w:rPr>
        <w:t xml:space="preserve">lause 4 </w:t>
      </w:r>
      <w:r w:rsidR="00865A68" w:rsidRPr="00C23D3D">
        <w:rPr>
          <w:rFonts w:asciiTheme="minorHAnsi" w:hAnsiTheme="minorHAnsi"/>
          <w:szCs w:val="24"/>
        </w:rPr>
        <w:t>also amends section 18(1) to include new paragraph (d) to provide</w:t>
      </w:r>
      <w:r w:rsidRPr="00C23D3D">
        <w:rPr>
          <w:rFonts w:asciiTheme="minorHAnsi" w:hAnsiTheme="minorHAnsi"/>
          <w:szCs w:val="24"/>
        </w:rPr>
        <w:t xml:space="preserve"> that a code of </w:t>
      </w:r>
      <w:r w:rsidRPr="00C23D3D">
        <w:rPr>
          <w:rFonts w:asciiTheme="minorHAnsi" w:hAnsiTheme="minorHAnsi"/>
          <w:szCs w:val="24"/>
        </w:rPr>
        <w:lastRenderedPageBreak/>
        <w:t>practice may apply in relation to commitments made under the Nationa</w:t>
      </w:r>
      <w:r w:rsidR="00F31284">
        <w:rPr>
          <w:rFonts w:asciiTheme="minorHAnsi" w:hAnsiTheme="minorHAnsi"/>
          <w:szCs w:val="24"/>
        </w:rPr>
        <w:t>l Consumer Protection Framework (see clause 8 below).</w:t>
      </w:r>
    </w:p>
    <w:p w:rsidR="00FF2094" w:rsidRPr="00C23D3D" w:rsidRDefault="00FF2094" w:rsidP="000055AE">
      <w:pPr>
        <w:spacing w:after="0"/>
        <w:rPr>
          <w:rFonts w:asciiTheme="minorHAnsi" w:hAnsiTheme="minorHAnsi"/>
          <w:szCs w:val="24"/>
        </w:rPr>
      </w:pPr>
    </w:p>
    <w:p w:rsidR="00AC5B87" w:rsidRPr="00C23D3D" w:rsidRDefault="00C4385A" w:rsidP="000055AE">
      <w:pPr>
        <w:pStyle w:val="Heading4"/>
        <w:spacing w:before="0" w:after="0"/>
        <w:ind w:left="1440" w:hanging="1440"/>
        <w:rPr>
          <w:rFonts w:asciiTheme="minorHAnsi" w:hAnsiTheme="minorHAnsi"/>
          <w:lang w:eastAsia="en-AU"/>
        </w:rPr>
      </w:pPr>
      <w:r w:rsidRPr="00C23D3D">
        <w:rPr>
          <w:rFonts w:asciiTheme="minorHAnsi" w:hAnsiTheme="minorHAnsi"/>
        </w:rPr>
        <w:t xml:space="preserve">Clause </w:t>
      </w:r>
      <w:r w:rsidR="000055AE">
        <w:rPr>
          <w:rFonts w:asciiTheme="minorHAnsi" w:hAnsiTheme="minorHAnsi"/>
        </w:rPr>
        <w:t>5</w:t>
      </w:r>
      <w:r w:rsidR="006051C0" w:rsidRPr="00C23D3D">
        <w:rPr>
          <w:rFonts w:asciiTheme="minorHAnsi" w:hAnsiTheme="minorHAnsi"/>
          <w:lang w:eastAsia="en-AU"/>
        </w:rPr>
        <w:tab/>
        <w:t>S</w:t>
      </w:r>
      <w:r w:rsidR="004C540B" w:rsidRPr="00C23D3D">
        <w:rPr>
          <w:rFonts w:asciiTheme="minorHAnsi" w:hAnsiTheme="minorHAnsi"/>
          <w:lang w:eastAsia="en-AU"/>
        </w:rPr>
        <w:t>ection 18 (2</w:t>
      </w:r>
      <w:r w:rsidRPr="00C23D3D">
        <w:rPr>
          <w:rFonts w:asciiTheme="minorHAnsi" w:hAnsiTheme="minorHAnsi"/>
          <w:lang w:eastAsia="en-AU"/>
        </w:rPr>
        <w:t>)</w:t>
      </w:r>
      <w:r w:rsidR="004C540B" w:rsidRPr="00C23D3D">
        <w:rPr>
          <w:rFonts w:asciiTheme="minorHAnsi" w:hAnsiTheme="minorHAnsi"/>
          <w:lang w:eastAsia="en-AU"/>
        </w:rPr>
        <w:t xml:space="preserve"> (e)</w:t>
      </w:r>
    </w:p>
    <w:p w:rsidR="00865A68" w:rsidRDefault="00865A68" w:rsidP="000055AE">
      <w:pPr>
        <w:spacing w:after="0"/>
        <w:rPr>
          <w:rFonts w:asciiTheme="minorHAnsi" w:hAnsiTheme="minorHAnsi"/>
          <w:szCs w:val="24"/>
        </w:rPr>
      </w:pPr>
      <w:r w:rsidRPr="00C23D3D">
        <w:rPr>
          <w:rFonts w:asciiTheme="minorHAnsi" w:hAnsiTheme="minorHAnsi"/>
          <w:szCs w:val="24"/>
        </w:rPr>
        <w:t xml:space="preserve">Section 18(2) </w:t>
      </w:r>
      <w:r w:rsidR="00571DD0">
        <w:rPr>
          <w:rFonts w:asciiTheme="minorHAnsi" w:hAnsiTheme="minorHAnsi"/>
          <w:szCs w:val="24"/>
        </w:rPr>
        <w:t xml:space="preserve">of the Control Act </w:t>
      </w:r>
      <w:r w:rsidRPr="00C23D3D">
        <w:rPr>
          <w:rFonts w:asciiTheme="minorHAnsi" w:hAnsiTheme="minorHAnsi"/>
          <w:szCs w:val="24"/>
        </w:rPr>
        <w:t>provides that a code of practice may include, but is not limited to, guidelines about the matters set out in that section.</w:t>
      </w:r>
    </w:p>
    <w:p w:rsidR="00F31284" w:rsidRPr="00C23D3D" w:rsidRDefault="00F31284" w:rsidP="000055AE">
      <w:pPr>
        <w:spacing w:after="0"/>
        <w:rPr>
          <w:rFonts w:asciiTheme="minorHAnsi" w:hAnsiTheme="minorHAnsi"/>
          <w:szCs w:val="24"/>
        </w:rPr>
      </w:pPr>
    </w:p>
    <w:p w:rsidR="00865A68" w:rsidRPr="00C23D3D" w:rsidRDefault="00865A68" w:rsidP="000055AE">
      <w:pPr>
        <w:spacing w:after="0"/>
        <w:rPr>
          <w:rFonts w:asciiTheme="minorHAnsi" w:hAnsiTheme="minorHAnsi"/>
          <w:szCs w:val="24"/>
        </w:rPr>
      </w:pPr>
      <w:r w:rsidRPr="00C23D3D">
        <w:rPr>
          <w:rFonts w:asciiTheme="minorHAnsi" w:hAnsiTheme="minorHAnsi"/>
          <w:szCs w:val="24"/>
        </w:rPr>
        <w:t>In particular, s</w:t>
      </w:r>
      <w:r w:rsidR="00605EE3" w:rsidRPr="00C23D3D">
        <w:rPr>
          <w:rFonts w:asciiTheme="minorHAnsi" w:hAnsiTheme="minorHAnsi"/>
          <w:szCs w:val="24"/>
        </w:rPr>
        <w:t xml:space="preserve">ection 18(2)(e) provides that a code of practice may </w:t>
      </w:r>
      <w:r w:rsidRPr="00C23D3D">
        <w:rPr>
          <w:rFonts w:asciiTheme="minorHAnsi" w:hAnsiTheme="minorHAnsi"/>
          <w:szCs w:val="24"/>
        </w:rPr>
        <w:t>include guidelines about training staff to recognise and deal appropriate</w:t>
      </w:r>
      <w:r w:rsidR="00F31284">
        <w:rPr>
          <w:rFonts w:asciiTheme="minorHAnsi" w:hAnsiTheme="minorHAnsi"/>
          <w:szCs w:val="24"/>
        </w:rPr>
        <w:t>ly</w:t>
      </w:r>
      <w:r w:rsidRPr="00C23D3D">
        <w:rPr>
          <w:rFonts w:asciiTheme="minorHAnsi" w:hAnsiTheme="minorHAnsi"/>
          <w:szCs w:val="24"/>
        </w:rPr>
        <w:t xml:space="preserve"> with people who are experienci</w:t>
      </w:r>
      <w:r w:rsidR="00F31284">
        <w:rPr>
          <w:rFonts w:asciiTheme="minorHAnsi" w:hAnsiTheme="minorHAnsi"/>
          <w:szCs w:val="24"/>
        </w:rPr>
        <w:t>ng gambling harm or are at risk</w:t>
      </w:r>
      <w:r w:rsidRPr="00C23D3D">
        <w:rPr>
          <w:rFonts w:asciiTheme="minorHAnsi" w:hAnsiTheme="minorHAnsi"/>
          <w:szCs w:val="24"/>
        </w:rPr>
        <w:t>.</w:t>
      </w:r>
    </w:p>
    <w:p w:rsidR="00605EE3" w:rsidRPr="00C23D3D" w:rsidRDefault="00605EE3" w:rsidP="000055AE">
      <w:pPr>
        <w:spacing w:after="0"/>
        <w:rPr>
          <w:rFonts w:asciiTheme="minorHAnsi" w:hAnsiTheme="minorHAnsi"/>
          <w:szCs w:val="24"/>
        </w:rPr>
      </w:pPr>
    </w:p>
    <w:p w:rsidR="004C540B" w:rsidRPr="00C23D3D" w:rsidRDefault="00605EE3" w:rsidP="000055AE">
      <w:pPr>
        <w:spacing w:after="0"/>
        <w:rPr>
          <w:rFonts w:asciiTheme="minorHAnsi" w:hAnsiTheme="minorHAnsi"/>
          <w:szCs w:val="24"/>
        </w:rPr>
      </w:pPr>
      <w:r w:rsidRPr="00C23D3D">
        <w:rPr>
          <w:rFonts w:asciiTheme="minorHAnsi" w:hAnsiTheme="minorHAnsi"/>
          <w:szCs w:val="24"/>
        </w:rPr>
        <w:t xml:space="preserve">Clause 5 adds executives </w:t>
      </w:r>
      <w:r w:rsidR="00865A68" w:rsidRPr="00C23D3D">
        <w:rPr>
          <w:rFonts w:asciiTheme="minorHAnsi" w:hAnsiTheme="minorHAnsi"/>
          <w:szCs w:val="24"/>
        </w:rPr>
        <w:t>or</w:t>
      </w:r>
      <w:r w:rsidRPr="00C23D3D">
        <w:rPr>
          <w:rFonts w:asciiTheme="minorHAnsi" w:hAnsiTheme="minorHAnsi"/>
          <w:szCs w:val="24"/>
        </w:rPr>
        <w:t xml:space="preserve"> members of a licensee’s board or management committee to this provision. </w:t>
      </w:r>
      <w:r w:rsidR="00865A68" w:rsidRPr="00C23D3D">
        <w:rPr>
          <w:rFonts w:asciiTheme="minorHAnsi" w:hAnsiTheme="minorHAnsi"/>
          <w:szCs w:val="24"/>
        </w:rPr>
        <w:t xml:space="preserve">Changes to the </w:t>
      </w:r>
      <w:r w:rsidR="00865A68" w:rsidRPr="00C23D3D">
        <w:rPr>
          <w:rFonts w:asciiTheme="minorHAnsi" w:hAnsiTheme="minorHAnsi"/>
          <w:i/>
          <w:szCs w:val="24"/>
        </w:rPr>
        <w:t>Gambling and Racing Control (Code of Practice) Regulation 2002</w:t>
      </w:r>
      <w:r w:rsidR="00865A68" w:rsidRPr="00C23D3D">
        <w:rPr>
          <w:rFonts w:asciiTheme="minorHAnsi" w:hAnsiTheme="minorHAnsi"/>
          <w:szCs w:val="24"/>
        </w:rPr>
        <w:t xml:space="preserve"> are being progressed separately to provide for this training.</w:t>
      </w:r>
    </w:p>
    <w:p w:rsidR="00605EE3" w:rsidRPr="00C23D3D" w:rsidRDefault="00605EE3" w:rsidP="000055AE">
      <w:pPr>
        <w:spacing w:after="0"/>
        <w:rPr>
          <w:rFonts w:asciiTheme="minorHAnsi" w:hAnsiTheme="minorHAnsi"/>
          <w:szCs w:val="24"/>
        </w:rPr>
      </w:pPr>
    </w:p>
    <w:p w:rsidR="004C540B" w:rsidRPr="00C23D3D" w:rsidRDefault="000055AE" w:rsidP="000055AE">
      <w:pPr>
        <w:pStyle w:val="Heading4"/>
        <w:spacing w:before="0" w:after="0"/>
        <w:ind w:left="1440" w:hanging="1440"/>
        <w:rPr>
          <w:rFonts w:asciiTheme="minorHAnsi" w:hAnsiTheme="minorHAnsi"/>
          <w:lang w:eastAsia="en-AU"/>
        </w:rPr>
      </w:pPr>
      <w:r>
        <w:rPr>
          <w:rFonts w:asciiTheme="minorHAnsi" w:hAnsiTheme="minorHAnsi"/>
        </w:rPr>
        <w:t>Clause 6</w:t>
      </w:r>
      <w:r w:rsidR="004C540B" w:rsidRPr="00C23D3D">
        <w:rPr>
          <w:rFonts w:asciiTheme="minorHAnsi" w:hAnsiTheme="minorHAnsi"/>
          <w:lang w:eastAsia="en-AU"/>
        </w:rPr>
        <w:tab/>
        <w:t>New section 18 (2) (g) to (</w:t>
      </w:r>
      <w:proofErr w:type="spellStart"/>
      <w:r w:rsidR="004C540B" w:rsidRPr="00C23D3D">
        <w:rPr>
          <w:rFonts w:asciiTheme="minorHAnsi" w:hAnsiTheme="minorHAnsi"/>
          <w:lang w:eastAsia="en-AU"/>
        </w:rPr>
        <w:t>i</w:t>
      </w:r>
      <w:proofErr w:type="spellEnd"/>
      <w:r w:rsidR="004C540B" w:rsidRPr="00C23D3D">
        <w:rPr>
          <w:rFonts w:asciiTheme="minorHAnsi" w:hAnsiTheme="minorHAnsi"/>
          <w:lang w:eastAsia="en-AU"/>
        </w:rPr>
        <w:t>)</w:t>
      </w:r>
    </w:p>
    <w:p w:rsidR="006D0C72" w:rsidRPr="00C23D3D" w:rsidRDefault="006D0C72" w:rsidP="000055AE">
      <w:pPr>
        <w:spacing w:after="0"/>
        <w:rPr>
          <w:rFonts w:asciiTheme="minorHAnsi" w:hAnsiTheme="minorHAnsi"/>
          <w:szCs w:val="24"/>
        </w:rPr>
      </w:pPr>
      <w:r w:rsidRPr="00C23D3D">
        <w:rPr>
          <w:rFonts w:asciiTheme="minorHAnsi" w:hAnsiTheme="minorHAnsi"/>
          <w:szCs w:val="24"/>
        </w:rPr>
        <w:t xml:space="preserve">As outlined above, section 18(2) </w:t>
      </w:r>
      <w:r w:rsidR="00571DD0">
        <w:rPr>
          <w:rFonts w:asciiTheme="minorHAnsi" w:hAnsiTheme="minorHAnsi"/>
          <w:szCs w:val="24"/>
        </w:rPr>
        <w:t xml:space="preserve">of the Control Act </w:t>
      </w:r>
      <w:r w:rsidRPr="00C23D3D">
        <w:rPr>
          <w:rFonts w:asciiTheme="minorHAnsi" w:hAnsiTheme="minorHAnsi"/>
          <w:szCs w:val="24"/>
        </w:rPr>
        <w:t>provides that a code of practice may include, but is not limited to, guidelines about the matters set out in that section.</w:t>
      </w:r>
    </w:p>
    <w:p w:rsidR="006D0C72" w:rsidRPr="00C23D3D" w:rsidRDefault="006D0C72" w:rsidP="000055AE">
      <w:pPr>
        <w:spacing w:after="0"/>
        <w:rPr>
          <w:rFonts w:asciiTheme="minorHAnsi" w:hAnsiTheme="minorHAnsi"/>
          <w:szCs w:val="24"/>
        </w:rPr>
      </w:pPr>
    </w:p>
    <w:p w:rsidR="00865A68" w:rsidRPr="00C23D3D" w:rsidRDefault="006429AB" w:rsidP="000055AE">
      <w:pPr>
        <w:spacing w:after="0"/>
        <w:rPr>
          <w:rFonts w:asciiTheme="minorHAnsi" w:hAnsiTheme="minorHAnsi"/>
          <w:szCs w:val="24"/>
        </w:rPr>
      </w:pPr>
      <w:r w:rsidRPr="00C23D3D">
        <w:rPr>
          <w:rFonts w:asciiTheme="minorHAnsi" w:hAnsiTheme="minorHAnsi"/>
          <w:szCs w:val="24"/>
        </w:rPr>
        <w:t>Clause 6 inserts n</w:t>
      </w:r>
      <w:r w:rsidR="0093347A" w:rsidRPr="00C23D3D">
        <w:rPr>
          <w:rFonts w:asciiTheme="minorHAnsi" w:hAnsiTheme="minorHAnsi"/>
          <w:szCs w:val="24"/>
        </w:rPr>
        <w:t>ew section 18</w:t>
      </w:r>
      <w:r w:rsidR="00865A68" w:rsidRPr="00C23D3D">
        <w:rPr>
          <w:rFonts w:asciiTheme="minorHAnsi" w:hAnsiTheme="minorHAnsi"/>
          <w:szCs w:val="24"/>
        </w:rPr>
        <w:t>(2)(g) to (</w:t>
      </w:r>
      <w:proofErr w:type="spellStart"/>
      <w:r w:rsidR="00865A68" w:rsidRPr="00C23D3D">
        <w:rPr>
          <w:rFonts w:asciiTheme="minorHAnsi" w:hAnsiTheme="minorHAnsi"/>
          <w:szCs w:val="24"/>
        </w:rPr>
        <w:t>i</w:t>
      </w:r>
      <w:proofErr w:type="spellEnd"/>
      <w:r w:rsidR="00865A68" w:rsidRPr="00C23D3D">
        <w:rPr>
          <w:rFonts w:asciiTheme="minorHAnsi" w:hAnsiTheme="minorHAnsi"/>
          <w:szCs w:val="24"/>
        </w:rPr>
        <w:t xml:space="preserve">) </w:t>
      </w:r>
      <w:r w:rsidRPr="00C23D3D">
        <w:rPr>
          <w:rFonts w:asciiTheme="minorHAnsi" w:hAnsiTheme="minorHAnsi"/>
          <w:szCs w:val="24"/>
        </w:rPr>
        <w:t>to include</w:t>
      </w:r>
      <w:r w:rsidR="0093347A" w:rsidRPr="00C23D3D">
        <w:rPr>
          <w:rFonts w:asciiTheme="minorHAnsi" w:hAnsiTheme="minorHAnsi"/>
          <w:szCs w:val="24"/>
        </w:rPr>
        <w:t xml:space="preserve"> additional matters about which guidelines may be included in a code of practice. These items reflect changes being made to the </w:t>
      </w:r>
      <w:r w:rsidR="0093347A" w:rsidRPr="00C23D3D">
        <w:rPr>
          <w:rFonts w:asciiTheme="minorHAnsi" w:hAnsiTheme="minorHAnsi"/>
          <w:i/>
          <w:szCs w:val="24"/>
        </w:rPr>
        <w:t xml:space="preserve">Gambling and Racing Control (Code of Practice) Regulation 2002 </w:t>
      </w:r>
      <w:r w:rsidR="0093347A" w:rsidRPr="00C23D3D">
        <w:rPr>
          <w:rFonts w:asciiTheme="minorHAnsi" w:hAnsiTheme="minorHAnsi"/>
          <w:szCs w:val="24"/>
        </w:rPr>
        <w:t>that are being progressed separately.</w:t>
      </w:r>
    </w:p>
    <w:p w:rsidR="0093347A" w:rsidRPr="00C23D3D" w:rsidRDefault="0093347A" w:rsidP="000055AE">
      <w:pPr>
        <w:spacing w:after="0"/>
        <w:rPr>
          <w:rFonts w:asciiTheme="minorHAnsi" w:hAnsiTheme="minorHAnsi"/>
          <w:szCs w:val="24"/>
        </w:rPr>
      </w:pPr>
    </w:p>
    <w:p w:rsidR="0093347A" w:rsidRPr="00C23D3D" w:rsidRDefault="00F31284" w:rsidP="000055AE">
      <w:pPr>
        <w:spacing w:after="0"/>
        <w:rPr>
          <w:rFonts w:asciiTheme="minorHAnsi" w:hAnsiTheme="minorHAnsi"/>
          <w:szCs w:val="24"/>
        </w:rPr>
      </w:pPr>
      <w:r>
        <w:rPr>
          <w:rFonts w:asciiTheme="minorHAnsi" w:hAnsiTheme="minorHAnsi"/>
          <w:szCs w:val="24"/>
        </w:rPr>
        <w:t>T</w:t>
      </w:r>
      <w:r w:rsidR="00F22AFF" w:rsidRPr="00C23D3D">
        <w:rPr>
          <w:rFonts w:asciiTheme="minorHAnsi" w:hAnsiTheme="minorHAnsi"/>
          <w:szCs w:val="24"/>
        </w:rPr>
        <w:t xml:space="preserve">he </w:t>
      </w:r>
      <w:r w:rsidR="0093347A" w:rsidRPr="00C23D3D">
        <w:rPr>
          <w:rFonts w:asciiTheme="minorHAnsi" w:hAnsiTheme="minorHAnsi"/>
          <w:szCs w:val="24"/>
        </w:rPr>
        <w:t>proposed changes to the Code of Practice Regulation</w:t>
      </w:r>
      <w:r>
        <w:rPr>
          <w:rFonts w:asciiTheme="minorHAnsi" w:hAnsiTheme="minorHAnsi"/>
          <w:szCs w:val="24"/>
        </w:rPr>
        <w:t xml:space="preserve"> include t</w:t>
      </w:r>
      <w:r w:rsidR="0093347A" w:rsidRPr="00C23D3D">
        <w:rPr>
          <w:rFonts w:asciiTheme="minorHAnsi" w:hAnsiTheme="minorHAnsi"/>
          <w:szCs w:val="24"/>
        </w:rPr>
        <w:t>he observation and recording of gambling harm incidents.</w:t>
      </w:r>
      <w:r w:rsidR="00F22AFF" w:rsidRPr="00C23D3D">
        <w:rPr>
          <w:rFonts w:asciiTheme="minorHAnsi" w:hAnsiTheme="minorHAnsi"/>
          <w:szCs w:val="24"/>
        </w:rPr>
        <w:t xml:space="preserve"> New section 18(2)(g) </w:t>
      </w:r>
      <w:r>
        <w:rPr>
          <w:rFonts w:asciiTheme="minorHAnsi" w:hAnsiTheme="minorHAnsi"/>
          <w:szCs w:val="24"/>
        </w:rPr>
        <w:t xml:space="preserve">makes it clear that </w:t>
      </w:r>
      <w:r w:rsidR="00F22AFF" w:rsidRPr="00C23D3D">
        <w:rPr>
          <w:rFonts w:asciiTheme="minorHAnsi" w:hAnsiTheme="minorHAnsi"/>
          <w:szCs w:val="24"/>
        </w:rPr>
        <w:t>guidelines about the protection of privacy may be included in a code of practice.</w:t>
      </w:r>
    </w:p>
    <w:p w:rsidR="0093347A" w:rsidRPr="00C23D3D" w:rsidRDefault="0093347A" w:rsidP="000055AE">
      <w:pPr>
        <w:spacing w:after="0"/>
        <w:rPr>
          <w:rFonts w:asciiTheme="minorHAnsi" w:hAnsiTheme="minorHAnsi"/>
          <w:szCs w:val="24"/>
        </w:rPr>
      </w:pPr>
    </w:p>
    <w:p w:rsidR="00FD3E8E" w:rsidRDefault="00FD3E8E" w:rsidP="00FD3E8E">
      <w:pPr>
        <w:spacing w:after="0"/>
        <w:rPr>
          <w:rFonts w:asciiTheme="minorHAnsi" w:hAnsiTheme="minorHAnsi"/>
          <w:szCs w:val="24"/>
        </w:rPr>
      </w:pPr>
      <w:r w:rsidRPr="00C23D3D">
        <w:rPr>
          <w:rFonts w:asciiTheme="minorHAnsi" w:hAnsiTheme="minorHAnsi"/>
          <w:szCs w:val="24"/>
        </w:rPr>
        <w:t>New section 18(2)(h) provides that guidelines about providing workplace rights training for workers at premises of club licensees may be included in a code of practice.</w:t>
      </w:r>
    </w:p>
    <w:p w:rsidR="00FD3E8E" w:rsidRPr="00C23D3D" w:rsidRDefault="00FD3E8E" w:rsidP="00FD3E8E">
      <w:pPr>
        <w:spacing w:after="0"/>
        <w:rPr>
          <w:rFonts w:asciiTheme="minorHAnsi" w:hAnsiTheme="minorHAnsi"/>
          <w:szCs w:val="24"/>
        </w:rPr>
      </w:pPr>
    </w:p>
    <w:p w:rsidR="00FD3E8E" w:rsidRDefault="00FD3E8E" w:rsidP="00FD3E8E">
      <w:pPr>
        <w:spacing w:after="0"/>
        <w:rPr>
          <w:rFonts w:asciiTheme="minorHAnsi" w:hAnsiTheme="minorHAnsi"/>
          <w:szCs w:val="24"/>
        </w:rPr>
      </w:pPr>
      <w:r w:rsidRPr="00C23D3D">
        <w:rPr>
          <w:rFonts w:asciiTheme="minorHAnsi" w:hAnsiTheme="minorHAnsi"/>
          <w:szCs w:val="24"/>
        </w:rPr>
        <w:t>The proposed changes to the Code of Practice Regulation include new requirements for workplace r</w:t>
      </w:r>
      <w:r>
        <w:rPr>
          <w:rFonts w:asciiTheme="minorHAnsi" w:hAnsiTheme="minorHAnsi"/>
          <w:szCs w:val="24"/>
        </w:rPr>
        <w:t xml:space="preserve">ights training for club workers. </w:t>
      </w:r>
      <w:r w:rsidR="00DA4E59" w:rsidRPr="00DA4E59">
        <w:rPr>
          <w:rFonts w:asciiTheme="minorHAnsi" w:hAnsiTheme="minorHAnsi"/>
          <w:szCs w:val="24"/>
        </w:rPr>
        <w:t>Workers who are better informed about their rights as employees, and particularly their entitlements with respect to security of employment</w:t>
      </w:r>
      <w:r w:rsidR="00571DD0">
        <w:rPr>
          <w:rFonts w:asciiTheme="minorHAnsi" w:hAnsiTheme="minorHAnsi"/>
          <w:szCs w:val="24"/>
        </w:rPr>
        <w:t>,</w:t>
      </w:r>
      <w:r w:rsidR="00DA4E59" w:rsidRPr="00DA4E59">
        <w:rPr>
          <w:rFonts w:asciiTheme="minorHAnsi" w:hAnsiTheme="minorHAnsi"/>
          <w:szCs w:val="24"/>
        </w:rPr>
        <w:t xml:space="preserve"> would be better equipped and empowered to comply with their gambling harm reduction obligations under the legislative framework</w:t>
      </w:r>
      <w:r w:rsidR="00DA4E59">
        <w:rPr>
          <w:rFonts w:asciiTheme="minorHAnsi" w:hAnsiTheme="minorHAnsi"/>
          <w:szCs w:val="24"/>
        </w:rPr>
        <w:t>.</w:t>
      </w:r>
      <w:r>
        <w:rPr>
          <w:rFonts w:asciiTheme="minorHAnsi" w:hAnsiTheme="minorHAnsi"/>
          <w:szCs w:val="24"/>
        </w:rPr>
        <w:t xml:space="preserve"> </w:t>
      </w:r>
    </w:p>
    <w:p w:rsidR="00FD3E8E" w:rsidRDefault="00FD3E8E" w:rsidP="00FD3E8E">
      <w:pPr>
        <w:spacing w:after="0"/>
        <w:rPr>
          <w:rFonts w:asciiTheme="minorHAnsi" w:hAnsiTheme="minorHAnsi"/>
          <w:szCs w:val="24"/>
        </w:rPr>
      </w:pPr>
    </w:p>
    <w:p w:rsidR="00DA4E59" w:rsidRPr="00DA4E59" w:rsidRDefault="00FD3E8E" w:rsidP="00DA4E59">
      <w:pPr>
        <w:spacing w:after="0"/>
        <w:rPr>
          <w:rFonts w:asciiTheme="minorHAnsi" w:hAnsiTheme="minorHAnsi"/>
          <w:szCs w:val="24"/>
        </w:rPr>
      </w:pPr>
      <w:r w:rsidRPr="00DA4E59">
        <w:rPr>
          <w:rFonts w:asciiTheme="minorHAnsi" w:hAnsiTheme="minorHAnsi"/>
          <w:szCs w:val="24"/>
        </w:rPr>
        <w:t xml:space="preserve">It can be a confronting, and difficult exercise for frontline club workers (who are likely to be the ones who are </w:t>
      </w:r>
      <w:r>
        <w:rPr>
          <w:rFonts w:asciiTheme="minorHAnsi" w:hAnsiTheme="minorHAnsi"/>
          <w:szCs w:val="24"/>
        </w:rPr>
        <w:t xml:space="preserve">in the </w:t>
      </w:r>
      <w:r w:rsidRPr="00DA4E59">
        <w:rPr>
          <w:rFonts w:asciiTheme="minorHAnsi" w:hAnsiTheme="minorHAnsi"/>
          <w:szCs w:val="24"/>
        </w:rPr>
        <w:t xml:space="preserve">best position to observe signs of gambling harm in patrons) to engage in interventions which seek to </w:t>
      </w:r>
      <w:r>
        <w:rPr>
          <w:rFonts w:asciiTheme="minorHAnsi" w:hAnsiTheme="minorHAnsi"/>
          <w:szCs w:val="24"/>
        </w:rPr>
        <w:t>prevent</w:t>
      </w:r>
      <w:r w:rsidRPr="00DA4E59">
        <w:rPr>
          <w:rFonts w:asciiTheme="minorHAnsi" w:hAnsiTheme="minorHAnsi"/>
          <w:szCs w:val="24"/>
        </w:rPr>
        <w:t xml:space="preserve"> gambling harm, when those actions may also have the effect of decreasing the revenue of their employer. </w:t>
      </w:r>
      <w:r>
        <w:rPr>
          <w:rFonts w:asciiTheme="minorHAnsi" w:hAnsiTheme="minorHAnsi"/>
          <w:szCs w:val="24"/>
        </w:rPr>
        <w:t>The</w:t>
      </w:r>
      <w:r w:rsidR="00DA4E59" w:rsidRPr="00DA4E59">
        <w:rPr>
          <w:rFonts w:asciiTheme="minorHAnsi" w:hAnsiTheme="minorHAnsi"/>
          <w:szCs w:val="24"/>
        </w:rPr>
        <w:t xml:space="preserve"> provision of training to </w:t>
      </w:r>
      <w:r w:rsidR="00DA4E59" w:rsidRPr="00DA4E59">
        <w:rPr>
          <w:rFonts w:asciiTheme="minorHAnsi" w:hAnsiTheme="minorHAnsi"/>
          <w:szCs w:val="24"/>
        </w:rPr>
        <w:lastRenderedPageBreak/>
        <w:t>club sector staff in worke</w:t>
      </w:r>
      <w:r>
        <w:rPr>
          <w:rFonts w:asciiTheme="minorHAnsi" w:hAnsiTheme="minorHAnsi"/>
          <w:szCs w:val="24"/>
        </w:rPr>
        <w:t>rs’ rights would equip clubs’</w:t>
      </w:r>
      <w:r w:rsidR="00DA4E59" w:rsidRPr="00DA4E59">
        <w:rPr>
          <w:rFonts w:asciiTheme="minorHAnsi" w:hAnsiTheme="minorHAnsi"/>
          <w:szCs w:val="24"/>
        </w:rPr>
        <w:t xml:space="preserve"> workforce with the skills and confidence to undertake successful h</w:t>
      </w:r>
      <w:r>
        <w:rPr>
          <w:rFonts w:asciiTheme="minorHAnsi" w:hAnsiTheme="minorHAnsi"/>
          <w:szCs w:val="24"/>
        </w:rPr>
        <w:t>arm minimisation interventions.</w:t>
      </w:r>
    </w:p>
    <w:p w:rsidR="0093347A" w:rsidRPr="00C23D3D" w:rsidRDefault="0093347A" w:rsidP="000055AE">
      <w:pPr>
        <w:spacing w:after="0"/>
        <w:rPr>
          <w:rFonts w:asciiTheme="minorHAnsi" w:hAnsiTheme="minorHAnsi"/>
          <w:szCs w:val="24"/>
        </w:rPr>
      </w:pPr>
    </w:p>
    <w:p w:rsidR="0093347A" w:rsidRPr="00C23D3D" w:rsidRDefault="0093347A" w:rsidP="000055AE">
      <w:pPr>
        <w:spacing w:after="0"/>
        <w:rPr>
          <w:rFonts w:asciiTheme="minorHAnsi" w:hAnsiTheme="minorHAnsi"/>
          <w:szCs w:val="24"/>
        </w:rPr>
      </w:pPr>
      <w:r w:rsidRPr="00C23D3D">
        <w:rPr>
          <w:rFonts w:asciiTheme="minorHAnsi" w:hAnsiTheme="minorHAnsi"/>
          <w:szCs w:val="24"/>
        </w:rPr>
        <w:t>New section 18(2)(</w:t>
      </w:r>
      <w:proofErr w:type="spellStart"/>
      <w:r w:rsidRPr="00C23D3D">
        <w:rPr>
          <w:rFonts w:asciiTheme="minorHAnsi" w:hAnsiTheme="minorHAnsi"/>
          <w:szCs w:val="24"/>
        </w:rPr>
        <w:t>i</w:t>
      </w:r>
      <w:proofErr w:type="spellEnd"/>
      <w:r w:rsidRPr="00C23D3D">
        <w:rPr>
          <w:rFonts w:asciiTheme="minorHAnsi" w:hAnsiTheme="minorHAnsi"/>
          <w:szCs w:val="24"/>
        </w:rPr>
        <w:t>) provides that guidelines about providing training in corporate governance to a club licensee’s executive or members of a club licensee’s board or management committee may be included in a code of practice.</w:t>
      </w:r>
    </w:p>
    <w:p w:rsidR="006D0C72" w:rsidRPr="00C23D3D" w:rsidRDefault="006D0C72" w:rsidP="000055AE">
      <w:pPr>
        <w:spacing w:after="0"/>
        <w:rPr>
          <w:rFonts w:asciiTheme="minorHAnsi" w:hAnsiTheme="minorHAnsi"/>
          <w:szCs w:val="24"/>
        </w:rPr>
      </w:pPr>
    </w:p>
    <w:p w:rsidR="006D0C72" w:rsidRPr="00C23D3D" w:rsidRDefault="006D0C72" w:rsidP="000055AE">
      <w:pPr>
        <w:spacing w:after="0"/>
        <w:rPr>
          <w:rFonts w:asciiTheme="minorHAnsi" w:hAnsiTheme="minorHAnsi"/>
          <w:szCs w:val="24"/>
        </w:rPr>
      </w:pPr>
      <w:r w:rsidRPr="00C23D3D">
        <w:rPr>
          <w:rFonts w:asciiTheme="minorHAnsi" w:hAnsiTheme="minorHAnsi"/>
          <w:szCs w:val="24"/>
        </w:rPr>
        <w:t xml:space="preserve">It is </w:t>
      </w:r>
      <w:r w:rsidR="0093347A" w:rsidRPr="00C23D3D">
        <w:rPr>
          <w:rFonts w:asciiTheme="minorHAnsi" w:hAnsiTheme="minorHAnsi"/>
          <w:szCs w:val="24"/>
        </w:rPr>
        <w:t>should be noted, however, that the list of matters outlined in section 18(2) is not exclusive.</w:t>
      </w:r>
    </w:p>
    <w:p w:rsidR="00865A68" w:rsidRPr="00C23D3D" w:rsidRDefault="00865A68" w:rsidP="000055AE">
      <w:pPr>
        <w:spacing w:after="0"/>
        <w:rPr>
          <w:rFonts w:asciiTheme="minorHAnsi" w:hAnsiTheme="minorHAnsi"/>
          <w:szCs w:val="24"/>
        </w:rPr>
      </w:pPr>
    </w:p>
    <w:p w:rsidR="004C540B" w:rsidRPr="00C23D3D" w:rsidRDefault="000055AE" w:rsidP="000055AE">
      <w:pPr>
        <w:pStyle w:val="Heading4"/>
        <w:spacing w:before="0" w:after="0"/>
        <w:ind w:left="1440" w:hanging="1440"/>
        <w:rPr>
          <w:rFonts w:asciiTheme="minorHAnsi" w:hAnsiTheme="minorHAnsi"/>
          <w:lang w:eastAsia="en-AU"/>
        </w:rPr>
      </w:pPr>
      <w:r>
        <w:rPr>
          <w:rFonts w:asciiTheme="minorHAnsi" w:hAnsiTheme="minorHAnsi"/>
        </w:rPr>
        <w:t>Clause 7</w:t>
      </w:r>
      <w:r w:rsidR="004C540B" w:rsidRPr="00C23D3D">
        <w:rPr>
          <w:rFonts w:asciiTheme="minorHAnsi" w:hAnsiTheme="minorHAnsi"/>
          <w:lang w:eastAsia="en-AU"/>
        </w:rPr>
        <w:tab/>
        <w:t>New section 18 (2A)</w:t>
      </w:r>
    </w:p>
    <w:p w:rsidR="006429AB" w:rsidRPr="00C23D3D" w:rsidRDefault="006429AB" w:rsidP="000055AE">
      <w:pPr>
        <w:spacing w:after="0"/>
        <w:rPr>
          <w:rFonts w:asciiTheme="minorHAnsi" w:hAnsiTheme="minorHAnsi"/>
          <w:szCs w:val="24"/>
        </w:rPr>
      </w:pPr>
      <w:r w:rsidRPr="00C23D3D">
        <w:rPr>
          <w:rFonts w:asciiTheme="minorHAnsi" w:hAnsiTheme="minorHAnsi"/>
          <w:szCs w:val="24"/>
        </w:rPr>
        <w:t>Clause 7 inserts new section 18(2A) to provide that a code of practice may include powers of direction for the Commission to ensure compliance with the code.</w:t>
      </w:r>
    </w:p>
    <w:p w:rsidR="006429AB" w:rsidRPr="00C23D3D" w:rsidRDefault="006429AB" w:rsidP="000055AE">
      <w:pPr>
        <w:spacing w:after="0"/>
        <w:rPr>
          <w:rFonts w:asciiTheme="minorHAnsi" w:hAnsiTheme="minorHAnsi"/>
          <w:szCs w:val="24"/>
        </w:rPr>
      </w:pPr>
    </w:p>
    <w:p w:rsidR="006429AB" w:rsidRPr="00C23D3D" w:rsidRDefault="006429AB" w:rsidP="000055AE">
      <w:pPr>
        <w:spacing w:after="0"/>
        <w:rPr>
          <w:rFonts w:asciiTheme="minorHAnsi" w:hAnsiTheme="minorHAnsi"/>
          <w:szCs w:val="24"/>
        </w:rPr>
      </w:pPr>
      <w:r w:rsidRPr="00C23D3D">
        <w:rPr>
          <w:rFonts w:asciiTheme="minorHAnsi" w:hAnsiTheme="minorHAnsi"/>
          <w:szCs w:val="24"/>
        </w:rPr>
        <w:t>As noted above, the Control Act provides the overarching legislative framework for gambling in the ACT. Many of the individual gambling-related Acts include specific powers of direction for the Commission.</w:t>
      </w:r>
    </w:p>
    <w:p w:rsidR="006429AB" w:rsidRPr="00C23D3D" w:rsidRDefault="006429AB" w:rsidP="000055AE">
      <w:pPr>
        <w:spacing w:after="0"/>
        <w:rPr>
          <w:rFonts w:asciiTheme="minorHAnsi" w:hAnsiTheme="minorHAnsi"/>
          <w:szCs w:val="24"/>
        </w:rPr>
      </w:pPr>
    </w:p>
    <w:p w:rsidR="006051C0" w:rsidRPr="00C23D3D" w:rsidRDefault="006E185F" w:rsidP="000055AE">
      <w:pPr>
        <w:spacing w:after="0"/>
        <w:rPr>
          <w:rFonts w:asciiTheme="minorHAnsi" w:hAnsiTheme="minorHAnsi"/>
          <w:szCs w:val="24"/>
        </w:rPr>
      </w:pPr>
      <w:r w:rsidRPr="00C23D3D">
        <w:rPr>
          <w:rFonts w:asciiTheme="minorHAnsi" w:hAnsiTheme="minorHAnsi"/>
          <w:szCs w:val="24"/>
        </w:rPr>
        <w:t>This amendment is a te</w:t>
      </w:r>
      <w:r w:rsidR="006429AB" w:rsidRPr="00C23D3D">
        <w:rPr>
          <w:rFonts w:asciiTheme="minorHAnsi" w:hAnsiTheme="minorHAnsi"/>
          <w:szCs w:val="24"/>
        </w:rPr>
        <w:t xml:space="preserve">chnical amendment to ensure that </w:t>
      </w:r>
      <w:r w:rsidR="00F22AFF" w:rsidRPr="00C23D3D">
        <w:rPr>
          <w:rFonts w:asciiTheme="minorHAnsi" w:hAnsiTheme="minorHAnsi"/>
          <w:szCs w:val="24"/>
        </w:rPr>
        <w:t xml:space="preserve">all licensees that are </w:t>
      </w:r>
      <w:r w:rsidR="006429AB" w:rsidRPr="00C23D3D">
        <w:rPr>
          <w:rFonts w:asciiTheme="minorHAnsi" w:hAnsiTheme="minorHAnsi"/>
          <w:szCs w:val="24"/>
        </w:rPr>
        <w:t>required to comply with a</w:t>
      </w:r>
      <w:r w:rsidR="00F22AFF" w:rsidRPr="00C23D3D">
        <w:rPr>
          <w:rFonts w:asciiTheme="minorHAnsi" w:hAnsiTheme="minorHAnsi"/>
          <w:szCs w:val="24"/>
        </w:rPr>
        <w:t xml:space="preserve"> code of practice</w:t>
      </w:r>
      <w:r w:rsidR="006429AB" w:rsidRPr="00C23D3D">
        <w:rPr>
          <w:rFonts w:asciiTheme="minorHAnsi" w:hAnsiTheme="minorHAnsi"/>
          <w:szCs w:val="24"/>
        </w:rPr>
        <w:t xml:space="preserve"> are subject to the Commission’s direction where such powers of direction have been included in the code.</w:t>
      </w:r>
    </w:p>
    <w:p w:rsidR="006429AB" w:rsidRPr="00C23D3D" w:rsidRDefault="006429AB" w:rsidP="000055AE">
      <w:pPr>
        <w:spacing w:after="0"/>
        <w:rPr>
          <w:rFonts w:asciiTheme="minorHAnsi" w:hAnsiTheme="minorHAnsi"/>
          <w:szCs w:val="24"/>
        </w:rPr>
      </w:pPr>
    </w:p>
    <w:p w:rsidR="004C540B" w:rsidRPr="00C23D3D" w:rsidRDefault="000055AE" w:rsidP="000055AE">
      <w:pPr>
        <w:pStyle w:val="Heading4"/>
        <w:spacing w:before="0" w:after="0"/>
        <w:rPr>
          <w:rFonts w:asciiTheme="minorHAnsi" w:hAnsiTheme="minorHAnsi"/>
          <w:lang w:eastAsia="en-AU"/>
        </w:rPr>
      </w:pPr>
      <w:r>
        <w:rPr>
          <w:rFonts w:asciiTheme="minorHAnsi" w:hAnsiTheme="minorHAnsi"/>
        </w:rPr>
        <w:t>Clause 8</w:t>
      </w:r>
      <w:r w:rsidR="004C540B" w:rsidRPr="00C23D3D">
        <w:rPr>
          <w:rFonts w:asciiTheme="minorHAnsi" w:hAnsiTheme="minorHAnsi"/>
          <w:bCs/>
          <w:lang w:eastAsia="en-AU"/>
        </w:rPr>
        <w:tab/>
        <w:t xml:space="preserve">New </w:t>
      </w:r>
      <w:r w:rsidR="004C540B" w:rsidRPr="00C23D3D">
        <w:rPr>
          <w:rFonts w:asciiTheme="minorHAnsi" w:hAnsiTheme="minorHAnsi"/>
          <w:lang w:eastAsia="en-AU"/>
        </w:rPr>
        <w:t>section 18 (4)</w:t>
      </w:r>
    </w:p>
    <w:p w:rsidR="006429AB" w:rsidRPr="00C23D3D" w:rsidRDefault="006E185F" w:rsidP="000055AE">
      <w:pPr>
        <w:spacing w:after="0"/>
        <w:rPr>
          <w:rFonts w:asciiTheme="minorHAnsi" w:hAnsiTheme="minorHAnsi"/>
          <w:szCs w:val="24"/>
        </w:rPr>
      </w:pPr>
      <w:r w:rsidRPr="00C23D3D">
        <w:rPr>
          <w:rFonts w:asciiTheme="minorHAnsi" w:hAnsiTheme="minorHAnsi"/>
          <w:szCs w:val="24"/>
        </w:rPr>
        <w:t xml:space="preserve">Clause 8 provides </w:t>
      </w:r>
      <w:r w:rsidR="006429AB" w:rsidRPr="00C23D3D">
        <w:rPr>
          <w:rFonts w:asciiTheme="minorHAnsi" w:hAnsiTheme="minorHAnsi"/>
          <w:szCs w:val="24"/>
        </w:rPr>
        <w:t>the definition of the term ‘National Consumer Protection Framework’ for section </w:t>
      </w:r>
      <w:r w:rsidRPr="00C23D3D">
        <w:rPr>
          <w:rFonts w:asciiTheme="minorHAnsi" w:hAnsiTheme="minorHAnsi"/>
          <w:szCs w:val="24"/>
        </w:rPr>
        <w:t>18 of the Control Act</w:t>
      </w:r>
      <w:r w:rsidR="006429AB" w:rsidRPr="00C23D3D">
        <w:rPr>
          <w:rFonts w:asciiTheme="minorHAnsi" w:hAnsiTheme="minorHAnsi"/>
          <w:szCs w:val="24"/>
        </w:rPr>
        <w:t>. This term mean the National Consumer Protection Framework for Ongoing Wagering in Australia, National Policy Statement of Australian Governments, as in force from time to time.</w:t>
      </w:r>
    </w:p>
    <w:p w:rsidR="0034792A" w:rsidRPr="00C23D3D" w:rsidRDefault="0034792A" w:rsidP="000055AE">
      <w:pPr>
        <w:spacing w:after="0"/>
        <w:rPr>
          <w:rFonts w:asciiTheme="minorHAnsi" w:hAnsiTheme="minorHAnsi"/>
          <w:szCs w:val="24"/>
        </w:rPr>
      </w:pPr>
    </w:p>
    <w:p w:rsidR="0034792A" w:rsidRPr="00C23D3D" w:rsidRDefault="0034792A" w:rsidP="000055AE">
      <w:pPr>
        <w:spacing w:after="0"/>
        <w:rPr>
          <w:rFonts w:asciiTheme="minorHAnsi" w:hAnsiTheme="minorHAnsi"/>
          <w:szCs w:val="24"/>
          <w:lang w:eastAsia="en-AU"/>
        </w:rPr>
      </w:pPr>
      <w:r w:rsidRPr="00C23D3D">
        <w:rPr>
          <w:rFonts w:asciiTheme="minorHAnsi" w:hAnsiTheme="minorHAnsi"/>
          <w:szCs w:val="24"/>
          <w:lang w:eastAsia="en-AU"/>
        </w:rPr>
        <w:t>The Framework is public</w:t>
      </w:r>
      <w:r w:rsidR="00A4778D" w:rsidRPr="00C23D3D">
        <w:rPr>
          <w:rFonts w:asciiTheme="minorHAnsi" w:hAnsiTheme="minorHAnsi"/>
          <w:szCs w:val="24"/>
          <w:lang w:eastAsia="en-AU"/>
        </w:rPr>
        <w:t>ly</w:t>
      </w:r>
      <w:r w:rsidRPr="00C23D3D">
        <w:rPr>
          <w:rFonts w:asciiTheme="minorHAnsi" w:hAnsiTheme="minorHAnsi"/>
          <w:szCs w:val="24"/>
          <w:lang w:eastAsia="en-AU"/>
        </w:rPr>
        <w:t xml:space="preserve"> available at</w:t>
      </w:r>
      <w:r w:rsidR="00A4778D" w:rsidRPr="00C23D3D">
        <w:rPr>
          <w:rFonts w:asciiTheme="minorHAnsi" w:hAnsiTheme="minorHAnsi"/>
          <w:szCs w:val="24"/>
          <w:lang w:eastAsia="en-AU"/>
        </w:rPr>
        <w:t xml:space="preserve"> </w:t>
      </w:r>
      <w:hyperlink r:id="rId17" w:history="1">
        <w:r w:rsidR="00A4778D" w:rsidRPr="00C23D3D">
          <w:rPr>
            <w:rStyle w:val="Hyperlink"/>
            <w:rFonts w:asciiTheme="minorHAnsi" w:hAnsiTheme="minorHAnsi"/>
            <w:szCs w:val="24"/>
            <w:lang w:eastAsia="en-AU"/>
          </w:rPr>
          <w:t>https://www.dss.gov.au/communities-and-vulnerable-people-programs-services-gambling/national-consumer-protection-framework-for-online-wagering-national-policy-statement</w:t>
        </w:r>
      </w:hyperlink>
      <w:r w:rsidR="00A4778D" w:rsidRPr="00C23D3D">
        <w:rPr>
          <w:rFonts w:asciiTheme="minorHAnsi" w:hAnsiTheme="minorHAnsi"/>
          <w:szCs w:val="24"/>
          <w:lang w:eastAsia="en-AU"/>
        </w:rPr>
        <w:t xml:space="preserve">. </w:t>
      </w:r>
    </w:p>
    <w:p w:rsidR="00071C92" w:rsidRPr="00C23D3D" w:rsidRDefault="00071C92" w:rsidP="000055AE">
      <w:pPr>
        <w:spacing w:after="0"/>
        <w:rPr>
          <w:rFonts w:asciiTheme="minorHAnsi" w:hAnsiTheme="minorHAnsi"/>
          <w:szCs w:val="24"/>
          <w:lang w:eastAsia="en-AU"/>
        </w:rPr>
      </w:pPr>
    </w:p>
    <w:p w:rsidR="00AC5B87" w:rsidRPr="00C23D3D" w:rsidRDefault="00AC5B87" w:rsidP="000055AE">
      <w:pPr>
        <w:pStyle w:val="Heading4"/>
        <w:spacing w:before="0" w:after="0"/>
        <w:rPr>
          <w:rFonts w:asciiTheme="minorHAnsi" w:hAnsiTheme="minorHAnsi"/>
          <w:lang w:eastAsia="en-AU"/>
        </w:rPr>
      </w:pPr>
      <w:bookmarkStart w:id="2" w:name="_Part_2_–"/>
      <w:bookmarkStart w:id="3" w:name="_Clause_6_–"/>
      <w:bookmarkEnd w:id="2"/>
      <w:bookmarkEnd w:id="3"/>
      <w:r w:rsidRPr="00C23D3D">
        <w:rPr>
          <w:rFonts w:asciiTheme="minorHAnsi" w:hAnsiTheme="minorHAnsi"/>
        </w:rPr>
        <w:t xml:space="preserve">Clause </w:t>
      </w:r>
      <w:r w:rsidR="000055AE">
        <w:rPr>
          <w:rFonts w:asciiTheme="minorHAnsi" w:hAnsiTheme="minorHAnsi"/>
        </w:rPr>
        <w:t>9</w:t>
      </w:r>
      <w:r w:rsidR="00C4385A" w:rsidRPr="00C23D3D">
        <w:rPr>
          <w:rFonts w:asciiTheme="minorHAnsi" w:hAnsiTheme="minorHAnsi"/>
          <w:bCs/>
          <w:lang w:eastAsia="en-AU"/>
        </w:rPr>
        <w:tab/>
      </w:r>
      <w:r w:rsidR="00C4385A" w:rsidRPr="00C23D3D">
        <w:rPr>
          <w:rFonts w:asciiTheme="minorHAnsi" w:hAnsiTheme="minorHAnsi"/>
          <w:lang w:eastAsia="en-AU"/>
        </w:rPr>
        <w:t>Education and counselling</w:t>
      </w:r>
      <w:r w:rsidR="00C4385A" w:rsidRPr="00C23D3D">
        <w:rPr>
          <w:rFonts w:asciiTheme="minorHAnsi" w:hAnsiTheme="minorHAnsi"/>
          <w:lang w:eastAsia="en-AU"/>
        </w:rPr>
        <w:br/>
      </w:r>
      <w:r w:rsidR="00C4385A" w:rsidRPr="00C23D3D">
        <w:rPr>
          <w:rFonts w:asciiTheme="minorHAnsi" w:hAnsiTheme="minorHAnsi"/>
          <w:lang w:eastAsia="en-AU"/>
        </w:rPr>
        <w:tab/>
      </w:r>
      <w:r w:rsidR="00C4385A" w:rsidRPr="00C23D3D">
        <w:rPr>
          <w:rFonts w:asciiTheme="minorHAnsi" w:hAnsiTheme="minorHAnsi"/>
          <w:lang w:eastAsia="en-AU"/>
        </w:rPr>
        <w:tab/>
        <w:t>Section 19 (1) (b) (iii)</w:t>
      </w:r>
    </w:p>
    <w:p w:rsidR="006E185F" w:rsidRPr="00C23D3D" w:rsidRDefault="006E185F" w:rsidP="000055AE">
      <w:pPr>
        <w:spacing w:after="0"/>
        <w:rPr>
          <w:rFonts w:asciiTheme="minorHAnsi" w:hAnsiTheme="minorHAnsi"/>
          <w:szCs w:val="24"/>
        </w:rPr>
      </w:pPr>
      <w:bookmarkStart w:id="4" w:name="_Clause_7_–"/>
      <w:bookmarkEnd w:id="4"/>
      <w:r w:rsidRPr="00C23D3D">
        <w:rPr>
          <w:rFonts w:asciiTheme="minorHAnsi" w:hAnsiTheme="minorHAnsi"/>
          <w:szCs w:val="24"/>
        </w:rPr>
        <w:t xml:space="preserve">Section 19 of the Control Act </w:t>
      </w:r>
      <w:r w:rsidR="0034792A" w:rsidRPr="00C23D3D">
        <w:rPr>
          <w:rFonts w:asciiTheme="minorHAnsi" w:hAnsiTheme="minorHAnsi"/>
          <w:szCs w:val="24"/>
        </w:rPr>
        <w:t xml:space="preserve">provides </w:t>
      </w:r>
      <w:r w:rsidR="00A4778D" w:rsidRPr="00C23D3D">
        <w:rPr>
          <w:rFonts w:asciiTheme="minorHAnsi" w:hAnsiTheme="minorHAnsi"/>
          <w:szCs w:val="24"/>
        </w:rPr>
        <w:t>for the Commission’s education and counselling activities.</w:t>
      </w:r>
    </w:p>
    <w:p w:rsidR="006E185F" w:rsidRPr="00C23D3D" w:rsidRDefault="006E185F" w:rsidP="000055AE">
      <w:pPr>
        <w:spacing w:after="0"/>
        <w:rPr>
          <w:rFonts w:asciiTheme="minorHAnsi" w:hAnsiTheme="minorHAnsi"/>
          <w:szCs w:val="24"/>
        </w:rPr>
      </w:pPr>
    </w:p>
    <w:p w:rsidR="006051C0" w:rsidRPr="00C23D3D" w:rsidRDefault="006E185F" w:rsidP="000055AE">
      <w:pPr>
        <w:spacing w:after="0"/>
        <w:rPr>
          <w:rFonts w:asciiTheme="minorHAnsi" w:hAnsiTheme="minorHAnsi"/>
          <w:szCs w:val="24"/>
        </w:rPr>
      </w:pPr>
      <w:r w:rsidRPr="00C23D3D">
        <w:rPr>
          <w:rFonts w:asciiTheme="minorHAnsi" w:hAnsiTheme="minorHAnsi"/>
          <w:szCs w:val="24"/>
        </w:rPr>
        <w:t>C</w:t>
      </w:r>
      <w:r w:rsidR="00071C92" w:rsidRPr="00C23D3D">
        <w:rPr>
          <w:rFonts w:asciiTheme="minorHAnsi" w:hAnsiTheme="minorHAnsi"/>
          <w:szCs w:val="24"/>
        </w:rPr>
        <w:t>lause</w:t>
      </w:r>
      <w:r w:rsidRPr="00C23D3D">
        <w:rPr>
          <w:rFonts w:asciiTheme="minorHAnsi" w:hAnsiTheme="minorHAnsi"/>
          <w:szCs w:val="24"/>
        </w:rPr>
        <w:t xml:space="preserve"> 9</w:t>
      </w:r>
      <w:r w:rsidR="00071C92" w:rsidRPr="00C23D3D">
        <w:rPr>
          <w:rFonts w:asciiTheme="minorHAnsi" w:hAnsiTheme="minorHAnsi"/>
          <w:szCs w:val="24"/>
        </w:rPr>
        <w:t xml:space="preserve"> </w:t>
      </w:r>
      <w:r w:rsidRPr="00C23D3D">
        <w:rPr>
          <w:rFonts w:asciiTheme="minorHAnsi" w:hAnsiTheme="minorHAnsi"/>
          <w:szCs w:val="24"/>
        </w:rPr>
        <w:t>omits the existing reference to</w:t>
      </w:r>
      <w:r w:rsidR="00071C92" w:rsidRPr="00C23D3D">
        <w:rPr>
          <w:rFonts w:asciiTheme="minorHAnsi" w:hAnsiTheme="minorHAnsi"/>
          <w:szCs w:val="24"/>
        </w:rPr>
        <w:t xml:space="preserve"> ‘for people experiencing gambling harm</w:t>
      </w:r>
      <w:r w:rsidR="00A4778D" w:rsidRPr="00C23D3D">
        <w:rPr>
          <w:rFonts w:asciiTheme="minorHAnsi" w:hAnsiTheme="minorHAnsi"/>
          <w:szCs w:val="24"/>
        </w:rPr>
        <w:t>’ in section 19(1)(b</w:t>
      </w:r>
      <w:r w:rsidR="00071C92" w:rsidRPr="00C23D3D">
        <w:rPr>
          <w:rFonts w:asciiTheme="minorHAnsi" w:hAnsiTheme="minorHAnsi"/>
          <w:szCs w:val="24"/>
        </w:rPr>
        <w:t>)</w:t>
      </w:r>
      <w:r w:rsidR="00A4778D" w:rsidRPr="00C23D3D">
        <w:rPr>
          <w:rFonts w:asciiTheme="minorHAnsi" w:hAnsiTheme="minorHAnsi"/>
          <w:szCs w:val="24"/>
        </w:rPr>
        <w:t>(iii)</w:t>
      </w:r>
      <w:r w:rsidR="00071C92" w:rsidRPr="00C23D3D">
        <w:rPr>
          <w:rFonts w:asciiTheme="minorHAnsi" w:hAnsiTheme="minorHAnsi"/>
          <w:szCs w:val="24"/>
        </w:rPr>
        <w:t xml:space="preserve"> of the Control Act and replaces it with the term ‘about gambling harm’. This better </w:t>
      </w:r>
      <w:r w:rsidR="006051C0" w:rsidRPr="00C23D3D">
        <w:rPr>
          <w:rFonts w:asciiTheme="minorHAnsi" w:hAnsiTheme="minorHAnsi"/>
          <w:szCs w:val="24"/>
        </w:rPr>
        <w:t>reflects the Government’s</w:t>
      </w:r>
      <w:r w:rsidR="00071C92" w:rsidRPr="00C23D3D">
        <w:rPr>
          <w:rFonts w:asciiTheme="minorHAnsi" w:hAnsiTheme="minorHAnsi"/>
          <w:szCs w:val="24"/>
        </w:rPr>
        <w:t xml:space="preserve"> public health approach to gambling harm and the intent of th</w:t>
      </w:r>
      <w:r w:rsidR="00490C3D" w:rsidRPr="00C23D3D">
        <w:rPr>
          <w:rFonts w:asciiTheme="minorHAnsi" w:hAnsiTheme="minorHAnsi"/>
          <w:szCs w:val="24"/>
        </w:rPr>
        <w:t>e</w:t>
      </w:r>
      <w:r w:rsidR="00071C92" w:rsidRPr="00C23D3D">
        <w:rPr>
          <w:rFonts w:asciiTheme="minorHAnsi" w:hAnsiTheme="minorHAnsi"/>
          <w:szCs w:val="24"/>
        </w:rPr>
        <w:t xml:space="preserve"> </w:t>
      </w:r>
      <w:r w:rsidR="00A4778D" w:rsidRPr="00C23D3D">
        <w:rPr>
          <w:rFonts w:asciiTheme="minorHAnsi" w:hAnsiTheme="minorHAnsi"/>
          <w:szCs w:val="24"/>
        </w:rPr>
        <w:t>provision. The intent here is to provide for</w:t>
      </w:r>
      <w:r w:rsidR="00071C92" w:rsidRPr="00C23D3D">
        <w:rPr>
          <w:rFonts w:asciiTheme="minorHAnsi" w:hAnsiTheme="minorHAnsi"/>
          <w:szCs w:val="24"/>
        </w:rPr>
        <w:t xml:space="preserve"> </w:t>
      </w:r>
      <w:r w:rsidR="00A4778D" w:rsidRPr="00C23D3D">
        <w:rPr>
          <w:rFonts w:asciiTheme="minorHAnsi" w:hAnsiTheme="minorHAnsi"/>
          <w:szCs w:val="24"/>
        </w:rPr>
        <w:t xml:space="preserve">publicity and education programs </w:t>
      </w:r>
      <w:r w:rsidR="00A4778D" w:rsidRPr="00C23D3D">
        <w:rPr>
          <w:rFonts w:asciiTheme="minorHAnsi" w:hAnsiTheme="minorHAnsi"/>
          <w:szCs w:val="24"/>
        </w:rPr>
        <w:lastRenderedPageBreak/>
        <w:t>about gambling harm. Existing section 19(1)(a) is about providing counselling for people who are experiencing gambling harm.</w:t>
      </w:r>
    </w:p>
    <w:p w:rsidR="002F6570" w:rsidRPr="00C23D3D" w:rsidRDefault="002F6570" w:rsidP="000055AE">
      <w:pPr>
        <w:autoSpaceDE w:val="0"/>
        <w:autoSpaceDN w:val="0"/>
        <w:adjustRightInd w:val="0"/>
        <w:spacing w:after="0"/>
        <w:rPr>
          <w:rFonts w:asciiTheme="minorHAnsi" w:hAnsiTheme="minorHAnsi"/>
        </w:rPr>
      </w:pPr>
    </w:p>
    <w:p w:rsidR="004C540B" w:rsidRPr="00C23D3D" w:rsidRDefault="004C540B" w:rsidP="000055AE">
      <w:pPr>
        <w:pStyle w:val="Heading4"/>
        <w:spacing w:before="0" w:after="0"/>
        <w:rPr>
          <w:rFonts w:asciiTheme="minorHAnsi" w:hAnsiTheme="minorHAnsi"/>
          <w:lang w:eastAsia="en-AU"/>
        </w:rPr>
      </w:pPr>
      <w:r w:rsidRPr="00C23D3D">
        <w:rPr>
          <w:rFonts w:asciiTheme="minorHAnsi" w:hAnsiTheme="minorHAnsi"/>
        </w:rPr>
        <w:t xml:space="preserve">Clause </w:t>
      </w:r>
      <w:r w:rsidR="000055AE">
        <w:rPr>
          <w:rFonts w:asciiTheme="minorHAnsi" w:hAnsiTheme="minorHAnsi"/>
        </w:rPr>
        <w:t>10</w:t>
      </w:r>
      <w:r w:rsidRPr="00C23D3D">
        <w:rPr>
          <w:rFonts w:asciiTheme="minorHAnsi" w:hAnsiTheme="minorHAnsi"/>
          <w:bCs/>
          <w:lang w:eastAsia="en-AU"/>
        </w:rPr>
        <w:tab/>
      </w:r>
      <w:r w:rsidRPr="00C23D3D">
        <w:rPr>
          <w:rFonts w:asciiTheme="minorHAnsi" w:hAnsiTheme="minorHAnsi"/>
          <w:lang w:eastAsia="en-AU"/>
        </w:rPr>
        <w:t>Permitted disclosure to particular</w:t>
      </w:r>
      <w:r w:rsidR="00B42C15" w:rsidRPr="00C23D3D">
        <w:rPr>
          <w:rFonts w:asciiTheme="minorHAnsi" w:hAnsiTheme="minorHAnsi"/>
          <w:lang w:eastAsia="en-AU"/>
        </w:rPr>
        <w:t xml:space="preserve"> people</w:t>
      </w:r>
      <w:r w:rsidR="00B42C15" w:rsidRPr="00C23D3D">
        <w:rPr>
          <w:rFonts w:asciiTheme="minorHAnsi" w:hAnsiTheme="minorHAnsi"/>
          <w:lang w:eastAsia="en-AU"/>
        </w:rPr>
        <w:br/>
      </w:r>
      <w:r w:rsidR="00B42C15" w:rsidRPr="00C23D3D">
        <w:rPr>
          <w:rFonts w:asciiTheme="minorHAnsi" w:hAnsiTheme="minorHAnsi"/>
          <w:lang w:eastAsia="en-AU"/>
        </w:rPr>
        <w:tab/>
      </w:r>
      <w:r w:rsidR="00B42C15" w:rsidRPr="00C23D3D">
        <w:rPr>
          <w:rFonts w:asciiTheme="minorHAnsi" w:hAnsiTheme="minorHAnsi"/>
          <w:lang w:eastAsia="en-AU"/>
        </w:rPr>
        <w:tab/>
        <w:t>New section 37 (d) (</w:t>
      </w:r>
      <w:proofErr w:type="spellStart"/>
      <w:r w:rsidR="00B42C15" w:rsidRPr="00C23D3D">
        <w:rPr>
          <w:rFonts w:asciiTheme="minorHAnsi" w:hAnsiTheme="minorHAnsi"/>
          <w:lang w:eastAsia="en-AU"/>
        </w:rPr>
        <w:t>iiia</w:t>
      </w:r>
      <w:proofErr w:type="spellEnd"/>
      <w:r w:rsidRPr="00C23D3D">
        <w:rPr>
          <w:rFonts w:asciiTheme="minorHAnsi" w:hAnsiTheme="minorHAnsi"/>
          <w:lang w:eastAsia="en-AU"/>
        </w:rPr>
        <w:t>)</w:t>
      </w:r>
    </w:p>
    <w:p w:rsidR="008D7DA8" w:rsidRPr="00C23D3D" w:rsidRDefault="00A4778D" w:rsidP="000055AE">
      <w:pPr>
        <w:spacing w:after="0"/>
        <w:rPr>
          <w:rFonts w:asciiTheme="minorHAnsi" w:hAnsiTheme="minorHAnsi"/>
          <w:szCs w:val="24"/>
        </w:rPr>
      </w:pPr>
      <w:r w:rsidRPr="00C23D3D">
        <w:rPr>
          <w:rFonts w:asciiTheme="minorHAnsi" w:hAnsiTheme="minorHAnsi"/>
          <w:szCs w:val="24"/>
        </w:rPr>
        <w:t xml:space="preserve">Strong safeguards are in place for the handling, confidentiality, and permitted disclosures of information acquired by a person under a gaming law under </w:t>
      </w:r>
      <w:r w:rsidR="008D7DA8" w:rsidRPr="00C23D3D">
        <w:rPr>
          <w:rFonts w:asciiTheme="minorHAnsi" w:hAnsiTheme="minorHAnsi"/>
          <w:szCs w:val="24"/>
        </w:rPr>
        <w:t>d</w:t>
      </w:r>
      <w:r w:rsidRPr="00C23D3D">
        <w:rPr>
          <w:rFonts w:asciiTheme="minorHAnsi" w:hAnsiTheme="minorHAnsi"/>
          <w:szCs w:val="24"/>
        </w:rPr>
        <w:t>ivision 4.4 (Secrecy) of the Control Act. Unauthorised disclosure is an offence, with a maximum penalty of 50 penalty units, imprisonment for 6 months or both.</w:t>
      </w:r>
      <w:r w:rsidR="008D7DA8" w:rsidRPr="00C23D3D">
        <w:rPr>
          <w:rFonts w:asciiTheme="minorHAnsi" w:hAnsiTheme="minorHAnsi"/>
          <w:szCs w:val="24"/>
        </w:rPr>
        <w:t xml:space="preserve"> In addition, compliance with the Territory Privacy Principles under the </w:t>
      </w:r>
      <w:r w:rsidR="008D7DA8" w:rsidRPr="005C2A9F">
        <w:rPr>
          <w:rFonts w:asciiTheme="minorHAnsi" w:hAnsiTheme="minorHAnsi"/>
          <w:i/>
          <w:szCs w:val="24"/>
        </w:rPr>
        <w:t>Information Privacy Act 2014</w:t>
      </w:r>
      <w:r w:rsidR="005C2A9F">
        <w:rPr>
          <w:rFonts w:asciiTheme="minorHAnsi" w:hAnsiTheme="minorHAnsi"/>
          <w:szCs w:val="24"/>
        </w:rPr>
        <w:t xml:space="preserve"> is</w:t>
      </w:r>
      <w:r w:rsidR="008D7DA8" w:rsidRPr="00C23D3D">
        <w:rPr>
          <w:rFonts w:asciiTheme="minorHAnsi" w:hAnsiTheme="minorHAnsi"/>
          <w:szCs w:val="24"/>
        </w:rPr>
        <w:t xml:space="preserve"> required.</w:t>
      </w:r>
    </w:p>
    <w:p w:rsidR="008D7DA8" w:rsidRPr="00C23D3D" w:rsidRDefault="008D7DA8" w:rsidP="000055AE">
      <w:pPr>
        <w:spacing w:after="0"/>
        <w:rPr>
          <w:rFonts w:asciiTheme="minorHAnsi" w:hAnsiTheme="minorHAnsi"/>
          <w:szCs w:val="24"/>
        </w:rPr>
      </w:pPr>
    </w:p>
    <w:p w:rsidR="00406C7E" w:rsidRPr="00C23D3D" w:rsidRDefault="00406C7E" w:rsidP="000055AE">
      <w:pPr>
        <w:spacing w:after="0"/>
        <w:rPr>
          <w:rFonts w:asciiTheme="minorHAnsi" w:hAnsiTheme="minorHAnsi"/>
          <w:szCs w:val="24"/>
        </w:rPr>
      </w:pPr>
      <w:r w:rsidRPr="00C23D3D">
        <w:rPr>
          <w:rFonts w:asciiTheme="minorHAnsi" w:hAnsiTheme="minorHAnsi"/>
          <w:szCs w:val="24"/>
        </w:rPr>
        <w:t>As part of their applications to the diversification and sustainability support fund, it is anticipated that clubs may provide sensitive information about their business operations and future plans. Applications to the fund from individuals may also include personal information about the applicant.</w:t>
      </w:r>
    </w:p>
    <w:p w:rsidR="00406C7E" w:rsidRPr="00C23D3D" w:rsidRDefault="00406C7E" w:rsidP="000055AE">
      <w:pPr>
        <w:spacing w:after="0"/>
        <w:rPr>
          <w:rFonts w:asciiTheme="minorHAnsi" w:hAnsiTheme="minorHAnsi"/>
          <w:szCs w:val="24"/>
        </w:rPr>
      </w:pPr>
    </w:p>
    <w:p w:rsidR="00AF4BF3" w:rsidRPr="00C23D3D" w:rsidRDefault="00AF4BF3" w:rsidP="000055AE">
      <w:pPr>
        <w:spacing w:after="0"/>
        <w:rPr>
          <w:rFonts w:asciiTheme="minorHAnsi" w:hAnsiTheme="minorHAnsi"/>
          <w:szCs w:val="24"/>
        </w:rPr>
      </w:pPr>
      <w:r w:rsidRPr="00C23D3D">
        <w:rPr>
          <w:rFonts w:asciiTheme="minorHAnsi" w:hAnsiTheme="minorHAnsi"/>
          <w:szCs w:val="24"/>
        </w:rPr>
        <w:t xml:space="preserve">For the purposes of </w:t>
      </w:r>
      <w:r w:rsidR="008D7DA8" w:rsidRPr="00C23D3D">
        <w:rPr>
          <w:rFonts w:asciiTheme="minorHAnsi" w:hAnsiTheme="minorHAnsi"/>
          <w:szCs w:val="24"/>
        </w:rPr>
        <w:t>division 4.4</w:t>
      </w:r>
      <w:r w:rsidRPr="00C23D3D">
        <w:rPr>
          <w:rFonts w:asciiTheme="minorHAnsi" w:hAnsiTheme="minorHAnsi"/>
          <w:szCs w:val="24"/>
        </w:rPr>
        <w:t xml:space="preserve">, section 34 </w:t>
      </w:r>
      <w:r w:rsidR="00571DD0">
        <w:rPr>
          <w:rFonts w:asciiTheme="minorHAnsi" w:hAnsiTheme="minorHAnsi"/>
          <w:szCs w:val="24"/>
        </w:rPr>
        <w:t xml:space="preserve">of the Control Act </w:t>
      </w:r>
      <w:r w:rsidRPr="00C23D3D">
        <w:rPr>
          <w:rFonts w:asciiTheme="minorHAnsi" w:hAnsiTheme="minorHAnsi"/>
          <w:szCs w:val="24"/>
        </w:rPr>
        <w:t xml:space="preserve">defines gaming officers to include </w:t>
      </w:r>
      <w:r w:rsidR="008D7DA8" w:rsidRPr="00C23D3D">
        <w:rPr>
          <w:rFonts w:asciiTheme="minorHAnsi" w:hAnsiTheme="minorHAnsi"/>
          <w:szCs w:val="24"/>
        </w:rPr>
        <w:t>any person who has acquired a confidential document or confidential information under a gaming law or as a result of exercising functions under or in relation to a gaming law. T</w:t>
      </w:r>
      <w:r w:rsidRPr="00C23D3D">
        <w:rPr>
          <w:rFonts w:asciiTheme="minorHAnsi" w:hAnsiTheme="minorHAnsi"/>
          <w:szCs w:val="24"/>
        </w:rPr>
        <w:t xml:space="preserve">his means that material obtained by members of the advisory board for the </w:t>
      </w:r>
      <w:r w:rsidR="00406C7E" w:rsidRPr="00C23D3D">
        <w:rPr>
          <w:rFonts w:asciiTheme="minorHAnsi" w:hAnsiTheme="minorHAnsi"/>
          <w:szCs w:val="24"/>
        </w:rPr>
        <w:t xml:space="preserve">diversification and sustainability support fund </w:t>
      </w:r>
      <w:r w:rsidRPr="00C23D3D">
        <w:rPr>
          <w:rFonts w:asciiTheme="minorHAnsi" w:hAnsiTheme="minorHAnsi"/>
          <w:szCs w:val="24"/>
        </w:rPr>
        <w:t xml:space="preserve">is subject to the </w:t>
      </w:r>
      <w:r w:rsidR="00571DD0">
        <w:rPr>
          <w:rFonts w:asciiTheme="minorHAnsi" w:hAnsiTheme="minorHAnsi"/>
          <w:szCs w:val="24"/>
        </w:rPr>
        <w:t>secrecy provisions in division </w:t>
      </w:r>
      <w:r w:rsidR="008D7DA8" w:rsidRPr="00C23D3D">
        <w:rPr>
          <w:rFonts w:asciiTheme="minorHAnsi" w:hAnsiTheme="minorHAnsi"/>
          <w:szCs w:val="24"/>
        </w:rPr>
        <w:t>4.4</w:t>
      </w:r>
      <w:r w:rsidRPr="00C23D3D">
        <w:rPr>
          <w:rFonts w:asciiTheme="minorHAnsi" w:hAnsiTheme="minorHAnsi"/>
          <w:szCs w:val="24"/>
        </w:rPr>
        <w:t xml:space="preserve"> and protects the information provided </w:t>
      </w:r>
      <w:r w:rsidR="008D7DA8" w:rsidRPr="00C23D3D">
        <w:rPr>
          <w:rFonts w:asciiTheme="minorHAnsi" w:hAnsiTheme="minorHAnsi"/>
          <w:szCs w:val="24"/>
        </w:rPr>
        <w:t>in</w:t>
      </w:r>
      <w:r w:rsidRPr="00C23D3D">
        <w:rPr>
          <w:rFonts w:asciiTheme="minorHAnsi" w:hAnsiTheme="minorHAnsi"/>
          <w:szCs w:val="24"/>
        </w:rPr>
        <w:t xml:space="preserve"> applications to the </w:t>
      </w:r>
      <w:r w:rsidR="008D7DA8" w:rsidRPr="00C23D3D">
        <w:rPr>
          <w:rFonts w:asciiTheme="minorHAnsi" w:hAnsiTheme="minorHAnsi"/>
          <w:szCs w:val="24"/>
        </w:rPr>
        <w:t>f</w:t>
      </w:r>
      <w:r w:rsidRPr="00C23D3D">
        <w:rPr>
          <w:rFonts w:asciiTheme="minorHAnsi" w:hAnsiTheme="minorHAnsi"/>
          <w:szCs w:val="24"/>
        </w:rPr>
        <w:t>und.</w:t>
      </w:r>
      <w:r w:rsidR="008D7DA8" w:rsidRPr="00C23D3D">
        <w:rPr>
          <w:rFonts w:asciiTheme="minorHAnsi" w:hAnsiTheme="minorHAnsi"/>
          <w:szCs w:val="24"/>
        </w:rPr>
        <w:t xml:space="preserve"> </w:t>
      </w:r>
    </w:p>
    <w:p w:rsidR="008D7DA8" w:rsidRPr="00C23D3D" w:rsidRDefault="008D7DA8" w:rsidP="000055AE">
      <w:pPr>
        <w:spacing w:after="0"/>
        <w:rPr>
          <w:rFonts w:asciiTheme="minorHAnsi" w:hAnsiTheme="minorHAnsi"/>
          <w:szCs w:val="24"/>
        </w:rPr>
      </w:pPr>
    </w:p>
    <w:p w:rsidR="00AF4BF3" w:rsidRPr="00C23D3D" w:rsidRDefault="00AF4BF3" w:rsidP="000055AE">
      <w:pPr>
        <w:spacing w:after="0"/>
        <w:rPr>
          <w:rFonts w:asciiTheme="minorHAnsi" w:hAnsiTheme="minorHAnsi"/>
          <w:szCs w:val="24"/>
        </w:rPr>
      </w:pPr>
      <w:r w:rsidRPr="00C23D3D">
        <w:rPr>
          <w:rFonts w:asciiTheme="minorHAnsi" w:hAnsiTheme="minorHAnsi"/>
          <w:szCs w:val="24"/>
        </w:rPr>
        <w:t>The advisory board may</w:t>
      </w:r>
      <w:r w:rsidR="008D7DA8" w:rsidRPr="00C23D3D">
        <w:rPr>
          <w:rFonts w:asciiTheme="minorHAnsi" w:hAnsiTheme="minorHAnsi"/>
          <w:szCs w:val="24"/>
        </w:rPr>
        <w:t xml:space="preserve"> wish to seek</w:t>
      </w:r>
      <w:r w:rsidRPr="00C23D3D">
        <w:rPr>
          <w:rFonts w:asciiTheme="minorHAnsi" w:hAnsiTheme="minorHAnsi"/>
          <w:szCs w:val="24"/>
        </w:rPr>
        <w:t xml:space="preserve"> expert input from ACT Government agencies in relation to clubs’ proposals. For example, it may </w:t>
      </w:r>
      <w:r w:rsidR="00046C28" w:rsidRPr="00C23D3D">
        <w:rPr>
          <w:rFonts w:asciiTheme="minorHAnsi" w:hAnsiTheme="minorHAnsi"/>
          <w:szCs w:val="24"/>
        </w:rPr>
        <w:t>be relevant to consult with the Environment, Planning and Sustainable Development Directorate</w:t>
      </w:r>
      <w:r w:rsidRPr="00C23D3D">
        <w:rPr>
          <w:rFonts w:asciiTheme="minorHAnsi" w:hAnsiTheme="minorHAnsi"/>
          <w:szCs w:val="24"/>
        </w:rPr>
        <w:t xml:space="preserve"> about </w:t>
      </w:r>
      <w:r w:rsidR="00046C28" w:rsidRPr="00C23D3D">
        <w:rPr>
          <w:rFonts w:asciiTheme="minorHAnsi" w:hAnsiTheme="minorHAnsi"/>
          <w:szCs w:val="24"/>
        </w:rPr>
        <w:t>potential alternative land uses to support diversification activities.</w:t>
      </w:r>
    </w:p>
    <w:p w:rsidR="008D7DA8" w:rsidRPr="00C23D3D" w:rsidRDefault="008D7DA8" w:rsidP="000055AE">
      <w:pPr>
        <w:pStyle w:val="Heading4"/>
        <w:keepNext w:val="0"/>
        <w:spacing w:before="0" w:after="0"/>
        <w:rPr>
          <w:rFonts w:asciiTheme="minorHAnsi" w:hAnsiTheme="minorHAnsi"/>
          <w:b w:val="0"/>
        </w:rPr>
      </w:pPr>
    </w:p>
    <w:p w:rsidR="00AF4BF3" w:rsidRPr="00C23D3D" w:rsidRDefault="00046C28" w:rsidP="000055AE">
      <w:pPr>
        <w:spacing w:after="0"/>
        <w:rPr>
          <w:rFonts w:asciiTheme="minorHAnsi" w:hAnsiTheme="minorHAnsi"/>
          <w:szCs w:val="24"/>
        </w:rPr>
      </w:pPr>
      <w:r w:rsidRPr="00C23D3D">
        <w:rPr>
          <w:rFonts w:asciiTheme="minorHAnsi" w:hAnsiTheme="minorHAnsi"/>
          <w:szCs w:val="24"/>
        </w:rPr>
        <w:t>Clause 1</w:t>
      </w:r>
      <w:r w:rsidR="005C2A9F">
        <w:rPr>
          <w:rFonts w:asciiTheme="minorHAnsi" w:hAnsiTheme="minorHAnsi"/>
          <w:szCs w:val="24"/>
        </w:rPr>
        <w:t>0</w:t>
      </w:r>
      <w:r w:rsidRPr="00C23D3D">
        <w:rPr>
          <w:rFonts w:asciiTheme="minorHAnsi" w:hAnsiTheme="minorHAnsi"/>
          <w:szCs w:val="24"/>
        </w:rPr>
        <w:t xml:space="preserve"> expands the permitted disclosur</w:t>
      </w:r>
      <w:r w:rsidR="008D7DA8" w:rsidRPr="00C23D3D">
        <w:rPr>
          <w:rFonts w:asciiTheme="minorHAnsi" w:hAnsiTheme="minorHAnsi"/>
          <w:szCs w:val="24"/>
        </w:rPr>
        <w:t xml:space="preserve">es under section 37 of the Control Act </w:t>
      </w:r>
      <w:r w:rsidRPr="00C23D3D">
        <w:rPr>
          <w:rFonts w:asciiTheme="minorHAnsi" w:hAnsiTheme="minorHAnsi"/>
          <w:szCs w:val="24"/>
        </w:rPr>
        <w:t>to include public servants, but only for th</w:t>
      </w:r>
      <w:r w:rsidR="008D7DA8" w:rsidRPr="00C23D3D">
        <w:rPr>
          <w:rFonts w:asciiTheme="minorHAnsi" w:hAnsiTheme="minorHAnsi"/>
          <w:szCs w:val="24"/>
        </w:rPr>
        <w:t>e purpose of administering the d</w:t>
      </w:r>
      <w:r w:rsidRPr="00C23D3D">
        <w:rPr>
          <w:rFonts w:asciiTheme="minorHAnsi" w:hAnsiTheme="minorHAnsi"/>
          <w:szCs w:val="24"/>
        </w:rPr>
        <w:t xml:space="preserve">iversification and </w:t>
      </w:r>
      <w:r w:rsidR="008D7DA8" w:rsidRPr="00C23D3D">
        <w:rPr>
          <w:rFonts w:asciiTheme="minorHAnsi" w:hAnsiTheme="minorHAnsi"/>
          <w:szCs w:val="24"/>
        </w:rPr>
        <w:t>sustainability</w:t>
      </w:r>
      <w:r w:rsidRPr="00C23D3D">
        <w:rPr>
          <w:rFonts w:asciiTheme="minorHAnsi" w:hAnsiTheme="minorHAnsi"/>
          <w:szCs w:val="24"/>
        </w:rPr>
        <w:t xml:space="preserve"> </w:t>
      </w:r>
      <w:r w:rsidR="008D7DA8" w:rsidRPr="00C23D3D">
        <w:rPr>
          <w:rFonts w:asciiTheme="minorHAnsi" w:hAnsiTheme="minorHAnsi"/>
          <w:szCs w:val="24"/>
        </w:rPr>
        <w:t xml:space="preserve">support fund </w:t>
      </w:r>
      <w:r w:rsidRPr="00C23D3D">
        <w:rPr>
          <w:rFonts w:asciiTheme="minorHAnsi" w:hAnsiTheme="minorHAnsi"/>
          <w:szCs w:val="24"/>
        </w:rPr>
        <w:t>(division 11.3 of the Act). The term</w:t>
      </w:r>
      <w:r w:rsidR="008D7DA8" w:rsidRPr="00C23D3D">
        <w:rPr>
          <w:rFonts w:asciiTheme="minorHAnsi" w:hAnsiTheme="minorHAnsi"/>
          <w:szCs w:val="24"/>
        </w:rPr>
        <w:t xml:space="preserve"> ‘public servant</w:t>
      </w:r>
      <w:r w:rsidRPr="00C23D3D">
        <w:rPr>
          <w:rFonts w:asciiTheme="minorHAnsi" w:hAnsiTheme="minorHAnsi"/>
          <w:szCs w:val="24"/>
        </w:rPr>
        <w:t>’ is defined in the</w:t>
      </w:r>
      <w:r w:rsidR="008D7DA8" w:rsidRPr="00C23D3D">
        <w:rPr>
          <w:rFonts w:asciiTheme="minorHAnsi" w:hAnsiTheme="minorHAnsi"/>
          <w:szCs w:val="24"/>
        </w:rPr>
        <w:t xml:space="preserve"> Dictionary of the </w:t>
      </w:r>
      <w:r w:rsidRPr="00F31284">
        <w:rPr>
          <w:rFonts w:asciiTheme="minorHAnsi" w:hAnsiTheme="minorHAnsi"/>
          <w:i/>
          <w:szCs w:val="24"/>
        </w:rPr>
        <w:t>Legislation Act</w:t>
      </w:r>
      <w:r w:rsidR="008D7DA8" w:rsidRPr="00F31284">
        <w:rPr>
          <w:rFonts w:asciiTheme="minorHAnsi" w:hAnsiTheme="minorHAnsi"/>
          <w:i/>
          <w:szCs w:val="24"/>
        </w:rPr>
        <w:t xml:space="preserve"> 2001</w:t>
      </w:r>
      <w:r w:rsidR="008D7DA8" w:rsidRPr="00C23D3D">
        <w:rPr>
          <w:rFonts w:asciiTheme="minorHAnsi" w:hAnsiTheme="minorHAnsi"/>
          <w:szCs w:val="24"/>
        </w:rPr>
        <w:t xml:space="preserve"> and it is limited to a person employed in the ACT Public Service.</w:t>
      </w:r>
    </w:p>
    <w:p w:rsidR="008D7DA8" w:rsidRPr="00C23D3D" w:rsidRDefault="008D7DA8" w:rsidP="000055AE">
      <w:pPr>
        <w:pStyle w:val="Heading4"/>
        <w:keepNext w:val="0"/>
        <w:spacing w:before="0" w:after="0"/>
        <w:rPr>
          <w:rFonts w:asciiTheme="minorHAnsi" w:hAnsiTheme="minorHAnsi"/>
          <w:b w:val="0"/>
        </w:rPr>
      </w:pPr>
    </w:p>
    <w:p w:rsidR="00B42C15" w:rsidRPr="00C23D3D" w:rsidRDefault="00B42C15" w:rsidP="000055AE">
      <w:pPr>
        <w:pStyle w:val="Heading4"/>
        <w:spacing w:before="0" w:after="0"/>
        <w:rPr>
          <w:rFonts w:asciiTheme="minorHAnsi" w:hAnsiTheme="minorHAnsi"/>
          <w:i/>
          <w:lang w:eastAsia="en-AU"/>
        </w:rPr>
      </w:pPr>
      <w:r w:rsidRPr="00C23D3D">
        <w:rPr>
          <w:rFonts w:asciiTheme="minorHAnsi" w:hAnsiTheme="minorHAnsi"/>
        </w:rPr>
        <w:t xml:space="preserve">Clause </w:t>
      </w:r>
      <w:r w:rsidR="000055AE">
        <w:rPr>
          <w:rFonts w:asciiTheme="minorHAnsi" w:hAnsiTheme="minorHAnsi"/>
        </w:rPr>
        <w:t>11</w:t>
      </w:r>
      <w:r w:rsidRPr="00C23D3D">
        <w:rPr>
          <w:rFonts w:asciiTheme="minorHAnsi" w:hAnsiTheme="minorHAnsi"/>
          <w:bCs/>
          <w:lang w:eastAsia="en-AU"/>
        </w:rPr>
        <w:tab/>
        <w:t xml:space="preserve">Dictionary, new definition of </w:t>
      </w:r>
      <w:r w:rsidRPr="00C23D3D">
        <w:rPr>
          <w:rFonts w:asciiTheme="minorHAnsi" w:hAnsiTheme="minorHAnsi"/>
          <w:bCs/>
          <w:i/>
          <w:lang w:eastAsia="en-AU"/>
        </w:rPr>
        <w:t>club licensee</w:t>
      </w:r>
    </w:p>
    <w:p w:rsidR="00B42C15" w:rsidRPr="00C23D3D" w:rsidRDefault="00B42C15" w:rsidP="000055AE">
      <w:pPr>
        <w:spacing w:after="0"/>
        <w:rPr>
          <w:rFonts w:asciiTheme="minorHAnsi" w:hAnsiTheme="minorHAnsi"/>
          <w:szCs w:val="24"/>
        </w:rPr>
      </w:pPr>
      <w:r w:rsidRPr="00C23D3D">
        <w:rPr>
          <w:rFonts w:asciiTheme="minorHAnsi" w:hAnsiTheme="minorHAnsi"/>
          <w:szCs w:val="24"/>
        </w:rPr>
        <w:t xml:space="preserve">Clause 11 amends the Dictionary of the Control Act to include the </w:t>
      </w:r>
      <w:r w:rsidR="00406C7E" w:rsidRPr="00C23D3D">
        <w:rPr>
          <w:rFonts w:asciiTheme="minorHAnsi" w:hAnsiTheme="minorHAnsi"/>
          <w:szCs w:val="24"/>
        </w:rPr>
        <w:t xml:space="preserve">definition of ‘club licensee’, </w:t>
      </w:r>
      <w:r w:rsidRPr="00C23D3D">
        <w:rPr>
          <w:rFonts w:asciiTheme="minorHAnsi" w:hAnsiTheme="minorHAnsi"/>
          <w:szCs w:val="24"/>
        </w:rPr>
        <w:t>meaning a licensee that is a club under the Gaming Machine Act.</w:t>
      </w:r>
      <w:r w:rsidR="00406C7E" w:rsidRPr="00C23D3D">
        <w:rPr>
          <w:rFonts w:asciiTheme="minorHAnsi" w:hAnsiTheme="minorHAnsi"/>
          <w:szCs w:val="24"/>
        </w:rPr>
        <w:t xml:space="preserve"> This term is introduced to the Control Act in amendments outlined in clauses above.</w:t>
      </w:r>
    </w:p>
    <w:p w:rsidR="00406C7E" w:rsidRPr="00C23D3D" w:rsidRDefault="00406C7E" w:rsidP="000055AE">
      <w:pPr>
        <w:spacing w:after="0"/>
        <w:rPr>
          <w:rFonts w:asciiTheme="minorHAnsi" w:hAnsiTheme="minorHAnsi"/>
          <w:szCs w:val="24"/>
        </w:rPr>
      </w:pPr>
    </w:p>
    <w:p w:rsidR="004C540B" w:rsidRPr="00C23D3D" w:rsidRDefault="004C540B" w:rsidP="000055AE">
      <w:pPr>
        <w:pStyle w:val="Heading4"/>
        <w:spacing w:before="0" w:after="0"/>
        <w:rPr>
          <w:rFonts w:asciiTheme="minorHAnsi" w:hAnsiTheme="minorHAnsi"/>
          <w:i/>
          <w:lang w:eastAsia="en-AU"/>
        </w:rPr>
      </w:pPr>
      <w:r w:rsidRPr="00C23D3D">
        <w:rPr>
          <w:rFonts w:asciiTheme="minorHAnsi" w:hAnsiTheme="minorHAnsi"/>
        </w:rPr>
        <w:lastRenderedPageBreak/>
        <w:t xml:space="preserve">Clause </w:t>
      </w:r>
      <w:r w:rsidR="000055AE">
        <w:rPr>
          <w:rFonts w:asciiTheme="minorHAnsi" w:hAnsiTheme="minorHAnsi"/>
          <w:noProof/>
        </w:rPr>
        <w:t>12</w:t>
      </w:r>
      <w:r w:rsidRPr="00C23D3D">
        <w:rPr>
          <w:rFonts w:asciiTheme="minorHAnsi" w:hAnsiTheme="minorHAnsi"/>
          <w:bCs/>
          <w:lang w:eastAsia="en-AU"/>
        </w:rPr>
        <w:tab/>
        <w:t xml:space="preserve">Dictionary, new definition of </w:t>
      </w:r>
      <w:r w:rsidRPr="00C23D3D">
        <w:rPr>
          <w:rFonts w:asciiTheme="minorHAnsi" w:hAnsiTheme="minorHAnsi"/>
          <w:bCs/>
          <w:i/>
          <w:lang w:eastAsia="en-AU"/>
        </w:rPr>
        <w:t>workplace rights training</w:t>
      </w:r>
    </w:p>
    <w:p w:rsidR="004C540B" w:rsidRPr="00C23D3D" w:rsidRDefault="00B42C15" w:rsidP="000055AE">
      <w:pPr>
        <w:spacing w:after="0"/>
        <w:rPr>
          <w:rFonts w:asciiTheme="minorHAnsi" w:hAnsiTheme="minorHAnsi"/>
          <w:szCs w:val="24"/>
        </w:rPr>
      </w:pPr>
      <w:r w:rsidRPr="00C23D3D">
        <w:rPr>
          <w:rFonts w:asciiTheme="minorHAnsi" w:hAnsiTheme="minorHAnsi"/>
          <w:szCs w:val="24"/>
        </w:rPr>
        <w:t>Clause 12</w:t>
      </w:r>
      <w:r w:rsidR="00046C28" w:rsidRPr="00C23D3D">
        <w:rPr>
          <w:rFonts w:asciiTheme="minorHAnsi" w:hAnsiTheme="minorHAnsi"/>
          <w:szCs w:val="24"/>
        </w:rPr>
        <w:t xml:space="preserve"> amends the Dictionary of the Control Act to include the definition o</w:t>
      </w:r>
      <w:r w:rsidR="00406C7E" w:rsidRPr="00C23D3D">
        <w:rPr>
          <w:rFonts w:asciiTheme="minorHAnsi" w:hAnsiTheme="minorHAnsi"/>
          <w:szCs w:val="24"/>
        </w:rPr>
        <w:t xml:space="preserve">f ‘workplace rights training’, </w:t>
      </w:r>
      <w:r w:rsidR="00046C28" w:rsidRPr="00C23D3D">
        <w:rPr>
          <w:rFonts w:asciiTheme="minorHAnsi" w:hAnsiTheme="minorHAnsi"/>
          <w:szCs w:val="24"/>
        </w:rPr>
        <w:t xml:space="preserve">meaning training on rights and obligations under laws in force in the ACT that apply in relation to workers </w:t>
      </w:r>
      <w:r w:rsidR="00406C7E" w:rsidRPr="00C23D3D">
        <w:rPr>
          <w:rFonts w:asciiTheme="minorHAnsi" w:hAnsiTheme="minorHAnsi"/>
          <w:szCs w:val="24"/>
        </w:rPr>
        <w:t>at premises of club licensees.</w:t>
      </w:r>
    </w:p>
    <w:p w:rsidR="00406C7E" w:rsidRPr="00C23D3D" w:rsidRDefault="00406C7E" w:rsidP="000055AE">
      <w:pPr>
        <w:spacing w:after="0"/>
        <w:rPr>
          <w:rFonts w:asciiTheme="minorHAnsi" w:hAnsiTheme="minorHAnsi"/>
          <w:szCs w:val="24"/>
        </w:rPr>
      </w:pPr>
    </w:p>
    <w:p w:rsidR="00046C28" w:rsidRPr="00C23D3D" w:rsidRDefault="00046C28" w:rsidP="000055AE">
      <w:pPr>
        <w:spacing w:after="0"/>
        <w:rPr>
          <w:rFonts w:asciiTheme="minorHAnsi" w:hAnsiTheme="minorHAnsi"/>
          <w:b/>
          <w:lang w:eastAsia="en-AU"/>
        </w:rPr>
      </w:pPr>
      <w:r w:rsidRPr="00C23D3D">
        <w:rPr>
          <w:rFonts w:asciiTheme="minorHAnsi" w:hAnsiTheme="minorHAnsi"/>
          <w:szCs w:val="24"/>
        </w:rPr>
        <w:t>The definition provides the following examples of rights and obligations</w:t>
      </w:r>
      <w:r w:rsidRPr="00C23D3D">
        <w:rPr>
          <w:rFonts w:asciiTheme="minorHAnsi" w:hAnsiTheme="minorHAnsi"/>
          <w:b/>
          <w:lang w:eastAsia="en-AU"/>
        </w:rPr>
        <w:t>:</w:t>
      </w:r>
    </w:p>
    <w:p w:rsidR="00F31284" w:rsidRPr="00C23D3D" w:rsidRDefault="00F31284" w:rsidP="000055AE">
      <w:pPr>
        <w:pStyle w:val="ListParagraph"/>
        <w:numPr>
          <w:ilvl w:val="0"/>
          <w:numId w:val="29"/>
        </w:numPr>
        <w:autoSpaceDE w:val="0"/>
        <w:autoSpaceDN w:val="0"/>
        <w:adjustRightInd w:val="0"/>
        <w:spacing w:after="0"/>
        <w:ind w:left="714" w:hanging="357"/>
        <w:rPr>
          <w:rFonts w:asciiTheme="minorHAnsi" w:eastAsia="Times New Roman" w:hAnsiTheme="minorHAnsi"/>
          <w:sz w:val="24"/>
          <w:szCs w:val="24"/>
          <w:lang w:eastAsia="en-US"/>
        </w:rPr>
      </w:pPr>
      <w:r w:rsidRPr="00C23D3D">
        <w:rPr>
          <w:rFonts w:asciiTheme="minorHAnsi" w:eastAsia="Times New Roman" w:hAnsiTheme="minorHAnsi"/>
          <w:sz w:val="24"/>
          <w:szCs w:val="24"/>
          <w:lang w:eastAsia="en-US"/>
        </w:rPr>
        <w:t>employment agreements</w:t>
      </w:r>
    </w:p>
    <w:p w:rsidR="00046C28" w:rsidRPr="00C23D3D" w:rsidRDefault="00046C28" w:rsidP="000055AE">
      <w:pPr>
        <w:pStyle w:val="ListParagraph"/>
        <w:numPr>
          <w:ilvl w:val="0"/>
          <w:numId w:val="29"/>
        </w:numPr>
        <w:autoSpaceDE w:val="0"/>
        <w:autoSpaceDN w:val="0"/>
        <w:adjustRightInd w:val="0"/>
        <w:spacing w:after="0"/>
        <w:ind w:left="714" w:hanging="357"/>
        <w:rPr>
          <w:rFonts w:asciiTheme="minorHAnsi" w:eastAsia="Times New Roman" w:hAnsiTheme="minorHAnsi"/>
          <w:sz w:val="24"/>
          <w:szCs w:val="24"/>
          <w:lang w:eastAsia="en-US"/>
        </w:rPr>
      </w:pPr>
      <w:r w:rsidRPr="00C23D3D">
        <w:rPr>
          <w:rFonts w:asciiTheme="minorHAnsi" w:eastAsia="Times New Roman" w:hAnsiTheme="minorHAnsi"/>
          <w:sz w:val="24"/>
          <w:szCs w:val="24"/>
          <w:lang w:eastAsia="en-US"/>
        </w:rPr>
        <w:t>minimum wages and employment conditions</w:t>
      </w:r>
    </w:p>
    <w:p w:rsidR="00046C28" w:rsidRPr="00C23D3D" w:rsidRDefault="00046C28" w:rsidP="000055AE">
      <w:pPr>
        <w:pStyle w:val="ListParagraph"/>
        <w:numPr>
          <w:ilvl w:val="0"/>
          <w:numId w:val="29"/>
        </w:numPr>
        <w:autoSpaceDE w:val="0"/>
        <w:autoSpaceDN w:val="0"/>
        <w:adjustRightInd w:val="0"/>
        <w:spacing w:after="0"/>
        <w:ind w:left="714" w:hanging="357"/>
        <w:rPr>
          <w:rFonts w:asciiTheme="minorHAnsi" w:eastAsia="Times New Roman" w:hAnsiTheme="minorHAnsi"/>
          <w:sz w:val="24"/>
          <w:szCs w:val="24"/>
          <w:lang w:eastAsia="en-US"/>
        </w:rPr>
      </w:pPr>
      <w:r w:rsidRPr="00C23D3D">
        <w:rPr>
          <w:rFonts w:asciiTheme="minorHAnsi" w:eastAsia="Times New Roman" w:hAnsiTheme="minorHAnsi"/>
          <w:sz w:val="24"/>
          <w:szCs w:val="24"/>
          <w:lang w:eastAsia="en-US"/>
        </w:rPr>
        <w:t>termination of employment agreements</w:t>
      </w:r>
    </w:p>
    <w:p w:rsidR="00046C28" w:rsidRPr="00C23D3D" w:rsidRDefault="00046C28" w:rsidP="000055AE">
      <w:pPr>
        <w:pStyle w:val="ListParagraph"/>
        <w:numPr>
          <w:ilvl w:val="0"/>
          <w:numId w:val="29"/>
        </w:numPr>
        <w:autoSpaceDE w:val="0"/>
        <w:autoSpaceDN w:val="0"/>
        <w:adjustRightInd w:val="0"/>
        <w:spacing w:after="0"/>
        <w:ind w:left="714" w:hanging="357"/>
        <w:rPr>
          <w:rFonts w:asciiTheme="minorHAnsi" w:eastAsia="Times New Roman" w:hAnsiTheme="minorHAnsi"/>
          <w:sz w:val="24"/>
          <w:szCs w:val="24"/>
          <w:lang w:eastAsia="en-US"/>
        </w:rPr>
      </w:pPr>
      <w:r w:rsidRPr="00C23D3D">
        <w:rPr>
          <w:rFonts w:asciiTheme="minorHAnsi" w:eastAsia="Times New Roman" w:hAnsiTheme="minorHAnsi"/>
          <w:sz w:val="24"/>
          <w:szCs w:val="24"/>
          <w:lang w:eastAsia="en-US"/>
        </w:rPr>
        <w:t>workplace safety</w:t>
      </w:r>
      <w:r w:rsidR="00406C7E" w:rsidRPr="00C23D3D">
        <w:rPr>
          <w:rFonts w:asciiTheme="minorHAnsi" w:eastAsia="Times New Roman" w:hAnsiTheme="minorHAnsi"/>
          <w:sz w:val="24"/>
          <w:szCs w:val="24"/>
          <w:lang w:eastAsia="en-US"/>
        </w:rPr>
        <w:t>.</w:t>
      </w:r>
    </w:p>
    <w:p w:rsidR="00FF2094" w:rsidRPr="00C23D3D" w:rsidRDefault="00FF2094" w:rsidP="000055AE">
      <w:pPr>
        <w:spacing w:after="0"/>
        <w:rPr>
          <w:rFonts w:asciiTheme="minorHAnsi" w:hAnsiTheme="minorHAnsi"/>
          <w:b/>
          <w:szCs w:val="24"/>
          <w:u w:val="single"/>
        </w:rPr>
      </w:pPr>
    </w:p>
    <w:p w:rsidR="007B6680" w:rsidRPr="00C23D3D" w:rsidRDefault="007B6680" w:rsidP="000403F9">
      <w:pPr>
        <w:keepNext/>
        <w:spacing w:after="0"/>
        <w:rPr>
          <w:rFonts w:asciiTheme="minorHAnsi" w:hAnsiTheme="minorHAnsi"/>
          <w:b/>
          <w:szCs w:val="24"/>
          <w:u w:val="single"/>
        </w:rPr>
      </w:pPr>
      <w:r w:rsidRPr="00C23D3D">
        <w:rPr>
          <w:rFonts w:asciiTheme="minorHAnsi" w:hAnsiTheme="minorHAnsi"/>
          <w:b/>
          <w:szCs w:val="24"/>
          <w:u w:val="single"/>
        </w:rPr>
        <w:t>PART 3</w:t>
      </w:r>
      <w:r w:rsidRPr="00C23D3D">
        <w:rPr>
          <w:rFonts w:asciiTheme="minorHAnsi" w:hAnsiTheme="minorHAnsi"/>
          <w:b/>
          <w:szCs w:val="24"/>
          <w:u w:val="single"/>
        </w:rPr>
        <w:tab/>
      </w:r>
      <w:r w:rsidR="00FF2094" w:rsidRPr="00C23D3D">
        <w:rPr>
          <w:rFonts w:asciiTheme="minorHAnsi" w:hAnsiTheme="minorHAnsi"/>
          <w:b/>
          <w:szCs w:val="24"/>
          <w:u w:val="single"/>
        </w:rPr>
        <w:t xml:space="preserve"> - </w:t>
      </w:r>
      <w:r w:rsidRPr="00C23D3D">
        <w:rPr>
          <w:rFonts w:asciiTheme="minorHAnsi" w:hAnsiTheme="minorHAnsi"/>
          <w:b/>
          <w:szCs w:val="24"/>
          <w:u w:val="single"/>
        </w:rPr>
        <w:t>GAMING MACHINE ACT 2004</w:t>
      </w:r>
    </w:p>
    <w:p w:rsidR="00FF2094" w:rsidRPr="00C23D3D" w:rsidRDefault="00FF2094" w:rsidP="000055AE">
      <w:pPr>
        <w:pStyle w:val="Heading4"/>
        <w:spacing w:before="0" w:after="0"/>
        <w:rPr>
          <w:rFonts w:asciiTheme="minorHAnsi" w:hAnsiTheme="minorHAnsi"/>
        </w:rPr>
      </w:pPr>
    </w:p>
    <w:p w:rsidR="004C540B" w:rsidRPr="00C23D3D" w:rsidRDefault="004C540B" w:rsidP="000055AE">
      <w:pPr>
        <w:pStyle w:val="Heading4"/>
        <w:spacing w:before="0" w:after="0"/>
        <w:rPr>
          <w:rFonts w:asciiTheme="minorHAnsi" w:hAnsiTheme="minorHAnsi"/>
          <w:lang w:eastAsia="en-AU"/>
        </w:rPr>
      </w:pPr>
      <w:r w:rsidRPr="00C23D3D">
        <w:rPr>
          <w:rFonts w:asciiTheme="minorHAnsi" w:hAnsiTheme="minorHAnsi"/>
        </w:rPr>
        <w:t xml:space="preserve">Clause </w:t>
      </w:r>
      <w:r w:rsidR="000055AE">
        <w:rPr>
          <w:rFonts w:asciiTheme="minorHAnsi" w:hAnsiTheme="minorHAnsi"/>
          <w:noProof/>
        </w:rPr>
        <w:t>13</w:t>
      </w:r>
      <w:r w:rsidRPr="00C23D3D">
        <w:rPr>
          <w:rFonts w:asciiTheme="minorHAnsi" w:hAnsiTheme="minorHAnsi"/>
          <w:bCs/>
          <w:lang w:eastAsia="en-AU"/>
        </w:rPr>
        <w:tab/>
      </w:r>
      <w:r w:rsidRPr="00C23D3D">
        <w:rPr>
          <w:rFonts w:asciiTheme="minorHAnsi" w:hAnsiTheme="minorHAnsi"/>
          <w:lang w:eastAsia="en-AU"/>
        </w:rPr>
        <w:t>Section 10F heading</w:t>
      </w:r>
    </w:p>
    <w:p w:rsidR="00FF2094" w:rsidRPr="00C23D3D" w:rsidRDefault="0091123E" w:rsidP="000055AE">
      <w:pPr>
        <w:spacing w:after="0"/>
        <w:rPr>
          <w:rFonts w:asciiTheme="minorHAnsi" w:hAnsiTheme="minorHAnsi"/>
          <w:szCs w:val="24"/>
        </w:rPr>
      </w:pPr>
      <w:r w:rsidRPr="00C23D3D">
        <w:rPr>
          <w:rFonts w:asciiTheme="minorHAnsi" w:hAnsiTheme="minorHAnsi"/>
          <w:szCs w:val="24"/>
        </w:rPr>
        <w:t>Clause 13</w:t>
      </w:r>
      <w:r w:rsidR="002F6570" w:rsidRPr="00C23D3D">
        <w:rPr>
          <w:rFonts w:asciiTheme="minorHAnsi" w:hAnsiTheme="minorHAnsi"/>
          <w:szCs w:val="24"/>
        </w:rPr>
        <w:t xml:space="preserve"> </w:t>
      </w:r>
      <w:r w:rsidR="00046C28" w:rsidRPr="00C23D3D">
        <w:rPr>
          <w:rFonts w:asciiTheme="minorHAnsi" w:hAnsiTheme="minorHAnsi"/>
          <w:szCs w:val="24"/>
        </w:rPr>
        <w:t xml:space="preserve">is a </w:t>
      </w:r>
      <w:r w:rsidR="007752A8" w:rsidRPr="00C23D3D">
        <w:rPr>
          <w:rFonts w:asciiTheme="minorHAnsi" w:hAnsiTheme="minorHAnsi"/>
          <w:szCs w:val="24"/>
        </w:rPr>
        <w:t>minor</w:t>
      </w:r>
      <w:r w:rsidR="00046C28" w:rsidRPr="00C23D3D">
        <w:rPr>
          <w:rFonts w:asciiTheme="minorHAnsi" w:hAnsiTheme="minorHAnsi"/>
          <w:szCs w:val="24"/>
        </w:rPr>
        <w:t xml:space="preserve"> amendment that </w:t>
      </w:r>
      <w:r w:rsidRPr="00C23D3D">
        <w:rPr>
          <w:rFonts w:asciiTheme="minorHAnsi" w:hAnsiTheme="minorHAnsi"/>
          <w:szCs w:val="24"/>
        </w:rPr>
        <w:t>changes</w:t>
      </w:r>
      <w:r w:rsidR="002F6570" w:rsidRPr="00C23D3D">
        <w:rPr>
          <w:rFonts w:asciiTheme="minorHAnsi" w:hAnsiTheme="minorHAnsi"/>
          <w:szCs w:val="24"/>
        </w:rPr>
        <w:t xml:space="preserve"> the heading </w:t>
      </w:r>
      <w:r w:rsidR="00046C28" w:rsidRPr="00C23D3D">
        <w:rPr>
          <w:rFonts w:asciiTheme="minorHAnsi" w:hAnsiTheme="minorHAnsi"/>
          <w:szCs w:val="24"/>
        </w:rPr>
        <w:t xml:space="preserve">of section 10F </w:t>
      </w:r>
      <w:r w:rsidRPr="00C23D3D">
        <w:rPr>
          <w:rFonts w:asciiTheme="minorHAnsi" w:hAnsiTheme="minorHAnsi"/>
          <w:szCs w:val="24"/>
        </w:rPr>
        <w:t xml:space="preserve">of the Gaming Machine Act </w:t>
      </w:r>
      <w:r w:rsidR="002F6570" w:rsidRPr="00C23D3D">
        <w:rPr>
          <w:rFonts w:asciiTheme="minorHAnsi" w:hAnsiTheme="minorHAnsi"/>
          <w:szCs w:val="24"/>
        </w:rPr>
        <w:t>from ‘Offence—operating surrendered gaming machine’ to ‘Offence—operating gaming machine wh</w:t>
      </w:r>
      <w:r w:rsidR="00046C28" w:rsidRPr="00C23D3D">
        <w:rPr>
          <w:rFonts w:asciiTheme="minorHAnsi" w:hAnsiTheme="minorHAnsi"/>
          <w:szCs w:val="24"/>
        </w:rPr>
        <w:t>ere authorisation surrendered’. The amended heading more accurately reflects section 10F, as</w:t>
      </w:r>
      <w:r w:rsidR="002F6570" w:rsidRPr="00C23D3D">
        <w:rPr>
          <w:rFonts w:asciiTheme="minorHAnsi" w:hAnsiTheme="minorHAnsi"/>
          <w:szCs w:val="24"/>
        </w:rPr>
        <w:t xml:space="preserve"> it is authorisations not</w:t>
      </w:r>
      <w:r w:rsidR="00046C28" w:rsidRPr="00C23D3D">
        <w:rPr>
          <w:rFonts w:asciiTheme="minorHAnsi" w:hAnsiTheme="minorHAnsi"/>
          <w:szCs w:val="24"/>
        </w:rPr>
        <w:t xml:space="preserve"> gaming machines that are surrendere</w:t>
      </w:r>
      <w:r w:rsidR="007752A8" w:rsidRPr="00C23D3D">
        <w:rPr>
          <w:rFonts w:asciiTheme="minorHAnsi" w:hAnsiTheme="minorHAnsi"/>
          <w:szCs w:val="24"/>
        </w:rPr>
        <w:t xml:space="preserve">d under Part </w:t>
      </w:r>
      <w:r w:rsidRPr="00C23D3D">
        <w:rPr>
          <w:rFonts w:asciiTheme="minorHAnsi" w:hAnsiTheme="minorHAnsi"/>
          <w:szCs w:val="24"/>
        </w:rPr>
        <w:t>2A</w:t>
      </w:r>
      <w:r w:rsidR="007752A8" w:rsidRPr="00C23D3D">
        <w:rPr>
          <w:rFonts w:asciiTheme="minorHAnsi" w:hAnsiTheme="minorHAnsi"/>
          <w:szCs w:val="24"/>
        </w:rPr>
        <w:t xml:space="preserve"> of the Act.</w:t>
      </w:r>
    </w:p>
    <w:p w:rsidR="002F6570" w:rsidRPr="00C23D3D" w:rsidRDefault="002F6570" w:rsidP="000055AE">
      <w:pPr>
        <w:pStyle w:val="Heading4"/>
        <w:keepNext w:val="0"/>
        <w:spacing w:before="0" w:after="0"/>
        <w:rPr>
          <w:rFonts w:asciiTheme="minorHAnsi" w:hAnsiTheme="minorHAnsi"/>
          <w:b w:val="0"/>
          <w:lang w:eastAsia="en-AU"/>
        </w:rPr>
      </w:pPr>
    </w:p>
    <w:p w:rsidR="00DF7319" w:rsidRPr="00C23D3D" w:rsidRDefault="00DF7319" w:rsidP="000055AE">
      <w:pPr>
        <w:pStyle w:val="Heading4"/>
        <w:spacing w:before="0" w:after="0"/>
        <w:rPr>
          <w:rFonts w:asciiTheme="minorHAnsi" w:hAnsiTheme="minorHAnsi"/>
        </w:rPr>
      </w:pPr>
      <w:r w:rsidRPr="00C23D3D">
        <w:rPr>
          <w:rFonts w:asciiTheme="minorHAnsi" w:hAnsiTheme="minorHAnsi"/>
        </w:rPr>
        <w:t xml:space="preserve">Clause </w:t>
      </w:r>
      <w:r w:rsidR="00A37958" w:rsidRPr="00C23D3D">
        <w:rPr>
          <w:rFonts w:asciiTheme="minorHAnsi" w:hAnsiTheme="minorHAnsi"/>
        </w:rPr>
        <w:t>14</w:t>
      </w:r>
      <w:r w:rsidR="00C4385A" w:rsidRPr="00C23D3D">
        <w:rPr>
          <w:rFonts w:asciiTheme="minorHAnsi" w:hAnsiTheme="minorHAnsi"/>
        </w:rPr>
        <w:tab/>
        <w:t>Transferring an authorisation certification</w:t>
      </w:r>
      <w:r w:rsidR="00C4385A" w:rsidRPr="00C23D3D">
        <w:rPr>
          <w:rFonts w:asciiTheme="minorHAnsi" w:hAnsiTheme="minorHAnsi"/>
        </w:rPr>
        <w:br/>
      </w:r>
      <w:r w:rsidR="00C4385A" w:rsidRPr="00C23D3D">
        <w:rPr>
          <w:rFonts w:asciiTheme="minorHAnsi" w:hAnsiTheme="minorHAnsi"/>
        </w:rPr>
        <w:tab/>
      </w:r>
      <w:r w:rsidR="00C4385A" w:rsidRPr="00C23D3D">
        <w:rPr>
          <w:rFonts w:asciiTheme="minorHAnsi" w:hAnsiTheme="minorHAnsi"/>
        </w:rPr>
        <w:tab/>
        <w:t>Section 37E</w:t>
      </w:r>
      <w:r w:rsidR="00771555" w:rsidRPr="00C23D3D">
        <w:rPr>
          <w:rFonts w:asciiTheme="minorHAnsi" w:hAnsiTheme="minorHAnsi"/>
        </w:rPr>
        <w:t xml:space="preserve"> (2)</w:t>
      </w:r>
      <w:r w:rsidR="00C4385A" w:rsidRPr="00C23D3D">
        <w:rPr>
          <w:rFonts w:asciiTheme="minorHAnsi" w:hAnsiTheme="minorHAnsi"/>
        </w:rPr>
        <w:t>, note</w:t>
      </w:r>
    </w:p>
    <w:p w:rsidR="00DF7319" w:rsidRPr="00C23D3D" w:rsidRDefault="0091123E" w:rsidP="000055AE">
      <w:pPr>
        <w:spacing w:after="0"/>
        <w:rPr>
          <w:rFonts w:asciiTheme="minorHAnsi" w:hAnsiTheme="minorHAnsi"/>
          <w:szCs w:val="24"/>
        </w:rPr>
      </w:pPr>
      <w:r w:rsidRPr="00C23D3D">
        <w:rPr>
          <w:rFonts w:asciiTheme="minorHAnsi" w:hAnsiTheme="minorHAnsi"/>
          <w:szCs w:val="24"/>
        </w:rPr>
        <w:t>Clause 14</w:t>
      </w:r>
      <w:r w:rsidR="007752A8" w:rsidRPr="00C23D3D">
        <w:rPr>
          <w:rFonts w:asciiTheme="minorHAnsi" w:hAnsiTheme="minorHAnsi"/>
          <w:szCs w:val="24"/>
        </w:rPr>
        <w:t xml:space="preserve"> is a </w:t>
      </w:r>
      <w:r w:rsidR="00F1098B" w:rsidRPr="00C23D3D">
        <w:rPr>
          <w:rFonts w:asciiTheme="minorHAnsi" w:hAnsiTheme="minorHAnsi"/>
          <w:szCs w:val="24"/>
        </w:rPr>
        <w:t xml:space="preserve">minor </w:t>
      </w:r>
      <w:r w:rsidR="004F05A6">
        <w:rPr>
          <w:rFonts w:asciiTheme="minorHAnsi" w:hAnsiTheme="minorHAnsi"/>
          <w:szCs w:val="24"/>
        </w:rPr>
        <w:t xml:space="preserve">and technical </w:t>
      </w:r>
      <w:r w:rsidR="007752A8" w:rsidRPr="00C23D3D">
        <w:rPr>
          <w:rFonts w:asciiTheme="minorHAnsi" w:hAnsiTheme="minorHAnsi"/>
          <w:szCs w:val="24"/>
        </w:rPr>
        <w:t>amendment that corrects a cross-refe</w:t>
      </w:r>
      <w:r w:rsidRPr="00C23D3D">
        <w:rPr>
          <w:rFonts w:asciiTheme="minorHAnsi" w:hAnsiTheme="minorHAnsi"/>
          <w:szCs w:val="24"/>
        </w:rPr>
        <w:t>rence in the note under section </w:t>
      </w:r>
      <w:r w:rsidR="007752A8" w:rsidRPr="00C23D3D">
        <w:rPr>
          <w:rFonts w:asciiTheme="minorHAnsi" w:hAnsiTheme="minorHAnsi"/>
          <w:szCs w:val="24"/>
        </w:rPr>
        <w:t>37E</w:t>
      </w:r>
      <w:r w:rsidRPr="00C23D3D">
        <w:rPr>
          <w:rFonts w:asciiTheme="minorHAnsi" w:hAnsiTheme="minorHAnsi"/>
          <w:szCs w:val="24"/>
        </w:rPr>
        <w:t xml:space="preserve"> of the Gaming Machine Act</w:t>
      </w:r>
      <w:r w:rsidR="007752A8" w:rsidRPr="00C23D3D">
        <w:rPr>
          <w:rFonts w:asciiTheme="minorHAnsi" w:hAnsiTheme="minorHAnsi"/>
          <w:szCs w:val="24"/>
        </w:rPr>
        <w:t xml:space="preserve">. </w:t>
      </w:r>
      <w:r w:rsidRPr="00C23D3D">
        <w:rPr>
          <w:rFonts w:asciiTheme="minorHAnsi" w:hAnsiTheme="minorHAnsi"/>
          <w:szCs w:val="24"/>
        </w:rPr>
        <w:t>The reference in the note to the community contributions shortfall tax (under section 172B) was inadvertently omitted i</w:t>
      </w:r>
      <w:r w:rsidR="007752A8" w:rsidRPr="00C23D3D">
        <w:rPr>
          <w:rFonts w:asciiTheme="minorHAnsi" w:hAnsiTheme="minorHAnsi"/>
          <w:szCs w:val="24"/>
        </w:rPr>
        <w:t xml:space="preserve">n amendments introduced by the </w:t>
      </w:r>
      <w:r w:rsidR="007752A8" w:rsidRPr="00C23D3D">
        <w:rPr>
          <w:rFonts w:asciiTheme="minorHAnsi" w:hAnsiTheme="minorHAnsi"/>
          <w:i/>
          <w:szCs w:val="24"/>
        </w:rPr>
        <w:t>Gaming Machine Amendment Act 2018</w:t>
      </w:r>
      <w:r w:rsidR="007752A8" w:rsidRPr="00C23D3D">
        <w:rPr>
          <w:rFonts w:asciiTheme="minorHAnsi" w:hAnsiTheme="minorHAnsi"/>
          <w:szCs w:val="24"/>
        </w:rPr>
        <w:t>, which are sched</w:t>
      </w:r>
      <w:r w:rsidRPr="00C23D3D">
        <w:rPr>
          <w:rFonts w:asciiTheme="minorHAnsi" w:hAnsiTheme="minorHAnsi"/>
          <w:szCs w:val="24"/>
        </w:rPr>
        <w:t>uled to commence on 1 July 2019.</w:t>
      </w:r>
    </w:p>
    <w:p w:rsidR="00FF2094" w:rsidRPr="00C23D3D" w:rsidRDefault="00FF2094" w:rsidP="000055AE">
      <w:pPr>
        <w:spacing w:after="0"/>
        <w:rPr>
          <w:rFonts w:asciiTheme="minorHAnsi" w:hAnsiTheme="minorHAnsi"/>
          <w:szCs w:val="24"/>
        </w:rPr>
      </w:pPr>
    </w:p>
    <w:p w:rsidR="00DF7319" w:rsidRPr="00C23D3D" w:rsidRDefault="00DF7319" w:rsidP="000055AE">
      <w:pPr>
        <w:pStyle w:val="Heading4"/>
        <w:spacing w:before="0" w:after="0"/>
        <w:rPr>
          <w:rFonts w:asciiTheme="minorHAnsi" w:hAnsiTheme="minorHAnsi"/>
        </w:rPr>
      </w:pPr>
      <w:r w:rsidRPr="00C23D3D">
        <w:rPr>
          <w:rFonts w:asciiTheme="minorHAnsi" w:hAnsiTheme="minorHAnsi"/>
        </w:rPr>
        <w:t xml:space="preserve">Clause </w:t>
      </w:r>
      <w:r w:rsidR="00A37958" w:rsidRPr="00C23D3D">
        <w:rPr>
          <w:rFonts w:asciiTheme="minorHAnsi" w:hAnsiTheme="minorHAnsi"/>
        </w:rPr>
        <w:t>15</w:t>
      </w:r>
      <w:r w:rsidR="00C4385A" w:rsidRPr="00C23D3D">
        <w:rPr>
          <w:rFonts w:asciiTheme="minorHAnsi" w:hAnsiTheme="minorHAnsi"/>
        </w:rPr>
        <w:tab/>
        <w:t>Section 127T heading</w:t>
      </w:r>
    </w:p>
    <w:p w:rsidR="00DF7319" w:rsidRPr="00C23D3D" w:rsidRDefault="007752A8" w:rsidP="000055AE">
      <w:pPr>
        <w:spacing w:after="0"/>
        <w:rPr>
          <w:rFonts w:asciiTheme="minorHAnsi" w:hAnsiTheme="minorHAnsi"/>
          <w:szCs w:val="24"/>
        </w:rPr>
      </w:pPr>
      <w:r w:rsidRPr="00C23D3D">
        <w:rPr>
          <w:rFonts w:asciiTheme="minorHAnsi" w:hAnsiTheme="minorHAnsi"/>
          <w:szCs w:val="24"/>
        </w:rPr>
        <w:t>C</w:t>
      </w:r>
      <w:r w:rsidR="00A37958" w:rsidRPr="00C23D3D">
        <w:rPr>
          <w:rFonts w:asciiTheme="minorHAnsi" w:hAnsiTheme="minorHAnsi"/>
          <w:szCs w:val="24"/>
        </w:rPr>
        <w:t>lause 15</w:t>
      </w:r>
      <w:r w:rsidR="00CE6CEB" w:rsidRPr="00C23D3D">
        <w:rPr>
          <w:rFonts w:asciiTheme="minorHAnsi" w:hAnsiTheme="minorHAnsi"/>
          <w:szCs w:val="24"/>
        </w:rPr>
        <w:t xml:space="preserve"> is a minor amendment that </w:t>
      </w:r>
      <w:r w:rsidR="00F1098B" w:rsidRPr="00C23D3D">
        <w:rPr>
          <w:rFonts w:asciiTheme="minorHAnsi" w:hAnsiTheme="minorHAnsi"/>
          <w:szCs w:val="24"/>
        </w:rPr>
        <w:t>aligns</w:t>
      </w:r>
      <w:r w:rsidRPr="00C23D3D">
        <w:rPr>
          <w:rFonts w:asciiTheme="minorHAnsi" w:hAnsiTheme="minorHAnsi"/>
          <w:szCs w:val="24"/>
        </w:rPr>
        <w:t xml:space="preserve"> the heading of section 127T</w:t>
      </w:r>
      <w:r w:rsidR="00571DD0" w:rsidRPr="00571DD0">
        <w:rPr>
          <w:rFonts w:asciiTheme="minorHAnsi" w:hAnsiTheme="minorHAnsi"/>
          <w:szCs w:val="24"/>
        </w:rPr>
        <w:t xml:space="preserve"> </w:t>
      </w:r>
      <w:r w:rsidR="00571DD0">
        <w:rPr>
          <w:rFonts w:asciiTheme="minorHAnsi" w:hAnsiTheme="minorHAnsi"/>
          <w:szCs w:val="24"/>
        </w:rPr>
        <w:t>of the Gaming Machine Act</w:t>
      </w:r>
      <w:r w:rsidR="00CE6CEB" w:rsidRPr="00C23D3D">
        <w:rPr>
          <w:rFonts w:asciiTheme="minorHAnsi" w:hAnsiTheme="minorHAnsi"/>
          <w:szCs w:val="24"/>
        </w:rPr>
        <w:t xml:space="preserve"> with changes made to section 127</w:t>
      </w:r>
      <w:r w:rsidR="00F1098B" w:rsidRPr="00C23D3D">
        <w:rPr>
          <w:rFonts w:asciiTheme="minorHAnsi" w:hAnsiTheme="minorHAnsi"/>
          <w:szCs w:val="24"/>
        </w:rPr>
        <w:t>T</w:t>
      </w:r>
      <w:r w:rsidR="00CE6CEB" w:rsidRPr="00C23D3D">
        <w:rPr>
          <w:rFonts w:asciiTheme="minorHAnsi" w:hAnsiTheme="minorHAnsi"/>
          <w:szCs w:val="24"/>
        </w:rPr>
        <w:t xml:space="preserve"> in the </w:t>
      </w:r>
      <w:r w:rsidR="00CE6CEB" w:rsidRPr="00C23D3D">
        <w:rPr>
          <w:rFonts w:asciiTheme="minorHAnsi" w:hAnsiTheme="minorHAnsi"/>
          <w:i/>
          <w:szCs w:val="24"/>
        </w:rPr>
        <w:t>Gaming Machine Amendment Act 2018</w:t>
      </w:r>
      <w:r w:rsidR="00CE6CEB" w:rsidRPr="00C23D3D">
        <w:rPr>
          <w:rFonts w:asciiTheme="minorHAnsi" w:hAnsiTheme="minorHAnsi"/>
          <w:szCs w:val="24"/>
        </w:rPr>
        <w:t>, which repealed references to ‘permit’ and replaced them with ‘storage permit’. This amendment is consequential to the repeal of subdivision 6A.7.3 (Quarantine permits) in that Act.</w:t>
      </w:r>
    </w:p>
    <w:p w:rsidR="007752A8" w:rsidRPr="00C23D3D" w:rsidRDefault="007752A8" w:rsidP="000055AE">
      <w:pPr>
        <w:pStyle w:val="Heading4"/>
        <w:keepNext w:val="0"/>
        <w:spacing w:before="0" w:after="0"/>
        <w:rPr>
          <w:rFonts w:asciiTheme="minorHAnsi" w:hAnsiTheme="minorHAnsi"/>
        </w:rPr>
      </w:pPr>
    </w:p>
    <w:p w:rsidR="00DF7319" w:rsidRPr="00C23D3D" w:rsidRDefault="00DF7319" w:rsidP="000055AE">
      <w:pPr>
        <w:pStyle w:val="Heading4"/>
        <w:spacing w:before="0" w:after="0"/>
        <w:rPr>
          <w:rFonts w:asciiTheme="minorHAnsi" w:hAnsiTheme="minorHAnsi"/>
        </w:rPr>
      </w:pPr>
      <w:r w:rsidRPr="00C23D3D">
        <w:rPr>
          <w:rFonts w:asciiTheme="minorHAnsi" w:hAnsiTheme="minorHAnsi"/>
        </w:rPr>
        <w:t xml:space="preserve">Clause </w:t>
      </w:r>
      <w:r w:rsidR="00A37958" w:rsidRPr="00C23D3D">
        <w:rPr>
          <w:rFonts w:asciiTheme="minorHAnsi" w:hAnsiTheme="minorHAnsi"/>
        </w:rPr>
        <w:t>16</w:t>
      </w:r>
      <w:r w:rsidR="0032336D" w:rsidRPr="00C23D3D">
        <w:rPr>
          <w:rFonts w:asciiTheme="minorHAnsi" w:hAnsiTheme="minorHAnsi"/>
        </w:rPr>
        <w:tab/>
        <w:t>Section 127U heading</w:t>
      </w:r>
    </w:p>
    <w:p w:rsidR="007752A8" w:rsidRPr="00C23D3D" w:rsidRDefault="007752A8" w:rsidP="000055AE">
      <w:pPr>
        <w:spacing w:after="0"/>
        <w:rPr>
          <w:rFonts w:asciiTheme="minorHAnsi" w:hAnsiTheme="minorHAnsi"/>
          <w:szCs w:val="24"/>
        </w:rPr>
      </w:pPr>
      <w:r w:rsidRPr="00C23D3D">
        <w:rPr>
          <w:rFonts w:asciiTheme="minorHAnsi" w:hAnsiTheme="minorHAnsi"/>
          <w:szCs w:val="24"/>
        </w:rPr>
        <w:t>Cl</w:t>
      </w:r>
      <w:r w:rsidR="00A37958" w:rsidRPr="00C23D3D">
        <w:rPr>
          <w:rFonts w:asciiTheme="minorHAnsi" w:hAnsiTheme="minorHAnsi"/>
          <w:szCs w:val="24"/>
        </w:rPr>
        <w:t>ause 16</w:t>
      </w:r>
      <w:r w:rsidR="00F1098B" w:rsidRPr="00C23D3D">
        <w:rPr>
          <w:rFonts w:asciiTheme="minorHAnsi" w:hAnsiTheme="minorHAnsi"/>
          <w:szCs w:val="24"/>
        </w:rPr>
        <w:t xml:space="preserve"> is a minor amendment that aligns </w:t>
      </w:r>
      <w:r w:rsidRPr="00C23D3D">
        <w:rPr>
          <w:rFonts w:asciiTheme="minorHAnsi" w:hAnsiTheme="minorHAnsi"/>
          <w:szCs w:val="24"/>
        </w:rPr>
        <w:t>the heading of section 127U</w:t>
      </w:r>
      <w:r w:rsidR="00F1098B" w:rsidRPr="00C23D3D">
        <w:rPr>
          <w:rFonts w:asciiTheme="minorHAnsi" w:hAnsiTheme="minorHAnsi"/>
          <w:szCs w:val="24"/>
        </w:rPr>
        <w:t xml:space="preserve"> </w:t>
      </w:r>
      <w:r w:rsidR="00571DD0">
        <w:rPr>
          <w:rFonts w:asciiTheme="minorHAnsi" w:hAnsiTheme="minorHAnsi"/>
          <w:szCs w:val="24"/>
        </w:rPr>
        <w:t xml:space="preserve">of the Gaming Machine Act </w:t>
      </w:r>
      <w:r w:rsidR="00F1098B" w:rsidRPr="00C23D3D">
        <w:rPr>
          <w:rFonts w:asciiTheme="minorHAnsi" w:hAnsiTheme="minorHAnsi"/>
          <w:szCs w:val="24"/>
        </w:rPr>
        <w:t>with changes made to section 127U</w:t>
      </w:r>
      <w:r w:rsidRPr="00C23D3D">
        <w:rPr>
          <w:rFonts w:asciiTheme="minorHAnsi" w:hAnsiTheme="minorHAnsi"/>
          <w:szCs w:val="24"/>
        </w:rPr>
        <w:t xml:space="preserve"> </w:t>
      </w:r>
      <w:r w:rsidR="00F1098B" w:rsidRPr="00C23D3D">
        <w:rPr>
          <w:rFonts w:asciiTheme="minorHAnsi" w:hAnsiTheme="minorHAnsi"/>
          <w:szCs w:val="24"/>
        </w:rPr>
        <w:t xml:space="preserve">in the </w:t>
      </w:r>
      <w:r w:rsidR="00F1098B" w:rsidRPr="00C23D3D">
        <w:rPr>
          <w:rFonts w:asciiTheme="minorHAnsi" w:hAnsiTheme="minorHAnsi"/>
          <w:i/>
          <w:szCs w:val="24"/>
        </w:rPr>
        <w:t>Gaming Machine Amendment Act 2018</w:t>
      </w:r>
      <w:r w:rsidR="00F1098B" w:rsidRPr="00C23D3D">
        <w:rPr>
          <w:rFonts w:asciiTheme="minorHAnsi" w:hAnsiTheme="minorHAnsi"/>
          <w:szCs w:val="24"/>
        </w:rPr>
        <w:t>, which repealed references to ‘permit’ and replaced them with ‘storage permit’. This amendment is consequential to the repeal of subdivision 6A.7.3 (Quarantine permits) in that Act.</w:t>
      </w:r>
    </w:p>
    <w:p w:rsidR="007752A8" w:rsidRPr="00C23D3D" w:rsidRDefault="007752A8" w:rsidP="000055AE">
      <w:pPr>
        <w:pStyle w:val="Heading4"/>
        <w:keepNext w:val="0"/>
        <w:spacing w:before="0" w:after="0"/>
        <w:rPr>
          <w:rFonts w:asciiTheme="minorHAnsi" w:hAnsiTheme="minorHAnsi"/>
        </w:rPr>
      </w:pPr>
    </w:p>
    <w:p w:rsidR="00F1098B" w:rsidRPr="00C23D3D" w:rsidRDefault="0032336D" w:rsidP="000055AE">
      <w:pPr>
        <w:pStyle w:val="Heading4"/>
        <w:spacing w:before="0" w:after="0"/>
        <w:rPr>
          <w:rFonts w:asciiTheme="minorHAnsi" w:hAnsiTheme="minorHAnsi"/>
        </w:rPr>
      </w:pPr>
      <w:r w:rsidRPr="00C23D3D">
        <w:rPr>
          <w:rFonts w:asciiTheme="minorHAnsi" w:hAnsiTheme="minorHAnsi"/>
        </w:rPr>
        <w:t xml:space="preserve">Clause </w:t>
      </w:r>
      <w:r w:rsidR="00A37958" w:rsidRPr="00C23D3D">
        <w:rPr>
          <w:rFonts w:asciiTheme="minorHAnsi" w:hAnsiTheme="minorHAnsi"/>
        </w:rPr>
        <w:t>17</w:t>
      </w:r>
      <w:r w:rsidR="004C540B" w:rsidRPr="00C23D3D">
        <w:rPr>
          <w:rFonts w:asciiTheme="minorHAnsi" w:hAnsiTheme="minorHAnsi"/>
        </w:rPr>
        <w:tab/>
      </w:r>
      <w:r w:rsidRPr="00C23D3D">
        <w:rPr>
          <w:rFonts w:asciiTheme="minorHAnsi" w:hAnsiTheme="minorHAnsi"/>
        </w:rPr>
        <w:t>Section 127U (1) and (3)</w:t>
      </w:r>
    </w:p>
    <w:p w:rsidR="00F1098B" w:rsidRPr="00C23D3D" w:rsidRDefault="00F1098B" w:rsidP="000055AE">
      <w:pPr>
        <w:spacing w:after="0"/>
        <w:rPr>
          <w:rFonts w:asciiTheme="minorHAnsi" w:hAnsiTheme="minorHAnsi"/>
          <w:szCs w:val="24"/>
        </w:rPr>
      </w:pPr>
      <w:r w:rsidRPr="00C23D3D">
        <w:rPr>
          <w:rFonts w:asciiTheme="minorHAnsi" w:hAnsiTheme="minorHAnsi"/>
          <w:szCs w:val="24"/>
        </w:rPr>
        <w:t>Section 127U of the Gaming Machine Act provides for the ter</w:t>
      </w:r>
      <w:r w:rsidR="00A37958" w:rsidRPr="00C23D3D">
        <w:rPr>
          <w:rFonts w:asciiTheme="minorHAnsi" w:hAnsiTheme="minorHAnsi"/>
          <w:szCs w:val="24"/>
        </w:rPr>
        <w:t>m of a storage permit. Clause 17</w:t>
      </w:r>
      <w:r w:rsidRPr="00C23D3D">
        <w:rPr>
          <w:rFonts w:asciiTheme="minorHAnsi" w:hAnsiTheme="minorHAnsi"/>
          <w:szCs w:val="24"/>
        </w:rPr>
        <w:t xml:space="preserve"> amends section 127U(1) and (3) to repeal references to ‘A permit’ and replace them with the term ‘A storage permit’. This amendment is consequential to the repeal of subdivision 6A.7.3 (Quarantine permits) under the </w:t>
      </w:r>
      <w:r w:rsidRPr="00C23D3D">
        <w:rPr>
          <w:rFonts w:asciiTheme="minorHAnsi" w:hAnsiTheme="minorHAnsi"/>
          <w:i/>
          <w:szCs w:val="24"/>
        </w:rPr>
        <w:t>Gaming Machine Amendment Act 2018</w:t>
      </w:r>
      <w:r w:rsidRPr="00C23D3D">
        <w:rPr>
          <w:rFonts w:asciiTheme="minorHAnsi" w:hAnsiTheme="minorHAnsi"/>
          <w:szCs w:val="24"/>
        </w:rPr>
        <w:t>.</w:t>
      </w:r>
    </w:p>
    <w:p w:rsidR="007752A8" w:rsidRPr="00C23D3D" w:rsidRDefault="007752A8" w:rsidP="000055AE">
      <w:pPr>
        <w:pStyle w:val="Heading4"/>
        <w:keepNext w:val="0"/>
        <w:spacing w:before="0" w:after="0"/>
        <w:rPr>
          <w:rFonts w:asciiTheme="minorHAnsi" w:hAnsiTheme="minorHAnsi"/>
          <w:b w:val="0"/>
        </w:rPr>
      </w:pPr>
    </w:p>
    <w:p w:rsidR="004C540B" w:rsidRPr="00C23D3D" w:rsidRDefault="00A37958" w:rsidP="000055AE">
      <w:pPr>
        <w:pStyle w:val="Heading4"/>
        <w:spacing w:before="0" w:after="0"/>
        <w:rPr>
          <w:rFonts w:asciiTheme="minorHAnsi" w:hAnsiTheme="minorHAnsi"/>
        </w:rPr>
      </w:pPr>
      <w:r w:rsidRPr="00C23D3D">
        <w:rPr>
          <w:rFonts w:asciiTheme="minorHAnsi" w:hAnsiTheme="minorHAnsi"/>
        </w:rPr>
        <w:t>Clause 18</w:t>
      </w:r>
      <w:r w:rsidR="007752A8" w:rsidRPr="00C23D3D">
        <w:rPr>
          <w:rFonts w:asciiTheme="minorHAnsi" w:hAnsiTheme="minorHAnsi"/>
        </w:rPr>
        <w:tab/>
        <w:t>Audit of financial statements etc</w:t>
      </w:r>
      <w:r w:rsidR="007752A8" w:rsidRPr="00C23D3D">
        <w:rPr>
          <w:rFonts w:asciiTheme="minorHAnsi" w:hAnsiTheme="minorHAnsi"/>
        </w:rPr>
        <w:br/>
      </w:r>
      <w:r w:rsidR="007752A8" w:rsidRPr="00C23D3D">
        <w:rPr>
          <w:rFonts w:asciiTheme="minorHAnsi" w:hAnsiTheme="minorHAnsi"/>
        </w:rPr>
        <w:tab/>
      </w:r>
      <w:r w:rsidR="007752A8" w:rsidRPr="00C23D3D">
        <w:rPr>
          <w:rFonts w:asciiTheme="minorHAnsi" w:hAnsiTheme="minorHAnsi"/>
        </w:rPr>
        <w:tab/>
        <w:t>Section 15</w:t>
      </w:r>
      <w:r w:rsidR="00771555" w:rsidRPr="00C23D3D">
        <w:rPr>
          <w:rFonts w:asciiTheme="minorHAnsi" w:hAnsiTheme="minorHAnsi"/>
        </w:rPr>
        <w:t>8 (1)</w:t>
      </w:r>
    </w:p>
    <w:p w:rsidR="007752A8" w:rsidRPr="00C23D3D" w:rsidRDefault="007752A8" w:rsidP="000055AE">
      <w:pPr>
        <w:spacing w:after="0"/>
        <w:rPr>
          <w:rFonts w:asciiTheme="minorHAnsi" w:hAnsiTheme="minorHAnsi"/>
          <w:szCs w:val="24"/>
        </w:rPr>
      </w:pPr>
      <w:r w:rsidRPr="00C23D3D">
        <w:rPr>
          <w:rFonts w:asciiTheme="minorHAnsi" w:hAnsiTheme="minorHAnsi"/>
          <w:szCs w:val="24"/>
        </w:rPr>
        <w:t>Section 158(1)</w:t>
      </w:r>
      <w:r w:rsidR="00571DD0">
        <w:rPr>
          <w:rFonts w:asciiTheme="minorHAnsi" w:hAnsiTheme="minorHAnsi"/>
          <w:szCs w:val="24"/>
        </w:rPr>
        <w:t xml:space="preserve"> of the Gaming Machine Act</w:t>
      </w:r>
      <w:r w:rsidRPr="00C23D3D">
        <w:rPr>
          <w:rFonts w:asciiTheme="minorHAnsi" w:hAnsiTheme="minorHAnsi"/>
          <w:szCs w:val="24"/>
        </w:rPr>
        <w:t xml:space="preserve"> </w:t>
      </w:r>
      <w:r w:rsidR="0088771D" w:rsidRPr="00C23D3D">
        <w:rPr>
          <w:rFonts w:asciiTheme="minorHAnsi" w:hAnsiTheme="minorHAnsi"/>
          <w:szCs w:val="24"/>
        </w:rPr>
        <w:t>provides that a licensee must provide the Commission with a copy of audited financial statements or certified income and expenditure statements (depending on the level of gross revenue of the licensee) as soon as practicable (but not later than 6 months) after the end of each financial year.</w:t>
      </w:r>
    </w:p>
    <w:p w:rsidR="0088771D" w:rsidRPr="00C23D3D" w:rsidRDefault="0088771D" w:rsidP="000055AE">
      <w:pPr>
        <w:spacing w:after="0"/>
        <w:rPr>
          <w:rFonts w:asciiTheme="minorHAnsi" w:hAnsiTheme="minorHAnsi"/>
          <w:szCs w:val="24"/>
        </w:rPr>
      </w:pPr>
    </w:p>
    <w:p w:rsidR="00B24BB1" w:rsidRPr="00C23D3D" w:rsidRDefault="00A37958" w:rsidP="000055AE">
      <w:pPr>
        <w:spacing w:after="0"/>
        <w:rPr>
          <w:rFonts w:asciiTheme="minorHAnsi" w:hAnsiTheme="minorHAnsi"/>
          <w:szCs w:val="24"/>
        </w:rPr>
      </w:pPr>
      <w:r w:rsidRPr="00C23D3D">
        <w:rPr>
          <w:rFonts w:asciiTheme="minorHAnsi" w:hAnsiTheme="minorHAnsi"/>
          <w:szCs w:val="24"/>
        </w:rPr>
        <w:t>Clause 18</w:t>
      </w:r>
      <w:r w:rsidR="0088771D" w:rsidRPr="00C23D3D">
        <w:rPr>
          <w:rFonts w:asciiTheme="minorHAnsi" w:hAnsiTheme="minorHAnsi"/>
          <w:szCs w:val="24"/>
        </w:rPr>
        <w:t xml:space="preserve"> is a minor amendment </w:t>
      </w:r>
      <w:r w:rsidR="007752A8" w:rsidRPr="00C23D3D">
        <w:rPr>
          <w:rFonts w:asciiTheme="minorHAnsi" w:hAnsiTheme="minorHAnsi"/>
          <w:szCs w:val="24"/>
        </w:rPr>
        <w:t xml:space="preserve">to clarify that </w:t>
      </w:r>
      <w:r w:rsidR="0088771D" w:rsidRPr="00C23D3D">
        <w:rPr>
          <w:rFonts w:asciiTheme="minorHAnsi" w:hAnsiTheme="minorHAnsi"/>
          <w:szCs w:val="24"/>
        </w:rPr>
        <w:t xml:space="preserve">the relevant statements must be provided to the Commission </w:t>
      </w:r>
      <w:r w:rsidR="00B24BB1" w:rsidRPr="00C23D3D">
        <w:rPr>
          <w:rFonts w:asciiTheme="minorHAnsi" w:hAnsiTheme="minorHAnsi"/>
          <w:szCs w:val="24"/>
        </w:rPr>
        <w:t>as soon as practical (but not</w:t>
      </w:r>
      <w:r w:rsidR="0088771D" w:rsidRPr="00C23D3D">
        <w:rPr>
          <w:rFonts w:asciiTheme="minorHAnsi" w:hAnsiTheme="minorHAnsi"/>
          <w:szCs w:val="24"/>
        </w:rPr>
        <w:t xml:space="preserve"> later than </w:t>
      </w:r>
      <w:r w:rsidR="00B24BB1" w:rsidRPr="00C23D3D">
        <w:rPr>
          <w:rFonts w:asciiTheme="minorHAnsi" w:hAnsiTheme="minorHAnsi"/>
          <w:szCs w:val="24"/>
        </w:rPr>
        <w:t>6 months) after each financial year of the licensee. This amendment is required because a number of clubs have a non-standard financial year (i.e. not 1 July to 30 June).</w:t>
      </w:r>
    </w:p>
    <w:p w:rsidR="007752A8" w:rsidRPr="00C23D3D" w:rsidRDefault="007752A8" w:rsidP="000055AE">
      <w:pPr>
        <w:pStyle w:val="Heading4"/>
        <w:keepNext w:val="0"/>
        <w:spacing w:before="0" w:after="0"/>
        <w:rPr>
          <w:rFonts w:asciiTheme="minorHAnsi" w:hAnsiTheme="minorHAnsi"/>
          <w:b w:val="0"/>
          <w:highlight w:val="yellow"/>
          <w:lang w:eastAsia="en-AU"/>
        </w:rPr>
      </w:pPr>
    </w:p>
    <w:p w:rsidR="0032336D" w:rsidRPr="00C23D3D" w:rsidRDefault="0032336D" w:rsidP="000055AE">
      <w:pPr>
        <w:pStyle w:val="Heading4"/>
        <w:spacing w:before="0" w:after="0"/>
        <w:rPr>
          <w:rFonts w:asciiTheme="minorHAnsi" w:hAnsiTheme="minorHAnsi"/>
        </w:rPr>
      </w:pPr>
      <w:r w:rsidRPr="00C23D3D">
        <w:rPr>
          <w:rFonts w:asciiTheme="minorHAnsi" w:hAnsiTheme="minorHAnsi"/>
        </w:rPr>
        <w:t xml:space="preserve">Clause </w:t>
      </w:r>
      <w:r w:rsidR="00A37958" w:rsidRPr="00C23D3D">
        <w:rPr>
          <w:rFonts w:asciiTheme="minorHAnsi" w:hAnsiTheme="minorHAnsi"/>
        </w:rPr>
        <w:t>19</w:t>
      </w:r>
      <w:r w:rsidRPr="00C23D3D">
        <w:rPr>
          <w:rFonts w:asciiTheme="minorHAnsi" w:hAnsiTheme="minorHAnsi"/>
        </w:rPr>
        <w:tab/>
        <w:t>Section 161A</w:t>
      </w:r>
    </w:p>
    <w:p w:rsidR="009527CC" w:rsidRPr="00C23D3D" w:rsidRDefault="007752A8" w:rsidP="000055AE">
      <w:pPr>
        <w:spacing w:after="0"/>
        <w:rPr>
          <w:rFonts w:asciiTheme="minorHAnsi" w:hAnsiTheme="minorHAnsi"/>
          <w:szCs w:val="24"/>
        </w:rPr>
      </w:pPr>
      <w:r w:rsidRPr="00C23D3D">
        <w:rPr>
          <w:rFonts w:asciiTheme="minorHAnsi" w:hAnsiTheme="minorHAnsi"/>
          <w:szCs w:val="24"/>
        </w:rPr>
        <w:t xml:space="preserve">Section 161A </w:t>
      </w:r>
      <w:r w:rsidR="00571DD0">
        <w:rPr>
          <w:rFonts w:asciiTheme="minorHAnsi" w:hAnsiTheme="minorHAnsi"/>
          <w:szCs w:val="24"/>
        </w:rPr>
        <w:t xml:space="preserve">of the Gaming Machine Act </w:t>
      </w:r>
      <w:r w:rsidR="009527CC" w:rsidRPr="00C23D3D">
        <w:rPr>
          <w:rFonts w:asciiTheme="minorHAnsi" w:hAnsiTheme="minorHAnsi"/>
          <w:szCs w:val="24"/>
        </w:rPr>
        <w:t>is part of provisions that enable a quarterly payment option for gaming machin</w:t>
      </w:r>
      <w:r w:rsidR="005366F6" w:rsidRPr="00C23D3D">
        <w:rPr>
          <w:rFonts w:asciiTheme="minorHAnsi" w:hAnsiTheme="minorHAnsi"/>
          <w:szCs w:val="24"/>
        </w:rPr>
        <w:t xml:space="preserve">e tax for small or medium clubs and small or medium </w:t>
      </w:r>
      <w:r w:rsidR="009527CC" w:rsidRPr="00C23D3D">
        <w:rPr>
          <w:rFonts w:asciiTheme="minorHAnsi" w:hAnsiTheme="minorHAnsi"/>
          <w:szCs w:val="24"/>
        </w:rPr>
        <w:t>club groups</w:t>
      </w:r>
      <w:r w:rsidR="0091123E" w:rsidRPr="00C23D3D">
        <w:rPr>
          <w:rFonts w:asciiTheme="minorHAnsi" w:hAnsiTheme="minorHAnsi"/>
          <w:szCs w:val="24"/>
        </w:rPr>
        <w:t>.</w:t>
      </w:r>
      <w:r w:rsidR="005366F6" w:rsidRPr="00C23D3D">
        <w:rPr>
          <w:rFonts w:asciiTheme="minorHAnsi" w:hAnsiTheme="minorHAnsi"/>
          <w:szCs w:val="24"/>
        </w:rPr>
        <w:t xml:space="preserve"> Clubs with gross gaming machine revenue of not more than $4 million are eligible for the GMT rebate and therefore may elect the quarterly payment option.</w:t>
      </w:r>
    </w:p>
    <w:p w:rsidR="009527CC" w:rsidRPr="00C23D3D" w:rsidRDefault="009527CC" w:rsidP="000055AE">
      <w:pPr>
        <w:spacing w:after="0"/>
        <w:rPr>
          <w:rFonts w:asciiTheme="minorHAnsi" w:hAnsiTheme="minorHAnsi"/>
          <w:szCs w:val="24"/>
        </w:rPr>
      </w:pPr>
    </w:p>
    <w:p w:rsidR="007752A8" w:rsidRPr="00C23D3D" w:rsidRDefault="00A37958" w:rsidP="000055AE">
      <w:pPr>
        <w:spacing w:after="0"/>
        <w:rPr>
          <w:rFonts w:asciiTheme="minorHAnsi" w:hAnsiTheme="minorHAnsi"/>
          <w:szCs w:val="24"/>
        </w:rPr>
      </w:pPr>
      <w:r w:rsidRPr="00C23D3D">
        <w:rPr>
          <w:rFonts w:asciiTheme="minorHAnsi" w:hAnsiTheme="minorHAnsi"/>
          <w:szCs w:val="24"/>
        </w:rPr>
        <w:t>Clause 19</w:t>
      </w:r>
      <w:r w:rsidR="005366F6" w:rsidRPr="00C23D3D">
        <w:rPr>
          <w:rFonts w:asciiTheme="minorHAnsi" w:hAnsiTheme="minorHAnsi"/>
          <w:szCs w:val="24"/>
        </w:rPr>
        <w:t xml:space="preserve"> amends section 161A(1) </w:t>
      </w:r>
      <w:r w:rsidR="007752A8" w:rsidRPr="00C23D3D">
        <w:rPr>
          <w:rFonts w:asciiTheme="minorHAnsi" w:hAnsiTheme="minorHAnsi"/>
          <w:szCs w:val="24"/>
        </w:rPr>
        <w:t xml:space="preserve">to provide that a licensee that is entitled to </w:t>
      </w:r>
      <w:r w:rsidR="005366F6" w:rsidRPr="00C23D3D">
        <w:rPr>
          <w:rFonts w:asciiTheme="minorHAnsi" w:hAnsiTheme="minorHAnsi"/>
          <w:szCs w:val="24"/>
        </w:rPr>
        <w:t>the GMT rebate under section 162 of the Gaming Machine Act</w:t>
      </w:r>
      <w:r w:rsidR="007752A8" w:rsidRPr="00C23D3D">
        <w:rPr>
          <w:rFonts w:asciiTheme="minorHAnsi" w:hAnsiTheme="minorHAnsi"/>
          <w:szCs w:val="24"/>
        </w:rPr>
        <w:t xml:space="preserve"> may also elect to pay their contributions to the diversification and sustainability support fund on a quarterly basis.</w:t>
      </w:r>
    </w:p>
    <w:p w:rsidR="007752A8" w:rsidRPr="00C23D3D" w:rsidRDefault="005366F6" w:rsidP="000055AE">
      <w:pPr>
        <w:spacing w:after="0"/>
        <w:rPr>
          <w:rFonts w:asciiTheme="minorHAnsi" w:hAnsiTheme="minorHAnsi"/>
          <w:szCs w:val="24"/>
        </w:rPr>
      </w:pPr>
      <w:r w:rsidRPr="00C23D3D">
        <w:rPr>
          <w:rFonts w:asciiTheme="minorHAnsi" w:hAnsiTheme="minorHAnsi"/>
          <w:szCs w:val="24"/>
        </w:rPr>
        <w:t>Without this amendment, small or medium</w:t>
      </w:r>
      <w:r w:rsidR="007752A8" w:rsidRPr="00C23D3D">
        <w:rPr>
          <w:rFonts w:asciiTheme="minorHAnsi" w:hAnsiTheme="minorHAnsi"/>
          <w:szCs w:val="24"/>
        </w:rPr>
        <w:t xml:space="preserve"> clubs</w:t>
      </w:r>
      <w:r w:rsidRPr="00C23D3D">
        <w:rPr>
          <w:rFonts w:asciiTheme="minorHAnsi" w:hAnsiTheme="minorHAnsi"/>
          <w:szCs w:val="24"/>
        </w:rPr>
        <w:t xml:space="preserve"> and small or medium club groups</w:t>
      </w:r>
      <w:r w:rsidR="007752A8" w:rsidRPr="00C23D3D">
        <w:rPr>
          <w:rFonts w:asciiTheme="minorHAnsi" w:hAnsiTheme="minorHAnsi"/>
          <w:szCs w:val="24"/>
        </w:rPr>
        <w:t xml:space="preserve"> would be require</w:t>
      </w:r>
      <w:r w:rsidR="0088771D" w:rsidRPr="00C23D3D">
        <w:rPr>
          <w:rFonts w:asciiTheme="minorHAnsi" w:hAnsiTheme="minorHAnsi"/>
          <w:szCs w:val="24"/>
        </w:rPr>
        <w:t>d to make contributions to the f</w:t>
      </w:r>
      <w:r w:rsidR="007752A8" w:rsidRPr="00C23D3D">
        <w:rPr>
          <w:rFonts w:asciiTheme="minorHAnsi" w:hAnsiTheme="minorHAnsi"/>
          <w:szCs w:val="24"/>
        </w:rPr>
        <w:t>und on a monthly basis</w:t>
      </w:r>
      <w:r w:rsidR="0088771D" w:rsidRPr="00C23D3D">
        <w:rPr>
          <w:rFonts w:asciiTheme="minorHAnsi" w:hAnsiTheme="minorHAnsi"/>
          <w:szCs w:val="24"/>
        </w:rPr>
        <w:t xml:space="preserve">, and it </w:t>
      </w:r>
      <w:r w:rsidR="007752A8" w:rsidRPr="00C23D3D">
        <w:rPr>
          <w:rFonts w:asciiTheme="minorHAnsi" w:hAnsiTheme="minorHAnsi"/>
          <w:szCs w:val="24"/>
        </w:rPr>
        <w:t xml:space="preserve">would </w:t>
      </w:r>
      <w:r w:rsidR="0088771D" w:rsidRPr="00C23D3D">
        <w:rPr>
          <w:rFonts w:asciiTheme="minorHAnsi" w:hAnsiTheme="minorHAnsi"/>
          <w:szCs w:val="24"/>
        </w:rPr>
        <w:t>be contrary to</w:t>
      </w:r>
      <w:r w:rsidR="007752A8" w:rsidRPr="00C23D3D">
        <w:rPr>
          <w:rFonts w:asciiTheme="minorHAnsi" w:hAnsiTheme="minorHAnsi"/>
          <w:szCs w:val="24"/>
        </w:rPr>
        <w:t xml:space="preserve"> the reforms introduced </w:t>
      </w:r>
      <w:r w:rsidR="0088771D" w:rsidRPr="00C23D3D">
        <w:rPr>
          <w:rFonts w:asciiTheme="minorHAnsi" w:hAnsiTheme="minorHAnsi"/>
          <w:szCs w:val="24"/>
        </w:rPr>
        <w:t>in 2017 that eased the administrative burden on small and medium clubs by allowing tax lodgements and payments to be made quarterly rather than monthly.</w:t>
      </w:r>
    </w:p>
    <w:p w:rsidR="005366F6" w:rsidRPr="00C23D3D" w:rsidRDefault="005366F6" w:rsidP="000055AE">
      <w:pPr>
        <w:spacing w:after="0"/>
        <w:rPr>
          <w:rFonts w:asciiTheme="minorHAnsi" w:hAnsiTheme="minorHAnsi"/>
          <w:szCs w:val="24"/>
        </w:rPr>
      </w:pPr>
    </w:p>
    <w:p w:rsidR="00BF195C" w:rsidRPr="00C23D3D" w:rsidRDefault="005366F6" w:rsidP="000055AE">
      <w:pPr>
        <w:spacing w:after="0"/>
        <w:rPr>
          <w:rFonts w:asciiTheme="minorHAnsi" w:hAnsiTheme="minorHAnsi"/>
          <w:szCs w:val="24"/>
        </w:rPr>
      </w:pPr>
      <w:r w:rsidRPr="00C23D3D">
        <w:rPr>
          <w:rFonts w:asciiTheme="minorHAnsi" w:hAnsiTheme="minorHAnsi"/>
          <w:szCs w:val="24"/>
        </w:rPr>
        <w:t>T</w:t>
      </w:r>
      <w:r w:rsidR="00CE6CEB" w:rsidRPr="00C23D3D">
        <w:rPr>
          <w:rFonts w:asciiTheme="minorHAnsi" w:hAnsiTheme="minorHAnsi"/>
          <w:szCs w:val="24"/>
        </w:rPr>
        <w:t>he</w:t>
      </w:r>
      <w:r w:rsidR="00BF195C" w:rsidRPr="00C23D3D">
        <w:rPr>
          <w:rFonts w:asciiTheme="minorHAnsi" w:hAnsiTheme="minorHAnsi"/>
          <w:szCs w:val="24"/>
        </w:rPr>
        <w:t xml:space="preserve"> provision is</w:t>
      </w:r>
      <w:r w:rsidRPr="00C23D3D">
        <w:rPr>
          <w:rFonts w:asciiTheme="minorHAnsi" w:hAnsiTheme="minorHAnsi"/>
          <w:szCs w:val="24"/>
        </w:rPr>
        <w:t xml:space="preserve"> otherwise</w:t>
      </w:r>
      <w:r w:rsidR="00BF195C" w:rsidRPr="00C23D3D">
        <w:rPr>
          <w:rFonts w:asciiTheme="minorHAnsi" w:hAnsiTheme="minorHAnsi"/>
          <w:szCs w:val="24"/>
        </w:rPr>
        <w:t xml:space="preserve"> the same </w:t>
      </w:r>
      <w:r w:rsidRPr="00C23D3D">
        <w:rPr>
          <w:rFonts w:asciiTheme="minorHAnsi" w:hAnsiTheme="minorHAnsi"/>
          <w:szCs w:val="24"/>
        </w:rPr>
        <w:t xml:space="preserve">as </w:t>
      </w:r>
      <w:r w:rsidR="004F05A6">
        <w:rPr>
          <w:rFonts w:asciiTheme="minorHAnsi" w:hAnsiTheme="minorHAnsi"/>
          <w:szCs w:val="24"/>
        </w:rPr>
        <w:t xml:space="preserve">the </w:t>
      </w:r>
      <w:r w:rsidRPr="00C23D3D">
        <w:rPr>
          <w:rFonts w:asciiTheme="minorHAnsi" w:hAnsiTheme="minorHAnsi"/>
          <w:szCs w:val="24"/>
        </w:rPr>
        <w:t>existing s</w:t>
      </w:r>
      <w:r w:rsidR="00F531EB">
        <w:rPr>
          <w:rFonts w:asciiTheme="minorHAnsi" w:hAnsiTheme="minorHAnsi"/>
          <w:szCs w:val="24"/>
        </w:rPr>
        <w:t xml:space="preserve">ection </w:t>
      </w:r>
      <w:r w:rsidRPr="00C23D3D">
        <w:rPr>
          <w:rFonts w:asciiTheme="minorHAnsi" w:hAnsiTheme="minorHAnsi"/>
          <w:szCs w:val="24"/>
        </w:rPr>
        <w:t>161A.</w:t>
      </w:r>
    </w:p>
    <w:p w:rsidR="007752A8" w:rsidRPr="00C23D3D" w:rsidRDefault="007752A8" w:rsidP="000055AE">
      <w:pPr>
        <w:pStyle w:val="Heading4"/>
        <w:keepNext w:val="0"/>
        <w:spacing w:before="0" w:after="0"/>
        <w:rPr>
          <w:rFonts w:asciiTheme="minorHAnsi" w:hAnsiTheme="minorHAnsi"/>
        </w:rPr>
      </w:pPr>
    </w:p>
    <w:p w:rsidR="0032336D" w:rsidRPr="00C23D3D" w:rsidRDefault="0032336D" w:rsidP="000055AE">
      <w:pPr>
        <w:pStyle w:val="Heading4"/>
        <w:spacing w:before="0" w:after="0"/>
        <w:rPr>
          <w:rFonts w:asciiTheme="minorHAnsi" w:hAnsiTheme="minorHAnsi"/>
        </w:rPr>
      </w:pPr>
      <w:r w:rsidRPr="00C23D3D">
        <w:rPr>
          <w:rFonts w:asciiTheme="minorHAnsi" w:hAnsiTheme="minorHAnsi"/>
        </w:rPr>
        <w:t xml:space="preserve">Clause </w:t>
      </w:r>
      <w:r w:rsidR="00A37958" w:rsidRPr="00C23D3D">
        <w:rPr>
          <w:rFonts w:asciiTheme="minorHAnsi" w:hAnsiTheme="minorHAnsi"/>
        </w:rPr>
        <w:t>20</w:t>
      </w:r>
      <w:r w:rsidRPr="00C23D3D">
        <w:rPr>
          <w:rFonts w:asciiTheme="minorHAnsi" w:hAnsiTheme="minorHAnsi"/>
        </w:rPr>
        <w:tab/>
        <w:t>Section 163C heading</w:t>
      </w:r>
    </w:p>
    <w:p w:rsidR="00BF195C" w:rsidRPr="00C23D3D" w:rsidRDefault="001515BC" w:rsidP="000055AE">
      <w:pPr>
        <w:spacing w:after="0"/>
        <w:rPr>
          <w:rFonts w:asciiTheme="minorHAnsi" w:hAnsiTheme="minorHAnsi"/>
          <w:szCs w:val="24"/>
        </w:rPr>
      </w:pPr>
      <w:r w:rsidRPr="00C23D3D">
        <w:rPr>
          <w:rFonts w:asciiTheme="minorHAnsi" w:hAnsiTheme="minorHAnsi"/>
          <w:szCs w:val="24"/>
        </w:rPr>
        <w:t>The heading of section 163C</w:t>
      </w:r>
      <w:r w:rsidR="00571DD0">
        <w:rPr>
          <w:rFonts w:asciiTheme="minorHAnsi" w:hAnsiTheme="minorHAnsi"/>
          <w:szCs w:val="24"/>
        </w:rPr>
        <w:t xml:space="preserve"> of the Gaming Machine Act</w:t>
      </w:r>
      <w:r w:rsidRPr="00C23D3D">
        <w:rPr>
          <w:rFonts w:asciiTheme="minorHAnsi" w:hAnsiTheme="minorHAnsi"/>
          <w:szCs w:val="24"/>
        </w:rPr>
        <w:t xml:space="preserve"> is currently ‘Payment from gambling harm prevention and mitigation fund-required payment funds’. </w:t>
      </w:r>
      <w:r w:rsidR="00BF195C" w:rsidRPr="00C23D3D">
        <w:rPr>
          <w:rFonts w:asciiTheme="minorHAnsi" w:hAnsiTheme="minorHAnsi"/>
          <w:szCs w:val="24"/>
        </w:rPr>
        <w:t xml:space="preserve">Clause </w:t>
      </w:r>
      <w:r w:rsidR="00A37958" w:rsidRPr="00C23D3D">
        <w:rPr>
          <w:rFonts w:asciiTheme="minorHAnsi" w:hAnsiTheme="minorHAnsi"/>
          <w:szCs w:val="24"/>
        </w:rPr>
        <w:t>20</w:t>
      </w:r>
      <w:r w:rsidR="00BF195C" w:rsidRPr="00C23D3D">
        <w:rPr>
          <w:rFonts w:asciiTheme="minorHAnsi" w:hAnsiTheme="minorHAnsi"/>
          <w:szCs w:val="24"/>
        </w:rPr>
        <w:t xml:space="preserve"> is a minor amendment </w:t>
      </w:r>
      <w:r w:rsidRPr="00C23D3D">
        <w:rPr>
          <w:rFonts w:asciiTheme="minorHAnsi" w:hAnsiTheme="minorHAnsi"/>
          <w:szCs w:val="24"/>
        </w:rPr>
        <w:t xml:space="preserve">that changes the heading of section 163C to ‘Payment from gambling </w:t>
      </w:r>
      <w:r w:rsidRPr="00C23D3D">
        <w:rPr>
          <w:rFonts w:asciiTheme="minorHAnsi" w:hAnsiTheme="minorHAnsi"/>
          <w:szCs w:val="24"/>
        </w:rPr>
        <w:lastRenderedPageBreak/>
        <w:t>harm prevention and mitigation fund-required payments and community purpose contributions’ as this better reflects the section.</w:t>
      </w:r>
    </w:p>
    <w:p w:rsidR="007752A8" w:rsidRPr="00C23D3D" w:rsidRDefault="007752A8" w:rsidP="000055AE">
      <w:pPr>
        <w:pStyle w:val="Heading4"/>
        <w:keepNext w:val="0"/>
        <w:spacing w:before="0" w:after="0"/>
        <w:rPr>
          <w:rFonts w:asciiTheme="minorHAnsi" w:hAnsiTheme="minorHAnsi"/>
        </w:rPr>
      </w:pPr>
    </w:p>
    <w:p w:rsidR="0032336D" w:rsidRPr="00C23D3D" w:rsidRDefault="0032336D" w:rsidP="000055AE">
      <w:pPr>
        <w:pStyle w:val="Heading4"/>
        <w:spacing w:before="0" w:after="0"/>
        <w:rPr>
          <w:rFonts w:asciiTheme="minorHAnsi" w:hAnsiTheme="minorHAnsi"/>
        </w:rPr>
      </w:pPr>
      <w:r w:rsidRPr="00C23D3D">
        <w:rPr>
          <w:rFonts w:asciiTheme="minorHAnsi" w:hAnsiTheme="minorHAnsi"/>
        </w:rPr>
        <w:t>Clause</w:t>
      </w:r>
      <w:r w:rsidR="00A37958" w:rsidRPr="00C23D3D">
        <w:rPr>
          <w:rFonts w:asciiTheme="minorHAnsi" w:hAnsiTheme="minorHAnsi"/>
        </w:rPr>
        <w:t xml:space="preserve"> 21</w:t>
      </w:r>
      <w:r w:rsidRPr="00C23D3D">
        <w:rPr>
          <w:rFonts w:asciiTheme="minorHAnsi" w:hAnsiTheme="minorHAnsi"/>
        </w:rPr>
        <w:tab/>
        <w:t>Section 163D heading</w:t>
      </w:r>
    </w:p>
    <w:p w:rsidR="00BF195C" w:rsidRPr="00C23D3D" w:rsidRDefault="001515BC" w:rsidP="000055AE">
      <w:pPr>
        <w:spacing w:after="0"/>
        <w:rPr>
          <w:rFonts w:asciiTheme="minorHAnsi" w:hAnsiTheme="minorHAnsi"/>
          <w:szCs w:val="24"/>
        </w:rPr>
      </w:pPr>
      <w:r w:rsidRPr="00C23D3D">
        <w:rPr>
          <w:rFonts w:asciiTheme="minorHAnsi" w:hAnsiTheme="minorHAnsi"/>
          <w:szCs w:val="24"/>
        </w:rPr>
        <w:t>The heading of section 163D</w:t>
      </w:r>
      <w:r w:rsidR="00571DD0">
        <w:rPr>
          <w:rFonts w:asciiTheme="minorHAnsi" w:hAnsiTheme="minorHAnsi"/>
          <w:szCs w:val="24"/>
        </w:rPr>
        <w:t xml:space="preserve"> of the Gaming Machine Act</w:t>
      </w:r>
      <w:r w:rsidRPr="00C23D3D">
        <w:rPr>
          <w:rFonts w:asciiTheme="minorHAnsi" w:hAnsiTheme="minorHAnsi"/>
          <w:szCs w:val="24"/>
        </w:rPr>
        <w:t xml:space="preserve"> is currently ‘payment from gambling harm prevention and mitigation fund-community contribution funds’. </w:t>
      </w:r>
      <w:r w:rsidR="00BF195C" w:rsidRPr="00C23D3D">
        <w:rPr>
          <w:rFonts w:asciiTheme="minorHAnsi" w:hAnsiTheme="minorHAnsi"/>
          <w:szCs w:val="24"/>
        </w:rPr>
        <w:t xml:space="preserve">Clause </w:t>
      </w:r>
      <w:r w:rsidR="00A37958" w:rsidRPr="00C23D3D">
        <w:rPr>
          <w:rFonts w:asciiTheme="minorHAnsi" w:hAnsiTheme="minorHAnsi"/>
          <w:szCs w:val="24"/>
        </w:rPr>
        <w:t>21</w:t>
      </w:r>
      <w:r w:rsidR="00BF195C" w:rsidRPr="00C23D3D">
        <w:rPr>
          <w:rFonts w:asciiTheme="minorHAnsi" w:hAnsiTheme="minorHAnsi"/>
          <w:szCs w:val="24"/>
        </w:rPr>
        <w:t xml:space="preserve"> is a minor</w:t>
      </w:r>
      <w:r w:rsidRPr="00C23D3D">
        <w:rPr>
          <w:rFonts w:asciiTheme="minorHAnsi" w:hAnsiTheme="minorHAnsi"/>
          <w:szCs w:val="24"/>
        </w:rPr>
        <w:t xml:space="preserve"> </w:t>
      </w:r>
      <w:r w:rsidR="00BF195C" w:rsidRPr="00C23D3D">
        <w:rPr>
          <w:rFonts w:asciiTheme="minorHAnsi" w:hAnsiTheme="minorHAnsi"/>
          <w:szCs w:val="24"/>
        </w:rPr>
        <w:t xml:space="preserve">amendment that </w:t>
      </w:r>
      <w:r w:rsidRPr="00C23D3D">
        <w:rPr>
          <w:rFonts w:asciiTheme="minorHAnsi" w:hAnsiTheme="minorHAnsi"/>
          <w:szCs w:val="24"/>
        </w:rPr>
        <w:t xml:space="preserve">changes </w:t>
      </w:r>
      <w:r w:rsidR="00BF195C" w:rsidRPr="00C23D3D">
        <w:rPr>
          <w:rFonts w:asciiTheme="minorHAnsi" w:hAnsiTheme="minorHAnsi"/>
          <w:szCs w:val="24"/>
        </w:rPr>
        <w:t xml:space="preserve">the heading of section 163D </w:t>
      </w:r>
      <w:r w:rsidRPr="00C23D3D">
        <w:rPr>
          <w:rFonts w:asciiTheme="minorHAnsi" w:hAnsiTheme="minorHAnsi"/>
          <w:szCs w:val="24"/>
        </w:rPr>
        <w:t>to ‘Payment from gambling harm prevention and mitigation fund-minimum community contributions’ as this better reflects the section.</w:t>
      </w:r>
    </w:p>
    <w:p w:rsidR="00FF2094" w:rsidRPr="00C23D3D" w:rsidRDefault="00FF2094" w:rsidP="000055AE">
      <w:pPr>
        <w:pStyle w:val="Heading4"/>
        <w:keepNext w:val="0"/>
        <w:spacing w:before="0" w:after="0"/>
        <w:rPr>
          <w:rFonts w:asciiTheme="minorHAnsi" w:hAnsiTheme="minorHAnsi"/>
        </w:rPr>
      </w:pPr>
    </w:p>
    <w:p w:rsidR="0032336D" w:rsidRPr="00C23D3D" w:rsidRDefault="0032336D" w:rsidP="000055AE">
      <w:pPr>
        <w:pStyle w:val="Heading4"/>
        <w:spacing w:before="0" w:after="0"/>
        <w:rPr>
          <w:rFonts w:asciiTheme="minorHAnsi" w:hAnsiTheme="minorHAnsi"/>
        </w:rPr>
      </w:pPr>
      <w:r w:rsidRPr="00C23D3D">
        <w:rPr>
          <w:rFonts w:asciiTheme="minorHAnsi" w:hAnsiTheme="minorHAnsi"/>
        </w:rPr>
        <w:t>Clause</w:t>
      </w:r>
      <w:r w:rsidR="00A37958" w:rsidRPr="00C23D3D">
        <w:rPr>
          <w:rFonts w:asciiTheme="minorHAnsi" w:hAnsiTheme="minorHAnsi"/>
        </w:rPr>
        <w:t xml:space="preserve"> 22</w:t>
      </w:r>
      <w:r w:rsidRPr="00C23D3D">
        <w:rPr>
          <w:rFonts w:asciiTheme="minorHAnsi" w:hAnsiTheme="minorHAnsi"/>
        </w:rPr>
        <w:tab/>
        <w:t>New division 11.3</w:t>
      </w:r>
    </w:p>
    <w:p w:rsidR="00D14C65" w:rsidRPr="00C23D3D" w:rsidRDefault="00D14C65" w:rsidP="000055AE">
      <w:pPr>
        <w:spacing w:after="0"/>
        <w:rPr>
          <w:rFonts w:asciiTheme="minorHAnsi" w:hAnsiTheme="minorHAnsi"/>
          <w:szCs w:val="24"/>
        </w:rPr>
      </w:pPr>
      <w:r w:rsidRPr="00C23D3D">
        <w:rPr>
          <w:rFonts w:asciiTheme="minorHAnsi" w:hAnsiTheme="minorHAnsi"/>
          <w:szCs w:val="24"/>
        </w:rPr>
        <w:t xml:space="preserve">Clause </w:t>
      </w:r>
      <w:r w:rsidR="00791100" w:rsidRPr="00C23D3D">
        <w:rPr>
          <w:rFonts w:asciiTheme="minorHAnsi" w:hAnsiTheme="minorHAnsi"/>
          <w:szCs w:val="24"/>
        </w:rPr>
        <w:t>22</w:t>
      </w:r>
      <w:r w:rsidRPr="00C23D3D">
        <w:rPr>
          <w:rFonts w:asciiTheme="minorHAnsi" w:hAnsiTheme="minorHAnsi"/>
          <w:szCs w:val="24"/>
        </w:rPr>
        <w:t xml:space="preserve"> inserts new division 11.3 </w:t>
      </w:r>
      <w:r w:rsidR="001515BC" w:rsidRPr="00C23D3D">
        <w:rPr>
          <w:rFonts w:asciiTheme="minorHAnsi" w:hAnsiTheme="minorHAnsi"/>
          <w:szCs w:val="24"/>
        </w:rPr>
        <w:t xml:space="preserve">(Diversification and sustainability support fund) into part 11 </w:t>
      </w:r>
      <w:r w:rsidRPr="00C23D3D">
        <w:rPr>
          <w:rFonts w:asciiTheme="minorHAnsi" w:hAnsiTheme="minorHAnsi"/>
          <w:szCs w:val="24"/>
        </w:rPr>
        <w:t xml:space="preserve">of the Gaming Machine Act, which relates to </w:t>
      </w:r>
      <w:r w:rsidR="001515BC" w:rsidRPr="00C23D3D">
        <w:rPr>
          <w:rFonts w:asciiTheme="minorHAnsi" w:hAnsiTheme="minorHAnsi"/>
          <w:szCs w:val="24"/>
        </w:rPr>
        <w:t>finance.</w:t>
      </w:r>
      <w:r w:rsidRPr="00C23D3D">
        <w:rPr>
          <w:rFonts w:asciiTheme="minorHAnsi" w:hAnsiTheme="minorHAnsi"/>
          <w:szCs w:val="24"/>
        </w:rPr>
        <w:t xml:space="preserve"> New </w:t>
      </w:r>
      <w:r w:rsidR="001515BC" w:rsidRPr="00C23D3D">
        <w:rPr>
          <w:rFonts w:asciiTheme="minorHAnsi" w:hAnsiTheme="minorHAnsi"/>
          <w:szCs w:val="24"/>
        </w:rPr>
        <w:t>division 11.3 includes new sections 163E to 163R</w:t>
      </w:r>
      <w:r w:rsidRPr="00C23D3D">
        <w:rPr>
          <w:rFonts w:asciiTheme="minorHAnsi" w:hAnsiTheme="minorHAnsi"/>
          <w:szCs w:val="24"/>
        </w:rPr>
        <w:t xml:space="preserve">. This clause is the principal clause </w:t>
      </w:r>
      <w:r w:rsidR="00791100" w:rsidRPr="00C23D3D">
        <w:rPr>
          <w:rFonts w:asciiTheme="minorHAnsi" w:hAnsiTheme="minorHAnsi"/>
          <w:szCs w:val="24"/>
        </w:rPr>
        <w:t>in this Amendment Bill implementing</w:t>
      </w:r>
      <w:r w:rsidR="001515BC" w:rsidRPr="00C23D3D">
        <w:rPr>
          <w:rFonts w:asciiTheme="minorHAnsi" w:hAnsiTheme="minorHAnsi"/>
          <w:szCs w:val="24"/>
        </w:rPr>
        <w:t xml:space="preserve"> the Diversification and Sustainability Support Fund</w:t>
      </w:r>
      <w:r w:rsidRPr="00C23D3D">
        <w:rPr>
          <w:rFonts w:asciiTheme="minorHAnsi" w:hAnsiTheme="minorHAnsi"/>
          <w:szCs w:val="24"/>
        </w:rPr>
        <w:t>.</w:t>
      </w:r>
    </w:p>
    <w:p w:rsidR="0032336D" w:rsidRPr="00C23D3D" w:rsidRDefault="0032336D" w:rsidP="000055AE">
      <w:pPr>
        <w:pStyle w:val="Heading4"/>
        <w:keepNext w:val="0"/>
        <w:spacing w:before="0" w:after="0"/>
        <w:rPr>
          <w:rFonts w:asciiTheme="minorHAnsi" w:hAnsiTheme="minorHAnsi"/>
          <w:b w:val="0"/>
          <w:lang w:eastAsia="en-AU"/>
        </w:rPr>
      </w:pPr>
    </w:p>
    <w:p w:rsidR="00CF1023" w:rsidRPr="00C23D3D" w:rsidRDefault="005803F1" w:rsidP="000055AE">
      <w:pPr>
        <w:pStyle w:val="Heading5"/>
        <w:keepNext/>
        <w:spacing w:before="0" w:after="0"/>
        <w:rPr>
          <w:rFonts w:asciiTheme="minorHAnsi" w:hAnsiTheme="minorHAnsi"/>
          <w:u w:val="single"/>
        </w:rPr>
      </w:pPr>
      <w:r w:rsidRPr="00C23D3D">
        <w:rPr>
          <w:rFonts w:asciiTheme="minorHAnsi" w:hAnsiTheme="minorHAnsi"/>
          <w:u w:val="single"/>
        </w:rPr>
        <w:t>New s</w:t>
      </w:r>
      <w:r w:rsidR="00CF1023" w:rsidRPr="00C23D3D">
        <w:rPr>
          <w:rFonts w:asciiTheme="minorHAnsi" w:hAnsiTheme="minorHAnsi"/>
          <w:u w:val="single"/>
        </w:rPr>
        <w:t>ubdivision 11.3.1</w:t>
      </w:r>
      <w:r w:rsidR="00CF1023" w:rsidRPr="00C23D3D">
        <w:rPr>
          <w:rFonts w:asciiTheme="minorHAnsi" w:hAnsiTheme="minorHAnsi"/>
          <w:u w:val="single"/>
        </w:rPr>
        <w:tab/>
        <w:t>Preliminary</w:t>
      </w:r>
    </w:p>
    <w:p w:rsidR="007B6680" w:rsidRPr="00C23D3D" w:rsidRDefault="00791100" w:rsidP="000055AE">
      <w:pPr>
        <w:pStyle w:val="Heading5"/>
        <w:keepNext/>
        <w:spacing w:before="0" w:after="0"/>
        <w:rPr>
          <w:rFonts w:asciiTheme="minorHAnsi" w:hAnsiTheme="minorHAnsi"/>
          <w:b w:val="0"/>
        </w:rPr>
      </w:pPr>
      <w:r w:rsidRPr="00C23D3D">
        <w:rPr>
          <w:rFonts w:asciiTheme="minorHAnsi" w:hAnsiTheme="minorHAnsi"/>
          <w:b w:val="0"/>
        </w:rPr>
        <w:t>New s</w:t>
      </w:r>
      <w:r w:rsidR="007B6680" w:rsidRPr="00C23D3D">
        <w:rPr>
          <w:rFonts w:asciiTheme="minorHAnsi" w:hAnsiTheme="minorHAnsi"/>
          <w:b w:val="0"/>
        </w:rPr>
        <w:t>ection 163</w:t>
      </w:r>
      <w:r w:rsidR="000055AE">
        <w:rPr>
          <w:rFonts w:asciiTheme="minorHAnsi" w:hAnsiTheme="minorHAnsi"/>
          <w:b w:val="0"/>
        </w:rPr>
        <w:t>E</w:t>
      </w:r>
      <w:r w:rsidRPr="00C23D3D">
        <w:rPr>
          <w:rFonts w:asciiTheme="minorHAnsi" w:hAnsiTheme="minorHAnsi"/>
          <w:b w:val="0"/>
        </w:rPr>
        <w:t xml:space="preserve"> </w:t>
      </w:r>
      <w:r w:rsidRPr="00C23D3D">
        <w:rPr>
          <w:rFonts w:asciiTheme="minorHAnsi" w:hAnsiTheme="minorHAnsi"/>
          <w:b w:val="0"/>
        </w:rPr>
        <w:tab/>
        <w:t>Definitions</w:t>
      </w:r>
      <w:r w:rsidRPr="00C23D3D">
        <w:rPr>
          <w:rFonts w:asciiTheme="minorHAnsi" w:hAnsiTheme="minorHAnsi"/>
          <w:b w:val="0"/>
        </w:rPr>
        <w:noBreakHyphen/>
      </w:r>
      <w:r w:rsidR="00CF1023" w:rsidRPr="00C23D3D">
        <w:rPr>
          <w:rFonts w:asciiTheme="minorHAnsi" w:hAnsiTheme="minorHAnsi"/>
          <w:b w:val="0"/>
        </w:rPr>
        <w:t>div 11.3</w:t>
      </w:r>
    </w:p>
    <w:p w:rsidR="00A97C3B" w:rsidRPr="00C23D3D" w:rsidRDefault="00A97C3B" w:rsidP="000055AE">
      <w:pPr>
        <w:spacing w:after="0"/>
        <w:rPr>
          <w:rFonts w:asciiTheme="minorHAnsi" w:eastAsia="Times New Roman" w:hAnsiTheme="minorHAnsi"/>
          <w:szCs w:val="24"/>
        </w:rPr>
      </w:pPr>
      <w:r w:rsidRPr="00C23D3D">
        <w:rPr>
          <w:rFonts w:asciiTheme="minorHAnsi" w:eastAsia="Times New Roman" w:hAnsiTheme="minorHAnsi"/>
          <w:szCs w:val="24"/>
        </w:rPr>
        <w:t xml:space="preserve">New section 163E </w:t>
      </w:r>
      <w:r w:rsidR="00791100" w:rsidRPr="00C23D3D">
        <w:rPr>
          <w:rFonts w:asciiTheme="minorHAnsi" w:eastAsia="Times New Roman" w:hAnsiTheme="minorHAnsi"/>
          <w:szCs w:val="24"/>
        </w:rPr>
        <w:t>provides definitions</w:t>
      </w:r>
      <w:r w:rsidRPr="00C23D3D">
        <w:rPr>
          <w:rFonts w:asciiTheme="minorHAnsi" w:eastAsia="Times New Roman" w:hAnsiTheme="minorHAnsi"/>
          <w:szCs w:val="24"/>
        </w:rPr>
        <w:t xml:space="preserve"> of the term</w:t>
      </w:r>
      <w:r w:rsidR="00791100" w:rsidRPr="00C23D3D">
        <w:rPr>
          <w:rFonts w:asciiTheme="minorHAnsi" w:eastAsia="Times New Roman" w:hAnsiTheme="minorHAnsi"/>
          <w:szCs w:val="24"/>
        </w:rPr>
        <w:t>s</w:t>
      </w:r>
      <w:r w:rsidRPr="00C23D3D">
        <w:rPr>
          <w:rFonts w:asciiTheme="minorHAnsi" w:eastAsia="Times New Roman" w:hAnsiTheme="minorHAnsi"/>
          <w:szCs w:val="24"/>
        </w:rPr>
        <w:t xml:space="preserve"> ‘advisory board’ and ‘diversification and sustainability </w:t>
      </w:r>
      <w:r w:rsidR="00791100" w:rsidRPr="00C23D3D">
        <w:rPr>
          <w:rFonts w:asciiTheme="minorHAnsi" w:eastAsia="Times New Roman" w:hAnsiTheme="minorHAnsi"/>
          <w:szCs w:val="24"/>
        </w:rPr>
        <w:t xml:space="preserve">support </w:t>
      </w:r>
      <w:r w:rsidRPr="00C23D3D">
        <w:rPr>
          <w:rFonts w:asciiTheme="minorHAnsi" w:eastAsia="Times New Roman" w:hAnsiTheme="minorHAnsi"/>
          <w:szCs w:val="24"/>
        </w:rPr>
        <w:t>fund’</w:t>
      </w:r>
      <w:r w:rsidR="00791100" w:rsidRPr="00C23D3D">
        <w:rPr>
          <w:rFonts w:asciiTheme="minorHAnsi" w:eastAsia="Times New Roman" w:hAnsiTheme="minorHAnsi"/>
          <w:szCs w:val="24"/>
        </w:rPr>
        <w:t xml:space="preserve"> for division 11.3</w:t>
      </w:r>
      <w:r w:rsidRPr="00C23D3D">
        <w:rPr>
          <w:rFonts w:asciiTheme="minorHAnsi" w:eastAsia="Times New Roman" w:hAnsiTheme="minorHAnsi"/>
          <w:szCs w:val="24"/>
        </w:rPr>
        <w:t xml:space="preserve"> of the Gaming Machine Act. Th</w:t>
      </w:r>
      <w:r w:rsidR="005352CB" w:rsidRPr="00C23D3D">
        <w:rPr>
          <w:rFonts w:asciiTheme="minorHAnsi" w:eastAsia="Times New Roman" w:hAnsiTheme="minorHAnsi"/>
          <w:szCs w:val="24"/>
        </w:rPr>
        <w:t>ese are signpost</w:t>
      </w:r>
      <w:r w:rsidRPr="00C23D3D">
        <w:rPr>
          <w:rFonts w:asciiTheme="minorHAnsi" w:eastAsia="Times New Roman" w:hAnsiTheme="minorHAnsi"/>
          <w:szCs w:val="24"/>
        </w:rPr>
        <w:t xml:space="preserve"> definition</w:t>
      </w:r>
      <w:r w:rsidR="005352CB" w:rsidRPr="00C23D3D">
        <w:rPr>
          <w:rFonts w:asciiTheme="minorHAnsi" w:eastAsia="Times New Roman" w:hAnsiTheme="minorHAnsi"/>
          <w:szCs w:val="24"/>
        </w:rPr>
        <w:t>s</w:t>
      </w:r>
      <w:r w:rsidRPr="00C23D3D">
        <w:rPr>
          <w:rFonts w:asciiTheme="minorHAnsi" w:eastAsia="Times New Roman" w:hAnsiTheme="minorHAnsi"/>
          <w:szCs w:val="24"/>
        </w:rPr>
        <w:t xml:space="preserve"> as the terms are defined in </w:t>
      </w:r>
      <w:r w:rsidR="00791100" w:rsidRPr="00C23D3D">
        <w:rPr>
          <w:rFonts w:asciiTheme="minorHAnsi" w:eastAsia="Times New Roman" w:hAnsiTheme="minorHAnsi"/>
          <w:szCs w:val="24"/>
        </w:rPr>
        <w:t xml:space="preserve">new </w:t>
      </w:r>
      <w:r w:rsidRPr="00C23D3D">
        <w:rPr>
          <w:rFonts w:asciiTheme="minorHAnsi" w:eastAsia="Times New Roman" w:hAnsiTheme="minorHAnsi"/>
          <w:szCs w:val="24"/>
        </w:rPr>
        <w:t>section</w:t>
      </w:r>
      <w:r w:rsidR="00791100" w:rsidRPr="00C23D3D">
        <w:rPr>
          <w:rFonts w:asciiTheme="minorHAnsi" w:eastAsia="Times New Roman" w:hAnsiTheme="minorHAnsi"/>
          <w:szCs w:val="24"/>
        </w:rPr>
        <w:t>s</w:t>
      </w:r>
      <w:r w:rsidRPr="00C23D3D">
        <w:rPr>
          <w:rFonts w:asciiTheme="minorHAnsi" w:eastAsia="Times New Roman" w:hAnsiTheme="minorHAnsi"/>
          <w:szCs w:val="24"/>
        </w:rPr>
        <w:t xml:space="preserve"> 163K and 163F respectively.</w:t>
      </w:r>
    </w:p>
    <w:p w:rsidR="00A97C3B" w:rsidRPr="00C23D3D" w:rsidRDefault="00A97C3B" w:rsidP="000055AE">
      <w:pPr>
        <w:spacing w:after="0"/>
        <w:rPr>
          <w:rFonts w:asciiTheme="minorHAnsi" w:hAnsiTheme="minorHAnsi"/>
          <w:szCs w:val="24"/>
        </w:rPr>
      </w:pPr>
    </w:p>
    <w:p w:rsidR="007B6680" w:rsidRPr="00C23D3D" w:rsidRDefault="00791100" w:rsidP="000055AE">
      <w:pPr>
        <w:pStyle w:val="Heading5"/>
        <w:keepNext/>
        <w:spacing w:before="0" w:after="0"/>
        <w:rPr>
          <w:rFonts w:asciiTheme="minorHAnsi" w:hAnsiTheme="minorHAnsi"/>
          <w:b w:val="0"/>
        </w:rPr>
      </w:pPr>
      <w:r w:rsidRPr="00C23D3D">
        <w:rPr>
          <w:rFonts w:asciiTheme="minorHAnsi" w:hAnsiTheme="minorHAnsi"/>
          <w:b w:val="0"/>
        </w:rPr>
        <w:t>New s</w:t>
      </w:r>
      <w:r w:rsidR="007B6680" w:rsidRPr="00C23D3D">
        <w:rPr>
          <w:rFonts w:asciiTheme="minorHAnsi" w:hAnsiTheme="minorHAnsi"/>
          <w:b w:val="0"/>
        </w:rPr>
        <w:t>ection 163</w:t>
      </w:r>
      <w:r w:rsidR="000055AE">
        <w:rPr>
          <w:rFonts w:asciiTheme="minorHAnsi" w:hAnsiTheme="minorHAnsi"/>
          <w:b w:val="0"/>
        </w:rPr>
        <w:t>F</w:t>
      </w:r>
      <w:r w:rsidR="00CF1023" w:rsidRPr="00C23D3D">
        <w:rPr>
          <w:rFonts w:asciiTheme="minorHAnsi" w:hAnsiTheme="minorHAnsi"/>
          <w:b w:val="0"/>
        </w:rPr>
        <w:t xml:space="preserve"> </w:t>
      </w:r>
      <w:r w:rsidR="00CF1023" w:rsidRPr="00C23D3D">
        <w:rPr>
          <w:rFonts w:asciiTheme="minorHAnsi" w:hAnsiTheme="minorHAnsi"/>
          <w:b w:val="0"/>
        </w:rPr>
        <w:tab/>
        <w:t>Diversification and sustainability support fund</w:t>
      </w:r>
    </w:p>
    <w:p w:rsidR="00791100" w:rsidRPr="00C23D3D" w:rsidRDefault="00791100" w:rsidP="000055AE">
      <w:pPr>
        <w:autoSpaceDE w:val="0"/>
        <w:autoSpaceDN w:val="0"/>
        <w:adjustRightInd w:val="0"/>
        <w:spacing w:after="0"/>
        <w:rPr>
          <w:rFonts w:asciiTheme="minorHAnsi" w:eastAsia="Times New Roman" w:hAnsiTheme="minorHAnsi"/>
          <w:szCs w:val="24"/>
        </w:rPr>
      </w:pPr>
      <w:r w:rsidRPr="00C23D3D">
        <w:rPr>
          <w:rFonts w:asciiTheme="minorHAnsi" w:eastAsia="Times New Roman" w:hAnsiTheme="minorHAnsi"/>
          <w:szCs w:val="24"/>
        </w:rPr>
        <w:t xml:space="preserve">New section 163F(1) </w:t>
      </w:r>
      <w:r w:rsidR="00A97C3B" w:rsidRPr="00C23D3D">
        <w:rPr>
          <w:rFonts w:asciiTheme="minorHAnsi" w:eastAsia="Times New Roman" w:hAnsiTheme="minorHAnsi"/>
          <w:szCs w:val="24"/>
        </w:rPr>
        <w:t xml:space="preserve">provides </w:t>
      </w:r>
      <w:r w:rsidRPr="00C23D3D">
        <w:rPr>
          <w:rFonts w:asciiTheme="minorHAnsi" w:eastAsia="Times New Roman" w:hAnsiTheme="minorHAnsi"/>
          <w:szCs w:val="24"/>
        </w:rPr>
        <w:t>that</w:t>
      </w:r>
      <w:r w:rsidR="00A97C3B" w:rsidRPr="00C23D3D">
        <w:rPr>
          <w:rFonts w:asciiTheme="minorHAnsi" w:eastAsia="Times New Roman" w:hAnsiTheme="minorHAnsi"/>
          <w:szCs w:val="24"/>
        </w:rPr>
        <w:t xml:space="preserve"> the director-general must open and maintain </w:t>
      </w:r>
      <w:r w:rsidRPr="00C23D3D">
        <w:rPr>
          <w:rFonts w:asciiTheme="minorHAnsi" w:eastAsia="Times New Roman" w:hAnsiTheme="minorHAnsi"/>
          <w:szCs w:val="24"/>
        </w:rPr>
        <w:t>a banking account (</w:t>
      </w:r>
      <w:r w:rsidR="00A97C3B" w:rsidRPr="00C23D3D">
        <w:rPr>
          <w:rFonts w:asciiTheme="minorHAnsi" w:eastAsia="Times New Roman" w:hAnsiTheme="minorHAnsi"/>
          <w:szCs w:val="24"/>
        </w:rPr>
        <w:t xml:space="preserve">the </w:t>
      </w:r>
      <w:r w:rsidR="00C24949" w:rsidRPr="00C23D3D">
        <w:rPr>
          <w:rFonts w:asciiTheme="minorHAnsi" w:eastAsia="Times New Roman" w:hAnsiTheme="minorHAnsi"/>
          <w:szCs w:val="24"/>
        </w:rPr>
        <w:t>d</w:t>
      </w:r>
      <w:r w:rsidRPr="00C23D3D">
        <w:rPr>
          <w:rFonts w:asciiTheme="minorHAnsi" w:eastAsia="Times New Roman" w:hAnsiTheme="minorHAnsi"/>
          <w:szCs w:val="24"/>
        </w:rPr>
        <w:t>iversification and</w:t>
      </w:r>
      <w:r w:rsidR="00C24949" w:rsidRPr="00C23D3D">
        <w:rPr>
          <w:rFonts w:asciiTheme="minorHAnsi" w:eastAsia="Times New Roman" w:hAnsiTheme="minorHAnsi"/>
          <w:szCs w:val="24"/>
        </w:rPr>
        <w:t xml:space="preserve"> s</w:t>
      </w:r>
      <w:r w:rsidRPr="00C23D3D">
        <w:rPr>
          <w:rFonts w:asciiTheme="minorHAnsi" w:eastAsia="Times New Roman" w:hAnsiTheme="minorHAnsi"/>
          <w:szCs w:val="24"/>
        </w:rPr>
        <w:t>ustainability</w:t>
      </w:r>
      <w:r w:rsidR="00C24949" w:rsidRPr="00C23D3D">
        <w:rPr>
          <w:rFonts w:asciiTheme="minorHAnsi" w:eastAsia="Times New Roman" w:hAnsiTheme="minorHAnsi"/>
          <w:szCs w:val="24"/>
        </w:rPr>
        <w:t xml:space="preserve"> s</w:t>
      </w:r>
      <w:r w:rsidRPr="00C23D3D">
        <w:rPr>
          <w:rFonts w:asciiTheme="minorHAnsi" w:eastAsia="Times New Roman" w:hAnsiTheme="minorHAnsi"/>
          <w:szCs w:val="24"/>
        </w:rPr>
        <w:t>upport</w:t>
      </w:r>
      <w:r w:rsidR="00C24949" w:rsidRPr="00C23D3D">
        <w:rPr>
          <w:rFonts w:asciiTheme="minorHAnsi" w:eastAsia="Times New Roman" w:hAnsiTheme="minorHAnsi"/>
          <w:szCs w:val="24"/>
        </w:rPr>
        <w:t xml:space="preserve"> f</w:t>
      </w:r>
      <w:r w:rsidRPr="00C23D3D">
        <w:rPr>
          <w:rFonts w:asciiTheme="minorHAnsi" w:eastAsia="Times New Roman" w:hAnsiTheme="minorHAnsi"/>
          <w:szCs w:val="24"/>
        </w:rPr>
        <w:t>und)</w:t>
      </w:r>
      <w:r w:rsidR="00A97C3B" w:rsidRPr="00C23D3D">
        <w:rPr>
          <w:rFonts w:asciiTheme="minorHAnsi" w:eastAsia="Times New Roman" w:hAnsiTheme="minorHAnsi"/>
          <w:szCs w:val="24"/>
        </w:rPr>
        <w:t xml:space="preserve">. </w:t>
      </w:r>
      <w:r w:rsidR="00C24949" w:rsidRPr="00C23D3D">
        <w:rPr>
          <w:rFonts w:asciiTheme="minorHAnsi" w:eastAsia="Times New Roman" w:hAnsiTheme="minorHAnsi"/>
          <w:szCs w:val="24"/>
        </w:rPr>
        <w:t>Currently, the responsible director-general is the Director-General, Justice and Community Safety Directorate.</w:t>
      </w:r>
    </w:p>
    <w:p w:rsidR="00791100" w:rsidRPr="00C23D3D" w:rsidRDefault="00791100" w:rsidP="000055AE">
      <w:pPr>
        <w:autoSpaceDE w:val="0"/>
        <w:autoSpaceDN w:val="0"/>
        <w:adjustRightInd w:val="0"/>
        <w:spacing w:after="0"/>
        <w:rPr>
          <w:rFonts w:asciiTheme="minorHAnsi" w:eastAsia="Times New Roman" w:hAnsiTheme="minorHAnsi"/>
          <w:szCs w:val="24"/>
        </w:rPr>
      </w:pPr>
    </w:p>
    <w:p w:rsidR="00A97C3B" w:rsidRPr="00C23D3D" w:rsidRDefault="00791100" w:rsidP="000055AE">
      <w:pPr>
        <w:autoSpaceDE w:val="0"/>
        <w:autoSpaceDN w:val="0"/>
        <w:adjustRightInd w:val="0"/>
        <w:spacing w:after="0"/>
        <w:rPr>
          <w:rFonts w:asciiTheme="minorHAnsi" w:eastAsia="Times New Roman" w:hAnsiTheme="minorHAnsi"/>
          <w:szCs w:val="24"/>
        </w:rPr>
      </w:pPr>
      <w:r w:rsidRPr="00C23D3D">
        <w:rPr>
          <w:rFonts w:asciiTheme="minorHAnsi" w:eastAsia="Times New Roman" w:hAnsiTheme="minorHAnsi"/>
          <w:szCs w:val="24"/>
        </w:rPr>
        <w:t>New se</w:t>
      </w:r>
      <w:r w:rsidR="009316FA" w:rsidRPr="00C23D3D">
        <w:rPr>
          <w:rFonts w:asciiTheme="minorHAnsi" w:eastAsia="Times New Roman" w:hAnsiTheme="minorHAnsi"/>
          <w:szCs w:val="24"/>
        </w:rPr>
        <w:t>ction 163F(2) pr</w:t>
      </w:r>
      <w:r w:rsidR="00C24949" w:rsidRPr="00C23D3D">
        <w:rPr>
          <w:rFonts w:asciiTheme="minorHAnsi" w:eastAsia="Times New Roman" w:hAnsiTheme="minorHAnsi"/>
          <w:szCs w:val="24"/>
        </w:rPr>
        <w:t>ovides for the purposes of the f</w:t>
      </w:r>
      <w:r w:rsidR="009316FA" w:rsidRPr="00C23D3D">
        <w:rPr>
          <w:rFonts w:asciiTheme="minorHAnsi" w:eastAsia="Times New Roman" w:hAnsiTheme="minorHAnsi"/>
          <w:szCs w:val="24"/>
        </w:rPr>
        <w:t xml:space="preserve">und. </w:t>
      </w:r>
      <w:r w:rsidR="00A97C3B" w:rsidRPr="00C23D3D">
        <w:rPr>
          <w:rFonts w:asciiTheme="minorHAnsi" w:eastAsia="Times New Roman" w:hAnsiTheme="minorHAnsi"/>
          <w:szCs w:val="24"/>
        </w:rPr>
        <w:t>These are:</w:t>
      </w:r>
    </w:p>
    <w:p w:rsidR="00A97C3B" w:rsidRPr="00C23D3D" w:rsidRDefault="00A97C3B" w:rsidP="000055AE">
      <w:pPr>
        <w:pStyle w:val="ListParagraph"/>
        <w:numPr>
          <w:ilvl w:val="0"/>
          <w:numId w:val="29"/>
        </w:numPr>
        <w:autoSpaceDE w:val="0"/>
        <w:autoSpaceDN w:val="0"/>
        <w:adjustRightInd w:val="0"/>
        <w:spacing w:after="0"/>
        <w:ind w:left="714" w:hanging="357"/>
        <w:rPr>
          <w:rFonts w:asciiTheme="minorHAnsi" w:eastAsia="Times New Roman" w:hAnsiTheme="minorHAnsi"/>
          <w:sz w:val="24"/>
          <w:szCs w:val="24"/>
          <w:lang w:eastAsia="en-US"/>
        </w:rPr>
      </w:pPr>
      <w:r w:rsidRPr="00C23D3D">
        <w:rPr>
          <w:rFonts w:asciiTheme="minorHAnsi" w:eastAsia="Times New Roman" w:hAnsiTheme="minorHAnsi"/>
          <w:sz w:val="24"/>
          <w:szCs w:val="24"/>
          <w:lang w:eastAsia="en-US"/>
        </w:rPr>
        <w:t xml:space="preserve">assisting clubs to diversify their income to sources other than gaming machines; </w:t>
      </w:r>
    </w:p>
    <w:p w:rsidR="00A97C3B" w:rsidRPr="00C23D3D" w:rsidRDefault="00A97C3B" w:rsidP="000055AE">
      <w:pPr>
        <w:pStyle w:val="ListParagraph"/>
        <w:numPr>
          <w:ilvl w:val="0"/>
          <w:numId w:val="29"/>
        </w:numPr>
        <w:autoSpaceDE w:val="0"/>
        <w:autoSpaceDN w:val="0"/>
        <w:adjustRightInd w:val="0"/>
        <w:spacing w:after="0"/>
        <w:ind w:left="714" w:hanging="357"/>
        <w:rPr>
          <w:rFonts w:asciiTheme="minorHAnsi" w:eastAsia="Times New Roman" w:hAnsiTheme="minorHAnsi"/>
          <w:sz w:val="24"/>
          <w:szCs w:val="24"/>
          <w:lang w:eastAsia="en-US"/>
        </w:rPr>
      </w:pPr>
      <w:r w:rsidRPr="00C23D3D">
        <w:rPr>
          <w:rFonts w:asciiTheme="minorHAnsi" w:eastAsia="Times New Roman" w:hAnsiTheme="minorHAnsi"/>
          <w:sz w:val="24"/>
          <w:szCs w:val="24"/>
          <w:lang w:eastAsia="en-US"/>
        </w:rPr>
        <w:t xml:space="preserve">supporting the sustainability of clubs; </w:t>
      </w:r>
    </w:p>
    <w:p w:rsidR="00A97C3B" w:rsidRPr="00C23D3D" w:rsidRDefault="00A97C3B" w:rsidP="000055AE">
      <w:pPr>
        <w:pStyle w:val="ListParagraph"/>
        <w:numPr>
          <w:ilvl w:val="0"/>
          <w:numId w:val="29"/>
        </w:numPr>
        <w:autoSpaceDE w:val="0"/>
        <w:autoSpaceDN w:val="0"/>
        <w:adjustRightInd w:val="0"/>
        <w:spacing w:after="0"/>
        <w:ind w:left="714" w:hanging="357"/>
        <w:rPr>
          <w:rFonts w:asciiTheme="minorHAnsi" w:eastAsia="Times New Roman" w:hAnsiTheme="minorHAnsi"/>
          <w:sz w:val="24"/>
          <w:szCs w:val="24"/>
          <w:lang w:eastAsia="en-US"/>
        </w:rPr>
      </w:pPr>
      <w:r w:rsidRPr="00C23D3D">
        <w:rPr>
          <w:rFonts w:asciiTheme="minorHAnsi" w:eastAsia="Times New Roman" w:hAnsiTheme="minorHAnsi"/>
          <w:sz w:val="24"/>
          <w:szCs w:val="24"/>
          <w:lang w:eastAsia="en-US"/>
        </w:rPr>
        <w:t xml:space="preserve">contributing to projects that help reduce regulatory costs or improve efficiency in administration and compliance for clubs; </w:t>
      </w:r>
    </w:p>
    <w:p w:rsidR="00C24949" w:rsidRPr="00C23D3D" w:rsidRDefault="00A97C3B" w:rsidP="000055AE">
      <w:pPr>
        <w:pStyle w:val="ListParagraph"/>
        <w:numPr>
          <w:ilvl w:val="0"/>
          <w:numId w:val="29"/>
        </w:numPr>
        <w:autoSpaceDE w:val="0"/>
        <w:autoSpaceDN w:val="0"/>
        <w:adjustRightInd w:val="0"/>
        <w:spacing w:after="0"/>
        <w:ind w:left="714" w:hanging="357"/>
        <w:rPr>
          <w:rFonts w:asciiTheme="minorHAnsi" w:eastAsia="Times New Roman" w:hAnsiTheme="minorHAnsi"/>
          <w:sz w:val="24"/>
          <w:szCs w:val="24"/>
          <w:lang w:eastAsia="en-US"/>
        </w:rPr>
      </w:pPr>
      <w:r w:rsidRPr="00C23D3D">
        <w:rPr>
          <w:rFonts w:asciiTheme="minorHAnsi" w:eastAsia="Times New Roman" w:hAnsiTheme="minorHAnsi"/>
          <w:sz w:val="24"/>
          <w:szCs w:val="24"/>
          <w:lang w:eastAsia="en-US"/>
        </w:rPr>
        <w:t>training and skills development for club workers, executives and members of club management committees and boards.</w:t>
      </w:r>
    </w:p>
    <w:p w:rsidR="00C24949" w:rsidRPr="00C23D3D" w:rsidRDefault="00C24949" w:rsidP="000055AE">
      <w:pPr>
        <w:autoSpaceDE w:val="0"/>
        <w:autoSpaceDN w:val="0"/>
        <w:adjustRightInd w:val="0"/>
        <w:spacing w:after="0"/>
        <w:rPr>
          <w:rFonts w:asciiTheme="minorHAnsi" w:eastAsia="Times New Roman" w:hAnsiTheme="minorHAnsi"/>
          <w:szCs w:val="24"/>
        </w:rPr>
      </w:pPr>
    </w:p>
    <w:p w:rsidR="00791100" w:rsidRPr="00C23D3D" w:rsidRDefault="00791100" w:rsidP="000055AE">
      <w:pPr>
        <w:spacing w:after="0"/>
        <w:rPr>
          <w:rFonts w:asciiTheme="minorHAnsi" w:hAnsiTheme="minorHAnsi"/>
          <w:szCs w:val="24"/>
        </w:rPr>
      </w:pPr>
      <w:r w:rsidRPr="00C23D3D">
        <w:rPr>
          <w:rFonts w:asciiTheme="minorHAnsi" w:hAnsiTheme="minorHAnsi"/>
          <w:szCs w:val="24"/>
        </w:rPr>
        <w:t>New section 163F(3) provides the definition of a ‘banking account’ for section 163F, being an account with an authorised deposit-t</w:t>
      </w:r>
      <w:r w:rsidR="00983570">
        <w:rPr>
          <w:rFonts w:asciiTheme="minorHAnsi" w:hAnsiTheme="minorHAnsi"/>
          <w:szCs w:val="24"/>
        </w:rPr>
        <w:t>aking institution that is, or is</w:t>
      </w:r>
      <w:r w:rsidRPr="00C23D3D">
        <w:rPr>
          <w:rFonts w:asciiTheme="minorHAnsi" w:hAnsiTheme="minorHAnsi"/>
          <w:szCs w:val="24"/>
        </w:rPr>
        <w:t xml:space="preserve"> substantially the same as, a bank account.</w:t>
      </w:r>
    </w:p>
    <w:p w:rsidR="00A97C3B" w:rsidRPr="00C23D3D" w:rsidRDefault="00A97C3B" w:rsidP="000055AE">
      <w:pPr>
        <w:pStyle w:val="Heading5"/>
        <w:spacing w:before="0" w:after="0"/>
        <w:ind w:left="2880" w:hanging="2880"/>
        <w:rPr>
          <w:rFonts w:asciiTheme="minorHAnsi" w:hAnsiTheme="minorHAnsi"/>
          <w:i w:val="0"/>
          <w:u w:val="single"/>
        </w:rPr>
      </w:pPr>
    </w:p>
    <w:p w:rsidR="00A97C3B" w:rsidRPr="00C23D3D" w:rsidRDefault="0091123E" w:rsidP="000055AE">
      <w:pPr>
        <w:pStyle w:val="Heading5"/>
        <w:keepNext/>
        <w:spacing w:before="0" w:after="0"/>
        <w:rPr>
          <w:rFonts w:asciiTheme="minorHAnsi" w:hAnsiTheme="minorHAnsi"/>
          <w:b w:val="0"/>
        </w:rPr>
      </w:pPr>
      <w:r w:rsidRPr="00C23D3D">
        <w:rPr>
          <w:rFonts w:asciiTheme="minorHAnsi" w:hAnsiTheme="minorHAnsi"/>
          <w:b w:val="0"/>
        </w:rPr>
        <w:lastRenderedPageBreak/>
        <w:t>New s</w:t>
      </w:r>
      <w:r w:rsidR="00A97C3B" w:rsidRPr="00C23D3D">
        <w:rPr>
          <w:rFonts w:asciiTheme="minorHAnsi" w:hAnsiTheme="minorHAnsi"/>
          <w:b w:val="0"/>
        </w:rPr>
        <w:t xml:space="preserve">ection 163G </w:t>
      </w:r>
      <w:r w:rsidR="00A97C3B" w:rsidRPr="00C23D3D">
        <w:rPr>
          <w:rFonts w:asciiTheme="minorHAnsi" w:hAnsiTheme="minorHAnsi"/>
          <w:b w:val="0"/>
        </w:rPr>
        <w:tab/>
        <w:t>Reporting</w:t>
      </w:r>
    </w:p>
    <w:p w:rsidR="005352CB" w:rsidRPr="00C23D3D" w:rsidRDefault="00A97C3B" w:rsidP="000055AE">
      <w:pPr>
        <w:keepNext/>
        <w:spacing w:after="0"/>
        <w:rPr>
          <w:rFonts w:asciiTheme="minorHAnsi" w:hAnsiTheme="minorHAnsi"/>
          <w:szCs w:val="24"/>
        </w:rPr>
      </w:pPr>
      <w:r w:rsidRPr="00C23D3D">
        <w:rPr>
          <w:rFonts w:asciiTheme="minorHAnsi" w:hAnsiTheme="minorHAnsi"/>
          <w:szCs w:val="24"/>
        </w:rPr>
        <w:t xml:space="preserve">New section 163G provides that the </w:t>
      </w:r>
      <w:r w:rsidR="005352CB" w:rsidRPr="00C23D3D">
        <w:rPr>
          <w:rFonts w:asciiTheme="minorHAnsi" w:hAnsiTheme="minorHAnsi"/>
          <w:szCs w:val="24"/>
        </w:rPr>
        <w:t>director-general must include the following informat</w:t>
      </w:r>
      <w:r w:rsidR="00C24949" w:rsidRPr="00C23D3D">
        <w:rPr>
          <w:rFonts w:asciiTheme="minorHAnsi" w:hAnsiTheme="minorHAnsi"/>
          <w:szCs w:val="24"/>
        </w:rPr>
        <w:t xml:space="preserve">ion about the operation of the diversification and sustainability support fund for </w:t>
      </w:r>
      <w:r w:rsidR="005352CB" w:rsidRPr="00C23D3D">
        <w:rPr>
          <w:rFonts w:asciiTheme="minorHAnsi" w:hAnsiTheme="minorHAnsi"/>
          <w:szCs w:val="24"/>
        </w:rPr>
        <w:t>each reporting year within the Directorate</w:t>
      </w:r>
      <w:r w:rsidR="00C24949" w:rsidRPr="00C23D3D">
        <w:rPr>
          <w:rFonts w:asciiTheme="minorHAnsi" w:hAnsiTheme="minorHAnsi"/>
          <w:szCs w:val="24"/>
        </w:rPr>
        <w:t>’</w:t>
      </w:r>
      <w:r w:rsidR="005352CB" w:rsidRPr="00C23D3D">
        <w:rPr>
          <w:rFonts w:asciiTheme="minorHAnsi" w:hAnsiTheme="minorHAnsi"/>
          <w:szCs w:val="24"/>
        </w:rPr>
        <w:t xml:space="preserve">s annual report under the </w:t>
      </w:r>
      <w:r w:rsidR="005352CB" w:rsidRPr="00C23D3D">
        <w:rPr>
          <w:rFonts w:asciiTheme="minorHAnsi" w:hAnsiTheme="minorHAnsi"/>
          <w:i/>
          <w:szCs w:val="24"/>
        </w:rPr>
        <w:t>Annual Reports (Government Agencies) Act 2004</w:t>
      </w:r>
      <w:r w:rsidR="005352CB" w:rsidRPr="00C23D3D">
        <w:rPr>
          <w:rFonts w:asciiTheme="minorHAnsi" w:hAnsiTheme="minorHAnsi"/>
          <w:szCs w:val="24"/>
        </w:rPr>
        <w:t xml:space="preserve">: </w:t>
      </w:r>
    </w:p>
    <w:p w:rsidR="005352CB" w:rsidRPr="00C23D3D" w:rsidRDefault="005352CB" w:rsidP="000055AE">
      <w:pPr>
        <w:pStyle w:val="ListParagraph"/>
        <w:numPr>
          <w:ilvl w:val="0"/>
          <w:numId w:val="30"/>
        </w:numPr>
        <w:autoSpaceDE w:val="0"/>
        <w:autoSpaceDN w:val="0"/>
        <w:adjustRightInd w:val="0"/>
        <w:spacing w:after="0"/>
        <w:ind w:left="714" w:hanging="357"/>
        <w:rPr>
          <w:rFonts w:asciiTheme="minorHAnsi" w:eastAsia="Times New Roman" w:hAnsiTheme="minorHAnsi"/>
          <w:sz w:val="24"/>
          <w:szCs w:val="24"/>
        </w:rPr>
      </w:pPr>
      <w:r w:rsidRPr="00C23D3D">
        <w:rPr>
          <w:rFonts w:asciiTheme="minorHAnsi" w:eastAsia="Times New Roman" w:hAnsiTheme="minorHAnsi"/>
          <w:sz w:val="24"/>
          <w:szCs w:val="24"/>
        </w:rPr>
        <w:t xml:space="preserve">payments into, and out of, the fund during the year; </w:t>
      </w:r>
    </w:p>
    <w:p w:rsidR="005352CB" w:rsidRPr="00C23D3D" w:rsidRDefault="005352CB" w:rsidP="000055AE">
      <w:pPr>
        <w:pStyle w:val="ListParagraph"/>
        <w:numPr>
          <w:ilvl w:val="0"/>
          <w:numId w:val="30"/>
        </w:numPr>
        <w:autoSpaceDE w:val="0"/>
        <w:autoSpaceDN w:val="0"/>
        <w:adjustRightInd w:val="0"/>
        <w:spacing w:after="0"/>
        <w:ind w:left="714" w:hanging="357"/>
        <w:rPr>
          <w:rFonts w:asciiTheme="minorHAnsi" w:eastAsia="Times New Roman" w:hAnsiTheme="minorHAnsi"/>
          <w:sz w:val="24"/>
          <w:szCs w:val="24"/>
        </w:rPr>
      </w:pPr>
      <w:r w:rsidRPr="00C23D3D">
        <w:rPr>
          <w:rFonts w:asciiTheme="minorHAnsi" w:eastAsia="Times New Roman" w:hAnsiTheme="minorHAnsi"/>
          <w:sz w:val="24"/>
          <w:szCs w:val="24"/>
        </w:rPr>
        <w:t>the name of each person</w:t>
      </w:r>
      <w:r w:rsidR="00C24949" w:rsidRPr="00C23D3D">
        <w:rPr>
          <w:rFonts w:asciiTheme="minorHAnsi" w:eastAsia="Times New Roman" w:hAnsiTheme="minorHAnsi"/>
          <w:sz w:val="24"/>
          <w:szCs w:val="24"/>
        </w:rPr>
        <w:t xml:space="preserve"> (other than an individual)</w:t>
      </w:r>
      <w:r w:rsidRPr="00C23D3D">
        <w:rPr>
          <w:rFonts w:asciiTheme="minorHAnsi" w:eastAsia="Times New Roman" w:hAnsiTheme="minorHAnsi"/>
          <w:sz w:val="24"/>
          <w:szCs w:val="24"/>
        </w:rPr>
        <w:t xml:space="preserve"> who made a payment into the fund or who received a payment out of the fund; </w:t>
      </w:r>
    </w:p>
    <w:p w:rsidR="00A97C3B" w:rsidRPr="00C23D3D" w:rsidRDefault="005352CB" w:rsidP="000055AE">
      <w:pPr>
        <w:pStyle w:val="ListParagraph"/>
        <w:numPr>
          <w:ilvl w:val="0"/>
          <w:numId w:val="30"/>
        </w:numPr>
        <w:spacing w:after="0"/>
        <w:ind w:left="714" w:hanging="357"/>
        <w:rPr>
          <w:rFonts w:asciiTheme="minorHAnsi" w:eastAsia="Times New Roman" w:hAnsiTheme="minorHAnsi"/>
          <w:sz w:val="24"/>
          <w:szCs w:val="24"/>
        </w:rPr>
      </w:pPr>
      <w:r w:rsidRPr="00C23D3D">
        <w:rPr>
          <w:rFonts w:asciiTheme="minorHAnsi" w:eastAsia="Times New Roman" w:hAnsiTheme="minorHAnsi"/>
          <w:sz w:val="24"/>
          <w:szCs w:val="24"/>
        </w:rPr>
        <w:t>the purposes for which payments were made out of the fund.</w:t>
      </w:r>
    </w:p>
    <w:p w:rsidR="00076D72" w:rsidRPr="00C23D3D" w:rsidRDefault="00076D72" w:rsidP="000055AE">
      <w:pPr>
        <w:spacing w:after="0"/>
        <w:ind w:left="357"/>
        <w:rPr>
          <w:rFonts w:asciiTheme="minorHAnsi" w:eastAsia="Times New Roman" w:hAnsiTheme="minorHAnsi"/>
          <w:szCs w:val="24"/>
        </w:rPr>
      </w:pPr>
    </w:p>
    <w:p w:rsidR="00C24949" w:rsidRPr="00C23D3D" w:rsidRDefault="00C24949" w:rsidP="000055AE">
      <w:pPr>
        <w:spacing w:after="0"/>
        <w:rPr>
          <w:rFonts w:asciiTheme="minorHAnsi" w:hAnsiTheme="minorHAnsi"/>
          <w:szCs w:val="24"/>
        </w:rPr>
      </w:pPr>
      <w:r w:rsidRPr="00C23D3D">
        <w:rPr>
          <w:rFonts w:asciiTheme="minorHAnsi" w:hAnsiTheme="minorHAnsi"/>
          <w:szCs w:val="24"/>
        </w:rPr>
        <w:t xml:space="preserve">New section 163G(2) provides the definition of the term ‘reporting year’ for section 163G with a signpost to the Dictionary of the </w:t>
      </w:r>
      <w:r w:rsidRPr="002D6870">
        <w:rPr>
          <w:rFonts w:asciiTheme="minorHAnsi" w:hAnsiTheme="minorHAnsi"/>
          <w:i/>
          <w:szCs w:val="24"/>
        </w:rPr>
        <w:t>Annual Reports (Government Agencies) Act 2004</w:t>
      </w:r>
      <w:r w:rsidRPr="00C23D3D">
        <w:rPr>
          <w:rFonts w:asciiTheme="minorHAnsi" w:hAnsiTheme="minorHAnsi"/>
          <w:szCs w:val="24"/>
        </w:rPr>
        <w:t>.</w:t>
      </w:r>
    </w:p>
    <w:p w:rsidR="00B5680B" w:rsidRPr="00C23D3D" w:rsidRDefault="00B5680B" w:rsidP="000055AE">
      <w:pPr>
        <w:spacing w:after="0"/>
        <w:rPr>
          <w:rFonts w:asciiTheme="minorHAnsi" w:hAnsiTheme="minorHAnsi"/>
          <w:szCs w:val="24"/>
          <w:highlight w:val="yellow"/>
        </w:rPr>
      </w:pPr>
    </w:p>
    <w:p w:rsidR="00CF1023" w:rsidRPr="00C23D3D" w:rsidRDefault="005803F1" w:rsidP="008736D6">
      <w:pPr>
        <w:pStyle w:val="Heading5"/>
        <w:keepNext/>
        <w:spacing w:before="0" w:after="0"/>
        <w:ind w:left="2880" w:hanging="2880"/>
        <w:rPr>
          <w:rFonts w:asciiTheme="minorHAnsi" w:hAnsiTheme="minorHAnsi"/>
          <w:u w:val="single"/>
        </w:rPr>
      </w:pPr>
      <w:r w:rsidRPr="00C23D3D">
        <w:rPr>
          <w:rFonts w:asciiTheme="minorHAnsi" w:hAnsiTheme="minorHAnsi"/>
          <w:u w:val="single"/>
        </w:rPr>
        <w:t>New s</w:t>
      </w:r>
      <w:r w:rsidR="00CF1023" w:rsidRPr="00C23D3D">
        <w:rPr>
          <w:rFonts w:asciiTheme="minorHAnsi" w:hAnsiTheme="minorHAnsi"/>
          <w:u w:val="single"/>
        </w:rPr>
        <w:t>ubdivision 11.3.2</w:t>
      </w:r>
      <w:r w:rsidR="00CF1023" w:rsidRPr="00C23D3D">
        <w:rPr>
          <w:rFonts w:asciiTheme="minorHAnsi" w:hAnsiTheme="minorHAnsi"/>
          <w:u w:val="single"/>
        </w:rPr>
        <w:tab/>
        <w:t>Payments to and from diversification and sustainability support fund</w:t>
      </w:r>
    </w:p>
    <w:p w:rsidR="00D84344" w:rsidRPr="00C23D3D" w:rsidRDefault="00D84344" w:rsidP="000055AE">
      <w:pPr>
        <w:pStyle w:val="Heading5"/>
        <w:keepNext/>
        <w:spacing w:before="0" w:after="0"/>
        <w:rPr>
          <w:rFonts w:asciiTheme="minorHAnsi" w:hAnsiTheme="minorHAnsi"/>
          <w:b w:val="0"/>
          <w:i w:val="0"/>
        </w:rPr>
      </w:pPr>
      <w:r w:rsidRPr="00C23D3D">
        <w:rPr>
          <w:rFonts w:asciiTheme="minorHAnsi" w:hAnsiTheme="minorHAnsi"/>
          <w:b w:val="0"/>
          <w:i w:val="0"/>
        </w:rPr>
        <w:t xml:space="preserve">New subdivision 11.3.2 provides for payments into and out of the diversification and sustainability support fund, as well as </w:t>
      </w:r>
      <w:r w:rsidR="00590A2F" w:rsidRPr="00C23D3D">
        <w:rPr>
          <w:rFonts w:asciiTheme="minorHAnsi" w:hAnsiTheme="minorHAnsi"/>
          <w:b w:val="0"/>
          <w:i w:val="0"/>
        </w:rPr>
        <w:t xml:space="preserve">providing for </w:t>
      </w:r>
      <w:r w:rsidRPr="00C23D3D">
        <w:rPr>
          <w:rFonts w:asciiTheme="minorHAnsi" w:hAnsiTheme="minorHAnsi"/>
          <w:b w:val="0"/>
          <w:i w:val="0"/>
        </w:rPr>
        <w:t xml:space="preserve">the making of guidelines for applications for </w:t>
      </w:r>
      <w:r w:rsidR="00590A2F" w:rsidRPr="00C23D3D">
        <w:rPr>
          <w:rFonts w:asciiTheme="minorHAnsi" w:hAnsiTheme="minorHAnsi"/>
          <w:b w:val="0"/>
          <w:i w:val="0"/>
        </w:rPr>
        <w:t xml:space="preserve">fund </w:t>
      </w:r>
      <w:r w:rsidRPr="00C23D3D">
        <w:rPr>
          <w:rFonts w:asciiTheme="minorHAnsi" w:hAnsiTheme="minorHAnsi"/>
          <w:b w:val="0"/>
          <w:i w:val="0"/>
        </w:rPr>
        <w:t>payments</w:t>
      </w:r>
      <w:r w:rsidR="00590A2F" w:rsidRPr="00C23D3D">
        <w:rPr>
          <w:rFonts w:asciiTheme="minorHAnsi" w:hAnsiTheme="minorHAnsi"/>
          <w:b w:val="0"/>
          <w:i w:val="0"/>
        </w:rPr>
        <w:t>.</w:t>
      </w:r>
    </w:p>
    <w:p w:rsidR="00D84344" w:rsidRPr="00C23D3D" w:rsidRDefault="00D84344" w:rsidP="000055AE">
      <w:pPr>
        <w:pStyle w:val="Heading5"/>
        <w:spacing w:before="0" w:after="0"/>
        <w:rPr>
          <w:rFonts w:asciiTheme="minorHAnsi" w:hAnsiTheme="minorHAnsi"/>
          <w:b w:val="0"/>
          <w:i w:val="0"/>
        </w:rPr>
      </w:pPr>
    </w:p>
    <w:p w:rsidR="005D05D5" w:rsidRPr="00C23D3D" w:rsidRDefault="005D05D5" w:rsidP="000055AE">
      <w:pPr>
        <w:pStyle w:val="Heading5"/>
        <w:keepNext/>
        <w:spacing w:before="0" w:after="0"/>
        <w:rPr>
          <w:rFonts w:asciiTheme="minorHAnsi" w:hAnsiTheme="minorHAnsi"/>
          <w:b w:val="0"/>
        </w:rPr>
      </w:pPr>
      <w:r w:rsidRPr="00C23D3D">
        <w:rPr>
          <w:rFonts w:asciiTheme="minorHAnsi" w:hAnsiTheme="minorHAnsi"/>
          <w:b w:val="0"/>
        </w:rPr>
        <w:t>New section 163</w:t>
      </w:r>
      <w:r w:rsidR="000055AE">
        <w:rPr>
          <w:rFonts w:asciiTheme="minorHAnsi" w:hAnsiTheme="minorHAnsi"/>
          <w:b w:val="0"/>
        </w:rPr>
        <w:t>H</w:t>
      </w:r>
      <w:r w:rsidRPr="00C23D3D">
        <w:rPr>
          <w:rFonts w:asciiTheme="minorHAnsi" w:hAnsiTheme="minorHAnsi"/>
          <w:b w:val="0"/>
        </w:rPr>
        <w:tab/>
        <w:t>Payments to diversification and sustainability support fund</w:t>
      </w:r>
    </w:p>
    <w:p w:rsidR="005D05D5" w:rsidRPr="00C23D3D" w:rsidRDefault="005D05D5" w:rsidP="000055AE">
      <w:pPr>
        <w:spacing w:after="0"/>
        <w:rPr>
          <w:rFonts w:asciiTheme="minorHAnsi" w:hAnsiTheme="minorHAnsi"/>
          <w:szCs w:val="24"/>
        </w:rPr>
      </w:pPr>
      <w:r w:rsidRPr="00C23D3D">
        <w:rPr>
          <w:rFonts w:asciiTheme="minorHAnsi" w:hAnsiTheme="minorHAnsi"/>
          <w:szCs w:val="24"/>
        </w:rPr>
        <w:t xml:space="preserve">New section 163H provides </w:t>
      </w:r>
      <w:r w:rsidR="00294963" w:rsidRPr="00C23D3D">
        <w:rPr>
          <w:rFonts w:asciiTheme="minorHAnsi" w:hAnsiTheme="minorHAnsi"/>
          <w:szCs w:val="24"/>
        </w:rPr>
        <w:t xml:space="preserve">for payments </w:t>
      </w:r>
      <w:r w:rsidRPr="00C23D3D">
        <w:rPr>
          <w:rFonts w:asciiTheme="minorHAnsi" w:hAnsiTheme="minorHAnsi"/>
          <w:szCs w:val="24"/>
        </w:rPr>
        <w:t>to the diversification a</w:t>
      </w:r>
      <w:r w:rsidR="00294963" w:rsidRPr="00C23D3D">
        <w:rPr>
          <w:rFonts w:asciiTheme="minorHAnsi" w:hAnsiTheme="minorHAnsi"/>
          <w:szCs w:val="24"/>
        </w:rPr>
        <w:t>nd sustainability support fund.</w:t>
      </w:r>
    </w:p>
    <w:p w:rsidR="005D05D5" w:rsidRPr="00C23D3D" w:rsidRDefault="005D05D5" w:rsidP="000055AE">
      <w:pPr>
        <w:spacing w:after="0"/>
        <w:rPr>
          <w:rFonts w:asciiTheme="minorHAnsi" w:hAnsiTheme="minorHAnsi"/>
          <w:szCs w:val="24"/>
        </w:rPr>
      </w:pPr>
    </w:p>
    <w:p w:rsidR="00B3692A" w:rsidRPr="00C23D3D" w:rsidRDefault="00294963" w:rsidP="000055AE">
      <w:pPr>
        <w:spacing w:after="0"/>
        <w:rPr>
          <w:rFonts w:asciiTheme="minorHAnsi" w:hAnsiTheme="minorHAnsi"/>
          <w:szCs w:val="24"/>
        </w:rPr>
      </w:pPr>
      <w:r w:rsidRPr="00C23D3D">
        <w:rPr>
          <w:rFonts w:asciiTheme="minorHAnsi" w:hAnsiTheme="minorHAnsi"/>
          <w:szCs w:val="24"/>
        </w:rPr>
        <w:t xml:space="preserve">New section 163H(1) provides that for each tax period, a club licensee is liable to pay the required amount to the Commission for each of the licensee’s authorised premises, and under subsection (2) the Commission is required to pay the amounts received to the diversification and sustainability support fund. </w:t>
      </w:r>
    </w:p>
    <w:p w:rsidR="00B3692A" w:rsidRPr="00C23D3D" w:rsidRDefault="00B3692A" w:rsidP="000055AE">
      <w:pPr>
        <w:spacing w:after="0"/>
        <w:rPr>
          <w:rFonts w:asciiTheme="minorHAnsi" w:hAnsiTheme="minorHAnsi"/>
          <w:szCs w:val="24"/>
        </w:rPr>
      </w:pPr>
    </w:p>
    <w:p w:rsidR="00294963" w:rsidRPr="00C23D3D" w:rsidRDefault="00B3692A" w:rsidP="000055AE">
      <w:pPr>
        <w:spacing w:after="0"/>
        <w:rPr>
          <w:rFonts w:asciiTheme="minorHAnsi" w:hAnsiTheme="minorHAnsi"/>
          <w:szCs w:val="24"/>
        </w:rPr>
      </w:pPr>
      <w:r w:rsidRPr="00C23D3D">
        <w:rPr>
          <w:rFonts w:asciiTheme="minorHAnsi" w:hAnsiTheme="minorHAnsi"/>
          <w:szCs w:val="24"/>
        </w:rPr>
        <w:t xml:space="preserve">In accordance with the definitions for part 11 of the Gaming Machine Act, a tax period is either a month or a quarter, depending on the licensee’s eligibility to elect quarterly payments under section 161A. </w:t>
      </w:r>
      <w:r w:rsidR="00294963" w:rsidRPr="00C23D3D">
        <w:rPr>
          <w:rFonts w:asciiTheme="minorHAnsi" w:hAnsiTheme="minorHAnsi"/>
          <w:szCs w:val="24"/>
        </w:rPr>
        <w:t>To simplify</w:t>
      </w:r>
      <w:r w:rsidRPr="00C23D3D">
        <w:rPr>
          <w:rFonts w:asciiTheme="minorHAnsi" w:hAnsiTheme="minorHAnsi"/>
          <w:szCs w:val="24"/>
        </w:rPr>
        <w:t xml:space="preserve"> and reduce administrative burden associated with</w:t>
      </w:r>
      <w:r w:rsidR="00294963" w:rsidRPr="00C23D3D">
        <w:rPr>
          <w:rFonts w:asciiTheme="minorHAnsi" w:hAnsiTheme="minorHAnsi"/>
          <w:szCs w:val="24"/>
        </w:rPr>
        <w:t xml:space="preserve"> the collection of fund contributions, this provision is intended to align fund contributions with existing arrangements where the Commission collects monthly or quarterly gaming machine tax and other required payments from clubs.</w:t>
      </w:r>
    </w:p>
    <w:p w:rsidR="00294963" w:rsidRPr="00C23D3D" w:rsidRDefault="00294963" w:rsidP="000055AE">
      <w:pPr>
        <w:spacing w:after="0"/>
        <w:rPr>
          <w:rFonts w:asciiTheme="minorHAnsi" w:hAnsiTheme="minorHAnsi"/>
          <w:szCs w:val="24"/>
        </w:rPr>
      </w:pPr>
    </w:p>
    <w:p w:rsidR="005D05D5" w:rsidRPr="00C23D3D" w:rsidRDefault="00B3692A" w:rsidP="000055AE">
      <w:pPr>
        <w:spacing w:after="0"/>
        <w:rPr>
          <w:rFonts w:asciiTheme="minorHAnsi" w:hAnsiTheme="minorHAnsi"/>
          <w:szCs w:val="24"/>
        </w:rPr>
      </w:pPr>
      <w:r w:rsidRPr="00C23D3D">
        <w:rPr>
          <w:rFonts w:asciiTheme="minorHAnsi" w:hAnsiTheme="minorHAnsi"/>
          <w:szCs w:val="24"/>
        </w:rPr>
        <w:t xml:space="preserve">New section 163H(3) establishes how the required monthly or quarterly contribution to the fund is worked out. </w:t>
      </w:r>
      <w:r w:rsidR="005D05D5" w:rsidRPr="00C23D3D">
        <w:rPr>
          <w:rFonts w:asciiTheme="minorHAnsi" w:hAnsiTheme="minorHAnsi"/>
          <w:szCs w:val="24"/>
        </w:rPr>
        <w:t>A club licensee is liable to pay to the Commission $20 per month for the first 99 gaming machine authorisations and $30 per month for</w:t>
      </w:r>
      <w:r w:rsidR="00076D72" w:rsidRPr="00C23D3D">
        <w:rPr>
          <w:rFonts w:asciiTheme="minorHAnsi" w:hAnsiTheme="minorHAnsi"/>
          <w:szCs w:val="24"/>
        </w:rPr>
        <w:t xml:space="preserve"> the 100th and each subsequent</w:t>
      </w:r>
      <w:r w:rsidR="005D05D5" w:rsidRPr="00C23D3D">
        <w:rPr>
          <w:rFonts w:asciiTheme="minorHAnsi" w:hAnsiTheme="minorHAnsi"/>
          <w:szCs w:val="24"/>
        </w:rPr>
        <w:t xml:space="preserve"> authorisation held at each of the licensee</w:t>
      </w:r>
      <w:r w:rsidR="00C24949" w:rsidRPr="00C23D3D">
        <w:rPr>
          <w:rFonts w:asciiTheme="minorHAnsi" w:hAnsiTheme="minorHAnsi"/>
          <w:szCs w:val="24"/>
        </w:rPr>
        <w:t>’</w:t>
      </w:r>
      <w:r w:rsidR="005D05D5" w:rsidRPr="00C23D3D">
        <w:rPr>
          <w:rFonts w:asciiTheme="minorHAnsi" w:hAnsiTheme="minorHAnsi"/>
          <w:szCs w:val="24"/>
        </w:rPr>
        <w:t>s authorised premises.</w:t>
      </w:r>
    </w:p>
    <w:p w:rsidR="005D05D5" w:rsidRPr="00C23D3D" w:rsidRDefault="005D05D5" w:rsidP="000055AE">
      <w:pPr>
        <w:spacing w:after="0"/>
        <w:rPr>
          <w:rFonts w:asciiTheme="minorHAnsi" w:hAnsiTheme="minorHAnsi"/>
          <w:szCs w:val="24"/>
        </w:rPr>
      </w:pPr>
    </w:p>
    <w:p w:rsidR="005D05D5" w:rsidRPr="00C23D3D" w:rsidRDefault="00294963" w:rsidP="000055AE">
      <w:pPr>
        <w:spacing w:after="0"/>
        <w:rPr>
          <w:rFonts w:asciiTheme="minorHAnsi" w:hAnsiTheme="minorHAnsi"/>
          <w:szCs w:val="24"/>
        </w:rPr>
      </w:pPr>
      <w:r w:rsidRPr="00C23D3D">
        <w:rPr>
          <w:rFonts w:asciiTheme="minorHAnsi" w:hAnsiTheme="minorHAnsi"/>
          <w:szCs w:val="24"/>
        </w:rPr>
        <w:lastRenderedPageBreak/>
        <w:t xml:space="preserve">For example, Club ABC </w:t>
      </w:r>
      <w:r w:rsidR="005D05D5" w:rsidRPr="00C23D3D">
        <w:rPr>
          <w:rFonts w:asciiTheme="minorHAnsi" w:hAnsiTheme="minorHAnsi"/>
          <w:szCs w:val="24"/>
        </w:rPr>
        <w:t xml:space="preserve">Pty Ltd </w:t>
      </w:r>
      <w:r w:rsidR="00C24949" w:rsidRPr="00C23D3D">
        <w:rPr>
          <w:rFonts w:asciiTheme="minorHAnsi" w:hAnsiTheme="minorHAnsi"/>
          <w:szCs w:val="24"/>
        </w:rPr>
        <w:t>operates</w:t>
      </w:r>
      <w:r w:rsidR="005D05D5" w:rsidRPr="00C23D3D">
        <w:rPr>
          <w:rFonts w:asciiTheme="minorHAnsi" w:hAnsiTheme="minorHAnsi"/>
          <w:szCs w:val="24"/>
        </w:rPr>
        <w:t xml:space="preserve"> two clubs. Club A </w:t>
      </w:r>
      <w:r w:rsidR="00C24949" w:rsidRPr="00C23D3D">
        <w:rPr>
          <w:rFonts w:asciiTheme="minorHAnsi" w:hAnsiTheme="minorHAnsi"/>
          <w:szCs w:val="24"/>
        </w:rPr>
        <w:t>holds</w:t>
      </w:r>
      <w:r w:rsidR="005D05D5" w:rsidRPr="00C23D3D">
        <w:rPr>
          <w:rFonts w:asciiTheme="minorHAnsi" w:hAnsiTheme="minorHAnsi"/>
          <w:szCs w:val="24"/>
        </w:rPr>
        <w:t xml:space="preserve"> 90 authorisations </w:t>
      </w:r>
      <w:r w:rsidR="00C24949" w:rsidRPr="00C23D3D">
        <w:rPr>
          <w:rFonts w:asciiTheme="minorHAnsi" w:hAnsiTheme="minorHAnsi"/>
          <w:szCs w:val="24"/>
        </w:rPr>
        <w:t>under its authorisation certificate and Club B holds</w:t>
      </w:r>
      <w:r w:rsidR="005D05D5" w:rsidRPr="00C23D3D">
        <w:rPr>
          <w:rFonts w:asciiTheme="minorHAnsi" w:hAnsiTheme="minorHAnsi"/>
          <w:szCs w:val="24"/>
        </w:rPr>
        <w:t xml:space="preserve"> 120 authorisations</w:t>
      </w:r>
      <w:r w:rsidR="00C24949" w:rsidRPr="00C23D3D">
        <w:rPr>
          <w:rFonts w:asciiTheme="minorHAnsi" w:hAnsiTheme="minorHAnsi"/>
          <w:szCs w:val="24"/>
        </w:rPr>
        <w:t xml:space="preserve"> under its authorisation certificate</w:t>
      </w:r>
      <w:r w:rsidR="005D05D5" w:rsidRPr="00C23D3D">
        <w:rPr>
          <w:rFonts w:asciiTheme="minorHAnsi" w:hAnsiTheme="minorHAnsi"/>
          <w:szCs w:val="24"/>
        </w:rPr>
        <w:t>. Club ABC Pty Ltd must pay the Commission a total of $4,410</w:t>
      </w:r>
      <w:r w:rsidRPr="00C23D3D">
        <w:rPr>
          <w:rFonts w:asciiTheme="minorHAnsi" w:hAnsiTheme="minorHAnsi"/>
          <w:szCs w:val="24"/>
        </w:rPr>
        <w:t xml:space="preserve"> for each month</w:t>
      </w:r>
      <w:r w:rsidR="005D05D5" w:rsidRPr="00C23D3D">
        <w:rPr>
          <w:rFonts w:asciiTheme="minorHAnsi" w:hAnsiTheme="minorHAnsi"/>
          <w:szCs w:val="24"/>
        </w:rPr>
        <w:t>, being $1,800 ($2</w:t>
      </w:r>
      <w:r w:rsidR="00603614">
        <w:rPr>
          <w:rFonts w:asciiTheme="minorHAnsi" w:hAnsiTheme="minorHAnsi"/>
          <w:szCs w:val="24"/>
        </w:rPr>
        <w:t>0*</w:t>
      </w:r>
      <w:r w:rsidR="005D05D5" w:rsidRPr="00C23D3D">
        <w:rPr>
          <w:rFonts w:asciiTheme="minorHAnsi" w:hAnsiTheme="minorHAnsi"/>
          <w:szCs w:val="24"/>
        </w:rPr>
        <w:t xml:space="preserve">90) for Club A and $2,610 (($20*120)+($10*21)) for Club B. </w:t>
      </w:r>
    </w:p>
    <w:p w:rsidR="005D05D5" w:rsidRPr="00C23D3D" w:rsidRDefault="005D05D5" w:rsidP="000055AE">
      <w:pPr>
        <w:spacing w:after="0"/>
        <w:rPr>
          <w:rFonts w:asciiTheme="minorHAnsi" w:hAnsiTheme="minorHAnsi"/>
          <w:szCs w:val="24"/>
        </w:rPr>
      </w:pPr>
    </w:p>
    <w:p w:rsidR="005D05D5" w:rsidRPr="00C23D3D" w:rsidRDefault="00294963" w:rsidP="000055AE">
      <w:pPr>
        <w:spacing w:after="0"/>
        <w:rPr>
          <w:rFonts w:asciiTheme="minorHAnsi" w:hAnsiTheme="minorHAnsi"/>
          <w:szCs w:val="24"/>
        </w:rPr>
      </w:pPr>
      <w:r w:rsidRPr="00C23D3D">
        <w:rPr>
          <w:rFonts w:asciiTheme="minorHAnsi" w:hAnsiTheme="minorHAnsi"/>
          <w:szCs w:val="24"/>
        </w:rPr>
        <w:t>Under new section 163H(4), t</w:t>
      </w:r>
      <w:r w:rsidR="005D05D5" w:rsidRPr="00C23D3D">
        <w:rPr>
          <w:rFonts w:asciiTheme="minorHAnsi" w:hAnsiTheme="minorHAnsi"/>
          <w:szCs w:val="24"/>
        </w:rPr>
        <w:t xml:space="preserve">he amount required to be paid for a tax period is payable on the 7th day </w:t>
      </w:r>
      <w:r w:rsidR="00B3692A" w:rsidRPr="00C23D3D">
        <w:rPr>
          <w:rFonts w:asciiTheme="minorHAnsi" w:hAnsiTheme="minorHAnsi"/>
          <w:szCs w:val="24"/>
        </w:rPr>
        <w:t>after the end of the tax period (i.e. on the 7th day after the month or quarter, depending on the licensee’s eligibility to make quarterly payments).</w:t>
      </w:r>
    </w:p>
    <w:p w:rsidR="00B3692A" w:rsidRPr="00C23D3D" w:rsidRDefault="00B3692A" w:rsidP="000055AE">
      <w:pPr>
        <w:spacing w:after="0"/>
        <w:rPr>
          <w:rFonts w:asciiTheme="minorHAnsi" w:hAnsiTheme="minorHAnsi"/>
          <w:szCs w:val="24"/>
        </w:rPr>
      </w:pPr>
    </w:p>
    <w:p w:rsidR="00B3692A" w:rsidRPr="00C23D3D" w:rsidRDefault="00B3692A" w:rsidP="000055AE">
      <w:pPr>
        <w:spacing w:after="0"/>
        <w:rPr>
          <w:rFonts w:asciiTheme="minorHAnsi" w:hAnsiTheme="minorHAnsi"/>
          <w:szCs w:val="24"/>
        </w:rPr>
      </w:pPr>
      <w:r w:rsidRPr="00C23D3D">
        <w:rPr>
          <w:rFonts w:asciiTheme="minorHAnsi" w:hAnsiTheme="minorHAnsi"/>
          <w:szCs w:val="24"/>
        </w:rPr>
        <w:t>New section 163H(5) provides the definition of ‘authorised premises’ for section 163H, meaning an aut</w:t>
      </w:r>
      <w:r w:rsidR="009F224A" w:rsidRPr="00C23D3D">
        <w:rPr>
          <w:rFonts w:asciiTheme="minorHAnsi" w:hAnsiTheme="minorHAnsi"/>
          <w:szCs w:val="24"/>
        </w:rPr>
        <w:t>horised premises of the licensee</w:t>
      </w:r>
      <w:r w:rsidRPr="00C23D3D">
        <w:rPr>
          <w:rFonts w:asciiTheme="minorHAnsi" w:hAnsiTheme="minorHAnsi"/>
          <w:szCs w:val="24"/>
        </w:rPr>
        <w:t xml:space="preserve"> at the beginning of the first day of the tax period.</w:t>
      </w:r>
    </w:p>
    <w:p w:rsidR="005D05D5" w:rsidRPr="00C23D3D" w:rsidRDefault="005D05D5" w:rsidP="000055AE">
      <w:pPr>
        <w:spacing w:after="0"/>
        <w:rPr>
          <w:rFonts w:asciiTheme="minorHAnsi" w:hAnsiTheme="minorHAnsi"/>
          <w:szCs w:val="24"/>
        </w:rPr>
      </w:pPr>
    </w:p>
    <w:p w:rsidR="007B6680" w:rsidRPr="00C23D3D" w:rsidRDefault="0091123E" w:rsidP="000055AE">
      <w:pPr>
        <w:pStyle w:val="Heading5"/>
        <w:keepNext/>
        <w:spacing w:before="0" w:after="0"/>
        <w:rPr>
          <w:rFonts w:asciiTheme="minorHAnsi" w:hAnsiTheme="minorHAnsi"/>
          <w:b w:val="0"/>
        </w:rPr>
      </w:pPr>
      <w:r w:rsidRPr="00C23D3D">
        <w:rPr>
          <w:rFonts w:asciiTheme="minorHAnsi" w:hAnsiTheme="minorHAnsi"/>
          <w:b w:val="0"/>
        </w:rPr>
        <w:t>New s</w:t>
      </w:r>
      <w:r w:rsidR="007B6680" w:rsidRPr="00C23D3D">
        <w:rPr>
          <w:rFonts w:asciiTheme="minorHAnsi" w:hAnsiTheme="minorHAnsi"/>
          <w:b w:val="0"/>
        </w:rPr>
        <w:t>ection 163</w:t>
      </w:r>
      <w:r w:rsidR="000055AE">
        <w:rPr>
          <w:rFonts w:asciiTheme="minorHAnsi" w:hAnsiTheme="minorHAnsi"/>
          <w:b w:val="0"/>
        </w:rPr>
        <w:t>I</w:t>
      </w:r>
      <w:r w:rsidR="00CF1023" w:rsidRPr="00C23D3D">
        <w:rPr>
          <w:rFonts w:asciiTheme="minorHAnsi" w:hAnsiTheme="minorHAnsi"/>
          <w:b w:val="0"/>
        </w:rPr>
        <w:tab/>
      </w:r>
      <w:r w:rsidR="009F224A" w:rsidRPr="00C23D3D">
        <w:rPr>
          <w:rFonts w:asciiTheme="minorHAnsi" w:hAnsiTheme="minorHAnsi"/>
          <w:b w:val="0"/>
        </w:rPr>
        <w:t>Payments out of diversification and sustainability support fund</w:t>
      </w:r>
    </w:p>
    <w:p w:rsidR="00CF1023" w:rsidRPr="00C23D3D" w:rsidRDefault="009F224A" w:rsidP="000055AE">
      <w:pPr>
        <w:spacing w:after="0"/>
        <w:rPr>
          <w:rFonts w:asciiTheme="minorHAnsi" w:hAnsiTheme="minorHAnsi"/>
          <w:szCs w:val="24"/>
        </w:rPr>
      </w:pPr>
      <w:r w:rsidRPr="00C23D3D">
        <w:rPr>
          <w:rFonts w:asciiTheme="minorHAnsi" w:hAnsiTheme="minorHAnsi"/>
          <w:szCs w:val="24"/>
        </w:rPr>
        <w:t>New section 163I provides for payments out of the diversification and sustainability support fund.</w:t>
      </w:r>
    </w:p>
    <w:p w:rsidR="009F224A" w:rsidRPr="00C23D3D" w:rsidRDefault="009F224A" w:rsidP="000055AE">
      <w:pPr>
        <w:spacing w:after="0"/>
        <w:rPr>
          <w:rFonts w:asciiTheme="minorHAnsi" w:hAnsiTheme="minorHAnsi"/>
          <w:szCs w:val="24"/>
        </w:rPr>
      </w:pPr>
    </w:p>
    <w:p w:rsidR="009F224A" w:rsidRPr="00C23D3D" w:rsidRDefault="009F224A" w:rsidP="000055AE">
      <w:pPr>
        <w:spacing w:after="0"/>
        <w:rPr>
          <w:rFonts w:asciiTheme="minorHAnsi" w:hAnsiTheme="minorHAnsi"/>
          <w:szCs w:val="24"/>
        </w:rPr>
      </w:pPr>
      <w:r w:rsidRPr="00C23D3D">
        <w:rPr>
          <w:rFonts w:asciiTheme="minorHAnsi" w:hAnsiTheme="minorHAnsi"/>
          <w:szCs w:val="24"/>
        </w:rPr>
        <w:t>Under new section 163I(1), a payment out of the fund may only be made in accordance with section 163I.</w:t>
      </w:r>
    </w:p>
    <w:p w:rsidR="009F224A" w:rsidRPr="00C23D3D" w:rsidRDefault="009F224A" w:rsidP="000055AE">
      <w:pPr>
        <w:spacing w:after="0"/>
        <w:rPr>
          <w:rFonts w:asciiTheme="minorHAnsi" w:hAnsiTheme="minorHAnsi"/>
          <w:szCs w:val="24"/>
        </w:rPr>
      </w:pPr>
    </w:p>
    <w:p w:rsidR="009F224A" w:rsidRPr="00C23D3D" w:rsidRDefault="009F224A" w:rsidP="000055AE">
      <w:pPr>
        <w:spacing w:after="0"/>
        <w:rPr>
          <w:rFonts w:asciiTheme="minorHAnsi" w:hAnsiTheme="minorHAnsi"/>
          <w:szCs w:val="24"/>
        </w:rPr>
      </w:pPr>
      <w:r w:rsidRPr="00C23D3D">
        <w:rPr>
          <w:rFonts w:asciiTheme="minorHAnsi" w:hAnsiTheme="minorHAnsi"/>
          <w:szCs w:val="24"/>
        </w:rPr>
        <w:t>New section 163I(2) provides that the director-general must make a payment out of the diversification and sustainability support fund if:</w:t>
      </w:r>
    </w:p>
    <w:p w:rsidR="005D05D5" w:rsidRPr="00C23D3D" w:rsidRDefault="005D05D5" w:rsidP="000055AE">
      <w:pPr>
        <w:pStyle w:val="ListParagraph"/>
        <w:numPr>
          <w:ilvl w:val="0"/>
          <w:numId w:val="32"/>
        </w:numPr>
        <w:autoSpaceDE w:val="0"/>
        <w:autoSpaceDN w:val="0"/>
        <w:adjustRightInd w:val="0"/>
        <w:spacing w:after="0"/>
        <w:rPr>
          <w:rFonts w:asciiTheme="minorHAnsi" w:hAnsiTheme="minorHAnsi"/>
          <w:color w:val="000000"/>
          <w:sz w:val="24"/>
          <w:szCs w:val="24"/>
        </w:rPr>
      </w:pPr>
      <w:r w:rsidRPr="00C23D3D">
        <w:rPr>
          <w:rFonts w:asciiTheme="minorHAnsi" w:hAnsiTheme="minorHAnsi"/>
          <w:color w:val="000000"/>
          <w:sz w:val="24"/>
          <w:szCs w:val="24"/>
        </w:rPr>
        <w:t xml:space="preserve">an application for the payment has been made in accordance with any guidelines made under section 163J; and </w:t>
      </w:r>
    </w:p>
    <w:p w:rsidR="005D05D5" w:rsidRPr="00C23D3D" w:rsidRDefault="005D05D5" w:rsidP="000055AE">
      <w:pPr>
        <w:pStyle w:val="ListParagraph"/>
        <w:numPr>
          <w:ilvl w:val="0"/>
          <w:numId w:val="32"/>
        </w:numPr>
        <w:autoSpaceDE w:val="0"/>
        <w:autoSpaceDN w:val="0"/>
        <w:adjustRightInd w:val="0"/>
        <w:spacing w:after="0"/>
        <w:rPr>
          <w:rFonts w:asciiTheme="minorHAnsi" w:hAnsiTheme="minorHAnsi"/>
          <w:color w:val="000000"/>
          <w:sz w:val="24"/>
          <w:szCs w:val="24"/>
        </w:rPr>
      </w:pPr>
      <w:r w:rsidRPr="00C23D3D">
        <w:rPr>
          <w:rFonts w:asciiTheme="minorHAnsi" w:hAnsiTheme="minorHAnsi"/>
          <w:color w:val="000000"/>
          <w:sz w:val="24"/>
          <w:szCs w:val="24"/>
        </w:rPr>
        <w:t xml:space="preserve">the payment is for a purpose mentioned in section 163F(2); and </w:t>
      </w:r>
    </w:p>
    <w:p w:rsidR="005D05D5" w:rsidRPr="00C23D3D" w:rsidRDefault="005D05D5" w:rsidP="000055AE">
      <w:pPr>
        <w:pStyle w:val="ListParagraph"/>
        <w:numPr>
          <w:ilvl w:val="0"/>
          <w:numId w:val="32"/>
        </w:numPr>
        <w:spacing w:after="0"/>
        <w:rPr>
          <w:rFonts w:asciiTheme="minorHAnsi" w:hAnsiTheme="minorHAnsi"/>
          <w:sz w:val="24"/>
          <w:szCs w:val="24"/>
        </w:rPr>
      </w:pPr>
      <w:r w:rsidRPr="00C23D3D">
        <w:rPr>
          <w:rFonts w:asciiTheme="minorHAnsi" w:hAnsiTheme="minorHAnsi"/>
          <w:color w:val="000000"/>
          <w:sz w:val="24"/>
          <w:szCs w:val="24"/>
        </w:rPr>
        <w:t>the Minister directs the director-general to make the payment after the Minister has consulted with the advisory board in relation to the payment.</w:t>
      </w:r>
    </w:p>
    <w:p w:rsidR="005D05D5" w:rsidRPr="00C23D3D" w:rsidRDefault="005D05D5" w:rsidP="000055AE">
      <w:pPr>
        <w:spacing w:after="0"/>
        <w:rPr>
          <w:rFonts w:asciiTheme="minorHAnsi" w:hAnsiTheme="minorHAnsi"/>
          <w:szCs w:val="24"/>
        </w:rPr>
      </w:pPr>
    </w:p>
    <w:p w:rsidR="008149F6" w:rsidRPr="00C23D3D" w:rsidRDefault="0091123E" w:rsidP="000055AE">
      <w:pPr>
        <w:pStyle w:val="Heading5"/>
        <w:keepNext/>
        <w:spacing w:before="0" w:after="0"/>
        <w:ind w:left="2160" w:hanging="2160"/>
        <w:rPr>
          <w:rFonts w:asciiTheme="minorHAnsi" w:hAnsiTheme="minorHAnsi"/>
          <w:b w:val="0"/>
        </w:rPr>
      </w:pPr>
      <w:r w:rsidRPr="00C23D3D">
        <w:rPr>
          <w:rFonts w:asciiTheme="minorHAnsi" w:hAnsiTheme="minorHAnsi"/>
          <w:b w:val="0"/>
        </w:rPr>
        <w:t>New s</w:t>
      </w:r>
      <w:r w:rsidR="008149F6" w:rsidRPr="00C23D3D">
        <w:rPr>
          <w:rFonts w:asciiTheme="minorHAnsi" w:hAnsiTheme="minorHAnsi"/>
          <w:b w:val="0"/>
        </w:rPr>
        <w:t>ection 163</w:t>
      </w:r>
      <w:r w:rsidR="000055AE">
        <w:rPr>
          <w:rFonts w:asciiTheme="minorHAnsi" w:hAnsiTheme="minorHAnsi"/>
          <w:b w:val="0"/>
        </w:rPr>
        <w:t>J</w:t>
      </w:r>
      <w:r w:rsidR="008149F6" w:rsidRPr="00C23D3D">
        <w:rPr>
          <w:rFonts w:asciiTheme="minorHAnsi" w:hAnsiTheme="minorHAnsi"/>
          <w:b w:val="0"/>
        </w:rPr>
        <w:tab/>
        <w:t>Guidelines for applications for payments out of diversification and sustainability support fund</w:t>
      </w:r>
    </w:p>
    <w:p w:rsidR="008149F6" w:rsidRPr="00C23D3D" w:rsidRDefault="008149F6" w:rsidP="000055AE">
      <w:pPr>
        <w:spacing w:after="0"/>
        <w:rPr>
          <w:rFonts w:asciiTheme="minorHAnsi" w:hAnsiTheme="minorHAnsi"/>
          <w:szCs w:val="24"/>
        </w:rPr>
      </w:pPr>
      <w:r w:rsidRPr="00C23D3D">
        <w:rPr>
          <w:rFonts w:asciiTheme="minorHAnsi" w:hAnsiTheme="minorHAnsi"/>
          <w:szCs w:val="24"/>
        </w:rPr>
        <w:t>New section 163J provides for guidelines for applications for payments out of the diversification and sustainability support fund.</w:t>
      </w:r>
    </w:p>
    <w:p w:rsidR="008149F6" w:rsidRPr="00C23D3D" w:rsidRDefault="008149F6" w:rsidP="000055AE">
      <w:pPr>
        <w:spacing w:after="0"/>
        <w:rPr>
          <w:rFonts w:asciiTheme="minorHAnsi" w:hAnsiTheme="minorHAnsi"/>
          <w:szCs w:val="24"/>
        </w:rPr>
      </w:pPr>
    </w:p>
    <w:p w:rsidR="008149F6" w:rsidRPr="00C23D3D" w:rsidRDefault="008149F6" w:rsidP="000055AE">
      <w:pPr>
        <w:spacing w:after="0"/>
        <w:rPr>
          <w:rFonts w:asciiTheme="minorHAnsi" w:hAnsiTheme="minorHAnsi"/>
          <w:szCs w:val="24"/>
        </w:rPr>
      </w:pPr>
      <w:r w:rsidRPr="00C23D3D">
        <w:rPr>
          <w:rFonts w:asciiTheme="minorHAnsi" w:hAnsiTheme="minorHAnsi"/>
          <w:szCs w:val="24"/>
        </w:rPr>
        <w:t>Under new section 163J(1), the Minister may make guidelines for applications from entities seeking payments out of the fund.</w:t>
      </w:r>
    </w:p>
    <w:p w:rsidR="008149F6" w:rsidRPr="00C23D3D" w:rsidRDefault="008149F6" w:rsidP="000055AE">
      <w:pPr>
        <w:spacing w:after="0"/>
        <w:rPr>
          <w:rFonts w:asciiTheme="minorHAnsi" w:hAnsiTheme="minorHAnsi"/>
          <w:szCs w:val="24"/>
        </w:rPr>
      </w:pPr>
    </w:p>
    <w:p w:rsidR="008149F6" w:rsidRPr="00C23D3D" w:rsidRDefault="008149F6" w:rsidP="000055AE">
      <w:pPr>
        <w:spacing w:after="0"/>
        <w:rPr>
          <w:rFonts w:asciiTheme="minorHAnsi" w:hAnsiTheme="minorHAnsi"/>
          <w:szCs w:val="24"/>
        </w:rPr>
      </w:pPr>
      <w:r w:rsidRPr="00C23D3D">
        <w:rPr>
          <w:rFonts w:asciiTheme="minorHAnsi" w:hAnsiTheme="minorHAnsi"/>
          <w:szCs w:val="24"/>
        </w:rPr>
        <w:t>New section 163J(2) provides that guidelines may include guidelines about the kinds of applications, or applicants, to be considered for payments out of the fund for a particular year or period.</w:t>
      </w:r>
    </w:p>
    <w:p w:rsidR="008149F6" w:rsidRPr="00C23D3D" w:rsidRDefault="008149F6" w:rsidP="000055AE">
      <w:pPr>
        <w:spacing w:after="0"/>
        <w:rPr>
          <w:rFonts w:asciiTheme="minorHAnsi" w:hAnsiTheme="minorHAnsi"/>
          <w:szCs w:val="24"/>
        </w:rPr>
      </w:pPr>
    </w:p>
    <w:p w:rsidR="008149F6" w:rsidRPr="00C23D3D" w:rsidRDefault="008149F6" w:rsidP="000055AE">
      <w:pPr>
        <w:spacing w:after="0"/>
        <w:rPr>
          <w:rFonts w:asciiTheme="minorHAnsi" w:hAnsiTheme="minorHAnsi"/>
          <w:szCs w:val="24"/>
        </w:rPr>
      </w:pPr>
      <w:r w:rsidRPr="00C23D3D">
        <w:rPr>
          <w:rFonts w:asciiTheme="minorHAnsi" w:hAnsiTheme="minorHAnsi"/>
          <w:szCs w:val="24"/>
        </w:rPr>
        <w:lastRenderedPageBreak/>
        <w:t>U</w:t>
      </w:r>
      <w:r w:rsidR="005803F1" w:rsidRPr="00C23D3D">
        <w:rPr>
          <w:rFonts w:asciiTheme="minorHAnsi" w:hAnsiTheme="minorHAnsi"/>
          <w:szCs w:val="24"/>
        </w:rPr>
        <w:t>nder new section 163J(3)</w:t>
      </w:r>
      <w:r w:rsidRPr="00C23D3D">
        <w:rPr>
          <w:rFonts w:asciiTheme="minorHAnsi" w:hAnsiTheme="minorHAnsi"/>
          <w:szCs w:val="24"/>
        </w:rPr>
        <w:t xml:space="preserve"> a guideline is a notifiable instrument, which must be notified under the </w:t>
      </w:r>
      <w:r w:rsidRPr="002D6870">
        <w:rPr>
          <w:rFonts w:asciiTheme="minorHAnsi" w:hAnsiTheme="minorHAnsi"/>
          <w:i/>
          <w:szCs w:val="24"/>
        </w:rPr>
        <w:t>Legislation Act 2001</w:t>
      </w:r>
      <w:r w:rsidRPr="00C23D3D">
        <w:rPr>
          <w:rFonts w:asciiTheme="minorHAnsi" w:hAnsiTheme="minorHAnsi"/>
          <w:szCs w:val="24"/>
        </w:rPr>
        <w:t>.</w:t>
      </w:r>
    </w:p>
    <w:p w:rsidR="008149F6" w:rsidRPr="00C23D3D" w:rsidRDefault="008149F6" w:rsidP="000055AE">
      <w:pPr>
        <w:spacing w:after="0"/>
        <w:rPr>
          <w:rFonts w:asciiTheme="minorHAnsi" w:hAnsiTheme="minorHAnsi"/>
          <w:szCs w:val="24"/>
        </w:rPr>
      </w:pPr>
    </w:p>
    <w:p w:rsidR="005D05D5" w:rsidRPr="00C23D3D" w:rsidRDefault="005803F1" w:rsidP="00603614">
      <w:pPr>
        <w:pStyle w:val="Heading5"/>
        <w:keepNext/>
        <w:spacing w:before="0" w:after="0"/>
        <w:ind w:left="2880" w:hanging="2880"/>
        <w:rPr>
          <w:rFonts w:asciiTheme="minorHAnsi" w:hAnsiTheme="minorHAnsi"/>
          <w:u w:val="single"/>
        </w:rPr>
      </w:pPr>
      <w:r w:rsidRPr="00C23D3D">
        <w:rPr>
          <w:rFonts w:asciiTheme="minorHAnsi" w:hAnsiTheme="minorHAnsi"/>
          <w:u w:val="single"/>
        </w:rPr>
        <w:t>New s</w:t>
      </w:r>
      <w:r w:rsidR="005D05D5" w:rsidRPr="00C23D3D">
        <w:rPr>
          <w:rFonts w:asciiTheme="minorHAnsi" w:hAnsiTheme="minorHAnsi"/>
          <w:u w:val="single"/>
        </w:rPr>
        <w:t>ubdivision 11.3.3</w:t>
      </w:r>
      <w:r w:rsidR="005D05D5" w:rsidRPr="00C23D3D">
        <w:rPr>
          <w:rFonts w:asciiTheme="minorHAnsi" w:hAnsiTheme="minorHAnsi"/>
          <w:u w:val="single"/>
        </w:rPr>
        <w:tab/>
        <w:t>Advisory board for diversification and sustainability support fund</w:t>
      </w:r>
    </w:p>
    <w:p w:rsidR="00D84344" w:rsidRPr="00C23D3D" w:rsidRDefault="00D84344" w:rsidP="000055AE">
      <w:pPr>
        <w:spacing w:after="0"/>
        <w:rPr>
          <w:rFonts w:asciiTheme="minorHAnsi" w:hAnsiTheme="minorHAnsi"/>
          <w:szCs w:val="24"/>
        </w:rPr>
      </w:pPr>
      <w:r w:rsidRPr="00C23D3D">
        <w:rPr>
          <w:rFonts w:asciiTheme="minorHAnsi" w:hAnsiTheme="minorHAnsi"/>
          <w:szCs w:val="24"/>
        </w:rPr>
        <w:t xml:space="preserve">New subdivision 11.3.3 provides for an advisory board for the diversification and sustainability support fund. In accordance with </w:t>
      </w:r>
      <w:r w:rsidR="00571DD0">
        <w:rPr>
          <w:rFonts w:asciiTheme="minorHAnsi" w:hAnsiTheme="minorHAnsi"/>
          <w:szCs w:val="24"/>
        </w:rPr>
        <w:t xml:space="preserve">new </w:t>
      </w:r>
      <w:r w:rsidRPr="00C23D3D">
        <w:rPr>
          <w:rFonts w:asciiTheme="minorHAnsi" w:hAnsiTheme="minorHAnsi"/>
          <w:szCs w:val="24"/>
        </w:rPr>
        <w:t>section 163I(2)(c), the Minister must consult with the advisory board before directing the director-general to make payments out of the fund.</w:t>
      </w:r>
    </w:p>
    <w:p w:rsidR="00D84344" w:rsidRPr="00C23D3D" w:rsidRDefault="00D84344" w:rsidP="000055AE">
      <w:pPr>
        <w:spacing w:after="0"/>
        <w:rPr>
          <w:rFonts w:asciiTheme="minorHAnsi" w:hAnsiTheme="minorHAnsi"/>
          <w:szCs w:val="24"/>
        </w:rPr>
      </w:pPr>
    </w:p>
    <w:p w:rsidR="00D84344" w:rsidRPr="00C23D3D" w:rsidRDefault="00D84344" w:rsidP="000055AE">
      <w:pPr>
        <w:spacing w:after="0"/>
        <w:rPr>
          <w:rFonts w:asciiTheme="minorHAnsi" w:hAnsiTheme="minorHAnsi"/>
          <w:szCs w:val="24"/>
        </w:rPr>
      </w:pPr>
      <w:r w:rsidRPr="00C23D3D">
        <w:rPr>
          <w:rFonts w:asciiTheme="minorHAnsi" w:hAnsiTheme="minorHAnsi"/>
          <w:szCs w:val="24"/>
        </w:rPr>
        <w:t>These provisions reflect common corporate governance provisions for Territory boards and committees.</w:t>
      </w:r>
    </w:p>
    <w:p w:rsidR="00D84344" w:rsidRPr="00C23D3D" w:rsidRDefault="00D84344" w:rsidP="000055AE">
      <w:pPr>
        <w:spacing w:after="0"/>
        <w:rPr>
          <w:rFonts w:asciiTheme="minorHAnsi" w:hAnsiTheme="minorHAnsi"/>
          <w:szCs w:val="24"/>
        </w:rPr>
      </w:pPr>
    </w:p>
    <w:p w:rsidR="007B6680" w:rsidRPr="00C23D3D" w:rsidRDefault="005803F1" w:rsidP="000055AE">
      <w:pPr>
        <w:pStyle w:val="Heading5"/>
        <w:keepNext/>
        <w:spacing w:before="0" w:after="0"/>
        <w:rPr>
          <w:rFonts w:asciiTheme="minorHAnsi" w:hAnsiTheme="minorHAnsi"/>
          <w:b w:val="0"/>
        </w:rPr>
      </w:pPr>
      <w:r w:rsidRPr="00C23D3D">
        <w:rPr>
          <w:rFonts w:asciiTheme="minorHAnsi" w:hAnsiTheme="minorHAnsi"/>
          <w:b w:val="0"/>
        </w:rPr>
        <w:t>New s</w:t>
      </w:r>
      <w:r w:rsidR="007B6680" w:rsidRPr="00C23D3D">
        <w:rPr>
          <w:rFonts w:asciiTheme="minorHAnsi" w:hAnsiTheme="minorHAnsi"/>
          <w:b w:val="0"/>
        </w:rPr>
        <w:t>ection 163</w:t>
      </w:r>
      <w:r w:rsidR="000055AE">
        <w:rPr>
          <w:rFonts w:asciiTheme="minorHAnsi" w:hAnsiTheme="minorHAnsi"/>
          <w:b w:val="0"/>
        </w:rPr>
        <w:t>K</w:t>
      </w:r>
      <w:r w:rsidR="00CF1023" w:rsidRPr="00C23D3D">
        <w:rPr>
          <w:rFonts w:asciiTheme="minorHAnsi" w:hAnsiTheme="minorHAnsi"/>
          <w:b w:val="0"/>
        </w:rPr>
        <w:tab/>
      </w:r>
      <w:r w:rsidR="005D05D5" w:rsidRPr="00C23D3D">
        <w:rPr>
          <w:rFonts w:asciiTheme="minorHAnsi" w:hAnsiTheme="minorHAnsi"/>
          <w:b w:val="0"/>
        </w:rPr>
        <w:t>Establishment</w:t>
      </w:r>
      <w:r w:rsidR="00CF1023" w:rsidRPr="00C23D3D">
        <w:rPr>
          <w:rFonts w:asciiTheme="minorHAnsi" w:hAnsiTheme="minorHAnsi"/>
          <w:b w:val="0"/>
        </w:rPr>
        <w:t xml:space="preserve"> of advisory board</w:t>
      </w:r>
    </w:p>
    <w:p w:rsidR="00CF1023" w:rsidRPr="00C23D3D" w:rsidRDefault="005803F1" w:rsidP="000055AE">
      <w:pPr>
        <w:spacing w:after="0"/>
        <w:rPr>
          <w:rFonts w:asciiTheme="minorHAnsi" w:hAnsiTheme="minorHAnsi"/>
          <w:szCs w:val="24"/>
        </w:rPr>
      </w:pPr>
      <w:r w:rsidRPr="00C23D3D">
        <w:rPr>
          <w:rFonts w:asciiTheme="minorHAnsi" w:hAnsiTheme="minorHAnsi"/>
          <w:szCs w:val="24"/>
        </w:rPr>
        <w:t>New section 163K provides for the establishment of the advisory board for the diversification and sustainability support fund.</w:t>
      </w:r>
    </w:p>
    <w:p w:rsidR="005803F1" w:rsidRPr="00C23D3D" w:rsidRDefault="005803F1" w:rsidP="000055AE">
      <w:pPr>
        <w:spacing w:after="0"/>
        <w:rPr>
          <w:rFonts w:asciiTheme="minorHAnsi" w:hAnsiTheme="minorHAnsi"/>
          <w:szCs w:val="24"/>
        </w:rPr>
      </w:pPr>
    </w:p>
    <w:p w:rsidR="00CF1023" w:rsidRPr="00C23D3D" w:rsidRDefault="005803F1" w:rsidP="000055AE">
      <w:pPr>
        <w:pStyle w:val="Heading5"/>
        <w:keepNext/>
        <w:spacing w:before="0" w:after="0"/>
        <w:rPr>
          <w:rFonts w:asciiTheme="minorHAnsi" w:hAnsiTheme="minorHAnsi"/>
          <w:b w:val="0"/>
        </w:rPr>
      </w:pPr>
      <w:r w:rsidRPr="00C23D3D">
        <w:rPr>
          <w:rFonts w:asciiTheme="minorHAnsi" w:hAnsiTheme="minorHAnsi"/>
          <w:b w:val="0"/>
        </w:rPr>
        <w:t>New s</w:t>
      </w:r>
      <w:r w:rsidR="00CF1023" w:rsidRPr="00C23D3D">
        <w:rPr>
          <w:rFonts w:asciiTheme="minorHAnsi" w:hAnsiTheme="minorHAnsi"/>
          <w:b w:val="0"/>
        </w:rPr>
        <w:t>ection 163</w:t>
      </w:r>
      <w:r w:rsidR="000055AE">
        <w:rPr>
          <w:rFonts w:asciiTheme="minorHAnsi" w:hAnsiTheme="minorHAnsi"/>
          <w:b w:val="0"/>
        </w:rPr>
        <w:t>L</w:t>
      </w:r>
      <w:r w:rsidR="00CF1023" w:rsidRPr="00C23D3D">
        <w:rPr>
          <w:rFonts w:asciiTheme="minorHAnsi" w:hAnsiTheme="minorHAnsi"/>
          <w:b w:val="0"/>
        </w:rPr>
        <w:tab/>
      </w:r>
      <w:r w:rsidR="005D05D5" w:rsidRPr="00C23D3D">
        <w:rPr>
          <w:rFonts w:asciiTheme="minorHAnsi" w:hAnsiTheme="minorHAnsi"/>
          <w:b w:val="0"/>
        </w:rPr>
        <w:t>Functions</w:t>
      </w:r>
      <w:r w:rsidR="00CF1023" w:rsidRPr="00C23D3D">
        <w:rPr>
          <w:rFonts w:asciiTheme="minorHAnsi" w:hAnsiTheme="minorHAnsi"/>
          <w:b w:val="0"/>
        </w:rPr>
        <w:t xml:space="preserve"> of advisory board</w:t>
      </w:r>
    </w:p>
    <w:p w:rsidR="003C4D6A" w:rsidRPr="00C23D3D" w:rsidRDefault="003C4D6A" w:rsidP="000055AE">
      <w:pPr>
        <w:spacing w:after="0"/>
        <w:rPr>
          <w:rFonts w:asciiTheme="minorHAnsi" w:hAnsiTheme="minorHAnsi"/>
          <w:szCs w:val="24"/>
        </w:rPr>
      </w:pPr>
      <w:r w:rsidRPr="00C23D3D">
        <w:rPr>
          <w:rFonts w:asciiTheme="minorHAnsi" w:hAnsiTheme="minorHAnsi"/>
          <w:szCs w:val="24"/>
        </w:rPr>
        <w:t>New section 163L establishes the functions of the advisory board for the diversification and sustainability support fund.</w:t>
      </w:r>
    </w:p>
    <w:p w:rsidR="003C4D6A" w:rsidRPr="00C23D3D" w:rsidRDefault="003C4D6A" w:rsidP="000055AE">
      <w:pPr>
        <w:spacing w:after="0"/>
        <w:rPr>
          <w:rFonts w:asciiTheme="minorHAnsi" w:hAnsiTheme="minorHAnsi"/>
          <w:szCs w:val="24"/>
        </w:rPr>
      </w:pPr>
    </w:p>
    <w:p w:rsidR="003C4D6A" w:rsidRPr="00C23D3D" w:rsidRDefault="003C4D6A" w:rsidP="000055AE">
      <w:pPr>
        <w:spacing w:after="0"/>
        <w:rPr>
          <w:rFonts w:asciiTheme="minorHAnsi" w:hAnsiTheme="minorHAnsi"/>
          <w:szCs w:val="24"/>
        </w:rPr>
      </w:pPr>
      <w:r w:rsidRPr="00C23D3D">
        <w:rPr>
          <w:rFonts w:asciiTheme="minorHAnsi" w:hAnsiTheme="minorHAnsi"/>
          <w:szCs w:val="24"/>
        </w:rPr>
        <w:t>New section 163L(1) provides that the main functions of the advisory board are to:</w:t>
      </w:r>
    </w:p>
    <w:p w:rsidR="003C4D6A" w:rsidRPr="00C23D3D" w:rsidRDefault="003C4D6A" w:rsidP="000055AE">
      <w:pPr>
        <w:pStyle w:val="ListParagraph"/>
        <w:numPr>
          <w:ilvl w:val="0"/>
          <w:numId w:val="32"/>
        </w:numPr>
        <w:autoSpaceDE w:val="0"/>
        <w:autoSpaceDN w:val="0"/>
        <w:adjustRightInd w:val="0"/>
        <w:spacing w:after="0"/>
        <w:rPr>
          <w:rFonts w:asciiTheme="minorHAnsi" w:hAnsiTheme="minorHAnsi"/>
          <w:color w:val="000000"/>
          <w:sz w:val="24"/>
          <w:szCs w:val="24"/>
        </w:rPr>
      </w:pPr>
      <w:r w:rsidRPr="00C23D3D">
        <w:rPr>
          <w:rFonts w:asciiTheme="minorHAnsi" w:hAnsiTheme="minorHAnsi"/>
          <w:color w:val="000000"/>
          <w:sz w:val="24"/>
          <w:szCs w:val="24"/>
        </w:rPr>
        <w:t>advise the Minister on matters concerning the diversification and sustainability support fund; and</w:t>
      </w:r>
    </w:p>
    <w:p w:rsidR="003C4D6A" w:rsidRPr="00C23D3D" w:rsidRDefault="003C4D6A" w:rsidP="000055AE">
      <w:pPr>
        <w:pStyle w:val="ListParagraph"/>
        <w:numPr>
          <w:ilvl w:val="0"/>
          <w:numId w:val="32"/>
        </w:numPr>
        <w:autoSpaceDE w:val="0"/>
        <w:autoSpaceDN w:val="0"/>
        <w:adjustRightInd w:val="0"/>
        <w:spacing w:after="0"/>
        <w:rPr>
          <w:rFonts w:asciiTheme="minorHAnsi" w:hAnsiTheme="minorHAnsi"/>
          <w:color w:val="000000"/>
          <w:sz w:val="24"/>
          <w:szCs w:val="24"/>
        </w:rPr>
      </w:pPr>
      <w:r w:rsidRPr="00C23D3D">
        <w:rPr>
          <w:rFonts w:asciiTheme="minorHAnsi" w:hAnsiTheme="minorHAnsi"/>
          <w:color w:val="000000"/>
          <w:sz w:val="24"/>
          <w:szCs w:val="24"/>
        </w:rPr>
        <w:t>make recommendations about payments to be made from the fund.</w:t>
      </w:r>
    </w:p>
    <w:p w:rsidR="003C4D6A" w:rsidRPr="00C23D3D" w:rsidRDefault="003C4D6A" w:rsidP="000055AE">
      <w:pPr>
        <w:spacing w:after="0"/>
        <w:rPr>
          <w:rFonts w:asciiTheme="minorHAnsi" w:hAnsiTheme="minorHAnsi"/>
          <w:szCs w:val="24"/>
        </w:rPr>
      </w:pPr>
    </w:p>
    <w:p w:rsidR="003C4D6A" w:rsidRPr="00C23D3D" w:rsidRDefault="003C4D6A" w:rsidP="000055AE">
      <w:pPr>
        <w:spacing w:after="0"/>
        <w:rPr>
          <w:rFonts w:asciiTheme="minorHAnsi" w:hAnsiTheme="minorHAnsi"/>
          <w:szCs w:val="24"/>
        </w:rPr>
      </w:pPr>
      <w:r w:rsidRPr="00C23D3D">
        <w:rPr>
          <w:rFonts w:asciiTheme="minorHAnsi" w:hAnsiTheme="minorHAnsi"/>
          <w:szCs w:val="24"/>
        </w:rPr>
        <w:t>Under section 163L(2), the advisory board also has any other function given to the Board under this Act.</w:t>
      </w:r>
    </w:p>
    <w:p w:rsidR="003C4D6A" w:rsidRPr="00C23D3D" w:rsidRDefault="003C4D6A" w:rsidP="000055AE">
      <w:pPr>
        <w:spacing w:after="0"/>
        <w:rPr>
          <w:rFonts w:asciiTheme="minorHAnsi" w:hAnsiTheme="minorHAnsi"/>
          <w:szCs w:val="24"/>
        </w:rPr>
      </w:pPr>
    </w:p>
    <w:p w:rsidR="0021149F" w:rsidRPr="00C23D3D" w:rsidRDefault="005803F1" w:rsidP="000055AE">
      <w:pPr>
        <w:pStyle w:val="Heading5"/>
        <w:keepNext/>
        <w:spacing w:before="0" w:after="0"/>
        <w:rPr>
          <w:rFonts w:asciiTheme="minorHAnsi" w:hAnsiTheme="minorHAnsi"/>
          <w:b w:val="0"/>
        </w:rPr>
      </w:pPr>
      <w:r w:rsidRPr="00C23D3D">
        <w:rPr>
          <w:rFonts w:asciiTheme="minorHAnsi" w:hAnsiTheme="minorHAnsi"/>
          <w:b w:val="0"/>
        </w:rPr>
        <w:t>New s</w:t>
      </w:r>
      <w:r w:rsidR="0021149F" w:rsidRPr="00C23D3D">
        <w:rPr>
          <w:rFonts w:asciiTheme="minorHAnsi" w:hAnsiTheme="minorHAnsi"/>
          <w:b w:val="0"/>
        </w:rPr>
        <w:t>ection 163</w:t>
      </w:r>
      <w:r w:rsidR="002D6870">
        <w:rPr>
          <w:rFonts w:asciiTheme="minorHAnsi" w:hAnsiTheme="minorHAnsi"/>
          <w:b w:val="0"/>
        </w:rPr>
        <w:t>M</w:t>
      </w:r>
      <w:r w:rsidR="0021149F" w:rsidRPr="00C23D3D">
        <w:rPr>
          <w:rFonts w:asciiTheme="minorHAnsi" w:hAnsiTheme="minorHAnsi"/>
          <w:b w:val="0"/>
        </w:rPr>
        <w:tab/>
      </w:r>
      <w:r w:rsidR="005D05D5" w:rsidRPr="00C23D3D">
        <w:rPr>
          <w:rFonts w:asciiTheme="minorHAnsi" w:hAnsiTheme="minorHAnsi"/>
          <w:b w:val="0"/>
        </w:rPr>
        <w:t>Membership</w:t>
      </w:r>
      <w:r w:rsidR="0021149F" w:rsidRPr="00C23D3D">
        <w:rPr>
          <w:rFonts w:asciiTheme="minorHAnsi" w:hAnsiTheme="minorHAnsi"/>
          <w:b w:val="0"/>
        </w:rPr>
        <w:t xml:space="preserve"> of advisory board</w:t>
      </w:r>
    </w:p>
    <w:p w:rsidR="003C4D6A" w:rsidRPr="00C23D3D" w:rsidRDefault="003C4D6A" w:rsidP="000055AE">
      <w:pPr>
        <w:spacing w:after="0"/>
        <w:rPr>
          <w:rFonts w:asciiTheme="minorHAnsi" w:hAnsiTheme="minorHAnsi"/>
          <w:szCs w:val="24"/>
        </w:rPr>
      </w:pPr>
      <w:r w:rsidRPr="00C23D3D">
        <w:rPr>
          <w:rFonts w:asciiTheme="minorHAnsi" w:hAnsiTheme="minorHAnsi"/>
          <w:szCs w:val="24"/>
        </w:rPr>
        <w:t>New section 163M provides for the membership of the advisory board for the diversification and sustainability support fund.</w:t>
      </w:r>
    </w:p>
    <w:p w:rsidR="003C4D6A" w:rsidRPr="00C23D3D" w:rsidRDefault="003C4D6A" w:rsidP="000055AE">
      <w:pPr>
        <w:spacing w:after="0"/>
        <w:rPr>
          <w:rFonts w:asciiTheme="minorHAnsi" w:hAnsiTheme="minorHAnsi"/>
          <w:szCs w:val="24"/>
        </w:rPr>
      </w:pPr>
    </w:p>
    <w:p w:rsidR="003C4D6A" w:rsidRPr="00C23D3D" w:rsidRDefault="003C4D6A" w:rsidP="000055AE">
      <w:pPr>
        <w:spacing w:after="0"/>
        <w:rPr>
          <w:rFonts w:asciiTheme="minorHAnsi" w:hAnsiTheme="minorHAnsi"/>
          <w:szCs w:val="24"/>
        </w:rPr>
      </w:pPr>
      <w:r w:rsidRPr="00C23D3D">
        <w:rPr>
          <w:rFonts w:asciiTheme="minorHAnsi" w:hAnsiTheme="minorHAnsi"/>
          <w:szCs w:val="24"/>
        </w:rPr>
        <w:t>Under new section 163M(1), the advisory board consists of up to four members who the Minister considers have qualifications or experience in appropriate areas to assist the advisory board to exercise its functions. The members are appointed by the Minister.</w:t>
      </w:r>
    </w:p>
    <w:p w:rsidR="003C4D6A" w:rsidRPr="00C23D3D" w:rsidRDefault="003C4D6A" w:rsidP="000055AE">
      <w:pPr>
        <w:spacing w:after="0"/>
        <w:rPr>
          <w:rFonts w:asciiTheme="minorHAnsi" w:hAnsiTheme="minorHAnsi"/>
          <w:szCs w:val="24"/>
        </w:rPr>
      </w:pPr>
    </w:p>
    <w:p w:rsidR="003C4D6A" w:rsidRPr="00C23D3D" w:rsidRDefault="00572AE8" w:rsidP="00983570">
      <w:pPr>
        <w:keepNext/>
        <w:spacing w:after="0"/>
        <w:rPr>
          <w:rFonts w:asciiTheme="minorHAnsi" w:hAnsiTheme="minorHAnsi"/>
          <w:szCs w:val="24"/>
        </w:rPr>
      </w:pPr>
      <w:r w:rsidRPr="00C23D3D">
        <w:rPr>
          <w:rFonts w:asciiTheme="minorHAnsi" w:hAnsiTheme="minorHAnsi"/>
          <w:szCs w:val="24"/>
        </w:rPr>
        <w:lastRenderedPageBreak/>
        <w:t>The following examples of appropriate areas for qualifications or experience of advisory board members are provided under new section 163M(1):</w:t>
      </w:r>
    </w:p>
    <w:p w:rsidR="00572AE8" w:rsidRPr="00C23D3D" w:rsidRDefault="00572AE8" w:rsidP="00983570">
      <w:pPr>
        <w:pStyle w:val="ListParagraph"/>
        <w:keepNext/>
        <w:numPr>
          <w:ilvl w:val="0"/>
          <w:numId w:val="32"/>
        </w:numPr>
        <w:spacing w:after="0"/>
        <w:rPr>
          <w:rFonts w:asciiTheme="minorHAnsi" w:hAnsiTheme="minorHAnsi"/>
          <w:sz w:val="24"/>
          <w:szCs w:val="24"/>
        </w:rPr>
      </w:pPr>
      <w:r w:rsidRPr="00C23D3D">
        <w:rPr>
          <w:rFonts w:asciiTheme="minorHAnsi" w:hAnsiTheme="minorHAnsi"/>
          <w:sz w:val="24"/>
          <w:szCs w:val="24"/>
        </w:rPr>
        <w:t>business strategy or financial management</w:t>
      </w:r>
    </w:p>
    <w:p w:rsidR="00572AE8" w:rsidRPr="00C23D3D" w:rsidRDefault="00572AE8" w:rsidP="00983570">
      <w:pPr>
        <w:pStyle w:val="ListParagraph"/>
        <w:keepNext/>
        <w:numPr>
          <w:ilvl w:val="0"/>
          <w:numId w:val="32"/>
        </w:numPr>
        <w:spacing w:after="0"/>
        <w:rPr>
          <w:rFonts w:asciiTheme="minorHAnsi" w:hAnsiTheme="minorHAnsi"/>
          <w:sz w:val="24"/>
          <w:szCs w:val="24"/>
        </w:rPr>
      </w:pPr>
      <w:r w:rsidRPr="00C23D3D">
        <w:rPr>
          <w:rFonts w:asciiTheme="minorHAnsi" w:hAnsiTheme="minorHAnsi"/>
          <w:sz w:val="24"/>
          <w:szCs w:val="24"/>
        </w:rPr>
        <w:t>club operations</w:t>
      </w:r>
    </w:p>
    <w:p w:rsidR="00572AE8" w:rsidRPr="00C23D3D" w:rsidRDefault="00572AE8" w:rsidP="000055AE">
      <w:pPr>
        <w:pStyle w:val="ListParagraph"/>
        <w:numPr>
          <w:ilvl w:val="0"/>
          <w:numId w:val="32"/>
        </w:numPr>
        <w:spacing w:after="0"/>
        <w:rPr>
          <w:rFonts w:asciiTheme="minorHAnsi" w:hAnsiTheme="minorHAnsi"/>
          <w:sz w:val="24"/>
          <w:szCs w:val="24"/>
        </w:rPr>
      </w:pPr>
      <w:r w:rsidRPr="00C23D3D">
        <w:rPr>
          <w:rFonts w:asciiTheme="minorHAnsi" w:hAnsiTheme="minorHAnsi"/>
          <w:sz w:val="24"/>
          <w:szCs w:val="24"/>
        </w:rPr>
        <w:t>urban design, planning or property development.</w:t>
      </w:r>
    </w:p>
    <w:p w:rsidR="00572AE8" w:rsidRPr="00C23D3D" w:rsidRDefault="00572AE8" w:rsidP="000055AE">
      <w:pPr>
        <w:spacing w:after="0"/>
        <w:ind w:left="360"/>
        <w:rPr>
          <w:rFonts w:asciiTheme="minorHAnsi" w:hAnsiTheme="minorHAnsi"/>
          <w:szCs w:val="24"/>
        </w:rPr>
      </w:pPr>
    </w:p>
    <w:p w:rsidR="003C4D6A" w:rsidRPr="00C23D3D" w:rsidRDefault="00EB290D" w:rsidP="000055AE">
      <w:pPr>
        <w:spacing w:after="0"/>
        <w:rPr>
          <w:rFonts w:asciiTheme="minorHAnsi" w:hAnsiTheme="minorHAnsi"/>
          <w:szCs w:val="24"/>
        </w:rPr>
      </w:pPr>
      <w:r w:rsidRPr="00C23D3D">
        <w:rPr>
          <w:rFonts w:asciiTheme="minorHAnsi" w:hAnsiTheme="minorHAnsi"/>
          <w:szCs w:val="24"/>
        </w:rPr>
        <w:t>New s</w:t>
      </w:r>
      <w:r w:rsidR="003C4D6A" w:rsidRPr="00C23D3D">
        <w:rPr>
          <w:rFonts w:asciiTheme="minorHAnsi" w:hAnsiTheme="minorHAnsi"/>
          <w:szCs w:val="24"/>
        </w:rPr>
        <w:t>ection 163M(2) provides that the term of an appointment to the advisory boar</w:t>
      </w:r>
      <w:r w:rsidRPr="00C23D3D">
        <w:rPr>
          <w:rFonts w:asciiTheme="minorHAnsi" w:hAnsiTheme="minorHAnsi"/>
          <w:szCs w:val="24"/>
        </w:rPr>
        <w:t xml:space="preserve">d is limited to not longer than </w:t>
      </w:r>
      <w:r w:rsidR="003C4D6A" w:rsidRPr="00C23D3D">
        <w:rPr>
          <w:rFonts w:asciiTheme="minorHAnsi" w:hAnsiTheme="minorHAnsi"/>
          <w:szCs w:val="24"/>
        </w:rPr>
        <w:t>two years.</w:t>
      </w:r>
    </w:p>
    <w:p w:rsidR="003C4D6A" w:rsidRPr="00C23D3D" w:rsidRDefault="003C4D6A" w:rsidP="000055AE">
      <w:pPr>
        <w:spacing w:after="0"/>
        <w:rPr>
          <w:rFonts w:asciiTheme="minorHAnsi" w:hAnsiTheme="minorHAnsi"/>
          <w:szCs w:val="24"/>
        </w:rPr>
      </w:pPr>
    </w:p>
    <w:p w:rsidR="00EB290D" w:rsidRPr="00C23D3D" w:rsidRDefault="00EB290D" w:rsidP="000055AE">
      <w:pPr>
        <w:spacing w:after="0"/>
        <w:rPr>
          <w:rFonts w:asciiTheme="minorHAnsi" w:hAnsiTheme="minorHAnsi"/>
          <w:szCs w:val="24"/>
        </w:rPr>
      </w:pPr>
      <w:r w:rsidRPr="00C23D3D">
        <w:rPr>
          <w:rFonts w:asciiTheme="minorHAnsi" w:hAnsiTheme="minorHAnsi"/>
          <w:szCs w:val="24"/>
        </w:rPr>
        <w:t>New section 163M(3) provides that the Minister must appoint a chair of the advisory board from the members appointed under subsection (1).</w:t>
      </w:r>
    </w:p>
    <w:p w:rsidR="00EB290D" w:rsidRPr="00C23D3D" w:rsidRDefault="00EB290D" w:rsidP="000055AE">
      <w:pPr>
        <w:spacing w:after="0"/>
        <w:rPr>
          <w:rFonts w:asciiTheme="minorHAnsi" w:hAnsiTheme="minorHAnsi"/>
          <w:szCs w:val="24"/>
        </w:rPr>
      </w:pPr>
    </w:p>
    <w:p w:rsidR="00EB290D" w:rsidRPr="00C23D3D" w:rsidRDefault="00EB290D" w:rsidP="000055AE">
      <w:pPr>
        <w:spacing w:after="0"/>
        <w:rPr>
          <w:rFonts w:asciiTheme="minorHAnsi" w:hAnsiTheme="minorHAnsi"/>
          <w:szCs w:val="24"/>
        </w:rPr>
      </w:pPr>
      <w:r w:rsidRPr="00C23D3D">
        <w:rPr>
          <w:rFonts w:asciiTheme="minorHAnsi" w:hAnsiTheme="minorHAnsi"/>
          <w:szCs w:val="24"/>
        </w:rPr>
        <w:t xml:space="preserve">Under new section 163M(4), the conditions of appointment of members or the chair of the advisory board are the conditions agreed between the Minister and the member or chair, subject to any determination under the </w:t>
      </w:r>
      <w:r w:rsidRPr="00C23D3D">
        <w:rPr>
          <w:rFonts w:asciiTheme="minorHAnsi" w:hAnsiTheme="minorHAnsi"/>
          <w:i/>
          <w:szCs w:val="24"/>
        </w:rPr>
        <w:t>Remuneration Tribunal Act 1995</w:t>
      </w:r>
      <w:r w:rsidRPr="00C23D3D">
        <w:rPr>
          <w:rFonts w:asciiTheme="minorHAnsi" w:hAnsiTheme="minorHAnsi"/>
          <w:szCs w:val="24"/>
        </w:rPr>
        <w:t>.</w:t>
      </w:r>
    </w:p>
    <w:p w:rsidR="00EB290D" w:rsidRPr="00C23D3D" w:rsidRDefault="00EB290D" w:rsidP="000055AE">
      <w:pPr>
        <w:spacing w:after="0"/>
        <w:rPr>
          <w:rFonts w:asciiTheme="minorHAnsi" w:hAnsiTheme="minorHAnsi"/>
          <w:szCs w:val="24"/>
        </w:rPr>
      </w:pPr>
    </w:p>
    <w:p w:rsidR="0021149F" w:rsidRPr="00C23D3D" w:rsidRDefault="005803F1" w:rsidP="000055AE">
      <w:pPr>
        <w:pStyle w:val="Heading5"/>
        <w:keepNext/>
        <w:spacing w:before="0" w:after="0"/>
        <w:rPr>
          <w:rFonts w:asciiTheme="minorHAnsi" w:hAnsiTheme="minorHAnsi"/>
          <w:b w:val="0"/>
        </w:rPr>
      </w:pPr>
      <w:r w:rsidRPr="00C23D3D">
        <w:rPr>
          <w:rFonts w:asciiTheme="minorHAnsi" w:hAnsiTheme="minorHAnsi"/>
          <w:b w:val="0"/>
        </w:rPr>
        <w:t>New s</w:t>
      </w:r>
      <w:r w:rsidR="0021149F" w:rsidRPr="00C23D3D">
        <w:rPr>
          <w:rFonts w:asciiTheme="minorHAnsi" w:hAnsiTheme="minorHAnsi"/>
          <w:b w:val="0"/>
        </w:rPr>
        <w:t>ection 163</w:t>
      </w:r>
      <w:r w:rsidR="002D6870">
        <w:rPr>
          <w:rFonts w:asciiTheme="minorHAnsi" w:hAnsiTheme="minorHAnsi"/>
          <w:b w:val="0"/>
        </w:rPr>
        <w:t>N</w:t>
      </w:r>
      <w:r w:rsidR="0021149F" w:rsidRPr="00C23D3D">
        <w:rPr>
          <w:rFonts w:asciiTheme="minorHAnsi" w:hAnsiTheme="minorHAnsi"/>
          <w:b w:val="0"/>
        </w:rPr>
        <w:tab/>
      </w:r>
      <w:r w:rsidR="005D05D5" w:rsidRPr="00C23D3D">
        <w:rPr>
          <w:rFonts w:asciiTheme="minorHAnsi" w:hAnsiTheme="minorHAnsi"/>
          <w:b w:val="0"/>
        </w:rPr>
        <w:t>A</w:t>
      </w:r>
      <w:r w:rsidR="0021149F" w:rsidRPr="00C23D3D">
        <w:rPr>
          <w:rFonts w:asciiTheme="minorHAnsi" w:hAnsiTheme="minorHAnsi"/>
          <w:b w:val="0"/>
        </w:rPr>
        <w:t>dvisory board</w:t>
      </w:r>
      <w:r w:rsidR="005D05D5" w:rsidRPr="00C23D3D">
        <w:rPr>
          <w:rFonts w:asciiTheme="minorHAnsi" w:hAnsiTheme="minorHAnsi"/>
          <w:b w:val="0"/>
        </w:rPr>
        <w:t>-making and ending appointments</w:t>
      </w:r>
    </w:p>
    <w:p w:rsidR="003C4D6A" w:rsidRPr="00C23D3D" w:rsidRDefault="00EB290D" w:rsidP="000055AE">
      <w:pPr>
        <w:spacing w:after="0"/>
        <w:rPr>
          <w:rFonts w:asciiTheme="minorHAnsi" w:hAnsiTheme="minorHAnsi"/>
          <w:szCs w:val="24"/>
        </w:rPr>
      </w:pPr>
      <w:r w:rsidRPr="00C23D3D">
        <w:rPr>
          <w:rFonts w:asciiTheme="minorHAnsi" w:hAnsiTheme="minorHAnsi"/>
          <w:szCs w:val="24"/>
        </w:rPr>
        <w:t xml:space="preserve">New section 163N provides for the </w:t>
      </w:r>
      <w:r w:rsidR="00647562" w:rsidRPr="00C23D3D">
        <w:rPr>
          <w:rFonts w:asciiTheme="minorHAnsi" w:hAnsiTheme="minorHAnsi"/>
          <w:szCs w:val="24"/>
        </w:rPr>
        <w:t>making and ending of advisory board member appointments.</w:t>
      </w:r>
    </w:p>
    <w:p w:rsidR="00EB290D" w:rsidRPr="00C23D3D" w:rsidRDefault="00EB290D" w:rsidP="000055AE">
      <w:pPr>
        <w:spacing w:after="0"/>
        <w:rPr>
          <w:rFonts w:asciiTheme="minorHAnsi" w:hAnsiTheme="minorHAnsi"/>
          <w:szCs w:val="24"/>
        </w:rPr>
      </w:pPr>
    </w:p>
    <w:p w:rsidR="00647562" w:rsidRPr="00C23D3D" w:rsidRDefault="00647562" w:rsidP="000055AE">
      <w:pPr>
        <w:spacing w:after="0"/>
        <w:rPr>
          <w:rFonts w:asciiTheme="minorHAnsi" w:hAnsiTheme="minorHAnsi"/>
          <w:szCs w:val="24"/>
        </w:rPr>
      </w:pPr>
      <w:r w:rsidRPr="00C23D3D">
        <w:rPr>
          <w:rFonts w:asciiTheme="minorHAnsi" w:hAnsiTheme="minorHAnsi"/>
          <w:szCs w:val="24"/>
        </w:rPr>
        <w:t>New section 163N(1) establishes when a person is ineligible to be, or</w:t>
      </w:r>
      <w:r w:rsidR="00D84344" w:rsidRPr="00C23D3D">
        <w:rPr>
          <w:rFonts w:asciiTheme="minorHAnsi" w:hAnsiTheme="minorHAnsi"/>
          <w:szCs w:val="24"/>
        </w:rPr>
        <w:t xml:space="preserve"> to</w:t>
      </w:r>
      <w:r w:rsidRPr="00C23D3D">
        <w:rPr>
          <w:rFonts w:asciiTheme="minorHAnsi" w:hAnsiTheme="minorHAnsi"/>
          <w:szCs w:val="24"/>
        </w:rPr>
        <w:t xml:space="preserve"> remain, appointed to the advisory board.</w:t>
      </w:r>
      <w:r w:rsidR="00D84344" w:rsidRPr="00C23D3D">
        <w:rPr>
          <w:rFonts w:asciiTheme="minorHAnsi" w:hAnsiTheme="minorHAnsi"/>
          <w:szCs w:val="24"/>
        </w:rPr>
        <w:t xml:space="preserve"> The Minister must not appoint a person, or must end an appointment of a person, to the advisory board if:</w:t>
      </w:r>
    </w:p>
    <w:p w:rsidR="00D84344" w:rsidRPr="00C23D3D" w:rsidRDefault="00D84344" w:rsidP="000055AE">
      <w:pPr>
        <w:pStyle w:val="ListParagraph"/>
        <w:numPr>
          <w:ilvl w:val="0"/>
          <w:numId w:val="32"/>
        </w:numPr>
        <w:spacing w:after="0"/>
        <w:rPr>
          <w:rFonts w:asciiTheme="minorHAnsi" w:hAnsiTheme="minorHAnsi"/>
          <w:sz w:val="24"/>
          <w:szCs w:val="24"/>
        </w:rPr>
      </w:pPr>
      <w:r w:rsidRPr="00C23D3D">
        <w:rPr>
          <w:rFonts w:asciiTheme="minorHAnsi" w:hAnsiTheme="minorHAnsi"/>
          <w:sz w:val="24"/>
          <w:szCs w:val="24"/>
        </w:rPr>
        <w:t>the person, or the person’s domestic partner, is an influential person for a club licensee (see section 8 of the Gaming Machine Act for the definition of influential person);</w:t>
      </w:r>
    </w:p>
    <w:p w:rsidR="00D84344" w:rsidRPr="00C23D3D" w:rsidRDefault="00D84344" w:rsidP="000055AE">
      <w:pPr>
        <w:pStyle w:val="ListParagraph"/>
        <w:numPr>
          <w:ilvl w:val="0"/>
          <w:numId w:val="32"/>
        </w:numPr>
        <w:spacing w:after="0"/>
        <w:rPr>
          <w:rFonts w:asciiTheme="minorHAnsi" w:hAnsiTheme="minorHAnsi"/>
          <w:sz w:val="24"/>
          <w:szCs w:val="24"/>
        </w:rPr>
      </w:pPr>
      <w:r w:rsidRPr="00C23D3D">
        <w:rPr>
          <w:rFonts w:asciiTheme="minorHAnsi" w:hAnsiTheme="minorHAnsi"/>
          <w:sz w:val="24"/>
          <w:szCs w:val="24"/>
        </w:rPr>
        <w:t>the person is an employee, representative or board member of an industry association for clubs;</w:t>
      </w:r>
    </w:p>
    <w:p w:rsidR="00D84344" w:rsidRPr="00C23D3D" w:rsidRDefault="00D84344" w:rsidP="000055AE">
      <w:pPr>
        <w:pStyle w:val="ListParagraph"/>
        <w:numPr>
          <w:ilvl w:val="0"/>
          <w:numId w:val="32"/>
        </w:numPr>
        <w:spacing w:after="0"/>
        <w:rPr>
          <w:rFonts w:asciiTheme="minorHAnsi" w:hAnsiTheme="minorHAnsi"/>
          <w:sz w:val="24"/>
          <w:szCs w:val="24"/>
        </w:rPr>
      </w:pPr>
      <w:r w:rsidRPr="00C23D3D">
        <w:rPr>
          <w:rFonts w:asciiTheme="minorHAnsi" w:hAnsiTheme="minorHAnsi"/>
          <w:sz w:val="24"/>
          <w:szCs w:val="24"/>
        </w:rPr>
        <w:t>the person has been convicted, or found guilty, of an offence against a gaming law;</w:t>
      </w:r>
    </w:p>
    <w:p w:rsidR="00D84344" w:rsidRPr="00C23D3D" w:rsidRDefault="00D84344" w:rsidP="000055AE">
      <w:pPr>
        <w:pStyle w:val="ListParagraph"/>
        <w:numPr>
          <w:ilvl w:val="0"/>
          <w:numId w:val="32"/>
        </w:numPr>
        <w:spacing w:after="0"/>
        <w:rPr>
          <w:rFonts w:asciiTheme="minorHAnsi" w:hAnsiTheme="minorHAnsi"/>
          <w:sz w:val="24"/>
          <w:szCs w:val="24"/>
        </w:rPr>
      </w:pPr>
      <w:r w:rsidRPr="00C23D3D">
        <w:rPr>
          <w:rFonts w:asciiTheme="minorHAnsi" w:hAnsiTheme="minorHAnsi"/>
          <w:sz w:val="24"/>
          <w:szCs w:val="24"/>
        </w:rPr>
        <w:t>within the last five years the person has been convicted or found guilty of certain offences; or</w:t>
      </w:r>
    </w:p>
    <w:p w:rsidR="00D84344" w:rsidRPr="00C23D3D" w:rsidRDefault="00D84344" w:rsidP="000055AE">
      <w:pPr>
        <w:pStyle w:val="ListParagraph"/>
        <w:numPr>
          <w:ilvl w:val="0"/>
          <w:numId w:val="32"/>
        </w:numPr>
        <w:spacing w:after="0"/>
        <w:rPr>
          <w:rFonts w:asciiTheme="minorHAnsi" w:hAnsiTheme="minorHAnsi"/>
          <w:sz w:val="24"/>
          <w:szCs w:val="24"/>
        </w:rPr>
      </w:pPr>
      <w:r w:rsidRPr="00C23D3D">
        <w:rPr>
          <w:rFonts w:asciiTheme="minorHAnsi" w:hAnsiTheme="minorHAnsi"/>
          <w:sz w:val="24"/>
          <w:szCs w:val="24"/>
        </w:rPr>
        <w:t>the Minister considers that the person is unlikely to be able to exercise the functions of a member of the advisory board because of the person’s business association, financial association or close personal association with another person.</w:t>
      </w:r>
    </w:p>
    <w:p w:rsidR="00647562" w:rsidRPr="00C23D3D" w:rsidRDefault="00647562" w:rsidP="000055AE">
      <w:pPr>
        <w:spacing w:after="0"/>
        <w:rPr>
          <w:rFonts w:asciiTheme="minorHAnsi" w:hAnsiTheme="minorHAnsi"/>
          <w:szCs w:val="24"/>
        </w:rPr>
      </w:pPr>
    </w:p>
    <w:p w:rsidR="00647562" w:rsidRPr="00C23D3D" w:rsidRDefault="00647562" w:rsidP="000055AE">
      <w:pPr>
        <w:spacing w:after="0"/>
        <w:rPr>
          <w:rFonts w:asciiTheme="minorHAnsi" w:hAnsiTheme="minorHAnsi"/>
          <w:szCs w:val="24"/>
        </w:rPr>
      </w:pPr>
      <w:r w:rsidRPr="00C23D3D">
        <w:rPr>
          <w:rFonts w:asciiTheme="minorHAnsi" w:hAnsiTheme="minorHAnsi"/>
          <w:szCs w:val="24"/>
        </w:rPr>
        <w:t>New section 163N(2) sets out circumstances in which an advisory board member’s appointment may be ended. These circumstances include where the person has:</w:t>
      </w:r>
    </w:p>
    <w:p w:rsidR="00647562" w:rsidRPr="00C23D3D" w:rsidRDefault="00647562" w:rsidP="000055AE">
      <w:pPr>
        <w:pStyle w:val="ListParagraph"/>
        <w:numPr>
          <w:ilvl w:val="0"/>
          <w:numId w:val="32"/>
        </w:numPr>
        <w:spacing w:after="0"/>
        <w:rPr>
          <w:rFonts w:asciiTheme="minorHAnsi" w:hAnsiTheme="minorHAnsi"/>
          <w:sz w:val="24"/>
          <w:szCs w:val="24"/>
        </w:rPr>
      </w:pPr>
      <w:r w:rsidRPr="00C23D3D">
        <w:rPr>
          <w:rFonts w:asciiTheme="minorHAnsi" w:hAnsiTheme="minorHAnsi"/>
          <w:sz w:val="24"/>
          <w:szCs w:val="24"/>
        </w:rPr>
        <w:t>contravened a Territory law;</w:t>
      </w:r>
    </w:p>
    <w:p w:rsidR="00647562" w:rsidRPr="00C23D3D" w:rsidRDefault="00647562" w:rsidP="000055AE">
      <w:pPr>
        <w:pStyle w:val="ListParagraph"/>
        <w:numPr>
          <w:ilvl w:val="0"/>
          <w:numId w:val="32"/>
        </w:numPr>
        <w:spacing w:after="0"/>
        <w:rPr>
          <w:rFonts w:asciiTheme="minorHAnsi" w:hAnsiTheme="minorHAnsi"/>
          <w:sz w:val="24"/>
          <w:szCs w:val="24"/>
        </w:rPr>
      </w:pPr>
      <w:r w:rsidRPr="00C23D3D">
        <w:rPr>
          <w:rFonts w:asciiTheme="minorHAnsi" w:hAnsiTheme="minorHAnsi"/>
          <w:sz w:val="24"/>
          <w:szCs w:val="24"/>
        </w:rPr>
        <w:t>failed to take all reasonable steps where a conflict of interest may arise during the exercise of the person’s functions as a member of the advisory board;</w:t>
      </w:r>
    </w:p>
    <w:p w:rsidR="00647562" w:rsidRPr="00C23D3D" w:rsidRDefault="00647562" w:rsidP="000055AE">
      <w:pPr>
        <w:pStyle w:val="ListParagraph"/>
        <w:numPr>
          <w:ilvl w:val="0"/>
          <w:numId w:val="32"/>
        </w:numPr>
        <w:spacing w:after="0"/>
        <w:rPr>
          <w:rFonts w:asciiTheme="minorHAnsi" w:hAnsiTheme="minorHAnsi"/>
          <w:sz w:val="24"/>
          <w:szCs w:val="24"/>
        </w:rPr>
      </w:pPr>
      <w:r w:rsidRPr="00C23D3D">
        <w:rPr>
          <w:rFonts w:asciiTheme="minorHAnsi" w:hAnsiTheme="minorHAnsi"/>
          <w:sz w:val="24"/>
          <w:szCs w:val="24"/>
        </w:rPr>
        <w:t>is bankrupt or personally insolvent;</w:t>
      </w:r>
    </w:p>
    <w:p w:rsidR="00647562" w:rsidRPr="00C23D3D" w:rsidRDefault="00647562" w:rsidP="000055AE">
      <w:pPr>
        <w:pStyle w:val="ListParagraph"/>
        <w:numPr>
          <w:ilvl w:val="0"/>
          <w:numId w:val="32"/>
        </w:numPr>
        <w:spacing w:after="0"/>
        <w:rPr>
          <w:rFonts w:asciiTheme="minorHAnsi" w:hAnsiTheme="minorHAnsi"/>
          <w:sz w:val="24"/>
          <w:szCs w:val="24"/>
        </w:rPr>
      </w:pPr>
      <w:r w:rsidRPr="00C23D3D">
        <w:rPr>
          <w:rFonts w:asciiTheme="minorHAnsi" w:hAnsiTheme="minorHAnsi"/>
          <w:sz w:val="24"/>
          <w:szCs w:val="24"/>
        </w:rPr>
        <w:lastRenderedPageBreak/>
        <w:t>is absent from three consecutive meetings of the board, otherwise than on approved leave;</w:t>
      </w:r>
    </w:p>
    <w:p w:rsidR="00647562" w:rsidRPr="00C23D3D" w:rsidRDefault="00647562" w:rsidP="000055AE">
      <w:pPr>
        <w:pStyle w:val="ListParagraph"/>
        <w:numPr>
          <w:ilvl w:val="0"/>
          <w:numId w:val="32"/>
        </w:numPr>
        <w:spacing w:after="0"/>
        <w:rPr>
          <w:rFonts w:asciiTheme="minorHAnsi" w:hAnsiTheme="minorHAnsi"/>
          <w:sz w:val="24"/>
          <w:szCs w:val="24"/>
        </w:rPr>
      </w:pPr>
      <w:r w:rsidRPr="00C23D3D">
        <w:rPr>
          <w:rFonts w:asciiTheme="minorHAnsi" w:hAnsiTheme="minorHAnsi"/>
          <w:sz w:val="24"/>
          <w:szCs w:val="24"/>
        </w:rPr>
        <w:t>is affected by physical or mental incapacity that substantially affects the person’s ability to exercise the functions of a member of the advisory board.</w:t>
      </w:r>
    </w:p>
    <w:p w:rsidR="00647562" w:rsidRPr="00C23D3D" w:rsidRDefault="00647562" w:rsidP="000055AE">
      <w:pPr>
        <w:spacing w:after="0"/>
        <w:rPr>
          <w:rFonts w:asciiTheme="minorHAnsi" w:hAnsiTheme="minorHAnsi"/>
          <w:szCs w:val="24"/>
        </w:rPr>
      </w:pPr>
    </w:p>
    <w:p w:rsidR="00647562" w:rsidRPr="00C23D3D" w:rsidRDefault="00647562" w:rsidP="000055AE">
      <w:pPr>
        <w:spacing w:after="0"/>
        <w:rPr>
          <w:rFonts w:asciiTheme="minorHAnsi" w:hAnsiTheme="minorHAnsi"/>
          <w:szCs w:val="24"/>
        </w:rPr>
      </w:pPr>
      <w:r w:rsidRPr="00C23D3D">
        <w:rPr>
          <w:rFonts w:asciiTheme="minorHAnsi" w:hAnsiTheme="minorHAnsi"/>
          <w:szCs w:val="24"/>
        </w:rPr>
        <w:t>New section 163N(3) provides the definition of the term ‘association’ for the section. In this instance, an association of a person with another person does not include the person’s membership of a club unless the person is involved in managing or running the club. This provision ensures that a person who holds a club membership but is not involved in club decision-making remains eligible for appointment to the advisory board.</w:t>
      </w:r>
    </w:p>
    <w:p w:rsidR="00EB290D" w:rsidRPr="00C23D3D" w:rsidRDefault="00EB290D" w:rsidP="000055AE">
      <w:pPr>
        <w:spacing w:after="0"/>
        <w:rPr>
          <w:rFonts w:asciiTheme="minorHAnsi" w:hAnsiTheme="minorHAnsi"/>
          <w:szCs w:val="24"/>
        </w:rPr>
      </w:pPr>
    </w:p>
    <w:p w:rsidR="0021149F" w:rsidRPr="00C23D3D" w:rsidRDefault="005803F1" w:rsidP="000055AE">
      <w:pPr>
        <w:pStyle w:val="Heading5"/>
        <w:keepNext/>
        <w:spacing w:before="0" w:after="0"/>
        <w:rPr>
          <w:rFonts w:asciiTheme="minorHAnsi" w:hAnsiTheme="minorHAnsi"/>
          <w:b w:val="0"/>
        </w:rPr>
      </w:pPr>
      <w:r w:rsidRPr="00C23D3D">
        <w:rPr>
          <w:rFonts w:asciiTheme="minorHAnsi" w:hAnsiTheme="minorHAnsi"/>
          <w:b w:val="0"/>
        </w:rPr>
        <w:t>New s</w:t>
      </w:r>
      <w:r w:rsidR="002D6870">
        <w:rPr>
          <w:rFonts w:asciiTheme="minorHAnsi" w:hAnsiTheme="minorHAnsi"/>
          <w:b w:val="0"/>
        </w:rPr>
        <w:t>ection 163O</w:t>
      </w:r>
      <w:r w:rsidR="0021149F" w:rsidRPr="00C23D3D">
        <w:rPr>
          <w:rFonts w:asciiTheme="minorHAnsi" w:hAnsiTheme="minorHAnsi"/>
          <w:b w:val="0"/>
        </w:rPr>
        <w:tab/>
      </w:r>
      <w:r w:rsidR="005D05D5" w:rsidRPr="00C23D3D">
        <w:rPr>
          <w:rFonts w:asciiTheme="minorHAnsi" w:hAnsiTheme="minorHAnsi"/>
          <w:b w:val="0"/>
        </w:rPr>
        <w:t>Agenda to require disclosure of interest item</w:t>
      </w:r>
    </w:p>
    <w:p w:rsidR="003C4D6A" w:rsidRPr="00C23D3D" w:rsidRDefault="007D329C" w:rsidP="000055AE">
      <w:pPr>
        <w:spacing w:after="0"/>
        <w:rPr>
          <w:rFonts w:asciiTheme="minorHAnsi" w:hAnsiTheme="minorHAnsi"/>
          <w:szCs w:val="24"/>
        </w:rPr>
      </w:pPr>
      <w:r w:rsidRPr="00C23D3D">
        <w:rPr>
          <w:rFonts w:asciiTheme="minorHAnsi" w:hAnsiTheme="minorHAnsi"/>
          <w:szCs w:val="24"/>
        </w:rPr>
        <w:t>Under new section 163O(1), the agenda for each meeting of the advisory board must include an item requiring the disclosure of any material interest in an issue to be considered at the meeting.</w:t>
      </w:r>
    </w:p>
    <w:p w:rsidR="007D329C" w:rsidRPr="00C23D3D" w:rsidRDefault="007D329C" w:rsidP="000055AE">
      <w:pPr>
        <w:spacing w:after="0"/>
        <w:rPr>
          <w:rFonts w:asciiTheme="minorHAnsi" w:hAnsiTheme="minorHAnsi"/>
          <w:szCs w:val="24"/>
        </w:rPr>
      </w:pPr>
    </w:p>
    <w:p w:rsidR="007D329C" w:rsidRPr="00C23D3D" w:rsidRDefault="007D329C" w:rsidP="000055AE">
      <w:pPr>
        <w:spacing w:after="0"/>
        <w:rPr>
          <w:rFonts w:asciiTheme="minorHAnsi" w:hAnsiTheme="minorHAnsi"/>
          <w:szCs w:val="24"/>
        </w:rPr>
      </w:pPr>
      <w:r w:rsidRPr="00C23D3D">
        <w:rPr>
          <w:rFonts w:asciiTheme="minorHAnsi" w:hAnsiTheme="minorHAnsi"/>
          <w:szCs w:val="24"/>
        </w:rPr>
        <w:t>New section 163O(2) provides the definition of the term ‘material interest’ for section 163O, which is defined in section 163P(4).</w:t>
      </w:r>
    </w:p>
    <w:p w:rsidR="00EB290D" w:rsidRPr="00C23D3D" w:rsidRDefault="00EB290D" w:rsidP="000055AE">
      <w:pPr>
        <w:spacing w:after="0"/>
        <w:rPr>
          <w:rFonts w:asciiTheme="minorHAnsi" w:hAnsiTheme="minorHAnsi"/>
          <w:szCs w:val="24"/>
        </w:rPr>
      </w:pPr>
    </w:p>
    <w:p w:rsidR="0021149F" w:rsidRPr="00C23D3D" w:rsidRDefault="005803F1" w:rsidP="000055AE">
      <w:pPr>
        <w:pStyle w:val="Heading5"/>
        <w:keepNext/>
        <w:spacing w:before="0" w:after="0"/>
        <w:rPr>
          <w:rFonts w:asciiTheme="minorHAnsi" w:hAnsiTheme="minorHAnsi"/>
          <w:b w:val="0"/>
        </w:rPr>
      </w:pPr>
      <w:r w:rsidRPr="00C23D3D">
        <w:rPr>
          <w:rFonts w:asciiTheme="minorHAnsi" w:hAnsiTheme="minorHAnsi"/>
          <w:b w:val="0"/>
        </w:rPr>
        <w:t>New s</w:t>
      </w:r>
      <w:r w:rsidR="002D6870">
        <w:rPr>
          <w:rFonts w:asciiTheme="minorHAnsi" w:hAnsiTheme="minorHAnsi"/>
          <w:b w:val="0"/>
        </w:rPr>
        <w:t>ection 163</w:t>
      </w:r>
      <w:r w:rsidR="000055AE">
        <w:rPr>
          <w:rFonts w:asciiTheme="minorHAnsi" w:hAnsiTheme="minorHAnsi"/>
          <w:b w:val="0"/>
        </w:rPr>
        <w:t>P</w:t>
      </w:r>
      <w:r w:rsidR="005D05D5" w:rsidRPr="00C23D3D">
        <w:rPr>
          <w:rFonts w:asciiTheme="minorHAnsi" w:hAnsiTheme="minorHAnsi"/>
          <w:b w:val="0"/>
        </w:rPr>
        <w:tab/>
        <w:t xml:space="preserve">Disclosure of interests by members of </w:t>
      </w:r>
      <w:r w:rsidR="0021149F" w:rsidRPr="00C23D3D">
        <w:rPr>
          <w:rFonts w:asciiTheme="minorHAnsi" w:hAnsiTheme="minorHAnsi"/>
          <w:b w:val="0"/>
        </w:rPr>
        <w:t>advisory board</w:t>
      </w:r>
    </w:p>
    <w:p w:rsidR="003C4D6A" w:rsidRPr="00C23D3D" w:rsidRDefault="007D329C" w:rsidP="000055AE">
      <w:pPr>
        <w:spacing w:after="0"/>
        <w:rPr>
          <w:rFonts w:asciiTheme="minorHAnsi" w:hAnsiTheme="minorHAnsi"/>
          <w:szCs w:val="24"/>
        </w:rPr>
      </w:pPr>
      <w:r w:rsidRPr="00C23D3D">
        <w:rPr>
          <w:rFonts w:asciiTheme="minorHAnsi" w:hAnsiTheme="minorHAnsi"/>
          <w:szCs w:val="24"/>
        </w:rPr>
        <w:t>New section 163P provides for the disclosure of interests by members of the advisory board.</w:t>
      </w:r>
    </w:p>
    <w:p w:rsidR="007D329C" w:rsidRPr="00C23D3D" w:rsidRDefault="007D329C" w:rsidP="000055AE">
      <w:pPr>
        <w:spacing w:after="0"/>
        <w:rPr>
          <w:rFonts w:asciiTheme="minorHAnsi" w:hAnsiTheme="minorHAnsi"/>
          <w:szCs w:val="24"/>
        </w:rPr>
      </w:pPr>
    </w:p>
    <w:p w:rsidR="007D329C" w:rsidRPr="00C23D3D" w:rsidRDefault="007D329C" w:rsidP="000055AE">
      <w:pPr>
        <w:spacing w:after="0"/>
        <w:rPr>
          <w:rFonts w:asciiTheme="minorHAnsi" w:hAnsiTheme="minorHAnsi"/>
          <w:szCs w:val="24"/>
        </w:rPr>
      </w:pPr>
      <w:r w:rsidRPr="00C23D3D">
        <w:rPr>
          <w:rFonts w:asciiTheme="minorHAnsi" w:hAnsiTheme="minorHAnsi"/>
          <w:szCs w:val="24"/>
        </w:rPr>
        <w:t xml:space="preserve">Under new section 163P(1), an advisory board member must disclose </w:t>
      </w:r>
      <w:r w:rsidR="00DD0D0A" w:rsidRPr="00C23D3D">
        <w:rPr>
          <w:rFonts w:asciiTheme="minorHAnsi" w:hAnsiTheme="minorHAnsi"/>
          <w:szCs w:val="24"/>
        </w:rPr>
        <w:t xml:space="preserve">the nature of any </w:t>
      </w:r>
      <w:r w:rsidRPr="00C23D3D">
        <w:rPr>
          <w:rFonts w:asciiTheme="minorHAnsi" w:hAnsiTheme="minorHAnsi"/>
          <w:szCs w:val="24"/>
        </w:rPr>
        <w:t>material interest in an issue being considered, or about to be considered, by the board.</w:t>
      </w:r>
      <w:r w:rsidR="00DD0D0A" w:rsidRPr="00C23D3D">
        <w:rPr>
          <w:rFonts w:asciiTheme="minorHAnsi" w:hAnsiTheme="minorHAnsi"/>
          <w:szCs w:val="24"/>
        </w:rPr>
        <w:t xml:space="preserve"> The disclosure must be made at board meeting as soon as practicable after the relevant facts come to the advisory board member’s knowledge.</w:t>
      </w:r>
    </w:p>
    <w:p w:rsidR="00DD0D0A" w:rsidRPr="00C23D3D" w:rsidRDefault="00DD0D0A" w:rsidP="000055AE">
      <w:pPr>
        <w:spacing w:after="0"/>
        <w:rPr>
          <w:rFonts w:asciiTheme="minorHAnsi" w:hAnsiTheme="minorHAnsi"/>
          <w:szCs w:val="24"/>
        </w:rPr>
      </w:pPr>
    </w:p>
    <w:p w:rsidR="00DD0D0A" w:rsidRPr="00C23D3D" w:rsidRDefault="00DD0D0A" w:rsidP="000055AE">
      <w:pPr>
        <w:spacing w:after="0"/>
        <w:rPr>
          <w:rFonts w:asciiTheme="minorHAnsi" w:hAnsiTheme="minorHAnsi"/>
          <w:szCs w:val="24"/>
        </w:rPr>
      </w:pPr>
      <w:r w:rsidRPr="00C23D3D">
        <w:rPr>
          <w:rFonts w:asciiTheme="minorHAnsi" w:hAnsiTheme="minorHAnsi"/>
          <w:szCs w:val="24"/>
        </w:rPr>
        <w:t>New section 163P(2) provides that the disclosure of a material interest must be recorded in the advisory board’s minutes. The member must not be present when the advisory board considers the issue or take part in a board decision on the issue, unless the board otherwise decides.</w:t>
      </w:r>
    </w:p>
    <w:p w:rsidR="00DD0D0A" w:rsidRPr="00C23D3D" w:rsidRDefault="00DD0D0A" w:rsidP="000055AE">
      <w:pPr>
        <w:spacing w:after="0"/>
        <w:rPr>
          <w:rFonts w:asciiTheme="minorHAnsi" w:hAnsiTheme="minorHAnsi"/>
          <w:szCs w:val="24"/>
        </w:rPr>
      </w:pPr>
    </w:p>
    <w:p w:rsidR="00DD0D0A" w:rsidRPr="00C23D3D" w:rsidRDefault="00DD0D0A" w:rsidP="000055AE">
      <w:pPr>
        <w:spacing w:after="0"/>
        <w:rPr>
          <w:rFonts w:asciiTheme="minorHAnsi" w:hAnsiTheme="minorHAnsi"/>
          <w:szCs w:val="24"/>
        </w:rPr>
      </w:pPr>
      <w:r w:rsidRPr="00C23D3D">
        <w:rPr>
          <w:rFonts w:asciiTheme="minorHAnsi" w:hAnsiTheme="minorHAnsi"/>
          <w:szCs w:val="24"/>
        </w:rPr>
        <w:t>Under new section 163P(3), where any other advisory board member also has a material interest in the same issue, they must not be present when the board is considering its decision under new section 163P(2).</w:t>
      </w:r>
    </w:p>
    <w:p w:rsidR="00DD0D0A" w:rsidRPr="00C23D3D" w:rsidRDefault="00DD0D0A" w:rsidP="000055AE">
      <w:pPr>
        <w:spacing w:after="0"/>
        <w:rPr>
          <w:rFonts w:asciiTheme="minorHAnsi" w:hAnsiTheme="minorHAnsi"/>
          <w:szCs w:val="24"/>
        </w:rPr>
      </w:pPr>
    </w:p>
    <w:p w:rsidR="00DD0D0A" w:rsidRPr="00C23D3D" w:rsidRDefault="00DD0D0A" w:rsidP="000055AE">
      <w:pPr>
        <w:spacing w:after="0"/>
        <w:rPr>
          <w:rFonts w:asciiTheme="minorHAnsi" w:hAnsiTheme="minorHAnsi"/>
          <w:szCs w:val="24"/>
        </w:rPr>
      </w:pPr>
      <w:r w:rsidRPr="00C23D3D">
        <w:rPr>
          <w:rFonts w:asciiTheme="minorHAnsi" w:hAnsiTheme="minorHAnsi"/>
          <w:szCs w:val="24"/>
        </w:rPr>
        <w:t>New section 163P(4) provides definitions for the section. The defined terms are ‘associate’, ‘indirect interest’ and ‘material interest’.</w:t>
      </w:r>
    </w:p>
    <w:p w:rsidR="00EB290D" w:rsidRPr="00C23D3D" w:rsidRDefault="00EB290D" w:rsidP="000055AE">
      <w:pPr>
        <w:spacing w:after="0"/>
        <w:rPr>
          <w:rFonts w:asciiTheme="minorHAnsi" w:hAnsiTheme="minorHAnsi"/>
          <w:szCs w:val="24"/>
        </w:rPr>
      </w:pPr>
    </w:p>
    <w:p w:rsidR="0021149F" w:rsidRPr="00C23D3D" w:rsidRDefault="005803F1" w:rsidP="000055AE">
      <w:pPr>
        <w:pStyle w:val="Heading5"/>
        <w:keepNext/>
        <w:spacing w:before="0" w:after="0"/>
        <w:rPr>
          <w:rFonts w:asciiTheme="minorHAnsi" w:hAnsiTheme="minorHAnsi"/>
          <w:b w:val="0"/>
        </w:rPr>
      </w:pPr>
      <w:r w:rsidRPr="00C23D3D">
        <w:rPr>
          <w:rFonts w:asciiTheme="minorHAnsi" w:hAnsiTheme="minorHAnsi"/>
          <w:b w:val="0"/>
        </w:rPr>
        <w:lastRenderedPageBreak/>
        <w:t>New s</w:t>
      </w:r>
      <w:r w:rsidR="0021149F" w:rsidRPr="00C23D3D">
        <w:rPr>
          <w:rFonts w:asciiTheme="minorHAnsi" w:hAnsiTheme="minorHAnsi"/>
          <w:b w:val="0"/>
        </w:rPr>
        <w:t>ection 163</w:t>
      </w:r>
      <w:r w:rsidR="000055AE">
        <w:rPr>
          <w:rFonts w:asciiTheme="minorHAnsi" w:hAnsiTheme="minorHAnsi"/>
          <w:b w:val="0"/>
        </w:rPr>
        <w:t>Q</w:t>
      </w:r>
      <w:r w:rsidR="0021149F" w:rsidRPr="00C23D3D">
        <w:rPr>
          <w:rFonts w:asciiTheme="minorHAnsi" w:hAnsiTheme="minorHAnsi"/>
          <w:b w:val="0"/>
        </w:rPr>
        <w:tab/>
        <w:t>Proceedings of advisory board</w:t>
      </w:r>
    </w:p>
    <w:p w:rsidR="003C4D6A" w:rsidRPr="00C23D3D" w:rsidRDefault="003A14F8" w:rsidP="000055AE">
      <w:pPr>
        <w:spacing w:after="0"/>
        <w:rPr>
          <w:rFonts w:asciiTheme="minorHAnsi" w:hAnsiTheme="minorHAnsi"/>
          <w:szCs w:val="24"/>
        </w:rPr>
      </w:pPr>
      <w:r w:rsidRPr="00C23D3D">
        <w:rPr>
          <w:rFonts w:asciiTheme="minorHAnsi" w:hAnsiTheme="minorHAnsi"/>
          <w:szCs w:val="24"/>
        </w:rPr>
        <w:t>Under new section 163Q(1), the Minister may make guidelines for the proceedings of the advisory board, including meeting and voting requirements of the board.</w:t>
      </w:r>
    </w:p>
    <w:p w:rsidR="003A14F8" w:rsidRPr="00C23D3D" w:rsidRDefault="003A14F8" w:rsidP="000055AE">
      <w:pPr>
        <w:spacing w:after="0"/>
        <w:rPr>
          <w:rFonts w:asciiTheme="minorHAnsi" w:hAnsiTheme="minorHAnsi"/>
          <w:szCs w:val="24"/>
        </w:rPr>
      </w:pPr>
    </w:p>
    <w:p w:rsidR="003A14F8" w:rsidRPr="00C23D3D" w:rsidRDefault="003A14F8" w:rsidP="000055AE">
      <w:pPr>
        <w:spacing w:after="0"/>
        <w:rPr>
          <w:rFonts w:asciiTheme="minorHAnsi" w:hAnsiTheme="minorHAnsi"/>
          <w:szCs w:val="24"/>
        </w:rPr>
      </w:pPr>
      <w:r w:rsidRPr="00C23D3D">
        <w:rPr>
          <w:rFonts w:asciiTheme="minorHAnsi" w:hAnsiTheme="minorHAnsi"/>
          <w:szCs w:val="24"/>
        </w:rPr>
        <w:t xml:space="preserve">New section 163Q(2) </w:t>
      </w:r>
      <w:r w:rsidR="001F46EB" w:rsidRPr="00C23D3D">
        <w:rPr>
          <w:rFonts w:asciiTheme="minorHAnsi" w:hAnsiTheme="minorHAnsi"/>
          <w:szCs w:val="24"/>
        </w:rPr>
        <w:t>provides that the advisory board may conduct its proceedings as it considers appropriate unless any guidelines made by the Minister provide otherwise.</w:t>
      </w:r>
    </w:p>
    <w:p w:rsidR="001F46EB" w:rsidRPr="00C23D3D" w:rsidRDefault="001F46EB" w:rsidP="000055AE">
      <w:pPr>
        <w:spacing w:after="0"/>
        <w:rPr>
          <w:rFonts w:asciiTheme="minorHAnsi" w:hAnsiTheme="minorHAnsi"/>
          <w:szCs w:val="24"/>
        </w:rPr>
      </w:pPr>
    </w:p>
    <w:p w:rsidR="001F46EB" w:rsidRPr="00C23D3D" w:rsidRDefault="001F46EB" w:rsidP="000055AE">
      <w:pPr>
        <w:spacing w:after="0"/>
        <w:rPr>
          <w:rFonts w:asciiTheme="minorHAnsi" w:hAnsiTheme="minorHAnsi"/>
          <w:szCs w:val="24"/>
        </w:rPr>
      </w:pPr>
      <w:r w:rsidRPr="00C23D3D">
        <w:rPr>
          <w:rFonts w:asciiTheme="minorHAnsi" w:hAnsiTheme="minorHAnsi"/>
          <w:szCs w:val="24"/>
        </w:rPr>
        <w:t xml:space="preserve">Under new section 163Q(3),a guideline is a notifiable instrument, which must be notified under the </w:t>
      </w:r>
      <w:r w:rsidRPr="002D6870">
        <w:rPr>
          <w:rFonts w:asciiTheme="minorHAnsi" w:hAnsiTheme="minorHAnsi"/>
          <w:i/>
          <w:szCs w:val="24"/>
        </w:rPr>
        <w:t>Legislation Act 2001</w:t>
      </w:r>
      <w:r w:rsidRPr="00C23D3D">
        <w:rPr>
          <w:rFonts w:asciiTheme="minorHAnsi" w:hAnsiTheme="minorHAnsi"/>
          <w:szCs w:val="24"/>
        </w:rPr>
        <w:t>.</w:t>
      </w:r>
    </w:p>
    <w:p w:rsidR="00EB290D" w:rsidRPr="00C23D3D" w:rsidRDefault="00EB290D" w:rsidP="000055AE">
      <w:pPr>
        <w:spacing w:after="0"/>
        <w:rPr>
          <w:rFonts w:asciiTheme="minorHAnsi" w:hAnsiTheme="minorHAnsi"/>
          <w:szCs w:val="24"/>
        </w:rPr>
      </w:pPr>
    </w:p>
    <w:p w:rsidR="0021149F" w:rsidRPr="00C23D3D" w:rsidRDefault="005803F1" w:rsidP="000055AE">
      <w:pPr>
        <w:pStyle w:val="Heading5"/>
        <w:keepNext/>
        <w:spacing w:before="0" w:after="0"/>
        <w:rPr>
          <w:rFonts w:asciiTheme="minorHAnsi" w:hAnsiTheme="minorHAnsi"/>
          <w:b w:val="0"/>
        </w:rPr>
      </w:pPr>
      <w:r w:rsidRPr="00C23D3D">
        <w:rPr>
          <w:rFonts w:asciiTheme="minorHAnsi" w:hAnsiTheme="minorHAnsi"/>
          <w:b w:val="0"/>
        </w:rPr>
        <w:t>New s</w:t>
      </w:r>
      <w:r w:rsidR="002D6870">
        <w:rPr>
          <w:rFonts w:asciiTheme="minorHAnsi" w:hAnsiTheme="minorHAnsi"/>
          <w:b w:val="0"/>
        </w:rPr>
        <w:t>ection 163</w:t>
      </w:r>
      <w:r w:rsidR="000055AE">
        <w:rPr>
          <w:rFonts w:asciiTheme="minorHAnsi" w:hAnsiTheme="minorHAnsi"/>
          <w:b w:val="0"/>
        </w:rPr>
        <w:t>R</w:t>
      </w:r>
      <w:r w:rsidR="0021149F" w:rsidRPr="00C23D3D">
        <w:rPr>
          <w:rFonts w:asciiTheme="minorHAnsi" w:hAnsiTheme="minorHAnsi"/>
          <w:b w:val="0"/>
        </w:rPr>
        <w:tab/>
        <w:t>Protection of members of advisory board from liability</w:t>
      </w:r>
    </w:p>
    <w:p w:rsidR="003C4D6A" w:rsidRPr="00C23D3D" w:rsidRDefault="00EB290D" w:rsidP="000055AE">
      <w:pPr>
        <w:spacing w:after="0"/>
        <w:rPr>
          <w:rFonts w:asciiTheme="minorHAnsi" w:hAnsiTheme="minorHAnsi"/>
          <w:szCs w:val="24"/>
        </w:rPr>
      </w:pPr>
      <w:r w:rsidRPr="00C23D3D">
        <w:rPr>
          <w:rFonts w:asciiTheme="minorHAnsi" w:hAnsiTheme="minorHAnsi"/>
          <w:szCs w:val="24"/>
        </w:rPr>
        <w:t xml:space="preserve">New section 163R provides that members of the advisory board </w:t>
      </w:r>
      <w:r w:rsidR="003A14F8" w:rsidRPr="00C23D3D">
        <w:rPr>
          <w:rFonts w:asciiTheme="minorHAnsi" w:hAnsiTheme="minorHAnsi"/>
          <w:szCs w:val="24"/>
        </w:rPr>
        <w:t xml:space="preserve">are not civilly liable for anything done or omitted to be honesty and without recklessness in the exercise of a function under a Territory law or in the reasonable belief that the act or omission was in the exercise of a function under a </w:t>
      </w:r>
      <w:r w:rsidR="002D6870">
        <w:rPr>
          <w:rFonts w:asciiTheme="minorHAnsi" w:hAnsiTheme="minorHAnsi"/>
          <w:szCs w:val="24"/>
        </w:rPr>
        <w:t>T</w:t>
      </w:r>
      <w:r w:rsidR="003A14F8" w:rsidRPr="00C23D3D">
        <w:rPr>
          <w:rFonts w:asciiTheme="minorHAnsi" w:hAnsiTheme="minorHAnsi"/>
          <w:szCs w:val="24"/>
        </w:rPr>
        <w:t>erritory law.</w:t>
      </w:r>
    </w:p>
    <w:p w:rsidR="003A14F8" w:rsidRPr="00C23D3D" w:rsidRDefault="003A14F8" w:rsidP="000055AE">
      <w:pPr>
        <w:spacing w:after="0"/>
        <w:rPr>
          <w:rFonts w:asciiTheme="minorHAnsi" w:hAnsiTheme="minorHAnsi"/>
          <w:szCs w:val="24"/>
        </w:rPr>
      </w:pPr>
    </w:p>
    <w:p w:rsidR="003A14F8" w:rsidRPr="00C23D3D" w:rsidRDefault="003A14F8" w:rsidP="000055AE">
      <w:pPr>
        <w:spacing w:after="0"/>
        <w:rPr>
          <w:rFonts w:asciiTheme="minorHAnsi" w:hAnsiTheme="minorHAnsi"/>
          <w:szCs w:val="24"/>
        </w:rPr>
      </w:pPr>
      <w:r w:rsidRPr="00C23D3D">
        <w:rPr>
          <w:rFonts w:asciiTheme="minorHAnsi" w:hAnsiTheme="minorHAnsi"/>
          <w:szCs w:val="24"/>
        </w:rPr>
        <w:t>Under new section 163R(2) any liability that would, apart from the section, attach to a member of the board attaches instead to the Territory.</w:t>
      </w:r>
    </w:p>
    <w:p w:rsidR="00FF2094" w:rsidRPr="00C23D3D" w:rsidRDefault="00FF2094" w:rsidP="000055AE">
      <w:pPr>
        <w:pStyle w:val="Heading4"/>
        <w:keepNext w:val="0"/>
        <w:spacing w:before="0" w:after="0"/>
        <w:rPr>
          <w:rFonts w:asciiTheme="minorHAnsi" w:hAnsiTheme="minorHAnsi"/>
        </w:rPr>
      </w:pPr>
    </w:p>
    <w:p w:rsidR="004C540B" w:rsidRPr="00C23D3D" w:rsidRDefault="004C540B" w:rsidP="000055AE">
      <w:pPr>
        <w:pStyle w:val="Heading4"/>
        <w:spacing w:before="0" w:after="0"/>
        <w:rPr>
          <w:rFonts w:asciiTheme="minorHAnsi" w:hAnsiTheme="minorHAnsi"/>
          <w:bCs/>
          <w:lang w:eastAsia="en-AU"/>
        </w:rPr>
      </w:pPr>
      <w:r w:rsidRPr="00C23D3D">
        <w:rPr>
          <w:rFonts w:asciiTheme="minorHAnsi" w:hAnsiTheme="minorHAnsi"/>
        </w:rPr>
        <w:t xml:space="preserve">Clause </w:t>
      </w:r>
      <w:r w:rsidR="00A37958" w:rsidRPr="00C23D3D">
        <w:rPr>
          <w:rFonts w:asciiTheme="minorHAnsi" w:hAnsiTheme="minorHAnsi"/>
          <w:noProof/>
        </w:rPr>
        <w:t>23</w:t>
      </w:r>
      <w:r w:rsidR="008C1B86" w:rsidRPr="00C23D3D">
        <w:rPr>
          <w:rFonts w:asciiTheme="minorHAnsi" w:hAnsiTheme="minorHAnsi"/>
          <w:bCs/>
          <w:lang w:eastAsia="en-AU"/>
        </w:rPr>
        <w:tab/>
        <w:t>Definitions–</w:t>
      </w:r>
      <w:proofErr w:type="spellStart"/>
      <w:r w:rsidRPr="00C23D3D">
        <w:rPr>
          <w:rFonts w:asciiTheme="minorHAnsi" w:hAnsiTheme="minorHAnsi"/>
          <w:bCs/>
          <w:lang w:eastAsia="en-AU"/>
        </w:rPr>
        <w:t>pt</w:t>
      </w:r>
      <w:proofErr w:type="spellEnd"/>
      <w:r w:rsidRPr="00C23D3D">
        <w:rPr>
          <w:rFonts w:asciiTheme="minorHAnsi" w:hAnsiTheme="minorHAnsi"/>
          <w:bCs/>
          <w:lang w:eastAsia="en-AU"/>
        </w:rPr>
        <w:t xml:space="preserve"> 12 </w:t>
      </w:r>
      <w:r w:rsidRPr="00C23D3D">
        <w:rPr>
          <w:rFonts w:asciiTheme="minorHAnsi" w:hAnsiTheme="minorHAnsi"/>
          <w:bCs/>
          <w:lang w:eastAsia="en-AU"/>
        </w:rPr>
        <w:br/>
      </w:r>
      <w:r w:rsidRPr="00C23D3D">
        <w:rPr>
          <w:rFonts w:asciiTheme="minorHAnsi" w:hAnsiTheme="minorHAnsi"/>
          <w:bCs/>
          <w:lang w:eastAsia="en-AU"/>
        </w:rPr>
        <w:tab/>
      </w:r>
      <w:r w:rsidRPr="00C23D3D">
        <w:rPr>
          <w:rFonts w:asciiTheme="minorHAnsi" w:hAnsiTheme="minorHAnsi"/>
          <w:bCs/>
          <w:lang w:eastAsia="en-AU"/>
        </w:rPr>
        <w:tab/>
        <w:t xml:space="preserve">Section 164, definitions of </w:t>
      </w:r>
      <w:r w:rsidRPr="00C23D3D">
        <w:rPr>
          <w:rFonts w:asciiTheme="minorHAnsi" w:hAnsiTheme="minorHAnsi"/>
          <w:bCs/>
          <w:i/>
          <w:lang w:eastAsia="en-AU"/>
        </w:rPr>
        <w:t>recipient</w:t>
      </w:r>
      <w:r w:rsidRPr="00C23D3D">
        <w:rPr>
          <w:rFonts w:asciiTheme="minorHAnsi" w:hAnsiTheme="minorHAnsi"/>
          <w:bCs/>
          <w:lang w:eastAsia="en-AU"/>
        </w:rPr>
        <w:t>, examples</w:t>
      </w:r>
    </w:p>
    <w:p w:rsidR="00FF2094" w:rsidRPr="00C23D3D" w:rsidRDefault="00CE6CEB" w:rsidP="000055AE">
      <w:pPr>
        <w:spacing w:after="0"/>
        <w:rPr>
          <w:rFonts w:asciiTheme="minorHAnsi" w:hAnsiTheme="minorHAnsi"/>
          <w:szCs w:val="24"/>
        </w:rPr>
      </w:pPr>
      <w:r w:rsidRPr="00C23D3D">
        <w:rPr>
          <w:rFonts w:asciiTheme="minorHAnsi" w:hAnsiTheme="minorHAnsi"/>
          <w:szCs w:val="24"/>
        </w:rPr>
        <w:t>Section 164 (</w:t>
      </w:r>
      <w:proofErr w:type="spellStart"/>
      <w:r w:rsidRPr="00C23D3D">
        <w:rPr>
          <w:rFonts w:asciiTheme="minorHAnsi" w:hAnsiTheme="minorHAnsi"/>
          <w:szCs w:val="24"/>
        </w:rPr>
        <w:t>uncommenced</w:t>
      </w:r>
      <w:proofErr w:type="spellEnd"/>
      <w:r w:rsidRPr="00C23D3D">
        <w:rPr>
          <w:rFonts w:asciiTheme="minorHAnsi" w:hAnsiTheme="minorHAnsi"/>
          <w:szCs w:val="24"/>
        </w:rPr>
        <w:t xml:space="preserve">) </w:t>
      </w:r>
      <w:r w:rsidR="00571DD0">
        <w:rPr>
          <w:rFonts w:asciiTheme="minorHAnsi" w:hAnsiTheme="minorHAnsi"/>
          <w:szCs w:val="24"/>
        </w:rPr>
        <w:t xml:space="preserve">of the Gaming Machine Act </w:t>
      </w:r>
      <w:r w:rsidRPr="00C23D3D">
        <w:rPr>
          <w:rFonts w:asciiTheme="minorHAnsi" w:hAnsiTheme="minorHAnsi"/>
          <w:szCs w:val="24"/>
        </w:rPr>
        <w:t xml:space="preserve">establishes the definitions for new part 12 of the Gaming Machine Act. </w:t>
      </w:r>
      <w:r w:rsidR="00A37958" w:rsidRPr="00C23D3D">
        <w:rPr>
          <w:rFonts w:asciiTheme="minorHAnsi" w:hAnsiTheme="minorHAnsi"/>
          <w:szCs w:val="24"/>
        </w:rPr>
        <w:t>Clause 23</w:t>
      </w:r>
      <w:r w:rsidR="00BF195C" w:rsidRPr="00C23D3D">
        <w:rPr>
          <w:rFonts w:asciiTheme="minorHAnsi" w:hAnsiTheme="minorHAnsi"/>
          <w:szCs w:val="24"/>
        </w:rPr>
        <w:t xml:space="preserve"> is a minor</w:t>
      </w:r>
      <w:r w:rsidR="0021149F" w:rsidRPr="00C23D3D">
        <w:rPr>
          <w:rFonts w:asciiTheme="minorHAnsi" w:hAnsiTheme="minorHAnsi"/>
          <w:szCs w:val="24"/>
        </w:rPr>
        <w:t xml:space="preserve"> </w:t>
      </w:r>
      <w:r w:rsidR="00BF195C" w:rsidRPr="00C23D3D">
        <w:rPr>
          <w:rFonts w:asciiTheme="minorHAnsi" w:hAnsiTheme="minorHAnsi"/>
          <w:szCs w:val="24"/>
        </w:rPr>
        <w:t xml:space="preserve">amendment that deletes the examples of recipient </w:t>
      </w:r>
      <w:r w:rsidRPr="00C23D3D">
        <w:rPr>
          <w:rFonts w:asciiTheme="minorHAnsi" w:hAnsiTheme="minorHAnsi"/>
          <w:szCs w:val="24"/>
        </w:rPr>
        <w:t>in the definition.</w:t>
      </w:r>
    </w:p>
    <w:p w:rsidR="0021149F" w:rsidRPr="00C23D3D" w:rsidRDefault="0021149F" w:rsidP="000055AE">
      <w:pPr>
        <w:spacing w:after="0"/>
        <w:rPr>
          <w:rFonts w:asciiTheme="minorHAnsi" w:hAnsiTheme="minorHAnsi"/>
          <w:szCs w:val="24"/>
        </w:rPr>
      </w:pPr>
    </w:p>
    <w:p w:rsidR="004C540B" w:rsidRPr="00C23D3D" w:rsidRDefault="004C540B" w:rsidP="000055AE">
      <w:pPr>
        <w:pStyle w:val="Heading4"/>
        <w:spacing w:before="0" w:after="0"/>
        <w:ind w:left="1440" w:hanging="1440"/>
        <w:rPr>
          <w:rFonts w:asciiTheme="minorHAnsi" w:hAnsiTheme="minorHAnsi"/>
          <w:bCs/>
          <w:lang w:eastAsia="en-AU"/>
        </w:rPr>
      </w:pPr>
      <w:r w:rsidRPr="00C23D3D">
        <w:rPr>
          <w:rFonts w:asciiTheme="minorHAnsi" w:hAnsiTheme="minorHAnsi"/>
        </w:rPr>
        <w:t xml:space="preserve">Clause </w:t>
      </w:r>
      <w:r w:rsidR="00A37958" w:rsidRPr="00C23D3D">
        <w:rPr>
          <w:rFonts w:asciiTheme="minorHAnsi" w:hAnsiTheme="minorHAnsi"/>
          <w:noProof/>
        </w:rPr>
        <w:t>24</w:t>
      </w:r>
      <w:r w:rsidRPr="00C23D3D">
        <w:rPr>
          <w:rFonts w:asciiTheme="minorHAnsi" w:hAnsiTheme="minorHAnsi"/>
          <w:bCs/>
          <w:lang w:eastAsia="en-AU"/>
        </w:rPr>
        <w:tab/>
      </w:r>
      <w:r w:rsidR="002D6870">
        <w:rPr>
          <w:rFonts w:asciiTheme="minorHAnsi" w:hAnsiTheme="minorHAnsi"/>
          <w:bCs/>
          <w:lang w:eastAsia="en-AU"/>
        </w:rPr>
        <w:t>Meaning of community purpose etc</w:t>
      </w:r>
      <w:r w:rsidR="002D6870" w:rsidRPr="00C23D3D">
        <w:rPr>
          <w:rFonts w:asciiTheme="minorHAnsi" w:hAnsiTheme="minorHAnsi"/>
          <w:bCs/>
          <w:lang w:eastAsia="en-AU"/>
        </w:rPr>
        <w:t>–</w:t>
      </w:r>
      <w:proofErr w:type="spellStart"/>
      <w:r w:rsidR="002D6870">
        <w:rPr>
          <w:rFonts w:asciiTheme="minorHAnsi" w:hAnsiTheme="minorHAnsi"/>
          <w:bCs/>
          <w:lang w:eastAsia="en-AU"/>
        </w:rPr>
        <w:t>pt</w:t>
      </w:r>
      <w:proofErr w:type="spellEnd"/>
      <w:r w:rsidR="002D6870">
        <w:rPr>
          <w:rFonts w:asciiTheme="minorHAnsi" w:hAnsiTheme="minorHAnsi"/>
          <w:bCs/>
          <w:lang w:eastAsia="en-AU"/>
        </w:rPr>
        <w:t xml:space="preserve"> 12</w:t>
      </w:r>
      <w:r w:rsidR="002D6870">
        <w:rPr>
          <w:rFonts w:asciiTheme="minorHAnsi" w:hAnsiTheme="minorHAnsi"/>
          <w:bCs/>
          <w:lang w:eastAsia="en-AU"/>
        </w:rPr>
        <w:br/>
      </w:r>
      <w:r w:rsidRPr="00C23D3D">
        <w:rPr>
          <w:rFonts w:asciiTheme="minorHAnsi" w:hAnsiTheme="minorHAnsi"/>
          <w:bCs/>
          <w:lang w:eastAsia="en-AU"/>
        </w:rPr>
        <w:t>Section 166 (2) (j)</w:t>
      </w:r>
    </w:p>
    <w:p w:rsidR="00CE6CEB" w:rsidRPr="00C23D3D" w:rsidRDefault="00CE6CEB" w:rsidP="000055AE">
      <w:pPr>
        <w:spacing w:after="0"/>
        <w:rPr>
          <w:rFonts w:asciiTheme="minorHAnsi" w:hAnsiTheme="minorHAnsi"/>
          <w:szCs w:val="24"/>
        </w:rPr>
      </w:pPr>
      <w:r w:rsidRPr="00C23D3D">
        <w:rPr>
          <w:rFonts w:asciiTheme="minorHAnsi" w:hAnsiTheme="minorHAnsi"/>
          <w:szCs w:val="24"/>
        </w:rPr>
        <w:t>Section 166 (</w:t>
      </w:r>
      <w:proofErr w:type="spellStart"/>
      <w:r w:rsidRPr="00C23D3D">
        <w:rPr>
          <w:rFonts w:asciiTheme="minorHAnsi" w:hAnsiTheme="minorHAnsi"/>
          <w:szCs w:val="24"/>
        </w:rPr>
        <w:t>uncommenced</w:t>
      </w:r>
      <w:proofErr w:type="spellEnd"/>
      <w:r w:rsidRPr="00C23D3D">
        <w:rPr>
          <w:rFonts w:asciiTheme="minorHAnsi" w:hAnsiTheme="minorHAnsi"/>
          <w:szCs w:val="24"/>
        </w:rPr>
        <w:t xml:space="preserve">) </w:t>
      </w:r>
      <w:r w:rsidR="00571DD0">
        <w:rPr>
          <w:rFonts w:asciiTheme="minorHAnsi" w:hAnsiTheme="minorHAnsi"/>
          <w:szCs w:val="24"/>
        </w:rPr>
        <w:t xml:space="preserve">of the Gaming Machine Act </w:t>
      </w:r>
      <w:r w:rsidRPr="00C23D3D">
        <w:rPr>
          <w:rFonts w:asciiTheme="minorHAnsi" w:hAnsiTheme="minorHAnsi"/>
          <w:szCs w:val="24"/>
        </w:rPr>
        <w:t>sets out the meaning of ‘community purpose’ as part of the community contributions reforms.</w:t>
      </w:r>
    </w:p>
    <w:p w:rsidR="00CE6CEB" w:rsidRPr="00C23D3D" w:rsidRDefault="00CE6CEB" w:rsidP="000055AE">
      <w:pPr>
        <w:spacing w:after="0"/>
        <w:rPr>
          <w:rFonts w:asciiTheme="minorHAnsi" w:hAnsiTheme="minorHAnsi"/>
          <w:szCs w:val="24"/>
          <w:lang w:eastAsia="en-AU"/>
        </w:rPr>
      </w:pPr>
    </w:p>
    <w:p w:rsidR="007B6680" w:rsidRPr="00C23D3D" w:rsidRDefault="00A37958" w:rsidP="000055AE">
      <w:pPr>
        <w:spacing w:after="0"/>
        <w:rPr>
          <w:rFonts w:asciiTheme="minorHAnsi" w:hAnsiTheme="minorHAnsi"/>
          <w:szCs w:val="24"/>
        </w:rPr>
      </w:pPr>
      <w:r w:rsidRPr="00C23D3D">
        <w:rPr>
          <w:rFonts w:asciiTheme="minorHAnsi" w:hAnsiTheme="minorHAnsi"/>
          <w:szCs w:val="24"/>
        </w:rPr>
        <w:t>Clause 24</w:t>
      </w:r>
      <w:r w:rsidR="00BF195C" w:rsidRPr="00C23D3D">
        <w:rPr>
          <w:rFonts w:asciiTheme="minorHAnsi" w:hAnsiTheme="minorHAnsi"/>
          <w:szCs w:val="24"/>
        </w:rPr>
        <w:t xml:space="preserve"> is a minor </w:t>
      </w:r>
      <w:r w:rsidR="0021149F" w:rsidRPr="00C23D3D">
        <w:rPr>
          <w:rFonts w:asciiTheme="minorHAnsi" w:hAnsiTheme="minorHAnsi"/>
          <w:szCs w:val="24"/>
        </w:rPr>
        <w:t xml:space="preserve">and technical </w:t>
      </w:r>
      <w:r w:rsidR="00BF195C" w:rsidRPr="00C23D3D">
        <w:rPr>
          <w:rFonts w:asciiTheme="minorHAnsi" w:hAnsiTheme="minorHAnsi"/>
          <w:szCs w:val="24"/>
        </w:rPr>
        <w:t xml:space="preserve">amendment </w:t>
      </w:r>
      <w:r w:rsidR="0021149F" w:rsidRPr="00C23D3D">
        <w:rPr>
          <w:rFonts w:asciiTheme="minorHAnsi" w:hAnsiTheme="minorHAnsi"/>
          <w:szCs w:val="24"/>
        </w:rPr>
        <w:t xml:space="preserve">to section 166(2)(j) that adds the word ‘contribution’ to the end of the provision. This amendment clarifies </w:t>
      </w:r>
      <w:r w:rsidR="00CE6CEB" w:rsidRPr="00C23D3D">
        <w:rPr>
          <w:rFonts w:asciiTheme="minorHAnsi" w:hAnsiTheme="minorHAnsi"/>
          <w:szCs w:val="24"/>
        </w:rPr>
        <w:t xml:space="preserve">that a community purpose contribution does not include any other contribution prescribed by regulation not to be a community purpose </w:t>
      </w:r>
      <w:r w:rsidR="00CE6CEB" w:rsidRPr="00C23D3D">
        <w:rPr>
          <w:rFonts w:asciiTheme="minorHAnsi" w:hAnsiTheme="minorHAnsi"/>
          <w:szCs w:val="24"/>
          <w:u w:val="single"/>
        </w:rPr>
        <w:t>contribution</w:t>
      </w:r>
      <w:r w:rsidR="00CE6CEB" w:rsidRPr="00C23D3D">
        <w:rPr>
          <w:rFonts w:asciiTheme="minorHAnsi" w:hAnsiTheme="minorHAnsi"/>
          <w:szCs w:val="24"/>
        </w:rPr>
        <w:t>.</w:t>
      </w:r>
    </w:p>
    <w:p w:rsidR="00FF2094" w:rsidRPr="00C23D3D" w:rsidRDefault="00FF2094" w:rsidP="000055AE">
      <w:pPr>
        <w:spacing w:after="0"/>
        <w:rPr>
          <w:rFonts w:asciiTheme="minorHAnsi" w:hAnsiTheme="minorHAnsi"/>
          <w:szCs w:val="24"/>
          <w:highlight w:val="yellow"/>
          <w:lang w:eastAsia="en-AU"/>
        </w:rPr>
      </w:pPr>
    </w:p>
    <w:p w:rsidR="0032336D" w:rsidRPr="00C23D3D" w:rsidRDefault="0032336D" w:rsidP="000055AE">
      <w:pPr>
        <w:pStyle w:val="Heading4"/>
        <w:spacing w:before="0" w:after="0"/>
        <w:rPr>
          <w:rFonts w:asciiTheme="minorHAnsi" w:hAnsiTheme="minorHAnsi"/>
          <w:bCs/>
          <w:lang w:eastAsia="en-AU"/>
        </w:rPr>
      </w:pPr>
      <w:r w:rsidRPr="00C23D3D">
        <w:rPr>
          <w:rFonts w:asciiTheme="minorHAnsi" w:hAnsiTheme="minorHAnsi"/>
        </w:rPr>
        <w:t>Clause</w:t>
      </w:r>
      <w:r w:rsidR="004C540B" w:rsidRPr="00C23D3D">
        <w:rPr>
          <w:rFonts w:asciiTheme="minorHAnsi" w:hAnsiTheme="minorHAnsi"/>
        </w:rPr>
        <w:t xml:space="preserve"> </w:t>
      </w:r>
      <w:r w:rsidR="00A37958" w:rsidRPr="00C23D3D">
        <w:rPr>
          <w:rFonts w:asciiTheme="minorHAnsi" w:hAnsiTheme="minorHAnsi"/>
          <w:noProof/>
        </w:rPr>
        <w:t>25</w:t>
      </w:r>
      <w:r w:rsidRPr="00C23D3D">
        <w:rPr>
          <w:rFonts w:asciiTheme="minorHAnsi" w:hAnsiTheme="minorHAnsi"/>
          <w:bCs/>
          <w:lang w:eastAsia="en-AU"/>
        </w:rPr>
        <w:tab/>
        <w:t>M</w:t>
      </w:r>
      <w:r w:rsidR="008A524B" w:rsidRPr="00C23D3D">
        <w:rPr>
          <w:rFonts w:asciiTheme="minorHAnsi" w:hAnsiTheme="minorHAnsi"/>
          <w:bCs/>
          <w:lang w:eastAsia="en-AU"/>
        </w:rPr>
        <w:t>inimum community contribution</w:t>
      </w:r>
      <w:r w:rsidR="00572FA8" w:rsidRPr="00C23D3D">
        <w:rPr>
          <w:rFonts w:asciiTheme="minorHAnsi" w:hAnsiTheme="minorHAnsi"/>
          <w:bCs/>
          <w:lang w:eastAsia="en-AU"/>
        </w:rPr>
        <w:t>–</w:t>
      </w:r>
      <w:r w:rsidR="008A524B" w:rsidRPr="00C23D3D">
        <w:rPr>
          <w:rFonts w:asciiTheme="minorHAnsi" w:hAnsiTheme="minorHAnsi"/>
          <w:bCs/>
          <w:lang w:eastAsia="en-AU"/>
        </w:rPr>
        <w:t>clubs</w:t>
      </w:r>
      <w:r w:rsidR="008A524B" w:rsidRPr="00C23D3D">
        <w:rPr>
          <w:rFonts w:asciiTheme="minorHAnsi" w:hAnsiTheme="minorHAnsi"/>
          <w:bCs/>
          <w:lang w:eastAsia="en-AU"/>
        </w:rPr>
        <w:br/>
      </w:r>
      <w:r w:rsidR="008A524B" w:rsidRPr="00C23D3D">
        <w:rPr>
          <w:rFonts w:asciiTheme="minorHAnsi" w:hAnsiTheme="minorHAnsi"/>
          <w:bCs/>
          <w:lang w:eastAsia="en-AU"/>
        </w:rPr>
        <w:tab/>
      </w:r>
      <w:r w:rsidR="008A524B" w:rsidRPr="00C23D3D">
        <w:rPr>
          <w:rFonts w:asciiTheme="minorHAnsi" w:hAnsiTheme="minorHAnsi"/>
          <w:bCs/>
          <w:lang w:eastAsia="en-AU"/>
        </w:rPr>
        <w:tab/>
        <w:t>Section 167 (2)</w:t>
      </w:r>
    </w:p>
    <w:p w:rsidR="00572FA8" w:rsidRPr="00C23D3D" w:rsidRDefault="00572FA8" w:rsidP="000055AE">
      <w:pPr>
        <w:spacing w:after="0"/>
        <w:rPr>
          <w:rFonts w:asciiTheme="minorHAnsi" w:hAnsiTheme="minorHAnsi"/>
          <w:szCs w:val="24"/>
        </w:rPr>
      </w:pPr>
      <w:r w:rsidRPr="00C23D3D">
        <w:rPr>
          <w:rFonts w:asciiTheme="minorHAnsi" w:hAnsiTheme="minorHAnsi"/>
          <w:szCs w:val="24"/>
        </w:rPr>
        <w:t>Section 167 (</w:t>
      </w:r>
      <w:proofErr w:type="spellStart"/>
      <w:r w:rsidRPr="00C23D3D">
        <w:rPr>
          <w:rFonts w:asciiTheme="minorHAnsi" w:hAnsiTheme="minorHAnsi"/>
          <w:szCs w:val="24"/>
        </w:rPr>
        <w:t>uncommenced</w:t>
      </w:r>
      <w:proofErr w:type="spellEnd"/>
      <w:r w:rsidRPr="00C23D3D">
        <w:rPr>
          <w:rFonts w:asciiTheme="minorHAnsi" w:hAnsiTheme="minorHAnsi"/>
          <w:szCs w:val="24"/>
        </w:rPr>
        <w:t xml:space="preserve">) </w:t>
      </w:r>
      <w:r w:rsidR="00571DD0">
        <w:rPr>
          <w:rFonts w:asciiTheme="minorHAnsi" w:hAnsiTheme="minorHAnsi"/>
          <w:szCs w:val="24"/>
        </w:rPr>
        <w:t xml:space="preserve">of the Gaming Machine Act </w:t>
      </w:r>
      <w:r w:rsidRPr="00C23D3D">
        <w:rPr>
          <w:rFonts w:asciiTheme="minorHAnsi" w:hAnsiTheme="minorHAnsi"/>
          <w:szCs w:val="24"/>
        </w:rPr>
        <w:t>sets out the minimum community contribution that a club licensee must make as a percentage of the club’s net revenue.</w:t>
      </w:r>
    </w:p>
    <w:p w:rsidR="00572FA8" w:rsidRPr="00C23D3D" w:rsidRDefault="00572FA8" w:rsidP="000055AE">
      <w:pPr>
        <w:spacing w:after="0"/>
        <w:rPr>
          <w:rFonts w:asciiTheme="minorHAnsi" w:hAnsiTheme="minorHAnsi"/>
          <w:szCs w:val="24"/>
        </w:rPr>
      </w:pPr>
    </w:p>
    <w:p w:rsidR="0032336D" w:rsidRPr="00C23D3D" w:rsidRDefault="00A37958" w:rsidP="000055AE">
      <w:pPr>
        <w:spacing w:after="0"/>
        <w:rPr>
          <w:rFonts w:asciiTheme="minorHAnsi" w:hAnsiTheme="minorHAnsi"/>
          <w:szCs w:val="24"/>
        </w:rPr>
      </w:pPr>
      <w:r w:rsidRPr="00C23D3D">
        <w:rPr>
          <w:rFonts w:asciiTheme="minorHAnsi" w:hAnsiTheme="minorHAnsi"/>
          <w:szCs w:val="24"/>
        </w:rPr>
        <w:lastRenderedPageBreak/>
        <w:t>Clause 25</w:t>
      </w:r>
      <w:r w:rsidR="00BF195C" w:rsidRPr="00C23D3D">
        <w:rPr>
          <w:rFonts w:asciiTheme="minorHAnsi" w:hAnsiTheme="minorHAnsi"/>
          <w:szCs w:val="24"/>
        </w:rPr>
        <w:t xml:space="preserve"> amends section 167(2) to clarify that the </w:t>
      </w:r>
      <w:r w:rsidR="008C1B86" w:rsidRPr="00C23D3D">
        <w:rPr>
          <w:rFonts w:asciiTheme="minorHAnsi" w:hAnsiTheme="minorHAnsi"/>
          <w:szCs w:val="24"/>
        </w:rPr>
        <w:t xml:space="preserve">minimum community contribution </w:t>
      </w:r>
      <w:r w:rsidR="00BF195C" w:rsidRPr="00C23D3D">
        <w:rPr>
          <w:rFonts w:asciiTheme="minorHAnsi" w:hAnsiTheme="minorHAnsi"/>
          <w:szCs w:val="24"/>
        </w:rPr>
        <w:t>requirement is 6% of net gaming machine reve</w:t>
      </w:r>
      <w:r w:rsidR="00572FA8" w:rsidRPr="00C23D3D">
        <w:rPr>
          <w:rFonts w:asciiTheme="minorHAnsi" w:hAnsiTheme="minorHAnsi"/>
          <w:szCs w:val="24"/>
        </w:rPr>
        <w:t xml:space="preserve">nue as a monetary contribution, </w:t>
      </w:r>
      <w:r w:rsidR="00BF195C" w:rsidRPr="00C23D3D">
        <w:rPr>
          <w:rFonts w:asciiTheme="minorHAnsi" w:hAnsiTheme="minorHAnsi"/>
          <w:szCs w:val="24"/>
        </w:rPr>
        <w:t>not 6% of the 8%</w:t>
      </w:r>
      <w:r w:rsidR="0021149F" w:rsidRPr="00C23D3D">
        <w:rPr>
          <w:rFonts w:asciiTheme="minorHAnsi" w:hAnsiTheme="minorHAnsi"/>
          <w:szCs w:val="24"/>
        </w:rPr>
        <w:t xml:space="preserve"> net gaming machine revenue</w:t>
      </w:r>
      <w:r w:rsidR="00BF195C" w:rsidRPr="00C23D3D">
        <w:rPr>
          <w:rFonts w:asciiTheme="minorHAnsi" w:hAnsiTheme="minorHAnsi"/>
          <w:szCs w:val="24"/>
        </w:rPr>
        <w:t xml:space="preserve"> </w:t>
      </w:r>
      <w:r w:rsidR="0021149F" w:rsidRPr="00C23D3D">
        <w:rPr>
          <w:rFonts w:asciiTheme="minorHAnsi" w:hAnsiTheme="minorHAnsi"/>
          <w:szCs w:val="24"/>
        </w:rPr>
        <w:t xml:space="preserve">required to be made as a </w:t>
      </w:r>
      <w:r w:rsidR="00572FA8" w:rsidRPr="00C23D3D">
        <w:rPr>
          <w:rFonts w:asciiTheme="minorHAnsi" w:hAnsiTheme="minorHAnsi"/>
          <w:szCs w:val="24"/>
        </w:rPr>
        <w:t>community purpose contribution</w:t>
      </w:r>
      <w:r w:rsidR="00BF195C" w:rsidRPr="00C23D3D">
        <w:rPr>
          <w:rFonts w:asciiTheme="minorHAnsi" w:hAnsiTheme="minorHAnsi"/>
          <w:szCs w:val="24"/>
        </w:rPr>
        <w:t>.</w:t>
      </w:r>
      <w:r w:rsidR="00572FA8" w:rsidRPr="00C23D3D">
        <w:rPr>
          <w:rFonts w:asciiTheme="minorHAnsi" w:hAnsiTheme="minorHAnsi"/>
          <w:szCs w:val="24"/>
        </w:rPr>
        <w:t xml:space="preserve"> This amendment </w:t>
      </w:r>
      <w:r w:rsidR="0048739D">
        <w:rPr>
          <w:rFonts w:asciiTheme="minorHAnsi" w:hAnsiTheme="minorHAnsi"/>
          <w:szCs w:val="24"/>
        </w:rPr>
        <w:t>ensures there is no</w:t>
      </w:r>
      <w:r w:rsidR="00572FA8" w:rsidRPr="00C23D3D">
        <w:rPr>
          <w:rFonts w:asciiTheme="minorHAnsi" w:hAnsiTheme="minorHAnsi"/>
          <w:szCs w:val="24"/>
        </w:rPr>
        <w:t xml:space="preserve"> doubt about the </w:t>
      </w:r>
      <w:r w:rsidR="0021149F" w:rsidRPr="00C23D3D">
        <w:rPr>
          <w:rFonts w:asciiTheme="minorHAnsi" w:hAnsiTheme="minorHAnsi"/>
          <w:szCs w:val="24"/>
        </w:rPr>
        <w:t>amount of monetary contribution required.</w:t>
      </w:r>
    </w:p>
    <w:p w:rsidR="008C1B86" w:rsidRPr="00C23D3D" w:rsidRDefault="008C1B86" w:rsidP="000055AE">
      <w:pPr>
        <w:spacing w:after="0"/>
        <w:rPr>
          <w:rFonts w:asciiTheme="minorHAnsi" w:hAnsiTheme="minorHAnsi"/>
          <w:szCs w:val="24"/>
        </w:rPr>
      </w:pPr>
    </w:p>
    <w:p w:rsidR="008C1B86" w:rsidRPr="00C23D3D" w:rsidRDefault="00A37958" w:rsidP="000055AE">
      <w:pPr>
        <w:spacing w:after="0"/>
        <w:rPr>
          <w:rFonts w:asciiTheme="minorHAnsi" w:hAnsiTheme="minorHAnsi"/>
          <w:szCs w:val="24"/>
        </w:rPr>
      </w:pPr>
      <w:r w:rsidRPr="00C23D3D">
        <w:rPr>
          <w:rFonts w:asciiTheme="minorHAnsi" w:hAnsiTheme="minorHAnsi"/>
          <w:szCs w:val="24"/>
        </w:rPr>
        <w:t>Clause 25</w:t>
      </w:r>
      <w:r w:rsidR="008C1B86" w:rsidRPr="00C23D3D">
        <w:rPr>
          <w:rFonts w:asciiTheme="minorHAnsi" w:hAnsiTheme="minorHAnsi"/>
          <w:szCs w:val="24"/>
        </w:rPr>
        <w:t xml:space="preserve"> also introduces new subsection (2A) which provides that </w:t>
      </w:r>
      <w:r w:rsidR="00CD4006" w:rsidRPr="00C23D3D">
        <w:rPr>
          <w:rFonts w:asciiTheme="minorHAnsi" w:hAnsiTheme="minorHAnsi"/>
          <w:szCs w:val="24"/>
        </w:rPr>
        <w:t>part of the amount mentioned in subsection (2) (i.e. the 6% of net gaming machine revenue</w:t>
      </w:r>
      <w:r w:rsidR="00076D72" w:rsidRPr="00C23D3D">
        <w:rPr>
          <w:rFonts w:asciiTheme="minorHAnsi" w:hAnsiTheme="minorHAnsi"/>
          <w:szCs w:val="24"/>
        </w:rPr>
        <w:t xml:space="preserve"> of a club licensee</w:t>
      </w:r>
      <w:r w:rsidR="00CD4006" w:rsidRPr="00C23D3D">
        <w:rPr>
          <w:rFonts w:asciiTheme="minorHAnsi" w:hAnsiTheme="minorHAnsi"/>
          <w:szCs w:val="24"/>
        </w:rPr>
        <w:t>) may be a contribution in kind rather than of money in certain circumstances. These circumsta</w:t>
      </w:r>
      <w:r w:rsidR="00076D72" w:rsidRPr="00C23D3D">
        <w:rPr>
          <w:rFonts w:asciiTheme="minorHAnsi" w:hAnsiTheme="minorHAnsi"/>
          <w:szCs w:val="24"/>
        </w:rPr>
        <w:t>nces are where the contribution</w:t>
      </w:r>
      <w:r w:rsidR="00CD4006" w:rsidRPr="00C23D3D">
        <w:rPr>
          <w:rFonts w:asciiTheme="minorHAnsi" w:hAnsiTheme="minorHAnsi"/>
          <w:szCs w:val="24"/>
        </w:rPr>
        <w:t>:</w:t>
      </w:r>
    </w:p>
    <w:p w:rsidR="00076D72" w:rsidRPr="003C6C43" w:rsidRDefault="00076D72" w:rsidP="003C6C43">
      <w:pPr>
        <w:pStyle w:val="ListParagraph"/>
        <w:numPr>
          <w:ilvl w:val="0"/>
          <w:numId w:val="32"/>
        </w:numPr>
        <w:spacing w:after="0"/>
        <w:rPr>
          <w:rFonts w:asciiTheme="minorHAnsi" w:hAnsiTheme="minorHAnsi"/>
          <w:sz w:val="24"/>
          <w:szCs w:val="24"/>
        </w:rPr>
      </w:pPr>
      <w:r w:rsidRPr="003C6C43">
        <w:rPr>
          <w:rFonts w:asciiTheme="minorHAnsi" w:hAnsiTheme="minorHAnsi"/>
          <w:sz w:val="24"/>
          <w:szCs w:val="24"/>
        </w:rPr>
        <w:t>is made under a written arrangement or agreement that has a stated term prescribed by regulation; and</w:t>
      </w:r>
    </w:p>
    <w:p w:rsidR="00CD4006" w:rsidRPr="00C23D3D" w:rsidRDefault="00076D72" w:rsidP="000055AE">
      <w:pPr>
        <w:pStyle w:val="ListParagraph"/>
        <w:numPr>
          <w:ilvl w:val="0"/>
          <w:numId w:val="32"/>
        </w:numPr>
        <w:spacing w:after="0"/>
        <w:rPr>
          <w:rFonts w:asciiTheme="minorHAnsi" w:hAnsiTheme="minorHAnsi"/>
          <w:sz w:val="24"/>
          <w:szCs w:val="24"/>
        </w:rPr>
      </w:pPr>
      <w:r w:rsidRPr="00C23D3D">
        <w:rPr>
          <w:rFonts w:asciiTheme="minorHAnsi" w:hAnsiTheme="minorHAnsi"/>
          <w:sz w:val="24"/>
          <w:szCs w:val="24"/>
        </w:rPr>
        <w:t>meets any other requirements prescribed by regulation.</w:t>
      </w:r>
    </w:p>
    <w:p w:rsidR="00FF2094" w:rsidRPr="00C23D3D" w:rsidRDefault="00FF2094" w:rsidP="000055AE">
      <w:pPr>
        <w:pStyle w:val="Heading4"/>
        <w:keepNext w:val="0"/>
        <w:spacing w:before="0" w:after="0"/>
        <w:rPr>
          <w:rFonts w:asciiTheme="minorHAnsi" w:hAnsiTheme="minorHAnsi"/>
          <w:b w:val="0"/>
          <w:lang w:eastAsia="en-AU"/>
        </w:rPr>
      </w:pPr>
    </w:p>
    <w:p w:rsidR="0032336D" w:rsidRPr="00C23D3D" w:rsidRDefault="0032336D" w:rsidP="000055AE">
      <w:pPr>
        <w:pStyle w:val="Heading4"/>
        <w:spacing w:before="0" w:after="0"/>
        <w:rPr>
          <w:rFonts w:asciiTheme="minorHAnsi" w:hAnsiTheme="minorHAnsi"/>
          <w:bCs/>
          <w:lang w:eastAsia="en-AU"/>
        </w:rPr>
      </w:pPr>
      <w:r w:rsidRPr="00C23D3D">
        <w:rPr>
          <w:rFonts w:asciiTheme="minorHAnsi" w:hAnsiTheme="minorHAnsi"/>
        </w:rPr>
        <w:t xml:space="preserve">Clause </w:t>
      </w:r>
      <w:r w:rsidR="00A37958" w:rsidRPr="00C23D3D">
        <w:rPr>
          <w:rFonts w:asciiTheme="minorHAnsi" w:hAnsiTheme="minorHAnsi"/>
          <w:noProof/>
        </w:rPr>
        <w:t>26</w:t>
      </w:r>
      <w:r w:rsidRPr="00C23D3D">
        <w:rPr>
          <w:rFonts w:asciiTheme="minorHAnsi" w:hAnsiTheme="minorHAnsi"/>
          <w:bCs/>
          <w:lang w:eastAsia="en-AU"/>
        </w:rPr>
        <w:tab/>
      </w:r>
      <w:r w:rsidR="008C1B86" w:rsidRPr="00C23D3D">
        <w:rPr>
          <w:rFonts w:asciiTheme="minorHAnsi" w:hAnsiTheme="minorHAnsi"/>
          <w:bCs/>
          <w:lang w:eastAsia="en-AU"/>
        </w:rPr>
        <w:t>Community purpose contributions–</w:t>
      </w:r>
      <w:r w:rsidRPr="00C23D3D">
        <w:rPr>
          <w:rFonts w:asciiTheme="minorHAnsi" w:hAnsiTheme="minorHAnsi"/>
          <w:bCs/>
          <w:lang w:eastAsia="en-AU"/>
        </w:rPr>
        <w:t>reporting by clubs</w:t>
      </w:r>
      <w:r w:rsidRPr="00C23D3D">
        <w:rPr>
          <w:rFonts w:asciiTheme="minorHAnsi" w:hAnsiTheme="minorHAnsi"/>
          <w:bCs/>
          <w:lang w:eastAsia="en-AU"/>
        </w:rPr>
        <w:br/>
      </w:r>
      <w:r w:rsidRPr="00C23D3D">
        <w:rPr>
          <w:rFonts w:asciiTheme="minorHAnsi" w:hAnsiTheme="minorHAnsi"/>
          <w:bCs/>
          <w:lang w:eastAsia="en-AU"/>
        </w:rPr>
        <w:tab/>
      </w:r>
      <w:r w:rsidRPr="00C23D3D">
        <w:rPr>
          <w:rFonts w:asciiTheme="minorHAnsi" w:hAnsiTheme="minorHAnsi"/>
          <w:bCs/>
          <w:lang w:eastAsia="en-AU"/>
        </w:rPr>
        <w:tab/>
        <w:t>Section 172 (1) (g) (ii)</w:t>
      </w:r>
    </w:p>
    <w:p w:rsidR="00572FA8" w:rsidRPr="00C23D3D" w:rsidRDefault="00572FA8" w:rsidP="000055AE">
      <w:pPr>
        <w:spacing w:after="0"/>
        <w:rPr>
          <w:rFonts w:asciiTheme="minorHAnsi" w:hAnsiTheme="minorHAnsi"/>
          <w:szCs w:val="24"/>
        </w:rPr>
      </w:pPr>
      <w:r w:rsidRPr="00C23D3D">
        <w:rPr>
          <w:rFonts w:asciiTheme="minorHAnsi" w:hAnsiTheme="minorHAnsi"/>
          <w:szCs w:val="24"/>
        </w:rPr>
        <w:t>Section 172 (</w:t>
      </w:r>
      <w:proofErr w:type="spellStart"/>
      <w:r w:rsidRPr="00C23D3D">
        <w:rPr>
          <w:rFonts w:asciiTheme="minorHAnsi" w:hAnsiTheme="minorHAnsi"/>
          <w:szCs w:val="24"/>
        </w:rPr>
        <w:t>uncommenced</w:t>
      </w:r>
      <w:proofErr w:type="spellEnd"/>
      <w:r w:rsidRPr="00C23D3D">
        <w:rPr>
          <w:rFonts w:asciiTheme="minorHAnsi" w:hAnsiTheme="minorHAnsi"/>
          <w:szCs w:val="24"/>
        </w:rPr>
        <w:t xml:space="preserve">) </w:t>
      </w:r>
      <w:r w:rsidR="00571DD0">
        <w:rPr>
          <w:rFonts w:asciiTheme="minorHAnsi" w:hAnsiTheme="minorHAnsi"/>
          <w:szCs w:val="24"/>
        </w:rPr>
        <w:t xml:space="preserve">of the Gaming Machine Act </w:t>
      </w:r>
      <w:r w:rsidRPr="00C23D3D">
        <w:rPr>
          <w:rFonts w:asciiTheme="minorHAnsi" w:hAnsiTheme="minorHAnsi"/>
          <w:szCs w:val="24"/>
        </w:rPr>
        <w:t>sets out the matters that clubs will need to include in their annual report in relation to community purpose contributions in a reporting year, and is part of measures to improve transparency about community purpose contributions.</w:t>
      </w:r>
    </w:p>
    <w:p w:rsidR="00572FA8" w:rsidRPr="00C23D3D" w:rsidRDefault="00572FA8" w:rsidP="000055AE">
      <w:pPr>
        <w:spacing w:after="0"/>
        <w:rPr>
          <w:rFonts w:asciiTheme="minorHAnsi" w:hAnsiTheme="minorHAnsi"/>
          <w:szCs w:val="24"/>
        </w:rPr>
      </w:pPr>
    </w:p>
    <w:p w:rsidR="008C1B86" w:rsidRPr="00C23D3D" w:rsidRDefault="00A37958" w:rsidP="000055AE">
      <w:pPr>
        <w:spacing w:after="0"/>
        <w:rPr>
          <w:rFonts w:asciiTheme="minorHAnsi" w:hAnsiTheme="minorHAnsi"/>
          <w:szCs w:val="24"/>
        </w:rPr>
      </w:pPr>
      <w:r w:rsidRPr="00C23D3D">
        <w:rPr>
          <w:rFonts w:asciiTheme="minorHAnsi" w:hAnsiTheme="minorHAnsi"/>
          <w:szCs w:val="24"/>
        </w:rPr>
        <w:t>Clause 26</w:t>
      </w:r>
      <w:r w:rsidR="008C1B86" w:rsidRPr="00C23D3D">
        <w:rPr>
          <w:rFonts w:asciiTheme="minorHAnsi" w:hAnsiTheme="minorHAnsi"/>
          <w:szCs w:val="24"/>
        </w:rPr>
        <w:t xml:space="preserve"> </w:t>
      </w:r>
      <w:r w:rsidR="0021149F" w:rsidRPr="00C23D3D">
        <w:rPr>
          <w:rFonts w:asciiTheme="minorHAnsi" w:hAnsiTheme="minorHAnsi"/>
          <w:szCs w:val="24"/>
        </w:rPr>
        <w:t xml:space="preserve">is a minor and technical amendment to </w:t>
      </w:r>
      <w:r w:rsidR="008C1B86" w:rsidRPr="00C23D3D">
        <w:rPr>
          <w:rFonts w:asciiTheme="minorHAnsi" w:hAnsiTheme="minorHAnsi"/>
          <w:szCs w:val="24"/>
        </w:rPr>
        <w:t>section 172(1)(g)(ii</w:t>
      </w:r>
      <w:r w:rsidR="0021149F" w:rsidRPr="00C23D3D">
        <w:rPr>
          <w:rFonts w:asciiTheme="minorHAnsi" w:hAnsiTheme="minorHAnsi"/>
          <w:szCs w:val="24"/>
        </w:rPr>
        <w:t>) to remove a double negative and clarify</w:t>
      </w:r>
      <w:r w:rsidR="008C1B86" w:rsidRPr="00C23D3D">
        <w:rPr>
          <w:rFonts w:asciiTheme="minorHAnsi" w:hAnsiTheme="minorHAnsi"/>
          <w:szCs w:val="24"/>
        </w:rPr>
        <w:t xml:space="preserve"> the provision</w:t>
      </w:r>
      <w:r w:rsidR="00572FA8" w:rsidRPr="00C23D3D">
        <w:rPr>
          <w:rFonts w:asciiTheme="minorHAnsi" w:hAnsiTheme="minorHAnsi"/>
          <w:szCs w:val="24"/>
        </w:rPr>
        <w:t>.</w:t>
      </w:r>
    </w:p>
    <w:p w:rsidR="00FF2094" w:rsidRPr="00C23D3D" w:rsidRDefault="00FF2094" w:rsidP="000055AE">
      <w:pPr>
        <w:spacing w:after="0"/>
        <w:rPr>
          <w:rFonts w:asciiTheme="minorHAnsi" w:hAnsiTheme="minorHAnsi"/>
          <w:szCs w:val="24"/>
        </w:rPr>
      </w:pPr>
    </w:p>
    <w:p w:rsidR="00AF0D54" w:rsidRPr="00C23D3D" w:rsidRDefault="00AF0D54" w:rsidP="000055AE">
      <w:pPr>
        <w:pStyle w:val="Heading4"/>
        <w:spacing w:before="0" w:after="0"/>
        <w:ind w:left="1440" w:hanging="1440"/>
        <w:rPr>
          <w:rFonts w:asciiTheme="minorHAnsi" w:hAnsiTheme="minorHAnsi"/>
          <w:lang w:eastAsia="en-AU"/>
        </w:rPr>
      </w:pPr>
      <w:r w:rsidRPr="00C23D3D">
        <w:rPr>
          <w:rFonts w:asciiTheme="minorHAnsi" w:hAnsiTheme="minorHAnsi"/>
        </w:rPr>
        <w:t xml:space="preserve">Clause </w:t>
      </w:r>
      <w:r w:rsidR="00A37958" w:rsidRPr="00C23D3D">
        <w:rPr>
          <w:rFonts w:asciiTheme="minorHAnsi" w:hAnsiTheme="minorHAnsi"/>
          <w:noProof/>
        </w:rPr>
        <w:t>27</w:t>
      </w:r>
      <w:r w:rsidR="0032336D" w:rsidRPr="00C23D3D">
        <w:rPr>
          <w:rFonts w:asciiTheme="minorHAnsi" w:hAnsiTheme="minorHAnsi"/>
          <w:bCs/>
          <w:lang w:eastAsia="en-AU"/>
        </w:rPr>
        <w:tab/>
        <w:t>Community contributions-commission must publish</w:t>
      </w:r>
      <w:r w:rsidR="0032336D" w:rsidRPr="00C23D3D">
        <w:rPr>
          <w:rFonts w:asciiTheme="minorHAnsi" w:hAnsiTheme="minorHAnsi"/>
          <w:bCs/>
          <w:lang w:eastAsia="en-AU"/>
        </w:rPr>
        <w:br/>
        <w:t>summary</w:t>
      </w:r>
      <w:r w:rsidR="0032336D" w:rsidRPr="00C23D3D">
        <w:rPr>
          <w:rFonts w:asciiTheme="minorHAnsi" w:hAnsiTheme="minorHAnsi"/>
          <w:bCs/>
          <w:lang w:eastAsia="en-AU"/>
        </w:rPr>
        <w:br/>
        <w:t>Section 172A (1) (b) (</w:t>
      </w:r>
      <w:proofErr w:type="spellStart"/>
      <w:r w:rsidR="0032336D" w:rsidRPr="00C23D3D">
        <w:rPr>
          <w:rFonts w:asciiTheme="minorHAnsi" w:hAnsiTheme="minorHAnsi"/>
          <w:bCs/>
          <w:lang w:eastAsia="en-AU"/>
        </w:rPr>
        <w:t>i</w:t>
      </w:r>
      <w:proofErr w:type="spellEnd"/>
      <w:r w:rsidR="0032336D" w:rsidRPr="00C23D3D">
        <w:rPr>
          <w:rFonts w:asciiTheme="minorHAnsi" w:hAnsiTheme="minorHAnsi"/>
          <w:bCs/>
          <w:lang w:eastAsia="en-AU"/>
        </w:rPr>
        <w:t>)</w:t>
      </w:r>
    </w:p>
    <w:p w:rsidR="00B64084" w:rsidRPr="00C23D3D" w:rsidRDefault="00B64084" w:rsidP="000055AE">
      <w:pPr>
        <w:spacing w:after="0"/>
        <w:rPr>
          <w:rFonts w:asciiTheme="minorHAnsi" w:hAnsiTheme="minorHAnsi"/>
          <w:szCs w:val="24"/>
        </w:rPr>
      </w:pPr>
      <w:r w:rsidRPr="00C23D3D">
        <w:rPr>
          <w:rFonts w:asciiTheme="minorHAnsi" w:hAnsiTheme="minorHAnsi"/>
          <w:szCs w:val="24"/>
        </w:rPr>
        <w:t>Section 172A (</w:t>
      </w:r>
      <w:proofErr w:type="spellStart"/>
      <w:r w:rsidRPr="00C23D3D">
        <w:rPr>
          <w:rFonts w:asciiTheme="minorHAnsi" w:hAnsiTheme="minorHAnsi"/>
          <w:szCs w:val="24"/>
        </w:rPr>
        <w:t>uncommenced</w:t>
      </w:r>
      <w:proofErr w:type="spellEnd"/>
      <w:r w:rsidRPr="00C23D3D">
        <w:rPr>
          <w:rFonts w:asciiTheme="minorHAnsi" w:hAnsiTheme="minorHAnsi"/>
          <w:szCs w:val="24"/>
        </w:rPr>
        <w:t>)</w:t>
      </w:r>
      <w:r w:rsidR="00571DD0" w:rsidRPr="00571DD0">
        <w:rPr>
          <w:rFonts w:asciiTheme="minorHAnsi" w:hAnsiTheme="minorHAnsi"/>
          <w:szCs w:val="24"/>
        </w:rPr>
        <w:t xml:space="preserve"> </w:t>
      </w:r>
      <w:r w:rsidR="00571DD0">
        <w:rPr>
          <w:rFonts w:asciiTheme="minorHAnsi" w:hAnsiTheme="minorHAnsi"/>
          <w:szCs w:val="24"/>
        </w:rPr>
        <w:t>of the Gaming Machine Act</w:t>
      </w:r>
      <w:r w:rsidRPr="00C23D3D">
        <w:rPr>
          <w:rFonts w:asciiTheme="minorHAnsi" w:hAnsiTheme="minorHAnsi"/>
          <w:szCs w:val="24"/>
        </w:rPr>
        <w:t xml:space="preserve"> provides that the Commission must publish a summary on its website about various matters relating to community contributions. The Commission’s summary must set out the amount of any contributions made by club licensees to the Gambling Harm Prevention and Mitigation Fund or the Chief Minister’s Charitable Fund (other than as a required payment under section 163A or mandatory minimum community contributions under section 167).</w:t>
      </w:r>
    </w:p>
    <w:p w:rsidR="00B64084" w:rsidRPr="00C23D3D" w:rsidRDefault="00B64084" w:rsidP="000055AE">
      <w:pPr>
        <w:spacing w:after="0"/>
        <w:rPr>
          <w:rFonts w:asciiTheme="minorHAnsi" w:hAnsiTheme="minorHAnsi"/>
          <w:szCs w:val="24"/>
        </w:rPr>
      </w:pPr>
    </w:p>
    <w:p w:rsidR="00FF2094" w:rsidRPr="00C23D3D" w:rsidRDefault="00A37958" w:rsidP="000055AE">
      <w:pPr>
        <w:spacing w:after="0"/>
        <w:rPr>
          <w:rFonts w:asciiTheme="minorHAnsi" w:hAnsiTheme="minorHAnsi"/>
          <w:szCs w:val="24"/>
        </w:rPr>
      </w:pPr>
      <w:r w:rsidRPr="00C23D3D">
        <w:rPr>
          <w:rFonts w:asciiTheme="minorHAnsi" w:hAnsiTheme="minorHAnsi"/>
          <w:szCs w:val="24"/>
        </w:rPr>
        <w:t>Clause 27</w:t>
      </w:r>
      <w:r w:rsidR="00D375A7" w:rsidRPr="00C23D3D">
        <w:rPr>
          <w:rFonts w:asciiTheme="minorHAnsi" w:hAnsiTheme="minorHAnsi"/>
          <w:szCs w:val="24"/>
        </w:rPr>
        <w:t xml:space="preserve"> is a minor and technical amendment</w:t>
      </w:r>
      <w:r w:rsidR="00B64084" w:rsidRPr="00C23D3D">
        <w:rPr>
          <w:rFonts w:asciiTheme="minorHAnsi" w:hAnsiTheme="minorHAnsi"/>
          <w:szCs w:val="24"/>
        </w:rPr>
        <w:t xml:space="preserve"> that</w:t>
      </w:r>
      <w:r w:rsidR="00D375A7" w:rsidRPr="00C23D3D">
        <w:rPr>
          <w:rFonts w:asciiTheme="minorHAnsi" w:hAnsiTheme="minorHAnsi"/>
          <w:szCs w:val="24"/>
        </w:rPr>
        <w:t xml:space="preserve"> correct</w:t>
      </w:r>
      <w:r w:rsidR="00B64084" w:rsidRPr="00C23D3D">
        <w:rPr>
          <w:rFonts w:asciiTheme="minorHAnsi" w:hAnsiTheme="minorHAnsi"/>
          <w:szCs w:val="24"/>
        </w:rPr>
        <w:t>s</w:t>
      </w:r>
      <w:r w:rsidR="00D375A7" w:rsidRPr="00C23D3D">
        <w:rPr>
          <w:rFonts w:asciiTheme="minorHAnsi" w:hAnsiTheme="minorHAnsi"/>
          <w:szCs w:val="24"/>
        </w:rPr>
        <w:t xml:space="preserve"> a</w:t>
      </w:r>
      <w:r w:rsidR="00572FA8" w:rsidRPr="00C23D3D">
        <w:rPr>
          <w:rFonts w:asciiTheme="minorHAnsi" w:hAnsiTheme="minorHAnsi"/>
          <w:szCs w:val="24"/>
        </w:rPr>
        <w:t>n incorrect</w:t>
      </w:r>
      <w:r w:rsidR="00D375A7" w:rsidRPr="00C23D3D">
        <w:rPr>
          <w:rFonts w:asciiTheme="minorHAnsi" w:hAnsiTheme="minorHAnsi"/>
          <w:szCs w:val="24"/>
        </w:rPr>
        <w:t xml:space="preserve"> cross reference</w:t>
      </w:r>
      <w:r w:rsidR="00B64084" w:rsidRPr="00C23D3D">
        <w:rPr>
          <w:rFonts w:asciiTheme="minorHAnsi" w:hAnsiTheme="minorHAnsi"/>
          <w:szCs w:val="24"/>
        </w:rPr>
        <w:t xml:space="preserve"> to section </w:t>
      </w:r>
      <w:r w:rsidR="00572FA8" w:rsidRPr="00C23D3D">
        <w:rPr>
          <w:rFonts w:asciiTheme="minorHAnsi" w:hAnsiTheme="minorHAnsi"/>
          <w:szCs w:val="24"/>
        </w:rPr>
        <w:t>166(2</w:t>
      </w:r>
      <w:r w:rsidR="00B64084" w:rsidRPr="00C23D3D">
        <w:rPr>
          <w:rFonts w:asciiTheme="minorHAnsi" w:hAnsiTheme="minorHAnsi"/>
          <w:szCs w:val="24"/>
        </w:rPr>
        <w:t>)</w:t>
      </w:r>
      <w:r w:rsidR="00D375A7" w:rsidRPr="00C23D3D">
        <w:rPr>
          <w:rFonts w:asciiTheme="minorHAnsi" w:hAnsiTheme="minorHAnsi"/>
          <w:szCs w:val="24"/>
        </w:rPr>
        <w:t>.</w:t>
      </w:r>
      <w:r w:rsidR="00572FA8" w:rsidRPr="00C23D3D">
        <w:rPr>
          <w:rFonts w:asciiTheme="minorHAnsi" w:hAnsiTheme="minorHAnsi"/>
          <w:szCs w:val="24"/>
        </w:rPr>
        <w:t xml:space="preserve"> The correct cross reference is section 166(1).</w:t>
      </w:r>
    </w:p>
    <w:p w:rsidR="00B64084" w:rsidRPr="00C23D3D" w:rsidRDefault="00B64084" w:rsidP="000055AE">
      <w:pPr>
        <w:pStyle w:val="Heading4"/>
        <w:keepNext w:val="0"/>
        <w:spacing w:before="0" w:after="0"/>
        <w:rPr>
          <w:rFonts w:asciiTheme="minorHAnsi" w:hAnsiTheme="minorHAnsi"/>
          <w:b w:val="0"/>
          <w:lang w:eastAsia="en-AU"/>
        </w:rPr>
      </w:pPr>
    </w:p>
    <w:p w:rsidR="00AF0D54" w:rsidRPr="00C23D3D" w:rsidRDefault="00AF0D54" w:rsidP="000055AE">
      <w:pPr>
        <w:pStyle w:val="Heading4"/>
        <w:spacing w:before="0" w:after="0"/>
        <w:ind w:left="1440" w:hanging="1440"/>
        <w:rPr>
          <w:rFonts w:asciiTheme="minorHAnsi" w:hAnsiTheme="minorHAnsi"/>
        </w:rPr>
      </w:pPr>
      <w:r w:rsidRPr="00C23D3D">
        <w:rPr>
          <w:rFonts w:asciiTheme="minorHAnsi" w:hAnsiTheme="minorHAnsi"/>
        </w:rPr>
        <w:t>Clause</w:t>
      </w:r>
      <w:r w:rsidR="00A37958" w:rsidRPr="00C23D3D">
        <w:rPr>
          <w:rFonts w:asciiTheme="minorHAnsi" w:hAnsiTheme="minorHAnsi"/>
        </w:rPr>
        <w:t xml:space="preserve"> 28</w:t>
      </w:r>
      <w:r w:rsidR="0032336D" w:rsidRPr="00C23D3D">
        <w:rPr>
          <w:rFonts w:asciiTheme="minorHAnsi" w:hAnsiTheme="minorHAnsi"/>
        </w:rPr>
        <w:tab/>
        <w:t>Section 172A (2)</w:t>
      </w:r>
    </w:p>
    <w:p w:rsidR="00287A30" w:rsidRPr="00C23D3D" w:rsidRDefault="00287A30" w:rsidP="000055AE">
      <w:pPr>
        <w:spacing w:after="0"/>
        <w:rPr>
          <w:rFonts w:asciiTheme="minorHAnsi" w:hAnsiTheme="minorHAnsi"/>
          <w:szCs w:val="24"/>
        </w:rPr>
      </w:pPr>
      <w:r w:rsidRPr="00C23D3D">
        <w:rPr>
          <w:rFonts w:asciiTheme="minorHAnsi" w:hAnsiTheme="minorHAnsi"/>
          <w:szCs w:val="24"/>
        </w:rPr>
        <w:t>Section 172A(2) (</w:t>
      </w:r>
      <w:proofErr w:type="spellStart"/>
      <w:r w:rsidRPr="00C23D3D">
        <w:rPr>
          <w:rFonts w:asciiTheme="minorHAnsi" w:hAnsiTheme="minorHAnsi"/>
          <w:szCs w:val="24"/>
        </w:rPr>
        <w:t>uncommenced</w:t>
      </w:r>
      <w:proofErr w:type="spellEnd"/>
      <w:r w:rsidRPr="00C23D3D">
        <w:rPr>
          <w:rFonts w:asciiTheme="minorHAnsi" w:hAnsiTheme="minorHAnsi"/>
          <w:szCs w:val="24"/>
        </w:rPr>
        <w:t xml:space="preserve">) </w:t>
      </w:r>
      <w:r w:rsidR="00571DD0">
        <w:rPr>
          <w:rFonts w:asciiTheme="minorHAnsi" w:hAnsiTheme="minorHAnsi"/>
          <w:szCs w:val="24"/>
        </w:rPr>
        <w:t xml:space="preserve">of the Gaming Machine Act </w:t>
      </w:r>
      <w:r w:rsidRPr="00C23D3D">
        <w:rPr>
          <w:rFonts w:asciiTheme="minorHAnsi" w:hAnsiTheme="minorHAnsi"/>
          <w:szCs w:val="24"/>
        </w:rPr>
        <w:t xml:space="preserve">provides that the Commission may ask a licensee to give the Commission, within a stated reasonable time, information </w:t>
      </w:r>
      <w:r w:rsidRPr="00C23D3D">
        <w:rPr>
          <w:rFonts w:asciiTheme="minorHAnsi" w:hAnsiTheme="minorHAnsi"/>
          <w:szCs w:val="24"/>
        </w:rPr>
        <w:lastRenderedPageBreak/>
        <w:t>about the licensee’s community contributions that the Commission reasonably needs to prepare the summary.</w:t>
      </w:r>
    </w:p>
    <w:p w:rsidR="00287A30" w:rsidRPr="00C23D3D" w:rsidRDefault="00287A30" w:rsidP="000055AE">
      <w:pPr>
        <w:spacing w:after="0"/>
        <w:rPr>
          <w:rFonts w:asciiTheme="minorHAnsi" w:hAnsiTheme="minorHAnsi"/>
          <w:szCs w:val="24"/>
        </w:rPr>
      </w:pPr>
    </w:p>
    <w:p w:rsidR="00287A30" w:rsidRPr="00C23D3D" w:rsidRDefault="00A37958" w:rsidP="000055AE">
      <w:pPr>
        <w:spacing w:after="0"/>
        <w:rPr>
          <w:rFonts w:asciiTheme="minorHAnsi" w:hAnsiTheme="minorHAnsi"/>
          <w:szCs w:val="24"/>
        </w:rPr>
      </w:pPr>
      <w:r w:rsidRPr="00C23D3D">
        <w:rPr>
          <w:rFonts w:asciiTheme="minorHAnsi" w:hAnsiTheme="minorHAnsi"/>
          <w:szCs w:val="24"/>
        </w:rPr>
        <w:t>Clause 28</w:t>
      </w:r>
      <w:r w:rsidR="00287A30" w:rsidRPr="00C23D3D">
        <w:rPr>
          <w:rFonts w:asciiTheme="minorHAnsi" w:hAnsiTheme="minorHAnsi"/>
          <w:szCs w:val="24"/>
        </w:rPr>
        <w:t xml:space="preserve"> makes a minor</w:t>
      </w:r>
      <w:r w:rsidR="0021149F" w:rsidRPr="00C23D3D">
        <w:rPr>
          <w:rFonts w:asciiTheme="minorHAnsi" w:hAnsiTheme="minorHAnsi"/>
          <w:szCs w:val="24"/>
        </w:rPr>
        <w:t xml:space="preserve"> and technical</w:t>
      </w:r>
      <w:r w:rsidR="00287A30" w:rsidRPr="00C23D3D">
        <w:rPr>
          <w:rFonts w:asciiTheme="minorHAnsi" w:hAnsiTheme="minorHAnsi"/>
          <w:szCs w:val="24"/>
        </w:rPr>
        <w:t xml:space="preserve"> amendment to this provision to reflect the community contributions reforms which now refer to ‘community purpose contributions’. As a result, the provision has been simplified to refer to information that the Commission reasonably needs to prepare the summary under section 172A(1), which will be published on the Commission’s website.</w:t>
      </w:r>
    </w:p>
    <w:p w:rsidR="00FF2094" w:rsidRPr="00C23D3D" w:rsidRDefault="00FF2094" w:rsidP="000055AE">
      <w:pPr>
        <w:pStyle w:val="Heading4"/>
        <w:keepNext w:val="0"/>
        <w:spacing w:before="0" w:after="0"/>
        <w:rPr>
          <w:rFonts w:asciiTheme="minorHAnsi" w:hAnsiTheme="minorHAnsi"/>
        </w:rPr>
      </w:pPr>
    </w:p>
    <w:p w:rsidR="00B24325" w:rsidRPr="00C23D3D" w:rsidRDefault="00A37958" w:rsidP="000055AE">
      <w:pPr>
        <w:pStyle w:val="Heading4"/>
        <w:spacing w:before="0" w:after="0"/>
        <w:ind w:left="1440" w:hanging="1440"/>
        <w:rPr>
          <w:rFonts w:asciiTheme="minorHAnsi" w:hAnsiTheme="minorHAnsi"/>
        </w:rPr>
      </w:pPr>
      <w:r w:rsidRPr="00C23D3D">
        <w:rPr>
          <w:rFonts w:asciiTheme="minorHAnsi" w:hAnsiTheme="minorHAnsi"/>
        </w:rPr>
        <w:t>Clause 29</w:t>
      </w:r>
      <w:r w:rsidR="00B24325" w:rsidRPr="00C23D3D">
        <w:rPr>
          <w:rFonts w:asciiTheme="minorHAnsi" w:hAnsiTheme="minorHAnsi"/>
        </w:rPr>
        <w:tab/>
        <w:t>Community contribution shortfall tax</w:t>
      </w:r>
      <w:r w:rsidR="00B24325" w:rsidRPr="00C23D3D">
        <w:rPr>
          <w:rFonts w:asciiTheme="minorHAnsi" w:hAnsiTheme="minorHAnsi"/>
        </w:rPr>
        <w:br/>
        <w:t>Section 172B</w:t>
      </w:r>
    </w:p>
    <w:p w:rsidR="00783B92" w:rsidRPr="00C23D3D" w:rsidRDefault="00B24325" w:rsidP="000055AE">
      <w:pPr>
        <w:spacing w:after="0"/>
        <w:rPr>
          <w:rFonts w:asciiTheme="minorHAnsi" w:hAnsiTheme="minorHAnsi"/>
          <w:szCs w:val="24"/>
        </w:rPr>
      </w:pPr>
      <w:r w:rsidRPr="00C23D3D">
        <w:rPr>
          <w:rFonts w:asciiTheme="minorHAnsi" w:hAnsiTheme="minorHAnsi"/>
          <w:szCs w:val="24"/>
        </w:rPr>
        <w:t>Section 172B (</w:t>
      </w:r>
      <w:proofErr w:type="spellStart"/>
      <w:r w:rsidRPr="00C23D3D">
        <w:rPr>
          <w:rFonts w:asciiTheme="minorHAnsi" w:hAnsiTheme="minorHAnsi"/>
          <w:szCs w:val="24"/>
        </w:rPr>
        <w:t>uncommenced</w:t>
      </w:r>
      <w:proofErr w:type="spellEnd"/>
      <w:r w:rsidRPr="00C23D3D">
        <w:rPr>
          <w:rFonts w:asciiTheme="minorHAnsi" w:hAnsiTheme="minorHAnsi"/>
          <w:szCs w:val="24"/>
        </w:rPr>
        <w:t xml:space="preserve">) </w:t>
      </w:r>
      <w:r w:rsidR="00571DD0">
        <w:rPr>
          <w:rFonts w:asciiTheme="minorHAnsi" w:hAnsiTheme="minorHAnsi"/>
          <w:szCs w:val="24"/>
        </w:rPr>
        <w:t xml:space="preserve">of the Gaming Machine Act </w:t>
      </w:r>
      <w:r w:rsidRPr="00C23D3D">
        <w:rPr>
          <w:rFonts w:asciiTheme="minorHAnsi" w:hAnsiTheme="minorHAnsi"/>
          <w:szCs w:val="24"/>
        </w:rPr>
        <w:t xml:space="preserve">provides for a community contribution shortfall tax for club licensees. </w:t>
      </w:r>
      <w:r w:rsidR="00783B92" w:rsidRPr="00C23D3D">
        <w:rPr>
          <w:rFonts w:asciiTheme="minorHAnsi" w:hAnsiTheme="minorHAnsi"/>
          <w:szCs w:val="24"/>
        </w:rPr>
        <w:t xml:space="preserve">This section is based on the existing section 172 of the Gaming Machine Act and imposes a community contribution shortfall tax where the community contributions of a club fall short of its minimum requirements (as set out in the </w:t>
      </w:r>
      <w:proofErr w:type="spellStart"/>
      <w:r w:rsidR="00783B92" w:rsidRPr="00C23D3D">
        <w:rPr>
          <w:rFonts w:asciiTheme="minorHAnsi" w:hAnsiTheme="minorHAnsi"/>
          <w:szCs w:val="24"/>
        </w:rPr>
        <w:t>uncommenced</w:t>
      </w:r>
      <w:proofErr w:type="spellEnd"/>
      <w:r w:rsidR="00783B92" w:rsidRPr="00C23D3D">
        <w:rPr>
          <w:rFonts w:asciiTheme="minorHAnsi" w:hAnsiTheme="minorHAnsi"/>
          <w:szCs w:val="24"/>
        </w:rPr>
        <w:t xml:space="preserve"> section 167 of the Act).</w:t>
      </w:r>
      <w:r w:rsidR="0021149F" w:rsidRPr="00C23D3D">
        <w:rPr>
          <w:rFonts w:asciiTheme="minorHAnsi" w:hAnsiTheme="minorHAnsi"/>
          <w:szCs w:val="24"/>
        </w:rPr>
        <w:t xml:space="preserve"> Section 172B increases the tax rate from the existing 100 per cent of the shortfall to 150 per cent.</w:t>
      </w:r>
    </w:p>
    <w:p w:rsidR="00783B92" w:rsidRPr="00C23D3D" w:rsidRDefault="00783B92" w:rsidP="000055AE">
      <w:pPr>
        <w:spacing w:after="0"/>
        <w:rPr>
          <w:rFonts w:asciiTheme="minorHAnsi" w:hAnsiTheme="minorHAnsi"/>
          <w:szCs w:val="24"/>
        </w:rPr>
      </w:pPr>
    </w:p>
    <w:p w:rsidR="00E97A91" w:rsidRPr="00C23D3D" w:rsidRDefault="00A37958" w:rsidP="000055AE">
      <w:pPr>
        <w:spacing w:after="0"/>
        <w:rPr>
          <w:rFonts w:asciiTheme="minorHAnsi" w:hAnsiTheme="minorHAnsi"/>
          <w:szCs w:val="24"/>
        </w:rPr>
      </w:pPr>
      <w:r w:rsidRPr="00C23D3D">
        <w:rPr>
          <w:rFonts w:asciiTheme="minorHAnsi" w:hAnsiTheme="minorHAnsi"/>
          <w:szCs w:val="24"/>
        </w:rPr>
        <w:t>Clause 29</w:t>
      </w:r>
      <w:r w:rsidR="00783B92" w:rsidRPr="00C23D3D">
        <w:rPr>
          <w:rFonts w:asciiTheme="minorHAnsi" w:hAnsiTheme="minorHAnsi"/>
          <w:szCs w:val="24"/>
        </w:rPr>
        <w:t xml:space="preserve"> </w:t>
      </w:r>
      <w:r w:rsidR="00E97A91" w:rsidRPr="00C23D3D">
        <w:rPr>
          <w:rFonts w:asciiTheme="minorHAnsi" w:hAnsiTheme="minorHAnsi"/>
          <w:szCs w:val="24"/>
        </w:rPr>
        <w:t xml:space="preserve">amends references to ‘financial year’ in section 172B to ‘reporting year’. This </w:t>
      </w:r>
      <w:r w:rsidR="0021149F" w:rsidRPr="00C23D3D">
        <w:rPr>
          <w:rFonts w:asciiTheme="minorHAnsi" w:hAnsiTheme="minorHAnsi"/>
          <w:szCs w:val="24"/>
        </w:rPr>
        <w:t>amendment</w:t>
      </w:r>
      <w:r w:rsidR="00E97A91" w:rsidRPr="00C23D3D">
        <w:rPr>
          <w:rFonts w:asciiTheme="minorHAnsi" w:hAnsiTheme="minorHAnsi"/>
          <w:szCs w:val="24"/>
        </w:rPr>
        <w:t xml:space="preserve"> is required because a number of clubs have a reporting year that is not the standard financial year (1 July to 30 June).</w:t>
      </w:r>
    </w:p>
    <w:p w:rsidR="0021149F" w:rsidRPr="00C23D3D" w:rsidRDefault="0021149F" w:rsidP="000055AE">
      <w:pPr>
        <w:spacing w:after="0"/>
        <w:rPr>
          <w:rFonts w:asciiTheme="minorHAnsi" w:hAnsiTheme="minorHAnsi"/>
          <w:szCs w:val="24"/>
          <w:highlight w:val="yellow"/>
        </w:rPr>
      </w:pPr>
    </w:p>
    <w:p w:rsidR="00D375A7" w:rsidRPr="00C23D3D" w:rsidRDefault="00AF0D54" w:rsidP="000055AE">
      <w:pPr>
        <w:pStyle w:val="Heading4"/>
        <w:spacing w:before="0" w:after="0"/>
        <w:rPr>
          <w:rFonts w:asciiTheme="minorHAnsi" w:hAnsiTheme="minorHAnsi"/>
          <w:bCs/>
          <w:lang w:eastAsia="en-AU"/>
        </w:rPr>
      </w:pPr>
      <w:r w:rsidRPr="00C23D3D">
        <w:rPr>
          <w:rFonts w:asciiTheme="minorHAnsi" w:hAnsiTheme="minorHAnsi"/>
        </w:rPr>
        <w:t xml:space="preserve">Clause </w:t>
      </w:r>
      <w:r w:rsidR="00A37958" w:rsidRPr="00C23D3D">
        <w:rPr>
          <w:rFonts w:asciiTheme="minorHAnsi" w:hAnsiTheme="minorHAnsi"/>
          <w:noProof/>
        </w:rPr>
        <w:t>30</w:t>
      </w:r>
      <w:r w:rsidR="00D375A7" w:rsidRPr="00C23D3D">
        <w:rPr>
          <w:rFonts w:asciiTheme="minorHAnsi" w:hAnsiTheme="minorHAnsi"/>
          <w:bCs/>
          <w:lang w:eastAsia="en-AU"/>
        </w:rPr>
        <w:tab/>
        <w:t>Section 172B</w:t>
      </w:r>
      <w:r w:rsidR="00B24325" w:rsidRPr="00C23D3D">
        <w:rPr>
          <w:rFonts w:asciiTheme="minorHAnsi" w:hAnsiTheme="minorHAnsi"/>
          <w:bCs/>
          <w:lang w:eastAsia="en-AU"/>
        </w:rPr>
        <w:t xml:space="preserve"> (5)</w:t>
      </w:r>
      <w:r w:rsidR="00412C5E">
        <w:rPr>
          <w:rFonts w:asciiTheme="minorHAnsi" w:hAnsiTheme="minorHAnsi"/>
          <w:bCs/>
          <w:lang w:eastAsia="en-AU"/>
        </w:rPr>
        <w:t xml:space="preserve">, </w:t>
      </w:r>
      <w:r w:rsidR="00412C5E" w:rsidRPr="00412C5E">
        <w:rPr>
          <w:rFonts w:asciiTheme="minorHAnsi" w:hAnsiTheme="minorHAnsi"/>
          <w:bCs/>
          <w:lang w:eastAsia="en-AU"/>
        </w:rPr>
        <w:t xml:space="preserve">definition of </w:t>
      </w:r>
      <w:r w:rsidR="00412C5E" w:rsidRPr="00412C5E">
        <w:rPr>
          <w:rFonts w:asciiTheme="minorHAnsi" w:hAnsiTheme="minorHAnsi"/>
          <w:bCs/>
          <w:i/>
          <w:lang w:eastAsia="en-AU"/>
        </w:rPr>
        <w:t>community contribution shortfall</w:t>
      </w:r>
    </w:p>
    <w:p w:rsidR="00D375A7" w:rsidRPr="00571DD0" w:rsidRDefault="00A37958" w:rsidP="000055AE">
      <w:pPr>
        <w:pStyle w:val="Heading4"/>
        <w:keepNext w:val="0"/>
        <w:spacing w:before="0" w:after="0"/>
        <w:rPr>
          <w:rFonts w:asciiTheme="minorHAnsi" w:hAnsiTheme="minorHAnsi"/>
          <w:b w:val="0"/>
          <w:lang w:eastAsia="en-AU"/>
        </w:rPr>
      </w:pPr>
      <w:r w:rsidRPr="00C23D3D">
        <w:rPr>
          <w:rFonts w:asciiTheme="minorHAnsi" w:hAnsiTheme="minorHAnsi"/>
          <w:b w:val="0"/>
          <w:lang w:eastAsia="en-AU"/>
        </w:rPr>
        <w:t>Clause 30</w:t>
      </w:r>
      <w:r w:rsidR="00D375A7" w:rsidRPr="00C23D3D">
        <w:rPr>
          <w:rFonts w:asciiTheme="minorHAnsi" w:hAnsiTheme="minorHAnsi"/>
          <w:b w:val="0"/>
          <w:lang w:eastAsia="en-AU"/>
        </w:rPr>
        <w:t xml:space="preserve"> </w:t>
      </w:r>
      <w:r w:rsidR="00B24325" w:rsidRPr="00C23D3D">
        <w:rPr>
          <w:rFonts w:asciiTheme="minorHAnsi" w:hAnsiTheme="minorHAnsi"/>
          <w:b w:val="0"/>
          <w:lang w:eastAsia="en-AU"/>
        </w:rPr>
        <w:t>clarifies</w:t>
      </w:r>
      <w:r w:rsidR="00D375A7" w:rsidRPr="00C23D3D">
        <w:rPr>
          <w:rFonts w:asciiTheme="minorHAnsi" w:hAnsiTheme="minorHAnsi"/>
          <w:b w:val="0"/>
          <w:lang w:eastAsia="en-AU"/>
        </w:rPr>
        <w:t xml:space="preserve"> </w:t>
      </w:r>
      <w:r w:rsidR="00B24325" w:rsidRPr="00C23D3D">
        <w:rPr>
          <w:rFonts w:asciiTheme="minorHAnsi" w:hAnsiTheme="minorHAnsi"/>
          <w:b w:val="0"/>
          <w:lang w:eastAsia="en-AU"/>
        </w:rPr>
        <w:t xml:space="preserve">subsection (5) of </w:t>
      </w:r>
      <w:r w:rsidR="00D375A7" w:rsidRPr="00C23D3D">
        <w:rPr>
          <w:rFonts w:asciiTheme="minorHAnsi" w:hAnsiTheme="minorHAnsi"/>
          <w:b w:val="0"/>
          <w:lang w:eastAsia="en-AU"/>
        </w:rPr>
        <w:t>section 172B</w:t>
      </w:r>
      <w:r w:rsidR="00B24325" w:rsidRPr="00C23D3D">
        <w:rPr>
          <w:rFonts w:asciiTheme="minorHAnsi" w:hAnsiTheme="minorHAnsi"/>
          <w:b w:val="0"/>
          <w:lang w:eastAsia="en-AU"/>
        </w:rPr>
        <w:t xml:space="preserve"> (</w:t>
      </w:r>
      <w:proofErr w:type="spellStart"/>
      <w:r w:rsidR="00B24325" w:rsidRPr="00571DD0">
        <w:rPr>
          <w:rFonts w:asciiTheme="minorHAnsi" w:hAnsiTheme="minorHAnsi"/>
          <w:b w:val="0"/>
          <w:lang w:eastAsia="en-AU"/>
        </w:rPr>
        <w:t>uncommenced</w:t>
      </w:r>
      <w:proofErr w:type="spellEnd"/>
      <w:r w:rsidR="00B24325" w:rsidRPr="00571DD0">
        <w:rPr>
          <w:rFonts w:asciiTheme="minorHAnsi" w:hAnsiTheme="minorHAnsi"/>
          <w:b w:val="0"/>
          <w:lang w:eastAsia="en-AU"/>
        </w:rPr>
        <w:t>)</w:t>
      </w:r>
      <w:r w:rsidR="00D375A7" w:rsidRPr="00571DD0">
        <w:rPr>
          <w:rFonts w:asciiTheme="minorHAnsi" w:hAnsiTheme="minorHAnsi"/>
          <w:b w:val="0"/>
          <w:lang w:eastAsia="en-AU"/>
        </w:rPr>
        <w:t xml:space="preserve"> </w:t>
      </w:r>
      <w:r w:rsidR="00571DD0" w:rsidRPr="00571DD0">
        <w:rPr>
          <w:rFonts w:asciiTheme="minorHAnsi" w:hAnsiTheme="minorHAnsi"/>
          <w:b w:val="0"/>
        </w:rPr>
        <w:t xml:space="preserve">of the Gaming Machine Act </w:t>
      </w:r>
      <w:r w:rsidR="00D375A7" w:rsidRPr="00571DD0">
        <w:rPr>
          <w:rFonts w:asciiTheme="minorHAnsi" w:hAnsiTheme="minorHAnsi"/>
          <w:b w:val="0"/>
          <w:lang w:eastAsia="en-AU"/>
        </w:rPr>
        <w:t xml:space="preserve">to </w:t>
      </w:r>
      <w:r w:rsidR="00B24325" w:rsidRPr="00571DD0">
        <w:rPr>
          <w:rFonts w:asciiTheme="minorHAnsi" w:hAnsiTheme="minorHAnsi"/>
          <w:b w:val="0"/>
          <w:lang w:eastAsia="en-AU"/>
        </w:rPr>
        <w:t>better reflect the community contributions reforms.</w:t>
      </w:r>
    </w:p>
    <w:p w:rsidR="00D375A7" w:rsidRPr="00C23D3D" w:rsidRDefault="00D375A7" w:rsidP="000055AE">
      <w:pPr>
        <w:pStyle w:val="Heading4"/>
        <w:keepNext w:val="0"/>
        <w:spacing w:before="0" w:after="0"/>
        <w:rPr>
          <w:rFonts w:asciiTheme="minorHAnsi" w:hAnsiTheme="minorHAnsi"/>
        </w:rPr>
      </w:pPr>
    </w:p>
    <w:p w:rsidR="00AF0D54" w:rsidRPr="00C23D3D" w:rsidRDefault="00AF0D54" w:rsidP="000055AE">
      <w:pPr>
        <w:pStyle w:val="Heading4"/>
        <w:spacing w:before="0" w:after="0"/>
        <w:rPr>
          <w:rFonts w:asciiTheme="minorHAnsi" w:hAnsiTheme="minorHAnsi"/>
        </w:rPr>
      </w:pPr>
      <w:r w:rsidRPr="00C23D3D">
        <w:rPr>
          <w:rFonts w:asciiTheme="minorHAnsi" w:hAnsiTheme="minorHAnsi"/>
        </w:rPr>
        <w:t xml:space="preserve">Clause </w:t>
      </w:r>
      <w:r w:rsidR="00A37958" w:rsidRPr="00C23D3D">
        <w:rPr>
          <w:rFonts w:asciiTheme="minorHAnsi" w:hAnsiTheme="minorHAnsi"/>
        </w:rPr>
        <w:t>31</w:t>
      </w:r>
      <w:r w:rsidR="0032336D" w:rsidRPr="00C23D3D">
        <w:rPr>
          <w:rFonts w:asciiTheme="minorHAnsi" w:hAnsiTheme="minorHAnsi"/>
        </w:rPr>
        <w:tab/>
      </w:r>
      <w:r w:rsidR="008A524B" w:rsidRPr="00C23D3D">
        <w:rPr>
          <w:rFonts w:asciiTheme="minorHAnsi" w:hAnsiTheme="minorHAnsi"/>
        </w:rPr>
        <w:t>Section 314</w:t>
      </w:r>
    </w:p>
    <w:p w:rsidR="00287A30" w:rsidRPr="00C23D3D" w:rsidRDefault="00B24325" w:rsidP="000055AE">
      <w:pPr>
        <w:pStyle w:val="Heading4"/>
        <w:keepNext w:val="0"/>
        <w:spacing w:before="0" w:after="0"/>
        <w:rPr>
          <w:rFonts w:asciiTheme="minorHAnsi" w:hAnsiTheme="minorHAnsi"/>
          <w:b w:val="0"/>
          <w:lang w:eastAsia="en-AU"/>
        </w:rPr>
      </w:pPr>
      <w:r w:rsidRPr="00C23D3D">
        <w:rPr>
          <w:rFonts w:asciiTheme="minorHAnsi" w:hAnsiTheme="minorHAnsi"/>
          <w:b w:val="0"/>
          <w:lang w:eastAsia="en-AU"/>
        </w:rPr>
        <w:t xml:space="preserve">Clause </w:t>
      </w:r>
      <w:r w:rsidR="00A37958" w:rsidRPr="00C23D3D">
        <w:rPr>
          <w:rFonts w:asciiTheme="minorHAnsi" w:hAnsiTheme="minorHAnsi"/>
          <w:b w:val="0"/>
          <w:lang w:eastAsia="en-AU"/>
        </w:rPr>
        <w:t>31</w:t>
      </w:r>
      <w:r w:rsidR="00D375A7" w:rsidRPr="00C23D3D">
        <w:rPr>
          <w:rFonts w:asciiTheme="minorHAnsi" w:hAnsiTheme="minorHAnsi"/>
          <w:b w:val="0"/>
          <w:lang w:eastAsia="en-AU"/>
        </w:rPr>
        <w:t xml:space="preserve"> </w:t>
      </w:r>
      <w:r w:rsidR="002D6870">
        <w:rPr>
          <w:rFonts w:asciiTheme="minorHAnsi" w:hAnsiTheme="minorHAnsi"/>
          <w:b w:val="0"/>
          <w:lang w:eastAsia="en-AU"/>
        </w:rPr>
        <w:t>substitutes and amends</w:t>
      </w:r>
      <w:r w:rsidR="00D375A7" w:rsidRPr="00C23D3D">
        <w:rPr>
          <w:rFonts w:asciiTheme="minorHAnsi" w:hAnsiTheme="minorHAnsi"/>
          <w:b w:val="0"/>
          <w:lang w:eastAsia="en-AU"/>
        </w:rPr>
        <w:t xml:space="preserve"> the existing transitional provision </w:t>
      </w:r>
      <w:r w:rsidR="00571DD0">
        <w:rPr>
          <w:rFonts w:asciiTheme="minorHAnsi" w:hAnsiTheme="minorHAnsi"/>
          <w:b w:val="0"/>
          <w:lang w:eastAsia="en-AU"/>
        </w:rPr>
        <w:t xml:space="preserve">in part 22 of the Gaming Machine Act </w:t>
      </w:r>
      <w:r w:rsidR="00D375A7" w:rsidRPr="00C23D3D">
        <w:rPr>
          <w:rFonts w:asciiTheme="minorHAnsi" w:hAnsiTheme="minorHAnsi"/>
          <w:b w:val="0"/>
          <w:lang w:eastAsia="en-AU"/>
        </w:rPr>
        <w:t xml:space="preserve">to clarify that </w:t>
      </w:r>
      <w:r w:rsidR="00287A30" w:rsidRPr="00C23D3D">
        <w:rPr>
          <w:rFonts w:asciiTheme="minorHAnsi" w:hAnsiTheme="minorHAnsi"/>
          <w:b w:val="0"/>
          <w:lang w:eastAsia="en-AU"/>
        </w:rPr>
        <w:t>a licensee is required to pay:</w:t>
      </w:r>
    </w:p>
    <w:p w:rsidR="00287A30" w:rsidRPr="00C23D3D" w:rsidRDefault="00D375A7" w:rsidP="000055AE">
      <w:pPr>
        <w:pStyle w:val="Heading4"/>
        <w:keepNext w:val="0"/>
        <w:numPr>
          <w:ilvl w:val="0"/>
          <w:numId w:val="28"/>
        </w:numPr>
        <w:spacing w:before="0" w:after="0"/>
        <w:rPr>
          <w:rFonts w:asciiTheme="minorHAnsi" w:hAnsiTheme="minorHAnsi"/>
          <w:b w:val="0"/>
          <w:lang w:eastAsia="en-AU"/>
        </w:rPr>
      </w:pPr>
      <w:r w:rsidRPr="00C23D3D">
        <w:rPr>
          <w:rFonts w:asciiTheme="minorHAnsi" w:hAnsiTheme="minorHAnsi"/>
          <w:b w:val="0"/>
          <w:lang w:eastAsia="en-AU"/>
        </w:rPr>
        <w:t>8% of their net revenue for the part of the reporting year up to 30 June 2019 as community contributions in accordance with existing part 12 of the Gam</w:t>
      </w:r>
      <w:r w:rsidR="00287A30" w:rsidRPr="00C23D3D">
        <w:rPr>
          <w:rFonts w:asciiTheme="minorHAnsi" w:hAnsiTheme="minorHAnsi"/>
          <w:b w:val="0"/>
          <w:lang w:eastAsia="en-AU"/>
        </w:rPr>
        <w:t>ing Machine Act; and</w:t>
      </w:r>
    </w:p>
    <w:p w:rsidR="00287A30" w:rsidRPr="00C23D3D" w:rsidRDefault="00D375A7" w:rsidP="000055AE">
      <w:pPr>
        <w:pStyle w:val="Heading4"/>
        <w:keepNext w:val="0"/>
        <w:numPr>
          <w:ilvl w:val="0"/>
          <w:numId w:val="28"/>
        </w:numPr>
        <w:spacing w:before="0" w:after="0"/>
        <w:rPr>
          <w:rFonts w:asciiTheme="minorHAnsi" w:hAnsiTheme="minorHAnsi"/>
          <w:b w:val="0"/>
          <w:lang w:eastAsia="en-AU"/>
        </w:rPr>
      </w:pPr>
      <w:r w:rsidRPr="00C23D3D">
        <w:rPr>
          <w:rFonts w:asciiTheme="minorHAnsi" w:hAnsiTheme="minorHAnsi"/>
          <w:b w:val="0"/>
          <w:lang w:eastAsia="en-AU"/>
        </w:rPr>
        <w:t>8% of their net revenue for the part of the reporting year after 1 July 2019 as community purpose contributions under the new scheme.</w:t>
      </w:r>
    </w:p>
    <w:p w:rsidR="00287A30" w:rsidRPr="00C23D3D" w:rsidRDefault="00287A30" w:rsidP="000055AE">
      <w:pPr>
        <w:pStyle w:val="Heading4"/>
        <w:keepNext w:val="0"/>
        <w:spacing w:before="0" w:after="0"/>
        <w:rPr>
          <w:rFonts w:asciiTheme="minorHAnsi" w:hAnsiTheme="minorHAnsi"/>
          <w:b w:val="0"/>
          <w:lang w:eastAsia="en-AU"/>
        </w:rPr>
      </w:pPr>
    </w:p>
    <w:p w:rsidR="00D375A7" w:rsidRPr="00C23D3D" w:rsidRDefault="00287A30" w:rsidP="000055AE">
      <w:pPr>
        <w:pStyle w:val="Heading4"/>
        <w:keepNext w:val="0"/>
        <w:spacing w:before="0" w:after="0"/>
        <w:rPr>
          <w:rFonts w:asciiTheme="minorHAnsi" w:hAnsiTheme="minorHAnsi"/>
          <w:b w:val="0"/>
          <w:lang w:eastAsia="en-AU"/>
        </w:rPr>
      </w:pPr>
      <w:r w:rsidRPr="00C23D3D">
        <w:rPr>
          <w:rFonts w:asciiTheme="minorHAnsi" w:hAnsiTheme="minorHAnsi"/>
          <w:b w:val="0"/>
          <w:lang w:eastAsia="en-AU"/>
        </w:rPr>
        <w:t xml:space="preserve">The total community contributions </w:t>
      </w:r>
      <w:r w:rsidR="006369DF" w:rsidRPr="00C23D3D">
        <w:rPr>
          <w:rFonts w:asciiTheme="minorHAnsi" w:hAnsiTheme="minorHAnsi"/>
          <w:b w:val="0"/>
          <w:lang w:eastAsia="en-AU"/>
        </w:rPr>
        <w:t>requirement for the reporting year is 8% of net revenue, however, eligible purposes under the old and new community contributions schemes vary.</w:t>
      </w:r>
    </w:p>
    <w:p w:rsidR="00287A30" w:rsidRPr="00C23D3D" w:rsidRDefault="00287A30" w:rsidP="000055AE">
      <w:pPr>
        <w:pStyle w:val="Heading4"/>
        <w:keepNext w:val="0"/>
        <w:spacing w:before="0" w:after="0"/>
        <w:rPr>
          <w:rFonts w:asciiTheme="minorHAnsi" w:hAnsiTheme="minorHAnsi"/>
          <w:b w:val="0"/>
          <w:lang w:eastAsia="en-AU"/>
        </w:rPr>
      </w:pPr>
    </w:p>
    <w:p w:rsidR="006369DF" w:rsidRPr="00C23D3D" w:rsidRDefault="006369DF" w:rsidP="000055AE">
      <w:pPr>
        <w:pStyle w:val="Heading4"/>
        <w:keepNext w:val="0"/>
        <w:spacing w:before="0" w:after="0"/>
        <w:rPr>
          <w:rFonts w:asciiTheme="minorHAnsi" w:hAnsiTheme="minorHAnsi"/>
          <w:b w:val="0"/>
          <w:lang w:eastAsia="en-AU"/>
        </w:rPr>
      </w:pPr>
      <w:r w:rsidRPr="00C23D3D">
        <w:rPr>
          <w:rFonts w:asciiTheme="minorHAnsi" w:hAnsiTheme="minorHAnsi"/>
          <w:b w:val="0"/>
          <w:lang w:eastAsia="en-AU"/>
        </w:rPr>
        <w:t>This pro</w:t>
      </w:r>
      <w:r w:rsidR="00287A30" w:rsidRPr="00C23D3D">
        <w:rPr>
          <w:rFonts w:asciiTheme="minorHAnsi" w:hAnsiTheme="minorHAnsi"/>
          <w:b w:val="0"/>
          <w:lang w:eastAsia="en-AU"/>
        </w:rPr>
        <w:t xml:space="preserve">vision </w:t>
      </w:r>
      <w:r w:rsidRPr="00C23D3D">
        <w:rPr>
          <w:rFonts w:asciiTheme="minorHAnsi" w:hAnsiTheme="minorHAnsi"/>
          <w:b w:val="0"/>
          <w:lang w:eastAsia="en-AU"/>
        </w:rPr>
        <w:t>is required because numerous clubs have a reporting year that is not the standard July-June financial year.</w:t>
      </w:r>
    </w:p>
    <w:p w:rsidR="00287A30" w:rsidRPr="00C23D3D" w:rsidRDefault="00287A30" w:rsidP="000055AE">
      <w:pPr>
        <w:pStyle w:val="Heading4"/>
        <w:keepNext w:val="0"/>
        <w:spacing w:before="0" w:after="0"/>
        <w:rPr>
          <w:rFonts w:asciiTheme="minorHAnsi" w:hAnsiTheme="minorHAnsi"/>
          <w:b w:val="0"/>
          <w:lang w:eastAsia="en-AU"/>
        </w:rPr>
      </w:pPr>
    </w:p>
    <w:p w:rsidR="00287A30" w:rsidRPr="00C23D3D" w:rsidRDefault="00287A30" w:rsidP="000055AE">
      <w:pPr>
        <w:pStyle w:val="Heading4"/>
        <w:keepNext w:val="0"/>
        <w:spacing w:before="0" w:after="0"/>
        <w:rPr>
          <w:rFonts w:asciiTheme="minorHAnsi" w:hAnsiTheme="minorHAnsi"/>
          <w:b w:val="0"/>
          <w:lang w:eastAsia="en-AU"/>
        </w:rPr>
      </w:pPr>
      <w:r w:rsidRPr="00C23D3D">
        <w:rPr>
          <w:rFonts w:asciiTheme="minorHAnsi" w:hAnsiTheme="minorHAnsi"/>
          <w:b w:val="0"/>
          <w:lang w:eastAsia="en-AU"/>
        </w:rPr>
        <w:lastRenderedPageBreak/>
        <w:t xml:space="preserve">As with the other provisions in part 22, this transitional provision will expire on 1 July 2020, one year after the community contributions reforms commence. Transitional provisions are repealed on expiry but continue to have effect after repeal (see </w:t>
      </w:r>
      <w:r w:rsidRPr="00205A11">
        <w:rPr>
          <w:rFonts w:asciiTheme="minorHAnsi" w:hAnsiTheme="minorHAnsi"/>
          <w:b w:val="0"/>
          <w:i/>
          <w:lang w:eastAsia="en-AU"/>
        </w:rPr>
        <w:t>Legislation Act 2001</w:t>
      </w:r>
      <w:r w:rsidRPr="00C23D3D">
        <w:rPr>
          <w:rFonts w:asciiTheme="minorHAnsi" w:hAnsiTheme="minorHAnsi"/>
          <w:b w:val="0"/>
          <w:lang w:eastAsia="en-AU"/>
        </w:rPr>
        <w:t>, section 88).</w:t>
      </w:r>
    </w:p>
    <w:p w:rsidR="00287A30" w:rsidRPr="00C23D3D" w:rsidRDefault="00287A30" w:rsidP="000055AE">
      <w:pPr>
        <w:pStyle w:val="Heading4"/>
        <w:keepNext w:val="0"/>
        <w:spacing w:before="0" w:after="0"/>
        <w:rPr>
          <w:rFonts w:asciiTheme="minorHAnsi" w:hAnsiTheme="minorHAnsi"/>
          <w:b w:val="0"/>
          <w:lang w:eastAsia="en-AU"/>
        </w:rPr>
      </w:pPr>
    </w:p>
    <w:p w:rsidR="00B068EA" w:rsidRPr="00C23D3D" w:rsidRDefault="00B24325" w:rsidP="000055AE">
      <w:pPr>
        <w:spacing w:after="0"/>
        <w:rPr>
          <w:rFonts w:asciiTheme="minorHAnsi" w:eastAsia="Times New Roman" w:hAnsiTheme="minorHAnsi"/>
          <w:szCs w:val="24"/>
        </w:rPr>
      </w:pPr>
      <w:r w:rsidRPr="00C23D3D">
        <w:rPr>
          <w:rFonts w:asciiTheme="minorHAnsi" w:eastAsia="Times New Roman" w:hAnsiTheme="minorHAnsi"/>
          <w:szCs w:val="24"/>
        </w:rPr>
        <w:t xml:space="preserve">Clause </w:t>
      </w:r>
      <w:r w:rsidR="00A37958" w:rsidRPr="00C23D3D">
        <w:rPr>
          <w:rFonts w:asciiTheme="minorHAnsi" w:eastAsia="Times New Roman" w:hAnsiTheme="minorHAnsi"/>
          <w:szCs w:val="24"/>
        </w:rPr>
        <w:t>31</w:t>
      </w:r>
      <w:r w:rsidRPr="00C23D3D">
        <w:rPr>
          <w:rFonts w:asciiTheme="minorHAnsi" w:eastAsia="Times New Roman" w:hAnsiTheme="minorHAnsi"/>
          <w:szCs w:val="24"/>
        </w:rPr>
        <w:t xml:space="preserve"> also</w:t>
      </w:r>
      <w:r w:rsidR="006369DF" w:rsidRPr="00C23D3D">
        <w:rPr>
          <w:rFonts w:asciiTheme="minorHAnsi" w:eastAsia="Times New Roman" w:hAnsiTheme="minorHAnsi"/>
          <w:szCs w:val="24"/>
        </w:rPr>
        <w:t xml:space="preserve"> inserts new section 314A</w:t>
      </w:r>
      <w:r w:rsidR="00C97FB3" w:rsidRPr="00C23D3D">
        <w:rPr>
          <w:rFonts w:asciiTheme="minorHAnsi" w:eastAsia="Times New Roman" w:hAnsiTheme="minorHAnsi"/>
          <w:szCs w:val="24"/>
        </w:rPr>
        <w:t xml:space="preserve"> in part 22 of the Gaming Machine Act</w:t>
      </w:r>
      <w:r w:rsidR="006369DF" w:rsidRPr="00C23D3D">
        <w:rPr>
          <w:rFonts w:asciiTheme="minorHAnsi" w:eastAsia="Times New Roman" w:hAnsiTheme="minorHAnsi"/>
          <w:szCs w:val="24"/>
        </w:rPr>
        <w:t xml:space="preserve">, </w:t>
      </w:r>
      <w:r w:rsidR="00B068EA" w:rsidRPr="00C23D3D">
        <w:rPr>
          <w:rFonts w:asciiTheme="minorHAnsi" w:eastAsia="Times New Roman" w:hAnsiTheme="minorHAnsi"/>
          <w:szCs w:val="24"/>
        </w:rPr>
        <w:t xml:space="preserve">which is </w:t>
      </w:r>
      <w:r w:rsidR="006369DF" w:rsidRPr="00C23D3D">
        <w:rPr>
          <w:rFonts w:asciiTheme="minorHAnsi" w:eastAsia="Times New Roman" w:hAnsiTheme="minorHAnsi"/>
          <w:szCs w:val="24"/>
        </w:rPr>
        <w:t>a</w:t>
      </w:r>
      <w:r w:rsidR="00C97FB3" w:rsidRPr="00C23D3D">
        <w:rPr>
          <w:rFonts w:asciiTheme="minorHAnsi" w:eastAsia="Times New Roman" w:hAnsiTheme="minorHAnsi"/>
          <w:szCs w:val="24"/>
        </w:rPr>
        <w:t xml:space="preserve">n additional </w:t>
      </w:r>
      <w:r w:rsidR="006369DF" w:rsidRPr="00C23D3D">
        <w:rPr>
          <w:rFonts w:asciiTheme="minorHAnsi" w:eastAsia="Times New Roman" w:hAnsiTheme="minorHAnsi"/>
          <w:szCs w:val="24"/>
        </w:rPr>
        <w:t>transitional provision</w:t>
      </w:r>
      <w:r w:rsidR="00C45282" w:rsidRPr="00C23D3D">
        <w:rPr>
          <w:rFonts w:asciiTheme="minorHAnsi" w:eastAsia="Times New Roman" w:hAnsiTheme="minorHAnsi"/>
          <w:szCs w:val="24"/>
        </w:rPr>
        <w:t xml:space="preserve"> addressing reporting arrangements to support the community contributions reforms</w:t>
      </w:r>
      <w:r w:rsidR="006369DF" w:rsidRPr="00C23D3D">
        <w:rPr>
          <w:rFonts w:asciiTheme="minorHAnsi" w:eastAsia="Times New Roman" w:hAnsiTheme="minorHAnsi"/>
          <w:szCs w:val="24"/>
        </w:rPr>
        <w:t>. This provision applies to clubs with a reporting year that begin</w:t>
      </w:r>
      <w:r w:rsidR="0066171F" w:rsidRPr="00C23D3D">
        <w:rPr>
          <w:rFonts w:asciiTheme="minorHAnsi" w:eastAsia="Times New Roman" w:hAnsiTheme="minorHAnsi"/>
          <w:szCs w:val="24"/>
        </w:rPr>
        <w:t>s before 1 July 2019, including those clubs whose financial year ends on 30 June 2019.</w:t>
      </w:r>
      <w:r w:rsidR="00B068EA" w:rsidRPr="00C23D3D">
        <w:rPr>
          <w:rFonts w:asciiTheme="minorHAnsi" w:eastAsia="Times New Roman" w:hAnsiTheme="minorHAnsi"/>
          <w:szCs w:val="24"/>
        </w:rPr>
        <w:t xml:space="preserve"> This provision is required because a number of clubs have a reporting year that is not 1 July to 30 June in each year.</w:t>
      </w:r>
    </w:p>
    <w:p w:rsidR="0066171F" w:rsidRPr="00C23D3D" w:rsidRDefault="0066171F" w:rsidP="000055AE">
      <w:pPr>
        <w:spacing w:after="0"/>
        <w:rPr>
          <w:rFonts w:asciiTheme="minorHAnsi" w:eastAsia="Times New Roman" w:hAnsiTheme="minorHAnsi"/>
          <w:szCs w:val="24"/>
        </w:rPr>
      </w:pPr>
    </w:p>
    <w:p w:rsidR="00C45282" w:rsidRPr="00C23D3D" w:rsidRDefault="0066171F" w:rsidP="000055AE">
      <w:pPr>
        <w:spacing w:after="0"/>
        <w:rPr>
          <w:rFonts w:asciiTheme="minorHAnsi" w:eastAsia="Times New Roman" w:hAnsiTheme="minorHAnsi"/>
          <w:szCs w:val="24"/>
        </w:rPr>
      </w:pPr>
      <w:r w:rsidRPr="00C23D3D">
        <w:rPr>
          <w:rFonts w:asciiTheme="minorHAnsi" w:eastAsia="Times New Roman" w:hAnsiTheme="minorHAnsi"/>
          <w:szCs w:val="24"/>
        </w:rPr>
        <w:t>Under new section 314A, the existing reporting requirements are retained for reporting years beginning before 1 July 2019, including the requirement to</w:t>
      </w:r>
      <w:r w:rsidR="00C97FB3" w:rsidRPr="00C23D3D">
        <w:rPr>
          <w:rFonts w:asciiTheme="minorHAnsi" w:eastAsia="Times New Roman" w:hAnsiTheme="minorHAnsi"/>
          <w:szCs w:val="24"/>
        </w:rPr>
        <w:t xml:space="preserve"> provide a financial</w:t>
      </w:r>
      <w:r w:rsidRPr="00C23D3D">
        <w:rPr>
          <w:rFonts w:asciiTheme="minorHAnsi" w:eastAsia="Times New Roman" w:hAnsiTheme="minorHAnsi"/>
          <w:szCs w:val="24"/>
        </w:rPr>
        <w:t xml:space="preserve"> report to the Commission</w:t>
      </w:r>
      <w:r w:rsidR="00C97FB3" w:rsidRPr="00C23D3D">
        <w:rPr>
          <w:rFonts w:asciiTheme="minorHAnsi" w:eastAsia="Times New Roman" w:hAnsiTheme="minorHAnsi"/>
          <w:szCs w:val="24"/>
        </w:rPr>
        <w:t>, for the Commission to report to the Minister,</w:t>
      </w:r>
      <w:r w:rsidRPr="00C23D3D">
        <w:rPr>
          <w:rFonts w:asciiTheme="minorHAnsi" w:eastAsia="Times New Roman" w:hAnsiTheme="minorHAnsi"/>
          <w:szCs w:val="24"/>
        </w:rPr>
        <w:t xml:space="preserve"> and for the Minister to report to the Assembly.</w:t>
      </w:r>
    </w:p>
    <w:p w:rsidR="00C45282" w:rsidRPr="00C23D3D" w:rsidRDefault="00C45282" w:rsidP="000055AE">
      <w:pPr>
        <w:spacing w:after="0"/>
        <w:rPr>
          <w:rFonts w:asciiTheme="minorHAnsi" w:eastAsia="Times New Roman" w:hAnsiTheme="minorHAnsi"/>
          <w:szCs w:val="24"/>
        </w:rPr>
      </w:pPr>
    </w:p>
    <w:p w:rsidR="00C45282" w:rsidRPr="00C23D3D" w:rsidRDefault="00C45282" w:rsidP="000055AE">
      <w:pPr>
        <w:spacing w:after="0"/>
        <w:rPr>
          <w:rFonts w:asciiTheme="minorHAnsi" w:eastAsia="Times New Roman" w:hAnsiTheme="minorHAnsi"/>
          <w:szCs w:val="24"/>
        </w:rPr>
      </w:pPr>
      <w:r w:rsidRPr="00C23D3D">
        <w:rPr>
          <w:rFonts w:asciiTheme="minorHAnsi" w:eastAsia="Times New Roman" w:hAnsiTheme="minorHAnsi"/>
          <w:szCs w:val="24"/>
        </w:rPr>
        <w:t xml:space="preserve">As with the other provisions </w:t>
      </w:r>
      <w:r w:rsidR="00287A30" w:rsidRPr="00C23D3D">
        <w:rPr>
          <w:rFonts w:asciiTheme="minorHAnsi" w:eastAsia="Times New Roman" w:hAnsiTheme="minorHAnsi"/>
          <w:szCs w:val="24"/>
        </w:rPr>
        <w:t>in</w:t>
      </w:r>
      <w:r w:rsidRPr="00C23D3D">
        <w:rPr>
          <w:rFonts w:asciiTheme="minorHAnsi" w:eastAsia="Times New Roman" w:hAnsiTheme="minorHAnsi"/>
          <w:szCs w:val="24"/>
        </w:rPr>
        <w:t xml:space="preserve"> part 22, this transitional provision will expire on 1 July 2020, one year after the community contributions reforms commence. Transitional provisions are repealed on expiry but continue to have effect after repeal (see </w:t>
      </w:r>
      <w:r w:rsidRPr="00205A11">
        <w:rPr>
          <w:rFonts w:asciiTheme="minorHAnsi" w:eastAsia="Times New Roman" w:hAnsiTheme="minorHAnsi"/>
          <w:i/>
          <w:szCs w:val="24"/>
        </w:rPr>
        <w:t>Legislation Act 2001</w:t>
      </w:r>
      <w:r w:rsidRPr="00C23D3D">
        <w:rPr>
          <w:rFonts w:asciiTheme="minorHAnsi" w:eastAsia="Times New Roman" w:hAnsiTheme="minorHAnsi"/>
          <w:szCs w:val="24"/>
        </w:rPr>
        <w:t>, sec</w:t>
      </w:r>
      <w:r w:rsidR="00287A30" w:rsidRPr="00C23D3D">
        <w:rPr>
          <w:rFonts w:asciiTheme="minorHAnsi" w:eastAsia="Times New Roman" w:hAnsiTheme="minorHAnsi"/>
          <w:szCs w:val="24"/>
        </w:rPr>
        <w:t>tion </w:t>
      </w:r>
      <w:r w:rsidRPr="00C23D3D">
        <w:rPr>
          <w:rFonts w:asciiTheme="minorHAnsi" w:eastAsia="Times New Roman" w:hAnsiTheme="minorHAnsi"/>
          <w:szCs w:val="24"/>
        </w:rPr>
        <w:t>88).</w:t>
      </w:r>
    </w:p>
    <w:p w:rsidR="00B068EA" w:rsidRPr="00C23D3D" w:rsidRDefault="00B068EA" w:rsidP="000055AE">
      <w:pPr>
        <w:pStyle w:val="Heading4"/>
        <w:keepNext w:val="0"/>
        <w:spacing w:before="0" w:after="0"/>
        <w:rPr>
          <w:rFonts w:asciiTheme="minorHAnsi" w:hAnsiTheme="minorHAnsi"/>
          <w:b w:val="0"/>
          <w:lang w:eastAsia="en-AU"/>
        </w:rPr>
      </w:pPr>
    </w:p>
    <w:p w:rsidR="00AF0D54" w:rsidRPr="00C23D3D" w:rsidRDefault="00AF0D54" w:rsidP="000055AE">
      <w:pPr>
        <w:pStyle w:val="Heading4"/>
        <w:spacing w:before="0" w:after="0"/>
        <w:rPr>
          <w:rFonts w:asciiTheme="minorHAnsi" w:hAnsiTheme="minorHAnsi"/>
          <w:i/>
          <w:lang w:eastAsia="en-AU"/>
        </w:rPr>
      </w:pPr>
      <w:r w:rsidRPr="00C23D3D">
        <w:rPr>
          <w:rFonts w:asciiTheme="minorHAnsi" w:hAnsiTheme="minorHAnsi"/>
        </w:rPr>
        <w:t>Clause</w:t>
      </w:r>
      <w:r w:rsidR="008A524B" w:rsidRPr="00C23D3D">
        <w:rPr>
          <w:rFonts w:asciiTheme="minorHAnsi" w:hAnsiTheme="minorHAnsi"/>
        </w:rPr>
        <w:t xml:space="preserve"> </w:t>
      </w:r>
      <w:r w:rsidR="00A37958" w:rsidRPr="00C23D3D">
        <w:rPr>
          <w:rFonts w:asciiTheme="minorHAnsi" w:hAnsiTheme="minorHAnsi"/>
          <w:noProof/>
        </w:rPr>
        <w:t>32</w:t>
      </w:r>
      <w:r w:rsidR="0032336D" w:rsidRPr="00C23D3D">
        <w:rPr>
          <w:rFonts w:asciiTheme="minorHAnsi" w:hAnsiTheme="minorHAnsi"/>
          <w:bCs/>
          <w:lang w:eastAsia="en-AU"/>
        </w:rPr>
        <w:tab/>
        <w:t xml:space="preserve">Dictionary, new definition of </w:t>
      </w:r>
      <w:r w:rsidR="0032336D" w:rsidRPr="00C23D3D">
        <w:rPr>
          <w:rFonts w:asciiTheme="minorHAnsi" w:hAnsiTheme="minorHAnsi"/>
          <w:bCs/>
          <w:i/>
          <w:lang w:eastAsia="en-AU"/>
        </w:rPr>
        <w:t>advisory board</w:t>
      </w:r>
    </w:p>
    <w:p w:rsidR="00AF0D54" w:rsidRPr="00C23D3D" w:rsidRDefault="00A37958" w:rsidP="000055AE">
      <w:pPr>
        <w:spacing w:after="0"/>
        <w:rPr>
          <w:rFonts w:asciiTheme="minorHAnsi" w:eastAsia="Times New Roman" w:hAnsiTheme="minorHAnsi"/>
          <w:szCs w:val="24"/>
        </w:rPr>
      </w:pPr>
      <w:r w:rsidRPr="00C23D3D">
        <w:rPr>
          <w:rFonts w:asciiTheme="minorHAnsi" w:eastAsia="Times New Roman" w:hAnsiTheme="minorHAnsi"/>
          <w:szCs w:val="24"/>
        </w:rPr>
        <w:t>Clause 32</w:t>
      </w:r>
      <w:r w:rsidR="006369DF" w:rsidRPr="00C23D3D">
        <w:rPr>
          <w:rFonts w:asciiTheme="minorHAnsi" w:eastAsia="Times New Roman" w:hAnsiTheme="minorHAnsi"/>
          <w:szCs w:val="24"/>
        </w:rPr>
        <w:t xml:space="preserve"> </w:t>
      </w:r>
      <w:r w:rsidR="00B068EA" w:rsidRPr="00C23D3D">
        <w:rPr>
          <w:rFonts w:asciiTheme="minorHAnsi" w:eastAsia="Times New Roman" w:hAnsiTheme="minorHAnsi"/>
          <w:szCs w:val="24"/>
        </w:rPr>
        <w:t>inserts the definition of</w:t>
      </w:r>
      <w:r w:rsidR="006369DF" w:rsidRPr="00C23D3D">
        <w:rPr>
          <w:rFonts w:asciiTheme="minorHAnsi" w:eastAsia="Times New Roman" w:hAnsiTheme="minorHAnsi"/>
          <w:szCs w:val="24"/>
        </w:rPr>
        <w:t xml:space="preserve"> the term ‘advisory board’ to the Dictionary of the Gaming Mac</w:t>
      </w:r>
      <w:r w:rsidR="00B068EA" w:rsidRPr="00C23D3D">
        <w:rPr>
          <w:rFonts w:asciiTheme="minorHAnsi" w:eastAsia="Times New Roman" w:hAnsiTheme="minorHAnsi"/>
          <w:szCs w:val="24"/>
        </w:rPr>
        <w:t>hine Act</w:t>
      </w:r>
      <w:r w:rsidR="006369DF" w:rsidRPr="00C23D3D">
        <w:rPr>
          <w:rFonts w:asciiTheme="minorHAnsi" w:eastAsia="Times New Roman" w:hAnsiTheme="minorHAnsi"/>
          <w:szCs w:val="24"/>
        </w:rPr>
        <w:t>.</w:t>
      </w:r>
      <w:r w:rsidR="00B068EA" w:rsidRPr="00C23D3D">
        <w:rPr>
          <w:rFonts w:asciiTheme="minorHAnsi" w:eastAsia="Times New Roman" w:hAnsiTheme="minorHAnsi"/>
          <w:szCs w:val="24"/>
        </w:rPr>
        <w:t xml:space="preserve"> This is a signpost definition as th</w:t>
      </w:r>
      <w:r w:rsidR="00B24325" w:rsidRPr="00C23D3D">
        <w:rPr>
          <w:rFonts w:asciiTheme="minorHAnsi" w:eastAsia="Times New Roman" w:hAnsiTheme="minorHAnsi"/>
          <w:szCs w:val="24"/>
        </w:rPr>
        <w:t>e term is defined in section 163</w:t>
      </w:r>
      <w:r w:rsidR="00B068EA" w:rsidRPr="00C23D3D">
        <w:rPr>
          <w:rFonts w:asciiTheme="minorHAnsi" w:eastAsia="Times New Roman" w:hAnsiTheme="minorHAnsi"/>
          <w:szCs w:val="24"/>
        </w:rPr>
        <w:t>E.</w:t>
      </w:r>
    </w:p>
    <w:p w:rsidR="008B40CE" w:rsidRPr="00C23D3D" w:rsidRDefault="008B40CE" w:rsidP="000055AE">
      <w:pPr>
        <w:spacing w:after="0"/>
        <w:rPr>
          <w:rFonts w:asciiTheme="minorHAnsi" w:eastAsia="Times New Roman" w:hAnsiTheme="minorHAnsi"/>
          <w:szCs w:val="24"/>
        </w:rPr>
      </w:pPr>
    </w:p>
    <w:p w:rsidR="0032336D" w:rsidRPr="00C23D3D" w:rsidRDefault="0032336D" w:rsidP="000055AE">
      <w:pPr>
        <w:pStyle w:val="Heading4"/>
        <w:spacing w:before="0" w:after="0"/>
        <w:rPr>
          <w:rFonts w:asciiTheme="minorHAnsi" w:hAnsiTheme="minorHAnsi"/>
          <w:i/>
          <w:lang w:eastAsia="en-AU"/>
        </w:rPr>
      </w:pPr>
      <w:r w:rsidRPr="00C23D3D">
        <w:rPr>
          <w:rFonts w:asciiTheme="minorHAnsi" w:hAnsiTheme="minorHAnsi"/>
        </w:rPr>
        <w:t>Clause</w:t>
      </w:r>
      <w:r w:rsidR="00A37958" w:rsidRPr="00C23D3D">
        <w:rPr>
          <w:rFonts w:asciiTheme="minorHAnsi" w:hAnsiTheme="minorHAnsi"/>
          <w:noProof/>
        </w:rPr>
        <w:t xml:space="preserve"> 33</w:t>
      </w:r>
      <w:r w:rsidRPr="00C23D3D">
        <w:rPr>
          <w:rFonts w:asciiTheme="minorHAnsi" w:hAnsiTheme="minorHAnsi"/>
          <w:bCs/>
          <w:lang w:eastAsia="en-AU"/>
        </w:rPr>
        <w:tab/>
        <w:t xml:space="preserve">Dictionary, definition of </w:t>
      </w:r>
      <w:r w:rsidR="008A524B" w:rsidRPr="00C23D3D">
        <w:rPr>
          <w:rFonts w:asciiTheme="minorHAnsi" w:hAnsiTheme="minorHAnsi"/>
          <w:bCs/>
          <w:i/>
          <w:lang w:eastAsia="en-AU"/>
        </w:rPr>
        <w:t>community contribution shortfall tax</w:t>
      </w:r>
    </w:p>
    <w:p w:rsidR="0032336D" w:rsidRPr="00C23D3D" w:rsidRDefault="00A37958" w:rsidP="000055AE">
      <w:pPr>
        <w:spacing w:after="0"/>
        <w:rPr>
          <w:rFonts w:asciiTheme="minorHAnsi" w:eastAsia="Times New Roman" w:hAnsiTheme="minorHAnsi"/>
          <w:szCs w:val="24"/>
        </w:rPr>
      </w:pPr>
      <w:r w:rsidRPr="00C23D3D">
        <w:rPr>
          <w:rFonts w:asciiTheme="minorHAnsi" w:eastAsia="Times New Roman" w:hAnsiTheme="minorHAnsi"/>
          <w:szCs w:val="24"/>
        </w:rPr>
        <w:t>Clause 33</w:t>
      </w:r>
      <w:r w:rsidR="006369DF" w:rsidRPr="00C23D3D">
        <w:rPr>
          <w:rFonts w:asciiTheme="minorHAnsi" w:eastAsia="Times New Roman" w:hAnsiTheme="minorHAnsi"/>
          <w:szCs w:val="24"/>
        </w:rPr>
        <w:t xml:space="preserve"> omits the </w:t>
      </w:r>
      <w:r w:rsidR="00B068EA" w:rsidRPr="00C23D3D">
        <w:rPr>
          <w:rFonts w:asciiTheme="minorHAnsi" w:eastAsia="Times New Roman" w:hAnsiTheme="minorHAnsi"/>
          <w:szCs w:val="24"/>
        </w:rPr>
        <w:t xml:space="preserve">definition of the </w:t>
      </w:r>
      <w:r w:rsidR="006369DF" w:rsidRPr="00C23D3D">
        <w:rPr>
          <w:rFonts w:asciiTheme="minorHAnsi" w:eastAsia="Times New Roman" w:hAnsiTheme="minorHAnsi"/>
          <w:szCs w:val="24"/>
        </w:rPr>
        <w:t>term ‘community contribution shortfall tax’ from the Dictionary of the Gaming Machine Act</w:t>
      </w:r>
      <w:r w:rsidR="00B068EA" w:rsidRPr="00C23D3D">
        <w:rPr>
          <w:rFonts w:asciiTheme="minorHAnsi" w:eastAsia="Times New Roman" w:hAnsiTheme="minorHAnsi"/>
          <w:szCs w:val="24"/>
        </w:rPr>
        <w:t xml:space="preserve">. It is </w:t>
      </w:r>
      <w:r w:rsidR="006369DF" w:rsidRPr="00C23D3D">
        <w:rPr>
          <w:rFonts w:asciiTheme="minorHAnsi" w:eastAsia="Times New Roman" w:hAnsiTheme="minorHAnsi"/>
          <w:szCs w:val="24"/>
        </w:rPr>
        <w:t xml:space="preserve">not necessary </w:t>
      </w:r>
      <w:r w:rsidR="00B068EA" w:rsidRPr="00C23D3D">
        <w:rPr>
          <w:rFonts w:asciiTheme="minorHAnsi" w:eastAsia="Times New Roman" w:hAnsiTheme="minorHAnsi"/>
          <w:szCs w:val="24"/>
        </w:rPr>
        <w:t xml:space="preserve">to include the definition of this term in the Dictionary, </w:t>
      </w:r>
      <w:r w:rsidR="006369DF" w:rsidRPr="00C23D3D">
        <w:rPr>
          <w:rFonts w:asciiTheme="minorHAnsi" w:eastAsia="Times New Roman" w:hAnsiTheme="minorHAnsi"/>
          <w:szCs w:val="24"/>
        </w:rPr>
        <w:t>since the term is used on</w:t>
      </w:r>
      <w:r w:rsidR="00B068EA" w:rsidRPr="00C23D3D">
        <w:rPr>
          <w:rFonts w:asciiTheme="minorHAnsi" w:eastAsia="Times New Roman" w:hAnsiTheme="minorHAnsi"/>
          <w:szCs w:val="24"/>
        </w:rPr>
        <w:t>ly in section 172B of the Gaming Machine Act.</w:t>
      </w:r>
    </w:p>
    <w:p w:rsidR="00FF2094" w:rsidRPr="00C23D3D" w:rsidRDefault="00FF2094" w:rsidP="000055AE">
      <w:pPr>
        <w:pStyle w:val="Heading4"/>
        <w:keepNext w:val="0"/>
        <w:spacing w:before="0" w:after="0"/>
        <w:rPr>
          <w:rFonts w:asciiTheme="minorHAnsi" w:hAnsiTheme="minorHAnsi"/>
        </w:rPr>
      </w:pPr>
    </w:p>
    <w:p w:rsidR="008A524B" w:rsidRPr="00C23D3D" w:rsidRDefault="008A524B" w:rsidP="000055AE">
      <w:pPr>
        <w:pStyle w:val="Heading4"/>
        <w:spacing w:before="0" w:after="0"/>
        <w:rPr>
          <w:rFonts w:asciiTheme="minorHAnsi" w:hAnsiTheme="minorHAnsi"/>
          <w:i/>
          <w:lang w:eastAsia="en-AU"/>
        </w:rPr>
      </w:pPr>
      <w:r w:rsidRPr="00C23D3D">
        <w:rPr>
          <w:rFonts w:asciiTheme="minorHAnsi" w:hAnsiTheme="minorHAnsi"/>
        </w:rPr>
        <w:t>Clause</w:t>
      </w:r>
      <w:r w:rsidR="00A37958" w:rsidRPr="00C23D3D">
        <w:rPr>
          <w:rFonts w:asciiTheme="minorHAnsi" w:hAnsiTheme="minorHAnsi"/>
          <w:noProof/>
        </w:rPr>
        <w:t xml:space="preserve"> 34</w:t>
      </w:r>
      <w:r w:rsidRPr="00C23D3D">
        <w:rPr>
          <w:rFonts w:asciiTheme="minorHAnsi" w:hAnsiTheme="minorHAnsi"/>
          <w:bCs/>
          <w:lang w:eastAsia="en-AU"/>
        </w:rPr>
        <w:tab/>
        <w:t xml:space="preserve">Dictionary, new definition of </w:t>
      </w:r>
      <w:r w:rsidRPr="00C23D3D">
        <w:rPr>
          <w:rFonts w:asciiTheme="minorHAnsi" w:hAnsiTheme="minorHAnsi"/>
          <w:bCs/>
          <w:i/>
          <w:lang w:eastAsia="en-AU"/>
        </w:rPr>
        <w:t>diversification and sustainability support fund</w:t>
      </w:r>
    </w:p>
    <w:p w:rsidR="008A524B" w:rsidRPr="00C23D3D" w:rsidRDefault="00A37958" w:rsidP="000055AE">
      <w:pPr>
        <w:spacing w:after="0"/>
        <w:rPr>
          <w:rFonts w:asciiTheme="minorHAnsi" w:eastAsia="Times New Roman" w:hAnsiTheme="minorHAnsi"/>
          <w:szCs w:val="24"/>
        </w:rPr>
      </w:pPr>
      <w:r w:rsidRPr="00C23D3D">
        <w:rPr>
          <w:rFonts w:asciiTheme="minorHAnsi" w:eastAsia="Times New Roman" w:hAnsiTheme="minorHAnsi"/>
          <w:szCs w:val="24"/>
        </w:rPr>
        <w:t>Clause 34</w:t>
      </w:r>
      <w:r w:rsidR="006369DF" w:rsidRPr="00C23D3D">
        <w:rPr>
          <w:rFonts w:asciiTheme="minorHAnsi" w:eastAsia="Times New Roman" w:hAnsiTheme="minorHAnsi"/>
          <w:szCs w:val="24"/>
        </w:rPr>
        <w:t xml:space="preserve"> </w:t>
      </w:r>
      <w:r w:rsidR="00B068EA" w:rsidRPr="00C23D3D">
        <w:rPr>
          <w:rFonts w:asciiTheme="minorHAnsi" w:eastAsia="Times New Roman" w:hAnsiTheme="minorHAnsi"/>
          <w:szCs w:val="24"/>
        </w:rPr>
        <w:t>inserts the definition of</w:t>
      </w:r>
      <w:r w:rsidR="006369DF" w:rsidRPr="00C23D3D">
        <w:rPr>
          <w:rFonts w:asciiTheme="minorHAnsi" w:eastAsia="Times New Roman" w:hAnsiTheme="minorHAnsi"/>
          <w:szCs w:val="24"/>
        </w:rPr>
        <w:t xml:space="preserve"> the term ‘diversification and sustainability support fund’ to the Dictionary of the Gaming Machine Act</w:t>
      </w:r>
      <w:r w:rsidR="00B068EA" w:rsidRPr="00C23D3D">
        <w:rPr>
          <w:rFonts w:asciiTheme="minorHAnsi" w:eastAsia="Times New Roman" w:hAnsiTheme="minorHAnsi"/>
          <w:szCs w:val="24"/>
        </w:rPr>
        <w:t xml:space="preserve">. This is a signpost definition as the term is </w:t>
      </w:r>
      <w:r w:rsidR="00B24325" w:rsidRPr="00C23D3D">
        <w:rPr>
          <w:rFonts w:asciiTheme="minorHAnsi" w:eastAsia="Times New Roman" w:hAnsiTheme="minorHAnsi"/>
          <w:szCs w:val="24"/>
        </w:rPr>
        <w:t>defined in section 163</w:t>
      </w:r>
      <w:r w:rsidR="006369DF" w:rsidRPr="00C23D3D">
        <w:rPr>
          <w:rFonts w:asciiTheme="minorHAnsi" w:eastAsia="Times New Roman" w:hAnsiTheme="minorHAnsi"/>
          <w:szCs w:val="24"/>
        </w:rPr>
        <w:t>F.</w:t>
      </w:r>
    </w:p>
    <w:p w:rsidR="008B40CE" w:rsidRPr="00C23D3D" w:rsidRDefault="008B40CE" w:rsidP="000055AE">
      <w:pPr>
        <w:spacing w:after="0"/>
        <w:rPr>
          <w:rFonts w:asciiTheme="minorHAnsi" w:hAnsiTheme="minorHAnsi"/>
          <w:szCs w:val="24"/>
          <w:lang w:eastAsia="en-AU"/>
        </w:rPr>
      </w:pPr>
    </w:p>
    <w:sectPr w:rsidR="008B40CE" w:rsidRPr="00C23D3D" w:rsidSect="00EE32FF">
      <w:footerReference w:type="default" r:id="rId18"/>
      <w:footerReference w:type="first" r:id="rId19"/>
      <w:pgSz w:w="11906" w:h="16838"/>
      <w:pgMar w:top="1440" w:right="1440" w:bottom="1440" w:left="1440"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35C6C" w:rsidRDefault="00B35C6C" w:rsidP="00EB113E">
      <w:pPr>
        <w:spacing w:after="0" w:line="240" w:lineRule="auto"/>
      </w:pPr>
      <w:r>
        <w:separator/>
      </w:r>
    </w:p>
  </w:endnote>
  <w:endnote w:type="continuationSeparator" w:id="0">
    <w:p w:rsidR="00B35C6C" w:rsidRDefault="00B35C6C" w:rsidP="00EB11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libri-Italic">
    <w:panose1 w:val="00000000000000000000"/>
    <w:charset w:val="00"/>
    <w:family w:val="swiss"/>
    <w:notTrueType/>
    <w:pitch w:val="default"/>
    <w:sig w:usb0="00000003" w:usb1="00000000" w:usb2="00000000" w:usb3="00000000" w:csb0="00000001" w:csb1="00000000"/>
  </w:font>
  <w:font w:name="BookAntiqua">
    <w:panose1 w:val="00000000000000000000"/>
    <w:charset w:val="00"/>
    <w:family w:val="roman"/>
    <w:notTrueType/>
    <w:pitch w:val="default"/>
    <w:sig w:usb0="00000003" w:usb1="00000000" w:usb2="00000000" w:usb3="00000000" w:csb0="00000001" w:csb1="00000000"/>
  </w:font>
  <w:font w:name="Calibri-Bold">
    <w:panose1 w:val="00000000000000000000"/>
    <w:charset w:val="00"/>
    <w:family w:val="swiss"/>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24FB7" w:rsidRDefault="00124FB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71DD0" w:rsidRPr="00C4385A" w:rsidRDefault="00571DD0" w:rsidP="00C31AB2">
    <w:pPr>
      <w:pStyle w:val="Header"/>
      <w:jc w:val="center"/>
      <w:rPr>
        <w:rFonts w:ascii="Arial" w:hAnsi="Arial" w:cs="Arial"/>
        <w:b/>
        <w:color w:val="FF0000"/>
        <w:sz w:val="20"/>
      </w:rPr>
    </w:pPr>
    <w:r w:rsidRPr="00C4385A">
      <w:rPr>
        <w:rFonts w:ascii="Arial" w:hAnsi="Arial" w:cs="Arial"/>
        <w:b/>
        <w:color w:val="FF0000"/>
        <w:sz w:val="20"/>
      </w:rPr>
      <w:t>SENSITIVE: CABINET</w:t>
    </w:r>
  </w:p>
  <w:p w:rsidR="00571DD0" w:rsidRPr="00FD06E7" w:rsidRDefault="00FD06E7" w:rsidP="00FD06E7">
    <w:pPr>
      <w:pStyle w:val="Header"/>
      <w:jc w:val="center"/>
      <w:rPr>
        <w:rFonts w:ascii="Arial" w:hAnsi="Arial" w:cs="Arial"/>
        <w:b/>
        <w:color w:val="FF0000"/>
        <w:sz w:val="14"/>
      </w:rPr>
    </w:pPr>
    <w:r w:rsidRPr="00FD06E7">
      <w:rPr>
        <w:rFonts w:ascii="Arial" w:hAnsi="Arial" w:cs="Arial"/>
        <w:b/>
        <w:color w:val="FF0000"/>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D06E7" w:rsidRPr="00124FB7" w:rsidRDefault="00124FB7" w:rsidP="00124FB7">
    <w:pPr>
      <w:pStyle w:val="Footer"/>
      <w:jc w:val="center"/>
      <w:rPr>
        <w:rFonts w:ascii="Arial" w:hAnsi="Arial" w:cs="Arial"/>
        <w:sz w:val="14"/>
      </w:rPr>
    </w:pPr>
    <w:r w:rsidRPr="00124FB7">
      <w:rPr>
        <w:rFonts w:ascii="Arial" w:hAnsi="Arial" w:cs="Arial"/>
        <w:sz w:val="14"/>
      </w:rPr>
      <w:t>Unauthorised version prepared by ACT Parliamentary Counsel’s Office</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71DD0" w:rsidRPr="00076D72" w:rsidRDefault="00571DD0">
    <w:pPr>
      <w:pStyle w:val="Footer"/>
      <w:jc w:val="right"/>
      <w:rPr>
        <w:rFonts w:asciiTheme="minorHAnsi" w:hAnsiTheme="minorHAnsi"/>
        <w:sz w:val="20"/>
        <w:szCs w:val="20"/>
      </w:rPr>
    </w:pPr>
    <w:r w:rsidRPr="00076D72">
      <w:rPr>
        <w:rFonts w:asciiTheme="minorHAnsi" w:hAnsiTheme="minorHAnsi"/>
        <w:sz w:val="20"/>
        <w:szCs w:val="20"/>
      </w:rPr>
      <w:fldChar w:fldCharType="begin"/>
    </w:r>
    <w:r w:rsidRPr="00076D72">
      <w:rPr>
        <w:rFonts w:asciiTheme="minorHAnsi" w:hAnsiTheme="minorHAnsi"/>
        <w:sz w:val="20"/>
        <w:szCs w:val="20"/>
      </w:rPr>
      <w:instrText xml:space="preserve"> PAGE   \* MERGEFORMAT </w:instrText>
    </w:r>
    <w:r w:rsidRPr="00076D72">
      <w:rPr>
        <w:rFonts w:asciiTheme="minorHAnsi" w:hAnsiTheme="minorHAnsi"/>
        <w:sz w:val="20"/>
        <w:szCs w:val="20"/>
      </w:rPr>
      <w:fldChar w:fldCharType="separate"/>
    </w:r>
    <w:r w:rsidR="003C6C43">
      <w:rPr>
        <w:rFonts w:asciiTheme="minorHAnsi" w:hAnsiTheme="minorHAnsi"/>
        <w:noProof/>
        <w:sz w:val="20"/>
        <w:szCs w:val="20"/>
      </w:rPr>
      <w:t>2</w:t>
    </w:r>
    <w:r w:rsidRPr="00076D72">
      <w:rPr>
        <w:rFonts w:asciiTheme="minorHAnsi" w:hAnsiTheme="minorHAnsi"/>
        <w:noProof/>
        <w:sz w:val="20"/>
        <w:szCs w:val="20"/>
      </w:rPr>
      <w:fldChar w:fldCharType="end"/>
    </w:r>
  </w:p>
  <w:p w:rsidR="00571DD0" w:rsidRPr="00124FB7" w:rsidRDefault="00124FB7" w:rsidP="00124FB7">
    <w:pPr>
      <w:pStyle w:val="Header"/>
      <w:jc w:val="center"/>
      <w:rPr>
        <w:rFonts w:ascii="Arial" w:hAnsi="Arial" w:cs="Arial"/>
        <w:sz w:val="14"/>
      </w:rPr>
    </w:pPr>
    <w:r w:rsidRPr="00124FB7">
      <w:rPr>
        <w:rFonts w:ascii="Arial" w:hAnsi="Arial" w:cs="Arial"/>
        <w:sz w:val="14"/>
      </w:rPr>
      <w:t>Unauthorised version prepared by ACT Parliamentary Counsel’s Office</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71DD0" w:rsidRDefault="00571DD0">
    <w:pPr>
      <w:pStyle w:val="Footer"/>
      <w:jc w:val="right"/>
    </w:pPr>
    <w:r>
      <w:fldChar w:fldCharType="begin"/>
    </w:r>
    <w:r>
      <w:instrText xml:space="preserve"> PAGE   \* MERGEFORMAT </w:instrText>
    </w:r>
    <w:r>
      <w:fldChar w:fldCharType="separate"/>
    </w:r>
    <w:r w:rsidR="003C6C43">
      <w:rPr>
        <w:noProof/>
      </w:rPr>
      <w:t>1</w:t>
    </w:r>
    <w:r>
      <w:rPr>
        <w:noProof/>
      </w:rPr>
      <w:fldChar w:fldCharType="end"/>
    </w:r>
  </w:p>
  <w:p w:rsidR="00571DD0" w:rsidRPr="00124FB7" w:rsidRDefault="00124FB7" w:rsidP="00124FB7">
    <w:pPr>
      <w:pStyle w:val="Header"/>
      <w:jc w:val="center"/>
      <w:rPr>
        <w:rFonts w:ascii="Arial" w:hAnsi="Arial" w:cs="Arial"/>
        <w:sz w:val="14"/>
      </w:rPr>
    </w:pPr>
    <w:r w:rsidRPr="00124FB7">
      <w:rPr>
        <w:rFonts w:ascii="Arial" w:hAnsi="Arial" w:cs="Arial"/>
        <w:sz w:val="14"/>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35C6C" w:rsidRDefault="00B35C6C" w:rsidP="00EB113E">
      <w:pPr>
        <w:spacing w:after="0" w:line="240" w:lineRule="auto"/>
      </w:pPr>
      <w:r>
        <w:separator/>
      </w:r>
    </w:p>
  </w:footnote>
  <w:footnote w:type="continuationSeparator" w:id="0">
    <w:p w:rsidR="00B35C6C" w:rsidRDefault="00B35C6C" w:rsidP="00EB113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24FB7" w:rsidRDefault="00124FB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24FB7" w:rsidRDefault="00124FB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71DD0" w:rsidRPr="00C4385A" w:rsidRDefault="00571DD0" w:rsidP="00EE32FF">
    <w:pPr>
      <w:pStyle w:val="Header"/>
      <w:jc w:val="center"/>
      <w:rPr>
        <w:rFonts w:ascii="Arial" w:hAnsi="Arial" w:cs="Arial"/>
        <w:b/>
        <w:color w:val="FF0000"/>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802AE9"/>
    <w:multiLevelType w:val="hybridMultilevel"/>
    <w:tmpl w:val="14A2E506"/>
    <w:lvl w:ilvl="0" w:tplc="1718514A">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1D2743C"/>
    <w:multiLevelType w:val="hybridMultilevel"/>
    <w:tmpl w:val="E8F6C836"/>
    <w:lvl w:ilvl="0" w:tplc="4A889A90">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6755C8E"/>
    <w:multiLevelType w:val="hybridMultilevel"/>
    <w:tmpl w:val="0AA26BA8"/>
    <w:lvl w:ilvl="0" w:tplc="801075A0">
      <w:start w:val="19"/>
      <w:numFmt w:val="bullet"/>
      <w:lvlText w:val="-"/>
      <w:lvlJc w:val="left"/>
      <w:pPr>
        <w:ind w:left="720" w:hanging="360"/>
      </w:pPr>
      <w:rPr>
        <w:rFonts w:ascii="Times New Roman" w:eastAsia="Calibri" w:hAnsi="Times New Roman" w:cs="Times New Roman"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A6573C3"/>
    <w:multiLevelType w:val="hybridMultilevel"/>
    <w:tmpl w:val="DA604A7C"/>
    <w:lvl w:ilvl="0" w:tplc="801075A0">
      <w:start w:val="19"/>
      <w:numFmt w:val="bullet"/>
      <w:lvlText w:val="-"/>
      <w:lvlJc w:val="left"/>
      <w:pPr>
        <w:ind w:left="720" w:hanging="360"/>
      </w:pPr>
      <w:rPr>
        <w:rFonts w:ascii="Times New Roman" w:eastAsia="Calibri"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B7D75CC"/>
    <w:multiLevelType w:val="hybridMultilevel"/>
    <w:tmpl w:val="DF9E3C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2CD7314"/>
    <w:multiLevelType w:val="hybridMultilevel"/>
    <w:tmpl w:val="498CF23A"/>
    <w:lvl w:ilvl="0" w:tplc="4A889A90">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1944088F"/>
    <w:multiLevelType w:val="hybridMultilevel"/>
    <w:tmpl w:val="30EACFAE"/>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1DF02E02"/>
    <w:multiLevelType w:val="hybridMultilevel"/>
    <w:tmpl w:val="88602F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2D032A2"/>
    <w:multiLevelType w:val="hybridMultilevel"/>
    <w:tmpl w:val="B3E4B542"/>
    <w:lvl w:ilvl="0" w:tplc="801075A0">
      <w:start w:val="19"/>
      <w:numFmt w:val="bullet"/>
      <w:lvlText w:val="-"/>
      <w:lvlJc w:val="left"/>
      <w:pPr>
        <w:ind w:left="720" w:hanging="360"/>
      </w:pPr>
      <w:rPr>
        <w:rFonts w:ascii="Times New Roman" w:eastAsia="Calibri"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56D6E29"/>
    <w:multiLevelType w:val="hybridMultilevel"/>
    <w:tmpl w:val="AF5CE7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6886EC1"/>
    <w:multiLevelType w:val="hybridMultilevel"/>
    <w:tmpl w:val="30EACFAE"/>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2CC12438"/>
    <w:multiLevelType w:val="hybridMultilevel"/>
    <w:tmpl w:val="E9C845C8"/>
    <w:lvl w:ilvl="0" w:tplc="801075A0">
      <w:start w:val="19"/>
      <w:numFmt w:val="bullet"/>
      <w:lvlText w:val="-"/>
      <w:lvlJc w:val="left"/>
      <w:pPr>
        <w:ind w:left="720" w:hanging="360"/>
      </w:pPr>
      <w:rPr>
        <w:rFonts w:ascii="Times New Roman" w:eastAsia="Calibri"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DA67B20"/>
    <w:multiLevelType w:val="hybridMultilevel"/>
    <w:tmpl w:val="90627F78"/>
    <w:lvl w:ilvl="0" w:tplc="801075A0">
      <w:start w:val="19"/>
      <w:numFmt w:val="bullet"/>
      <w:lvlText w:val="-"/>
      <w:lvlJc w:val="left"/>
      <w:pPr>
        <w:ind w:left="720" w:hanging="360"/>
      </w:pPr>
      <w:rPr>
        <w:rFonts w:ascii="Times New Roman" w:eastAsia="Calibri"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E2B65CE"/>
    <w:multiLevelType w:val="hybridMultilevel"/>
    <w:tmpl w:val="D0F255F8"/>
    <w:lvl w:ilvl="0" w:tplc="4A889A90">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335872B8"/>
    <w:multiLevelType w:val="hybridMultilevel"/>
    <w:tmpl w:val="69AA28E2"/>
    <w:lvl w:ilvl="0" w:tplc="0D7EFC88">
      <w:start w:val="1"/>
      <w:numFmt w:val="decimal"/>
      <w:pStyle w:val="CSNumbering"/>
      <w:lvlText w:val="%1."/>
      <w:lvlJc w:val="left"/>
      <w:pPr>
        <w:ind w:left="720" w:hanging="360"/>
      </w:pPr>
      <w:rPr>
        <w:b w:val="0"/>
        <w:bCs w:val="0"/>
        <w:i w:val="0"/>
        <w:iCs w:val="0"/>
        <w:caps w:val="0"/>
        <w:smallCaps w:val="0"/>
        <w:strike w:val="0"/>
        <w:dstrike w:val="0"/>
        <w:outline w:val="0"/>
        <w:shadow w:val="0"/>
        <w:emboss w:val="0"/>
        <w:imprint w:val="0"/>
        <w:noProof w:val="0"/>
        <w:vanish w:val="0"/>
        <w:webHidden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C090019">
      <w:start w:val="1"/>
      <w:numFmt w:val="lowerLetter"/>
      <w:lvlText w:val="%2."/>
      <w:lvlJc w:val="left"/>
      <w:pPr>
        <w:ind w:left="1440" w:hanging="360"/>
      </w:pPr>
      <w:rPr>
        <w:b w:val="0"/>
      </w:r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5" w15:restartNumberingAfterBreak="0">
    <w:nsid w:val="365B6E8E"/>
    <w:multiLevelType w:val="multilevel"/>
    <w:tmpl w:val="9DB256AC"/>
    <w:lvl w:ilvl="0">
      <w:start w:val="1"/>
      <w:numFmt w:val="decimal"/>
      <w:lvlText w:val="%1)"/>
      <w:lvlJc w:val="left"/>
      <w:pPr>
        <w:tabs>
          <w:tab w:val="num" w:pos="1260"/>
        </w:tabs>
        <w:ind w:left="1260" w:hanging="360"/>
      </w:pPr>
      <w:rPr>
        <w:rFonts w:cs="Times New Roman" w:hint="default"/>
      </w:rPr>
    </w:lvl>
    <w:lvl w:ilvl="1">
      <w:start w:val="1"/>
      <w:numFmt w:val="lowerLetter"/>
      <w:lvlText w:val="%2)"/>
      <w:lvlJc w:val="left"/>
      <w:pPr>
        <w:tabs>
          <w:tab w:val="num" w:pos="928"/>
        </w:tabs>
        <w:ind w:left="928" w:hanging="360"/>
      </w:pPr>
      <w:rPr>
        <w:rFonts w:cs="Times New Roman" w:hint="default"/>
      </w:rPr>
    </w:lvl>
    <w:lvl w:ilvl="2">
      <w:start w:val="1"/>
      <w:numFmt w:val="lowerRoman"/>
      <w:lvlText w:val="%3)"/>
      <w:lvlJc w:val="left"/>
      <w:pPr>
        <w:tabs>
          <w:tab w:val="num" w:pos="1495"/>
        </w:tabs>
        <w:ind w:left="1495" w:hanging="360"/>
      </w:pPr>
      <w:rPr>
        <w:rFonts w:cs="Times New Roman" w:hint="default"/>
      </w:rPr>
    </w:lvl>
    <w:lvl w:ilvl="3">
      <w:start w:val="1"/>
      <w:numFmt w:val="upperLetter"/>
      <w:lvlText w:val="(%4)"/>
      <w:lvlJc w:val="left"/>
      <w:pPr>
        <w:tabs>
          <w:tab w:val="num" w:pos="2340"/>
        </w:tabs>
        <w:ind w:left="2340" w:hanging="360"/>
      </w:pPr>
      <w:rPr>
        <w:rFonts w:cs="Times New Roman" w:hint="default"/>
      </w:rPr>
    </w:lvl>
    <w:lvl w:ilvl="4">
      <w:start w:val="1"/>
      <w:numFmt w:val="lowerLetter"/>
      <w:lvlText w:val="(%5)"/>
      <w:lvlJc w:val="left"/>
      <w:pPr>
        <w:tabs>
          <w:tab w:val="num" w:pos="1070"/>
        </w:tabs>
        <w:ind w:left="1070" w:hanging="360"/>
      </w:pPr>
      <w:rPr>
        <w:rFonts w:cs="Times New Roman" w:hint="default"/>
      </w:rPr>
    </w:lvl>
    <w:lvl w:ilvl="5">
      <w:start w:val="1"/>
      <w:numFmt w:val="lowerRoman"/>
      <w:lvlText w:val="(%6)"/>
      <w:lvlJc w:val="left"/>
      <w:pPr>
        <w:tabs>
          <w:tab w:val="num" w:pos="3060"/>
        </w:tabs>
        <w:ind w:left="3060" w:hanging="360"/>
      </w:pPr>
      <w:rPr>
        <w:rFonts w:cs="Times New Roman" w:hint="default"/>
      </w:rPr>
    </w:lvl>
    <w:lvl w:ilvl="6">
      <w:start w:val="1"/>
      <w:numFmt w:val="decimal"/>
      <w:lvlText w:val="%7."/>
      <w:lvlJc w:val="left"/>
      <w:pPr>
        <w:tabs>
          <w:tab w:val="num" w:pos="3420"/>
        </w:tabs>
        <w:ind w:left="3420" w:hanging="360"/>
      </w:pPr>
      <w:rPr>
        <w:rFonts w:cs="Times New Roman" w:hint="default"/>
      </w:rPr>
    </w:lvl>
    <w:lvl w:ilvl="7">
      <w:start w:val="1"/>
      <w:numFmt w:val="lowerLetter"/>
      <w:lvlText w:val="%8."/>
      <w:lvlJc w:val="left"/>
      <w:pPr>
        <w:tabs>
          <w:tab w:val="num" w:pos="3780"/>
        </w:tabs>
        <w:ind w:left="3780" w:hanging="360"/>
      </w:pPr>
      <w:rPr>
        <w:rFonts w:cs="Times New Roman" w:hint="default"/>
      </w:rPr>
    </w:lvl>
    <w:lvl w:ilvl="8">
      <w:start w:val="1"/>
      <w:numFmt w:val="lowerRoman"/>
      <w:lvlText w:val="%9."/>
      <w:lvlJc w:val="left"/>
      <w:pPr>
        <w:tabs>
          <w:tab w:val="num" w:pos="4140"/>
        </w:tabs>
        <w:ind w:left="4140" w:hanging="360"/>
      </w:pPr>
      <w:rPr>
        <w:rFonts w:cs="Times New Roman" w:hint="default"/>
      </w:rPr>
    </w:lvl>
  </w:abstractNum>
  <w:abstractNum w:abstractNumId="16" w15:restartNumberingAfterBreak="0">
    <w:nsid w:val="3BB725D2"/>
    <w:multiLevelType w:val="hybridMultilevel"/>
    <w:tmpl w:val="4FA858A2"/>
    <w:lvl w:ilvl="0" w:tplc="A3BE3DC8">
      <w:start w:val="1"/>
      <w:numFmt w:val="lowerLetter"/>
      <w:lvlText w:val="(%1)"/>
      <w:lvlJc w:val="left"/>
      <w:pPr>
        <w:ind w:left="720" w:hanging="360"/>
      </w:pPr>
      <w:rPr>
        <w:rFonts w:cs="Times New Roman" w:hint="default"/>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17" w15:restartNumberingAfterBreak="0">
    <w:nsid w:val="3DC57AF7"/>
    <w:multiLevelType w:val="hybridMultilevel"/>
    <w:tmpl w:val="4A109B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48425DD4"/>
    <w:multiLevelType w:val="hybridMultilevel"/>
    <w:tmpl w:val="B752758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4A0A3705"/>
    <w:multiLevelType w:val="hybridMultilevel"/>
    <w:tmpl w:val="E0D037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4AA73FDF"/>
    <w:multiLevelType w:val="hybridMultilevel"/>
    <w:tmpl w:val="A5181A62"/>
    <w:lvl w:ilvl="0" w:tplc="5DE69D9A">
      <w:numFmt w:val="bullet"/>
      <w:lvlText w:val="-"/>
      <w:lvlJc w:val="left"/>
      <w:pPr>
        <w:ind w:left="1080" w:hanging="360"/>
      </w:pPr>
      <w:rPr>
        <w:rFonts w:ascii="Calibri" w:eastAsia="Calibri" w:hAnsi="Calibri" w:cs="Times New Roman"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1" w15:restartNumberingAfterBreak="0">
    <w:nsid w:val="4DB143C4"/>
    <w:multiLevelType w:val="hybridMultilevel"/>
    <w:tmpl w:val="C1DCC23E"/>
    <w:lvl w:ilvl="0" w:tplc="0FA8FF6E">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4DCA7A81"/>
    <w:multiLevelType w:val="hybridMultilevel"/>
    <w:tmpl w:val="1166B7CC"/>
    <w:lvl w:ilvl="0" w:tplc="4A889A90">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53540422"/>
    <w:multiLevelType w:val="hybridMultilevel"/>
    <w:tmpl w:val="722A4E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5462742F"/>
    <w:multiLevelType w:val="hybridMultilevel"/>
    <w:tmpl w:val="1E76D5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550F6BB7"/>
    <w:multiLevelType w:val="hybridMultilevel"/>
    <w:tmpl w:val="137E50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582417B8"/>
    <w:multiLevelType w:val="hybridMultilevel"/>
    <w:tmpl w:val="2ACC17BA"/>
    <w:lvl w:ilvl="0" w:tplc="9FA05394">
      <w:start w:val="1"/>
      <w:numFmt w:val="bullet"/>
      <w:lvlText w:val=""/>
      <w:lvlJc w:val="left"/>
      <w:pPr>
        <w:tabs>
          <w:tab w:val="num" w:pos="1500"/>
        </w:tabs>
        <w:ind w:left="1478" w:hanging="338"/>
      </w:pPr>
      <w:rPr>
        <w:rFonts w:ascii="Symbol" w:hAnsi="Symbol" w:hint="default"/>
      </w:rPr>
    </w:lvl>
    <w:lvl w:ilvl="1" w:tplc="04090003">
      <w:start w:val="1"/>
      <w:numFmt w:val="bullet"/>
      <w:lvlText w:val="o"/>
      <w:lvlJc w:val="left"/>
      <w:pPr>
        <w:tabs>
          <w:tab w:val="num" w:pos="1500"/>
        </w:tabs>
        <w:ind w:left="1500" w:hanging="360"/>
      </w:pPr>
      <w:rPr>
        <w:rFonts w:ascii="Courier New" w:hAnsi="Courier New" w:hint="default"/>
      </w:rPr>
    </w:lvl>
    <w:lvl w:ilvl="2" w:tplc="04090005">
      <w:start w:val="1"/>
      <w:numFmt w:val="bullet"/>
      <w:lvlText w:val=""/>
      <w:lvlJc w:val="left"/>
      <w:pPr>
        <w:tabs>
          <w:tab w:val="num" w:pos="2220"/>
        </w:tabs>
        <w:ind w:left="2220" w:hanging="360"/>
      </w:pPr>
      <w:rPr>
        <w:rFonts w:ascii="Wingdings" w:hAnsi="Wingdings" w:hint="default"/>
      </w:rPr>
    </w:lvl>
    <w:lvl w:ilvl="3" w:tplc="04090001">
      <w:start w:val="1"/>
      <w:numFmt w:val="bullet"/>
      <w:lvlText w:val=""/>
      <w:lvlJc w:val="left"/>
      <w:pPr>
        <w:tabs>
          <w:tab w:val="num" w:pos="2940"/>
        </w:tabs>
        <w:ind w:left="2940" w:hanging="360"/>
      </w:pPr>
      <w:rPr>
        <w:rFonts w:ascii="Symbol" w:hAnsi="Symbol" w:hint="default"/>
      </w:rPr>
    </w:lvl>
    <w:lvl w:ilvl="4" w:tplc="04090003">
      <w:start w:val="1"/>
      <w:numFmt w:val="bullet"/>
      <w:lvlText w:val="o"/>
      <w:lvlJc w:val="left"/>
      <w:pPr>
        <w:tabs>
          <w:tab w:val="num" w:pos="3660"/>
        </w:tabs>
        <w:ind w:left="3660" w:hanging="360"/>
      </w:pPr>
      <w:rPr>
        <w:rFonts w:ascii="Courier New" w:hAnsi="Courier New" w:hint="default"/>
      </w:rPr>
    </w:lvl>
    <w:lvl w:ilvl="5" w:tplc="04090005">
      <w:start w:val="1"/>
      <w:numFmt w:val="bullet"/>
      <w:lvlText w:val=""/>
      <w:lvlJc w:val="left"/>
      <w:pPr>
        <w:tabs>
          <w:tab w:val="num" w:pos="4380"/>
        </w:tabs>
        <w:ind w:left="4380" w:hanging="360"/>
      </w:pPr>
      <w:rPr>
        <w:rFonts w:ascii="Wingdings" w:hAnsi="Wingdings" w:hint="default"/>
      </w:rPr>
    </w:lvl>
    <w:lvl w:ilvl="6" w:tplc="04090001">
      <w:start w:val="1"/>
      <w:numFmt w:val="bullet"/>
      <w:lvlText w:val=""/>
      <w:lvlJc w:val="left"/>
      <w:pPr>
        <w:tabs>
          <w:tab w:val="num" w:pos="5100"/>
        </w:tabs>
        <w:ind w:left="5100" w:hanging="360"/>
      </w:pPr>
      <w:rPr>
        <w:rFonts w:ascii="Symbol" w:hAnsi="Symbol" w:hint="default"/>
      </w:rPr>
    </w:lvl>
    <w:lvl w:ilvl="7" w:tplc="04090003">
      <w:start w:val="1"/>
      <w:numFmt w:val="bullet"/>
      <w:lvlText w:val="o"/>
      <w:lvlJc w:val="left"/>
      <w:pPr>
        <w:tabs>
          <w:tab w:val="num" w:pos="5820"/>
        </w:tabs>
        <w:ind w:left="5820" w:hanging="360"/>
      </w:pPr>
      <w:rPr>
        <w:rFonts w:ascii="Courier New" w:hAnsi="Courier New" w:hint="default"/>
      </w:rPr>
    </w:lvl>
    <w:lvl w:ilvl="8" w:tplc="04090005">
      <w:start w:val="1"/>
      <w:numFmt w:val="bullet"/>
      <w:lvlText w:val=""/>
      <w:lvlJc w:val="left"/>
      <w:pPr>
        <w:tabs>
          <w:tab w:val="num" w:pos="6540"/>
        </w:tabs>
        <w:ind w:left="6540" w:hanging="360"/>
      </w:pPr>
      <w:rPr>
        <w:rFonts w:ascii="Wingdings" w:hAnsi="Wingdings" w:hint="default"/>
      </w:rPr>
    </w:lvl>
  </w:abstractNum>
  <w:abstractNum w:abstractNumId="27" w15:restartNumberingAfterBreak="0">
    <w:nsid w:val="585A3B6C"/>
    <w:multiLevelType w:val="hybridMultilevel"/>
    <w:tmpl w:val="C5062C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5BD95653"/>
    <w:multiLevelType w:val="hybridMultilevel"/>
    <w:tmpl w:val="E58827E0"/>
    <w:lvl w:ilvl="0" w:tplc="4A889A90">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5F04652E"/>
    <w:multiLevelType w:val="hybridMultilevel"/>
    <w:tmpl w:val="C9542EC8"/>
    <w:lvl w:ilvl="0" w:tplc="4A889A90">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65BA62E0"/>
    <w:multiLevelType w:val="hybridMultilevel"/>
    <w:tmpl w:val="FD58C268"/>
    <w:lvl w:ilvl="0" w:tplc="FB709000">
      <w:start w:val="1"/>
      <w:numFmt w:val="lowerLetter"/>
      <w:lvlText w:val="(%1)"/>
      <w:lvlJc w:val="left"/>
      <w:pPr>
        <w:ind w:left="720" w:hanging="360"/>
      </w:pPr>
      <w:rPr>
        <w:rFonts w:cs="Times New Roman" w:hint="default"/>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31" w15:restartNumberingAfterBreak="0">
    <w:nsid w:val="65DE47AA"/>
    <w:multiLevelType w:val="hybridMultilevel"/>
    <w:tmpl w:val="FD58C268"/>
    <w:lvl w:ilvl="0" w:tplc="FB709000">
      <w:start w:val="1"/>
      <w:numFmt w:val="lowerLetter"/>
      <w:lvlText w:val="(%1)"/>
      <w:lvlJc w:val="left"/>
      <w:pPr>
        <w:ind w:left="720" w:hanging="360"/>
      </w:pPr>
      <w:rPr>
        <w:rFonts w:cs="Times New Roman" w:hint="default"/>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32" w15:restartNumberingAfterBreak="0">
    <w:nsid w:val="66046F48"/>
    <w:multiLevelType w:val="hybridMultilevel"/>
    <w:tmpl w:val="FF5C2A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67265F81"/>
    <w:multiLevelType w:val="hybridMultilevel"/>
    <w:tmpl w:val="26F4B4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72057A84"/>
    <w:multiLevelType w:val="hybridMultilevel"/>
    <w:tmpl w:val="C05C0D0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72D9524D"/>
    <w:multiLevelType w:val="hybridMultilevel"/>
    <w:tmpl w:val="3A8A20D6"/>
    <w:lvl w:ilvl="0" w:tplc="4A889A90">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6" w15:restartNumberingAfterBreak="0">
    <w:nsid w:val="7BC17FCD"/>
    <w:multiLevelType w:val="hybridMultilevel"/>
    <w:tmpl w:val="3EA47918"/>
    <w:lvl w:ilvl="0" w:tplc="801075A0">
      <w:start w:val="19"/>
      <w:numFmt w:val="bullet"/>
      <w:lvlText w:val="-"/>
      <w:lvlJc w:val="left"/>
      <w:pPr>
        <w:ind w:left="720" w:hanging="360"/>
      </w:pPr>
      <w:rPr>
        <w:rFonts w:ascii="Times New Roman" w:eastAsia="Calibri"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5"/>
  </w:num>
  <w:num w:numId="2">
    <w:abstractNumId w:val="32"/>
  </w:num>
  <w:num w:numId="3">
    <w:abstractNumId w:val="4"/>
  </w:num>
  <w:num w:numId="4">
    <w:abstractNumId w:val="19"/>
  </w:num>
  <w:num w:numId="5">
    <w:abstractNumId w:val="0"/>
  </w:num>
  <w:num w:numId="6">
    <w:abstractNumId w:val="33"/>
  </w:num>
  <w:num w:numId="7">
    <w:abstractNumId w:val="7"/>
  </w:num>
  <w:num w:numId="8">
    <w:abstractNumId w:val="28"/>
  </w:num>
  <w:num w:numId="9">
    <w:abstractNumId w:val="29"/>
  </w:num>
  <w:num w:numId="10">
    <w:abstractNumId w:val="22"/>
  </w:num>
  <w:num w:numId="11">
    <w:abstractNumId w:val="1"/>
  </w:num>
  <w:num w:numId="12">
    <w:abstractNumId w:val="35"/>
  </w:num>
  <w:num w:numId="13">
    <w:abstractNumId w:val="5"/>
  </w:num>
  <w:num w:numId="14">
    <w:abstractNumId w:val="13"/>
  </w:num>
  <w:num w:numId="15">
    <w:abstractNumId w:val="17"/>
  </w:num>
  <w:num w:numId="16">
    <w:abstractNumId w:val="23"/>
  </w:num>
  <w:num w:numId="17">
    <w:abstractNumId w:val="9"/>
  </w:num>
  <w:num w:numId="18">
    <w:abstractNumId w:val="27"/>
  </w:num>
  <w:num w:numId="19">
    <w:abstractNumId w:val="26"/>
  </w:num>
  <w:num w:numId="20">
    <w:abstractNumId w:val="25"/>
  </w:num>
  <w:num w:numId="21">
    <w:abstractNumId w:val="18"/>
  </w:num>
  <w:num w:numId="22">
    <w:abstractNumId w:val="24"/>
  </w:num>
  <w:num w:numId="23">
    <w:abstractNumId w:val="6"/>
  </w:num>
  <w:num w:numId="24">
    <w:abstractNumId w:val="10"/>
  </w:num>
  <w:num w:numId="25">
    <w:abstractNumId w:val="34"/>
  </w:num>
  <w:num w:numId="26">
    <w:abstractNumId w:val="21"/>
  </w:num>
  <w:num w:numId="27">
    <w:abstractNumId w:val="11"/>
  </w:num>
  <w:num w:numId="28">
    <w:abstractNumId w:val="12"/>
  </w:num>
  <w:num w:numId="29">
    <w:abstractNumId w:val="8"/>
  </w:num>
  <w:num w:numId="30">
    <w:abstractNumId w:val="3"/>
  </w:num>
  <w:num w:numId="31">
    <w:abstractNumId w:val="36"/>
  </w:num>
  <w:num w:numId="32">
    <w:abstractNumId w:val="2"/>
  </w:num>
  <w:num w:numId="33">
    <w:abstractNumId w:val="20"/>
  </w:num>
  <w:num w:numId="34">
    <w:abstractNumId w:val="16"/>
  </w:num>
  <w:num w:numId="35">
    <w:abstractNumId w:val="30"/>
  </w:num>
  <w:num w:numId="36">
    <w:abstractNumId w:val="31"/>
  </w:num>
  <w:num w:numId="3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activeWritingStyle w:appName="MSWord" w:lang="en-AU" w:vendorID="64" w:dllVersion="6" w:nlCheck="1" w:checkStyle="0"/>
  <w:activeWritingStyle w:appName="MSWord" w:lang="en-US" w:vendorID="64" w:dllVersion="6" w:nlCheck="1" w:checkStyle="1"/>
  <w:activeWritingStyle w:appName="MSWord" w:lang="en-GB" w:vendorID="64" w:dllVersion="6" w:nlCheck="1" w:checkStyle="1"/>
  <w:activeWritingStyle w:appName="MSWord" w:lang="en-AU" w:vendorID="64" w:dllVersion="0" w:nlCheck="1" w:checkStyle="0"/>
  <w:activeWritingStyle w:appName="MSWord" w:lang="en-AU" w:vendorID="64" w:dllVersion="4096" w:nlCheck="1" w:checkStyle="0"/>
  <w:proofState w:spelling="clean"/>
  <w:defaultTabStop w:val="720"/>
  <w:drawingGridHorizontalSpacing w:val="110"/>
  <w:displayHorizontalDrawingGridEvery w:val="2"/>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585F"/>
    <w:rsid w:val="000015A3"/>
    <w:rsid w:val="00003A60"/>
    <w:rsid w:val="00004C31"/>
    <w:rsid w:val="00004C8C"/>
    <w:rsid w:val="000055AE"/>
    <w:rsid w:val="00006786"/>
    <w:rsid w:val="00006C49"/>
    <w:rsid w:val="000071C7"/>
    <w:rsid w:val="00007206"/>
    <w:rsid w:val="000101D9"/>
    <w:rsid w:val="000115BF"/>
    <w:rsid w:val="0001228A"/>
    <w:rsid w:val="00012BB3"/>
    <w:rsid w:val="00012D1B"/>
    <w:rsid w:val="00014D20"/>
    <w:rsid w:val="00015C96"/>
    <w:rsid w:val="000169D0"/>
    <w:rsid w:val="00016D42"/>
    <w:rsid w:val="00020890"/>
    <w:rsid w:val="00020FDB"/>
    <w:rsid w:val="000215C2"/>
    <w:rsid w:val="00023F7F"/>
    <w:rsid w:val="00025DB5"/>
    <w:rsid w:val="000263D1"/>
    <w:rsid w:val="00026A03"/>
    <w:rsid w:val="00031D9F"/>
    <w:rsid w:val="000348B1"/>
    <w:rsid w:val="00037F43"/>
    <w:rsid w:val="000402AF"/>
    <w:rsid w:val="000403F9"/>
    <w:rsid w:val="000428AD"/>
    <w:rsid w:val="00042B0B"/>
    <w:rsid w:val="00043790"/>
    <w:rsid w:val="00044FFD"/>
    <w:rsid w:val="00046749"/>
    <w:rsid w:val="00046A4A"/>
    <w:rsid w:val="00046C28"/>
    <w:rsid w:val="00046F4A"/>
    <w:rsid w:val="00047523"/>
    <w:rsid w:val="000475F2"/>
    <w:rsid w:val="00047E5D"/>
    <w:rsid w:val="00052191"/>
    <w:rsid w:val="00052380"/>
    <w:rsid w:val="0005298F"/>
    <w:rsid w:val="00053623"/>
    <w:rsid w:val="00053D52"/>
    <w:rsid w:val="00054020"/>
    <w:rsid w:val="000545DF"/>
    <w:rsid w:val="000559E0"/>
    <w:rsid w:val="00055EB6"/>
    <w:rsid w:val="0005733C"/>
    <w:rsid w:val="00057859"/>
    <w:rsid w:val="00060993"/>
    <w:rsid w:val="00061410"/>
    <w:rsid w:val="000625C1"/>
    <w:rsid w:val="00063E3F"/>
    <w:rsid w:val="00065917"/>
    <w:rsid w:val="000673A5"/>
    <w:rsid w:val="00070620"/>
    <w:rsid w:val="00070EC3"/>
    <w:rsid w:val="00071C92"/>
    <w:rsid w:val="00072520"/>
    <w:rsid w:val="000748A0"/>
    <w:rsid w:val="00076D72"/>
    <w:rsid w:val="00077560"/>
    <w:rsid w:val="0008299A"/>
    <w:rsid w:val="00085977"/>
    <w:rsid w:val="00086CEF"/>
    <w:rsid w:val="000900EC"/>
    <w:rsid w:val="00090B56"/>
    <w:rsid w:val="00092EE3"/>
    <w:rsid w:val="0009319D"/>
    <w:rsid w:val="00093829"/>
    <w:rsid w:val="00093EE9"/>
    <w:rsid w:val="000974D5"/>
    <w:rsid w:val="000A29DE"/>
    <w:rsid w:val="000A2E19"/>
    <w:rsid w:val="000A41D2"/>
    <w:rsid w:val="000A5481"/>
    <w:rsid w:val="000A5922"/>
    <w:rsid w:val="000B086A"/>
    <w:rsid w:val="000B0E83"/>
    <w:rsid w:val="000B119B"/>
    <w:rsid w:val="000B30D8"/>
    <w:rsid w:val="000B4650"/>
    <w:rsid w:val="000B4844"/>
    <w:rsid w:val="000B5559"/>
    <w:rsid w:val="000B68D6"/>
    <w:rsid w:val="000C08B4"/>
    <w:rsid w:val="000C4A95"/>
    <w:rsid w:val="000C52D8"/>
    <w:rsid w:val="000C5792"/>
    <w:rsid w:val="000C6B65"/>
    <w:rsid w:val="000C6CDD"/>
    <w:rsid w:val="000C6E4A"/>
    <w:rsid w:val="000C757E"/>
    <w:rsid w:val="000D00D3"/>
    <w:rsid w:val="000D08EB"/>
    <w:rsid w:val="000D0DF0"/>
    <w:rsid w:val="000D1672"/>
    <w:rsid w:val="000D3492"/>
    <w:rsid w:val="000D49AD"/>
    <w:rsid w:val="000D4E86"/>
    <w:rsid w:val="000D77C5"/>
    <w:rsid w:val="000E093A"/>
    <w:rsid w:val="000E0D63"/>
    <w:rsid w:val="000E122F"/>
    <w:rsid w:val="000E12ED"/>
    <w:rsid w:val="000E1760"/>
    <w:rsid w:val="000E3C9D"/>
    <w:rsid w:val="000E4C04"/>
    <w:rsid w:val="000E5FE4"/>
    <w:rsid w:val="000E6C5B"/>
    <w:rsid w:val="000E6DAB"/>
    <w:rsid w:val="000E7048"/>
    <w:rsid w:val="000E7B1E"/>
    <w:rsid w:val="000F114D"/>
    <w:rsid w:val="000F309C"/>
    <w:rsid w:val="000F4CA8"/>
    <w:rsid w:val="000F5836"/>
    <w:rsid w:val="000F58CA"/>
    <w:rsid w:val="000F6CC6"/>
    <w:rsid w:val="001013C2"/>
    <w:rsid w:val="00102162"/>
    <w:rsid w:val="00103C43"/>
    <w:rsid w:val="00103DA7"/>
    <w:rsid w:val="001079CC"/>
    <w:rsid w:val="001129D2"/>
    <w:rsid w:val="00112A9F"/>
    <w:rsid w:val="0011351A"/>
    <w:rsid w:val="00113D31"/>
    <w:rsid w:val="0011578D"/>
    <w:rsid w:val="001161FE"/>
    <w:rsid w:val="00116CB0"/>
    <w:rsid w:val="00116F01"/>
    <w:rsid w:val="001202A7"/>
    <w:rsid w:val="00121C72"/>
    <w:rsid w:val="0012423D"/>
    <w:rsid w:val="00124DFA"/>
    <w:rsid w:val="00124FB7"/>
    <w:rsid w:val="00125EC6"/>
    <w:rsid w:val="0012660F"/>
    <w:rsid w:val="00126C7A"/>
    <w:rsid w:val="00126FD0"/>
    <w:rsid w:val="00131012"/>
    <w:rsid w:val="0013475A"/>
    <w:rsid w:val="00135F51"/>
    <w:rsid w:val="001364FE"/>
    <w:rsid w:val="0013726E"/>
    <w:rsid w:val="00137350"/>
    <w:rsid w:val="00137A6F"/>
    <w:rsid w:val="00141ACF"/>
    <w:rsid w:val="00143817"/>
    <w:rsid w:val="00143847"/>
    <w:rsid w:val="00143B3D"/>
    <w:rsid w:val="0014533D"/>
    <w:rsid w:val="00145D38"/>
    <w:rsid w:val="00145DCF"/>
    <w:rsid w:val="001515BC"/>
    <w:rsid w:val="00153811"/>
    <w:rsid w:val="00153B5B"/>
    <w:rsid w:val="00153DFB"/>
    <w:rsid w:val="00154118"/>
    <w:rsid w:val="00154351"/>
    <w:rsid w:val="00154679"/>
    <w:rsid w:val="00155920"/>
    <w:rsid w:val="00155A60"/>
    <w:rsid w:val="00155F92"/>
    <w:rsid w:val="00156D10"/>
    <w:rsid w:val="00160863"/>
    <w:rsid w:val="001609A7"/>
    <w:rsid w:val="001609D9"/>
    <w:rsid w:val="00160B72"/>
    <w:rsid w:val="00161403"/>
    <w:rsid w:val="00161598"/>
    <w:rsid w:val="00161E92"/>
    <w:rsid w:val="0016244C"/>
    <w:rsid w:val="001627AD"/>
    <w:rsid w:val="00162893"/>
    <w:rsid w:val="00164C81"/>
    <w:rsid w:val="00165B49"/>
    <w:rsid w:val="00166B2A"/>
    <w:rsid w:val="00167163"/>
    <w:rsid w:val="00167A83"/>
    <w:rsid w:val="00167B13"/>
    <w:rsid w:val="001735A4"/>
    <w:rsid w:val="001752F7"/>
    <w:rsid w:val="0017781D"/>
    <w:rsid w:val="00177F7F"/>
    <w:rsid w:val="00180946"/>
    <w:rsid w:val="00183148"/>
    <w:rsid w:val="00183CAA"/>
    <w:rsid w:val="00184158"/>
    <w:rsid w:val="0018628F"/>
    <w:rsid w:val="001863BC"/>
    <w:rsid w:val="00191C3D"/>
    <w:rsid w:val="00192B65"/>
    <w:rsid w:val="00195933"/>
    <w:rsid w:val="00197CD1"/>
    <w:rsid w:val="001A1F22"/>
    <w:rsid w:val="001A3A2E"/>
    <w:rsid w:val="001A42B5"/>
    <w:rsid w:val="001A48F2"/>
    <w:rsid w:val="001A58AC"/>
    <w:rsid w:val="001A64D0"/>
    <w:rsid w:val="001A78FE"/>
    <w:rsid w:val="001B05B6"/>
    <w:rsid w:val="001B11CF"/>
    <w:rsid w:val="001B1AA2"/>
    <w:rsid w:val="001B30CE"/>
    <w:rsid w:val="001B5F7A"/>
    <w:rsid w:val="001B64EB"/>
    <w:rsid w:val="001B6E07"/>
    <w:rsid w:val="001B7E69"/>
    <w:rsid w:val="001C1650"/>
    <w:rsid w:val="001C22AE"/>
    <w:rsid w:val="001C2DED"/>
    <w:rsid w:val="001C4091"/>
    <w:rsid w:val="001C5B4D"/>
    <w:rsid w:val="001D0F44"/>
    <w:rsid w:val="001D2531"/>
    <w:rsid w:val="001D28FD"/>
    <w:rsid w:val="001D2CF9"/>
    <w:rsid w:val="001D485C"/>
    <w:rsid w:val="001D48C1"/>
    <w:rsid w:val="001D519A"/>
    <w:rsid w:val="001E0F79"/>
    <w:rsid w:val="001E13ED"/>
    <w:rsid w:val="001E1AC6"/>
    <w:rsid w:val="001E2E89"/>
    <w:rsid w:val="001E3654"/>
    <w:rsid w:val="001E4A19"/>
    <w:rsid w:val="001E4C81"/>
    <w:rsid w:val="001E5B1C"/>
    <w:rsid w:val="001E66FB"/>
    <w:rsid w:val="001E6E4E"/>
    <w:rsid w:val="001F00A7"/>
    <w:rsid w:val="001F126B"/>
    <w:rsid w:val="001F26DB"/>
    <w:rsid w:val="001F46EB"/>
    <w:rsid w:val="001F4E9D"/>
    <w:rsid w:val="001F7F5F"/>
    <w:rsid w:val="00200955"/>
    <w:rsid w:val="0020136C"/>
    <w:rsid w:val="00201AD8"/>
    <w:rsid w:val="00202D8A"/>
    <w:rsid w:val="0020440A"/>
    <w:rsid w:val="0020540B"/>
    <w:rsid w:val="00205A11"/>
    <w:rsid w:val="002070A2"/>
    <w:rsid w:val="00207295"/>
    <w:rsid w:val="002072F0"/>
    <w:rsid w:val="00210A29"/>
    <w:rsid w:val="0021141A"/>
    <w:rsid w:val="0021149F"/>
    <w:rsid w:val="0021195A"/>
    <w:rsid w:val="002125F4"/>
    <w:rsid w:val="00212C60"/>
    <w:rsid w:val="002139DC"/>
    <w:rsid w:val="002147C8"/>
    <w:rsid w:val="00214A59"/>
    <w:rsid w:val="00214EAF"/>
    <w:rsid w:val="002158D5"/>
    <w:rsid w:val="00216C37"/>
    <w:rsid w:val="00217DAB"/>
    <w:rsid w:val="00220344"/>
    <w:rsid w:val="00220389"/>
    <w:rsid w:val="00220D3A"/>
    <w:rsid w:val="00222001"/>
    <w:rsid w:val="00224D92"/>
    <w:rsid w:val="0022542A"/>
    <w:rsid w:val="00225663"/>
    <w:rsid w:val="00225D75"/>
    <w:rsid w:val="00226A09"/>
    <w:rsid w:val="0022766D"/>
    <w:rsid w:val="002329EA"/>
    <w:rsid w:val="00234132"/>
    <w:rsid w:val="00234D19"/>
    <w:rsid w:val="002352DF"/>
    <w:rsid w:val="002361E0"/>
    <w:rsid w:val="00242605"/>
    <w:rsid w:val="0024673E"/>
    <w:rsid w:val="002469E9"/>
    <w:rsid w:val="00247DE7"/>
    <w:rsid w:val="00254067"/>
    <w:rsid w:val="002542E5"/>
    <w:rsid w:val="00254797"/>
    <w:rsid w:val="00254E3E"/>
    <w:rsid w:val="002555AB"/>
    <w:rsid w:val="00255D30"/>
    <w:rsid w:val="00256E81"/>
    <w:rsid w:val="00257029"/>
    <w:rsid w:val="00257A47"/>
    <w:rsid w:val="00260001"/>
    <w:rsid w:val="00263CB4"/>
    <w:rsid w:val="00263FCF"/>
    <w:rsid w:val="002641CC"/>
    <w:rsid w:val="00265966"/>
    <w:rsid w:val="0027025A"/>
    <w:rsid w:val="00270B08"/>
    <w:rsid w:val="00271FB4"/>
    <w:rsid w:val="00273BE9"/>
    <w:rsid w:val="002740B8"/>
    <w:rsid w:val="00276F77"/>
    <w:rsid w:val="00277539"/>
    <w:rsid w:val="00277A4C"/>
    <w:rsid w:val="0028119A"/>
    <w:rsid w:val="00281925"/>
    <w:rsid w:val="00281EB6"/>
    <w:rsid w:val="002838D0"/>
    <w:rsid w:val="00284155"/>
    <w:rsid w:val="00284AE1"/>
    <w:rsid w:val="00287A30"/>
    <w:rsid w:val="00287F1A"/>
    <w:rsid w:val="00291CE9"/>
    <w:rsid w:val="00293CBB"/>
    <w:rsid w:val="00294123"/>
    <w:rsid w:val="00294963"/>
    <w:rsid w:val="00294F20"/>
    <w:rsid w:val="00295A55"/>
    <w:rsid w:val="00295CB1"/>
    <w:rsid w:val="00295EA3"/>
    <w:rsid w:val="002963D7"/>
    <w:rsid w:val="00296D06"/>
    <w:rsid w:val="00297D32"/>
    <w:rsid w:val="002A1D6E"/>
    <w:rsid w:val="002A3308"/>
    <w:rsid w:val="002A69FB"/>
    <w:rsid w:val="002B0A14"/>
    <w:rsid w:val="002B0C42"/>
    <w:rsid w:val="002B15A1"/>
    <w:rsid w:val="002B21EE"/>
    <w:rsid w:val="002B282C"/>
    <w:rsid w:val="002B545A"/>
    <w:rsid w:val="002B62B2"/>
    <w:rsid w:val="002B69FC"/>
    <w:rsid w:val="002B7E39"/>
    <w:rsid w:val="002C103C"/>
    <w:rsid w:val="002C26F0"/>
    <w:rsid w:val="002C3109"/>
    <w:rsid w:val="002C3DA5"/>
    <w:rsid w:val="002C474E"/>
    <w:rsid w:val="002C4DB6"/>
    <w:rsid w:val="002C667E"/>
    <w:rsid w:val="002C6A06"/>
    <w:rsid w:val="002C6FD1"/>
    <w:rsid w:val="002C72FA"/>
    <w:rsid w:val="002C7864"/>
    <w:rsid w:val="002D0602"/>
    <w:rsid w:val="002D0BD8"/>
    <w:rsid w:val="002D4736"/>
    <w:rsid w:val="002D491A"/>
    <w:rsid w:val="002D5E29"/>
    <w:rsid w:val="002D5EC0"/>
    <w:rsid w:val="002D6870"/>
    <w:rsid w:val="002D7EC5"/>
    <w:rsid w:val="002E088B"/>
    <w:rsid w:val="002E1092"/>
    <w:rsid w:val="002E1B08"/>
    <w:rsid w:val="002E1B66"/>
    <w:rsid w:val="002E2A34"/>
    <w:rsid w:val="002E37B4"/>
    <w:rsid w:val="002E3985"/>
    <w:rsid w:val="002E55B5"/>
    <w:rsid w:val="002E59F4"/>
    <w:rsid w:val="002E67C3"/>
    <w:rsid w:val="002E6959"/>
    <w:rsid w:val="002F0FD2"/>
    <w:rsid w:val="002F18B6"/>
    <w:rsid w:val="002F1918"/>
    <w:rsid w:val="002F2784"/>
    <w:rsid w:val="002F2BFC"/>
    <w:rsid w:val="002F437B"/>
    <w:rsid w:val="002F44DD"/>
    <w:rsid w:val="002F4F19"/>
    <w:rsid w:val="002F5185"/>
    <w:rsid w:val="002F5D29"/>
    <w:rsid w:val="002F6570"/>
    <w:rsid w:val="002F6EE5"/>
    <w:rsid w:val="002F72D7"/>
    <w:rsid w:val="002F781D"/>
    <w:rsid w:val="002F7CAD"/>
    <w:rsid w:val="00300F62"/>
    <w:rsid w:val="003010CA"/>
    <w:rsid w:val="0030200A"/>
    <w:rsid w:val="003032E2"/>
    <w:rsid w:val="00303AE8"/>
    <w:rsid w:val="00303C2E"/>
    <w:rsid w:val="0030406F"/>
    <w:rsid w:val="00304E98"/>
    <w:rsid w:val="003050B5"/>
    <w:rsid w:val="0030517A"/>
    <w:rsid w:val="0030585F"/>
    <w:rsid w:val="00306462"/>
    <w:rsid w:val="00311615"/>
    <w:rsid w:val="00312E59"/>
    <w:rsid w:val="00313143"/>
    <w:rsid w:val="0031384F"/>
    <w:rsid w:val="003153CA"/>
    <w:rsid w:val="0031576A"/>
    <w:rsid w:val="00315ACA"/>
    <w:rsid w:val="0031614E"/>
    <w:rsid w:val="003168DF"/>
    <w:rsid w:val="003169F8"/>
    <w:rsid w:val="003172F1"/>
    <w:rsid w:val="00317DD7"/>
    <w:rsid w:val="00322584"/>
    <w:rsid w:val="0032336D"/>
    <w:rsid w:val="00324782"/>
    <w:rsid w:val="003247F7"/>
    <w:rsid w:val="00326167"/>
    <w:rsid w:val="003264D5"/>
    <w:rsid w:val="003270F6"/>
    <w:rsid w:val="00327BD8"/>
    <w:rsid w:val="00327D42"/>
    <w:rsid w:val="00330DC5"/>
    <w:rsid w:val="00333AB2"/>
    <w:rsid w:val="00333E5D"/>
    <w:rsid w:val="00334CCE"/>
    <w:rsid w:val="0033669B"/>
    <w:rsid w:val="00336AAF"/>
    <w:rsid w:val="00336B7D"/>
    <w:rsid w:val="00337F26"/>
    <w:rsid w:val="00342FB5"/>
    <w:rsid w:val="00343A7F"/>
    <w:rsid w:val="0034400E"/>
    <w:rsid w:val="003473E6"/>
    <w:rsid w:val="0034792A"/>
    <w:rsid w:val="00351F41"/>
    <w:rsid w:val="00352BB6"/>
    <w:rsid w:val="003530AF"/>
    <w:rsid w:val="00353230"/>
    <w:rsid w:val="00354214"/>
    <w:rsid w:val="003542B3"/>
    <w:rsid w:val="003547B8"/>
    <w:rsid w:val="00354E28"/>
    <w:rsid w:val="00360CFB"/>
    <w:rsid w:val="00361639"/>
    <w:rsid w:val="0036321F"/>
    <w:rsid w:val="00364A59"/>
    <w:rsid w:val="003656A8"/>
    <w:rsid w:val="00366367"/>
    <w:rsid w:val="00367472"/>
    <w:rsid w:val="0037046B"/>
    <w:rsid w:val="003706AB"/>
    <w:rsid w:val="00371ACC"/>
    <w:rsid w:val="003725DD"/>
    <w:rsid w:val="00372E7D"/>
    <w:rsid w:val="00373DC4"/>
    <w:rsid w:val="00373F54"/>
    <w:rsid w:val="0037435E"/>
    <w:rsid w:val="00374F71"/>
    <w:rsid w:val="003762BA"/>
    <w:rsid w:val="0037653A"/>
    <w:rsid w:val="003770C0"/>
    <w:rsid w:val="00380C89"/>
    <w:rsid w:val="003818A5"/>
    <w:rsid w:val="00381A2E"/>
    <w:rsid w:val="00382806"/>
    <w:rsid w:val="00384B35"/>
    <w:rsid w:val="00384DCD"/>
    <w:rsid w:val="00384FF5"/>
    <w:rsid w:val="003868C8"/>
    <w:rsid w:val="00386B8D"/>
    <w:rsid w:val="00387FBE"/>
    <w:rsid w:val="00390CA1"/>
    <w:rsid w:val="003936D9"/>
    <w:rsid w:val="00393C03"/>
    <w:rsid w:val="00395BE9"/>
    <w:rsid w:val="00396F6F"/>
    <w:rsid w:val="003972FD"/>
    <w:rsid w:val="0039752F"/>
    <w:rsid w:val="00397994"/>
    <w:rsid w:val="003A14F8"/>
    <w:rsid w:val="003A2779"/>
    <w:rsid w:val="003A35F7"/>
    <w:rsid w:val="003A3638"/>
    <w:rsid w:val="003A4EC1"/>
    <w:rsid w:val="003A5041"/>
    <w:rsid w:val="003A5DF4"/>
    <w:rsid w:val="003A5EB6"/>
    <w:rsid w:val="003A6387"/>
    <w:rsid w:val="003A774C"/>
    <w:rsid w:val="003A7C2F"/>
    <w:rsid w:val="003B17B4"/>
    <w:rsid w:val="003B216E"/>
    <w:rsid w:val="003B459A"/>
    <w:rsid w:val="003B56A8"/>
    <w:rsid w:val="003B6472"/>
    <w:rsid w:val="003C10DE"/>
    <w:rsid w:val="003C20D9"/>
    <w:rsid w:val="003C31B5"/>
    <w:rsid w:val="003C37DC"/>
    <w:rsid w:val="003C4D6A"/>
    <w:rsid w:val="003C5473"/>
    <w:rsid w:val="003C5D3A"/>
    <w:rsid w:val="003C6C43"/>
    <w:rsid w:val="003C7366"/>
    <w:rsid w:val="003C7522"/>
    <w:rsid w:val="003D18B1"/>
    <w:rsid w:val="003D1F94"/>
    <w:rsid w:val="003D2223"/>
    <w:rsid w:val="003D28A4"/>
    <w:rsid w:val="003D2C9C"/>
    <w:rsid w:val="003D442C"/>
    <w:rsid w:val="003D71CB"/>
    <w:rsid w:val="003E08C3"/>
    <w:rsid w:val="003E0BC4"/>
    <w:rsid w:val="003E1C14"/>
    <w:rsid w:val="003E2FAA"/>
    <w:rsid w:val="003E347E"/>
    <w:rsid w:val="003E3C68"/>
    <w:rsid w:val="003E76DF"/>
    <w:rsid w:val="003E7871"/>
    <w:rsid w:val="003F15A7"/>
    <w:rsid w:val="003F16E9"/>
    <w:rsid w:val="003F29D9"/>
    <w:rsid w:val="003F3401"/>
    <w:rsid w:val="003F5FA5"/>
    <w:rsid w:val="003F7868"/>
    <w:rsid w:val="004009A6"/>
    <w:rsid w:val="00402073"/>
    <w:rsid w:val="004024F4"/>
    <w:rsid w:val="0040357C"/>
    <w:rsid w:val="0040397B"/>
    <w:rsid w:val="00406118"/>
    <w:rsid w:val="00406C67"/>
    <w:rsid w:val="00406C7E"/>
    <w:rsid w:val="00410BAB"/>
    <w:rsid w:val="00410F37"/>
    <w:rsid w:val="004125AC"/>
    <w:rsid w:val="0041276E"/>
    <w:rsid w:val="00412C5E"/>
    <w:rsid w:val="0041364F"/>
    <w:rsid w:val="00413858"/>
    <w:rsid w:val="00414089"/>
    <w:rsid w:val="00414202"/>
    <w:rsid w:val="00414310"/>
    <w:rsid w:val="004146D1"/>
    <w:rsid w:val="00416CA7"/>
    <w:rsid w:val="00420763"/>
    <w:rsid w:val="00421493"/>
    <w:rsid w:val="00421680"/>
    <w:rsid w:val="0042333D"/>
    <w:rsid w:val="00424D52"/>
    <w:rsid w:val="0042732B"/>
    <w:rsid w:val="0043257E"/>
    <w:rsid w:val="00433C14"/>
    <w:rsid w:val="00433EE9"/>
    <w:rsid w:val="00433F4F"/>
    <w:rsid w:val="004342B4"/>
    <w:rsid w:val="00435300"/>
    <w:rsid w:val="00435F00"/>
    <w:rsid w:val="00441793"/>
    <w:rsid w:val="004420A7"/>
    <w:rsid w:val="00442BD2"/>
    <w:rsid w:val="00443149"/>
    <w:rsid w:val="004452AF"/>
    <w:rsid w:val="00446142"/>
    <w:rsid w:val="00450AC6"/>
    <w:rsid w:val="004522F1"/>
    <w:rsid w:val="00452A3A"/>
    <w:rsid w:val="00452E62"/>
    <w:rsid w:val="0045411B"/>
    <w:rsid w:val="00454D4D"/>
    <w:rsid w:val="0045558A"/>
    <w:rsid w:val="00456B77"/>
    <w:rsid w:val="00457B87"/>
    <w:rsid w:val="004618BD"/>
    <w:rsid w:val="00461D6D"/>
    <w:rsid w:val="0046693F"/>
    <w:rsid w:val="004669AB"/>
    <w:rsid w:val="00467034"/>
    <w:rsid w:val="00470CB5"/>
    <w:rsid w:val="00471C1C"/>
    <w:rsid w:val="004729F7"/>
    <w:rsid w:val="00472F58"/>
    <w:rsid w:val="004730BF"/>
    <w:rsid w:val="004737B0"/>
    <w:rsid w:val="00474218"/>
    <w:rsid w:val="00474D3F"/>
    <w:rsid w:val="00475B71"/>
    <w:rsid w:val="0047619D"/>
    <w:rsid w:val="0047694A"/>
    <w:rsid w:val="00476DB7"/>
    <w:rsid w:val="004802AD"/>
    <w:rsid w:val="00480887"/>
    <w:rsid w:val="00480CA5"/>
    <w:rsid w:val="0048739D"/>
    <w:rsid w:val="00490C3D"/>
    <w:rsid w:val="004913EC"/>
    <w:rsid w:val="00491F74"/>
    <w:rsid w:val="004923B7"/>
    <w:rsid w:val="0049496B"/>
    <w:rsid w:val="00496901"/>
    <w:rsid w:val="00497DBF"/>
    <w:rsid w:val="004A1DC3"/>
    <w:rsid w:val="004A42CD"/>
    <w:rsid w:val="004A5A29"/>
    <w:rsid w:val="004B1348"/>
    <w:rsid w:val="004B20A4"/>
    <w:rsid w:val="004B40C0"/>
    <w:rsid w:val="004B49A4"/>
    <w:rsid w:val="004B558A"/>
    <w:rsid w:val="004B5D89"/>
    <w:rsid w:val="004B7DBC"/>
    <w:rsid w:val="004C0DA3"/>
    <w:rsid w:val="004C13B1"/>
    <w:rsid w:val="004C1EB9"/>
    <w:rsid w:val="004C398D"/>
    <w:rsid w:val="004C4D00"/>
    <w:rsid w:val="004C540B"/>
    <w:rsid w:val="004C5624"/>
    <w:rsid w:val="004C5872"/>
    <w:rsid w:val="004D1968"/>
    <w:rsid w:val="004D1D08"/>
    <w:rsid w:val="004D20D0"/>
    <w:rsid w:val="004D330B"/>
    <w:rsid w:val="004D33B2"/>
    <w:rsid w:val="004D385B"/>
    <w:rsid w:val="004D5CEA"/>
    <w:rsid w:val="004D5E9F"/>
    <w:rsid w:val="004D7CC9"/>
    <w:rsid w:val="004D7D86"/>
    <w:rsid w:val="004E22D9"/>
    <w:rsid w:val="004E2C29"/>
    <w:rsid w:val="004E342E"/>
    <w:rsid w:val="004E347F"/>
    <w:rsid w:val="004E4E5D"/>
    <w:rsid w:val="004E67C2"/>
    <w:rsid w:val="004E6F66"/>
    <w:rsid w:val="004E75D7"/>
    <w:rsid w:val="004F05A6"/>
    <w:rsid w:val="004F2015"/>
    <w:rsid w:val="004F221C"/>
    <w:rsid w:val="004F7FF1"/>
    <w:rsid w:val="00500191"/>
    <w:rsid w:val="0050047C"/>
    <w:rsid w:val="0050115C"/>
    <w:rsid w:val="00501993"/>
    <w:rsid w:val="005036EE"/>
    <w:rsid w:val="00503EB1"/>
    <w:rsid w:val="005041CC"/>
    <w:rsid w:val="00505B45"/>
    <w:rsid w:val="005079E0"/>
    <w:rsid w:val="00510B1F"/>
    <w:rsid w:val="00510F55"/>
    <w:rsid w:val="0051193E"/>
    <w:rsid w:val="00512A76"/>
    <w:rsid w:val="005223E7"/>
    <w:rsid w:val="005228F6"/>
    <w:rsid w:val="00522E75"/>
    <w:rsid w:val="005237AC"/>
    <w:rsid w:val="00523E15"/>
    <w:rsid w:val="00524342"/>
    <w:rsid w:val="00526BF6"/>
    <w:rsid w:val="005303ED"/>
    <w:rsid w:val="0053121C"/>
    <w:rsid w:val="00532BF5"/>
    <w:rsid w:val="00532FB2"/>
    <w:rsid w:val="005333B5"/>
    <w:rsid w:val="005352CB"/>
    <w:rsid w:val="00535B11"/>
    <w:rsid w:val="005366F6"/>
    <w:rsid w:val="005371D0"/>
    <w:rsid w:val="00541268"/>
    <w:rsid w:val="005415A4"/>
    <w:rsid w:val="00541C3D"/>
    <w:rsid w:val="005420B2"/>
    <w:rsid w:val="00542B8E"/>
    <w:rsid w:val="00543B97"/>
    <w:rsid w:val="0054444E"/>
    <w:rsid w:val="0055109E"/>
    <w:rsid w:val="005525BB"/>
    <w:rsid w:val="00557FB4"/>
    <w:rsid w:val="00561847"/>
    <w:rsid w:val="005623F5"/>
    <w:rsid w:val="00562540"/>
    <w:rsid w:val="005642C4"/>
    <w:rsid w:val="005645B5"/>
    <w:rsid w:val="00565A77"/>
    <w:rsid w:val="00565C4E"/>
    <w:rsid w:val="00565E7C"/>
    <w:rsid w:val="00567E42"/>
    <w:rsid w:val="00570EE8"/>
    <w:rsid w:val="005716E4"/>
    <w:rsid w:val="0057191A"/>
    <w:rsid w:val="00571DD0"/>
    <w:rsid w:val="0057236C"/>
    <w:rsid w:val="00572AE8"/>
    <w:rsid w:val="00572FA8"/>
    <w:rsid w:val="00573171"/>
    <w:rsid w:val="0057512A"/>
    <w:rsid w:val="00577677"/>
    <w:rsid w:val="0058031A"/>
    <w:rsid w:val="005803F1"/>
    <w:rsid w:val="00580653"/>
    <w:rsid w:val="0058213D"/>
    <w:rsid w:val="00582FA7"/>
    <w:rsid w:val="0058416C"/>
    <w:rsid w:val="0058488F"/>
    <w:rsid w:val="00584C66"/>
    <w:rsid w:val="00584C87"/>
    <w:rsid w:val="0058529A"/>
    <w:rsid w:val="00585645"/>
    <w:rsid w:val="00585C14"/>
    <w:rsid w:val="0058617D"/>
    <w:rsid w:val="0058703F"/>
    <w:rsid w:val="0058712F"/>
    <w:rsid w:val="00587356"/>
    <w:rsid w:val="00590A2F"/>
    <w:rsid w:val="00592375"/>
    <w:rsid w:val="00592F8A"/>
    <w:rsid w:val="005940D3"/>
    <w:rsid w:val="00595DDB"/>
    <w:rsid w:val="0059706E"/>
    <w:rsid w:val="005975F2"/>
    <w:rsid w:val="005A0C00"/>
    <w:rsid w:val="005A1C6A"/>
    <w:rsid w:val="005A3E1C"/>
    <w:rsid w:val="005A7405"/>
    <w:rsid w:val="005B35F6"/>
    <w:rsid w:val="005B382E"/>
    <w:rsid w:val="005B4E1C"/>
    <w:rsid w:val="005B5065"/>
    <w:rsid w:val="005B5BAB"/>
    <w:rsid w:val="005B6F23"/>
    <w:rsid w:val="005C0274"/>
    <w:rsid w:val="005C2A9F"/>
    <w:rsid w:val="005C350F"/>
    <w:rsid w:val="005C3B60"/>
    <w:rsid w:val="005C44DC"/>
    <w:rsid w:val="005C4AE1"/>
    <w:rsid w:val="005C4B2F"/>
    <w:rsid w:val="005C5465"/>
    <w:rsid w:val="005C6533"/>
    <w:rsid w:val="005D0412"/>
    <w:rsid w:val="005D05D5"/>
    <w:rsid w:val="005D116B"/>
    <w:rsid w:val="005D19BD"/>
    <w:rsid w:val="005D6E7F"/>
    <w:rsid w:val="005D7632"/>
    <w:rsid w:val="005D7F7B"/>
    <w:rsid w:val="005D7F96"/>
    <w:rsid w:val="005E0AD3"/>
    <w:rsid w:val="005E1665"/>
    <w:rsid w:val="005E1A4E"/>
    <w:rsid w:val="005E322B"/>
    <w:rsid w:val="005E445C"/>
    <w:rsid w:val="005E4F8E"/>
    <w:rsid w:val="005E58BB"/>
    <w:rsid w:val="005E7D03"/>
    <w:rsid w:val="005E7E24"/>
    <w:rsid w:val="005F01A2"/>
    <w:rsid w:val="005F09A8"/>
    <w:rsid w:val="005F117C"/>
    <w:rsid w:val="005F1272"/>
    <w:rsid w:val="005F1A7D"/>
    <w:rsid w:val="005F2206"/>
    <w:rsid w:val="005F3D88"/>
    <w:rsid w:val="005F4169"/>
    <w:rsid w:val="005F4764"/>
    <w:rsid w:val="005F7A40"/>
    <w:rsid w:val="00603614"/>
    <w:rsid w:val="0060454E"/>
    <w:rsid w:val="006051C0"/>
    <w:rsid w:val="00605EE3"/>
    <w:rsid w:val="00607E51"/>
    <w:rsid w:val="00610AC3"/>
    <w:rsid w:val="00611680"/>
    <w:rsid w:val="00614F8B"/>
    <w:rsid w:val="006156DF"/>
    <w:rsid w:val="00615F21"/>
    <w:rsid w:val="00617C31"/>
    <w:rsid w:val="00617C78"/>
    <w:rsid w:val="006201DD"/>
    <w:rsid w:val="006216D4"/>
    <w:rsid w:val="006218BC"/>
    <w:rsid w:val="0062284C"/>
    <w:rsid w:val="006233BD"/>
    <w:rsid w:val="00624063"/>
    <w:rsid w:val="00625E7F"/>
    <w:rsid w:val="00627361"/>
    <w:rsid w:val="00627417"/>
    <w:rsid w:val="00627AFA"/>
    <w:rsid w:val="006300C2"/>
    <w:rsid w:val="00630249"/>
    <w:rsid w:val="00633348"/>
    <w:rsid w:val="0063421F"/>
    <w:rsid w:val="0063491A"/>
    <w:rsid w:val="00634DFE"/>
    <w:rsid w:val="006357F8"/>
    <w:rsid w:val="0063620B"/>
    <w:rsid w:val="006365C4"/>
    <w:rsid w:val="006369DF"/>
    <w:rsid w:val="0064272F"/>
    <w:rsid w:val="006429AB"/>
    <w:rsid w:val="00642B18"/>
    <w:rsid w:val="006431CF"/>
    <w:rsid w:val="00643D4D"/>
    <w:rsid w:val="006449DF"/>
    <w:rsid w:val="0064504A"/>
    <w:rsid w:val="00645242"/>
    <w:rsid w:val="00645373"/>
    <w:rsid w:val="0064554D"/>
    <w:rsid w:val="0064588B"/>
    <w:rsid w:val="0064631E"/>
    <w:rsid w:val="00647562"/>
    <w:rsid w:val="00655772"/>
    <w:rsid w:val="006610CB"/>
    <w:rsid w:val="00661521"/>
    <w:rsid w:val="0066171F"/>
    <w:rsid w:val="00662392"/>
    <w:rsid w:val="0066340C"/>
    <w:rsid w:val="00664296"/>
    <w:rsid w:val="006677FA"/>
    <w:rsid w:val="00667D5C"/>
    <w:rsid w:val="00670567"/>
    <w:rsid w:val="0067110D"/>
    <w:rsid w:val="006711D6"/>
    <w:rsid w:val="00672509"/>
    <w:rsid w:val="00672DDA"/>
    <w:rsid w:val="00673453"/>
    <w:rsid w:val="0067567C"/>
    <w:rsid w:val="00676721"/>
    <w:rsid w:val="00676E04"/>
    <w:rsid w:val="006773AA"/>
    <w:rsid w:val="006801D6"/>
    <w:rsid w:val="006832AB"/>
    <w:rsid w:val="006856B5"/>
    <w:rsid w:val="00685DA1"/>
    <w:rsid w:val="006862E3"/>
    <w:rsid w:val="00686730"/>
    <w:rsid w:val="00687B3D"/>
    <w:rsid w:val="00690286"/>
    <w:rsid w:val="006903CB"/>
    <w:rsid w:val="006911F5"/>
    <w:rsid w:val="00693B2C"/>
    <w:rsid w:val="00697145"/>
    <w:rsid w:val="00697ED1"/>
    <w:rsid w:val="006A123D"/>
    <w:rsid w:val="006A1B5D"/>
    <w:rsid w:val="006A1D74"/>
    <w:rsid w:val="006A2475"/>
    <w:rsid w:val="006A4D5B"/>
    <w:rsid w:val="006A5C42"/>
    <w:rsid w:val="006A72F5"/>
    <w:rsid w:val="006A7426"/>
    <w:rsid w:val="006A7DEE"/>
    <w:rsid w:val="006B28D6"/>
    <w:rsid w:val="006B36F7"/>
    <w:rsid w:val="006B43B2"/>
    <w:rsid w:val="006B7503"/>
    <w:rsid w:val="006C0141"/>
    <w:rsid w:val="006C0689"/>
    <w:rsid w:val="006C0E11"/>
    <w:rsid w:val="006C11E2"/>
    <w:rsid w:val="006C1254"/>
    <w:rsid w:val="006C1E0A"/>
    <w:rsid w:val="006C47A5"/>
    <w:rsid w:val="006C510B"/>
    <w:rsid w:val="006C7501"/>
    <w:rsid w:val="006D0C72"/>
    <w:rsid w:val="006D230D"/>
    <w:rsid w:val="006D2508"/>
    <w:rsid w:val="006D2643"/>
    <w:rsid w:val="006D27EF"/>
    <w:rsid w:val="006D3366"/>
    <w:rsid w:val="006D3425"/>
    <w:rsid w:val="006D3B49"/>
    <w:rsid w:val="006D3C94"/>
    <w:rsid w:val="006D40BB"/>
    <w:rsid w:val="006D470D"/>
    <w:rsid w:val="006D64A6"/>
    <w:rsid w:val="006D6D6F"/>
    <w:rsid w:val="006D7AC3"/>
    <w:rsid w:val="006E0B6A"/>
    <w:rsid w:val="006E0D59"/>
    <w:rsid w:val="006E1111"/>
    <w:rsid w:val="006E185F"/>
    <w:rsid w:val="006E1B19"/>
    <w:rsid w:val="006E1E0E"/>
    <w:rsid w:val="006E30F4"/>
    <w:rsid w:val="006E5770"/>
    <w:rsid w:val="006F03C5"/>
    <w:rsid w:val="006F0664"/>
    <w:rsid w:val="006F1135"/>
    <w:rsid w:val="006F13EF"/>
    <w:rsid w:val="006F1F72"/>
    <w:rsid w:val="006F2AF9"/>
    <w:rsid w:val="006F4751"/>
    <w:rsid w:val="00700AD5"/>
    <w:rsid w:val="00700F5E"/>
    <w:rsid w:val="00702566"/>
    <w:rsid w:val="0070370A"/>
    <w:rsid w:val="00706447"/>
    <w:rsid w:val="007103EE"/>
    <w:rsid w:val="00711414"/>
    <w:rsid w:val="0071273F"/>
    <w:rsid w:val="00713935"/>
    <w:rsid w:val="00714439"/>
    <w:rsid w:val="00715E82"/>
    <w:rsid w:val="0071638A"/>
    <w:rsid w:val="00716D98"/>
    <w:rsid w:val="00717A86"/>
    <w:rsid w:val="00720057"/>
    <w:rsid w:val="0072058C"/>
    <w:rsid w:val="00720A78"/>
    <w:rsid w:val="00721BB3"/>
    <w:rsid w:val="0072245A"/>
    <w:rsid w:val="00722E63"/>
    <w:rsid w:val="00724CCE"/>
    <w:rsid w:val="00725170"/>
    <w:rsid w:val="0072747B"/>
    <w:rsid w:val="00727F92"/>
    <w:rsid w:val="00731BDB"/>
    <w:rsid w:val="00731CDA"/>
    <w:rsid w:val="007320C1"/>
    <w:rsid w:val="007326EC"/>
    <w:rsid w:val="00732AC7"/>
    <w:rsid w:val="00733815"/>
    <w:rsid w:val="007344B5"/>
    <w:rsid w:val="00734B4C"/>
    <w:rsid w:val="007352BC"/>
    <w:rsid w:val="007355E1"/>
    <w:rsid w:val="00736912"/>
    <w:rsid w:val="007375CF"/>
    <w:rsid w:val="007377C5"/>
    <w:rsid w:val="00741173"/>
    <w:rsid w:val="00741541"/>
    <w:rsid w:val="00742137"/>
    <w:rsid w:val="00744770"/>
    <w:rsid w:val="007447B2"/>
    <w:rsid w:val="00744F69"/>
    <w:rsid w:val="0074585F"/>
    <w:rsid w:val="007463B6"/>
    <w:rsid w:val="007476EB"/>
    <w:rsid w:val="00747F0D"/>
    <w:rsid w:val="00750620"/>
    <w:rsid w:val="0075123F"/>
    <w:rsid w:val="00751DCE"/>
    <w:rsid w:val="00754707"/>
    <w:rsid w:val="00754B75"/>
    <w:rsid w:val="00754D4C"/>
    <w:rsid w:val="00755AAA"/>
    <w:rsid w:val="00755D42"/>
    <w:rsid w:val="00756FD5"/>
    <w:rsid w:val="00757750"/>
    <w:rsid w:val="00757C90"/>
    <w:rsid w:val="00762B14"/>
    <w:rsid w:val="007637E7"/>
    <w:rsid w:val="007646F6"/>
    <w:rsid w:val="00765CE9"/>
    <w:rsid w:val="00766A47"/>
    <w:rsid w:val="00767749"/>
    <w:rsid w:val="007710D0"/>
    <w:rsid w:val="00771555"/>
    <w:rsid w:val="007730A7"/>
    <w:rsid w:val="00773148"/>
    <w:rsid w:val="007752A8"/>
    <w:rsid w:val="00775740"/>
    <w:rsid w:val="0077742F"/>
    <w:rsid w:val="007802F3"/>
    <w:rsid w:val="00783664"/>
    <w:rsid w:val="0078392D"/>
    <w:rsid w:val="00783B92"/>
    <w:rsid w:val="00785A3B"/>
    <w:rsid w:val="00786631"/>
    <w:rsid w:val="00786A47"/>
    <w:rsid w:val="007906DB"/>
    <w:rsid w:val="00791100"/>
    <w:rsid w:val="007925C8"/>
    <w:rsid w:val="00794D06"/>
    <w:rsid w:val="00795604"/>
    <w:rsid w:val="00796204"/>
    <w:rsid w:val="00796B5A"/>
    <w:rsid w:val="00797A23"/>
    <w:rsid w:val="007A0061"/>
    <w:rsid w:val="007A108D"/>
    <w:rsid w:val="007A15C0"/>
    <w:rsid w:val="007A20D5"/>
    <w:rsid w:val="007A4A0E"/>
    <w:rsid w:val="007A5391"/>
    <w:rsid w:val="007A589E"/>
    <w:rsid w:val="007A6CC0"/>
    <w:rsid w:val="007B0199"/>
    <w:rsid w:val="007B095F"/>
    <w:rsid w:val="007B0C55"/>
    <w:rsid w:val="007B172E"/>
    <w:rsid w:val="007B1843"/>
    <w:rsid w:val="007B2295"/>
    <w:rsid w:val="007B2FD7"/>
    <w:rsid w:val="007B333F"/>
    <w:rsid w:val="007B6124"/>
    <w:rsid w:val="007B6680"/>
    <w:rsid w:val="007B78C2"/>
    <w:rsid w:val="007B7934"/>
    <w:rsid w:val="007C041B"/>
    <w:rsid w:val="007C24A5"/>
    <w:rsid w:val="007C30B5"/>
    <w:rsid w:val="007C53DE"/>
    <w:rsid w:val="007C6519"/>
    <w:rsid w:val="007C692F"/>
    <w:rsid w:val="007D164C"/>
    <w:rsid w:val="007D329C"/>
    <w:rsid w:val="007D3E2D"/>
    <w:rsid w:val="007D5041"/>
    <w:rsid w:val="007D687A"/>
    <w:rsid w:val="007D742C"/>
    <w:rsid w:val="007D79C7"/>
    <w:rsid w:val="007E122F"/>
    <w:rsid w:val="007E14E1"/>
    <w:rsid w:val="007E1F20"/>
    <w:rsid w:val="007E26DC"/>
    <w:rsid w:val="007E3BA2"/>
    <w:rsid w:val="007E4791"/>
    <w:rsid w:val="007E4E58"/>
    <w:rsid w:val="007E51AF"/>
    <w:rsid w:val="007E5A78"/>
    <w:rsid w:val="007E67AF"/>
    <w:rsid w:val="007F018C"/>
    <w:rsid w:val="007F5457"/>
    <w:rsid w:val="007F55E7"/>
    <w:rsid w:val="007F5AB1"/>
    <w:rsid w:val="007F5FF7"/>
    <w:rsid w:val="00800047"/>
    <w:rsid w:val="00800514"/>
    <w:rsid w:val="008030BC"/>
    <w:rsid w:val="008065B7"/>
    <w:rsid w:val="008068E2"/>
    <w:rsid w:val="00807087"/>
    <w:rsid w:val="0080767B"/>
    <w:rsid w:val="008078EB"/>
    <w:rsid w:val="00810811"/>
    <w:rsid w:val="00810A11"/>
    <w:rsid w:val="00810CE4"/>
    <w:rsid w:val="00811F38"/>
    <w:rsid w:val="0081326C"/>
    <w:rsid w:val="008147D7"/>
    <w:rsid w:val="008149F6"/>
    <w:rsid w:val="00817DA9"/>
    <w:rsid w:val="00820D48"/>
    <w:rsid w:val="00820DDF"/>
    <w:rsid w:val="0082551A"/>
    <w:rsid w:val="00825A0F"/>
    <w:rsid w:val="008323C6"/>
    <w:rsid w:val="008326A2"/>
    <w:rsid w:val="0083310F"/>
    <w:rsid w:val="00833F1E"/>
    <w:rsid w:val="008342D9"/>
    <w:rsid w:val="00834F92"/>
    <w:rsid w:val="00836EF9"/>
    <w:rsid w:val="00836FDE"/>
    <w:rsid w:val="00842131"/>
    <w:rsid w:val="00843E0F"/>
    <w:rsid w:val="008444AE"/>
    <w:rsid w:val="00852B37"/>
    <w:rsid w:val="00852E04"/>
    <w:rsid w:val="0085314F"/>
    <w:rsid w:val="00854B92"/>
    <w:rsid w:val="00855923"/>
    <w:rsid w:val="00860E19"/>
    <w:rsid w:val="00861428"/>
    <w:rsid w:val="00861D4B"/>
    <w:rsid w:val="008624D2"/>
    <w:rsid w:val="008625D2"/>
    <w:rsid w:val="00865A68"/>
    <w:rsid w:val="0086764C"/>
    <w:rsid w:val="00871C56"/>
    <w:rsid w:val="00872100"/>
    <w:rsid w:val="00872880"/>
    <w:rsid w:val="008736D6"/>
    <w:rsid w:val="008773BC"/>
    <w:rsid w:val="00877593"/>
    <w:rsid w:val="00877BAE"/>
    <w:rsid w:val="00882DD3"/>
    <w:rsid w:val="00883315"/>
    <w:rsid w:val="00883813"/>
    <w:rsid w:val="00884E88"/>
    <w:rsid w:val="00885065"/>
    <w:rsid w:val="0088771D"/>
    <w:rsid w:val="0088781C"/>
    <w:rsid w:val="00887D73"/>
    <w:rsid w:val="00890850"/>
    <w:rsid w:val="008908B7"/>
    <w:rsid w:val="00891F94"/>
    <w:rsid w:val="0089287B"/>
    <w:rsid w:val="0089333D"/>
    <w:rsid w:val="008935D6"/>
    <w:rsid w:val="008947FF"/>
    <w:rsid w:val="00897F60"/>
    <w:rsid w:val="008A089F"/>
    <w:rsid w:val="008A3385"/>
    <w:rsid w:val="008A3D49"/>
    <w:rsid w:val="008A524B"/>
    <w:rsid w:val="008A6F2A"/>
    <w:rsid w:val="008A71BE"/>
    <w:rsid w:val="008A75F0"/>
    <w:rsid w:val="008B164A"/>
    <w:rsid w:val="008B1D8C"/>
    <w:rsid w:val="008B40CE"/>
    <w:rsid w:val="008B4D9C"/>
    <w:rsid w:val="008B5F8E"/>
    <w:rsid w:val="008B6447"/>
    <w:rsid w:val="008B6DE3"/>
    <w:rsid w:val="008C00F3"/>
    <w:rsid w:val="008C0FFF"/>
    <w:rsid w:val="008C1B86"/>
    <w:rsid w:val="008C1D42"/>
    <w:rsid w:val="008C1E9E"/>
    <w:rsid w:val="008C2ECA"/>
    <w:rsid w:val="008C381F"/>
    <w:rsid w:val="008C3E3E"/>
    <w:rsid w:val="008C3F4A"/>
    <w:rsid w:val="008C44B4"/>
    <w:rsid w:val="008C5899"/>
    <w:rsid w:val="008C69EE"/>
    <w:rsid w:val="008C7AF9"/>
    <w:rsid w:val="008D324E"/>
    <w:rsid w:val="008D5121"/>
    <w:rsid w:val="008D709F"/>
    <w:rsid w:val="008D7B7C"/>
    <w:rsid w:val="008D7DA8"/>
    <w:rsid w:val="008E0832"/>
    <w:rsid w:val="008E0F2F"/>
    <w:rsid w:val="008E1F17"/>
    <w:rsid w:val="008E43C2"/>
    <w:rsid w:val="008E45E7"/>
    <w:rsid w:val="008E4EB8"/>
    <w:rsid w:val="008E5AE2"/>
    <w:rsid w:val="008F0B8B"/>
    <w:rsid w:val="008F309C"/>
    <w:rsid w:val="008F3A9B"/>
    <w:rsid w:val="008F5854"/>
    <w:rsid w:val="008F61A8"/>
    <w:rsid w:val="008F7A5A"/>
    <w:rsid w:val="00900B1C"/>
    <w:rsid w:val="00901EC5"/>
    <w:rsid w:val="00902553"/>
    <w:rsid w:val="009042F6"/>
    <w:rsid w:val="00905399"/>
    <w:rsid w:val="00907203"/>
    <w:rsid w:val="009072E7"/>
    <w:rsid w:val="00910146"/>
    <w:rsid w:val="00910499"/>
    <w:rsid w:val="0091123E"/>
    <w:rsid w:val="00911721"/>
    <w:rsid w:val="009117DF"/>
    <w:rsid w:val="00911D9C"/>
    <w:rsid w:val="009133EE"/>
    <w:rsid w:val="00913C15"/>
    <w:rsid w:val="00913F03"/>
    <w:rsid w:val="009161BE"/>
    <w:rsid w:val="009175D9"/>
    <w:rsid w:val="0092193B"/>
    <w:rsid w:val="0092403F"/>
    <w:rsid w:val="00925838"/>
    <w:rsid w:val="00926165"/>
    <w:rsid w:val="0092782F"/>
    <w:rsid w:val="009316FA"/>
    <w:rsid w:val="00931D07"/>
    <w:rsid w:val="00932845"/>
    <w:rsid w:val="0093347A"/>
    <w:rsid w:val="0093399E"/>
    <w:rsid w:val="00934550"/>
    <w:rsid w:val="00935699"/>
    <w:rsid w:val="00936B62"/>
    <w:rsid w:val="00940B11"/>
    <w:rsid w:val="00942334"/>
    <w:rsid w:val="009426B8"/>
    <w:rsid w:val="009428EA"/>
    <w:rsid w:val="00942E72"/>
    <w:rsid w:val="00944567"/>
    <w:rsid w:val="009452E3"/>
    <w:rsid w:val="00945C13"/>
    <w:rsid w:val="009460D0"/>
    <w:rsid w:val="00951D1D"/>
    <w:rsid w:val="00951EB0"/>
    <w:rsid w:val="009527CC"/>
    <w:rsid w:val="00952B76"/>
    <w:rsid w:val="00953DEA"/>
    <w:rsid w:val="00954C6E"/>
    <w:rsid w:val="009557C7"/>
    <w:rsid w:val="009578DC"/>
    <w:rsid w:val="009608C0"/>
    <w:rsid w:val="00960EF7"/>
    <w:rsid w:val="00960F9C"/>
    <w:rsid w:val="0096108C"/>
    <w:rsid w:val="00962EF2"/>
    <w:rsid w:val="00963EBF"/>
    <w:rsid w:val="00966493"/>
    <w:rsid w:val="00971F5C"/>
    <w:rsid w:val="00973EA7"/>
    <w:rsid w:val="00974E97"/>
    <w:rsid w:val="00975399"/>
    <w:rsid w:val="0097683D"/>
    <w:rsid w:val="00980271"/>
    <w:rsid w:val="00980591"/>
    <w:rsid w:val="00981948"/>
    <w:rsid w:val="00981EEF"/>
    <w:rsid w:val="00981F19"/>
    <w:rsid w:val="00982C6A"/>
    <w:rsid w:val="00982E1F"/>
    <w:rsid w:val="00983570"/>
    <w:rsid w:val="00983E17"/>
    <w:rsid w:val="0098478E"/>
    <w:rsid w:val="009862DA"/>
    <w:rsid w:val="00986771"/>
    <w:rsid w:val="00986BEB"/>
    <w:rsid w:val="009878A5"/>
    <w:rsid w:val="009904C4"/>
    <w:rsid w:val="00991F8E"/>
    <w:rsid w:val="009921AD"/>
    <w:rsid w:val="00993A3F"/>
    <w:rsid w:val="009950D9"/>
    <w:rsid w:val="009964C7"/>
    <w:rsid w:val="009A082B"/>
    <w:rsid w:val="009A10F0"/>
    <w:rsid w:val="009A478E"/>
    <w:rsid w:val="009A5043"/>
    <w:rsid w:val="009A5515"/>
    <w:rsid w:val="009A6578"/>
    <w:rsid w:val="009A6E9D"/>
    <w:rsid w:val="009B01D5"/>
    <w:rsid w:val="009B0C02"/>
    <w:rsid w:val="009B58DF"/>
    <w:rsid w:val="009B5D70"/>
    <w:rsid w:val="009B7097"/>
    <w:rsid w:val="009B7B1A"/>
    <w:rsid w:val="009C1AF7"/>
    <w:rsid w:val="009C25B6"/>
    <w:rsid w:val="009C3785"/>
    <w:rsid w:val="009C3821"/>
    <w:rsid w:val="009C424A"/>
    <w:rsid w:val="009C4A95"/>
    <w:rsid w:val="009C4CE5"/>
    <w:rsid w:val="009C6664"/>
    <w:rsid w:val="009C6841"/>
    <w:rsid w:val="009C7044"/>
    <w:rsid w:val="009D117D"/>
    <w:rsid w:val="009D2235"/>
    <w:rsid w:val="009D28AF"/>
    <w:rsid w:val="009D290E"/>
    <w:rsid w:val="009D2CC6"/>
    <w:rsid w:val="009D2F47"/>
    <w:rsid w:val="009D3A40"/>
    <w:rsid w:val="009D3E04"/>
    <w:rsid w:val="009D4A30"/>
    <w:rsid w:val="009D59CF"/>
    <w:rsid w:val="009D7A85"/>
    <w:rsid w:val="009E15B4"/>
    <w:rsid w:val="009E18A4"/>
    <w:rsid w:val="009E235F"/>
    <w:rsid w:val="009E3971"/>
    <w:rsid w:val="009E57E0"/>
    <w:rsid w:val="009E7F86"/>
    <w:rsid w:val="009F058D"/>
    <w:rsid w:val="009F1D59"/>
    <w:rsid w:val="009F1DCB"/>
    <w:rsid w:val="009F224A"/>
    <w:rsid w:val="009F30E6"/>
    <w:rsid w:val="009F37D8"/>
    <w:rsid w:val="009F59A3"/>
    <w:rsid w:val="00A00277"/>
    <w:rsid w:val="00A02021"/>
    <w:rsid w:val="00A02032"/>
    <w:rsid w:val="00A03D31"/>
    <w:rsid w:val="00A0598B"/>
    <w:rsid w:val="00A06A53"/>
    <w:rsid w:val="00A10FD3"/>
    <w:rsid w:val="00A11295"/>
    <w:rsid w:val="00A1191C"/>
    <w:rsid w:val="00A11978"/>
    <w:rsid w:val="00A11DD2"/>
    <w:rsid w:val="00A12828"/>
    <w:rsid w:val="00A15E34"/>
    <w:rsid w:val="00A16144"/>
    <w:rsid w:val="00A171C6"/>
    <w:rsid w:val="00A17A6A"/>
    <w:rsid w:val="00A17C39"/>
    <w:rsid w:val="00A17E8F"/>
    <w:rsid w:val="00A230ED"/>
    <w:rsid w:val="00A23F6E"/>
    <w:rsid w:val="00A24526"/>
    <w:rsid w:val="00A2590C"/>
    <w:rsid w:val="00A26427"/>
    <w:rsid w:val="00A264A8"/>
    <w:rsid w:val="00A27334"/>
    <w:rsid w:val="00A31001"/>
    <w:rsid w:val="00A31B34"/>
    <w:rsid w:val="00A33070"/>
    <w:rsid w:val="00A33208"/>
    <w:rsid w:val="00A341B6"/>
    <w:rsid w:val="00A363CB"/>
    <w:rsid w:val="00A36AD9"/>
    <w:rsid w:val="00A37534"/>
    <w:rsid w:val="00A37958"/>
    <w:rsid w:val="00A403C7"/>
    <w:rsid w:val="00A40D04"/>
    <w:rsid w:val="00A41603"/>
    <w:rsid w:val="00A433EB"/>
    <w:rsid w:val="00A44C24"/>
    <w:rsid w:val="00A45D35"/>
    <w:rsid w:val="00A46649"/>
    <w:rsid w:val="00A4706C"/>
    <w:rsid w:val="00A470C7"/>
    <w:rsid w:val="00A4778D"/>
    <w:rsid w:val="00A501FD"/>
    <w:rsid w:val="00A5134C"/>
    <w:rsid w:val="00A51605"/>
    <w:rsid w:val="00A51B50"/>
    <w:rsid w:val="00A54768"/>
    <w:rsid w:val="00A55009"/>
    <w:rsid w:val="00A57913"/>
    <w:rsid w:val="00A61E7A"/>
    <w:rsid w:val="00A6253C"/>
    <w:rsid w:val="00A63C4D"/>
    <w:rsid w:val="00A6429F"/>
    <w:rsid w:val="00A66160"/>
    <w:rsid w:val="00A669DE"/>
    <w:rsid w:val="00A71039"/>
    <w:rsid w:val="00A710D5"/>
    <w:rsid w:val="00A72820"/>
    <w:rsid w:val="00A72AE8"/>
    <w:rsid w:val="00A7390C"/>
    <w:rsid w:val="00A73D93"/>
    <w:rsid w:val="00A74C9B"/>
    <w:rsid w:val="00A775B8"/>
    <w:rsid w:val="00A777BD"/>
    <w:rsid w:val="00A80044"/>
    <w:rsid w:val="00A8111D"/>
    <w:rsid w:val="00A824E1"/>
    <w:rsid w:val="00A82D1A"/>
    <w:rsid w:val="00A84C68"/>
    <w:rsid w:val="00A862B6"/>
    <w:rsid w:val="00A862E2"/>
    <w:rsid w:val="00A86887"/>
    <w:rsid w:val="00A878AD"/>
    <w:rsid w:val="00A87C9C"/>
    <w:rsid w:val="00A92EEF"/>
    <w:rsid w:val="00A9371B"/>
    <w:rsid w:val="00A955E4"/>
    <w:rsid w:val="00A96BA8"/>
    <w:rsid w:val="00A9758B"/>
    <w:rsid w:val="00A97C3B"/>
    <w:rsid w:val="00AA0304"/>
    <w:rsid w:val="00AA15FA"/>
    <w:rsid w:val="00AA1D70"/>
    <w:rsid w:val="00AA1FE3"/>
    <w:rsid w:val="00AA444B"/>
    <w:rsid w:val="00AA5465"/>
    <w:rsid w:val="00AA54E0"/>
    <w:rsid w:val="00AA59F9"/>
    <w:rsid w:val="00AA741B"/>
    <w:rsid w:val="00AB39DE"/>
    <w:rsid w:val="00AB52B8"/>
    <w:rsid w:val="00AB60EE"/>
    <w:rsid w:val="00AB77BA"/>
    <w:rsid w:val="00AC00BD"/>
    <w:rsid w:val="00AC08CF"/>
    <w:rsid w:val="00AC0BA2"/>
    <w:rsid w:val="00AC5B87"/>
    <w:rsid w:val="00AC6296"/>
    <w:rsid w:val="00AD0617"/>
    <w:rsid w:val="00AD25BC"/>
    <w:rsid w:val="00AD3876"/>
    <w:rsid w:val="00AD4B4A"/>
    <w:rsid w:val="00AD73A1"/>
    <w:rsid w:val="00AD7FA8"/>
    <w:rsid w:val="00AE0AE9"/>
    <w:rsid w:val="00AE1194"/>
    <w:rsid w:val="00AE1619"/>
    <w:rsid w:val="00AE2DE3"/>
    <w:rsid w:val="00AE32D8"/>
    <w:rsid w:val="00AE3B1B"/>
    <w:rsid w:val="00AE5879"/>
    <w:rsid w:val="00AE5CCD"/>
    <w:rsid w:val="00AE6112"/>
    <w:rsid w:val="00AF0D54"/>
    <w:rsid w:val="00AF282A"/>
    <w:rsid w:val="00AF339C"/>
    <w:rsid w:val="00AF4BC7"/>
    <w:rsid w:val="00AF4BF3"/>
    <w:rsid w:val="00AF4FA1"/>
    <w:rsid w:val="00AF5623"/>
    <w:rsid w:val="00AF6A3A"/>
    <w:rsid w:val="00AF6C12"/>
    <w:rsid w:val="00AF7338"/>
    <w:rsid w:val="00B002CD"/>
    <w:rsid w:val="00B01A99"/>
    <w:rsid w:val="00B01F5A"/>
    <w:rsid w:val="00B021F5"/>
    <w:rsid w:val="00B03290"/>
    <w:rsid w:val="00B04182"/>
    <w:rsid w:val="00B047F2"/>
    <w:rsid w:val="00B0534B"/>
    <w:rsid w:val="00B068EA"/>
    <w:rsid w:val="00B06B26"/>
    <w:rsid w:val="00B073B0"/>
    <w:rsid w:val="00B0799C"/>
    <w:rsid w:val="00B13F3F"/>
    <w:rsid w:val="00B14F41"/>
    <w:rsid w:val="00B1560B"/>
    <w:rsid w:val="00B1743D"/>
    <w:rsid w:val="00B201EE"/>
    <w:rsid w:val="00B20C63"/>
    <w:rsid w:val="00B22907"/>
    <w:rsid w:val="00B24325"/>
    <w:rsid w:val="00B24B15"/>
    <w:rsid w:val="00B24BB1"/>
    <w:rsid w:val="00B24F99"/>
    <w:rsid w:val="00B251D7"/>
    <w:rsid w:val="00B27766"/>
    <w:rsid w:val="00B33073"/>
    <w:rsid w:val="00B332D1"/>
    <w:rsid w:val="00B33559"/>
    <w:rsid w:val="00B3446D"/>
    <w:rsid w:val="00B3549E"/>
    <w:rsid w:val="00B354BE"/>
    <w:rsid w:val="00B35C6C"/>
    <w:rsid w:val="00B3692A"/>
    <w:rsid w:val="00B40BF6"/>
    <w:rsid w:val="00B40F66"/>
    <w:rsid w:val="00B41A0E"/>
    <w:rsid w:val="00B42250"/>
    <w:rsid w:val="00B42C15"/>
    <w:rsid w:val="00B42ECA"/>
    <w:rsid w:val="00B44D09"/>
    <w:rsid w:val="00B4527E"/>
    <w:rsid w:val="00B465FC"/>
    <w:rsid w:val="00B46E31"/>
    <w:rsid w:val="00B515B5"/>
    <w:rsid w:val="00B54F14"/>
    <w:rsid w:val="00B55A54"/>
    <w:rsid w:val="00B56424"/>
    <w:rsid w:val="00B5680B"/>
    <w:rsid w:val="00B56A46"/>
    <w:rsid w:val="00B56BA8"/>
    <w:rsid w:val="00B575C4"/>
    <w:rsid w:val="00B61611"/>
    <w:rsid w:val="00B64084"/>
    <w:rsid w:val="00B640AC"/>
    <w:rsid w:val="00B6430D"/>
    <w:rsid w:val="00B64D68"/>
    <w:rsid w:val="00B6542C"/>
    <w:rsid w:val="00B66398"/>
    <w:rsid w:val="00B6668B"/>
    <w:rsid w:val="00B66D6C"/>
    <w:rsid w:val="00B67D2B"/>
    <w:rsid w:val="00B7297E"/>
    <w:rsid w:val="00B72E03"/>
    <w:rsid w:val="00B73AF6"/>
    <w:rsid w:val="00B744BC"/>
    <w:rsid w:val="00B76F48"/>
    <w:rsid w:val="00B832CB"/>
    <w:rsid w:val="00B83F68"/>
    <w:rsid w:val="00B87091"/>
    <w:rsid w:val="00B8792A"/>
    <w:rsid w:val="00B903D1"/>
    <w:rsid w:val="00B92390"/>
    <w:rsid w:val="00B93BBD"/>
    <w:rsid w:val="00B9437C"/>
    <w:rsid w:val="00B96166"/>
    <w:rsid w:val="00B966F0"/>
    <w:rsid w:val="00B96EF7"/>
    <w:rsid w:val="00B96FD2"/>
    <w:rsid w:val="00B97BD1"/>
    <w:rsid w:val="00BA3753"/>
    <w:rsid w:val="00BA5B30"/>
    <w:rsid w:val="00BA5E68"/>
    <w:rsid w:val="00BA6409"/>
    <w:rsid w:val="00BA7738"/>
    <w:rsid w:val="00BB0E60"/>
    <w:rsid w:val="00BB1526"/>
    <w:rsid w:val="00BB2CF9"/>
    <w:rsid w:val="00BB5EED"/>
    <w:rsid w:val="00BB60AE"/>
    <w:rsid w:val="00BB6A23"/>
    <w:rsid w:val="00BC08DB"/>
    <w:rsid w:val="00BC3DF5"/>
    <w:rsid w:val="00BC6308"/>
    <w:rsid w:val="00BC7866"/>
    <w:rsid w:val="00BD2B17"/>
    <w:rsid w:val="00BD3507"/>
    <w:rsid w:val="00BD354E"/>
    <w:rsid w:val="00BD38D8"/>
    <w:rsid w:val="00BD64C7"/>
    <w:rsid w:val="00BD7737"/>
    <w:rsid w:val="00BD784B"/>
    <w:rsid w:val="00BE0733"/>
    <w:rsid w:val="00BE0EB0"/>
    <w:rsid w:val="00BE239A"/>
    <w:rsid w:val="00BE2515"/>
    <w:rsid w:val="00BE3466"/>
    <w:rsid w:val="00BE3970"/>
    <w:rsid w:val="00BE4528"/>
    <w:rsid w:val="00BE4A25"/>
    <w:rsid w:val="00BE544E"/>
    <w:rsid w:val="00BE56FA"/>
    <w:rsid w:val="00BE5AAD"/>
    <w:rsid w:val="00BE6510"/>
    <w:rsid w:val="00BE6AAE"/>
    <w:rsid w:val="00BE728E"/>
    <w:rsid w:val="00BF064C"/>
    <w:rsid w:val="00BF0E36"/>
    <w:rsid w:val="00BF1627"/>
    <w:rsid w:val="00BF195C"/>
    <w:rsid w:val="00BF21B6"/>
    <w:rsid w:val="00BF248C"/>
    <w:rsid w:val="00BF3AE7"/>
    <w:rsid w:val="00BF4DB7"/>
    <w:rsid w:val="00BF5320"/>
    <w:rsid w:val="00BF5335"/>
    <w:rsid w:val="00BF6346"/>
    <w:rsid w:val="00BF6D20"/>
    <w:rsid w:val="00C00AA4"/>
    <w:rsid w:val="00C01EF6"/>
    <w:rsid w:val="00C02085"/>
    <w:rsid w:val="00C04910"/>
    <w:rsid w:val="00C060EF"/>
    <w:rsid w:val="00C0690F"/>
    <w:rsid w:val="00C076C0"/>
    <w:rsid w:val="00C07ACC"/>
    <w:rsid w:val="00C07F8C"/>
    <w:rsid w:val="00C10AAF"/>
    <w:rsid w:val="00C11F1E"/>
    <w:rsid w:val="00C12EF7"/>
    <w:rsid w:val="00C148B4"/>
    <w:rsid w:val="00C167A4"/>
    <w:rsid w:val="00C1716D"/>
    <w:rsid w:val="00C17699"/>
    <w:rsid w:val="00C178A7"/>
    <w:rsid w:val="00C21EEC"/>
    <w:rsid w:val="00C2350E"/>
    <w:rsid w:val="00C23574"/>
    <w:rsid w:val="00C23D3D"/>
    <w:rsid w:val="00C2432A"/>
    <w:rsid w:val="00C24949"/>
    <w:rsid w:val="00C24CC9"/>
    <w:rsid w:val="00C25667"/>
    <w:rsid w:val="00C260DA"/>
    <w:rsid w:val="00C27075"/>
    <w:rsid w:val="00C315EE"/>
    <w:rsid w:val="00C31AB2"/>
    <w:rsid w:val="00C32440"/>
    <w:rsid w:val="00C33C3A"/>
    <w:rsid w:val="00C34D13"/>
    <w:rsid w:val="00C35F1C"/>
    <w:rsid w:val="00C42C04"/>
    <w:rsid w:val="00C437BA"/>
    <w:rsid w:val="00C4385A"/>
    <w:rsid w:val="00C44219"/>
    <w:rsid w:val="00C445C8"/>
    <w:rsid w:val="00C44760"/>
    <w:rsid w:val="00C4504E"/>
    <w:rsid w:val="00C45282"/>
    <w:rsid w:val="00C46862"/>
    <w:rsid w:val="00C50273"/>
    <w:rsid w:val="00C5135E"/>
    <w:rsid w:val="00C53070"/>
    <w:rsid w:val="00C5370E"/>
    <w:rsid w:val="00C543D9"/>
    <w:rsid w:val="00C54ADC"/>
    <w:rsid w:val="00C54E8B"/>
    <w:rsid w:val="00C55BB7"/>
    <w:rsid w:val="00C668F3"/>
    <w:rsid w:val="00C70B60"/>
    <w:rsid w:val="00C71797"/>
    <w:rsid w:val="00C71A66"/>
    <w:rsid w:val="00C72072"/>
    <w:rsid w:val="00C72FA8"/>
    <w:rsid w:val="00C731F3"/>
    <w:rsid w:val="00C7369B"/>
    <w:rsid w:val="00C73EB0"/>
    <w:rsid w:val="00C74015"/>
    <w:rsid w:val="00C74872"/>
    <w:rsid w:val="00C74A4C"/>
    <w:rsid w:val="00C75B96"/>
    <w:rsid w:val="00C7752E"/>
    <w:rsid w:val="00C81685"/>
    <w:rsid w:val="00C81FD0"/>
    <w:rsid w:val="00C82B95"/>
    <w:rsid w:val="00C82DC5"/>
    <w:rsid w:val="00C83EDD"/>
    <w:rsid w:val="00C840E9"/>
    <w:rsid w:val="00C84368"/>
    <w:rsid w:val="00C866FF"/>
    <w:rsid w:val="00C87A47"/>
    <w:rsid w:val="00C87B10"/>
    <w:rsid w:val="00C87E6B"/>
    <w:rsid w:val="00C903A1"/>
    <w:rsid w:val="00C913F4"/>
    <w:rsid w:val="00C9172D"/>
    <w:rsid w:val="00C94436"/>
    <w:rsid w:val="00C964D7"/>
    <w:rsid w:val="00C97FB3"/>
    <w:rsid w:val="00CA0682"/>
    <w:rsid w:val="00CA089A"/>
    <w:rsid w:val="00CA22E3"/>
    <w:rsid w:val="00CA29EB"/>
    <w:rsid w:val="00CA2F1C"/>
    <w:rsid w:val="00CA3EA6"/>
    <w:rsid w:val="00CA4335"/>
    <w:rsid w:val="00CA66B5"/>
    <w:rsid w:val="00CA6B9E"/>
    <w:rsid w:val="00CA6FF0"/>
    <w:rsid w:val="00CB059F"/>
    <w:rsid w:val="00CB0B19"/>
    <w:rsid w:val="00CB0C2A"/>
    <w:rsid w:val="00CB49B0"/>
    <w:rsid w:val="00CB5056"/>
    <w:rsid w:val="00CB555B"/>
    <w:rsid w:val="00CB678B"/>
    <w:rsid w:val="00CC052D"/>
    <w:rsid w:val="00CC5906"/>
    <w:rsid w:val="00CC6514"/>
    <w:rsid w:val="00CC7052"/>
    <w:rsid w:val="00CD129E"/>
    <w:rsid w:val="00CD1C53"/>
    <w:rsid w:val="00CD1CC9"/>
    <w:rsid w:val="00CD4006"/>
    <w:rsid w:val="00CD47C3"/>
    <w:rsid w:val="00CD4EDE"/>
    <w:rsid w:val="00CD5427"/>
    <w:rsid w:val="00CD7CEF"/>
    <w:rsid w:val="00CE0987"/>
    <w:rsid w:val="00CE0EC9"/>
    <w:rsid w:val="00CE1BDF"/>
    <w:rsid w:val="00CE1C03"/>
    <w:rsid w:val="00CE4B24"/>
    <w:rsid w:val="00CE6CEB"/>
    <w:rsid w:val="00CF0FB9"/>
    <w:rsid w:val="00CF1023"/>
    <w:rsid w:val="00CF108B"/>
    <w:rsid w:val="00CF129B"/>
    <w:rsid w:val="00CF156C"/>
    <w:rsid w:val="00CF1581"/>
    <w:rsid w:val="00CF59BA"/>
    <w:rsid w:val="00CF6D3B"/>
    <w:rsid w:val="00CF7733"/>
    <w:rsid w:val="00CF7896"/>
    <w:rsid w:val="00CF7D76"/>
    <w:rsid w:val="00D02AA6"/>
    <w:rsid w:val="00D02D10"/>
    <w:rsid w:val="00D045A2"/>
    <w:rsid w:val="00D046F4"/>
    <w:rsid w:val="00D05841"/>
    <w:rsid w:val="00D07F31"/>
    <w:rsid w:val="00D121EF"/>
    <w:rsid w:val="00D129E5"/>
    <w:rsid w:val="00D13ED1"/>
    <w:rsid w:val="00D147D7"/>
    <w:rsid w:val="00D14C65"/>
    <w:rsid w:val="00D15208"/>
    <w:rsid w:val="00D15B82"/>
    <w:rsid w:val="00D204D9"/>
    <w:rsid w:val="00D208C8"/>
    <w:rsid w:val="00D21269"/>
    <w:rsid w:val="00D216E4"/>
    <w:rsid w:val="00D21B72"/>
    <w:rsid w:val="00D220A2"/>
    <w:rsid w:val="00D22785"/>
    <w:rsid w:val="00D23069"/>
    <w:rsid w:val="00D23394"/>
    <w:rsid w:val="00D23A96"/>
    <w:rsid w:val="00D25611"/>
    <w:rsid w:val="00D30621"/>
    <w:rsid w:val="00D308EB"/>
    <w:rsid w:val="00D30B89"/>
    <w:rsid w:val="00D30D02"/>
    <w:rsid w:val="00D3234A"/>
    <w:rsid w:val="00D32B9E"/>
    <w:rsid w:val="00D32CF5"/>
    <w:rsid w:val="00D333FC"/>
    <w:rsid w:val="00D3435A"/>
    <w:rsid w:val="00D35397"/>
    <w:rsid w:val="00D35D77"/>
    <w:rsid w:val="00D375A7"/>
    <w:rsid w:val="00D40BFD"/>
    <w:rsid w:val="00D421FC"/>
    <w:rsid w:val="00D440D2"/>
    <w:rsid w:val="00D4587C"/>
    <w:rsid w:val="00D45A51"/>
    <w:rsid w:val="00D45C70"/>
    <w:rsid w:val="00D509A5"/>
    <w:rsid w:val="00D523A1"/>
    <w:rsid w:val="00D53476"/>
    <w:rsid w:val="00D54C56"/>
    <w:rsid w:val="00D56B26"/>
    <w:rsid w:val="00D576CE"/>
    <w:rsid w:val="00D57774"/>
    <w:rsid w:val="00D577CD"/>
    <w:rsid w:val="00D60347"/>
    <w:rsid w:val="00D60455"/>
    <w:rsid w:val="00D60E27"/>
    <w:rsid w:val="00D61966"/>
    <w:rsid w:val="00D61F02"/>
    <w:rsid w:val="00D621C2"/>
    <w:rsid w:val="00D628B3"/>
    <w:rsid w:val="00D63174"/>
    <w:rsid w:val="00D63F7D"/>
    <w:rsid w:val="00D651B8"/>
    <w:rsid w:val="00D67259"/>
    <w:rsid w:val="00D67A2D"/>
    <w:rsid w:val="00D67B08"/>
    <w:rsid w:val="00D70339"/>
    <w:rsid w:val="00D70986"/>
    <w:rsid w:val="00D70A43"/>
    <w:rsid w:val="00D70FAD"/>
    <w:rsid w:val="00D71105"/>
    <w:rsid w:val="00D723DE"/>
    <w:rsid w:val="00D73012"/>
    <w:rsid w:val="00D74648"/>
    <w:rsid w:val="00D750AD"/>
    <w:rsid w:val="00D7518A"/>
    <w:rsid w:val="00D76723"/>
    <w:rsid w:val="00D76DE5"/>
    <w:rsid w:val="00D77145"/>
    <w:rsid w:val="00D77458"/>
    <w:rsid w:val="00D77DA5"/>
    <w:rsid w:val="00D77ECE"/>
    <w:rsid w:val="00D804FD"/>
    <w:rsid w:val="00D81C89"/>
    <w:rsid w:val="00D81EE4"/>
    <w:rsid w:val="00D8388E"/>
    <w:rsid w:val="00D83B3D"/>
    <w:rsid w:val="00D84344"/>
    <w:rsid w:val="00D86C70"/>
    <w:rsid w:val="00D86CF2"/>
    <w:rsid w:val="00D8759A"/>
    <w:rsid w:val="00D9063B"/>
    <w:rsid w:val="00D94B8F"/>
    <w:rsid w:val="00D960DF"/>
    <w:rsid w:val="00D96618"/>
    <w:rsid w:val="00D97544"/>
    <w:rsid w:val="00D9761A"/>
    <w:rsid w:val="00D9768F"/>
    <w:rsid w:val="00DA000F"/>
    <w:rsid w:val="00DA05AC"/>
    <w:rsid w:val="00DA227D"/>
    <w:rsid w:val="00DA2B87"/>
    <w:rsid w:val="00DA2CAD"/>
    <w:rsid w:val="00DA3475"/>
    <w:rsid w:val="00DA3F5D"/>
    <w:rsid w:val="00DA4E59"/>
    <w:rsid w:val="00DB0B8B"/>
    <w:rsid w:val="00DB402C"/>
    <w:rsid w:val="00DB5A82"/>
    <w:rsid w:val="00DB61B8"/>
    <w:rsid w:val="00DC1707"/>
    <w:rsid w:val="00DC1D32"/>
    <w:rsid w:val="00DC2E74"/>
    <w:rsid w:val="00DC3776"/>
    <w:rsid w:val="00DC3A41"/>
    <w:rsid w:val="00DC44CD"/>
    <w:rsid w:val="00DC48B4"/>
    <w:rsid w:val="00DC6F45"/>
    <w:rsid w:val="00DC71D8"/>
    <w:rsid w:val="00DC7568"/>
    <w:rsid w:val="00DC7D31"/>
    <w:rsid w:val="00DD029D"/>
    <w:rsid w:val="00DD0D0A"/>
    <w:rsid w:val="00DD11C3"/>
    <w:rsid w:val="00DD15FF"/>
    <w:rsid w:val="00DD2D2C"/>
    <w:rsid w:val="00DD4116"/>
    <w:rsid w:val="00DD7951"/>
    <w:rsid w:val="00DE0513"/>
    <w:rsid w:val="00DE0D1D"/>
    <w:rsid w:val="00DE402B"/>
    <w:rsid w:val="00DE40E5"/>
    <w:rsid w:val="00DE50B5"/>
    <w:rsid w:val="00DE58E9"/>
    <w:rsid w:val="00DE7BA8"/>
    <w:rsid w:val="00DF00CF"/>
    <w:rsid w:val="00DF0391"/>
    <w:rsid w:val="00DF1571"/>
    <w:rsid w:val="00DF5911"/>
    <w:rsid w:val="00DF6347"/>
    <w:rsid w:val="00DF7319"/>
    <w:rsid w:val="00DF761D"/>
    <w:rsid w:val="00E00508"/>
    <w:rsid w:val="00E02ABC"/>
    <w:rsid w:val="00E03057"/>
    <w:rsid w:val="00E04AC9"/>
    <w:rsid w:val="00E061F8"/>
    <w:rsid w:val="00E07047"/>
    <w:rsid w:val="00E07265"/>
    <w:rsid w:val="00E100F7"/>
    <w:rsid w:val="00E10B0B"/>
    <w:rsid w:val="00E12AC9"/>
    <w:rsid w:val="00E13AD7"/>
    <w:rsid w:val="00E14280"/>
    <w:rsid w:val="00E15671"/>
    <w:rsid w:val="00E162F8"/>
    <w:rsid w:val="00E16AF6"/>
    <w:rsid w:val="00E21115"/>
    <w:rsid w:val="00E21D6D"/>
    <w:rsid w:val="00E23AEC"/>
    <w:rsid w:val="00E245D0"/>
    <w:rsid w:val="00E26870"/>
    <w:rsid w:val="00E26BAF"/>
    <w:rsid w:val="00E26CCA"/>
    <w:rsid w:val="00E30F86"/>
    <w:rsid w:val="00E3244C"/>
    <w:rsid w:val="00E3390F"/>
    <w:rsid w:val="00E33B81"/>
    <w:rsid w:val="00E341CB"/>
    <w:rsid w:val="00E35DDE"/>
    <w:rsid w:val="00E35F53"/>
    <w:rsid w:val="00E42D54"/>
    <w:rsid w:val="00E438DD"/>
    <w:rsid w:val="00E4487F"/>
    <w:rsid w:val="00E4533A"/>
    <w:rsid w:val="00E45947"/>
    <w:rsid w:val="00E459EA"/>
    <w:rsid w:val="00E47F00"/>
    <w:rsid w:val="00E50EE0"/>
    <w:rsid w:val="00E51AC9"/>
    <w:rsid w:val="00E51C3A"/>
    <w:rsid w:val="00E54A08"/>
    <w:rsid w:val="00E54A63"/>
    <w:rsid w:val="00E54DCA"/>
    <w:rsid w:val="00E56979"/>
    <w:rsid w:val="00E56D23"/>
    <w:rsid w:val="00E575FC"/>
    <w:rsid w:val="00E60BC8"/>
    <w:rsid w:val="00E63242"/>
    <w:rsid w:val="00E65E5A"/>
    <w:rsid w:val="00E702C8"/>
    <w:rsid w:val="00E73DB5"/>
    <w:rsid w:val="00E7534D"/>
    <w:rsid w:val="00E77722"/>
    <w:rsid w:val="00E80456"/>
    <w:rsid w:val="00E8078D"/>
    <w:rsid w:val="00E80AD1"/>
    <w:rsid w:val="00E8344B"/>
    <w:rsid w:val="00E8409B"/>
    <w:rsid w:val="00E840A7"/>
    <w:rsid w:val="00E87C51"/>
    <w:rsid w:val="00E90E42"/>
    <w:rsid w:val="00E925ED"/>
    <w:rsid w:val="00E92B5E"/>
    <w:rsid w:val="00E93D53"/>
    <w:rsid w:val="00E95364"/>
    <w:rsid w:val="00E95EB4"/>
    <w:rsid w:val="00E96FF8"/>
    <w:rsid w:val="00E97A91"/>
    <w:rsid w:val="00EA0CB2"/>
    <w:rsid w:val="00EA16F0"/>
    <w:rsid w:val="00EA1F47"/>
    <w:rsid w:val="00EA225A"/>
    <w:rsid w:val="00EA2BAA"/>
    <w:rsid w:val="00EA37F1"/>
    <w:rsid w:val="00EA388E"/>
    <w:rsid w:val="00EA3CDD"/>
    <w:rsid w:val="00EA5229"/>
    <w:rsid w:val="00EA5A5F"/>
    <w:rsid w:val="00EA73F5"/>
    <w:rsid w:val="00EB113E"/>
    <w:rsid w:val="00EB1247"/>
    <w:rsid w:val="00EB290D"/>
    <w:rsid w:val="00EB2B49"/>
    <w:rsid w:val="00EB38ED"/>
    <w:rsid w:val="00EC091C"/>
    <w:rsid w:val="00EC3C42"/>
    <w:rsid w:val="00EC4177"/>
    <w:rsid w:val="00EC5E6F"/>
    <w:rsid w:val="00EC7B7C"/>
    <w:rsid w:val="00ED0629"/>
    <w:rsid w:val="00ED1115"/>
    <w:rsid w:val="00ED12EC"/>
    <w:rsid w:val="00ED191E"/>
    <w:rsid w:val="00ED1E65"/>
    <w:rsid w:val="00ED246C"/>
    <w:rsid w:val="00ED325F"/>
    <w:rsid w:val="00ED3913"/>
    <w:rsid w:val="00ED67E8"/>
    <w:rsid w:val="00ED6AEC"/>
    <w:rsid w:val="00ED70C0"/>
    <w:rsid w:val="00EE0CFE"/>
    <w:rsid w:val="00EE0D4C"/>
    <w:rsid w:val="00EE275B"/>
    <w:rsid w:val="00EE2E80"/>
    <w:rsid w:val="00EE32FF"/>
    <w:rsid w:val="00EE6053"/>
    <w:rsid w:val="00EE6C16"/>
    <w:rsid w:val="00EE757A"/>
    <w:rsid w:val="00EF1BF2"/>
    <w:rsid w:val="00EF2032"/>
    <w:rsid w:val="00EF2453"/>
    <w:rsid w:val="00EF3FD8"/>
    <w:rsid w:val="00EF44E6"/>
    <w:rsid w:val="00EF7955"/>
    <w:rsid w:val="00F007E8"/>
    <w:rsid w:val="00F017A0"/>
    <w:rsid w:val="00F0267A"/>
    <w:rsid w:val="00F02EB2"/>
    <w:rsid w:val="00F0430C"/>
    <w:rsid w:val="00F05FCA"/>
    <w:rsid w:val="00F06BFC"/>
    <w:rsid w:val="00F07EBA"/>
    <w:rsid w:val="00F10752"/>
    <w:rsid w:val="00F1098B"/>
    <w:rsid w:val="00F11E51"/>
    <w:rsid w:val="00F1261E"/>
    <w:rsid w:val="00F12789"/>
    <w:rsid w:val="00F131BC"/>
    <w:rsid w:val="00F13F3E"/>
    <w:rsid w:val="00F14389"/>
    <w:rsid w:val="00F14805"/>
    <w:rsid w:val="00F14A3A"/>
    <w:rsid w:val="00F1518C"/>
    <w:rsid w:val="00F151B2"/>
    <w:rsid w:val="00F158B5"/>
    <w:rsid w:val="00F159B2"/>
    <w:rsid w:val="00F16DB4"/>
    <w:rsid w:val="00F17D69"/>
    <w:rsid w:val="00F2107B"/>
    <w:rsid w:val="00F21D89"/>
    <w:rsid w:val="00F21E36"/>
    <w:rsid w:val="00F2209A"/>
    <w:rsid w:val="00F22AFF"/>
    <w:rsid w:val="00F23315"/>
    <w:rsid w:val="00F23519"/>
    <w:rsid w:val="00F245EE"/>
    <w:rsid w:val="00F24948"/>
    <w:rsid w:val="00F26809"/>
    <w:rsid w:val="00F278A3"/>
    <w:rsid w:val="00F2797D"/>
    <w:rsid w:val="00F30C4D"/>
    <w:rsid w:val="00F31284"/>
    <w:rsid w:val="00F31B3F"/>
    <w:rsid w:val="00F324A9"/>
    <w:rsid w:val="00F32EF2"/>
    <w:rsid w:val="00F33EE8"/>
    <w:rsid w:val="00F34570"/>
    <w:rsid w:val="00F354B9"/>
    <w:rsid w:val="00F35CDB"/>
    <w:rsid w:val="00F36010"/>
    <w:rsid w:val="00F36797"/>
    <w:rsid w:val="00F36AEF"/>
    <w:rsid w:val="00F4030B"/>
    <w:rsid w:val="00F40626"/>
    <w:rsid w:val="00F41CD0"/>
    <w:rsid w:val="00F42CF7"/>
    <w:rsid w:val="00F43669"/>
    <w:rsid w:val="00F44474"/>
    <w:rsid w:val="00F44AF9"/>
    <w:rsid w:val="00F44DCF"/>
    <w:rsid w:val="00F451F4"/>
    <w:rsid w:val="00F45966"/>
    <w:rsid w:val="00F46035"/>
    <w:rsid w:val="00F47CD2"/>
    <w:rsid w:val="00F50670"/>
    <w:rsid w:val="00F52E81"/>
    <w:rsid w:val="00F531EB"/>
    <w:rsid w:val="00F56CF6"/>
    <w:rsid w:val="00F5707E"/>
    <w:rsid w:val="00F57C5B"/>
    <w:rsid w:val="00F60311"/>
    <w:rsid w:val="00F62B72"/>
    <w:rsid w:val="00F62E9F"/>
    <w:rsid w:val="00F63F6D"/>
    <w:rsid w:val="00F64F72"/>
    <w:rsid w:val="00F65D99"/>
    <w:rsid w:val="00F664D4"/>
    <w:rsid w:val="00F66BDD"/>
    <w:rsid w:val="00F66F9B"/>
    <w:rsid w:val="00F67F00"/>
    <w:rsid w:val="00F706B3"/>
    <w:rsid w:val="00F71863"/>
    <w:rsid w:val="00F73071"/>
    <w:rsid w:val="00F7323D"/>
    <w:rsid w:val="00F73A1D"/>
    <w:rsid w:val="00F7631A"/>
    <w:rsid w:val="00F76898"/>
    <w:rsid w:val="00F769C2"/>
    <w:rsid w:val="00F77FF0"/>
    <w:rsid w:val="00F8118B"/>
    <w:rsid w:val="00F828A4"/>
    <w:rsid w:val="00F82E93"/>
    <w:rsid w:val="00F86F44"/>
    <w:rsid w:val="00F87613"/>
    <w:rsid w:val="00F927D0"/>
    <w:rsid w:val="00F92819"/>
    <w:rsid w:val="00F93F43"/>
    <w:rsid w:val="00F94B63"/>
    <w:rsid w:val="00F95631"/>
    <w:rsid w:val="00F96079"/>
    <w:rsid w:val="00F96506"/>
    <w:rsid w:val="00FA23D3"/>
    <w:rsid w:val="00FA2CF8"/>
    <w:rsid w:val="00FA3384"/>
    <w:rsid w:val="00FA515A"/>
    <w:rsid w:val="00FA6407"/>
    <w:rsid w:val="00FA6AEB"/>
    <w:rsid w:val="00FB0508"/>
    <w:rsid w:val="00FB062B"/>
    <w:rsid w:val="00FB0962"/>
    <w:rsid w:val="00FB0D4F"/>
    <w:rsid w:val="00FB3211"/>
    <w:rsid w:val="00FB338F"/>
    <w:rsid w:val="00FB3BBB"/>
    <w:rsid w:val="00FB6246"/>
    <w:rsid w:val="00FB64C6"/>
    <w:rsid w:val="00FB76E5"/>
    <w:rsid w:val="00FC06B0"/>
    <w:rsid w:val="00FC07A4"/>
    <w:rsid w:val="00FC0F9F"/>
    <w:rsid w:val="00FC10EF"/>
    <w:rsid w:val="00FC1D42"/>
    <w:rsid w:val="00FC2496"/>
    <w:rsid w:val="00FC39BD"/>
    <w:rsid w:val="00FC7014"/>
    <w:rsid w:val="00FD06A2"/>
    <w:rsid w:val="00FD06E7"/>
    <w:rsid w:val="00FD22FD"/>
    <w:rsid w:val="00FD3E48"/>
    <w:rsid w:val="00FD3E8E"/>
    <w:rsid w:val="00FD54E9"/>
    <w:rsid w:val="00FD65D6"/>
    <w:rsid w:val="00FD6E6B"/>
    <w:rsid w:val="00FD6FE4"/>
    <w:rsid w:val="00FD7C5E"/>
    <w:rsid w:val="00FE0FBF"/>
    <w:rsid w:val="00FE1D8A"/>
    <w:rsid w:val="00FE2CC8"/>
    <w:rsid w:val="00FE2EEA"/>
    <w:rsid w:val="00FF2094"/>
    <w:rsid w:val="00FF252C"/>
    <w:rsid w:val="00FF34F9"/>
    <w:rsid w:val="00FF6EBE"/>
    <w:rsid w:val="00FF7C7A"/>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5:docId w15:val="{A473F0EA-5816-40EC-91BB-C1291BF17E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AU" w:eastAsia="en-AU"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83F68"/>
    <w:pPr>
      <w:spacing w:after="200" w:line="276" w:lineRule="auto"/>
    </w:pPr>
    <w:rPr>
      <w:rFonts w:ascii="Times New Roman" w:hAnsi="Times New Roman"/>
      <w:sz w:val="24"/>
      <w:szCs w:val="22"/>
      <w:lang w:eastAsia="en-US"/>
    </w:rPr>
  </w:style>
  <w:style w:type="paragraph" w:styleId="Heading1">
    <w:name w:val="heading 1"/>
    <w:aliases w:val="'Part' Heading"/>
    <w:basedOn w:val="Normal"/>
    <w:next w:val="Normal"/>
    <w:link w:val="Heading1Char"/>
    <w:uiPriority w:val="9"/>
    <w:qFormat/>
    <w:rsid w:val="00501993"/>
    <w:pPr>
      <w:keepNext/>
      <w:spacing w:before="240" w:after="120"/>
      <w:outlineLvl w:val="0"/>
    </w:pPr>
    <w:rPr>
      <w:rFonts w:eastAsia="Times New Roman"/>
      <w:b/>
      <w:bCs/>
      <w:kern w:val="32"/>
      <w:sz w:val="28"/>
      <w:szCs w:val="32"/>
    </w:rPr>
  </w:style>
  <w:style w:type="paragraph" w:styleId="Heading2">
    <w:name w:val="heading 2"/>
    <w:basedOn w:val="Normal"/>
    <w:next w:val="Normal"/>
    <w:link w:val="Heading2Char"/>
    <w:uiPriority w:val="9"/>
    <w:unhideWhenUsed/>
    <w:qFormat/>
    <w:rsid w:val="006431CF"/>
    <w:pPr>
      <w:keepNext/>
      <w:spacing w:before="240" w:after="60"/>
      <w:outlineLvl w:val="1"/>
    </w:pPr>
    <w:rPr>
      <w:rFonts w:eastAsia="Times New Roman"/>
      <w:b/>
      <w:bCs/>
      <w:iCs/>
      <w:szCs w:val="28"/>
      <w:u w:val="single"/>
    </w:rPr>
  </w:style>
  <w:style w:type="paragraph" w:styleId="Heading3">
    <w:name w:val="heading 3"/>
    <w:aliases w:val="'Division' heading,Division heading"/>
    <w:basedOn w:val="Normal"/>
    <w:next w:val="Normal"/>
    <w:link w:val="Heading3Char"/>
    <w:uiPriority w:val="9"/>
    <w:unhideWhenUsed/>
    <w:qFormat/>
    <w:rsid w:val="00480CA5"/>
    <w:pPr>
      <w:spacing w:before="240" w:after="120"/>
      <w:outlineLvl w:val="2"/>
    </w:pPr>
    <w:rPr>
      <w:b/>
      <w:sz w:val="26"/>
      <w:szCs w:val="26"/>
    </w:rPr>
  </w:style>
  <w:style w:type="paragraph" w:styleId="Heading4">
    <w:name w:val="heading 4"/>
    <w:aliases w:val="'Clause' heading"/>
    <w:basedOn w:val="Normal"/>
    <w:next w:val="Normal"/>
    <w:link w:val="Heading4Char"/>
    <w:uiPriority w:val="9"/>
    <w:unhideWhenUsed/>
    <w:qFormat/>
    <w:rsid w:val="0092403F"/>
    <w:pPr>
      <w:keepNext/>
      <w:spacing w:before="240" w:after="120"/>
      <w:outlineLvl w:val="3"/>
    </w:pPr>
    <w:rPr>
      <w:b/>
      <w:szCs w:val="24"/>
    </w:rPr>
  </w:style>
  <w:style w:type="paragraph" w:styleId="Heading5">
    <w:name w:val="heading 5"/>
    <w:aliases w:val="New Section heading"/>
    <w:basedOn w:val="Heading4"/>
    <w:next w:val="Normal"/>
    <w:link w:val="Heading5Char"/>
    <w:uiPriority w:val="9"/>
    <w:unhideWhenUsed/>
    <w:qFormat/>
    <w:rsid w:val="008D709F"/>
    <w:pPr>
      <w:keepNext w:val="0"/>
      <w:outlineLvl w:val="4"/>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B61611"/>
    <w:rPr>
      <w:sz w:val="16"/>
      <w:szCs w:val="16"/>
    </w:rPr>
  </w:style>
  <w:style w:type="paragraph" w:styleId="CommentText">
    <w:name w:val="annotation text"/>
    <w:basedOn w:val="Normal"/>
    <w:link w:val="CommentTextChar"/>
    <w:uiPriority w:val="99"/>
    <w:semiHidden/>
    <w:unhideWhenUsed/>
    <w:rsid w:val="00B61611"/>
    <w:rPr>
      <w:sz w:val="20"/>
      <w:szCs w:val="20"/>
    </w:rPr>
  </w:style>
  <w:style w:type="character" w:customStyle="1" w:styleId="CommentTextChar">
    <w:name w:val="Comment Text Char"/>
    <w:basedOn w:val="DefaultParagraphFont"/>
    <w:link w:val="CommentText"/>
    <w:uiPriority w:val="99"/>
    <w:semiHidden/>
    <w:rsid w:val="00B61611"/>
    <w:rPr>
      <w:lang w:eastAsia="en-US"/>
    </w:rPr>
  </w:style>
  <w:style w:type="paragraph" w:styleId="CommentSubject">
    <w:name w:val="annotation subject"/>
    <w:basedOn w:val="CommentText"/>
    <w:next w:val="CommentText"/>
    <w:link w:val="CommentSubjectChar"/>
    <w:uiPriority w:val="99"/>
    <w:semiHidden/>
    <w:unhideWhenUsed/>
    <w:rsid w:val="00B61611"/>
    <w:rPr>
      <w:b/>
      <w:bCs/>
    </w:rPr>
  </w:style>
  <w:style w:type="character" w:customStyle="1" w:styleId="CommentSubjectChar">
    <w:name w:val="Comment Subject Char"/>
    <w:basedOn w:val="CommentTextChar"/>
    <w:link w:val="CommentSubject"/>
    <w:uiPriority w:val="99"/>
    <w:semiHidden/>
    <w:rsid w:val="00B61611"/>
    <w:rPr>
      <w:b/>
      <w:bCs/>
      <w:lang w:eastAsia="en-US"/>
    </w:rPr>
  </w:style>
  <w:style w:type="paragraph" w:styleId="BalloonText">
    <w:name w:val="Balloon Text"/>
    <w:basedOn w:val="Normal"/>
    <w:link w:val="BalloonTextChar"/>
    <w:uiPriority w:val="99"/>
    <w:semiHidden/>
    <w:unhideWhenUsed/>
    <w:rsid w:val="00B6161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61611"/>
    <w:rPr>
      <w:rFonts w:ascii="Tahoma" w:hAnsi="Tahoma" w:cs="Tahoma"/>
      <w:sz w:val="16"/>
      <w:szCs w:val="16"/>
      <w:lang w:eastAsia="en-US"/>
    </w:rPr>
  </w:style>
  <w:style w:type="character" w:customStyle="1" w:styleId="ListParagraphChar">
    <w:name w:val="List Paragraph Char"/>
    <w:aliases w:val="List Paragraph1 Char,Recommendation Char,List Paragraph11 Char,1 Recommendation Char,Bullet point Char,L Char"/>
    <w:basedOn w:val="DefaultParagraphFont"/>
    <w:link w:val="ListParagraph"/>
    <w:uiPriority w:val="34"/>
    <w:locked/>
    <w:rsid w:val="00BE4528"/>
  </w:style>
  <w:style w:type="paragraph" w:styleId="ListParagraph">
    <w:name w:val="List Paragraph"/>
    <w:aliases w:val="List Paragraph1,Recommendation,List Paragraph11,1 Recommendation,Bullet point,L"/>
    <w:basedOn w:val="Normal"/>
    <w:link w:val="ListParagraphChar"/>
    <w:uiPriority w:val="34"/>
    <w:qFormat/>
    <w:rsid w:val="00BE4528"/>
    <w:pPr>
      <w:ind w:left="720"/>
    </w:pPr>
    <w:rPr>
      <w:sz w:val="20"/>
      <w:szCs w:val="20"/>
      <w:lang w:eastAsia="en-AU"/>
    </w:rPr>
  </w:style>
  <w:style w:type="paragraph" w:styleId="Header">
    <w:name w:val="header"/>
    <w:basedOn w:val="Normal"/>
    <w:link w:val="HeaderChar"/>
    <w:uiPriority w:val="99"/>
    <w:rsid w:val="00BE4528"/>
    <w:pPr>
      <w:widowControl w:val="0"/>
      <w:tabs>
        <w:tab w:val="center" w:pos="4320"/>
        <w:tab w:val="right" w:pos="8640"/>
      </w:tabs>
      <w:spacing w:after="0" w:line="240" w:lineRule="auto"/>
    </w:pPr>
    <w:rPr>
      <w:rFonts w:eastAsia="Times New Roman"/>
      <w:szCs w:val="20"/>
      <w:lang w:val="en-GB"/>
    </w:rPr>
  </w:style>
  <w:style w:type="character" w:customStyle="1" w:styleId="HeaderChar">
    <w:name w:val="Header Char"/>
    <w:basedOn w:val="DefaultParagraphFont"/>
    <w:link w:val="Header"/>
    <w:uiPriority w:val="99"/>
    <w:rsid w:val="00BE4528"/>
    <w:rPr>
      <w:rFonts w:ascii="Times New Roman" w:eastAsia="Times New Roman" w:hAnsi="Times New Roman"/>
      <w:sz w:val="24"/>
      <w:lang w:val="en-GB" w:eastAsia="en-US"/>
    </w:rPr>
  </w:style>
  <w:style w:type="paragraph" w:styleId="Footer">
    <w:name w:val="footer"/>
    <w:basedOn w:val="Normal"/>
    <w:link w:val="FooterChar"/>
    <w:uiPriority w:val="99"/>
    <w:unhideWhenUsed/>
    <w:rsid w:val="00EB113E"/>
    <w:pPr>
      <w:tabs>
        <w:tab w:val="center" w:pos="4513"/>
        <w:tab w:val="right" w:pos="9026"/>
      </w:tabs>
    </w:pPr>
  </w:style>
  <w:style w:type="character" w:customStyle="1" w:styleId="FooterChar">
    <w:name w:val="Footer Char"/>
    <w:basedOn w:val="DefaultParagraphFont"/>
    <w:link w:val="Footer"/>
    <w:uiPriority w:val="99"/>
    <w:rsid w:val="00EB113E"/>
    <w:rPr>
      <w:sz w:val="22"/>
      <w:szCs w:val="22"/>
      <w:lang w:eastAsia="en-US"/>
    </w:rPr>
  </w:style>
  <w:style w:type="paragraph" w:customStyle="1" w:styleId="Default">
    <w:name w:val="Default"/>
    <w:rsid w:val="006D2508"/>
    <w:pPr>
      <w:autoSpaceDE w:val="0"/>
      <w:autoSpaceDN w:val="0"/>
      <w:adjustRightInd w:val="0"/>
    </w:pPr>
    <w:rPr>
      <w:rFonts w:ascii="Arial" w:hAnsi="Arial" w:cs="Arial"/>
      <w:color w:val="000000"/>
      <w:sz w:val="24"/>
      <w:szCs w:val="24"/>
    </w:rPr>
  </w:style>
  <w:style w:type="paragraph" w:styleId="FootnoteText">
    <w:name w:val="footnote text"/>
    <w:aliases w:val="Footnote Text Char1 Char,Footnote Text Char Char Char,Footnote Text Char Char Char Char Char Char Char Char Char Char Char,Footnote Text Char Char Char Char Char Char Char Char,Footnote Text Char2 Char,Char,FA Fu,Footnote Text Char Char"/>
    <w:basedOn w:val="Normal"/>
    <w:link w:val="FootnoteTextChar"/>
    <w:uiPriority w:val="99"/>
    <w:rsid w:val="006D2508"/>
    <w:pPr>
      <w:spacing w:after="0" w:line="240" w:lineRule="auto"/>
    </w:pPr>
    <w:rPr>
      <w:rFonts w:ascii="Arial" w:hAnsi="Arial"/>
      <w:sz w:val="20"/>
      <w:szCs w:val="20"/>
    </w:rPr>
  </w:style>
  <w:style w:type="character" w:customStyle="1" w:styleId="FootnoteTextChar">
    <w:name w:val="Footnote Text Char"/>
    <w:aliases w:val="Footnote Text Char1 Char Char,Footnote Text Char Char Char Char,Footnote Text Char Char Char Char Char Char Char Char Char Char Char Char,Footnote Text Char Char Char Char Char Char Char Char Char,Footnote Text Char2 Char Char"/>
    <w:basedOn w:val="DefaultParagraphFont"/>
    <w:link w:val="FootnoteText"/>
    <w:uiPriority w:val="99"/>
    <w:rsid w:val="006D2508"/>
    <w:rPr>
      <w:rFonts w:ascii="Arial" w:hAnsi="Arial"/>
      <w:lang w:eastAsia="en-US"/>
    </w:rPr>
  </w:style>
  <w:style w:type="character" w:styleId="FootnoteReference">
    <w:name w:val="footnote reference"/>
    <w:aliases w:val="Footnote number,Footnotes refss"/>
    <w:basedOn w:val="DefaultParagraphFont"/>
    <w:uiPriority w:val="99"/>
    <w:rsid w:val="006D2508"/>
    <w:rPr>
      <w:rFonts w:cs="Times New Roman"/>
      <w:vertAlign w:val="superscript"/>
    </w:rPr>
  </w:style>
  <w:style w:type="character" w:customStyle="1" w:styleId="field-content">
    <w:name w:val="field-content"/>
    <w:basedOn w:val="DefaultParagraphFont"/>
    <w:rsid w:val="006D2508"/>
  </w:style>
  <w:style w:type="paragraph" w:styleId="NoSpacing">
    <w:name w:val="No Spacing"/>
    <w:link w:val="NoSpacingChar"/>
    <w:uiPriority w:val="1"/>
    <w:qFormat/>
    <w:rsid w:val="006D2508"/>
    <w:rPr>
      <w:rFonts w:ascii="Times New Roman" w:hAnsi="Times New Roman"/>
      <w:sz w:val="24"/>
      <w:szCs w:val="22"/>
      <w:lang w:eastAsia="en-US"/>
    </w:rPr>
  </w:style>
  <w:style w:type="paragraph" w:styleId="EndnoteText">
    <w:name w:val="endnote text"/>
    <w:basedOn w:val="Normal"/>
    <w:link w:val="EndnoteTextChar"/>
    <w:uiPriority w:val="99"/>
    <w:semiHidden/>
    <w:unhideWhenUsed/>
    <w:rsid w:val="002E67C3"/>
    <w:rPr>
      <w:sz w:val="20"/>
      <w:szCs w:val="20"/>
    </w:rPr>
  </w:style>
  <w:style w:type="character" w:customStyle="1" w:styleId="EndnoteTextChar">
    <w:name w:val="Endnote Text Char"/>
    <w:basedOn w:val="DefaultParagraphFont"/>
    <w:link w:val="EndnoteText"/>
    <w:uiPriority w:val="99"/>
    <w:semiHidden/>
    <w:rsid w:val="002E67C3"/>
    <w:rPr>
      <w:lang w:eastAsia="en-US"/>
    </w:rPr>
  </w:style>
  <w:style w:type="character" w:styleId="EndnoteReference">
    <w:name w:val="endnote reference"/>
    <w:basedOn w:val="DefaultParagraphFont"/>
    <w:uiPriority w:val="99"/>
    <w:semiHidden/>
    <w:unhideWhenUsed/>
    <w:rsid w:val="002E67C3"/>
    <w:rPr>
      <w:vertAlign w:val="superscript"/>
    </w:rPr>
  </w:style>
  <w:style w:type="character" w:styleId="Hyperlink">
    <w:name w:val="Hyperlink"/>
    <w:basedOn w:val="DefaultParagraphFont"/>
    <w:uiPriority w:val="99"/>
    <w:unhideWhenUsed/>
    <w:rsid w:val="00B33559"/>
    <w:rPr>
      <w:color w:val="0000FF"/>
      <w:u w:val="single"/>
    </w:rPr>
  </w:style>
  <w:style w:type="paragraph" w:styleId="NormalWeb">
    <w:name w:val="Normal (Web)"/>
    <w:basedOn w:val="Normal"/>
    <w:uiPriority w:val="99"/>
    <w:semiHidden/>
    <w:unhideWhenUsed/>
    <w:rsid w:val="00B33559"/>
    <w:pPr>
      <w:spacing w:before="100" w:beforeAutospacing="1" w:after="100" w:afterAutospacing="1" w:line="240" w:lineRule="auto"/>
    </w:pPr>
    <w:rPr>
      <w:rFonts w:eastAsia="Times New Roman"/>
      <w:szCs w:val="24"/>
      <w:lang w:eastAsia="en-AU"/>
    </w:rPr>
  </w:style>
  <w:style w:type="character" w:styleId="Emphasis">
    <w:name w:val="Emphasis"/>
    <w:basedOn w:val="DefaultParagraphFont"/>
    <w:uiPriority w:val="20"/>
    <w:qFormat/>
    <w:rsid w:val="00B33559"/>
    <w:rPr>
      <w:i/>
      <w:iCs/>
    </w:rPr>
  </w:style>
  <w:style w:type="paragraph" w:customStyle="1" w:styleId="s30eec3f8">
    <w:name w:val="s30eec3f8"/>
    <w:basedOn w:val="Normal"/>
    <w:rsid w:val="005716E4"/>
    <w:pPr>
      <w:spacing w:before="100" w:beforeAutospacing="1" w:after="100" w:afterAutospacing="1" w:line="240" w:lineRule="auto"/>
    </w:pPr>
    <w:rPr>
      <w:rFonts w:eastAsia="Times New Roman"/>
      <w:szCs w:val="24"/>
      <w:lang w:eastAsia="en-AU"/>
    </w:rPr>
  </w:style>
  <w:style w:type="character" w:customStyle="1" w:styleId="sb8d990e2">
    <w:name w:val="sb8d990e2"/>
    <w:basedOn w:val="DefaultParagraphFont"/>
    <w:rsid w:val="005716E4"/>
  </w:style>
  <w:style w:type="character" w:customStyle="1" w:styleId="s6b621b36">
    <w:name w:val="s6b621b36"/>
    <w:basedOn w:val="DefaultParagraphFont"/>
    <w:rsid w:val="005716E4"/>
  </w:style>
  <w:style w:type="character" w:styleId="FollowedHyperlink">
    <w:name w:val="FollowedHyperlink"/>
    <w:basedOn w:val="DefaultParagraphFont"/>
    <w:uiPriority w:val="99"/>
    <w:semiHidden/>
    <w:unhideWhenUsed/>
    <w:rsid w:val="00627361"/>
    <w:rPr>
      <w:color w:val="800080"/>
      <w:u w:val="single"/>
    </w:rPr>
  </w:style>
  <w:style w:type="character" w:customStyle="1" w:styleId="Heading1Char">
    <w:name w:val="Heading 1 Char"/>
    <w:aliases w:val="'Part' Heading Char"/>
    <w:basedOn w:val="DefaultParagraphFont"/>
    <w:link w:val="Heading1"/>
    <w:uiPriority w:val="9"/>
    <w:rsid w:val="00501993"/>
    <w:rPr>
      <w:rFonts w:ascii="Times New Roman" w:eastAsia="Times New Roman" w:hAnsi="Times New Roman" w:cs="Times New Roman"/>
      <w:b/>
      <w:bCs/>
      <w:kern w:val="32"/>
      <w:sz w:val="28"/>
      <w:szCs w:val="32"/>
      <w:lang w:eastAsia="en-US"/>
    </w:rPr>
  </w:style>
  <w:style w:type="paragraph" w:styleId="TOC1">
    <w:name w:val="toc 1"/>
    <w:basedOn w:val="Normal"/>
    <w:next w:val="Normal"/>
    <w:autoRedefine/>
    <w:uiPriority w:val="39"/>
    <w:unhideWhenUsed/>
    <w:rsid w:val="00501993"/>
  </w:style>
  <w:style w:type="paragraph" w:styleId="Title">
    <w:name w:val="Title"/>
    <w:basedOn w:val="Normal"/>
    <w:next w:val="Normal"/>
    <w:link w:val="TitleChar"/>
    <w:uiPriority w:val="10"/>
    <w:qFormat/>
    <w:rsid w:val="00B83F68"/>
    <w:pPr>
      <w:spacing w:before="360" w:after="240"/>
      <w:jc w:val="center"/>
      <w:outlineLvl w:val="0"/>
    </w:pPr>
    <w:rPr>
      <w:rFonts w:eastAsia="Times New Roman"/>
      <w:b/>
      <w:bCs/>
      <w:kern w:val="28"/>
      <w:sz w:val="28"/>
      <w:szCs w:val="32"/>
    </w:rPr>
  </w:style>
  <w:style w:type="character" w:customStyle="1" w:styleId="TitleChar">
    <w:name w:val="Title Char"/>
    <w:basedOn w:val="DefaultParagraphFont"/>
    <w:link w:val="Title"/>
    <w:uiPriority w:val="10"/>
    <w:rsid w:val="00B83F68"/>
    <w:rPr>
      <w:rFonts w:ascii="Times New Roman" w:eastAsia="Times New Roman" w:hAnsi="Times New Roman" w:cs="Times New Roman"/>
      <w:b/>
      <w:bCs/>
      <w:kern w:val="28"/>
      <w:sz w:val="28"/>
      <w:szCs w:val="32"/>
      <w:lang w:eastAsia="en-US"/>
    </w:rPr>
  </w:style>
  <w:style w:type="character" w:customStyle="1" w:styleId="Heading2Char">
    <w:name w:val="Heading 2 Char"/>
    <w:basedOn w:val="DefaultParagraphFont"/>
    <w:link w:val="Heading2"/>
    <w:uiPriority w:val="9"/>
    <w:rsid w:val="006431CF"/>
    <w:rPr>
      <w:rFonts w:ascii="Times New Roman" w:eastAsia="Times New Roman" w:hAnsi="Times New Roman" w:cs="Times New Roman"/>
      <w:b/>
      <w:bCs/>
      <w:iCs/>
      <w:sz w:val="24"/>
      <w:szCs w:val="28"/>
      <w:u w:val="single"/>
      <w:lang w:eastAsia="en-US"/>
    </w:rPr>
  </w:style>
  <w:style w:type="paragraph" w:styleId="TOC2">
    <w:name w:val="toc 2"/>
    <w:basedOn w:val="Normal"/>
    <w:next w:val="Normal"/>
    <w:autoRedefine/>
    <w:uiPriority w:val="39"/>
    <w:unhideWhenUsed/>
    <w:rsid w:val="006431CF"/>
    <w:pPr>
      <w:ind w:left="240"/>
    </w:pPr>
  </w:style>
  <w:style w:type="paragraph" w:styleId="Caption">
    <w:name w:val="caption"/>
    <w:basedOn w:val="Normal"/>
    <w:next w:val="Normal"/>
    <w:uiPriority w:val="35"/>
    <w:unhideWhenUsed/>
    <w:qFormat/>
    <w:rsid w:val="00C71A66"/>
    <w:rPr>
      <w:b/>
      <w:bCs/>
      <w:sz w:val="20"/>
      <w:szCs w:val="20"/>
    </w:rPr>
  </w:style>
  <w:style w:type="character" w:customStyle="1" w:styleId="Heading3Char">
    <w:name w:val="Heading 3 Char"/>
    <w:aliases w:val="'Division' heading Char,Division heading Char"/>
    <w:basedOn w:val="DefaultParagraphFont"/>
    <w:link w:val="Heading3"/>
    <w:uiPriority w:val="9"/>
    <w:rsid w:val="00480CA5"/>
    <w:rPr>
      <w:rFonts w:ascii="Times New Roman" w:hAnsi="Times New Roman"/>
      <w:b/>
      <w:sz w:val="26"/>
      <w:szCs w:val="26"/>
      <w:lang w:eastAsia="en-US"/>
    </w:rPr>
  </w:style>
  <w:style w:type="paragraph" w:styleId="TOC3">
    <w:name w:val="toc 3"/>
    <w:basedOn w:val="Normal"/>
    <w:next w:val="Normal"/>
    <w:autoRedefine/>
    <w:uiPriority w:val="39"/>
    <w:unhideWhenUsed/>
    <w:rsid w:val="00E51C3A"/>
    <w:pPr>
      <w:spacing w:after="100"/>
      <w:ind w:left="480"/>
    </w:pPr>
  </w:style>
  <w:style w:type="paragraph" w:styleId="DocumentMap">
    <w:name w:val="Document Map"/>
    <w:basedOn w:val="Normal"/>
    <w:link w:val="DocumentMapChar"/>
    <w:uiPriority w:val="99"/>
    <w:semiHidden/>
    <w:unhideWhenUsed/>
    <w:rsid w:val="00125EC6"/>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125EC6"/>
    <w:rPr>
      <w:rFonts w:ascii="Tahoma" w:hAnsi="Tahoma" w:cs="Tahoma"/>
      <w:sz w:val="16"/>
      <w:szCs w:val="16"/>
      <w:lang w:eastAsia="en-US"/>
    </w:rPr>
  </w:style>
  <w:style w:type="paragraph" w:styleId="BodyText">
    <w:name w:val="Body Text"/>
    <w:basedOn w:val="Normal"/>
    <w:link w:val="BodyTextChar"/>
    <w:uiPriority w:val="1"/>
    <w:qFormat/>
    <w:rsid w:val="00CD129E"/>
    <w:pPr>
      <w:spacing w:before="240" w:after="120"/>
    </w:pPr>
    <w:rPr>
      <w:szCs w:val="24"/>
      <w:lang w:eastAsia="en-AU"/>
    </w:rPr>
  </w:style>
  <w:style w:type="character" w:customStyle="1" w:styleId="BodyTextChar">
    <w:name w:val="Body Text Char"/>
    <w:basedOn w:val="DefaultParagraphFont"/>
    <w:link w:val="BodyText"/>
    <w:uiPriority w:val="1"/>
    <w:rsid w:val="00CD129E"/>
    <w:rPr>
      <w:rFonts w:ascii="Times New Roman" w:hAnsi="Times New Roman"/>
      <w:sz w:val="24"/>
      <w:szCs w:val="24"/>
    </w:rPr>
  </w:style>
  <w:style w:type="table" w:styleId="TableGrid">
    <w:name w:val="Table Grid"/>
    <w:basedOn w:val="TableNormal"/>
    <w:uiPriority w:val="59"/>
    <w:rsid w:val="00852E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basedOn w:val="DefaultParagraphFont"/>
    <w:link w:val="NoSpacing"/>
    <w:uiPriority w:val="1"/>
    <w:rsid w:val="00852E04"/>
    <w:rPr>
      <w:rFonts w:ascii="Times New Roman" w:hAnsi="Times New Roman"/>
      <w:sz w:val="24"/>
      <w:szCs w:val="22"/>
      <w:lang w:eastAsia="en-US"/>
    </w:rPr>
  </w:style>
  <w:style w:type="character" w:customStyle="1" w:styleId="Heading4Char">
    <w:name w:val="Heading 4 Char"/>
    <w:aliases w:val="'Clause' heading Char"/>
    <w:basedOn w:val="DefaultParagraphFont"/>
    <w:link w:val="Heading4"/>
    <w:uiPriority w:val="9"/>
    <w:rsid w:val="0092403F"/>
    <w:rPr>
      <w:rFonts w:ascii="Times New Roman" w:hAnsi="Times New Roman"/>
      <w:b/>
      <w:sz w:val="24"/>
      <w:szCs w:val="24"/>
      <w:lang w:eastAsia="en-US"/>
    </w:rPr>
  </w:style>
  <w:style w:type="character" w:styleId="PlaceholderText">
    <w:name w:val="Placeholder Text"/>
    <w:basedOn w:val="DefaultParagraphFont"/>
    <w:uiPriority w:val="99"/>
    <w:semiHidden/>
    <w:rsid w:val="00A5134C"/>
    <w:rPr>
      <w:color w:val="808080"/>
    </w:rPr>
  </w:style>
  <w:style w:type="character" w:customStyle="1" w:styleId="Heading5Char">
    <w:name w:val="Heading 5 Char"/>
    <w:aliases w:val="New Section heading Char"/>
    <w:basedOn w:val="DefaultParagraphFont"/>
    <w:link w:val="Heading5"/>
    <w:uiPriority w:val="9"/>
    <w:rsid w:val="008D709F"/>
    <w:rPr>
      <w:rFonts w:ascii="Times New Roman" w:hAnsi="Times New Roman"/>
      <w:b/>
      <w:i/>
      <w:sz w:val="24"/>
      <w:szCs w:val="24"/>
      <w:lang w:eastAsia="en-US"/>
    </w:rPr>
  </w:style>
  <w:style w:type="paragraph" w:customStyle="1" w:styleId="CSNumbering">
    <w:name w:val="CS Numbering"/>
    <w:basedOn w:val="Normal"/>
    <w:rsid w:val="00DA4E59"/>
    <w:pPr>
      <w:numPr>
        <w:numId w:val="37"/>
      </w:numPr>
      <w:spacing w:after="240" w:line="240" w:lineRule="auto"/>
      <w:ind w:right="-45"/>
    </w:pPr>
    <w:rPr>
      <w:rFonts w:ascii="Calibri" w:eastAsiaTheme="minorHAnsi" w:hAnsi="Calibri"/>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371649">
      <w:bodyDiv w:val="1"/>
      <w:marLeft w:val="0"/>
      <w:marRight w:val="0"/>
      <w:marTop w:val="0"/>
      <w:marBottom w:val="0"/>
      <w:divBdr>
        <w:top w:val="none" w:sz="0" w:space="0" w:color="auto"/>
        <w:left w:val="none" w:sz="0" w:space="0" w:color="auto"/>
        <w:bottom w:val="none" w:sz="0" w:space="0" w:color="auto"/>
        <w:right w:val="none" w:sz="0" w:space="0" w:color="auto"/>
      </w:divBdr>
    </w:div>
    <w:div w:id="219705663">
      <w:bodyDiv w:val="1"/>
      <w:marLeft w:val="0"/>
      <w:marRight w:val="0"/>
      <w:marTop w:val="0"/>
      <w:marBottom w:val="0"/>
      <w:divBdr>
        <w:top w:val="none" w:sz="0" w:space="0" w:color="auto"/>
        <w:left w:val="none" w:sz="0" w:space="0" w:color="auto"/>
        <w:bottom w:val="none" w:sz="0" w:space="0" w:color="auto"/>
        <w:right w:val="none" w:sz="0" w:space="0" w:color="auto"/>
      </w:divBdr>
    </w:div>
    <w:div w:id="323557251">
      <w:bodyDiv w:val="1"/>
      <w:marLeft w:val="0"/>
      <w:marRight w:val="0"/>
      <w:marTop w:val="0"/>
      <w:marBottom w:val="0"/>
      <w:divBdr>
        <w:top w:val="none" w:sz="0" w:space="0" w:color="auto"/>
        <w:left w:val="none" w:sz="0" w:space="0" w:color="auto"/>
        <w:bottom w:val="none" w:sz="0" w:space="0" w:color="auto"/>
        <w:right w:val="none" w:sz="0" w:space="0" w:color="auto"/>
      </w:divBdr>
      <w:divsChild>
        <w:div w:id="1148281209">
          <w:marLeft w:val="0"/>
          <w:marRight w:val="0"/>
          <w:marTop w:val="0"/>
          <w:marBottom w:val="0"/>
          <w:divBdr>
            <w:top w:val="none" w:sz="0" w:space="0" w:color="auto"/>
            <w:left w:val="none" w:sz="0" w:space="0" w:color="auto"/>
            <w:bottom w:val="none" w:sz="0" w:space="0" w:color="auto"/>
            <w:right w:val="none" w:sz="0" w:space="0" w:color="auto"/>
          </w:divBdr>
          <w:divsChild>
            <w:div w:id="617302029">
              <w:marLeft w:val="-164"/>
              <w:marRight w:val="-164"/>
              <w:marTop w:val="0"/>
              <w:marBottom w:val="0"/>
              <w:divBdr>
                <w:top w:val="none" w:sz="0" w:space="0" w:color="auto"/>
                <w:left w:val="none" w:sz="0" w:space="0" w:color="auto"/>
                <w:bottom w:val="none" w:sz="0" w:space="0" w:color="auto"/>
                <w:right w:val="none" w:sz="0" w:space="0" w:color="auto"/>
              </w:divBdr>
              <w:divsChild>
                <w:div w:id="1885603898">
                  <w:marLeft w:val="0"/>
                  <w:marRight w:val="0"/>
                  <w:marTop w:val="0"/>
                  <w:marBottom w:val="0"/>
                  <w:divBdr>
                    <w:top w:val="none" w:sz="0" w:space="0" w:color="auto"/>
                    <w:left w:val="none" w:sz="0" w:space="0" w:color="auto"/>
                    <w:bottom w:val="none" w:sz="0" w:space="0" w:color="auto"/>
                    <w:right w:val="none" w:sz="0" w:space="0" w:color="auto"/>
                  </w:divBdr>
                  <w:divsChild>
                    <w:div w:id="1355422121">
                      <w:marLeft w:val="0"/>
                      <w:marRight w:val="0"/>
                      <w:marTop w:val="0"/>
                      <w:marBottom w:val="0"/>
                      <w:divBdr>
                        <w:top w:val="none" w:sz="0" w:space="0" w:color="auto"/>
                        <w:left w:val="none" w:sz="0" w:space="0" w:color="auto"/>
                        <w:bottom w:val="none" w:sz="0" w:space="0" w:color="auto"/>
                        <w:right w:val="none" w:sz="0" w:space="0" w:color="auto"/>
                      </w:divBdr>
                      <w:divsChild>
                        <w:div w:id="1415586170">
                          <w:marLeft w:val="0"/>
                          <w:marRight w:val="0"/>
                          <w:marTop w:val="0"/>
                          <w:marBottom w:val="0"/>
                          <w:divBdr>
                            <w:top w:val="none" w:sz="0" w:space="0" w:color="auto"/>
                            <w:left w:val="none" w:sz="0" w:space="0" w:color="auto"/>
                            <w:bottom w:val="none" w:sz="0" w:space="0" w:color="auto"/>
                            <w:right w:val="none" w:sz="0" w:space="0" w:color="auto"/>
                          </w:divBdr>
                          <w:divsChild>
                            <w:div w:id="2037728410">
                              <w:marLeft w:val="0"/>
                              <w:marRight w:val="0"/>
                              <w:marTop w:val="0"/>
                              <w:marBottom w:val="0"/>
                              <w:divBdr>
                                <w:top w:val="none" w:sz="0" w:space="0" w:color="auto"/>
                                <w:left w:val="none" w:sz="0" w:space="0" w:color="auto"/>
                                <w:bottom w:val="none" w:sz="0" w:space="0" w:color="auto"/>
                                <w:right w:val="none" w:sz="0" w:space="0" w:color="auto"/>
                              </w:divBdr>
                              <w:divsChild>
                                <w:div w:id="1951161510">
                                  <w:marLeft w:val="0"/>
                                  <w:marRight w:val="0"/>
                                  <w:marTop w:val="0"/>
                                  <w:marBottom w:val="0"/>
                                  <w:divBdr>
                                    <w:top w:val="none" w:sz="0" w:space="0" w:color="auto"/>
                                    <w:left w:val="none" w:sz="0" w:space="0" w:color="auto"/>
                                    <w:bottom w:val="none" w:sz="0" w:space="0" w:color="auto"/>
                                    <w:right w:val="none" w:sz="0" w:space="0" w:color="auto"/>
                                  </w:divBdr>
                                  <w:divsChild>
                                    <w:div w:id="912852358">
                                      <w:marLeft w:val="0"/>
                                      <w:marRight w:val="0"/>
                                      <w:marTop w:val="0"/>
                                      <w:marBottom w:val="0"/>
                                      <w:divBdr>
                                        <w:top w:val="none" w:sz="0" w:space="0" w:color="auto"/>
                                        <w:left w:val="none" w:sz="0" w:space="0" w:color="auto"/>
                                        <w:bottom w:val="none" w:sz="0" w:space="0" w:color="auto"/>
                                        <w:right w:val="none" w:sz="0" w:space="0" w:color="auto"/>
                                      </w:divBdr>
                                      <w:divsChild>
                                        <w:div w:id="1500929372">
                                          <w:marLeft w:val="0"/>
                                          <w:marRight w:val="0"/>
                                          <w:marTop w:val="0"/>
                                          <w:marBottom w:val="0"/>
                                          <w:divBdr>
                                            <w:top w:val="none" w:sz="0" w:space="0" w:color="auto"/>
                                            <w:left w:val="none" w:sz="0" w:space="0" w:color="auto"/>
                                            <w:bottom w:val="none" w:sz="0" w:space="0" w:color="auto"/>
                                            <w:right w:val="none" w:sz="0" w:space="0" w:color="auto"/>
                                          </w:divBdr>
                                          <w:divsChild>
                                            <w:div w:id="963267218">
                                              <w:marLeft w:val="0"/>
                                              <w:marRight w:val="0"/>
                                              <w:marTop w:val="0"/>
                                              <w:marBottom w:val="0"/>
                                              <w:divBdr>
                                                <w:top w:val="none" w:sz="0" w:space="0" w:color="auto"/>
                                                <w:left w:val="none" w:sz="0" w:space="0" w:color="auto"/>
                                                <w:bottom w:val="none" w:sz="0" w:space="0" w:color="auto"/>
                                                <w:right w:val="none" w:sz="0" w:space="0" w:color="auto"/>
                                              </w:divBdr>
                                              <w:divsChild>
                                                <w:div w:id="381445502">
                                                  <w:marLeft w:val="0"/>
                                                  <w:marRight w:val="0"/>
                                                  <w:marTop w:val="0"/>
                                                  <w:marBottom w:val="0"/>
                                                  <w:divBdr>
                                                    <w:top w:val="none" w:sz="0" w:space="0" w:color="auto"/>
                                                    <w:left w:val="none" w:sz="0" w:space="0" w:color="auto"/>
                                                    <w:bottom w:val="none" w:sz="0" w:space="0" w:color="auto"/>
                                                    <w:right w:val="none" w:sz="0" w:space="0" w:color="auto"/>
                                                  </w:divBdr>
                                                  <w:divsChild>
                                                    <w:div w:id="485631529">
                                                      <w:marLeft w:val="0"/>
                                                      <w:marRight w:val="0"/>
                                                      <w:marTop w:val="0"/>
                                                      <w:marBottom w:val="0"/>
                                                      <w:divBdr>
                                                        <w:top w:val="none" w:sz="0" w:space="0" w:color="auto"/>
                                                        <w:left w:val="none" w:sz="0" w:space="0" w:color="auto"/>
                                                        <w:bottom w:val="none" w:sz="0" w:space="0" w:color="auto"/>
                                                        <w:right w:val="none" w:sz="0" w:space="0" w:color="auto"/>
                                                      </w:divBdr>
                                                      <w:divsChild>
                                                        <w:div w:id="243599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530847717">
      <w:bodyDiv w:val="1"/>
      <w:marLeft w:val="0"/>
      <w:marRight w:val="0"/>
      <w:marTop w:val="0"/>
      <w:marBottom w:val="0"/>
      <w:divBdr>
        <w:top w:val="none" w:sz="0" w:space="0" w:color="auto"/>
        <w:left w:val="none" w:sz="0" w:space="0" w:color="auto"/>
        <w:bottom w:val="none" w:sz="0" w:space="0" w:color="auto"/>
        <w:right w:val="none" w:sz="0" w:space="0" w:color="auto"/>
      </w:divBdr>
    </w:div>
    <w:div w:id="540821447">
      <w:bodyDiv w:val="1"/>
      <w:marLeft w:val="0"/>
      <w:marRight w:val="0"/>
      <w:marTop w:val="0"/>
      <w:marBottom w:val="0"/>
      <w:divBdr>
        <w:top w:val="none" w:sz="0" w:space="0" w:color="auto"/>
        <w:left w:val="none" w:sz="0" w:space="0" w:color="auto"/>
        <w:bottom w:val="none" w:sz="0" w:space="0" w:color="auto"/>
        <w:right w:val="none" w:sz="0" w:space="0" w:color="auto"/>
      </w:divBdr>
    </w:div>
    <w:div w:id="733813222">
      <w:bodyDiv w:val="1"/>
      <w:marLeft w:val="0"/>
      <w:marRight w:val="0"/>
      <w:marTop w:val="0"/>
      <w:marBottom w:val="0"/>
      <w:divBdr>
        <w:top w:val="none" w:sz="0" w:space="0" w:color="auto"/>
        <w:left w:val="none" w:sz="0" w:space="0" w:color="auto"/>
        <w:bottom w:val="none" w:sz="0" w:space="0" w:color="auto"/>
        <w:right w:val="none" w:sz="0" w:space="0" w:color="auto"/>
      </w:divBdr>
      <w:divsChild>
        <w:div w:id="449973940">
          <w:marLeft w:val="0"/>
          <w:marRight w:val="0"/>
          <w:marTop w:val="0"/>
          <w:marBottom w:val="0"/>
          <w:divBdr>
            <w:top w:val="none" w:sz="0" w:space="0" w:color="auto"/>
            <w:left w:val="none" w:sz="0" w:space="0" w:color="auto"/>
            <w:bottom w:val="none" w:sz="0" w:space="0" w:color="auto"/>
            <w:right w:val="none" w:sz="0" w:space="0" w:color="auto"/>
          </w:divBdr>
          <w:divsChild>
            <w:div w:id="879517677">
              <w:marLeft w:val="0"/>
              <w:marRight w:val="0"/>
              <w:marTop w:val="0"/>
              <w:marBottom w:val="0"/>
              <w:divBdr>
                <w:top w:val="none" w:sz="0" w:space="0" w:color="auto"/>
                <w:left w:val="none" w:sz="0" w:space="0" w:color="auto"/>
                <w:bottom w:val="none" w:sz="0" w:space="0" w:color="auto"/>
                <w:right w:val="none" w:sz="0" w:space="0" w:color="auto"/>
              </w:divBdr>
              <w:divsChild>
                <w:div w:id="408188674">
                  <w:marLeft w:val="0"/>
                  <w:marRight w:val="0"/>
                  <w:marTop w:val="0"/>
                  <w:marBottom w:val="0"/>
                  <w:divBdr>
                    <w:top w:val="none" w:sz="0" w:space="0" w:color="auto"/>
                    <w:left w:val="none" w:sz="0" w:space="0" w:color="auto"/>
                    <w:bottom w:val="none" w:sz="0" w:space="0" w:color="auto"/>
                    <w:right w:val="none" w:sz="0" w:space="0" w:color="auto"/>
                  </w:divBdr>
                  <w:divsChild>
                    <w:div w:id="1899121273">
                      <w:marLeft w:val="0"/>
                      <w:marRight w:val="0"/>
                      <w:marTop w:val="0"/>
                      <w:marBottom w:val="0"/>
                      <w:divBdr>
                        <w:top w:val="none" w:sz="0" w:space="0" w:color="auto"/>
                        <w:left w:val="none" w:sz="0" w:space="0" w:color="auto"/>
                        <w:bottom w:val="none" w:sz="0" w:space="0" w:color="auto"/>
                        <w:right w:val="none" w:sz="0" w:space="0" w:color="auto"/>
                      </w:divBdr>
                      <w:divsChild>
                        <w:div w:id="906843345">
                          <w:marLeft w:val="0"/>
                          <w:marRight w:val="0"/>
                          <w:marTop w:val="0"/>
                          <w:marBottom w:val="0"/>
                          <w:divBdr>
                            <w:top w:val="none" w:sz="0" w:space="0" w:color="auto"/>
                            <w:left w:val="none" w:sz="0" w:space="0" w:color="auto"/>
                            <w:bottom w:val="none" w:sz="0" w:space="0" w:color="auto"/>
                            <w:right w:val="none" w:sz="0" w:space="0" w:color="auto"/>
                          </w:divBdr>
                          <w:divsChild>
                            <w:div w:id="577832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67625222">
      <w:bodyDiv w:val="1"/>
      <w:marLeft w:val="0"/>
      <w:marRight w:val="0"/>
      <w:marTop w:val="0"/>
      <w:marBottom w:val="0"/>
      <w:divBdr>
        <w:top w:val="none" w:sz="0" w:space="0" w:color="auto"/>
        <w:left w:val="none" w:sz="0" w:space="0" w:color="auto"/>
        <w:bottom w:val="none" w:sz="0" w:space="0" w:color="auto"/>
        <w:right w:val="none" w:sz="0" w:space="0" w:color="auto"/>
      </w:divBdr>
    </w:div>
    <w:div w:id="776220620">
      <w:bodyDiv w:val="1"/>
      <w:marLeft w:val="0"/>
      <w:marRight w:val="0"/>
      <w:marTop w:val="0"/>
      <w:marBottom w:val="0"/>
      <w:divBdr>
        <w:top w:val="none" w:sz="0" w:space="0" w:color="auto"/>
        <w:left w:val="none" w:sz="0" w:space="0" w:color="auto"/>
        <w:bottom w:val="none" w:sz="0" w:space="0" w:color="auto"/>
        <w:right w:val="none" w:sz="0" w:space="0" w:color="auto"/>
      </w:divBdr>
    </w:div>
    <w:div w:id="822280540">
      <w:bodyDiv w:val="1"/>
      <w:marLeft w:val="0"/>
      <w:marRight w:val="0"/>
      <w:marTop w:val="0"/>
      <w:marBottom w:val="0"/>
      <w:divBdr>
        <w:top w:val="none" w:sz="0" w:space="0" w:color="auto"/>
        <w:left w:val="none" w:sz="0" w:space="0" w:color="auto"/>
        <w:bottom w:val="none" w:sz="0" w:space="0" w:color="auto"/>
        <w:right w:val="none" w:sz="0" w:space="0" w:color="auto"/>
      </w:divBdr>
    </w:div>
    <w:div w:id="1210994216">
      <w:bodyDiv w:val="1"/>
      <w:marLeft w:val="0"/>
      <w:marRight w:val="0"/>
      <w:marTop w:val="0"/>
      <w:marBottom w:val="0"/>
      <w:divBdr>
        <w:top w:val="none" w:sz="0" w:space="0" w:color="auto"/>
        <w:left w:val="none" w:sz="0" w:space="0" w:color="auto"/>
        <w:bottom w:val="none" w:sz="0" w:space="0" w:color="auto"/>
        <w:right w:val="none" w:sz="0" w:space="0" w:color="auto"/>
      </w:divBdr>
    </w:div>
    <w:div w:id="1586913814">
      <w:bodyDiv w:val="1"/>
      <w:marLeft w:val="0"/>
      <w:marRight w:val="0"/>
      <w:marTop w:val="0"/>
      <w:marBottom w:val="0"/>
      <w:divBdr>
        <w:top w:val="none" w:sz="0" w:space="0" w:color="auto"/>
        <w:left w:val="none" w:sz="0" w:space="0" w:color="auto"/>
        <w:bottom w:val="none" w:sz="0" w:space="0" w:color="auto"/>
        <w:right w:val="none" w:sz="0" w:space="0" w:color="auto"/>
      </w:divBdr>
    </w:div>
    <w:div w:id="1829246165">
      <w:bodyDiv w:val="1"/>
      <w:marLeft w:val="0"/>
      <w:marRight w:val="0"/>
      <w:marTop w:val="0"/>
      <w:marBottom w:val="0"/>
      <w:divBdr>
        <w:top w:val="none" w:sz="0" w:space="0" w:color="auto"/>
        <w:left w:val="none" w:sz="0" w:space="0" w:color="auto"/>
        <w:bottom w:val="none" w:sz="0" w:space="0" w:color="auto"/>
        <w:right w:val="none" w:sz="0" w:space="0" w:color="auto"/>
      </w:divBdr>
    </w:div>
    <w:div w:id="1940288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https://www.dss.gov.au/communities-and-vulnerable-people-programs-services-gambling/national-consumer-protection-framework-for-online-wagering-national-policy-statement"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footer" Target="foot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0B9A0C17B184C95AECDD0A0A9672F40"/>
        <w:category>
          <w:name w:val="General"/>
          <w:gallery w:val="placeholder"/>
        </w:category>
        <w:types>
          <w:type w:val="bbPlcHdr"/>
        </w:types>
        <w:behaviors>
          <w:behavior w:val="content"/>
        </w:behaviors>
        <w:guid w:val="{3AE01388-6744-4919-8FB9-23239E0D7950}"/>
      </w:docPartPr>
      <w:docPartBody>
        <w:p w:rsidR="00D848E7" w:rsidRDefault="00BE01EB" w:rsidP="00BE01EB">
          <w:pPr>
            <w:pStyle w:val="00B9A0C17B184C95AECDD0A0A9672F40"/>
          </w:pPr>
          <w:r>
            <w:t>Choose a Portfolio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libri-Italic">
    <w:panose1 w:val="00000000000000000000"/>
    <w:charset w:val="00"/>
    <w:family w:val="swiss"/>
    <w:notTrueType/>
    <w:pitch w:val="default"/>
    <w:sig w:usb0="00000003" w:usb1="00000000" w:usb2="00000000" w:usb3="00000000" w:csb0="00000001" w:csb1="00000000"/>
  </w:font>
  <w:font w:name="BookAntiqua">
    <w:panose1 w:val="00000000000000000000"/>
    <w:charset w:val="00"/>
    <w:family w:val="roman"/>
    <w:notTrueType/>
    <w:pitch w:val="default"/>
    <w:sig w:usb0="00000003" w:usb1="00000000" w:usb2="00000000" w:usb3="00000000" w:csb0="00000001" w:csb1="00000000"/>
  </w:font>
  <w:font w:name="Calibri-Bold">
    <w:panose1 w:val="00000000000000000000"/>
    <w:charset w:val="00"/>
    <w:family w:val="swiss"/>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00004FF"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B159E0"/>
    <w:rsid w:val="000148AE"/>
    <w:rsid w:val="001C5BEB"/>
    <w:rsid w:val="003468A4"/>
    <w:rsid w:val="00376A26"/>
    <w:rsid w:val="00427F35"/>
    <w:rsid w:val="00555E87"/>
    <w:rsid w:val="005F7BBF"/>
    <w:rsid w:val="00772D2C"/>
    <w:rsid w:val="008505D6"/>
    <w:rsid w:val="00A04376"/>
    <w:rsid w:val="00B159E0"/>
    <w:rsid w:val="00B746B7"/>
    <w:rsid w:val="00BE01EB"/>
    <w:rsid w:val="00D848E7"/>
    <w:rsid w:val="00E37DEB"/>
    <w:rsid w:val="00F50871"/>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468A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159E0"/>
    <w:rPr>
      <w:color w:val="808080"/>
    </w:rPr>
  </w:style>
  <w:style w:type="paragraph" w:customStyle="1" w:styleId="18C6C2C0B24446D59F748CFCDC47C8D9">
    <w:name w:val="18C6C2C0B24446D59F748CFCDC47C8D9"/>
    <w:rsid w:val="00BE01EB"/>
    <w:pPr>
      <w:spacing w:after="160" w:line="259" w:lineRule="auto"/>
    </w:pPr>
  </w:style>
  <w:style w:type="paragraph" w:customStyle="1" w:styleId="08169B1166A3480FAD2AF67B414BB6C6">
    <w:name w:val="08169B1166A3480FAD2AF67B414BB6C6"/>
    <w:rsid w:val="00BE01EB"/>
    <w:pPr>
      <w:spacing w:after="160" w:line="259" w:lineRule="auto"/>
    </w:pPr>
  </w:style>
  <w:style w:type="paragraph" w:customStyle="1" w:styleId="00B9A0C17B184C95AECDD0A0A9672F40">
    <w:name w:val="00B9A0C17B184C95AECDD0A0A9672F40"/>
    <w:rsid w:val="00BE01EB"/>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F327BD5A065AE43B889ADD91434348F" ma:contentTypeVersion="0" ma:contentTypeDescription="Create a new document." ma:contentTypeScope="" ma:versionID="1b729b710d99da1aa5203af201e02f83">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25955D2-9B74-4EDF-BFCF-05D39078AC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EBD33A2F-2F21-42E2-9EAF-10142248EBFD}">
  <ds:schemaRefs>
    <ds:schemaRef ds:uri="http://schemas.microsoft.com/sharepoint/v3/contenttype/forms"/>
  </ds:schemaRefs>
</ds:datastoreItem>
</file>

<file path=customXml/itemProps3.xml><?xml version="1.0" encoding="utf-8"?>
<ds:datastoreItem xmlns:ds="http://schemas.openxmlformats.org/officeDocument/2006/customXml" ds:itemID="{673FAD76-D01C-4B08-A63D-FDA0EC7AA4C4}">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4.xml><?xml version="1.0" encoding="utf-8"?>
<ds:datastoreItem xmlns:ds="http://schemas.openxmlformats.org/officeDocument/2006/customXml" ds:itemID="{DFF1CCAD-FBAC-4055-B662-05EE42D5E1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26</Pages>
  <Words>8837</Words>
  <Characters>47495</Characters>
  <Application>Microsoft Office Word</Application>
  <DocSecurity>0</DocSecurity>
  <Lines>1012</Lines>
  <Paragraphs>320</Paragraphs>
  <ScaleCrop>false</ScaleCrop>
  <HeadingPairs>
    <vt:vector size="2" baseType="variant">
      <vt:variant>
        <vt:lpstr>Title</vt:lpstr>
      </vt:variant>
      <vt:variant>
        <vt:i4>1</vt:i4>
      </vt:variant>
    </vt:vector>
  </HeadingPairs>
  <TitlesOfParts>
    <vt:vector size="1" baseType="lpstr">
      <vt:lpstr/>
    </vt:vector>
  </TitlesOfParts>
  <Company>ACT Government</Company>
  <LinksUpToDate>false</LinksUpToDate>
  <CharactersWithSpaces>56054</CharactersWithSpaces>
  <SharedDoc>false</SharedDoc>
  <HLinks>
    <vt:vector size="78" baseType="variant">
      <vt:variant>
        <vt:i4>2097203</vt:i4>
      </vt:variant>
      <vt:variant>
        <vt:i4>36</vt:i4>
      </vt:variant>
      <vt:variant>
        <vt:i4>0</vt:i4>
      </vt:variant>
      <vt:variant>
        <vt:i4>5</vt:i4>
      </vt:variant>
      <vt:variant>
        <vt:lpwstr>http://www.legislation.act.gov.au/es/db_5400/20030626-6617/pdf/db_5400.pdf</vt:lpwstr>
      </vt:variant>
      <vt:variant>
        <vt:lpwstr/>
      </vt:variant>
      <vt:variant>
        <vt:i4>4915212</vt:i4>
      </vt:variant>
      <vt:variant>
        <vt:i4>33</vt:i4>
      </vt:variant>
      <vt:variant>
        <vt:i4>0</vt:i4>
      </vt:variant>
      <vt:variant>
        <vt:i4>5</vt:i4>
      </vt:variant>
      <vt:variant>
        <vt:lpwstr>http://www.legislation.act.gov.au/es/db_33009/20080807-37363/pdf/db_33009.pdf</vt:lpwstr>
      </vt:variant>
      <vt:variant>
        <vt:lpwstr/>
      </vt:variant>
      <vt:variant>
        <vt:i4>4915212</vt:i4>
      </vt:variant>
      <vt:variant>
        <vt:i4>30</vt:i4>
      </vt:variant>
      <vt:variant>
        <vt:i4>0</vt:i4>
      </vt:variant>
      <vt:variant>
        <vt:i4>5</vt:i4>
      </vt:variant>
      <vt:variant>
        <vt:lpwstr>http://www.legislation.act.gov.au/es/db_33009/20080807-37363/pdf/db_33009.pdf</vt:lpwstr>
      </vt:variant>
      <vt:variant>
        <vt:lpwstr/>
      </vt:variant>
      <vt:variant>
        <vt:i4>4915212</vt:i4>
      </vt:variant>
      <vt:variant>
        <vt:i4>27</vt:i4>
      </vt:variant>
      <vt:variant>
        <vt:i4>0</vt:i4>
      </vt:variant>
      <vt:variant>
        <vt:i4>5</vt:i4>
      </vt:variant>
      <vt:variant>
        <vt:lpwstr>http://www.legislation.act.gov.au/es/db_33009/20080807-37363/pdf/db_33009.pdf</vt:lpwstr>
      </vt:variant>
      <vt:variant>
        <vt:lpwstr/>
      </vt:variant>
      <vt:variant>
        <vt:i4>4915212</vt:i4>
      </vt:variant>
      <vt:variant>
        <vt:i4>24</vt:i4>
      </vt:variant>
      <vt:variant>
        <vt:i4>0</vt:i4>
      </vt:variant>
      <vt:variant>
        <vt:i4>5</vt:i4>
      </vt:variant>
      <vt:variant>
        <vt:lpwstr>http://www.legislation.act.gov.au/es/db_33009/20080807-37363/pdf/db_33009.pdf</vt:lpwstr>
      </vt:variant>
      <vt:variant>
        <vt:lpwstr/>
      </vt:variant>
      <vt:variant>
        <vt:i4>4915212</vt:i4>
      </vt:variant>
      <vt:variant>
        <vt:i4>21</vt:i4>
      </vt:variant>
      <vt:variant>
        <vt:i4>0</vt:i4>
      </vt:variant>
      <vt:variant>
        <vt:i4>5</vt:i4>
      </vt:variant>
      <vt:variant>
        <vt:lpwstr>http://www.legislation.act.gov.au/es/db_33009/20080807-37363/pdf/db_33009.pdf</vt:lpwstr>
      </vt:variant>
      <vt:variant>
        <vt:lpwstr/>
      </vt:variant>
      <vt:variant>
        <vt:i4>4915212</vt:i4>
      </vt:variant>
      <vt:variant>
        <vt:i4>18</vt:i4>
      </vt:variant>
      <vt:variant>
        <vt:i4>0</vt:i4>
      </vt:variant>
      <vt:variant>
        <vt:i4>5</vt:i4>
      </vt:variant>
      <vt:variant>
        <vt:lpwstr>http://www.legislation.act.gov.au/es/db_33009/20080807-37363/pdf/db_33009.pdf</vt:lpwstr>
      </vt:variant>
      <vt:variant>
        <vt:lpwstr/>
      </vt:variant>
      <vt:variant>
        <vt:i4>6815803</vt:i4>
      </vt:variant>
      <vt:variant>
        <vt:i4>15</vt:i4>
      </vt:variant>
      <vt:variant>
        <vt:i4>0</vt:i4>
      </vt:variant>
      <vt:variant>
        <vt:i4>5</vt:i4>
      </vt:variant>
      <vt:variant>
        <vt:lpwstr>http://www.endvawnow.org/en/articles/834-felony-strangulation-and-other-provisions.html</vt:lpwstr>
      </vt:variant>
      <vt:variant>
        <vt:lpwstr/>
      </vt:variant>
      <vt:variant>
        <vt:i4>983109</vt:i4>
      </vt:variant>
      <vt:variant>
        <vt:i4>12</vt:i4>
      </vt:variant>
      <vt:variant>
        <vt:i4>0</vt:i4>
      </vt:variant>
      <vt:variant>
        <vt:i4>5</vt:i4>
      </vt:variant>
      <vt:variant>
        <vt:lpwstr>http://ac.els-cdn.com/S0736467901003997/1-s2.0-S0736467901003997-main.pdf?_tid=2f14ea5e-e8b8-11e4-b3b2-00000aab0f6c&amp;acdnat=1429684029_bfc9d4253a1ec8ad3aad599e62016423</vt:lpwstr>
      </vt:variant>
      <vt:variant>
        <vt:lpwstr/>
      </vt:variant>
      <vt:variant>
        <vt:i4>6094872</vt:i4>
      </vt:variant>
      <vt:variant>
        <vt:i4>9</vt:i4>
      </vt:variant>
      <vt:variant>
        <vt:i4>0</vt:i4>
      </vt:variant>
      <vt:variant>
        <vt:i4>5</vt:i4>
      </vt:variant>
      <vt:variant>
        <vt:lpwstr>http://ac.els-cdn.com/S0736467907004143/1-s2.0-S0736467907004143-main.pdf?_tid=afad1c9c-e8b6-11e4-9bdc-00000aacb35d&amp;acdnat=1429683385_587fff12f3131aaccf70f8dcbc054ba1</vt:lpwstr>
      </vt:variant>
      <vt:variant>
        <vt:lpwstr/>
      </vt:variant>
      <vt:variant>
        <vt:i4>4718667</vt:i4>
      </vt:variant>
      <vt:variant>
        <vt:i4>6</vt:i4>
      </vt:variant>
      <vt:variant>
        <vt:i4>0</vt:i4>
      </vt:variant>
      <vt:variant>
        <vt:i4>5</vt:i4>
      </vt:variant>
      <vt:variant>
        <vt:lpwstr>http://www.anrows.org.au/</vt:lpwstr>
      </vt:variant>
      <vt:variant>
        <vt:lpwstr/>
      </vt:variant>
      <vt:variant>
        <vt:i4>3604533</vt:i4>
      </vt:variant>
      <vt:variant>
        <vt:i4>3</vt:i4>
      </vt:variant>
      <vt:variant>
        <vt:i4>0</vt:i4>
      </vt:variant>
      <vt:variant>
        <vt:i4>5</vt:i4>
      </vt:variant>
      <vt:variant>
        <vt:lpwstr>http://www.unhchr.ch/tbs/doc.nsf/(Symbol)/6f97648603f69bcdc12563ed004c3881?Opendocument</vt:lpwstr>
      </vt:variant>
      <vt:variant>
        <vt:lpwstr/>
      </vt:variant>
      <vt:variant>
        <vt:i4>2752573</vt:i4>
      </vt:variant>
      <vt:variant>
        <vt:i4>0</vt:i4>
      </vt:variant>
      <vt:variant>
        <vt:i4>0</vt:i4>
      </vt:variant>
      <vt:variant>
        <vt:i4>5</vt:i4>
      </vt:variant>
      <vt:variant>
        <vt:lpwstr>http://www.anrows.org.au/publications/fast-facts/key-statistics-violence-against-women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ACT Government</dc:creator>
  <cp:lastModifiedBy>PCODCS</cp:lastModifiedBy>
  <cp:revision>4</cp:revision>
  <cp:lastPrinted>2019-04-03T04:02:00Z</cp:lastPrinted>
  <dcterms:created xsi:type="dcterms:W3CDTF">2019-04-03T22:23:00Z</dcterms:created>
  <dcterms:modified xsi:type="dcterms:W3CDTF">2019-04-03T22:23:00Z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0x010100EF327BD5A065AE43B889ADD91434348F</vt:lpwstr>
  </property>
</Properties>
</file>