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3C8DA" w14:textId="77777777" w:rsidR="005B012F" w:rsidRPr="00C5081A" w:rsidRDefault="005B012F" w:rsidP="005B012F">
      <w:pPr>
        <w:jc w:val="center"/>
        <w:rPr>
          <w:rFonts w:ascii="Arial" w:hAnsi="Arial" w:cs="Arial"/>
        </w:rPr>
      </w:pPr>
      <w:bookmarkStart w:id="0" w:name="_GoBack"/>
      <w:bookmarkEnd w:id="0"/>
    </w:p>
    <w:p w14:paraId="3C6D44F0" w14:textId="77777777" w:rsidR="005B012F" w:rsidRPr="00C5081A" w:rsidRDefault="005B012F" w:rsidP="005B012F">
      <w:pPr>
        <w:jc w:val="center"/>
        <w:rPr>
          <w:rFonts w:ascii="Arial" w:hAnsi="Arial" w:cs="Arial"/>
        </w:rPr>
      </w:pPr>
    </w:p>
    <w:p w14:paraId="46FA7AD6" w14:textId="77777777" w:rsidR="005B012F" w:rsidRPr="00C5081A" w:rsidRDefault="005B012F" w:rsidP="005B012F">
      <w:pPr>
        <w:jc w:val="center"/>
        <w:rPr>
          <w:rFonts w:ascii="Arial" w:hAnsi="Arial" w:cs="Arial"/>
        </w:rPr>
      </w:pPr>
    </w:p>
    <w:p w14:paraId="124740CE" w14:textId="77777777" w:rsidR="005B012F" w:rsidRPr="00C5081A" w:rsidRDefault="005B012F" w:rsidP="005B012F">
      <w:pPr>
        <w:jc w:val="center"/>
        <w:rPr>
          <w:rFonts w:ascii="Arial" w:hAnsi="Arial" w:cs="Arial"/>
        </w:rPr>
      </w:pPr>
    </w:p>
    <w:p w14:paraId="528DE93D" w14:textId="77777777" w:rsidR="005B012F" w:rsidRPr="00C5081A" w:rsidRDefault="005B012F" w:rsidP="005B012F">
      <w:pPr>
        <w:jc w:val="center"/>
        <w:rPr>
          <w:rFonts w:ascii="Arial" w:hAnsi="Arial" w:cs="Arial"/>
        </w:rPr>
      </w:pPr>
    </w:p>
    <w:p w14:paraId="2939B12A" w14:textId="77777777" w:rsidR="005B012F" w:rsidRPr="00C5081A" w:rsidRDefault="005B012F" w:rsidP="005B012F">
      <w:pPr>
        <w:jc w:val="center"/>
        <w:rPr>
          <w:rFonts w:ascii="Arial" w:hAnsi="Arial" w:cs="Arial"/>
        </w:rPr>
      </w:pPr>
    </w:p>
    <w:p w14:paraId="254E503B" w14:textId="77777777" w:rsidR="005B012F" w:rsidRPr="00C5081A" w:rsidRDefault="005B012F" w:rsidP="005B012F">
      <w:pPr>
        <w:jc w:val="center"/>
        <w:rPr>
          <w:rFonts w:ascii="Arial" w:hAnsi="Arial" w:cs="Arial"/>
        </w:rPr>
      </w:pPr>
    </w:p>
    <w:p w14:paraId="4868B535" w14:textId="2FE78AAD" w:rsidR="005B012F" w:rsidRPr="007D665C" w:rsidRDefault="008F0125" w:rsidP="005B012F">
      <w:pPr>
        <w:jc w:val="center"/>
        <w:rPr>
          <w:rFonts w:ascii="Arial" w:hAnsi="Arial" w:cs="Arial"/>
          <w:b/>
          <w:bCs/>
        </w:rPr>
      </w:pPr>
      <w:r w:rsidRPr="007D665C">
        <w:rPr>
          <w:rFonts w:ascii="Arial" w:hAnsi="Arial" w:cs="Arial"/>
          <w:b/>
          <w:bCs/>
        </w:rPr>
        <w:t>201</w:t>
      </w:r>
      <w:r w:rsidR="00CD6237">
        <w:rPr>
          <w:rFonts w:ascii="Arial" w:hAnsi="Arial" w:cs="Arial"/>
          <w:b/>
          <w:bCs/>
        </w:rPr>
        <w:t>9</w:t>
      </w:r>
    </w:p>
    <w:p w14:paraId="73FCA0EC" w14:textId="77777777" w:rsidR="005B012F" w:rsidRPr="007D665C" w:rsidRDefault="005B012F" w:rsidP="005B012F">
      <w:pPr>
        <w:jc w:val="center"/>
        <w:rPr>
          <w:rFonts w:ascii="Arial" w:hAnsi="Arial" w:cs="Arial"/>
        </w:rPr>
      </w:pPr>
    </w:p>
    <w:p w14:paraId="3DB66270" w14:textId="77777777" w:rsidR="005B012F" w:rsidRPr="007D665C" w:rsidRDefault="005B012F" w:rsidP="005B012F">
      <w:pPr>
        <w:jc w:val="center"/>
        <w:rPr>
          <w:rFonts w:ascii="Arial" w:hAnsi="Arial" w:cs="Arial"/>
        </w:rPr>
      </w:pPr>
    </w:p>
    <w:p w14:paraId="18EB4153" w14:textId="77777777" w:rsidR="005B012F" w:rsidRPr="007D665C" w:rsidRDefault="005B012F" w:rsidP="005B012F">
      <w:pPr>
        <w:jc w:val="center"/>
        <w:rPr>
          <w:rFonts w:ascii="Arial" w:hAnsi="Arial" w:cs="Arial"/>
        </w:rPr>
      </w:pPr>
    </w:p>
    <w:p w14:paraId="1435D071" w14:textId="77777777" w:rsidR="005B012F" w:rsidRPr="007D665C" w:rsidRDefault="005B012F" w:rsidP="005B012F">
      <w:pPr>
        <w:jc w:val="center"/>
        <w:rPr>
          <w:rFonts w:ascii="Arial" w:hAnsi="Arial" w:cs="Arial"/>
        </w:rPr>
      </w:pPr>
    </w:p>
    <w:p w14:paraId="2467EF37" w14:textId="60BFEA55" w:rsidR="005B012F" w:rsidRPr="007D665C" w:rsidRDefault="005B012F" w:rsidP="00F55133">
      <w:pPr>
        <w:jc w:val="center"/>
        <w:rPr>
          <w:rFonts w:ascii="Arial" w:hAnsi="Arial" w:cs="Arial"/>
        </w:rPr>
      </w:pPr>
      <w:r w:rsidRPr="007D665C">
        <w:rPr>
          <w:rFonts w:ascii="Arial" w:hAnsi="Arial" w:cs="Arial"/>
          <w:b/>
          <w:bCs/>
        </w:rPr>
        <w:t>THE LEGISLATIVE ASSEMBLY FOR THE</w:t>
      </w:r>
    </w:p>
    <w:p w14:paraId="4250E187" w14:textId="77777777" w:rsidR="005B012F" w:rsidRPr="007D665C" w:rsidRDefault="005B012F" w:rsidP="005B012F">
      <w:pPr>
        <w:jc w:val="center"/>
        <w:rPr>
          <w:rFonts w:ascii="Arial" w:hAnsi="Arial" w:cs="Arial"/>
          <w:b/>
          <w:bCs/>
        </w:rPr>
      </w:pPr>
      <w:r w:rsidRPr="007D665C">
        <w:rPr>
          <w:rFonts w:ascii="Arial" w:hAnsi="Arial" w:cs="Arial"/>
          <w:b/>
          <w:bCs/>
        </w:rPr>
        <w:t>AUSTRALIAN CAPITAL TERRITORY</w:t>
      </w:r>
    </w:p>
    <w:p w14:paraId="33E8DC00" w14:textId="77777777" w:rsidR="005B012F" w:rsidRPr="007D665C" w:rsidRDefault="005B012F" w:rsidP="005B012F">
      <w:pPr>
        <w:jc w:val="center"/>
        <w:rPr>
          <w:rFonts w:ascii="Arial" w:hAnsi="Arial" w:cs="Arial"/>
        </w:rPr>
      </w:pPr>
    </w:p>
    <w:p w14:paraId="074CAB51" w14:textId="77777777" w:rsidR="005B012F" w:rsidRPr="007D665C" w:rsidRDefault="005B012F" w:rsidP="005B012F">
      <w:pPr>
        <w:jc w:val="center"/>
        <w:rPr>
          <w:rFonts w:ascii="Arial" w:hAnsi="Arial" w:cs="Arial"/>
        </w:rPr>
      </w:pPr>
    </w:p>
    <w:p w14:paraId="23550890" w14:textId="77777777" w:rsidR="005B012F" w:rsidRPr="007D665C" w:rsidRDefault="005B012F" w:rsidP="005B012F">
      <w:pPr>
        <w:jc w:val="center"/>
        <w:rPr>
          <w:rFonts w:ascii="Arial" w:hAnsi="Arial" w:cs="Arial"/>
        </w:rPr>
      </w:pPr>
    </w:p>
    <w:p w14:paraId="10363064" w14:textId="77777777" w:rsidR="005B012F" w:rsidRPr="007D665C" w:rsidRDefault="005B012F" w:rsidP="005B012F">
      <w:pPr>
        <w:jc w:val="center"/>
        <w:rPr>
          <w:rFonts w:ascii="Arial" w:hAnsi="Arial" w:cs="Arial"/>
        </w:rPr>
      </w:pPr>
    </w:p>
    <w:p w14:paraId="09EB2906" w14:textId="2725122D" w:rsidR="005B012F" w:rsidRDefault="005B012F" w:rsidP="005B012F">
      <w:pPr>
        <w:jc w:val="center"/>
        <w:rPr>
          <w:rFonts w:ascii="Arial" w:hAnsi="Arial" w:cs="Arial"/>
        </w:rPr>
      </w:pPr>
    </w:p>
    <w:p w14:paraId="54371573" w14:textId="77777777" w:rsidR="00F55133" w:rsidRPr="007D665C" w:rsidRDefault="00F55133" w:rsidP="005B012F">
      <w:pPr>
        <w:jc w:val="center"/>
        <w:rPr>
          <w:rFonts w:ascii="Arial" w:hAnsi="Arial" w:cs="Arial"/>
        </w:rPr>
      </w:pPr>
    </w:p>
    <w:p w14:paraId="1D91839A" w14:textId="77777777" w:rsidR="005B012F" w:rsidRPr="007D665C" w:rsidRDefault="005B012F" w:rsidP="005B012F">
      <w:pPr>
        <w:jc w:val="center"/>
        <w:rPr>
          <w:rFonts w:ascii="Arial" w:hAnsi="Arial" w:cs="Arial"/>
        </w:rPr>
      </w:pPr>
    </w:p>
    <w:p w14:paraId="72727C2A" w14:textId="77777777" w:rsidR="005B012F" w:rsidRPr="007D665C" w:rsidRDefault="005B012F" w:rsidP="005B012F">
      <w:pPr>
        <w:jc w:val="center"/>
        <w:rPr>
          <w:rFonts w:ascii="Arial" w:hAnsi="Arial" w:cs="Arial"/>
        </w:rPr>
      </w:pPr>
    </w:p>
    <w:p w14:paraId="2D125391" w14:textId="77777777" w:rsidR="005B012F" w:rsidRPr="007D665C" w:rsidRDefault="005B012F" w:rsidP="005B012F">
      <w:pPr>
        <w:jc w:val="center"/>
        <w:rPr>
          <w:rFonts w:ascii="Arial" w:hAnsi="Arial" w:cs="Arial"/>
        </w:rPr>
      </w:pPr>
    </w:p>
    <w:p w14:paraId="331CA257" w14:textId="4495D0C9" w:rsidR="005B012F" w:rsidRPr="007D665C" w:rsidRDefault="00AD23E5" w:rsidP="005B012F">
      <w:pPr>
        <w:pStyle w:val="Heading8"/>
        <w:rPr>
          <w:rFonts w:ascii="Arial" w:hAnsi="Arial" w:cs="Arial"/>
        </w:rPr>
      </w:pPr>
      <w:bookmarkStart w:id="1" w:name="_Hlk9429490"/>
      <w:bookmarkStart w:id="2" w:name="_Hlk9252081"/>
      <w:r w:rsidRPr="007D665C">
        <w:rPr>
          <w:rFonts w:ascii="Arial" w:hAnsi="Arial" w:cs="Arial"/>
        </w:rPr>
        <w:t>GAM</w:t>
      </w:r>
      <w:r w:rsidR="00CD6237">
        <w:rPr>
          <w:rFonts w:ascii="Arial" w:hAnsi="Arial" w:cs="Arial"/>
        </w:rPr>
        <w:t>BLING AND RACING CONTROL (CODE OF PRACTICE)</w:t>
      </w:r>
      <w:r w:rsidR="00E928AC">
        <w:rPr>
          <w:rFonts w:ascii="Arial" w:hAnsi="Arial" w:cs="Arial"/>
        </w:rPr>
        <w:t xml:space="preserve"> </w:t>
      </w:r>
      <w:r w:rsidR="008F0125" w:rsidRPr="007D665C">
        <w:rPr>
          <w:rFonts w:ascii="Arial" w:hAnsi="Arial" w:cs="Arial"/>
        </w:rPr>
        <w:t>AMENDMENT</w:t>
      </w:r>
      <w:r w:rsidR="00E928AC">
        <w:rPr>
          <w:rFonts w:ascii="Arial" w:hAnsi="Arial" w:cs="Arial"/>
        </w:rPr>
        <w:t> </w:t>
      </w:r>
      <w:r w:rsidR="008F0125" w:rsidRPr="007D665C">
        <w:rPr>
          <w:rFonts w:ascii="Arial" w:hAnsi="Arial" w:cs="Arial"/>
        </w:rPr>
        <w:t>REGULATION 201</w:t>
      </w:r>
      <w:r w:rsidR="00CD6237">
        <w:rPr>
          <w:rFonts w:ascii="Arial" w:hAnsi="Arial" w:cs="Arial"/>
        </w:rPr>
        <w:t>9</w:t>
      </w:r>
      <w:r w:rsidR="005B012F" w:rsidRPr="007D665C">
        <w:rPr>
          <w:rFonts w:ascii="Arial" w:hAnsi="Arial" w:cs="Arial"/>
        </w:rPr>
        <w:t xml:space="preserve"> (NO </w:t>
      </w:r>
      <w:r w:rsidR="00E928AC" w:rsidRPr="005D58A9">
        <w:rPr>
          <w:rFonts w:ascii="Arial" w:hAnsi="Arial" w:cs="Arial"/>
        </w:rPr>
        <w:t>1</w:t>
      </w:r>
      <w:r w:rsidR="005B012F" w:rsidRPr="007D665C">
        <w:rPr>
          <w:rFonts w:ascii="Arial" w:hAnsi="Arial" w:cs="Arial"/>
        </w:rPr>
        <w:t>)</w:t>
      </w:r>
    </w:p>
    <w:bookmarkEnd w:id="1"/>
    <w:p w14:paraId="6C8CB413" w14:textId="77777777" w:rsidR="0034732F" w:rsidRPr="00C5081A" w:rsidRDefault="0034732F" w:rsidP="0034732F">
      <w:pPr>
        <w:rPr>
          <w:rFonts w:ascii="Arial" w:hAnsi="Arial" w:cs="Arial"/>
        </w:rPr>
      </w:pPr>
    </w:p>
    <w:p w14:paraId="6CE54040" w14:textId="339B827E" w:rsidR="009D1AA5" w:rsidRPr="007D665C" w:rsidRDefault="008F0125" w:rsidP="009D1AA5">
      <w:pPr>
        <w:adjustRightInd w:val="0"/>
        <w:jc w:val="center"/>
        <w:rPr>
          <w:rFonts w:ascii="Arial" w:hAnsi="Arial" w:cs="Arial"/>
          <w:b/>
          <w:bCs/>
        </w:rPr>
      </w:pPr>
      <w:r w:rsidRPr="007D665C">
        <w:rPr>
          <w:rFonts w:ascii="Arial" w:hAnsi="Arial" w:cs="Arial"/>
          <w:b/>
          <w:bCs/>
        </w:rPr>
        <w:t>SL201</w:t>
      </w:r>
      <w:r w:rsidR="00CD6237">
        <w:rPr>
          <w:rFonts w:ascii="Arial" w:hAnsi="Arial" w:cs="Arial"/>
          <w:b/>
          <w:bCs/>
        </w:rPr>
        <w:t>9</w:t>
      </w:r>
      <w:r w:rsidR="009D1AA5" w:rsidRPr="007D665C">
        <w:rPr>
          <w:rFonts w:ascii="Arial" w:hAnsi="Arial" w:cs="Arial"/>
          <w:b/>
          <w:bCs/>
        </w:rPr>
        <w:t>-</w:t>
      </w:r>
      <w:r w:rsidR="00E31752">
        <w:rPr>
          <w:rFonts w:ascii="Arial" w:hAnsi="Arial" w:cs="Arial"/>
          <w:b/>
          <w:bCs/>
        </w:rPr>
        <w:t>10</w:t>
      </w:r>
    </w:p>
    <w:p w14:paraId="31DEC120" w14:textId="77777777" w:rsidR="005B012F" w:rsidRPr="007D665C" w:rsidRDefault="005B012F" w:rsidP="005B012F">
      <w:pPr>
        <w:jc w:val="center"/>
        <w:rPr>
          <w:rFonts w:ascii="Arial" w:hAnsi="Arial" w:cs="Arial"/>
        </w:rPr>
      </w:pPr>
    </w:p>
    <w:bookmarkEnd w:id="2"/>
    <w:p w14:paraId="49A3B56D" w14:textId="77777777" w:rsidR="005B012F" w:rsidRPr="007D665C" w:rsidRDefault="005B012F" w:rsidP="005B012F">
      <w:pPr>
        <w:jc w:val="center"/>
        <w:rPr>
          <w:rFonts w:ascii="Arial" w:hAnsi="Arial" w:cs="Arial"/>
        </w:rPr>
      </w:pPr>
    </w:p>
    <w:p w14:paraId="2873F768" w14:textId="77777777" w:rsidR="005B012F" w:rsidRPr="007D665C" w:rsidRDefault="005B012F" w:rsidP="005B012F">
      <w:pPr>
        <w:jc w:val="center"/>
        <w:rPr>
          <w:rFonts w:ascii="Arial" w:hAnsi="Arial" w:cs="Arial"/>
        </w:rPr>
      </w:pPr>
    </w:p>
    <w:p w14:paraId="03E71E56" w14:textId="77777777" w:rsidR="005B012F" w:rsidRPr="007D665C" w:rsidRDefault="005B012F" w:rsidP="005B012F">
      <w:pPr>
        <w:jc w:val="center"/>
        <w:rPr>
          <w:rFonts w:ascii="Arial" w:hAnsi="Arial" w:cs="Arial"/>
          <w:b/>
          <w:bCs/>
        </w:rPr>
      </w:pPr>
      <w:r w:rsidRPr="007D665C">
        <w:rPr>
          <w:rFonts w:ascii="Arial" w:hAnsi="Arial" w:cs="Arial"/>
          <w:b/>
          <w:bCs/>
        </w:rPr>
        <w:t xml:space="preserve">EXPLANATORY </w:t>
      </w:r>
      <w:r w:rsidR="007E3BAD" w:rsidRPr="007D665C">
        <w:rPr>
          <w:rFonts w:ascii="Arial" w:hAnsi="Arial" w:cs="Arial"/>
          <w:b/>
          <w:bCs/>
        </w:rPr>
        <w:t>STATEMENT</w:t>
      </w:r>
    </w:p>
    <w:p w14:paraId="54837CA4" w14:textId="77777777" w:rsidR="005B012F" w:rsidRPr="007D665C" w:rsidRDefault="005B012F" w:rsidP="005B012F">
      <w:pPr>
        <w:jc w:val="center"/>
        <w:rPr>
          <w:rFonts w:ascii="Arial" w:hAnsi="Arial" w:cs="Arial"/>
        </w:rPr>
      </w:pPr>
    </w:p>
    <w:p w14:paraId="535190A5" w14:textId="77777777" w:rsidR="005B012F" w:rsidRPr="007D665C" w:rsidRDefault="005B012F" w:rsidP="005B012F">
      <w:pPr>
        <w:jc w:val="center"/>
        <w:rPr>
          <w:rFonts w:ascii="Arial" w:hAnsi="Arial" w:cs="Arial"/>
        </w:rPr>
      </w:pPr>
    </w:p>
    <w:p w14:paraId="7B26E773" w14:textId="77777777" w:rsidR="005B012F" w:rsidRPr="007D665C" w:rsidRDefault="005B012F" w:rsidP="005B012F">
      <w:pPr>
        <w:jc w:val="center"/>
        <w:rPr>
          <w:rFonts w:ascii="Arial" w:hAnsi="Arial" w:cs="Arial"/>
        </w:rPr>
      </w:pPr>
    </w:p>
    <w:p w14:paraId="1E8A1AFE" w14:textId="77777777" w:rsidR="005B012F" w:rsidRPr="007D665C" w:rsidRDefault="005B012F" w:rsidP="005B012F">
      <w:pPr>
        <w:jc w:val="center"/>
        <w:rPr>
          <w:rFonts w:ascii="Arial" w:hAnsi="Arial" w:cs="Arial"/>
        </w:rPr>
      </w:pPr>
    </w:p>
    <w:p w14:paraId="333A51A0" w14:textId="77777777" w:rsidR="005B012F" w:rsidRPr="007D665C" w:rsidRDefault="005B012F" w:rsidP="005B012F">
      <w:pPr>
        <w:jc w:val="center"/>
        <w:rPr>
          <w:rFonts w:ascii="Arial" w:hAnsi="Arial" w:cs="Arial"/>
        </w:rPr>
      </w:pPr>
    </w:p>
    <w:p w14:paraId="5F5A2850" w14:textId="77777777" w:rsidR="005B012F" w:rsidRPr="007D665C" w:rsidRDefault="005B012F" w:rsidP="005B012F">
      <w:pPr>
        <w:jc w:val="center"/>
        <w:rPr>
          <w:rFonts w:ascii="Arial" w:hAnsi="Arial" w:cs="Arial"/>
        </w:rPr>
      </w:pPr>
    </w:p>
    <w:p w14:paraId="20C95FF4" w14:textId="77777777" w:rsidR="005B012F" w:rsidRPr="007D665C" w:rsidRDefault="005B012F" w:rsidP="005B012F">
      <w:pPr>
        <w:jc w:val="center"/>
        <w:rPr>
          <w:rFonts w:ascii="Arial" w:hAnsi="Arial" w:cs="Arial"/>
        </w:rPr>
      </w:pPr>
    </w:p>
    <w:p w14:paraId="6872D3C7" w14:textId="77777777" w:rsidR="005B012F" w:rsidRPr="007D665C" w:rsidRDefault="005B012F" w:rsidP="005B012F">
      <w:pPr>
        <w:jc w:val="center"/>
        <w:rPr>
          <w:rFonts w:ascii="Arial" w:hAnsi="Arial" w:cs="Arial"/>
        </w:rPr>
      </w:pPr>
    </w:p>
    <w:p w14:paraId="183365B8" w14:textId="77777777" w:rsidR="005B012F" w:rsidRPr="007D665C" w:rsidRDefault="005B012F" w:rsidP="005B012F">
      <w:pPr>
        <w:jc w:val="center"/>
        <w:rPr>
          <w:rFonts w:ascii="Arial" w:hAnsi="Arial" w:cs="Arial"/>
        </w:rPr>
      </w:pPr>
    </w:p>
    <w:p w14:paraId="06D1F0F4" w14:textId="77777777" w:rsidR="005B012F" w:rsidRPr="007D665C" w:rsidRDefault="005B012F" w:rsidP="005B012F">
      <w:pPr>
        <w:jc w:val="center"/>
        <w:rPr>
          <w:rFonts w:ascii="Arial" w:hAnsi="Arial" w:cs="Arial"/>
        </w:rPr>
      </w:pPr>
    </w:p>
    <w:p w14:paraId="3F158174" w14:textId="77777777" w:rsidR="005B012F" w:rsidRPr="007D665C" w:rsidRDefault="005B012F" w:rsidP="005B012F">
      <w:pPr>
        <w:jc w:val="center"/>
        <w:rPr>
          <w:rFonts w:ascii="Arial" w:hAnsi="Arial" w:cs="Arial"/>
        </w:rPr>
      </w:pPr>
    </w:p>
    <w:p w14:paraId="37141D8D" w14:textId="77777777" w:rsidR="005B012F" w:rsidRPr="007D665C" w:rsidRDefault="005B012F" w:rsidP="005B012F">
      <w:pPr>
        <w:jc w:val="center"/>
        <w:rPr>
          <w:rFonts w:ascii="Arial" w:hAnsi="Arial" w:cs="Arial"/>
        </w:rPr>
      </w:pPr>
    </w:p>
    <w:p w14:paraId="19BE7EF8" w14:textId="77777777" w:rsidR="005B012F" w:rsidRPr="007D665C" w:rsidRDefault="005B012F" w:rsidP="005B012F">
      <w:pPr>
        <w:jc w:val="center"/>
        <w:rPr>
          <w:rFonts w:ascii="Arial" w:hAnsi="Arial" w:cs="Arial"/>
        </w:rPr>
      </w:pPr>
    </w:p>
    <w:p w14:paraId="3C19B447" w14:textId="0C614CA9" w:rsidR="007D665C" w:rsidRPr="007D665C" w:rsidRDefault="007D665C" w:rsidP="007D665C">
      <w:pPr>
        <w:widowControl w:val="0"/>
        <w:autoSpaceDE/>
        <w:autoSpaceDN/>
        <w:spacing w:line="360" w:lineRule="auto"/>
        <w:jc w:val="right"/>
        <w:outlineLvl w:val="2"/>
        <w:rPr>
          <w:rFonts w:ascii="Arial" w:hAnsi="Arial" w:cs="Arial"/>
          <w:b/>
          <w:bCs/>
          <w:lang w:val="en-AU" w:eastAsia="en-US"/>
        </w:rPr>
      </w:pPr>
      <w:bookmarkStart w:id="3" w:name="_Hlk9429533"/>
      <w:r w:rsidRPr="007D665C">
        <w:rPr>
          <w:rFonts w:ascii="Arial" w:hAnsi="Arial" w:cs="Arial"/>
          <w:b/>
          <w:bCs/>
          <w:lang w:val="en-AU" w:eastAsia="en-US"/>
        </w:rPr>
        <w:t>Circulated by the authority of</w:t>
      </w:r>
      <w:r w:rsidRPr="007D665C">
        <w:rPr>
          <w:rFonts w:ascii="Arial" w:hAnsi="Arial" w:cs="Arial"/>
          <w:b/>
          <w:bCs/>
          <w:lang w:val="en-AU" w:eastAsia="en-US"/>
        </w:rPr>
        <w:br/>
        <w:t>Gordon Ramsay MLA</w:t>
      </w:r>
      <w:r w:rsidRPr="007D665C">
        <w:rPr>
          <w:rFonts w:ascii="Arial" w:hAnsi="Arial" w:cs="Arial"/>
          <w:b/>
          <w:bCs/>
          <w:lang w:val="en-AU" w:eastAsia="en-US"/>
        </w:rPr>
        <w:br/>
        <w:t>Attorney General</w:t>
      </w:r>
    </w:p>
    <w:bookmarkEnd w:id="3"/>
    <w:p w14:paraId="4125ECDF" w14:textId="77777777" w:rsidR="005B012F" w:rsidRPr="00C5081A" w:rsidRDefault="005B012F" w:rsidP="009D1AA5">
      <w:pPr>
        <w:jc w:val="right"/>
        <w:rPr>
          <w:rFonts w:ascii="Arial" w:hAnsi="Arial" w:cs="Arial"/>
        </w:rPr>
      </w:pPr>
    </w:p>
    <w:p w14:paraId="66FD021F" w14:textId="67DBC070" w:rsidR="009D1AA5" w:rsidRPr="00376D91" w:rsidRDefault="005B012F" w:rsidP="00376D91">
      <w:pPr>
        <w:spacing w:after="120" w:line="276" w:lineRule="auto"/>
        <w:rPr>
          <w:rFonts w:ascii="Arial" w:hAnsi="Arial" w:cs="Arial"/>
          <w:b/>
          <w:bCs/>
        </w:rPr>
      </w:pPr>
      <w:r w:rsidRPr="00C5081A">
        <w:rPr>
          <w:rFonts w:ascii="Arial" w:hAnsi="Arial" w:cs="Arial"/>
        </w:rPr>
        <w:br w:type="page"/>
      </w:r>
      <w:r w:rsidR="00E928AC" w:rsidRPr="00A84938">
        <w:rPr>
          <w:rFonts w:ascii="Arial" w:hAnsi="Arial" w:cs="Arial"/>
          <w:b/>
          <w:bCs/>
        </w:rPr>
        <w:lastRenderedPageBreak/>
        <w:t>OVERVIEW</w:t>
      </w:r>
    </w:p>
    <w:p w14:paraId="13475AAC" w14:textId="0F277F34" w:rsidR="001F13D3" w:rsidRPr="00A84938" w:rsidRDefault="00300C0F" w:rsidP="004010D0">
      <w:pPr>
        <w:spacing w:line="276" w:lineRule="auto"/>
        <w:rPr>
          <w:rFonts w:ascii="Arial" w:hAnsi="Arial" w:cs="Arial"/>
          <w:bCs/>
        </w:rPr>
      </w:pPr>
      <w:r w:rsidRPr="00A84938">
        <w:rPr>
          <w:rFonts w:ascii="Arial" w:hAnsi="Arial" w:cs="Arial"/>
          <w:bCs/>
        </w:rPr>
        <w:t>The</w:t>
      </w:r>
      <w:r w:rsidR="001F13D3" w:rsidRPr="00A84938">
        <w:rPr>
          <w:rFonts w:ascii="Arial" w:hAnsi="Arial" w:cs="Arial"/>
          <w:bCs/>
        </w:rPr>
        <w:t xml:space="preserve"> </w:t>
      </w:r>
      <w:r w:rsidR="001F13D3" w:rsidRPr="004010D0">
        <w:rPr>
          <w:rFonts w:ascii="Arial" w:hAnsi="Arial" w:cs="Arial"/>
          <w:bCs/>
          <w:i/>
        </w:rPr>
        <w:t>Gambling and Racing Control Act 1999</w:t>
      </w:r>
      <w:r w:rsidR="001F13D3" w:rsidRPr="00A84938">
        <w:rPr>
          <w:rFonts w:ascii="Arial" w:hAnsi="Arial" w:cs="Arial"/>
          <w:bCs/>
        </w:rPr>
        <w:t xml:space="preserve"> (the Control Act) provides the overarching legislative framework </w:t>
      </w:r>
      <w:r w:rsidR="004E2BF9" w:rsidRPr="00A84938">
        <w:rPr>
          <w:rFonts w:ascii="Arial" w:hAnsi="Arial" w:cs="Arial"/>
          <w:bCs/>
        </w:rPr>
        <w:t xml:space="preserve">for gambling in the Territory. </w:t>
      </w:r>
      <w:r w:rsidR="001F13D3" w:rsidRPr="00A84938">
        <w:rPr>
          <w:rFonts w:ascii="Arial" w:hAnsi="Arial" w:cs="Arial"/>
          <w:bCs/>
        </w:rPr>
        <w:t xml:space="preserve">The </w:t>
      </w:r>
      <w:r w:rsidRPr="004010D0">
        <w:rPr>
          <w:rFonts w:ascii="Arial" w:hAnsi="Arial" w:cs="Arial"/>
          <w:bCs/>
          <w:i/>
        </w:rPr>
        <w:t xml:space="preserve">Gambling and Racing Control </w:t>
      </w:r>
      <w:r w:rsidR="0081568D" w:rsidRPr="004010D0">
        <w:rPr>
          <w:rFonts w:ascii="Arial" w:hAnsi="Arial" w:cs="Arial"/>
          <w:bCs/>
          <w:i/>
        </w:rPr>
        <w:t xml:space="preserve">(Code of Practice) Regulation </w:t>
      </w:r>
      <w:r w:rsidR="001F13D3" w:rsidRPr="004010D0">
        <w:rPr>
          <w:rFonts w:ascii="Arial" w:hAnsi="Arial" w:cs="Arial"/>
          <w:bCs/>
          <w:i/>
        </w:rPr>
        <w:t>200</w:t>
      </w:r>
      <w:r w:rsidR="0081568D" w:rsidRPr="004010D0">
        <w:rPr>
          <w:rFonts w:ascii="Arial" w:hAnsi="Arial" w:cs="Arial"/>
          <w:bCs/>
          <w:i/>
        </w:rPr>
        <w:t>2</w:t>
      </w:r>
      <w:r w:rsidR="004B0652" w:rsidRPr="00A84938">
        <w:rPr>
          <w:rFonts w:ascii="Arial" w:hAnsi="Arial" w:cs="Arial"/>
          <w:bCs/>
        </w:rPr>
        <w:t xml:space="preserve"> (the Regulation</w:t>
      </w:r>
      <w:r w:rsidR="00B87A77" w:rsidRPr="00A84938">
        <w:rPr>
          <w:rFonts w:ascii="Arial" w:hAnsi="Arial" w:cs="Arial"/>
          <w:bCs/>
        </w:rPr>
        <w:t>) has</w:t>
      </w:r>
      <w:r w:rsidR="001F13D3" w:rsidRPr="00A84938">
        <w:rPr>
          <w:rFonts w:ascii="Arial" w:hAnsi="Arial" w:cs="Arial"/>
          <w:bCs/>
        </w:rPr>
        <w:t xml:space="preserve"> been made under </w:t>
      </w:r>
      <w:r w:rsidR="00436F63" w:rsidRPr="00A84938">
        <w:rPr>
          <w:rFonts w:ascii="Arial" w:hAnsi="Arial" w:cs="Arial"/>
          <w:bCs/>
        </w:rPr>
        <w:t xml:space="preserve">section </w:t>
      </w:r>
      <w:r w:rsidR="004010D0">
        <w:rPr>
          <w:rFonts w:ascii="Arial" w:hAnsi="Arial" w:cs="Arial"/>
          <w:bCs/>
        </w:rPr>
        <w:t>54</w:t>
      </w:r>
      <w:r w:rsidR="00CD6237" w:rsidRPr="00A84938">
        <w:rPr>
          <w:rFonts w:ascii="Arial" w:hAnsi="Arial" w:cs="Arial"/>
          <w:bCs/>
        </w:rPr>
        <w:t xml:space="preserve"> </w:t>
      </w:r>
      <w:r w:rsidR="00436F63" w:rsidRPr="00A84938">
        <w:rPr>
          <w:rFonts w:ascii="Arial" w:hAnsi="Arial" w:cs="Arial"/>
          <w:bCs/>
        </w:rPr>
        <w:t>of that Act.</w:t>
      </w:r>
    </w:p>
    <w:p w14:paraId="3BD6497A" w14:textId="77777777" w:rsidR="00BC6B0D" w:rsidRPr="00BC6B0D" w:rsidRDefault="00BC6B0D" w:rsidP="004010D0">
      <w:pPr>
        <w:spacing w:line="276" w:lineRule="auto"/>
        <w:rPr>
          <w:rFonts w:ascii="Arial" w:hAnsi="Arial" w:cs="Arial"/>
          <w:bCs/>
        </w:rPr>
      </w:pPr>
    </w:p>
    <w:p w14:paraId="3F2C483C" w14:textId="25D1C1BE" w:rsidR="00581CEE" w:rsidRPr="00E67BA3" w:rsidRDefault="00745B0F" w:rsidP="004010D0">
      <w:pPr>
        <w:spacing w:line="276" w:lineRule="auto"/>
        <w:rPr>
          <w:rFonts w:ascii="Arial" w:hAnsi="Arial" w:cs="Arial"/>
          <w:bCs/>
        </w:rPr>
      </w:pPr>
      <w:r>
        <w:rPr>
          <w:rFonts w:ascii="Arial" w:hAnsi="Arial" w:cs="Arial"/>
        </w:rPr>
        <w:t>The Gambling and Racing Control (Code of Practice) Amendment Regulation 2019</w:t>
      </w:r>
      <w:r w:rsidR="00337EBD">
        <w:rPr>
          <w:rFonts w:ascii="Arial" w:hAnsi="Arial" w:cs="Arial"/>
        </w:rPr>
        <w:t xml:space="preserve"> (No 1)</w:t>
      </w:r>
      <w:r>
        <w:rPr>
          <w:rFonts w:ascii="Arial" w:hAnsi="Arial" w:cs="Arial"/>
        </w:rPr>
        <w:t xml:space="preserve"> (</w:t>
      </w:r>
      <w:r>
        <w:rPr>
          <w:rFonts w:ascii="Arial" w:hAnsi="Arial" w:cs="Arial"/>
          <w:bCs/>
        </w:rPr>
        <w:t>t</w:t>
      </w:r>
      <w:r w:rsidR="00436F63" w:rsidRPr="00150772">
        <w:rPr>
          <w:rFonts w:ascii="Arial" w:hAnsi="Arial" w:cs="Arial"/>
          <w:bCs/>
        </w:rPr>
        <w:t>he Amendment Regulatio</w:t>
      </w:r>
      <w:r w:rsidR="008D0C09" w:rsidRPr="00150772">
        <w:rPr>
          <w:rFonts w:ascii="Arial" w:hAnsi="Arial" w:cs="Arial"/>
          <w:bCs/>
        </w:rPr>
        <w:t>n</w:t>
      </w:r>
      <w:r>
        <w:rPr>
          <w:rFonts w:ascii="Arial" w:hAnsi="Arial" w:cs="Arial"/>
          <w:bCs/>
        </w:rPr>
        <w:t>)</w:t>
      </w:r>
      <w:r w:rsidR="008D0C09" w:rsidRPr="00150772">
        <w:rPr>
          <w:rFonts w:ascii="Arial" w:hAnsi="Arial" w:cs="Arial"/>
          <w:bCs/>
        </w:rPr>
        <w:t xml:space="preserve"> amends the Regulation to implement measures from the National Consumer Protection Framework (NCPF) for Online Wagering in Australia.</w:t>
      </w:r>
    </w:p>
    <w:p w14:paraId="38E374F7" w14:textId="77777777" w:rsidR="00BC6B0D" w:rsidRPr="00376D91" w:rsidRDefault="00BC6B0D" w:rsidP="004010D0">
      <w:pPr>
        <w:spacing w:line="276" w:lineRule="auto"/>
        <w:rPr>
          <w:rFonts w:ascii="Arial" w:hAnsi="Arial" w:cs="Arial"/>
          <w:bCs/>
          <w:u w:val="single"/>
        </w:rPr>
      </w:pPr>
    </w:p>
    <w:p w14:paraId="7E6689D2" w14:textId="77777777" w:rsidR="003954A7" w:rsidRPr="00376D91" w:rsidRDefault="003954A7" w:rsidP="00376D91">
      <w:pPr>
        <w:pStyle w:val="BodyText"/>
        <w:spacing w:after="120" w:line="276" w:lineRule="auto"/>
        <w:rPr>
          <w:rFonts w:cs="Arial"/>
          <w:bCs/>
          <w:sz w:val="24"/>
          <w:szCs w:val="24"/>
          <w:u w:val="single"/>
          <w:lang w:val="en-GB" w:eastAsia="en-AU"/>
        </w:rPr>
      </w:pPr>
      <w:r w:rsidRPr="00376D91">
        <w:rPr>
          <w:rFonts w:cs="Arial"/>
          <w:bCs/>
          <w:sz w:val="24"/>
          <w:szCs w:val="24"/>
          <w:u w:val="single"/>
          <w:lang w:val="en-GB" w:eastAsia="en-AU"/>
        </w:rPr>
        <w:t xml:space="preserve">Background </w:t>
      </w:r>
    </w:p>
    <w:p w14:paraId="3EC22990" w14:textId="5D5848B5" w:rsidR="003954A7" w:rsidRPr="00376D91" w:rsidRDefault="003954A7" w:rsidP="00376D91">
      <w:pPr>
        <w:pStyle w:val="BodyText"/>
        <w:spacing w:line="276" w:lineRule="auto"/>
        <w:rPr>
          <w:rFonts w:cs="Arial"/>
          <w:bCs/>
          <w:sz w:val="24"/>
          <w:szCs w:val="24"/>
          <w:lang w:val="en-GB" w:eastAsia="en-AU"/>
        </w:rPr>
      </w:pPr>
      <w:bookmarkStart w:id="4" w:name="_Hlk9252467"/>
      <w:r w:rsidRPr="00376D91">
        <w:rPr>
          <w:rFonts w:cs="Arial"/>
          <w:bCs/>
          <w:sz w:val="24"/>
          <w:szCs w:val="24"/>
          <w:lang w:val="en-GB" w:eastAsia="en-AU"/>
        </w:rPr>
        <w:t xml:space="preserve">Online wagering operators are currently subject to the regulatory requirements </w:t>
      </w:r>
      <w:r w:rsidR="00CD6237" w:rsidRPr="00376D91">
        <w:rPr>
          <w:rFonts w:cs="Arial"/>
          <w:bCs/>
          <w:sz w:val="24"/>
          <w:szCs w:val="24"/>
          <w:lang w:val="en-GB" w:eastAsia="en-AU"/>
        </w:rPr>
        <w:t xml:space="preserve">of the Commonwealth as well as </w:t>
      </w:r>
      <w:r w:rsidRPr="00376D91">
        <w:rPr>
          <w:rFonts w:cs="Arial"/>
          <w:bCs/>
          <w:sz w:val="24"/>
          <w:szCs w:val="24"/>
          <w:lang w:val="en-GB" w:eastAsia="en-AU"/>
        </w:rPr>
        <w:t xml:space="preserve">the </w:t>
      </w:r>
      <w:r w:rsidR="00CD6237" w:rsidRPr="00376D91">
        <w:rPr>
          <w:rFonts w:cs="Arial"/>
          <w:bCs/>
          <w:sz w:val="24"/>
          <w:szCs w:val="24"/>
          <w:lang w:val="en-GB" w:eastAsia="en-AU"/>
        </w:rPr>
        <w:t xml:space="preserve">State or Territory </w:t>
      </w:r>
      <w:r w:rsidRPr="00376D91">
        <w:rPr>
          <w:rFonts w:cs="Arial"/>
          <w:bCs/>
          <w:sz w:val="24"/>
          <w:szCs w:val="24"/>
          <w:lang w:val="en-GB" w:eastAsia="en-AU"/>
        </w:rPr>
        <w:t>in which they are licensed. The regulatory framework for online wagering is inconsistent across Australian States and Territories, which has led to increased compliance requirements for interactive wagering service providers in Australia and has impacted the effectiveness of the protections afforded to consumers.</w:t>
      </w:r>
    </w:p>
    <w:p w14:paraId="06DD88FD" w14:textId="77777777" w:rsidR="00BC6B0D" w:rsidRDefault="00BC6B0D" w:rsidP="00376D91">
      <w:pPr>
        <w:pStyle w:val="BodyText"/>
        <w:spacing w:line="276" w:lineRule="auto"/>
        <w:rPr>
          <w:rFonts w:cs="Arial"/>
          <w:bCs/>
          <w:sz w:val="24"/>
          <w:szCs w:val="24"/>
          <w:lang w:val="en-GB" w:eastAsia="en-AU"/>
        </w:rPr>
      </w:pPr>
    </w:p>
    <w:p w14:paraId="229E7418" w14:textId="41995E35" w:rsidR="00152A54" w:rsidRPr="00376D91" w:rsidRDefault="003954A7" w:rsidP="00376D91">
      <w:pPr>
        <w:pStyle w:val="BodyText"/>
        <w:spacing w:line="276" w:lineRule="auto"/>
        <w:rPr>
          <w:rFonts w:cs="Arial"/>
          <w:bCs/>
          <w:sz w:val="24"/>
          <w:szCs w:val="24"/>
          <w:lang w:val="en-GB" w:eastAsia="en-AU"/>
        </w:rPr>
      </w:pPr>
      <w:r w:rsidRPr="00376D91">
        <w:rPr>
          <w:rFonts w:cs="Arial"/>
          <w:bCs/>
          <w:sz w:val="24"/>
          <w:szCs w:val="24"/>
          <w:lang w:val="en-GB" w:eastAsia="en-AU"/>
        </w:rPr>
        <w:t xml:space="preserve">The </w:t>
      </w:r>
      <w:r w:rsidR="008D0C09" w:rsidRPr="00376D91">
        <w:rPr>
          <w:rFonts w:cs="Arial"/>
          <w:bCs/>
          <w:sz w:val="24"/>
          <w:szCs w:val="24"/>
          <w:lang w:val="en-GB" w:eastAsia="en-AU"/>
        </w:rPr>
        <w:t>NCPF</w:t>
      </w:r>
      <w:r w:rsidR="00152A54" w:rsidRPr="00376D91">
        <w:rPr>
          <w:rFonts w:cs="Arial"/>
          <w:bCs/>
          <w:sz w:val="24"/>
          <w:szCs w:val="24"/>
          <w:lang w:val="en-GB" w:eastAsia="en-AU"/>
        </w:rPr>
        <w:t xml:space="preserve"> </w:t>
      </w:r>
      <w:r w:rsidRPr="00376D91">
        <w:rPr>
          <w:rFonts w:cs="Arial"/>
          <w:bCs/>
          <w:sz w:val="24"/>
          <w:szCs w:val="24"/>
          <w:lang w:val="en-GB" w:eastAsia="en-AU"/>
        </w:rPr>
        <w:t>has been developed by the Commonwealth</w:t>
      </w:r>
      <w:r w:rsidR="00CD6237" w:rsidRPr="00376D91">
        <w:rPr>
          <w:rFonts w:cs="Arial"/>
          <w:bCs/>
          <w:sz w:val="24"/>
          <w:szCs w:val="24"/>
          <w:lang w:val="en-GB" w:eastAsia="en-AU"/>
        </w:rPr>
        <w:t>,</w:t>
      </w:r>
      <w:r w:rsidRPr="00376D91">
        <w:rPr>
          <w:rFonts w:cs="Arial"/>
          <w:bCs/>
          <w:sz w:val="24"/>
          <w:szCs w:val="24"/>
          <w:lang w:val="en-GB" w:eastAsia="en-AU"/>
        </w:rPr>
        <w:t xml:space="preserve"> States and Territories, </w:t>
      </w:r>
      <w:r w:rsidR="00CD6237" w:rsidRPr="00376D91">
        <w:rPr>
          <w:rFonts w:cs="Arial"/>
          <w:bCs/>
          <w:sz w:val="24"/>
          <w:szCs w:val="24"/>
          <w:lang w:val="en-GB" w:eastAsia="en-AU"/>
        </w:rPr>
        <w:t xml:space="preserve">in consultation with </w:t>
      </w:r>
      <w:r w:rsidRPr="00376D91">
        <w:rPr>
          <w:rFonts w:cs="Arial"/>
          <w:bCs/>
          <w:sz w:val="24"/>
          <w:szCs w:val="24"/>
          <w:lang w:val="en-GB" w:eastAsia="en-AU"/>
        </w:rPr>
        <w:t xml:space="preserve">industry, community, academics and gambling harm reduction advocates. The NCPF consists of 10 consumer protection measures. These measures provide a suite of tools available for use by individuals, as well as requirements for ‘interactive wagering service providers’ (online wagering providers), to help mitigate the risk of harm through online gambling. The measures are to be implemented through a combination of Commonwealth, State and Territory regulatory changes. </w:t>
      </w:r>
    </w:p>
    <w:bookmarkEnd w:id="4"/>
    <w:p w14:paraId="6B749DFE" w14:textId="77777777" w:rsidR="00BC6B0D" w:rsidRDefault="00BC6B0D" w:rsidP="00376D91">
      <w:pPr>
        <w:pStyle w:val="BodyText"/>
        <w:spacing w:line="276" w:lineRule="auto"/>
        <w:rPr>
          <w:rFonts w:cs="Arial"/>
          <w:bCs/>
          <w:sz w:val="24"/>
          <w:szCs w:val="24"/>
          <w:lang w:val="en-GB" w:eastAsia="en-AU"/>
        </w:rPr>
      </w:pPr>
    </w:p>
    <w:p w14:paraId="38DA1838" w14:textId="2BCC38BA" w:rsidR="004010D0" w:rsidRDefault="00152A54" w:rsidP="00376D91">
      <w:pPr>
        <w:pStyle w:val="BodyText"/>
        <w:spacing w:line="276" w:lineRule="auto"/>
        <w:rPr>
          <w:rFonts w:cs="Arial"/>
          <w:bCs/>
          <w:sz w:val="24"/>
          <w:szCs w:val="24"/>
          <w:lang w:val="en-GB" w:eastAsia="en-AU"/>
        </w:rPr>
      </w:pPr>
      <w:r w:rsidRPr="00376D91">
        <w:rPr>
          <w:rFonts w:cs="Arial"/>
          <w:bCs/>
          <w:sz w:val="24"/>
          <w:szCs w:val="24"/>
          <w:lang w:val="en-GB" w:eastAsia="en-AU"/>
        </w:rPr>
        <w:t>The Commonwealth</w:t>
      </w:r>
      <w:r w:rsidR="001879DA" w:rsidRPr="00376D91">
        <w:rPr>
          <w:rFonts w:cs="Arial"/>
          <w:bCs/>
          <w:sz w:val="24"/>
          <w:szCs w:val="24"/>
          <w:lang w:val="en-GB" w:eastAsia="en-AU"/>
        </w:rPr>
        <w:t xml:space="preserve">, </w:t>
      </w:r>
      <w:r w:rsidRPr="00376D91">
        <w:rPr>
          <w:rFonts w:cs="Arial"/>
          <w:bCs/>
          <w:sz w:val="24"/>
          <w:szCs w:val="24"/>
          <w:lang w:val="en-GB" w:eastAsia="en-AU"/>
        </w:rPr>
        <w:t xml:space="preserve">State and Territory Ministers with responsibility for </w:t>
      </w:r>
      <w:r w:rsidR="00A84938" w:rsidRPr="00376D91">
        <w:rPr>
          <w:rFonts w:cs="Arial"/>
          <w:bCs/>
          <w:sz w:val="24"/>
          <w:szCs w:val="24"/>
          <w:lang w:val="en-GB" w:eastAsia="en-AU"/>
        </w:rPr>
        <w:t xml:space="preserve">online wagering in their jurisdiction </w:t>
      </w:r>
      <w:r w:rsidR="003954A7" w:rsidRPr="00376D91">
        <w:rPr>
          <w:rFonts w:cs="Arial"/>
          <w:bCs/>
          <w:sz w:val="24"/>
          <w:szCs w:val="24"/>
          <w:lang w:val="en-GB" w:eastAsia="en-AU"/>
        </w:rPr>
        <w:t xml:space="preserve">met on 8 September 2017 and provided in-principle support to the National Framework. </w:t>
      </w:r>
    </w:p>
    <w:p w14:paraId="6011267C" w14:textId="77777777" w:rsidR="004010D0" w:rsidRDefault="004010D0" w:rsidP="00376D91">
      <w:pPr>
        <w:pStyle w:val="BodyText"/>
        <w:spacing w:line="276" w:lineRule="auto"/>
        <w:rPr>
          <w:rFonts w:cs="Arial"/>
          <w:bCs/>
          <w:sz w:val="24"/>
          <w:szCs w:val="24"/>
          <w:lang w:val="en-GB" w:eastAsia="en-AU"/>
        </w:rPr>
      </w:pPr>
    </w:p>
    <w:p w14:paraId="485B25F9" w14:textId="611E3CCF" w:rsidR="00152A54" w:rsidRPr="00376D91" w:rsidRDefault="004010D0" w:rsidP="00376D91">
      <w:pPr>
        <w:pStyle w:val="BodyText"/>
        <w:spacing w:line="276" w:lineRule="auto"/>
        <w:rPr>
          <w:rFonts w:cs="Arial"/>
          <w:bCs/>
          <w:sz w:val="24"/>
          <w:szCs w:val="24"/>
          <w:lang w:val="en-GB" w:eastAsia="en-AU"/>
        </w:rPr>
      </w:pPr>
      <w:r w:rsidRPr="008C144A">
        <w:rPr>
          <w:rFonts w:cs="Arial"/>
          <w:bCs/>
          <w:sz w:val="24"/>
          <w:szCs w:val="24"/>
          <w:lang w:val="en-GB" w:eastAsia="en-AU"/>
        </w:rPr>
        <w:t>The NCPF for Online Wagering will be implemented through an agreed National Policy Statement (the Statement)</w:t>
      </w:r>
      <w:r>
        <w:rPr>
          <w:rFonts w:cs="Arial"/>
          <w:bCs/>
          <w:sz w:val="24"/>
          <w:szCs w:val="24"/>
          <w:lang w:val="en-GB" w:eastAsia="en-AU"/>
        </w:rPr>
        <w:t xml:space="preserve">, which has </w:t>
      </w:r>
      <w:r w:rsidR="00CD6237" w:rsidRPr="00376D91">
        <w:rPr>
          <w:rFonts w:cs="Arial"/>
          <w:bCs/>
          <w:sz w:val="24"/>
          <w:szCs w:val="24"/>
          <w:lang w:val="en-GB" w:eastAsia="en-AU"/>
        </w:rPr>
        <w:t>been endorsed</w:t>
      </w:r>
      <w:r w:rsidR="00152A54" w:rsidRPr="00376D91">
        <w:rPr>
          <w:rFonts w:cs="Arial"/>
          <w:bCs/>
          <w:sz w:val="24"/>
          <w:szCs w:val="24"/>
          <w:lang w:val="en-GB" w:eastAsia="en-AU"/>
        </w:rPr>
        <w:t xml:space="preserve"> by </w:t>
      </w:r>
      <w:r w:rsidR="00CD6237" w:rsidRPr="00376D91">
        <w:rPr>
          <w:rFonts w:cs="Arial"/>
          <w:bCs/>
          <w:sz w:val="24"/>
          <w:szCs w:val="24"/>
          <w:lang w:val="en-GB" w:eastAsia="en-AU"/>
        </w:rPr>
        <w:t xml:space="preserve">all </w:t>
      </w:r>
      <w:r w:rsidR="00152A54" w:rsidRPr="00376D91">
        <w:rPr>
          <w:rFonts w:cs="Arial"/>
          <w:bCs/>
          <w:sz w:val="24"/>
          <w:szCs w:val="24"/>
          <w:lang w:val="en-GB" w:eastAsia="en-AU"/>
        </w:rPr>
        <w:t xml:space="preserve">Ministers </w:t>
      </w:r>
      <w:r w:rsidR="00CD6237" w:rsidRPr="00376D91">
        <w:rPr>
          <w:rFonts w:cs="Arial"/>
          <w:bCs/>
          <w:sz w:val="24"/>
          <w:szCs w:val="24"/>
          <w:lang w:val="en-GB" w:eastAsia="en-AU"/>
        </w:rPr>
        <w:t>and was released on 26</w:t>
      </w:r>
      <w:r>
        <w:rPr>
          <w:rFonts w:cs="Arial"/>
          <w:bCs/>
          <w:sz w:val="24"/>
          <w:szCs w:val="24"/>
          <w:lang w:val="en-GB" w:eastAsia="en-AU"/>
        </w:rPr>
        <w:t> </w:t>
      </w:r>
      <w:r w:rsidR="00CD6237" w:rsidRPr="00376D91">
        <w:rPr>
          <w:rFonts w:cs="Arial"/>
          <w:bCs/>
          <w:sz w:val="24"/>
          <w:szCs w:val="24"/>
          <w:lang w:val="en-GB" w:eastAsia="en-AU"/>
        </w:rPr>
        <w:t xml:space="preserve">November 2018. </w:t>
      </w:r>
      <w:r w:rsidR="00152A54" w:rsidRPr="00376D91">
        <w:rPr>
          <w:rFonts w:cs="Arial"/>
          <w:bCs/>
          <w:sz w:val="24"/>
          <w:szCs w:val="24"/>
          <w:lang w:val="en-GB" w:eastAsia="en-AU"/>
        </w:rPr>
        <w:t xml:space="preserve">The Statement sets out the agreed policy commitments of Commonwealth, State, and Territory governments that underpin the introduction of the National Framework’s measures. The Statement also outlines the agreed implementation arrangements all Governments will use to deliver the National Framework. </w:t>
      </w:r>
    </w:p>
    <w:p w14:paraId="570351BE" w14:textId="77777777" w:rsidR="00BC6B0D" w:rsidRDefault="00BC6B0D" w:rsidP="00376D91">
      <w:pPr>
        <w:pStyle w:val="BodyText"/>
        <w:spacing w:line="276" w:lineRule="auto"/>
        <w:rPr>
          <w:rFonts w:cs="Arial"/>
          <w:bCs/>
          <w:sz w:val="24"/>
          <w:szCs w:val="24"/>
          <w:lang w:val="en-GB" w:eastAsia="en-AU"/>
        </w:rPr>
      </w:pPr>
    </w:p>
    <w:p w14:paraId="2500E1DE" w14:textId="60AD2E67" w:rsidR="003D013F" w:rsidRPr="00376D91" w:rsidRDefault="00152A54" w:rsidP="00376D91">
      <w:pPr>
        <w:pStyle w:val="BodyText"/>
        <w:spacing w:line="276" w:lineRule="auto"/>
        <w:rPr>
          <w:rFonts w:cs="Arial"/>
          <w:bCs/>
          <w:sz w:val="24"/>
          <w:szCs w:val="24"/>
          <w:lang w:val="en-GB" w:eastAsia="en-AU"/>
        </w:rPr>
      </w:pPr>
      <w:r w:rsidRPr="00376D91">
        <w:rPr>
          <w:rFonts w:cs="Arial"/>
          <w:bCs/>
          <w:sz w:val="24"/>
          <w:szCs w:val="24"/>
          <w:lang w:val="en-GB" w:eastAsia="en-AU"/>
        </w:rPr>
        <w:t xml:space="preserve">A copy of the Statement is attached to this Explanatory Statement. Further information is available at: </w:t>
      </w:r>
      <w:hyperlink r:id="rId8" w:history="1">
        <w:r w:rsidR="00BC6B0D" w:rsidRPr="00376D91">
          <w:rPr>
            <w:rStyle w:val="Hyperlink"/>
            <w:rFonts w:cs="Arial"/>
            <w:bCs/>
            <w:sz w:val="24"/>
            <w:szCs w:val="24"/>
            <w:lang w:val="en-GB" w:eastAsia="en-AU"/>
          </w:rPr>
          <w:t>https://www.dss.gov.au/communities-and-vulnerable-</w:t>
        </w:r>
        <w:r w:rsidR="00BC6B0D" w:rsidRPr="00376D91">
          <w:rPr>
            <w:rStyle w:val="Hyperlink"/>
            <w:rFonts w:cs="Arial"/>
            <w:bCs/>
            <w:sz w:val="24"/>
            <w:szCs w:val="24"/>
            <w:lang w:val="en-GB" w:eastAsia="en-AU"/>
          </w:rPr>
          <w:lastRenderedPageBreak/>
          <w:t>people-programs-services-gambling/national-consumer-protection-framework-for-online-wagerin</w:t>
        </w:r>
        <w:r w:rsidR="00BC6B0D" w:rsidRPr="00BC6B0D">
          <w:rPr>
            <w:rStyle w:val="Hyperlink"/>
            <w:rFonts w:cs="Arial"/>
            <w:bCs/>
            <w:sz w:val="24"/>
            <w:szCs w:val="24"/>
            <w:lang w:val="en-GB" w:eastAsia="en-AU"/>
          </w:rPr>
          <w:t>g</w:t>
        </w:r>
      </w:hyperlink>
      <w:r w:rsidR="003D013F" w:rsidRPr="00376D91">
        <w:rPr>
          <w:rFonts w:cs="Arial"/>
          <w:bCs/>
          <w:sz w:val="24"/>
          <w:szCs w:val="24"/>
          <w:lang w:val="en-GB" w:eastAsia="en-AU"/>
        </w:rPr>
        <w:t>.</w:t>
      </w:r>
    </w:p>
    <w:p w14:paraId="46ECBD44" w14:textId="77777777" w:rsidR="00BC6B0D" w:rsidRPr="00376D91" w:rsidRDefault="00BC6B0D" w:rsidP="00376D91">
      <w:pPr>
        <w:pStyle w:val="BodyText"/>
        <w:spacing w:line="276" w:lineRule="auto"/>
        <w:rPr>
          <w:rFonts w:cs="Arial"/>
          <w:bCs/>
          <w:sz w:val="24"/>
          <w:szCs w:val="24"/>
          <w:lang w:val="en-GB" w:eastAsia="en-AU"/>
        </w:rPr>
      </w:pPr>
    </w:p>
    <w:p w14:paraId="6CB042A4" w14:textId="4E797B22" w:rsidR="00152A54" w:rsidRPr="00376D91" w:rsidRDefault="00152A54" w:rsidP="00376D91">
      <w:pPr>
        <w:pStyle w:val="BodyText"/>
        <w:spacing w:line="276" w:lineRule="auto"/>
        <w:rPr>
          <w:rFonts w:cs="Arial"/>
          <w:bCs/>
          <w:sz w:val="24"/>
          <w:szCs w:val="24"/>
          <w:lang w:val="en-GB" w:eastAsia="en-AU"/>
        </w:rPr>
      </w:pPr>
      <w:r w:rsidRPr="00376D91">
        <w:rPr>
          <w:rFonts w:cs="Arial"/>
          <w:bCs/>
          <w:sz w:val="24"/>
          <w:szCs w:val="24"/>
          <w:lang w:val="en-GB" w:eastAsia="en-AU"/>
        </w:rPr>
        <w:t>Implementation timeframes as set out in the Statement provide that the NCPF’s measures will be progressively introduced over 18</w:t>
      </w:r>
      <w:r w:rsidR="004010D0">
        <w:rPr>
          <w:rFonts w:cs="Arial"/>
          <w:bCs/>
          <w:sz w:val="24"/>
          <w:szCs w:val="24"/>
          <w:lang w:val="en-GB" w:eastAsia="en-AU"/>
        </w:rPr>
        <w:t> </w:t>
      </w:r>
      <w:r w:rsidRPr="00376D91">
        <w:rPr>
          <w:rFonts w:cs="Arial"/>
          <w:bCs/>
          <w:sz w:val="24"/>
          <w:szCs w:val="24"/>
          <w:lang w:val="en-GB" w:eastAsia="en-AU"/>
        </w:rPr>
        <w:t>months</w:t>
      </w:r>
      <w:r w:rsidR="004010D0">
        <w:rPr>
          <w:rFonts w:cs="Arial"/>
          <w:bCs/>
          <w:sz w:val="24"/>
          <w:szCs w:val="24"/>
          <w:lang w:val="en-GB" w:eastAsia="en-AU"/>
        </w:rPr>
        <w:t xml:space="preserve"> from the endorsement of the Statement</w:t>
      </w:r>
      <w:r w:rsidRPr="00376D91">
        <w:rPr>
          <w:rFonts w:cs="Arial"/>
          <w:bCs/>
          <w:sz w:val="24"/>
          <w:szCs w:val="24"/>
          <w:lang w:val="en-GB" w:eastAsia="en-AU"/>
        </w:rPr>
        <w:t xml:space="preserve">. </w:t>
      </w:r>
    </w:p>
    <w:p w14:paraId="26DA2077" w14:textId="77777777" w:rsidR="00A84938" w:rsidRPr="00376D91" w:rsidRDefault="00A84938" w:rsidP="00376D91">
      <w:pPr>
        <w:pStyle w:val="BodyText"/>
        <w:spacing w:line="276" w:lineRule="auto"/>
        <w:rPr>
          <w:rFonts w:cs="Arial"/>
          <w:bCs/>
          <w:sz w:val="24"/>
          <w:szCs w:val="24"/>
          <w:u w:val="single"/>
          <w:lang w:val="en-GB" w:eastAsia="en-AU"/>
        </w:rPr>
      </w:pPr>
    </w:p>
    <w:p w14:paraId="4597B3C2" w14:textId="77777777" w:rsidR="003954A7" w:rsidRPr="00376D91" w:rsidRDefault="003954A7" w:rsidP="00376D91">
      <w:pPr>
        <w:pStyle w:val="BodyText"/>
        <w:keepNext/>
        <w:spacing w:after="120" w:line="276" w:lineRule="auto"/>
        <w:rPr>
          <w:rFonts w:cs="Arial"/>
          <w:bCs/>
          <w:sz w:val="24"/>
          <w:szCs w:val="24"/>
          <w:u w:val="single"/>
          <w:lang w:val="en-GB" w:eastAsia="en-AU"/>
        </w:rPr>
      </w:pPr>
      <w:r w:rsidRPr="00376D91">
        <w:rPr>
          <w:rFonts w:cs="Arial"/>
          <w:bCs/>
          <w:sz w:val="24"/>
          <w:szCs w:val="24"/>
          <w:u w:val="single"/>
          <w:lang w:val="en-GB" w:eastAsia="en-AU"/>
        </w:rPr>
        <w:t xml:space="preserve">Application in the ACT </w:t>
      </w:r>
    </w:p>
    <w:p w14:paraId="6DD2A2AE" w14:textId="79073EDC" w:rsidR="003954A7" w:rsidRPr="00376D91" w:rsidRDefault="003954A7" w:rsidP="004010D0">
      <w:pPr>
        <w:spacing w:line="276" w:lineRule="auto"/>
        <w:rPr>
          <w:rFonts w:ascii="Arial" w:hAnsi="Arial" w:cs="Arial"/>
          <w:bCs/>
        </w:rPr>
      </w:pPr>
      <w:bookmarkStart w:id="5" w:name="_Hlk9252497"/>
      <w:r w:rsidRPr="00376D91">
        <w:rPr>
          <w:rFonts w:ascii="Arial" w:hAnsi="Arial" w:cs="Arial"/>
          <w:bCs/>
        </w:rPr>
        <w:t xml:space="preserve">The ACT’s measures will be implemented through amendments to the </w:t>
      </w:r>
      <w:r w:rsidR="004010D0">
        <w:rPr>
          <w:rFonts w:ascii="Arial" w:hAnsi="Arial" w:cs="Arial"/>
          <w:bCs/>
        </w:rPr>
        <w:t>Regulation</w:t>
      </w:r>
      <w:r w:rsidRPr="00376D91">
        <w:rPr>
          <w:rFonts w:ascii="Arial" w:hAnsi="Arial" w:cs="Arial"/>
          <w:bCs/>
        </w:rPr>
        <w:t xml:space="preserve">. </w:t>
      </w:r>
    </w:p>
    <w:p w14:paraId="58D00862" w14:textId="77777777" w:rsidR="00BC6B0D" w:rsidRPr="00A84938" w:rsidRDefault="00BC6B0D" w:rsidP="004010D0">
      <w:pPr>
        <w:spacing w:line="276" w:lineRule="auto"/>
        <w:rPr>
          <w:rFonts w:ascii="Arial" w:hAnsi="Arial" w:cs="Arial"/>
          <w:bCs/>
        </w:rPr>
      </w:pPr>
    </w:p>
    <w:p w14:paraId="50CF4ED4" w14:textId="1FE8176C" w:rsidR="007C4CCE" w:rsidRPr="00376D91" w:rsidRDefault="007C4CCE" w:rsidP="00376D91">
      <w:pPr>
        <w:widowControl w:val="0"/>
        <w:spacing w:after="120" w:line="276" w:lineRule="auto"/>
        <w:rPr>
          <w:rFonts w:ascii="Arial" w:hAnsi="Arial" w:cs="Arial"/>
          <w:bCs/>
        </w:rPr>
      </w:pPr>
      <w:r w:rsidRPr="00376D91">
        <w:rPr>
          <w:rFonts w:ascii="Arial" w:hAnsi="Arial" w:cs="Arial"/>
          <w:bCs/>
        </w:rPr>
        <w:t>The measures within the NCPF to be implemented and regulated by States and Territories include:</w:t>
      </w:r>
    </w:p>
    <w:p w14:paraId="3C100B09" w14:textId="77777777" w:rsidR="007C4CCE" w:rsidRPr="00376D91" w:rsidRDefault="007C4CCE" w:rsidP="00376D91">
      <w:pPr>
        <w:pStyle w:val="ListParagraph"/>
        <w:widowControl w:val="0"/>
        <w:numPr>
          <w:ilvl w:val="0"/>
          <w:numId w:val="8"/>
        </w:numPr>
        <w:spacing w:after="120" w:line="276" w:lineRule="auto"/>
        <w:ind w:left="851" w:right="-45"/>
        <w:rPr>
          <w:rFonts w:ascii="Arial" w:eastAsia="Times New Roman" w:hAnsi="Arial" w:cs="Arial"/>
          <w:bCs/>
          <w:sz w:val="24"/>
          <w:szCs w:val="24"/>
          <w:lang w:val="en-GB"/>
        </w:rPr>
      </w:pPr>
      <w:r w:rsidRPr="00376D91">
        <w:rPr>
          <w:rFonts w:ascii="Arial" w:eastAsia="Times New Roman" w:hAnsi="Arial" w:cs="Arial"/>
          <w:bCs/>
          <w:sz w:val="24"/>
          <w:szCs w:val="24"/>
          <w:u w:val="single"/>
          <w:lang w:val="en-GB"/>
        </w:rPr>
        <w:t>Restrictions on inducements</w:t>
      </w:r>
      <w:r w:rsidRPr="00376D91">
        <w:rPr>
          <w:rFonts w:ascii="Arial" w:eastAsia="Times New Roman" w:hAnsi="Arial" w:cs="Arial"/>
          <w:bCs/>
          <w:sz w:val="24"/>
          <w:szCs w:val="24"/>
          <w:lang w:val="en-GB"/>
        </w:rPr>
        <w:t xml:space="preserve"> - This measure prohibits all specified inducements (e.g. incentivising the opening of an account or referring another person, encouraging gambling, bonus bet conditions, direct marketing).</w:t>
      </w:r>
    </w:p>
    <w:p w14:paraId="4E8420F3" w14:textId="77777777" w:rsidR="007C4CCE" w:rsidRPr="00376D91" w:rsidRDefault="007C4CCE" w:rsidP="00376D91">
      <w:pPr>
        <w:pStyle w:val="ListParagraph"/>
        <w:widowControl w:val="0"/>
        <w:numPr>
          <w:ilvl w:val="0"/>
          <w:numId w:val="8"/>
        </w:numPr>
        <w:spacing w:after="120" w:line="276" w:lineRule="auto"/>
        <w:ind w:left="851" w:right="-45"/>
        <w:rPr>
          <w:rFonts w:ascii="Arial" w:eastAsia="Times New Roman" w:hAnsi="Arial" w:cs="Arial"/>
          <w:bCs/>
          <w:lang w:val="en-GB"/>
        </w:rPr>
      </w:pPr>
      <w:r w:rsidRPr="00376D91">
        <w:rPr>
          <w:rFonts w:ascii="Arial" w:eastAsia="Times New Roman" w:hAnsi="Arial" w:cs="Arial"/>
          <w:bCs/>
          <w:sz w:val="24"/>
          <w:szCs w:val="24"/>
          <w:u w:val="single"/>
          <w:lang w:val="en-GB"/>
        </w:rPr>
        <w:t>Account closure</w:t>
      </w:r>
      <w:r w:rsidRPr="00376D91">
        <w:rPr>
          <w:rFonts w:ascii="Arial" w:eastAsia="Times New Roman" w:hAnsi="Arial" w:cs="Arial"/>
          <w:bCs/>
          <w:sz w:val="24"/>
          <w:szCs w:val="24"/>
          <w:lang w:val="en-GB"/>
        </w:rPr>
        <w:t xml:space="preserve"> - This measure ensures that closing/cancelling an online wagering account is readily available, and accessible by all customers.</w:t>
      </w:r>
    </w:p>
    <w:p w14:paraId="3DF0EB76" w14:textId="77777777" w:rsidR="007C4CCE" w:rsidRPr="00376D91" w:rsidRDefault="007C4CCE" w:rsidP="00376D91">
      <w:pPr>
        <w:pStyle w:val="ListParagraph"/>
        <w:widowControl w:val="0"/>
        <w:numPr>
          <w:ilvl w:val="0"/>
          <w:numId w:val="8"/>
        </w:numPr>
        <w:spacing w:after="120" w:line="276" w:lineRule="auto"/>
        <w:ind w:left="851" w:right="-45"/>
        <w:rPr>
          <w:rFonts w:ascii="Arial" w:eastAsia="Times New Roman" w:hAnsi="Arial" w:cs="Arial"/>
          <w:bCs/>
          <w:sz w:val="24"/>
          <w:szCs w:val="24"/>
          <w:lang w:val="en-GB"/>
        </w:rPr>
      </w:pPr>
      <w:r w:rsidRPr="00376D91">
        <w:rPr>
          <w:rFonts w:ascii="Arial" w:eastAsia="Times New Roman" w:hAnsi="Arial" w:cs="Arial"/>
          <w:bCs/>
          <w:sz w:val="24"/>
          <w:szCs w:val="24"/>
          <w:u w:val="single"/>
          <w:lang w:val="en-GB"/>
        </w:rPr>
        <w:t>Voluntary opt-out pre-commitment scheme (deposit limits)</w:t>
      </w:r>
      <w:r w:rsidRPr="00376D91">
        <w:rPr>
          <w:rFonts w:ascii="Arial" w:eastAsia="Times New Roman" w:hAnsi="Arial" w:cs="Arial"/>
          <w:bCs/>
          <w:sz w:val="24"/>
          <w:szCs w:val="24"/>
          <w:lang w:val="en-GB"/>
        </w:rPr>
        <w:t xml:space="preserve"> - This measure provides consumers with a tool to help them monitor and manage their gambling by pre-committing to deposit limits. These limits would apply on an operator basis.</w:t>
      </w:r>
    </w:p>
    <w:p w14:paraId="5E85D7E5" w14:textId="77777777" w:rsidR="007C4CCE" w:rsidRPr="00376D91" w:rsidRDefault="007C4CCE" w:rsidP="00376D91">
      <w:pPr>
        <w:pStyle w:val="ListParagraph"/>
        <w:widowControl w:val="0"/>
        <w:numPr>
          <w:ilvl w:val="0"/>
          <w:numId w:val="8"/>
        </w:numPr>
        <w:spacing w:after="120" w:line="276" w:lineRule="auto"/>
        <w:ind w:left="851" w:right="-45"/>
        <w:rPr>
          <w:rFonts w:ascii="Arial" w:eastAsia="Times New Roman" w:hAnsi="Arial" w:cs="Arial"/>
          <w:bCs/>
          <w:sz w:val="24"/>
          <w:szCs w:val="24"/>
          <w:lang w:val="en-GB"/>
        </w:rPr>
      </w:pPr>
      <w:r w:rsidRPr="00376D91">
        <w:rPr>
          <w:rFonts w:ascii="Arial" w:eastAsia="Times New Roman" w:hAnsi="Arial" w:cs="Arial"/>
          <w:bCs/>
          <w:sz w:val="24"/>
          <w:szCs w:val="24"/>
          <w:u w:val="single"/>
          <w:lang w:val="en-GB"/>
        </w:rPr>
        <w:t>Activity statements</w:t>
      </w:r>
      <w:r w:rsidRPr="00376D91">
        <w:rPr>
          <w:rFonts w:ascii="Arial" w:eastAsia="Times New Roman" w:hAnsi="Arial" w:cs="Arial"/>
          <w:bCs/>
          <w:sz w:val="24"/>
          <w:szCs w:val="24"/>
          <w:lang w:val="en-GB"/>
        </w:rPr>
        <w:t xml:space="preserve"> - This measure ensures customers receive meaningful statements on their wagering activity from each interactive wagering service provider.</w:t>
      </w:r>
    </w:p>
    <w:p w14:paraId="4FB857B6" w14:textId="77777777" w:rsidR="007C4CCE" w:rsidRPr="00376D91" w:rsidRDefault="007C4CCE" w:rsidP="00376D91">
      <w:pPr>
        <w:pStyle w:val="ListParagraph"/>
        <w:widowControl w:val="0"/>
        <w:numPr>
          <w:ilvl w:val="0"/>
          <w:numId w:val="8"/>
        </w:numPr>
        <w:spacing w:after="120" w:line="276" w:lineRule="auto"/>
        <w:ind w:left="851" w:right="-45"/>
        <w:rPr>
          <w:rFonts w:ascii="Arial" w:eastAsia="Times New Roman" w:hAnsi="Arial" w:cs="Arial"/>
          <w:bCs/>
          <w:sz w:val="24"/>
          <w:szCs w:val="24"/>
          <w:lang w:val="en-GB"/>
        </w:rPr>
      </w:pPr>
      <w:r w:rsidRPr="00376D91">
        <w:rPr>
          <w:rFonts w:ascii="Arial" w:eastAsia="Times New Roman" w:hAnsi="Arial" w:cs="Arial"/>
          <w:bCs/>
          <w:sz w:val="24"/>
          <w:szCs w:val="24"/>
          <w:u w:val="single"/>
          <w:lang w:val="en-GB"/>
        </w:rPr>
        <w:t>Consistent gambling messaging</w:t>
      </w:r>
      <w:r w:rsidRPr="00376D91">
        <w:rPr>
          <w:rFonts w:ascii="Arial" w:eastAsia="Times New Roman" w:hAnsi="Arial" w:cs="Arial"/>
          <w:bCs/>
          <w:sz w:val="24"/>
          <w:szCs w:val="24"/>
          <w:lang w:val="en-GB"/>
        </w:rPr>
        <w:t xml:space="preserve"> - This measure provides for evidence</w:t>
      </w:r>
      <w:r w:rsidRPr="00376D91">
        <w:rPr>
          <w:rFonts w:ascii="Arial" w:eastAsia="Times New Roman" w:hAnsi="Arial" w:cs="Arial"/>
          <w:bCs/>
          <w:sz w:val="24"/>
          <w:szCs w:val="24"/>
          <w:lang w:val="en-GB"/>
        </w:rPr>
        <w:noBreakHyphen/>
        <w:t xml:space="preserve">based, consistent gambling messaging by interactive wagering service providers. </w:t>
      </w:r>
    </w:p>
    <w:p w14:paraId="6E09D40E" w14:textId="77777777" w:rsidR="007C4CCE" w:rsidRPr="00376D91" w:rsidRDefault="007C4CCE" w:rsidP="00376D91">
      <w:pPr>
        <w:pStyle w:val="ListParagraph"/>
        <w:widowControl w:val="0"/>
        <w:numPr>
          <w:ilvl w:val="0"/>
          <w:numId w:val="8"/>
        </w:numPr>
        <w:spacing w:after="120" w:line="276" w:lineRule="auto"/>
        <w:ind w:left="851" w:right="-45"/>
        <w:rPr>
          <w:rFonts w:ascii="Arial" w:eastAsia="Times New Roman" w:hAnsi="Arial" w:cs="Arial"/>
          <w:bCs/>
          <w:sz w:val="24"/>
          <w:szCs w:val="24"/>
          <w:lang w:val="en-GB"/>
        </w:rPr>
      </w:pPr>
      <w:r w:rsidRPr="00376D91">
        <w:rPr>
          <w:rFonts w:ascii="Arial" w:eastAsia="Times New Roman" w:hAnsi="Arial" w:cs="Arial"/>
          <w:bCs/>
          <w:sz w:val="24"/>
          <w:szCs w:val="24"/>
          <w:u w:val="single"/>
          <w:lang w:val="en-GB"/>
        </w:rPr>
        <w:t>Staff training</w:t>
      </w:r>
      <w:r w:rsidRPr="00376D91">
        <w:rPr>
          <w:rFonts w:ascii="Arial" w:eastAsia="Times New Roman" w:hAnsi="Arial" w:cs="Arial"/>
          <w:bCs/>
          <w:sz w:val="24"/>
          <w:szCs w:val="24"/>
          <w:lang w:val="en-GB"/>
        </w:rPr>
        <w:t xml:space="preserve"> - This measure provides for the training of certain staff in the responsible service of online gambling.</w:t>
      </w:r>
    </w:p>
    <w:p w14:paraId="53C703D2" w14:textId="77777777" w:rsidR="00BC6B0D" w:rsidRDefault="00BC6B0D" w:rsidP="00376D91">
      <w:pPr>
        <w:spacing w:line="276" w:lineRule="auto"/>
        <w:rPr>
          <w:rFonts w:ascii="Arial" w:hAnsi="Arial" w:cs="Arial"/>
          <w:bCs/>
        </w:rPr>
      </w:pPr>
    </w:p>
    <w:p w14:paraId="683AF76C" w14:textId="3FDE71F8" w:rsidR="003D013F" w:rsidRPr="00A84938" w:rsidRDefault="007C4CCE" w:rsidP="00376D91">
      <w:pPr>
        <w:spacing w:line="276" w:lineRule="auto"/>
        <w:rPr>
          <w:rFonts w:ascii="Arial" w:hAnsi="Arial" w:cs="Arial"/>
          <w:bCs/>
        </w:rPr>
      </w:pPr>
      <w:r w:rsidRPr="00376D91">
        <w:rPr>
          <w:rFonts w:ascii="Arial" w:hAnsi="Arial" w:cs="Arial"/>
          <w:bCs/>
        </w:rPr>
        <w:t>In accordance with the obligations of the NCPF, the ACT Government will enact the measures in relation to restrictions on inducements, account closure and voluntary opt-out pre-commitment scheme (deposit limits) by 26 May 2019.</w:t>
      </w:r>
    </w:p>
    <w:p w14:paraId="7FCFE8A8" w14:textId="77777777" w:rsidR="00BC6B0D" w:rsidRDefault="00BC6B0D" w:rsidP="00376D91">
      <w:pPr>
        <w:widowControl w:val="0"/>
        <w:spacing w:line="276" w:lineRule="auto"/>
        <w:ind w:right="-45"/>
        <w:rPr>
          <w:rFonts w:ascii="Arial" w:hAnsi="Arial" w:cs="Arial"/>
          <w:bCs/>
        </w:rPr>
      </w:pPr>
    </w:p>
    <w:p w14:paraId="01A13757" w14:textId="6049EC57" w:rsidR="007C4CCE" w:rsidRPr="00376D91" w:rsidRDefault="007C4CCE" w:rsidP="00376D91">
      <w:pPr>
        <w:widowControl w:val="0"/>
        <w:spacing w:line="276" w:lineRule="auto"/>
        <w:ind w:right="-45"/>
        <w:rPr>
          <w:rFonts w:ascii="Arial" w:hAnsi="Arial" w:cs="Arial"/>
          <w:bCs/>
        </w:rPr>
      </w:pPr>
      <w:r w:rsidRPr="00376D91">
        <w:rPr>
          <w:rFonts w:ascii="Arial" w:hAnsi="Arial" w:cs="Arial"/>
          <w:bCs/>
        </w:rPr>
        <w:t>The other measures required to be</w:t>
      </w:r>
      <w:r w:rsidR="004010D0">
        <w:rPr>
          <w:rFonts w:ascii="Arial" w:hAnsi="Arial" w:cs="Arial"/>
          <w:bCs/>
        </w:rPr>
        <w:t xml:space="preserve"> progressed by</w:t>
      </w:r>
      <w:r w:rsidRPr="00376D91">
        <w:rPr>
          <w:rFonts w:ascii="Arial" w:hAnsi="Arial" w:cs="Arial"/>
          <w:bCs/>
        </w:rPr>
        <w:t xml:space="preserve"> States and Territories will be implemented over the next 12 months once the Commonwealth Government completes trial</w:t>
      </w:r>
      <w:r w:rsidR="004010D0">
        <w:rPr>
          <w:rFonts w:ascii="Arial" w:hAnsi="Arial" w:cs="Arial"/>
          <w:bCs/>
        </w:rPr>
        <w:t>s</w:t>
      </w:r>
      <w:r w:rsidRPr="00376D91">
        <w:rPr>
          <w:rFonts w:ascii="Arial" w:hAnsi="Arial" w:cs="Arial"/>
          <w:bCs/>
        </w:rPr>
        <w:t xml:space="preserve"> and testing to inform the roll out </w:t>
      </w:r>
      <w:r w:rsidR="004010D0">
        <w:rPr>
          <w:rFonts w:ascii="Arial" w:hAnsi="Arial" w:cs="Arial"/>
          <w:bCs/>
        </w:rPr>
        <w:t>of</w:t>
      </w:r>
      <w:r w:rsidRPr="00376D91">
        <w:rPr>
          <w:rFonts w:ascii="Arial" w:hAnsi="Arial" w:cs="Arial"/>
          <w:bCs/>
        </w:rPr>
        <w:t xml:space="preserve"> activity statements and consistent gambling messaging, </w:t>
      </w:r>
      <w:r w:rsidR="004010D0">
        <w:rPr>
          <w:rFonts w:ascii="Arial" w:hAnsi="Arial" w:cs="Arial"/>
          <w:bCs/>
        </w:rPr>
        <w:t>and once</w:t>
      </w:r>
      <w:r w:rsidRPr="00376D91">
        <w:rPr>
          <w:rFonts w:ascii="Arial" w:hAnsi="Arial" w:cs="Arial"/>
          <w:bCs/>
        </w:rPr>
        <w:t xml:space="preserve"> a national competency for staff </w:t>
      </w:r>
      <w:r w:rsidRPr="00376D91">
        <w:rPr>
          <w:rFonts w:ascii="Arial" w:hAnsi="Arial" w:cs="Arial"/>
          <w:bCs/>
        </w:rPr>
        <w:lastRenderedPageBreak/>
        <w:t>training</w:t>
      </w:r>
      <w:r w:rsidR="004010D0">
        <w:rPr>
          <w:rFonts w:ascii="Arial" w:hAnsi="Arial" w:cs="Arial"/>
          <w:bCs/>
        </w:rPr>
        <w:t xml:space="preserve"> has been developed</w:t>
      </w:r>
      <w:r w:rsidRPr="00376D91">
        <w:rPr>
          <w:rFonts w:ascii="Arial" w:hAnsi="Arial" w:cs="Arial"/>
          <w:bCs/>
        </w:rPr>
        <w:t>.</w:t>
      </w:r>
    </w:p>
    <w:p w14:paraId="13161153" w14:textId="77777777" w:rsidR="00BC6B0D" w:rsidRPr="00A84938" w:rsidRDefault="00BC6B0D" w:rsidP="004010D0">
      <w:pPr>
        <w:spacing w:line="276" w:lineRule="auto"/>
        <w:rPr>
          <w:rFonts w:ascii="Arial" w:hAnsi="Arial" w:cs="Arial"/>
          <w:bCs/>
        </w:rPr>
      </w:pPr>
    </w:p>
    <w:bookmarkEnd w:id="5"/>
    <w:p w14:paraId="43342DDB" w14:textId="77777777" w:rsidR="004856FA" w:rsidRPr="007D580B" w:rsidRDefault="004856FA" w:rsidP="00376D91">
      <w:pPr>
        <w:spacing w:line="276" w:lineRule="auto"/>
        <w:rPr>
          <w:rFonts w:ascii="Arial" w:hAnsi="Arial" w:cs="Arial"/>
          <w:b/>
        </w:rPr>
      </w:pPr>
      <w:r w:rsidRPr="007D580B">
        <w:rPr>
          <w:rFonts w:ascii="Arial" w:hAnsi="Arial" w:cs="Arial"/>
          <w:b/>
        </w:rPr>
        <w:t>HUMAN RIGHTS IMPLICATIONS</w:t>
      </w:r>
    </w:p>
    <w:p w14:paraId="300FFECF" w14:textId="25F51C82" w:rsidR="00E928AC" w:rsidRDefault="007C207A" w:rsidP="00E928AC">
      <w:pPr>
        <w:spacing w:line="276" w:lineRule="auto"/>
        <w:rPr>
          <w:rFonts w:ascii="Arial" w:hAnsi="Arial" w:cs="Arial"/>
        </w:rPr>
      </w:pPr>
      <w:r>
        <w:rPr>
          <w:rFonts w:ascii="Arial" w:hAnsi="Arial" w:cs="Arial"/>
        </w:rPr>
        <w:t>T</w:t>
      </w:r>
      <w:r w:rsidR="004856FA" w:rsidRPr="007D580B">
        <w:rPr>
          <w:rFonts w:ascii="Arial" w:hAnsi="Arial" w:cs="Arial"/>
        </w:rPr>
        <w:t xml:space="preserve">he </w:t>
      </w:r>
      <w:r>
        <w:rPr>
          <w:rFonts w:ascii="Arial" w:hAnsi="Arial" w:cs="Arial"/>
        </w:rPr>
        <w:t>Amendment Regulation</w:t>
      </w:r>
      <w:r w:rsidR="004856FA">
        <w:rPr>
          <w:rFonts w:ascii="Arial" w:hAnsi="Arial" w:cs="Arial"/>
        </w:rPr>
        <w:t xml:space="preserve"> only imposes obligations on </w:t>
      </w:r>
      <w:r w:rsidR="000D6C08">
        <w:rPr>
          <w:rFonts w:ascii="Arial" w:hAnsi="Arial" w:cs="Arial"/>
        </w:rPr>
        <w:t>Tabcorp ACT</w:t>
      </w:r>
      <w:r>
        <w:rPr>
          <w:rFonts w:ascii="Arial" w:hAnsi="Arial" w:cs="Arial"/>
        </w:rPr>
        <w:t xml:space="preserve"> (a </w:t>
      </w:r>
      <w:r w:rsidRPr="007A3076">
        <w:rPr>
          <w:rFonts w:ascii="Arial" w:hAnsi="Arial" w:cs="Arial"/>
        </w:rPr>
        <w:t>corporation)</w:t>
      </w:r>
      <w:r w:rsidR="000D6C08" w:rsidRPr="007A3076">
        <w:rPr>
          <w:rFonts w:ascii="Arial" w:hAnsi="Arial" w:cs="Arial"/>
        </w:rPr>
        <w:t xml:space="preserve">, </w:t>
      </w:r>
      <w:r w:rsidRPr="007A3076">
        <w:rPr>
          <w:rFonts w:ascii="Arial" w:hAnsi="Arial" w:cs="Arial"/>
        </w:rPr>
        <w:t>the current</w:t>
      </w:r>
      <w:r w:rsidR="000D6C08" w:rsidRPr="007A3076">
        <w:rPr>
          <w:rFonts w:ascii="Arial" w:hAnsi="Arial" w:cs="Arial"/>
        </w:rPr>
        <w:t xml:space="preserve"> sole online wagering service provider licensed in the ACT. </w:t>
      </w:r>
    </w:p>
    <w:p w14:paraId="4B15AD13" w14:textId="77777777" w:rsidR="00E928AC" w:rsidRDefault="00E928AC" w:rsidP="00E928AC">
      <w:pPr>
        <w:spacing w:line="276" w:lineRule="auto"/>
        <w:rPr>
          <w:rFonts w:ascii="Arial" w:hAnsi="Arial" w:cs="Arial"/>
        </w:rPr>
      </w:pPr>
    </w:p>
    <w:p w14:paraId="1975556E" w14:textId="67D64E81" w:rsidR="007C207A" w:rsidRPr="00376D91" w:rsidRDefault="000D6C08" w:rsidP="00376D91">
      <w:pPr>
        <w:spacing w:line="276" w:lineRule="auto"/>
        <w:rPr>
          <w:rFonts w:ascii="Arial" w:hAnsi="Arial" w:cs="Arial"/>
        </w:rPr>
      </w:pPr>
      <w:r w:rsidRPr="00376D91">
        <w:rPr>
          <w:rFonts w:ascii="Arial" w:hAnsi="Arial" w:cs="Arial"/>
        </w:rPr>
        <w:t>To the extent that the Amendment Regulation includes measures relating to individual gamblers, it does not require the disclosure of any additional personal information beyond that already provided</w:t>
      </w:r>
      <w:r w:rsidR="007C207A" w:rsidRPr="00376D91">
        <w:rPr>
          <w:rFonts w:ascii="Arial" w:hAnsi="Arial" w:cs="Arial"/>
        </w:rPr>
        <w:t xml:space="preserve"> by customers when opening an online betting account, which they do voluntarily.</w:t>
      </w:r>
      <w:r w:rsidR="00E928AC">
        <w:rPr>
          <w:rFonts w:ascii="Arial" w:hAnsi="Arial" w:cs="Arial"/>
        </w:rPr>
        <w:t xml:space="preserve"> </w:t>
      </w:r>
      <w:r w:rsidR="007C207A" w:rsidRPr="00376D91">
        <w:rPr>
          <w:rFonts w:ascii="Arial" w:hAnsi="Arial" w:cs="Arial"/>
        </w:rPr>
        <w:t xml:space="preserve">Tabcorp ACT is bound by the </w:t>
      </w:r>
      <w:r w:rsidR="007C207A" w:rsidRPr="00376D91">
        <w:rPr>
          <w:rFonts w:ascii="Arial" w:hAnsi="Arial" w:cs="Arial"/>
          <w:i/>
        </w:rPr>
        <w:t>Privacy Act 1988</w:t>
      </w:r>
      <w:r w:rsidR="007C207A" w:rsidRPr="00376D91">
        <w:rPr>
          <w:rFonts w:ascii="Arial" w:hAnsi="Arial" w:cs="Arial"/>
        </w:rPr>
        <w:t xml:space="preserve"> (Cth) in collecting, storing and handling customers</w:t>
      </w:r>
      <w:r w:rsidR="00E928AC">
        <w:rPr>
          <w:rFonts w:ascii="Arial" w:hAnsi="Arial" w:cs="Arial"/>
        </w:rPr>
        <w:t>’</w:t>
      </w:r>
      <w:r w:rsidR="007C207A" w:rsidRPr="00376D91">
        <w:rPr>
          <w:rFonts w:ascii="Arial" w:hAnsi="Arial" w:cs="Arial"/>
        </w:rPr>
        <w:t xml:space="preserve"> personal information.</w:t>
      </w:r>
    </w:p>
    <w:p w14:paraId="29321AA9" w14:textId="5192BE8F" w:rsidR="007C207A" w:rsidRDefault="007C207A" w:rsidP="00E928AC">
      <w:pPr>
        <w:spacing w:line="276" w:lineRule="auto"/>
        <w:rPr>
          <w:rFonts w:ascii="Arial" w:hAnsi="Arial" w:cs="Arial"/>
        </w:rPr>
      </w:pPr>
    </w:p>
    <w:p w14:paraId="090F4BAA" w14:textId="334C029D" w:rsidR="007C207A" w:rsidRPr="00376D91" w:rsidRDefault="007C207A" w:rsidP="00376D91">
      <w:pPr>
        <w:spacing w:line="276" w:lineRule="auto"/>
        <w:rPr>
          <w:rFonts w:ascii="Arial" w:hAnsi="Arial" w:cs="Arial"/>
        </w:rPr>
      </w:pPr>
      <w:r w:rsidRPr="00376D91">
        <w:rPr>
          <w:rFonts w:ascii="Arial" w:hAnsi="Arial" w:cs="Arial"/>
        </w:rPr>
        <w:t xml:space="preserve">Through reducing the risk of gambling harm, the measures included in the Amendment Regulation can be considered to support the right to the protection of the family and children (section 11 </w:t>
      </w:r>
      <w:r w:rsidR="007A3076" w:rsidRPr="00376D91">
        <w:rPr>
          <w:rFonts w:ascii="Arial" w:hAnsi="Arial" w:cs="Arial"/>
        </w:rPr>
        <w:t xml:space="preserve">of the </w:t>
      </w:r>
      <w:r w:rsidR="007A3076" w:rsidRPr="00376D91">
        <w:rPr>
          <w:rFonts w:ascii="Arial" w:hAnsi="Arial" w:cs="Arial"/>
          <w:i/>
        </w:rPr>
        <w:t>Human Rights Act 2004</w:t>
      </w:r>
      <w:r w:rsidR="007A3076" w:rsidRPr="00376D91">
        <w:rPr>
          <w:rFonts w:ascii="Arial" w:hAnsi="Arial" w:cs="Arial"/>
        </w:rPr>
        <w:t xml:space="preserve"> (HRA)</w:t>
      </w:r>
      <w:r w:rsidRPr="00376D91">
        <w:rPr>
          <w:rFonts w:ascii="Arial" w:hAnsi="Arial" w:cs="Arial"/>
        </w:rPr>
        <w:t>).</w:t>
      </w:r>
    </w:p>
    <w:p w14:paraId="05A54207" w14:textId="40AD6920" w:rsidR="007C207A" w:rsidRDefault="007C207A" w:rsidP="00E928AC">
      <w:pPr>
        <w:spacing w:line="276" w:lineRule="auto"/>
        <w:rPr>
          <w:rFonts w:ascii="Arial" w:hAnsi="Arial" w:cs="Arial"/>
        </w:rPr>
      </w:pPr>
    </w:p>
    <w:p w14:paraId="496A5CC1" w14:textId="4CD8CDD4" w:rsidR="007C207A" w:rsidRDefault="007C207A" w:rsidP="00376D91">
      <w:pPr>
        <w:spacing w:line="276" w:lineRule="auto"/>
        <w:rPr>
          <w:rFonts w:ascii="Arial" w:hAnsi="Arial" w:cs="Arial"/>
        </w:rPr>
      </w:pPr>
      <w:r>
        <w:rPr>
          <w:rFonts w:ascii="Arial" w:hAnsi="Arial" w:cs="Arial"/>
        </w:rPr>
        <w:t xml:space="preserve">It might be suggested that the right to privacy and reputation (section </w:t>
      </w:r>
      <w:r w:rsidR="007A3076">
        <w:rPr>
          <w:rFonts w:ascii="Arial" w:hAnsi="Arial" w:cs="Arial"/>
        </w:rPr>
        <w:t>12 HRA)</w:t>
      </w:r>
      <w:r>
        <w:rPr>
          <w:rFonts w:ascii="Arial" w:hAnsi="Arial" w:cs="Arial"/>
        </w:rPr>
        <w:t xml:space="preserve"> is engaged by the proposed transitional provision, which requires licensees to make contact with all existing account holders within six months of commencement to ask if they would like to set a deposit limit. To the extent that this engages that right, any impact is considered reasonable and proportionate noting the potential protective effect of deposit limits in reducing the risk of gambling harm.</w:t>
      </w:r>
    </w:p>
    <w:p w14:paraId="10753793" w14:textId="77777777" w:rsidR="007C207A" w:rsidRDefault="007C207A" w:rsidP="00376D91">
      <w:pPr>
        <w:spacing w:line="276" w:lineRule="auto"/>
        <w:rPr>
          <w:rFonts w:ascii="Arial" w:hAnsi="Arial" w:cs="Arial"/>
        </w:rPr>
      </w:pPr>
    </w:p>
    <w:p w14:paraId="5DA242C0" w14:textId="77777777" w:rsidR="004856FA" w:rsidRDefault="004856FA" w:rsidP="00376D91">
      <w:pPr>
        <w:spacing w:line="276" w:lineRule="auto"/>
        <w:rPr>
          <w:rFonts w:ascii="Arial" w:hAnsi="Arial" w:cs="Arial"/>
        </w:rPr>
      </w:pPr>
    </w:p>
    <w:p w14:paraId="204AF773" w14:textId="77777777" w:rsidR="004856FA" w:rsidRPr="00A216D1" w:rsidRDefault="004856FA" w:rsidP="00376D91">
      <w:pPr>
        <w:keepNext/>
        <w:spacing w:line="276" w:lineRule="auto"/>
        <w:rPr>
          <w:rFonts w:ascii="Arial" w:hAnsi="Arial" w:cs="Arial"/>
          <w:b/>
        </w:rPr>
      </w:pPr>
      <w:r w:rsidRPr="00A216D1">
        <w:rPr>
          <w:rFonts w:ascii="Arial" w:hAnsi="Arial" w:cs="Arial"/>
          <w:b/>
        </w:rPr>
        <w:t>REGULATORY IMPACT STATEMENT</w:t>
      </w:r>
    </w:p>
    <w:p w14:paraId="7703C347" w14:textId="77777777" w:rsidR="004856FA" w:rsidRPr="00A216D1" w:rsidRDefault="004856FA" w:rsidP="00376D91">
      <w:pPr>
        <w:spacing w:line="276" w:lineRule="auto"/>
        <w:rPr>
          <w:rFonts w:ascii="Arial" w:hAnsi="Arial" w:cs="Arial"/>
        </w:rPr>
      </w:pPr>
      <w:r w:rsidRPr="00A216D1">
        <w:rPr>
          <w:rFonts w:ascii="Arial" w:hAnsi="Arial" w:cs="Arial"/>
        </w:rPr>
        <w:t xml:space="preserve">Section 34 of the </w:t>
      </w:r>
      <w:r w:rsidRPr="00A216D1">
        <w:rPr>
          <w:rFonts w:ascii="Arial" w:hAnsi="Arial" w:cs="Arial"/>
          <w:i/>
        </w:rPr>
        <w:t>Legislation Act 2001</w:t>
      </w:r>
      <w:r w:rsidRPr="00A216D1">
        <w:rPr>
          <w:rFonts w:ascii="Arial" w:hAnsi="Arial" w:cs="Arial"/>
        </w:rPr>
        <w:t xml:space="preserve"> requires the preparation of a Regulatory Impact Statement where a subordinate law is likely to impose appreciable costs on the community, or a part of the community.</w:t>
      </w:r>
    </w:p>
    <w:p w14:paraId="66676617" w14:textId="0058BDF1" w:rsidR="004856FA" w:rsidRDefault="004856FA" w:rsidP="00376D91">
      <w:pPr>
        <w:spacing w:line="276" w:lineRule="auto"/>
        <w:rPr>
          <w:rFonts w:ascii="Arial" w:hAnsi="Arial" w:cs="Arial"/>
        </w:rPr>
      </w:pPr>
    </w:p>
    <w:p w14:paraId="2DFC2C67" w14:textId="65BAC106" w:rsidR="000D6C08" w:rsidRDefault="000D6C08" w:rsidP="004010D0">
      <w:pPr>
        <w:spacing w:line="276" w:lineRule="auto"/>
        <w:rPr>
          <w:rFonts w:ascii="Arial" w:hAnsi="Arial" w:cs="Arial"/>
        </w:rPr>
      </w:pPr>
      <w:r>
        <w:rPr>
          <w:rFonts w:ascii="Arial" w:hAnsi="Arial" w:cs="Arial"/>
        </w:rPr>
        <w:t xml:space="preserve">Since the Amendment Regulation will place additional obligations on online wagering service providers licensed in the ACT, a Regulatory Impact Statement </w:t>
      </w:r>
      <w:r w:rsidR="004010D0" w:rsidRPr="004010D0">
        <w:rPr>
          <w:rFonts w:ascii="Arial" w:hAnsi="Arial" w:cs="Arial"/>
        </w:rPr>
        <w:t>has been prepared as required</w:t>
      </w:r>
      <w:r w:rsidR="007C207A">
        <w:rPr>
          <w:rFonts w:ascii="Arial" w:hAnsi="Arial" w:cs="Arial"/>
        </w:rPr>
        <w:t xml:space="preserve">. </w:t>
      </w:r>
      <w:r w:rsidRPr="004010D0">
        <w:rPr>
          <w:rFonts w:ascii="Arial" w:hAnsi="Arial" w:cs="Arial"/>
        </w:rPr>
        <w:t xml:space="preserve">However, it should be noted that </w:t>
      </w:r>
      <w:r w:rsidRPr="00376D91">
        <w:rPr>
          <w:rFonts w:ascii="Arial" w:hAnsi="Arial" w:cs="Arial"/>
        </w:rPr>
        <w:t>Tabcorp</w:t>
      </w:r>
      <w:r w:rsidR="001879DA" w:rsidRPr="004010D0">
        <w:rPr>
          <w:rFonts w:ascii="Arial" w:hAnsi="Arial" w:cs="Arial"/>
        </w:rPr>
        <w:t xml:space="preserve"> </w:t>
      </w:r>
      <w:r w:rsidRPr="00376D91">
        <w:rPr>
          <w:rFonts w:ascii="Arial" w:hAnsi="Arial" w:cs="Arial"/>
        </w:rPr>
        <w:t>ACT is currently the sole online wagering service provider licensed in the ACT and is supportive of the implementation of the NCPF</w:t>
      </w:r>
      <w:r w:rsidRPr="004010D0">
        <w:rPr>
          <w:rFonts w:ascii="Arial" w:hAnsi="Arial" w:cs="Arial"/>
        </w:rPr>
        <w:t>.</w:t>
      </w:r>
    </w:p>
    <w:p w14:paraId="6A4B7202" w14:textId="7965023A" w:rsidR="00A84938" w:rsidRDefault="00A84938">
      <w:pPr>
        <w:autoSpaceDE/>
        <w:autoSpaceDN/>
        <w:rPr>
          <w:rFonts w:ascii="Arial" w:hAnsi="Arial" w:cs="Arial"/>
        </w:rPr>
      </w:pPr>
      <w:r>
        <w:rPr>
          <w:rFonts w:ascii="Arial" w:hAnsi="Arial" w:cs="Arial"/>
        </w:rPr>
        <w:br w:type="page"/>
      </w:r>
    </w:p>
    <w:p w14:paraId="6B6199EE" w14:textId="77777777" w:rsidR="004856FA" w:rsidRPr="007D580B" w:rsidRDefault="004856FA" w:rsidP="004856FA">
      <w:pPr>
        <w:keepNext/>
        <w:spacing w:line="259" w:lineRule="auto"/>
        <w:rPr>
          <w:rFonts w:ascii="Arial" w:hAnsi="Arial" w:cs="Arial"/>
        </w:rPr>
      </w:pPr>
      <w:r w:rsidRPr="007D580B">
        <w:rPr>
          <w:rFonts w:ascii="Arial" w:hAnsi="Arial" w:cs="Arial"/>
          <w:b/>
        </w:rPr>
        <w:lastRenderedPageBreak/>
        <w:t>NOTES</w:t>
      </w:r>
      <w:r>
        <w:rPr>
          <w:rFonts w:ascii="Arial" w:hAnsi="Arial" w:cs="Arial"/>
          <w:b/>
        </w:rPr>
        <w:t xml:space="preserve"> ON CLAUSES</w:t>
      </w:r>
    </w:p>
    <w:p w14:paraId="1A5B2C2F" w14:textId="77777777" w:rsidR="004856FA" w:rsidRPr="007D580B" w:rsidRDefault="004856FA" w:rsidP="004856FA">
      <w:pPr>
        <w:keepNext/>
        <w:rPr>
          <w:rFonts w:ascii="Arial" w:hAnsi="Arial" w:cs="Arial"/>
        </w:rPr>
      </w:pPr>
    </w:p>
    <w:p w14:paraId="36BAD021" w14:textId="488BE3E9" w:rsidR="004856FA" w:rsidRPr="007D580B" w:rsidRDefault="004856FA" w:rsidP="004856FA">
      <w:pPr>
        <w:keepNext/>
        <w:spacing w:after="120"/>
        <w:rPr>
          <w:rFonts w:ascii="Arial" w:hAnsi="Arial" w:cs="Arial"/>
          <w:b/>
        </w:rPr>
      </w:pPr>
      <w:r w:rsidRPr="007D580B">
        <w:rPr>
          <w:rFonts w:ascii="Arial" w:hAnsi="Arial" w:cs="Arial"/>
          <w:b/>
        </w:rPr>
        <w:t>Clause 1</w:t>
      </w:r>
      <w:r w:rsidR="00A84938" w:rsidRPr="00C5081A">
        <w:rPr>
          <w:rFonts w:ascii="Arial" w:hAnsi="Arial" w:cs="Arial"/>
        </w:rPr>
        <w:t xml:space="preserve"> </w:t>
      </w:r>
      <w:r w:rsidR="00A84938" w:rsidRPr="00376D91">
        <w:rPr>
          <w:rFonts w:ascii="Arial" w:hAnsi="Arial" w:cs="Arial"/>
          <w:b/>
        </w:rPr>
        <w:t>–</w:t>
      </w:r>
      <w:r w:rsidR="00A84938">
        <w:rPr>
          <w:rFonts w:ascii="Arial" w:hAnsi="Arial" w:cs="Arial"/>
        </w:rPr>
        <w:t xml:space="preserve"> </w:t>
      </w:r>
      <w:r w:rsidRPr="007D580B">
        <w:rPr>
          <w:rFonts w:ascii="Arial" w:hAnsi="Arial" w:cs="Arial"/>
          <w:b/>
        </w:rPr>
        <w:t>Name of regulation</w:t>
      </w:r>
    </w:p>
    <w:p w14:paraId="775C071F" w14:textId="30A191A4" w:rsidR="005B012F" w:rsidRPr="000D6C08" w:rsidRDefault="004856FA" w:rsidP="000D6C08">
      <w:pPr>
        <w:rPr>
          <w:rFonts w:ascii="Arial" w:hAnsi="Arial" w:cs="Arial"/>
          <w:b/>
          <w:bCs/>
          <w:i/>
          <w:iCs/>
        </w:rPr>
      </w:pPr>
      <w:r>
        <w:rPr>
          <w:rFonts w:ascii="Arial" w:hAnsi="Arial" w:cs="Arial"/>
        </w:rPr>
        <w:t>Clause 1</w:t>
      </w:r>
      <w:r w:rsidRPr="007D580B">
        <w:rPr>
          <w:rFonts w:ascii="Arial" w:hAnsi="Arial" w:cs="Arial"/>
        </w:rPr>
        <w:t xml:space="preserve"> is a formal </w:t>
      </w:r>
      <w:r w:rsidR="000D6C08" w:rsidRPr="007D580B">
        <w:rPr>
          <w:rFonts w:ascii="Arial" w:hAnsi="Arial" w:cs="Arial"/>
        </w:rPr>
        <w:t xml:space="preserve">provision setting out the name of the </w:t>
      </w:r>
      <w:r w:rsidR="000D6C08">
        <w:rPr>
          <w:rFonts w:ascii="Arial" w:hAnsi="Arial" w:cs="Arial"/>
        </w:rPr>
        <w:t xml:space="preserve">Amendment </w:t>
      </w:r>
      <w:r w:rsidR="000D6C08" w:rsidRPr="007D580B">
        <w:rPr>
          <w:rFonts w:ascii="Arial" w:hAnsi="Arial" w:cs="Arial"/>
        </w:rPr>
        <w:t xml:space="preserve">Regulation as the </w:t>
      </w:r>
      <w:bookmarkStart w:id="6" w:name="_Hlk9252236"/>
      <w:r w:rsidR="00436F63">
        <w:rPr>
          <w:rFonts w:ascii="Arial" w:hAnsi="Arial" w:cs="Arial"/>
          <w:i/>
          <w:iCs/>
        </w:rPr>
        <w:t xml:space="preserve">Gambling and Racing Control (Code of Practice) Amendment Regulation 2019 (No </w:t>
      </w:r>
      <w:r w:rsidR="00436F63" w:rsidRPr="00337EBD">
        <w:rPr>
          <w:rFonts w:ascii="Arial" w:hAnsi="Arial" w:cs="Arial"/>
          <w:i/>
          <w:iCs/>
        </w:rPr>
        <w:t>1</w:t>
      </w:r>
      <w:r w:rsidR="00436F63" w:rsidRPr="00A84938">
        <w:rPr>
          <w:rFonts w:ascii="Arial" w:hAnsi="Arial" w:cs="Arial"/>
          <w:i/>
          <w:iCs/>
        </w:rPr>
        <w:t>)</w:t>
      </w:r>
      <w:bookmarkEnd w:id="6"/>
      <w:r w:rsidR="00436F63" w:rsidRPr="00A84938">
        <w:rPr>
          <w:rFonts w:ascii="Arial" w:hAnsi="Arial" w:cs="Arial"/>
          <w:i/>
          <w:iCs/>
        </w:rPr>
        <w:t>.</w:t>
      </w:r>
    </w:p>
    <w:p w14:paraId="208A1A23" w14:textId="77777777" w:rsidR="005B012F" w:rsidRPr="007D665C" w:rsidRDefault="005B012F" w:rsidP="005B012F">
      <w:pPr>
        <w:rPr>
          <w:rFonts w:ascii="Arial" w:hAnsi="Arial" w:cs="Arial"/>
        </w:rPr>
      </w:pPr>
    </w:p>
    <w:p w14:paraId="6D197D84" w14:textId="77777777" w:rsidR="005B012F" w:rsidRPr="00E928AC" w:rsidRDefault="009D1AA5" w:rsidP="009D1AA5">
      <w:pPr>
        <w:pStyle w:val="Heading2"/>
        <w:spacing w:before="0" w:after="120"/>
        <w:rPr>
          <w:rFonts w:ascii="Arial" w:hAnsi="Arial" w:cs="Arial"/>
          <w:b w:val="0"/>
          <w:color w:val="auto"/>
          <w:sz w:val="24"/>
          <w:szCs w:val="24"/>
        </w:rPr>
      </w:pPr>
      <w:r w:rsidRPr="00E928AC">
        <w:rPr>
          <w:rFonts w:ascii="Arial" w:hAnsi="Arial" w:cs="Arial"/>
          <w:color w:val="auto"/>
          <w:sz w:val="24"/>
          <w:szCs w:val="24"/>
        </w:rPr>
        <w:t xml:space="preserve">Clause </w:t>
      </w:r>
      <w:r w:rsidR="005B012F" w:rsidRPr="00E928AC">
        <w:rPr>
          <w:rFonts w:ascii="Arial" w:hAnsi="Arial" w:cs="Arial"/>
          <w:color w:val="auto"/>
          <w:sz w:val="24"/>
          <w:szCs w:val="24"/>
        </w:rPr>
        <w:t xml:space="preserve">2 </w:t>
      </w:r>
      <w:r w:rsidR="00F059AC" w:rsidRPr="00E928AC">
        <w:rPr>
          <w:rFonts w:ascii="Arial" w:hAnsi="Arial" w:cs="Arial"/>
          <w:color w:val="auto"/>
          <w:sz w:val="24"/>
          <w:szCs w:val="24"/>
        </w:rPr>
        <w:t>–</w:t>
      </w:r>
      <w:r w:rsidR="005B012F" w:rsidRPr="00E928AC">
        <w:rPr>
          <w:rFonts w:ascii="Arial" w:hAnsi="Arial" w:cs="Arial"/>
          <w:color w:val="auto"/>
          <w:sz w:val="24"/>
          <w:szCs w:val="24"/>
        </w:rPr>
        <w:t xml:space="preserve"> Commencement</w:t>
      </w:r>
    </w:p>
    <w:p w14:paraId="1E9B60F7" w14:textId="404D4A07" w:rsidR="00436F63" w:rsidRPr="00E928AC" w:rsidRDefault="000D6C08" w:rsidP="00DD2F24">
      <w:pPr>
        <w:pStyle w:val="Heading2"/>
        <w:spacing w:before="0" w:after="120"/>
        <w:rPr>
          <w:rFonts w:ascii="Arial" w:hAnsi="Arial" w:cs="Arial"/>
          <w:b w:val="0"/>
          <w:color w:val="auto"/>
          <w:sz w:val="24"/>
          <w:szCs w:val="24"/>
        </w:rPr>
      </w:pPr>
      <w:r w:rsidRPr="00E928AC">
        <w:rPr>
          <w:rFonts w:ascii="Arial" w:hAnsi="Arial" w:cs="Arial"/>
          <w:b w:val="0"/>
          <w:color w:val="auto"/>
          <w:sz w:val="24"/>
          <w:szCs w:val="24"/>
        </w:rPr>
        <w:t>Clause 2 provides the commencement date for the Amendment Regulation</w:t>
      </w:r>
      <w:r w:rsidR="00DD2F24" w:rsidRPr="00E928AC">
        <w:rPr>
          <w:rFonts w:ascii="Arial" w:hAnsi="Arial" w:cs="Arial"/>
          <w:b w:val="0"/>
          <w:color w:val="auto"/>
          <w:sz w:val="24"/>
          <w:szCs w:val="24"/>
        </w:rPr>
        <w:t xml:space="preserve">, being </w:t>
      </w:r>
      <w:r w:rsidR="00436F63" w:rsidRPr="00E928AC">
        <w:rPr>
          <w:rFonts w:ascii="Arial" w:hAnsi="Arial" w:cs="Arial"/>
          <w:b w:val="0"/>
          <w:color w:val="auto"/>
          <w:sz w:val="24"/>
          <w:szCs w:val="24"/>
        </w:rPr>
        <w:t>26 May</w:t>
      </w:r>
      <w:r w:rsidR="00261842" w:rsidRPr="00E928AC">
        <w:rPr>
          <w:rFonts w:ascii="Arial" w:hAnsi="Arial" w:cs="Arial"/>
          <w:b w:val="0"/>
          <w:color w:val="auto"/>
          <w:sz w:val="24"/>
          <w:szCs w:val="24"/>
        </w:rPr>
        <w:t xml:space="preserve"> </w:t>
      </w:r>
      <w:r w:rsidR="008B0F97" w:rsidRPr="00E928AC">
        <w:rPr>
          <w:rFonts w:ascii="Arial" w:hAnsi="Arial" w:cs="Arial"/>
          <w:b w:val="0"/>
          <w:color w:val="auto"/>
          <w:sz w:val="24"/>
          <w:szCs w:val="24"/>
        </w:rPr>
        <w:t>201</w:t>
      </w:r>
      <w:r w:rsidR="00261842" w:rsidRPr="00E928AC">
        <w:rPr>
          <w:rFonts w:ascii="Arial" w:hAnsi="Arial" w:cs="Arial"/>
          <w:b w:val="0"/>
          <w:color w:val="auto"/>
          <w:sz w:val="24"/>
          <w:szCs w:val="24"/>
        </w:rPr>
        <w:t>9</w:t>
      </w:r>
      <w:r w:rsidR="00436F63" w:rsidRPr="00E928AC">
        <w:rPr>
          <w:rFonts w:ascii="Arial" w:hAnsi="Arial" w:cs="Arial"/>
          <w:b w:val="0"/>
          <w:color w:val="auto"/>
          <w:sz w:val="24"/>
          <w:szCs w:val="24"/>
        </w:rPr>
        <w:t>.</w:t>
      </w:r>
      <w:r w:rsidRPr="00E928AC">
        <w:rPr>
          <w:rFonts w:ascii="Arial" w:hAnsi="Arial" w:cs="Arial"/>
          <w:b w:val="0"/>
          <w:color w:val="auto"/>
          <w:sz w:val="24"/>
          <w:szCs w:val="24"/>
        </w:rPr>
        <w:t xml:space="preserve"> </w:t>
      </w:r>
      <w:r w:rsidR="00436F63" w:rsidRPr="00376D91">
        <w:rPr>
          <w:rFonts w:ascii="Arial" w:hAnsi="Arial" w:cs="Arial"/>
          <w:b w:val="0"/>
          <w:color w:val="auto"/>
          <w:sz w:val="24"/>
          <w:szCs w:val="24"/>
        </w:rPr>
        <w:t xml:space="preserve">This </w:t>
      </w:r>
      <w:r w:rsidR="008C3195" w:rsidRPr="00376D91">
        <w:rPr>
          <w:rFonts w:ascii="Arial" w:hAnsi="Arial" w:cs="Arial"/>
          <w:b w:val="0"/>
          <w:color w:val="auto"/>
          <w:sz w:val="24"/>
          <w:szCs w:val="24"/>
        </w:rPr>
        <w:t xml:space="preserve">date </w:t>
      </w:r>
      <w:r w:rsidR="00745B0F">
        <w:rPr>
          <w:rFonts w:ascii="Arial" w:hAnsi="Arial" w:cs="Arial"/>
          <w:b w:val="0"/>
          <w:color w:val="auto"/>
          <w:sz w:val="24"/>
          <w:szCs w:val="24"/>
        </w:rPr>
        <w:t>is</w:t>
      </w:r>
      <w:r w:rsidR="00745B0F" w:rsidRPr="00376D91">
        <w:rPr>
          <w:rFonts w:ascii="Arial" w:hAnsi="Arial" w:cs="Arial"/>
          <w:b w:val="0"/>
          <w:color w:val="auto"/>
          <w:sz w:val="24"/>
          <w:szCs w:val="24"/>
        </w:rPr>
        <w:t xml:space="preserve"> </w:t>
      </w:r>
      <w:r w:rsidR="008C3195" w:rsidRPr="00376D91">
        <w:rPr>
          <w:rFonts w:ascii="Arial" w:hAnsi="Arial" w:cs="Arial"/>
          <w:b w:val="0"/>
          <w:color w:val="auto"/>
          <w:sz w:val="24"/>
          <w:szCs w:val="24"/>
        </w:rPr>
        <w:t xml:space="preserve">six months </w:t>
      </w:r>
      <w:r w:rsidR="00FD3499" w:rsidRPr="00376D91">
        <w:rPr>
          <w:rFonts w:ascii="Arial" w:hAnsi="Arial" w:cs="Arial"/>
          <w:b w:val="0"/>
          <w:color w:val="auto"/>
          <w:sz w:val="24"/>
          <w:szCs w:val="24"/>
        </w:rPr>
        <w:t>after the National Policy Statement</w:t>
      </w:r>
      <w:r w:rsidR="001879DA" w:rsidRPr="00376D91">
        <w:rPr>
          <w:rFonts w:ascii="Arial" w:hAnsi="Arial" w:cs="Arial"/>
          <w:b w:val="0"/>
          <w:color w:val="auto"/>
          <w:sz w:val="24"/>
          <w:szCs w:val="24"/>
        </w:rPr>
        <w:t xml:space="preserve"> was </w:t>
      </w:r>
      <w:r w:rsidR="00E928AC" w:rsidRPr="00376D91">
        <w:rPr>
          <w:rFonts w:ascii="Arial" w:hAnsi="Arial" w:cs="Arial"/>
          <w:b w:val="0"/>
          <w:color w:val="auto"/>
          <w:sz w:val="24"/>
          <w:szCs w:val="24"/>
        </w:rPr>
        <w:t>endorsed</w:t>
      </w:r>
      <w:r w:rsidR="00FD3499" w:rsidRPr="00376D91">
        <w:rPr>
          <w:rFonts w:ascii="Arial" w:hAnsi="Arial" w:cs="Arial"/>
          <w:b w:val="0"/>
          <w:color w:val="auto"/>
          <w:sz w:val="24"/>
          <w:szCs w:val="24"/>
        </w:rPr>
        <w:t>.</w:t>
      </w:r>
    </w:p>
    <w:p w14:paraId="0C433365" w14:textId="77777777" w:rsidR="00D91011" w:rsidRPr="00E928AC" w:rsidRDefault="00D91011" w:rsidP="005B012F">
      <w:pPr>
        <w:rPr>
          <w:rFonts w:ascii="Arial" w:hAnsi="Arial" w:cs="Arial"/>
        </w:rPr>
      </w:pPr>
    </w:p>
    <w:p w14:paraId="09175D19" w14:textId="77777777" w:rsidR="00D91011" w:rsidRPr="00E928AC" w:rsidRDefault="009D1AA5" w:rsidP="009D1AA5">
      <w:pPr>
        <w:pStyle w:val="Heading2"/>
        <w:spacing w:before="0" w:after="120"/>
        <w:rPr>
          <w:rFonts w:ascii="Arial" w:hAnsi="Arial" w:cs="Arial"/>
          <w:b w:val="0"/>
          <w:color w:val="auto"/>
          <w:sz w:val="24"/>
          <w:szCs w:val="24"/>
        </w:rPr>
      </w:pPr>
      <w:r w:rsidRPr="00E928AC">
        <w:rPr>
          <w:rFonts w:ascii="Arial" w:hAnsi="Arial" w:cs="Arial"/>
          <w:color w:val="auto"/>
          <w:sz w:val="24"/>
          <w:szCs w:val="24"/>
        </w:rPr>
        <w:t xml:space="preserve">Clause </w:t>
      </w:r>
      <w:r w:rsidR="00D91011" w:rsidRPr="00E928AC">
        <w:rPr>
          <w:rFonts w:ascii="Arial" w:hAnsi="Arial" w:cs="Arial"/>
          <w:color w:val="auto"/>
          <w:sz w:val="24"/>
          <w:szCs w:val="24"/>
        </w:rPr>
        <w:t>3 – Legislation amended</w:t>
      </w:r>
    </w:p>
    <w:p w14:paraId="605B2C6C" w14:textId="0494EA2B" w:rsidR="00D91011" w:rsidRPr="00E928AC" w:rsidRDefault="008A5F3A" w:rsidP="004E2BF9">
      <w:pPr>
        <w:pStyle w:val="Heading2"/>
        <w:spacing w:before="0"/>
        <w:rPr>
          <w:rFonts w:ascii="Arial" w:hAnsi="Arial" w:cs="Arial"/>
          <w:b w:val="0"/>
          <w:color w:val="auto"/>
          <w:sz w:val="24"/>
          <w:szCs w:val="24"/>
        </w:rPr>
      </w:pPr>
      <w:r w:rsidRPr="00E928AC">
        <w:rPr>
          <w:rFonts w:ascii="Arial" w:hAnsi="Arial" w:cs="Arial"/>
          <w:b w:val="0"/>
          <w:color w:val="auto"/>
          <w:sz w:val="24"/>
          <w:szCs w:val="24"/>
        </w:rPr>
        <w:t>Clause 3</w:t>
      </w:r>
      <w:r w:rsidR="00436F63" w:rsidRPr="00E928AC">
        <w:rPr>
          <w:rFonts w:ascii="Arial" w:hAnsi="Arial" w:cs="Arial"/>
          <w:b w:val="0"/>
          <w:color w:val="auto"/>
          <w:sz w:val="24"/>
          <w:szCs w:val="24"/>
        </w:rPr>
        <w:t xml:space="preserve"> provides </w:t>
      </w:r>
      <w:r w:rsidR="00D91011" w:rsidRPr="00E928AC">
        <w:rPr>
          <w:rFonts w:ascii="Arial" w:hAnsi="Arial" w:cs="Arial"/>
          <w:b w:val="0"/>
          <w:color w:val="auto"/>
          <w:sz w:val="24"/>
          <w:szCs w:val="24"/>
        </w:rPr>
        <w:t>that the</w:t>
      </w:r>
      <w:r w:rsidR="00436F63" w:rsidRPr="00E928AC">
        <w:rPr>
          <w:rFonts w:ascii="Arial" w:hAnsi="Arial" w:cs="Arial"/>
          <w:b w:val="0"/>
          <w:color w:val="auto"/>
          <w:sz w:val="24"/>
          <w:szCs w:val="24"/>
        </w:rPr>
        <w:t xml:space="preserve"> Amendment R</w:t>
      </w:r>
      <w:r w:rsidR="00D91011" w:rsidRPr="00E928AC">
        <w:rPr>
          <w:rFonts w:ascii="Arial" w:hAnsi="Arial" w:cs="Arial"/>
          <w:b w:val="0"/>
          <w:color w:val="auto"/>
          <w:sz w:val="24"/>
          <w:szCs w:val="24"/>
        </w:rPr>
        <w:t>egulation amends the</w:t>
      </w:r>
      <w:r w:rsidR="00D91011" w:rsidRPr="00E928AC">
        <w:rPr>
          <w:rFonts w:ascii="Arial" w:hAnsi="Arial" w:cs="Arial"/>
          <w:color w:val="auto"/>
          <w:sz w:val="24"/>
          <w:szCs w:val="24"/>
        </w:rPr>
        <w:t xml:space="preserve"> </w:t>
      </w:r>
      <w:r w:rsidR="00436F63" w:rsidRPr="00E928AC">
        <w:rPr>
          <w:rFonts w:ascii="Arial" w:hAnsi="Arial" w:cs="Arial"/>
          <w:b w:val="0"/>
          <w:bCs w:val="0"/>
          <w:i/>
          <w:iCs/>
          <w:color w:val="auto"/>
          <w:sz w:val="24"/>
          <w:szCs w:val="24"/>
        </w:rPr>
        <w:t>Gambling and Racing Control (Code of Practice) Regulation 2002</w:t>
      </w:r>
      <w:r w:rsidR="00581CEE" w:rsidRPr="00E928AC">
        <w:rPr>
          <w:rFonts w:ascii="Arial" w:hAnsi="Arial" w:cs="Arial"/>
          <w:b w:val="0"/>
          <w:bCs w:val="0"/>
          <w:i/>
          <w:iCs/>
          <w:color w:val="auto"/>
          <w:sz w:val="24"/>
          <w:szCs w:val="24"/>
        </w:rPr>
        <w:t>.</w:t>
      </w:r>
    </w:p>
    <w:p w14:paraId="049A80E7" w14:textId="77777777" w:rsidR="00DD2F24" w:rsidRPr="00E928AC" w:rsidRDefault="00DD2F24" w:rsidP="00DD2F24">
      <w:pPr>
        <w:rPr>
          <w:rFonts w:ascii="Arial" w:hAnsi="Arial" w:cs="Arial"/>
        </w:rPr>
      </w:pPr>
    </w:p>
    <w:p w14:paraId="0F90553E" w14:textId="65A8B65E" w:rsidR="00D91011" w:rsidRPr="00E928AC" w:rsidRDefault="009D1AA5" w:rsidP="00DD2F24">
      <w:pPr>
        <w:pStyle w:val="Heading2"/>
        <w:spacing w:before="0" w:after="120"/>
        <w:rPr>
          <w:rFonts w:ascii="Arial" w:hAnsi="Arial" w:cs="Arial"/>
          <w:color w:val="auto"/>
          <w:sz w:val="24"/>
          <w:szCs w:val="24"/>
        </w:rPr>
      </w:pPr>
      <w:r w:rsidRPr="00E928AC">
        <w:rPr>
          <w:rFonts w:ascii="Arial" w:hAnsi="Arial" w:cs="Arial"/>
          <w:color w:val="auto"/>
          <w:sz w:val="24"/>
          <w:szCs w:val="24"/>
        </w:rPr>
        <w:t>Clause</w:t>
      </w:r>
      <w:r w:rsidR="00D91011" w:rsidRPr="00E928AC">
        <w:rPr>
          <w:rFonts w:ascii="Arial" w:hAnsi="Arial" w:cs="Arial"/>
          <w:color w:val="auto"/>
          <w:sz w:val="24"/>
          <w:szCs w:val="24"/>
        </w:rPr>
        <w:t xml:space="preserve"> 4 </w:t>
      </w:r>
      <w:r w:rsidRPr="00E928AC">
        <w:rPr>
          <w:rFonts w:ascii="Arial" w:hAnsi="Arial" w:cs="Arial"/>
          <w:color w:val="auto"/>
          <w:sz w:val="24"/>
          <w:szCs w:val="24"/>
        </w:rPr>
        <w:t>–</w:t>
      </w:r>
      <w:r w:rsidR="00F059AC" w:rsidRPr="00E928AC">
        <w:rPr>
          <w:rFonts w:ascii="Arial" w:hAnsi="Arial" w:cs="Arial"/>
          <w:color w:val="auto"/>
          <w:sz w:val="24"/>
          <w:szCs w:val="24"/>
        </w:rPr>
        <w:t xml:space="preserve"> </w:t>
      </w:r>
      <w:r w:rsidR="00436F63" w:rsidRPr="00E928AC">
        <w:rPr>
          <w:rFonts w:ascii="Arial" w:hAnsi="Arial" w:cs="Arial"/>
          <w:color w:val="auto"/>
          <w:sz w:val="24"/>
          <w:szCs w:val="24"/>
        </w:rPr>
        <w:t>Schedule 1, new division 1.2.4</w:t>
      </w:r>
    </w:p>
    <w:p w14:paraId="019E51E4" w14:textId="2592375B" w:rsidR="0023075D" w:rsidRDefault="0023075D" w:rsidP="004A4E76">
      <w:pPr>
        <w:spacing w:line="276" w:lineRule="auto"/>
        <w:rPr>
          <w:rFonts w:ascii="Arial" w:hAnsi="Arial" w:cs="Arial"/>
          <w:bCs/>
        </w:rPr>
      </w:pPr>
      <w:r w:rsidRPr="00E928AC">
        <w:rPr>
          <w:rFonts w:ascii="Arial" w:hAnsi="Arial" w:cs="Arial"/>
          <w:bCs/>
        </w:rPr>
        <w:t>Clause 4 inserts a new division into the Regulation - division 1.2.4 ‘Betting account–totalisator and sports bookmaking licensees.’</w:t>
      </w:r>
    </w:p>
    <w:p w14:paraId="0339C307" w14:textId="168965C6" w:rsidR="0023075D" w:rsidRDefault="0023075D" w:rsidP="004A4E76">
      <w:pPr>
        <w:spacing w:line="276" w:lineRule="auto"/>
        <w:rPr>
          <w:rFonts w:ascii="Arial" w:hAnsi="Arial" w:cs="Arial"/>
          <w:bCs/>
        </w:rPr>
      </w:pPr>
    </w:p>
    <w:p w14:paraId="30120937" w14:textId="285CC82F" w:rsidR="00E03849" w:rsidRPr="00E03849" w:rsidRDefault="00E03849" w:rsidP="004A4E76">
      <w:pPr>
        <w:spacing w:line="276" w:lineRule="auto"/>
        <w:rPr>
          <w:rFonts w:ascii="Arial" w:hAnsi="Arial" w:cs="Arial"/>
          <w:bCs/>
          <w:i/>
        </w:rPr>
      </w:pPr>
      <w:r w:rsidRPr="00E03849">
        <w:rPr>
          <w:rFonts w:ascii="Arial" w:hAnsi="Arial" w:cs="Arial"/>
          <w:bCs/>
          <w:i/>
        </w:rPr>
        <w:t>New section 1.20</w:t>
      </w:r>
      <w:r>
        <w:rPr>
          <w:rFonts w:ascii="Arial" w:hAnsi="Arial" w:cs="Arial"/>
          <w:bCs/>
          <w:i/>
        </w:rPr>
        <w:t>A</w:t>
      </w:r>
    </w:p>
    <w:p w14:paraId="1CEBEF4D" w14:textId="4F7C01DF" w:rsidR="0023075D" w:rsidRDefault="0023075D" w:rsidP="004A4E76">
      <w:pPr>
        <w:spacing w:line="276" w:lineRule="auto"/>
        <w:rPr>
          <w:rFonts w:ascii="Arial" w:hAnsi="Arial" w:cs="Arial"/>
          <w:bCs/>
        </w:rPr>
      </w:pPr>
      <w:r>
        <w:rPr>
          <w:rFonts w:ascii="Arial" w:hAnsi="Arial" w:cs="Arial"/>
          <w:bCs/>
        </w:rPr>
        <w:t>New section 1.20A limits the application of the new division to a totalisator licensee or sports bookmaking licensee.</w:t>
      </w:r>
    </w:p>
    <w:p w14:paraId="4668E6E0" w14:textId="0A786E45" w:rsidR="0023075D" w:rsidRDefault="0023075D" w:rsidP="004A4E76">
      <w:pPr>
        <w:spacing w:line="276" w:lineRule="auto"/>
        <w:rPr>
          <w:rFonts w:ascii="Arial" w:hAnsi="Arial" w:cs="Arial"/>
          <w:bCs/>
        </w:rPr>
      </w:pPr>
    </w:p>
    <w:p w14:paraId="492B1393" w14:textId="1C1D5CE8" w:rsidR="00E03849" w:rsidRPr="00E03849" w:rsidRDefault="00E03849" w:rsidP="004A4E76">
      <w:pPr>
        <w:spacing w:line="276" w:lineRule="auto"/>
        <w:rPr>
          <w:rFonts w:ascii="Arial" w:hAnsi="Arial" w:cs="Arial"/>
          <w:bCs/>
          <w:i/>
        </w:rPr>
      </w:pPr>
      <w:r w:rsidRPr="00E03849">
        <w:rPr>
          <w:rFonts w:ascii="Arial" w:hAnsi="Arial" w:cs="Arial"/>
          <w:bCs/>
          <w:i/>
        </w:rPr>
        <w:t>New section 1.20</w:t>
      </w:r>
      <w:r>
        <w:rPr>
          <w:rFonts w:ascii="Arial" w:hAnsi="Arial" w:cs="Arial"/>
          <w:bCs/>
          <w:i/>
        </w:rPr>
        <w:t>B</w:t>
      </w:r>
    </w:p>
    <w:p w14:paraId="0568A822" w14:textId="3C959490" w:rsidR="00FD3499" w:rsidRDefault="0023075D" w:rsidP="004A4E76">
      <w:pPr>
        <w:spacing w:line="276" w:lineRule="auto"/>
        <w:rPr>
          <w:rFonts w:ascii="Arial" w:hAnsi="Arial" w:cs="Arial"/>
          <w:bCs/>
        </w:rPr>
      </w:pPr>
      <w:r>
        <w:rPr>
          <w:rFonts w:ascii="Arial" w:hAnsi="Arial" w:cs="Arial"/>
          <w:bCs/>
        </w:rPr>
        <w:t>New section 1.20B sets out definitions for new division 1.2.4 of the Regulation. The terms ‘betting account’</w:t>
      </w:r>
      <w:r w:rsidR="00E03849">
        <w:rPr>
          <w:rFonts w:ascii="Arial" w:hAnsi="Arial" w:cs="Arial"/>
          <w:bCs/>
        </w:rPr>
        <w:t xml:space="preserve"> and ‘deposit limit’ are defined</w:t>
      </w:r>
      <w:r w:rsidR="00FD3499">
        <w:rPr>
          <w:rFonts w:ascii="Arial" w:hAnsi="Arial" w:cs="Arial"/>
          <w:bCs/>
        </w:rPr>
        <w:t xml:space="preserve"> as follows:</w:t>
      </w:r>
    </w:p>
    <w:p w14:paraId="7987DCB4" w14:textId="09DE46BB" w:rsidR="0023075D" w:rsidRDefault="00FD3499" w:rsidP="00FD3499">
      <w:pPr>
        <w:pStyle w:val="ListParagraph"/>
        <w:numPr>
          <w:ilvl w:val="0"/>
          <w:numId w:val="5"/>
        </w:numPr>
        <w:spacing w:line="276" w:lineRule="auto"/>
        <w:rPr>
          <w:rFonts w:ascii="Arial" w:hAnsi="Arial" w:cs="Arial"/>
          <w:bCs/>
          <w:sz w:val="24"/>
        </w:rPr>
      </w:pPr>
      <w:r>
        <w:rPr>
          <w:rFonts w:ascii="Arial" w:hAnsi="Arial" w:cs="Arial"/>
          <w:bCs/>
          <w:i/>
          <w:sz w:val="24"/>
        </w:rPr>
        <w:t>b</w:t>
      </w:r>
      <w:r w:rsidRPr="00FD3499">
        <w:rPr>
          <w:rFonts w:ascii="Arial" w:hAnsi="Arial" w:cs="Arial"/>
          <w:bCs/>
          <w:i/>
          <w:sz w:val="24"/>
        </w:rPr>
        <w:t xml:space="preserve">etting account </w:t>
      </w:r>
      <w:r w:rsidRPr="00FD3499">
        <w:rPr>
          <w:rFonts w:ascii="Arial" w:hAnsi="Arial" w:cs="Arial"/>
          <w:bCs/>
          <w:sz w:val="24"/>
        </w:rPr>
        <w:t xml:space="preserve">means an account held by </w:t>
      </w:r>
      <w:r>
        <w:rPr>
          <w:rFonts w:ascii="Arial" w:hAnsi="Arial" w:cs="Arial"/>
          <w:bCs/>
          <w:sz w:val="24"/>
        </w:rPr>
        <w:t>a person with a totalisator or sports bookmaking licensee into which funds are or can be deposited and used by the person to place a bet with the licensee.</w:t>
      </w:r>
    </w:p>
    <w:p w14:paraId="15C61DB5" w14:textId="254F8164" w:rsidR="00FD3499" w:rsidRPr="00FD3499" w:rsidRDefault="00FD3499" w:rsidP="00FD3499">
      <w:pPr>
        <w:pStyle w:val="ListParagraph"/>
        <w:numPr>
          <w:ilvl w:val="0"/>
          <w:numId w:val="5"/>
        </w:numPr>
        <w:spacing w:line="276" w:lineRule="auto"/>
        <w:rPr>
          <w:rFonts w:ascii="Arial" w:hAnsi="Arial" w:cs="Arial"/>
          <w:bCs/>
          <w:sz w:val="24"/>
        </w:rPr>
      </w:pPr>
      <w:r>
        <w:rPr>
          <w:rFonts w:ascii="Arial" w:hAnsi="Arial" w:cs="Arial"/>
          <w:bCs/>
          <w:i/>
          <w:sz w:val="24"/>
        </w:rPr>
        <w:t xml:space="preserve">deposit limit </w:t>
      </w:r>
      <w:r>
        <w:rPr>
          <w:rFonts w:ascii="Arial" w:hAnsi="Arial" w:cs="Arial"/>
          <w:bCs/>
          <w:sz w:val="24"/>
        </w:rPr>
        <w:t xml:space="preserve">means a limit to the amount that can be deposited into a person’s betting account during a stated period or periods. Under </w:t>
      </w:r>
      <w:r w:rsidR="00FC3F2F">
        <w:rPr>
          <w:rFonts w:ascii="Arial" w:hAnsi="Arial" w:cs="Arial"/>
          <w:bCs/>
          <w:sz w:val="24"/>
        </w:rPr>
        <w:t xml:space="preserve">new </w:t>
      </w:r>
      <w:r>
        <w:rPr>
          <w:rFonts w:ascii="Arial" w:hAnsi="Arial" w:cs="Arial"/>
          <w:bCs/>
          <w:sz w:val="24"/>
        </w:rPr>
        <w:t>section 1.20E(1)(b), the person must be able to choose the period or periods to which the limit applies, including 1</w:t>
      </w:r>
      <w:r w:rsidR="002E5B30">
        <w:rPr>
          <w:rFonts w:ascii="Arial" w:hAnsi="Arial" w:cs="Arial"/>
          <w:bCs/>
          <w:sz w:val="24"/>
        </w:rPr>
        <w:t xml:space="preserve"> day</w:t>
      </w:r>
      <w:r>
        <w:rPr>
          <w:rFonts w:ascii="Arial" w:hAnsi="Arial" w:cs="Arial"/>
          <w:bCs/>
          <w:sz w:val="24"/>
        </w:rPr>
        <w:t xml:space="preserve"> (daily), 7 </w:t>
      </w:r>
      <w:r w:rsidR="002E5B30">
        <w:rPr>
          <w:rFonts w:ascii="Arial" w:hAnsi="Arial" w:cs="Arial"/>
          <w:bCs/>
          <w:sz w:val="24"/>
        </w:rPr>
        <w:t xml:space="preserve">days </w:t>
      </w:r>
      <w:r>
        <w:rPr>
          <w:rFonts w:ascii="Arial" w:hAnsi="Arial" w:cs="Arial"/>
          <w:bCs/>
          <w:sz w:val="24"/>
        </w:rPr>
        <w:t xml:space="preserve">(weekly), 14 </w:t>
      </w:r>
      <w:r w:rsidR="002E5B30">
        <w:rPr>
          <w:rFonts w:ascii="Arial" w:hAnsi="Arial" w:cs="Arial"/>
          <w:bCs/>
          <w:sz w:val="24"/>
        </w:rPr>
        <w:t xml:space="preserve">days </w:t>
      </w:r>
      <w:r>
        <w:rPr>
          <w:rFonts w:ascii="Arial" w:hAnsi="Arial" w:cs="Arial"/>
          <w:bCs/>
          <w:sz w:val="24"/>
        </w:rPr>
        <w:t>(fortnightly) or 28 days (monthly).</w:t>
      </w:r>
    </w:p>
    <w:p w14:paraId="211C8FB9" w14:textId="2D81EBED" w:rsidR="00E03849" w:rsidRDefault="00E03849" w:rsidP="004A4E76">
      <w:pPr>
        <w:spacing w:line="276" w:lineRule="auto"/>
        <w:rPr>
          <w:rFonts w:ascii="Arial" w:hAnsi="Arial" w:cs="Arial"/>
          <w:bCs/>
        </w:rPr>
      </w:pPr>
    </w:p>
    <w:p w14:paraId="6C44AD0D" w14:textId="21D19857" w:rsidR="00E03849" w:rsidRPr="00E03849" w:rsidRDefault="00E03849" w:rsidP="004A4E76">
      <w:pPr>
        <w:spacing w:line="276" w:lineRule="auto"/>
        <w:rPr>
          <w:rFonts w:ascii="Arial" w:hAnsi="Arial" w:cs="Arial"/>
          <w:bCs/>
          <w:i/>
        </w:rPr>
      </w:pPr>
      <w:r w:rsidRPr="00E03849">
        <w:rPr>
          <w:rFonts w:ascii="Arial" w:hAnsi="Arial" w:cs="Arial"/>
          <w:bCs/>
          <w:i/>
        </w:rPr>
        <w:t>New section 1.20</w:t>
      </w:r>
      <w:r>
        <w:rPr>
          <w:rFonts w:ascii="Arial" w:hAnsi="Arial" w:cs="Arial"/>
          <w:bCs/>
          <w:i/>
        </w:rPr>
        <w:t>C</w:t>
      </w:r>
    </w:p>
    <w:p w14:paraId="4241A731" w14:textId="714814AA" w:rsidR="00E03849" w:rsidRDefault="00E03849" w:rsidP="004A4E76">
      <w:pPr>
        <w:spacing w:line="276" w:lineRule="auto"/>
        <w:rPr>
          <w:rFonts w:ascii="Arial" w:hAnsi="Arial" w:cs="Arial"/>
          <w:bCs/>
        </w:rPr>
      </w:pPr>
      <w:r>
        <w:rPr>
          <w:rFonts w:ascii="Arial" w:hAnsi="Arial" w:cs="Arial"/>
          <w:bCs/>
        </w:rPr>
        <w:t>New section 1.20C provides for information about deposit limits.</w:t>
      </w:r>
    </w:p>
    <w:p w14:paraId="754DA994" w14:textId="3F6F7B4A" w:rsidR="00FD3499" w:rsidRDefault="00FD3499" w:rsidP="004A4E76">
      <w:pPr>
        <w:spacing w:line="276" w:lineRule="auto"/>
        <w:rPr>
          <w:rFonts w:ascii="Arial" w:hAnsi="Arial" w:cs="Arial"/>
          <w:bCs/>
        </w:rPr>
      </w:pPr>
    </w:p>
    <w:p w14:paraId="32D9AEB5" w14:textId="133343E2" w:rsidR="00FD3499" w:rsidRDefault="00FD3499" w:rsidP="004A4E76">
      <w:pPr>
        <w:spacing w:line="276" w:lineRule="auto"/>
        <w:rPr>
          <w:rFonts w:ascii="Arial" w:hAnsi="Arial" w:cs="Arial"/>
          <w:bCs/>
        </w:rPr>
      </w:pPr>
      <w:r>
        <w:rPr>
          <w:rFonts w:ascii="Arial" w:hAnsi="Arial" w:cs="Arial"/>
          <w:bCs/>
        </w:rPr>
        <w:t>Under</w:t>
      </w:r>
      <w:r w:rsidR="00FC3F2F">
        <w:rPr>
          <w:rFonts w:ascii="Arial" w:hAnsi="Arial" w:cs="Arial"/>
          <w:bCs/>
        </w:rPr>
        <w:t xml:space="preserve"> new</w:t>
      </w:r>
      <w:r>
        <w:rPr>
          <w:rFonts w:ascii="Arial" w:hAnsi="Arial" w:cs="Arial"/>
          <w:bCs/>
        </w:rPr>
        <w:t xml:space="preserve"> section 1.20C(1), a licensee must not open a betting account for a person unless the licensee has told the person they can set a deposit limit for the account and asked the person whether they want to set a limit, and the person has either set or declined to set a deposit limit. The licensee must </w:t>
      </w:r>
      <w:r>
        <w:rPr>
          <w:rFonts w:ascii="Arial" w:hAnsi="Arial" w:cs="Arial"/>
          <w:bCs/>
        </w:rPr>
        <w:lastRenderedPageBreak/>
        <w:t>comply with any guidelines made under</w:t>
      </w:r>
      <w:r w:rsidR="00FC3F2F">
        <w:rPr>
          <w:rFonts w:ascii="Arial" w:hAnsi="Arial" w:cs="Arial"/>
          <w:bCs/>
        </w:rPr>
        <w:t xml:space="preserve"> new</w:t>
      </w:r>
      <w:r>
        <w:rPr>
          <w:rFonts w:ascii="Arial" w:hAnsi="Arial" w:cs="Arial"/>
          <w:bCs/>
        </w:rPr>
        <w:t xml:space="preserve"> section 1.20G in telling or asking the person about deposit limits.</w:t>
      </w:r>
    </w:p>
    <w:p w14:paraId="044005A8" w14:textId="2725B57B" w:rsidR="00FD3499" w:rsidRDefault="00FD3499" w:rsidP="004A4E76">
      <w:pPr>
        <w:spacing w:line="276" w:lineRule="auto"/>
        <w:rPr>
          <w:rFonts w:ascii="Arial" w:hAnsi="Arial" w:cs="Arial"/>
          <w:bCs/>
        </w:rPr>
      </w:pPr>
    </w:p>
    <w:p w14:paraId="6FFA752C" w14:textId="60C0E84E" w:rsidR="002E5B30" w:rsidRDefault="00FC3F2F" w:rsidP="002E5B30">
      <w:pPr>
        <w:spacing w:line="276" w:lineRule="auto"/>
        <w:rPr>
          <w:rFonts w:ascii="Arial" w:hAnsi="Arial" w:cs="Arial"/>
          <w:bCs/>
        </w:rPr>
      </w:pPr>
      <w:r>
        <w:rPr>
          <w:rFonts w:ascii="Arial" w:hAnsi="Arial" w:cs="Arial"/>
          <w:bCs/>
        </w:rPr>
        <w:t xml:space="preserve">New section 1.20C(2)(a) provides that a licensee must, at least once each year, tell a person with a betting account that has no deposit limit that the person can set a deposit limit, and ask the person if they want to set a limit. </w:t>
      </w:r>
      <w:r w:rsidR="002E5B30">
        <w:rPr>
          <w:rFonts w:ascii="Arial" w:hAnsi="Arial" w:cs="Arial"/>
          <w:bCs/>
        </w:rPr>
        <w:t>The licensee must comply with any guidelines made under new section 1.20G</w:t>
      </w:r>
      <w:r w:rsidR="0008337F">
        <w:rPr>
          <w:rFonts w:ascii="Arial" w:hAnsi="Arial" w:cs="Arial"/>
          <w:bCs/>
        </w:rPr>
        <w:t xml:space="preserve"> (see below)</w:t>
      </w:r>
      <w:r w:rsidR="002E5B30">
        <w:rPr>
          <w:rFonts w:ascii="Arial" w:hAnsi="Arial" w:cs="Arial"/>
          <w:bCs/>
        </w:rPr>
        <w:t>.</w:t>
      </w:r>
    </w:p>
    <w:p w14:paraId="70BCBCE7" w14:textId="30596167" w:rsidR="00FC3F2F" w:rsidRDefault="00FC3F2F" w:rsidP="004A4E76">
      <w:pPr>
        <w:spacing w:line="276" w:lineRule="auto"/>
        <w:rPr>
          <w:rFonts w:ascii="Arial" w:hAnsi="Arial" w:cs="Arial"/>
          <w:bCs/>
        </w:rPr>
      </w:pPr>
    </w:p>
    <w:p w14:paraId="296EF439" w14:textId="62B98C5C" w:rsidR="00FC3F2F" w:rsidRDefault="00FC3F2F" w:rsidP="004A4E76">
      <w:pPr>
        <w:spacing w:line="276" w:lineRule="auto"/>
        <w:rPr>
          <w:rFonts w:ascii="Arial" w:hAnsi="Arial" w:cs="Arial"/>
          <w:bCs/>
        </w:rPr>
      </w:pPr>
      <w:r>
        <w:rPr>
          <w:rFonts w:ascii="Arial" w:hAnsi="Arial" w:cs="Arial"/>
          <w:bCs/>
        </w:rPr>
        <w:t xml:space="preserve">New section 1.20C(2)(b) provides that a licensee must, at least one each year, ask a person with a betting account that has a deposit limit whether they want to change the deposit limit. </w:t>
      </w:r>
      <w:r w:rsidR="002E5B30">
        <w:rPr>
          <w:rFonts w:ascii="Arial" w:hAnsi="Arial" w:cs="Arial"/>
          <w:bCs/>
        </w:rPr>
        <w:t>The licensee must comply</w:t>
      </w:r>
      <w:r>
        <w:rPr>
          <w:rFonts w:ascii="Arial" w:hAnsi="Arial" w:cs="Arial"/>
          <w:bCs/>
        </w:rPr>
        <w:t xml:space="preserve"> with any guidelines made under</w:t>
      </w:r>
      <w:r w:rsidR="002E5B30">
        <w:rPr>
          <w:rFonts w:ascii="Arial" w:hAnsi="Arial" w:cs="Arial"/>
          <w:bCs/>
        </w:rPr>
        <w:t xml:space="preserve"> new</w:t>
      </w:r>
      <w:r>
        <w:rPr>
          <w:rFonts w:ascii="Arial" w:hAnsi="Arial" w:cs="Arial"/>
          <w:bCs/>
        </w:rPr>
        <w:t xml:space="preserve"> section 1.20G</w:t>
      </w:r>
      <w:r w:rsidR="0008337F">
        <w:rPr>
          <w:rFonts w:ascii="Arial" w:hAnsi="Arial" w:cs="Arial"/>
          <w:bCs/>
        </w:rPr>
        <w:t xml:space="preserve"> (see below)</w:t>
      </w:r>
      <w:r>
        <w:rPr>
          <w:rFonts w:ascii="Arial" w:hAnsi="Arial" w:cs="Arial"/>
          <w:bCs/>
        </w:rPr>
        <w:t>.</w:t>
      </w:r>
    </w:p>
    <w:p w14:paraId="25C4B6D6" w14:textId="06A7089C" w:rsidR="00E03849" w:rsidRDefault="00E03849" w:rsidP="004A4E76">
      <w:pPr>
        <w:spacing w:line="276" w:lineRule="auto"/>
        <w:rPr>
          <w:rFonts w:ascii="Arial" w:hAnsi="Arial" w:cs="Arial"/>
          <w:bCs/>
        </w:rPr>
      </w:pPr>
    </w:p>
    <w:p w14:paraId="51020C7B" w14:textId="6360AF7C" w:rsidR="00E03849" w:rsidRDefault="00FC3F2F" w:rsidP="004A4E76">
      <w:pPr>
        <w:spacing w:line="276" w:lineRule="auto"/>
        <w:rPr>
          <w:rFonts w:ascii="Arial" w:hAnsi="Arial" w:cs="Arial"/>
          <w:bCs/>
        </w:rPr>
      </w:pPr>
      <w:r>
        <w:rPr>
          <w:rFonts w:ascii="Arial" w:hAnsi="Arial" w:cs="Arial"/>
          <w:bCs/>
        </w:rPr>
        <w:t xml:space="preserve">Under new section 1.20C(3), the requirements in </w:t>
      </w:r>
      <w:r w:rsidR="002E5B30">
        <w:rPr>
          <w:rFonts w:ascii="Arial" w:hAnsi="Arial" w:cs="Arial"/>
          <w:bCs/>
        </w:rPr>
        <w:t xml:space="preserve">subsection </w:t>
      </w:r>
      <w:r>
        <w:rPr>
          <w:rFonts w:ascii="Arial" w:hAnsi="Arial" w:cs="Arial"/>
          <w:bCs/>
        </w:rPr>
        <w:t xml:space="preserve">(2) </w:t>
      </w:r>
      <w:r w:rsidR="002E5B30">
        <w:rPr>
          <w:rFonts w:ascii="Arial" w:hAnsi="Arial" w:cs="Arial"/>
          <w:bCs/>
        </w:rPr>
        <w:t xml:space="preserve">above </w:t>
      </w:r>
      <w:r>
        <w:rPr>
          <w:rFonts w:ascii="Arial" w:hAnsi="Arial" w:cs="Arial"/>
          <w:bCs/>
        </w:rPr>
        <w:t>to engage with betting account holders once each year does not apply if the account has not been used to make or settle a bet within the previous 12</w:t>
      </w:r>
      <w:r w:rsidR="002E5B30">
        <w:rPr>
          <w:rFonts w:ascii="Arial" w:hAnsi="Arial" w:cs="Arial"/>
          <w:bCs/>
        </w:rPr>
        <w:t> </w:t>
      </w:r>
      <w:r>
        <w:rPr>
          <w:rFonts w:ascii="Arial" w:hAnsi="Arial" w:cs="Arial"/>
          <w:bCs/>
        </w:rPr>
        <w:t xml:space="preserve">months. </w:t>
      </w:r>
      <w:r w:rsidR="000D5402">
        <w:rPr>
          <w:rFonts w:ascii="Arial" w:hAnsi="Arial" w:cs="Arial"/>
          <w:bCs/>
        </w:rPr>
        <w:t>D</w:t>
      </w:r>
      <w:r>
        <w:rPr>
          <w:rFonts w:ascii="Arial" w:hAnsi="Arial" w:cs="Arial"/>
          <w:bCs/>
        </w:rPr>
        <w:t>epositing funds into</w:t>
      </w:r>
      <w:r w:rsidR="002E5B30">
        <w:rPr>
          <w:rFonts w:ascii="Arial" w:hAnsi="Arial" w:cs="Arial"/>
          <w:bCs/>
        </w:rPr>
        <w:t>,</w:t>
      </w:r>
      <w:r>
        <w:rPr>
          <w:rFonts w:ascii="Arial" w:hAnsi="Arial" w:cs="Arial"/>
          <w:bCs/>
        </w:rPr>
        <w:t xml:space="preserve"> or withdrawing funds from</w:t>
      </w:r>
      <w:r w:rsidR="002E5B30">
        <w:rPr>
          <w:rFonts w:ascii="Arial" w:hAnsi="Arial" w:cs="Arial"/>
          <w:bCs/>
        </w:rPr>
        <w:t>,</w:t>
      </w:r>
      <w:r>
        <w:rPr>
          <w:rFonts w:ascii="Arial" w:hAnsi="Arial" w:cs="Arial"/>
          <w:bCs/>
        </w:rPr>
        <w:t xml:space="preserve"> a betting account will not constitute account activity for this provision.</w:t>
      </w:r>
    </w:p>
    <w:p w14:paraId="7189F7E1" w14:textId="54F76920" w:rsidR="00FC3F2F" w:rsidRDefault="00FC3F2F" w:rsidP="004A4E76">
      <w:pPr>
        <w:spacing w:line="276" w:lineRule="auto"/>
        <w:rPr>
          <w:rFonts w:ascii="Arial" w:hAnsi="Arial" w:cs="Arial"/>
          <w:bCs/>
        </w:rPr>
      </w:pPr>
    </w:p>
    <w:p w14:paraId="0F69BC7A" w14:textId="1B207691" w:rsidR="002E5B30" w:rsidRDefault="00FC3F2F" w:rsidP="002E5B30">
      <w:pPr>
        <w:spacing w:line="276" w:lineRule="auto"/>
        <w:rPr>
          <w:rFonts w:ascii="Arial" w:hAnsi="Arial" w:cs="Arial"/>
          <w:bCs/>
        </w:rPr>
      </w:pPr>
      <w:r>
        <w:rPr>
          <w:rFonts w:ascii="Arial" w:hAnsi="Arial" w:cs="Arial"/>
          <w:bCs/>
        </w:rPr>
        <w:t xml:space="preserve">New section 1.20C(4) provides that a licensee must publish information promoting deposit limits on the licensee’s website and on each communication channel a person can use to place a bet with the licensee. </w:t>
      </w:r>
      <w:r w:rsidR="002E5B30">
        <w:rPr>
          <w:rFonts w:ascii="Arial" w:hAnsi="Arial" w:cs="Arial"/>
          <w:bCs/>
        </w:rPr>
        <w:t>The licensee must comply with any guidelines made under new section 1.20G</w:t>
      </w:r>
      <w:r w:rsidR="0008337F">
        <w:rPr>
          <w:rFonts w:ascii="Arial" w:hAnsi="Arial" w:cs="Arial"/>
          <w:bCs/>
        </w:rPr>
        <w:t xml:space="preserve"> (see below)</w:t>
      </w:r>
      <w:r w:rsidR="002E5B30">
        <w:rPr>
          <w:rFonts w:ascii="Arial" w:hAnsi="Arial" w:cs="Arial"/>
          <w:bCs/>
        </w:rPr>
        <w:t>.</w:t>
      </w:r>
    </w:p>
    <w:p w14:paraId="2DDBC0E0" w14:textId="752E61C5" w:rsidR="00E03849" w:rsidRDefault="00E03849" w:rsidP="004A4E76">
      <w:pPr>
        <w:spacing w:line="276" w:lineRule="auto"/>
        <w:rPr>
          <w:rFonts w:ascii="Arial" w:hAnsi="Arial" w:cs="Arial"/>
          <w:bCs/>
        </w:rPr>
      </w:pPr>
    </w:p>
    <w:p w14:paraId="5C1DDA29" w14:textId="1A9D04D0" w:rsidR="00E03849" w:rsidRPr="00E03849" w:rsidRDefault="00E03849" w:rsidP="004A4E76">
      <w:pPr>
        <w:spacing w:line="276" w:lineRule="auto"/>
        <w:rPr>
          <w:rFonts w:ascii="Arial" w:hAnsi="Arial" w:cs="Arial"/>
          <w:bCs/>
          <w:i/>
        </w:rPr>
      </w:pPr>
      <w:r w:rsidRPr="00E03849">
        <w:rPr>
          <w:rFonts w:ascii="Arial" w:hAnsi="Arial" w:cs="Arial"/>
          <w:bCs/>
          <w:i/>
        </w:rPr>
        <w:t>New section 1.20</w:t>
      </w:r>
      <w:r>
        <w:rPr>
          <w:rFonts w:ascii="Arial" w:hAnsi="Arial" w:cs="Arial"/>
          <w:bCs/>
          <w:i/>
        </w:rPr>
        <w:t>D</w:t>
      </w:r>
    </w:p>
    <w:p w14:paraId="494D29A1" w14:textId="72BFC107" w:rsidR="00E03849" w:rsidRDefault="00E03849" w:rsidP="004A4E76">
      <w:pPr>
        <w:spacing w:line="276" w:lineRule="auto"/>
        <w:rPr>
          <w:rFonts w:ascii="Arial" w:hAnsi="Arial" w:cs="Arial"/>
          <w:bCs/>
        </w:rPr>
      </w:pPr>
      <w:r>
        <w:rPr>
          <w:rFonts w:ascii="Arial" w:hAnsi="Arial" w:cs="Arial"/>
          <w:bCs/>
        </w:rPr>
        <w:t>Under new section 1.20D, the licensee must not a allow a person to deposit money into a betting account held by the licensee if depositing the amount would result in the deposit limit for account being exceeded.</w:t>
      </w:r>
    </w:p>
    <w:p w14:paraId="415D24A7" w14:textId="2D53DEEE" w:rsidR="00E03849" w:rsidRDefault="00E03849" w:rsidP="004A4E76">
      <w:pPr>
        <w:spacing w:line="276" w:lineRule="auto"/>
        <w:rPr>
          <w:rFonts w:ascii="Arial" w:hAnsi="Arial" w:cs="Arial"/>
          <w:bCs/>
        </w:rPr>
      </w:pPr>
    </w:p>
    <w:p w14:paraId="059C1626" w14:textId="5E9226D6" w:rsidR="00E03849" w:rsidRDefault="00E03849" w:rsidP="004A4E76">
      <w:pPr>
        <w:spacing w:line="276" w:lineRule="auto"/>
        <w:rPr>
          <w:rFonts w:ascii="Arial" w:hAnsi="Arial" w:cs="Arial"/>
          <w:bCs/>
        </w:rPr>
      </w:pPr>
      <w:r>
        <w:rPr>
          <w:rFonts w:ascii="Arial" w:hAnsi="Arial" w:cs="Arial"/>
          <w:bCs/>
        </w:rPr>
        <w:t xml:space="preserve">An example is provided </w:t>
      </w:r>
      <w:r w:rsidR="002E5B30">
        <w:rPr>
          <w:rFonts w:ascii="Arial" w:hAnsi="Arial" w:cs="Arial"/>
          <w:bCs/>
        </w:rPr>
        <w:t>under</w:t>
      </w:r>
      <w:r>
        <w:rPr>
          <w:rFonts w:ascii="Arial" w:hAnsi="Arial" w:cs="Arial"/>
          <w:bCs/>
        </w:rPr>
        <w:t xml:space="preserve"> new section 1.20D to show how this provision will work in practice. It is important to note that an attempted transaction which would result in </w:t>
      </w:r>
      <w:r w:rsidR="00584080">
        <w:rPr>
          <w:rFonts w:ascii="Arial" w:hAnsi="Arial" w:cs="Arial"/>
          <w:bCs/>
        </w:rPr>
        <w:t>a customer’s</w:t>
      </w:r>
      <w:r>
        <w:rPr>
          <w:rFonts w:ascii="Arial" w:hAnsi="Arial" w:cs="Arial"/>
          <w:bCs/>
        </w:rPr>
        <w:t xml:space="preserve"> deposit limit being exceeded must be rejected as a whole, the licensee cannot accept part of the transaction up to the </w:t>
      </w:r>
      <w:r w:rsidR="00584080">
        <w:rPr>
          <w:rFonts w:ascii="Arial" w:hAnsi="Arial" w:cs="Arial"/>
          <w:bCs/>
        </w:rPr>
        <w:t xml:space="preserve">amount remaining under the </w:t>
      </w:r>
      <w:r>
        <w:rPr>
          <w:rFonts w:ascii="Arial" w:hAnsi="Arial" w:cs="Arial"/>
          <w:bCs/>
        </w:rPr>
        <w:t>deposit limit. The person making the deposit will have to attempt a new transaction with an amount that would not exceed the deposit limit.</w:t>
      </w:r>
    </w:p>
    <w:p w14:paraId="6788E262" w14:textId="319D13DB" w:rsidR="00E03849" w:rsidRDefault="00E03849" w:rsidP="004A4E76">
      <w:pPr>
        <w:spacing w:line="276" w:lineRule="auto"/>
        <w:rPr>
          <w:rFonts w:ascii="Arial" w:hAnsi="Arial" w:cs="Arial"/>
          <w:bCs/>
        </w:rPr>
      </w:pPr>
    </w:p>
    <w:p w14:paraId="720F8C53" w14:textId="06A760EA" w:rsidR="00E03849" w:rsidRPr="00E03849" w:rsidRDefault="00E03849" w:rsidP="004A4E76">
      <w:pPr>
        <w:spacing w:line="276" w:lineRule="auto"/>
        <w:rPr>
          <w:rFonts w:ascii="Arial" w:hAnsi="Arial" w:cs="Arial"/>
          <w:bCs/>
          <w:i/>
        </w:rPr>
      </w:pPr>
      <w:r w:rsidRPr="00E03849">
        <w:rPr>
          <w:rFonts w:ascii="Arial" w:hAnsi="Arial" w:cs="Arial"/>
          <w:bCs/>
          <w:i/>
        </w:rPr>
        <w:t>New section 1.20E</w:t>
      </w:r>
    </w:p>
    <w:p w14:paraId="02746FF8" w14:textId="729B4BA8" w:rsidR="00E03849" w:rsidRDefault="00E03849" w:rsidP="004A4E76">
      <w:pPr>
        <w:spacing w:line="276" w:lineRule="auto"/>
        <w:rPr>
          <w:rFonts w:ascii="Arial" w:hAnsi="Arial" w:cs="Arial"/>
          <w:bCs/>
        </w:rPr>
      </w:pPr>
      <w:r>
        <w:rPr>
          <w:rFonts w:ascii="Arial" w:hAnsi="Arial" w:cs="Arial"/>
          <w:bCs/>
        </w:rPr>
        <w:t xml:space="preserve">New section 1.20E provides for setting and changing deposit limits. Under </w:t>
      </w:r>
      <w:r w:rsidR="002E5B30">
        <w:rPr>
          <w:rFonts w:ascii="Arial" w:hAnsi="Arial" w:cs="Arial"/>
          <w:bCs/>
        </w:rPr>
        <w:t xml:space="preserve">subsection </w:t>
      </w:r>
      <w:r>
        <w:rPr>
          <w:rFonts w:ascii="Arial" w:hAnsi="Arial" w:cs="Arial"/>
          <w:bCs/>
        </w:rPr>
        <w:t>(1), a licensee must ensure that the process for setting and changing a deposit limit is simpl</w:t>
      </w:r>
      <w:r w:rsidR="0008337F">
        <w:rPr>
          <w:rFonts w:ascii="Arial" w:hAnsi="Arial" w:cs="Arial"/>
          <w:bCs/>
        </w:rPr>
        <w:t>e</w:t>
      </w:r>
      <w:r>
        <w:rPr>
          <w:rFonts w:ascii="Arial" w:hAnsi="Arial" w:cs="Arial"/>
          <w:bCs/>
        </w:rPr>
        <w:t xml:space="preserve"> and easy for a person to use. The customer must also be able to choose the time period for which the deposit limit applies, including at a minimum, options for </w:t>
      </w:r>
      <w:r w:rsidR="002E5B30">
        <w:rPr>
          <w:rFonts w:ascii="Arial" w:hAnsi="Arial" w:cs="Arial"/>
          <w:bCs/>
        </w:rPr>
        <w:t>1 day (</w:t>
      </w:r>
      <w:r>
        <w:rPr>
          <w:rFonts w:ascii="Arial" w:hAnsi="Arial" w:cs="Arial"/>
          <w:bCs/>
        </w:rPr>
        <w:t>daily</w:t>
      </w:r>
      <w:r w:rsidR="002E5B30">
        <w:rPr>
          <w:rFonts w:ascii="Arial" w:hAnsi="Arial" w:cs="Arial"/>
          <w:bCs/>
        </w:rPr>
        <w:t>)</w:t>
      </w:r>
      <w:r>
        <w:rPr>
          <w:rFonts w:ascii="Arial" w:hAnsi="Arial" w:cs="Arial"/>
          <w:bCs/>
        </w:rPr>
        <w:t>,</w:t>
      </w:r>
      <w:r w:rsidR="002E5B30">
        <w:rPr>
          <w:rFonts w:ascii="Arial" w:hAnsi="Arial" w:cs="Arial"/>
          <w:bCs/>
        </w:rPr>
        <w:t xml:space="preserve"> 7 day</w:t>
      </w:r>
      <w:r>
        <w:rPr>
          <w:rFonts w:ascii="Arial" w:hAnsi="Arial" w:cs="Arial"/>
          <w:bCs/>
        </w:rPr>
        <w:t xml:space="preserve"> </w:t>
      </w:r>
      <w:r w:rsidR="002E5B30">
        <w:rPr>
          <w:rFonts w:ascii="Arial" w:hAnsi="Arial" w:cs="Arial"/>
          <w:bCs/>
        </w:rPr>
        <w:t>(</w:t>
      </w:r>
      <w:r>
        <w:rPr>
          <w:rFonts w:ascii="Arial" w:hAnsi="Arial" w:cs="Arial"/>
          <w:bCs/>
        </w:rPr>
        <w:t>weekly</w:t>
      </w:r>
      <w:r w:rsidR="002E5B30">
        <w:rPr>
          <w:rFonts w:ascii="Arial" w:hAnsi="Arial" w:cs="Arial"/>
          <w:bCs/>
        </w:rPr>
        <w:t>)</w:t>
      </w:r>
      <w:r>
        <w:rPr>
          <w:rFonts w:ascii="Arial" w:hAnsi="Arial" w:cs="Arial"/>
          <w:bCs/>
        </w:rPr>
        <w:t xml:space="preserve">, </w:t>
      </w:r>
      <w:r w:rsidR="002E5B30">
        <w:rPr>
          <w:rFonts w:ascii="Arial" w:hAnsi="Arial" w:cs="Arial"/>
          <w:bCs/>
        </w:rPr>
        <w:t>14 day (</w:t>
      </w:r>
      <w:r>
        <w:rPr>
          <w:rFonts w:ascii="Arial" w:hAnsi="Arial" w:cs="Arial"/>
          <w:bCs/>
        </w:rPr>
        <w:t>fortnightly</w:t>
      </w:r>
      <w:r w:rsidR="002E5B30">
        <w:rPr>
          <w:rFonts w:ascii="Arial" w:hAnsi="Arial" w:cs="Arial"/>
          <w:bCs/>
        </w:rPr>
        <w:t>)</w:t>
      </w:r>
      <w:r>
        <w:rPr>
          <w:rFonts w:ascii="Arial" w:hAnsi="Arial" w:cs="Arial"/>
          <w:bCs/>
        </w:rPr>
        <w:t xml:space="preserve"> or </w:t>
      </w:r>
      <w:r w:rsidR="002E5B30">
        <w:rPr>
          <w:rFonts w:ascii="Arial" w:hAnsi="Arial" w:cs="Arial"/>
          <w:bCs/>
        </w:rPr>
        <w:t>28 day (</w:t>
      </w:r>
      <w:r>
        <w:rPr>
          <w:rFonts w:ascii="Arial" w:hAnsi="Arial" w:cs="Arial"/>
          <w:bCs/>
        </w:rPr>
        <w:t>monthly</w:t>
      </w:r>
      <w:r w:rsidR="002E5B30">
        <w:rPr>
          <w:rFonts w:ascii="Arial" w:hAnsi="Arial" w:cs="Arial"/>
          <w:bCs/>
        </w:rPr>
        <w:t>)</w:t>
      </w:r>
      <w:r>
        <w:rPr>
          <w:rFonts w:ascii="Arial" w:hAnsi="Arial" w:cs="Arial"/>
          <w:bCs/>
        </w:rPr>
        <w:t xml:space="preserve"> limits. </w:t>
      </w:r>
      <w:r w:rsidR="0008337F">
        <w:rPr>
          <w:rFonts w:ascii="Arial" w:hAnsi="Arial" w:cs="Arial"/>
          <w:bCs/>
        </w:rPr>
        <w:t>A</w:t>
      </w:r>
      <w:r>
        <w:rPr>
          <w:rFonts w:ascii="Arial" w:hAnsi="Arial" w:cs="Arial"/>
          <w:bCs/>
        </w:rPr>
        <w:t xml:space="preserve">t least once each year the customer will </w:t>
      </w:r>
      <w:r>
        <w:rPr>
          <w:rFonts w:ascii="Arial" w:hAnsi="Arial" w:cs="Arial"/>
          <w:bCs/>
        </w:rPr>
        <w:lastRenderedPageBreak/>
        <w:t>need to be asked if they wish to change their deposit limit, under the provisions of new section 1.20C.</w:t>
      </w:r>
    </w:p>
    <w:p w14:paraId="2629163C" w14:textId="1146B3D9" w:rsidR="00E03849" w:rsidRDefault="00E03849" w:rsidP="004A4E76">
      <w:pPr>
        <w:spacing w:line="276" w:lineRule="auto"/>
        <w:rPr>
          <w:rFonts w:ascii="Arial" w:hAnsi="Arial" w:cs="Arial"/>
          <w:bCs/>
        </w:rPr>
      </w:pPr>
    </w:p>
    <w:p w14:paraId="606E3A36" w14:textId="236AAC8E" w:rsidR="00E03849" w:rsidRDefault="00E03849" w:rsidP="004A4E76">
      <w:pPr>
        <w:spacing w:line="276" w:lineRule="auto"/>
        <w:rPr>
          <w:rFonts w:ascii="Arial" w:hAnsi="Arial" w:cs="Arial"/>
          <w:bCs/>
        </w:rPr>
      </w:pPr>
      <w:r>
        <w:rPr>
          <w:rFonts w:ascii="Arial" w:hAnsi="Arial" w:cs="Arial"/>
          <w:bCs/>
        </w:rPr>
        <w:t>The process to set and change a deposit limit must also comply with any guidelines made by the Minister under section 1.20G (see below).</w:t>
      </w:r>
    </w:p>
    <w:p w14:paraId="4E6A861F" w14:textId="67A8387D" w:rsidR="00F66C21" w:rsidRDefault="00F66C21" w:rsidP="004A4E76">
      <w:pPr>
        <w:spacing w:line="276" w:lineRule="auto"/>
        <w:rPr>
          <w:rFonts w:ascii="Arial" w:hAnsi="Arial" w:cs="Arial"/>
          <w:bCs/>
        </w:rPr>
      </w:pPr>
    </w:p>
    <w:p w14:paraId="3B8BFC76" w14:textId="207DA26B" w:rsidR="00F66C21" w:rsidRDefault="00DD2F24" w:rsidP="004A4E76">
      <w:pPr>
        <w:spacing w:line="276" w:lineRule="auto"/>
        <w:rPr>
          <w:rFonts w:ascii="Arial" w:hAnsi="Arial" w:cs="Arial"/>
          <w:bCs/>
        </w:rPr>
      </w:pPr>
      <w:r>
        <w:rPr>
          <w:rFonts w:ascii="Arial" w:hAnsi="Arial" w:cs="Arial"/>
          <w:bCs/>
        </w:rPr>
        <w:t>New section 1.20E</w:t>
      </w:r>
      <w:r w:rsidR="00F66C21">
        <w:rPr>
          <w:rFonts w:ascii="Arial" w:hAnsi="Arial" w:cs="Arial"/>
          <w:bCs/>
        </w:rPr>
        <w:t>(2) provides that a licensee must set or lower the deposit limit for a person’s betting account with the licensee immediately when the licensee receives a request from the person to do so.</w:t>
      </w:r>
    </w:p>
    <w:p w14:paraId="05F90CF6" w14:textId="3E72F682" w:rsidR="00F66C21" w:rsidRDefault="00F66C21" w:rsidP="004A4E76">
      <w:pPr>
        <w:spacing w:line="276" w:lineRule="auto"/>
        <w:rPr>
          <w:rFonts w:ascii="Arial" w:hAnsi="Arial" w:cs="Arial"/>
          <w:bCs/>
        </w:rPr>
      </w:pPr>
    </w:p>
    <w:p w14:paraId="5B67BB75" w14:textId="46CD6271" w:rsidR="00F66C21" w:rsidRDefault="00F66C21" w:rsidP="004A4E76">
      <w:pPr>
        <w:spacing w:line="276" w:lineRule="auto"/>
        <w:rPr>
          <w:rFonts w:ascii="Arial" w:hAnsi="Arial" w:cs="Arial"/>
          <w:bCs/>
        </w:rPr>
      </w:pPr>
      <w:r>
        <w:rPr>
          <w:rFonts w:ascii="Arial" w:hAnsi="Arial" w:cs="Arial"/>
          <w:bCs/>
        </w:rPr>
        <w:t xml:space="preserve">Under </w:t>
      </w:r>
      <w:r w:rsidR="00DD2F24">
        <w:rPr>
          <w:rFonts w:ascii="Arial" w:hAnsi="Arial" w:cs="Arial"/>
          <w:bCs/>
        </w:rPr>
        <w:t>new section 1.20E</w:t>
      </w:r>
      <w:r>
        <w:rPr>
          <w:rFonts w:ascii="Arial" w:hAnsi="Arial" w:cs="Arial"/>
          <w:bCs/>
        </w:rPr>
        <w:t>(3), a licensee must not increase the deposit limit for a person’s betting account with the licensee until at least 7 days after the licensee receives a request to do so.</w:t>
      </w:r>
    </w:p>
    <w:p w14:paraId="16BDF0A4" w14:textId="0FC572F0" w:rsidR="00F66C21" w:rsidRDefault="00F66C21" w:rsidP="004A4E76">
      <w:pPr>
        <w:spacing w:line="276" w:lineRule="auto"/>
        <w:rPr>
          <w:rFonts w:ascii="Arial" w:hAnsi="Arial" w:cs="Arial"/>
          <w:bCs/>
        </w:rPr>
      </w:pPr>
    </w:p>
    <w:p w14:paraId="24D70CDF" w14:textId="6D5B1AC4" w:rsidR="00F66C21" w:rsidRDefault="00F66C21" w:rsidP="004A4E76">
      <w:pPr>
        <w:spacing w:line="276" w:lineRule="auto"/>
        <w:rPr>
          <w:rFonts w:ascii="Arial" w:hAnsi="Arial" w:cs="Arial"/>
          <w:bCs/>
        </w:rPr>
      </w:pPr>
      <w:r>
        <w:rPr>
          <w:rFonts w:ascii="Arial" w:hAnsi="Arial" w:cs="Arial"/>
          <w:bCs/>
        </w:rPr>
        <w:t xml:space="preserve">Subsections (2) and (3) </w:t>
      </w:r>
      <w:r w:rsidR="00DD2F24">
        <w:rPr>
          <w:rFonts w:ascii="Arial" w:hAnsi="Arial" w:cs="Arial"/>
          <w:bCs/>
        </w:rPr>
        <w:t xml:space="preserve">of new section 1.20E </w:t>
      </w:r>
      <w:r>
        <w:rPr>
          <w:rFonts w:ascii="Arial" w:hAnsi="Arial" w:cs="Arial"/>
          <w:bCs/>
        </w:rPr>
        <w:t xml:space="preserve">work together to ensure that if a customer wishes to set or reduce their deposit limit (and therefore reduce their risk of gambling harm), the licensee must do so immediately. In the event that the customer wishes to increase their deposit limit (and therefore increase their risk of gambling harm), </w:t>
      </w:r>
      <w:r w:rsidR="00D152CD">
        <w:rPr>
          <w:rFonts w:ascii="Arial" w:hAnsi="Arial" w:cs="Arial"/>
          <w:bCs/>
        </w:rPr>
        <w:t xml:space="preserve">a cooling-off period applies and </w:t>
      </w:r>
      <w:r>
        <w:rPr>
          <w:rFonts w:ascii="Arial" w:hAnsi="Arial" w:cs="Arial"/>
          <w:bCs/>
        </w:rPr>
        <w:t xml:space="preserve">the </w:t>
      </w:r>
      <w:r w:rsidR="00D152CD">
        <w:rPr>
          <w:rFonts w:ascii="Arial" w:hAnsi="Arial" w:cs="Arial"/>
          <w:bCs/>
        </w:rPr>
        <w:t>license must not increase a deposit limit until at least one week after receiving a request to do so.</w:t>
      </w:r>
    </w:p>
    <w:p w14:paraId="7879251F" w14:textId="5A9202E8" w:rsidR="00E03849" w:rsidRDefault="00E03849" w:rsidP="004A4E76">
      <w:pPr>
        <w:spacing w:line="276" w:lineRule="auto"/>
        <w:rPr>
          <w:rFonts w:ascii="Arial" w:hAnsi="Arial" w:cs="Arial"/>
          <w:bCs/>
        </w:rPr>
      </w:pPr>
    </w:p>
    <w:p w14:paraId="2E8666CF" w14:textId="3A4FB295" w:rsidR="00E03849" w:rsidRPr="00E03849" w:rsidRDefault="00E03849" w:rsidP="004A4E76">
      <w:pPr>
        <w:spacing w:line="276" w:lineRule="auto"/>
        <w:rPr>
          <w:rFonts w:ascii="Arial" w:hAnsi="Arial" w:cs="Arial"/>
          <w:bCs/>
          <w:i/>
        </w:rPr>
      </w:pPr>
      <w:r w:rsidRPr="00E03849">
        <w:rPr>
          <w:rFonts w:ascii="Arial" w:hAnsi="Arial" w:cs="Arial"/>
          <w:bCs/>
          <w:i/>
        </w:rPr>
        <w:t>New section 1.20</w:t>
      </w:r>
      <w:r>
        <w:rPr>
          <w:rFonts w:ascii="Arial" w:hAnsi="Arial" w:cs="Arial"/>
          <w:bCs/>
          <w:i/>
        </w:rPr>
        <w:t>F</w:t>
      </w:r>
    </w:p>
    <w:p w14:paraId="2E2B2D31" w14:textId="5A7F6477" w:rsidR="00F66C21" w:rsidRDefault="00E03849" w:rsidP="004A4E76">
      <w:pPr>
        <w:spacing w:line="276" w:lineRule="auto"/>
        <w:rPr>
          <w:rFonts w:ascii="Arial" w:hAnsi="Arial" w:cs="Arial"/>
          <w:bCs/>
        </w:rPr>
      </w:pPr>
      <w:r>
        <w:rPr>
          <w:rFonts w:ascii="Arial" w:hAnsi="Arial" w:cs="Arial"/>
          <w:bCs/>
        </w:rPr>
        <w:t>New section 1.20F provides</w:t>
      </w:r>
      <w:r w:rsidR="00F66C21">
        <w:rPr>
          <w:rFonts w:ascii="Arial" w:hAnsi="Arial" w:cs="Arial"/>
          <w:bCs/>
        </w:rPr>
        <w:t xml:space="preserve"> for closing betting accounts.</w:t>
      </w:r>
    </w:p>
    <w:p w14:paraId="643E0CCF" w14:textId="3B7E4A66" w:rsidR="00D152CD" w:rsidRDefault="00D152CD" w:rsidP="004A4E76">
      <w:pPr>
        <w:spacing w:line="276" w:lineRule="auto"/>
        <w:rPr>
          <w:rFonts w:ascii="Arial" w:hAnsi="Arial" w:cs="Arial"/>
          <w:bCs/>
        </w:rPr>
      </w:pPr>
    </w:p>
    <w:p w14:paraId="30F1A61C" w14:textId="6A97E52D" w:rsidR="00D152CD" w:rsidRPr="00D152CD" w:rsidRDefault="00D152CD" w:rsidP="004A4E76">
      <w:pPr>
        <w:spacing w:line="276" w:lineRule="auto"/>
        <w:rPr>
          <w:rFonts w:ascii="Arial" w:hAnsi="Arial" w:cs="Arial"/>
          <w:bCs/>
        </w:rPr>
      </w:pPr>
      <w:r>
        <w:rPr>
          <w:rFonts w:ascii="Arial" w:hAnsi="Arial" w:cs="Arial"/>
          <w:bCs/>
        </w:rPr>
        <w:t xml:space="preserve">Under </w:t>
      </w:r>
      <w:r w:rsidR="00DD2F24">
        <w:rPr>
          <w:rFonts w:ascii="Arial" w:hAnsi="Arial" w:cs="Arial"/>
          <w:bCs/>
        </w:rPr>
        <w:t>new section 1.20F</w:t>
      </w:r>
      <w:r>
        <w:rPr>
          <w:rFonts w:ascii="Arial" w:hAnsi="Arial" w:cs="Arial"/>
          <w:bCs/>
        </w:rPr>
        <w:t xml:space="preserve">(1), a licensee must ensure that the process for a person to close their betting </w:t>
      </w:r>
      <w:r w:rsidRPr="00D152CD">
        <w:rPr>
          <w:rFonts w:ascii="Arial" w:hAnsi="Arial" w:cs="Arial"/>
          <w:bCs/>
        </w:rPr>
        <w:t>account:</w:t>
      </w:r>
    </w:p>
    <w:p w14:paraId="73B472DD" w14:textId="5092C26C" w:rsidR="00D152CD" w:rsidRPr="00D152CD" w:rsidRDefault="00D152CD" w:rsidP="00D152CD">
      <w:pPr>
        <w:pStyle w:val="ListParagraph"/>
        <w:numPr>
          <w:ilvl w:val="0"/>
          <w:numId w:val="5"/>
        </w:numPr>
        <w:spacing w:line="276" w:lineRule="auto"/>
        <w:rPr>
          <w:rFonts w:ascii="Arial" w:hAnsi="Arial" w:cs="Arial"/>
          <w:bCs/>
          <w:sz w:val="24"/>
          <w:szCs w:val="24"/>
        </w:rPr>
      </w:pPr>
      <w:r w:rsidRPr="00D152CD">
        <w:rPr>
          <w:rFonts w:ascii="Arial" w:hAnsi="Arial" w:cs="Arial"/>
          <w:bCs/>
          <w:sz w:val="24"/>
          <w:szCs w:val="24"/>
        </w:rPr>
        <w:t xml:space="preserve">is simple and easy for the person to use; and </w:t>
      </w:r>
    </w:p>
    <w:p w14:paraId="76F905CA" w14:textId="46F374CF" w:rsidR="00D152CD" w:rsidRPr="00D152CD" w:rsidRDefault="00D152CD" w:rsidP="00D152CD">
      <w:pPr>
        <w:pStyle w:val="ListParagraph"/>
        <w:numPr>
          <w:ilvl w:val="0"/>
          <w:numId w:val="5"/>
        </w:numPr>
        <w:spacing w:line="276" w:lineRule="auto"/>
        <w:rPr>
          <w:rFonts w:ascii="Arial" w:hAnsi="Arial" w:cs="Arial"/>
          <w:bCs/>
          <w:sz w:val="24"/>
          <w:szCs w:val="24"/>
        </w:rPr>
      </w:pPr>
      <w:r w:rsidRPr="00D152CD">
        <w:rPr>
          <w:rFonts w:ascii="Arial" w:hAnsi="Arial" w:cs="Arial"/>
          <w:bCs/>
          <w:sz w:val="24"/>
          <w:szCs w:val="24"/>
        </w:rPr>
        <w:t>is prominently and clearly communicated on the licensee’s website and through any communication channel the person can use to place a bet with the licensee.</w:t>
      </w:r>
    </w:p>
    <w:p w14:paraId="36CA80ED" w14:textId="11C0D7A5" w:rsidR="00E03849" w:rsidRDefault="00E03849" w:rsidP="004A4E76">
      <w:pPr>
        <w:spacing w:line="276" w:lineRule="auto"/>
        <w:rPr>
          <w:rFonts w:ascii="Arial" w:hAnsi="Arial" w:cs="Arial"/>
          <w:bCs/>
        </w:rPr>
      </w:pPr>
    </w:p>
    <w:p w14:paraId="2E1D9CB9" w14:textId="3F7BFD34" w:rsidR="00E03849" w:rsidRDefault="00DD2F24" w:rsidP="004A4E76">
      <w:pPr>
        <w:spacing w:line="276" w:lineRule="auto"/>
        <w:rPr>
          <w:rFonts w:ascii="Arial" w:hAnsi="Arial" w:cs="Arial"/>
          <w:bCs/>
        </w:rPr>
      </w:pPr>
      <w:r>
        <w:rPr>
          <w:rFonts w:ascii="Arial" w:hAnsi="Arial" w:cs="Arial"/>
          <w:bCs/>
        </w:rPr>
        <w:t>New section 1.20F</w:t>
      </w:r>
      <w:r w:rsidR="00D152CD">
        <w:rPr>
          <w:rFonts w:ascii="Arial" w:hAnsi="Arial" w:cs="Arial"/>
          <w:bCs/>
        </w:rPr>
        <w:t>(2) provides that a licensee must ensure that a person can ask to close their betting account by email, phone or any other communication channel that the person can use to place a bet with the licensee.</w:t>
      </w:r>
    </w:p>
    <w:p w14:paraId="5306D9F6" w14:textId="48E48ED4" w:rsidR="00D152CD" w:rsidRDefault="00D152CD" w:rsidP="004A4E76">
      <w:pPr>
        <w:spacing w:line="276" w:lineRule="auto"/>
        <w:rPr>
          <w:rFonts w:ascii="Arial" w:hAnsi="Arial" w:cs="Arial"/>
          <w:bCs/>
        </w:rPr>
      </w:pPr>
    </w:p>
    <w:p w14:paraId="03483A67" w14:textId="525F02CA" w:rsidR="00D152CD" w:rsidRDefault="00DD2F24" w:rsidP="004A4E76">
      <w:pPr>
        <w:spacing w:line="276" w:lineRule="auto"/>
        <w:rPr>
          <w:rFonts w:ascii="Arial" w:hAnsi="Arial" w:cs="Arial"/>
          <w:bCs/>
        </w:rPr>
      </w:pPr>
      <w:r>
        <w:rPr>
          <w:rFonts w:ascii="Arial" w:hAnsi="Arial" w:cs="Arial"/>
          <w:bCs/>
        </w:rPr>
        <w:t>New section 1.20F</w:t>
      </w:r>
      <w:r w:rsidR="00D152CD">
        <w:rPr>
          <w:rFonts w:ascii="Arial" w:hAnsi="Arial" w:cs="Arial"/>
          <w:bCs/>
        </w:rPr>
        <w:t xml:space="preserve">(3) provides that after a person’s request to close their betting account is received by the licensee, the licensee must not accept a bet using the account, and must close the account as soon as practicable after all bets made using the account have been settled. This provision strikes a balance between requiring the licensee to immediately stop accepting bets on the person’s account, with providing reasonable time for the licensee to undertake account closure activities, including settling </w:t>
      </w:r>
      <w:r w:rsidR="002C064E">
        <w:rPr>
          <w:rFonts w:ascii="Arial" w:hAnsi="Arial" w:cs="Arial"/>
          <w:bCs/>
        </w:rPr>
        <w:t xml:space="preserve">any </w:t>
      </w:r>
      <w:r w:rsidR="00D152CD">
        <w:rPr>
          <w:rFonts w:ascii="Arial" w:hAnsi="Arial" w:cs="Arial"/>
          <w:bCs/>
        </w:rPr>
        <w:t>bets.</w:t>
      </w:r>
    </w:p>
    <w:p w14:paraId="5D291977" w14:textId="0CC2DF6C" w:rsidR="002C064E" w:rsidRDefault="002C064E" w:rsidP="004A4E76">
      <w:pPr>
        <w:spacing w:line="276" w:lineRule="auto"/>
        <w:rPr>
          <w:rFonts w:ascii="Arial" w:hAnsi="Arial" w:cs="Arial"/>
          <w:bCs/>
        </w:rPr>
      </w:pPr>
    </w:p>
    <w:p w14:paraId="2B01E902" w14:textId="76E63DB1" w:rsidR="002C064E" w:rsidRDefault="002C064E" w:rsidP="004A4E76">
      <w:pPr>
        <w:spacing w:line="276" w:lineRule="auto"/>
        <w:rPr>
          <w:rFonts w:ascii="Arial" w:hAnsi="Arial" w:cs="Arial"/>
          <w:bCs/>
        </w:rPr>
      </w:pPr>
      <w:r>
        <w:rPr>
          <w:rFonts w:ascii="Arial" w:hAnsi="Arial" w:cs="Arial"/>
          <w:bCs/>
        </w:rPr>
        <w:lastRenderedPageBreak/>
        <w:t xml:space="preserve">Under </w:t>
      </w:r>
      <w:r w:rsidR="00DD2F24">
        <w:rPr>
          <w:rFonts w:ascii="Arial" w:hAnsi="Arial" w:cs="Arial"/>
          <w:bCs/>
        </w:rPr>
        <w:t>new section 1.20F</w:t>
      </w:r>
      <w:r>
        <w:rPr>
          <w:rFonts w:ascii="Arial" w:hAnsi="Arial" w:cs="Arial"/>
          <w:bCs/>
        </w:rPr>
        <w:t>(4), a licensee is prohibited from encouraging or inducing a person to cancel a request to close their betting account. The licensee may, however, explain to the person the effects of closing the account and ask the person whether they want to proceed with closing it.</w:t>
      </w:r>
    </w:p>
    <w:p w14:paraId="76DA1109" w14:textId="26CC6AAD" w:rsidR="002C064E" w:rsidRDefault="002C064E" w:rsidP="004A4E76">
      <w:pPr>
        <w:spacing w:line="276" w:lineRule="auto"/>
        <w:rPr>
          <w:rFonts w:ascii="Arial" w:hAnsi="Arial" w:cs="Arial"/>
          <w:bCs/>
        </w:rPr>
      </w:pPr>
    </w:p>
    <w:p w14:paraId="0B25319D" w14:textId="2EC9173C" w:rsidR="002C064E" w:rsidRDefault="002C064E" w:rsidP="004A4E76">
      <w:pPr>
        <w:spacing w:line="276" w:lineRule="auto"/>
        <w:rPr>
          <w:rFonts w:ascii="Arial" w:hAnsi="Arial" w:cs="Arial"/>
          <w:bCs/>
        </w:rPr>
      </w:pPr>
      <w:r>
        <w:rPr>
          <w:rFonts w:ascii="Arial" w:hAnsi="Arial" w:cs="Arial"/>
          <w:bCs/>
        </w:rPr>
        <w:t xml:space="preserve">A note below subsection (4) alerts the reader to </w:t>
      </w:r>
      <w:r w:rsidR="00DD2F24">
        <w:rPr>
          <w:rFonts w:ascii="Arial" w:hAnsi="Arial" w:cs="Arial"/>
          <w:bCs/>
        </w:rPr>
        <w:t xml:space="preserve">new </w:t>
      </w:r>
      <w:r>
        <w:rPr>
          <w:rFonts w:ascii="Arial" w:hAnsi="Arial" w:cs="Arial"/>
          <w:bCs/>
        </w:rPr>
        <w:t>section 1.30C(3)(b), which provides that a licensee must not send direct marketing to a person after the person has asked to close their betting account.</w:t>
      </w:r>
    </w:p>
    <w:p w14:paraId="4C62EC6C" w14:textId="0A14B903" w:rsidR="002C064E" w:rsidRDefault="002C064E" w:rsidP="004A4E76">
      <w:pPr>
        <w:spacing w:line="276" w:lineRule="auto"/>
        <w:rPr>
          <w:rFonts w:ascii="Arial" w:hAnsi="Arial" w:cs="Arial"/>
          <w:bCs/>
        </w:rPr>
      </w:pPr>
    </w:p>
    <w:p w14:paraId="08611E99" w14:textId="53777747" w:rsidR="00E03849" w:rsidRPr="00E03849" w:rsidRDefault="00E03849" w:rsidP="004A4E76">
      <w:pPr>
        <w:spacing w:line="276" w:lineRule="auto"/>
        <w:rPr>
          <w:rFonts w:ascii="Arial" w:hAnsi="Arial" w:cs="Arial"/>
          <w:bCs/>
          <w:i/>
        </w:rPr>
      </w:pPr>
      <w:r w:rsidRPr="00E03849">
        <w:rPr>
          <w:rFonts w:ascii="Arial" w:hAnsi="Arial" w:cs="Arial"/>
          <w:bCs/>
          <w:i/>
        </w:rPr>
        <w:t>New section 1.20</w:t>
      </w:r>
      <w:r>
        <w:rPr>
          <w:rFonts w:ascii="Arial" w:hAnsi="Arial" w:cs="Arial"/>
          <w:bCs/>
          <w:i/>
        </w:rPr>
        <w:t>G</w:t>
      </w:r>
    </w:p>
    <w:p w14:paraId="206CD08D" w14:textId="25FD2B08" w:rsidR="00E03849" w:rsidRDefault="00E03849" w:rsidP="004A4E76">
      <w:pPr>
        <w:spacing w:line="276" w:lineRule="auto"/>
        <w:rPr>
          <w:rFonts w:ascii="Arial" w:hAnsi="Arial" w:cs="Arial"/>
          <w:bCs/>
        </w:rPr>
      </w:pPr>
      <w:r>
        <w:rPr>
          <w:rFonts w:ascii="Arial" w:hAnsi="Arial" w:cs="Arial"/>
          <w:bCs/>
        </w:rPr>
        <w:t>Under new section 1.20G</w:t>
      </w:r>
      <w:r w:rsidR="00337517">
        <w:rPr>
          <w:rFonts w:ascii="Arial" w:hAnsi="Arial" w:cs="Arial"/>
          <w:bCs/>
        </w:rPr>
        <w:t>(1)</w:t>
      </w:r>
      <w:r>
        <w:rPr>
          <w:rFonts w:ascii="Arial" w:hAnsi="Arial" w:cs="Arial"/>
          <w:bCs/>
        </w:rPr>
        <w:t xml:space="preserve">, the Minister may make guidelines </w:t>
      </w:r>
      <w:r w:rsidR="00584080">
        <w:rPr>
          <w:rFonts w:ascii="Arial" w:hAnsi="Arial" w:cs="Arial"/>
          <w:bCs/>
        </w:rPr>
        <w:t xml:space="preserve">about betting accounts. Specifically, the guidelines </w:t>
      </w:r>
      <w:r w:rsidR="002C064E">
        <w:rPr>
          <w:rFonts w:ascii="Arial" w:hAnsi="Arial" w:cs="Arial"/>
          <w:bCs/>
        </w:rPr>
        <w:t>may provide for:</w:t>
      </w:r>
    </w:p>
    <w:p w14:paraId="6E4F6806" w14:textId="327A761A" w:rsidR="002C064E" w:rsidRDefault="002C064E" w:rsidP="002C064E">
      <w:pPr>
        <w:pStyle w:val="ListParagraph"/>
        <w:numPr>
          <w:ilvl w:val="0"/>
          <w:numId w:val="5"/>
        </w:numPr>
        <w:spacing w:line="276" w:lineRule="auto"/>
        <w:rPr>
          <w:rFonts w:ascii="Arial" w:hAnsi="Arial" w:cs="Arial"/>
          <w:bCs/>
          <w:sz w:val="24"/>
        </w:rPr>
      </w:pPr>
      <w:r w:rsidRPr="002C064E">
        <w:rPr>
          <w:rFonts w:ascii="Arial" w:hAnsi="Arial" w:cs="Arial"/>
          <w:bCs/>
          <w:sz w:val="24"/>
        </w:rPr>
        <w:t>the information licensees must provide in relation to setting, changing and promoting deposit limits and closing betting accounts</w:t>
      </w:r>
      <w:r w:rsidR="00337517">
        <w:rPr>
          <w:rFonts w:ascii="Arial" w:hAnsi="Arial" w:cs="Arial"/>
          <w:bCs/>
          <w:sz w:val="24"/>
        </w:rPr>
        <w:t>; and</w:t>
      </w:r>
    </w:p>
    <w:p w14:paraId="73D68113" w14:textId="0EE12448" w:rsidR="00337517" w:rsidRPr="002C064E" w:rsidRDefault="00337517" w:rsidP="002C064E">
      <w:pPr>
        <w:pStyle w:val="ListParagraph"/>
        <w:numPr>
          <w:ilvl w:val="0"/>
          <w:numId w:val="5"/>
        </w:numPr>
        <w:spacing w:line="276" w:lineRule="auto"/>
        <w:rPr>
          <w:rFonts w:ascii="Arial" w:hAnsi="Arial" w:cs="Arial"/>
          <w:bCs/>
          <w:sz w:val="24"/>
        </w:rPr>
      </w:pPr>
      <w:r>
        <w:rPr>
          <w:rFonts w:ascii="Arial" w:hAnsi="Arial" w:cs="Arial"/>
          <w:bCs/>
          <w:sz w:val="24"/>
        </w:rPr>
        <w:t>the process for setting and changing deposit limits and closing betting accounts.</w:t>
      </w:r>
    </w:p>
    <w:p w14:paraId="528D496A" w14:textId="056CA8BC" w:rsidR="002C064E" w:rsidRDefault="002C064E" w:rsidP="00337517">
      <w:pPr>
        <w:spacing w:line="276" w:lineRule="auto"/>
        <w:rPr>
          <w:rFonts w:ascii="Arial" w:hAnsi="Arial" w:cs="Arial"/>
          <w:bCs/>
        </w:rPr>
      </w:pPr>
    </w:p>
    <w:p w14:paraId="3491F45D" w14:textId="593F9178" w:rsidR="00337517" w:rsidRDefault="00DD2F24" w:rsidP="00337517">
      <w:pPr>
        <w:spacing w:line="276" w:lineRule="auto"/>
        <w:rPr>
          <w:rFonts w:ascii="Arial" w:hAnsi="Arial" w:cs="Arial"/>
          <w:bCs/>
        </w:rPr>
      </w:pPr>
      <w:r>
        <w:rPr>
          <w:rFonts w:ascii="Arial" w:hAnsi="Arial" w:cs="Arial"/>
          <w:bCs/>
        </w:rPr>
        <w:t>New section 1.20G</w:t>
      </w:r>
      <w:r w:rsidR="00337517">
        <w:rPr>
          <w:rFonts w:ascii="Arial" w:hAnsi="Arial" w:cs="Arial"/>
          <w:bCs/>
        </w:rPr>
        <w:t xml:space="preserve">(2) </w:t>
      </w:r>
      <w:r w:rsidR="00CB7829">
        <w:rPr>
          <w:rFonts w:ascii="Arial" w:hAnsi="Arial" w:cs="Arial"/>
          <w:bCs/>
        </w:rPr>
        <w:t>provides that a guideline may include requirements for:</w:t>
      </w:r>
    </w:p>
    <w:p w14:paraId="267A39FB" w14:textId="3217D5E3" w:rsidR="00CB7829" w:rsidRDefault="00CB7829" w:rsidP="00CB7829">
      <w:pPr>
        <w:pStyle w:val="ListParagraph"/>
        <w:numPr>
          <w:ilvl w:val="0"/>
          <w:numId w:val="5"/>
        </w:numPr>
        <w:spacing w:line="276" w:lineRule="auto"/>
        <w:rPr>
          <w:rFonts w:ascii="Arial" w:hAnsi="Arial" w:cs="Arial"/>
          <w:bCs/>
          <w:sz w:val="24"/>
        </w:rPr>
      </w:pPr>
      <w:r w:rsidRPr="00CB7829">
        <w:rPr>
          <w:rFonts w:ascii="Arial" w:hAnsi="Arial" w:cs="Arial"/>
          <w:bCs/>
          <w:sz w:val="24"/>
        </w:rPr>
        <w:t>the content</w:t>
      </w:r>
      <w:r>
        <w:rPr>
          <w:rFonts w:ascii="Arial" w:hAnsi="Arial" w:cs="Arial"/>
          <w:bCs/>
          <w:sz w:val="24"/>
        </w:rPr>
        <w:t xml:space="preserve"> or form of information to be provided by licensees;</w:t>
      </w:r>
    </w:p>
    <w:p w14:paraId="57754406" w14:textId="5BF1E655" w:rsidR="00CB7829" w:rsidRDefault="00CB7829" w:rsidP="00CB7829">
      <w:pPr>
        <w:pStyle w:val="ListParagraph"/>
        <w:numPr>
          <w:ilvl w:val="0"/>
          <w:numId w:val="5"/>
        </w:numPr>
        <w:spacing w:line="276" w:lineRule="auto"/>
        <w:rPr>
          <w:rFonts w:ascii="Arial" w:hAnsi="Arial" w:cs="Arial"/>
          <w:bCs/>
          <w:sz w:val="24"/>
        </w:rPr>
      </w:pPr>
      <w:r>
        <w:rPr>
          <w:rFonts w:ascii="Arial" w:hAnsi="Arial" w:cs="Arial"/>
          <w:bCs/>
          <w:sz w:val="24"/>
        </w:rPr>
        <w:t>when information must be communicated by licensees and to whom;</w:t>
      </w:r>
    </w:p>
    <w:p w14:paraId="6A1E3187" w14:textId="4249D0BD" w:rsidR="00CB7829" w:rsidRPr="00CB7829" w:rsidRDefault="00CB7829" w:rsidP="00CB7829">
      <w:pPr>
        <w:pStyle w:val="ListParagraph"/>
        <w:numPr>
          <w:ilvl w:val="0"/>
          <w:numId w:val="5"/>
        </w:numPr>
        <w:spacing w:line="276" w:lineRule="auto"/>
        <w:rPr>
          <w:rFonts w:ascii="Arial" w:hAnsi="Arial" w:cs="Arial"/>
          <w:bCs/>
          <w:sz w:val="24"/>
        </w:rPr>
      </w:pPr>
      <w:r>
        <w:rPr>
          <w:rFonts w:ascii="Arial" w:hAnsi="Arial" w:cs="Arial"/>
          <w:bCs/>
          <w:sz w:val="24"/>
        </w:rPr>
        <w:t>where or how information must be communicated by licensees.</w:t>
      </w:r>
    </w:p>
    <w:p w14:paraId="135794E6" w14:textId="1A1B54CC" w:rsidR="00584080" w:rsidRDefault="00584080" w:rsidP="004A4E76">
      <w:pPr>
        <w:spacing w:line="276" w:lineRule="auto"/>
        <w:rPr>
          <w:rFonts w:ascii="Arial" w:hAnsi="Arial" w:cs="Arial"/>
          <w:bCs/>
        </w:rPr>
      </w:pPr>
    </w:p>
    <w:p w14:paraId="2590CA30" w14:textId="5FE352F9" w:rsidR="002C064E" w:rsidRDefault="00CB7829" w:rsidP="004A4E76">
      <w:pPr>
        <w:spacing w:line="276" w:lineRule="auto"/>
        <w:rPr>
          <w:rFonts w:ascii="Arial" w:hAnsi="Arial" w:cs="Arial"/>
          <w:bCs/>
        </w:rPr>
      </w:pPr>
      <w:r>
        <w:rPr>
          <w:rFonts w:ascii="Arial" w:hAnsi="Arial" w:cs="Arial"/>
          <w:bCs/>
        </w:rPr>
        <w:t xml:space="preserve">Under </w:t>
      </w:r>
      <w:r w:rsidR="00DD2F24">
        <w:rPr>
          <w:rFonts w:ascii="Arial" w:hAnsi="Arial" w:cs="Arial"/>
          <w:bCs/>
        </w:rPr>
        <w:t>new section 1.20G</w:t>
      </w:r>
      <w:r>
        <w:rPr>
          <w:rFonts w:ascii="Arial" w:hAnsi="Arial" w:cs="Arial"/>
          <w:bCs/>
        </w:rPr>
        <w:t xml:space="preserve">(3), a guideline is a notifiable instrument, which must be notified under the </w:t>
      </w:r>
      <w:r w:rsidRPr="00CB7829">
        <w:rPr>
          <w:rFonts w:ascii="Arial" w:hAnsi="Arial" w:cs="Arial"/>
          <w:bCs/>
          <w:i/>
        </w:rPr>
        <w:t>Legislation Act 2001</w:t>
      </w:r>
      <w:r>
        <w:rPr>
          <w:rFonts w:ascii="Arial" w:hAnsi="Arial" w:cs="Arial"/>
          <w:bCs/>
        </w:rPr>
        <w:t>.</w:t>
      </w:r>
    </w:p>
    <w:p w14:paraId="40D0499C" w14:textId="11A4CE5A" w:rsidR="00584080" w:rsidRDefault="00584080" w:rsidP="004A4E76">
      <w:pPr>
        <w:spacing w:line="276" w:lineRule="auto"/>
        <w:rPr>
          <w:rFonts w:ascii="Arial" w:hAnsi="Arial" w:cs="Arial"/>
          <w:bCs/>
        </w:rPr>
      </w:pPr>
    </w:p>
    <w:p w14:paraId="7A8CFCA7" w14:textId="52AEEAC3" w:rsidR="00584080" w:rsidRPr="00584080" w:rsidRDefault="00584080" w:rsidP="004A4E76">
      <w:pPr>
        <w:spacing w:line="276" w:lineRule="auto"/>
        <w:rPr>
          <w:rFonts w:ascii="Arial" w:hAnsi="Arial" w:cs="Arial"/>
          <w:bCs/>
          <w:i/>
        </w:rPr>
      </w:pPr>
      <w:r w:rsidRPr="00E03849">
        <w:rPr>
          <w:rFonts w:ascii="Arial" w:hAnsi="Arial" w:cs="Arial"/>
          <w:bCs/>
          <w:i/>
        </w:rPr>
        <w:t>New section 1.20</w:t>
      </w:r>
      <w:r>
        <w:rPr>
          <w:rFonts w:ascii="Arial" w:hAnsi="Arial" w:cs="Arial"/>
          <w:bCs/>
          <w:i/>
        </w:rPr>
        <w:t>H</w:t>
      </w:r>
    </w:p>
    <w:p w14:paraId="6E025961" w14:textId="0F392255" w:rsidR="00584080" w:rsidRDefault="00584080" w:rsidP="004A4E76">
      <w:pPr>
        <w:spacing w:line="276" w:lineRule="auto"/>
        <w:rPr>
          <w:rFonts w:ascii="Arial" w:hAnsi="Arial" w:cs="Arial"/>
          <w:bCs/>
        </w:rPr>
      </w:pPr>
      <w:r>
        <w:rPr>
          <w:rFonts w:ascii="Arial" w:hAnsi="Arial" w:cs="Arial"/>
          <w:bCs/>
        </w:rPr>
        <w:t>New section 1.20H provide</w:t>
      </w:r>
      <w:r w:rsidR="000D5402">
        <w:rPr>
          <w:rFonts w:ascii="Arial" w:hAnsi="Arial" w:cs="Arial"/>
          <w:bCs/>
        </w:rPr>
        <w:t>s</w:t>
      </w:r>
      <w:r>
        <w:rPr>
          <w:rFonts w:ascii="Arial" w:hAnsi="Arial" w:cs="Arial"/>
          <w:bCs/>
        </w:rPr>
        <w:t xml:space="preserve"> that the ACT Gambling and Racing Commission may give a written direction to a licensee to ensure compliance with new division 1.2.4, and that if a direction is given, the licensee must comply with the direction.</w:t>
      </w:r>
      <w:r w:rsidR="004A208E" w:rsidRPr="004A208E">
        <w:rPr>
          <w:rFonts w:ascii="Arial" w:hAnsi="Arial" w:cs="Arial"/>
          <w:bCs/>
        </w:rPr>
        <w:t xml:space="preserve"> </w:t>
      </w:r>
      <w:r w:rsidR="004A208E">
        <w:rPr>
          <w:rFonts w:ascii="Arial" w:hAnsi="Arial" w:cs="Arial"/>
          <w:bCs/>
        </w:rPr>
        <w:t xml:space="preserve">This </w:t>
      </w:r>
      <w:r w:rsidR="004A208E" w:rsidRPr="004A208E">
        <w:rPr>
          <w:rFonts w:ascii="Arial" w:hAnsi="Arial" w:cs="Arial"/>
          <w:bCs/>
        </w:rPr>
        <w:t>section mirrors existing provisions in the Code of Practice, for example, sections 1.27 and 1.31.</w:t>
      </w:r>
    </w:p>
    <w:p w14:paraId="07BA2D06" w14:textId="77777777" w:rsidR="004A208E" w:rsidRDefault="004A208E" w:rsidP="004A4E76">
      <w:pPr>
        <w:spacing w:line="276" w:lineRule="auto"/>
        <w:rPr>
          <w:rFonts w:ascii="Arial" w:hAnsi="Arial" w:cs="Arial"/>
          <w:bCs/>
        </w:rPr>
      </w:pPr>
    </w:p>
    <w:p w14:paraId="1B77A24B" w14:textId="298D74CD" w:rsidR="00584080" w:rsidRPr="00E928AC" w:rsidRDefault="00584080" w:rsidP="004A4E76">
      <w:pPr>
        <w:spacing w:line="276" w:lineRule="auto"/>
        <w:rPr>
          <w:rFonts w:ascii="Arial" w:hAnsi="Arial" w:cs="Arial"/>
          <w:bCs/>
        </w:rPr>
      </w:pPr>
      <w:r w:rsidRPr="00376D91">
        <w:rPr>
          <w:rFonts w:ascii="Arial" w:hAnsi="Arial" w:cs="Arial"/>
          <w:bCs/>
        </w:rPr>
        <w:t xml:space="preserve">Failure to comply with a direction may be </w:t>
      </w:r>
      <w:r w:rsidR="009766A1" w:rsidRPr="00376D91">
        <w:rPr>
          <w:rFonts w:ascii="Arial" w:hAnsi="Arial" w:cs="Arial"/>
          <w:bCs/>
        </w:rPr>
        <w:t>grounds for</w:t>
      </w:r>
      <w:r w:rsidRPr="00376D91">
        <w:rPr>
          <w:rFonts w:ascii="Arial" w:hAnsi="Arial" w:cs="Arial"/>
          <w:bCs/>
        </w:rPr>
        <w:t xml:space="preserve"> disciplinary action</w:t>
      </w:r>
      <w:r w:rsidR="009E59A6" w:rsidRPr="00376D91">
        <w:rPr>
          <w:rFonts w:ascii="Arial" w:hAnsi="Arial" w:cs="Arial"/>
          <w:bCs/>
        </w:rPr>
        <w:t xml:space="preserve"> under the </w:t>
      </w:r>
      <w:r w:rsidR="00354413" w:rsidRPr="00376D91">
        <w:rPr>
          <w:rFonts w:ascii="Arial" w:hAnsi="Arial" w:cs="Arial"/>
          <w:bCs/>
          <w:i/>
        </w:rPr>
        <w:t>Totalisator Act 2014</w:t>
      </w:r>
      <w:r w:rsidR="00354413" w:rsidRPr="00376D91">
        <w:rPr>
          <w:rFonts w:ascii="Arial" w:hAnsi="Arial" w:cs="Arial"/>
          <w:bCs/>
        </w:rPr>
        <w:t xml:space="preserve"> or the </w:t>
      </w:r>
      <w:r w:rsidR="00354413" w:rsidRPr="00376D91">
        <w:rPr>
          <w:rFonts w:ascii="Arial" w:hAnsi="Arial" w:cs="Arial"/>
          <w:bCs/>
          <w:i/>
        </w:rPr>
        <w:t xml:space="preserve">Race and Sports Bookmaking Act </w:t>
      </w:r>
      <w:r w:rsidR="001520D0" w:rsidRPr="00376D91">
        <w:rPr>
          <w:rFonts w:ascii="Arial" w:hAnsi="Arial" w:cs="Arial"/>
          <w:bCs/>
          <w:i/>
        </w:rPr>
        <w:t>2001</w:t>
      </w:r>
      <w:r w:rsidR="00354413" w:rsidRPr="00376D91">
        <w:rPr>
          <w:rFonts w:ascii="Arial" w:hAnsi="Arial" w:cs="Arial"/>
          <w:bCs/>
        </w:rPr>
        <w:t xml:space="preserve"> (see the existing note under section 7 of the Regulation).</w:t>
      </w:r>
    </w:p>
    <w:p w14:paraId="79307E71" w14:textId="77777777" w:rsidR="00E03849" w:rsidRPr="00E928AC" w:rsidRDefault="00E03849" w:rsidP="004A4E76">
      <w:pPr>
        <w:spacing w:line="276" w:lineRule="auto"/>
        <w:rPr>
          <w:rFonts w:ascii="Arial" w:hAnsi="Arial" w:cs="Arial"/>
          <w:bCs/>
        </w:rPr>
      </w:pPr>
    </w:p>
    <w:p w14:paraId="1A66F1C7" w14:textId="1FF52AEE" w:rsidR="00261842" w:rsidRPr="00E928AC" w:rsidRDefault="00261842" w:rsidP="005B012F">
      <w:pPr>
        <w:rPr>
          <w:rFonts w:ascii="Arial" w:hAnsi="Arial" w:cs="Arial"/>
          <w:b/>
        </w:rPr>
      </w:pPr>
      <w:r w:rsidRPr="00E928AC">
        <w:rPr>
          <w:rFonts w:ascii="Arial" w:hAnsi="Arial" w:cs="Arial"/>
          <w:b/>
        </w:rPr>
        <w:t xml:space="preserve">Clause 5 – </w:t>
      </w:r>
      <w:r w:rsidR="0023075D" w:rsidRPr="00E928AC">
        <w:rPr>
          <w:rFonts w:ascii="Arial" w:hAnsi="Arial" w:cs="Arial"/>
          <w:b/>
        </w:rPr>
        <w:t>Schedule 1, section 1.30 (6)</w:t>
      </w:r>
    </w:p>
    <w:p w14:paraId="787B7C7E" w14:textId="4F37F52C" w:rsidR="00F8030C" w:rsidRPr="00E928AC" w:rsidRDefault="00584080" w:rsidP="005B012F">
      <w:pPr>
        <w:rPr>
          <w:rFonts w:ascii="Arial" w:hAnsi="Arial" w:cs="Arial"/>
        </w:rPr>
      </w:pPr>
      <w:r w:rsidRPr="00E928AC">
        <w:rPr>
          <w:rFonts w:ascii="Arial" w:hAnsi="Arial" w:cs="Arial"/>
        </w:rPr>
        <w:t>Clause 5 repeals and replaces existing section 1.30</w:t>
      </w:r>
      <w:r w:rsidR="008D0C09" w:rsidRPr="00E928AC">
        <w:rPr>
          <w:rFonts w:ascii="Arial" w:hAnsi="Arial" w:cs="Arial"/>
        </w:rPr>
        <w:t xml:space="preserve">(6) </w:t>
      </w:r>
      <w:r w:rsidRPr="00E928AC">
        <w:rPr>
          <w:rFonts w:ascii="Arial" w:hAnsi="Arial" w:cs="Arial"/>
        </w:rPr>
        <w:t xml:space="preserve">to provide that a totalisator or sports bookmaking licensee </w:t>
      </w:r>
      <w:r w:rsidRPr="00376D91">
        <w:rPr>
          <w:rFonts w:ascii="Arial" w:hAnsi="Arial" w:cs="Arial"/>
        </w:rPr>
        <w:t>must</w:t>
      </w:r>
      <w:r w:rsidR="001520D0" w:rsidRPr="00376D91">
        <w:rPr>
          <w:rFonts w:ascii="Arial" w:hAnsi="Arial" w:cs="Arial"/>
        </w:rPr>
        <w:t xml:space="preserve"> not offer an inducement to </w:t>
      </w:r>
      <w:r w:rsidRPr="00E928AC">
        <w:rPr>
          <w:rFonts w:ascii="Arial" w:hAnsi="Arial" w:cs="Arial"/>
        </w:rPr>
        <w:t>a person</w:t>
      </w:r>
      <w:r w:rsidR="00F8030C" w:rsidRPr="00E928AC">
        <w:rPr>
          <w:rFonts w:ascii="Arial" w:hAnsi="Arial" w:cs="Arial"/>
        </w:rPr>
        <w:t>:</w:t>
      </w:r>
    </w:p>
    <w:p w14:paraId="3E4AA93B" w14:textId="14616A66" w:rsidR="00387C6E" w:rsidRPr="00376D91" w:rsidRDefault="00F8030C" w:rsidP="00387C6E">
      <w:pPr>
        <w:pStyle w:val="ListParagraph"/>
        <w:numPr>
          <w:ilvl w:val="0"/>
          <w:numId w:val="5"/>
        </w:numPr>
        <w:rPr>
          <w:rFonts w:ascii="Arial" w:hAnsi="Arial" w:cs="Arial"/>
          <w:sz w:val="24"/>
        </w:rPr>
      </w:pPr>
      <w:r w:rsidRPr="00376D91">
        <w:rPr>
          <w:rFonts w:ascii="Arial" w:hAnsi="Arial" w:cs="Arial"/>
          <w:sz w:val="24"/>
        </w:rPr>
        <w:t>to open a betting account with the licensee; or</w:t>
      </w:r>
    </w:p>
    <w:p w14:paraId="3CCC4218" w14:textId="19B7C80B" w:rsidR="00F8030C" w:rsidRPr="00376D91" w:rsidRDefault="00387C6E" w:rsidP="00F8030C">
      <w:pPr>
        <w:pStyle w:val="ListParagraph"/>
        <w:numPr>
          <w:ilvl w:val="0"/>
          <w:numId w:val="5"/>
        </w:numPr>
        <w:rPr>
          <w:rFonts w:ascii="Arial" w:hAnsi="Arial" w:cs="Arial"/>
          <w:sz w:val="24"/>
        </w:rPr>
      </w:pPr>
      <w:r w:rsidRPr="00376D91">
        <w:rPr>
          <w:rFonts w:ascii="Arial" w:hAnsi="Arial" w:cs="Arial"/>
          <w:sz w:val="24"/>
        </w:rPr>
        <w:t>to refer another person to open a betting account with the licensee.</w:t>
      </w:r>
    </w:p>
    <w:p w14:paraId="3A820FDC" w14:textId="03249ADF" w:rsidR="00387C6E" w:rsidRPr="00376D91" w:rsidRDefault="00387C6E" w:rsidP="00387C6E">
      <w:pPr>
        <w:rPr>
          <w:rFonts w:ascii="Arial" w:hAnsi="Arial" w:cs="Arial"/>
        </w:rPr>
      </w:pPr>
    </w:p>
    <w:p w14:paraId="2E56144F" w14:textId="2BEAAECD" w:rsidR="00387C6E" w:rsidRPr="00387C6E" w:rsidRDefault="00387C6E" w:rsidP="00387C6E">
      <w:pPr>
        <w:rPr>
          <w:rFonts w:ascii="Arial" w:hAnsi="Arial" w:cs="Arial"/>
        </w:rPr>
      </w:pPr>
      <w:r w:rsidRPr="00E928AC">
        <w:rPr>
          <w:rFonts w:ascii="Arial" w:hAnsi="Arial" w:cs="Arial"/>
        </w:rPr>
        <w:t>Two examples of inducements are provided under subsection (6), being free or</w:t>
      </w:r>
      <w:r w:rsidRPr="00387C6E">
        <w:rPr>
          <w:rFonts w:ascii="Arial" w:hAnsi="Arial" w:cs="Arial"/>
        </w:rPr>
        <w:t xml:space="preserve"> discounted gambling credits, and vouchers or other rewards.</w:t>
      </w:r>
    </w:p>
    <w:p w14:paraId="6540BA00" w14:textId="7F2C6F6F" w:rsidR="00387C6E" w:rsidRPr="00387C6E" w:rsidRDefault="00387C6E" w:rsidP="00387C6E">
      <w:pPr>
        <w:rPr>
          <w:rFonts w:ascii="Arial" w:hAnsi="Arial" w:cs="Arial"/>
        </w:rPr>
      </w:pPr>
    </w:p>
    <w:p w14:paraId="66BBE291" w14:textId="2358722A" w:rsidR="00387C6E" w:rsidRPr="00E928AC" w:rsidRDefault="008D0C09" w:rsidP="00387C6E">
      <w:pPr>
        <w:rPr>
          <w:rFonts w:ascii="Arial" w:hAnsi="Arial" w:cs="Arial"/>
        </w:rPr>
      </w:pPr>
      <w:r>
        <w:rPr>
          <w:rFonts w:ascii="Arial" w:hAnsi="Arial" w:cs="Arial"/>
        </w:rPr>
        <w:t>New section 1.30</w:t>
      </w:r>
      <w:r w:rsidR="00387C6E" w:rsidRPr="00387C6E">
        <w:rPr>
          <w:rFonts w:ascii="Arial" w:hAnsi="Arial" w:cs="Arial"/>
        </w:rPr>
        <w:t xml:space="preserve">(6A) provides that a totalisator or sports bookmaking licensee must not give or offer a person a complimentary or discounted betting credit or </w:t>
      </w:r>
      <w:r w:rsidR="00387C6E" w:rsidRPr="00E928AC">
        <w:rPr>
          <w:rFonts w:ascii="Arial" w:hAnsi="Arial" w:cs="Arial"/>
        </w:rPr>
        <w:t xml:space="preserve">token (a </w:t>
      </w:r>
      <w:r w:rsidR="00387C6E" w:rsidRPr="00E928AC">
        <w:rPr>
          <w:rFonts w:ascii="Arial" w:hAnsi="Arial" w:cs="Arial"/>
          <w:i/>
        </w:rPr>
        <w:t>bonus bet</w:t>
      </w:r>
      <w:r w:rsidR="00387C6E" w:rsidRPr="00E928AC">
        <w:rPr>
          <w:rFonts w:ascii="Arial" w:hAnsi="Arial" w:cs="Arial"/>
        </w:rPr>
        <w:t xml:space="preserve">) unless any winnings from the bonus bet can be withdrawn by the person and are not subject to a requirement that they be used to place further bets. </w:t>
      </w:r>
      <w:r w:rsidR="00387C6E" w:rsidRPr="00376D91">
        <w:rPr>
          <w:rFonts w:ascii="Arial" w:hAnsi="Arial" w:cs="Arial"/>
        </w:rPr>
        <w:t xml:space="preserve">This means that a person can be required to </w:t>
      </w:r>
      <w:r w:rsidR="00150772" w:rsidRPr="00376D91">
        <w:rPr>
          <w:rFonts w:ascii="Arial" w:hAnsi="Arial" w:cs="Arial"/>
        </w:rPr>
        <w:t>turnover (i.e</w:t>
      </w:r>
      <w:r w:rsidR="00E928AC" w:rsidRPr="00376D91">
        <w:rPr>
          <w:rFonts w:ascii="Arial" w:hAnsi="Arial" w:cs="Arial"/>
        </w:rPr>
        <w:t>.</w:t>
      </w:r>
      <w:r w:rsidR="00150772" w:rsidRPr="00376D91">
        <w:rPr>
          <w:rFonts w:ascii="Arial" w:hAnsi="Arial" w:cs="Arial"/>
        </w:rPr>
        <w:t xml:space="preserve"> bet) </w:t>
      </w:r>
      <w:r w:rsidR="001520D0" w:rsidRPr="00376D91">
        <w:rPr>
          <w:rFonts w:ascii="Arial" w:hAnsi="Arial" w:cs="Arial"/>
        </w:rPr>
        <w:t>a</w:t>
      </w:r>
      <w:r w:rsidR="00387C6E" w:rsidRPr="00376D91">
        <w:rPr>
          <w:rFonts w:ascii="Arial" w:hAnsi="Arial" w:cs="Arial"/>
        </w:rPr>
        <w:t xml:space="preserve"> bonus bet</w:t>
      </w:r>
      <w:r w:rsidR="001520D0" w:rsidRPr="00376D91">
        <w:rPr>
          <w:rFonts w:ascii="Arial" w:hAnsi="Arial" w:cs="Arial"/>
        </w:rPr>
        <w:t xml:space="preserve"> </w:t>
      </w:r>
      <w:r w:rsidR="001520D0" w:rsidRPr="00E928AC">
        <w:rPr>
          <w:rFonts w:ascii="Arial" w:hAnsi="Arial" w:cs="Arial"/>
        </w:rPr>
        <w:t xml:space="preserve">(or another similar inducement) </w:t>
      </w:r>
      <w:r w:rsidR="001520D0" w:rsidRPr="00376D91">
        <w:rPr>
          <w:rFonts w:ascii="Arial" w:hAnsi="Arial" w:cs="Arial"/>
        </w:rPr>
        <w:t>once in order to be eligible to claim a bonus bet</w:t>
      </w:r>
      <w:r w:rsidR="00387C6E" w:rsidRPr="00376D91">
        <w:rPr>
          <w:rFonts w:ascii="Arial" w:hAnsi="Arial" w:cs="Arial"/>
        </w:rPr>
        <w:t>, but cannot be subject to any further turnover requirements before being able to withdraw their winnings.</w:t>
      </w:r>
    </w:p>
    <w:p w14:paraId="553A28CB" w14:textId="77777777" w:rsidR="00261842" w:rsidRPr="00E928AC" w:rsidRDefault="00261842" w:rsidP="005B012F">
      <w:pPr>
        <w:rPr>
          <w:rFonts w:ascii="Arial" w:hAnsi="Arial" w:cs="Arial"/>
        </w:rPr>
      </w:pPr>
    </w:p>
    <w:p w14:paraId="333BE7F6" w14:textId="73453AB4" w:rsidR="00261842" w:rsidRPr="00142269" w:rsidRDefault="00261842" w:rsidP="005B012F">
      <w:pPr>
        <w:rPr>
          <w:rFonts w:ascii="Arial" w:hAnsi="Arial" w:cs="Arial"/>
          <w:b/>
        </w:rPr>
      </w:pPr>
      <w:r w:rsidRPr="00E928AC">
        <w:rPr>
          <w:rFonts w:ascii="Arial" w:hAnsi="Arial" w:cs="Arial"/>
          <w:b/>
        </w:rPr>
        <w:t xml:space="preserve">Clause 6 </w:t>
      </w:r>
      <w:r w:rsidR="0023075D" w:rsidRPr="00E928AC">
        <w:rPr>
          <w:rFonts w:ascii="Arial" w:hAnsi="Arial" w:cs="Arial"/>
          <w:b/>
        </w:rPr>
        <w:t>– Schedule 1, section 1.30 (9)</w:t>
      </w:r>
    </w:p>
    <w:p w14:paraId="284C4F2A" w14:textId="697CE2E3" w:rsidR="00240779" w:rsidRDefault="00584080" w:rsidP="00486C1A">
      <w:pPr>
        <w:rPr>
          <w:rFonts w:ascii="Arial" w:hAnsi="Arial" w:cs="Arial"/>
        </w:rPr>
      </w:pPr>
      <w:r>
        <w:rPr>
          <w:rFonts w:ascii="Arial" w:hAnsi="Arial" w:cs="Arial"/>
        </w:rPr>
        <w:t xml:space="preserve">Clause 6 </w:t>
      </w:r>
      <w:r w:rsidR="008F4914">
        <w:rPr>
          <w:rFonts w:ascii="Arial" w:hAnsi="Arial" w:cs="Arial"/>
        </w:rPr>
        <w:t xml:space="preserve">inserts two new definitions in existing section 1.30(9), which includes definitions for section 1.30. The new defined terms are </w:t>
      </w:r>
      <w:r>
        <w:rPr>
          <w:rFonts w:ascii="Arial" w:hAnsi="Arial" w:cs="Arial"/>
        </w:rPr>
        <w:t>‘betting account’ and ‘winnings’.</w:t>
      </w:r>
    </w:p>
    <w:p w14:paraId="74962969" w14:textId="3FBF864C" w:rsidR="00584080" w:rsidRDefault="00584080" w:rsidP="00486C1A">
      <w:pPr>
        <w:rPr>
          <w:rFonts w:ascii="Arial" w:hAnsi="Arial" w:cs="Arial"/>
        </w:rPr>
      </w:pPr>
    </w:p>
    <w:p w14:paraId="318FF3D7" w14:textId="77191F0A" w:rsidR="00584080" w:rsidRDefault="008F4914" w:rsidP="00486C1A">
      <w:pPr>
        <w:rPr>
          <w:rFonts w:ascii="Arial" w:hAnsi="Arial" w:cs="Arial"/>
        </w:rPr>
      </w:pPr>
      <w:r>
        <w:rPr>
          <w:rFonts w:ascii="Arial" w:hAnsi="Arial" w:cs="Arial"/>
          <w:i/>
        </w:rPr>
        <w:t xml:space="preserve">Betting account </w:t>
      </w:r>
      <w:r>
        <w:rPr>
          <w:rFonts w:ascii="Arial" w:hAnsi="Arial" w:cs="Arial"/>
        </w:rPr>
        <w:t>is defined with a signpost to the definition in section 1.20B.</w:t>
      </w:r>
    </w:p>
    <w:p w14:paraId="19C8B726" w14:textId="77777777" w:rsidR="008F4914" w:rsidRDefault="008F4914" w:rsidP="00486C1A">
      <w:pPr>
        <w:rPr>
          <w:rFonts w:ascii="Arial" w:hAnsi="Arial" w:cs="Arial"/>
        </w:rPr>
      </w:pPr>
    </w:p>
    <w:p w14:paraId="1028B4ED" w14:textId="150BC4FE" w:rsidR="008F4914" w:rsidRPr="008F4914" w:rsidRDefault="008F4914" w:rsidP="00486C1A">
      <w:pPr>
        <w:rPr>
          <w:rFonts w:ascii="Arial" w:hAnsi="Arial" w:cs="Arial"/>
        </w:rPr>
      </w:pPr>
      <w:r>
        <w:rPr>
          <w:rFonts w:ascii="Arial" w:hAnsi="Arial" w:cs="Arial"/>
          <w:i/>
        </w:rPr>
        <w:t>Winnings</w:t>
      </w:r>
      <w:r>
        <w:rPr>
          <w:rFonts w:ascii="Arial" w:hAnsi="Arial" w:cs="Arial"/>
        </w:rPr>
        <w:t>, from a bonus bet by a person, means the amount to be paid or credited to the person if the bet is successful.</w:t>
      </w:r>
    </w:p>
    <w:p w14:paraId="12539827" w14:textId="77777777" w:rsidR="00142269" w:rsidRPr="009C328D" w:rsidRDefault="00142269" w:rsidP="005B012F">
      <w:pPr>
        <w:rPr>
          <w:rFonts w:ascii="Arial" w:hAnsi="Arial" w:cs="Arial"/>
          <w:b/>
        </w:rPr>
      </w:pPr>
    </w:p>
    <w:p w14:paraId="32B9C994" w14:textId="6B23670C" w:rsidR="00142269" w:rsidRPr="009C328D" w:rsidRDefault="00142269" w:rsidP="005B012F">
      <w:pPr>
        <w:rPr>
          <w:rFonts w:ascii="Arial" w:hAnsi="Arial" w:cs="Arial"/>
          <w:b/>
        </w:rPr>
      </w:pPr>
      <w:r w:rsidRPr="009C328D">
        <w:rPr>
          <w:rFonts w:ascii="Arial" w:hAnsi="Arial" w:cs="Arial"/>
          <w:b/>
        </w:rPr>
        <w:t>Clause</w:t>
      </w:r>
      <w:r w:rsidR="00584080">
        <w:rPr>
          <w:rFonts w:ascii="Arial" w:hAnsi="Arial" w:cs="Arial"/>
          <w:b/>
        </w:rPr>
        <w:t xml:space="preserve"> 7 </w:t>
      </w:r>
      <w:r w:rsidR="0023075D" w:rsidRPr="00C5081A">
        <w:rPr>
          <w:rFonts w:ascii="Arial" w:hAnsi="Arial" w:cs="Arial"/>
          <w:b/>
        </w:rPr>
        <w:t xml:space="preserve">– </w:t>
      </w:r>
      <w:r w:rsidR="0023075D">
        <w:rPr>
          <w:rFonts w:ascii="Arial" w:hAnsi="Arial" w:cs="Arial"/>
          <w:b/>
        </w:rPr>
        <w:t>Schedule 1, section 1.30B heading</w:t>
      </w:r>
    </w:p>
    <w:p w14:paraId="52C4AC6E" w14:textId="77777777" w:rsidR="00584080" w:rsidRPr="00C5081A" w:rsidRDefault="00584080" w:rsidP="00584080">
      <w:pPr>
        <w:rPr>
          <w:rFonts w:ascii="Arial" w:hAnsi="Arial" w:cs="Arial"/>
          <w:b/>
        </w:rPr>
      </w:pPr>
      <w:r w:rsidRPr="00C5081A">
        <w:rPr>
          <w:rFonts w:ascii="Arial" w:hAnsi="Arial" w:cs="Arial"/>
          <w:b/>
        </w:rPr>
        <w:t xml:space="preserve">Clause </w:t>
      </w:r>
      <w:r>
        <w:rPr>
          <w:rFonts w:ascii="Arial" w:hAnsi="Arial" w:cs="Arial"/>
          <w:b/>
        </w:rPr>
        <w:t>8</w:t>
      </w:r>
      <w:r w:rsidRPr="00C5081A">
        <w:rPr>
          <w:rFonts w:ascii="Arial" w:hAnsi="Arial" w:cs="Arial"/>
          <w:b/>
        </w:rPr>
        <w:t xml:space="preserve"> – </w:t>
      </w:r>
      <w:r>
        <w:rPr>
          <w:rFonts w:ascii="Arial" w:hAnsi="Arial" w:cs="Arial"/>
          <w:b/>
        </w:rPr>
        <w:t>Schedule 1, section 1.30B (1)</w:t>
      </w:r>
    </w:p>
    <w:p w14:paraId="267AD4FC" w14:textId="6BDE7A57" w:rsidR="00584080" w:rsidRDefault="00584080" w:rsidP="005B012F">
      <w:pPr>
        <w:rPr>
          <w:rFonts w:ascii="Arial" w:hAnsi="Arial" w:cs="Arial"/>
        </w:rPr>
      </w:pPr>
      <w:r>
        <w:rPr>
          <w:rFonts w:ascii="Arial" w:hAnsi="Arial" w:cs="Arial"/>
        </w:rPr>
        <w:t>Clauses 7 and 8 repeal and replace the heading of section 1.30B and subsection (1) of that section, as a consequential amendment to clause 9</w:t>
      </w:r>
      <w:r w:rsidR="000467AD">
        <w:rPr>
          <w:rFonts w:ascii="Arial" w:hAnsi="Arial" w:cs="Arial"/>
        </w:rPr>
        <w:t xml:space="preserve"> below</w:t>
      </w:r>
      <w:r>
        <w:rPr>
          <w:rFonts w:ascii="Arial" w:hAnsi="Arial" w:cs="Arial"/>
        </w:rPr>
        <w:t>. The application of section 1.30B is now limited to gaming machine and casino licensees.</w:t>
      </w:r>
    </w:p>
    <w:p w14:paraId="3701B871" w14:textId="580D9BB8" w:rsidR="000467AD" w:rsidRDefault="000467AD" w:rsidP="005B012F">
      <w:pPr>
        <w:rPr>
          <w:rFonts w:ascii="Arial" w:hAnsi="Arial" w:cs="Arial"/>
        </w:rPr>
      </w:pPr>
    </w:p>
    <w:p w14:paraId="4E53DFB1" w14:textId="02B956B5" w:rsidR="0023075D" w:rsidRPr="00C5081A" w:rsidRDefault="0023075D" w:rsidP="0023075D">
      <w:pPr>
        <w:rPr>
          <w:rFonts w:ascii="Arial" w:hAnsi="Arial" w:cs="Arial"/>
          <w:b/>
        </w:rPr>
      </w:pPr>
      <w:r w:rsidRPr="00C5081A">
        <w:rPr>
          <w:rFonts w:ascii="Arial" w:hAnsi="Arial" w:cs="Arial"/>
          <w:b/>
        </w:rPr>
        <w:t xml:space="preserve">Clause </w:t>
      </w:r>
      <w:r>
        <w:rPr>
          <w:rFonts w:ascii="Arial" w:hAnsi="Arial" w:cs="Arial"/>
          <w:b/>
        </w:rPr>
        <w:t>9</w:t>
      </w:r>
      <w:r w:rsidRPr="00C5081A">
        <w:rPr>
          <w:rFonts w:ascii="Arial" w:hAnsi="Arial" w:cs="Arial"/>
          <w:b/>
        </w:rPr>
        <w:t xml:space="preserve"> – </w:t>
      </w:r>
      <w:r>
        <w:rPr>
          <w:rFonts w:ascii="Arial" w:hAnsi="Arial" w:cs="Arial"/>
          <w:b/>
        </w:rPr>
        <w:t>Schedule 1, new section 1.30C and 1.30D</w:t>
      </w:r>
    </w:p>
    <w:p w14:paraId="0219718E" w14:textId="2A289FD8" w:rsidR="000467AD" w:rsidRDefault="000467AD" w:rsidP="0023075D">
      <w:pPr>
        <w:rPr>
          <w:rFonts w:ascii="Arial" w:hAnsi="Arial" w:cs="Arial"/>
        </w:rPr>
      </w:pPr>
      <w:r>
        <w:rPr>
          <w:rFonts w:ascii="Arial" w:hAnsi="Arial" w:cs="Arial"/>
        </w:rPr>
        <w:t xml:space="preserve">Clause 9 inserts new sections 1.30C and 1.30D into the </w:t>
      </w:r>
      <w:r w:rsidR="00354413">
        <w:rPr>
          <w:rFonts w:ascii="Arial" w:hAnsi="Arial" w:cs="Arial"/>
        </w:rPr>
        <w:t>Code of Practice</w:t>
      </w:r>
      <w:r w:rsidR="000D5402">
        <w:rPr>
          <w:rFonts w:ascii="Arial" w:hAnsi="Arial" w:cs="Arial"/>
        </w:rPr>
        <w:t>,</w:t>
      </w:r>
      <w:r>
        <w:rPr>
          <w:rFonts w:ascii="Arial" w:hAnsi="Arial" w:cs="Arial"/>
        </w:rPr>
        <w:t xml:space="preserve"> and introduces new restrictions on direct marketing by totalisator and sports bookmaking licensees.</w:t>
      </w:r>
      <w:r w:rsidR="00D14709">
        <w:rPr>
          <w:rFonts w:ascii="Arial" w:hAnsi="Arial" w:cs="Arial"/>
        </w:rPr>
        <w:t xml:space="preserve"> These licensees were previously subject to restrictions on sending on personally-addressed promotional material under section 1.30B. As set out above, the application of section 1.30B is now limited to gaming machine and casino licensees.</w:t>
      </w:r>
    </w:p>
    <w:p w14:paraId="4F0147A6" w14:textId="77777777" w:rsidR="00D14709" w:rsidRDefault="00D14709" w:rsidP="0023075D">
      <w:pPr>
        <w:rPr>
          <w:rFonts w:ascii="Arial" w:hAnsi="Arial" w:cs="Arial"/>
        </w:rPr>
      </w:pPr>
    </w:p>
    <w:p w14:paraId="7DA18D44" w14:textId="5B953F3D" w:rsidR="000467AD" w:rsidRDefault="000467AD" w:rsidP="000467AD">
      <w:pPr>
        <w:spacing w:line="276" w:lineRule="auto"/>
        <w:rPr>
          <w:rFonts w:ascii="Arial" w:hAnsi="Arial" w:cs="Arial"/>
          <w:bCs/>
          <w:i/>
        </w:rPr>
      </w:pPr>
      <w:r w:rsidRPr="00E03849">
        <w:rPr>
          <w:rFonts w:ascii="Arial" w:hAnsi="Arial" w:cs="Arial"/>
          <w:bCs/>
          <w:i/>
        </w:rPr>
        <w:t>New section 1.</w:t>
      </w:r>
      <w:r>
        <w:rPr>
          <w:rFonts w:ascii="Arial" w:hAnsi="Arial" w:cs="Arial"/>
          <w:bCs/>
          <w:i/>
        </w:rPr>
        <w:t>30C</w:t>
      </w:r>
    </w:p>
    <w:p w14:paraId="401F0732" w14:textId="67B60688" w:rsidR="008F4914" w:rsidRDefault="008F4914" w:rsidP="000467AD">
      <w:pPr>
        <w:spacing w:line="276" w:lineRule="auto"/>
        <w:rPr>
          <w:rFonts w:ascii="Arial" w:hAnsi="Arial" w:cs="Arial"/>
          <w:bCs/>
        </w:rPr>
      </w:pPr>
      <w:r>
        <w:rPr>
          <w:rFonts w:ascii="Arial" w:hAnsi="Arial" w:cs="Arial"/>
          <w:bCs/>
        </w:rPr>
        <w:t>New section 1.30C sets out restrictions on direct marketing for totalisator and sports bookmaking licensees.</w:t>
      </w:r>
      <w:r w:rsidR="008D0C09">
        <w:rPr>
          <w:rFonts w:ascii="Arial" w:hAnsi="Arial" w:cs="Arial"/>
          <w:bCs/>
        </w:rPr>
        <w:t xml:space="preserve"> Subsection</w:t>
      </w:r>
      <w:r w:rsidR="00EE2DC0">
        <w:rPr>
          <w:rFonts w:ascii="Arial" w:hAnsi="Arial" w:cs="Arial"/>
          <w:bCs/>
        </w:rPr>
        <w:t xml:space="preserve"> (1) provides that the section applies only to a totalisator licensee or sports bookmaking licensee.</w:t>
      </w:r>
    </w:p>
    <w:p w14:paraId="2EC14585" w14:textId="4794C992" w:rsidR="00EE2DC0" w:rsidRDefault="00EE2DC0" w:rsidP="000467AD">
      <w:pPr>
        <w:spacing w:line="276" w:lineRule="auto"/>
        <w:rPr>
          <w:rFonts w:ascii="Arial" w:hAnsi="Arial" w:cs="Arial"/>
          <w:bCs/>
        </w:rPr>
      </w:pPr>
    </w:p>
    <w:p w14:paraId="111B7F2C" w14:textId="604499DB" w:rsidR="00EE2DC0" w:rsidRDefault="00EE2DC0" w:rsidP="00EE2DC0">
      <w:pPr>
        <w:spacing w:line="276" w:lineRule="auto"/>
        <w:rPr>
          <w:rFonts w:ascii="Arial" w:hAnsi="Arial" w:cs="Arial"/>
          <w:bCs/>
        </w:rPr>
      </w:pPr>
      <w:r>
        <w:rPr>
          <w:rFonts w:ascii="Arial" w:hAnsi="Arial" w:cs="Arial"/>
          <w:bCs/>
        </w:rPr>
        <w:t xml:space="preserve">Under </w:t>
      </w:r>
      <w:r w:rsidR="008D0C09">
        <w:rPr>
          <w:rFonts w:ascii="Arial" w:hAnsi="Arial" w:cs="Arial"/>
          <w:bCs/>
        </w:rPr>
        <w:t>new section 1.30C</w:t>
      </w:r>
      <w:r>
        <w:rPr>
          <w:rFonts w:ascii="Arial" w:hAnsi="Arial" w:cs="Arial"/>
          <w:bCs/>
        </w:rPr>
        <w:t xml:space="preserve">(2), the licensee must ensure that the licensee’s direct marketing is not sent to a person unless </w:t>
      </w:r>
      <w:r w:rsidRPr="00EE2DC0">
        <w:rPr>
          <w:rFonts w:ascii="Arial" w:hAnsi="Arial" w:cs="Arial"/>
          <w:bCs/>
        </w:rPr>
        <w:t>the person has expressly consented to receive the direct marketing.</w:t>
      </w:r>
      <w:r>
        <w:rPr>
          <w:rFonts w:ascii="Arial" w:hAnsi="Arial" w:cs="Arial"/>
          <w:bCs/>
        </w:rPr>
        <w:t xml:space="preserve"> In addition, any direct marketing must comply with any guidelines made under section 1.30D.</w:t>
      </w:r>
    </w:p>
    <w:p w14:paraId="6A20B8BC" w14:textId="045BEA5A" w:rsidR="00EE2DC0" w:rsidRDefault="00EE2DC0" w:rsidP="00EE2DC0">
      <w:pPr>
        <w:spacing w:line="276" w:lineRule="auto"/>
        <w:rPr>
          <w:rFonts w:ascii="Arial" w:hAnsi="Arial" w:cs="Arial"/>
          <w:bCs/>
        </w:rPr>
      </w:pPr>
    </w:p>
    <w:p w14:paraId="553A414E" w14:textId="23864F8C" w:rsidR="00EE2DC0" w:rsidRDefault="008D0C09" w:rsidP="00376D91">
      <w:pPr>
        <w:keepNext/>
        <w:spacing w:line="276" w:lineRule="auto"/>
        <w:rPr>
          <w:rFonts w:ascii="Arial" w:hAnsi="Arial" w:cs="Arial"/>
          <w:bCs/>
        </w:rPr>
      </w:pPr>
      <w:r w:rsidRPr="00E928AC">
        <w:rPr>
          <w:rFonts w:ascii="Arial" w:hAnsi="Arial" w:cs="Arial"/>
          <w:bCs/>
        </w:rPr>
        <w:lastRenderedPageBreak/>
        <w:t>New section 1.30C</w:t>
      </w:r>
      <w:r w:rsidR="00EE2DC0" w:rsidRPr="00E928AC">
        <w:rPr>
          <w:rFonts w:ascii="Arial" w:hAnsi="Arial" w:cs="Arial"/>
          <w:bCs/>
        </w:rPr>
        <w:t xml:space="preserve">(3) provides that the licensee must ensure that the licensee’s direct marketing is not sent to a person </w:t>
      </w:r>
      <w:r w:rsidR="00A46949" w:rsidRPr="00376D91">
        <w:rPr>
          <w:rFonts w:ascii="Arial" w:hAnsi="Arial" w:cs="Arial"/>
          <w:bCs/>
        </w:rPr>
        <w:t>from five business days</w:t>
      </w:r>
      <w:r w:rsidR="00A46949" w:rsidRPr="00E928AC">
        <w:rPr>
          <w:rFonts w:ascii="Arial" w:hAnsi="Arial" w:cs="Arial"/>
          <w:bCs/>
        </w:rPr>
        <w:t xml:space="preserve"> after a request is received from the person:</w:t>
      </w:r>
    </w:p>
    <w:p w14:paraId="1FF08535" w14:textId="64EF74DF" w:rsidR="00A46949" w:rsidRPr="00731C09" w:rsidRDefault="00A46949" w:rsidP="00A46949">
      <w:pPr>
        <w:pStyle w:val="ListParagraph"/>
        <w:numPr>
          <w:ilvl w:val="0"/>
          <w:numId w:val="5"/>
        </w:numPr>
        <w:spacing w:line="276" w:lineRule="auto"/>
        <w:rPr>
          <w:rFonts w:ascii="Arial" w:hAnsi="Arial" w:cs="Arial"/>
          <w:bCs/>
          <w:sz w:val="24"/>
        </w:rPr>
      </w:pPr>
      <w:r w:rsidRPr="00731C09">
        <w:rPr>
          <w:rFonts w:ascii="Arial" w:hAnsi="Arial" w:cs="Arial"/>
          <w:bCs/>
          <w:sz w:val="24"/>
        </w:rPr>
        <w:t>to stop getting the direct marketing</w:t>
      </w:r>
      <w:r w:rsidR="00731C09">
        <w:rPr>
          <w:rFonts w:ascii="Arial" w:hAnsi="Arial" w:cs="Arial"/>
          <w:bCs/>
          <w:sz w:val="24"/>
        </w:rPr>
        <w:t>; or</w:t>
      </w:r>
    </w:p>
    <w:p w14:paraId="5542C4B4" w14:textId="516376B6" w:rsidR="00A46949" w:rsidRDefault="00731C09" w:rsidP="00A46949">
      <w:pPr>
        <w:pStyle w:val="ListParagraph"/>
        <w:numPr>
          <w:ilvl w:val="0"/>
          <w:numId w:val="5"/>
        </w:numPr>
        <w:spacing w:line="276" w:lineRule="auto"/>
        <w:rPr>
          <w:rFonts w:ascii="Arial" w:hAnsi="Arial" w:cs="Arial"/>
          <w:bCs/>
          <w:sz w:val="24"/>
        </w:rPr>
      </w:pPr>
      <w:r w:rsidRPr="00731C09">
        <w:rPr>
          <w:rFonts w:ascii="Arial" w:hAnsi="Arial" w:cs="Arial"/>
          <w:bCs/>
          <w:sz w:val="24"/>
        </w:rPr>
        <w:t>to close their betting account.</w:t>
      </w:r>
    </w:p>
    <w:p w14:paraId="678759AD" w14:textId="4E883311" w:rsidR="000467AD" w:rsidRPr="000467AD" w:rsidRDefault="000467AD" w:rsidP="000467AD">
      <w:pPr>
        <w:spacing w:line="276" w:lineRule="auto"/>
        <w:rPr>
          <w:rFonts w:ascii="Arial" w:hAnsi="Arial" w:cs="Arial"/>
          <w:bCs/>
        </w:rPr>
      </w:pPr>
    </w:p>
    <w:p w14:paraId="09FA01BD" w14:textId="13208D00" w:rsidR="000467AD" w:rsidRPr="00731C09" w:rsidRDefault="008D0C09" w:rsidP="000467AD">
      <w:pPr>
        <w:spacing w:line="276" w:lineRule="auto"/>
        <w:rPr>
          <w:rFonts w:ascii="Arial" w:hAnsi="Arial" w:cs="Arial"/>
          <w:bCs/>
        </w:rPr>
      </w:pPr>
      <w:r>
        <w:rPr>
          <w:rFonts w:ascii="Arial" w:hAnsi="Arial" w:cs="Arial"/>
          <w:bCs/>
        </w:rPr>
        <w:t>New section 1.30C(</w:t>
      </w:r>
      <w:r w:rsidR="00F01642" w:rsidRPr="00731C09">
        <w:rPr>
          <w:rFonts w:ascii="Arial" w:hAnsi="Arial" w:cs="Arial"/>
          <w:bCs/>
        </w:rPr>
        <w:t>4) provides a definition of the term ‘direct marketing</w:t>
      </w:r>
      <w:r w:rsidR="000D5402">
        <w:rPr>
          <w:rFonts w:ascii="Arial" w:hAnsi="Arial" w:cs="Arial"/>
          <w:bCs/>
        </w:rPr>
        <w:t>,</w:t>
      </w:r>
      <w:r w:rsidR="00F01642" w:rsidRPr="00731C09">
        <w:rPr>
          <w:rFonts w:ascii="Arial" w:hAnsi="Arial" w:cs="Arial"/>
          <w:bCs/>
        </w:rPr>
        <w:t>’</w:t>
      </w:r>
      <w:r w:rsidR="000D5402">
        <w:rPr>
          <w:rFonts w:ascii="Arial" w:hAnsi="Arial" w:cs="Arial"/>
          <w:bCs/>
        </w:rPr>
        <w:t xml:space="preserve"> </w:t>
      </w:r>
      <w:r w:rsidR="00F01642" w:rsidRPr="00731C09">
        <w:rPr>
          <w:rFonts w:ascii="Arial" w:hAnsi="Arial" w:cs="Arial"/>
          <w:bCs/>
        </w:rPr>
        <w:t>meanin</w:t>
      </w:r>
      <w:r w:rsidR="00731C09" w:rsidRPr="00731C09">
        <w:rPr>
          <w:rFonts w:ascii="Arial" w:hAnsi="Arial" w:cs="Arial"/>
          <w:bCs/>
        </w:rPr>
        <w:t>g any advertising, promotion or offer from a licensee, or from a person on the licensee’s behalf, that is made directly to a person by telephone, SMS, email, internet application, post or other direct means.</w:t>
      </w:r>
    </w:p>
    <w:p w14:paraId="0743CAB8" w14:textId="77777777" w:rsidR="00731C09" w:rsidRPr="000467AD" w:rsidRDefault="00731C09" w:rsidP="000467AD">
      <w:pPr>
        <w:spacing w:line="276" w:lineRule="auto"/>
        <w:rPr>
          <w:rFonts w:ascii="Arial" w:hAnsi="Arial" w:cs="Arial"/>
          <w:bCs/>
        </w:rPr>
      </w:pPr>
    </w:p>
    <w:p w14:paraId="36D987E8" w14:textId="37853288" w:rsidR="000467AD" w:rsidRPr="00E03849" w:rsidRDefault="000467AD" w:rsidP="000467AD">
      <w:pPr>
        <w:spacing w:line="276" w:lineRule="auto"/>
        <w:rPr>
          <w:rFonts w:ascii="Arial" w:hAnsi="Arial" w:cs="Arial"/>
          <w:bCs/>
          <w:i/>
        </w:rPr>
      </w:pPr>
      <w:r>
        <w:rPr>
          <w:rFonts w:ascii="Arial" w:hAnsi="Arial" w:cs="Arial"/>
          <w:bCs/>
          <w:i/>
        </w:rPr>
        <w:t>New section 1.30D</w:t>
      </w:r>
    </w:p>
    <w:p w14:paraId="34328CCD" w14:textId="6964D153" w:rsidR="000467AD" w:rsidRDefault="00F01642" w:rsidP="0023075D">
      <w:pPr>
        <w:rPr>
          <w:rFonts w:ascii="Arial" w:hAnsi="Arial" w:cs="Arial"/>
        </w:rPr>
      </w:pPr>
      <w:r>
        <w:rPr>
          <w:rFonts w:ascii="Arial" w:hAnsi="Arial" w:cs="Arial"/>
        </w:rPr>
        <w:t>New section 1.30D</w:t>
      </w:r>
      <w:r w:rsidR="00731C09">
        <w:rPr>
          <w:rFonts w:ascii="Arial" w:hAnsi="Arial" w:cs="Arial"/>
        </w:rPr>
        <w:t>(1)</w:t>
      </w:r>
      <w:r>
        <w:rPr>
          <w:rFonts w:ascii="Arial" w:hAnsi="Arial" w:cs="Arial"/>
        </w:rPr>
        <w:t xml:space="preserve"> provides that the Minister may make guidelines about the direct marketing by a totalisator or sports bookmaking licensee.</w:t>
      </w:r>
    </w:p>
    <w:p w14:paraId="204C34DB" w14:textId="26946B6F" w:rsidR="000467AD" w:rsidRDefault="000467AD" w:rsidP="0023075D">
      <w:pPr>
        <w:rPr>
          <w:rFonts w:ascii="Arial" w:hAnsi="Arial" w:cs="Arial"/>
        </w:rPr>
      </w:pPr>
    </w:p>
    <w:p w14:paraId="3B2FD230" w14:textId="0DC1B57F" w:rsidR="00731C09" w:rsidRPr="00731C09" w:rsidRDefault="00731C09" w:rsidP="00731C09">
      <w:pPr>
        <w:rPr>
          <w:rFonts w:ascii="Arial" w:hAnsi="Arial" w:cs="Arial"/>
        </w:rPr>
      </w:pPr>
      <w:r>
        <w:rPr>
          <w:rFonts w:ascii="Arial" w:hAnsi="Arial" w:cs="Arial"/>
        </w:rPr>
        <w:t xml:space="preserve">Under </w:t>
      </w:r>
      <w:r w:rsidR="008D0C09">
        <w:rPr>
          <w:rFonts w:ascii="Arial" w:hAnsi="Arial" w:cs="Arial"/>
        </w:rPr>
        <w:t>new section 1.30D</w:t>
      </w:r>
      <w:r>
        <w:rPr>
          <w:rFonts w:ascii="Arial" w:hAnsi="Arial" w:cs="Arial"/>
        </w:rPr>
        <w:t>(2), a guideline is a notifiable instrument,</w:t>
      </w:r>
      <w:r>
        <w:rPr>
          <w:rFonts w:ascii="Arial" w:hAnsi="Arial" w:cs="Arial"/>
          <w:bCs/>
        </w:rPr>
        <w:t xml:space="preserve"> which must be notified under the </w:t>
      </w:r>
      <w:r w:rsidRPr="00CB7829">
        <w:rPr>
          <w:rFonts w:ascii="Arial" w:hAnsi="Arial" w:cs="Arial"/>
          <w:bCs/>
          <w:i/>
        </w:rPr>
        <w:t>Legislation Act 2001</w:t>
      </w:r>
      <w:r>
        <w:rPr>
          <w:rFonts w:ascii="Arial" w:hAnsi="Arial" w:cs="Arial"/>
          <w:bCs/>
        </w:rPr>
        <w:t>.</w:t>
      </w:r>
    </w:p>
    <w:p w14:paraId="01C84E4C" w14:textId="7C7060A5" w:rsidR="0023075D" w:rsidRDefault="0023075D" w:rsidP="0023075D">
      <w:pPr>
        <w:rPr>
          <w:rFonts w:ascii="Arial" w:hAnsi="Arial" w:cs="Arial"/>
        </w:rPr>
      </w:pPr>
    </w:p>
    <w:p w14:paraId="4CE45A7F" w14:textId="6F08D6D4" w:rsidR="0023075D" w:rsidRPr="00C5081A" w:rsidRDefault="0023075D" w:rsidP="0023075D">
      <w:pPr>
        <w:rPr>
          <w:rFonts w:ascii="Arial" w:hAnsi="Arial" w:cs="Arial"/>
          <w:b/>
        </w:rPr>
      </w:pPr>
      <w:r w:rsidRPr="00C5081A">
        <w:rPr>
          <w:rFonts w:ascii="Arial" w:hAnsi="Arial" w:cs="Arial"/>
          <w:b/>
        </w:rPr>
        <w:t xml:space="preserve">Clause </w:t>
      </w:r>
      <w:r>
        <w:rPr>
          <w:rFonts w:ascii="Arial" w:hAnsi="Arial" w:cs="Arial"/>
          <w:b/>
        </w:rPr>
        <w:t>10</w:t>
      </w:r>
      <w:r w:rsidRPr="00C5081A">
        <w:rPr>
          <w:rFonts w:ascii="Arial" w:hAnsi="Arial" w:cs="Arial"/>
          <w:b/>
        </w:rPr>
        <w:t xml:space="preserve"> – </w:t>
      </w:r>
      <w:r>
        <w:rPr>
          <w:rFonts w:ascii="Arial" w:hAnsi="Arial" w:cs="Arial"/>
          <w:b/>
        </w:rPr>
        <w:t>Schedule 1, section 1.31 (1)</w:t>
      </w:r>
    </w:p>
    <w:p w14:paraId="44292D2A" w14:textId="66368828" w:rsidR="00F01642" w:rsidRDefault="00F01642" w:rsidP="00F01642">
      <w:pPr>
        <w:rPr>
          <w:rFonts w:ascii="Arial" w:hAnsi="Arial" w:cs="Arial"/>
        </w:rPr>
      </w:pPr>
      <w:r>
        <w:rPr>
          <w:rFonts w:ascii="Arial" w:hAnsi="Arial" w:cs="Arial"/>
          <w:bCs/>
        </w:rPr>
        <w:t>Clause 10 is consequential to the insertion of new sections 1.30C and 1.30D by clause 9 above.</w:t>
      </w:r>
    </w:p>
    <w:p w14:paraId="551258DF" w14:textId="77777777" w:rsidR="00F01642" w:rsidRDefault="00F01642" w:rsidP="00F01642">
      <w:pPr>
        <w:rPr>
          <w:rFonts w:ascii="Arial" w:hAnsi="Arial" w:cs="Arial"/>
        </w:rPr>
      </w:pPr>
    </w:p>
    <w:p w14:paraId="3422F8BD" w14:textId="42716473" w:rsidR="00F01642" w:rsidRPr="00354413" w:rsidRDefault="00F01642" w:rsidP="00F01642">
      <w:pPr>
        <w:rPr>
          <w:rFonts w:ascii="Arial" w:hAnsi="Arial" w:cs="Arial"/>
          <w:bCs/>
        </w:rPr>
      </w:pPr>
      <w:r>
        <w:rPr>
          <w:rFonts w:ascii="Arial" w:hAnsi="Arial" w:cs="Arial"/>
        </w:rPr>
        <w:t xml:space="preserve">Section 1.31 of the Regulation already provides that the </w:t>
      </w:r>
      <w:r>
        <w:rPr>
          <w:rFonts w:ascii="Arial" w:hAnsi="Arial" w:cs="Arial"/>
          <w:bCs/>
        </w:rPr>
        <w:t xml:space="preserve">ACT Gambling and Racing Commission may give a written direction to a licensee to ensure compliance with a </w:t>
      </w:r>
      <w:r w:rsidRPr="00354413">
        <w:rPr>
          <w:rFonts w:ascii="Arial" w:hAnsi="Arial" w:cs="Arial"/>
          <w:bCs/>
        </w:rPr>
        <w:t>number of listed sections</w:t>
      </w:r>
      <w:r w:rsidR="00354413" w:rsidRPr="00354413">
        <w:rPr>
          <w:rFonts w:ascii="Arial" w:hAnsi="Arial" w:cs="Arial"/>
          <w:bCs/>
        </w:rPr>
        <w:t xml:space="preserve"> about advertising, promotions and inducements.</w:t>
      </w:r>
    </w:p>
    <w:p w14:paraId="58817CB6" w14:textId="77777777" w:rsidR="00F01642" w:rsidRDefault="00F01642" w:rsidP="00F01642">
      <w:pPr>
        <w:rPr>
          <w:rFonts w:ascii="Arial" w:hAnsi="Arial" w:cs="Arial"/>
          <w:bCs/>
        </w:rPr>
      </w:pPr>
    </w:p>
    <w:p w14:paraId="4BAA86FC" w14:textId="60967F17" w:rsidR="00F01642" w:rsidRDefault="00F01642" w:rsidP="00F01642">
      <w:pPr>
        <w:rPr>
          <w:rFonts w:ascii="Arial" w:hAnsi="Arial" w:cs="Arial"/>
          <w:bCs/>
        </w:rPr>
      </w:pPr>
      <w:r>
        <w:rPr>
          <w:rFonts w:ascii="Arial" w:hAnsi="Arial" w:cs="Arial"/>
          <w:bCs/>
        </w:rPr>
        <w:t xml:space="preserve">All </w:t>
      </w:r>
      <w:r w:rsidRPr="00354413">
        <w:rPr>
          <w:rFonts w:ascii="Arial" w:hAnsi="Arial" w:cs="Arial"/>
          <w:bCs/>
        </w:rPr>
        <w:t xml:space="preserve">the sections in part </w:t>
      </w:r>
      <w:r w:rsidR="00354413" w:rsidRPr="00354413">
        <w:rPr>
          <w:rFonts w:ascii="Arial" w:hAnsi="Arial" w:cs="Arial"/>
          <w:bCs/>
        </w:rPr>
        <w:t>1.4</w:t>
      </w:r>
      <w:r w:rsidRPr="00354413">
        <w:rPr>
          <w:rFonts w:ascii="Arial" w:hAnsi="Arial" w:cs="Arial"/>
          <w:bCs/>
        </w:rPr>
        <w:t xml:space="preserve"> have been</w:t>
      </w:r>
      <w:r>
        <w:rPr>
          <w:rFonts w:ascii="Arial" w:hAnsi="Arial" w:cs="Arial"/>
          <w:bCs/>
        </w:rPr>
        <w:t xml:space="preserve"> listed in </w:t>
      </w:r>
      <w:r w:rsidR="008D0C09">
        <w:rPr>
          <w:rFonts w:ascii="Arial" w:hAnsi="Arial" w:cs="Arial"/>
          <w:bCs/>
        </w:rPr>
        <w:t xml:space="preserve">existing </w:t>
      </w:r>
      <w:r>
        <w:rPr>
          <w:rFonts w:ascii="Arial" w:hAnsi="Arial" w:cs="Arial"/>
          <w:bCs/>
        </w:rPr>
        <w:t>subsection (1)</w:t>
      </w:r>
      <w:r w:rsidR="00731C09">
        <w:rPr>
          <w:rFonts w:ascii="Arial" w:hAnsi="Arial" w:cs="Arial"/>
          <w:bCs/>
        </w:rPr>
        <w:t>. This means that,</w:t>
      </w:r>
      <w:r>
        <w:rPr>
          <w:rFonts w:ascii="Arial" w:hAnsi="Arial" w:cs="Arial"/>
          <w:bCs/>
        </w:rPr>
        <w:t xml:space="preserve"> in practice, the Commission may give a written direction to ensure compliance with </w:t>
      </w:r>
      <w:r w:rsidR="00354413">
        <w:rPr>
          <w:rFonts w:ascii="Arial" w:hAnsi="Arial" w:cs="Arial"/>
          <w:bCs/>
        </w:rPr>
        <w:t>that</w:t>
      </w:r>
      <w:r>
        <w:rPr>
          <w:rFonts w:ascii="Arial" w:hAnsi="Arial" w:cs="Arial"/>
          <w:bCs/>
        </w:rPr>
        <w:t xml:space="preserve"> part.</w:t>
      </w:r>
    </w:p>
    <w:p w14:paraId="4BC2051D" w14:textId="77777777" w:rsidR="00F01642" w:rsidRDefault="00F01642" w:rsidP="0023075D">
      <w:pPr>
        <w:rPr>
          <w:rFonts w:ascii="Arial" w:hAnsi="Arial" w:cs="Arial"/>
        </w:rPr>
      </w:pPr>
    </w:p>
    <w:p w14:paraId="7E388C22" w14:textId="20A2DBA7" w:rsidR="0023075D" w:rsidRDefault="00F01642" w:rsidP="0023075D">
      <w:pPr>
        <w:rPr>
          <w:rFonts w:ascii="Arial" w:hAnsi="Arial" w:cs="Arial"/>
        </w:rPr>
      </w:pPr>
      <w:r>
        <w:rPr>
          <w:rFonts w:ascii="Arial" w:hAnsi="Arial" w:cs="Arial"/>
        </w:rPr>
        <w:t xml:space="preserve">Clause 10 repeals and replaces </w:t>
      </w:r>
      <w:r w:rsidR="008D0C09">
        <w:rPr>
          <w:rFonts w:ascii="Arial" w:hAnsi="Arial" w:cs="Arial"/>
        </w:rPr>
        <w:t>section 1.31</w:t>
      </w:r>
      <w:r>
        <w:rPr>
          <w:rFonts w:ascii="Arial" w:hAnsi="Arial" w:cs="Arial"/>
        </w:rPr>
        <w:t xml:space="preserve">(1) to provide that the Minister may give a written direction to ensure compliance with </w:t>
      </w:r>
      <w:r w:rsidR="008D0C09">
        <w:rPr>
          <w:rFonts w:ascii="Arial" w:hAnsi="Arial" w:cs="Arial"/>
        </w:rPr>
        <w:t>that part (part 1.4 of the Code of Practice).</w:t>
      </w:r>
    </w:p>
    <w:p w14:paraId="78B68470" w14:textId="0D03C283" w:rsidR="0023075D" w:rsidRDefault="0023075D" w:rsidP="0023075D">
      <w:pPr>
        <w:rPr>
          <w:rFonts w:ascii="Arial" w:hAnsi="Arial" w:cs="Arial"/>
        </w:rPr>
      </w:pPr>
    </w:p>
    <w:p w14:paraId="00FAF56F" w14:textId="0EBE0221" w:rsidR="0023075D" w:rsidRPr="00C5081A" w:rsidRDefault="0023075D" w:rsidP="0023075D">
      <w:pPr>
        <w:rPr>
          <w:rFonts w:ascii="Arial" w:hAnsi="Arial" w:cs="Arial"/>
          <w:b/>
        </w:rPr>
      </w:pPr>
      <w:r w:rsidRPr="00C5081A">
        <w:rPr>
          <w:rFonts w:ascii="Arial" w:hAnsi="Arial" w:cs="Arial"/>
          <w:b/>
        </w:rPr>
        <w:t xml:space="preserve">Clause </w:t>
      </w:r>
      <w:r>
        <w:rPr>
          <w:rFonts w:ascii="Arial" w:hAnsi="Arial" w:cs="Arial"/>
          <w:b/>
        </w:rPr>
        <w:t>11</w:t>
      </w:r>
      <w:r w:rsidRPr="00C5081A">
        <w:rPr>
          <w:rFonts w:ascii="Arial" w:hAnsi="Arial" w:cs="Arial"/>
          <w:b/>
        </w:rPr>
        <w:t xml:space="preserve"> – </w:t>
      </w:r>
      <w:r>
        <w:rPr>
          <w:rFonts w:ascii="Arial" w:hAnsi="Arial" w:cs="Arial"/>
          <w:b/>
        </w:rPr>
        <w:t>Schedule 1, new part 1.10</w:t>
      </w:r>
    </w:p>
    <w:p w14:paraId="5E64AE47" w14:textId="6C6F8B32" w:rsidR="0023075D" w:rsidRDefault="0023075D" w:rsidP="0023075D">
      <w:pPr>
        <w:rPr>
          <w:rFonts w:ascii="Arial" w:hAnsi="Arial" w:cs="Arial"/>
        </w:rPr>
      </w:pPr>
      <w:r>
        <w:rPr>
          <w:rFonts w:ascii="Arial" w:hAnsi="Arial" w:cs="Arial"/>
        </w:rPr>
        <w:t xml:space="preserve">Clause 11 inserts new part </w:t>
      </w:r>
      <w:r w:rsidR="00F01642">
        <w:rPr>
          <w:rFonts w:ascii="Arial" w:hAnsi="Arial" w:cs="Arial"/>
        </w:rPr>
        <w:t xml:space="preserve">1.10 </w:t>
      </w:r>
      <w:r>
        <w:rPr>
          <w:rFonts w:ascii="Arial" w:hAnsi="Arial" w:cs="Arial"/>
        </w:rPr>
        <w:t>into the Regulation</w:t>
      </w:r>
      <w:r w:rsidR="00F01642">
        <w:rPr>
          <w:rFonts w:ascii="Arial" w:hAnsi="Arial" w:cs="Arial"/>
        </w:rPr>
        <w:t xml:space="preserve"> – ‘Transitional-Gambling and Racing Control (Code of Practice) Amendment Regulation 2019 (No 1)’.</w:t>
      </w:r>
    </w:p>
    <w:p w14:paraId="0E3BE1DF" w14:textId="2A54E049" w:rsidR="00F01642" w:rsidRDefault="00F01642" w:rsidP="0023075D">
      <w:pPr>
        <w:rPr>
          <w:rFonts w:ascii="Arial" w:hAnsi="Arial" w:cs="Arial"/>
        </w:rPr>
      </w:pPr>
    </w:p>
    <w:p w14:paraId="152D13CF" w14:textId="7957EEC5" w:rsidR="00F01642" w:rsidRDefault="00F01642" w:rsidP="0023075D">
      <w:pPr>
        <w:rPr>
          <w:rFonts w:ascii="Arial" w:hAnsi="Arial" w:cs="Arial"/>
        </w:rPr>
      </w:pPr>
      <w:r>
        <w:rPr>
          <w:rFonts w:ascii="Arial" w:hAnsi="Arial" w:cs="Arial"/>
        </w:rPr>
        <w:t>Part 1.10 consists of new sections 1.100 and 1.101.</w:t>
      </w:r>
    </w:p>
    <w:p w14:paraId="3D6FFB8C" w14:textId="0C11F22B" w:rsidR="00F01642" w:rsidRDefault="00F01642" w:rsidP="0023075D">
      <w:pPr>
        <w:rPr>
          <w:rFonts w:ascii="Arial" w:hAnsi="Arial" w:cs="Arial"/>
        </w:rPr>
      </w:pPr>
    </w:p>
    <w:p w14:paraId="278419F7" w14:textId="0D621713" w:rsidR="00F01642" w:rsidRPr="00F01642" w:rsidRDefault="00F01642" w:rsidP="0023075D">
      <w:pPr>
        <w:rPr>
          <w:rFonts w:ascii="Arial" w:hAnsi="Arial" w:cs="Arial"/>
          <w:i/>
        </w:rPr>
      </w:pPr>
      <w:r w:rsidRPr="00F01642">
        <w:rPr>
          <w:rFonts w:ascii="Arial" w:hAnsi="Arial" w:cs="Arial"/>
          <w:i/>
        </w:rPr>
        <w:t>New section 1.100</w:t>
      </w:r>
    </w:p>
    <w:p w14:paraId="071BD95F" w14:textId="26FC0BBA" w:rsidR="00F01642" w:rsidRDefault="00F5068E" w:rsidP="0023075D">
      <w:pPr>
        <w:rPr>
          <w:rFonts w:ascii="Arial" w:hAnsi="Arial" w:cs="Arial"/>
        </w:rPr>
      </w:pPr>
      <w:r>
        <w:rPr>
          <w:rFonts w:ascii="Arial" w:hAnsi="Arial" w:cs="Arial"/>
        </w:rPr>
        <w:t>New section 1.100 provides a transitional provision in relation to the setting of deposit limits by existing account holders of totalisator and sports bookmaking licensees.</w:t>
      </w:r>
    </w:p>
    <w:p w14:paraId="2E5AA049" w14:textId="65C3CF75" w:rsidR="00F5068E" w:rsidRDefault="00F5068E" w:rsidP="0023075D">
      <w:pPr>
        <w:rPr>
          <w:rFonts w:ascii="Arial" w:hAnsi="Arial" w:cs="Arial"/>
        </w:rPr>
      </w:pPr>
    </w:p>
    <w:p w14:paraId="23FAAB86" w14:textId="62CE0760" w:rsidR="00F5068E" w:rsidRDefault="00F5068E" w:rsidP="0023075D">
      <w:pPr>
        <w:rPr>
          <w:rFonts w:ascii="Arial" w:hAnsi="Arial" w:cs="Arial"/>
        </w:rPr>
      </w:pPr>
      <w:r>
        <w:rPr>
          <w:rFonts w:ascii="Arial" w:hAnsi="Arial" w:cs="Arial"/>
        </w:rPr>
        <w:t xml:space="preserve">Within six months of the </w:t>
      </w:r>
      <w:r w:rsidRPr="00E928AC">
        <w:rPr>
          <w:rFonts w:ascii="Arial" w:hAnsi="Arial" w:cs="Arial"/>
        </w:rPr>
        <w:t xml:space="preserve">commencement day (i.e. </w:t>
      </w:r>
      <w:r w:rsidRPr="00376D91">
        <w:rPr>
          <w:rFonts w:ascii="Arial" w:hAnsi="Arial" w:cs="Arial"/>
        </w:rPr>
        <w:t>b</w:t>
      </w:r>
      <w:r w:rsidR="00731C09" w:rsidRPr="00376D91">
        <w:rPr>
          <w:rFonts w:ascii="Arial" w:hAnsi="Arial" w:cs="Arial"/>
        </w:rPr>
        <w:t>efore 26</w:t>
      </w:r>
      <w:r w:rsidRPr="00E928AC">
        <w:rPr>
          <w:rFonts w:ascii="Arial" w:hAnsi="Arial" w:cs="Arial"/>
        </w:rPr>
        <w:t xml:space="preserve"> November 2019), the licensee must tell all existing account holders that they can set a deposit </w:t>
      </w:r>
      <w:r w:rsidRPr="00E928AC">
        <w:rPr>
          <w:rFonts w:ascii="Arial" w:hAnsi="Arial" w:cs="Arial"/>
        </w:rPr>
        <w:lastRenderedPageBreak/>
        <w:t xml:space="preserve">limit for their betting </w:t>
      </w:r>
      <w:r w:rsidRPr="00376D91">
        <w:rPr>
          <w:rFonts w:ascii="Arial" w:hAnsi="Arial" w:cs="Arial"/>
        </w:rPr>
        <w:t>account</w:t>
      </w:r>
      <w:r w:rsidRPr="00E928AC">
        <w:rPr>
          <w:rFonts w:ascii="Arial" w:hAnsi="Arial" w:cs="Arial"/>
        </w:rPr>
        <w:t xml:space="preserve"> and ask the existing account holders whether they want to </w:t>
      </w:r>
      <w:r w:rsidRPr="00376D91">
        <w:rPr>
          <w:rFonts w:ascii="Arial" w:hAnsi="Arial" w:cs="Arial"/>
        </w:rPr>
        <w:t>set a limit</w:t>
      </w:r>
      <w:r w:rsidRPr="00E928AC">
        <w:rPr>
          <w:rFonts w:ascii="Arial" w:hAnsi="Arial" w:cs="Arial"/>
        </w:rPr>
        <w:t>.</w:t>
      </w:r>
    </w:p>
    <w:p w14:paraId="3EF5F708" w14:textId="4D1D54AF" w:rsidR="00F5068E" w:rsidRDefault="00F5068E" w:rsidP="0023075D">
      <w:pPr>
        <w:rPr>
          <w:rFonts w:ascii="Arial" w:hAnsi="Arial" w:cs="Arial"/>
        </w:rPr>
      </w:pPr>
    </w:p>
    <w:p w14:paraId="79468A5F" w14:textId="081C0D61" w:rsidR="00F5068E" w:rsidRDefault="00F5068E" w:rsidP="0023075D">
      <w:pPr>
        <w:rPr>
          <w:rFonts w:ascii="Arial" w:hAnsi="Arial" w:cs="Arial"/>
        </w:rPr>
      </w:pPr>
      <w:r>
        <w:rPr>
          <w:rFonts w:ascii="Arial" w:hAnsi="Arial" w:cs="Arial"/>
        </w:rPr>
        <w:t>Under the transitional provision, the initial 12-month review period for an existing account holder starts on the day the licensee asks the account holder, under this provision, whether they want to set a deposit limit.</w:t>
      </w:r>
    </w:p>
    <w:p w14:paraId="3739E801" w14:textId="438636D2" w:rsidR="00F5068E" w:rsidRDefault="00F5068E" w:rsidP="0023075D">
      <w:pPr>
        <w:rPr>
          <w:rFonts w:ascii="Arial" w:hAnsi="Arial" w:cs="Arial"/>
        </w:rPr>
      </w:pPr>
    </w:p>
    <w:p w14:paraId="7D7F7B7A" w14:textId="66DDC969" w:rsidR="00F01642" w:rsidRPr="00E928AC" w:rsidRDefault="00731C09" w:rsidP="0023075D">
      <w:pPr>
        <w:rPr>
          <w:rFonts w:ascii="Arial" w:hAnsi="Arial" w:cs="Arial"/>
        </w:rPr>
      </w:pPr>
      <w:r w:rsidRPr="00376D91">
        <w:rPr>
          <w:rFonts w:ascii="Arial" w:hAnsi="Arial" w:cs="Arial"/>
        </w:rPr>
        <w:t>An</w:t>
      </w:r>
      <w:r w:rsidR="00F5068E" w:rsidRPr="00376D91">
        <w:rPr>
          <w:rFonts w:ascii="Arial" w:hAnsi="Arial" w:cs="Arial"/>
        </w:rPr>
        <w:t xml:space="preserve"> example</w:t>
      </w:r>
      <w:r w:rsidRPr="00376D91">
        <w:rPr>
          <w:rFonts w:ascii="Arial" w:hAnsi="Arial" w:cs="Arial"/>
        </w:rPr>
        <w:t xml:space="preserve"> of how this provision is intended to operate is as follows.</w:t>
      </w:r>
      <w:r w:rsidR="00F5068E" w:rsidRPr="00376D91">
        <w:rPr>
          <w:rFonts w:ascii="Arial" w:hAnsi="Arial" w:cs="Arial"/>
        </w:rPr>
        <w:t xml:space="preserve"> Anna is an existing </w:t>
      </w:r>
      <w:r w:rsidRPr="00376D91">
        <w:rPr>
          <w:rFonts w:ascii="Arial" w:hAnsi="Arial" w:cs="Arial"/>
        </w:rPr>
        <w:t xml:space="preserve">betting </w:t>
      </w:r>
      <w:r w:rsidR="00F5068E" w:rsidRPr="00376D91">
        <w:rPr>
          <w:rFonts w:ascii="Arial" w:hAnsi="Arial" w:cs="Arial"/>
        </w:rPr>
        <w:t xml:space="preserve">account holder and is asked on 20 July 2019 if she </w:t>
      </w:r>
      <w:r w:rsidR="00E928AC" w:rsidRPr="00376D91">
        <w:rPr>
          <w:rFonts w:ascii="Arial" w:hAnsi="Arial" w:cs="Arial"/>
        </w:rPr>
        <w:t xml:space="preserve">wishes to </w:t>
      </w:r>
      <w:r w:rsidR="00F5068E" w:rsidRPr="00376D91">
        <w:rPr>
          <w:rFonts w:ascii="Arial" w:hAnsi="Arial" w:cs="Arial"/>
        </w:rPr>
        <w:t xml:space="preserve">set a deposit limit on her account. Assuming Anna has used </w:t>
      </w:r>
      <w:r w:rsidRPr="00376D91">
        <w:rPr>
          <w:rFonts w:ascii="Arial" w:hAnsi="Arial" w:cs="Arial"/>
        </w:rPr>
        <w:t>her</w:t>
      </w:r>
      <w:r w:rsidR="00F5068E" w:rsidRPr="00376D91">
        <w:rPr>
          <w:rFonts w:ascii="Arial" w:hAnsi="Arial" w:cs="Arial"/>
        </w:rPr>
        <w:t xml:space="preserve"> account in the past 12 months to make or settle a bet, the licensee must ask Anna again whether she would like to set a deposit limit no later than 19 July 2020, and </w:t>
      </w:r>
      <w:r w:rsidRPr="00376D91">
        <w:rPr>
          <w:rFonts w:ascii="Arial" w:hAnsi="Arial" w:cs="Arial"/>
        </w:rPr>
        <w:t xml:space="preserve">no later than </w:t>
      </w:r>
      <w:r w:rsidR="00F5068E" w:rsidRPr="00376D91">
        <w:rPr>
          <w:rFonts w:ascii="Arial" w:hAnsi="Arial" w:cs="Arial"/>
        </w:rPr>
        <w:t>every 12 months after that.</w:t>
      </w:r>
    </w:p>
    <w:p w14:paraId="0556E9F7" w14:textId="725A662B" w:rsidR="00F01642" w:rsidRPr="00E928AC" w:rsidRDefault="00F01642" w:rsidP="0023075D">
      <w:pPr>
        <w:rPr>
          <w:rFonts w:ascii="Arial" w:hAnsi="Arial" w:cs="Arial"/>
        </w:rPr>
      </w:pPr>
    </w:p>
    <w:p w14:paraId="110E7DBB" w14:textId="356E9DC5" w:rsidR="00F01642" w:rsidRPr="00E928AC" w:rsidRDefault="00F01642" w:rsidP="0023075D">
      <w:pPr>
        <w:rPr>
          <w:rFonts w:ascii="Arial" w:hAnsi="Arial" w:cs="Arial"/>
          <w:i/>
        </w:rPr>
      </w:pPr>
      <w:r w:rsidRPr="00E928AC">
        <w:rPr>
          <w:rFonts w:ascii="Arial" w:hAnsi="Arial" w:cs="Arial"/>
          <w:i/>
        </w:rPr>
        <w:t>New section 1.101</w:t>
      </w:r>
    </w:p>
    <w:p w14:paraId="373BEBCB" w14:textId="3EE952D7" w:rsidR="0023075D" w:rsidRDefault="00F01642" w:rsidP="0023075D">
      <w:pPr>
        <w:rPr>
          <w:rFonts w:ascii="Arial" w:hAnsi="Arial" w:cs="Arial"/>
        </w:rPr>
      </w:pPr>
      <w:r w:rsidRPr="00E928AC">
        <w:rPr>
          <w:rFonts w:ascii="Arial" w:hAnsi="Arial" w:cs="Arial"/>
        </w:rPr>
        <w:t>Under new section 1.101, the transitional provision expires on 26 May 2021,</w:t>
      </w:r>
      <w:r>
        <w:rPr>
          <w:rFonts w:ascii="Arial" w:hAnsi="Arial" w:cs="Arial"/>
        </w:rPr>
        <w:t xml:space="preserve"> two years after the commencement of the Amendment Regulation. </w:t>
      </w:r>
    </w:p>
    <w:p w14:paraId="1FF0B347" w14:textId="77777777" w:rsidR="00E67BA3" w:rsidRDefault="00E67BA3" w:rsidP="0023075D">
      <w:pPr>
        <w:rPr>
          <w:rFonts w:ascii="Arial" w:hAnsi="Arial" w:cs="Arial"/>
        </w:rPr>
        <w:sectPr w:rsidR="00E67BA3" w:rsidSect="00BA723A">
          <w:headerReference w:type="even" r:id="rId9"/>
          <w:headerReference w:type="default" r:id="rId10"/>
          <w:footerReference w:type="even" r:id="rId11"/>
          <w:footerReference w:type="default" r:id="rId12"/>
          <w:headerReference w:type="first" r:id="rId13"/>
          <w:footerReference w:type="first" r:id="rId14"/>
          <w:pgSz w:w="11906" w:h="16838"/>
          <w:pgMar w:top="1440" w:right="1558" w:bottom="1440" w:left="1843" w:header="708" w:footer="708" w:gutter="0"/>
          <w:cols w:space="708"/>
          <w:docGrid w:linePitch="360"/>
        </w:sectPr>
      </w:pPr>
    </w:p>
    <w:p w14:paraId="6449DEF3" w14:textId="0BFBB70C" w:rsidR="0023075D" w:rsidRDefault="00E67BA3" w:rsidP="0023075D">
      <w:pPr>
        <w:rPr>
          <w:rFonts w:ascii="Arial" w:hAnsi="Arial" w:cs="Arial"/>
        </w:rPr>
      </w:pPr>
      <w:r>
        <w:rPr>
          <w:noProof/>
        </w:rPr>
        <w:lastRenderedPageBreak/>
        <w:drawing>
          <wp:inline distT="0" distB="0" distL="0" distR="0" wp14:anchorId="4E3D2C61" wp14:editId="2B3D6D9A">
            <wp:extent cx="5400675" cy="772858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8353" cy="7739571"/>
                    </a:xfrm>
                    <a:prstGeom prst="rect">
                      <a:avLst/>
                    </a:prstGeom>
                  </pic:spPr>
                </pic:pic>
              </a:graphicData>
            </a:graphic>
          </wp:inline>
        </w:drawing>
      </w:r>
    </w:p>
    <w:p w14:paraId="52A9ED7F" w14:textId="6EA27493" w:rsidR="00E67BA3" w:rsidRDefault="00E67BA3" w:rsidP="0023075D">
      <w:pPr>
        <w:rPr>
          <w:rFonts w:ascii="Arial" w:hAnsi="Arial" w:cs="Arial"/>
        </w:rPr>
      </w:pPr>
      <w:r>
        <w:rPr>
          <w:noProof/>
        </w:rPr>
        <w:lastRenderedPageBreak/>
        <w:drawing>
          <wp:inline distT="0" distB="0" distL="0" distR="0" wp14:anchorId="44D06B84" wp14:editId="088E6560">
            <wp:extent cx="5400675" cy="76987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7698740"/>
                    </a:xfrm>
                    <a:prstGeom prst="rect">
                      <a:avLst/>
                    </a:prstGeom>
                  </pic:spPr>
                </pic:pic>
              </a:graphicData>
            </a:graphic>
          </wp:inline>
        </w:drawing>
      </w:r>
    </w:p>
    <w:p w14:paraId="695F1E1E" w14:textId="6D48BFEC" w:rsidR="00E67BA3" w:rsidRDefault="00E67BA3" w:rsidP="0023075D">
      <w:pPr>
        <w:rPr>
          <w:rFonts w:ascii="Arial" w:hAnsi="Arial" w:cs="Arial"/>
        </w:rPr>
      </w:pPr>
      <w:r>
        <w:rPr>
          <w:rFonts w:ascii="Arial" w:hAnsi="Arial" w:cs="Arial"/>
        </w:rPr>
        <w:br w:type="page"/>
      </w:r>
    </w:p>
    <w:p w14:paraId="1AF7AAC3" w14:textId="606E3961" w:rsidR="00E67BA3" w:rsidRDefault="00E67BA3" w:rsidP="0023075D">
      <w:pPr>
        <w:rPr>
          <w:rFonts w:ascii="Arial" w:hAnsi="Arial" w:cs="Arial"/>
        </w:rPr>
      </w:pPr>
      <w:r>
        <w:rPr>
          <w:noProof/>
        </w:rPr>
        <w:lastRenderedPageBreak/>
        <w:drawing>
          <wp:inline distT="0" distB="0" distL="0" distR="0" wp14:anchorId="07621FEF" wp14:editId="5F79D85C">
            <wp:extent cx="5400675" cy="765429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7654290"/>
                    </a:xfrm>
                    <a:prstGeom prst="rect">
                      <a:avLst/>
                    </a:prstGeom>
                  </pic:spPr>
                </pic:pic>
              </a:graphicData>
            </a:graphic>
          </wp:inline>
        </w:drawing>
      </w:r>
    </w:p>
    <w:p w14:paraId="7F9C3705" w14:textId="646B3015" w:rsidR="00E67BA3" w:rsidRDefault="00E67BA3" w:rsidP="0023075D">
      <w:pPr>
        <w:rPr>
          <w:rFonts w:ascii="Arial" w:hAnsi="Arial" w:cs="Arial"/>
        </w:rPr>
      </w:pPr>
      <w:r>
        <w:rPr>
          <w:rFonts w:ascii="Arial" w:hAnsi="Arial" w:cs="Arial"/>
        </w:rPr>
        <w:br w:type="page"/>
      </w:r>
    </w:p>
    <w:p w14:paraId="7F20795B" w14:textId="0841D37B" w:rsidR="00E67BA3" w:rsidRDefault="00E67BA3" w:rsidP="0023075D">
      <w:pPr>
        <w:rPr>
          <w:rFonts w:ascii="Arial" w:hAnsi="Arial" w:cs="Arial"/>
        </w:rPr>
      </w:pPr>
      <w:r>
        <w:rPr>
          <w:noProof/>
        </w:rPr>
        <w:lastRenderedPageBreak/>
        <w:drawing>
          <wp:inline distT="0" distB="0" distL="0" distR="0" wp14:anchorId="22A96BFA" wp14:editId="6DD7BB85">
            <wp:extent cx="5400675" cy="7562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675" cy="7562850"/>
                    </a:xfrm>
                    <a:prstGeom prst="rect">
                      <a:avLst/>
                    </a:prstGeom>
                  </pic:spPr>
                </pic:pic>
              </a:graphicData>
            </a:graphic>
          </wp:inline>
        </w:drawing>
      </w:r>
    </w:p>
    <w:p w14:paraId="605ADA64" w14:textId="6BE6282F" w:rsidR="00E67BA3" w:rsidRDefault="00E67BA3" w:rsidP="0023075D">
      <w:pPr>
        <w:rPr>
          <w:rFonts w:ascii="Arial" w:hAnsi="Arial" w:cs="Arial"/>
        </w:rPr>
      </w:pPr>
      <w:r>
        <w:rPr>
          <w:rFonts w:ascii="Arial" w:hAnsi="Arial" w:cs="Arial"/>
        </w:rPr>
        <w:br w:type="page"/>
      </w:r>
    </w:p>
    <w:p w14:paraId="77A0748E" w14:textId="35405721" w:rsidR="00E67BA3" w:rsidRDefault="00E67BA3" w:rsidP="0023075D">
      <w:pPr>
        <w:rPr>
          <w:rFonts w:ascii="Arial" w:hAnsi="Arial" w:cs="Arial"/>
        </w:rPr>
      </w:pPr>
      <w:r>
        <w:rPr>
          <w:noProof/>
        </w:rPr>
        <w:lastRenderedPageBreak/>
        <w:drawing>
          <wp:inline distT="0" distB="0" distL="0" distR="0" wp14:anchorId="4F7757FD" wp14:editId="05194387">
            <wp:extent cx="5400675" cy="776414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675" cy="7764145"/>
                    </a:xfrm>
                    <a:prstGeom prst="rect">
                      <a:avLst/>
                    </a:prstGeom>
                  </pic:spPr>
                </pic:pic>
              </a:graphicData>
            </a:graphic>
          </wp:inline>
        </w:drawing>
      </w:r>
    </w:p>
    <w:p w14:paraId="005B529A" w14:textId="628AB19D" w:rsidR="00E67BA3" w:rsidRDefault="00E67BA3" w:rsidP="0023075D">
      <w:pPr>
        <w:rPr>
          <w:rFonts w:ascii="Arial" w:hAnsi="Arial" w:cs="Arial"/>
        </w:rPr>
      </w:pPr>
      <w:r>
        <w:rPr>
          <w:rFonts w:ascii="Arial" w:hAnsi="Arial" w:cs="Arial"/>
        </w:rPr>
        <w:br w:type="page"/>
      </w:r>
    </w:p>
    <w:p w14:paraId="7DCCB00B" w14:textId="62541478" w:rsidR="00E67BA3" w:rsidRDefault="00E67BA3" w:rsidP="0023075D">
      <w:pPr>
        <w:rPr>
          <w:rFonts w:ascii="Arial" w:hAnsi="Arial" w:cs="Arial"/>
        </w:rPr>
      </w:pPr>
      <w:r>
        <w:rPr>
          <w:noProof/>
        </w:rPr>
        <w:lastRenderedPageBreak/>
        <w:drawing>
          <wp:inline distT="0" distB="0" distL="0" distR="0" wp14:anchorId="24D3168F" wp14:editId="41B89C61">
            <wp:extent cx="5400675" cy="7591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7591425"/>
                    </a:xfrm>
                    <a:prstGeom prst="rect">
                      <a:avLst/>
                    </a:prstGeom>
                  </pic:spPr>
                </pic:pic>
              </a:graphicData>
            </a:graphic>
          </wp:inline>
        </w:drawing>
      </w:r>
    </w:p>
    <w:p w14:paraId="4EA23AA0" w14:textId="7582CC51" w:rsidR="00E67BA3" w:rsidRDefault="00E67BA3" w:rsidP="0023075D">
      <w:pPr>
        <w:rPr>
          <w:rFonts w:ascii="Arial" w:hAnsi="Arial" w:cs="Arial"/>
        </w:rPr>
      </w:pPr>
      <w:r>
        <w:rPr>
          <w:rFonts w:ascii="Arial" w:hAnsi="Arial" w:cs="Arial"/>
        </w:rPr>
        <w:br w:type="page"/>
      </w:r>
    </w:p>
    <w:p w14:paraId="35E53883" w14:textId="0F7F3D26" w:rsidR="00E67BA3" w:rsidRDefault="00E67BA3" w:rsidP="0023075D">
      <w:pPr>
        <w:rPr>
          <w:rFonts w:ascii="Arial" w:hAnsi="Arial" w:cs="Arial"/>
        </w:rPr>
      </w:pPr>
      <w:r>
        <w:rPr>
          <w:noProof/>
        </w:rPr>
        <w:lastRenderedPageBreak/>
        <w:drawing>
          <wp:inline distT="0" distB="0" distL="0" distR="0" wp14:anchorId="659A2F49" wp14:editId="172F5FE9">
            <wp:extent cx="5400675" cy="76250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75" cy="7625080"/>
                    </a:xfrm>
                    <a:prstGeom prst="rect">
                      <a:avLst/>
                    </a:prstGeom>
                  </pic:spPr>
                </pic:pic>
              </a:graphicData>
            </a:graphic>
          </wp:inline>
        </w:drawing>
      </w:r>
    </w:p>
    <w:p w14:paraId="33922E0A" w14:textId="77777777" w:rsidR="00E67BA3" w:rsidRDefault="00E67BA3" w:rsidP="0023075D">
      <w:pPr>
        <w:rPr>
          <w:rFonts w:ascii="Arial" w:hAnsi="Arial" w:cs="Arial"/>
        </w:rPr>
        <w:sectPr w:rsidR="00E67BA3" w:rsidSect="00E67BA3">
          <w:pgSz w:w="11906" w:h="16838"/>
          <w:pgMar w:top="1440" w:right="1558" w:bottom="1440" w:left="1843" w:header="708" w:footer="708" w:gutter="0"/>
          <w:cols w:space="708"/>
          <w:docGrid w:linePitch="360"/>
        </w:sectPr>
      </w:pPr>
    </w:p>
    <w:p w14:paraId="1F598391" w14:textId="0082AE78" w:rsidR="00E67BA3" w:rsidRDefault="00E67BA3" w:rsidP="0023075D">
      <w:pPr>
        <w:rPr>
          <w:rFonts w:ascii="Arial" w:hAnsi="Arial" w:cs="Arial"/>
        </w:rPr>
      </w:pPr>
      <w:r>
        <w:rPr>
          <w:noProof/>
        </w:rPr>
        <w:lastRenderedPageBreak/>
        <w:drawing>
          <wp:inline distT="0" distB="0" distL="0" distR="0" wp14:anchorId="70D43031" wp14:editId="1749AD1B">
            <wp:extent cx="7772400" cy="539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72400" cy="5391150"/>
                    </a:xfrm>
                    <a:prstGeom prst="rect">
                      <a:avLst/>
                    </a:prstGeom>
                  </pic:spPr>
                </pic:pic>
              </a:graphicData>
            </a:graphic>
          </wp:inline>
        </w:drawing>
      </w:r>
    </w:p>
    <w:p w14:paraId="306BD3EA" w14:textId="7C46F17D" w:rsidR="00E67BA3" w:rsidRDefault="00E67BA3" w:rsidP="0023075D">
      <w:pPr>
        <w:rPr>
          <w:rFonts w:ascii="Arial" w:hAnsi="Arial" w:cs="Arial"/>
        </w:rPr>
      </w:pPr>
      <w:r>
        <w:rPr>
          <w:noProof/>
        </w:rPr>
        <w:lastRenderedPageBreak/>
        <w:drawing>
          <wp:inline distT="0" distB="0" distL="0" distR="0" wp14:anchorId="36D1155D" wp14:editId="0E2D55F3">
            <wp:extent cx="7652385" cy="5400675"/>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52385" cy="5400675"/>
                    </a:xfrm>
                    <a:prstGeom prst="rect">
                      <a:avLst/>
                    </a:prstGeom>
                  </pic:spPr>
                </pic:pic>
              </a:graphicData>
            </a:graphic>
          </wp:inline>
        </w:drawing>
      </w:r>
    </w:p>
    <w:p w14:paraId="48AB3AAD" w14:textId="219A7816" w:rsidR="00E67BA3" w:rsidRDefault="00E67BA3" w:rsidP="0023075D">
      <w:pPr>
        <w:rPr>
          <w:rFonts w:ascii="Arial" w:hAnsi="Arial" w:cs="Arial"/>
        </w:rPr>
      </w:pPr>
      <w:r>
        <w:rPr>
          <w:noProof/>
        </w:rPr>
        <w:lastRenderedPageBreak/>
        <w:drawing>
          <wp:inline distT="0" distB="0" distL="0" distR="0" wp14:anchorId="3E7B78CB" wp14:editId="21D5C95B">
            <wp:extent cx="7755890" cy="540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55890" cy="5400675"/>
                    </a:xfrm>
                    <a:prstGeom prst="rect">
                      <a:avLst/>
                    </a:prstGeom>
                  </pic:spPr>
                </pic:pic>
              </a:graphicData>
            </a:graphic>
          </wp:inline>
        </w:drawing>
      </w:r>
    </w:p>
    <w:p w14:paraId="3DFD972B" w14:textId="289AD797" w:rsidR="00E67BA3" w:rsidRDefault="00E67BA3" w:rsidP="0023075D">
      <w:pPr>
        <w:rPr>
          <w:rFonts w:ascii="Arial" w:hAnsi="Arial" w:cs="Arial"/>
        </w:rPr>
      </w:pPr>
      <w:r>
        <w:rPr>
          <w:noProof/>
        </w:rPr>
        <w:lastRenderedPageBreak/>
        <w:drawing>
          <wp:inline distT="0" distB="0" distL="0" distR="0" wp14:anchorId="17F7B5F9" wp14:editId="150CD6D8">
            <wp:extent cx="7686040" cy="5400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86040" cy="5400675"/>
                    </a:xfrm>
                    <a:prstGeom prst="rect">
                      <a:avLst/>
                    </a:prstGeom>
                  </pic:spPr>
                </pic:pic>
              </a:graphicData>
            </a:graphic>
          </wp:inline>
        </w:drawing>
      </w:r>
    </w:p>
    <w:p w14:paraId="574D7B65" w14:textId="76AE47C8" w:rsidR="00E67BA3" w:rsidRDefault="00020673" w:rsidP="0023075D">
      <w:pPr>
        <w:rPr>
          <w:rFonts w:ascii="Arial" w:hAnsi="Arial" w:cs="Arial"/>
        </w:rPr>
      </w:pPr>
      <w:r>
        <w:rPr>
          <w:noProof/>
        </w:rPr>
        <w:lastRenderedPageBreak/>
        <w:drawing>
          <wp:inline distT="0" distB="0" distL="0" distR="0" wp14:anchorId="33B8124C" wp14:editId="37A2AC07">
            <wp:extent cx="7724775" cy="5400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24775" cy="5400675"/>
                    </a:xfrm>
                    <a:prstGeom prst="rect">
                      <a:avLst/>
                    </a:prstGeom>
                  </pic:spPr>
                </pic:pic>
              </a:graphicData>
            </a:graphic>
          </wp:inline>
        </w:drawing>
      </w:r>
    </w:p>
    <w:p w14:paraId="1704A930" w14:textId="45A71958" w:rsidR="00020673" w:rsidRDefault="00020673" w:rsidP="0023075D">
      <w:pPr>
        <w:rPr>
          <w:rFonts w:ascii="Arial" w:hAnsi="Arial" w:cs="Arial"/>
        </w:rPr>
      </w:pPr>
      <w:r>
        <w:rPr>
          <w:noProof/>
        </w:rPr>
        <w:lastRenderedPageBreak/>
        <w:drawing>
          <wp:inline distT="0" distB="0" distL="0" distR="0" wp14:anchorId="153200AD" wp14:editId="3A50B7C7">
            <wp:extent cx="7648575" cy="5400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48575" cy="5400675"/>
                    </a:xfrm>
                    <a:prstGeom prst="rect">
                      <a:avLst/>
                    </a:prstGeom>
                  </pic:spPr>
                </pic:pic>
              </a:graphicData>
            </a:graphic>
          </wp:inline>
        </w:drawing>
      </w:r>
    </w:p>
    <w:p w14:paraId="36842CD2" w14:textId="1DF4DE6C" w:rsidR="00020673" w:rsidRDefault="00020673" w:rsidP="0023075D">
      <w:pPr>
        <w:rPr>
          <w:rFonts w:ascii="Arial" w:hAnsi="Arial" w:cs="Arial"/>
        </w:rPr>
      </w:pPr>
      <w:r>
        <w:rPr>
          <w:noProof/>
        </w:rPr>
        <w:lastRenderedPageBreak/>
        <w:drawing>
          <wp:inline distT="0" distB="0" distL="0" distR="0" wp14:anchorId="4D3A1573" wp14:editId="4855C860">
            <wp:extent cx="7680325" cy="5400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680325" cy="5400675"/>
                    </a:xfrm>
                    <a:prstGeom prst="rect">
                      <a:avLst/>
                    </a:prstGeom>
                  </pic:spPr>
                </pic:pic>
              </a:graphicData>
            </a:graphic>
          </wp:inline>
        </w:drawing>
      </w:r>
    </w:p>
    <w:p w14:paraId="56059D04" w14:textId="6C65CC9B" w:rsidR="00020673" w:rsidRDefault="00020673" w:rsidP="0023075D">
      <w:pPr>
        <w:rPr>
          <w:rFonts w:ascii="Arial" w:hAnsi="Arial" w:cs="Arial"/>
        </w:rPr>
      </w:pPr>
      <w:r>
        <w:rPr>
          <w:noProof/>
        </w:rPr>
        <w:lastRenderedPageBreak/>
        <w:drawing>
          <wp:inline distT="0" distB="0" distL="0" distR="0" wp14:anchorId="0F39A037" wp14:editId="30C40E4F">
            <wp:extent cx="7733030" cy="5400675"/>
            <wp:effectExtent l="0" t="0" r="127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733030" cy="5400675"/>
                    </a:xfrm>
                    <a:prstGeom prst="rect">
                      <a:avLst/>
                    </a:prstGeom>
                  </pic:spPr>
                </pic:pic>
              </a:graphicData>
            </a:graphic>
          </wp:inline>
        </w:drawing>
      </w:r>
    </w:p>
    <w:p w14:paraId="18674355" w14:textId="58E1A537" w:rsidR="00020673" w:rsidRDefault="00020673" w:rsidP="0023075D">
      <w:pPr>
        <w:rPr>
          <w:rFonts w:ascii="Arial" w:hAnsi="Arial" w:cs="Arial"/>
        </w:rPr>
      </w:pPr>
      <w:r>
        <w:rPr>
          <w:noProof/>
        </w:rPr>
        <w:lastRenderedPageBreak/>
        <w:drawing>
          <wp:inline distT="0" distB="0" distL="0" distR="0" wp14:anchorId="2404C1E9" wp14:editId="658FCE13">
            <wp:extent cx="7679055" cy="5400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679055" cy="5400675"/>
                    </a:xfrm>
                    <a:prstGeom prst="rect">
                      <a:avLst/>
                    </a:prstGeom>
                  </pic:spPr>
                </pic:pic>
              </a:graphicData>
            </a:graphic>
          </wp:inline>
        </w:drawing>
      </w:r>
    </w:p>
    <w:p w14:paraId="638C018D" w14:textId="6D360C92" w:rsidR="00020673" w:rsidRDefault="00020673" w:rsidP="0023075D">
      <w:pPr>
        <w:rPr>
          <w:rFonts w:ascii="Arial" w:hAnsi="Arial" w:cs="Arial"/>
        </w:rPr>
      </w:pPr>
      <w:r>
        <w:rPr>
          <w:noProof/>
        </w:rPr>
        <w:lastRenderedPageBreak/>
        <w:drawing>
          <wp:inline distT="0" distB="0" distL="0" distR="0" wp14:anchorId="65527DAC" wp14:editId="28AC1889">
            <wp:extent cx="7684770" cy="5400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684770" cy="5400675"/>
                    </a:xfrm>
                    <a:prstGeom prst="rect">
                      <a:avLst/>
                    </a:prstGeom>
                  </pic:spPr>
                </pic:pic>
              </a:graphicData>
            </a:graphic>
          </wp:inline>
        </w:drawing>
      </w:r>
    </w:p>
    <w:p w14:paraId="40DBAD9B" w14:textId="77777777" w:rsidR="00020673" w:rsidRDefault="00020673" w:rsidP="0023075D">
      <w:pPr>
        <w:rPr>
          <w:rFonts w:ascii="Arial" w:hAnsi="Arial" w:cs="Arial"/>
        </w:rPr>
        <w:sectPr w:rsidR="00020673" w:rsidSect="00E67BA3">
          <w:pgSz w:w="16838" w:h="11906" w:orient="landscape"/>
          <w:pgMar w:top="1843" w:right="1440" w:bottom="1558" w:left="1440" w:header="708" w:footer="708" w:gutter="0"/>
          <w:cols w:space="708"/>
          <w:docGrid w:linePitch="360"/>
        </w:sectPr>
      </w:pPr>
    </w:p>
    <w:p w14:paraId="4D8D1DD9" w14:textId="3EEE0CC0" w:rsidR="00020673" w:rsidRDefault="00020673" w:rsidP="0023075D">
      <w:pPr>
        <w:rPr>
          <w:rFonts w:ascii="Arial" w:hAnsi="Arial" w:cs="Arial"/>
        </w:rPr>
      </w:pPr>
      <w:r>
        <w:rPr>
          <w:noProof/>
        </w:rPr>
        <w:lastRenderedPageBreak/>
        <w:drawing>
          <wp:inline distT="0" distB="0" distL="0" distR="0" wp14:anchorId="14926570" wp14:editId="74320B72">
            <wp:extent cx="5400675" cy="771652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675" cy="7716520"/>
                    </a:xfrm>
                    <a:prstGeom prst="rect">
                      <a:avLst/>
                    </a:prstGeom>
                  </pic:spPr>
                </pic:pic>
              </a:graphicData>
            </a:graphic>
          </wp:inline>
        </w:drawing>
      </w:r>
    </w:p>
    <w:p w14:paraId="4D6BF0CD" w14:textId="75332144" w:rsidR="00020673" w:rsidRDefault="00020673" w:rsidP="0023075D">
      <w:pPr>
        <w:rPr>
          <w:rFonts w:ascii="Arial" w:hAnsi="Arial" w:cs="Arial"/>
        </w:rPr>
      </w:pPr>
      <w:r>
        <w:rPr>
          <w:rFonts w:ascii="Arial" w:hAnsi="Arial" w:cs="Arial"/>
        </w:rPr>
        <w:br w:type="page"/>
      </w:r>
    </w:p>
    <w:p w14:paraId="459033E6" w14:textId="40CFE649" w:rsidR="00020673" w:rsidRDefault="00020673" w:rsidP="0023075D">
      <w:pPr>
        <w:rPr>
          <w:rFonts w:ascii="Arial" w:hAnsi="Arial" w:cs="Arial"/>
        </w:rPr>
      </w:pPr>
      <w:r>
        <w:rPr>
          <w:noProof/>
        </w:rPr>
        <w:lastRenderedPageBreak/>
        <w:drawing>
          <wp:inline distT="0" distB="0" distL="0" distR="0" wp14:anchorId="30E33A3E" wp14:editId="6476E8DA">
            <wp:extent cx="5400675" cy="762254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675" cy="7622540"/>
                    </a:xfrm>
                    <a:prstGeom prst="rect">
                      <a:avLst/>
                    </a:prstGeom>
                  </pic:spPr>
                </pic:pic>
              </a:graphicData>
            </a:graphic>
          </wp:inline>
        </w:drawing>
      </w:r>
    </w:p>
    <w:p w14:paraId="02C2585D" w14:textId="4D244E9C" w:rsidR="00020673" w:rsidRDefault="00020673" w:rsidP="0023075D">
      <w:pPr>
        <w:rPr>
          <w:rFonts w:ascii="Arial" w:hAnsi="Arial" w:cs="Arial"/>
        </w:rPr>
      </w:pPr>
      <w:r>
        <w:rPr>
          <w:rFonts w:ascii="Arial" w:hAnsi="Arial" w:cs="Arial"/>
        </w:rPr>
        <w:br w:type="page"/>
      </w:r>
    </w:p>
    <w:p w14:paraId="04E8978F" w14:textId="7DD6E92E" w:rsidR="00020673" w:rsidRDefault="00020673" w:rsidP="0023075D">
      <w:pPr>
        <w:rPr>
          <w:rFonts w:ascii="Arial" w:hAnsi="Arial" w:cs="Arial"/>
        </w:rPr>
      </w:pPr>
      <w:r>
        <w:rPr>
          <w:noProof/>
        </w:rPr>
        <w:lastRenderedPageBreak/>
        <w:drawing>
          <wp:inline distT="0" distB="0" distL="0" distR="0" wp14:anchorId="78D59824" wp14:editId="2A724BE9">
            <wp:extent cx="5400675" cy="7863205"/>
            <wp:effectExtent l="0" t="0" r="952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675" cy="7863205"/>
                    </a:xfrm>
                    <a:prstGeom prst="rect">
                      <a:avLst/>
                    </a:prstGeom>
                  </pic:spPr>
                </pic:pic>
              </a:graphicData>
            </a:graphic>
          </wp:inline>
        </w:drawing>
      </w:r>
    </w:p>
    <w:p w14:paraId="38BC8B1D" w14:textId="0D436062" w:rsidR="00020673" w:rsidRDefault="00020673" w:rsidP="0023075D">
      <w:pPr>
        <w:rPr>
          <w:rFonts w:ascii="Arial" w:hAnsi="Arial" w:cs="Arial"/>
        </w:rPr>
      </w:pPr>
      <w:r>
        <w:rPr>
          <w:rFonts w:ascii="Arial" w:hAnsi="Arial" w:cs="Arial"/>
        </w:rPr>
        <w:br w:type="page"/>
      </w:r>
    </w:p>
    <w:p w14:paraId="6CD54F5D" w14:textId="31052BD4" w:rsidR="00020673" w:rsidRDefault="00020673" w:rsidP="0023075D">
      <w:pPr>
        <w:rPr>
          <w:rFonts w:ascii="Arial" w:hAnsi="Arial" w:cs="Arial"/>
        </w:rPr>
      </w:pPr>
      <w:r>
        <w:rPr>
          <w:noProof/>
        </w:rPr>
        <w:lastRenderedPageBreak/>
        <w:drawing>
          <wp:inline distT="0" distB="0" distL="0" distR="0" wp14:anchorId="5C497A83" wp14:editId="5067967D">
            <wp:extent cx="5400675" cy="7477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675" cy="7477125"/>
                    </a:xfrm>
                    <a:prstGeom prst="rect">
                      <a:avLst/>
                    </a:prstGeom>
                  </pic:spPr>
                </pic:pic>
              </a:graphicData>
            </a:graphic>
          </wp:inline>
        </w:drawing>
      </w:r>
    </w:p>
    <w:p w14:paraId="30CAD9F9" w14:textId="77777777" w:rsidR="00020673" w:rsidRDefault="00020673" w:rsidP="0023075D">
      <w:pPr>
        <w:rPr>
          <w:rFonts w:ascii="Arial" w:hAnsi="Arial" w:cs="Arial"/>
        </w:rPr>
      </w:pPr>
      <w:r>
        <w:rPr>
          <w:rFonts w:ascii="Arial" w:hAnsi="Arial" w:cs="Arial"/>
        </w:rPr>
        <w:br w:type="page"/>
      </w:r>
    </w:p>
    <w:p w14:paraId="634C9917" w14:textId="77777777" w:rsidR="00020673" w:rsidRDefault="00020673" w:rsidP="0023075D">
      <w:pPr>
        <w:rPr>
          <w:rFonts w:ascii="Arial" w:hAnsi="Arial" w:cs="Arial"/>
        </w:rPr>
      </w:pPr>
      <w:r>
        <w:rPr>
          <w:noProof/>
        </w:rPr>
        <w:lastRenderedPageBreak/>
        <w:drawing>
          <wp:inline distT="0" distB="0" distL="0" distR="0" wp14:anchorId="54D4B0DF" wp14:editId="24F8286E">
            <wp:extent cx="5400675" cy="7715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675" cy="7715250"/>
                    </a:xfrm>
                    <a:prstGeom prst="rect">
                      <a:avLst/>
                    </a:prstGeom>
                  </pic:spPr>
                </pic:pic>
              </a:graphicData>
            </a:graphic>
          </wp:inline>
        </w:drawing>
      </w:r>
    </w:p>
    <w:p w14:paraId="7C61106E" w14:textId="1F61EFA7" w:rsidR="00020673" w:rsidRPr="00C5081A" w:rsidRDefault="00020673" w:rsidP="0023075D">
      <w:pPr>
        <w:rPr>
          <w:rFonts w:ascii="Arial" w:hAnsi="Arial" w:cs="Arial"/>
        </w:rPr>
      </w:pPr>
    </w:p>
    <w:sectPr w:rsidR="00020673" w:rsidRPr="00C5081A" w:rsidSect="00020673">
      <w:pgSz w:w="11906" w:h="16838"/>
      <w:pgMar w:top="1440" w:right="1558" w:bottom="1440"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45A0C" w14:textId="77777777" w:rsidR="002473B6" w:rsidRDefault="002473B6" w:rsidP="00605C16">
      <w:r>
        <w:separator/>
      </w:r>
    </w:p>
  </w:endnote>
  <w:endnote w:type="continuationSeparator" w:id="0">
    <w:p w14:paraId="58CF6C13" w14:textId="77777777" w:rsidR="002473B6" w:rsidRDefault="002473B6" w:rsidP="00605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9D32C" w14:textId="77777777" w:rsidR="00BA4F68" w:rsidRDefault="00BA4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878106"/>
      <w:docPartObj>
        <w:docPartGallery w:val="Page Numbers (Bottom of Page)"/>
        <w:docPartUnique/>
      </w:docPartObj>
    </w:sdtPr>
    <w:sdtEndPr>
      <w:rPr>
        <w:rFonts w:ascii="Arial" w:hAnsi="Arial" w:cs="Arial"/>
        <w:noProof/>
        <w:sz w:val="20"/>
      </w:rPr>
    </w:sdtEndPr>
    <w:sdtContent>
      <w:p w14:paraId="594B4C8B" w14:textId="61A04628" w:rsidR="00A46949" w:rsidRPr="00354413" w:rsidRDefault="00A46949">
        <w:pPr>
          <w:pStyle w:val="Footer"/>
          <w:jc w:val="right"/>
          <w:rPr>
            <w:rFonts w:ascii="Arial" w:hAnsi="Arial" w:cs="Arial"/>
            <w:sz w:val="20"/>
          </w:rPr>
        </w:pPr>
        <w:r w:rsidRPr="00354413">
          <w:rPr>
            <w:rFonts w:ascii="Arial" w:hAnsi="Arial" w:cs="Arial"/>
            <w:sz w:val="20"/>
          </w:rPr>
          <w:fldChar w:fldCharType="begin"/>
        </w:r>
        <w:r w:rsidRPr="00354413">
          <w:rPr>
            <w:rFonts w:ascii="Arial" w:hAnsi="Arial" w:cs="Arial"/>
            <w:sz w:val="20"/>
          </w:rPr>
          <w:instrText xml:space="preserve"> PAGE   \* MERGEFORMAT </w:instrText>
        </w:r>
        <w:r w:rsidRPr="00354413">
          <w:rPr>
            <w:rFonts w:ascii="Arial" w:hAnsi="Arial" w:cs="Arial"/>
            <w:sz w:val="20"/>
          </w:rPr>
          <w:fldChar w:fldCharType="separate"/>
        </w:r>
        <w:r w:rsidRPr="00354413">
          <w:rPr>
            <w:rFonts w:ascii="Arial" w:hAnsi="Arial" w:cs="Arial"/>
            <w:noProof/>
            <w:sz w:val="20"/>
          </w:rPr>
          <w:t>2</w:t>
        </w:r>
        <w:r w:rsidRPr="00354413">
          <w:rPr>
            <w:rFonts w:ascii="Arial" w:hAnsi="Arial" w:cs="Arial"/>
            <w:noProof/>
            <w:sz w:val="20"/>
          </w:rPr>
          <w:fldChar w:fldCharType="end"/>
        </w:r>
      </w:p>
    </w:sdtContent>
  </w:sdt>
  <w:p w14:paraId="6937D122" w14:textId="658ED4F8" w:rsidR="00A46949" w:rsidRPr="001B7A20" w:rsidRDefault="001B7A20" w:rsidP="001B7A20">
    <w:pPr>
      <w:pStyle w:val="Footer"/>
      <w:jc w:val="center"/>
      <w:rPr>
        <w:rFonts w:ascii="Arial" w:hAnsi="Arial" w:cs="Arial"/>
        <w:sz w:val="14"/>
      </w:rPr>
    </w:pPr>
    <w:r w:rsidRPr="001B7A20">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82D98" w14:textId="77777777" w:rsidR="00BA4F68" w:rsidRDefault="00BA4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EE7DB" w14:textId="77777777" w:rsidR="002473B6" w:rsidRDefault="002473B6" w:rsidP="00605C16">
      <w:r>
        <w:separator/>
      </w:r>
    </w:p>
  </w:footnote>
  <w:footnote w:type="continuationSeparator" w:id="0">
    <w:p w14:paraId="72FC99C2" w14:textId="77777777" w:rsidR="002473B6" w:rsidRDefault="002473B6" w:rsidP="00605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E7AED" w14:textId="77777777" w:rsidR="00BA4F68" w:rsidRDefault="00BA4F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3E9C5" w14:textId="77777777" w:rsidR="00BA4F68" w:rsidRDefault="00BA4F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C5E6D" w14:textId="77777777" w:rsidR="00BA4F68" w:rsidRDefault="00BA4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5375"/>
    <w:multiLevelType w:val="hybridMultilevel"/>
    <w:tmpl w:val="AB36E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5E1340"/>
    <w:multiLevelType w:val="hybridMultilevel"/>
    <w:tmpl w:val="67D83E84"/>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AB97E55"/>
    <w:multiLevelType w:val="hybridMultilevel"/>
    <w:tmpl w:val="9EEC6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E847DB"/>
    <w:multiLevelType w:val="hybridMultilevel"/>
    <w:tmpl w:val="74D0B214"/>
    <w:lvl w:ilvl="0" w:tplc="392467F4">
      <w:start w:val="1"/>
      <w:numFmt w:val="lowerRoman"/>
      <w:lvlText w:val="%1."/>
      <w:lvlJc w:val="right"/>
      <w:pPr>
        <w:ind w:left="1440" w:hanging="360"/>
      </w:pPr>
      <w:rPr>
        <w:rFonts w:asciiTheme="minorHAnsi" w:hAnsiTheme="minorHAnsi" w:cstheme="minorHAns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8C275C0"/>
    <w:multiLevelType w:val="hybridMultilevel"/>
    <w:tmpl w:val="C892206E"/>
    <w:lvl w:ilvl="0" w:tplc="380698EA">
      <w:numFmt w:val="bullet"/>
      <w:lvlText w:val="-"/>
      <w:lvlJc w:val="left"/>
      <w:pPr>
        <w:ind w:left="720" w:hanging="360"/>
      </w:pPr>
      <w:rPr>
        <w:rFonts w:ascii="Arial" w:eastAsia="Times New Roman"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9A2B4B"/>
    <w:multiLevelType w:val="hybridMultilevel"/>
    <w:tmpl w:val="47AC0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966747"/>
    <w:multiLevelType w:val="hybridMultilevel"/>
    <w:tmpl w:val="AFE45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5872B8"/>
    <w:multiLevelType w:val="hybridMultilevel"/>
    <w:tmpl w:val="A4A86980"/>
    <w:lvl w:ilvl="0" w:tplc="EAFEA48C">
      <w:start w:val="1"/>
      <w:numFmt w:val="decimal"/>
      <w:lvlText w:val="%1."/>
      <w:lvlJc w:val="left"/>
      <w:pPr>
        <w:ind w:left="720" w:hanging="360"/>
      </w:pPr>
      <w:rPr>
        <w:rFonts w:asciiTheme="minorHAnsi" w:hAnsiTheme="minorHAnsi" w:cstheme="minorHAnsi"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6"/>
  </w:num>
  <w:num w:numId="5">
    <w:abstractNumId w:val="4"/>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12F"/>
    <w:rsid w:val="00020673"/>
    <w:rsid w:val="000467AD"/>
    <w:rsid w:val="00080580"/>
    <w:rsid w:val="0008337F"/>
    <w:rsid w:val="000A3923"/>
    <w:rsid w:val="000B5371"/>
    <w:rsid w:val="000D00F6"/>
    <w:rsid w:val="000D5402"/>
    <w:rsid w:val="000D6C08"/>
    <w:rsid w:val="000F77A7"/>
    <w:rsid w:val="00140BD6"/>
    <w:rsid w:val="0014123F"/>
    <w:rsid w:val="00142269"/>
    <w:rsid w:val="00150772"/>
    <w:rsid w:val="001520D0"/>
    <w:rsid w:val="00152A54"/>
    <w:rsid w:val="001550DC"/>
    <w:rsid w:val="0015604D"/>
    <w:rsid w:val="0018363D"/>
    <w:rsid w:val="001879DA"/>
    <w:rsid w:val="0019763F"/>
    <w:rsid w:val="001B7A20"/>
    <w:rsid w:val="001D7E4E"/>
    <w:rsid w:val="001E6D90"/>
    <w:rsid w:val="001F13D3"/>
    <w:rsid w:val="00206875"/>
    <w:rsid w:val="0023075D"/>
    <w:rsid w:val="00240779"/>
    <w:rsid w:val="002473B6"/>
    <w:rsid w:val="0024766A"/>
    <w:rsid w:val="00257EE3"/>
    <w:rsid w:val="002612AD"/>
    <w:rsid w:val="00261842"/>
    <w:rsid w:val="00270135"/>
    <w:rsid w:val="0028097F"/>
    <w:rsid w:val="002C064E"/>
    <w:rsid w:val="002E3818"/>
    <w:rsid w:val="002E5B30"/>
    <w:rsid w:val="00300C0F"/>
    <w:rsid w:val="0030392A"/>
    <w:rsid w:val="00337517"/>
    <w:rsid w:val="00337EBD"/>
    <w:rsid w:val="0034732F"/>
    <w:rsid w:val="00354413"/>
    <w:rsid w:val="00375454"/>
    <w:rsid w:val="00375E23"/>
    <w:rsid w:val="00376CA1"/>
    <w:rsid w:val="00376D91"/>
    <w:rsid w:val="00386ED2"/>
    <w:rsid w:val="00387C6E"/>
    <w:rsid w:val="003954A7"/>
    <w:rsid w:val="003A70F1"/>
    <w:rsid w:val="003B73E3"/>
    <w:rsid w:val="003D013F"/>
    <w:rsid w:val="003D5014"/>
    <w:rsid w:val="004010D0"/>
    <w:rsid w:val="0043221D"/>
    <w:rsid w:val="00436F63"/>
    <w:rsid w:val="004856FA"/>
    <w:rsid w:val="00486C1A"/>
    <w:rsid w:val="00486FCD"/>
    <w:rsid w:val="004A208E"/>
    <w:rsid w:val="004A4E76"/>
    <w:rsid w:val="004B0652"/>
    <w:rsid w:val="004C02C1"/>
    <w:rsid w:val="004E2BF9"/>
    <w:rsid w:val="00510663"/>
    <w:rsid w:val="0055559D"/>
    <w:rsid w:val="0055793B"/>
    <w:rsid w:val="00565D41"/>
    <w:rsid w:val="00571AEF"/>
    <w:rsid w:val="005748D8"/>
    <w:rsid w:val="00581CEE"/>
    <w:rsid w:val="00584080"/>
    <w:rsid w:val="005A7B90"/>
    <w:rsid w:val="005B012F"/>
    <w:rsid w:val="005D58A9"/>
    <w:rsid w:val="00605C16"/>
    <w:rsid w:val="0062306C"/>
    <w:rsid w:val="00632CA8"/>
    <w:rsid w:val="0066191D"/>
    <w:rsid w:val="0069620F"/>
    <w:rsid w:val="006E08AA"/>
    <w:rsid w:val="00731C09"/>
    <w:rsid w:val="00745B0F"/>
    <w:rsid w:val="00745B6F"/>
    <w:rsid w:val="00796987"/>
    <w:rsid w:val="007A3076"/>
    <w:rsid w:val="007A3CB3"/>
    <w:rsid w:val="007C207A"/>
    <w:rsid w:val="007C4CCE"/>
    <w:rsid w:val="007D2A31"/>
    <w:rsid w:val="007D4637"/>
    <w:rsid w:val="007D665C"/>
    <w:rsid w:val="007E3BAD"/>
    <w:rsid w:val="0081568D"/>
    <w:rsid w:val="00820A88"/>
    <w:rsid w:val="008407EC"/>
    <w:rsid w:val="008846BA"/>
    <w:rsid w:val="008A5F3A"/>
    <w:rsid w:val="008A60D9"/>
    <w:rsid w:val="008B0F97"/>
    <w:rsid w:val="008C3195"/>
    <w:rsid w:val="008D0C09"/>
    <w:rsid w:val="008F0125"/>
    <w:rsid w:val="008F3B31"/>
    <w:rsid w:val="008F4914"/>
    <w:rsid w:val="009025E8"/>
    <w:rsid w:val="00951279"/>
    <w:rsid w:val="009542A9"/>
    <w:rsid w:val="009766A1"/>
    <w:rsid w:val="00981ABD"/>
    <w:rsid w:val="009826DB"/>
    <w:rsid w:val="00991B6D"/>
    <w:rsid w:val="009B6BFD"/>
    <w:rsid w:val="009C328D"/>
    <w:rsid w:val="009D1AA5"/>
    <w:rsid w:val="009D4F95"/>
    <w:rsid w:val="009E59A6"/>
    <w:rsid w:val="009E59D7"/>
    <w:rsid w:val="00A34207"/>
    <w:rsid w:val="00A353B0"/>
    <w:rsid w:val="00A46949"/>
    <w:rsid w:val="00A737B0"/>
    <w:rsid w:val="00A81DE3"/>
    <w:rsid w:val="00A84938"/>
    <w:rsid w:val="00AB4113"/>
    <w:rsid w:val="00AD23E5"/>
    <w:rsid w:val="00AE39D2"/>
    <w:rsid w:val="00AF0E68"/>
    <w:rsid w:val="00AF2976"/>
    <w:rsid w:val="00B03EC4"/>
    <w:rsid w:val="00B100DB"/>
    <w:rsid w:val="00B87A77"/>
    <w:rsid w:val="00BA4F68"/>
    <w:rsid w:val="00BA723A"/>
    <w:rsid w:val="00BC084D"/>
    <w:rsid w:val="00BC6B0D"/>
    <w:rsid w:val="00BD6A4C"/>
    <w:rsid w:val="00C133B2"/>
    <w:rsid w:val="00C270EE"/>
    <w:rsid w:val="00C5081A"/>
    <w:rsid w:val="00C77712"/>
    <w:rsid w:val="00CA5E2B"/>
    <w:rsid w:val="00CB12DA"/>
    <w:rsid w:val="00CB4B11"/>
    <w:rsid w:val="00CB7829"/>
    <w:rsid w:val="00CD4B9F"/>
    <w:rsid w:val="00CD6237"/>
    <w:rsid w:val="00D1396C"/>
    <w:rsid w:val="00D14709"/>
    <w:rsid w:val="00D152CD"/>
    <w:rsid w:val="00D91011"/>
    <w:rsid w:val="00DD2F24"/>
    <w:rsid w:val="00E0371D"/>
    <w:rsid w:val="00E03849"/>
    <w:rsid w:val="00E31752"/>
    <w:rsid w:val="00E57D8A"/>
    <w:rsid w:val="00E67BA3"/>
    <w:rsid w:val="00E928AC"/>
    <w:rsid w:val="00ED3A35"/>
    <w:rsid w:val="00EE2DC0"/>
    <w:rsid w:val="00F01642"/>
    <w:rsid w:val="00F052C6"/>
    <w:rsid w:val="00F059AC"/>
    <w:rsid w:val="00F1566A"/>
    <w:rsid w:val="00F2415A"/>
    <w:rsid w:val="00F269B2"/>
    <w:rsid w:val="00F411E5"/>
    <w:rsid w:val="00F44B42"/>
    <w:rsid w:val="00F5068E"/>
    <w:rsid w:val="00F55133"/>
    <w:rsid w:val="00F66C21"/>
    <w:rsid w:val="00F8030C"/>
    <w:rsid w:val="00F80833"/>
    <w:rsid w:val="00FC1517"/>
    <w:rsid w:val="00FC3F2F"/>
    <w:rsid w:val="00FD2E18"/>
    <w:rsid w:val="00FD34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8ACFDA"/>
  <w15:docId w15:val="{93350947-8A88-4DB8-866B-87497960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012F"/>
    <w:pPr>
      <w:autoSpaceDE w:val="0"/>
      <w:autoSpaceDN w:val="0"/>
    </w:pPr>
    <w:rPr>
      <w:rFonts w:ascii="Times New Roman" w:eastAsia="Times New Roman" w:hAnsi="Times New Roman"/>
      <w:sz w:val="24"/>
      <w:szCs w:val="24"/>
      <w:lang w:val="en-GB"/>
    </w:rPr>
  </w:style>
  <w:style w:type="paragraph" w:styleId="Heading2">
    <w:name w:val="heading 2"/>
    <w:basedOn w:val="Normal"/>
    <w:next w:val="Normal"/>
    <w:link w:val="Heading2Char"/>
    <w:uiPriority w:val="9"/>
    <w:unhideWhenUsed/>
    <w:qFormat/>
    <w:rsid w:val="005B012F"/>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7D665C"/>
    <w:pPr>
      <w:keepNext/>
      <w:keepLines/>
      <w:spacing w:before="40"/>
      <w:outlineLvl w:val="2"/>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9"/>
    <w:qFormat/>
    <w:rsid w:val="005B012F"/>
    <w:pPr>
      <w:keepNext/>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9"/>
    <w:rsid w:val="005B012F"/>
    <w:rPr>
      <w:rFonts w:ascii="Times New Roman" w:eastAsia="Times New Roman" w:hAnsi="Times New Roman" w:cs="Times New Roman"/>
      <w:b/>
      <w:bCs/>
      <w:sz w:val="24"/>
      <w:szCs w:val="24"/>
      <w:lang w:val="en-GB" w:eastAsia="en-AU"/>
    </w:rPr>
  </w:style>
  <w:style w:type="character" w:customStyle="1" w:styleId="Heading2Char">
    <w:name w:val="Heading 2 Char"/>
    <w:basedOn w:val="DefaultParagraphFont"/>
    <w:link w:val="Heading2"/>
    <w:uiPriority w:val="9"/>
    <w:rsid w:val="005B012F"/>
    <w:rPr>
      <w:rFonts w:ascii="Cambria" w:eastAsia="Times New Roman" w:hAnsi="Cambria" w:cs="Times New Roman"/>
      <w:b/>
      <w:bCs/>
      <w:color w:val="4F81BD"/>
      <w:sz w:val="26"/>
      <w:szCs w:val="26"/>
      <w:lang w:val="en-GB" w:eastAsia="en-AU"/>
    </w:rPr>
  </w:style>
  <w:style w:type="paragraph" w:customStyle="1" w:styleId="Apara">
    <w:name w:val="A para"/>
    <w:basedOn w:val="Normal"/>
    <w:link w:val="AparaChar"/>
    <w:rsid w:val="001F13D3"/>
    <w:pPr>
      <w:tabs>
        <w:tab w:val="right" w:pos="1400"/>
        <w:tab w:val="left" w:pos="1600"/>
      </w:tabs>
      <w:autoSpaceDE/>
      <w:autoSpaceDN/>
      <w:spacing w:before="140"/>
      <w:ind w:left="1600" w:hanging="1600"/>
      <w:jc w:val="both"/>
      <w:outlineLvl w:val="6"/>
    </w:pPr>
    <w:rPr>
      <w:szCs w:val="20"/>
      <w:lang w:val="en-AU" w:eastAsia="en-US"/>
    </w:rPr>
  </w:style>
  <w:style w:type="character" w:customStyle="1" w:styleId="AparaChar">
    <w:name w:val="A para Char"/>
    <w:basedOn w:val="DefaultParagraphFont"/>
    <w:link w:val="Apara"/>
    <w:locked/>
    <w:rsid w:val="001F13D3"/>
    <w:rPr>
      <w:rFonts w:ascii="Times New Roman" w:eastAsia="Times New Roman" w:hAnsi="Times New Roman"/>
      <w:sz w:val="24"/>
      <w:lang w:eastAsia="en-US"/>
    </w:rPr>
  </w:style>
  <w:style w:type="paragraph" w:styleId="NoSpacing">
    <w:name w:val="No Spacing"/>
    <w:uiPriority w:val="99"/>
    <w:qFormat/>
    <w:rsid w:val="00581CEE"/>
    <w:rPr>
      <w:sz w:val="22"/>
      <w:szCs w:val="22"/>
      <w:lang w:eastAsia="en-US"/>
    </w:rPr>
  </w:style>
  <w:style w:type="paragraph" w:styleId="ListParagraph">
    <w:name w:val="List Paragraph"/>
    <w:aliases w:val="List Paragraph1,Recommendation,List Paragraph11,1 Recommendation,List Paragraph111,L,F5 List Paragraph,Dot pt,CV text,Table text,Medium Grid 1 - Accent 21,Numbered Paragraph,List Paragraph2,NFP GP Bulleted List,FooterText,numbered,列出段"/>
    <w:basedOn w:val="Normal"/>
    <w:link w:val="ListParagraphChar"/>
    <w:uiPriority w:val="34"/>
    <w:qFormat/>
    <w:rsid w:val="00605C16"/>
    <w:pPr>
      <w:autoSpaceDE/>
      <w:autoSpaceDN/>
      <w:ind w:left="720"/>
    </w:pPr>
    <w:rPr>
      <w:rFonts w:ascii="Calibri" w:eastAsia="Calibri" w:hAnsi="Calibri" w:cs="Calibri"/>
      <w:sz w:val="22"/>
      <w:szCs w:val="22"/>
      <w:lang w:val="en-AU"/>
    </w:rPr>
  </w:style>
  <w:style w:type="paragraph" w:styleId="FootnoteText">
    <w:name w:val="footnote text"/>
    <w:basedOn w:val="Normal"/>
    <w:link w:val="FootnoteTextChar"/>
    <w:uiPriority w:val="99"/>
    <w:rsid w:val="00605C16"/>
    <w:pPr>
      <w:widowControl w:val="0"/>
      <w:autoSpaceDE/>
      <w:autoSpaceDN/>
      <w:spacing w:after="60"/>
    </w:pPr>
    <w:rPr>
      <w:sz w:val="20"/>
      <w:szCs w:val="20"/>
      <w:lang w:eastAsia="en-US"/>
    </w:rPr>
  </w:style>
  <w:style w:type="character" w:customStyle="1" w:styleId="FootnoteTextChar">
    <w:name w:val="Footnote Text Char"/>
    <w:basedOn w:val="DefaultParagraphFont"/>
    <w:link w:val="FootnoteText"/>
    <w:uiPriority w:val="99"/>
    <w:rsid w:val="00605C16"/>
    <w:rPr>
      <w:rFonts w:ascii="Times New Roman" w:eastAsia="Times New Roman" w:hAnsi="Times New Roman"/>
      <w:lang w:val="en-GB" w:eastAsia="en-US"/>
    </w:rPr>
  </w:style>
  <w:style w:type="character" w:styleId="FootnoteReference">
    <w:name w:val="footnote reference"/>
    <w:basedOn w:val="DefaultParagraphFont"/>
    <w:uiPriority w:val="99"/>
    <w:rsid w:val="00605C16"/>
    <w:rPr>
      <w:rFonts w:cs="Times New Roman"/>
      <w:vertAlign w:val="superscript"/>
    </w:rPr>
  </w:style>
  <w:style w:type="character" w:customStyle="1" w:styleId="ListParagraphChar">
    <w:name w:val="List Paragraph Char"/>
    <w:aliases w:val="List Paragraph1 Char,Recommendation Char,List Paragraph11 Char,1 Recommendation Char,List Paragraph111 Char,L Char,F5 List Paragraph Char,Dot pt Char,CV text Char,Table text Char,Medium Grid 1 - Accent 21 Char,Numbered Paragraph Char"/>
    <w:basedOn w:val="DefaultParagraphFont"/>
    <w:link w:val="ListParagraph"/>
    <w:uiPriority w:val="34"/>
    <w:qFormat/>
    <w:locked/>
    <w:rsid w:val="00605C16"/>
    <w:rPr>
      <w:rFonts w:cs="Calibri"/>
      <w:sz w:val="22"/>
      <w:szCs w:val="22"/>
    </w:rPr>
  </w:style>
  <w:style w:type="character" w:styleId="CommentReference">
    <w:name w:val="annotation reference"/>
    <w:basedOn w:val="DefaultParagraphFont"/>
    <w:rsid w:val="0015604D"/>
    <w:rPr>
      <w:sz w:val="16"/>
      <w:szCs w:val="16"/>
    </w:rPr>
  </w:style>
  <w:style w:type="paragraph" w:styleId="CommentText">
    <w:name w:val="annotation text"/>
    <w:basedOn w:val="Normal"/>
    <w:link w:val="CommentTextChar"/>
    <w:rsid w:val="0015604D"/>
    <w:pPr>
      <w:autoSpaceDE/>
      <w:autoSpaceDN/>
      <w:spacing w:after="120"/>
    </w:pPr>
    <w:rPr>
      <w:rFonts w:ascii="Calibri" w:hAnsi="Calibri"/>
      <w:sz w:val="20"/>
      <w:szCs w:val="20"/>
      <w:lang w:val="en-AU" w:eastAsia="en-US"/>
    </w:rPr>
  </w:style>
  <w:style w:type="character" w:customStyle="1" w:styleId="CommentTextChar">
    <w:name w:val="Comment Text Char"/>
    <w:basedOn w:val="DefaultParagraphFont"/>
    <w:link w:val="CommentText"/>
    <w:rsid w:val="0015604D"/>
    <w:rPr>
      <w:rFonts w:eastAsia="Times New Roman"/>
      <w:lang w:eastAsia="en-US"/>
    </w:rPr>
  </w:style>
  <w:style w:type="paragraph" w:styleId="BalloonText">
    <w:name w:val="Balloon Text"/>
    <w:basedOn w:val="Normal"/>
    <w:link w:val="BalloonTextChar"/>
    <w:uiPriority w:val="99"/>
    <w:semiHidden/>
    <w:unhideWhenUsed/>
    <w:rsid w:val="0015604D"/>
    <w:rPr>
      <w:rFonts w:ascii="Tahoma" w:hAnsi="Tahoma" w:cs="Tahoma"/>
      <w:sz w:val="16"/>
      <w:szCs w:val="16"/>
    </w:rPr>
  </w:style>
  <w:style w:type="character" w:customStyle="1" w:styleId="BalloonTextChar">
    <w:name w:val="Balloon Text Char"/>
    <w:basedOn w:val="DefaultParagraphFont"/>
    <w:link w:val="BalloonText"/>
    <w:uiPriority w:val="99"/>
    <w:semiHidden/>
    <w:rsid w:val="0015604D"/>
    <w:rPr>
      <w:rFonts w:ascii="Tahoma" w:eastAsia="Times New Roman" w:hAnsi="Tahoma" w:cs="Tahoma"/>
      <w:sz w:val="16"/>
      <w:szCs w:val="16"/>
      <w:lang w:val="en-GB"/>
    </w:rPr>
  </w:style>
  <w:style w:type="character" w:customStyle="1" w:styleId="Heading3Char">
    <w:name w:val="Heading 3 Char"/>
    <w:basedOn w:val="DefaultParagraphFont"/>
    <w:link w:val="Heading3"/>
    <w:uiPriority w:val="9"/>
    <w:semiHidden/>
    <w:rsid w:val="007D665C"/>
    <w:rPr>
      <w:rFonts w:asciiTheme="majorHAnsi" w:eastAsiaTheme="majorEastAsia" w:hAnsiTheme="majorHAnsi" w:cstheme="majorBidi"/>
      <w:color w:val="243F60" w:themeColor="accent1" w:themeShade="7F"/>
      <w:sz w:val="24"/>
      <w:szCs w:val="24"/>
      <w:lang w:val="en-GB"/>
    </w:rPr>
  </w:style>
  <w:style w:type="paragraph" w:styleId="CommentSubject">
    <w:name w:val="annotation subject"/>
    <w:basedOn w:val="CommentText"/>
    <w:next w:val="CommentText"/>
    <w:link w:val="CommentSubjectChar"/>
    <w:uiPriority w:val="99"/>
    <w:semiHidden/>
    <w:unhideWhenUsed/>
    <w:rsid w:val="00C270EE"/>
    <w:pPr>
      <w:autoSpaceDE w:val="0"/>
      <w:autoSpaceDN w:val="0"/>
      <w:spacing w:after="0"/>
    </w:pPr>
    <w:rPr>
      <w:rFonts w:ascii="Times New Roman" w:hAnsi="Times New Roman"/>
      <w:b/>
      <w:bCs/>
      <w:lang w:val="en-GB" w:eastAsia="en-AU"/>
    </w:rPr>
  </w:style>
  <w:style w:type="character" w:customStyle="1" w:styleId="CommentSubjectChar">
    <w:name w:val="Comment Subject Char"/>
    <w:basedOn w:val="CommentTextChar"/>
    <w:link w:val="CommentSubject"/>
    <w:uiPriority w:val="99"/>
    <w:semiHidden/>
    <w:rsid w:val="00C270EE"/>
    <w:rPr>
      <w:rFonts w:ascii="Times New Roman" w:eastAsia="Times New Roman" w:hAnsi="Times New Roman"/>
      <w:b/>
      <w:bCs/>
      <w:lang w:val="en-GB" w:eastAsia="en-US"/>
    </w:rPr>
  </w:style>
  <w:style w:type="paragraph" w:styleId="Header">
    <w:name w:val="header"/>
    <w:basedOn w:val="Normal"/>
    <w:link w:val="HeaderChar"/>
    <w:uiPriority w:val="99"/>
    <w:unhideWhenUsed/>
    <w:rsid w:val="00565D41"/>
    <w:pPr>
      <w:tabs>
        <w:tab w:val="center" w:pos="4513"/>
        <w:tab w:val="right" w:pos="9026"/>
      </w:tabs>
    </w:pPr>
  </w:style>
  <w:style w:type="character" w:customStyle="1" w:styleId="HeaderChar">
    <w:name w:val="Header Char"/>
    <w:basedOn w:val="DefaultParagraphFont"/>
    <w:link w:val="Header"/>
    <w:uiPriority w:val="99"/>
    <w:rsid w:val="00565D41"/>
    <w:rPr>
      <w:rFonts w:ascii="Times New Roman" w:eastAsia="Times New Roman" w:hAnsi="Times New Roman"/>
      <w:sz w:val="24"/>
      <w:szCs w:val="24"/>
      <w:lang w:val="en-GB"/>
    </w:rPr>
  </w:style>
  <w:style w:type="paragraph" w:styleId="Footer">
    <w:name w:val="footer"/>
    <w:basedOn w:val="Normal"/>
    <w:link w:val="FooterChar"/>
    <w:uiPriority w:val="99"/>
    <w:unhideWhenUsed/>
    <w:rsid w:val="00565D41"/>
    <w:pPr>
      <w:tabs>
        <w:tab w:val="center" w:pos="4513"/>
        <w:tab w:val="right" w:pos="9026"/>
      </w:tabs>
    </w:pPr>
  </w:style>
  <w:style w:type="character" w:customStyle="1" w:styleId="FooterChar">
    <w:name w:val="Footer Char"/>
    <w:basedOn w:val="DefaultParagraphFont"/>
    <w:link w:val="Footer"/>
    <w:uiPriority w:val="99"/>
    <w:rsid w:val="00565D41"/>
    <w:rPr>
      <w:rFonts w:ascii="Times New Roman" w:eastAsia="Times New Roman" w:hAnsi="Times New Roman"/>
      <w:sz w:val="24"/>
      <w:szCs w:val="24"/>
      <w:lang w:val="en-GB"/>
    </w:rPr>
  </w:style>
  <w:style w:type="paragraph" w:styleId="BodyText">
    <w:name w:val="Body Text"/>
    <w:basedOn w:val="Normal"/>
    <w:link w:val="BodyTextChar"/>
    <w:rsid w:val="003954A7"/>
    <w:pPr>
      <w:autoSpaceDE/>
      <w:autoSpaceDN/>
    </w:pPr>
    <w:rPr>
      <w:rFonts w:ascii="Arial" w:hAnsi="Arial"/>
      <w:sz w:val="20"/>
      <w:szCs w:val="20"/>
      <w:lang w:val="en-AU" w:eastAsia="en-US"/>
    </w:rPr>
  </w:style>
  <w:style w:type="character" w:customStyle="1" w:styleId="BodyTextChar">
    <w:name w:val="Body Text Char"/>
    <w:basedOn w:val="DefaultParagraphFont"/>
    <w:link w:val="BodyText"/>
    <w:rsid w:val="003954A7"/>
    <w:rPr>
      <w:rFonts w:ascii="Arial" w:eastAsia="Times New Roman" w:hAnsi="Arial"/>
      <w:lang w:eastAsia="en-US"/>
    </w:rPr>
  </w:style>
  <w:style w:type="character" w:styleId="Hyperlink">
    <w:name w:val="Hyperlink"/>
    <w:basedOn w:val="DefaultParagraphFont"/>
    <w:uiPriority w:val="99"/>
    <w:unhideWhenUsed/>
    <w:rsid w:val="00FD3499"/>
    <w:rPr>
      <w:color w:val="0000FF"/>
      <w:u w:val="single"/>
    </w:rPr>
  </w:style>
  <w:style w:type="paragraph" w:customStyle="1" w:styleId="Default">
    <w:name w:val="Default"/>
    <w:basedOn w:val="Normal"/>
    <w:rsid w:val="00A46949"/>
    <w:rPr>
      <w:rFonts w:eastAsiaTheme="minorHAnsi"/>
      <w:color w:val="000000"/>
      <w:lang w:val="en-AU"/>
    </w:rPr>
  </w:style>
  <w:style w:type="character" w:styleId="UnresolvedMention">
    <w:name w:val="Unresolved Mention"/>
    <w:basedOn w:val="DefaultParagraphFont"/>
    <w:uiPriority w:val="99"/>
    <w:semiHidden/>
    <w:unhideWhenUsed/>
    <w:rsid w:val="003D013F"/>
    <w:rPr>
      <w:color w:val="605E5C"/>
      <w:shd w:val="clear" w:color="auto" w:fill="E1DFDD"/>
    </w:rPr>
  </w:style>
  <w:style w:type="character" w:styleId="BookTitle">
    <w:name w:val="Book Title"/>
    <w:uiPriority w:val="33"/>
    <w:qFormat/>
    <w:rsid w:val="007C4CCE"/>
    <w:rPr>
      <w:i/>
      <w:iCs/>
      <w:smallCaps/>
      <w:spacing w:val="5"/>
    </w:rPr>
  </w:style>
  <w:style w:type="paragraph" w:styleId="Revision">
    <w:name w:val="Revision"/>
    <w:hidden/>
    <w:uiPriority w:val="99"/>
    <w:semiHidden/>
    <w:rsid w:val="00F052C6"/>
    <w:rPr>
      <w:rFonts w:ascii="Times New Roman" w:eastAsia="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87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ss.gov.au/communities-and-vulnerable-people-programs-services-gambling/national-consumer-protection-framework-for-online-wagering"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BCB20-410C-4EBE-BA36-7EB0D9EB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3338</Words>
  <Characters>17625</Characters>
  <Application>Microsoft Office Word</Application>
  <DocSecurity>0</DocSecurity>
  <Lines>490</Lines>
  <Paragraphs>128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keywords>2</cp:keywords>
  <cp:lastModifiedBy>PCODCS</cp:lastModifiedBy>
  <cp:revision>4</cp:revision>
  <cp:lastPrinted>2018-10-31T22:17:00Z</cp:lastPrinted>
  <dcterms:created xsi:type="dcterms:W3CDTF">2019-05-24T04:06:00Z</dcterms:created>
  <dcterms:modified xsi:type="dcterms:W3CDTF">2019-05-24T04:06:00Z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OUTFROMJMS">
    <vt:lpwstr/>
  </property>
  <property fmtid="{D5CDD505-2E9C-101B-9397-08002B2CF9AE}" pid="3" name="DMSID">
    <vt:lpwstr>1049215</vt:lpwstr>
  </property>
  <property fmtid="{D5CDD505-2E9C-101B-9397-08002B2CF9AE}" pid="4" name="JMSREQUIREDCHECKIN">
    <vt:lpwstr/>
  </property>
</Properties>
</file>